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8b6bcbdc61ed441c"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57820" w14:textId="77777777" w:rsidR="009A651F" w:rsidRDefault="0006118B" w:rsidP="009A651F">
      <w:pPr>
        <w:pStyle w:val="papertitle"/>
        <w:jc w:val="both"/>
      </w:pPr>
      <w:bookmarkStart w:id="0" w:name="_GoBack"/>
      <w:bookmarkEnd w:id="0"/>
      <w:r>
        <w:t xml:space="preserve">An Integrated Decision-Support Information System on the Impact of Extreme Natural Hazards on </w:t>
      </w:r>
      <w:r w:rsidR="009A651F">
        <w:t>Critical Infrastructure</w:t>
      </w:r>
    </w:p>
    <w:p w14:paraId="39CE56DE" w14:textId="2053E028" w:rsidR="009A651F" w:rsidRDefault="009A651F" w:rsidP="009A651F">
      <w:pPr>
        <w:pStyle w:val="author"/>
      </w:pPr>
      <w:r>
        <w:t xml:space="preserve">Z. A. </w:t>
      </w:r>
      <w:proofErr w:type="spellStart"/>
      <w:r>
        <w:t>Sabeur</w:t>
      </w:r>
      <w:proofErr w:type="spellEnd"/>
      <w:r w:rsidR="00D145A7" w:rsidRPr="00D145A7">
        <w:rPr>
          <w:sz w:val="22"/>
          <w:vertAlign w:val="superscript"/>
        </w:rPr>
        <w:t>(1)</w:t>
      </w:r>
      <w:r w:rsidR="00D145A7">
        <w:t xml:space="preserve">, P. </w:t>
      </w:r>
      <w:proofErr w:type="spellStart"/>
      <w:r w:rsidR="00D145A7">
        <w:t>Melas</w:t>
      </w:r>
      <w:proofErr w:type="spellEnd"/>
      <w:r w:rsidR="00D145A7" w:rsidRPr="00D145A7">
        <w:rPr>
          <w:sz w:val="22"/>
          <w:vertAlign w:val="superscript"/>
        </w:rPr>
        <w:t>(1)</w:t>
      </w:r>
      <w:r w:rsidR="00D145A7">
        <w:t xml:space="preserve">, </w:t>
      </w:r>
      <w:r w:rsidR="0006118B">
        <w:t>K. Meacham</w:t>
      </w:r>
      <w:r w:rsidR="00D145A7" w:rsidRPr="00D145A7">
        <w:rPr>
          <w:sz w:val="22"/>
          <w:vertAlign w:val="superscript"/>
        </w:rPr>
        <w:t>(1)</w:t>
      </w:r>
      <w:r w:rsidR="005E6B7E">
        <w:t xml:space="preserve">, R. </w:t>
      </w:r>
      <w:proofErr w:type="spellStart"/>
      <w:r w:rsidR="005E6B7E">
        <w:t>Corbally</w:t>
      </w:r>
      <w:proofErr w:type="spellEnd"/>
      <w:r w:rsidR="00D145A7">
        <w:rPr>
          <w:sz w:val="22"/>
          <w:vertAlign w:val="superscript"/>
        </w:rPr>
        <w:t>(2</w:t>
      </w:r>
      <w:r w:rsidR="00D145A7" w:rsidRPr="00D145A7">
        <w:rPr>
          <w:sz w:val="22"/>
          <w:vertAlign w:val="superscript"/>
        </w:rPr>
        <w:t>)</w:t>
      </w:r>
      <w:r w:rsidR="00D145A7">
        <w:t xml:space="preserve">, D. </w:t>
      </w:r>
      <w:proofErr w:type="spellStart"/>
      <w:r w:rsidR="00D145A7">
        <w:t>D’Ayala</w:t>
      </w:r>
      <w:proofErr w:type="spellEnd"/>
      <w:r w:rsidR="00D145A7">
        <w:rPr>
          <w:sz w:val="22"/>
          <w:vertAlign w:val="superscript"/>
        </w:rPr>
        <w:t>(3</w:t>
      </w:r>
      <w:r w:rsidR="00D145A7" w:rsidRPr="00D145A7">
        <w:rPr>
          <w:sz w:val="22"/>
          <w:vertAlign w:val="superscript"/>
        </w:rPr>
        <w:t>)</w:t>
      </w:r>
      <w:r w:rsidR="00D145A7">
        <w:t xml:space="preserve"> and B. Adey</w:t>
      </w:r>
      <w:r w:rsidR="00D145A7">
        <w:rPr>
          <w:sz w:val="22"/>
          <w:vertAlign w:val="superscript"/>
        </w:rPr>
        <w:t>(4</w:t>
      </w:r>
      <w:r w:rsidR="00D145A7" w:rsidRPr="00D145A7">
        <w:rPr>
          <w:sz w:val="22"/>
          <w:vertAlign w:val="superscript"/>
        </w:rPr>
        <w:t>)</w:t>
      </w:r>
    </w:p>
    <w:p w14:paraId="3BE74410" w14:textId="77777777" w:rsidR="009A651F" w:rsidRPr="003B1284" w:rsidRDefault="00284820" w:rsidP="009A651F">
      <w:pPr>
        <w:pStyle w:val="address"/>
        <w:rPr>
          <w:rStyle w:val="e-mail"/>
        </w:rPr>
      </w:pPr>
      <w:r>
        <w:rPr>
          <w:rStyle w:val="e-mail"/>
        </w:rPr>
        <w:t xml:space="preserve">{zas, pm, </w:t>
      </w:r>
      <w:r w:rsidR="0006118B">
        <w:rPr>
          <w:rStyle w:val="e-mail"/>
        </w:rPr>
        <w:t>ke</w:t>
      </w:r>
      <w:r>
        <w:rPr>
          <w:rStyle w:val="e-mail"/>
        </w:rPr>
        <w:t>m</w:t>
      </w:r>
      <w:r w:rsidR="009A651F" w:rsidRPr="003B1284">
        <w:rPr>
          <w:rStyle w:val="e-mail"/>
        </w:rPr>
        <w:t>}@it-innovation.soton.ac.uk</w:t>
      </w:r>
    </w:p>
    <w:p w14:paraId="322AE33E" w14:textId="77777777" w:rsidR="009A651F" w:rsidRDefault="009A651F" w:rsidP="00960D14">
      <w:pPr>
        <w:pStyle w:val="address"/>
        <w:numPr>
          <w:ilvl w:val="0"/>
          <w:numId w:val="13"/>
        </w:numPr>
        <w:ind w:hanging="436"/>
        <w:rPr>
          <w:szCs w:val="18"/>
        </w:rPr>
      </w:pPr>
      <w:r w:rsidRPr="00F10A15">
        <w:t xml:space="preserve">University of Southampton IT Innovation Centre, </w:t>
      </w:r>
      <w:r w:rsidR="00284820">
        <w:t xml:space="preserve">Department of </w:t>
      </w:r>
      <w:r>
        <w:t>Electronics and C</w:t>
      </w:r>
      <w:r w:rsidRPr="00D145A7">
        <w:rPr>
          <w:szCs w:val="18"/>
        </w:rPr>
        <w:t>omputer Science, Southampton, United Kingdom</w:t>
      </w:r>
    </w:p>
    <w:p w14:paraId="325C9BAA" w14:textId="77777777" w:rsidR="00D145A7" w:rsidRDefault="00D145A7" w:rsidP="00960D14">
      <w:pPr>
        <w:pStyle w:val="address"/>
        <w:numPr>
          <w:ilvl w:val="0"/>
          <w:numId w:val="13"/>
        </w:numPr>
        <w:ind w:firstLine="131"/>
        <w:jc w:val="both"/>
        <w:rPr>
          <w:szCs w:val="18"/>
        </w:rPr>
      </w:pPr>
      <w:proofErr w:type="spellStart"/>
      <w:r>
        <w:rPr>
          <w:szCs w:val="18"/>
        </w:rPr>
        <w:t>Roughan</w:t>
      </w:r>
      <w:proofErr w:type="spellEnd"/>
      <w:r>
        <w:rPr>
          <w:szCs w:val="18"/>
        </w:rPr>
        <w:t xml:space="preserve"> &amp; Donovan Innovative Solutions, Ireland</w:t>
      </w:r>
    </w:p>
    <w:p w14:paraId="25CC8FF1" w14:textId="77777777" w:rsidR="002E4A7F" w:rsidRDefault="00D145A7" w:rsidP="00960D14">
      <w:pPr>
        <w:pStyle w:val="address"/>
        <w:numPr>
          <w:ilvl w:val="0"/>
          <w:numId w:val="13"/>
        </w:numPr>
        <w:ind w:hanging="294"/>
        <w:rPr>
          <w:szCs w:val="18"/>
        </w:rPr>
      </w:pPr>
      <w:r>
        <w:rPr>
          <w:szCs w:val="18"/>
        </w:rPr>
        <w:t xml:space="preserve">University College London, Department of Civil, Environmental </w:t>
      </w:r>
    </w:p>
    <w:p w14:paraId="33BAD975" w14:textId="77777777" w:rsidR="00D145A7" w:rsidRPr="002E4A7F" w:rsidRDefault="00D145A7" w:rsidP="00960D14">
      <w:pPr>
        <w:pStyle w:val="address"/>
        <w:numPr>
          <w:ilvl w:val="0"/>
          <w:numId w:val="13"/>
        </w:numPr>
        <w:ind w:hanging="294"/>
        <w:rPr>
          <w:szCs w:val="18"/>
        </w:rPr>
      </w:pPr>
      <w:r w:rsidRPr="002E4A7F">
        <w:rPr>
          <w:szCs w:val="18"/>
        </w:rPr>
        <w:t xml:space="preserve">and </w:t>
      </w:r>
      <w:proofErr w:type="spellStart"/>
      <w:r w:rsidRPr="002E4A7F">
        <w:rPr>
          <w:szCs w:val="18"/>
        </w:rPr>
        <w:t>Geomatic</w:t>
      </w:r>
      <w:proofErr w:type="spellEnd"/>
      <w:r w:rsidRPr="002E4A7F">
        <w:rPr>
          <w:szCs w:val="18"/>
        </w:rPr>
        <w:t xml:space="preserve"> Engineering, United Kingdom</w:t>
      </w:r>
    </w:p>
    <w:p w14:paraId="22352D3B" w14:textId="77777777" w:rsidR="00D145A7" w:rsidRPr="00D145A7" w:rsidRDefault="00D145A7" w:rsidP="00960D14">
      <w:pPr>
        <w:pStyle w:val="address"/>
        <w:numPr>
          <w:ilvl w:val="0"/>
          <w:numId w:val="13"/>
        </w:numPr>
        <w:rPr>
          <w:szCs w:val="18"/>
        </w:rPr>
      </w:pPr>
      <w:r>
        <w:rPr>
          <w:szCs w:val="18"/>
        </w:rPr>
        <w:t xml:space="preserve">ETHZ, Switzerland. </w:t>
      </w:r>
    </w:p>
    <w:p w14:paraId="6D14EE19" w14:textId="77777777" w:rsidR="009A651F" w:rsidRDefault="009A651F" w:rsidP="009A651F"/>
    <w:p w14:paraId="56FF21BA" w14:textId="614889FF" w:rsidR="002E4A7F" w:rsidRPr="002E4A7F" w:rsidRDefault="009A651F" w:rsidP="002E4A7F">
      <w:pPr>
        <w:pStyle w:val="abstract"/>
        <w:spacing w:after="0"/>
        <w:ind w:firstLine="0"/>
      </w:pPr>
      <w:r w:rsidRPr="00112CB8">
        <w:rPr>
          <w:b/>
        </w:rPr>
        <w:t>Abstract.</w:t>
      </w:r>
      <w:r>
        <w:t xml:space="preserve"> </w:t>
      </w:r>
      <w:r w:rsidR="002E4A7F">
        <w:rPr>
          <w:szCs w:val="18"/>
        </w:rPr>
        <w:t>In this paper,</w:t>
      </w:r>
      <w:r w:rsidR="002E4A7F" w:rsidRPr="002E4A7F">
        <w:rPr>
          <w:szCs w:val="18"/>
        </w:rPr>
        <w:t xml:space="preserve"> we </w:t>
      </w:r>
      <w:r w:rsidR="008B1F55">
        <w:rPr>
          <w:szCs w:val="18"/>
        </w:rPr>
        <w:t>introduce</w:t>
      </w:r>
      <w:r w:rsidR="002E4A7F" w:rsidRPr="002E4A7F">
        <w:rPr>
          <w:szCs w:val="18"/>
        </w:rPr>
        <w:t xml:space="preserve"> </w:t>
      </w:r>
      <w:r w:rsidR="002E4A7F">
        <w:rPr>
          <w:szCs w:val="18"/>
        </w:rPr>
        <w:t>an Integrated Decision-Support Tool (</w:t>
      </w:r>
      <w:r w:rsidR="002E4A7F" w:rsidRPr="002E4A7F">
        <w:rPr>
          <w:szCs w:val="18"/>
        </w:rPr>
        <w:t>IDST</w:t>
      </w:r>
      <w:r w:rsidR="008B1F55">
        <w:rPr>
          <w:szCs w:val="18"/>
        </w:rPr>
        <w:t xml:space="preserve"> v2.0</w:t>
      </w:r>
      <w:r w:rsidR="002E4A7F">
        <w:rPr>
          <w:szCs w:val="18"/>
        </w:rPr>
        <w:t>)</w:t>
      </w:r>
      <w:r w:rsidR="002E4A7F" w:rsidRPr="002E4A7F">
        <w:rPr>
          <w:szCs w:val="18"/>
        </w:rPr>
        <w:t xml:space="preserve"> </w:t>
      </w:r>
      <w:r w:rsidR="002E4A7F">
        <w:rPr>
          <w:szCs w:val="18"/>
        </w:rPr>
        <w:t xml:space="preserve">which was </w:t>
      </w:r>
      <w:r w:rsidR="002E4A7F" w:rsidRPr="002E4A7F">
        <w:rPr>
          <w:szCs w:val="18"/>
        </w:rPr>
        <w:t>developed as part of the INFRARISK</w:t>
      </w:r>
      <w:r w:rsidR="00672FA2">
        <w:rPr>
          <w:szCs w:val="18"/>
        </w:rPr>
        <w:t xml:space="preserve"> project</w:t>
      </w:r>
      <w:r w:rsidR="002E4A7F" w:rsidRPr="002E4A7F">
        <w:rPr>
          <w:szCs w:val="18"/>
        </w:rPr>
        <w:t xml:space="preserve"> </w:t>
      </w:r>
      <w:r w:rsidR="002E4A7F">
        <w:rPr>
          <w:szCs w:val="18"/>
        </w:rPr>
        <w:t>(</w:t>
      </w:r>
      <w:hyperlink r:id="rId8" w:history="1">
        <w:r w:rsidR="00672FA2" w:rsidRPr="00C1407B">
          <w:rPr>
            <w:rStyle w:val="Hyperlink"/>
            <w:szCs w:val="18"/>
          </w:rPr>
          <w:t>https://www.infrarisk-fp7.eu/</w:t>
        </w:r>
      </w:hyperlink>
      <w:r w:rsidR="002E4A7F">
        <w:rPr>
          <w:szCs w:val="18"/>
        </w:rPr>
        <w:t>)</w:t>
      </w:r>
      <w:r w:rsidR="002E4A7F" w:rsidRPr="002E4A7F">
        <w:rPr>
          <w:szCs w:val="18"/>
        </w:rPr>
        <w:t xml:space="preserve">. </w:t>
      </w:r>
      <w:r w:rsidR="00672FA2" w:rsidRPr="00672FA2">
        <w:rPr>
          <w:szCs w:val="18"/>
        </w:rPr>
        <w:t>The IDST is an online tool which demonstrates the implementation of a risk-based stress testing methodology for analyzing the potential impact of natural hazards on transport infrastructure networks</w:t>
      </w:r>
      <w:r w:rsidR="00672FA2">
        <w:rPr>
          <w:szCs w:val="18"/>
        </w:rPr>
        <w:t xml:space="preserve">. </w:t>
      </w:r>
      <w:r w:rsidR="002E4A7F" w:rsidRPr="002E4A7F">
        <w:rPr>
          <w:szCs w:val="18"/>
          <w:lang w:val="en-IE"/>
        </w:rPr>
        <w:t xml:space="preserve">The </w:t>
      </w:r>
      <w:r w:rsidR="00672FA2">
        <w:rPr>
          <w:szCs w:val="18"/>
          <w:lang w:val="en-IE"/>
        </w:rPr>
        <w:t>IDST</w:t>
      </w:r>
      <w:r w:rsidR="002E4A7F" w:rsidRPr="002E4A7F">
        <w:rPr>
          <w:szCs w:val="18"/>
          <w:lang w:val="en-IE"/>
        </w:rPr>
        <w:t xml:space="preserve"> is enabled with a set of software workflow processes that allow t</w:t>
      </w:r>
      <w:r w:rsidR="008B1F55">
        <w:rPr>
          <w:szCs w:val="18"/>
          <w:lang w:val="en-IE"/>
        </w:rPr>
        <w:t xml:space="preserve">he definition of </w:t>
      </w:r>
      <w:r w:rsidR="002E4A7F" w:rsidRPr="002E4A7F">
        <w:rPr>
          <w:szCs w:val="18"/>
          <w:lang w:val="en-IE"/>
        </w:rPr>
        <w:t xml:space="preserve">multiple cascading </w:t>
      </w:r>
      <w:r w:rsidR="002E4A7F">
        <w:rPr>
          <w:szCs w:val="18"/>
          <w:lang w:val="en-IE"/>
        </w:rPr>
        <w:t xml:space="preserve">natural </w:t>
      </w:r>
      <w:r w:rsidR="002E4A7F" w:rsidRPr="002E4A7F">
        <w:rPr>
          <w:szCs w:val="18"/>
          <w:lang w:val="en-IE"/>
        </w:rPr>
        <w:t xml:space="preserve">hazards, geospatial </w:t>
      </w:r>
      <w:r w:rsidR="002E4A7F">
        <w:rPr>
          <w:szCs w:val="18"/>
          <w:lang w:val="en-IE"/>
        </w:rPr>
        <w:t xml:space="preserve">coverage and impact on important large </w:t>
      </w:r>
      <w:r w:rsidR="002E4A7F" w:rsidRPr="002E4A7F">
        <w:rPr>
          <w:szCs w:val="18"/>
          <w:lang w:val="en-IE"/>
        </w:rPr>
        <w:t>infrastructure</w:t>
      </w:r>
      <w:r w:rsidR="002E4A7F">
        <w:rPr>
          <w:szCs w:val="18"/>
          <w:lang w:val="en-IE"/>
        </w:rPr>
        <w:t xml:space="preserve">, including those which are critical to transport </w:t>
      </w:r>
      <w:r w:rsidR="008B1F55">
        <w:rPr>
          <w:szCs w:val="18"/>
          <w:lang w:val="en-IE"/>
        </w:rPr>
        <w:t xml:space="preserve">networks </w:t>
      </w:r>
      <w:r w:rsidR="002E4A7F">
        <w:rPr>
          <w:szCs w:val="18"/>
          <w:lang w:val="en-IE"/>
        </w:rPr>
        <w:t>in Europe</w:t>
      </w:r>
      <w:r w:rsidR="002E4A7F" w:rsidRPr="002E4A7F">
        <w:rPr>
          <w:szCs w:val="18"/>
          <w:lang w:val="en-IE"/>
        </w:rPr>
        <w:t>. S</w:t>
      </w:r>
      <w:r w:rsidR="002E4A7F" w:rsidRPr="002E4A7F">
        <w:rPr>
          <w:szCs w:val="18"/>
        </w:rPr>
        <w:t xml:space="preserve">tress tests </w:t>
      </w:r>
      <w:r w:rsidR="002E4A7F">
        <w:rPr>
          <w:szCs w:val="18"/>
        </w:rPr>
        <w:t xml:space="preserve">on these infrastructure </w:t>
      </w:r>
      <w:r w:rsidR="002E4A7F" w:rsidRPr="002E4A7F">
        <w:rPr>
          <w:szCs w:val="18"/>
        </w:rPr>
        <w:t xml:space="preserve">are </w:t>
      </w:r>
      <w:r w:rsidR="002E4A7F">
        <w:rPr>
          <w:szCs w:val="18"/>
        </w:rPr>
        <w:t xml:space="preserve">consequently </w:t>
      </w:r>
      <w:r w:rsidR="002E4A7F" w:rsidRPr="002E4A7F">
        <w:rPr>
          <w:szCs w:val="18"/>
        </w:rPr>
        <w:t>performed toge</w:t>
      </w:r>
      <w:r w:rsidR="008B1F55">
        <w:rPr>
          <w:szCs w:val="18"/>
        </w:rPr>
        <w:t xml:space="preserve">ther with the </w:t>
      </w:r>
      <w:r w:rsidR="002E4A7F">
        <w:rPr>
          <w:szCs w:val="18"/>
        </w:rPr>
        <w:t>automated generation</w:t>
      </w:r>
      <w:r w:rsidR="002E4A7F" w:rsidRPr="002E4A7F">
        <w:rPr>
          <w:szCs w:val="18"/>
        </w:rPr>
        <w:t xml:space="preserve"> of </w:t>
      </w:r>
      <w:r w:rsidR="008B1F55">
        <w:rPr>
          <w:szCs w:val="18"/>
        </w:rPr>
        <w:t xml:space="preserve">useful </w:t>
      </w:r>
      <w:r w:rsidR="002E4A7F" w:rsidRPr="002E4A7F">
        <w:rPr>
          <w:szCs w:val="18"/>
        </w:rPr>
        <w:t>case study reports</w:t>
      </w:r>
      <w:r w:rsidR="002E4A7F">
        <w:rPr>
          <w:szCs w:val="18"/>
        </w:rPr>
        <w:t xml:space="preserve"> for practitioners. A</w:t>
      </w:r>
      <w:r w:rsidR="002E4A7F" w:rsidRPr="002E4A7F">
        <w:rPr>
          <w:szCs w:val="18"/>
        </w:rPr>
        <w:t>n exemplar str</w:t>
      </w:r>
      <w:r w:rsidR="008B1F55">
        <w:rPr>
          <w:szCs w:val="18"/>
        </w:rPr>
        <w:t xml:space="preserve">ess test study using the IDST </w:t>
      </w:r>
      <w:r w:rsidR="00060626">
        <w:rPr>
          <w:szCs w:val="18"/>
        </w:rPr>
        <w:t xml:space="preserve">is </w:t>
      </w:r>
      <w:r w:rsidR="002E4A7F" w:rsidRPr="002E4A7F">
        <w:rPr>
          <w:szCs w:val="18"/>
        </w:rPr>
        <w:t>provided</w:t>
      </w:r>
      <w:r w:rsidR="002E4A7F">
        <w:rPr>
          <w:szCs w:val="18"/>
        </w:rPr>
        <w:t xml:space="preserve"> </w:t>
      </w:r>
      <w:r w:rsidR="00060626">
        <w:rPr>
          <w:szCs w:val="18"/>
        </w:rPr>
        <w:t xml:space="preserve">in this </w:t>
      </w:r>
      <w:r w:rsidR="002E4A7F">
        <w:rPr>
          <w:szCs w:val="18"/>
        </w:rPr>
        <w:t>paper</w:t>
      </w:r>
      <w:r w:rsidR="00060626">
        <w:rPr>
          <w:szCs w:val="18"/>
        </w:rPr>
        <w:t xml:space="preserve">.  In this study, </w:t>
      </w:r>
      <w:r w:rsidR="002E4A7F" w:rsidRPr="002E4A7F">
        <w:rPr>
          <w:szCs w:val="18"/>
        </w:rPr>
        <w:t xml:space="preserve">risks and consequences of an </w:t>
      </w:r>
      <w:r w:rsidR="002E4A7F" w:rsidRPr="002E4A7F">
        <w:rPr>
          <w:szCs w:val="18"/>
          <w:lang w:val="en-GB"/>
        </w:rPr>
        <w:t>earthquake-triggered landslide</w:t>
      </w:r>
      <w:r w:rsidR="002E4A7F">
        <w:rPr>
          <w:szCs w:val="18"/>
        </w:rPr>
        <w:t xml:space="preserve"> scenar</w:t>
      </w:r>
      <w:r w:rsidR="008B1F55">
        <w:rPr>
          <w:szCs w:val="18"/>
        </w:rPr>
        <w:t>io in Northern Italy is described</w:t>
      </w:r>
      <w:r w:rsidR="002E4A7F" w:rsidRPr="002E4A7F">
        <w:rPr>
          <w:szCs w:val="18"/>
        </w:rPr>
        <w:t xml:space="preserve">. </w:t>
      </w:r>
      <w:r w:rsidR="00060626">
        <w:rPr>
          <w:szCs w:val="18"/>
          <w:lang w:val="en-GB"/>
        </w:rPr>
        <w:t xml:space="preserve">Further, it </w:t>
      </w:r>
      <w:r w:rsidR="002E4A7F" w:rsidRPr="002E4A7F">
        <w:rPr>
          <w:szCs w:val="18"/>
          <w:lang w:val="en-GB"/>
        </w:rPr>
        <w:t xml:space="preserve">provides a step-by-step account of the developed stress testing </w:t>
      </w:r>
      <w:r w:rsidR="002E4A7F">
        <w:rPr>
          <w:szCs w:val="18"/>
          <w:lang w:val="en-GB"/>
        </w:rPr>
        <w:t xml:space="preserve">overarching </w:t>
      </w:r>
      <w:r w:rsidR="002E4A7F" w:rsidRPr="002E4A7F">
        <w:rPr>
          <w:szCs w:val="18"/>
          <w:lang w:val="en-GB"/>
        </w:rPr>
        <w:t xml:space="preserve">methodology </w:t>
      </w:r>
      <w:r w:rsidR="00060626">
        <w:rPr>
          <w:szCs w:val="18"/>
          <w:lang w:val="en-GB"/>
        </w:rPr>
        <w:t xml:space="preserve">which is </w:t>
      </w:r>
      <w:r w:rsidR="002E4A7F" w:rsidRPr="002E4A7F">
        <w:rPr>
          <w:szCs w:val="18"/>
          <w:lang w:val="en-GB"/>
        </w:rPr>
        <w:t xml:space="preserve">applied to </w:t>
      </w:r>
      <w:r w:rsidR="00060626">
        <w:rPr>
          <w:szCs w:val="18"/>
          <w:lang w:val="en-GB"/>
        </w:rPr>
        <w:t xml:space="preserve">the impact on a </w:t>
      </w:r>
      <w:r w:rsidR="002E4A7F" w:rsidRPr="002E4A7F">
        <w:rPr>
          <w:szCs w:val="18"/>
          <w:lang w:val="en-GB"/>
        </w:rPr>
        <w:t xml:space="preserve">road network of </w:t>
      </w:r>
      <w:r w:rsidR="002E4A7F" w:rsidRPr="002E4A7F">
        <w:rPr>
          <w:szCs w:val="18"/>
        </w:rPr>
        <w:t>the region of interest</w:t>
      </w:r>
      <w:r w:rsidR="002E4A7F" w:rsidRPr="002E4A7F">
        <w:rPr>
          <w:szCs w:val="18"/>
          <w:lang w:val="en-GB"/>
        </w:rPr>
        <w:t>.</w:t>
      </w:r>
    </w:p>
    <w:p w14:paraId="14BDC519" w14:textId="5A718B53" w:rsidR="009A651F" w:rsidRDefault="009A651F" w:rsidP="009A651F">
      <w:pPr>
        <w:pStyle w:val="keywords"/>
      </w:pPr>
      <w:r>
        <w:rPr>
          <w:b/>
        </w:rPr>
        <w:t>Keywords:</w:t>
      </w:r>
      <w:r w:rsidR="00D145A7">
        <w:t xml:space="preserve"> Environmental Decision Support Systems, Data Analytics, Crisis Management, Critical I</w:t>
      </w:r>
      <w:r w:rsidR="00B13EFA">
        <w:t>nfrastructure</w:t>
      </w:r>
      <w:r w:rsidR="00B4135F">
        <w:t>, Natural Hazards, Risk Management, Climate Change, Black Swans</w:t>
      </w:r>
      <w:r w:rsidR="00672FA2">
        <w:t>, Stress Testing</w:t>
      </w:r>
      <w:r w:rsidR="00B4135F">
        <w:t>.</w:t>
      </w:r>
    </w:p>
    <w:p w14:paraId="4F3F1278" w14:textId="77777777" w:rsidR="009A651F" w:rsidRDefault="009A651F" w:rsidP="009A651F">
      <w:pPr>
        <w:pStyle w:val="heading1"/>
        <w:numPr>
          <w:ilvl w:val="0"/>
          <w:numId w:val="4"/>
        </w:numPr>
      </w:pPr>
      <w:r>
        <w:t>Introduction</w:t>
      </w:r>
    </w:p>
    <w:p w14:paraId="556A3755" w14:textId="23ACBB5C" w:rsidR="00126E4F" w:rsidRDefault="002E4A7F" w:rsidP="008B1F55">
      <w:pPr>
        <w:pStyle w:val="Normalparagraphstyle"/>
        <w:ind w:firstLine="567"/>
        <w:rPr>
          <w:rFonts w:ascii="Times New Roman" w:hAnsi="Times New Roman" w:cs="Times New Roman"/>
          <w:sz w:val="20"/>
          <w:szCs w:val="20"/>
        </w:rPr>
      </w:pPr>
      <w:r w:rsidRPr="002E4A7F">
        <w:rPr>
          <w:rFonts w:ascii="Times New Roman" w:hAnsi="Times New Roman" w:cs="Times New Roman"/>
          <w:sz w:val="20"/>
          <w:szCs w:val="20"/>
        </w:rPr>
        <w:t>The INFRARISK Decision Support Tool (IDST)</w:t>
      </w:r>
      <w:r>
        <w:rPr>
          <w:rFonts w:ascii="Times New Roman" w:hAnsi="Times New Roman" w:cs="Times New Roman"/>
          <w:sz w:val="20"/>
          <w:szCs w:val="20"/>
        </w:rPr>
        <w:t xml:space="preserve"> version 2.0</w:t>
      </w:r>
      <w:r w:rsidR="00905787">
        <w:rPr>
          <w:rFonts w:ascii="Times New Roman" w:hAnsi="Times New Roman" w:cs="Times New Roman"/>
          <w:sz w:val="20"/>
          <w:szCs w:val="20"/>
        </w:rPr>
        <w:t xml:space="preserve"> </w:t>
      </w:r>
      <w:r w:rsidR="007E6144">
        <w:rPr>
          <w:rFonts w:ascii="Times New Roman" w:hAnsi="Times New Roman" w:cs="Times New Roman"/>
          <w:noProof/>
          <w:sz w:val="20"/>
          <w:szCs w:val="20"/>
          <w:lang w:val="en-GB"/>
        </w:rPr>
        <w:t>[1]</w:t>
      </w:r>
      <w:r w:rsidRPr="002E4A7F">
        <w:rPr>
          <w:rFonts w:ascii="Times New Roman" w:hAnsi="Times New Roman" w:cs="Times New Roman"/>
          <w:sz w:val="20"/>
          <w:szCs w:val="20"/>
        </w:rPr>
        <w:t xml:space="preserve"> is </w:t>
      </w:r>
      <w:r>
        <w:rPr>
          <w:rFonts w:ascii="Times New Roman" w:hAnsi="Times New Roman" w:cs="Times New Roman"/>
          <w:sz w:val="20"/>
          <w:szCs w:val="20"/>
        </w:rPr>
        <w:t>an</w:t>
      </w:r>
      <w:r w:rsidRPr="002E4A7F">
        <w:rPr>
          <w:rFonts w:ascii="Times New Roman" w:hAnsi="Times New Roman" w:cs="Times New Roman"/>
          <w:sz w:val="20"/>
          <w:szCs w:val="20"/>
        </w:rPr>
        <w:t xml:space="preserve"> information system tool that allows urban planners, civil engineers, crisis managers, urban development agencies and enterprise consortia to assess </w:t>
      </w:r>
      <w:r>
        <w:rPr>
          <w:rFonts w:ascii="Times New Roman" w:hAnsi="Times New Roman" w:cs="Times New Roman"/>
          <w:sz w:val="20"/>
          <w:szCs w:val="20"/>
        </w:rPr>
        <w:t xml:space="preserve">potential </w:t>
      </w:r>
      <w:r w:rsidRPr="002E4A7F">
        <w:rPr>
          <w:rFonts w:ascii="Times New Roman" w:hAnsi="Times New Roman" w:cs="Times New Roman"/>
          <w:sz w:val="20"/>
          <w:szCs w:val="20"/>
        </w:rPr>
        <w:t xml:space="preserve">multiple risks from </w:t>
      </w:r>
      <w:r w:rsidRPr="002E4A7F">
        <w:rPr>
          <w:rFonts w:ascii="Times New Roman" w:hAnsi="Times New Roman" w:cs="Times New Roman"/>
          <w:sz w:val="20"/>
          <w:szCs w:val="20"/>
        </w:rPr>
        <w:lastRenderedPageBreak/>
        <w:t xml:space="preserve">natural </w:t>
      </w:r>
      <w:r w:rsidR="00DE0236">
        <w:rPr>
          <w:rFonts w:ascii="Times New Roman" w:hAnsi="Times New Roman" w:cs="Times New Roman"/>
          <w:sz w:val="20"/>
          <w:szCs w:val="20"/>
        </w:rPr>
        <w:t>hazards to which</w:t>
      </w:r>
      <w:r>
        <w:rPr>
          <w:rFonts w:ascii="Times New Roman" w:hAnsi="Times New Roman" w:cs="Times New Roman"/>
          <w:sz w:val="20"/>
          <w:szCs w:val="20"/>
        </w:rPr>
        <w:t xml:space="preserve"> </w:t>
      </w:r>
      <w:r w:rsidRPr="002E4A7F">
        <w:rPr>
          <w:rFonts w:ascii="Times New Roman" w:hAnsi="Times New Roman" w:cs="Times New Roman"/>
          <w:sz w:val="20"/>
          <w:szCs w:val="20"/>
        </w:rPr>
        <w:t>critical infrastructure may be exposed. These may include earthquakes, landslides, floods or a combination of</w:t>
      </w:r>
      <w:r>
        <w:rPr>
          <w:rFonts w:ascii="Times New Roman" w:hAnsi="Times New Roman" w:cs="Times New Roman"/>
          <w:sz w:val="20"/>
          <w:szCs w:val="20"/>
        </w:rPr>
        <w:t xml:space="preserve"> all</w:t>
      </w:r>
      <w:r w:rsidRPr="002E4A7F">
        <w:rPr>
          <w:rFonts w:ascii="Times New Roman" w:hAnsi="Times New Roman" w:cs="Times New Roman"/>
          <w:sz w:val="20"/>
          <w:szCs w:val="20"/>
        </w:rPr>
        <w:t xml:space="preserve">. The IDST hosts specialized databases with supporting scenario simulations </w:t>
      </w:r>
      <w:r w:rsidR="004E2797">
        <w:rPr>
          <w:rFonts w:ascii="Times New Roman" w:hAnsi="Times New Roman" w:cs="Times New Roman"/>
          <w:sz w:val="20"/>
          <w:szCs w:val="20"/>
        </w:rPr>
        <w:t>derived from models of a number of natural hazards allowing</w:t>
      </w:r>
      <w:r w:rsidRPr="002E4A7F">
        <w:rPr>
          <w:rFonts w:ascii="Times New Roman" w:hAnsi="Times New Roman" w:cs="Times New Roman"/>
          <w:sz w:val="20"/>
          <w:szCs w:val="20"/>
        </w:rPr>
        <w:t xml:space="preserve"> their likelihood of occurrence</w:t>
      </w:r>
      <w:r w:rsidR="00060626">
        <w:rPr>
          <w:rFonts w:ascii="Times New Roman" w:hAnsi="Times New Roman" w:cs="Times New Roman"/>
          <w:sz w:val="20"/>
          <w:szCs w:val="20"/>
        </w:rPr>
        <w:t xml:space="preserve"> and</w:t>
      </w:r>
      <w:r w:rsidR="004E2797">
        <w:rPr>
          <w:rFonts w:ascii="Times New Roman" w:hAnsi="Times New Roman" w:cs="Times New Roman"/>
          <w:sz w:val="20"/>
          <w:szCs w:val="20"/>
        </w:rPr>
        <w:t xml:space="preserve"> intensity levels for different statistical return periods to be estimated at the locations of </w:t>
      </w:r>
      <w:r w:rsidRPr="002E4A7F">
        <w:rPr>
          <w:rFonts w:ascii="Times New Roman" w:hAnsi="Times New Roman" w:cs="Times New Roman"/>
          <w:sz w:val="20"/>
          <w:szCs w:val="20"/>
        </w:rPr>
        <w:t>critical infrastructure</w:t>
      </w:r>
      <w:r w:rsidR="004E2797">
        <w:rPr>
          <w:rFonts w:ascii="Times New Roman" w:hAnsi="Times New Roman" w:cs="Times New Roman"/>
          <w:sz w:val="20"/>
          <w:szCs w:val="20"/>
        </w:rPr>
        <w:t xml:space="preserve"> elements</w:t>
      </w:r>
      <w:r w:rsidRPr="002E4A7F">
        <w:rPr>
          <w:rFonts w:ascii="Times New Roman" w:hAnsi="Times New Roman" w:cs="Times New Roman"/>
          <w:sz w:val="20"/>
          <w:szCs w:val="20"/>
        </w:rPr>
        <w:t>.  Two</w:t>
      </w:r>
      <w:r w:rsidR="008B1F55">
        <w:rPr>
          <w:rFonts w:ascii="Times New Roman" w:hAnsi="Times New Roman" w:cs="Times New Roman"/>
          <w:sz w:val="20"/>
          <w:szCs w:val="20"/>
        </w:rPr>
        <w:t xml:space="preserve"> </w:t>
      </w:r>
      <w:r w:rsidR="00060626">
        <w:rPr>
          <w:rFonts w:ascii="Times New Roman" w:hAnsi="Times New Roman" w:cs="Times New Roman"/>
          <w:sz w:val="20"/>
          <w:szCs w:val="20"/>
        </w:rPr>
        <w:t>exemplar</w:t>
      </w:r>
      <w:r w:rsidRPr="002E4A7F">
        <w:rPr>
          <w:rFonts w:ascii="Times New Roman" w:hAnsi="Times New Roman" w:cs="Times New Roman"/>
          <w:sz w:val="20"/>
          <w:szCs w:val="20"/>
        </w:rPr>
        <w:t xml:space="preserve"> case stud</w:t>
      </w:r>
      <w:r>
        <w:rPr>
          <w:rFonts w:ascii="Times New Roman" w:hAnsi="Times New Roman" w:cs="Times New Roman"/>
          <w:sz w:val="20"/>
          <w:szCs w:val="20"/>
        </w:rPr>
        <w:t>ies have been</w:t>
      </w:r>
      <w:r w:rsidRPr="002E4A7F">
        <w:rPr>
          <w:rFonts w:ascii="Times New Roman" w:hAnsi="Times New Roman" w:cs="Times New Roman"/>
          <w:sz w:val="20"/>
          <w:szCs w:val="20"/>
        </w:rPr>
        <w:t xml:space="preserve"> </w:t>
      </w:r>
      <w:r>
        <w:rPr>
          <w:rFonts w:ascii="Times New Roman" w:hAnsi="Times New Roman" w:cs="Times New Roman"/>
          <w:sz w:val="20"/>
          <w:szCs w:val="20"/>
        </w:rPr>
        <w:t xml:space="preserve">considered </w:t>
      </w:r>
      <w:r w:rsidRPr="002E4A7F">
        <w:rPr>
          <w:rFonts w:ascii="Times New Roman" w:hAnsi="Times New Roman" w:cs="Times New Roman"/>
          <w:sz w:val="20"/>
          <w:szCs w:val="20"/>
        </w:rPr>
        <w:t>using the IDST. These consist of two large European transport networks (road and rail), located in Italy</w:t>
      </w:r>
      <w:r w:rsidR="008B1F55">
        <w:rPr>
          <w:rFonts w:ascii="Times New Roman" w:hAnsi="Times New Roman" w:cs="Times New Roman"/>
          <w:sz w:val="20"/>
          <w:szCs w:val="20"/>
        </w:rPr>
        <w:t xml:space="preserve"> and Croatia respectively. They</w:t>
      </w:r>
      <w:r w:rsidRPr="002E4A7F">
        <w:rPr>
          <w:rFonts w:ascii="Times New Roman" w:hAnsi="Times New Roman" w:cs="Times New Roman"/>
          <w:sz w:val="20"/>
          <w:szCs w:val="20"/>
        </w:rPr>
        <w:t xml:space="preserve"> demonstrate the </w:t>
      </w:r>
      <w:r>
        <w:rPr>
          <w:rFonts w:ascii="Times New Roman" w:hAnsi="Times New Roman" w:cs="Times New Roman"/>
          <w:sz w:val="20"/>
          <w:szCs w:val="20"/>
        </w:rPr>
        <w:t xml:space="preserve">use of the adopted </w:t>
      </w:r>
      <w:r w:rsidRPr="002E4A7F">
        <w:rPr>
          <w:rFonts w:ascii="Times New Roman" w:hAnsi="Times New Roman" w:cs="Times New Roman"/>
          <w:sz w:val="20"/>
          <w:szCs w:val="20"/>
        </w:rPr>
        <w:t xml:space="preserve">generic and overarching INFRARISK methodology </w:t>
      </w:r>
      <w:r>
        <w:rPr>
          <w:rFonts w:ascii="Times New Roman" w:hAnsi="Times New Roman" w:cs="Times New Roman"/>
          <w:sz w:val="20"/>
          <w:szCs w:val="20"/>
        </w:rPr>
        <w:t xml:space="preserve">for the evaluation of </w:t>
      </w:r>
      <w:r w:rsidRPr="002E4A7F">
        <w:rPr>
          <w:rFonts w:ascii="Times New Roman" w:hAnsi="Times New Roman" w:cs="Times New Roman"/>
          <w:sz w:val="20"/>
          <w:szCs w:val="20"/>
        </w:rPr>
        <w:t>risk</w:t>
      </w:r>
      <w:r>
        <w:rPr>
          <w:rFonts w:ascii="Times New Roman" w:hAnsi="Times New Roman" w:cs="Times New Roman"/>
          <w:sz w:val="20"/>
          <w:szCs w:val="20"/>
        </w:rPr>
        <w:t xml:space="preserve">s </w:t>
      </w:r>
      <w:r w:rsidR="00060626">
        <w:rPr>
          <w:rFonts w:ascii="Times New Roman" w:hAnsi="Times New Roman" w:cs="Times New Roman"/>
          <w:sz w:val="20"/>
          <w:szCs w:val="20"/>
        </w:rPr>
        <w:t xml:space="preserve">which are </w:t>
      </w:r>
      <w:r>
        <w:rPr>
          <w:rFonts w:ascii="Times New Roman" w:hAnsi="Times New Roman" w:cs="Times New Roman"/>
          <w:sz w:val="20"/>
          <w:szCs w:val="20"/>
        </w:rPr>
        <w:t>engendered by natural hazards on</w:t>
      </w:r>
      <w:r w:rsidRPr="002E4A7F">
        <w:rPr>
          <w:rFonts w:ascii="Times New Roman" w:hAnsi="Times New Roman" w:cs="Times New Roman"/>
          <w:sz w:val="20"/>
          <w:szCs w:val="20"/>
        </w:rPr>
        <w:t xml:space="preserve"> critical infrastructure</w:t>
      </w:r>
      <w:r w:rsidR="00C65EEA">
        <w:rPr>
          <w:rFonts w:ascii="Times New Roman" w:hAnsi="Times New Roman" w:cs="Times New Roman"/>
          <w:sz w:val="20"/>
          <w:szCs w:val="20"/>
        </w:rPr>
        <w:t>.</w:t>
      </w:r>
      <w:r w:rsidRPr="002E4A7F">
        <w:rPr>
          <w:rFonts w:ascii="Times New Roman" w:hAnsi="Times New Roman" w:cs="Times New Roman"/>
          <w:sz w:val="20"/>
          <w:szCs w:val="20"/>
        </w:rPr>
        <w:t xml:space="preserve"> The IDST </w:t>
      </w:r>
      <w:r>
        <w:rPr>
          <w:rFonts w:ascii="Times New Roman" w:hAnsi="Times New Roman" w:cs="Times New Roman"/>
          <w:sz w:val="20"/>
          <w:szCs w:val="20"/>
        </w:rPr>
        <w:t xml:space="preserve">has </w:t>
      </w:r>
      <w:r w:rsidRPr="002E4A7F">
        <w:rPr>
          <w:rFonts w:ascii="Times New Roman" w:hAnsi="Times New Roman" w:cs="Times New Roman"/>
          <w:sz w:val="20"/>
          <w:szCs w:val="20"/>
        </w:rPr>
        <w:t>option</w:t>
      </w:r>
      <w:r>
        <w:rPr>
          <w:rFonts w:ascii="Times New Roman" w:hAnsi="Times New Roman" w:cs="Times New Roman"/>
          <w:sz w:val="20"/>
          <w:szCs w:val="20"/>
        </w:rPr>
        <w:t>s for</w:t>
      </w:r>
      <w:r w:rsidRPr="002E4A7F">
        <w:rPr>
          <w:rFonts w:ascii="Times New Roman" w:hAnsi="Times New Roman" w:cs="Times New Roman"/>
          <w:sz w:val="20"/>
          <w:szCs w:val="20"/>
        </w:rPr>
        <w:t xml:space="preserve"> apply</w:t>
      </w:r>
      <w:r>
        <w:rPr>
          <w:rFonts w:ascii="Times New Roman" w:hAnsi="Times New Roman" w:cs="Times New Roman"/>
          <w:sz w:val="20"/>
          <w:szCs w:val="20"/>
        </w:rPr>
        <w:t xml:space="preserve">ing the risk </w:t>
      </w:r>
      <w:r w:rsidRPr="002E4A7F">
        <w:rPr>
          <w:rFonts w:ascii="Times New Roman" w:hAnsi="Times New Roman" w:cs="Times New Roman"/>
          <w:sz w:val="20"/>
          <w:szCs w:val="20"/>
        </w:rPr>
        <w:t>methodology to other transpo</w:t>
      </w:r>
      <w:r w:rsidR="00060626">
        <w:rPr>
          <w:rFonts w:ascii="Times New Roman" w:hAnsi="Times New Roman" w:cs="Times New Roman"/>
          <w:sz w:val="20"/>
          <w:szCs w:val="20"/>
        </w:rPr>
        <w:t>rt</w:t>
      </w:r>
      <w:r w:rsidR="00225723">
        <w:rPr>
          <w:rFonts w:ascii="Times New Roman" w:hAnsi="Times New Roman" w:cs="Times New Roman"/>
          <w:sz w:val="20"/>
          <w:szCs w:val="20"/>
        </w:rPr>
        <w:t xml:space="preserve"> networks of interest, provided that</w:t>
      </w:r>
      <w:r w:rsidRPr="002E4A7F">
        <w:rPr>
          <w:rFonts w:ascii="Times New Roman" w:hAnsi="Times New Roman" w:cs="Times New Roman"/>
          <w:sz w:val="20"/>
          <w:szCs w:val="20"/>
        </w:rPr>
        <w:t xml:space="preserve"> the necessary </w:t>
      </w:r>
      <w:r w:rsidR="00060626">
        <w:rPr>
          <w:rFonts w:ascii="Times New Roman" w:hAnsi="Times New Roman" w:cs="Times New Roman"/>
          <w:sz w:val="20"/>
          <w:szCs w:val="20"/>
        </w:rPr>
        <w:t xml:space="preserve">input </w:t>
      </w:r>
      <w:r w:rsidRPr="002E4A7F">
        <w:rPr>
          <w:rFonts w:ascii="Times New Roman" w:hAnsi="Times New Roman" w:cs="Times New Roman"/>
          <w:sz w:val="20"/>
          <w:szCs w:val="20"/>
        </w:rPr>
        <w:t xml:space="preserve">data is uploaded </w:t>
      </w:r>
      <w:r>
        <w:rPr>
          <w:rFonts w:ascii="Times New Roman" w:hAnsi="Times New Roman" w:cs="Times New Roman"/>
          <w:sz w:val="20"/>
          <w:szCs w:val="20"/>
        </w:rPr>
        <w:t>in</w:t>
      </w:r>
      <w:r w:rsidRPr="002E4A7F">
        <w:rPr>
          <w:rFonts w:ascii="Times New Roman" w:hAnsi="Times New Roman" w:cs="Times New Roman"/>
          <w:sz w:val="20"/>
          <w:szCs w:val="20"/>
        </w:rPr>
        <w:t>to the system. The development of the IDST require</w:t>
      </w:r>
      <w:r>
        <w:rPr>
          <w:rFonts w:ascii="Times New Roman" w:hAnsi="Times New Roman" w:cs="Times New Roman"/>
          <w:sz w:val="20"/>
          <w:szCs w:val="20"/>
        </w:rPr>
        <w:t>d</w:t>
      </w:r>
      <w:r w:rsidRPr="002E4A7F">
        <w:rPr>
          <w:rFonts w:ascii="Times New Roman" w:hAnsi="Times New Roman" w:cs="Times New Roman"/>
          <w:sz w:val="20"/>
          <w:szCs w:val="20"/>
        </w:rPr>
        <w:t xml:space="preserve"> the deployment of phase driven software development tasks using an agile approach. </w:t>
      </w:r>
      <w:r>
        <w:rPr>
          <w:rFonts w:ascii="Times New Roman" w:hAnsi="Times New Roman" w:cs="Times New Roman"/>
          <w:sz w:val="20"/>
          <w:szCs w:val="20"/>
        </w:rPr>
        <w:t xml:space="preserve"> </w:t>
      </w:r>
      <w:r w:rsidR="007E6144">
        <w:rPr>
          <w:rFonts w:ascii="Times New Roman" w:hAnsi="Times New Roman" w:cs="Times New Roman"/>
          <w:sz w:val="20"/>
          <w:szCs w:val="20"/>
        </w:rPr>
        <w:t>The first version [2]</w:t>
      </w:r>
      <w:r w:rsidRPr="002E4A7F">
        <w:rPr>
          <w:rFonts w:ascii="Times New Roman" w:hAnsi="Times New Roman" w:cs="Times New Roman"/>
          <w:sz w:val="20"/>
          <w:szCs w:val="20"/>
        </w:rPr>
        <w:t xml:space="preserve"> of the IDST specification </w:t>
      </w:r>
      <w:r>
        <w:rPr>
          <w:rFonts w:ascii="Times New Roman" w:hAnsi="Times New Roman" w:cs="Times New Roman"/>
          <w:sz w:val="20"/>
          <w:szCs w:val="20"/>
        </w:rPr>
        <w:t xml:space="preserve">was initially </w:t>
      </w:r>
      <w:r w:rsidRPr="002E4A7F">
        <w:rPr>
          <w:rFonts w:ascii="Times New Roman" w:hAnsi="Times New Roman" w:cs="Times New Roman"/>
          <w:sz w:val="20"/>
          <w:szCs w:val="20"/>
        </w:rPr>
        <w:t xml:space="preserve">developed through consultation with </w:t>
      </w:r>
      <w:r>
        <w:rPr>
          <w:rFonts w:ascii="Times New Roman" w:hAnsi="Times New Roman" w:cs="Times New Roman"/>
          <w:sz w:val="20"/>
          <w:szCs w:val="20"/>
        </w:rPr>
        <w:t xml:space="preserve">a large number of </w:t>
      </w:r>
      <w:r w:rsidRPr="002E4A7F">
        <w:rPr>
          <w:rFonts w:ascii="Times New Roman" w:hAnsi="Times New Roman" w:cs="Times New Roman"/>
          <w:sz w:val="20"/>
          <w:szCs w:val="20"/>
        </w:rPr>
        <w:t xml:space="preserve">domain knowledge experts and end-users, both within the project </w:t>
      </w:r>
      <w:r>
        <w:rPr>
          <w:rFonts w:ascii="Times New Roman" w:hAnsi="Times New Roman" w:cs="Times New Roman"/>
          <w:sz w:val="20"/>
          <w:szCs w:val="20"/>
        </w:rPr>
        <w:t>partnership</w:t>
      </w:r>
      <w:r w:rsidRPr="002E4A7F">
        <w:rPr>
          <w:rFonts w:ascii="Times New Roman" w:hAnsi="Times New Roman" w:cs="Times New Roman"/>
          <w:sz w:val="20"/>
          <w:szCs w:val="20"/>
        </w:rPr>
        <w:t xml:space="preserve"> and external</w:t>
      </w:r>
      <w:r>
        <w:rPr>
          <w:rFonts w:ascii="Times New Roman" w:hAnsi="Times New Roman" w:cs="Times New Roman"/>
          <w:sz w:val="20"/>
          <w:szCs w:val="20"/>
        </w:rPr>
        <w:t>ly. T</w:t>
      </w:r>
      <w:r w:rsidRPr="002E4A7F">
        <w:rPr>
          <w:rFonts w:ascii="Times New Roman" w:hAnsi="Times New Roman" w:cs="Times New Roman"/>
          <w:sz w:val="20"/>
          <w:szCs w:val="20"/>
        </w:rPr>
        <w:t>he IDST specification v1.0 was focused on capturing the functionality requirements for the IDST decision-support system. This exercise has led to the development o</w:t>
      </w:r>
      <w:r w:rsidR="007E6144">
        <w:rPr>
          <w:rFonts w:ascii="Times New Roman" w:hAnsi="Times New Roman" w:cs="Times New Roman"/>
          <w:sz w:val="20"/>
          <w:szCs w:val="20"/>
        </w:rPr>
        <w:t>f the IDST System [3]</w:t>
      </w:r>
      <w:r w:rsidR="00B51E4F">
        <w:rPr>
          <w:rFonts w:ascii="Times New Roman" w:hAnsi="Times New Roman" w:cs="Times New Roman"/>
          <w:sz w:val="20"/>
          <w:szCs w:val="20"/>
        </w:rPr>
        <w:t xml:space="preserve"> </w:t>
      </w:r>
      <w:r w:rsidRPr="002E4A7F">
        <w:rPr>
          <w:rFonts w:ascii="Times New Roman" w:hAnsi="Times New Roman" w:cs="Times New Roman"/>
          <w:sz w:val="20"/>
          <w:szCs w:val="20"/>
        </w:rPr>
        <w:t xml:space="preserve">with its basic functionalities. Version 2.0 of the IDST </w:t>
      </w:r>
      <w:r>
        <w:rPr>
          <w:rFonts w:ascii="Times New Roman" w:hAnsi="Times New Roman" w:cs="Times New Roman"/>
          <w:sz w:val="20"/>
          <w:szCs w:val="20"/>
        </w:rPr>
        <w:t xml:space="preserve">was then </w:t>
      </w:r>
      <w:r w:rsidRPr="002E4A7F">
        <w:rPr>
          <w:rFonts w:ascii="Times New Roman" w:hAnsi="Times New Roman" w:cs="Times New Roman"/>
          <w:sz w:val="20"/>
          <w:szCs w:val="20"/>
        </w:rPr>
        <w:t xml:space="preserve">extended to include </w:t>
      </w:r>
      <w:r>
        <w:rPr>
          <w:rFonts w:ascii="Times New Roman" w:hAnsi="Times New Roman" w:cs="Times New Roman"/>
          <w:sz w:val="20"/>
          <w:szCs w:val="20"/>
        </w:rPr>
        <w:t>more advanced functionalities</w:t>
      </w:r>
      <w:r w:rsidRPr="002E4A7F">
        <w:rPr>
          <w:rFonts w:ascii="Times New Roman" w:hAnsi="Times New Roman" w:cs="Times New Roman"/>
          <w:sz w:val="20"/>
          <w:szCs w:val="20"/>
        </w:rPr>
        <w:t xml:space="preserve"> of </w:t>
      </w:r>
      <w:r>
        <w:rPr>
          <w:rFonts w:ascii="Times New Roman" w:hAnsi="Times New Roman" w:cs="Times New Roman"/>
          <w:sz w:val="20"/>
          <w:szCs w:val="20"/>
        </w:rPr>
        <w:t xml:space="preserve">the </w:t>
      </w:r>
      <w:r w:rsidRPr="002E4A7F">
        <w:rPr>
          <w:rFonts w:ascii="Times New Roman" w:hAnsi="Times New Roman" w:cs="Times New Roman"/>
          <w:sz w:val="20"/>
          <w:szCs w:val="20"/>
        </w:rPr>
        <w:t>IDST</w:t>
      </w:r>
      <w:r w:rsidR="007007A0">
        <w:rPr>
          <w:rFonts w:ascii="Times New Roman" w:hAnsi="Times New Roman" w:cs="Times New Roman"/>
          <w:sz w:val="20"/>
          <w:szCs w:val="20"/>
        </w:rPr>
        <w:t xml:space="preserve"> [4]</w:t>
      </w:r>
      <w:r w:rsidRPr="002E4A7F">
        <w:rPr>
          <w:rFonts w:ascii="Times New Roman" w:hAnsi="Times New Roman" w:cs="Times New Roman"/>
          <w:sz w:val="20"/>
          <w:szCs w:val="20"/>
        </w:rPr>
        <w:t xml:space="preserve">. </w:t>
      </w:r>
      <w:r>
        <w:rPr>
          <w:rFonts w:ascii="Times New Roman" w:hAnsi="Times New Roman" w:cs="Times New Roman"/>
          <w:sz w:val="20"/>
          <w:szCs w:val="20"/>
        </w:rPr>
        <w:t xml:space="preserve">Specifically, it includes </w:t>
      </w:r>
      <w:r w:rsidR="00060626">
        <w:rPr>
          <w:rFonts w:ascii="Times New Roman" w:hAnsi="Times New Roman" w:cs="Times New Roman"/>
          <w:sz w:val="20"/>
          <w:szCs w:val="20"/>
        </w:rPr>
        <w:t xml:space="preserve">the following </w:t>
      </w:r>
      <w:r>
        <w:rPr>
          <w:rFonts w:ascii="Times New Roman" w:hAnsi="Times New Roman" w:cs="Times New Roman"/>
          <w:sz w:val="20"/>
          <w:szCs w:val="20"/>
        </w:rPr>
        <w:t>modules</w:t>
      </w:r>
      <w:r w:rsidRPr="002E4A7F">
        <w:rPr>
          <w:rFonts w:ascii="Times New Roman" w:hAnsi="Times New Roman" w:cs="Times New Roman"/>
          <w:sz w:val="20"/>
          <w:szCs w:val="20"/>
        </w:rPr>
        <w:t xml:space="preserve">: </w:t>
      </w:r>
    </w:p>
    <w:p w14:paraId="46449429" w14:textId="7997F238" w:rsidR="00126E4F" w:rsidRPr="00126E4F" w:rsidRDefault="002E4A7F" w:rsidP="00126E4F">
      <w:pPr>
        <w:pStyle w:val="Normalparagraphstyle"/>
        <w:numPr>
          <w:ilvl w:val="0"/>
          <w:numId w:val="21"/>
        </w:numPr>
        <w:rPr>
          <w:rFonts w:ascii="Times New Roman" w:hAnsi="Times New Roman" w:cs="Times New Roman"/>
          <w:sz w:val="20"/>
          <w:szCs w:val="20"/>
        </w:rPr>
      </w:pPr>
      <w:r w:rsidRPr="00126E4F">
        <w:rPr>
          <w:rFonts w:ascii="Times New Roman" w:hAnsi="Times New Roman" w:cs="Times New Roman"/>
          <w:sz w:val="20"/>
          <w:szCs w:val="20"/>
        </w:rPr>
        <w:t xml:space="preserve">Web Framework technologies; </w:t>
      </w:r>
    </w:p>
    <w:p w14:paraId="078B1ACA" w14:textId="264B1BFD" w:rsidR="00126E4F" w:rsidRPr="00126E4F" w:rsidRDefault="002E4A7F" w:rsidP="00126E4F">
      <w:pPr>
        <w:pStyle w:val="Normalparagraphstyle"/>
        <w:numPr>
          <w:ilvl w:val="0"/>
          <w:numId w:val="21"/>
        </w:numPr>
        <w:rPr>
          <w:rFonts w:ascii="Times New Roman" w:hAnsi="Times New Roman" w:cs="Times New Roman"/>
          <w:sz w:val="20"/>
          <w:szCs w:val="20"/>
        </w:rPr>
      </w:pPr>
      <w:r w:rsidRPr="00126E4F">
        <w:rPr>
          <w:rFonts w:ascii="Times New Roman" w:hAnsi="Times New Roman" w:cs="Times New Roman"/>
          <w:sz w:val="20"/>
          <w:szCs w:val="20"/>
        </w:rPr>
        <w:t xml:space="preserve">Database engines; </w:t>
      </w:r>
    </w:p>
    <w:p w14:paraId="5ECF8DEC" w14:textId="4FCAF73E" w:rsidR="00126E4F" w:rsidRPr="00126E4F" w:rsidRDefault="002E4A7F" w:rsidP="00126E4F">
      <w:pPr>
        <w:pStyle w:val="Normalparagraphstyle"/>
        <w:numPr>
          <w:ilvl w:val="0"/>
          <w:numId w:val="21"/>
        </w:numPr>
        <w:rPr>
          <w:rFonts w:ascii="Times New Roman" w:hAnsi="Times New Roman" w:cs="Times New Roman"/>
          <w:sz w:val="20"/>
          <w:szCs w:val="20"/>
        </w:rPr>
      </w:pPr>
      <w:r w:rsidRPr="00126E4F">
        <w:rPr>
          <w:rFonts w:ascii="Times New Roman" w:hAnsi="Times New Roman" w:cs="Times New Roman"/>
          <w:sz w:val="20"/>
          <w:szCs w:val="20"/>
        </w:rPr>
        <w:t>User authentication and authorization, management functionalities;</w:t>
      </w:r>
    </w:p>
    <w:p w14:paraId="026C8E40" w14:textId="7227F843" w:rsidR="00126E4F" w:rsidRPr="00126E4F" w:rsidRDefault="002E4A7F" w:rsidP="00126E4F">
      <w:pPr>
        <w:pStyle w:val="Normalparagraphstyle"/>
        <w:numPr>
          <w:ilvl w:val="0"/>
          <w:numId w:val="21"/>
        </w:numPr>
        <w:rPr>
          <w:rFonts w:ascii="Times New Roman" w:hAnsi="Times New Roman" w:cs="Times New Roman"/>
          <w:sz w:val="20"/>
          <w:szCs w:val="20"/>
        </w:rPr>
      </w:pPr>
      <w:r w:rsidRPr="00126E4F">
        <w:rPr>
          <w:rFonts w:ascii="Times New Roman" w:hAnsi="Times New Roman" w:cs="Times New Roman"/>
          <w:sz w:val="20"/>
          <w:szCs w:val="20"/>
        </w:rPr>
        <w:t xml:space="preserve">GIS Map Engine; and </w:t>
      </w:r>
    </w:p>
    <w:p w14:paraId="40F2BE5D" w14:textId="64315BF5" w:rsidR="00126E4F" w:rsidRDefault="002E4A7F" w:rsidP="00126E4F">
      <w:pPr>
        <w:pStyle w:val="Normalparagraphstyle"/>
        <w:numPr>
          <w:ilvl w:val="0"/>
          <w:numId w:val="21"/>
        </w:numPr>
        <w:rPr>
          <w:rFonts w:ascii="Times New Roman" w:hAnsi="Times New Roman" w:cs="Times New Roman"/>
          <w:sz w:val="20"/>
          <w:szCs w:val="20"/>
        </w:rPr>
      </w:pPr>
      <w:r w:rsidRPr="00126E4F">
        <w:rPr>
          <w:rFonts w:ascii="Times New Roman" w:hAnsi="Times New Roman" w:cs="Times New Roman"/>
          <w:sz w:val="20"/>
          <w:szCs w:val="20"/>
        </w:rPr>
        <w:t>Visualization and Reporting tools</w:t>
      </w:r>
      <w:r w:rsidRPr="002E4A7F">
        <w:rPr>
          <w:rFonts w:ascii="Times New Roman" w:hAnsi="Times New Roman" w:cs="Times New Roman"/>
          <w:sz w:val="20"/>
          <w:szCs w:val="20"/>
        </w:rPr>
        <w:t xml:space="preserve">. </w:t>
      </w:r>
    </w:p>
    <w:p w14:paraId="41B45CE3" w14:textId="3BCC91AE" w:rsidR="002E4A7F" w:rsidRPr="002E4A7F" w:rsidRDefault="002E4A7F" w:rsidP="00126E4F">
      <w:pPr>
        <w:pStyle w:val="Normalparagraphstyle"/>
        <w:rPr>
          <w:rFonts w:ascii="Times New Roman" w:hAnsi="Times New Roman" w:cs="Times New Roman"/>
          <w:sz w:val="20"/>
          <w:szCs w:val="20"/>
        </w:rPr>
      </w:pPr>
      <w:r>
        <w:rPr>
          <w:rFonts w:ascii="Times New Roman" w:hAnsi="Times New Roman" w:cs="Times New Roman"/>
          <w:sz w:val="20"/>
          <w:szCs w:val="20"/>
        </w:rPr>
        <w:t>T</w:t>
      </w:r>
      <w:r w:rsidRPr="002E4A7F">
        <w:rPr>
          <w:rFonts w:ascii="Times New Roman" w:hAnsi="Times New Roman" w:cs="Times New Roman"/>
          <w:sz w:val="20"/>
          <w:szCs w:val="20"/>
        </w:rPr>
        <w:t xml:space="preserve">he following sections, </w:t>
      </w:r>
      <w:r w:rsidR="008B1F55">
        <w:rPr>
          <w:rFonts w:ascii="Times New Roman" w:hAnsi="Times New Roman" w:cs="Times New Roman"/>
          <w:sz w:val="20"/>
          <w:szCs w:val="20"/>
        </w:rPr>
        <w:t>highlight</w:t>
      </w:r>
      <w:r>
        <w:rPr>
          <w:rFonts w:ascii="Times New Roman" w:hAnsi="Times New Roman" w:cs="Times New Roman"/>
          <w:sz w:val="20"/>
          <w:szCs w:val="20"/>
        </w:rPr>
        <w:t xml:space="preserve"> </w:t>
      </w:r>
      <w:r w:rsidRPr="002E4A7F">
        <w:rPr>
          <w:rFonts w:ascii="Times New Roman" w:hAnsi="Times New Roman" w:cs="Times New Roman"/>
          <w:sz w:val="20"/>
          <w:szCs w:val="20"/>
        </w:rPr>
        <w:t xml:space="preserve">the </w:t>
      </w:r>
      <w:r w:rsidR="008B1F55">
        <w:rPr>
          <w:rFonts w:ascii="Times New Roman" w:hAnsi="Times New Roman" w:cs="Times New Roman"/>
          <w:sz w:val="20"/>
          <w:szCs w:val="20"/>
        </w:rPr>
        <w:t xml:space="preserve">agile IDST </w:t>
      </w:r>
      <w:r>
        <w:rPr>
          <w:rFonts w:ascii="Times New Roman" w:hAnsi="Times New Roman" w:cs="Times New Roman"/>
          <w:sz w:val="20"/>
          <w:szCs w:val="20"/>
        </w:rPr>
        <w:t xml:space="preserve">architecture design and </w:t>
      </w:r>
      <w:r w:rsidRPr="002E4A7F">
        <w:rPr>
          <w:rFonts w:ascii="Times New Roman" w:hAnsi="Times New Roman" w:cs="Times New Roman"/>
          <w:sz w:val="20"/>
          <w:szCs w:val="20"/>
        </w:rPr>
        <w:t xml:space="preserve">implementation of IDST </w:t>
      </w:r>
      <w:r w:rsidR="007E6144">
        <w:rPr>
          <w:rFonts w:ascii="Times New Roman" w:hAnsi="Times New Roman" w:cs="Times New Roman"/>
          <w:sz w:val="20"/>
          <w:szCs w:val="20"/>
        </w:rPr>
        <w:t>v2.0 [1]</w:t>
      </w:r>
      <w:r>
        <w:rPr>
          <w:rFonts w:ascii="Times New Roman" w:hAnsi="Times New Roman" w:cs="Times New Roman"/>
          <w:sz w:val="20"/>
          <w:szCs w:val="20"/>
        </w:rPr>
        <w:t>.</w:t>
      </w:r>
    </w:p>
    <w:p w14:paraId="3F5C3B65" w14:textId="77777777" w:rsidR="009A651F" w:rsidRDefault="002E4A7F" w:rsidP="009A651F">
      <w:pPr>
        <w:pStyle w:val="heading1"/>
        <w:numPr>
          <w:ilvl w:val="0"/>
          <w:numId w:val="4"/>
        </w:numPr>
      </w:pPr>
      <w:r>
        <w:t xml:space="preserve">Agile IDST </w:t>
      </w:r>
      <w:r w:rsidR="00B13EFA">
        <w:t xml:space="preserve">System </w:t>
      </w:r>
      <w:r>
        <w:t>Design</w:t>
      </w:r>
      <w:r w:rsidR="00DE7540">
        <w:t xml:space="preserve"> and Development</w:t>
      </w:r>
    </w:p>
    <w:p w14:paraId="505F5DBE" w14:textId="262034EF" w:rsidR="002E4A7F" w:rsidRPr="002E4A7F" w:rsidRDefault="002E4A7F" w:rsidP="002E4A7F">
      <w:pPr>
        <w:spacing w:before="120" w:after="120"/>
      </w:pPr>
      <w:r w:rsidRPr="002E4A7F">
        <w:t xml:space="preserve">The IDST </w:t>
      </w:r>
      <w:r>
        <w:t xml:space="preserve">has been specified to </w:t>
      </w:r>
      <w:r w:rsidRPr="002E4A7F">
        <w:t xml:space="preserve">integrate tools, databases and user interfaces </w:t>
      </w:r>
      <w:r>
        <w:t>in consultation with end users and knowledge experts in crisis management</w:t>
      </w:r>
      <w:r w:rsidR="00060626">
        <w:t xml:space="preserve"> under</w:t>
      </w:r>
      <w:r w:rsidR="003D6D61">
        <w:t xml:space="preserve"> INFRARISK</w:t>
      </w:r>
      <w:r w:rsidRPr="002E4A7F">
        <w:t xml:space="preserve">.  </w:t>
      </w:r>
      <w:r>
        <w:t xml:space="preserve">It </w:t>
      </w:r>
      <w:r w:rsidRPr="002E4A7F">
        <w:t xml:space="preserve">is </w:t>
      </w:r>
      <w:r>
        <w:t xml:space="preserve">primarily </w:t>
      </w:r>
      <w:r w:rsidRPr="002E4A7F">
        <w:t>a web-based system (or portal)</w:t>
      </w:r>
      <w:r>
        <w:t xml:space="preserve"> which is </w:t>
      </w:r>
      <w:r w:rsidR="00C65EEA">
        <w:t xml:space="preserve">user-accessible via a web browser </w:t>
      </w:r>
      <w:r w:rsidRPr="002E4A7F">
        <w:t xml:space="preserve">on multiple client platforms (laptop, tablet, etc.) and operating systems (Windows, Linux, etc.). For the IDST v2.0, commonly used browsers </w:t>
      </w:r>
      <w:r w:rsidR="00C65EEA">
        <w:t xml:space="preserve">are </w:t>
      </w:r>
      <w:r>
        <w:t>supported</w:t>
      </w:r>
      <w:r w:rsidRPr="002E4A7F">
        <w:t xml:space="preserve"> (e.g. Internet Explorer, Firefox), and run </w:t>
      </w:r>
      <w:r>
        <w:t xml:space="preserve">on Windows or </w:t>
      </w:r>
      <w:r w:rsidRPr="002E4A7F">
        <w:t>Linux operation system</w:t>
      </w:r>
      <w:r>
        <w:t>s</w:t>
      </w:r>
      <w:r w:rsidRPr="002E4A7F">
        <w:t xml:space="preserve">. The design of the graphical user interface (GUI) </w:t>
      </w:r>
      <w:r>
        <w:t>took</w:t>
      </w:r>
      <w:r w:rsidRPr="002E4A7F">
        <w:t xml:space="preserve"> into account multiple platforms, by exploiting the latest platform independent user interface (UI) toolkits.</w:t>
      </w:r>
    </w:p>
    <w:p w14:paraId="5FD99327" w14:textId="14E8A81B" w:rsidR="002B3B17" w:rsidRPr="002B3B17" w:rsidRDefault="002E4A7F" w:rsidP="00060626">
      <w:pPr>
        <w:spacing w:before="120" w:after="120"/>
      </w:pPr>
      <w:r w:rsidRPr="002E4A7F">
        <w:t xml:space="preserve">The IDST software system </w:t>
      </w:r>
      <w:r>
        <w:t xml:space="preserve">is </w:t>
      </w:r>
      <w:r w:rsidRPr="002E4A7F">
        <w:t xml:space="preserve">deployed on a central server, which </w:t>
      </w:r>
      <w:r>
        <w:t>has</w:t>
      </w:r>
      <w:r w:rsidRPr="002E4A7F">
        <w:t xml:space="preserve"> secure remote access available for </w:t>
      </w:r>
      <w:r>
        <w:t xml:space="preserve">registered users </w:t>
      </w:r>
      <w:r w:rsidRPr="002E4A7F">
        <w:t xml:space="preserve">and selected stakeholders. Access </w:t>
      </w:r>
      <w:r>
        <w:t xml:space="preserve">is enabled </w:t>
      </w:r>
      <w:r w:rsidRPr="002E4A7F">
        <w:t>via HTTPS and, for the main IDST pages</w:t>
      </w:r>
      <w:r w:rsidR="00C65EEA">
        <w:t xml:space="preserve">, </w:t>
      </w:r>
      <w:r w:rsidRPr="002E4A7F">
        <w:t xml:space="preserve">the user will be required to be logged in using their </w:t>
      </w:r>
      <w:r w:rsidR="00C65EEA">
        <w:t xml:space="preserve">existing </w:t>
      </w:r>
      <w:r w:rsidRPr="002E4A7F">
        <w:t xml:space="preserve">user account information. The initial welcome page of the IDST </w:t>
      </w:r>
      <w:r>
        <w:t xml:space="preserve">is </w:t>
      </w:r>
      <w:r w:rsidRPr="002E4A7F">
        <w:t>available to all users, therefore providing some background information ab</w:t>
      </w:r>
      <w:r w:rsidR="00060626">
        <w:t xml:space="preserve">out INFRARISK and the IDST while </w:t>
      </w:r>
      <w:r w:rsidRPr="002E4A7F">
        <w:t>providing links to the secure parts of the portal.</w:t>
      </w:r>
      <w:r w:rsidR="00060626">
        <w:t xml:space="preserve"> </w:t>
      </w:r>
      <w:r w:rsidRPr="002E4A7F">
        <w:t xml:space="preserve">The IDST system </w:t>
      </w:r>
      <w:r>
        <w:t xml:space="preserve">is </w:t>
      </w:r>
      <w:r w:rsidRPr="002E4A7F">
        <w:t xml:space="preserve">modular, i.e. based on multiple </w:t>
      </w:r>
      <w:r>
        <w:t xml:space="preserve">autonomous </w:t>
      </w:r>
      <w:r w:rsidR="00C65EEA">
        <w:t xml:space="preserve">and interacting </w:t>
      </w:r>
      <w:r w:rsidR="00060626">
        <w:t xml:space="preserve">components. </w:t>
      </w:r>
      <w:r w:rsidR="00C65EEA">
        <w:t xml:space="preserve">These </w:t>
      </w:r>
      <w:r w:rsidRPr="002E4A7F">
        <w:t>include:</w:t>
      </w:r>
    </w:p>
    <w:p w14:paraId="164AF006" w14:textId="38EF205A"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Database (local or remote</w:t>
      </w:r>
      <w:r w:rsidR="000B05DC">
        <w:rPr>
          <w:rFonts w:ascii="Times New Roman" w:hAnsi="Times New Roman" w:cs="Times New Roman"/>
          <w:sz w:val="20"/>
          <w:szCs w:val="20"/>
        </w:rPr>
        <w:t xml:space="preserve">, PostgreSQL, with </w:t>
      </w:r>
      <w:proofErr w:type="spellStart"/>
      <w:r w:rsidR="000B05DC">
        <w:rPr>
          <w:rFonts w:ascii="Times New Roman" w:hAnsi="Times New Roman" w:cs="Times New Roman"/>
          <w:sz w:val="20"/>
          <w:szCs w:val="20"/>
        </w:rPr>
        <w:t>PostGIS</w:t>
      </w:r>
      <w:proofErr w:type="spellEnd"/>
      <w:r w:rsidR="000B05DC">
        <w:rPr>
          <w:rFonts w:ascii="Times New Roman" w:hAnsi="Times New Roman" w:cs="Times New Roman"/>
          <w:sz w:val="20"/>
          <w:szCs w:val="20"/>
        </w:rPr>
        <w:t xml:space="preserve"> modules</w:t>
      </w:r>
      <w:r w:rsidRPr="002E4A7F">
        <w:rPr>
          <w:rFonts w:ascii="Times New Roman" w:hAnsi="Times New Roman" w:cs="Times New Roman"/>
          <w:sz w:val="20"/>
          <w:szCs w:val="20"/>
        </w:rPr>
        <w:t>)</w:t>
      </w:r>
    </w:p>
    <w:p w14:paraId="53E6E4B5" w14:textId="1EB84860"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Flat files (e.g. shape files</w:t>
      </w:r>
      <w:r w:rsidR="002B3B17">
        <w:rPr>
          <w:rFonts w:ascii="Times New Roman" w:hAnsi="Times New Roman" w:cs="Times New Roman"/>
          <w:sz w:val="20"/>
          <w:szCs w:val="20"/>
        </w:rPr>
        <w:t xml:space="preserve">, </w:t>
      </w:r>
      <w:proofErr w:type="spellStart"/>
      <w:r w:rsidR="002B3B17">
        <w:rPr>
          <w:rFonts w:ascii="Times New Roman" w:hAnsi="Times New Roman" w:cs="Times New Roman"/>
          <w:sz w:val="20"/>
          <w:szCs w:val="20"/>
        </w:rPr>
        <w:t>OpenStreetMap</w:t>
      </w:r>
      <w:proofErr w:type="spellEnd"/>
      <w:r w:rsidR="002B3B17">
        <w:rPr>
          <w:rFonts w:ascii="Times New Roman" w:hAnsi="Times New Roman" w:cs="Times New Roman"/>
          <w:sz w:val="20"/>
          <w:szCs w:val="20"/>
        </w:rPr>
        <w:t xml:space="preserve"> data</w:t>
      </w:r>
      <w:r w:rsidRPr="002E4A7F">
        <w:rPr>
          <w:rFonts w:ascii="Times New Roman" w:hAnsi="Times New Roman" w:cs="Times New Roman"/>
          <w:sz w:val="20"/>
          <w:szCs w:val="20"/>
        </w:rPr>
        <w:t>)</w:t>
      </w:r>
    </w:p>
    <w:p w14:paraId="5BE0CC05" w14:textId="3B1EF3F0"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Software module (e.g. Python code)</w:t>
      </w:r>
    </w:p>
    <w:p w14:paraId="59FFB49B" w14:textId="77777777"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Application (e.g. a command line executable)</w:t>
      </w:r>
    </w:p>
    <w:p w14:paraId="41C08184" w14:textId="77777777"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Remote web service</w:t>
      </w:r>
    </w:p>
    <w:p w14:paraId="11356B50" w14:textId="49405FF0" w:rsidR="002E4A7F" w:rsidRPr="002E4A7F" w:rsidRDefault="002E4A7F" w:rsidP="00960D14">
      <w:pPr>
        <w:pStyle w:val="ListParagraph"/>
        <w:numPr>
          <w:ilvl w:val="0"/>
          <w:numId w:val="15"/>
        </w:numPr>
        <w:spacing w:before="120" w:after="120"/>
        <w:rPr>
          <w:rFonts w:ascii="Times New Roman" w:hAnsi="Times New Roman" w:cs="Times New Roman"/>
          <w:sz w:val="20"/>
          <w:szCs w:val="20"/>
        </w:rPr>
      </w:pPr>
      <w:r w:rsidRPr="002E4A7F">
        <w:rPr>
          <w:rFonts w:ascii="Times New Roman" w:hAnsi="Times New Roman" w:cs="Times New Roman"/>
          <w:sz w:val="20"/>
          <w:szCs w:val="20"/>
        </w:rPr>
        <w:t>Client-side tool (e.g. JavaScript</w:t>
      </w:r>
      <w:r w:rsidR="002B3B17">
        <w:rPr>
          <w:rFonts w:ascii="Times New Roman" w:hAnsi="Times New Roman" w:cs="Times New Roman"/>
          <w:sz w:val="20"/>
          <w:szCs w:val="20"/>
        </w:rPr>
        <w:t xml:space="preserve"> jQuery, Bootstrap</w:t>
      </w:r>
      <w:r w:rsidRPr="002E4A7F">
        <w:rPr>
          <w:rFonts w:ascii="Times New Roman" w:hAnsi="Times New Roman" w:cs="Times New Roman"/>
          <w:sz w:val="20"/>
          <w:szCs w:val="20"/>
        </w:rPr>
        <w:t>)</w:t>
      </w:r>
    </w:p>
    <w:p w14:paraId="4962A50B" w14:textId="1E471562" w:rsidR="002E4A7F" w:rsidRPr="002E4A7F" w:rsidRDefault="002E4A7F" w:rsidP="002E4A7F">
      <w:pPr>
        <w:pStyle w:val="Normalparagraphstyle"/>
        <w:rPr>
          <w:rFonts w:ascii="Times New Roman" w:hAnsi="Times New Roman" w:cs="Times New Roman"/>
          <w:sz w:val="20"/>
          <w:szCs w:val="20"/>
        </w:rPr>
      </w:pPr>
      <w:r w:rsidRPr="002E4A7F">
        <w:rPr>
          <w:rFonts w:ascii="Times New Roman" w:hAnsi="Times New Roman" w:cs="Times New Roman"/>
          <w:sz w:val="20"/>
          <w:szCs w:val="20"/>
        </w:rPr>
        <w:t>The I</w:t>
      </w:r>
      <w:r>
        <w:rPr>
          <w:rFonts w:ascii="Times New Roman" w:hAnsi="Times New Roman" w:cs="Times New Roman"/>
          <w:sz w:val="20"/>
          <w:szCs w:val="20"/>
        </w:rPr>
        <w:t xml:space="preserve">DST </w:t>
      </w:r>
      <w:r w:rsidRPr="002E4A7F">
        <w:rPr>
          <w:rFonts w:ascii="Times New Roman" w:hAnsi="Times New Roman" w:cs="Times New Roman"/>
          <w:sz w:val="20"/>
          <w:szCs w:val="20"/>
        </w:rPr>
        <w:t>use</w:t>
      </w:r>
      <w:r w:rsidR="00060626">
        <w:rPr>
          <w:rFonts w:ascii="Times New Roman" w:hAnsi="Times New Roman" w:cs="Times New Roman"/>
          <w:sz w:val="20"/>
          <w:szCs w:val="20"/>
        </w:rPr>
        <w:t>s</w:t>
      </w:r>
      <w:r w:rsidR="00C65EEA">
        <w:rPr>
          <w:rFonts w:ascii="Times New Roman" w:hAnsi="Times New Roman" w:cs="Times New Roman"/>
          <w:sz w:val="20"/>
          <w:szCs w:val="20"/>
        </w:rPr>
        <w:t xml:space="preserve"> the Django</w:t>
      </w:r>
      <w:r w:rsidR="00060626">
        <w:rPr>
          <w:rFonts w:ascii="Times New Roman" w:hAnsi="Times New Roman" w:cs="Times New Roman"/>
          <w:sz w:val="20"/>
          <w:szCs w:val="20"/>
        </w:rPr>
        <w:t xml:space="preserve"> framework which </w:t>
      </w:r>
      <w:r w:rsidRPr="002E4A7F">
        <w:rPr>
          <w:rFonts w:ascii="Times New Roman" w:hAnsi="Times New Roman" w:cs="Times New Roman"/>
          <w:sz w:val="20"/>
          <w:szCs w:val="20"/>
        </w:rPr>
        <w:t xml:space="preserve">allows multiple components to be incorporated easily, </w:t>
      </w:r>
      <w:r>
        <w:rPr>
          <w:rFonts w:ascii="Times New Roman" w:hAnsi="Times New Roman" w:cs="Times New Roman"/>
          <w:sz w:val="20"/>
          <w:szCs w:val="20"/>
        </w:rPr>
        <w:t>while we integrated</w:t>
      </w:r>
      <w:r w:rsidRPr="002E4A7F">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2E4A7F">
        <w:rPr>
          <w:rFonts w:ascii="Times New Roman" w:hAnsi="Times New Roman" w:cs="Times New Roman"/>
          <w:sz w:val="20"/>
          <w:szCs w:val="20"/>
        </w:rPr>
        <w:t>GUI features of these modules</w:t>
      </w:r>
      <w:r w:rsidR="00C65EEA">
        <w:rPr>
          <w:rFonts w:ascii="Times New Roman" w:hAnsi="Times New Roman" w:cs="Times New Roman"/>
          <w:sz w:val="20"/>
          <w:szCs w:val="20"/>
        </w:rPr>
        <w:t xml:space="preserve"> </w:t>
      </w:r>
      <w:r w:rsidR="00141954">
        <w:rPr>
          <w:rFonts w:ascii="Times New Roman" w:hAnsi="Times New Roman" w:cs="Times New Roman"/>
          <w:sz w:val="20"/>
          <w:szCs w:val="20"/>
        </w:rPr>
        <w:t>concurrently</w:t>
      </w:r>
      <w:r w:rsidRPr="002E4A7F">
        <w:rPr>
          <w:rFonts w:ascii="Times New Roman" w:hAnsi="Times New Roman" w:cs="Times New Roman"/>
          <w:sz w:val="20"/>
          <w:szCs w:val="20"/>
        </w:rPr>
        <w:t xml:space="preserve">. Certain components </w:t>
      </w:r>
      <w:r>
        <w:rPr>
          <w:rFonts w:ascii="Times New Roman" w:hAnsi="Times New Roman" w:cs="Times New Roman"/>
          <w:sz w:val="20"/>
          <w:szCs w:val="20"/>
        </w:rPr>
        <w:t>were</w:t>
      </w:r>
      <w:r w:rsidRPr="002E4A7F">
        <w:rPr>
          <w:rFonts w:ascii="Times New Roman" w:hAnsi="Times New Roman" w:cs="Times New Roman"/>
          <w:sz w:val="20"/>
          <w:szCs w:val="20"/>
        </w:rPr>
        <w:t xml:space="preserve"> inclu</w:t>
      </w:r>
      <w:r w:rsidR="00060626">
        <w:rPr>
          <w:rFonts w:ascii="Times New Roman" w:hAnsi="Times New Roman" w:cs="Times New Roman"/>
          <w:sz w:val="20"/>
          <w:szCs w:val="20"/>
        </w:rPr>
        <w:t>ded as modules (or executables)</w:t>
      </w:r>
      <w:r w:rsidRPr="002E4A7F">
        <w:rPr>
          <w:rFonts w:ascii="Times New Roman" w:hAnsi="Times New Roman" w:cs="Times New Roman"/>
          <w:sz w:val="20"/>
          <w:szCs w:val="20"/>
        </w:rPr>
        <w:t xml:space="preserve"> </w:t>
      </w:r>
      <w:r>
        <w:rPr>
          <w:rFonts w:ascii="Times New Roman" w:hAnsi="Times New Roman" w:cs="Times New Roman"/>
          <w:sz w:val="20"/>
          <w:szCs w:val="20"/>
        </w:rPr>
        <w:t xml:space="preserve">and </w:t>
      </w:r>
      <w:r w:rsidRPr="002E4A7F">
        <w:rPr>
          <w:rFonts w:ascii="Times New Roman" w:hAnsi="Times New Roman" w:cs="Times New Roman"/>
          <w:sz w:val="20"/>
          <w:szCs w:val="20"/>
        </w:rPr>
        <w:t>launched by the main IDST component (i.e.</w:t>
      </w:r>
      <w:r>
        <w:rPr>
          <w:rFonts w:ascii="Times New Roman" w:hAnsi="Times New Roman" w:cs="Times New Roman"/>
          <w:sz w:val="20"/>
          <w:szCs w:val="20"/>
        </w:rPr>
        <w:t xml:space="preserve"> IDST </w:t>
      </w:r>
      <w:r w:rsidRPr="002E4A7F">
        <w:rPr>
          <w:rFonts w:ascii="Times New Roman" w:hAnsi="Times New Roman" w:cs="Times New Roman"/>
          <w:sz w:val="20"/>
          <w:szCs w:val="20"/>
        </w:rPr>
        <w:t>Process Workflow Engine</w:t>
      </w:r>
      <w:r>
        <w:rPr>
          <w:rFonts w:ascii="Times New Roman" w:hAnsi="Times New Roman" w:cs="Times New Roman"/>
          <w:sz w:val="20"/>
          <w:szCs w:val="20"/>
        </w:rPr>
        <w:t>)</w:t>
      </w:r>
      <w:r w:rsidRPr="002E4A7F">
        <w:rPr>
          <w:rFonts w:ascii="Times New Roman" w:hAnsi="Times New Roman" w:cs="Times New Roman"/>
          <w:sz w:val="20"/>
          <w:szCs w:val="20"/>
        </w:rPr>
        <w:t xml:space="preserve">. The components </w:t>
      </w:r>
      <w:r>
        <w:rPr>
          <w:rFonts w:ascii="Times New Roman" w:hAnsi="Times New Roman" w:cs="Times New Roman"/>
          <w:sz w:val="20"/>
          <w:szCs w:val="20"/>
        </w:rPr>
        <w:t xml:space="preserve">were </w:t>
      </w:r>
      <w:r w:rsidRPr="002E4A7F">
        <w:rPr>
          <w:rFonts w:ascii="Times New Roman" w:hAnsi="Times New Roman" w:cs="Times New Roman"/>
          <w:sz w:val="20"/>
          <w:szCs w:val="20"/>
        </w:rPr>
        <w:t>executed with their required inputs and the results return</w:t>
      </w:r>
      <w:r>
        <w:rPr>
          <w:rFonts w:ascii="Times New Roman" w:hAnsi="Times New Roman" w:cs="Times New Roman"/>
          <w:sz w:val="20"/>
          <w:szCs w:val="20"/>
        </w:rPr>
        <w:t xml:space="preserve">ed either by direct visual display </w:t>
      </w:r>
      <w:r w:rsidRPr="002E4A7F">
        <w:rPr>
          <w:rFonts w:ascii="Times New Roman" w:hAnsi="Times New Roman" w:cs="Times New Roman"/>
          <w:sz w:val="20"/>
          <w:szCs w:val="20"/>
        </w:rPr>
        <w:t xml:space="preserve">or </w:t>
      </w:r>
      <w:r>
        <w:rPr>
          <w:rFonts w:ascii="Times New Roman" w:hAnsi="Times New Roman" w:cs="Times New Roman"/>
          <w:sz w:val="20"/>
          <w:szCs w:val="20"/>
        </w:rPr>
        <w:t xml:space="preserve">indeed </w:t>
      </w:r>
      <w:r w:rsidRPr="002E4A7F">
        <w:rPr>
          <w:rFonts w:ascii="Times New Roman" w:hAnsi="Times New Roman" w:cs="Times New Roman"/>
          <w:sz w:val="20"/>
          <w:szCs w:val="20"/>
        </w:rPr>
        <w:t>as input to a subsequent module within the workflow. Certain components</w:t>
      </w:r>
      <w:r>
        <w:rPr>
          <w:rFonts w:ascii="Times New Roman" w:hAnsi="Times New Roman" w:cs="Times New Roman"/>
          <w:sz w:val="20"/>
          <w:szCs w:val="20"/>
        </w:rPr>
        <w:t xml:space="preserve"> were</w:t>
      </w:r>
      <w:r w:rsidRPr="002E4A7F">
        <w:rPr>
          <w:rFonts w:ascii="Times New Roman" w:hAnsi="Times New Roman" w:cs="Times New Roman"/>
          <w:sz w:val="20"/>
          <w:szCs w:val="20"/>
        </w:rPr>
        <w:t xml:space="preserve"> deployed as a web service, either on the same host as the IDST</w:t>
      </w:r>
      <w:r>
        <w:rPr>
          <w:rFonts w:ascii="Times New Roman" w:hAnsi="Times New Roman" w:cs="Times New Roman"/>
          <w:sz w:val="20"/>
          <w:szCs w:val="20"/>
        </w:rPr>
        <w:t xml:space="preserve"> or another remote server</w:t>
      </w:r>
      <w:r w:rsidRPr="002E4A7F">
        <w:rPr>
          <w:rFonts w:ascii="Times New Roman" w:hAnsi="Times New Roman" w:cs="Times New Roman"/>
          <w:sz w:val="20"/>
          <w:szCs w:val="20"/>
        </w:rPr>
        <w:t>.</w:t>
      </w:r>
      <w:r w:rsidR="00A145B8">
        <w:rPr>
          <w:rFonts w:ascii="Times New Roman" w:hAnsi="Times New Roman" w:cs="Times New Roman"/>
          <w:sz w:val="20"/>
          <w:szCs w:val="20"/>
        </w:rPr>
        <w:t xml:space="preserve"> </w:t>
      </w:r>
      <w:r w:rsidRPr="002E4A7F">
        <w:rPr>
          <w:rFonts w:ascii="Times New Roman" w:hAnsi="Times New Roman" w:cs="Times New Roman"/>
          <w:sz w:val="20"/>
          <w:szCs w:val="20"/>
        </w:rPr>
        <w:t xml:space="preserve">Modules </w:t>
      </w:r>
      <w:r w:rsidR="00C65EEA">
        <w:rPr>
          <w:rFonts w:ascii="Times New Roman" w:hAnsi="Times New Roman" w:cs="Times New Roman"/>
          <w:sz w:val="20"/>
          <w:szCs w:val="20"/>
        </w:rPr>
        <w:t>which</w:t>
      </w:r>
      <w:r w:rsidRPr="002E4A7F">
        <w:rPr>
          <w:rFonts w:ascii="Times New Roman" w:hAnsi="Times New Roman" w:cs="Times New Roman"/>
          <w:sz w:val="20"/>
          <w:szCs w:val="20"/>
        </w:rPr>
        <w:t xml:space="preserve"> require significant process</w:t>
      </w:r>
      <w:r w:rsidR="00C65EEA">
        <w:rPr>
          <w:rFonts w:ascii="Times New Roman" w:hAnsi="Times New Roman" w:cs="Times New Roman"/>
          <w:sz w:val="20"/>
          <w:szCs w:val="20"/>
        </w:rPr>
        <w:t>ing time</w:t>
      </w:r>
      <w:r w:rsidRPr="002E4A7F">
        <w:rPr>
          <w:rFonts w:ascii="Times New Roman" w:hAnsi="Times New Roman" w:cs="Times New Roman"/>
          <w:sz w:val="20"/>
          <w:szCs w:val="20"/>
        </w:rPr>
        <w:t xml:space="preserve"> (e.g. greater than one minute) w</w:t>
      </w:r>
      <w:r w:rsidR="00C65EEA">
        <w:rPr>
          <w:rFonts w:ascii="Times New Roman" w:hAnsi="Times New Roman" w:cs="Times New Roman"/>
          <w:sz w:val="20"/>
          <w:szCs w:val="20"/>
        </w:rPr>
        <w:t xml:space="preserve">ere </w:t>
      </w:r>
      <w:r w:rsidRPr="002E4A7F">
        <w:rPr>
          <w:rFonts w:ascii="Times New Roman" w:hAnsi="Times New Roman" w:cs="Times New Roman"/>
          <w:sz w:val="20"/>
          <w:szCs w:val="20"/>
        </w:rPr>
        <w:t xml:space="preserve">made available as results in a pre-populated database since it would not be appropriate for the user to </w:t>
      </w:r>
      <w:r w:rsidR="00C65EEA">
        <w:rPr>
          <w:rFonts w:ascii="Times New Roman" w:hAnsi="Times New Roman" w:cs="Times New Roman"/>
          <w:sz w:val="20"/>
          <w:szCs w:val="20"/>
        </w:rPr>
        <w:t xml:space="preserve">practically </w:t>
      </w:r>
      <w:r w:rsidRPr="002E4A7F">
        <w:rPr>
          <w:rFonts w:ascii="Times New Roman" w:hAnsi="Times New Roman" w:cs="Times New Roman"/>
          <w:sz w:val="20"/>
          <w:szCs w:val="20"/>
        </w:rPr>
        <w:t xml:space="preserve">experience running these simulations dynamically. Some components </w:t>
      </w:r>
      <w:r w:rsidR="00C65EEA">
        <w:rPr>
          <w:rFonts w:ascii="Times New Roman" w:hAnsi="Times New Roman" w:cs="Times New Roman"/>
          <w:sz w:val="20"/>
          <w:szCs w:val="20"/>
        </w:rPr>
        <w:t xml:space="preserve">have been </w:t>
      </w:r>
      <w:r w:rsidR="00060626">
        <w:rPr>
          <w:rFonts w:ascii="Times New Roman" w:hAnsi="Times New Roman" w:cs="Times New Roman"/>
          <w:sz w:val="20"/>
          <w:szCs w:val="20"/>
        </w:rPr>
        <w:t xml:space="preserve">included as look-up tables and </w:t>
      </w:r>
      <w:r w:rsidRPr="002E4A7F">
        <w:rPr>
          <w:rFonts w:ascii="Times New Roman" w:hAnsi="Times New Roman" w:cs="Times New Roman"/>
          <w:sz w:val="20"/>
          <w:szCs w:val="20"/>
        </w:rPr>
        <w:t>provid</w:t>
      </w:r>
      <w:r w:rsidR="00060626">
        <w:rPr>
          <w:rFonts w:ascii="Times New Roman" w:hAnsi="Times New Roman" w:cs="Times New Roman"/>
          <w:sz w:val="20"/>
          <w:szCs w:val="20"/>
        </w:rPr>
        <w:t>e</w:t>
      </w:r>
      <w:r w:rsidRPr="002E4A7F">
        <w:rPr>
          <w:rFonts w:ascii="Times New Roman" w:hAnsi="Times New Roman" w:cs="Times New Roman"/>
          <w:sz w:val="20"/>
          <w:szCs w:val="20"/>
        </w:rPr>
        <w:t xml:space="preserve"> fast access to pre-run simulation results. In any case, the GUI </w:t>
      </w:r>
      <w:r w:rsidR="00C65EEA">
        <w:rPr>
          <w:rFonts w:ascii="Times New Roman" w:hAnsi="Times New Roman" w:cs="Times New Roman"/>
          <w:sz w:val="20"/>
          <w:szCs w:val="20"/>
        </w:rPr>
        <w:t>made</w:t>
      </w:r>
      <w:r w:rsidRPr="002E4A7F">
        <w:rPr>
          <w:rFonts w:ascii="Times New Roman" w:hAnsi="Times New Roman" w:cs="Times New Roman"/>
          <w:sz w:val="20"/>
          <w:szCs w:val="20"/>
        </w:rPr>
        <w:t xml:space="preserve"> use of Ajax calls to the IDST server for any browser requests (e.g. page updates) that require more than a few seconds to perform.</w:t>
      </w:r>
      <w:r w:rsidR="00A145B8">
        <w:rPr>
          <w:rFonts w:ascii="Times New Roman" w:hAnsi="Times New Roman" w:cs="Times New Roman"/>
          <w:sz w:val="20"/>
          <w:szCs w:val="20"/>
        </w:rPr>
        <w:t xml:space="preserve"> </w:t>
      </w:r>
      <w:r w:rsidRPr="002E4A7F">
        <w:rPr>
          <w:rFonts w:ascii="Times New Roman" w:hAnsi="Times New Roman" w:cs="Times New Roman"/>
          <w:sz w:val="20"/>
          <w:szCs w:val="20"/>
        </w:rPr>
        <w:t xml:space="preserve">The </w:t>
      </w:r>
      <w:r w:rsidR="00C65EEA">
        <w:rPr>
          <w:rFonts w:ascii="Times New Roman" w:hAnsi="Times New Roman" w:cs="Times New Roman"/>
          <w:sz w:val="20"/>
          <w:szCs w:val="20"/>
        </w:rPr>
        <w:t xml:space="preserve">agile development of the </w:t>
      </w:r>
      <w:r w:rsidRPr="002E4A7F">
        <w:rPr>
          <w:rFonts w:ascii="Times New Roman" w:hAnsi="Times New Roman" w:cs="Times New Roman"/>
          <w:sz w:val="20"/>
          <w:szCs w:val="20"/>
        </w:rPr>
        <w:t xml:space="preserve">IDST system </w:t>
      </w:r>
      <w:r w:rsidR="00C65EEA">
        <w:rPr>
          <w:rFonts w:ascii="Times New Roman" w:hAnsi="Times New Roman" w:cs="Times New Roman"/>
          <w:sz w:val="20"/>
          <w:szCs w:val="20"/>
        </w:rPr>
        <w:t>scaled</w:t>
      </w:r>
      <w:r>
        <w:rPr>
          <w:rFonts w:ascii="Times New Roman" w:hAnsi="Times New Roman" w:cs="Times New Roman"/>
          <w:sz w:val="20"/>
          <w:szCs w:val="20"/>
        </w:rPr>
        <w:t xml:space="preserve"> </w:t>
      </w:r>
      <w:r w:rsidR="00C65EEA">
        <w:rPr>
          <w:rFonts w:ascii="Times New Roman" w:hAnsi="Times New Roman" w:cs="Times New Roman"/>
          <w:sz w:val="20"/>
          <w:szCs w:val="20"/>
        </w:rPr>
        <w:t xml:space="preserve">successfully by </w:t>
      </w:r>
      <w:r w:rsidRPr="002E4A7F">
        <w:rPr>
          <w:rFonts w:ascii="Times New Roman" w:hAnsi="Times New Roman" w:cs="Times New Roman"/>
          <w:sz w:val="20"/>
          <w:szCs w:val="20"/>
        </w:rPr>
        <w:t>support</w:t>
      </w:r>
      <w:r>
        <w:rPr>
          <w:rFonts w:ascii="Times New Roman" w:hAnsi="Times New Roman" w:cs="Times New Roman"/>
          <w:sz w:val="20"/>
          <w:szCs w:val="20"/>
        </w:rPr>
        <w:t>ing</w:t>
      </w:r>
      <w:r w:rsidRPr="002E4A7F">
        <w:rPr>
          <w:rFonts w:ascii="Times New Roman" w:hAnsi="Times New Roman" w:cs="Times New Roman"/>
          <w:sz w:val="20"/>
          <w:szCs w:val="20"/>
        </w:rPr>
        <w:t xml:space="preserve"> a large number of concurrent users</w:t>
      </w:r>
      <w:r>
        <w:rPr>
          <w:rFonts w:ascii="Times New Roman" w:hAnsi="Times New Roman" w:cs="Times New Roman"/>
          <w:sz w:val="20"/>
          <w:szCs w:val="20"/>
        </w:rPr>
        <w:t>. Its</w:t>
      </w:r>
      <w:r w:rsidRPr="002E4A7F">
        <w:rPr>
          <w:rFonts w:ascii="Times New Roman" w:hAnsi="Times New Roman" w:cs="Times New Roman"/>
          <w:sz w:val="20"/>
          <w:szCs w:val="20"/>
        </w:rPr>
        <w:t xml:space="preserve"> databases </w:t>
      </w:r>
      <w:r>
        <w:rPr>
          <w:rFonts w:ascii="Times New Roman" w:hAnsi="Times New Roman" w:cs="Times New Roman"/>
          <w:sz w:val="20"/>
          <w:szCs w:val="20"/>
        </w:rPr>
        <w:t xml:space="preserve">are </w:t>
      </w:r>
      <w:r w:rsidR="00C65EEA">
        <w:rPr>
          <w:rFonts w:ascii="Times New Roman" w:hAnsi="Times New Roman" w:cs="Times New Roman"/>
          <w:sz w:val="20"/>
          <w:szCs w:val="20"/>
        </w:rPr>
        <w:t xml:space="preserve">also </w:t>
      </w:r>
      <w:r w:rsidR="00DE7540">
        <w:rPr>
          <w:rFonts w:ascii="Times New Roman" w:hAnsi="Times New Roman" w:cs="Times New Roman"/>
          <w:sz w:val="20"/>
          <w:szCs w:val="20"/>
        </w:rPr>
        <w:t xml:space="preserve">scalable </w:t>
      </w:r>
      <w:r w:rsidR="00C65EEA">
        <w:rPr>
          <w:rFonts w:ascii="Times New Roman" w:hAnsi="Times New Roman" w:cs="Times New Roman"/>
          <w:sz w:val="20"/>
          <w:szCs w:val="20"/>
        </w:rPr>
        <w:t>since they</w:t>
      </w:r>
      <w:r w:rsidR="00DE7540">
        <w:rPr>
          <w:rFonts w:ascii="Times New Roman" w:hAnsi="Times New Roman" w:cs="Times New Roman"/>
          <w:sz w:val="20"/>
          <w:szCs w:val="20"/>
        </w:rPr>
        <w:t xml:space="preserve"> can</w:t>
      </w:r>
      <w:r w:rsidRPr="002E4A7F">
        <w:rPr>
          <w:rFonts w:ascii="Times New Roman" w:hAnsi="Times New Roman" w:cs="Times New Roman"/>
          <w:sz w:val="20"/>
          <w:szCs w:val="20"/>
        </w:rPr>
        <w:t xml:space="preserve"> handle a mix of structured and unstructured data. Additionally, the data </w:t>
      </w:r>
      <w:r>
        <w:rPr>
          <w:rFonts w:ascii="Times New Roman" w:hAnsi="Times New Roman" w:cs="Times New Roman"/>
          <w:sz w:val="20"/>
          <w:szCs w:val="20"/>
        </w:rPr>
        <w:t xml:space="preserve">is </w:t>
      </w:r>
      <w:r w:rsidRPr="002E4A7F">
        <w:rPr>
          <w:rFonts w:ascii="Times New Roman" w:hAnsi="Times New Roman" w:cs="Times New Roman"/>
          <w:sz w:val="20"/>
          <w:szCs w:val="20"/>
        </w:rPr>
        <w:t xml:space="preserve">made available to authorized users, so that they can extract information for their own </w:t>
      </w:r>
      <w:r w:rsidR="00060626">
        <w:rPr>
          <w:rFonts w:ascii="Times New Roman" w:hAnsi="Times New Roman" w:cs="Times New Roman"/>
          <w:sz w:val="20"/>
          <w:szCs w:val="20"/>
        </w:rPr>
        <w:t xml:space="preserve">specific </w:t>
      </w:r>
      <w:r w:rsidRPr="002E4A7F">
        <w:rPr>
          <w:rFonts w:ascii="Times New Roman" w:hAnsi="Times New Roman" w:cs="Times New Roman"/>
          <w:sz w:val="20"/>
          <w:szCs w:val="20"/>
        </w:rPr>
        <w:t>application</w:t>
      </w:r>
      <w:r w:rsidR="00DE7540">
        <w:rPr>
          <w:rFonts w:ascii="Times New Roman" w:hAnsi="Times New Roman" w:cs="Times New Roman"/>
          <w:sz w:val="20"/>
          <w:szCs w:val="20"/>
        </w:rPr>
        <w:t>s.</w:t>
      </w:r>
    </w:p>
    <w:p w14:paraId="68626DB0" w14:textId="77777777" w:rsidR="009A651F" w:rsidRPr="009C3869" w:rsidRDefault="00DE7540" w:rsidP="009A651F">
      <w:pPr>
        <w:pStyle w:val="heading2"/>
        <w:numPr>
          <w:ilvl w:val="1"/>
          <w:numId w:val="4"/>
        </w:numPr>
      </w:pPr>
      <w:r>
        <w:t xml:space="preserve">High Level Architecture Design Architecture </w:t>
      </w:r>
    </w:p>
    <w:p w14:paraId="2316D8D9" w14:textId="78CC6B6C" w:rsidR="00A145B8" w:rsidRDefault="002B3B17" w:rsidP="00DE5DFA">
      <w:pPr>
        <w:pStyle w:val="Normalparagraphstyle"/>
        <w:rPr>
          <w:rFonts w:ascii="Times New Roman" w:hAnsi="Times New Roman" w:cs="Times New Roman"/>
          <w:sz w:val="20"/>
          <w:szCs w:val="20"/>
          <w:lang w:val="en-IE"/>
        </w:rPr>
      </w:pPr>
      <w:r w:rsidRPr="00A60E4B">
        <w:rPr>
          <w:rFonts w:ascii="Times New Roman" w:hAnsi="Times New Roman" w:cs="Times New Roman"/>
          <w:sz w:val="20"/>
          <w:szCs w:val="20"/>
          <w:lang w:val="en-IE"/>
        </w:rPr>
        <w:fldChar w:fldCharType="begin"/>
      </w:r>
      <w:r w:rsidRPr="00A60E4B">
        <w:rPr>
          <w:rFonts w:ascii="Times New Roman" w:hAnsi="Times New Roman" w:cs="Times New Roman"/>
          <w:sz w:val="20"/>
          <w:szCs w:val="20"/>
          <w:lang w:val="en-IE"/>
        </w:rPr>
        <w:instrText xml:space="preserve"> REF _Ref474261245 \h </w:instrText>
      </w:r>
      <w:r w:rsidR="00A60E4B" w:rsidRPr="00A60E4B">
        <w:rPr>
          <w:rFonts w:ascii="Times New Roman" w:hAnsi="Times New Roman" w:cs="Times New Roman"/>
          <w:sz w:val="20"/>
          <w:szCs w:val="20"/>
          <w:lang w:val="en-IE"/>
        </w:rPr>
        <w:instrText xml:space="preserve"> \* MERGEFORMAT </w:instrText>
      </w:r>
      <w:r w:rsidRPr="00A60E4B">
        <w:rPr>
          <w:rFonts w:ascii="Times New Roman" w:hAnsi="Times New Roman" w:cs="Times New Roman"/>
          <w:sz w:val="20"/>
          <w:szCs w:val="20"/>
          <w:lang w:val="en-IE"/>
        </w:rPr>
      </w:r>
      <w:r w:rsidRPr="00A60E4B">
        <w:rPr>
          <w:rFonts w:ascii="Times New Roman" w:hAnsi="Times New Roman" w:cs="Times New Roman"/>
          <w:sz w:val="20"/>
          <w:szCs w:val="20"/>
          <w:lang w:val="en-IE"/>
        </w:rPr>
        <w:fldChar w:fldCharType="separate"/>
      </w:r>
      <w:r w:rsidRPr="00A60E4B">
        <w:rPr>
          <w:rFonts w:ascii="Times New Roman" w:hAnsi="Times New Roman" w:cs="Times New Roman"/>
        </w:rPr>
        <w:t xml:space="preserve">Figure </w:t>
      </w:r>
      <w:r w:rsidRPr="00A60E4B">
        <w:rPr>
          <w:rFonts w:ascii="Times New Roman" w:hAnsi="Times New Roman" w:cs="Times New Roman"/>
          <w:noProof/>
        </w:rPr>
        <w:t>1</w:t>
      </w:r>
      <w:r w:rsidRPr="00A60E4B">
        <w:rPr>
          <w:rFonts w:ascii="Times New Roman" w:hAnsi="Times New Roman" w:cs="Times New Roman"/>
          <w:sz w:val="20"/>
          <w:szCs w:val="20"/>
          <w:lang w:val="en-IE"/>
        </w:rPr>
        <w:fldChar w:fldCharType="end"/>
      </w:r>
      <w:r>
        <w:rPr>
          <w:rFonts w:ascii="Times New Roman" w:hAnsi="Times New Roman" w:cs="Times New Roman"/>
          <w:sz w:val="20"/>
          <w:szCs w:val="20"/>
          <w:lang w:val="en-IE"/>
        </w:rPr>
        <w:t xml:space="preserve"> </w:t>
      </w:r>
      <w:r w:rsidR="00C65EEA">
        <w:rPr>
          <w:rFonts w:ascii="Times New Roman" w:hAnsi="Times New Roman" w:cs="Times New Roman"/>
          <w:sz w:val="20"/>
          <w:szCs w:val="20"/>
          <w:lang w:val="en-IE"/>
        </w:rPr>
        <w:t xml:space="preserve">below, </w:t>
      </w:r>
      <w:r w:rsidR="00DE7540" w:rsidRPr="00A145B8">
        <w:rPr>
          <w:rFonts w:ascii="Times New Roman" w:hAnsi="Times New Roman" w:cs="Times New Roman"/>
          <w:sz w:val="20"/>
          <w:szCs w:val="20"/>
          <w:lang w:val="en-IE"/>
        </w:rPr>
        <w:t xml:space="preserve">presents a high level conceptual view of the IDST </w:t>
      </w:r>
      <w:r w:rsidR="00060626">
        <w:rPr>
          <w:rFonts w:ascii="Times New Roman" w:hAnsi="Times New Roman" w:cs="Times New Roman"/>
          <w:sz w:val="20"/>
          <w:szCs w:val="20"/>
          <w:lang w:val="en-IE"/>
        </w:rPr>
        <w:t xml:space="preserve">modular </w:t>
      </w:r>
      <w:r w:rsidR="00DE7540" w:rsidRPr="00A145B8">
        <w:rPr>
          <w:rFonts w:ascii="Times New Roman" w:hAnsi="Times New Roman" w:cs="Times New Roman"/>
          <w:sz w:val="20"/>
          <w:szCs w:val="20"/>
          <w:lang w:val="en-IE"/>
        </w:rPr>
        <w:t>architecture. This shows the main components in the system and how they fit together and interact. The IDST system cons</w:t>
      </w:r>
      <w:r w:rsidR="00A145B8">
        <w:rPr>
          <w:rFonts w:ascii="Times New Roman" w:hAnsi="Times New Roman" w:cs="Times New Roman"/>
          <w:sz w:val="20"/>
          <w:szCs w:val="20"/>
          <w:lang w:val="en-IE"/>
        </w:rPr>
        <w:t>ist of three layers. These are:</w:t>
      </w:r>
      <w:r w:rsidR="0055569A">
        <w:rPr>
          <w:rFonts w:ascii="Times New Roman" w:hAnsi="Times New Roman" w:cs="Times New Roman"/>
          <w:sz w:val="20"/>
          <w:szCs w:val="20"/>
          <w:lang w:val="en-IE"/>
        </w:rPr>
        <w:t xml:space="preserve"> 1) </w:t>
      </w:r>
      <w:r w:rsidR="00DE7540" w:rsidRPr="003D6D61">
        <w:rPr>
          <w:rFonts w:ascii="Times New Roman" w:hAnsi="Times New Roman" w:cs="Times New Roman"/>
          <w:sz w:val="20"/>
          <w:szCs w:val="20"/>
          <w:lang w:val="en-IE"/>
        </w:rPr>
        <w:t>Presentation Layer</w:t>
      </w:r>
      <w:r w:rsidR="0055569A">
        <w:rPr>
          <w:rFonts w:ascii="Times New Roman" w:hAnsi="Times New Roman" w:cs="Times New Roman"/>
          <w:sz w:val="20"/>
          <w:szCs w:val="20"/>
          <w:lang w:val="en-IE"/>
        </w:rPr>
        <w:t xml:space="preserve">; 2) </w:t>
      </w:r>
      <w:r w:rsidR="00DE7540" w:rsidRPr="003D6D61">
        <w:rPr>
          <w:rFonts w:ascii="Times New Roman" w:hAnsi="Times New Roman" w:cs="Times New Roman"/>
          <w:sz w:val="20"/>
          <w:szCs w:val="20"/>
          <w:lang w:val="en-IE"/>
        </w:rPr>
        <w:t>Data Processing Layer</w:t>
      </w:r>
      <w:r w:rsidR="0055569A">
        <w:rPr>
          <w:rFonts w:ascii="Times New Roman" w:hAnsi="Times New Roman" w:cs="Times New Roman"/>
          <w:sz w:val="20"/>
          <w:szCs w:val="20"/>
          <w:lang w:val="en-IE"/>
        </w:rPr>
        <w:t xml:space="preserve">; and 3) </w:t>
      </w:r>
      <w:r w:rsidR="00DE7540" w:rsidRPr="003D6D61">
        <w:rPr>
          <w:rFonts w:ascii="Times New Roman" w:hAnsi="Times New Roman" w:cs="Times New Roman"/>
          <w:sz w:val="20"/>
          <w:szCs w:val="20"/>
          <w:lang w:val="en-IE"/>
        </w:rPr>
        <w:t>Data Storage Layer</w:t>
      </w:r>
      <w:r w:rsidR="002A2BF4" w:rsidRPr="003D6D61">
        <w:rPr>
          <w:rFonts w:ascii="Times New Roman" w:hAnsi="Times New Roman" w:cs="Times New Roman"/>
          <w:sz w:val="20"/>
          <w:szCs w:val="20"/>
          <w:lang w:val="en-IE"/>
        </w:rPr>
        <w:t xml:space="preserve">. </w:t>
      </w:r>
      <w:r w:rsidR="0055569A">
        <w:rPr>
          <w:rFonts w:ascii="Times New Roman" w:hAnsi="Times New Roman" w:cs="Times New Roman"/>
          <w:sz w:val="20"/>
          <w:szCs w:val="20"/>
          <w:lang w:val="en-IE"/>
        </w:rPr>
        <w:t xml:space="preserve"> </w:t>
      </w:r>
      <w:r w:rsidR="00DE7540" w:rsidRPr="00A145B8">
        <w:rPr>
          <w:rFonts w:ascii="Times New Roman" w:hAnsi="Times New Roman" w:cs="Times New Roman"/>
          <w:sz w:val="20"/>
          <w:szCs w:val="20"/>
          <w:lang w:val="en-IE"/>
        </w:rPr>
        <w:t>The Presentation Layer is responsible for the creation of all of the content (as HTML) for the user’s browser. It consists of a main component called the ‘Portal’, which handles user requests and delegates to various sub-components within the ‘Visualisation Engine’ to create specific pieces of content for the requested IDST page.</w:t>
      </w:r>
      <w:r w:rsidR="00A145B8">
        <w:rPr>
          <w:rFonts w:ascii="Times New Roman" w:hAnsi="Times New Roman" w:cs="Times New Roman"/>
          <w:sz w:val="20"/>
          <w:szCs w:val="20"/>
          <w:lang w:val="en-IE"/>
        </w:rPr>
        <w:t xml:space="preserve"> </w:t>
      </w:r>
      <w:r w:rsidR="00DE7540" w:rsidRPr="00A145B8">
        <w:rPr>
          <w:rFonts w:ascii="Times New Roman" w:hAnsi="Times New Roman" w:cs="Times New Roman"/>
          <w:sz w:val="20"/>
          <w:szCs w:val="20"/>
          <w:lang w:val="en-IE"/>
        </w:rPr>
        <w:t xml:space="preserve">The Data Processing Layer contains any computational components that are required in the IDST system. This includes the Process Workflow Engine (PWE) module (for evaluating multiple risks), as well as the various associated computational modules. These </w:t>
      </w:r>
      <w:r w:rsidR="00D93D38">
        <w:rPr>
          <w:rFonts w:ascii="Times New Roman" w:hAnsi="Times New Roman" w:cs="Times New Roman"/>
          <w:sz w:val="20"/>
          <w:szCs w:val="20"/>
          <w:lang w:val="en-IE"/>
        </w:rPr>
        <w:t>are</w:t>
      </w:r>
      <w:r w:rsidR="00DE7540" w:rsidRPr="00A145B8">
        <w:rPr>
          <w:rFonts w:ascii="Times New Roman" w:hAnsi="Times New Roman" w:cs="Times New Roman"/>
          <w:sz w:val="20"/>
          <w:szCs w:val="20"/>
          <w:lang w:val="en-IE"/>
        </w:rPr>
        <w:t>:</w:t>
      </w:r>
      <w:r w:rsidR="00A145B8">
        <w:rPr>
          <w:rFonts w:ascii="Times New Roman" w:hAnsi="Times New Roman" w:cs="Times New Roman"/>
          <w:sz w:val="20"/>
          <w:szCs w:val="20"/>
          <w:lang w:val="en-IE"/>
        </w:rPr>
        <w:t xml:space="preserve"> </w:t>
      </w:r>
      <w:r w:rsidR="00E748AF">
        <w:rPr>
          <w:rFonts w:ascii="Times New Roman" w:hAnsi="Times New Roman" w:cs="Times New Roman"/>
          <w:sz w:val="20"/>
          <w:szCs w:val="20"/>
          <w:lang w:val="en-IE"/>
        </w:rPr>
        <w:t>(</w:t>
      </w:r>
      <w:r w:rsidR="00E748AF">
        <w:rPr>
          <w:rFonts w:ascii="Times New Roman" w:hAnsi="Times New Roman" w:cs="Times New Roman"/>
          <w:i/>
          <w:sz w:val="20"/>
          <w:szCs w:val="20"/>
          <w:lang w:val="en-IE"/>
        </w:rPr>
        <w:t xml:space="preserve">a) </w:t>
      </w:r>
      <w:r w:rsidR="00DE7540" w:rsidRPr="00D93D38">
        <w:rPr>
          <w:rFonts w:ascii="Times New Roman" w:hAnsi="Times New Roman" w:cs="Times New Roman"/>
          <w:i/>
          <w:sz w:val="20"/>
          <w:szCs w:val="20"/>
          <w:lang w:val="en-IE"/>
        </w:rPr>
        <w:t>Domain Computation (e.g. fragility functions)</w:t>
      </w:r>
      <w:r w:rsidR="00A145B8" w:rsidRPr="00D93D38">
        <w:rPr>
          <w:rFonts w:ascii="Times New Roman" w:hAnsi="Times New Roman" w:cs="Times New Roman"/>
          <w:i/>
          <w:sz w:val="20"/>
          <w:szCs w:val="20"/>
          <w:lang w:val="en-IE"/>
        </w:rPr>
        <w:t xml:space="preserve">; and </w:t>
      </w:r>
      <w:r w:rsidR="00E748AF">
        <w:rPr>
          <w:rFonts w:ascii="Times New Roman" w:hAnsi="Times New Roman" w:cs="Times New Roman"/>
          <w:i/>
          <w:sz w:val="20"/>
          <w:szCs w:val="20"/>
          <w:lang w:val="en-IE"/>
        </w:rPr>
        <w:t>(b)</w:t>
      </w:r>
      <w:r w:rsidR="00A145B8" w:rsidRPr="00D93D38">
        <w:rPr>
          <w:rFonts w:ascii="Times New Roman" w:hAnsi="Times New Roman" w:cs="Times New Roman"/>
          <w:i/>
          <w:sz w:val="20"/>
          <w:szCs w:val="20"/>
          <w:lang w:val="en-IE"/>
        </w:rPr>
        <w:t xml:space="preserve"> </w:t>
      </w:r>
      <w:r w:rsidR="00DE7540" w:rsidRPr="00D93D38">
        <w:rPr>
          <w:rFonts w:ascii="Times New Roman" w:hAnsi="Times New Roman" w:cs="Times New Roman"/>
          <w:i/>
          <w:sz w:val="20"/>
          <w:szCs w:val="20"/>
          <w:lang w:val="en-IE"/>
        </w:rPr>
        <w:t xml:space="preserve">Data Analysis (e.g. </w:t>
      </w:r>
      <w:r w:rsidR="00060626" w:rsidRPr="00D93D38">
        <w:rPr>
          <w:rFonts w:ascii="Times New Roman" w:hAnsi="Times New Roman" w:cs="Times New Roman"/>
          <w:i/>
          <w:sz w:val="20"/>
          <w:szCs w:val="20"/>
          <w:lang w:val="en-IE"/>
        </w:rPr>
        <w:t>analytics</w:t>
      </w:r>
      <w:r w:rsidR="00DE7540" w:rsidRPr="00D93D38">
        <w:rPr>
          <w:rFonts w:ascii="Times New Roman" w:hAnsi="Times New Roman" w:cs="Times New Roman"/>
          <w:i/>
          <w:sz w:val="20"/>
          <w:szCs w:val="20"/>
          <w:lang w:val="en-IE"/>
        </w:rPr>
        <w:t xml:space="preserve"> </w:t>
      </w:r>
      <w:r w:rsidR="00060626" w:rsidRPr="00D93D38">
        <w:rPr>
          <w:rFonts w:ascii="Times New Roman" w:hAnsi="Times New Roman" w:cs="Times New Roman"/>
          <w:i/>
          <w:sz w:val="20"/>
          <w:szCs w:val="20"/>
          <w:lang w:val="en-IE"/>
        </w:rPr>
        <w:t>algorithms</w:t>
      </w:r>
      <w:r w:rsidR="00DE7540" w:rsidRPr="00D93D38">
        <w:rPr>
          <w:rFonts w:ascii="Times New Roman" w:hAnsi="Times New Roman" w:cs="Times New Roman"/>
          <w:i/>
          <w:sz w:val="20"/>
          <w:szCs w:val="20"/>
          <w:lang w:val="en-IE"/>
        </w:rPr>
        <w:t>)</w:t>
      </w:r>
      <w:r w:rsidR="00060626">
        <w:rPr>
          <w:rFonts w:ascii="Times New Roman" w:hAnsi="Times New Roman" w:cs="Times New Roman"/>
          <w:sz w:val="20"/>
          <w:szCs w:val="20"/>
          <w:lang w:val="en-IE"/>
        </w:rPr>
        <w:t xml:space="preserve">. </w:t>
      </w:r>
      <w:r w:rsidR="00DE7540" w:rsidRPr="00A145B8">
        <w:rPr>
          <w:rFonts w:ascii="Times New Roman" w:hAnsi="Times New Roman" w:cs="Times New Roman"/>
          <w:sz w:val="20"/>
          <w:szCs w:val="20"/>
          <w:lang w:val="en-IE"/>
        </w:rPr>
        <w:t>The Data Storage Layer is responsible for handling all access to and from a</w:t>
      </w:r>
      <w:r w:rsidR="002A2BF4">
        <w:rPr>
          <w:rFonts w:ascii="Times New Roman" w:hAnsi="Times New Roman" w:cs="Times New Roman"/>
          <w:sz w:val="20"/>
          <w:szCs w:val="20"/>
          <w:lang w:val="en-IE"/>
        </w:rPr>
        <w:t>ll</w:t>
      </w:r>
      <w:r w:rsidR="00DE7540" w:rsidRPr="00A145B8">
        <w:rPr>
          <w:rFonts w:ascii="Times New Roman" w:hAnsi="Times New Roman" w:cs="Times New Roman"/>
          <w:sz w:val="20"/>
          <w:szCs w:val="20"/>
          <w:lang w:val="en-IE"/>
        </w:rPr>
        <w:t xml:space="preserve"> databases within the IDST system. </w:t>
      </w:r>
      <w:r w:rsidR="002A2BF4">
        <w:rPr>
          <w:rFonts w:ascii="Times New Roman" w:hAnsi="Times New Roman" w:cs="Times New Roman"/>
          <w:sz w:val="20"/>
          <w:szCs w:val="20"/>
          <w:lang w:val="en-IE"/>
        </w:rPr>
        <w:t>The c</w:t>
      </w:r>
      <w:r w:rsidR="00DE7540" w:rsidRPr="00A145B8">
        <w:rPr>
          <w:rFonts w:ascii="Times New Roman" w:hAnsi="Times New Roman" w:cs="Times New Roman"/>
          <w:sz w:val="20"/>
          <w:szCs w:val="20"/>
          <w:lang w:val="en-IE"/>
        </w:rPr>
        <w:t>omputation a</w:t>
      </w:r>
      <w:r w:rsidR="002A2BF4">
        <w:rPr>
          <w:rFonts w:ascii="Times New Roman" w:hAnsi="Times New Roman" w:cs="Times New Roman"/>
          <w:sz w:val="20"/>
          <w:szCs w:val="20"/>
          <w:lang w:val="en-IE"/>
        </w:rPr>
        <w:t xml:space="preserve">nd presentation components </w:t>
      </w:r>
      <w:r w:rsidR="00DE7540" w:rsidRPr="00A145B8">
        <w:rPr>
          <w:rFonts w:ascii="Times New Roman" w:hAnsi="Times New Roman" w:cs="Times New Roman"/>
          <w:sz w:val="20"/>
          <w:szCs w:val="20"/>
          <w:lang w:val="en-IE"/>
        </w:rPr>
        <w:t>com</w:t>
      </w:r>
      <w:r w:rsidR="002A2BF4">
        <w:rPr>
          <w:rFonts w:ascii="Times New Roman" w:hAnsi="Times New Roman" w:cs="Times New Roman"/>
          <w:sz w:val="20"/>
          <w:szCs w:val="20"/>
          <w:lang w:val="en-IE"/>
        </w:rPr>
        <w:t>municate with this layer via a</w:t>
      </w:r>
      <w:r w:rsidR="00DE7540" w:rsidRPr="00A145B8">
        <w:rPr>
          <w:rFonts w:ascii="Times New Roman" w:hAnsi="Times New Roman" w:cs="Times New Roman"/>
          <w:sz w:val="20"/>
          <w:szCs w:val="20"/>
          <w:lang w:val="en-IE"/>
        </w:rPr>
        <w:t xml:space="preserve"> </w:t>
      </w:r>
      <w:proofErr w:type="spellStart"/>
      <w:r w:rsidR="00DE7540" w:rsidRPr="00A145B8">
        <w:rPr>
          <w:rFonts w:ascii="Times New Roman" w:hAnsi="Times New Roman" w:cs="Times New Roman"/>
          <w:sz w:val="20"/>
          <w:szCs w:val="20"/>
          <w:lang w:val="en-IE"/>
        </w:rPr>
        <w:t>GeoDjango</w:t>
      </w:r>
      <w:proofErr w:type="spellEnd"/>
      <w:r w:rsidR="00DE7540" w:rsidRPr="00A145B8">
        <w:rPr>
          <w:rFonts w:ascii="Times New Roman" w:hAnsi="Times New Roman" w:cs="Times New Roman"/>
          <w:sz w:val="20"/>
          <w:szCs w:val="20"/>
          <w:lang w:val="en-IE"/>
        </w:rPr>
        <w:t xml:space="preserve"> Data Access La</w:t>
      </w:r>
      <w:r w:rsidR="00D93D38">
        <w:rPr>
          <w:rFonts w:ascii="Times New Roman" w:hAnsi="Times New Roman" w:cs="Times New Roman"/>
          <w:sz w:val="20"/>
          <w:szCs w:val="20"/>
          <w:lang w:val="en-IE"/>
        </w:rPr>
        <w:t xml:space="preserve">yer (ORM). It </w:t>
      </w:r>
      <w:r w:rsidR="00DE7540" w:rsidRPr="00A145B8">
        <w:rPr>
          <w:rFonts w:ascii="Times New Roman" w:hAnsi="Times New Roman" w:cs="Times New Roman"/>
          <w:sz w:val="20"/>
          <w:szCs w:val="20"/>
          <w:lang w:val="en-IE"/>
        </w:rPr>
        <w:t xml:space="preserve">provides user-friendly </w:t>
      </w:r>
      <w:r w:rsidR="00D93D38">
        <w:rPr>
          <w:rFonts w:ascii="Times New Roman" w:hAnsi="Times New Roman" w:cs="Times New Roman"/>
          <w:sz w:val="20"/>
          <w:szCs w:val="20"/>
          <w:lang w:val="en-IE"/>
        </w:rPr>
        <w:t>APIs to the underlying data which</w:t>
      </w:r>
      <w:r w:rsidR="00DE7540" w:rsidRPr="00A145B8">
        <w:rPr>
          <w:rFonts w:ascii="Times New Roman" w:hAnsi="Times New Roman" w:cs="Times New Roman"/>
          <w:sz w:val="20"/>
          <w:szCs w:val="20"/>
          <w:lang w:val="en-IE"/>
        </w:rPr>
        <w:t xml:space="preserve"> encapsulate lower level database access statements (e.g. SQL). </w:t>
      </w:r>
    </w:p>
    <w:p w14:paraId="6D716E73" w14:textId="4C36BBAC" w:rsidR="00D93D38" w:rsidRPr="00060626" w:rsidRDefault="00D93D38" w:rsidP="00DE5DFA">
      <w:pPr>
        <w:pStyle w:val="Normalparagraphstyle"/>
        <w:rPr>
          <w:rFonts w:ascii="Times New Roman" w:hAnsi="Times New Roman" w:cs="Times New Roman"/>
          <w:sz w:val="20"/>
          <w:szCs w:val="20"/>
          <w:lang w:val="en-IE"/>
        </w:rPr>
      </w:pPr>
      <w:r>
        <w:rPr>
          <w:rFonts w:ascii="Times New Roman" w:hAnsi="Times New Roman" w:cs="Times New Roman"/>
          <w:noProof/>
          <w:sz w:val="20"/>
          <w:szCs w:val="20"/>
          <w:lang w:val="en-GB" w:eastAsia="en-GB"/>
        </w:rPr>
        <w:t xml:space="preserve">                      </w:t>
      </w:r>
      <w:r>
        <w:rPr>
          <w:rFonts w:ascii="Times New Roman" w:hAnsi="Times New Roman" w:cs="Times New Roman"/>
          <w:noProof/>
          <w:sz w:val="20"/>
          <w:szCs w:val="20"/>
          <w:lang w:val="en-GB" w:eastAsia="en-GB"/>
        </w:rPr>
        <w:drawing>
          <wp:inline distT="0" distB="0" distL="0" distR="0" wp14:anchorId="432B0A89" wp14:editId="0BCD2ABE">
            <wp:extent cx="3212902" cy="24038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264" cy="2424337"/>
                    </a:xfrm>
                    <a:prstGeom prst="rect">
                      <a:avLst/>
                    </a:prstGeom>
                    <a:noFill/>
                    <a:ln>
                      <a:noFill/>
                    </a:ln>
                  </pic:spPr>
                </pic:pic>
              </a:graphicData>
            </a:graphic>
          </wp:inline>
        </w:drawing>
      </w:r>
    </w:p>
    <w:p w14:paraId="461D7743" w14:textId="1E2BBA72" w:rsidR="00A145B8" w:rsidRDefault="00A145B8" w:rsidP="00A145B8">
      <w:pPr>
        <w:keepNext/>
        <w:spacing w:before="240"/>
        <w:jc w:val="center"/>
      </w:pPr>
      <w:bookmarkStart w:id="1" w:name="_Ref405372252"/>
      <w:bookmarkStart w:id="2" w:name="_Ref474261245"/>
      <w:r w:rsidRPr="00595F94">
        <w:t xml:space="preserve">Figure </w:t>
      </w:r>
      <w:fldSimple w:instr=" SEQ Figure \* ARABIC ">
        <w:r w:rsidR="00D93D38" w:rsidRPr="00595F94">
          <w:rPr>
            <w:noProof/>
          </w:rPr>
          <w:t>1</w:t>
        </w:r>
      </w:fldSimple>
      <w:bookmarkEnd w:id="1"/>
      <w:bookmarkEnd w:id="2"/>
      <w:r w:rsidRPr="00B34763">
        <w:rPr>
          <w:b/>
        </w:rPr>
        <w:t xml:space="preserve">: </w:t>
      </w:r>
      <w:r w:rsidRPr="004B59FB">
        <w:t xml:space="preserve">High level conceptual architecture of </w:t>
      </w:r>
      <w:r w:rsidR="00A60E4B">
        <w:t xml:space="preserve">the </w:t>
      </w:r>
      <w:r w:rsidRPr="004B59FB">
        <w:t>IDST</w:t>
      </w:r>
    </w:p>
    <w:p w14:paraId="7208990C" w14:textId="77777777" w:rsidR="000D11A4" w:rsidRDefault="000D11A4" w:rsidP="000D11A4">
      <w:pPr>
        <w:pStyle w:val="heading1"/>
        <w:numPr>
          <w:ilvl w:val="0"/>
          <w:numId w:val="4"/>
        </w:numPr>
      </w:pPr>
      <w:r>
        <w:t xml:space="preserve">The IDST Information System </w:t>
      </w:r>
    </w:p>
    <w:p w14:paraId="7E027AE1" w14:textId="4A41A793" w:rsidR="00AD5AAC" w:rsidRDefault="00AD5AAC" w:rsidP="002B3B17">
      <w:pPr>
        <w:pStyle w:val="heading2"/>
      </w:pPr>
      <w:r>
        <w:t>Authentication</w:t>
      </w:r>
      <w:r w:rsidR="00A60E4B">
        <w:t xml:space="preserve"> Services</w:t>
      </w:r>
    </w:p>
    <w:p w14:paraId="36F7F19C" w14:textId="68110EB8" w:rsidR="00AD5AAC" w:rsidRPr="00AD5AAC" w:rsidRDefault="00060626" w:rsidP="002B3B17">
      <w:r>
        <w:t>The a</w:t>
      </w:r>
      <w:r w:rsidR="00AD5AAC">
        <w:t>uthentication</w:t>
      </w:r>
      <w:r>
        <w:t xml:space="preserve"> of access of users</w:t>
      </w:r>
      <w:r w:rsidR="00AD5AAC">
        <w:t xml:space="preserve"> in </w:t>
      </w:r>
      <w:r w:rsidR="00A60E4B">
        <w:t xml:space="preserve">the </w:t>
      </w:r>
      <w:r w:rsidR="00AD5AAC">
        <w:t>IDST is based on</w:t>
      </w:r>
      <w:r w:rsidR="00B86715">
        <w:t xml:space="preserve"> the following </w:t>
      </w:r>
      <w:r>
        <w:t>s</w:t>
      </w:r>
      <w:r w:rsidR="00B86715">
        <w:t>ervices:</w:t>
      </w:r>
      <w:r>
        <w:t xml:space="preserve"> </w:t>
      </w:r>
      <w:r w:rsidRPr="00060626">
        <w:rPr>
          <w:i/>
        </w:rPr>
        <w:t xml:space="preserve">1- </w:t>
      </w:r>
      <w:r w:rsidR="00AD5AAC" w:rsidRPr="00060626">
        <w:rPr>
          <w:i/>
        </w:rPr>
        <w:t>Local user account authentication (exclusive for admin</w:t>
      </w:r>
      <w:r>
        <w:rPr>
          <w:i/>
        </w:rPr>
        <w:t>istrators</w:t>
      </w:r>
      <w:r w:rsidR="00AD5AAC" w:rsidRPr="00060626">
        <w:rPr>
          <w:i/>
        </w:rPr>
        <w:t>)</w:t>
      </w:r>
      <w:r>
        <w:rPr>
          <w:i/>
        </w:rPr>
        <w:t xml:space="preserve">; </w:t>
      </w:r>
      <w:r w:rsidRPr="00060626">
        <w:rPr>
          <w:i/>
        </w:rPr>
        <w:t xml:space="preserve">and 2- </w:t>
      </w:r>
      <w:r w:rsidR="00AD5AAC" w:rsidRPr="00060626">
        <w:rPr>
          <w:i/>
        </w:rPr>
        <w:t xml:space="preserve">Third party authentication services (for </w:t>
      </w:r>
      <w:r>
        <w:rPr>
          <w:i/>
        </w:rPr>
        <w:t xml:space="preserve">other </w:t>
      </w:r>
      <w:r w:rsidR="00AD5AAC" w:rsidRPr="00060626">
        <w:rPr>
          <w:i/>
        </w:rPr>
        <w:t>users), e.g.</w:t>
      </w:r>
      <w:r w:rsidRPr="00060626">
        <w:rPr>
          <w:i/>
        </w:rPr>
        <w:t xml:space="preserve"> </w:t>
      </w:r>
      <w:r w:rsidR="00AD5AAC" w:rsidRPr="00060626">
        <w:rPr>
          <w:i/>
        </w:rPr>
        <w:t>Google</w:t>
      </w:r>
      <w:r w:rsidRPr="00060626">
        <w:rPr>
          <w:i/>
        </w:rPr>
        <w:t xml:space="preserve">, </w:t>
      </w:r>
      <w:r w:rsidR="00AD5AAC" w:rsidRPr="00060626">
        <w:rPr>
          <w:i/>
        </w:rPr>
        <w:t>Yahoo</w:t>
      </w:r>
      <w:r w:rsidRPr="00060626">
        <w:rPr>
          <w:i/>
        </w:rPr>
        <w:t xml:space="preserve">, </w:t>
      </w:r>
      <w:r w:rsidR="00AD5AAC" w:rsidRPr="00060626">
        <w:rPr>
          <w:i/>
        </w:rPr>
        <w:t>LinkedIn</w:t>
      </w:r>
      <w:r>
        <w:t xml:space="preserve">. </w:t>
      </w:r>
      <w:r w:rsidR="00630F3B">
        <w:t xml:space="preserve">Once the authentication mechanism </w:t>
      </w:r>
      <w:r w:rsidR="00A60E4B">
        <w:t xml:space="preserve">is </w:t>
      </w:r>
      <w:r w:rsidR="00630F3B">
        <w:t>selected</w:t>
      </w:r>
      <w:r w:rsidR="00A60E4B">
        <w:t>,</w:t>
      </w:r>
      <w:r w:rsidR="00630F3B">
        <w:t xml:space="preserve"> the user </w:t>
      </w:r>
      <w:r w:rsidR="00A60E4B">
        <w:t>is</w:t>
      </w:r>
      <w:r w:rsidR="00630F3B">
        <w:t xml:space="preserve"> redirected to the r</w:t>
      </w:r>
      <w:r w:rsidR="00A60E4B">
        <w:t xml:space="preserve">espective site for </w:t>
      </w:r>
      <w:r w:rsidR="00630F3B">
        <w:t>login</w:t>
      </w:r>
      <w:r w:rsidR="007E6144">
        <w:t xml:space="preserve"> </w:t>
      </w:r>
      <w:r w:rsidR="00A60E4B">
        <w:t>in</w:t>
      </w:r>
      <w:r w:rsidR="00630F3B">
        <w:t>. After a successful login</w:t>
      </w:r>
      <w:r>
        <w:t xml:space="preserve">, </w:t>
      </w:r>
      <w:r w:rsidR="00A60E4B">
        <w:t>user</w:t>
      </w:r>
      <w:r>
        <w:t xml:space="preserve">s access the IDST portal </w:t>
      </w:r>
      <w:r w:rsidR="00630F3B">
        <w:t>profile</w:t>
      </w:r>
      <w:r>
        <w:t xml:space="preserve">. The full profile </w:t>
      </w:r>
      <w:r w:rsidR="00630F3B">
        <w:t xml:space="preserve">information is required for </w:t>
      </w:r>
      <w:r>
        <w:t xml:space="preserve">completing user </w:t>
      </w:r>
      <w:r w:rsidR="00630F3B">
        <w:t>authentication. If permission is given</w:t>
      </w:r>
      <w:r>
        <w:t xml:space="preserve"> by the administrator,</w:t>
      </w:r>
      <w:r w:rsidR="00630F3B">
        <w:t xml:space="preserve"> then </w:t>
      </w:r>
      <w:r>
        <w:t xml:space="preserve">the IDST portal </w:t>
      </w:r>
      <w:r w:rsidR="00630F3B">
        <w:t>associate</w:t>
      </w:r>
      <w:r>
        <w:t>s</w:t>
      </w:r>
      <w:r w:rsidR="00630F3B">
        <w:t xml:space="preserve"> the user’s profile with </w:t>
      </w:r>
      <w:r w:rsidR="003965F3">
        <w:t>the provided account details</w:t>
      </w:r>
      <w:r>
        <w:t xml:space="preserve"> and enabled access to the portal</w:t>
      </w:r>
      <w:r w:rsidR="003965F3">
        <w:t>.</w:t>
      </w:r>
    </w:p>
    <w:p w14:paraId="0B3D3C17" w14:textId="22558523" w:rsidR="00891A92" w:rsidRDefault="00891A92" w:rsidP="002B3B17">
      <w:pPr>
        <w:pStyle w:val="heading2"/>
      </w:pPr>
      <w:r>
        <w:t>IDST Dashboard</w:t>
      </w:r>
    </w:p>
    <w:p w14:paraId="6B0C2F0E" w14:textId="5AACC656" w:rsidR="0016073E" w:rsidRDefault="00891A92" w:rsidP="002B3B17">
      <w:r>
        <w:t>After a successful login</w:t>
      </w:r>
      <w:r w:rsidR="00060626">
        <w:t>,</w:t>
      </w:r>
      <w:r>
        <w:t xml:space="preserve"> the user is presented</w:t>
      </w:r>
      <w:r w:rsidR="001B5DB8">
        <w:t xml:space="preserve"> </w:t>
      </w:r>
      <w:r w:rsidR="00060626">
        <w:t xml:space="preserve">with </w:t>
      </w:r>
      <w:r w:rsidR="001B5DB8">
        <w:t xml:space="preserve">the IDST Dashboard page </w:t>
      </w:r>
      <w:r w:rsidR="00060626">
        <w:t>(</w:t>
      </w:r>
      <w:r w:rsidR="001B5DB8">
        <w:fldChar w:fldCharType="begin"/>
      </w:r>
      <w:r w:rsidR="001B5DB8">
        <w:instrText xml:space="preserve"> REF _Ref474251915 \h </w:instrText>
      </w:r>
      <w:r w:rsidR="001B5DB8">
        <w:fldChar w:fldCharType="separate"/>
      </w:r>
      <w:r w:rsidR="00D93D38">
        <w:t>Figure 2</w:t>
      </w:r>
      <w:r w:rsidR="001B5DB8">
        <w:fldChar w:fldCharType="end"/>
      </w:r>
      <w:r w:rsidR="00060626">
        <w:t>). The dashboard enables</w:t>
      </w:r>
      <w:r w:rsidR="001B5DB8">
        <w:t xml:space="preserve"> </w:t>
      </w:r>
      <w:r w:rsidR="00D93D38">
        <w:t>the users</w:t>
      </w:r>
      <w:r w:rsidR="001B5DB8">
        <w:t xml:space="preserve"> to create and manage their own stress tests</w:t>
      </w:r>
      <w:r w:rsidR="00060626">
        <w:t xml:space="preserve"> data</w:t>
      </w:r>
      <w:r w:rsidR="001B5DB8">
        <w:t xml:space="preserve">, as well as </w:t>
      </w:r>
      <w:r w:rsidR="00767AFD">
        <w:t xml:space="preserve">access to </w:t>
      </w:r>
      <w:r w:rsidR="00060626">
        <w:t xml:space="preserve">exemplar </w:t>
      </w:r>
      <w:r w:rsidR="001B5DB8">
        <w:t>case studies.</w:t>
      </w:r>
    </w:p>
    <w:p w14:paraId="480CB5F6" w14:textId="77777777" w:rsidR="0016073E" w:rsidRDefault="0016073E" w:rsidP="002B3B17"/>
    <w:p w14:paraId="7DE923BD" w14:textId="77777777" w:rsidR="0016073E" w:rsidRDefault="0016073E" w:rsidP="002B3B17">
      <w:pPr>
        <w:keepNext/>
        <w:jc w:val="center"/>
      </w:pPr>
      <w:r>
        <w:rPr>
          <w:noProof/>
          <w:lang w:val="en-GB" w:eastAsia="en-GB"/>
        </w:rPr>
        <w:drawing>
          <wp:inline distT="0" distB="0" distL="0" distR="0" wp14:anchorId="61AF1F6B" wp14:editId="2510FBBA">
            <wp:extent cx="3900263" cy="158101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0820" cy="1585289"/>
                    </a:xfrm>
                    <a:prstGeom prst="rect">
                      <a:avLst/>
                    </a:prstGeom>
                  </pic:spPr>
                </pic:pic>
              </a:graphicData>
            </a:graphic>
          </wp:inline>
        </w:drawing>
      </w:r>
    </w:p>
    <w:p w14:paraId="2AAD6780" w14:textId="121FE3CC" w:rsidR="0016073E" w:rsidRDefault="0016073E" w:rsidP="00960D14">
      <w:pPr>
        <w:keepNext/>
        <w:spacing w:before="240"/>
        <w:jc w:val="center"/>
      </w:pPr>
      <w:bookmarkStart w:id="3" w:name="_Ref474251915"/>
      <w:r>
        <w:t xml:space="preserve">Figure </w:t>
      </w:r>
      <w:bookmarkEnd w:id="3"/>
      <w:r w:rsidR="00D93D38">
        <w:t>2</w:t>
      </w:r>
      <w:r w:rsidR="001B5DB8">
        <w:t xml:space="preserve"> IDST Das</w:t>
      </w:r>
      <w:r>
        <w:t>hboard</w:t>
      </w:r>
    </w:p>
    <w:p w14:paraId="6ECBFD88" w14:textId="7AF56299" w:rsidR="0081427D" w:rsidRDefault="0081427D" w:rsidP="002B3B17">
      <w:pPr>
        <w:pStyle w:val="heading2"/>
      </w:pPr>
      <w:r>
        <w:t xml:space="preserve">The </w:t>
      </w:r>
      <w:r w:rsidR="00BE69A0">
        <w:t>IDST</w:t>
      </w:r>
      <w:r>
        <w:t xml:space="preserve"> Process</w:t>
      </w:r>
      <w:r w:rsidR="00BE69A0">
        <w:t xml:space="preserve"> Workflow</w:t>
      </w:r>
      <w:r>
        <w:t xml:space="preserve"> Engine</w:t>
      </w:r>
    </w:p>
    <w:p w14:paraId="15B5477A" w14:textId="1BC5FF23" w:rsidR="0055569A" w:rsidRDefault="0081427D" w:rsidP="002B3B17">
      <w:r>
        <w:t xml:space="preserve">The IDST Process Workflow Engine (PWE) is designed </w:t>
      </w:r>
      <w:r w:rsidR="00C26611">
        <w:t>around</w:t>
      </w:r>
      <w:r>
        <w:t xml:space="preserve"> the Overarching Risk </w:t>
      </w:r>
      <w:r w:rsidR="000C4D48">
        <w:t>Managem</w:t>
      </w:r>
      <w:r w:rsidR="00AD5F5C">
        <w:t>ent</w:t>
      </w:r>
      <w:r w:rsidR="007E6144">
        <w:t xml:space="preserve"> Framework (ORMF) concept</w:t>
      </w:r>
      <w:r w:rsidR="00905787">
        <w:t xml:space="preserve"> </w:t>
      </w:r>
      <w:r w:rsidR="007007A0">
        <w:t>[5</w:t>
      </w:r>
      <w:r w:rsidR="007E6144">
        <w:t>]</w:t>
      </w:r>
      <w:r w:rsidR="007007A0">
        <w:t>, [6]</w:t>
      </w:r>
      <w:r w:rsidR="008472DB">
        <w:t>.</w:t>
      </w:r>
      <w:r w:rsidR="00D93D38">
        <w:t xml:space="preserve"> </w:t>
      </w:r>
      <w:r w:rsidR="008472DB">
        <w:t>The ORMF describes the various steps involved in carrying out a stress tests for an infrastructure network</w:t>
      </w:r>
      <w:r w:rsidR="00905787">
        <w:t xml:space="preserve"> </w:t>
      </w:r>
      <w:r w:rsidR="007007A0">
        <w:t>[7</w:t>
      </w:r>
      <w:r w:rsidR="007E6144">
        <w:t>]</w:t>
      </w:r>
      <w:r w:rsidR="008472DB">
        <w:t>. The ORMF</w:t>
      </w:r>
      <w:r w:rsidR="00D93D38">
        <w:t xml:space="preserve"> </w:t>
      </w:r>
      <w:r>
        <w:t xml:space="preserve">consists of the following </w:t>
      </w:r>
      <w:r w:rsidR="00D93D38">
        <w:t xml:space="preserve">enacting </w:t>
      </w:r>
      <w:r>
        <w:t>steps</w:t>
      </w:r>
      <w:r w:rsidR="00D93D38">
        <w:t xml:space="preserve"> as show</w:t>
      </w:r>
      <w:r w:rsidR="007E6144">
        <w:t>n</w:t>
      </w:r>
      <w:r w:rsidR="00D93D38">
        <w:t xml:space="preserve"> in Figure 3 below</w:t>
      </w:r>
      <w:r>
        <w:t>:</w:t>
      </w:r>
    </w:p>
    <w:p w14:paraId="3F9C3C46" w14:textId="77777777" w:rsidR="0055569A" w:rsidRDefault="0055569A" w:rsidP="002B3B17"/>
    <w:p w14:paraId="6683CED0" w14:textId="44640CC2" w:rsidR="0055569A" w:rsidRDefault="0055569A" w:rsidP="002B3B17">
      <w:r>
        <w:t xml:space="preserve">                              </w:t>
      </w:r>
      <w:r>
        <w:rPr>
          <w:noProof/>
          <w:lang w:val="en-GB" w:eastAsia="en-GB"/>
        </w:rPr>
        <w:drawing>
          <wp:inline distT="0" distB="0" distL="0" distR="0" wp14:anchorId="0AEB2557" wp14:editId="22882E6D">
            <wp:extent cx="2434590" cy="277452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323" cy="2808410"/>
                    </a:xfrm>
                    <a:prstGeom prst="rect">
                      <a:avLst/>
                    </a:prstGeom>
                    <a:noFill/>
                    <a:ln>
                      <a:noFill/>
                    </a:ln>
                  </pic:spPr>
                </pic:pic>
              </a:graphicData>
            </a:graphic>
          </wp:inline>
        </w:drawing>
      </w:r>
    </w:p>
    <w:p w14:paraId="0E4FDF51" w14:textId="5D69D480" w:rsidR="0055569A" w:rsidRDefault="0055569A" w:rsidP="0055569A">
      <w:pPr>
        <w:ind w:left="1416" w:firstLine="708"/>
      </w:pPr>
      <w:r>
        <w:t xml:space="preserve">           Figure 3</w:t>
      </w:r>
      <w:r>
        <w:tab/>
        <w:t xml:space="preserve"> IDST Workflow</w:t>
      </w:r>
    </w:p>
    <w:p w14:paraId="360E7BDA" w14:textId="36B6DC09" w:rsidR="00EB1A19" w:rsidRDefault="00780EA7" w:rsidP="00EB1A19">
      <w:pPr>
        <w:pStyle w:val="heading2"/>
      </w:pPr>
      <w:r>
        <w:t>IDST Data Storage</w:t>
      </w:r>
    </w:p>
    <w:p w14:paraId="64B22772" w14:textId="3949026B" w:rsidR="00EB1A19" w:rsidRDefault="00EB1A19" w:rsidP="004E43F0">
      <w:r>
        <w:t xml:space="preserve">The IDST </w:t>
      </w:r>
      <w:r w:rsidR="00C447BD">
        <w:t>stor</w:t>
      </w:r>
      <w:r w:rsidR="00D93D38">
        <w:t>es</w:t>
      </w:r>
      <w:r w:rsidR="002E52C8">
        <w:t xml:space="preserve"> various datasets</w:t>
      </w:r>
      <w:r>
        <w:t xml:space="preserve"> in</w:t>
      </w:r>
      <w:r w:rsidR="00AD55CB">
        <w:t xml:space="preserve"> its database system</w:t>
      </w:r>
      <w:r w:rsidR="002E52C8">
        <w:t>.</w:t>
      </w:r>
      <w:r w:rsidR="00C447BD">
        <w:t xml:space="preserve"> </w:t>
      </w:r>
      <w:r w:rsidR="00AD55CB">
        <w:t>The</w:t>
      </w:r>
      <w:r w:rsidR="00C447BD">
        <w:t xml:space="preserve"> database system is preloaded with datasets to support the basic case studies, e.g.</w:t>
      </w:r>
      <w:r w:rsidR="00212BDA">
        <w:t xml:space="preserve"> geometry an</w:t>
      </w:r>
      <w:r w:rsidR="00A15A8E">
        <w:t>d</w:t>
      </w:r>
      <w:r w:rsidR="00212BDA">
        <w:t xml:space="preserve"> characteristics of the Northern Italian</w:t>
      </w:r>
      <w:r w:rsidR="00C447BD">
        <w:t xml:space="preserve"> road network. In addition, users can upload the necessary datasets in order to run their own stress tests. Generated results for stress tests can be also exported and used outside the IDST </w:t>
      </w:r>
      <w:r w:rsidR="00AD55CB">
        <w:t xml:space="preserve">workflow </w:t>
      </w:r>
      <w:r w:rsidR="00C447BD">
        <w:t>for further analysis.</w:t>
      </w:r>
      <w:r w:rsidR="004E43F0">
        <w:t xml:space="preserve"> </w:t>
      </w:r>
      <w:r w:rsidR="00C447BD">
        <w:t xml:space="preserve">The type of datasets the IDST system supports are: </w:t>
      </w:r>
    </w:p>
    <w:p w14:paraId="21A024AC" w14:textId="3AB876B9" w:rsidR="00EB1A19" w:rsidRPr="002B3B17" w:rsidRDefault="00EB1A19" w:rsidP="00960D14">
      <w:pPr>
        <w:pStyle w:val="ListParagraph"/>
        <w:numPr>
          <w:ilvl w:val="0"/>
          <w:numId w:val="16"/>
        </w:numPr>
        <w:rPr>
          <w:rFonts w:ascii="Times New Roman" w:hAnsi="Times New Roman" w:cs="Times New Roman"/>
          <w:sz w:val="20"/>
          <w:szCs w:val="20"/>
        </w:rPr>
      </w:pPr>
      <w:r w:rsidRPr="002B3B17">
        <w:rPr>
          <w:rFonts w:ascii="Times New Roman" w:hAnsi="Times New Roman" w:cs="Times New Roman"/>
          <w:sz w:val="20"/>
          <w:szCs w:val="20"/>
        </w:rPr>
        <w:t xml:space="preserve">Infrastructure </w:t>
      </w:r>
      <w:r w:rsidR="00780EA7" w:rsidRPr="002B3B17">
        <w:rPr>
          <w:rFonts w:ascii="Times New Roman" w:hAnsi="Times New Roman" w:cs="Times New Roman"/>
          <w:sz w:val="20"/>
          <w:szCs w:val="20"/>
        </w:rPr>
        <w:t xml:space="preserve">element characteristics such as </w:t>
      </w:r>
      <w:r w:rsidRPr="002B3B17">
        <w:rPr>
          <w:rFonts w:ascii="Times New Roman" w:hAnsi="Times New Roman" w:cs="Times New Roman"/>
          <w:sz w:val="20"/>
          <w:szCs w:val="20"/>
        </w:rPr>
        <w:t>road, rail lines, bridges, tunn</w:t>
      </w:r>
      <w:r w:rsidR="00780EA7" w:rsidRPr="002B3B17">
        <w:rPr>
          <w:rFonts w:ascii="Times New Roman" w:hAnsi="Times New Roman" w:cs="Times New Roman"/>
          <w:sz w:val="20"/>
          <w:szCs w:val="20"/>
        </w:rPr>
        <w:t>els, embankments, intersections, etc.</w:t>
      </w:r>
    </w:p>
    <w:p w14:paraId="17AB8F50" w14:textId="6F424D72" w:rsidR="00EB1A19" w:rsidRPr="002B3B17" w:rsidRDefault="00EB1A19" w:rsidP="00960D14">
      <w:pPr>
        <w:pStyle w:val="ListParagraph"/>
        <w:numPr>
          <w:ilvl w:val="0"/>
          <w:numId w:val="16"/>
        </w:numPr>
        <w:rPr>
          <w:rFonts w:ascii="Times New Roman" w:hAnsi="Times New Roman" w:cs="Times New Roman"/>
          <w:sz w:val="20"/>
          <w:szCs w:val="20"/>
        </w:rPr>
      </w:pPr>
      <w:r w:rsidRPr="002B3B17">
        <w:rPr>
          <w:rFonts w:ascii="Times New Roman" w:hAnsi="Times New Roman" w:cs="Times New Roman"/>
          <w:sz w:val="20"/>
          <w:szCs w:val="20"/>
        </w:rPr>
        <w:t xml:space="preserve">Hazard </w:t>
      </w:r>
      <w:r w:rsidR="00212BDA">
        <w:rPr>
          <w:rFonts w:ascii="Times New Roman" w:hAnsi="Times New Roman" w:cs="Times New Roman"/>
          <w:sz w:val="20"/>
          <w:szCs w:val="20"/>
        </w:rPr>
        <w:t>models/</w:t>
      </w:r>
      <w:r w:rsidRPr="002B3B17">
        <w:rPr>
          <w:rFonts w:ascii="Times New Roman" w:hAnsi="Times New Roman" w:cs="Times New Roman"/>
          <w:sz w:val="20"/>
          <w:szCs w:val="20"/>
        </w:rPr>
        <w:t>maps (</w:t>
      </w:r>
      <w:r w:rsidR="00AD55CB">
        <w:rPr>
          <w:rFonts w:ascii="Times New Roman" w:hAnsi="Times New Roman" w:cs="Times New Roman"/>
          <w:sz w:val="20"/>
          <w:szCs w:val="20"/>
        </w:rPr>
        <w:t xml:space="preserve">e.g. </w:t>
      </w:r>
      <w:r w:rsidRPr="002B3B17">
        <w:rPr>
          <w:rFonts w:ascii="Times New Roman" w:hAnsi="Times New Roman" w:cs="Times New Roman"/>
          <w:sz w:val="20"/>
          <w:szCs w:val="20"/>
        </w:rPr>
        <w:t>seismic, lands</w:t>
      </w:r>
      <w:r w:rsidR="00567BDC">
        <w:rPr>
          <w:rFonts w:ascii="Times New Roman" w:hAnsi="Times New Roman" w:cs="Times New Roman"/>
          <w:sz w:val="20"/>
          <w:szCs w:val="20"/>
        </w:rPr>
        <w:t>l</w:t>
      </w:r>
      <w:r w:rsidRPr="002B3B17">
        <w:rPr>
          <w:rFonts w:ascii="Times New Roman" w:hAnsi="Times New Roman" w:cs="Times New Roman"/>
          <w:sz w:val="20"/>
          <w:szCs w:val="20"/>
        </w:rPr>
        <w:t>ide, flooding)</w:t>
      </w:r>
    </w:p>
    <w:p w14:paraId="2BA5A5B6" w14:textId="20691D4C" w:rsidR="00EB1A19" w:rsidRPr="002B3B17" w:rsidRDefault="00EB1A19" w:rsidP="00960D14">
      <w:pPr>
        <w:pStyle w:val="ListParagraph"/>
        <w:numPr>
          <w:ilvl w:val="0"/>
          <w:numId w:val="16"/>
        </w:numPr>
        <w:rPr>
          <w:rFonts w:ascii="Times New Roman" w:hAnsi="Times New Roman" w:cs="Times New Roman"/>
          <w:sz w:val="20"/>
          <w:szCs w:val="20"/>
        </w:rPr>
      </w:pPr>
      <w:r w:rsidRPr="002B3B17">
        <w:rPr>
          <w:rFonts w:ascii="Times New Roman" w:hAnsi="Times New Roman" w:cs="Times New Roman"/>
          <w:sz w:val="20"/>
          <w:szCs w:val="20"/>
        </w:rPr>
        <w:t>Simulation results</w:t>
      </w:r>
      <w:r w:rsidR="00AD55CB">
        <w:rPr>
          <w:rFonts w:ascii="Times New Roman" w:hAnsi="Times New Roman" w:cs="Times New Roman"/>
          <w:sz w:val="20"/>
          <w:szCs w:val="20"/>
        </w:rPr>
        <w:t xml:space="preserve"> from stress tests</w:t>
      </w:r>
    </w:p>
    <w:p w14:paraId="7E96F5A6" w14:textId="067134BF" w:rsidR="002E52C8" w:rsidRDefault="00EB1A19" w:rsidP="00960D14">
      <w:pPr>
        <w:pStyle w:val="ListParagraph"/>
        <w:numPr>
          <w:ilvl w:val="0"/>
          <w:numId w:val="16"/>
        </w:numPr>
      </w:pPr>
      <w:r w:rsidRPr="002B3B17">
        <w:rPr>
          <w:rFonts w:ascii="Times New Roman" w:hAnsi="Times New Roman" w:cs="Times New Roman"/>
          <w:sz w:val="20"/>
          <w:szCs w:val="20"/>
        </w:rPr>
        <w:t>Analysis results</w:t>
      </w:r>
    </w:p>
    <w:p w14:paraId="188ED50F" w14:textId="77777777" w:rsidR="00EB1A19" w:rsidRDefault="00EB1A19" w:rsidP="00EB1A19">
      <w:pPr>
        <w:pStyle w:val="heading2"/>
      </w:pPr>
      <w:r>
        <w:t>IDST Models</w:t>
      </w:r>
    </w:p>
    <w:p w14:paraId="3F645649" w14:textId="5BF1B449" w:rsidR="006A278D" w:rsidRPr="004E43F0" w:rsidRDefault="00567BDC" w:rsidP="004E43F0">
      <w:pPr>
        <w:rPr>
          <w:rFonts w:asciiTheme="minorHAnsi" w:hAnsiTheme="minorHAnsi" w:cs="Arial"/>
          <w:sz w:val="22"/>
          <w:szCs w:val="22"/>
        </w:rPr>
      </w:pPr>
      <w:r>
        <w:t>The r</w:t>
      </w:r>
      <w:r w:rsidR="00EB1A19" w:rsidRPr="00567BDC">
        <w:t xml:space="preserve">isk evaluation in </w:t>
      </w:r>
      <w:r w:rsidR="00D93D38" w:rsidRPr="00567BDC">
        <w:t xml:space="preserve">the </w:t>
      </w:r>
      <w:r w:rsidR="00EB1A19" w:rsidRPr="00567BDC">
        <w:t>IDST</w:t>
      </w:r>
      <w:r w:rsidR="00EB1A19">
        <w:t xml:space="preserve"> is based on </w:t>
      </w:r>
      <w:r>
        <w:t xml:space="preserve">specialized models which </w:t>
      </w:r>
      <w:r w:rsidR="00EB1A19">
        <w:t xml:space="preserve">are pluggable modules that </w:t>
      </w:r>
      <w:r>
        <w:t xml:space="preserve">compute </w:t>
      </w:r>
      <w:r w:rsidR="001E0A64">
        <w:t xml:space="preserve">transport network elements </w:t>
      </w:r>
      <w:r>
        <w:t>of</w:t>
      </w:r>
      <w:r w:rsidR="00EB1A19">
        <w:t xml:space="preserve"> </w:t>
      </w:r>
      <w:r>
        <w:t>various s</w:t>
      </w:r>
      <w:r w:rsidR="00EB1A19">
        <w:t>tages of the IDS</w:t>
      </w:r>
      <w:r>
        <w:t>T workflow. These</w:t>
      </w:r>
      <w:r w:rsidR="00EB1A19">
        <w:t xml:space="preserve"> </w:t>
      </w:r>
      <w:r>
        <w:t>are</w:t>
      </w:r>
      <w:r w:rsidR="00EB1A19">
        <w:t xml:space="preserve"> classified into </w:t>
      </w:r>
      <w:r w:rsidR="00212BDA">
        <w:t xml:space="preserve">(a) </w:t>
      </w:r>
      <w:r w:rsidR="00EB1A19">
        <w:t xml:space="preserve">hazard and </w:t>
      </w:r>
      <w:r w:rsidR="00212BDA">
        <w:t xml:space="preserve">(b) vulnerability </w:t>
      </w:r>
      <w:r w:rsidR="00EB1A19">
        <w:t>models.</w:t>
      </w:r>
      <w:r w:rsidR="004E43F0">
        <w:t xml:space="preserve"> </w:t>
      </w:r>
      <w:r w:rsidRPr="004E43F0">
        <w:rPr>
          <w:b/>
        </w:rPr>
        <w:t>Hazard M</w:t>
      </w:r>
      <w:r w:rsidR="00EB1A19" w:rsidRPr="004E43F0">
        <w:rPr>
          <w:b/>
        </w:rPr>
        <w:t>odels</w:t>
      </w:r>
      <w:r w:rsidRPr="004E43F0">
        <w:t xml:space="preserve"> </w:t>
      </w:r>
      <w:r w:rsidR="00EB1A19" w:rsidRPr="004E43F0">
        <w:t xml:space="preserve">provide </w:t>
      </w:r>
      <w:r w:rsidR="00212BDA">
        <w:t xml:space="preserve">information derived from numerical models of different hazards. This information specifies the relevant intensity levels, depending on the model inputs specified by the user for a particular scenario. </w:t>
      </w:r>
      <w:r>
        <w:rPr>
          <w:b/>
        </w:rPr>
        <w:t>Network M</w:t>
      </w:r>
      <w:r w:rsidR="008C01F8" w:rsidRPr="00567BDC">
        <w:rPr>
          <w:b/>
        </w:rPr>
        <w:t>odels</w:t>
      </w:r>
      <w:r w:rsidR="006A278D" w:rsidRPr="00567BDC">
        <w:rPr>
          <w:b/>
        </w:rPr>
        <w:t xml:space="preserve"> </w:t>
      </w:r>
      <w:r w:rsidR="008C01F8" w:rsidRPr="00F972E8">
        <w:t xml:space="preserve">estimate the probability of </w:t>
      </w:r>
      <w:r w:rsidR="00212BDA">
        <w:t>the various infrastructure elements experiencing different levels of damage, given the occurrence of a particular hazard scenario</w:t>
      </w:r>
      <w:r>
        <w:t xml:space="preserve">. During this step, </w:t>
      </w:r>
      <w:r w:rsidR="008C01F8" w:rsidRPr="00F972E8">
        <w:t>fragility curves</w:t>
      </w:r>
      <w:r w:rsidR="00366995">
        <w:t xml:space="preserve"> </w:t>
      </w:r>
      <w:r w:rsidR="00366995" w:rsidRPr="00567BDC">
        <w:t>(</w:t>
      </w:r>
      <w:r w:rsidR="00366995" w:rsidRPr="00567BDC">
        <w:fldChar w:fldCharType="begin"/>
      </w:r>
      <w:r w:rsidR="00366995" w:rsidRPr="00567BDC">
        <w:instrText xml:space="preserve"> REF _Ref474263513 \h </w:instrText>
      </w:r>
      <w:r w:rsidRPr="00567BDC">
        <w:instrText xml:space="preserve"> \* MERGEFORMAT </w:instrText>
      </w:r>
      <w:r w:rsidR="00366995" w:rsidRPr="00567BDC">
        <w:fldChar w:fldCharType="separate"/>
      </w:r>
      <w:r w:rsidR="00D40EB6">
        <w:t xml:space="preserve">Figure </w:t>
      </w:r>
      <w:r w:rsidR="00366995" w:rsidRPr="00567BDC">
        <w:fldChar w:fldCharType="end"/>
      </w:r>
      <w:r>
        <w:t>4</w:t>
      </w:r>
      <w:r w:rsidR="00366995" w:rsidRPr="00567BDC">
        <w:t>)</w:t>
      </w:r>
      <w:r w:rsidR="008C01F8" w:rsidRPr="00567BDC">
        <w:t xml:space="preserve"> are assigned to </w:t>
      </w:r>
      <w:r>
        <w:t xml:space="preserve">the </w:t>
      </w:r>
      <w:r w:rsidR="008C01F8" w:rsidRPr="00567BDC">
        <w:t>network elements</w:t>
      </w:r>
      <w:r w:rsidR="00752B87">
        <w:t>. Fragility curves, specific to a particular infrastructure element (e.g. bridge, tunnel, road segment, etc.), describe the vulnerability of that element to a particular hazard</w:t>
      </w:r>
      <w:r w:rsidR="007007A0">
        <w:t xml:space="preserve"> [8]</w:t>
      </w:r>
      <w:r w:rsidR="00752B87">
        <w:t xml:space="preserve">. In </w:t>
      </w:r>
      <w:r w:rsidR="008C01F8" w:rsidRPr="00567BDC">
        <w:t>order to estimate the probability of having</w:t>
      </w:r>
      <w:r>
        <w:t xml:space="preserve"> a defined Damage State (DS) in </w:t>
      </w:r>
      <w:r w:rsidR="008C01F8" w:rsidRPr="00567BDC">
        <w:t>a</w:t>
      </w:r>
      <w:r w:rsidR="00752B87">
        <w:t>ny given</w:t>
      </w:r>
      <w:r w:rsidR="008C01F8" w:rsidRPr="00567BDC">
        <w:t xml:space="preserve"> network element</w:t>
      </w:r>
      <w:r w:rsidR="00752B87">
        <w:t xml:space="preserve">, these fragility curves are used, in combination with the information from the hazard models, to estimate the likelihood of experiencing different levels of damage. </w:t>
      </w:r>
      <w:r w:rsidR="008B1394" w:rsidRPr="00567BDC">
        <w:fldChar w:fldCharType="begin"/>
      </w:r>
      <w:r w:rsidR="008B1394" w:rsidRPr="00567BDC">
        <w:instrText xml:space="preserve"> REF _Ref474263341 \h </w:instrText>
      </w:r>
      <w:r w:rsidRPr="00567BDC">
        <w:instrText xml:space="preserve"> \* MERGEFORMAT </w:instrText>
      </w:r>
      <w:r w:rsidR="008B1394" w:rsidRPr="00567BDC">
        <w:fldChar w:fldCharType="separate"/>
      </w:r>
      <w:r w:rsidR="008B1394" w:rsidRPr="00567BDC">
        <w:t xml:space="preserve">Table </w:t>
      </w:r>
      <w:r w:rsidR="008B1394" w:rsidRPr="00567BDC">
        <w:rPr>
          <w:noProof/>
        </w:rPr>
        <w:t>1</w:t>
      </w:r>
      <w:r w:rsidR="008B1394" w:rsidRPr="00567BDC">
        <w:fldChar w:fldCharType="end"/>
      </w:r>
      <w:r w:rsidR="008B1394" w:rsidRPr="00567BDC">
        <w:t xml:space="preserve"> </w:t>
      </w:r>
      <w:r w:rsidR="00752B87">
        <w:t>provides an overview of the typical damages states considered.</w:t>
      </w:r>
      <w:r w:rsidR="008C01F8" w:rsidRPr="00F972E8">
        <w:t xml:space="preserve"> </w:t>
      </w:r>
    </w:p>
    <w:p w14:paraId="31A854BF" w14:textId="77777777" w:rsidR="004E43F0" w:rsidRDefault="004E43F0" w:rsidP="004E43F0">
      <w:pPr>
        <w:pStyle w:val="ListParagraph"/>
        <w:numPr>
          <w:ilvl w:val="0"/>
          <w:numId w:val="0"/>
        </w:numPr>
        <w:ind w:left="947"/>
        <w:rPr>
          <w:rFonts w:ascii="Times New Roman" w:hAnsi="Times New Roman" w:cs="Times New Roman"/>
          <w:b/>
          <w:sz w:val="20"/>
          <w:szCs w:val="20"/>
        </w:rPr>
      </w:pPr>
    </w:p>
    <w:p w14:paraId="1E958FC3" w14:textId="5452E9EA" w:rsidR="004E43F0" w:rsidRDefault="004E43F0" w:rsidP="004E43F0">
      <w:pPr>
        <w:pStyle w:val="ListParagraph"/>
        <w:numPr>
          <w:ilvl w:val="0"/>
          <w:numId w:val="0"/>
        </w:numPr>
        <w:ind w:left="947"/>
      </w:pPr>
      <w:r>
        <w:t xml:space="preserve">            </w:t>
      </w:r>
      <w:r>
        <w:rPr>
          <w:noProof/>
          <w:lang w:val="en-GB" w:eastAsia="en-GB"/>
        </w:rPr>
        <w:drawing>
          <wp:inline distT="0" distB="0" distL="0" distR="0" wp14:anchorId="51E5F1E4" wp14:editId="1907BE1E">
            <wp:extent cx="2617579" cy="118052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ilit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144" cy="1198366"/>
                    </a:xfrm>
                    <a:prstGeom prst="rect">
                      <a:avLst/>
                    </a:prstGeom>
                  </pic:spPr>
                </pic:pic>
              </a:graphicData>
            </a:graphic>
          </wp:inline>
        </w:drawing>
      </w:r>
    </w:p>
    <w:p w14:paraId="5C74EA5C" w14:textId="7D099A8D" w:rsidR="004E43F0" w:rsidRDefault="004E43F0" w:rsidP="004E43F0">
      <w:pPr>
        <w:keepNext/>
        <w:spacing w:before="240"/>
        <w:jc w:val="center"/>
      </w:pPr>
      <w:bookmarkStart w:id="4" w:name="_Ref474263513"/>
      <w:r>
        <w:t xml:space="preserve">Figure </w:t>
      </w:r>
      <w:bookmarkEnd w:id="4"/>
      <w:r>
        <w:t>4 Illustrative bridge element fragility curves</w:t>
      </w:r>
    </w:p>
    <w:p w14:paraId="2DF60D2E" w14:textId="77777777" w:rsidR="004E43F0" w:rsidRDefault="004E43F0" w:rsidP="004E43F0">
      <w:pPr>
        <w:keepNext/>
        <w:spacing w:before="240"/>
        <w:jc w:val="center"/>
      </w:pPr>
    </w:p>
    <w:tbl>
      <w:tblPr>
        <w:tblStyle w:val="TableGrid"/>
        <w:tblW w:w="0" w:type="auto"/>
        <w:tblInd w:w="1129" w:type="dxa"/>
        <w:tblLook w:val="04A0" w:firstRow="1" w:lastRow="0" w:firstColumn="1" w:lastColumn="0" w:noHBand="0" w:noVBand="1"/>
      </w:tblPr>
      <w:tblGrid>
        <w:gridCol w:w="394"/>
        <w:gridCol w:w="1554"/>
        <w:gridCol w:w="3313"/>
      </w:tblGrid>
      <w:tr w:rsidR="006A278D" w:rsidRPr="00567BDC" w14:paraId="7FC8EF88" w14:textId="77777777" w:rsidTr="004E43F0">
        <w:trPr>
          <w:trHeight w:val="246"/>
        </w:trPr>
        <w:tc>
          <w:tcPr>
            <w:tcW w:w="394" w:type="dxa"/>
          </w:tcPr>
          <w:p w14:paraId="074EF46E" w14:textId="77777777" w:rsidR="006A278D" w:rsidRPr="00567BDC" w:rsidRDefault="006A278D" w:rsidP="009B238F">
            <w:pPr>
              <w:pStyle w:val="ListParagraph"/>
              <w:numPr>
                <w:ilvl w:val="0"/>
                <w:numId w:val="0"/>
              </w:numPr>
              <w:rPr>
                <w:rFonts w:ascii="Times New Roman" w:hAnsi="Times New Roman" w:cs="Times New Roman"/>
                <w:sz w:val="20"/>
                <w:szCs w:val="20"/>
              </w:rPr>
            </w:pPr>
          </w:p>
        </w:tc>
        <w:tc>
          <w:tcPr>
            <w:tcW w:w="1554" w:type="dxa"/>
          </w:tcPr>
          <w:p w14:paraId="7B03E57E" w14:textId="77777777" w:rsidR="006A278D" w:rsidRPr="00567BDC" w:rsidRDefault="006A278D" w:rsidP="004E43F0">
            <w:pPr>
              <w:pStyle w:val="ListParagraph"/>
              <w:numPr>
                <w:ilvl w:val="0"/>
                <w:numId w:val="0"/>
              </w:numPr>
              <w:jc w:val="center"/>
              <w:rPr>
                <w:rFonts w:ascii="Times New Roman" w:hAnsi="Times New Roman" w:cs="Times New Roman"/>
                <w:b/>
                <w:sz w:val="20"/>
                <w:szCs w:val="20"/>
              </w:rPr>
            </w:pPr>
            <w:r w:rsidRPr="00567BDC">
              <w:rPr>
                <w:rFonts w:ascii="Times New Roman" w:hAnsi="Times New Roman" w:cs="Times New Roman"/>
                <w:b/>
                <w:sz w:val="20"/>
                <w:szCs w:val="20"/>
              </w:rPr>
              <w:t>Damage State</w:t>
            </w:r>
          </w:p>
        </w:tc>
        <w:tc>
          <w:tcPr>
            <w:tcW w:w="3313" w:type="dxa"/>
          </w:tcPr>
          <w:p w14:paraId="5F880231" w14:textId="77777777" w:rsidR="006A278D" w:rsidRPr="00567BDC" w:rsidRDefault="006A278D" w:rsidP="004E43F0">
            <w:pPr>
              <w:pStyle w:val="ListParagraph"/>
              <w:numPr>
                <w:ilvl w:val="0"/>
                <w:numId w:val="0"/>
              </w:numPr>
              <w:jc w:val="center"/>
              <w:rPr>
                <w:rFonts w:ascii="Times New Roman" w:hAnsi="Times New Roman" w:cs="Times New Roman"/>
                <w:b/>
                <w:sz w:val="20"/>
                <w:szCs w:val="20"/>
              </w:rPr>
            </w:pPr>
            <w:r w:rsidRPr="00567BDC">
              <w:rPr>
                <w:rFonts w:ascii="Times New Roman" w:hAnsi="Times New Roman" w:cs="Times New Roman"/>
                <w:b/>
                <w:sz w:val="20"/>
                <w:szCs w:val="20"/>
              </w:rPr>
              <w:t>Description</w:t>
            </w:r>
          </w:p>
        </w:tc>
      </w:tr>
      <w:tr w:rsidR="006A278D" w:rsidRPr="00567BDC" w14:paraId="25E43E8F" w14:textId="77777777" w:rsidTr="004E43F0">
        <w:trPr>
          <w:trHeight w:val="246"/>
        </w:trPr>
        <w:tc>
          <w:tcPr>
            <w:tcW w:w="394" w:type="dxa"/>
          </w:tcPr>
          <w:p w14:paraId="5A9A3D86" w14:textId="77777777" w:rsidR="006A278D" w:rsidRPr="00567BDC" w:rsidRDefault="006A278D" w:rsidP="009B238F">
            <w:pPr>
              <w:pStyle w:val="ListParagraph"/>
              <w:numPr>
                <w:ilvl w:val="0"/>
                <w:numId w:val="0"/>
              </w:numPr>
              <w:rPr>
                <w:rFonts w:ascii="Times New Roman" w:hAnsi="Times New Roman" w:cs="Times New Roman"/>
                <w:b/>
                <w:sz w:val="20"/>
                <w:szCs w:val="20"/>
              </w:rPr>
            </w:pPr>
            <w:r w:rsidRPr="00567BDC">
              <w:rPr>
                <w:rFonts w:ascii="Times New Roman" w:hAnsi="Times New Roman" w:cs="Times New Roman"/>
                <w:b/>
                <w:sz w:val="20"/>
                <w:szCs w:val="20"/>
              </w:rPr>
              <w:t>0</w:t>
            </w:r>
          </w:p>
        </w:tc>
        <w:tc>
          <w:tcPr>
            <w:tcW w:w="1554" w:type="dxa"/>
          </w:tcPr>
          <w:p w14:paraId="6A37271A"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DS0</w:t>
            </w:r>
          </w:p>
        </w:tc>
        <w:tc>
          <w:tcPr>
            <w:tcW w:w="3313" w:type="dxa"/>
          </w:tcPr>
          <w:p w14:paraId="60E40016"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No damage</w:t>
            </w:r>
          </w:p>
        </w:tc>
      </w:tr>
      <w:tr w:rsidR="006A278D" w:rsidRPr="00567BDC" w14:paraId="0345845D" w14:textId="77777777" w:rsidTr="004E43F0">
        <w:trPr>
          <w:trHeight w:val="246"/>
        </w:trPr>
        <w:tc>
          <w:tcPr>
            <w:tcW w:w="394" w:type="dxa"/>
          </w:tcPr>
          <w:p w14:paraId="4040C360" w14:textId="77777777" w:rsidR="006A278D" w:rsidRPr="00567BDC" w:rsidRDefault="006A278D" w:rsidP="009B238F">
            <w:pPr>
              <w:pStyle w:val="ListParagraph"/>
              <w:numPr>
                <w:ilvl w:val="0"/>
                <w:numId w:val="0"/>
              </w:numPr>
              <w:rPr>
                <w:rFonts w:ascii="Times New Roman" w:hAnsi="Times New Roman" w:cs="Times New Roman"/>
                <w:b/>
                <w:sz w:val="20"/>
                <w:szCs w:val="20"/>
              </w:rPr>
            </w:pPr>
            <w:r w:rsidRPr="00567BDC">
              <w:rPr>
                <w:rFonts w:ascii="Times New Roman" w:hAnsi="Times New Roman" w:cs="Times New Roman"/>
                <w:b/>
                <w:sz w:val="20"/>
                <w:szCs w:val="20"/>
              </w:rPr>
              <w:t>1</w:t>
            </w:r>
          </w:p>
        </w:tc>
        <w:tc>
          <w:tcPr>
            <w:tcW w:w="1554" w:type="dxa"/>
          </w:tcPr>
          <w:p w14:paraId="0F940209"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DS1</w:t>
            </w:r>
          </w:p>
        </w:tc>
        <w:tc>
          <w:tcPr>
            <w:tcW w:w="3313" w:type="dxa"/>
          </w:tcPr>
          <w:p w14:paraId="3C1EC3AC"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Slight / minor damage</w:t>
            </w:r>
          </w:p>
        </w:tc>
      </w:tr>
      <w:tr w:rsidR="006A278D" w:rsidRPr="00567BDC" w14:paraId="1FB1F8F7" w14:textId="77777777" w:rsidTr="004E43F0">
        <w:trPr>
          <w:trHeight w:val="246"/>
        </w:trPr>
        <w:tc>
          <w:tcPr>
            <w:tcW w:w="394" w:type="dxa"/>
          </w:tcPr>
          <w:p w14:paraId="1CF3A653" w14:textId="77777777" w:rsidR="006A278D" w:rsidRPr="00567BDC" w:rsidRDefault="006A278D" w:rsidP="009B238F">
            <w:pPr>
              <w:pStyle w:val="ListParagraph"/>
              <w:numPr>
                <w:ilvl w:val="0"/>
                <w:numId w:val="0"/>
              </w:numPr>
              <w:rPr>
                <w:rFonts w:ascii="Times New Roman" w:hAnsi="Times New Roman" w:cs="Times New Roman"/>
                <w:b/>
                <w:sz w:val="20"/>
                <w:szCs w:val="20"/>
              </w:rPr>
            </w:pPr>
            <w:r w:rsidRPr="00567BDC">
              <w:rPr>
                <w:rFonts w:ascii="Times New Roman" w:hAnsi="Times New Roman" w:cs="Times New Roman"/>
                <w:b/>
                <w:sz w:val="20"/>
                <w:szCs w:val="20"/>
              </w:rPr>
              <w:t>2</w:t>
            </w:r>
          </w:p>
        </w:tc>
        <w:tc>
          <w:tcPr>
            <w:tcW w:w="1554" w:type="dxa"/>
          </w:tcPr>
          <w:p w14:paraId="4A407D05"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DS2</w:t>
            </w:r>
          </w:p>
        </w:tc>
        <w:tc>
          <w:tcPr>
            <w:tcW w:w="3313" w:type="dxa"/>
          </w:tcPr>
          <w:p w14:paraId="27090282"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Moderate damage</w:t>
            </w:r>
          </w:p>
        </w:tc>
      </w:tr>
      <w:tr w:rsidR="006A278D" w:rsidRPr="00567BDC" w14:paraId="040A44BA" w14:textId="77777777" w:rsidTr="004E43F0">
        <w:trPr>
          <w:trHeight w:val="246"/>
        </w:trPr>
        <w:tc>
          <w:tcPr>
            <w:tcW w:w="394" w:type="dxa"/>
          </w:tcPr>
          <w:p w14:paraId="09A8D701" w14:textId="77777777" w:rsidR="006A278D" w:rsidRPr="00567BDC" w:rsidRDefault="006A278D" w:rsidP="009B238F">
            <w:pPr>
              <w:pStyle w:val="ListParagraph"/>
              <w:numPr>
                <w:ilvl w:val="0"/>
                <w:numId w:val="0"/>
              </w:numPr>
              <w:rPr>
                <w:rFonts w:ascii="Times New Roman" w:hAnsi="Times New Roman" w:cs="Times New Roman"/>
                <w:b/>
                <w:sz w:val="20"/>
                <w:szCs w:val="20"/>
              </w:rPr>
            </w:pPr>
            <w:r w:rsidRPr="00567BDC">
              <w:rPr>
                <w:rFonts w:ascii="Times New Roman" w:hAnsi="Times New Roman" w:cs="Times New Roman"/>
                <w:b/>
                <w:sz w:val="20"/>
                <w:szCs w:val="20"/>
              </w:rPr>
              <w:t>3</w:t>
            </w:r>
          </w:p>
        </w:tc>
        <w:tc>
          <w:tcPr>
            <w:tcW w:w="1554" w:type="dxa"/>
          </w:tcPr>
          <w:p w14:paraId="2D4CE87A"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DS3</w:t>
            </w:r>
          </w:p>
        </w:tc>
        <w:tc>
          <w:tcPr>
            <w:tcW w:w="3313" w:type="dxa"/>
          </w:tcPr>
          <w:p w14:paraId="7A7F631D"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Extensive/major/severe damage</w:t>
            </w:r>
          </w:p>
        </w:tc>
      </w:tr>
      <w:tr w:rsidR="006A278D" w:rsidRPr="00567BDC" w14:paraId="5298C7D5" w14:textId="77777777" w:rsidTr="004E43F0">
        <w:trPr>
          <w:trHeight w:val="246"/>
        </w:trPr>
        <w:tc>
          <w:tcPr>
            <w:tcW w:w="394" w:type="dxa"/>
          </w:tcPr>
          <w:p w14:paraId="18FB4A58" w14:textId="77777777" w:rsidR="006A278D" w:rsidRPr="00567BDC" w:rsidRDefault="006A278D" w:rsidP="009B238F">
            <w:pPr>
              <w:pStyle w:val="ListParagraph"/>
              <w:numPr>
                <w:ilvl w:val="0"/>
                <w:numId w:val="0"/>
              </w:numPr>
              <w:rPr>
                <w:rFonts w:ascii="Times New Roman" w:hAnsi="Times New Roman" w:cs="Times New Roman"/>
                <w:b/>
                <w:sz w:val="20"/>
                <w:szCs w:val="20"/>
              </w:rPr>
            </w:pPr>
            <w:r w:rsidRPr="00567BDC">
              <w:rPr>
                <w:rFonts w:ascii="Times New Roman" w:hAnsi="Times New Roman" w:cs="Times New Roman"/>
                <w:b/>
                <w:sz w:val="20"/>
                <w:szCs w:val="20"/>
              </w:rPr>
              <w:t>4</w:t>
            </w:r>
          </w:p>
        </w:tc>
        <w:tc>
          <w:tcPr>
            <w:tcW w:w="1554" w:type="dxa"/>
          </w:tcPr>
          <w:p w14:paraId="7B5FE356"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DS4</w:t>
            </w:r>
          </w:p>
        </w:tc>
        <w:tc>
          <w:tcPr>
            <w:tcW w:w="3313" w:type="dxa"/>
          </w:tcPr>
          <w:p w14:paraId="28A1647D" w14:textId="77777777" w:rsidR="006A278D" w:rsidRPr="00567BDC" w:rsidRDefault="006A278D" w:rsidP="004E43F0">
            <w:pPr>
              <w:pStyle w:val="ListParagraph"/>
              <w:numPr>
                <w:ilvl w:val="0"/>
                <w:numId w:val="0"/>
              </w:numPr>
              <w:jc w:val="center"/>
              <w:rPr>
                <w:rFonts w:ascii="Times New Roman" w:hAnsi="Times New Roman" w:cs="Times New Roman"/>
                <w:sz w:val="20"/>
                <w:szCs w:val="20"/>
              </w:rPr>
            </w:pPr>
            <w:r w:rsidRPr="00567BDC">
              <w:rPr>
                <w:rFonts w:ascii="Times New Roman" w:hAnsi="Times New Roman" w:cs="Times New Roman"/>
                <w:sz w:val="20"/>
                <w:szCs w:val="20"/>
              </w:rPr>
              <w:t>Complete damage/collapse/failure</w:t>
            </w:r>
          </w:p>
        </w:tc>
      </w:tr>
    </w:tbl>
    <w:p w14:paraId="13EF799A" w14:textId="77777777" w:rsidR="004E43F0" w:rsidRDefault="00567BDC" w:rsidP="00567BDC">
      <w:pPr>
        <w:ind w:left="2124" w:firstLine="0"/>
      </w:pPr>
      <w:bookmarkStart w:id="5" w:name="_Ref474263341"/>
      <w:r>
        <w:t xml:space="preserve">         </w:t>
      </w:r>
    </w:p>
    <w:p w14:paraId="4A37079A" w14:textId="7F85DDF9" w:rsidR="006A278D" w:rsidRPr="00567BDC" w:rsidRDefault="004E43F0" w:rsidP="004E43F0">
      <w:pPr>
        <w:ind w:left="2124" w:firstLine="0"/>
      </w:pPr>
      <w:r>
        <w:t xml:space="preserve">    </w:t>
      </w:r>
      <w:r w:rsidR="00567BDC" w:rsidRPr="00567BDC">
        <w:t xml:space="preserve">Table </w:t>
      </w:r>
      <w:fldSimple w:instr=" SEQ Table \* ARABIC ">
        <w:r w:rsidR="00567BDC" w:rsidRPr="00567BDC">
          <w:rPr>
            <w:noProof/>
          </w:rPr>
          <w:t>1</w:t>
        </w:r>
      </w:fldSimple>
      <w:bookmarkEnd w:id="5"/>
      <w:r w:rsidR="00567BDC" w:rsidRPr="00567BDC">
        <w:t xml:space="preserve"> Damage State (DS)</w:t>
      </w:r>
    </w:p>
    <w:p w14:paraId="15915593" w14:textId="03A108BF" w:rsidR="00C50748" w:rsidRDefault="00C50748" w:rsidP="0062707D">
      <w:pPr>
        <w:pStyle w:val="heading2"/>
      </w:pPr>
      <w:r>
        <w:t>Network Element Characteristics</w:t>
      </w:r>
    </w:p>
    <w:p w14:paraId="563E570E" w14:textId="5825B77A" w:rsidR="00C50748" w:rsidRPr="0062707D" w:rsidRDefault="00C50748" w:rsidP="0062707D">
      <w:r>
        <w:t xml:space="preserve">The user must define the individual characteristics for each type of element being considered within the stress test. These characteristics must be defined for each hazard that is deemed to affect the different types of elements on the </w:t>
      </w:r>
      <w:r w:rsidR="004E539B">
        <w:t>network</w:t>
      </w:r>
      <w:r>
        <w:t xml:space="preserve"> (hazards will affect different types of elements in different ways). </w:t>
      </w:r>
      <w:r w:rsidR="006A68D2" w:rsidRPr="006A68D2">
        <w:t xml:space="preserve">For example, the user might choose to consider the effect of ground acceleration (from an earthquake) on bridges, or the effect of landslides on road segments. In each case, the appropriate hazard models and vulnerability models must be available within the IDST. </w:t>
      </w:r>
      <w:r>
        <w:t>Once the characteristics have been defined the user proceed</w:t>
      </w:r>
      <w:r w:rsidR="004E539B">
        <w:t>s</w:t>
      </w:r>
      <w:r>
        <w:t xml:space="preserve"> by clicking the "Upload Network Elements"</w:t>
      </w:r>
      <w:r w:rsidR="006A68D2">
        <w:t xml:space="preserve"> button</w:t>
      </w:r>
      <w:r>
        <w:t>.</w:t>
      </w:r>
    </w:p>
    <w:p w14:paraId="18410E17" w14:textId="093329E1" w:rsidR="00683B63" w:rsidRPr="00C84EBE" w:rsidRDefault="00260573" w:rsidP="00960D14">
      <w:pPr>
        <w:pStyle w:val="heading2"/>
        <w:numPr>
          <w:ilvl w:val="2"/>
          <w:numId w:val="7"/>
        </w:numPr>
      </w:pPr>
      <w:r w:rsidRPr="00C84EBE">
        <w:t>The IDST Hazard Scenario</w:t>
      </w:r>
    </w:p>
    <w:p w14:paraId="5B3A2013" w14:textId="66A5D426" w:rsidR="00085A78" w:rsidRDefault="005E1037" w:rsidP="00085A78">
      <w:r>
        <w:t xml:space="preserve">The IDST hazard scenario </w:t>
      </w:r>
      <w:r w:rsidR="00683B63">
        <w:t xml:space="preserve">is </w:t>
      </w:r>
      <w:r w:rsidR="00085A78">
        <w:t xml:space="preserve">used </w:t>
      </w:r>
      <w:r w:rsidR="00683B63">
        <w:t>to</w:t>
      </w:r>
      <w:r w:rsidR="006A68D2">
        <w:t xml:space="preserve"> defin</w:t>
      </w:r>
      <w:r>
        <w:t xml:space="preserve">e a set of cascading hazard events </w:t>
      </w:r>
      <w:r w:rsidR="006A68D2">
        <w:t xml:space="preserve">to be considered </w:t>
      </w:r>
      <w:r>
        <w:t>for a particular stress test.</w:t>
      </w:r>
      <w:r w:rsidR="00085A78">
        <w:t xml:space="preserve"> In particular</w:t>
      </w:r>
      <w:r w:rsidR="004E539B">
        <w:t>,</w:t>
      </w:r>
      <w:r w:rsidR="00085A78">
        <w:t xml:space="preserve"> a hazard event is the combination of </w:t>
      </w:r>
      <w:r w:rsidR="006A68D2">
        <w:t>(</w:t>
      </w:r>
      <w:r w:rsidR="00FF2086">
        <w:t xml:space="preserve">a) </w:t>
      </w:r>
      <w:r w:rsidR="006A68D2">
        <w:t>a</w:t>
      </w:r>
      <w:r w:rsidR="00085A78">
        <w:t xml:space="preserve"> </w:t>
      </w:r>
      <w:r w:rsidR="00FF2086">
        <w:t xml:space="preserve">hazard </w:t>
      </w:r>
      <w:r w:rsidR="00085A78">
        <w:t>source</w:t>
      </w:r>
      <w:r w:rsidR="00FF2086">
        <w:t>, e.g. an earthquake</w:t>
      </w:r>
      <w:r w:rsidR="00C84EBE">
        <w:t xml:space="preserve">; </w:t>
      </w:r>
      <w:r w:rsidR="006A68D2">
        <w:t>(b) a</w:t>
      </w:r>
      <w:r w:rsidR="00FF2086">
        <w:t xml:space="preserve"> hazard</w:t>
      </w:r>
      <w:r w:rsidR="00085A78">
        <w:t xml:space="preserve"> event</w:t>
      </w:r>
      <w:r w:rsidR="00FF2086">
        <w:t xml:space="preserve">, e.g. a ground </w:t>
      </w:r>
      <w:r w:rsidR="006A68D2">
        <w:t>shaking caused by the earthquake</w:t>
      </w:r>
      <w:r w:rsidR="00C84EBE">
        <w:t>;</w:t>
      </w:r>
      <w:r w:rsidR="00FF2086">
        <w:t xml:space="preserve"> and </w:t>
      </w:r>
      <w:r w:rsidR="006A68D2">
        <w:t>(</w:t>
      </w:r>
      <w:r w:rsidR="00FF2086">
        <w:t>c)</w:t>
      </w:r>
      <w:r w:rsidR="006A68D2">
        <w:t xml:space="preserve"> a</w:t>
      </w:r>
      <w:r w:rsidR="00085A78">
        <w:t xml:space="preserve"> model that describes that hazard</w:t>
      </w:r>
      <w:r w:rsidR="00FF2086">
        <w:t xml:space="preserve"> event</w:t>
      </w:r>
      <w:r w:rsidR="00085A78">
        <w:t>.</w:t>
      </w:r>
      <w:r w:rsidR="00FF2086">
        <w:t xml:space="preserve"> In most cases the hazard model will require a detailed configuration </w:t>
      </w:r>
      <w:r w:rsidR="00C84EBE">
        <w:t xml:space="preserve">and </w:t>
      </w:r>
      <w:r w:rsidR="00FF2086">
        <w:t>a dataset to operate</w:t>
      </w:r>
      <w:r w:rsidR="00C84EBE">
        <w:t xml:space="preserve"> upon</w:t>
      </w:r>
      <w:r w:rsidR="006A68D2">
        <w:t>, depending on the complexity of the model used</w:t>
      </w:r>
      <w:r w:rsidR="00FF2086">
        <w:t>.</w:t>
      </w:r>
      <w:r w:rsidR="00C84EBE">
        <w:t xml:space="preserve"> </w:t>
      </w:r>
      <w:r w:rsidR="00FF2086">
        <w:t xml:space="preserve">The hazard source in the first hazard event is considered </w:t>
      </w:r>
      <w:r w:rsidR="00C84EBE">
        <w:t xml:space="preserve">as </w:t>
      </w:r>
      <w:r w:rsidR="00FF2086">
        <w:t>the primar</w:t>
      </w:r>
      <w:r w:rsidR="00C84EBE">
        <w:t xml:space="preserve">y hazard source </w:t>
      </w:r>
      <w:r w:rsidR="00FF2086">
        <w:t>which can trigger secondary hazard events</w:t>
      </w:r>
      <w:r w:rsidR="006A68D2">
        <w:t>, e.g. a landslide caused by the occurrence of an earthquake</w:t>
      </w:r>
      <w:r w:rsidR="00FF2086">
        <w:t>.</w:t>
      </w:r>
    </w:p>
    <w:p w14:paraId="72BCE0B7" w14:textId="5305C63D" w:rsidR="00260573" w:rsidRDefault="00260573" w:rsidP="00960D14">
      <w:pPr>
        <w:pStyle w:val="heading2"/>
        <w:numPr>
          <w:ilvl w:val="2"/>
          <w:numId w:val="7"/>
        </w:numPr>
      </w:pPr>
      <w:r>
        <w:t>The IDST Network Scenario</w:t>
      </w:r>
    </w:p>
    <w:p w14:paraId="542C0AFE" w14:textId="765EB9CB" w:rsidR="000D24A0" w:rsidRDefault="006C0190">
      <w:r>
        <w:t>The IDST ne</w:t>
      </w:r>
      <w:r w:rsidR="00C84EBE">
        <w:t>twork scenario allows the</w:t>
      </w:r>
      <w:r w:rsidR="0000420C">
        <w:t xml:space="preserve"> user to define multiple sets of network events</w:t>
      </w:r>
      <w:r w:rsidR="00C84EBE">
        <w:t xml:space="preserve">. A network event is defined by </w:t>
      </w:r>
      <w:r w:rsidR="0000420C">
        <w:t>a combinatio</w:t>
      </w:r>
      <w:r w:rsidR="006A68D2">
        <w:t>n of a network type, e.g. a road network</w:t>
      </w:r>
      <w:r w:rsidR="0000420C">
        <w:t>, a hazard event deemed to impact that element type, and a network model that assigns fragility functions to that element type.</w:t>
      </w:r>
      <w:r w:rsidR="00F2549F">
        <w:t xml:space="preserve"> For each network event a dataset of network elements</w:t>
      </w:r>
      <w:r w:rsidR="006A68D2">
        <w:t xml:space="preserve"> (bridges, road segments, tunnels, etc.)</w:t>
      </w:r>
      <w:r w:rsidR="00F2549F">
        <w:t xml:space="preserve"> has to be considered. That set of network elements can be selected from the </w:t>
      </w:r>
      <w:r w:rsidR="006A68D2">
        <w:t xml:space="preserve">pre-populated IDST datasets for the case study regions </w:t>
      </w:r>
      <w:r w:rsidR="00C84EBE">
        <w:t xml:space="preserve">which are </w:t>
      </w:r>
      <w:r w:rsidR="00F2549F">
        <w:t xml:space="preserve">confined by stress </w:t>
      </w:r>
      <w:r w:rsidR="00C84EBE">
        <w:t xml:space="preserve">the </w:t>
      </w:r>
      <w:r w:rsidR="00F2549F">
        <w:t>test boundary polygon, or uploaded directly from the user, e.g. as a shape file.</w:t>
      </w:r>
      <w:r w:rsidR="00C50748">
        <w:t xml:space="preserve"> </w:t>
      </w:r>
      <w:r w:rsidR="00385630">
        <w:t xml:space="preserve">Risk estimation, i.e. damage state calculation, for each network event is carried out by </w:t>
      </w:r>
      <w:r w:rsidR="005A70E4">
        <w:t xml:space="preserve">using </w:t>
      </w:r>
      <w:r w:rsidR="00385630">
        <w:t xml:space="preserve">the </w:t>
      </w:r>
      <w:r w:rsidR="005A70E4">
        <w:t xml:space="preserve">appropriate hazard model along with the vulnerability models for each of the network elements to estimate the potential damage </w:t>
      </w:r>
      <w:r w:rsidR="00385630">
        <w:t xml:space="preserve"> to each of the associated infrastructure elements.</w:t>
      </w:r>
      <w:r w:rsidR="00C84EBE">
        <w:t xml:space="preserve"> </w:t>
      </w:r>
      <w:r w:rsidR="000D24A0">
        <w:t>Risk evaluation can then be carried out</w:t>
      </w:r>
      <w:r w:rsidR="005A70E4">
        <w:t xml:space="preserve"> considering </w:t>
      </w:r>
      <w:r w:rsidR="000D24A0">
        <w:t>the calculated damage state for each infrastructure element.</w:t>
      </w:r>
    </w:p>
    <w:p w14:paraId="4EE466A8" w14:textId="77777777" w:rsidR="000D11A4" w:rsidRDefault="000D11A4" w:rsidP="000D11A4">
      <w:pPr>
        <w:pStyle w:val="heading1"/>
        <w:numPr>
          <w:ilvl w:val="0"/>
          <w:numId w:val="4"/>
        </w:numPr>
      </w:pPr>
      <w:r>
        <w:t>Case Study Using the IDST</w:t>
      </w:r>
    </w:p>
    <w:p w14:paraId="623B985D" w14:textId="3908912B" w:rsidR="00B54522" w:rsidRDefault="00996632" w:rsidP="002B3B17">
      <w:r>
        <w:t>In this section</w:t>
      </w:r>
      <w:r w:rsidR="00C84EBE">
        <w:t>,</w:t>
      </w:r>
      <w:r>
        <w:t xml:space="preserve"> a case study </w:t>
      </w:r>
      <w:r w:rsidR="005A70E4">
        <w:t xml:space="preserve">is presented </w:t>
      </w:r>
      <w:r w:rsidR="00C84EBE">
        <w:t xml:space="preserve">which </w:t>
      </w:r>
      <w:r w:rsidRPr="00996632">
        <w:t>comprises a road network around Bologna in Northern Italy</w:t>
      </w:r>
      <w:r w:rsidR="00A65029">
        <w:t xml:space="preserve">, see </w:t>
      </w:r>
      <w:r w:rsidR="00A65029">
        <w:fldChar w:fldCharType="begin"/>
      </w:r>
      <w:r w:rsidR="00A65029">
        <w:instrText xml:space="preserve"> REF _Ref474264550 \h </w:instrText>
      </w:r>
      <w:r w:rsidR="00A65029">
        <w:fldChar w:fldCharType="separate"/>
      </w:r>
      <w:r w:rsidR="00A65029">
        <w:t>Figure</w:t>
      </w:r>
      <w:r w:rsidR="00C84EBE">
        <w:t xml:space="preserve"> 5</w:t>
      </w:r>
      <w:r w:rsidR="00A65029">
        <w:fldChar w:fldCharType="end"/>
      </w:r>
      <w:r w:rsidR="00C84EBE">
        <w:t xml:space="preserve"> below</w:t>
      </w:r>
      <w:r w:rsidRPr="00996632">
        <w:t xml:space="preserve">. </w:t>
      </w:r>
      <w:r w:rsidR="005A70E4">
        <w:t>Full details of thi</w:t>
      </w:r>
      <w:r w:rsidR="00905787">
        <w:t xml:space="preserve">s case study can be found in </w:t>
      </w:r>
      <w:r w:rsidR="007007A0">
        <w:t>[9</w:t>
      </w:r>
      <w:r w:rsidR="00A15A8E">
        <w:t>]</w:t>
      </w:r>
      <w:r w:rsidR="005A70E4">
        <w:t>.</w:t>
      </w:r>
      <w:r w:rsidR="00490CE2">
        <w:t xml:space="preserve"> </w:t>
      </w:r>
      <w:r w:rsidRPr="00996632">
        <w:t xml:space="preserve">The region </w:t>
      </w:r>
      <w:r w:rsidR="00C84EBE">
        <w:t xml:space="preserve">covers </w:t>
      </w:r>
      <w:r w:rsidRPr="00996632">
        <w:t xml:space="preserve">approximately 990km2 and is located </w:t>
      </w:r>
      <w:r w:rsidR="00C84EBE">
        <w:t xml:space="preserve">around </w:t>
      </w:r>
      <w:r w:rsidR="00490CE2">
        <w:t>t</w:t>
      </w:r>
      <w:r w:rsidRPr="00996632">
        <w:t>he city of Bologna.</w:t>
      </w:r>
    </w:p>
    <w:p w14:paraId="5C72BC96" w14:textId="77777777" w:rsidR="00967BEF" w:rsidRDefault="00967BEF" w:rsidP="002B3B17"/>
    <w:p w14:paraId="46CBBB92" w14:textId="77777777" w:rsidR="000112A3" w:rsidRDefault="00967BEF" w:rsidP="002B3B17">
      <w:pPr>
        <w:keepNext/>
        <w:jc w:val="center"/>
      </w:pPr>
      <w:r w:rsidRPr="000630FD">
        <w:rPr>
          <w:noProof/>
          <w:lang w:val="en-GB" w:eastAsia="en-GB"/>
        </w:rPr>
        <w:drawing>
          <wp:inline distT="0" distB="0" distL="0" distR="0" wp14:anchorId="2C73D640" wp14:editId="3EB3DE0F">
            <wp:extent cx="1582928" cy="2261326"/>
            <wp:effectExtent l="0" t="0" r="0" b="5715"/>
            <wp:docPr id="19" name="Picture 1" descr="Italian Case Stud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an Case Study.jpeg"/>
                    <pic:cNvPicPr/>
                  </pic:nvPicPr>
                  <pic:blipFill>
                    <a:blip r:embed="rId13" cstate="print"/>
                    <a:srcRect l="3089" t="2186" r="2317" b="2186"/>
                    <a:stretch>
                      <a:fillRect/>
                    </a:stretch>
                  </pic:blipFill>
                  <pic:spPr>
                    <a:xfrm>
                      <a:off x="0" y="0"/>
                      <a:ext cx="1598669" cy="2283813"/>
                    </a:xfrm>
                    <a:prstGeom prst="rect">
                      <a:avLst/>
                    </a:prstGeom>
                  </pic:spPr>
                </pic:pic>
              </a:graphicData>
            </a:graphic>
          </wp:inline>
        </w:drawing>
      </w:r>
    </w:p>
    <w:p w14:paraId="7BB18992" w14:textId="5663604D" w:rsidR="00967BEF" w:rsidRDefault="000112A3" w:rsidP="00960D14">
      <w:pPr>
        <w:keepNext/>
        <w:spacing w:before="240"/>
        <w:jc w:val="center"/>
      </w:pPr>
      <w:bookmarkStart w:id="6" w:name="_Ref474264550"/>
      <w:r>
        <w:t xml:space="preserve">Figure </w:t>
      </w:r>
      <w:bookmarkEnd w:id="6"/>
      <w:r w:rsidR="00C84EBE">
        <w:t>5</w:t>
      </w:r>
      <w:r>
        <w:t xml:space="preserve"> Northern Italy case study borders</w:t>
      </w:r>
    </w:p>
    <w:p w14:paraId="6371ECAD" w14:textId="77777777" w:rsidR="00996632" w:rsidRDefault="00996632" w:rsidP="002B3B17">
      <w:pPr>
        <w:ind w:left="567" w:firstLine="0"/>
      </w:pPr>
    </w:p>
    <w:p w14:paraId="3DFFD7A4" w14:textId="0F81FBF3" w:rsidR="00996632" w:rsidRDefault="00996632" w:rsidP="002B3B17">
      <w:r>
        <w:t xml:space="preserve">For this road network, </w:t>
      </w:r>
      <w:r w:rsidR="003A6764">
        <w:t xml:space="preserve">the hazard source </w:t>
      </w:r>
      <w:r w:rsidR="0002448F">
        <w:t>was</w:t>
      </w:r>
      <w:r w:rsidR="003A6764">
        <w:t xml:space="preserve"> an earthquake,</w:t>
      </w:r>
      <w:r>
        <w:t xml:space="preserve"> </w:t>
      </w:r>
      <w:r w:rsidR="0002448F">
        <w:t xml:space="preserve">with ground acceleration considered as the primary hazard event. In addition, </w:t>
      </w:r>
      <w:r>
        <w:t>earthquake-triggered l</w:t>
      </w:r>
      <w:r w:rsidR="003A6764">
        <w:t xml:space="preserve">andslides </w:t>
      </w:r>
      <w:r w:rsidR="0002448F">
        <w:t>we</w:t>
      </w:r>
      <w:r w:rsidR="003A6764">
        <w:t xml:space="preserve">re considered </w:t>
      </w:r>
      <w:r w:rsidR="0002448F">
        <w:t xml:space="preserve">as a secondary, cascading, hazard </w:t>
      </w:r>
      <w:r w:rsidR="003A6764">
        <w:t>for this stress test</w:t>
      </w:r>
      <w:r>
        <w:t xml:space="preserve"> hazard scenario.</w:t>
      </w:r>
      <w:r w:rsidR="003A6764">
        <w:t xml:space="preserve"> </w:t>
      </w:r>
      <w:r w:rsidR="003A6764">
        <w:fldChar w:fldCharType="begin"/>
      </w:r>
      <w:r w:rsidR="003A6764">
        <w:instrText xml:space="preserve"> REF _Ref474264689 \h </w:instrText>
      </w:r>
      <w:r w:rsidR="003A6764">
        <w:fldChar w:fldCharType="separate"/>
      </w:r>
      <w:r w:rsidR="003A6764">
        <w:t>Figure</w:t>
      </w:r>
      <w:r w:rsidR="00C84EBE">
        <w:t xml:space="preserve"> 6</w:t>
      </w:r>
      <w:r w:rsidR="003A6764">
        <w:fldChar w:fldCharType="end"/>
      </w:r>
      <w:r w:rsidR="003A6764">
        <w:t xml:space="preserve"> shows the hazard scenario </w:t>
      </w:r>
      <w:r w:rsidR="0002448F">
        <w:t xml:space="preserve">as defined through the IDST. </w:t>
      </w:r>
      <w:r w:rsidR="003A6764">
        <w:t>The primary hazard event is a ground motion event which has assigned the INFRARISK GM hazard model</w:t>
      </w:r>
      <w:r w:rsidR="00905787">
        <w:t xml:space="preserve"> </w:t>
      </w:r>
      <w:r w:rsidR="007007A0">
        <w:t>[10</w:t>
      </w:r>
      <w:r w:rsidR="00567C1E">
        <w:t>]</w:t>
      </w:r>
      <w:r w:rsidR="0002448F">
        <w:t xml:space="preserve"> assigned to it to allow the ground acceleration within the case study region to be calculated at the location of the various road infrastructure elements</w:t>
      </w:r>
      <w:r w:rsidR="003A6764">
        <w:t>. An earthquake-triggered landslide hazard event is defined as a secondary event</w:t>
      </w:r>
      <w:r w:rsidR="0002448F">
        <w:t xml:space="preserve"> which utilizes a pre-loaded model for calculating locations where landslides may occur due to ground shaking</w:t>
      </w:r>
      <w:r w:rsidR="003A6764">
        <w:t>.</w:t>
      </w:r>
    </w:p>
    <w:p w14:paraId="51E7E57A" w14:textId="77777777" w:rsidR="00967BEF" w:rsidRDefault="00967BEF" w:rsidP="002B3B17"/>
    <w:p w14:paraId="21C3E0F2" w14:textId="77777777" w:rsidR="00601880" w:rsidRDefault="00967BEF" w:rsidP="002B3B17">
      <w:pPr>
        <w:keepNext/>
        <w:jc w:val="center"/>
      </w:pPr>
      <w:r>
        <w:rPr>
          <w:noProof/>
          <w:lang w:val="en-GB" w:eastAsia="en-GB"/>
        </w:rPr>
        <w:drawing>
          <wp:inline distT="0" distB="0" distL="0" distR="0" wp14:anchorId="1B20E4EC" wp14:editId="70E98FD3">
            <wp:extent cx="2456598" cy="202337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_hazard_scenari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2097" cy="2036138"/>
                    </a:xfrm>
                    <a:prstGeom prst="rect">
                      <a:avLst/>
                    </a:prstGeom>
                  </pic:spPr>
                </pic:pic>
              </a:graphicData>
            </a:graphic>
          </wp:inline>
        </w:drawing>
      </w:r>
    </w:p>
    <w:p w14:paraId="41710E59" w14:textId="145FB0DB" w:rsidR="00967BEF" w:rsidRDefault="00601880" w:rsidP="00960D14">
      <w:pPr>
        <w:keepNext/>
        <w:spacing w:before="240"/>
        <w:jc w:val="center"/>
      </w:pPr>
      <w:bookmarkStart w:id="7" w:name="_Ref474264689"/>
      <w:r>
        <w:t xml:space="preserve">Figure </w:t>
      </w:r>
      <w:bookmarkEnd w:id="7"/>
      <w:r w:rsidR="00C84EBE">
        <w:t>6</w:t>
      </w:r>
      <w:r>
        <w:t xml:space="preserve"> Northern Italy case study hazard scenario</w:t>
      </w:r>
    </w:p>
    <w:p w14:paraId="1B0091B6" w14:textId="77777777" w:rsidR="00996632" w:rsidRDefault="00996632" w:rsidP="00996632">
      <w:pPr>
        <w:ind w:left="567" w:firstLine="0"/>
      </w:pPr>
    </w:p>
    <w:p w14:paraId="7FE2B281" w14:textId="44618B17" w:rsidR="00996632" w:rsidRDefault="00996632" w:rsidP="002B3B17">
      <w:r>
        <w:t>The impact of ground motion on bridges and tunnels is considered along with the effects of earthquake-triggered landslides on road sections.</w:t>
      </w:r>
      <w:r w:rsidR="00003F27">
        <w:t xml:space="preserve"> </w:t>
      </w:r>
      <w:r w:rsidR="00003F27">
        <w:fldChar w:fldCharType="begin"/>
      </w:r>
      <w:r w:rsidR="00003F27">
        <w:instrText xml:space="preserve"> REF _Ref474265087 \h </w:instrText>
      </w:r>
      <w:r w:rsidR="00003F27">
        <w:fldChar w:fldCharType="separate"/>
      </w:r>
      <w:r w:rsidR="00C84EBE">
        <w:t>Figure 7</w:t>
      </w:r>
      <w:r w:rsidR="00003F27">
        <w:fldChar w:fldCharType="end"/>
      </w:r>
      <w:r w:rsidR="00003F27">
        <w:t xml:space="preserve"> shows the network scenario for this stress test. The targeted infrastructure is the road network. Selected network element types are bridges and tunnels, </w:t>
      </w:r>
      <w:r w:rsidR="00C84EBE">
        <w:t xml:space="preserve">where </w:t>
      </w:r>
      <w:r w:rsidR="00003F27">
        <w:t xml:space="preserve">the associated hazard event is the ground </w:t>
      </w:r>
      <w:r w:rsidR="00BF7C59">
        <w:t>motion</w:t>
      </w:r>
      <w:r w:rsidR="00003F27">
        <w:t xml:space="preserve"> and the assigned </w:t>
      </w:r>
      <w:r w:rsidR="00BF7C59">
        <w:t xml:space="preserve">vulnerability </w:t>
      </w:r>
      <w:r w:rsidR="00003F27">
        <w:t xml:space="preserve">models are bridge and tunnel fragility functions. The whole area around Bologna shown in </w:t>
      </w:r>
      <w:r w:rsidR="00003F27">
        <w:fldChar w:fldCharType="begin"/>
      </w:r>
      <w:r w:rsidR="00003F27">
        <w:instrText xml:space="preserve"> REF _Ref474264550 \h </w:instrText>
      </w:r>
      <w:r w:rsidR="00003F27">
        <w:fldChar w:fldCharType="separate"/>
      </w:r>
      <w:r w:rsidR="00C84EBE">
        <w:t>Figure 7</w:t>
      </w:r>
      <w:r w:rsidR="00003F27">
        <w:fldChar w:fldCharType="end"/>
      </w:r>
      <w:r w:rsidR="00BF7C59">
        <w:t xml:space="preserve"> is defined as the spat</w:t>
      </w:r>
      <w:r w:rsidR="00003F27">
        <w:t>ial boundary.</w:t>
      </w:r>
    </w:p>
    <w:p w14:paraId="18EEFA1E" w14:textId="77777777" w:rsidR="00C84EBE" w:rsidRDefault="00C84EBE" w:rsidP="002B3B17"/>
    <w:p w14:paraId="2CFC9572" w14:textId="4CC4ACDE" w:rsidR="00A067B6" w:rsidRDefault="00967BEF" w:rsidP="002B3B17">
      <w:pPr>
        <w:keepNext/>
        <w:jc w:val="center"/>
      </w:pPr>
      <w:r>
        <w:rPr>
          <w:noProof/>
          <w:lang w:val="en-GB" w:eastAsia="en-GB"/>
        </w:rPr>
        <w:drawing>
          <wp:inline distT="0" distB="0" distL="0" distR="0" wp14:anchorId="1E208487" wp14:editId="025B8A89">
            <wp:extent cx="2429747" cy="24265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work_scenari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5800" cy="2442617"/>
                    </a:xfrm>
                    <a:prstGeom prst="rect">
                      <a:avLst/>
                    </a:prstGeom>
                  </pic:spPr>
                </pic:pic>
              </a:graphicData>
            </a:graphic>
          </wp:inline>
        </w:drawing>
      </w:r>
    </w:p>
    <w:p w14:paraId="38B9B7B6" w14:textId="0FA316FA" w:rsidR="00967BEF" w:rsidRDefault="00A067B6" w:rsidP="00960D14">
      <w:pPr>
        <w:keepNext/>
        <w:spacing w:before="240"/>
        <w:jc w:val="center"/>
      </w:pPr>
      <w:bookmarkStart w:id="8" w:name="_Ref474265087"/>
      <w:r>
        <w:t xml:space="preserve">Figure </w:t>
      </w:r>
      <w:bookmarkEnd w:id="8"/>
      <w:r w:rsidR="00C84EBE">
        <w:t>7</w:t>
      </w:r>
      <w:r>
        <w:t xml:space="preserve"> Northern Italy case study network scenario</w:t>
      </w:r>
    </w:p>
    <w:p w14:paraId="2A056BE9" w14:textId="77777777" w:rsidR="00567C1E" w:rsidRDefault="00567C1E" w:rsidP="00C84EBE"/>
    <w:p w14:paraId="0550EDFB" w14:textId="53D0D2B8" w:rsidR="00C84EBE" w:rsidRDefault="00BF7C59" w:rsidP="00C84EBE">
      <w:r>
        <w:t>The n</w:t>
      </w:r>
      <w:r w:rsidR="00996632">
        <w:t>etwork element datasets</w:t>
      </w:r>
      <w:r w:rsidR="00003F27">
        <w:t xml:space="preserve"> </w:t>
      </w:r>
      <w:r>
        <w:t>used</w:t>
      </w:r>
      <w:r w:rsidR="00996632">
        <w:t xml:space="preserve"> for </w:t>
      </w:r>
      <w:r w:rsidR="00003F27">
        <w:t xml:space="preserve">this case study </w:t>
      </w:r>
      <w:r>
        <w:t>are</w:t>
      </w:r>
      <w:r w:rsidR="00003F27">
        <w:t xml:space="preserve"> selected </w:t>
      </w:r>
      <w:r w:rsidR="00C84EBE">
        <w:t xml:space="preserve">from </w:t>
      </w:r>
      <w:r w:rsidR="00003F27">
        <w:t>the IDST case study database</w:t>
      </w:r>
      <w:r>
        <w:t xml:space="preserve"> which has been pre-populated with relevant characteristics for the elements in the region of the Italian case study. As shown in </w:t>
      </w:r>
      <w:r>
        <w:fldChar w:fldCharType="begin"/>
      </w:r>
      <w:r>
        <w:instrText xml:space="preserve"> REF _Ref474266024 \h </w:instrText>
      </w:r>
      <w:r>
        <w:fldChar w:fldCharType="separate"/>
      </w:r>
      <w:r>
        <w:t>Figure 8</w:t>
      </w:r>
      <w:r>
        <w:fldChar w:fldCharType="end"/>
      </w:r>
      <w:r>
        <w:t>, the</w:t>
      </w:r>
      <w:r w:rsidR="005D2190">
        <w:t xml:space="preserve"> system has identified 328 bridges and 30 tunnels included within the spatial borders of </w:t>
      </w:r>
      <w:r>
        <w:t xml:space="preserve">the region considered for </w:t>
      </w:r>
      <w:r w:rsidR="005D2190">
        <w:t>this stress test</w:t>
      </w:r>
      <w:r>
        <w:t xml:space="preserve">. </w:t>
      </w:r>
      <w:r>
        <w:fldChar w:fldCharType="begin"/>
      </w:r>
      <w:r>
        <w:instrText xml:space="preserve"> REF _Ref474266119 \h </w:instrText>
      </w:r>
      <w:r>
        <w:fldChar w:fldCharType="separate"/>
      </w:r>
      <w:r>
        <w:t>Figure 9</w:t>
      </w:r>
      <w:r>
        <w:fldChar w:fldCharType="end"/>
      </w:r>
      <w:r>
        <w:t xml:space="preserve"> shows the locations of each of these elements, a heat map of ground acceleration values which correspond to the ground motion for an earthquake scenario considered for the stress test</w:t>
      </w:r>
      <w:r w:rsidR="00CC2459">
        <w:t>.</w:t>
      </w:r>
    </w:p>
    <w:p w14:paraId="22FE0EDE" w14:textId="0CC6768D" w:rsidR="00C84EBE" w:rsidRDefault="00CC2459" w:rsidP="00C84EBE">
      <w:r>
        <w:t xml:space="preserve"> </w:t>
      </w:r>
    </w:p>
    <w:p w14:paraId="154AF5C5" w14:textId="77777777" w:rsidR="00A067B6" w:rsidRDefault="00967BEF" w:rsidP="002B3B17">
      <w:pPr>
        <w:keepNext/>
        <w:ind w:left="567" w:firstLine="0"/>
        <w:jc w:val="center"/>
      </w:pPr>
      <w:r>
        <w:rPr>
          <w:noProof/>
          <w:lang w:val="en-GB" w:eastAsia="en-GB"/>
        </w:rPr>
        <w:drawing>
          <wp:inline distT="0" distB="0" distL="0" distR="0" wp14:anchorId="134F86E6" wp14:editId="18582611">
            <wp:extent cx="3087113" cy="18505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twork_datase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255" cy="1852456"/>
                    </a:xfrm>
                    <a:prstGeom prst="rect">
                      <a:avLst/>
                    </a:prstGeom>
                  </pic:spPr>
                </pic:pic>
              </a:graphicData>
            </a:graphic>
          </wp:inline>
        </w:drawing>
      </w:r>
    </w:p>
    <w:p w14:paraId="2E2EBA4A" w14:textId="6461AE45" w:rsidR="004600F4" w:rsidRDefault="00A067B6" w:rsidP="00960D14">
      <w:pPr>
        <w:keepNext/>
        <w:spacing w:before="240"/>
        <w:jc w:val="center"/>
      </w:pPr>
      <w:bookmarkStart w:id="9" w:name="_Ref474266024"/>
      <w:r>
        <w:t xml:space="preserve">Figure </w:t>
      </w:r>
      <w:bookmarkEnd w:id="9"/>
      <w:r w:rsidR="00567C1E">
        <w:t>8</w:t>
      </w:r>
      <w:r>
        <w:t xml:space="preserve"> Stress test infrastructure datasets</w:t>
      </w:r>
    </w:p>
    <w:p w14:paraId="51AD6859" w14:textId="77777777" w:rsidR="004600F4" w:rsidRDefault="004600F4" w:rsidP="004600F4">
      <w:pPr>
        <w:ind w:left="567" w:firstLine="0"/>
      </w:pPr>
    </w:p>
    <w:p w14:paraId="09D22557" w14:textId="77777777" w:rsidR="005C5E66" w:rsidRDefault="00967BEF" w:rsidP="002B3B17">
      <w:pPr>
        <w:keepNext/>
        <w:ind w:left="567" w:firstLine="0"/>
        <w:jc w:val="center"/>
      </w:pPr>
      <w:r>
        <w:rPr>
          <w:noProof/>
          <w:lang w:val="en-GB" w:eastAsia="en-GB"/>
        </w:rPr>
        <w:drawing>
          <wp:inline distT="0" distB="0" distL="0" distR="0" wp14:anchorId="6A6A8862" wp14:editId="31F23DCA">
            <wp:extent cx="2790825" cy="165117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ga_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5911" cy="1654186"/>
                    </a:xfrm>
                    <a:prstGeom prst="rect">
                      <a:avLst/>
                    </a:prstGeom>
                  </pic:spPr>
                </pic:pic>
              </a:graphicData>
            </a:graphic>
          </wp:inline>
        </w:drawing>
      </w:r>
    </w:p>
    <w:p w14:paraId="07E54B81" w14:textId="28223312" w:rsidR="00967BEF" w:rsidRDefault="005C5E66" w:rsidP="00960D14">
      <w:pPr>
        <w:keepNext/>
        <w:spacing w:before="240"/>
        <w:jc w:val="center"/>
      </w:pPr>
      <w:bookmarkStart w:id="10" w:name="_Ref474266119"/>
      <w:r>
        <w:t xml:space="preserve">Figure </w:t>
      </w:r>
      <w:bookmarkEnd w:id="10"/>
      <w:r w:rsidR="00567C1E">
        <w:t>9</w:t>
      </w:r>
      <w:r>
        <w:t xml:space="preserve"> Stress test PGA map with marked infrastructure elements</w:t>
      </w:r>
    </w:p>
    <w:p w14:paraId="028E4DB6" w14:textId="77777777" w:rsidR="00967BEF" w:rsidRDefault="00967BEF" w:rsidP="004600F4">
      <w:pPr>
        <w:ind w:left="567" w:firstLine="0"/>
      </w:pPr>
    </w:p>
    <w:p w14:paraId="1BA4AB96" w14:textId="26E13156" w:rsidR="00567C1E" w:rsidRDefault="00567C1E" w:rsidP="00567C1E">
      <w:pPr>
        <w:keepNext/>
        <w:spacing w:before="240"/>
      </w:pPr>
      <w:r>
        <w:t xml:space="preserve">At this point the system proceeds with risk estimation for this stress test. The appropriate fragility functions are assigned to each identified network element, i.e. tunnels and bridges and the likelihood of each element experiencing different levels of damage is calculated. This information can then be used to calculate direct and indirect consequences associated with the earthquake. </w:t>
      </w:r>
      <w:r>
        <w:fldChar w:fldCharType="begin"/>
      </w:r>
      <w:r>
        <w:instrText xml:space="preserve"> REF _Ref474266964 \h </w:instrText>
      </w:r>
      <w:r>
        <w:fldChar w:fldCharType="separate"/>
      </w:r>
      <w:r>
        <w:t>Figure 10</w:t>
      </w:r>
      <w:r>
        <w:fldChar w:fldCharType="end"/>
      </w:r>
      <w:r>
        <w:t xml:space="preserve"> shows the levels of Damage States and the statistical aspects of some of the respective direct consequences by the IDST. </w:t>
      </w:r>
    </w:p>
    <w:p w14:paraId="2847FB49" w14:textId="77777777" w:rsidR="00967BEF" w:rsidRDefault="00967BEF" w:rsidP="004600F4">
      <w:pPr>
        <w:ind w:left="567" w:firstLine="0"/>
      </w:pPr>
    </w:p>
    <w:p w14:paraId="737F391F" w14:textId="77777777" w:rsidR="00120F7A" w:rsidRDefault="00967BEF" w:rsidP="002B3B17">
      <w:pPr>
        <w:keepNext/>
        <w:jc w:val="center"/>
      </w:pPr>
      <w:r>
        <w:rPr>
          <w:noProof/>
          <w:lang w:val="en-GB" w:eastAsia="en-GB"/>
        </w:rPr>
        <w:drawing>
          <wp:inline distT="0" distB="0" distL="0" distR="0" wp14:anchorId="489E65B7" wp14:editId="32952D22">
            <wp:extent cx="3194013" cy="2678333"/>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2234" cy="2701998"/>
                    </a:xfrm>
                    <a:prstGeom prst="rect">
                      <a:avLst/>
                    </a:prstGeom>
                  </pic:spPr>
                </pic:pic>
              </a:graphicData>
            </a:graphic>
          </wp:inline>
        </w:drawing>
      </w:r>
    </w:p>
    <w:p w14:paraId="67F86CE6" w14:textId="73C8C594" w:rsidR="00967BEF" w:rsidRDefault="00120F7A" w:rsidP="00960D14">
      <w:pPr>
        <w:keepNext/>
        <w:spacing w:before="240"/>
        <w:jc w:val="center"/>
      </w:pPr>
      <w:bookmarkStart w:id="11" w:name="_Ref474266964"/>
      <w:r>
        <w:t xml:space="preserve">Figure </w:t>
      </w:r>
      <w:fldSimple w:instr=" SEQ Figure \* ARABIC ">
        <w:r w:rsidR="000112A3">
          <w:rPr>
            <w:noProof/>
          </w:rPr>
          <w:t>1</w:t>
        </w:r>
        <w:r w:rsidR="007007A0">
          <w:rPr>
            <w:noProof/>
          </w:rPr>
          <w:t>0</w:t>
        </w:r>
      </w:fldSimple>
      <w:bookmarkEnd w:id="11"/>
      <w:r>
        <w:t xml:space="preserve"> Stress tests Damage State analysis and statistics</w:t>
      </w:r>
    </w:p>
    <w:p w14:paraId="2B431A44" w14:textId="77777777" w:rsidR="000D11A4" w:rsidRDefault="000D11A4" w:rsidP="000D11A4">
      <w:pPr>
        <w:pStyle w:val="heading1"/>
        <w:numPr>
          <w:ilvl w:val="0"/>
          <w:numId w:val="4"/>
        </w:numPr>
      </w:pPr>
      <w:r>
        <w:t xml:space="preserve">Conclusion and Future Work </w:t>
      </w:r>
    </w:p>
    <w:p w14:paraId="4F563842" w14:textId="3144676A" w:rsidR="00B32CD0" w:rsidRDefault="00E57F0B" w:rsidP="002B3B17">
      <w:pPr>
        <w:keepNext/>
        <w:spacing w:before="240" w:line="240" w:lineRule="auto"/>
        <w:ind w:firstLine="0"/>
        <w:rPr>
          <w:lang w:val="en-IE"/>
        </w:rPr>
      </w:pPr>
      <w:r w:rsidRPr="002B3B17">
        <w:rPr>
          <w:lang w:val="en-IE"/>
        </w:rPr>
        <w:t xml:space="preserve">The </w:t>
      </w:r>
      <w:r w:rsidR="00C84EBE">
        <w:rPr>
          <w:lang w:val="en-IE"/>
        </w:rPr>
        <w:t xml:space="preserve">IDST </w:t>
      </w:r>
      <w:r w:rsidRPr="002B3B17">
        <w:rPr>
          <w:lang w:val="en-IE"/>
        </w:rPr>
        <w:t>is a d</w:t>
      </w:r>
      <w:r w:rsidR="00956623" w:rsidRPr="002B3B17">
        <w:rPr>
          <w:lang w:val="en-IE"/>
        </w:rPr>
        <w:t xml:space="preserve">ecision-support tool which </w:t>
      </w:r>
      <w:r w:rsidR="00C84EBE">
        <w:rPr>
          <w:lang w:val="en-IE"/>
        </w:rPr>
        <w:t xml:space="preserve">enables </w:t>
      </w:r>
      <w:r w:rsidR="00956623">
        <w:rPr>
          <w:lang w:val="en-IE"/>
        </w:rPr>
        <w:t xml:space="preserve">civil engineers and </w:t>
      </w:r>
      <w:r w:rsidR="00C84EBE">
        <w:rPr>
          <w:lang w:val="en-IE"/>
        </w:rPr>
        <w:t xml:space="preserve">critical infrastructure management </w:t>
      </w:r>
      <w:r w:rsidR="00956623">
        <w:rPr>
          <w:lang w:val="en-IE"/>
        </w:rPr>
        <w:t xml:space="preserve">stakeholders </w:t>
      </w:r>
      <w:r w:rsidRPr="002B3B17">
        <w:rPr>
          <w:lang w:val="en-IE"/>
        </w:rPr>
        <w:t xml:space="preserve">to set up cascading risk scenarios with low probabilities of occurrence and high impact </w:t>
      </w:r>
      <w:r w:rsidR="00C84EBE">
        <w:rPr>
          <w:lang w:val="en-IE"/>
        </w:rPr>
        <w:t xml:space="preserve">on and damages to </w:t>
      </w:r>
      <w:r w:rsidRPr="002B3B17">
        <w:rPr>
          <w:lang w:val="en-IE"/>
        </w:rPr>
        <w:t>Critical Infrastructure (CI) in Europe.</w:t>
      </w:r>
      <w:r w:rsidR="00C84EBE">
        <w:rPr>
          <w:lang w:val="en-IE"/>
        </w:rPr>
        <w:t xml:space="preserve"> </w:t>
      </w:r>
      <w:r w:rsidRPr="002B3B17">
        <w:rPr>
          <w:lang w:val="en-IE"/>
        </w:rPr>
        <w:t xml:space="preserve">The </w:t>
      </w:r>
      <w:r w:rsidR="00C84EBE">
        <w:rPr>
          <w:lang w:val="en-IE"/>
        </w:rPr>
        <w:t xml:space="preserve">system integrates </w:t>
      </w:r>
      <w:r w:rsidRPr="002B3B17">
        <w:rPr>
          <w:lang w:val="en-IE"/>
        </w:rPr>
        <w:t xml:space="preserve">various data, information and outputs from INFRARISK </w:t>
      </w:r>
      <w:r w:rsidR="00C84EBE">
        <w:rPr>
          <w:lang w:val="en-IE"/>
        </w:rPr>
        <w:t xml:space="preserve">databases and modelling tools. It is also driven by an </w:t>
      </w:r>
      <w:r w:rsidRPr="002B3B17">
        <w:rPr>
          <w:lang w:val="en-IE"/>
        </w:rPr>
        <w:t xml:space="preserve">overarching risk assessment </w:t>
      </w:r>
      <w:r w:rsidR="00C84EBE">
        <w:rPr>
          <w:lang w:val="en-IE"/>
        </w:rPr>
        <w:t>methodology which provides an automated Process Workflow E</w:t>
      </w:r>
      <w:r w:rsidRPr="002B3B17">
        <w:rPr>
          <w:lang w:val="en-IE"/>
        </w:rPr>
        <w:t xml:space="preserve">ngine for crisis management experts </w:t>
      </w:r>
      <w:r w:rsidR="00C84EBE">
        <w:rPr>
          <w:lang w:val="en-IE"/>
        </w:rPr>
        <w:t xml:space="preserve">the ability to perform specific </w:t>
      </w:r>
      <w:r w:rsidRPr="002B3B17">
        <w:rPr>
          <w:lang w:val="en-IE"/>
        </w:rPr>
        <w:t>risk assessments</w:t>
      </w:r>
      <w:r w:rsidR="00C84EBE">
        <w:rPr>
          <w:lang w:val="en-IE"/>
        </w:rPr>
        <w:t xml:space="preserve"> scenarios. The system architecture scales to larger spatial coverage and has the potential to connect to big data cloud resources and platforms for more intensive computations of critical infrastructure network elements. This is part of our future research and development above and beyond the INFRARISK project</w:t>
      </w:r>
      <w:r w:rsidR="007007A0">
        <w:rPr>
          <w:lang w:val="en-IE"/>
        </w:rPr>
        <w:t xml:space="preserve"> [11]</w:t>
      </w:r>
      <w:r w:rsidR="00C84EBE">
        <w:rPr>
          <w:lang w:val="en-IE"/>
        </w:rPr>
        <w:t>.</w:t>
      </w:r>
    </w:p>
    <w:p w14:paraId="0A685CBE" w14:textId="14B0CF5F" w:rsidR="00C84EBE" w:rsidRDefault="00C84EBE" w:rsidP="00C84EBE">
      <w:pPr>
        <w:pStyle w:val="heading1"/>
        <w:numPr>
          <w:ilvl w:val="0"/>
          <w:numId w:val="4"/>
        </w:numPr>
      </w:pPr>
      <w:r>
        <w:t xml:space="preserve">Acknowledgements </w:t>
      </w:r>
    </w:p>
    <w:p w14:paraId="71BCAD90" w14:textId="6C481763" w:rsidR="007D48CE" w:rsidRPr="007D48CE" w:rsidRDefault="007D48CE" w:rsidP="00C84EBE">
      <w:pPr>
        <w:keepNext/>
        <w:spacing w:before="240" w:line="240" w:lineRule="auto"/>
        <w:ind w:firstLine="0"/>
        <w:rPr>
          <w:lang w:val="en-IE"/>
        </w:rPr>
      </w:pPr>
      <w:r w:rsidRPr="007D48CE">
        <w:rPr>
          <w:lang w:val="en-IE"/>
        </w:rPr>
        <w:t xml:space="preserve">INTRARISK is funded by the European Commission’s FP7 programme, Grant Agreement No. 603960. Further information can be found at www.infrarisk-fp7.eu. The authors gratefully acknowledge the contributions of the other INFRARISK consortium partners: </w:t>
      </w:r>
      <w:proofErr w:type="spellStart"/>
      <w:r w:rsidRPr="007D48CE">
        <w:rPr>
          <w:lang w:val="en-IE"/>
        </w:rPr>
        <w:t>Draga</w:t>
      </w:r>
      <w:proofErr w:type="spellEnd"/>
      <w:r w:rsidRPr="007D48CE">
        <w:rPr>
          <w:lang w:val="en-IE"/>
        </w:rPr>
        <w:t xml:space="preserve">-dos SA, Gavin and Doherty </w:t>
      </w:r>
      <w:proofErr w:type="spellStart"/>
      <w:r w:rsidRPr="007D48CE">
        <w:rPr>
          <w:lang w:val="en-IE"/>
        </w:rPr>
        <w:t>Geosolutions</w:t>
      </w:r>
      <w:proofErr w:type="spellEnd"/>
      <w:r w:rsidRPr="007D48CE">
        <w:rPr>
          <w:lang w:val="en-IE"/>
        </w:rPr>
        <w:t xml:space="preserve"> Ltd., Probabilistic Solutions Consult and Training BV, the Spanish National Research Council, PSJ, </w:t>
      </w:r>
      <w:proofErr w:type="spellStart"/>
      <w:r w:rsidRPr="007D48CE">
        <w:rPr>
          <w:lang w:val="en-IE"/>
        </w:rPr>
        <w:t>Stiftelsen</w:t>
      </w:r>
      <w:proofErr w:type="spellEnd"/>
      <w:r w:rsidRPr="007D48CE">
        <w:rPr>
          <w:lang w:val="en-IE"/>
        </w:rPr>
        <w:t xml:space="preserve"> SINTEF and Ritchey Consulting AB.</w:t>
      </w:r>
    </w:p>
    <w:p w14:paraId="6BC1EFBC" w14:textId="7BCEFEE5" w:rsidR="00C84EBE" w:rsidRDefault="00C84EBE" w:rsidP="00365CB0">
      <w:pPr>
        <w:pStyle w:val="heading1"/>
        <w:numPr>
          <w:ilvl w:val="0"/>
          <w:numId w:val="4"/>
        </w:numPr>
      </w:pPr>
      <w:r>
        <w:t xml:space="preserve">References  </w:t>
      </w:r>
    </w:p>
    <w:p w14:paraId="1DC33396" w14:textId="77777777" w:rsidR="003B3F66" w:rsidRDefault="009A651F" w:rsidP="003B3F66">
      <w:pPr>
        <w:pStyle w:val="Bibliography"/>
        <w:ind w:left="0" w:firstLine="0"/>
      </w:pPr>
      <w:r w:rsidRPr="008B1F55">
        <w:fldChar w:fldCharType="begin"/>
      </w:r>
      <w:r w:rsidRPr="008B1F55">
        <w:instrText xml:space="preserve"> ADDIN ZOTERO_BIBL {"custom":[]} CSL_BIBLIOGRAPHY </w:instrText>
      </w:r>
      <w:r w:rsidRPr="008B1F55">
        <w:fldChar w:fldCharType="separate"/>
      </w:r>
    </w:p>
    <w:p w14:paraId="686609C8" w14:textId="03687A37" w:rsidR="007007A0" w:rsidRDefault="007007A0" w:rsidP="007007A0">
      <w:pPr>
        <w:pStyle w:val="Bibliography"/>
        <w:ind w:left="567" w:hanging="567"/>
        <w:rPr>
          <w:noProof/>
        </w:rPr>
      </w:pPr>
      <w:r w:rsidRPr="007007A0">
        <w:rPr>
          <w:noProof/>
        </w:rPr>
        <w:t>[1]</w:t>
      </w:r>
      <w:r w:rsidRPr="007007A0">
        <w:rPr>
          <w:noProof/>
        </w:rPr>
        <w:tab/>
      </w:r>
      <w:r w:rsidRPr="007007A0">
        <w:rPr>
          <w:noProof/>
        </w:rPr>
        <w:tab/>
        <w:t xml:space="preserve">P. Melas, Z. Sabeur. (2016). </w:t>
      </w:r>
      <w:r w:rsidRPr="007007A0">
        <w:rPr>
          <w:iCs/>
          <w:noProof/>
        </w:rPr>
        <w:t>IDST System v2.0.</w:t>
      </w:r>
      <w:r w:rsidRPr="007007A0">
        <w:rPr>
          <w:noProof/>
        </w:rPr>
        <w:t xml:space="preserve"> </w:t>
      </w:r>
      <w:r w:rsidRPr="007007A0">
        <w:rPr>
          <w:iCs/>
          <w:noProof/>
        </w:rPr>
        <w:t xml:space="preserve">INFRARISK project deliverable D7.4 </w:t>
      </w:r>
      <w:r w:rsidRPr="007007A0">
        <w:rPr>
          <w:noProof/>
        </w:rPr>
        <w:t>https://www.infrarisk-fp7.eu/deliverables</w:t>
      </w:r>
    </w:p>
    <w:p w14:paraId="62D60E75" w14:textId="77777777" w:rsidR="007007A0" w:rsidRDefault="007007A0" w:rsidP="007007A0">
      <w:pPr>
        <w:pStyle w:val="Bibliography"/>
        <w:ind w:left="567" w:hanging="567"/>
        <w:rPr>
          <w:noProof/>
        </w:rPr>
      </w:pPr>
      <w:r w:rsidRPr="007007A0">
        <w:rPr>
          <w:noProof/>
        </w:rPr>
        <w:t>[2]</w:t>
      </w:r>
      <w:r w:rsidRPr="007007A0">
        <w:rPr>
          <w:noProof/>
        </w:rPr>
        <w:tab/>
      </w:r>
      <w:r w:rsidRPr="007007A0">
        <w:rPr>
          <w:noProof/>
        </w:rPr>
        <w:tab/>
        <w:t xml:space="preserve">K. Meacham, Z. Sabeur. (2014). </w:t>
      </w:r>
      <w:r w:rsidRPr="007007A0">
        <w:rPr>
          <w:iCs/>
          <w:noProof/>
        </w:rPr>
        <w:t>IDST System Specification v1.0.</w:t>
      </w:r>
      <w:r w:rsidRPr="007007A0">
        <w:rPr>
          <w:noProof/>
        </w:rPr>
        <w:t xml:space="preserve"> </w:t>
      </w:r>
      <w:r w:rsidRPr="007007A0">
        <w:rPr>
          <w:iCs/>
          <w:noProof/>
        </w:rPr>
        <w:t xml:space="preserve">INFRARISK project deliverable D7.1. </w:t>
      </w:r>
      <w:r w:rsidRPr="007007A0">
        <w:rPr>
          <w:noProof/>
        </w:rPr>
        <w:t>https://www.infrarisk-fp7.eu/deliverables</w:t>
      </w:r>
    </w:p>
    <w:p w14:paraId="20C271EB" w14:textId="77777777" w:rsidR="007007A0" w:rsidRDefault="007007A0" w:rsidP="007007A0">
      <w:pPr>
        <w:pStyle w:val="Bibliography"/>
        <w:ind w:left="567" w:hanging="567"/>
        <w:rPr>
          <w:noProof/>
        </w:rPr>
      </w:pPr>
      <w:r w:rsidRPr="007007A0">
        <w:rPr>
          <w:noProof/>
        </w:rPr>
        <w:t>[3]</w:t>
      </w:r>
      <w:r w:rsidRPr="007007A0">
        <w:rPr>
          <w:noProof/>
        </w:rPr>
        <w:tab/>
      </w:r>
      <w:r w:rsidRPr="007007A0">
        <w:rPr>
          <w:noProof/>
        </w:rPr>
        <w:tab/>
        <w:t xml:space="preserve">P. Melas, Z. Sabeur. (2015). </w:t>
      </w:r>
      <w:r w:rsidRPr="007007A0">
        <w:rPr>
          <w:iCs/>
          <w:noProof/>
        </w:rPr>
        <w:t>IDST system v1.0.</w:t>
      </w:r>
      <w:r w:rsidRPr="007007A0">
        <w:rPr>
          <w:noProof/>
        </w:rPr>
        <w:t xml:space="preserve"> </w:t>
      </w:r>
      <w:r w:rsidRPr="007007A0">
        <w:rPr>
          <w:iCs/>
          <w:noProof/>
        </w:rPr>
        <w:t xml:space="preserve">INFRARISK project deliverable D7.3 </w:t>
      </w:r>
      <w:r w:rsidRPr="007007A0">
        <w:rPr>
          <w:noProof/>
        </w:rPr>
        <w:t>https://www.infrarisk-fp7.eu/deliverables</w:t>
      </w:r>
    </w:p>
    <w:p w14:paraId="1A2EDDED" w14:textId="77777777" w:rsidR="007007A0" w:rsidRPr="007007A0" w:rsidRDefault="007007A0" w:rsidP="007007A0">
      <w:pPr>
        <w:pStyle w:val="Bibliography"/>
        <w:ind w:left="567" w:hanging="567"/>
        <w:rPr>
          <w:noProof/>
        </w:rPr>
      </w:pPr>
      <w:r w:rsidRPr="007007A0">
        <w:rPr>
          <w:noProof/>
        </w:rPr>
        <w:t>[4]</w:t>
      </w:r>
      <w:r w:rsidRPr="007007A0">
        <w:rPr>
          <w:noProof/>
        </w:rPr>
        <w:tab/>
      </w:r>
      <w:r w:rsidRPr="007007A0">
        <w:rPr>
          <w:noProof/>
        </w:rPr>
        <w:tab/>
        <w:t xml:space="preserve">P. Melas, Z. Sabeur. (2015). </w:t>
      </w:r>
      <w:r w:rsidRPr="007007A0">
        <w:rPr>
          <w:iCs/>
          <w:noProof/>
        </w:rPr>
        <w:t>IDST System Specification v2.0.</w:t>
      </w:r>
      <w:r w:rsidRPr="007007A0">
        <w:rPr>
          <w:noProof/>
        </w:rPr>
        <w:t xml:space="preserve"> </w:t>
      </w:r>
      <w:r w:rsidRPr="007007A0">
        <w:rPr>
          <w:iCs/>
          <w:noProof/>
        </w:rPr>
        <w:t>INFRARISK Deliverable D7.2.</w:t>
      </w:r>
      <w:r w:rsidRPr="007007A0">
        <w:rPr>
          <w:noProof/>
        </w:rPr>
        <w:t xml:space="preserve"> https://www.infrarisk-fp7.eu/deliverables</w:t>
      </w:r>
    </w:p>
    <w:p w14:paraId="03EC3FE9" w14:textId="77777777" w:rsidR="007007A0" w:rsidRDefault="007007A0" w:rsidP="007007A0">
      <w:pPr>
        <w:pStyle w:val="Bibliography"/>
        <w:ind w:left="567" w:hanging="567"/>
        <w:rPr>
          <w:noProof/>
        </w:rPr>
      </w:pPr>
      <w:r>
        <w:t>[</w:t>
      </w:r>
      <w:r w:rsidRPr="007007A0">
        <w:t>5]</w:t>
      </w:r>
      <w:r w:rsidRPr="007007A0">
        <w:tab/>
      </w:r>
      <w:r w:rsidRPr="007007A0">
        <w:tab/>
        <w:t xml:space="preserve">B. </w:t>
      </w:r>
      <w:r w:rsidRPr="007007A0">
        <w:fldChar w:fldCharType="begin"/>
      </w:r>
      <w:r w:rsidRPr="007007A0">
        <w:rPr>
          <w:lang w:val="en-GB"/>
        </w:rPr>
        <w:instrText xml:space="preserve"> BIBLIOGRAPHY  \l 2057 </w:instrText>
      </w:r>
      <w:r w:rsidRPr="007007A0">
        <w:fldChar w:fldCharType="separate"/>
      </w:r>
      <w:r w:rsidRPr="007007A0">
        <w:rPr>
          <w:noProof/>
        </w:rPr>
        <w:t xml:space="preserve">Adey, </w:t>
      </w:r>
      <w:r w:rsidRPr="007007A0">
        <w:rPr>
          <w:rFonts w:eastAsiaTheme="minorEastAsia"/>
          <w:color w:val="000000"/>
          <w:lang w:val="en-GB" w:eastAsia="en-US"/>
        </w:rPr>
        <w:t>Jürgen Hackl, Magnus Heitzler and Ionut Iosifescu</w:t>
      </w:r>
      <w:r w:rsidRPr="007007A0">
        <w:rPr>
          <w:noProof/>
        </w:rPr>
        <w:t xml:space="preserve"> (2014). </w:t>
      </w:r>
      <w:r w:rsidRPr="007007A0">
        <w:rPr>
          <w:bCs/>
        </w:rPr>
        <w:t>Preliminary model, methodology and information exchange</w:t>
      </w:r>
      <w:r w:rsidRPr="007007A0">
        <w:rPr>
          <w:iCs/>
          <w:noProof/>
        </w:rPr>
        <w:t>.</w:t>
      </w:r>
      <w:r w:rsidRPr="007007A0">
        <w:rPr>
          <w:noProof/>
        </w:rPr>
        <w:t xml:space="preserve"> INFRARISK EU project deliverable D4.1.</w:t>
      </w:r>
      <w:r w:rsidRPr="007007A0">
        <w:t xml:space="preserve"> </w:t>
      </w:r>
      <w:r w:rsidRPr="007007A0">
        <w:rPr>
          <w:noProof/>
        </w:rPr>
        <w:t>https://www.infrarisk-fp7.eu/deliverables</w:t>
      </w:r>
    </w:p>
    <w:p w14:paraId="0A5150C7" w14:textId="77777777" w:rsidR="007007A0" w:rsidRDefault="007007A0" w:rsidP="007007A0">
      <w:pPr>
        <w:pStyle w:val="Bibliography"/>
        <w:ind w:left="567" w:hanging="567"/>
        <w:rPr>
          <w:noProof/>
        </w:rPr>
      </w:pPr>
      <w:r w:rsidRPr="007007A0">
        <w:rPr>
          <w:noProof/>
        </w:rPr>
        <w:t>[6]</w:t>
      </w:r>
      <w:r w:rsidRPr="007007A0">
        <w:rPr>
          <w:noProof/>
        </w:rPr>
        <w:tab/>
      </w:r>
      <w:r w:rsidRPr="007007A0">
        <w:rPr>
          <w:noProof/>
        </w:rPr>
        <w:tab/>
        <w:t xml:space="preserve">J. Hackl, M. Heitzler, J. C. Lam, B. Abey, L. Hurni. (2016). </w:t>
      </w:r>
      <w:r w:rsidRPr="007007A0">
        <w:rPr>
          <w:iCs/>
          <w:noProof/>
        </w:rPr>
        <w:t xml:space="preserve">Final Model Methodology and Information Exchange. INFRARISK project deliverable D4.2. </w:t>
      </w:r>
      <w:r w:rsidRPr="007007A0">
        <w:rPr>
          <w:noProof/>
        </w:rPr>
        <w:t>https://www.infrarisk-fp7.eu/deliverables</w:t>
      </w:r>
    </w:p>
    <w:p w14:paraId="2E721E19" w14:textId="77777777" w:rsidR="007007A0" w:rsidRPr="007007A0" w:rsidRDefault="007007A0" w:rsidP="007007A0">
      <w:pPr>
        <w:pStyle w:val="Bibliography"/>
        <w:ind w:left="567" w:hanging="567"/>
        <w:rPr>
          <w:noProof/>
        </w:rPr>
      </w:pPr>
      <w:r w:rsidRPr="007007A0">
        <w:rPr>
          <w:noProof/>
        </w:rPr>
        <w:t>[7]</w:t>
      </w:r>
      <w:r w:rsidRPr="007007A0">
        <w:rPr>
          <w:noProof/>
        </w:rPr>
        <w:tab/>
      </w:r>
      <w:r w:rsidRPr="007007A0">
        <w:rPr>
          <w:noProof/>
        </w:rPr>
        <w:tab/>
        <w:t xml:space="preserve">P. van Gelder, N. van Erp. (2016). </w:t>
      </w:r>
      <w:r w:rsidRPr="007007A0">
        <w:rPr>
          <w:iCs/>
          <w:noProof/>
        </w:rPr>
        <w:t>Stress Test Framework for Systems.</w:t>
      </w:r>
      <w:r w:rsidRPr="007007A0">
        <w:t xml:space="preserve"> </w:t>
      </w:r>
      <w:r w:rsidRPr="007007A0">
        <w:rPr>
          <w:iCs/>
          <w:noProof/>
        </w:rPr>
        <w:t>INFRARISK project deliverable D6.2. https://www.infrarisk-fp7.eu/deliverables</w:t>
      </w:r>
    </w:p>
    <w:p w14:paraId="3C4AA109" w14:textId="77777777" w:rsidR="007007A0" w:rsidRPr="007007A0" w:rsidRDefault="007007A0" w:rsidP="007007A0">
      <w:pPr>
        <w:pStyle w:val="Bibliography"/>
        <w:ind w:left="567" w:hanging="567"/>
        <w:rPr>
          <w:noProof/>
        </w:rPr>
      </w:pPr>
      <w:r w:rsidRPr="007007A0">
        <w:rPr>
          <w:noProof/>
        </w:rPr>
        <w:t>[8]</w:t>
      </w:r>
      <w:r w:rsidRPr="007007A0">
        <w:rPr>
          <w:noProof/>
        </w:rPr>
        <w:tab/>
      </w:r>
      <w:r w:rsidRPr="007007A0">
        <w:rPr>
          <w:noProof/>
        </w:rPr>
        <w:tab/>
        <w:t xml:space="preserve">D. D’Ayala, P. Gehl  (2015). </w:t>
      </w:r>
      <w:r w:rsidRPr="007007A0">
        <w:rPr>
          <w:iCs/>
          <w:noProof/>
        </w:rPr>
        <w:t>Fragility Functions Matrix.</w:t>
      </w:r>
      <w:r w:rsidRPr="007007A0">
        <w:rPr>
          <w:noProof/>
        </w:rPr>
        <w:t xml:space="preserve"> INFRARISK project deliverable D3.2.</w:t>
      </w:r>
      <w:r w:rsidRPr="007007A0">
        <w:t xml:space="preserve"> </w:t>
      </w:r>
      <w:r w:rsidRPr="007007A0">
        <w:rPr>
          <w:noProof/>
        </w:rPr>
        <w:t>https://www.infrarisk-fp7.eu/deliverables</w:t>
      </w:r>
    </w:p>
    <w:p w14:paraId="1610B641" w14:textId="77777777" w:rsidR="007007A0" w:rsidRPr="007007A0" w:rsidRDefault="007007A0" w:rsidP="007007A0">
      <w:pPr>
        <w:pStyle w:val="Bibliography"/>
        <w:ind w:left="567" w:hanging="567"/>
        <w:rPr>
          <w:noProof/>
        </w:rPr>
      </w:pPr>
      <w:r w:rsidRPr="007007A0">
        <w:rPr>
          <w:noProof/>
        </w:rPr>
        <w:t>[9]</w:t>
      </w:r>
      <w:r w:rsidRPr="007007A0">
        <w:rPr>
          <w:noProof/>
        </w:rPr>
        <w:tab/>
      </w:r>
      <w:r w:rsidRPr="007007A0">
        <w:rPr>
          <w:noProof/>
        </w:rPr>
        <w:tab/>
        <w:t xml:space="preserve">J. Clarke, R. Corbally, E. OBrien. (2016). </w:t>
      </w:r>
      <w:r w:rsidRPr="007007A0">
        <w:rPr>
          <w:iCs/>
          <w:noProof/>
        </w:rPr>
        <w:t>Case Study Results.</w:t>
      </w:r>
      <w:r w:rsidRPr="007007A0">
        <w:rPr>
          <w:noProof/>
        </w:rPr>
        <w:t xml:space="preserve"> </w:t>
      </w:r>
      <w:r w:rsidRPr="007007A0">
        <w:rPr>
          <w:iCs/>
          <w:noProof/>
        </w:rPr>
        <w:t xml:space="preserve">INFRARISK project deliverable D8.2. </w:t>
      </w:r>
      <w:r w:rsidRPr="007007A0">
        <w:t xml:space="preserve"> </w:t>
      </w:r>
      <w:r w:rsidRPr="007007A0">
        <w:rPr>
          <w:noProof/>
        </w:rPr>
        <w:t>https://www.infrarisk-fp7.eu/deliverables</w:t>
      </w:r>
    </w:p>
    <w:p w14:paraId="3E6569E5" w14:textId="3DA4606D" w:rsidR="007007A0" w:rsidRPr="007007A0" w:rsidRDefault="007007A0" w:rsidP="007007A0">
      <w:pPr>
        <w:pStyle w:val="Bibliography"/>
        <w:ind w:left="567" w:hanging="567"/>
        <w:rPr>
          <w:noProof/>
        </w:rPr>
      </w:pPr>
      <w:r>
        <w:rPr>
          <w:noProof/>
        </w:rPr>
        <w:t>[10</w:t>
      </w:r>
      <w:r w:rsidRPr="007007A0">
        <w:rPr>
          <w:noProof/>
        </w:rPr>
        <w:t>]</w:t>
      </w:r>
      <w:r w:rsidRPr="007007A0">
        <w:rPr>
          <w:noProof/>
        </w:rPr>
        <w:tab/>
      </w:r>
      <w:r w:rsidRPr="007007A0">
        <w:rPr>
          <w:noProof/>
        </w:rPr>
        <w:tab/>
        <w:t xml:space="preserve">J. M. Jimenez, M. Garcia-Fernandez. (2016). </w:t>
      </w:r>
      <w:r w:rsidRPr="007007A0">
        <w:rPr>
          <w:iCs/>
          <w:noProof/>
        </w:rPr>
        <w:t>INFRARISK Technical Report Development of Seismic Hazard Modelling for Low-Probability Extreme Ground Motions.</w:t>
      </w:r>
      <w:r w:rsidRPr="007007A0">
        <w:rPr>
          <w:noProof/>
        </w:rPr>
        <w:t xml:space="preserve"> https://www.infrarisk-fp7.eu/deliverables</w:t>
      </w:r>
    </w:p>
    <w:p w14:paraId="4E9EC174" w14:textId="74B544B2" w:rsidR="007007A0" w:rsidRPr="007007A0" w:rsidRDefault="007007A0" w:rsidP="007007A0">
      <w:pPr>
        <w:ind w:left="567" w:hanging="567"/>
      </w:pPr>
      <w:r w:rsidRPr="007007A0">
        <w:t>[</w:t>
      </w:r>
      <w:r>
        <w:t>11</w:t>
      </w:r>
      <w:r w:rsidRPr="007007A0">
        <w:t>]</w:t>
      </w:r>
      <w:r w:rsidRPr="007007A0">
        <w:tab/>
        <w:t>Z. Sabeur</w:t>
      </w:r>
      <w:r>
        <w:t xml:space="preserve"> </w:t>
      </w:r>
      <w:r>
        <w:rPr>
          <w:i/>
        </w:rPr>
        <w:t>et al</w:t>
      </w:r>
      <w:r w:rsidRPr="007007A0">
        <w:t>. 2016. "The Integrated Decision Support Tool". INFRARISK project final Conference. 29</w:t>
      </w:r>
      <w:r w:rsidRPr="007007A0">
        <w:rPr>
          <w:vertAlign w:val="superscript"/>
        </w:rPr>
        <w:t>th</w:t>
      </w:r>
      <w:r w:rsidRPr="007007A0">
        <w:t xml:space="preserve"> September 2016, Dragados, Madrid. See weblink:  https://www.youtube.com/watch?v=nK2li3t8NU4</w:t>
      </w:r>
    </w:p>
    <w:p w14:paraId="3B707155" w14:textId="77777777" w:rsidR="007007A0" w:rsidRPr="007007A0" w:rsidRDefault="007007A0" w:rsidP="007007A0">
      <w:pPr>
        <w:ind w:left="567" w:hanging="567"/>
      </w:pPr>
    </w:p>
    <w:p w14:paraId="63B89CD3" w14:textId="77777777" w:rsidR="007007A0" w:rsidRPr="007007A0" w:rsidRDefault="007007A0" w:rsidP="007007A0">
      <w:pPr>
        <w:ind w:left="567" w:hanging="567"/>
      </w:pPr>
    </w:p>
    <w:p w14:paraId="3C65276A" w14:textId="77777777" w:rsidR="007007A0" w:rsidRPr="007007A0" w:rsidRDefault="007007A0" w:rsidP="007007A0">
      <w:pPr>
        <w:overflowPunct/>
        <w:spacing w:line="240" w:lineRule="auto"/>
        <w:ind w:firstLine="0"/>
        <w:jc w:val="left"/>
        <w:textAlignment w:val="auto"/>
        <w:rPr>
          <w:rFonts w:ascii="Calibri" w:eastAsiaTheme="minorEastAsia" w:hAnsi="Calibri" w:cs="Calibri"/>
          <w:color w:val="000000"/>
          <w:sz w:val="24"/>
          <w:szCs w:val="24"/>
          <w:lang w:val="en-GB" w:eastAsia="en-US"/>
        </w:rPr>
      </w:pPr>
    </w:p>
    <w:p w14:paraId="71BB3726" w14:textId="0FA5E268" w:rsidR="00490CE2" w:rsidRDefault="007007A0" w:rsidP="007007A0">
      <w:pPr>
        <w:pStyle w:val="Bibliography"/>
        <w:ind w:left="567" w:hanging="567"/>
      </w:pPr>
      <w:r w:rsidRPr="007007A0">
        <w:fldChar w:fldCharType="end"/>
      </w:r>
      <w:r w:rsidR="00490CE2">
        <w:t xml:space="preserve"> </w:t>
      </w:r>
    </w:p>
    <w:p w14:paraId="41FF1451" w14:textId="77777777" w:rsidR="00490CE2" w:rsidRPr="00C65EEA" w:rsidRDefault="00490CE2" w:rsidP="00490CE2">
      <w:pPr>
        <w:tabs>
          <w:tab w:val="left" w:pos="384"/>
        </w:tabs>
        <w:ind w:left="384" w:hanging="384"/>
      </w:pPr>
    </w:p>
    <w:p w14:paraId="597EAE1D" w14:textId="77777777" w:rsidR="00C65EEA" w:rsidRDefault="00C65EEA" w:rsidP="00C65EEA">
      <w:pPr>
        <w:tabs>
          <w:tab w:val="left" w:pos="384"/>
        </w:tabs>
        <w:ind w:firstLine="0"/>
      </w:pPr>
    </w:p>
    <w:p w14:paraId="6BEA6FCA" w14:textId="77777777" w:rsidR="00C65EEA" w:rsidRPr="00C65EEA" w:rsidRDefault="00C65EEA" w:rsidP="00C65EEA"/>
    <w:p w14:paraId="1BCF8FBF" w14:textId="77777777" w:rsidR="00336943" w:rsidRPr="0022605F" w:rsidRDefault="009A651F" w:rsidP="009A651F">
      <w:r w:rsidRPr="008B1F55">
        <w:fldChar w:fldCharType="end"/>
      </w:r>
    </w:p>
    <w:sectPr w:rsidR="00336943" w:rsidRPr="0022605F" w:rsidSect="00CE7667">
      <w:footerReference w:type="first" r:id="rId19"/>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27005" w14:textId="77777777" w:rsidR="009B7D52" w:rsidRDefault="009B7D52">
      <w:r>
        <w:separator/>
      </w:r>
    </w:p>
  </w:endnote>
  <w:endnote w:type="continuationSeparator" w:id="0">
    <w:p w14:paraId="3CD466AE" w14:textId="77777777" w:rsidR="009B7D52" w:rsidRDefault="009B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E2ECE" w14:textId="77777777" w:rsidR="009A651F" w:rsidRPr="00CE7667" w:rsidRDefault="009A651F" w:rsidP="00CE7667">
    <w:pPr>
      <w:pStyle w:val="ReferenceLine"/>
      <w:rPr>
        <w:lang w:val="de-DE"/>
      </w:rPr>
    </w:pPr>
    <w:r w:rsidRPr="00CE7667">
      <w:rPr>
        <w:lang w:val="de-DE"/>
      </w:rPr>
      <w:t>© Spring</w:t>
    </w:r>
    <w:r w:rsidR="00977475">
      <w:rPr>
        <w:lang w:val="de-DE"/>
      </w:rPr>
      <w:t>er-Verlag Berlin Heidelberg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D6E72" w14:textId="77777777" w:rsidR="009B7D52" w:rsidRDefault="009B7D52" w:rsidP="00895F20">
      <w:pPr>
        <w:ind w:firstLine="0"/>
      </w:pPr>
      <w:r>
        <w:separator/>
      </w:r>
    </w:p>
  </w:footnote>
  <w:footnote w:type="continuationSeparator" w:id="0">
    <w:p w14:paraId="40DD6974" w14:textId="77777777" w:rsidR="009B7D52" w:rsidRDefault="009B7D52" w:rsidP="00895F20">
      <w:pPr>
        <w:ind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C0776"/>
    <w:multiLevelType w:val="hybridMultilevel"/>
    <w:tmpl w:val="C3FAFA1A"/>
    <w:lvl w:ilvl="0" w:tplc="8384E5E2">
      <w:start w:val="1"/>
      <w:numFmt w:val="decimal"/>
      <w:lvlText w:val="%1-"/>
      <w:lvlJc w:val="left"/>
      <w:pPr>
        <w:ind w:left="720"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 w15:restartNumberingAfterBreak="0">
    <w:nsid w:val="089C665D"/>
    <w:multiLevelType w:val="hybridMultilevel"/>
    <w:tmpl w:val="93B02DC2"/>
    <w:lvl w:ilvl="0" w:tplc="08090001">
      <w:start w:val="1"/>
      <w:numFmt w:val="bullet"/>
      <w:lvlText w:val=""/>
      <w:lvlJc w:val="left"/>
      <w:pPr>
        <w:ind w:left="947" w:hanging="360"/>
      </w:pPr>
      <w:rPr>
        <w:rFonts w:ascii="Symbol" w:hAnsi="Symbol" w:hint="default"/>
      </w:rPr>
    </w:lvl>
    <w:lvl w:ilvl="1" w:tplc="08090003">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 w15:restartNumberingAfterBreak="0">
    <w:nsid w:val="15B504B4"/>
    <w:multiLevelType w:val="hybridMultilevel"/>
    <w:tmpl w:val="79A067DC"/>
    <w:lvl w:ilvl="0" w:tplc="FDC2BE2A">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E471841"/>
    <w:multiLevelType w:val="hybridMultilevel"/>
    <w:tmpl w:val="35905852"/>
    <w:lvl w:ilvl="0" w:tplc="08090001">
      <w:start w:val="1"/>
      <w:numFmt w:val="bullet"/>
      <w:lvlText w:val=""/>
      <w:lvlJc w:val="left"/>
      <w:pPr>
        <w:ind w:left="720" w:hanging="360"/>
      </w:pPr>
      <w:rPr>
        <w:rFonts w:ascii="Symbol" w:hAnsi="Symbol" w:hint="default"/>
      </w:rPr>
    </w:lvl>
    <w:lvl w:ilvl="1" w:tplc="DCE49B0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C4069A"/>
    <w:multiLevelType w:val="hybridMultilevel"/>
    <w:tmpl w:val="0A6AF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9" w15:restartNumberingAfterBreak="0">
    <w:nsid w:val="4AAE4901"/>
    <w:multiLevelType w:val="hybridMultilevel"/>
    <w:tmpl w:val="D8A25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335187"/>
    <w:multiLevelType w:val="hybridMultilevel"/>
    <w:tmpl w:val="C016BAFC"/>
    <w:lvl w:ilvl="0" w:tplc="8384E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57E365B1"/>
    <w:multiLevelType w:val="hybridMultilevel"/>
    <w:tmpl w:val="90C44FCA"/>
    <w:lvl w:ilvl="0" w:tplc="1576AC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D262BF"/>
    <w:multiLevelType w:val="hybridMultilevel"/>
    <w:tmpl w:val="59847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5"/>
  </w:num>
  <w:num w:numId="2">
    <w:abstractNumId w:val="5"/>
  </w:num>
  <w:num w:numId="3">
    <w:abstractNumId w:val="13"/>
  </w:num>
  <w:num w:numId="4">
    <w:abstractNumId w:val="14"/>
  </w:num>
  <w:num w:numId="5">
    <w:abstractNumId w:val="16"/>
  </w:num>
  <w:num w:numId="6">
    <w:abstractNumId w:val="1"/>
  </w:num>
  <w:num w:numId="7">
    <w:abstractNumId w:val="14"/>
  </w:num>
  <w:num w:numId="8">
    <w:abstractNumId w:val="0"/>
  </w:num>
  <w:num w:numId="9">
    <w:abstractNumId w:val="16"/>
  </w:num>
  <w:num w:numId="10">
    <w:abstractNumId w:val="5"/>
  </w:num>
  <w:num w:numId="11">
    <w:abstractNumId w:val="13"/>
  </w:num>
  <w:num w:numId="12">
    <w:abstractNumId w:val="8"/>
  </w:num>
  <w:num w:numId="13">
    <w:abstractNumId w:val="11"/>
  </w:num>
  <w:num w:numId="14">
    <w:abstractNumId w:val="4"/>
  </w:num>
  <w:num w:numId="15">
    <w:abstractNumId w:val="6"/>
  </w:num>
  <w:num w:numId="16">
    <w:abstractNumId w:val="3"/>
  </w:num>
  <w:num w:numId="17">
    <w:abstractNumId w:val="12"/>
  </w:num>
  <w:num w:numId="18">
    <w:abstractNumId w:val="7"/>
  </w:num>
  <w:num w:numId="19">
    <w:abstractNumId w:val="14"/>
  </w:num>
  <w:num w:numId="20">
    <w:abstractNumId w:val="10"/>
  </w:num>
  <w:num w:numId="21">
    <w:abstractNumId w:val="2"/>
  </w:num>
  <w:num w:numId="2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51F"/>
    <w:rsid w:val="0000056A"/>
    <w:rsid w:val="00001D94"/>
    <w:rsid w:val="00003303"/>
    <w:rsid w:val="00003F27"/>
    <w:rsid w:val="00003FBB"/>
    <w:rsid w:val="0000420C"/>
    <w:rsid w:val="000058CD"/>
    <w:rsid w:val="00006405"/>
    <w:rsid w:val="00007F40"/>
    <w:rsid w:val="000112A3"/>
    <w:rsid w:val="00015441"/>
    <w:rsid w:val="0002448F"/>
    <w:rsid w:val="000245FC"/>
    <w:rsid w:val="0002597B"/>
    <w:rsid w:val="00025D8F"/>
    <w:rsid w:val="000309B7"/>
    <w:rsid w:val="00030E3E"/>
    <w:rsid w:val="0003135A"/>
    <w:rsid w:val="0003144A"/>
    <w:rsid w:val="00034555"/>
    <w:rsid w:val="00040402"/>
    <w:rsid w:val="0004696A"/>
    <w:rsid w:val="0005696A"/>
    <w:rsid w:val="000569E7"/>
    <w:rsid w:val="0006033D"/>
    <w:rsid w:val="00060626"/>
    <w:rsid w:val="0006118B"/>
    <w:rsid w:val="000740BE"/>
    <w:rsid w:val="0007498B"/>
    <w:rsid w:val="0007593C"/>
    <w:rsid w:val="000817CD"/>
    <w:rsid w:val="0008374A"/>
    <w:rsid w:val="00085A78"/>
    <w:rsid w:val="00090710"/>
    <w:rsid w:val="00090731"/>
    <w:rsid w:val="000927C5"/>
    <w:rsid w:val="00092FA6"/>
    <w:rsid w:val="000934BA"/>
    <w:rsid w:val="00094656"/>
    <w:rsid w:val="000A2E55"/>
    <w:rsid w:val="000B05DC"/>
    <w:rsid w:val="000B1E82"/>
    <w:rsid w:val="000B2266"/>
    <w:rsid w:val="000B7E4C"/>
    <w:rsid w:val="000C006D"/>
    <w:rsid w:val="000C04F0"/>
    <w:rsid w:val="000C4C8F"/>
    <w:rsid w:val="000C4D48"/>
    <w:rsid w:val="000D11A4"/>
    <w:rsid w:val="000D16FA"/>
    <w:rsid w:val="000D24A0"/>
    <w:rsid w:val="000D257C"/>
    <w:rsid w:val="000D3597"/>
    <w:rsid w:val="000D6D27"/>
    <w:rsid w:val="000E071F"/>
    <w:rsid w:val="000E7E9F"/>
    <w:rsid w:val="000F0DC5"/>
    <w:rsid w:val="000F1F28"/>
    <w:rsid w:val="000F44F6"/>
    <w:rsid w:val="000F4747"/>
    <w:rsid w:val="000F782C"/>
    <w:rsid w:val="00117CC9"/>
    <w:rsid w:val="00120D79"/>
    <w:rsid w:val="00120F7A"/>
    <w:rsid w:val="00126E4F"/>
    <w:rsid w:val="0013193E"/>
    <w:rsid w:val="00135B96"/>
    <w:rsid w:val="001362F0"/>
    <w:rsid w:val="0013666A"/>
    <w:rsid w:val="00136BBC"/>
    <w:rsid w:val="00141954"/>
    <w:rsid w:val="00145AF7"/>
    <w:rsid w:val="0016073E"/>
    <w:rsid w:val="00162CC8"/>
    <w:rsid w:val="00163AF4"/>
    <w:rsid w:val="00164D7E"/>
    <w:rsid w:val="00166260"/>
    <w:rsid w:val="0016678D"/>
    <w:rsid w:val="00172752"/>
    <w:rsid w:val="00172A1B"/>
    <w:rsid w:val="00185973"/>
    <w:rsid w:val="00186253"/>
    <w:rsid w:val="00187E43"/>
    <w:rsid w:val="00190935"/>
    <w:rsid w:val="00197686"/>
    <w:rsid w:val="001A0E09"/>
    <w:rsid w:val="001B255B"/>
    <w:rsid w:val="001B3097"/>
    <w:rsid w:val="001B4547"/>
    <w:rsid w:val="001B4A7C"/>
    <w:rsid w:val="001B5DB8"/>
    <w:rsid w:val="001D3E27"/>
    <w:rsid w:val="001D53EB"/>
    <w:rsid w:val="001E0A64"/>
    <w:rsid w:val="001E21AD"/>
    <w:rsid w:val="001E3A57"/>
    <w:rsid w:val="001F5439"/>
    <w:rsid w:val="00200FFD"/>
    <w:rsid w:val="00202346"/>
    <w:rsid w:val="00204E89"/>
    <w:rsid w:val="00210248"/>
    <w:rsid w:val="00210DB8"/>
    <w:rsid w:val="0021134D"/>
    <w:rsid w:val="00212511"/>
    <w:rsid w:val="00212BDA"/>
    <w:rsid w:val="00213A7D"/>
    <w:rsid w:val="00214AC2"/>
    <w:rsid w:val="002224E1"/>
    <w:rsid w:val="00225723"/>
    <w:rsid w:val="0022605F"/>
    <w:rsid w:val="00226E54"/>
    <w:rsid w:val="00227960"/>
    <w:rsid w:val="0023086D"/>
    <w:rsid w:val="00230C00"/>
    <w:rsid w:val="0023104F"/>
    <w:rsid w:val="00231803"/>
    <w:rsid w:val="002354AE"/>
    <w:rsid w:val="0024075B"/>
    <w:rsid w:val="00240D33"/>
    <w:rsid w:val="0024529B"/>
    <w:rsid w:val="002542EE"/>
    <w:rsid w:val="00260573"/>
    <w:rsid w:val="00260CAD"/>
    <w:rsid w:val="00262528"/>
    <w:rsid w:val="002639D9"/>
    <w:rsid w:val="00264407"/>
    <w:rsid w:val="00270386"/>
    <w:rsid w:val="0027411A"/>
    <w:rsid w:val="0027506C"/>
    <w:rsid w:val="002823FC"/>
    <w:rsid w:val="00284820"/>
    <w:rsid w:val="002A0991"/>
    <w:rsid w:val="002A2BF4"/>
    <w:rsid w:val="002A4602"/>
    <w:rsid w:val="002A4A69"/>
    <w:rsid w:val="002A56B5"/>
    <w:rsid w:val="002B3B17"/>
    <w:rsid w:val="002B406E"/>
    <w:rsid w:val="002B53C3"/>
    <w:rsid w:val="002B66F5"/>
    <w:rsid w:val="002B7863"/>
    <w:rsid w:val="002C110C"/>
    <w:rsid w:val="002D34CD"/>
    <w:rsid w:val="002E323E"/>
    <w:rsid w:val="002E36AF"/>
    <w:rsid w:val="002E4A7F"/>
    <w:rsid w:val="002E52C8"/>
    <w:rsid w:val="002E5AD3"/>
    <w:rsid w:val="002E6BA4"/>
    <w:rsid w:val="002E7892"/>
    <w:rsid w:val="002F3CD1"/>
    <w:rsid w:val="002F3D2A"/>
    <w:rsid w:val="003025D3"/>
    <w:rsid w:val="00304BE6"/>
    <w:rsid w:val="00305345"/>
    <w:rsid w:val="00307282"/>
    <w:rsid w:val="00307D1B"/>
    <w:rsid w:val="00312F45"/>
    <w:rsid w:val="0031466D"/>
    <w:rsid w:val="00316E8F"/>
    <w:rsid w:val="00334C04"/>
    <w:rsid w:val="00336943"/>
    <w:rsid w:val="00341AEA"/>
    <w:rsid w:val="00341F67"/>
    <w:rsid w:val="00350640"/>
    <w:rsid w:val="0035112D"/>
    <w:rsid w:val="0035513F"/>
    <w:rsid w:val="00355E00"/>
    <w:rsid w:val="003606CA"/>
    <w:rsid w:val="0036104B"/>
    <w:rsid w:val="00362269"/>
    <w:rsid w:val="00362A85"/>
    <w:rsid w:val="003633D4"/>
    <w:rsid w:val="00364275"/>
    <w:rsid w:val="003655E1"/>
    <w:rsid w:val="00365CB0"/>
    <w:rsid w:val="00366995"/>
    <w:rsid w:val="00371063"/>
    <w:rsid w:val="003723B4"/>
    <w:rsid w:val="00372CA7"/>
    <w:rsid w:val="00376180"/>
    <w:rsid w:val="00377276"/>
    <w:rsid w:val="00377424"/>
    <w:rsid w:val="00385630"/>
    <w:rsid w:val="00394942"/>
    <w:rsid w:val="003949F3"/>
    <w:rsid w:val="003965F3"/>
    <w:rsid w:val="003A3A01"/>
    <w:rsid w:val="003A4408"/>
    <w:rsid w:val="003A6764"/>
    <w:rsid w:val="003B0216"/>
    <w:rsid w:val="003B13D1"/>
    <w:rsid w:val="003B2F07"/>
    <w:rsid w:val="003B33F7"/>
    <w:rsid w:val="003B3F66"/>
    <w:rsid w:val="003B5CDA"/>
    <w:rsid w:val="003B7599"/>
    <w:rsid w:val="003C1A34"/>
    <w:rsid w:val="003C3B83"/>
    <w:rsid w:val="003C4911"/>
    <w:rsid w:val="003C5BCA"/>
    <w:rsid w:val="003D487D"/>
    <w:rsid w:val="003D6CE6"/>
    <w:rsid w:val="003D6D61"/>
    <w:rsid w:val="003D6DAC"/>
    <w:rsid w:val="003E0142"/>
    <w:rsid w:val="003E2A5E"/>
    <w:rsid w:val="003E3032"/>
    <w:rsid w:val="003E5A23"/>
    <w:rsid w:val="003F185F"/>
    <w:rsid w:val="003F1DCF"/>
    <w:rsid w:val="003F4765"/>
    <w:rsid w:val="003F65A6"/>
    <w:rsid w:val="004046E5"/>
    <w:rsid w:val="00414563"/>
    <w:rsid w:val="0041626B"/>
    <w:rsid w:val="00423551"/>
    <w:rsid w:val="00423F1B"/>
    <w:rsid w:val="00426C62"/>
    <w:rsid w:val="0042772B"/>
    <w:rsid w:val="004328A0"/>
    <w:rsid w:val="00433441"/>
    <w:rsid w:val="00435214"/>
    <w:rsid w:val="00435D07"/>
    <w:rsid w:val="00436948"/>
    <w:rsid w:val="0043737C"/>
    <w:rsid w:val="0044009C"/>
    <w:rsid w:val="00442A6C"/>
    <w:rsid w:val="004435BA"/>
    <w:rsid w:val="00444190"/>
    <w:rsid w:val="00445535"/>
    <w:rsid w:val="00453C76"/>
    <w:rsid w:val="00454DD4"/>
    <w:rsid w:val="00456287"/>
    <w:rsid w:val="004600F4"/>
    <w:rsid w:val="004705AF"/>
    <w:rsid w:val="00471B63"/>
    <w:rsid w:val="0047305E"/>
    <w:rsid w:val="00473617"/>
    <w:rsid w:val="00476386"/>
    <w:rsid w:val="00477C52"/>
    <w:rsid w:val="00477F90"/>
    <w:rsid w:val="00482E0F"/>
    <w:rsid w:val="0048344D"/>
    <w:rsid w:val="00484DD3"/>
    <w:rsid w:val="00486D71"/>
    <w:rsid w:val="00490CE2"/>
    <w:rsid w:val="004918B5"/>
    <w:rsid w:val="004956C3"/>
    <w:rsid w:val="00495761"/>
    <w:rsid w:val="00497AD6"/>
    <w:rsid w:val="004C20E7"/>
    <w:rsid w:val="004C2656"/>
    <w:rsid w:val="004C2812"/>
    <w:rsid w:val="004D130C"/>
    <w:rsid w:val="004D189F"/>
    <w:rsid w:val="004D49E8"/>
    <w:rsid w:val="004D4E83"/>
    <w:rsid w:val="004D6665"/>
    <w:rsid w:val="004D7C52"/>
    <w:rsid w:val="004E0C9D"/>
    <w:rsid w:val="004E2797"/>
    <w:rsid w:val="004E43F0"/>
    <w:rsid w:val="004E539B"/>
    <w:rsid w:val="004F16B4"/>
    <w:rsid w:val="004F59AA"/>
    <w:rsid w:val="004F6474"/>
    <w:rsid w:val="00500895"/>
    <w:rsid w:val="005010B4"/>
    <w:rsid w:val="00501B8C"/>
    <w:rsid w:val="0050369B"/>
    <w:rsid w:val="00504743"/>
    <w:rsid w:val="00511908"/>
    <w:rsid w:val="00512421"/>
    <w:rsid w:val="0051658B"/>
    <w:rsid w:val="00521BC8"/>
    <w:rsid w:val="0052599C"/>
    <w:rsid w:val="00531E07"/>
    <w:rsid w:val="0053704E"/>
    <w:rsid w:val="0053710F"/>
    <w:rsid w:val="005377DD"/>
    <w:rsid w:val="0055569A"/>
    <w:rsid w:val="00564ED7"/>
    <w:rsid w:val="00567BDC"/>
    <w:rsid w:val="00567C1E"/>
    <w:rsid w:val="00571515"/>
    <w:rsid w:val="005808CB"/>
    <w:rsid w:val="005846B6"/>
    <w:rsid w:val="00584C20"/>
    <w:rsid w:val="005865C2"/>
    <w:rsid w:val="00591219"/>
    <w:rsid w:val="00595F94"/>
    <w:rsid w:val="005A2E29"/>
    <w:rsid w:val="005A5331"/>
    <w:rsid w:val="005A5F79"/>
    <w:rsid w:val="005A6CD4"/>
    <w:rsid w:val="005A70E4"/>
    <w:rsid w:val="005B0EF1"/>
    <w:rsid w:val="005B32AC"/>
    <w:rsid w:val="005B3D33"/>
    <w:rsid w:val="005C1B59"/>
    <w:rsid w:val="005C5E66"/>
    <w:rsid w:val="005C70FB"/>
    <w:rsid w:val="005D172C"/>
    <w:rsid w:val="005D2190"/>
    <w:rsid w:val="005E026B"/>
    <w:rsid w:val="005E1037"/>
    <w:rsid w:val="005E316C"/>
    <w:rsid w:val="005E6B7E"/>
    <w:rsid w:val="005F4EB3"/>
    <w:rsid w:val="00601880"/>
    <w:rsid w:val="00604BA8"/>
    <w:rsid w:val="006052E9"/>
    <w:rsid w:val="0061213E"/>
    <w:rsid w:val="0061522E"/>
    <w:rsid w:val="00616817"/>
    <w:rsid w:val="006258CB"/>
    <w:rsid w:val="00625C35"/>
    <w:rsid w:val="00625C3B"/>
    <w:rsid w:val="0062707D"/>
    <w:rsid w:val="00627D6A"/>
    <w:rsid w:val="00630F3B"/>
    <w:rsid w:val="00631A9F"/>
    <w:rsid w:val="00637DFE"/>
    <w:rsid w:val="00642073"/>
    <w:rsid w:val="006469B8"/>
    <w:rsid w:val="00650CEB"/>
    <w:rsid w:val="006523E5"/>
    <w:rsid w:val="00653A1B"/>
    <w:rsid w:val="0065405B"/>
    <w:rsid w:val="00656155"/>
    <w:rsid w:val="0066250C"/>
    <w:rsid w:val="006713CE"/>
    <w:rsid w:val="00672FA2"/>
    <w:rsid w:val="00673747"/>
    <w:rsid w:val="00674CEB"/>
    <w:rsid w:val="006750C2"/>
    <w:rsid w:val="006778FD"/>
    <w:rsid w:val="0068057D"/>
    <w:rsid w:val="00683B63"/>
    <w:rsid w:val="006856F2"/>
    <w:rsid w:val="00690F07"/>
    <w:rsid w:val="006968F0"/>
    <w:rsid w:val="006A1D3F"/>
    <w:rsid w:val="006A278D"/>
    <w:rsid w:val="006A5D0F"/>
    <w:rsid w:val="006A645F"/>
    <w:rsid w:val="006A68D2"/>
    <w:rsid w:val="006B184A"/>
    <w:rsid w:val="006C0190"/>
    <w:rsid w:val="006C0AD3"/>
    <w:rsid w:val="006C4DA7"/>
    <w:rsid w:val="006C74CC"/>
    <w:rsid w:val="006D63CD"/>
    <w:rsid w:val="006E00D5"/>
    <w:rsid w:val="006E031A"/>
    <w:rsid w:val="006F077C"/>
    <w:rsid w:val="006F1F04"/>
    <w:rsid w:val="006F257F"/>
    <w:rsid w:val="007007A0"/>
    <w:rsid w:val="007027E6"/>
    <w:rsid w:val="0070371D"/>
    <w:rsid w:val="00706A12"/>
    <w:rsid w:val="00714E9D"/>
    <w:rsid w:val="00722FCD"/>
    <w:rsid w:val="007259A8"/>
    <w:rsid w:val="00726A40"/>
    <w:rsid w:val="00726F80"/>
    <w:rsid w:val="00731E8F"/>
    <w:rsid w:val="00735682"/>
    <w:rsid w:val="0074633C"/>
    <w:rsid w:val="0074741C"/>
    <w:rsid w:val="00750E7D"/>
    <w:rsid w:val="00752B87"/>
    <w:rsid w:val="007540B1"/>
    <w:rsid w:val="007608F0"/>
    <w:rsid w:val="007626F0"/>
    <w:rsid w:val="00764DE7"/>
    <w:rsid w:val="0076605E"/>
    <w:rsid w:val="00767AFD"/>
    <w:rsid w:val="00775796"/>
    <w:rsid w:val="007809D1"/>
    <w:rsid w:val="00780EA7"/>
    <w:rsid w:val="00780F47"/>
    <w:rsid w:val="0078731E"/>
    <w:rsid w:val="00791F63"/>
    <w:rsid w:val="007A08F7"/>
    <w:rsid w:val="007A3249"/>
    <w:rsid w:val="007A52AC"/>
    <w:rsid w:val="007B722C"/>
    <w:rsid w:val="007B7F6F"/>
    <w:rsid w:val="007C1B8F"/>
    <w:rsid w:val="007C7941"/>
    <w:rsid w:val="007D0A21"/>
    <w:rsid w:val="007D1350"/>
    <w:rsid w:val="007D3F01"/>
    <w:rsid w:val="007D48CE"/>
    <w:rsid w:val="007E0352"/>
    <w:rsid w:val="007E6144"/>
    <w:rsid w:val="007F3BF6"/>
    <w:rsid w:val="00807BBC"/>
    <w:rsid w:val="00810F00"/>
    <w:rsid w:val="0081281B"/>
    <w:rsid w:val="008141F8"/>
    <w:rsid w:val="0081427D"/>
    <w:rsid w:val="008175BD"/>
    <w:rsid w:val="008250DF"/>
    <w:rsid w:val="00831B2C"/>
    <w:rsid w:val="008338A5"/>
    <w:rsid w:val="0083409A"/>
    <w:rsid w:val="00837AB8"/>
    <w:rsid w:val="0084658F"/>
    <w:rsid w:val="008472DB"/>
    <w:rsid w:val="00850810"/>
    <w:rsid w:val="00852E68"/>
    <w:rsid w:val="00860283"/>
    <w:rsid w:val="00871A19"/>
    <w:rsid w:val="00872347"/>
    <w:rsid w:val="00873A48"/>
    <w:rsid w:val="00891A92"/>
    <w:rsid w:val="008940AB"/>
    <w:rsid w:val="008946C9"/>
    <w:rsid w:val="008955CB"/>
    <w:rsid w:val="00895F20"/>
    <w:rsid w:val="008A281F"/>
    <w:rsid w:val="008A6A3D"/>
    <w:rsid w:val="008A6E4E"/>
    <w:rsid w:val="008A7007"/>
    <w:rsid w:val="008A7B46"/>
    <w:rsid w:val="008B1394"/>
    <w:rsid w:val="008B1558"/>
    <w:rsid w:val="008B1F55"/>
    <w:rsid w:val="008B225D"/>
    <w:rsid w:val="008B25C8"/>
    <w:rsid w:val="008B40E2"/>
    <w:rsid w:val="008B42D1"/>
    <w:rsid w:val="008B4C1F"/>
    <w:rsid w:val="008B50BD"/>
    <w:rsid w:val="008B50BF"/>
    <w:rsid w:val="008C01F8"/>
    <w:rsid w:val="008C1CDA"/>
    <w:rsid w:val="008C511A"/>
    <w:rsid w:val="008C6347"/>
    <w:rsid w:val="008C6548"/>
    <w:rsid w:val="008D00D5"/>
    <w:rsid w:val="008D237F"/>
    <w:rsid w:val="008D3C6F"/>
    <w:rsid w:val="008D6649"/>
    <w:rsid w:val="008E0765"/>
    <w:rsid w:val="008E3A00"/>
    <w:rsid w:val="008E47AE"/>
    <w:rsid w:val="008F00F6"/>
    <w:rsid w:val="008F43AB"/>
    <w:rsid w:val="008F60DC"/>
    <w:rsid w:val="008F620F"/>
    <w:rsid w:val="0090289B"/>
    <w:rsid w:val="00905787"/>
    <w:rsid w:val="00905DD2"/>
    <w:rsid w:val="0090666A"/>
    <w:rsid w:val="009079EF"/>
    <w:rsid w:val="00912D08"/>
    <w:rsid w:val="009236C9"/>
    <w:rsid w:val="00927042"/>
    <w:rsid w:val="0093247D"/>
    <w:rsid w:val="00933633"/>
    <w:rsid w:val="00933AD3"/>
    <w:rsid w:val="00942F71"/>
    <w:rsid w:val="009459F1"/>
    <w:rsid w:val="00947940"/>
    <w:rsid w:val="00950D0B"/>
    <w:rsid w:val="00956623"/>
    <w:rsid w:val="00957940"/>
    <w:rsid w:val="00960D14"/>
    <w:rsid w:val="00960D65"/>
    <w:rsid w:val="00963FCB"/>
    <w:rsid w:val="00967BEF"/>
    <w:rsid w:val="009702E3"/>
    <w:rsid w:val="009739B4"/>
    <w:rsid w:val="00977475"/>
    <w:rsid w:val="00984E32"/>
    <w:rsid w:val="0098549F"/>
    <w:rsid w:val="0098555B"/>
    <w:rsid w:val="00990BBC"/>
    <w:rsid w:val="00991EFC"/>
    <w:rsid w:val="00993021"/>
    <w:rsid w:val="009935A9"/>
    <w:rsid w:val="00995A25"/>
    <w:rsid w:val="00996632"/>
    <w:rsid w:val="00997385"/>
    <w:rsid w:val="009A1677"/>
    <w:rsid w:val="009A2666"/>
    <w:rsid w:val="009A3855"/>
    <w:rsid w:val="009A411B"/>
    <w:rsid w:val="009A5950"/>
    <w:rsid w:val="009A651F"/>
    <w:rsid w:val="009A7251"/>
    <w:rsid w:val="009B7D52"/>
    <w:rsid w:val="009C1123"/>
    <w:rsid w:val="009C1481"/>
    <w:rsid w:val="009C3E60"/>
    <w:rsid w:val="009C411C"/>
    <w:rsid w:val="009C439C"/>
    <w:rsid w:val="009C5571"/>
    <w:rsid w:val="009D5432"/>
    <w:rsid w:val="009D627C"/>
    <w:rsid w:val="009E0616"/>
    <w:rsid w:val="009E388E"/>
    <w:rsid w:val="009E4E69"/>
    <w:rsid w:val="009E649D"/>
    <w:rsid w:val="009F73DF"/>
    <w:rsid w:val="009F7FCE"/>
    <w:rsid w:val="00A06578"/>
    <w:rsid w:val="00A067B6"/>
    <w:rsid w:val="00A10B22"/>
    <w:rsid w:val="00A145B8"/>
    <w:rsid w:val="00A15A8E"/>
    <w:rsid w:val="00A24F12"/>
    <w:rsid w:val="00A2627C"/>
    <w:rsid w:val="00A26846"/>
    <w:rsid w:val="00A30CFC"/>
    <w:rsid w:val="00A32D1E"/>
    <w:rsid w:val="00A33255"/>
    <w:rsid w:val="00A3516F"/>
    <w:rsid w:val="00A35229"/>
    <w:rsid w:val="00A37FEA"/>
    <w:rsid w:val="00A42D6A"/>
    <w:rsid w:val="00A442F2"/>
    <w:rsid w:val="00A504B6"/>
    <w:rsid w:val="00A52DF4"/>
    <w:rsid w:val="00A57525"/>
    <w:rsid w:val="00A60E4B"/>
    <w:rsid w:val="00A65029"/>
    <w:rsid w:val="00A652A7"/>
    <w:rsid w:val="00A81874"/>
    <w:rsid w:val="00A82F18"/>
    <w:rsid w:val="00A83872"/>
    <w:rsid w:val="00A85F41"/>
    <w:rsid w:val="00A92ED7"/>
    <w:rsid w:val="00AA19EB"/>
    <w:rsid w:val="00AA4B05"/>
    <w:rsid w:val="00AA6C11"/>
    <w:rsid w:val="00AA6CF3"/>
    <w:rsid w:val="00AB2269"/>
    <w:rsid w:val="00AB2CDF"/>
    <w:rsid w:val="00AC25E7"/>
    <w:rsid w:val="00AC3D8B"/>
    <w:rsid w:val="00AC456C"/>
    <w:rsid w:val="00AC683B"/>
    <w:rsid w:val="00AD55CB"/>
    <w:rsid w:val="00AD5AAC"/>
    <w:rsid w:val="00AD5F5C"/>
    <w:rsid w:val="00AE0CA7"/>
    <w:rsid w:val="00AE7146"/>
    <w:rsid w:val="00AF2CE7"/>
    <w:rsid w:val="00AF5E1A"/>
    <w:rsid w:val="00AF5FB9"/>
    <w:rsid w:val="00B02D5D"/>
    <w:rsid w:val="00B06354"/>
    <w:rsid w:val="00B07D10"/>
    <w:rsid w:val="00B13B2F"/>
    <w:rsid w:val="00B13EFA"/>
    <w:rsid w:val="00B16A67"/>
    <w:rsid w:val="00B17E0A"/>
    <w:rsid w:val="00B2046F"/>
    <w:rsid w:val="00B22932"/>
    <w:rsid w:val="00B2350A"/>
    <w:rsid w:val="00B31C27"/>
    <w:rsid w:val="00B32CD0"/>
    <w:rsid w:val="00B34E02"/>
    <w:rsid w:val="00B372A9"/>
    <w:rsid w:val="00B37D11"/>
    <w:rsid w:val="00B40B82"/>
    <w:rsid w:val="00B4135F"/>
    <w:rsid w:val="00B41F94"/>
    <w:rsid w:val="00B438A2"/>
    <w:rsid w:val="00B455BD"/>
    <w:rsid w:val="00B4592B"/>
    <w:rsid w:val="00B469AD"/>
    <w:rsid w:val="00B47023"/>
    <w:rsid w:val="00B4764D"/>
    <w:rsid w:val="00B51E4F"/>
    <w:rsid w:val="00B52C8F"/>
    <w:rsid w:val="00B54522"/>
    <w:rsid w:val="00B55008"/>
    <w:rsid w:val="00B55961"/>
    <w:rsid w:val="00B676D4"/>
    <w:rsid w:val="00B725D1"/>
    <w:rsid w:val="00B752BF"/>
    <w:rsid w:val="00B754A2"/>
    <w:rsid w:val="00B75A88"/>
    <w:rsid w:val="00B77981"/>
    <w:rsid w:val="00B80230"/>
    <w:rsid w:val="00B8034A"/>
    <w:rsid w:val="00B86301"/>
    <w:rsid w:val="00B86715"/>
    <w:rsid w:val="00B90577"/>
    <w:rsid w:val="00B9219B"/>
    <w:rsid w:val="00B927C6"/>
    <w:rsid w:val="00B9548D"/>
    <w:rsid w:val="00BA0EDB"/>
    <w:rsid w:val="00BA485F"/>
    <w:rsid w:val="00BA5679"/>
    <w:rsid w:val="00BA6773"/>
    <w:rsid w:val="00BA705B"/>
    <w:rsid w:val="00BB35C6"/>
    <w:rsid w:val="00BB483F"/>
    <w:rsid w:val="00BC02E5"/>
    <w:rsid w:val="00BC0E60"/>
    <w:rsid w:val="00BC26A5"/>
    <w:rsid w:val="00BC69FA"/>
    <w:rsid w:val="00BD55E1"/>
    <w:rsid w:val="00BE08A1"/>
    <w:rsid w:val="00BE1517"/>
    <w:rsid w:val="00BE18BA"/>
    <w:rsid w:val="00BE69A0"/>
    <w:rsid w:val="00BF4592"/>
    <w:rsid w:val="00BF7C59"/>
    <w:rsid w:val="00C0016F"/>
    <w:rsid w:val="00C04C3A"/>
    <w:rsid w:val="00C05153"/>
    <w:rsid w:val="00C20A4B"/>
    <w:rsid w:val="00C22642"/>
    <w:rsid w:val="00C226E1"/>
    <w:rsid w:val="00C2501E"/>
    <w:rsid w:val="00C25E8B"/>
    <w:rsid w:val="00C26611"/>
    <w:rsid w:val="00C315CF"/>
    <w:rsid w:val="00C32CD1"/>
    <w:rsid w:val="00C35121"/>
    <w:rsid w:val="00C43226"/>
    <w:rsid w:val="00C43737"/>
    <w:rsid w:val="00C44013"/>
    <w:rsid w:val="00C447BD"/>
    <w:rsid w:val="00C453BD"/>
    <w:rsid w:val="00C45C81"/>
    <w:rsid w:val="00C46EFA"/>
    <w:rsid w:val="00C50748"/>
    <w:rsid w:val="00C51C56"/>
    <w:rsid w:val="00C60104"/>
    <w:rsid w:val="00C6285A"/>
    <w:rsid w:val="00C62E7B"/>
    <w:rsid w:val="00C65EEA"/>
    <w:rsid w:val="00C70988"/>
    <w:rsid w:val="00C73FE1"/>
    <w:rsid w:val="00C8067F"/>
    <w:rsid w:val="00C837A2"/>
    <w:rsid w:val="00C84EBE"/>
    <w:rsid w:val="00C91263"/>
    <w:rsid w:val="00CB2916"/>
    <w:rsid w:val="00CB5C2E"/>
    <w:rsid w:val="00CC2459"/>
    <w:rsid w:val="00CD0021"/>
    <w:rsid w:val="00CD0BD7"/>
    <w:rsid w:val="00CD4538"/>
    <w:rsid w:val="00CE223C"/>
    <w:rsid w:val="00CE7667"/>
    <w:rsid w:val="00CF3131"/>
    <w:rsid w:val="00CF3BE1"/>
    <w:rsid w:val="00D00243"/>
    <w:rsid w:val="00D05ECD"/>
    <w:rsid w:val="00D073CB"/>
    <w:rsid w:val="00D11DE6"/>
    <w:rsid w:val="00D145A7"/>
    <w:rsid w:val="00D24964"/>
    <w:rsid w:val="00D30140"/>
    <w:rsid w:val="00D36EBA"/>
    <w:rsid w:val="00D40AC2"/>
    <w:rsid w:val="00D40EB6"/>
    <w:rsid w:val="00D4100E"/>
    <w:rsid w:val="00D50A75"/>
    <w:rsid w:val="00D54466"/>
    <w:rsid w:val="00D63A3C"/>
    <w:rsid w:val="00D6724D"/>
    <w:rsid w:val="00D6791A"/>
    <w:rsid w:val="00D707E2"/>
    <w:rsid w:val="00D75A83"/>
    <w:rsid w:val="00D87891"/>
    <w:rsid w:val="00D93670"/>
    <w:rsid w:val="00D93D38"/>
    <w:rsid w:val="00D96B09"/>
    <w:rsid w:val="00D96C7F"/>
    <w:rsid w:val="00DA44F3"/>
    <w:rsid w:val="00DB0063"/>
    <w:rsid w:val="00DB03EE"/>
    <w:rsid w:val="00DC198D"/>
    <w:rsid w:val="00DC1E99"/>
    <w:rsid w:val="00DC72BF"/>
    <w:rsid w:val="00DC7DFD"/>
    <w:rsid w:val="00DD0149"/>
    <w:rsid w:val="00DE0236"/>
    <w:rsid w:val="00DE09DF"/>
    <w:rsid w:val="00DE2420"/>
    <w:rsid w:val="00DE5DFA"/>
    <w:rsid w:val="00DE7540"/>
    <w:rsid w:val="00DE7B95"/>
    <w:rsid w:val="00DF1892"/>
    <w:rsid w:val="00DF45D3"/>
    <w:rsid w:val="00E02E86"/>
    <w:rsid w:val="00E036A8"/>
    <w:rsid w:val="00E10D75"/>
    <w:rsid w:val="00E14595"/>
    <w:rsid w:val="00E15CDF"/>
    <w:rsid w:val="00E213DC"/>
    <w:rsid w:val="00E24B1D"/>
    <w:rsid w:val="00E323DF"/>
    <w:rsid w:val="00E44646"/>
    <w:rsid w:val="00E46F15"/>
    <w:rsid w:val="00E50599"/>
    <w:rsid w:val="00E5102D"/>
    <w:rsid w:val="00E5254C"/>
    <w:rsid w:val="00E57F0B"/>
    <w:rsid w:val="00E60F8C"/>
    <w:rsid w:val="00E748AF"/>
    <w:rsid w:val="00E76629"/>
    <w:rsid w:val="00E774B9"/>
    <w:rsid w:val="00E87C24"/>
    <w:rsid w:val="00E95C19"/>
    <w:rsid w:val="00E97703"/>
    <w:rsid w:val="00EA69A4"/>
    <w:rsid w:val="00EB0717"/>
    <w:rsid w:val="00EB1A19"/>
    <w:rsid w:val="00EB4862"/>
    <w:rsid w:val="00EB4F99"/>
    <w:rsid w:val="00EB6167"/>
    <w:rsid w:val="00EC2435"/>
    <w:rsid w:val="00EC76EB"/>
    <w:rsid w:val="00ED4B90"/>
    <w:rsid w:val="00ED6091"/>
    <w:rsid w:val="00ED7231"/>
    <w:rsid w:val="00EE1957"/>
    <w:rsid w:val="00EE516F"/>
    <w:rsid w:val="00EF07AE"/>
    <w:rsid w:val="00F070EE"/>
    <w:rsid w:val="00F07CC8"/>
    <w:rsid w:val="00F1253E"/>
    <w:rsid w:val="00F14F53"/>
    <w:rsid w:val="00F1693C"/>
    <w:rsid w:val="00F201E5"/>
    <w:rsid w:val="00F2549F"/>
    <w:rsid w:val="00F257AF"/>
    <w:rsid w:val="00F314E2"/>
    <w:rsid w:val="00F33250"/>
    <w:rsid w:val="00F342C5"/>
    <w:rsid w:val="00F3520B"/>
    <w:rsid w:val="00F356C3"/>
    <w:rsid w:val="00F41EE4"/>
    <w:rsid w:val="00F4449B"/>
    <w:rsid w:val="00F44FF9"/>
    <w:rsid w:val="00F519B3"/>
    <w:rsid w:val="00F52239"/>
    <w:rsid w:val="00F56CEA"/>
    <w:rsid w:val="00F60976"/>
    <w:rsid w:val="00F6216E"/>
    <w:rsid w:val="00F63D29"/>
    <w:rsid w:val="00F67D52"/>
    <w:rsid w:val="00F70102"/>
    <w:rsid w:val="00F732B6"/>
    <w:rsid w:val="00F74CE0"/>
    <w:rsid w:val="00F77CFD"/>
    <w:rsid w:val="00F83CA8"/>
    <w:rsid w:val="00F850B0"/>
    <w:rsid w:val="00F86D8E"/>
    <w:rsid w:val="00F93F65"/>
    <w:rsid w:val="00F95511"/>
    <w:rsid w:val="00F9578C"/>
    <w:rsid w:val="00F972E8"/>
    <w:rsid w:val="00FC2DC4"/>
    <w:rsid w:val="00FC3D76"/>
    <w:rsid w:val="00FC464E"/>
    <w:rsid w:val="00FC5481"/>
    <w:rsid w:val="00FD0A36"/>
    <w:rsid w:val="00FD146B"/>
    <w:rsid w:val="00FE08C7"/>
    <w:rsid w:val="00FE0F5C"/>
    <w:rsid w:val="00FE1DA6"/>
    <w:rsid w:val="00FE7AC7"/>
    <w:rsid w:val="00FF06DB"/>
    <w:rsid w:val="00FF2086"/>
    <w:rsid w:val="00FF2928"/>
    <w:rsid w:val="00FF71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6121C6"/>
  <w15:docId w15:val="{AC92BC0D-8BFB-42D3-B73D-A5D50A45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51F"/>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B4592B"/>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styleId="Bibliography">
    <w:name w:val="Bibliography"/>
    <w:basedOn w:val="Normal"/>
    <w:next w:val="Normal"/>
    <w:uiPriority w:val="37"/>
    <w:unhideWhenUsed/>
    <w:rsid w:val="009A651F"/>
    <w:pPr>
      <w:tabs>
        <w:tab w:val="left" w:pos="384"/>
      </w:tabs>
      <w:ind w:left="384" w:hanging="384"/>
    </w:pPr>
  </w:style>
  <w:style w:type="paragraph" w:styleId="Caption">
    <w:name w:val="caption"/>
    <w:basedOn w:val="Normal"/>
    <w:next w:val="Normal"/>
    <w:uiPriority w:val="35"/>
    <w:qFormat/>
    <w:rsid w:val="009A651F"/>
    <w:pPr>
      <w:overflowPunct/>
      <w:autoSpaceDE/>
      <w:autoSpaceDN/>
      <w:adjustRightInd/>
      <w:spacing w:after="120" w:line="240" w:lineRule="auto"/>
      <w:ind w:firstLine="0"/>
      <w:jc w:val="center"/>
      <w:textAlignment w:val="auto"/>
    </w:pPr>
    <w:rPr>
      <w:rFonts w:ascii="Palatino" w:hAnsi="Palatino"/>
      <w:sz w:val="22"/>
      <w:lang w:val="en-GB" w:eastAsia="en-GB"/>
    </w:rPr>
  </w:style>
  <w:style w:type="paragraph" w:styleId="NormalWeb">
    <w:name w:val="Normal (Web)"/>
    <w:basedOn w:val="Normal"/>
    <w:uiPriority w:val="99"/>
    <w:unhideWhenUsed/>
    <w:rsid w:val="009A651F"/>
    <w:pPr>
      <w:overflowPunct/>
      <w:autoSpaceDE/>
      <w:autoSpaceDN/>
      <w:adjustRightInd/>
      <w:spacing w:before="100" w:beforeAutospacing="1" w:after="100" w:afterAutospacing="1" w:line="240" w:lineRule="auto"/>
      <w:ind w:firstLine="0"/>
      <w:jc w:val="left"/>
      <w:textAlignment w:val="auto"/>
    </w:pPr>
    <w:rPr>
      <w:rFonts w:eastAsiaTheme="minorEastAsia"/>
      <w:sz w:val="24"/>
      <w:szCs w:val="24"/>
      <w:lang w:val="en-GB" w:eastAsia="en-GB"/>
    </w:rPr>
  </w:style>
  <w:style w:type="table" w:styleId="TableGrid">
    <w:name w:val="Table Grid"/>
    <w:basedOn w:val="TableNormal"/>
    <w:uiPriority w:val="59"/>
    <w:rsid w:val="009A651F"/>
    <w:pPr>
      <w:spacing w:after="0" w:line="240" w:lineRule="auto"/>
    </w:pPr>
    <w:rPr>
      <w:rFonts w:ascii="Times" w:eastAsia="Times New Roman" w:hAnsi="Times"/>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A651F"/>
    <w:rPr>
      <w:sz w:val="16"/>
      <w:szCs w:val="16"/>
    </w:rPr>
  </w:style>
  <w:style w:type="paragraph" w:styleId="CommentText">
    <w:name w:val="annotation text"/>
    <w:basedOn w:val="Normal"/>
    <w:link w:val="CommentTextChar"/>
    <w:uiPriority w:val="99"/>
    <w:unhideWhenUsed/>
    <w:rsid w:val="009A651F"/>
    <w:pPr>
      <w:overflowPunct/>
      <w:autoSpaceDE/>
      <w:autoSpaceDN/>
      <w:adjustRightInd/>
      <w:spacing w:after="120" w:line="240" w:lineRule="auto"/>
      <w:ind w:firstLine="0"/>
      <w:textAlignment w:val="auto"/>
    </w:pPr>
    <w:rPr>
      <w:rFonts w:ascii="Palatino" w:hAnsi="Palatino"/>
      <w:lang w:val="en-GB" w:eastAsia="en-GB"/>
    </w:rPr>
  </w:style>
  <w:style w:type="character" w:customStyle="1" w:styleId="CommentTextChar">
    <w:name w:val="Comment Text Char"/>
    <w:basedOn w:val="DefaultParagraphFont"/>
    <w:link w:val="CommentText"/>
    <w:uiPriority w:val="99"/>
    <w:rsid w:val="009A651F"/>
    <w:rPr>
      <w:rFonts w:ascii="Palatino" w:eastAsia="Times New Roman" w:hAnsi="Palatino"/>
      <w:sz w:val="20"/>
      <w:szCs w:val="20"/>
      <w:lang w:val="en-GB" w:eastAsia="en-GB" w:bidi="ar-SA"/>
    </w:rPr>
  </w:style>
  <w:style w:type="table" w:styleId="LightList-Accent1">
    <w:name w:val="Light List Accent 1"/>
    <w:basedOn w:val="TableNormal"/>
    <w:uiPriority w:val="61"/>
    <w:rsid w:val="009A651F"/>
    <w:pPr>
      <w:spacing w:after="0" w:line="240" w:lineRule="auto"/>
    </w:pPr>
    <w:rPr>
      <w:rFonts w:ascii="Times" w:eastAsia="Times New Roman" w:hAnsi="Times"/>
      <w:sz w:val="20"/>
      <w:szCs w:val="20"/>
      <w:lang w:val="en-GB" w:eastAsia="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9A651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paragraphstyle">
    <w:name w:val="Normal paragraph style"/>
    <w:basedOn w:val="Normal"/>
    <w:rsid w:val="002E4A7F"/>
    <w:pPr>
      <w:overflowPunct/>
      <w:autoSpaceDE/>
      <w:autoSpaceDN/>
      <w:adjustRightInd/>
      <w:spacing w:before="120" w:after="120" w:line="276" w:lineRule="auto"/>
      <w:ind w:firstLine="0"/>
      <w:textAlignment w:val="auto"/>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E4A7F"/>
    <w:pPr>
      <w:numPr>
        <w:numId w:val="14"/>
      </w:numPr>
      <w:overflowPunct/>
      <w:autoSpaceDE/>
      <w:autoSpaceDN/>
      <w:adjustRightInd/>
      <w:spacing w:line="240" w:lineRule="auto"/>
      <w:contextualSpacing/>
      <w:textAlignment w:val="auto"/>
    </w:pPr>
    <w:rPr>
      <w:rFonts w:asciiTheme="minorHAnsi" w:hAnsiTheme="minorHAnsi" w:cs="Arial"/>
      <w:sz w:val="22"/>
      <w:szCs w:val="22"/>
    </w:rPr>
  </w:style>
  <w:style w:type="paragraph" w:styleId="CommentSubject">
    <w:name w:val="annotation subject"/>
    <w:basedOn w:val="CommentText"/>
    <w:next w:val="CommentText"/>
    <w:link w:val="CommentSubjectChar"/>
    <w:semiHidden/>
    <w:unhideWhenUsed/>
    <w:rsid w:val="000D11A4"/>
    <w:pPr>
      <w:overflowPunct w:val="0"/>
      <w:autoSpaceDE w:val="0"/>
      <w:autoSpaceDN w:val="0"/>
      <w:adjustRightInd w:val="0"/>
      <w:spacing w:after="0"/>
      <w:ind w:firstLine="227"/>
      <w:textAlignment w:val="baseline"/>
    </w:pPr>
    <w:rPr>
      <w:rFonts w:ascii="Times New Roman" w:hAnsi="Times New Roman"/>
      <w:b/>
      <w:bCs/>
      <w:lang w:val="en-US" w:eastAsia="de-DE"/>
    </w:rPr>
  </w:style>
  <w:style w:type="character" w:customStyle="1" w:styleId="CommentSubjectChar">
    <w:name w:val="Comment Subject Char"/>
    <w:basedOn w:val="CommentTextChar"/>
    <w:link w:val="CommentSubject"/>
    <w:semiHidden/>
    <w:rsid w:val="000D11A4"/>
    <w:rPr>
      <w:rFonts w:ascii="Times New Roman" w:eastAsia="Times New Roman" w:hAnsi="Times New Roman"/>
      <w:b/>
      <w:bCs/>
      <w:sz w:val="20"/>
      <w:szCs w:val="20"/>
      <w:lang w:val="en-GB" w:eastAsia="de-DE" w:bidi="ar-SA"/>
    </w:rPr>
  </w:style>
  <w:style w:type="paragraph" w:styleId="Revision">
    <w:name w:val="Revision"/>
    <w:hidden/>
    <w:uiPriority w:val="99"/>
    <w:semiHidden/>
    <w:rsid w:val="000D11A4"/>
    <w:pPr>
      <w:spacing w:after="0" w:line="240" w:lineRule="auto"/>
    </w:pPr>
    <w:rPr>
      <w:rFonts w:ascii="Times New Roman" w:eastAsia="Times New Roman" w:hAnsi="Times New Roman"/>
      <w:sz w:val="20"/>
      <w:szCs w:val="20"/>
      <w:lang w:eastAsia="de-DE" w:bidi="ar-SA"/>
    </w:rPr>
  </w:style>
  <w:style w:type="paragraph" w:customStyle="1" w:styleId="Default">
    <w:name w:val="Default"/>
    <w:rsid w:val="006523E5"/>
    <w:pPr>
      <w:autoSpaceDE w:val="0"/>
      <w:autoSpaceDN w:val="0"/>
      <w:adjustRightInd w:val="0"/>
      <w:spacing w:after="0" w:line="240" w:lineRule="auto"/>
    </w:pPr>
    <w:rPr>
      <w:rFonts w:ascii="Calibri" w:hAnsi="Calibri" w:cs="Calibri"/>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5326">
      <w:bodyDiv w:val="1"/>
      <w:marLeft w:val="0"/>
      <w:marRight w:val="0"/>
      <w:marTop w:val="0"/>
      <w:marBottom w:val="0"/>
      <w:divBdr>
        <w:top w:val="none" w:sz="0" w:space="0" w:color="auto"/>
        <w:left w:val="none" w:sz="0" w:space="0" w:color="auto"/>
        <w:bottom w:val="none" w:sz="0" w:space="0" w:color="auto"/>
        <w:right w:val="none" w:sz="0" w:space="0" w:color="auto"/>
      </w:divBdr>
    </w:div>
    <w:div w:id="147792929">
      <w:bodyDiv w:val="1"/>
      <w:marLeft w:val="0"/>
      <w:marRight w:val="0"/>
      <w:marTop w:val="0"/>
      <w:marBottom w:val="0"/>
      <w:divBdr>
        <w:top w:val="none" w:sz="0" w:space="0" w:color="auto"/>
        <w:left w:val="none" w:sz="0" w:space="0" w:color="auto"/>
        <w:bottom w:val="none" w:sz="0" w:space="0" w:color="auto"/>
        <w:right w:val="none" w:sz="0" w:space="0" w:color="auto"/>
      </w:divBdr>
    </w:div>
    <w:div w:id="194928563">
      <w:bodyDiv w:val="1"/>
      <w:marLeft w:val="0"/>
      <w:marRight w:val="0"/>
      <w:marTop w:val="0"/>
      <w:marBottom w:val="0"/>
      <w:divBdr>
        <w:top w:val="none" w:sz="0" w:space="0" w:color="auto"/>
        <w:left w:val="none" w:sz="0" w:space="0" w:color="auto"/>
        <w:bottom w:val="none" w:sz="0" w:space="0" w:color="auto"/>
        <w:right w:val="none" w:sz="0" w:space="0" w:color="auto"/>
      </w:divBdr>
    </w:div>
    <w:div w:id="218055852">
      <w:bodyDiv w:val="1"/>
      <w:marLeft w:val="0"/>
      <w:marRight w:val="0"/>
      <w:marTop w:val="0"/>
      <w:marBottom w:val="0"/>
      <w:divBdr>
        <w:top w:val="none" w:sz="0" w:space="0" w:color="auto"/>
        <w:left w:val="none" w:sz="0" w:space="0" w:color="auto"/>
        <w:bottom w:val="none" w:sz="0" w:space="0" w:color="auto"/>
        <w:right w:val="none" w:sz="0" w:space="0" w:color="auto"/>
      </w:divBdr>
    </w:div>
    <w:div w:id="336464455">
      <w:bodyDiv w:val="1"/>
      <w:marLeft w:val="0"/>
      <w:marRight w:val="0"/>
      <w:marTop w:val="0"/>
      <w:marBottom w:val="0"/>
      <w:divBdr>
        <w:top w:val="none" w:sz="0" w:space="0" w:color="auto"/>
        <w:left w:val="none" w:sz="0" w:space="0" w:color="auto"/>
        <w:bottom w:val="none" w:sz="0" w:space="0" w:color="auto"/>
        <w:right w:val="none" w:sz="0" w:space="0" w:color="auto"/>
      </w:divBdr>
    </w:div>
    <w:div w:id="652216572">
      <w:bodyDiv w:val="1"/>
      <w:marLeft w:val="0"/>
      <w:marRight w:val="0"/>
      <w:marTop w:val="0"/>
      <w:marBottom w:val="0"/>
      <w:divBdr>
        <w:top w:val="none" w:sz="0" w:space="0" w:color="auto"/>
        <w:left w:val="none" w:sz="0" w:space="0" w:color="auto"/>
        <w:bottom w:val="none" w:sz="0" w:space="0" w:color="auto"/>
        <w:right w:val="none" w:sz="0" w:space="0" w:color="auto"/>
      </w:divBdr>
    </w:div>
    <w:div w:id="725685931">
      <w:bodyDiv w:val="1"/>
      <w:marLeft w:val="0"/>
      <w:marRight w:val="0"/>
      <w:marTop w:val="0"/>
      <w:marBottom w:val="0"/>
      <w:divBdr>
        <w:top w:val="none" w:sz="0" w:space="0" w:color="auto"/>
        <w:left w:val="none" w:sz="0" w:space="0" w:color="auto"/>
        <w:bottom w:val="none" w:sz="0" w:space="0" w:color="auto"/>
        <w:right w:val="none" w:sz="0" w:space="0" w:color="auto"/>
      </w:divBdr>
    </w:div>
    <w:div w:id="874544982">
      <w:bodyDiv w:val="1"/>
      <w:marLeft w:val="0"/>
      <w:marRight w:val="0"/>
      <w:marTop w:val="0"/>
      <w:marBottom w:val="0"/>
      <w:divBdr>
        <w:top w:val="none" w:sz="0" w:space="0" w:color="auto"/>
        <w:left w:val="none" w:sz="0" w:space="0" w:color="auto"/>
        <w:bottom w:val="none" w:sz="0" w:space="0" w:color="auto"/>
        <w:right w:val="none" w:sz="0" w:space="0" w:color="auto"/>
      </w:divBdr>
    </w:div>
    <w:div w:id="914976964">
      <w:bodyDiv w:val="1"/>
      <w:marLeft w:val="0"/>
      <w:marRight w:val="0"/>
      <w:marTop w:val="0"/>
      <w:marBottom w:val="0"/>
      <w:divBdr>
        <w:top w:val="none" w:sz="0" w:space="0" w:color="auto"/>
        <w:left w:val="none" w:sz="0" w:space="0" w:color="auto"/>
        <w:bottom w:val="none" w:sz="0" w:space="0" w:color="auto"/>
        <w:right w:val="none" w:sz="0" w:space="0" w:color="auto"/>
      </w:divBdr>
    </w:div>
    <w:div w:id="1295210542">
      <w:bodyDiv w:val="1"/>
      <w:marLeft w:val="0"/>
      <w:marRight w:val="0"/>
      <w:marTop w:val="0"/>
      <w:marBottom w:val="0"/>
      <w:divBdr>
        <w:top w:val="none" w:sz="0" w:space="0" w:color="auto"/>
        <w:left w:val="none" w:sz="0" w:space="0" w:color="auto"/>
        <w:bottom w:val="none" w:sz="0" w:space="0" w:color="auto"/>
        <w:right w:val="none" w:sz="0" w:space="0" w:color="auto"/>
      </w:divBdr>
    </w:div>
    <w:div w:id="1309558443">
      <w:bodyDiv w:val="1"/>
      <w:marLeft w:val="0"/>
      <w:marRight w:val="0"/>
      <w:marTop w:val="0"/>
      <w:marBottom w:val="0"/>
      <w:divBdr>
        <w:top w:val="none" w:sz="0" w:space="0" w:color="auto"/>
        <w:left w:val="none" w:sz="0" w:space="0" w:color="auto"/>
        <w:bottom w:val="none" w:sz="0" w:space="0" w:color="auto"/>
        <w:right w:val="none" w:sz="0" w:space="0" w:color="auto"/>
      </w:divBdr>
    </w:div>
    <w:div w:id="1351376423">
      <w:bodyDiv w:val="1"/>
      <w:marLeft w:val="0"/>
      <w:marRight w:val="0"/>
      <w:marTop w:val="0"/>
      <w:marBottom w:val="0"/>
      <w:divBdr>
        <w:top w:val="none" w:sz="0" w:space="0" w:color="auto"/>
        <w:left w:val="none" w:sz="0" w:space="0" w:color="auto"/>
        <w:bottom w:val="none" w:sz="0" w:space="0" w:color="auto"/>
        <w:right w:val="none" w:sz="0" w:space="0" w:color="auto"/>
      </w:divBdr>
    </w:div>
    <w:div w:id="1453859187">
      <w:bodyDiv w:val="1"/>
      <w:marLeft w:val="0"/>
      <w:marRight w:val="0"/>
      <w:marTop w:val="0"/>
      <w:marBottom w:val="0"/>
      <w:divBdr>
        <w:top w:val="none" w:sz="0" w:space="0" w:color="auto"/>
        <w:left w:val="none" w:sz="0" w:space="0" w:color="auto"/>
        <w:bottom w:val="none" w:sz="0" w:space="0" w:color="auto"/>
        <w:right w:val="none" w:sz="0" w:space="0" w:color="auto"/>
      </w:divBdr>
    </w:div>
    <w:div w:id="1486974999">
      <w:bodyDiv w:val="1"/>
      <w:marLeft w:val="0"/>
      <w:marRight w:val="0"/>
      <w:marTop w:val="0"/>
      <w:marBottom w:val="0"/>
      <w:divBdr>
        <w:top w:val="none" w:sz="0" w:space="0" w:color="auto"/>
        <w:left w:val="none" w:sz="0" w:space="0" w:color="auto"/>
        <w:bottom w:val="none" w:sz="0" w:space="0" w:color="auto"/>
        <w:right w:val="none" w:sz="0" w:space="0" w:color="auto"/>
      </w:divBdr>
    </w:div>
    <w:div w:id="1943032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rarisk-fp7.eu/"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ng%20Spaces\2015\Publications%202015\ISESS%202017\springer-template.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normal32" Type="http://schemas.openxmlformats.org/officeDocument/2006/relationships/image" Target="images/normal320.ICO"/><Relationship Id="removespace" Type="http://schemas.openxmlformats.org/officeDocument/2006/relationships/image" Target="images/removespace.ICO"/><Relationship Id="subtitle" Type="http://schemas.openxmlformats.org/officeDocument/2006/relationships/image" Target="images/subtitle.ICO"/><Relationship Id="FigCaption" Type="http://schemas.openxmlformats.org/officeDocument/2006/relationships/image" Target="images/FigCaption.ICO"/><Relationship Id="bulletitem" Type="http://schemas.openxmlformats.org/officeDocument/2006/relationships/image" Target="images/bulletitem.ICO"/><Relationship Id="arrowleft" Type="http://schemas.openxmlformats.org/officeDocument/2006/relationships/image" Target="images/arrowleft.ICO"/><Relationship Id="addspace" Type="http://schemas.openxmlformats.org/officeDocument/2006/relationships/image" Target="images/addspace.ICO"/><Relationship Id="togglenumbering" Type="http://schemas.openxmlformats.org/officeDocument/2006/relationships/image" Target="images/togglenumbering.ICO"/><Relationship Id="normalspace" Type="http://schemas.openxmlformats.org/officeDocument/2006/relationships/image" Target="images/normalspace0.ICO"/><Relationship Id="eqnumber" Type="http://schemas.openxmlformats.org/officeDocument/2006/relationships/image" Target="images/eqnumber.ICO"/><Relationship Id="arrowright" Type="http://schemas.openxmlformats.org/officeDocument/2006/relationships/image" Target="images/arrowright.ICO"/><Relationship Id="abstract" Type="http://schemas.openxmlformats.org/officeDocument/2006/relationships/image" Target="images/abstract.ICO"/><Relationship Id="equation" Type="http://schemas.openxmlformats.org/officeDocument/2006/relationships/image" Target="images/equation.ICO"/><Relationship Id="TabCaption" Type="http://schemas.openxmlformats.org/officeDocument/2006/relationships/image" Target="images/TabCaption.ICO"/><Relationship Id="RedoStyles" Type="http://schemas.openxmlformats.org/officeDocument/2006/relationships/image" Target="images/RedoStyles.ICO"/><Relationship Id="expand" Type="http://schemas.openxmlformats.org/officeDocument/2006/relationships/image" Target="images/expand0.ICO"/><Relationship Id="squeeze" Type="http://schemas.openxmlformats.org/officeDocument/2006/relationships/image" Target="images/squeeze0.ICO"/><Relationship Id="InsertImage" Type="http://schemas.openxmlformats.org/officeDocument/2006/relationships/image" Target="images/InsertImage.ICO"/><Relationship Id="numitem" Type="http://schemas.openxmlformats.org/officeDocument/2006/relationships/image" Target="images/numitem.ICO"/><Relationship Id="dashitem" Type="http://schemas.openxmlformats.org/officeDocument/2006/relationships/image" Target="images/dashitem.ICO"/><Relationship Id="HeaderFooter" Type="http://schemas.openxmlformats.org/officeDocument/2006/relationships/image" Target="images/HeaderFooter.ICO"/></Relationships>
</file>

<file path=customUI/customUI.xml><?xml version="1.0" encoding="utf-8"?>
<customUI xmlns="http://schemas.microsoft.com/office/2006/01/customui">
  <ribbon startFromScratch="false">
    <tabs>
      <tab id="tabLNCS" insertBeforeMso="TabHome" label="Springer Proceedings Macros">
        <group id="grTitlePage" label="Title Page">
          <button id="btnTitle" label="Title" imageMso="DropCapOptionsDialog" size="large" onAction="MakeTitle"/>
          <button id="btnAuthor" label="Author" imageMso="DistributionListSelectMembers" size="large" onAction="MakeAuthor"/>
          <box id="box1" boxStyle="vertical">
            <button id="btnSubtitle" label="Subtitle" image="subtitle" onAction="MakeSubtitle"/>
            <button id="btnAddress" label="Address" imageMso="MailMergeAddressBlockInsert" onAction="MakeAddress"/>
            <button id="btnEmail" label="E-mail" imageMso="EnvelopesAndLabelsDialog" onAction="MakeEMail"/>
          </box>
          <button id="btnAbstract" label="Abstract" image="abstract" size="large" onAction="MakeAbstract"/>
          <button id="btnKeywords" label="Keywords" imageMso="ReviewTrackChanges" size="large" onAction="MakeKeywords"/>
        </group>
        <group id="grBasicFormats" image="lncs2" label="Basic Formats">
          <button id="btnH1" label="H1" imageMso="PivotTableLayoutShowInOutlineForm" size="large" onAction="H1"/>
          <button id="btnH2" label="H2" imageMso="PivotTableLayoutShowInCompactForm" size="large" onAction="H2"/>
          <button id="btnH3" label="H3" imageMso="PivotTableLayoutBlankRows" size="large" onAction="H3"/>
          <button id="btnH4" label="H4" imageMso="PivotTableLayoutSubtotals" size="large" onAction="H4"/>
          <box id="box2" boxStyle="vertical">
            <button id="btnBullet" label="Bullet Item" image="bulletitem" onAction="MakeBulletItem"/>
            <button id="btnDash" label="Dash Item" image="dashitem" onAction="MakeDashItem"/>
            <button id="btnNumbered" label="Num Item" image="numitem" onAction="MakeNumItem"/>
          </box>
          <box id="box3" boxStyle="vertical">
            <button id="btnListLevelUp" label="List Level +" image="arrowright" onAction="ListLevelUp"/>
            <button id="btnListLevelDown" label="List Level -" image="arrowleft" onAction="ListLevelDown"/>
            <button id="btnToggleNum" label=" 1../..n.." image="togglenumbering" onAction="RestartNumbering"/>
          </box>
          <button id="btnStandard" label="Normal Text" image="normal32" size="large" onAction="MakeStandard"/>
          <box id="box4" boxStyle="vertical">
            <button id="btnAddSpace" label="Add Space" image="addspace" onAction="AddVerticalSpace"/>
            <button id="btnClearSpace" label="Clear Space" image="removespace" onAction="ClearVerticalSpace"/>
            <button id="btnFootnote" label="Footnote" imageMso="FootnoteInsert" onAction="InsertFN"/>
          </box>
          <button id="btnReference" label="Reference Item" imageMso="NameManager" size="large" onAction="MakeRefItem"/>
        </group>
        <group id="grSpecialFormats" label="Figures, Tables, Equations">
          <box id="box5" boxStyle="vertical">
            <button id="btnInsImage" label="Insert Image" image="InsertImage" onAction="InsertImage"/>
            <button id="btnTable" label="Table Caption" image="TabCaption" onAction="MakeTableCaption"/>
            <button id="btnFigure" label="Figure Caption" image="FigCaption" onAction="MakeFigCaption"/>
          </box>
          <button id="btnEquation" label="Displayed Equation" image="equation" size="large" onAction="MakeEquation"/>
          <button id="btnEqCounter" label="Add Eq. Number" image="eqnumber" size="large" onAction="AddEqCounter"/>
          <button id="btnProgcode" label="Prog. Code" imageMso="CreateStoredProcedure" size="large" onAction="MakeProgCod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Bry14</b:Tag>
    <b:SourceType>Report</b:SourceType>
    <b:Guid>{F9F7A588-CDEF-441F-B380-49EDE09A4EB6}</b:Guid>
    <b:Title>Novel Indicators for Identifying Critical INFRAstructure at RISK from Natural Hazards</b:Title>
    <b:Year>2014</b:Year>
    <b:Author>
      <b:Author>
        <b:NameList>
          <b:Person>
            <b:Last>Bryan Adey</b:Last>
            <b:First>Jürgen</b:First>
            <b:Middle>Hackl, Magnus Heitzler and Ionut Iosifescu</b:Middle>
          </b:Person>
        </b:NameList>
      </b:Author>
    </b:Author>
    <b:Publisher>INFRARISK EU project</b:Publisher>
    <b:RefOrder>9</b:RefOrder>
  </b:Source>
  <b:Source>
    <b:Tag>DAyD3215</b:Tag>
    <b:SourceType>Report</b:SourceType>
    <b:Guid>{5D34F450-60A6-4FCD-8201-E80C7AE80559}</b:Guid>
    <b:Title>Fragility Functions Matrix</b:Title>
    <b:Year>2015</b:Year>
    <b:Publisher>INFRARISK Technical Report D3.2</b:Publisher>
    <b:Author>
      <b:Author>
        <b:NameList>
          <b:Person>
            <b:Last>D’Ayala</b:Last>
            <b:First>D.,</b:First>
            <b:Middle>Gehl, P., Martinovic, K., Gavin, K., Clarke, J., Corbally, R., Tucker, M., Avdeeva, Y.V., van Gelder, P., Salceda Page, M.T., and Segarra-Martinez, M.J.</b:Middle>
          </b:Person>
        </b:NameList>
      </b:Author>
    </b:Author>
    <b:RefOrder>10</b:RefOrder>
  </b:Source>
  <b:Source>
    <b:Tag>JCl16</b:Tag>
    <b:SourceType>Report</b:SourceType>
    <b:Guid>{F1BBD812-6300-49D7-9630-11329611528B}</b:Guid>
    <b:Author>
      <b:Author>
        <b:Corporate>J. Clarke, R. Corbally, E. OBrien</b:Corporate>
      </b:Author>
    </b:Author>
    <b:Title>INFRARISK Deliverable D8.2 Case Study Results</b:Title>
    <b:Year>2016</b:Year>
    <b:Publisher>European Commission</b:Publisher>
    <b:RefOrder>7</b:RefOrder>
  </b:Source>
  <b:Source>
    <b:Tag>JHa16</b:Tag>
    <b:SourceType>Report</b:SourceType>
    <b:Guid>{54A9D924-4788-4E70-AF48-CBE866CD5803}</b:Guid>
    <b:Author>
      <b:Author>
        <b:Corporate>J. Hackl, M. Heitzler, J. C. Lam, B. Abey, L. Hurni</b:Corporate>
      </b:Author>
    </b:Author>
    <b:Title>INFRARISK Deliverable D4.2 Final Model Methodology and Information Exchange</b:Title>
    <b:Year>2016</b:Year>
    <b:Publisher>European Commission</b:Publisher>
    <b:RefOrder>5</b:RefOrder>
  </b:Source>
  <b:Source>
    <b:Tag>JMJ16</b:Tag>
    <b:SourceType>Report</b:SourceType>
    <b:Guid>{F5660777-C52C-4F3C-9FC9-5DBACB5B5800}</b:Guid>
    <b:Author>
      <b:Author>
        <b:Corporate>J. M. Jimenez, M. Garcia-Fernandez</b:Corporate>
      </b:Author>
    </b:Author>
    <b:Title>INFRARISK Technical Report Development of Seismic Hazard Modelling for Low-Probability Extreme Ground Motions</b:Title>
    <b:Year>2016</b:Year>
    <b:Publisher>European Commission</b:Publisher>
    <b:RefOrder>8</b:RefOrder>
  </b:Source>
  <b:Source>
    <b:Tag>Pva16</b:Tag>
    <b:SourceType>Report</b:SourceType>
    <b:Guid>{5C21A8A7-8703-45B0-9B18-C14BD80AE606}</b:Guid>
    <b:Author>
      <b:Author>
        <b:Corporate>P. van Gelder, N. van Erp</b:Corporate>
      </b:Author>
    </b:Author>
    <b:Title>INFRARISK Deliverable D6.2 Stress Test Framework for Systems</b:Title>
    <b:Year>2016</b:Year>
    <b:Publisher>European Commission</b:Publisher>
    <b:RefOrder>6</b:RefOrder>
  </b:Source>
  <b:Source>
    <b:Tag>PMe162</b:Tag>
    <b:SourceType>Report</b:SourceType>
    <b:Guid>{134C41A8-E433-4E44-9600-09397BEF5B09}</b:Guid>
    <b:Author>
      <b:Author>
        <b:Corporate>P. Melas, Z. Sabeur</b:Corporate>
      </b:Author>
    </b:Author>
    <b:Title>INFRARISK Deliverable 7.4 IDST System v2.0</b:Title>
    <b:Year>2016</b:Year>
    <b:Publisher>European Commission</b:Publisher>
    <b:RefOrder>4</b:RefOrder>
  </b:Source>
  <b:Source>
    <b:Tag>PMe15</b:Tag>
    <b:SourceType>Report</b:SourceType>
    <b:Guid>{6D09F257-68E1-449E-8D74-D08F30B17C25}</b:Guid>
    <b:Author>
      <b:Author>
        <b:Corporate>P. Melas, Z. Sabeur</b:Corporate>
      </b:Author>
    </b:Author>
    <b:Title>INFRARISK Deliverable D7.3 IDST System v1.0</b:Title>
    <b:Year>2015</b:Year>
    <b:Publisher>European Commission</b:Publisher>
    <b:RefOrder>3</b:RefOrder>
  </b:Source>
  <b:Source>
    <b:Tag>PMe151</b:Tag>
    <b:SourceType>Report</b:SourceType>
    <b:Guid>{44E379A8-7E0A-4A1F-91B5-B55A2B54BA87}</b:Guid>
    <b:Author>
      <b:Author>
        <b:Corporate>P. Melas, Z. Sabeur</b:Corporate>
      </b:Author>
    </b:Author>
    <b:Title>INFRARISK Deliverable D7.2 IDST System Specification v2.0</b:Title>
    <b:Year>2015</b:Year>
    <b:Publisher>European Commission</b:Publisher>
    <b:RefOrder>11</b:RefOrder>
  </b:Source>
  <b:Source>
    <b:Tag>KMe14</b:Tag>
    <b:SourceType>Report</b:SourceType>
    <b:Guid>{A1724615-7C34-4E4D-8BC0-B531BC03C6B2}</b:Guid>
    <b:Author>
      <b:Author>
        <b:Corporate>K. Meacham, Z. Sabeur</b:Corporate>
      </b:Author>
    </b:Author>
    <b:Title>INFRARISK Deliverable D7.1 IDST System Specification V1.0</b:Title>
    <b:Year>2014</b:Year>
    <b:Publisher>European Commission</b:Publisher>
    <b:RefOrder>2</b:RefOrder>
  </b:Source>
  <b:Source>
    <b:Tag>Sab16</b:Tag>
    <b:SourceType>DocumentFromInternetSite</b:SourceType>
    <b:Guid>{FB518ECA-E432-4D73-BA38-DCC377A3552F}</b:Guid>
    <b:Title>A Full Presentation on the Integrated Decission Support Tool</b:Title>
    <b:Year>2016</b:Year>
    <b:Publisher>Dragados, Madrid</b:Publisher>
    <b:Author>
      <b:Author>
        <b:NameList>
          <b:Person>
            <b:Last>Sabeur</b:Last>
            <b:First>Z.</b:First>
          </b:Person>
        </b:NameList>
      </b:Author>
    </b:Author>
    <b:ConferenceName>INFRARISK Final Conference</b:ConferenceName>
    <b:RefOrder>12</b:RefOrder>
  </b:Source>
  <b:Source>
    <b:Tag>PMe161</b:Tag>
    <b:SourceType>Report</b:SourceType>
    <b:Guid>{5532B673-A677-4AE1-88E2-A2D445202EC0}</b:Guid>
    <b:Author>
      <b:Author>
        <b:NameList>
          <b:Person>
            <b:Last>[1]</b:Last>
          </b:Person>
        </b:NameList>
      </b:Author>
    </b:Author>
    <b:Title>INFRARISK Deliverable 7.5 IDST Validation and User Manual</b:Title>
    <b:Publisher>European Commission</b:Publisher>
    <b:RefOrder>1</b:RefOrder>
  </b:Source>
</b:Sources>
</file>

<file path=customXml/itemProps1.xml><?xml version="1.0" encoding="utf-8"?>
<ds:datastoreItem xmlns:ds="http://schemas.openxmlformats.org/officeDocument/2006/customXml" ds:itemID="{426192B0-D164-4B63-8116-F690E423D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springer-template.dotm</Template>
  <TotalTime>1</TotalTime>
  <Pages>12</Pages>
  <Words>3055</Words>
  <Characters>18322</Characters>
  <Application>Microsoft Office Word</Application>
  <DocSecurity>4</DocSecurity>
  <Lines>152</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21335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Zoheir Sabeur</dc:creator>
  <dc:description>Formats and macros for Springer Lecture Notes</dc:description>
  <cp:lastModifiedBy>Lapage K.P.</cp:lastModifiedBy>
  <cp:revision>2</cp:revision>
  <dcterms:created xsi:type="dcterms:W3CDTF">2017-07-18T10:53:00Z</dcterms:created>
  <dcterms:modified xsi:type="dcterms:W3CDTF">2017-07-18T10:53:00Z</dcterms:modified>
</cp:coreProperties>
</file>