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ED4" w:rsidRPr="00535B06" w:rsidRDefault="0053135A" w:rsidP="00546FD2">
      <w:pPr>
        <w:spacing w:line="480" w:lineRule="auto"/>
        <w:jc w:val="center"/>
        <w:rPr>
          <w:b/>
        </w:rPr>
      </w:pPr>
      <w:r>
        <w:rPr>
          <w:b/>
        </w:rPr>
        <w:t xml:space="preserve"> </w:t>
      </w:r>
      <w:bookmarkStart w:id="0" w:name="_GoBack"/>
      <w:r w:rsidR="00CC4729" w:rsidRPr="00AA02DA">
        <w:rPr>
          <w:b/>
          <w:szCs w:val="24"/>
        </w:rPr>
        <w:t xml:space="preserve">The </w:t>
      </w:r>
      <w:r w:rsidR="008B134A" w:rsidRPr="00AA02DA">
        <w:rPr>
          <w:b/>
          <w:szCs w:val="24"/>
        </w:rPr>
        <w:t>Dynamics of Enduring Property Relationships in Land</w:t>
      </w:r>
      <w:bookmarkEnd w:id="0"/>
    </w:p>
    <w:p w:rsidR="000B217D" w:rsidRDefault="000B217D" w:rsidP="000B217D">
      <w:pPr>
        <w:spacing w:line="360" w:lineRule="auto"/>
        <w:jc w:val="center"/>
        <w:rPr>
          <w:b/>
          <w:szCs w:val="24"/>
        </w:rPr>
      </w:pPr>
      <w:r>
        <w:rPr>
          <w:b/>
          <w:szCs w:val="24"/>
        </w:rPr>
        <w:t>Sarah Blandy, Susan Bright and Sarah Nield*</w:t>
      </w:r>
    </w:p>
    <w:p w:rsidR="00F92CBB" w:rsidRPr="00B153DB" w:rsidRDefault="00F92CBB" w:rsidP="00546FD2">
      <w:pPr>
        <w:spacing w:line="480" w:lineRule="auto"/>
        <w:rPr>
          <w:szCs w:val="24"/>
        </w:rPr>
      </w:pPr>
      <w:r>
        <w:rPr>
          <w:b/>
          <w:szCs w:val="24"/>
        </w:rPr>
        <w:t xml:space="preserve">Key words: </w:t>
      </w:r>
      <w:r w:rsidR="008E3E10" w:rsidRPr="008E3E10">
        <w:rPr>
          <w:szCs w:val="24"/>
        </w:rPr>
        <w:t xml:space="preserve">* </w:t>
      </w:r>
      <w:r w:rsidR="008E3E10">
        <w:rPr>
          <w:szCs w:val="24"/>
        </w:rPr>
        <w:t>p</w:t>
      </w:r>
      <w:r w:rsidRPr="0034391D">
        <w:rPr>
          <w:szCs w:val="24"/>
        </w:rPr>
        <w:t>roperty relationships * land * time * complexity</w:t>
      </w:r>
      <w:r>
        <w:rPr>
          <w:szCs w:val="24"/>
        </w:rPr>
        <w:t xml:space="preserve"> * discretionary decision-making</w:t>
      </w:r>
    </w:p>
    <w:p w:rsidR="00CC4729" w:rsidRPr="00B153DB" w:rsidRDefault="00CC4729" w:rsidP="00546FD2">
      <w:pPr>
        <w:spacing w:line="480" w:lineRule="auto"/>
        <w:rPr>
          <w:szCs w:val="24"/>
        </w:rPr>
      </w:pPr>
      <w:r w:rsidRPr="00B153DB">
        <w:rPr>
          <w:b/>
          <w:szCs w:val="24"/>
        </w:rPr>
        <w:t>Abstract</w:t>
      </w:r>
      <w:r w:rsidRPr="00B153DB">
        <w:rPr>
          <w:szCs w:val="24"/>
        </w:rPr>
        <w:t xml:space="preserve"> </w:t>
      </w:r>
    </w:p>
    <w:p w:rsidR="00B153DB" w:rsidRDefault="00B153DB" w:rsidP="000459A1">
      <w:pPr>
        <w:widowControl w:val="0"/>
        <w:pBdr>
          <w:bottom w:val="single" w:sz="12" w:space="1" w:color="auto"/>
        </w:pBdr>
        <w:autoSpaceDE w:val="0"/>
        <w:autoSpaceDN w:val="0"/>
        <w:adjustRightInd w:val="0"/>
        <w:spacing w:line="480" w:lineRule="auto"/>
        <w:rPr>
          <w:szCs w:val="24"/>
        </w:rPr>
      </w:pPr>
      <w:r w:rsidRPr="00B153DB">
        <w:rPr>
          <w:szCs w:val="24"/>
        </w:rPr>
        <w:t xml:space="preserve">This </w:t>
      </w:r>
      <w:r>
        <w:rPr>
          <w:szCs w:val="24"/>
        </w:rPr>
        <w:t xml:space="preserve">article </w:t>
      </w:r>
      <w:r w:rsidRPr="00B153DB">
        <w:rPr>
          <w:szCs w:val="24"/>
        </w:rPr>
        <w:t>proposes a new way of looking at property relationships that will enrich our understanding of how</w:t>
      </w:r>
      <w:r w:rsidR="008E41E6">
        <w:rPr>
          <w:szCs w:val="24"/>
        </w:rPr>
        <w:t xml:space="preserve"> they </w:t>
      </w:r>
      <w:r w:rsidRPr="00B153DB">
        <w:rPr>
          <w:szCs w:val="24"/>
        </w:rPr>
        <w:t xml:space="preserve">operate. It focuses on property rights in land which are consensual in origin, although this approach could usefully </w:t>
      </w:r>
      <w:r w:rsidR="00E44060">
        <w:rPr>
          <w:szCs w:val="24"/>
        </w:rPr>
        <w:t xml:space="preserve">be </w:t>
      </w:r>
      <w:r w:rsidRPr="00B153DB">
        <w:rPr>
          <w:szCs w:val="24"/>
        </w:rPr>
        <w:t>applied both to non-consensual property relationships and to other</w:t>
      </w:r>
      <w:r w:rsidR="008E41E6">
        <w:rPr>
          <w:szCs w:val="24"/>
        </w:rPr>
        <w:t xml:space="preserve"> property</w:t>
      </w:r>
      <w:r w:rsidRPr="00B153DB">
        <w:rPr>
          <w:szCs w:val="24"/>
        </w:rPr>
        <w:t xml:space="preserve"> types. </w:t>
      </w:r>
      <w:r w:rsidR="008E41E6">
        <w:rPr>
          <w:szCs w:val="24"/>
        </w:rPr>
        <w:t xml:space="preserve">Recognising both </w:t>
      </w:r>
      <w:r w:rsidRPr="00B153DB">
        <w:rPr>
          <w:szCs w:val="24"/>
        </w:rPr>
        <w:t xml:space="preserve">the temporal </w:t>
      </w:r>
      <w:r w:rsidR="008E41E6">
        <w:rPr>
          <w:szCs w:val="24"/>
        </w:rPr>
        <w:t xml:space="preserve">and spatial </w:t>
      </w:r>
      <w:r w:rsidRPr="00B153DB">
        <w:rPr>
          <w:szCs w:val="24"/>
        </w:rPr>
        <w:t xml:space="preserve">dimensions of land, the dynamics approach reflects the fact that </w:t>
      </w:r>
      <w:r w:rsidR="00E44060">
        <w:rPr>
          <w:szCs w:val="24"/>
        </w:rPr>
        <w:t xml:space="preserve">most </w:t>
      </w:r>
      <w:r w:rsidRPr="00B153DB">
        <w:rPr>
          <w:szCs w:val="24"/>
        </w:rPr>
        <w:t>property relationships are lived relationships</w:t>
      </w:r>
      <w:r w:rsidR="00EF767A">
        <w:rPr>
          <w:szCs w:val="24"/>
        </w:rPr>
        <w:t xml:space="preserve">, </w:t>
      </w:r>
      <w:r w:rsidRPr="00B153DB">
        <w:rPr>
          <w:szCs w:val="24"/>
        </w:rPr>
        <w:t xml:space="preserve">affected by changing patterns and understandings of spatial use, relationship needs, economic realities, opportunities, technical innovations, and so on. </w:t>
      </w:r>
      <w:r w:rsidR="00E44060">
        <w:rPr>
          <w:szCs w:val="24"/>
        </w:rPr>
        <w:t>A</w:t>
      </w:r>
      <w:r w:rsidR="00E44060" w:rsidRPr="00B153DB">
        <w:rPr>
          <w:szCs w:val="24"/>
        </w:rPr>
        <w:t>lthough evolv</w:t>
      </w:r>
      <w:r w:rsidR="00E44060">
        <w:rPr>
          <w:szCs w:val="24"/>
        </w:rPr>
        <w:t>ing</w:t>
      </w:r>
      <w:r w:rsidR="00E44060" w:rsidRPr="00B153DB">
        <w:rPr>
          <w:szCs w:val="24"/>
        </w:rPr>
        <w:t xml:space="preserve"> responsively to accommodate changing uses and new rights-holders, the</w:t>
      </w:r>
      <w:r w:rsidR="00E44060">
        <w:rPr>
          <w:szCs w:val="24"/>
        </w:rPr>
        <w:t xml:space="preserve">se relationships </w:t>
      </w:r>
      <w:r w:rsidR="00E44060" w:rsidRPr="00B153DB">
        <w:rPr>
          <w:szCs w:val="24"/>
        </w:rPr>
        <w:t xml:space="preserve">are </w:t>
      </w:r>
      <w:r w:rsidR="00E44060">
        <w:rPr>
          <w:szCs w:val="24"/>
        </w:rPr>
        <w:t xml:space="preserve">nevertheless </w:t>
      </w:r>
      <w:r w:rsidR="00E44060" w:rsidRPr="00B153DB">
        <w:rPr>
          <w:szCs w:val="24"/>
        </w:rPr>
        <w:t>sustained and enduring.</w:t>
      </w:r>
      <w:r w:rsidR="00E44060">
        <w:rPr>
          <w:szCs w:val="24"/>
        </w:rPr>
        <w:t xml:space="preserve"> </w:t>
      </w:r>
      <w:r w:rsidR="000316C5">
        <w:rPr>
          <w:szCs w:val="24"/>
        </w:rPr>
        <w:t xml:space="preserve">The dynamics lens </w:t>
      </w:r>
      <w:r w:rsidR="008E41E6">
        <w:rPr>
          <w:szCs w:val="24"/>
        </w:rPr>
        <w:t>acknowledge</w:t>
      </w:r>
      <w:r w:rsidR="008E41E6" w:rsidRPr="00B153DB">
        <w:rPr>
          <w:szCs w:val="24"/>
        </w:rPr>
        <w:t xml:space="preserve">s </w:t>
      </w:r>
      <w:r w:rsidRPr="00B153DB">
        <w:rPr>
          <w:szCs w:val="24"/>
        </w:rPr>
        <w:t xml:space="preserve">the </w:t>
      </w:r>
      <w:r w:rsidR="00AB62D1">
        <w:rPr>
          <w:szCs w:val="24"/>
        </w:rPr>
        <w:t xml:space="preserve">diverse </w:t>
      </w:r>
      <w:r w:rsidRPr="00B153DB">
        <w:rPr>
          <w:szCs w:val="24"/>
        </w:rPr>
        <w:t>range of legal, regulatory, social and commercial norms that shape property relations</w:t>
      </w:r>
      <w:r w:rsidR="00E44060">
        <w:rPr>
          <w:szCs w:val="24"/>
        </w:rPr>
        <w:t>.</w:t>
      </w:r>
      <w:r w:rsidRPr="00B153DB">
        <w:rPr>
          <w:szCs w:val="24"/>
        </w:rPr>
        <w:t xml:space="preserve"> </w:t>
      </w:r>
      <w:r w:rsidR="00EF767A">
        <w:rPr>
          <w:szCs w:val="24"/>
        </w:rPr>
        <w:t>Our approach also explores how far the enduring</w:t>
      </w:r>
      <w:r w:rsidR="000316C5">
        <w:rPr>
          <w:szCs w:val="24"/>
        </w:rPr>
        <w:t>,</w:t>
      </w:r>
      <w:r w:rsidR="00EF767A">
        <w:rPr>
          <w:szCs w:val="24"/>
        </w:rPr>
        <w:t xml:space="preserve"> yet dynamic</w:t>
      </w:r>
      <w:r w:rsidR="000316C5">
        <w:rPr>
          <w:szCs w:val="24"/>
        </w:rPr>
        <w:t>,</w:t>
      </w:r>
      <w:r w:rsidR="00EF767A">
        <w:rPr>
          <w:szCs w:val="24"/>
        </w:rPr>
        <w:t xml:space="preserve"> nature of property relations is </w:t>
      </w:r>
      <w:r w:rsidR="000316C5">
        <w:rPr>
          <w:szCs w:val="24"/>
        </w:rPr>
        <w:t xml:space="preserve">taken into account </w:t>
      </w:r>
      <w:r w:rsidR="00E44060">
        <w:rPr>
          <w:szCs w:val="24"/>
        </w:rPr>
        <w:t xml:space="preserve">by a range of </w:t>
      </w:r>
      <w:r w:rsidR="000316C5">
        <w:rPr>
          <w:szCs w:val="24"/>
        </w:rPr>
        <w:t>decision-mak</w:t>
      </w:r>
      <w:r w:rsidR="00E44060">
        <w:rPr>
          <w:szCs w:val="24"/>
        </w:rPr>
        <w:t>ers</w:t>
      </w:r>
      <w:r w:rsidR="000316C5">
        <w:rPr>
          <w:szCs w:val="24"/>
        </w:rPr>
        <w:t>.</w:t>
      </w:r>
      <w:r w:rsidR="00EF767A">
        <w:rPr>
          <w:szCs w:val="24"/>
        </w:rPr>
        <w:t xml:space="preserve"> </w:t>
      </w:r>
    </w:p>
    <w:p w:rsidR="00F106D2" w:rsidRPr="00610F1F" w:rsidRDefault="00F106D2" w:rsidP="00F106D2">
      <w:pPr>
        <w:pStyle w:val="FootnoteText"/>
        <w:rPr>
          <w:sz w:val="20"/>
          <w:szCs w:val="20"/>
        </w:rPr>
      </w:pPr>
      <w:r w:rsidRPr="00F106D2">
        <w:rPr>
          <w:b/>
        </w:rPr>
        <w:t>*</w:t>
      </w:r>
      <w:r>
        <w:rPr>
          <w:b/>
        </w:rPr>
        <w:t xml:space="preserve"> </w:t>
      </w:r>
      <w:r>
        <w:rPr>
          <w:sz w:val="20"/>
          <w:szCs w:val="20"/>
        </w:rPr>
        <w:t xml:space="preserve"> Respectively, </w:t>
      </w:r>
      <w:r w:rsidRPr="005F23CC">
        <w:rPr>
          <w:sz w:val="20"/>
          <w:szCs w:val="20"/>
        </w:rPr>
        <w:t>Professor</w:t>
      </w:r>
      <w:r>
        <w:rPr>
          <w:sz w:val="20"/>
          <w:szCs w:val="20"/>
        </w:rPr>
        <w:t>s</w:t>
      </w:r>
      <w:r w:rsidRPr="005F23CC">
        <w:rPr>
          <w:sz w:val="20"/>
          <w:szCs w:val="20"/>
        </w:rPr>
        <w:t xml:space="preserve"> </w:t>
      </w:r>
      <w:r>
        <w:rPr>
          <w:sz w:val="20"/>
          <w:szCs w:val="20"/>
        </w:rPr>
        <w:t>at the</w:t>
      </w:r>
      <w:r w:rsidRPr="005F23CC">
        <w:rPr>
          <w:sz w:val="20"/>
          <w:szCs w:val="20"/>
        </w:rPr>
        <w:t xml:space="preserve"> University of Sheffield, </w:t>
      </w:r>
      <w:r>
        <w:rPr>
          <w:sz w:val="20"/>
          <w:szCs w:val="20"/>
        </w:rPr>
        <w:t>University</w:t>
      </w:r>
      <w:r w:rsidR="00EB4E5D">
        <w:rPr>
          <w:sz w:val="20"/>
          <w:szCs w:val="20"/>
        </w:rPr>
        <w:t xml:space="preserve"> of</w:t>
      </w:r>
      <w:r w:rsidR="00EB4E5D" w:rsidRPr="00EB4E5D">
        <w:rPr>
          <w:sz w:val="20"/>
          <w:szCs w:val="20"/>
        </w:rPr>
        <w:t xml:space="preserve"> </w:t>
      </w:r>
      <w:r w:rsidR="00EB4E5D" w:rsidRPr="005F23CC">
        <w:rPr>
          <w:sz w:val="20"/>
          <w:szCs w:val="20"/>
        </w:rPr>
        <w:t>Oxford</w:t>
      </w:r>
      <w:r>
        <w:rPr>
          <w:sz w:val="20"/>
          <w:szCs w:val="20"/>
        </w:rPr>
        <w:t>,</w:t>
      </w:r>
      <w:r w:rsidRPr="005F23CC">
        <w:rPr>
          <w:sz w:val="20"/>
          <w:szCs w:val="20"/>
        </w:rPr>
        <w:t xml:space="preserve"> and </w:t>
      </w:r>
      <w:r>
        <w:rPr>
          <w:sz w:val="20"/>
          <w:szCs w:val="20"/>
        </w:rPr>
        <w:t xml:space="preserve">the </w:t>
      </w:r>
      <w:r w:rsidRPr="005F23CC">
        <w:rPr>
          <w:sz w:val="20"/>
          <w:szCs w:val="20"/>
        </w:rPr>
        <w:t>University of Southampton.</w:t>
      </w:r>
      <w:r>
        <w:t xml:space="preserve"> </w:t>
      </w:r>
      <w:r w:rsidRPr="0045793F">
        <w:rPr>
          <w:sz w:val="20"/>
          <w:szCs w:val="20"/>
        </w:rPr>
        <w:t>We wish to acknowledge</w:t>
      </w:r>
      <w:r>
        <w:t xml:space="preserve"> </w:t>
      </w:r>
      <w:r w:rsidRPr="0045793F">
        <w:rPr>
          <w:sz w:val="20"/>
          <w:szCs w:val="20"/>
        </w:rPr>
        <w:t xml:space="preserve">the invaluable contributions </w:t>
      </w:r>
      <w:r>
        <w:rPr>
          <w:sz w:val="20"/>
          <w:szCs w:val="20"/>
        </w:rPr>
        <w:t xml:space="preserve">both </w:t>
      </w:r>
      <w:r w:rsidRPr="0045793F">
        <w:rPr>
          <w:sz w:val="20"/>
          <w:szCs w:val="20"/>
        </w:rPr>
        <w:t>made by</w:t>
      </w:r>
      <w:r>
        <w:t xml:space="preserve"> </w:t>
      </w:r>
      <w:r w:rsidRPr="00610F1F">
        <w:rPr>
          <w:sz w:val="20"/>
          <w:szCs w:val="20"/>
        </w:rPr>
        <w:t xml:space="preserve">those who attended the MLR funded seminar held at New College, Oxford </w:t>
      </w:r>
      <w:r>
        <w:rPr>
          <w:sz w:val="20"/>
          <w:szCs w:val="20"/>
        </w:rPr>
        <w:t xml:space="preserve">in May 2016 entitled ‘The Dynamics of Enduring Property Relations’ and the critical friends to this project who commented on an early draft. Attendees and critical friends include: </w:t>
      </w:r>
      <w:r w:rsidRPr="00395514">
        <w:rPr>
          <w:sz w:val="20"/>
          <w:szCs w:val="20"/>
        </w:rPr>
        <w:t xml:space="preserve">Professors  </w:t>
      </w:r>
      <w:r w:rsidRPr="00395514">
        <w:rPr>
          <w:rFonts w:eastAsia="Times New Roman"/>
          <w:bCs/>
          <w:sz w:val="20"/>
          <w:szCs w:val="20"/>
          <w:lang w:eastAsia="en-GB"/>
        </w:rPr>
        <w:t xml:space="preserve">Gregory Alexander, </w:t>
      </w:r>
      <w:r w:rsidRPr="00395514">
        <w:rPr>
          <w:rFonts w:eastAsia="Times New Roman"/>
          <w:sz w:val="20"/>
          <w:szCs w:val="20"/>
          <w:lang w:eastAsia="en-GB"/>
        </w:rPr>
        <w:t xml:space="preserve"> </w:t>
      </w:r>
      <w:r w:rsidRPr="00395514">
        <w:rPr>
          <w:bCs/>
          <w:sz w:val="20"/>
          <w:szCs w:val="20"/>
        </w:rPr>
        <w:t>Jane Baron</w:t>
      </w:r>
      <w:r w:rsidRPr="00395514">
        <w:rPr>
          <w:sz w:val="20"/>
          <w:szCs w:val="20"/>
        </w:rPr>
        <w:t>, Helen Carr,</w:t>
      </w:r>
      <w:r w:rsidRPr="00395514">
        <w:rPr>
          <w:bCs/>
          <w:color w:val="1F1F1E"/>
          <w:sz w:val="20"/>
          <w:szCs w:val="20"/>
        </w:rPr>
        <w:t xml:space="preserve"> </w:t>
      </w:r>
      <w:r w:rsidRPr="00395514">
        <w:rPr>
          <w:rFonts w:eastAsia="Times New Roman"/>
          <w:bCs/>
          <w:sz w:val="20"/>
          <w:szCs w:val="20"/>
        </w:rPr>
        <w:t>Hanoch Dagan</w:t>
      </w:r>
      <w:r w:rsidRPr="00395514">
        <w:rPr>
          <w:rFonts w:eastAsia="Times New Roman"/>
          <w:sz w:val="20"/>
          <w:szCs w:val="20"/>
        </w:rPr>
        <w:t xml:space="preserve">, </w:t>
      </w:r>
      <w:r w:rsidRPr="00395514">
        <w:rPr>
          <w:bCs/>
          <w:color w:val="1F1F1E"/>
          <w:sz w:val="20"/>
          <w:szCs w:val="20"/>
        </w:rPr>
        <w:t>Rashmi Dyal-Chand,</w:t>
      </w:r>
      <w:r w:rsidRPr="00395514">
        <w:rPr>
          <w:sz w:val="20"/>
          <w:szCs w:val="20"/>
        </w:rPr>
        <w:t xml:space="preserve"> </w:t>
      </w:r>
      <w:r w:rsidRPr="00395514">
        <w:rPr>
          <w:bCs/>
          <w:sz w:val="20"/>
          <w:szCs w:val="20"/>
          <w:lang w:val="en-US"/>
        </w:rPr>
        <w:t>Lorna Fox O’Mahony</w:t>
      </w:r>
      <w:r w:rsidRPr="00395514">
        <w:rPr>
          <w:sz w:val="20"/>
          <w:szCs w:val="20"/>
          <w:lang w:val="en-US"/>
        </w:rPr>
        <w:t xml:space="preserve">, </w:t>
      </w:r>
      <w:r w:rsidRPr="00395514">
        <w:rPr>
          <w:bCs/>
          <w:sz w:val="20"/>
          <w:szCs w:val="20"/>
          <w:lang w:val="en-US"/>
        </w:rPr>
        <w:t>Peter Gerhart</w:t>
      </w:r>
      <w:r w:rsidRPr="00395514">
        <w:rPr>
          <w:sz w:val="20"/>
          <w:szCs w:val="20"/>
        </w:rPr>
        <w:t>,</w:t>
      </w:r>
      <w:r w:rsidRPr="00395514">
        <w:rPr>
          <w:bCs/>
          <w:sz w:val="20"/>
          <w:szCs w:val="20"/>
          <w:lang w:val="en-US"/>
        </w:rPr>
        <w:t xml:space="preserve"> Doug Harris,</w:t>
      </w:r>
      <w:r w:rsidRPr="00395514">
        <w:rPr>
          <w:sz w:val="20"/>
          <w:szCs w:val="20"/>
        </w:rPr>
        <w:t xml:space="preserve"> </w:t>
      </w:r>
      <w:r w:rsidRPr="00395514">
        <w:rPr>
          <w:bCs/>
          <w:sz w:val="20"/>
          <w:szCs w:val="20"/>
        </w:rPr>
        <w:t>Michael Heller, Caroline Hunter,</w:t>
      </w:r>
      <w:r w:rsidRPr="00395514">
        <w:rPr>
          <w:sz w:val="20"/>
          <w:szCs w:val="20"/>
        </w:rPr>
        <w:t xml:space="preserve"> </w:t>
      </w:r>
      <w:r w:rsidRPr="00395514">
        <w:rPr>
          <w:bCs/>
          <w:sz w:val="20"/>
          <w:szCs w:val="20"/>
        </w:rPr>
        <w:t>Antonia Layard</w:t>
      </w:r>
      <w:r w:rsidRPr="00395514">
        <w:rPr>
          <w:sz w:val="20"/>
          <w:szCs w:val="20"/>
        </w:rPr>
        <w:t xml:space="preserve">, Timothy Mulvaney, </w:t>
      </w:r>
      <w:r w:rsidRPr="00395514">
        <w:rPr>
          <w:bCs/>
          <w:sz w:val="20"/>
          <w:szCs w:val="20"/>
        </w:rPr>
        <w:t>Eduardo Penalver, Joseph Singer</w:t>
      </w:r>
      <w:r w:rsidRPr="00395514">
        <w:rPr>
          <w:sz w:val="20"/>
          <w:szCs w:val="20"/>
        </w:rPr>
        <w:t xml:space="preserve">, </w:t>
      </w:r>
      <w:r w:rsidRPr="00395514">
        <w:rPr>
          <w:bCs/>
          <w:sz w:val="20"/>
          <w:szCs w:val="20"/>
        </w:rPr>
        <w:t>Laura Underkuffler</w:t>
      </w:r>
      <w:r w:rsidRPr="00395514">
        <w:rPr>
          <w:sz w:val="20"/>
          <w:szCs w:val="20"/>
        </w:rPr>
        <w:t xml:space="preserve"> </w:t>
      </w:r>
      <w:r>
        <w:rPr>
          <w:sz w:val="20"/>
          <w:szCs w:val="20"/>
        </w:rPr>
        <w:t xml:space="preserve">and </w:t>
      </w:r>
      <w:r w:rsidRPr="00395514">
        <w:rPr>
          <w:bCs/>
          <w:color w:val="252E39"/>
          <w:sz w:val="20"/>
          <w:szCs w:val="20"/>
        </w:rPr>
        <w:t>Andre van der Walt</w:t>
      </w:r>
      <w:r>
        <w:rPr>
          <w:bCs/>
          <w:color w:val="252E39"/>
          <w:sz w:val="20"/>
          <w:szCs w:val="20"/>
        </w:rPr>
        <w:t>;</w:t>
      </w:r>
      <w:r>
        <w:rPr>
          <w:color w:val="252E39"/>
        </w:rPr>
        <w:t xml:space="preserve"> </w:t>
      </w:r>
      <w:r>
        <w:rPr>
          <w:sz w:val="20"/>
          <w:szCs w:val="20"/>
        </w:rPr>
        <w:t xml:space="preserve">Associate Professors </w:t>
      </w:r>
      <w:r w:rsidRPr="00395514">
        <w:rPr>
          <w:bCs/>
          <w:sz w:val="20"/>
          <w:szCs w:val="20"/>
        </w:rPr>
        <w:t>Bettina Lange</w:t>
      </w:r>
      <w:r>
        <w:rPr>
          <w:bCs/>
          <w:sz w:val="20"/>
          <w:szCs w:val="20"/>
        </w:rPr>
        <w:t xml:space="preserve"> and</w:t>
      </w:r>
      <w:r w:rsidRPr="00395514">
        <w:rPr>
          <w:sz w:val="20"/>
          <w:szCs w:val="20"/>
        </w:rPr>
        <w:t xml:space="preserve"> </w:t>
      </w:r>
      <w:r w:rsidRPr="00395514">
        <w:rPr>
          <w:bCs/>
          <w:sz w:val="20"/>
          <w:szCs w:val="20"/>
        </w:rPr>
        <w:t>Eileen Webb</w:t>
      </w:r>
      <w:r>
        <w:rPr>
          <w:bCs/>
          <w:sz w:val="20"/>
          <w:szCs w:val="20"/>
        </w:rPr>
        <w:t xml:space="preserve">, </w:t>
      </w:r>
      <w:r w:rsidRPr="00395514">
        <w:rPr>
          <w:sz w:val="20"/>
          <w:szCs w:val="20"/>
        </w:rPr>
        <w:t>Lisa Whitehouse, Frankie McCarthy</w:t>
      </w:r>
      <w:r>
        <w:rPr>
          <w:sz w:val="20"/>
          <w:szCs w:val="20"/>
        </w:rPr>
        <w:t>;</w:t>
      </w:r>
      <w:r w:rsidRPr="00395514">
        <w:rPr>
          <w:sz w:val="20"/>
          <w:szCs w:val="20"/>
        </w:rPr>
        <w:t xml:space="preserve"> </w:t>
      </w:r>
      <w:r w:rsidRPr="00395514">
        <w:rPr>
          <w:bCs/>
          <w:color w:val="222222"/>
          <w:sz w:val="20"/>
          <w:szCs w:val="20"/>
        </w:rPr>
        <w:t>Elizabeth Cooke J</w:t>
      </w:r>
      <w:r w:rsidRPr="00395514">
        <w:rPr>
          <w:sz w:val="20"/>
          <w:szCs w:val="20"/>
        </w:rPr>
        <w:t xml:space="preserve">. </w:t>
      </w:r>
      <w:r w:rsidRPr="00395514">
        <w:rPr>
          <w:bCs/>
          <w:sz w:val="20"/>
          <w:szCs w:val="20"/>
        </w:rPr>
        <w:t>Alan Jenkins DJ</w:t>
      </w:r>
      <w:r>
        <w:rPr>
          <w:bCs/>
          <w:sz w:val="20"/>
          <w:szCs w:val="20"/>
        </w:rPr>
        <w:t>,</w:t>
      </w:r>
      <w:r w:rsidRPr="00395514">
        <w:rPr>
          <w:sz w:val="20"/>
          <w:szCs w:val="20"/>
        </w:rPr>
        <w:t xml:space="preserve"> </w:t>
      </w:r>
      <w:r w:rsidRPr="00395514">
        <w:rPr>
          <w:bCs/>
          <w:color w:val="333333"/>
          <w:sz w:val="20"/>
          <w:szCs w:val="20"/>
        </w:rPr>
        <w:t>Sir Alastair Norris J</w:t>
      </w:r>
      <w:r>
        <w:rPr>
          <w:bCs/>
          <w:color w:val="333333"/>
          <w:sz w:val="20"/>
          <w:szCs w:val="20"/>
        </w:rPr>
        <w:t xml:space="preserve">, </w:t>
      </w:r>
      <w:r w:rsidRPr="00395514">
        <w:rPr>
          <w:bCs/>
          <w:sz w:val="20"/>
          <w:szCs w:val="20"/>
        </w:rPr>
        <w:t>Sir Nicholas</w:t>
      </w:r>
      <w:r w:rsidRPr="5CF406CA">
        <w:rPr>
          <w:b/>
          <w:bCs/>
        </w:rPr>
        <w:t xml:space="preserve"> </w:t>
      </w:r>
      <w:r w:rsidRPr="00395514">
        <w:rPr>
          <w:bCs/>
          <w:sz w:val="20"/>
          <w:szCs w:val="20"/>
        </w:rPr>
        <w:t>Underhill</w:t>
      </w:r>
      <w:r w:rsidRPr="00395514">
        <w:rPr>
          <w:sz w:val="20"/>
          <w:szCs w:val="20"/>
        </w:rPr>
        <w:t xml:space="preserve"> </w:t>
      </w:r>
      <w:r w:rsidRPr="00395514">
        <w:rPr>
          <w:bCs/>
          <w:sz w:val="20"/>
          <w:szCs w:val="20"/>
        </w:rPr>
        <w:t>LJ</w:t>
      </w:r>
      <w:r w:rsidRPr="00395514">
        <w:rPr>
          <w:sz w:val="20"/>
          <w:szCs w:val="20"/>
        </w:rPr>
        <w:t xml:space="preserve"> </w:t>
      </w:r>
      <w:r>
        <w:rPr>
          <w:sz w:val="20"/>
          <w:szCs w:val="20"/>
        </w:rPr>
        <w:t xml:space="preserve">and </w:t>
      </w:r>
      <w:r w:rsidRPr="00395514">
        <w:rPr>
          <w:rFonts w:eastAsia="Times New Roman"/>
          <w:bCs/>
          <w:sz w:val="20"/>
          <w:szCs w:val="20"/>
          <w:lang w:val="en-US" w:eastAsia="en-GB"/>
        </w:rPr>
        <w:t>Gary Webber</w:t>
      </w:r>
      <w:r>
        <w:rPr>
          <w:rFonts w:eastAsia="Times New Roman"/>
          <w:bCs/>
          <w:sz w:val="20"/>
          <w:szCs w:val="20"/>
          <w:lang w:val="en-US" w:eastAsia="en-GB"/>
        </w:rPr>
        <w:t>.</w:t>
      </w:r>
      <w:r w:rsidRPr="5CF406CA">
        <w:rPr>
          <w:rFonts w:eastAsia="Times New Roman"/>
          <w:lang w:val="en-US" w:eastAsia="en-GB"/>
        </w:rPr>
        <w:t xml:space="preserve"> </w:t>
      </w:r>
      <w:r>
        <w:rPr>
          <w:sz w:val="20"/>
          <w:szCs w:val="20"/>
        </w:rPr>
        <w:t>Professor Roger Halson kindly shared expertise on contract theory. Professors Alison Clarke and Nicholas Hopkins were closely involved in the early development of our ideas until other projects took their attention; we fondly recall our lively discussions, with gratitude. Thanks are also due to the anonymous reviewers. Views, errors and omissions remain our own.</w:t>
      </w:r>
    </w:p>
    <w:p w:rsidR="00F106D2" w:rsidRPr="00610F1F" w:rsidRDefault="00F106D2" w:rsidP="00F106D2">
      <w:pPr>
        <w:pStyle w:val="FootnoteText"/>
        <w:rPr>
          <w:sz w:val="20"/>
          <w:szCs w:val="20"/>
        </w:rPr>
      </w:pPr>
      <w:r>
        <w:rPr>
          <w:sz w:val="20"/>
          <w:szCs w:val="20"/>
        </w:rPr>
        <w:t xml:space="preserve">Unless otherwise stated, all URLs </w:t>
      </w:r>
      <w:r w:rsidRPr="00F106D2">
        <w:rPr>
          <w:sz w:val="20"/>
          <w:szCs w:val="20"/>
        </w:rPr>
        <w:t xml:space="preserve">were last accessed 12 January 2017. </w:t>
      </w:r>
    </w:p>
    <w:p w:rsidR="00203C05" w:rsidRPr="00F106D2" w:rsidRDefault="00F92CBB" w:rsidP="00F106D2">
      <w:pPr>
        <w:spacing w:line="480" w:lineRule="auto"/>
        <w:rPr>
          <w:b/>
          <w:szCs w:val="24"/>
        </w:rPr>
      </w:pPr>
      <w:r w:rsidRPr="00F106D2">
        <w:rPr>
          <w:b/>
          <w:szCs w:val="24"/>
        </w:rPr>
        <w:tab/>
      </w:r>
      <w:r w:rsidRPr="00F106D2">
        <w:rPr>
          <w:b/>
          <w:szCs w:val="24"/>
        </w:rPr>
        <w:tab/>
      </w:r>
      <w:r w:rsidRPr="00F106D2">
        <w:rPr>
          <w:b/>
          <w:szCs w:val="24"/>
        </w:rPr>
        <w:tab/>
      </w:r>
      <w:r w:rsidRPr="00F106D2">
        <w:rPr>
          <w:b/>
          <w:szCs w:val="24"/>
        </w:rPr>
        <w:tab/>
      </w:r>
    </w:p>
    <w:p w:rsidR="00A17A0C" w:rsidRDefault="00A17A0C" w:rsidP="00546FD2">
      <w:pPr>
        <w:suppressAutoHyphens/>
        <w:autoSpaceDN w:val="0"/>
        <w:spacing w:after="0" w:line="480" w:lineRule="auto"/>
        <w:rPr>
          <w:b/>
          <w:szCs w:val="24"/>
        </w:rPr>
      </w:pPr>
      <w:r>
        <w:rPr>
          <w:b/>
          <w:szCs w:val="24"/>
        </w:rPr>
        <w:lastRenderedPageBreak/>
        <w:t>Introduction</w:t>
      </w:r>
    </w:p>
    <w:p w:rsidR="009B1957" w:rsidRDefault="00331A08" w:rsidP="00546FD2">
      <w:pPr>
        <w:suppressAutoHyphens/>
        <w:autoSpaceDN w:val="0"/>
        <w:spacing w:after="0" w:line="480" w:lineRule="auto"/>
        <w:rPr>
          <w:rFonts w:eastAsia="Calibri"/>
          <w:szCs w:val="24"/>
        </w:rPr>
      </w:pPr>
      <w:r>
        <w:rPr>
          <w:rFonts w:eastAsia="Calibri"/>
          <w:szCs w:val="24"/>
        </w:rPr>
        <w:t xml:space="preserve">In this article we promote a new way of </w:t>
      </w:r>
      <w:r w:rsidR="009974EB">
        <w:rPr>
          <w:rFonts w:eastAsia="Calibri"/>
          <w:szCs w:val="24"/>
        </w:rPr>
        <w:t xml:space="preserve">looking at property relationships that </w:t>
      </w:r>
      <w:r w:rsidR="002478E6" w:rsidRPr="000B4575">
        <w:t xml:space="preserve">explores </w:t>
      </w:r>
      <w:r w:rsidR="002478E6">
        <w:t xml:space="preserve">the heart of property:  </w:t>
      </w:r>
      <w:r w:rsidR="002478E6" w:rsidRPr="000B4575">
        <w:t xml:space="preserve">the dynamics of </w:t>
      </w:r>
      <w:r w:rsidR="00A17A0C">
        <w:t>enduring</w:t>
      </w:r>
      <w:r w:rsidR="002478E6" w:rsidRPr="000B4575">
        <w:t xml:space="preserve"> property relationships</w:t>
      </w:r>
      <w:r w:rsidR="002478E6">
        <w:t>.</w:t>
      </w:r>
      <w:r w:rsidR="00F106D2">
        <w:rPr>
          <w:rStyle w:val="CommentReference"/>
        </w:rPr>
        <w:t xml:space="preserve"> </w:t>
      </w:r>
      <w:r w:rsidR="002478E6">
        <w:t xml:space="preserve"> </w:t>
      </w:r>
      <w:r w:rsidR="00932D04">
        <w:t>T</w:t>
      </w:r>
      <w:r w:rsidR="002478E6">
        <w:t>hese dynamics are foundational to property relations and an appreciation of them enrich</w:t>
      </w:r>
      <w:r w:rsidR="00932D04">
        <w:t>es</w:t>
      </w:r>
      <w:r w:rsidR="002478E6">
        <w:t xml:space="preserve"> our understanding of the nature and meaning of </w:t>
      </w:r>
      <w:r w:rsidR="002478E6" w:rsidRPr="00F106D2">
        <w:t>property</w:t>
      </w:r>
      <w:r w:rsidR="00056897">
        <w:t>.</w:t>
      </w:r>
      <w:r w:rsidR="002478E6" w:rsidRPr="00F106D2">
        <w:t xml:space="preserve"> </w:t>
      </w:r>
      <w:r w:rsidR="009215B7">
        <w:t>A</w:t>
      </w:r>
      <w:r w:rsidR="009B1957">
        <w:t>lthough th</w:t>
      </w:r>
      <w:r w:rsidR="00932D04">
        <w:t xml:space="preserve">is </w:t>
      </w:r>
      <w:r w:rsidR="009B1957">
        <w:t xml:space="preserve">article </w:t>
      </w:r>
      <w:r w:rsidR="0049334E">
        <w:t>focuses</w:t>
      </w:r>
      <w:r w:rsidR="00932D04">
        <w:t xml:space="preserve"> </w:t>
      </w:r>
      <w:r w:rsidR="009B1957">
        <w:t xml:space="preserve">on property relationships in land, </w:t>
      </w:r>
      <w:r w:rsidR="009215B7">
        <w:t xml:space="preserve">this </w:t>
      </w:r>
      <w:r w:rsidR="009B1957">
        <w:t>schema could be usefully applied to other types of property, for example, intellectual or environmental property. In outline, our approach acknowledges the broad range of legal, regulatory, social and commercial norms</w:t>
      </w:r>
      <w:r w:rsidR="006234EB">
        <w:rPr>
          <w:rStyle w:val="FootnoteReference"/>
        </w:rPr>
        <w:footnoteReference w:id="1"/>
      </w:r>
      <w:r w:rsidR="009B1957">
        <w:t xml:space="preserve"> that touch on property relationships and recognises that they are not rigid but evolve responsively to the spatial, temporal and lived dimensions of property in land. </w:t>
      </w:r>
      <w:r w:rsidR="00A17A0C">
        <w:t xml:space="preserve">This sense of change over time, of ebb and flow, </w:t>
      </w:r>
      <w:r w:rsidR="00AF0CCA">
        <w:t>reflects the enduring nature of property relationships</w:t>
      </w:r>
      <w:r w:rsidR="003B2EC4">
        <w:t xml:space="preserve">. </w:t>
      </w:r>
      <w:r w:rsidR="003B2EC4" w:rsidRPr="00013542">
        <w:rPr>
          <w:rFonts w:eastAsia="Calibri"/>
          <w:szCs w:val="24"/>
        </w:rPr>
        <w:t xml:space="preserve">The dynamics approach </w:t>
      </w:r>
      <w:r w:rsidR="00BB51CC" w:rsidRPr="00013542">
        <w:rPr>
          <w:rFonts w:eastAsia="Calibri"/>
          <w:szCs w:val="24"/>
        </w:rPr>
        <w:t xml:space="preserve">recognises </w:t>
      </w:r>
      <w:r w:rsidR="00AF0CCA" w:rsidRPr="00013542">
        <w:rPr>
          <w:rFonts w:eastAsia="Calibri"/>
          <w:szCs w:val="24"/>
        </w:rPr>
        <w:t>that</w:t>
      </w:r>
      <w:r w:rsidR="003B2EC4" w:rsidRPr="00013542">
        <w:rPr>
          <w:rFonts w:eastAsia="Calibri"/>
          <w:szCs w:val="24"/>
        </w:rPr>
        <w:t xml:space="preserve"> property relationships are lived relationships that are sustained by their evolution </w:t>
      </w:r>
      <w:r w:rsidR="00AF0CCA" w:rsidRPr="00013542">
        <w:rPr>
          <w:rFonts w:eastAsia="Calibri"/>
          <w:szCs w:val="24"/>
        </w:rPr>
        <w:t xml:space="preserve">over time to accommodate </w:t>
      </w:r>
      <w:r w:rsidR="003B2EC4" w:rsidRPr="00013542">
        <w:rPr>
          <w:rFonts w:eastAsia="Calibri"/>
          <w:szCs w:val="24"/>
        </w:rPr>
        <w:t>changing patterns and understandings of spatial use,</w:t>
      </w:r>
      <w:r w:rsidR="00AF0CCA" w:rsidRPr="00013542">
        <w:rPr>
          <w:rFonts w:eastAsia="Calibri"/>
          <w:szCs w:val="24"/>
        </w:rPr>
        <w:t xml:space="preserve"> new rights-holders</w:t>
      </w:r>
      <w:r w:rsidR="003B2EC4" w:rsidRPr="00013542">
        <w:rPr>
          <w:rFonts w:eastAsia="Calibri"/>
          <w:szCs w:val="24"/>
        </w:rPr>
        <w:t>, relationship needs, economic realities, opportunities, technical innovations, and so on</w:t>
      </w:r>
      <w:r w:rsidR="00F106D2" w:rsidRPr="00013542">
        <w:rPr>
          <w:rFonts w:eastAsia="Calibri"/>
          <w:szCs w:val="24"/>
        </w:rPr>
        <w:t>.</w:t>
      </w:r>
    </w:p>
    <w:p w:rsidR="00F106D2" w:rsidRDefault="00F106D2" w:rsidP="00546FD2">
      <w:pPr>
        <w:suppressAutoHyphens/>
        <w:autoSpaceDN w:val="0"/>
        <w:spacing w:after="0" w:line="480" w:lineRule="auto"/>
      </w:pPr>
    </w:p>
    <w:p w:rsidR="00ED131C" w:rsidRDefault="00AF0CCA" w:rsidP="00546FD2">
      <w:pPr>
        <w:suppressAutoHyphens/>
        <w:autoSpaceDN w:val="0"/>
        <w:spacing w:after="0" w:line="480" w:lineRule="auto"/>
        <w:rPr>
          <w:vertAlign w:val="superscript"/>
        </w:rPr>
      </w:pPr>
      <w:r>
        <w:rPr>
          <w:rFonts w:eastAsia="Calibri"/>
          <w:szCs w:val="24"/>
        </w:rPr>
        <w:t xml:space="preserve">It may be helpful at this stage to </w:t>
      </w:r>
      <w:r w:rsidR="00BB51CC" w:rsidRPr="00F106D2">
        <w:rPr>
          <w:rFonts w:eastAsia="Calibri"/>
          <w:szCs w:val="24"/>
        </w:rPr>
        <w:t xml:space="preserve">provide </w:t>
      </w:r>
      <w:r w:rsidRPr="00F106D2">
        <w:rPr>
          <w:rFonts w:eastAsia="Calibri"/>
          <w:szCs w:val="24"/>
        </w:rPr>
        <w:t>a practical</w:t>
      </w:r>
      <w:r>
        <w:rPr>
          <w:rFonts w:eastAsia="Calibri"/>
          <w:szCs w:val="24"/>
        </w:rPr>
        <w:t xml:space="preserve"> illustration. </w:t>
      </w:r>
      <w:r w:rsidR="004901AF">
        <w:rPr>
          <w:rFonts w:eastAsia="Calibri"/>
          <w:szCs w:val="24"/>
        </w:rPr>
        <w:t>In a block of flats, there will be a large number of persons who possess property rights: the building owner, the individual unit-owners, renters, mortgagees, and so on</w:t>
      </w:r>
      <w:r>
        <w:rPr>
          <w:rFonts w:eastAsia="Calibri"/>
          <w:szCs w:val="24"/>
        </w:rPr>
        <w:t xml:space="preserve">. </w:t>
      </w:r>
      <w:r w:rsidR="004901AF">
        <w:rPr>
          <w:rFonts w:eastAsia="Calibri"/>
          <w:szCs w:val="24"/>
        </w:rPr>
        <w:t xml:space="preserve">The title deeds, buttressed by property law, explain the various rights and responsibilities as between right-holders, rights that are anchored by that documentation for the duration of </w:t>
      </w:r>
      <w:r w:rsidR="00D63DFB">
        <w:rPr>
          <w:rFonts w:eastAsia="Calibri"/>
          <w:szCs w:val="24"/>
        </w:rPr>
        <w:t xml:space="preserve">a particular </w:t>
      </w:r>
      <w:r w:rsidR="004901AF">
        <w:rPr>
          <w:rFonts w:eastAsia="Calibri"/>
          <w:szCs w:val="24"/>
        </w:rPr>
        <w:t>property right. The picture on the ground will</w:t>
      </w:r>
      <w:r w:rsidR="00D147BF">
        <w:rPr>
          <w:rFonts w:eastAsia="Calibri"/>
          <w:szCs w:val="24"/>
        </w:rPr>
        <w:t>, however,</w:t>
      </w:r>
      <w:r w:rsidR="004901AF">
        <w:rPr>
          <w:rFonts w:eastAsia="Calibri"/>
          <w:szCs w:val="24"/>
        </w:rPr>
        <w:t xml:space="preserve"> be more complex. </w:t>
      </w:r>
      <w:r w:rsidR="00ED131C">
        <w:t>The dynamics</w:t>
      </w:r>
      <w:r w:rsidR="00ED131C" w:rsidRPr="00370268">
        <w:t xml:space="preserve"> approach involves examining the relationships between these persons</w:t>
      </w:r>
      <w:r w:rsidR="000C0503">
        <w:t>,</w:t>
      </w:r>
      <w:r w:rsidR="00A8047F">
        <w:t xml:space="preserve"> </w:t>
      </w:r>
      <w:r w:rsidR="0034391D">
        <w:t>which</w:t>
      </w:r>
      <w:r w:rsidR="00ED131C">
        <w:t xml:space="preserve"> means going beyond traditional property law approaches. </w:t>
      </w:r>
      <w:r w:rsidR="003F2ECE">
        <w:t xml:space="preserve">There may, for example, be no direct legal relationship between the occupiers of </w:t>
      </w:r>
      <w:r w:rsidR="003F2ECE">
        <w:lastRenderedPageBreak/>
        <w:t>different flats and yet in practice they may develop understandings about how communal spaces in the block can be used. These understandings may be at odds with the wording in title deeds, and yet the occupiers regard them as binding</w:t>
      </w:r>
      <w:r w:rsidR="00D63DFB">
        <w:t>,</w:t>
      </w:r>
      <w:r w:rsidR="003F2ECE">
        <w:t xml:space="preserve"> </w:t>
      </w:r>
      <w:r w:rsidR="00D63DFB">
        <w:t xml:space="preserve">in some manner, </w:t>
      </w:r>
      <w:r w:rsidR="003F2ECE">
        <w:t xml:space="preserve">on them and even on later occupiers. The occupiers may </w:t>
      </w:r>
      <w:r w:rsidR="00AA3DB7">
        <w:t xml:space="preserve">also </w:t>
      </w:r>
      <w:r w:rsidR="003F2ECE">
        <w:t xml:space="preserve">recognise that rather than pursuing the self-interested individualism generally </w:t>
      </w:r>
      <w:r w:rsidR="00C9607C">
        <w:t xml:space="preserve">generated </w:t>
      </w:r>
      <w:r w:rsidR="003F2ECE">
        <w:t xml:space="preserve">by </w:t>
      </w:r>
      <w:r w:rsidR="00C9607C">
        <w:t xml:space="preserve">the </w:t>
      </w:r>
      <w:r w:rsidR="003F2ECE">
        <w:t>title deeds, it is necessary to develop a more collective and co-operative way of living to make the building ‘work</w:t>
      </w:r>
      <w:r w:rsidR="00A8047F">
        <w:t>’</w:t>
      </w:r>
      <w:r w:rsidR="003F2ECE">
        <w:t>. Further, these understandings may change over time.  Our schema draws attention to this variety and fluidity, and in particular draws out</w:t>
      </w:r>
      <w:r w:rsidR="00ED131C" w:rsidRPr="00370268">
        <w:t xml:space="preserve"> the relational, that is the contextual and ‘between persons’ relations, recognizing that these property relationships are in part socially constructed.</w:t>
      </w:r>
      <w:r w:rsidR="007C439C" w:rsidRPr="00370268" w:rsidDel="007C439C">
        <w:rPr>
          <w:vertAlign w:val="superscript"/>
        </w:rPr>
        <w:t xml:space="preserve"> </w:t>
      </w:r>
      <w:r w:rsidR="009E3A57">
        <w:rPr>
          <w:vertAlign w:val="superscript"/>
        </w:rPr>
        <w:t xml:space="preserve"> </w:t>
      </w:r>
    </w:p>
    <w:p w:rsidR="00153090" w:rsidRDefault="00153090" w:rsidP="00546FD2">
      <w:pPr>
        <w:suppressAutoHyphens/>
        <w:autoSpaceDN w:val="0"/>
        <w:spacing w:after="0" w:line="480" w:lineRule="auto"/>
      </w:pPr>
    </w:p>
    <w:p w:rsidR="009215B7" w:rsidRDefault="006D58ED" w:rsidP="00821FAF">
      <w:pPr>
        <w:spacing w:line="480" w:lineRule="auto"/>
        <w:rPr>
          <w:rFonts w:eastAsia="Calibri"/>
          <w:szCs w:val="24"/>
        </w:rPr>
      </w:pPr>
      <w:r>
        <w:rPr>
          <w:rFonts w:eastAsia="Calibri"/>
          <w:szCs w:val="24"/>
        </w:rPr>
        <w:t xml:space="preserve">The temporal focus of the dynamics approach is on property relationships across time rather than those existing at a unique point in time. </w:t>
      </w:r>
      <w:r w:rsidR="00153090" w:rsidRPr="007B054C">
        <w:t>Property law has of course always incorporated a temporal element: a lease is a time-limited property right; trusts make provision for future interests</w:t>
      </w:r>
      <w:r w:rsidR="004E4687">
        <w:t xml:space="preserve">. </w:t>
      </w:r>
      <w:r w:rsidR="009D2890" w:rsidRPr="00C82C5B">
        <w:rPr>
          <w:rFonts w:eastAsia="Cambria"/>
          <w:szCs w:val="24"/>
        </w:rPr>
        <w:t>However</w:t>
      </w:r>
      <w:r w:rsidR="009D2890">
        <w:rPr>
          <w:rFonts w:eastAsia="Cambria"/>
          <w:szCs w:val="24"/>
        </w:rPr>
        <w:t>,</w:t>
      </w:r>
      <w:r w:rsidR="009D2890" w:rsidRPr="00C82C5B">
        <w:rPr>
          <w:rFonts w:eastAsia="Cambria"/>
          <w:szCs w:val="24"/>
        </w:rPr>
        <w:t xml:space="preserve"> </w:t>
      </w:r>
      <w:r w:rsidR="004C0463">
        <w:rPr>
          <w:rFonts w:eastAsia="Cambria"/>
          <w:szCs w:val="24"/>
        </w:rPr>
        <w:t>the</w:t>
      </w:r>
      <w:r w:rsidR="009D2890" w:rsidRPr="00C82C5B">
        <w:rPr>
          <w:rFonts w:eastAsia="Cambria"/>
          <w:szCs w:val="24"/>
        </w:rPr>
        <w:t xml:space="preserve"> focus </w:t>
      </w:r>
      <w:r w:rsidR="004E4687">
        <w:rPr>
          <w:rFonts w:eastAsia="Cambria"/>
          <w:szCs w:val="24"/>
        </w:rPr>
        <w:t xml:space="preserve">here </w:t>
      </w:r>
      <w:r w:rsidR="004C0463">
        <w:rPr>
          <w:rFonts w:eastAsia="Cambria"/>
          <w:szCs w:val="24"/>
        </w:rPr>
        <w:t xml:space="preserve">is </w:t>
      </w:r>
      <w:r w:rsidR="009D2890">
        <w:rPr>
          <w:rFonts w:eastAsia="Cambria"/>
          <w:szCs w:val="24"/>
        </w:rPr>
        <w:t xml:space="preserve">not </w:t>
      </w:r>
      <w:r w:rsidR="009D2890" w:rsidRPr="00C82C5B">
        <w:rPr>
          <w:rFonts w:eastAsia="Cambria"/>
          <w:szCs w:val="24"/>
        </w:rPr>
        <w:t xml:space="preserve">on how time </w:t>
      </w:r>
      <w:r w:rsidR="009D2890">
        <w:rPr>
          <w:rFonts w:eastAsia="Cambria"/>
          <w:szCs w:val="24"/>
        </w:rPr>
        <w:t xml:space="preserve">defines and separates doctrinal interests in land but instead on how, within the context of a given </w:t>
      </w:r>
      <w:r w:rsidR="009D2890" w:rsidRPr="00C82C5B">
        <w:rPr>
          <w:rFonts w:eastAsia="Cambria"/>
          <w:szCs w:val="24"/>
        </w:rPr>
        <w:t>property relationship</w:t>
      </w:r>
      <w:r w:rsidR="009D2890">
        <w:rPr>
          <w:rFonts w:eastAsia="Cambria"/>
          <w:szCs w:val="24"/>
        </w:rPr>
        <w:t xml:space="preserve">, the nature of that relationship may be shaped and re-shaped and yet sustained over time. </w:t>
      </w:r>
      <w:r w:rsidR="00821FAF">
        <w:t xml:space="preserve"> </w:t>
      </w:r>
      <w:r>
        <w:rPr>
          <w:rFonts w:eastAsia="Calibri"/>
          <w:szCs w:val="24"/>
        </w:rPr>
        <w:t>T</w:t>
      </w:r>
      <w:r w:rsidR="00FD00F3" w:rsidRPr="00ED19F4">
        <w:rPr>
          <w:rFonts w:eastAsia="Calibri"/>
          <w:szCs w:val="24"/>
        </w:rPr>
        <w:t>o adapt an observation made about the idea underlying relational contract theory</w:t>
      </w:r>
      <w:r w:rsidR="00FD00F3">
        <w:rPr>
          <w:rFonts w:eastAsia="Calibri"/>
          <w:szCs w:val="24"/>
        </w:rPr>
        <w:t xml:space="preserve"> (</w:t>
      </w:r>
      <w:r w:rsidR="001A5312">
        <w:rPr>
          <w:rFonts w:eastAsia="Calibri"/>
          <w:szCs w:val="24"/>
        </w:rPr>
        <w:t>RCT</w:t>
      </w:r>
      <w:r w:rsidR="00554678">
        <w:rPr>
          <w:rFonts w:eastAsia="Calibri"/>
          <w:szCs w:val="24"/>
        </w:rPr>
        <w:t>)</w:t>
      </w:r>
      <w:r w:rsidR="001A5312">
        <w:rPr>
          <w:rFonts w:eastAsia="Calibri"/>
          <w:szCs w:val="24"/>
        </w:rPr>
        <w:t xml:space="preserve">, </w:t>
      </w:r>
      <w:r w:rsidR="00FD00F3" w:rsidRPr="00ED19F4">
        <w:rPr>
          <w:rFonts w:eastAsia="Calibri"/>
          <w:szCs w:val="24"/>
        </w:rPr>
        <w:t>we are looking not at ‘one-night stands’ but at marriages,</w:t>
      </w:r>
      <w:r w:rsidR="00FD00F3" w:rsidRPr="00ED19F4">
        <w:rPr>
          <w:rFonts w:eastAsia="Calibri"/>
          <w:szCs w:val="24"/>
          <w:vertAlign w:val="superscript"/>
        </w:rPr>
        <w:footnoteReference w:id="2"/>
      </w:r>
      <w:r w:rsidR="00FD00F3" w:rsidRPr="00ED19F4">
        <w:rPr>
          <w:rFonts w:eastAsia="Calibri"/>
          <w:szCs w:val="24"/>
        </w:rPr>
        <w:t xml:space="preserve"> and then not at the ceremony itself but at the shared lives that follow. </w:t>
      </w:r>
    </w:p>
    <w:p w:rsidR="004964AD" w:rsidRDefault="00045E54" w:rsidP="00821FAF">
      <w:pPr>
        <w:spacing w:line="480" w:lineRule="auto"/>
        <w:rPr>
          <w:rFonts w:eastAsia="Calibri"/>
          <w:szCs w:val="24"/>
        </w:rPr>
      </w:pPr>
      <w:r>
        <w:rPr>
          <w:rFonts w:eastAsia="Calibri"/>
          <w:szCs w:val="24"/>
        </w:rPr>
        <w:t xml:space="preserve">In terms of methodology, our analysis </w:t>
      </w:r>
      <w:r w:rsidR="00AA02DA">
        <w:rPr>
          <w:rFonts w:eastAsia="Calibri"/>
          <w:szCs w:val="24"/>
        </w:rPr>
        <w:t xml:space="preserve">is </w:t>
      </w:r>
      <w:r>
        <w:rPr>
          <w:rFonts w:eastAsia="Calibri"/>
          <w:szCs w:val="24"/>
        </w:rPr>
        <w:t xml:space="preserve">from </w:t>
      </w:r>
      <w:r w:rsidR="00FD00F3" w:rsidRPr="00ED19F4">
        <w:rPr>
          <w:rFonts w:eastAsia="Calibri"/>
          <w:szCs w:val="24"/>
        </w:rPr>
        <w:t xml:space="preserve">the perspective of legal realism rather than legal formalism, </w:t>
      </w:r>
      <w:r w:rsidR="00FD00F3" w:rsidRPr="004964AD">
        <w:rPr>
          <w:rFonts w:eastAsia="Calibri"/>
          <w:szCs w:val="24"/>
        </w:rPr>
        <w:t xml:space="preserve">that is, one that provides a realistic account about what parties and decision-makers do and how they behave. </w:t>
      </w:r>
      <w:r w:rsidR="006D58ED" w:rsidRPr="004964AD">
        <w:rPr>
          <w:rFonts w:eastAsia="Calibri"/>
          <w:szCs w:val="24"/>
        </w:rPr>
        <w:t>In doing so</w:t>
      </w:r>
      <w:r w:rsidR="004964AD">
        <w:rPr>
          <w:rFonts w:eastAsia="Calibri"/>
          <w:szCs w:val="24"/>
        </w:rPr>
        <w:t>,</w:t>
      </w:r>
      <w:r w:rsidR="006D58ED" w:rsidRPr="004964AD">
        <w:rPr>
          <w:rFonts w:eastAsia="Calibri"/>
          <w:szCs w:val="24"/>
        </w:rPr>
        <w:t xml:space="preserve"> we draw</w:t>
      </w:r>
      <w:r w:rsidR="00FD00F3" w:rsidRPr="004964AD">
        <w:rPr>
          <w:rFonts w:eastAsia="Calibri"/>
          <w:szCs w:val="24"/>
        </w:rPr>
        <w:t xml:space="preserve"> on elements of doctrinal, empirical, socio-legal and realist methods.</w:t>
      </w:r>
      <w:r w:rsidR="001A5312" w:rsidRPr="001A5312">
        <w:rPr>
          <w:rFonts w:eastAsia="Calibri"/>
          <w:szCs w:val="24"/>
        </w:rPr>
        <w:t xml:space="preserve"> </w:t>
      </w:r>
    </w:p>
    <w:p w:rsidR="00FD00F3" w:rsidRPr="00CD533E" w:rsidRDefault="00AA02DA" w:rsidP="00480412">
      <w:pPr>
        <w:suppressAutoHyphens/>
        <w:autoSpaceDN w:val="0"/>
        <w:spacing w:after="0" w:line="480" w:lineRule="auto"/>
        <w:rPr>
          <w:szCs w:val="24"/>
        </w:rPr>
      </w:pPr>
      <w:r>
        <w:rPr>
          <w:szCs w:val="24"/>
        </w:rPr>
        <w:lastRenderedPageBreak/>
        <w:t>The article begins with</w:t>
      </w:r>
      <w:r w:rsidR="00045E54">
        <w:rPr>
          <w:szCs w:val="24"/>
        </w:rPr>
        <w:t xml:space="preserve"> an overview of the dynamics approach to enduring property relationships</w:t>
      </w:r>
      <w:r w:rsidR="00480412">
        <w:rPr>
          <w:szCs w:val="24"/>
        </w:rPr>
        <w:t xml:space="preserve"> and how it can aid </w:t>
      </w:r>
      <w:r w:rsidR="00AA3DB7">
        <w:rPr>
          <w:szCs w:val="24"/>
        </w:rPr>
        <w:t xml:space="preserve">an </w:t>
      </w:r>
      <w:r w:rsidR="00480412">
        <w:rPr>
          <w:szCs w:val="24"/>
        </w:rPr>
        <w:t xml:space="preserve">understanding of </w:t>
      </w:r>
      <w:r w:rsidR="00480412" w:rsidRPr="00CD533E">
        <w:rPr>
          <w:szCs w:val="24"/>
        </w:rPr>
        <w:t>property rights in land which o</w:t>
      </w:r>
      <w:r w:rsidR="00480412">
        <w:rPr>
          <w:szCs w:val="24"/>
        </w:rPr>
        <w:t>riginate in contract or consent.</w:t>
      </w:r>
      <w:r w:rsidR="00480412" w:rsidRPr="00CD533E">
        <w:rPr>
          <w:szCs w:val="24"/>
          <w:vertAlign w:val="superscript"/>
        </w:rPr>
        <w:footnoteReference w:id="3"/>
      </w:r>
      <w:r w:rsidR="00045E54">
        <w:rPr>
          <w:szCs w:val="24"/>
        </w:rPr>
        <w:t xml:space="preserve"> </w:t>
      </w:r>
      <w:r w:rsidR="00FD00F3" w:rsidRPr="00ED19F4">
        <w:rPr>
          <w:szCs w:val="24"/>
        </w:rPr>
        <w:t xml:space="preserve">The </w:t>
      </w:r>
      <w:r w:rsidR="00045E54">
        <w:rPr>
          <w:szCs w:val="24"/>
        </w:rPr>
        <w:t>following</w:t>
      </w:r>
      <w:r w:rsidR="00FD00F3" w:rsidRPr="00ED19F4">
        <w:rPr>
          <w:szCs w:val="24"/>
        </w:rPr>
        <w:t xml:space="preserve"> section </w:t>
      </w:r>
      <w:r w:rsidR="00AA3DB7">
        <w:rPr>
          <w:szCs w:val="24"/>
        </w:rPr>
        <w:t xml:space="preserve">then </w:t>
      </w:r>
      <w:r w:rsidR="00FD00F3" w:rsidRPr="00ED19F4">
        <w:rPr>
          <w:szCs w:val="24"/>
        </w:rPr>
        <w:t xml:space="preserve">positions </w:t>
      </w:r>
      <w:r w:rsidR="00045E54">
        <w:rPr>
          <w:szCs w:val="24"/>
        </w:rPr>
        <w:t xml:space="preserve">this </w:t>
      </w:r>
      <w:r w:rsidR="00FD00F3" w:rsidRPr="00ED19F4">
        <w:rPr>
          <w:szCs w:val="24"/>
        </w:rPr>
        <w:t xml:space="preserve">in the context of current scholarship on contract and property law. </w:t>
      </w:r>
      <w:r w:rsidR="00A2427F">
        <w:rPr>
          <w:rFonts w:eastAsia="Calibri"/>
          <w:szCs w:val="24"/>
        </w:rPr>
        <w:t>We</w:t>
      </w:r>
      <w:r w:rsidR="00A2427F" w:rsidRPr="00ED19F4">
        <w:rPr>
          <w:rFonts w:eastAsia="Calibri"/>
          <w:szCs w:val="24"/>
        </w:rPr>
        <w:t xml:space="preserve"> have been influenced by </w:t>
      </w:r>
      <w:r w:rsidR="00A2427F">
        <w:rPr>
          <w:rFonts w:eastAsia="Calibri"/>
          <w:szCs w:val="24"/>
        </w:rPr>
        <w:t>RCT literature,</w:t>
      </w:r>
      <w:r w:rsidR="00A2427F" w:rsidRPr="00ED19F4">
        <w:rPr>
          <w:rFonts w:eastAsia="Calibri"/>
          <w:szCs w:val="24"/>
          <w:vertAlign w:val="superscript"/>
        </w:rPr>
        <w:footnoteReference w:id="4"/>
      </w:r>
      <w:r w:rsidR="00A2427F">
        <w:rPr>
          <w:rFonts w:eastAsia="Calibri"/>
          <w:szCs w:val="24"/>
        </w:rPr>
        <w:t xml:space="preserve"> </w:t>
      </w:r>
      <w:r w:rsidR="00A2427F" w:rsidRPr="00ED19F4">
        <w:rPr>
          <w:rFonts w:eastAsia="Calibri"/>
          <w:szCs w:val="24"/>
        </w:rPr>
        <w:t>and the work of associated empirical scholars</w:t>
      </w:r>
      <w:r w:rsidR="00A2427F">
        <w:rPr>
          <w:rFonts w:eastAsia="Calibri"/>
          <w:szCs w:val="24"/>
        </w:rPr>
        <w:t>,</w:t>
      </w:r>
      <w:r w:rsidR="00A2427F" w:rsidRPr="00ED19F4">
        <w:rPr>
          <w:rFonts w:eastAsia="Calibri"/>
          <w:szCs w:val="24"/>
          <w:vertAlign w:val="superscript"/>
        </w:rPr>
        <w:footnoteReference w:id="5"/>
      </w:r>
      <w:r w:rsidR="00A2427F" w:rsidRPr="00ED19F4">
        <w:rPr>
          <w:rFonts w:eastAsia="Calibri"/>
          <w:szCs w:val="24"/>
        </w:rPr>
        <w:t xml:space="preserve"> </w:t>
      </w:r>
      <w:r w:rsidR="00480412">
        <w:rPr>
          <w:szCs w:val="24"/>
        </w:rPr>
        <w:t>and</w:t>
      </w:r>
      <w:r w:rsidR="00A2427F">
        <w:rPr>
          <w:szCs w:val="24"/>
        </w:rPr>
        <w:t xml:space="preserve"> apply </w:t>
      </w:r>
      <w:r w:rsidR="00480412" w:rsidRPr="00ED19F4">
        <w:rPr>
          <w:rFonts w:eastAsia="Calibri"/>
          <w:szCs w:val="24"/>
        </w:rPr>
        <w:t>to property relationships</w:t>
      </w:r>
      <w:r w:rsidR="00480412">
        <w:rPr>
          <w:szCs w:val="24"/>
        </w:rPr>
        <w:t xml:space="preserve"> </w:t>
      </w:r>
      <w:r w:rsidR="00A2427F">
        <w:rPr>
          <w:szCs w:val="24"/>
        </w:rPr>
        <w:t>t</w:t>
      </w:r>
      <w:r w:rsidR="00A2427F">
        <w:rPr>
          <w:rFonts w:eastAsia="Calibri"/>
          <w:szCs w:val="24"/>
        </w:rPr>
        <w:t>h</w:t>
      </w:r>
      <w:r w:rsidR="00AC7F1F">
        <w:rPr>
          <w:rFonts w:eastAsia="Calibri"/>
          <w:szCs w:val="24"/>
        </w:rPr>
        <w:t>e</w:t>
      </w:r>
      <w:r w:rsidR="00A2427F" w:rsidRPr="00ED19F4">
        <w:rPr>
          <w:rFonts w:eastAsia="Calibri"/>
          <w:szCs w:val="24"/>
        </w:rPr>
        <w:t xml:space="preserve"> key idea </w:t>
      </w:r>
      <w:r w:rsidR="00AC7F1F">
        <w:rPr>
          <w:rFonts w:eastAsia="Calibri"/>
          <w:szCs w:val="24"/>
        </w:rPr>
        <w:t xml:space="preserve">from RCT </w:t>
      </w:r>
      <w:r w:rsidR="00A2427F" w:rsidRPr="00ED19F4">
        <w:rPr>
          <w:rFonts w:eastAsia="Calibri"/>
          <w:szCs w:val="24"/>
        </w:rPr>
        <w:t>that parties to contracts are ‘embedded in complex relations’</w:t>
      </w:r>
      <w:r w:rsidR="00480412">
        <w:rPr>
          <w:rFonts w:eastAsia="Calibri"/>
          <w:szCs w:val="24"/>
        </w:rPr>
        <w:t>.</w:t>
      </w:r>
      <w:r w:rsidR="00A2427F" w:rsidRPr="00ED19F4">
        <w:rPr>
          <w:rFonts w:eastAsia="Calibri"/>
          <w:szCs w:val="24"/>
          <w:vertAlign w:val="superscript"/>
        </w:rPr>
        <w:footnoteReference w:id="6"/>
      </w:r>
      <w:r w:rsidR="00A2427F" w:rsidRPr="00ED19F4">
        <w:rPr>
          <w:rFonts w:eastAsia="Calibri"/>
          <w:szCs w:val="24"/>
        </w:rPr>
        <w:t xml:space="preserve"> </w:t>
      </w:r>
      <w:r w:rsidR="004B0053">
        <w:rPr>
          <w:rFonts w:eastAsia="Calibri"/>
          <w:szCs w:val="24"/>
        </w:rPr>
        <w:t xml:space="preserve"> The article </w:t>
      </w:r>
      <w:r w:rsidR="00AC7F1F" w:rsidRPr="00CD533E">
        <w:rPr>
          <w:szCs w:val="24"/>
        </w:rPr>
        <w:t>also engag</w:t>
      </w:r>
      <w:r w:rsidR="00480412">
        <w:rPr>
          <w:szCs w:val="24"/>
        </w:rPr>
        <w:t>e</w:t>
      </w:r>
      <w:r w:rsidR="004B0053">
        <w:rPr>
          <w:szCs w:val="24"/>
        </w:rPr>
        <w:t>s</w:t>
      </w:r>
      <w:r w:rsidR="00AC7F1F" w:rsidRPr="00CD533E">
        <w:rPr>
          <w:szCs w:val="24"/>
        </w:rPr>
        <w:t xml:space="preserve"> with contemporary debates in property theory</w:t>
      </w:r>
      <w:r w:rsidR="004B0053">
        <w:rPr>
          <w:szCs w:val="24"/>
        </w:rPr>
        <w:t>,</w:t>
      </w:r>
      <w:r w:rsidR="00480412">
        <w:rPr>
          <w:szCs w:val="24"/>
        </w:rPr>
        <w:t xml:space="preserve"> </w:t>
      </w:r>
      <w:r w:rsidR="00445E90">
        <w:rPr>
          <w:szCs w:val="24"/>
        </w:rPr>
        <w:t>intending (</w:t>
      </w:r>
      <w:r w:rsidR="00480412">
        <w:rPr>
          <w:szCs w:val="24"/>
        </w:rPr>
        <w:t>unlike much theoretical work</w:t>
      </w:r>
      <w:r w:rsidR="00445E90">
        <w:rPr>
          <w:szCs w:val="24"/>
        </w:rPr>
        <w:t xml:space="preserve">) </w:t>
      </w:r>
      <w:r w:rsidR="00480412" w:rsidRPr="00CD533E">
        <w:rPr>
          <w:szCs w:val="24"/>
        </w:rPr>
        <w:t xml:space="preserve">to provide a </w:t>
      </w:r>
      <w:r w:rsidR="00445E90">
        <w:rPr>
          <w:szCs w:val="24"/>
        </w:rPr>
        <w:t>richer</w:t>
      </w:r>
      <w:r w:rsidR="00480412" w:rsidRPr="00CD533E">
        <w:rPr>
          <w:szCs w:val="24"/>
        </w:rPr>
        <w:t xml:space="preserve"> descriptive </w:t>
      </w:r>
      <w:r w:rsidR="00AA3DB7">
        <w:rPr>
          <w:szCs w:val="24"/>
        </w:rPr>
        <w:t xml:space="preserve">(rather than normative) </w:t>
      </w:r>
      <w:r w:rsidR="00480412" w:rsidRPr="00CD533E">
        <w:rPr>
          <w:szCs w:val="24"/>
        </w:rPr>
        <w:t>account of property relationships</w:t>
      </w:r>
      <w:r w:rsidR="00480412">
        <w:rPr>
          <w:szCs w:val="24"/>
        </w:rPr>
        <w:t>.</w:t>
      </w:r>
      <w:r w:rsidR="004B0053">
        <w:rPr>
          <w:szCs w:val="24"/>
        </w:rPr>
        <w:t xml:space="preserve"> </w:t>
      </w:r>
      <w:r w:rsidR="0086358B">
        <w:rPr>
          <w:szCs w:val="24"/>
        </w:rPr>
        <w:t xml:space="preserve">We </w:t>
      </w:r>
      <w:r w:rsidR="00AC7F1F">
        <w:rPr>
          <w:szCs w:val="24"/>
        </w:rPr>
        <w:t>next</w:t>
      </w:r>
      <w:r w:rsidR="00AC7F1F" w:rsidRPr="00ED19F4">
        <w:rPr>
          <w:szCs w:val="24"/>
        </w:rPr>
        <w:t xml:space="preserve"> </w:t>
      </w:r>
      <w:r w:rsidR="00B47DC0">
        <w:rPr>
          <w:szCs w:val="24"/>
        </w:rPr>
        <w:t>explore the dynamics approach in greater depth by identifying three key themes</w:t>
      </w:r>
      <w:r w:rsidR="00FD00F3" w:rsidRPr="00ED19F4">
        <w:rPr>
          <w:szCs w:val="24"/>
        </w:rPr>
        <w:t xml:space="preserve">: the </w:t>
      </w:r>
      <w:r w:rsidR="00EA7045">
        <w:rPr>
          <w:szCs w:val="24"/>
        </w:rPr>
        <w:t xml:space="preserve">diverse </w:t>
      </w:r>
      <w:r w:rsidR="00B47DC0">
        <w:rPr>
          <w:szCs w:val="24"/>
        </w:rPr>
        <w:t xml:space="preserve">network </w:t>
      </w:r>
      <w:r w:rsidR="007E5D12">
        <w:rPr>
          <w:szCs w:val="24"/>
        </w:rPr>
        <w:t xml:space="preserve">of </w:t>
      </w:r>
      <w:r w:rsidR="00FD00F3" w:rsidRPr="00ED19F4">
        <w:rPr>
          <w:szCs w:val="24"/>
        </w:rPr>
        <w:t>sources influenc</w:t>
      </w:r>
      <w:r w:rsidR="00AE26F1">
        <w:rPr>
          <w:szCs w:val="24"/>
        </w:rPr>
        <w:t>ing</w:t>
      </w:r>
      <w:r w:rsidR="00FD00F3" w:rsidRPr="00ED19F4">
        <w:rPr>
          <w:szCs w:val="24"/>
        </w:rPr>
        <w:t xml:space="preserve"> rights and responsibilities in enduring property relations; the temporal element</w:t>
      </w:r>
      <w:r w:rsidR="00B47DC0">
        <w:rPr>
          <w:szCs w:val="24"/>
        </w:rPr>
        <w:t xml:space="preserve"> of property</w:t>
      </w:r>
      <w:r w:rsidR="00FD00F3" w:rsidRPr="00ED19F4">
        <w:rPr>
          <w:szCs w:val="24"/>
        </w:rPr>
        <w:t xml:space="preserve">; and discretionary spaces in decision-making. </w:t>
      </w:r>
      <w:r w:rsidR="0017221F" w:rsidRPr="00233BCB">
        <w:rPr>
          <w:szCs w:val="24"/>
        </w:rPr>
        <w:t xml:space="preserve">These themes are illustrated by examples taken mainly from our </w:t>
      </w:r>
      <w:r w:rsidR="00821FAF">
        <w:rPr>
          <w:szCs w:val="24"/>
        </w:rPr>
        <w:t xml:space="preserve">respective </w:t>
      </w:r>
      <w:r w:rsidR="0017221F" w:rsidRPr="00233BCB">
        <w:rPr>
          <w:szCs w:val="24"/>
        </w:rPr>
        <w:t>areas of research</w:t>
      </w:r>
      <w:r w:rsidR="00233BCB" w:rsidRPr="00233BCB">
        <w:rPr>
          <w:szCs w:val="24"/>
        </w:rPr>
        <w:t xml:space="preserve"> in English land law</w:t>
      </w:r>
      <w:r w:rsidR="0017221F" w:rsidRPr="00233BCB">
        <w:rPr>
          <w:szCs w:val="24"/>
        </w:rPr>
        <w:t xml:space="preserve">: residential leasehold, </w:t>
      </w:r>
      <w:r w:rsidR="00233BCB">
        <w:rPr>
          <w:szCs w:val="24"/>
        </w:rPr>
        <w:t xml:space="preserve">the use of </w:t>
      </w:r>
      <w:r w:rsidR="0017221F" w:rsidRPr="00233BCB">
        <w:rPr>
          <w:szCs w:val="24"/>
        </w:rPr>
        <w:t xml:space="preserve">‘green’ leases in commercial </w:t>
      </w:r>
      <w:r w:rsidR="00233BCB">
        <w:rPr>
          <w:szCs w:val="24"/>
        </w:rPr>
        <w:t>property</w:t>
      </w:r>
      <w:r w:rsidR="0017221F" w:rsidRPr="00233BCB">
        <w:rPr>
          <w:szCs w:val="24"/>
        </w:rPr>
        <w:t>, and residential mortgages.</w:t>
      </w:r>
      <w:r w:rsidR="007E5D12" w:rsidRPr="00233BCB">
        <w:rPr>
          <w:rStyle w:val="FootnoteReference"/>
          <w:szCs w:val="24"/>
        </w:rPr>
        <w:footnoteReference w:id="7"/>
      </w:r>
      <w:r w:rsidR="0017221F">
        <w:rPr>
          <w:szCs w:val="24"/>
        </w:rPr>
        <w:t xml:space="preserve"> </w:t>
      </w:r>
      <w:r w:rsidR="005531A9">
        <w:rPr>
          <w:szCs w:val="24"/>
        </w:rPr>
        <w:t>Given</w:t>
      </w:r>
      <w:r w:rsidR="005531A9" w:rsidRPr="00ED19F4">
        <w:rPr>
          <w:szCs w:val="24"/>
        </w:rPr>
        <w:t xml:space="preserve"> that </w:t>
      </w:r>
      <w:r w:rsidR="005531A9">
        <w:rPr>
          <w:szCs w:val="24"/>
        </w:rPr>
        <w:t xml:space="preserve">most </w:t>
      </w:r>
      <w:r w:rsidR="005531A9" w:rsidRPr="00ED19F4">
        <w:rPr>
          <w:szCs w:val="24"/>
        </w:rPr>
        <w:t xml:space="preserve">property relations are </w:t>
      </w:r>
      <w:r w:rsidR="005531A9">
        <w:rPr>
          <w:szCs w:val="24"/>
        </w:rPr>
        <w:t xml:space="preserve">not ‘one-off’ but are </w:t>
      </w:r>
      <w:r w:rsidR="005531A9" w:rsidRPr="00ED19F4">
        <w:rPr>
          <w:szCs w:val="24"/>
        </w:rPr>
        <w:t>dynamic, enduring and context-specific</w:t>
      </w:r>
      <w:r w:rsidR="005531A9">
        <w:rPr>
          <w:szCs w:val="24"/>
        </w:rPr>
        <w:t xml:space="preserve">, we offer some </w:t>
      </w:r>
      <w:r w:rsidR="00FD00F3" w:rsidRPr="00ED19F4">
        <w:rPr>
          <w:szCs w:val="24"/>
        </w:rPr>
        <w:t xml:space="preserve">conclusions on the use and usefulness of </w:t>
      </w:r>
      <w:r w:rsidR="0017221F">
        <w:rPr>
          <w:szCs w:val="24"/>
        </w:rPr>
        <w:t>this</w:t>
      </w:r>
      <w:r w:rsidR="0017221F" w:rsidRPr="00ED19F4">
        <w:rPr>
          <w:szCs w:val="24"/>
        </w:rPr>
        <w:t xml:space="preserve"> </w:t>
      </w:r>
      <w:r w:rsidR="00FD00F3" w:rsidRPr="00ED19F4">
        <w:rPr>
          <w:szCs w:val="24"/>
        </w:rPr>
        <w:t>approach to understanding</w:t>
      </w:r>
      <w:r w:rsidR="005531A9">
        <w:rPr>
          <w:szCs w:val="24"/>
        </w:rPr>
        <w:t xml:space="preserve"> these</w:t>
      </w:r>
      <w:r w:rsidR="00FD00F3" w:rsidRPr="00ED19F4">
        <w:rPr>
          <w:szCs w:val="24"/>
        </w:rPr>
        <w:t xml:space="preserve"> </w:t>
      </w:r>
      <w:r w:rsidR="005531A9">
        <w:rPr>
          <w:szCs w:val="24"/>
        </w:rPr>
        <w:t>relationships</w:t>
      </w:r>
      <w:r w:rsidR="00FD00F3" w:rsidRPr="00ED19F4">
        <w:rPr>
          <w:szCs w:val="24"/>
        </w:rPr>
        <w:t>.</w:t>
      </w:r>
    </w:p>
    <w:p w:rsidR="00AA02DA" w:rsidRDefault="00AA02DA" w:rsidP="00546FD2">
      <w:pPr>
        <w:suppressAutoHyphens/>
        <w:autoSpaceDN w:val="0"/>
        <w:spacing w:after="0" w:line="480" w:lineRule="auto"/>
        <w:rPr>
          <w:rFonts w:eastAsia="Calibri"/>
          <w:b/>
          <w:szCs w:val="24"/>
        </w:rPr>
      </w:pPr>
    </w:p>
    <w:p w:rsidR="00AF0CCA" w:rsidRPr="00AA02DA" w:rsidRDefault="00AA02DA" w:rsidP="00546FD2">
      <w:pPr>
        <w:suppressAutoHyphens/>
        <w:autoSpaceDN w:val="0"/>
        <w:spacing w:after="0" w:line="480" w:lineRule="auto"/>
        <w:rPr>
          <w:rFonts w:eastAsia="Calibri"/>
          <w:b/>
          <w:szCs w:val="24"/>
        </w:rPr>
      </w:pPr>
      <w:r>
        <w:rPr>
          <w:rFonts w:eastAsia="Calibri"/>
          <w:b/>
          <w:szCs w:val="24"/>
        </w:rPr>
        <w:t xml:space="preserve">An </w:t>
      </w:r>
      <w:r w:rsidR="00136727">
        <w:rPr>
          <w:rFonts w:eastAsia="Calibri"/>
          <w:b/>
          <w:szCs w:val="24"/>
        </w:rPr>
        <w:t>o</w:t>
      </w:r>
      <w:r>
        <w:rPr>
          <w:rFonts w:eastAsia="Calibri"/>
          <w:b/>
          <w:szCs w:val="24"/>
        </w:rPr>
        <w:t xml:space="preserve">verview of the </w:t>
      </w:r>
      <w:r w:rsidR="00136727">
        <w:rPr>
          <w:rFonts w:eastAsia="Calibri"/>
          <w:b/>
          <w:szCs w:val="24"/>
        </w:rPr>
        <w:t>d</w:t>
      </w:r>
      <w:r>
        <w:rPr>
          <w:rFonts w:eastAsia="Calibri"/>
          <w:b/>
          <w:szCs w:val="24"/>
        </w:rPr>
        <w:t xml:space="preserve">ynamics </w:t>
      </w:r>
      <w:r w:rsidR="00136727">
        <w:rPr>
          <w:rFonts w:eastAsia="Calibri"/>
          <w:b/>
          <w:szCs w:val="24"/>
        </w:rPr>
        <w:t>a</w:t>
      </w:r>
      <w:r>
        <w:rPr>
          <w:rFonts w:eastAsia="Calibri"/>
          <w:b/>
          <w:szCs w:val="24"/>
        </w:rPr>
        <w:t>pproach</w:t>
      </w:r>
    </w:p>
    <w:p w:rsidR="00CC06AA" w:rsidRDefault="00A2427F" w:rsidP="00A2427F">
      <w:pPr>
        <w:suppressAutoHyphens/>
        <w:autoSpaceDN w:val="0"/>
        <w:spacing w:after="0" w:line="480" w:lineRule="auto"/>
      </w:pPr>
      <w:r>
        <w:rPr>
          <w:szCs w:val="24"/>
        </w:rPr>
        <w:t>The dynamics approach is</w:t>
      </w:r>
      <w:r w:rsidR="00CC06AA" w:rsidRPr="00ED19F4">
        <w:rPr>
          <w:szCs w:val="24"/>
        </w:rPr>
        <w:t xml:space="preserve"> </w:t>
      </w:r>
      <w:r w:rsidR="0070783C">
        <w:rPr>
          <w:szCs w:val="24"/>
        </w:rPr>
        <w:t xml:space="preserve">concerned with ‘enduring’ relationships, </w:t>
      </w:r>
      <w:r w:rsidR="00CC06AA" w:rsidRPr="00ED19F4">
        <w:rPr>
          <w:szCs w:val="24"/>
        </w:rPr>
        <w:t xml:space="preserve">not </w:t>
      </w:r>
      <w:r w:rsidR="0070783C">
        <w:rPr>
          <w:szCs w:val="24"/>
        </w:rPr>
        <w:t>those</w:t>
      </w:r>
      <w:r w:rsidR="00CC06AA" w:rsidRPr="00ED19F4">
        <w:rPr>
          <w:szCs w:val="24"/>
        </w:rPr>
        <w:t xml:space="preserve"> </w:t>
      </w:r>
      <w:r w:rsidR="0070783C">
        <w:rPr>
          <w:szCs w:val="24"/>
        </w:rPr>
        <w:t xml:space="preserve">with </w:t>
      </w:r>
      <w:r w:rsidR="00CC06AA" w:rsidRPr="00ED19F4">
        <w:rPr>
          <w:szCs w:val="24"/>
        </w:rPr>
        <w:t>a limited shelf life, such as between the seller and buyer of a</w:t>
      </w:r>
      <w:r w:rsidR="0070783C">
        <w:rPr>
          <w:szCs w:val="24"/>
        </w:rPr>
        <w:t xml:space="preserve"> property right</w:t>
      </w:r>
      <w:r w:rsidR="00CC06AA" w:rsidRPr="00ED19F4">
        <w:rPr>
          <w:szCs w:val="24"/>
        </w:rPr>
        <w:t xml:space="preserve"> </w:t>
      </w:r>
      <w:r w:rsidR="00AA3DB7">
        <w:rPr>
          <w:szCs w:val="24"/>
        </w:rPr>
        <w:t>which is</w:t>
      </w:r>
      <w:r w:rsidR="00B47329">
        <w:rPr>
          <w:szCs w:val="24"/>
        </w:rPr>
        <w:t>:</w:t>
      </w:r>
      <w:r w:rsidR="00CC06AA" w:rsidRPr="00ED19F4">
        <w:rPr>
          <w:szCs w:val="24"/>
        </w:rPr>
        <w:t xml:space="preserve"> </w:t>
      </w:r>
      <w:r w:rsidR="0031684E" w:rsidRPr="00ED19F4">
        <w:rPr>
          <w:szCs w:val="24"/>
        </w:rPr>
        <w:t>‘… a scenario of executed obligation: the ‘deal’ has been ‘done’; priorities have crystallised. The interface has been isolated, short-term, private, bilateral, and impersonal.’</w:t>
      </w:r>
      <w:r w:rsidR="0031684E" w:rsidRPr="00ED19F4">
        <w:rPr>
          <w:szCs w:val="24"/>
          <w:vertAlign w:val="superscript"/>
        </w:rPr>
        <w:footnoteReference w:id="8"/>
      </w:r>
      <w:r w:rsidR="0031684E" w:rsidRPr="00ED19F4">
        <w:rPr>
          <w:szCs w:val="24"/>
        </w:rPr>
        <w:t xml:space="preserve"> </w:t>
      </w:r>
      <w:r w:rsidR="0031684E">
        <w:t>T</w:t>
      </w:r>
      <w:r w:rsidR="00CC06AA" w:rsidRPr="00370268">
        <w:t xml:space="preserve">he term ‘enduring’ is </w:t>
      </w:r>
      <w:r w:rsidR="0031684E">
        <w:t xml:space="preserve">intended, instead, </w:t>
      </w:r>
      <w:r w:rsidR="00CC06AA" w:rsidRPr="00370268">
        <w:t xml:space="preserve">to </w:t>
      </w:r>
      <w:r w:rsidR="00CC06AA">
        <w:t>convey</w:t>
      </w:r>
      <w:r w:rsidR="00CC06AA" w:rsidRPr="00370268">
        <w:t xml:space="preserve"> a sense of long-lasting or on-going relationships in property</w:t>
      </w:r>
      <w:r w:rsidR="005F23CC">
        <w:t xml:space="preserve"> and</w:t>
      </w:r>
      <w:r w:rsidR="00CC06AA" w:rsidRPr="00370268">
        <w:rPr>
          <w:lang w:val="en-US"/>
        </w:rPr>
        <w:t xml:space="preserve"> the dynamics approach enables us to pay particular attention to the role</w:t>
      </w:r>
      <w:r w:rsidR="00CC06AA" w:rsidRPr="00370268">
        <w:t xml:space="preserve"> of time in property law. The continuing nature of the relationship is an important feature</w:t>
      </w:r>
      <w:r w:rsidR="0031684E">
        <w:t xml:space="preserve">, </w:t>
      </w:r>
      <w:r w:rsidR="00CC06AA" w:rsidRPr="00370268">
        <w:t>affect</w:t>
      </w:r>
      <w:r w:rsidR="0031684E">
        <w:t>ing</w:t>
      </w:r>
      <w:r w:rsidR="00CC06AA" w:rsidRPr="00370268">
        <w:t xml:space="preserve"> the way in which the governing norms are articulated at the outset, and </w:t>
      </w:r>
      <w:r w:rsidR="0031684E">
        <w:t>accommodating the possibility</w:t>
      </w:r>
      <w:r w:rsidR="0031684E" w:rsidRPr="00370268">
        <w:t xml:space="preserve"> </w:t>
      </w:r>
      <w:r w:rsidR="00CC06AA" w:rsidRPr="00370268">
        <w:t>that the</w:t>
      </w:r>
      <w:r w:rsidR="00CC06AA">
        <w:t>se</w:t>
      </w:r>
      <w:r w:rsidR="00CC06AA" w:rsidRPr="00370268">
        <w:t xml:space="preserve"> may need to evolve and </w:t>
      </w:r>
      <w:r w:rsidR="00CC06AA">
        <w:t xml:space="preserve">be </w:t>
      </w:r>
      <w:r w:rsidR="00CC06AA" w:rsidRPr="00370268">
        <w:t>adjust</w:t>
      </w:r>
      <w:r w:rsidR="00CC06AA">
        <w:t>ed</w:t>
      </w:r>
      <w:r w:rsidR="00CC06AA" w:rsidRPr="00370268">
        <w:t xml:space="preserve"> over time to reflect any change in the relationships</w:t>
      </w:r>
      <w:r w:rsidR="00CC06AA">
        <w:t xml:space="preserve"> between rights-holders in </w:t>
      </w:r>
      <w:r w:rsidR="0070783C">
        <w:t>that</w:t>
      </w:r>
      <w:r w:rsidR="00CC06AA">
        <w:t xml:space="preserve"> land and </w:t>
      </w:r>
      <w:r w:rsidR="00CC06AA" w:rsidRPr="00CC06AA">
        <w:t>thus the dynamics of the relationship.</w:t>
      </w:r>
      <w:r w:rsidR="00CC06AA" w:rsidRPr="00464E15">
        <w:rPr>
          <w:color w:val="00B0F0"/>
        </w:rPr>
        <w:t xml:space="preserve"> </w:t>
      </w:r>
      <w:r w:rsidR="00B72398">
        <w:rPr>
          <w:rFonts w:eastAsia="Calibri"/>
          <w:szCs w:val="24"/>
        </w:rPr>
        <w:t>R</w:t>
      </w:r>
      <w:r>
        <w:rPr>
          <w:rFonts w:eastAsia="Calibri"/>
          <w:szCs w:val="24"/>
        </w:rPr>
        <w:t xml:space="preserve">ecognition of </w:t>
      </w:r>
      <w:r w:rsidRPr="00ED19F4">
        <w:rPr>
          <w:rFonts w:eastAsia="Calibri"/>
          <w:szCs w:val="24"/>
        </w:rPr>
        <w:t>the impact of the passage of time on property relationships</w:t>
      </w:r>
      <w:r>
        <w:rPr>
          <w:rFonts w:eastAsia="Calibri"/>
          <w:szCs w:val="24"/>
        </w:rPr>
        <w:t xml:space="preserve"> </w:t>
      </w:r>
      <w:r w:rsidRPr="00ED19F4">
        <w:rPr>
          <w:rFonts w:eastAsia="Calibri"/>
          <w:szCs w:val="24"/>
        </w:rPr>
        <w:t xml:space="preserve">responds to recent calls for a </w:t>
      </w:r>
      <w:r>
        <w:rPr>
          <w:rFonts w:eastAsia="Calibri"/>
          <w:szCs w:val="24"/>
        </w:rPr>
        <w:t>‘</w:t>
      </w:r>
      <w:r w:rsidRPr="00ED19F4">
        <w:rPr>
          <w:rFonts w:eastAsia="Calibri"/>
          <w:szCs w:val="24"/>
        </w:rPr>
        <w:t>temporal turn</w:t>
      </w:r>
      <w:r>
        <w:rPr>
          <w:rFonts w:eastAsia="Calibri"/>
          <w:szCs w:val="24"/>
        </w:rPr>
        <w:t>’</w:t>
      </w:r>
      <w:r w:rsidRPr="00ED19F4">
        <w:rPr>
          <w:rFonts w:eastAsia="Calibri"/>
          <w:szCs w:val="24"/>
        </w:rPr>
        <w:t xml:space="preserve"> in property law analysis, giving attention to issues of time as well as space in considering the foundations of property.</w:t>
      </w:r>
      <w:r w:rsidRPr="00ED19F4">
        <w:rPr>
          <w:rFonts w:eastAsia="Calibri"/>
          <w:szCs w:val="24"/>
          <w:vertAlign w:val="superscript"/>
        </w:rPr>
        <w:footnoteReference w:id="9"/>
      </w:r>
      <w:r w:rsidRPr="00ED19F4">
        <w:rPr>
          <w:rFonts w:eastAsia="Calibri"/>
          <w:szCs w:val="24"/>
        </w:rPr>
        <w:t xml:space="preserve">  </w:t>
      </w:r>
      <w:r w:rsidR="0086358B" w:rsidRPr="00370268">
        <w:t xml:space="preserve">Woven within </w:t>
      </w:r>
      <w:r w:rsidRPr="00370268">
        <w:t>th</w:t>
      </w:r>
      <w:r>
        <w:t>e</w:t>
      </w:r>
      <w:r w:rsidRPr="00370268">
        <w:t xml:space="preserve"> </w:t>
      </w:r>
      <w:r w:rsidR="0086358B" w:rsidRPr="00370268">
        <w:t>idea of ‘enduring’</w:t>
      </w:r>
      <w:r w:rsidR="0086358B">
        <w:t>, therefore,</w:t>
      </w:r>
      <w:r w:rsidR="0086358B" w:rsidRPr="00370268">
        <w:t xml:space="preserve"> is recognition that as the relationship is sustained through time there may be a degree of ‘give and take’ to accommodate changes in the use of land, in the identity of the rights holders, </w:t>
      </w:r>
      <w:r w:rsidR="0086358B">
        <w:t xml:space="preserve">in </w:t>
      </w:r>
      <w:r w:rsidR="0086358B" w:rsidRPr="00370268">
        <w:t>external regulatory and economic forces, as well as the parties’ preferences for rigidity or flux.</w:t>
      </w:r>
    </w:p>
    <w:p w:rsidR="00B72398" w:rsidRPr="00A2427F" w:rsidRDefault="00B72398" w:rsidP="00A2427F">
      <w:pPr>
        <w:suppressAutoHyphens/>
        <w:autoSpaceDN w:val="0"/>
        <w:spacing w:after="0" w:line="480" w:lineRule="auto"/>
        <w:rPr>
          <w:rFonts w:eastAsia="Calibri"/>
          <w:szCs w:val="24"/>
        </w:rPr>
      </w:pPr>
    </w:p>
    <w:p w:rsidR="00546FD2" w:rsidRDefault="00073DA4" w:rsidP="004B0053">
      <w:pPr>
        <w:spacing w:line="480" w:lineRule="auto"/>
        <w:rPr>
          <w:rFonts w:eastAsia="Calibri"/>
          <w:szCs w:val="24"/>
        </w:rPr>
      </w:pPr>
      <w:r w:rsidRPr="00ED19F4">
        <w:rPr>
          <w:rFonts w:eastAsia="Calibri"/>
          <w:szCs w:val="24"/>
        </w:rPr>
        <w:t xml:space="preserve">The multi-dimensional perspective on property relationships </w:t>
      </w:r>
      <w:r w:rsidR="00A2427F">
        <w:rPr>
          <w:rFonts w:eastAsia="Calibri"/>
          <w:szCs w:val="24"/>
        </w:rPr>
        <w:t>looks</w:t>
      </w:r>
      <w:r w:rsidRPr="00ED19F4">
        <w:rPr>
          <w:rFonts w:eastAsia="Calibri"/>
          <w:szCs w:val="24"/>
        </w:rPr>
        <w:t xml:space="preserve"> beyond the legal rules framed by written instrumen</w:t>
      </w:r>
      <w:r>
        <w:rPr>
          <w:rFonts w:eastAsia="Calibri"/>
          <w:szCs w:val="24"/>
        </w:rPr>
        <w:t xml:space="preserve">ts, common law and legislation. </w:t>
      </w:r>
      <w:r w:rsidR="001E3AA4">
        <w:rPr>
          <w:rFonts w:eastAsia="Calibri"/>
          <w:szCs w:val="24"/>
        </w:rPr>
        <w:t>L</w:t>
      </w:r>
      <w:r w:rsidR="001E3AA4" w:rsidRPr="00ED19F4">
        <w:rPr>
          <w:rFonts w:eastAsia="Calibri"/>
          <w:szCs w:val="24"/>
        </w:rPr>
        <w:t>ayered across the</w:t>
      </w:r>
      <w:r w:rsidR="00AA3DB7">
        <w:rPr>
          <w:rFonts w:eastAsia="Calibri"/>
          <w:szCs w:val="24"/>
        </w:rPr>
        <w:t>se</w:t>
      </w:r>
      <w:r w:rsidR="001E3AA4" w:rsidRPr="00ED19F4">
        <w:rPr>
          <w:rFonts w:eastAsia="Calibri"/>
          <w:szCs w:val="24"/>
        </w:rPr>
        <w:t xml:space="preserve"> doctrinal rules of contract and property law</w:t>
      </w:r>
      <w:r w:rsidR="001E3AA4">
        <w:rPr>
          <w:rFonts w:eastAsia="Calibri"/>
          <w:szCs w:val="24"/>
        </w:rPr>
        <w:t xml:space="preserve"> is a wide range of regulatory measures</w:t>
      </w:r>
      <w:r w:rsidR="00EF7781">
        <w:rPr>
          <w:rFonts w:eastAsia="Calibri"/>
          <w:szCs w:val="24"/>
        </w:rPr>
        <w:t>. I</w:t>
      </w:r>
      <w:r w:rsidR="001E3AA4" w:rsidRPr="00ED19F4">
        <w:rPr>
          <w:rFonts w:eastAsia="Calibri"/>
          <w:szCs w:val="24"/>
        </w:rPr>
        <w:t xml:space="preserve">n addition, there </w:t>
      </w:r>
      <w:r w:rsidR="00CC06AA">
        <w:rPr>
          <w:rFonts w:eastAsia="Calibri"/>
          <w:szCs w:val="24"/>
        </w:rPr>
        <w:t xml:space="preserve">may be a rich ambit of wider norms and conventions that impact and shape these property </w:t>
      </w:r>
      <w:r w:rsidR="0018798E">
        <w:rPr>
          <w:rFonts w:eastAsia="Calibri"/>
          <w:szCs w:val="24"/>
        </w:rPr>
        <w:t>relationships</w:t>
      </w:r>
      <w:r w:rsidR="001E3AA4" w:rsidRPr="00ED19F4">
        <w:rPr>
          <w:rFonts w:eastAsia="Calibri"/>
          <w:szCs w:val="24"/>
        </w:rPr>
        <w:t xml:space="preserve">. </w:t>
      </w:r>
      <w:r w:rsidR="00CC06AA">
        <w:t xml:space="preserve">As well as analysing </w:t>
      </w:r>
      <w:r w:rsidR="00CC06AA" w:rsidRPr="00370268">
        <w:rPr>
          <w:rFonts w:eastAsia="Cambria"/>
        </w:rPr>
        <w:t xml:space="preserve">the paper record or instrument that creates </w:t>
      </w:r>
      <w:r w:rsidR="00CC06AA">
        <w:rPr>
          <w:rFonts w:eastAsia="Cambria"/>
        </w:rPr>
        <w:t>a</w:t>
      </w:r>
      <w:r w:rsidR="00CC06AA" w:rsidRPr="00370268">
        <w:rPr>
          <w:rFonts w:eastAsia="Cambria"/>
        </w:rPr>
        <w:t xml:space="preserve"> </w:t>
      </w:r>
      <w:r w:rsidR="00CC06AA">
        <w:rPr>
          <w:rFonts w:eastAsia="Cambria"/>
        </w:rPr>
        <w:t xml:space="preserve">particular </w:t>
      </w:r>
      <w:r w:rsidR="00CC06AA" w:rsidRPr="00370268">
        <w:rPr>
          <w:rFonts w:eastAsia="Cambria"/>
        </w:rPr>
        <w:t xml:space="preserve">property right, </w:t>
      </w:r>
      <w:r w:rsidR="00CC06AA">
        <w:rPr>
          <w:rFonts w:eastAsia="Cambria"/>
        </w:rPr>
        <w:t xml:space="preserve">it is therefore also important to look at </w:t>
      </w:r>
      <w:r w:rsidR="00CC06AA" w:rsidRPr="00370268">
        <w:rPr>
          <w:rFonts w:eastAsia="Cambria"/>
        </w:rPr>
        <w:t>the external regulation of such relationship</w:t>
      </w:r>
      <w:r w:rsidR="00CC06AA">
        <w:rPr>
          <w:rFonts w:eastAsia="Cambria"/>
        </w:rPr>
        <w:t>s</w:t>
      </w:r>
      <w:r w:rsidR="00CC06AA" w:rsidRPr="00370268">
        <w:rPr>
          <w:rFonts w:eastAsia="Cambria"/>
        </w:rPr>
        <w:t xml:space="preserve">, the available methods of dispute avoidance and resolution, and to examine the </w:t>
      </w:r>
      <w:r w:rsidR="00CC06AA" w:rsidRPr="00370268">
        <w:rPr>
          <w:rFonts w:eastAsia="Cambria"/>
          <w:i/>
        </w:rPr>
        <w:t xml:space="preserve">de facto </w:t>
      </w:r>
      <w:r w:rsidR="00CC06AA" w:rsidRPr="00370268">
        <w:rPr>
          <w:rFonts w:eastAsia="Cambria"/>
        </w:rPr>
        <w:t xml:space="preserve">understandings or expectations between those individuals who are connected by virtue of their shared use of property. These </w:t>
      </w:r>
      <w:r w:rsidR="00CC06AA" w:rsidRPr="00B47DC0">
        <w:rPr>
          <w:rFonts w:eastAsia="Cambria"/>
          <w:i/>
        </w:rPr>
        <w:t>de facto</w:t>
      </w:r>
      <w:r w:rsidR="00CC06AA">
        <w:rPr>
          <w:rFonts w:eastAsia="Cambria"/>
        </w:rPr>
        <w:t xml:space="preserve"> </w:t>
      </w:r>
      <w:r w:rsidR="00CC06AA" w:rsidRPr="00370268">
        <w:rPr>
          <w:rFonts w:eastAsia="Cambria"/>
        </w:rPr>
        <w:t>‘self-generated norms’ may be specific to particular sites or relationships, or arise from developed practices of one or both of the parties</w:t>
      </w:r>
      <w:r w:rsidR="00CC06AA">
        <w:rPr>
          <w:rFonts w:eastAsia="Cambria"/>
        </w:rPr>
        <w:t>,</w:t>
      </w:r>
      <w:r w:rsidR="00CC06AA" w:rsidRPr="00370268">
        <w:rPr>
          <w:rFonts w:eastAsia="Cambria"/>
        </w:rPr>
        <w:t xml:space="preserve"> or within the community in which the relationship is nested</w:t>
      </w:r>
      <w:r w:rsidR="0086358B">
        <w:rPr>
          <w:rFonts w:eastAsia="Cambria"/>
        </w:rPr>
        <w:t>. They form</w:t>
      </w:r>
      <w:r w:rsidR="00CC06AA" w:rsidRPr="00370268">
        <w:rPr>
          <w:rFonts w:cs="Arial"/>
        </w:rPr>
        <w:t xml:space="preserve"> part of the dynamics framework</w:t>
      </w:r>
      <w:r w:rsidR="0086358B">
        <w:rPr>
          <w:rFonts w:cs="Arial"/>
        </w:rPr>
        <w:t xml:space="preserve">, </w:t>
      </w:r>
      <w:r w:rsidR="00CC06AA" w:rsidRPr="00370268">
        <w:rPr>
          <w:rFonts w:cs="Arial"/>
        </w:rPr>
        <w:t>reflect</w:t>
      </w:r>
      <w:r w:rsidR="0086358B">
        <w:rPr>
          <w:rFonts w:cs="Arial"/>
        </w:rPr>
        <w:t xml:space="preserve">ing </w:t>
      </w:r>
      <w:r w:rsidR="00CC06AA" w:rsidRPr="00370268">
        <w:rPr>
          <w:rFonts w:cs="Arial"/>
        </w:rPr>
        <w:t>social constructionist theories that illuminate how property constructs relationships between people, and how people construct and adjust property rules through everyday life.</w:t>
      </w:r>
      <w:r w:rsidR="00CC06AA" w:rsidRPr="00370268">
        <w:rPr>
          <w:rFonts w:cs="Arial"/>
          <w:vertAlign w:val="superscript"/>
        </w:rPr>
        <w:footnoteReference w:id="10"/>
      </w:r>
      <w:r w:rsidR="00CC06AA" w:rsidRPr="00370268">
        <w:rPr>
          <w:rFonts w:cs="Arial"/>
          <w:szCs w:val="24"/>
        </w:rPr>
        <w:t xml:space="preserve">  </w:t>
      </w:r>
      <w:r w:rsidR="00CC06AA" w:rsidRPr="00370268">
        <w:t xml:space="preserve">Collectively, these norms, conventions or social practices may have a powerful influence upon the parties’ behaviour and their relationship. </w:t>
      </w:r>
    </w:p>
    <w:p w:rsidR="00514BFA" w:rsidRDefault="009965B7" w:rsidP="00D334A1">
      <w:pPr>
        <w:suppressAutoHyphens/>
        <w:autoSpaceDN w:val="0"/>
        <w:spacing w:after="0" w:line="480" w:lineRule="auto"/>
      </w:pPr>
      <w:r w:rsidRPr="00AA3DB7">
        <w:rPr>
          <w:rFonts w:eastAsia="Calibri"/>
          <w:szCs w:val="24"/>
        </w:rPr>
        <w:t xml:space="preserve">This article’s </w:t>
      </w:r>
      <w:r w:rsidR="0060040B" w:rsidRPr="00AA3DB7">
        <w:rPr>
          <w:rFonts w:eastAsia="Calibri"/>
          <w:szCs w:val="24"/>
        </w:rPr>
        <w:t xml:space="preserve">focus </w:t>
      </w:r>
      <w:r w:rsidR="00F241C0" w:rsidRPr="00AA3DB7">
        <w:t xml:space="preserve">on </w:t>
      </w:r>
      <w:r w:rsidR="00BA5B2A" w:rsidRPr="00AA3DB7">
        <w:t xml:space="preserve">relationships in </w:t>
      </w:r>
      <w:r w:rsidR="00BA5B2A" w:rsidRPr="00AA3DB7">
        <w:rPr>
          <w:i/>
        </w:rPr>
        <w:t>land</w:t>
      </w:r>
      <w:r w:rsidR="0060040B" w:rsidRPr="00AA3DB7">
        <w:rPr>
          <w:i/>
        </w:rPr>
        <w:t xml:space="preserve"> </w:t>
      </w:r>
      <w:r w:rsidR="0060040B" w:rsidRPr="00AA3DB7">
        <w:t>reflects th</w:t>
      </w:r>
      <w:r w:rsidR="007B7425" w:rsidRPr="00AA3DB7">
        <w:t>e</w:t>
      </w:r>
      <w:r w:rsidR="0060040B" w:rsidRPr="00AA3DB7">
        <w:t xml:space="preserve"> fact that land</w:t>
      </w:r>
      <w:r w:rsidR="00BA5B2A" w:rsidRPr="00AA3DB7">
        <w:t xml:space="preserve"> </w:t>
      </w:r>
      <w:r w:rsidR="00BA5B2A" w:rsidRPr="00AA3DB7">
        <w:rPr>
          <w:rFonts w:eastAsia="Calibri"/>
          <w:szCs w:val="24"/>
        </w:rPr>
        <w:t>is a very particular type of property</w:t>
      </w:r>
      <w:r w:rsidR="00BA5B2A" w:rsidRPr="00AA3DB7">
        <w:t xml:space="preserve"> as it provides </w:t>
      </w:r>
      <w:r w:rsidR="00BA5B2A" w:rsidRPr="00AA3DB7">
        <w:rPr>
          <w:rFonts w:eastAsia="Calibri"/>
          <w:szCs w:val="24"/>
        </w:rPr>
        <w:t xml:space="preserve">the ‘physical </w:t>
      </w:r>
      <w:r w:rsidR="00B15B37" w:rsidRPr="00AA3DB7">
        <w:rPr>
          <w:rFonts w:eastAsia="Calibri"/>
          <w:szCs w:val="24"/>
        </w:rPr>
        <w:t>sub-stratum</w:t>
      </w:r>
      <w:r w:rsidR="00BA5B2A" w:rsidRPr="00AA3DB7">
        <w:rPr>
          <w:rFonts w:eastAsia="Calibri"/>
          <w:szCs w:val="24"/>
        </w:rPr>
        <w:t xml:space="preserve"> </w:t>
      </w:r>
      <w:r w:rsidR="00FC6C57" w:rsidRPr="00AA3DB7">
        <w:rPr>
          <w:rFonts w:eastAsia="Calibri"/>
          <w:szCs w:val="24"/>
        </w:rPr>
        <w:t>for</w:t>
      </w:r>
      <w:r w:rsidR="00BA5B2A" w:rsidRPr="00AA3DB7">
        <w:rPr>
          <w:rFonts w:eastAsia="Calibri"/>
          <w:szCs w:val="24"/>
        </w:rPr>
        <w:t xml:space="preserve"> all human </w:t>
      </w:r>
      <w:r w:rsidR="00FC6C57" w:rsidRPr="00AA3DB7">
        <w:rPr>
          <w:rFonts w:eastAsia="Calibri"/>
          <w:szCs w:val="24"/>
        </w:rPr>
        <w:t>activity</w:t>
      </w:r>
      <w:r w:rsidR="00BA5B2A" w:rsidRPr="00AA3DB7">
        <w:rPr>
          <w:rFonts w:eastAsia="Calibri"/>
          <w:szCs w:val="24"/>
        </w:rPr>
        <w:t>’</w:t>
      </w:r>
      <w:r w:rsidR="00716003" w:rsidRPr="00AA3DB7">
        <w:rPr>
          <w:rFonts w:eastAsia="Calibri"/>
          <w:szCs w:val="24"/>
        </w:rPr>
        <w:t xml:space="preserve"> and thus justifies particularly sensitive treatment of the property relations it encompasses</w:t>
      </w:r>
      <w:r w:rsidR="00BA5B2A" w:rsidRPr="00AA3DB7">
        <w:rPr>
          <w:rFonts w:eastAsia="Calibri"/>
          <w:szCs w:val="24"/>
        </w:rPr>
        <w:t>.</w:t>
      </w:r>
      <w:r w:rsidR="00BA5B2A" w:rsidRPr="00AA3DB7">
        <w:rPr>
          <w:rFonts w:eastAsia="Calibri"/>
          <w:szCs w:val="24"/>
          <w:vertAlign w:val="superscript"/>
        </w:rPr>
        <w:footnoteReference w:id="11"/>
      </w:r>
      <w:r w:rsidR="00BA5B2A" w:rsidRPr="00AA3DB7">
        <w:rPr>
          <w:rFonts w:eastAsia="Calibri"/>
          <w:szCs w:val="24"/>
        </w:rPr>
        <w:t xml:space="preserve"> </w:t>
      </w:r>
      <w:r w:rsidR="0070783C" w:rsidRPr="00AA3DB7">
        <w:t xml:space="preserve"> </w:t>
      </w:r>
      <w:r w:rsidR="009B3859" w:rsidRPr="00AA3DB7">
        <w:t>Indeed, a key debate within property law is the extent to which it should treat ‘the object as unique; it is this house we own and live in’.</w:t>
      </w:r>
      <w:r w:rsidR="009B3859" w:rsidRPr="00AA3DB7">
        <w:rPr>
          <w:rStyle w:val="FootnoteReference"/>
        </w:rPr>
        <w:footnoteReference w:id="12"/>
      </w:r>
      <w:r w:rsidR="009B3859" w:rsidRPr="00AA3DB7">
        <w:t xml:space="preserve">  </w:t>
      </w:r>
      <w:r w:rsidR="00F241C0" w:rsidRPr="00AA3DB7">
        <w:t>Radin’s work on property and personhood</w:t>
      </w:r>
      <w:r w:rsidR="00F241C0" w:rsidRPr="00AA3DB7">
        <w:rPr>
          <w:rStyle w:val="FootnoteReference"/>
        </w:rPr>
        <w:footnoteReference w:id="13"/>
      </w:r>
      <w:r w:rsidR="00F241C0" w:rsidRPr="00AA3DB7">
        <w:t xml:space="preserve"> </w:t>
      </w:r>
      <w:r w:rsidR="002629EF" w:rsidRPr="00AA3DB7">
        <w:t>shows</w:t>
      </w:r>
      <w:r w:rsidR="00F241C0" w:rsidRPr="00AA3DB7">
        <w:t xml:space="preserve"> that in many contexts land is strongly related to </w:t>
      </w:r>
      <w:r w:rsidR="00821FAF" w:rsidRPr="00AA3DB7">
        <w:t>identity and self-fulfilment</w:t>
      </w:r>
      <w:r w:rsidR="00B72398" w:rsidRPr="00AA3DB7">
        <w:t>,</w:t>
      </w:r>
      <w:r w:rsidR="005F1F15" w:rsidRPr="00AA3DB7">
        <w:t xml:space="preserve"> </w:t>
      </w:r>
      <w:r w:rsidR="00F241C0" w:rsidRPr="00AA3DB7">
        <w:t>giv</w:t>
      </w:r>
      <w:r w:rsidR="00B72398" w:rsidRPr="00AA3DB7">
        <w:t>ing</w:t>
      </w:r>
      <w:r w:rsidR="00F241C0" w:rsidRPr="00AA3DB7">
        <w:t xml:space="preserve"> it unique features additional to its spatial dimensions</w:t>
      </w:r>
      <w:r w:rsidR="00821FAF" w:rsidRPr="00AA3DB7">
        <w:t>. This</w:t>
      </w:r>
      <w:r w:rsidR="00F241C0" w:rsidRPr="00AA3DB7">
        <w:t xml:space="preserve"> </w:t>
      </w:r>
      <w:r w:rsidR="00716003" w:rsidRPr="00AA3DB7">
        <w:t xml:space="preserve">helps to </w:t>
      </w:r>
      <w:r w:rsidR="0070783C" w:rsidRPr="00AA3DB7">
        <w:t xml:space="preserve">explain why </w:t>
      </w:r>
      <w:r w:rsidR="00F241C0" w:rsidRPr="00AA3DB7">
        <w:t>property rights-holder</w:t>
      </w:r>
      <w:r w:rsidR="00B47DC0" w:rsidRPr="00AA3DB7">
        <w:t>s</w:t>
      </w:r>
      <w:r w:rsidR="00F241C0" w:rsidRPr="00AA3DB7">
        <w:t xml:space="preserve"> </w:t>
      </w:r>
      <w:r w:rsidR="0070783C" w:rsidRPr="00AA3DB7">
        <w:t xml:space="preserve">often have a strong desire </w:t>
      </w:r>
      <w:r w:rsidR="00F241C0" w:rsidRPr="00AA3DB7">
        <w:t>for the endurance and sustenance of their relationship with a particular piece of land</w:t>
      </w:r>
      <w:r w:rsidR="0070783C" w:rsidRPr="00AA3DB7">
        <w:t xml:space="preserve">, thus </w:t>
      </w:r>
      <w:r w:rsidR="00716003" w:rsidRPr="00AA3DB7">
        <w:t xml:space="preserve">intensifying </w:t>
      </w:r>
      <w:r w:rsidR="0070783C" w:rsidRPr="00AA3DB7">
        <w:t>t</w:t>
      </w:r>
      <w:r w:rsidR="00821FAF" w:rsidRPr="00AA3DB7">
        <w:rPr>
          <w:rFonts w:eastAsia="Calibri"/>
          <w:szCs w:val="24"/>
        </w:rPr>
        <w:t xml:space="preserve">he risk and consequences of exiting from property relations in land. </w:t>
      </w:r>
      <w:r w:rsidR="004B0053" w:rsidRPr="00AA3DB7">
        <w:rPr>
          <w:szCs w:val="24"/>
        </w:rPr>
        <w:t>Writing extra-judicially, Mr Justice Norris recognises the origins of property law in the ‘</w:t>
      </w:r>
      <w:r w:rsidR="004B0053" w:rsidRPr="00AA3DB7">
        <w:rPr>
          <w:rFonts w:eastAsia="Calibri"/>
          <w:szCs w:val="24"/>
        </w:rPr>
        <w:t>intense distillation of the relationships of humans to particular places’ and notes that an ‘emotional engagement with the particular place is … part of the landscape in which real property law has to operate’.</w:t>
      </w:r>
      <w:r w:rsidR="004B0053" w:rsidRPr="00AA3DB7">
        <w:rPr>
          <w:rStyle w:val="FootnoteReference"/>
          <w:rFonts w:eastAsia="Calibri"/>
          <w:szCs w:val="24"/>
        </w:rPr>
        <w:footnoteReference w:id="14"/>
      </w:r>
      <w:r w:rsidR="004B0053" w:rsidRPr="00AA3DB7">
        <w:rPr>
          <w:rFonts w:eastAsia="Calibri"/>
          <w:szCs w:val="24"/>
        </w:rPr>
        <w:t xml:space="preserve"> </w:t>
      </w:r>
      <w:r w:rsidR="009B3859" w:rsidRPr="00AA3DB7">
        <w:rPr>
          <w:rFonts w:eastAsia="Calibri"/>
          <w:szCs w:val="24"/>
        </w:rPr>
        <w:t xml:space="preserve"> This is reflected in </w:t>
      </w:r>
      <w:r w:rsidR="009B3859" w:rsidRPr="00AA3DB7">
        <w:t>English law which has for centuries allowed ‘real actions’ for the recovery of land</w:t>
      </w:r>
      <w:r w:rsidR="00C102DB" w:rsidRPr="00C102DB">
        <w:t xml:space="preserve"> </w:t>
      </w:r>
      <w:r w:rsidR="00C102DB" w:rsidRPr="00AA3DB7">
        <w:t>in recognition of ‘the especial th</w:t>
      </w:r>
      <w:r w:rsidR="00C102DB">
        <w:t>ing-relatedness of such assets’,</w:t>
      </w:r>
      <w:r w:rsidR="00C102DB" w:rsidRPr="00AA3DB7">
        <w:rPr>
          <w:rStyle w:val="FootnoteReference"/>
        </w:rPr>
        <w:footnoteReference w:id="15"/>
      </w:r>
      <w:r w:rsidR="009B3859" w:rsidRPr="00AA3DB7">
        <w:t xml:space="preserve"> rather than </w:t>
      </w:r>
      <w:r w:rsidR="00AA3DB7">
        <w:t xml:space="preserve">confining </w:t>
      </w:r>
      <w:r w:rsidR="009B3859" w:rsidRPr="00AA3DB7">
        <w:t>claimants to personal remedies in money</w:t>
      </w:r>
      <w:r w:rsidR="00C102DB">
        <w:t>.</w:t>
      </w:r>
      <w:r w:rsidR="009B3859" w:rsidRPr="00AA3DB7">
        <w:t xml:space="preserve"> </w:t>
      </w:r>
    </w:p>
    <w:p w:rsidR="009B3859" w:rsidRDefault="009B3859" w:rsidP="00D334A1">
      <w:pPr>
        <w:suppressAutoHyphens/>
        <w:autoSpaceDN w:val="0"/>
        <w:spacing w:after="0" w:line="480" w:lineRule="auto"/>
        <w:rPr>
          <w:rFonts w:eastAsia="Calibri"/>
          <w:szCs w:val="24"/>
        </w:rPr>
      </w:pPr>
    </w:p>
    <w:p w:rsidR="00E90A8B" w:rsidRPr="00787409" w:rsidRDefault="00D334A1" w:rsidP="00D334A1">
      <w:pPr>
        <w:suppressAutoHyphens/>
        <w:autoSpaceDN w:val="0"/>
        <w:spacing w:after="0" w:line="480" w:lineRule="auto"/>
        <w:rPr>
          <w:rFonts w:eastAsia="Calibri"/>
          <w:szCs w:val="24"/>
        </w:rPr>
      </w:pPr>
      <w:r>
        <w:rPr>
          <w:rFonts w:eastAsia="Calibri"/>
          <w:szCs w:val="24"/>
        </w:rPr>
        <w:t xml:space="preserve">If the land in question is a home, the psychological attachment </w:t>
      </w:r>
      <w:r w:rsidR="005F1F15">
        <w:rPr>
          <w:rFonts w:eastAsia="Calibri"/>
          <w:szCs w:val="24"/>
        </w:rPr>
        <w:t xml:space="preserve">may be especially strong, as </w:t>
      </w:r>
      <w:r w:rsidR="00B72398">
        <w:rPr>
          <w:rFonts w:eastAsia="Calibri"/>
          <w:szCs w:val="24"/>
        </w:rPr>
        <w:t xml:space="preserve">acknowledged through the jurisprudence on </w:t>
      </w:r>
      <w:r>
        <w:rPr>
          <w:rFonts w:eastAsia="Calibri"/>
          <w:szCs w:val="24"/>
        </w:rPr>
        <w:t>Article 8 of the European Convention on Human Right and Fundamental Freedoms (ECHR).</w:t>
      </w:r>
      <w:r>
        <w:rPr>
          <w:rStyle w:val="FootnoteReference"/>
          <w:rFonts w:eastAsia="Calibri"/>
          <w:szCs w:val="24"/>
        </w:rPr>
        <w:footnoteReference w:id="16"/>
      </w:r>
      <w:r>
        <w:rPr>
          <w:rFonts w:eastAsia="Calibri"/>
          <w:szCs w:val="24"/>
        </w:rPr>
        <w:t xml:space="preserve">  </w:t>
      </w:r>
      <w:r w:rsidR="00F241C0">
        <w:rPr>
          <w:rFonts w:eastAsia="Calibri"/>
          <w:szCs w:val="24"/>
        </w:rPr>
        <w:t>Fox identif</w:t>
      </w:r>
      <w:r>
        <w:rPr>
          <w:rFonts w:eastAsia="Calibri"/>
          <w:szCs w:val="24"/>
        </w:rPr>
        <w:t>ie</w:t>
      </w:r>
      <w:r w:rsidR="005F1F15">
        <w:rPr>
          <w:rFonts w:eastAsia="Calibri"/>
          <w:szCs w:val="24"/>
        </w:rPr>
        <w:t>s</w:t>
      </w:r>
      <w:r w:rsidR="00514BFA">
        <w:rPr>
          <w:rFonts w:eastAsia="Calibri"/>
          <w:szCs w:val="24"/>
        </w:rPr>
        <w:t xml:space="preserve"> </w:t>
      </w:r>
      <w:r>
        <w:rPr>
          <w:rFonts w:eastAsia="Calibri"/>
          <w:szCs w:val="24"/>
        </w:rPr>
        <w:t>the</w:t>
      </w:r>
      <w:r w:rsidR="00F241C0">
        <w:rPr>
          <w:rFonts w:eastAsia="Calibri"/>
          <w:szCs w:val="24"/>
        </w:rPr>
        <w:t xml:space="preserve"> ‘X-factor values’ of home as identity, territory and as a reflection of social and cultural values</w:t>
      </w:r>
      <w:r w:rsidR="000C0718">
        <w:rPr>
          <w:rFonts w:eastAsia="Calibri"/>
          <w:szCs w:val="24"/>
        </w:rPr>
        <w:t>.</w:t>
      </w:r>
      <w:r w:rsidR="00F241C0">
        <w:rPr>
          <w:rStyle w:val="FootnoteReference"/>
          <w:rFonts w:eastAsia="Calibri"/>
          <w:szCs w:val="24"/>
        </w:rPr>
        <w:footnoteReference w:id="17"/>
      </w:r>
      <w:r w:rsidR="00F241C0">
        <w:rPr>
          <w:rFonts w:eastAsia="Calibri"/>
          <w:szCs w:val="24"/>
        </w:rPr>
        <w:t xml:space="preserve"> </w:t>
      </w:r>
      <w:r w:rsidR="000C0718">
        <w:rPr>
          <w:rFonts w:eastAsia="Calibri"/>
          <w:szCs w:val="24"/>
        </w:rPr>
        <w:t>T</w:t>
      </w:r>
      <w:r w:rsidR="00157CD9" w:rsidRPr="00CA772F">
        <w:rPr>
          <w:rFonts w:eastAsia="Calibri"/>
          <w:szCs w:val="24"/>
        </w:rPr>
        <w:t xml:space="preserve">he differences between the use value of property lived in as a home, and its exchange value as a commodity, </w:t>
      </w:r>
      <w:r w:rsidR="00B72398">
        <w:rPr>
          <w:rFonts w:eastAsia="Calibri"/>
          <w:szCs w:val="24"/>
        </w:rPr>
        <w:t xml:space="preserve">can play into judicial decision-making. </w:t>
      </w:r>
      <w:r w:rsidR="000C0718">
        <w:rPr>
          <w:rFonts w:eastAsia="Calibri"/>
          <w:szCs w:val="24"/>
        </w:rPr>
        <w:t xml:space="preserve"> </w:t>
      </w:r>
      <w:r w:rsidR="00B72398">
        <w:rPr>
          <w:rFonts w:eastAsia="Calibri"/>
          <w:szCs w:val="24"/>
        </w:rPr>
        <w:t xml:space="preserve">So, for example, in a recent decision reference was made to the fact that </w:t>
      </w:r>
      <w:r w:rsidR="00157CD9" w:rsidRPr="00CA772F">
        <w:rPr>
          <w:rFonts w:eastAsia="Calibri"/>
          <w:szCs w:val="24"/>
        </w:rPr>
        <w:t>‘</w:t>
      </w:r>
      <w:r w:rsidR="00157CD9" w:rsidRPr="00CA772F">
        <w:rPr>
          <w:szCs w:val="24"/>
        </w:rPr>
        <w:t>a non-resident owner of multiple flats would not have the same direct interest in the affairs of the [resident management] company as a resident owner of a single flat’.</w:t>
      </w:r>
      <w:r w:rsidR="002C72B0" w:rsidRPr="00CA772F">
        <w:rPr>
          <w:rStyle w:val="FootnoteReference"/>
          <w:szCs w:val="24"/>
        </w:rPr>
        <w:footnoteReference w:id="18"/>
      </w:r>
      <w:r w:rsidR="002C72B0" w:rsidRPr="00CA772F">
        <w:rPr>
          <w:szCs w:val="24"/>
        </w:rPr>
        <w:t xml:space="preserve"> </w:t>
      </w:r>
      <w:r w:rsidR="00157CD9" w:rsidRPr="00CA772F">
        <w:rPr>
          <w:szCs w:val="24"/>
        </w:rPr>
        <w:t xml:space="preserve"> </w:t>
      </w:r>
    </w:p>
    <w:p w:rsidR="00E90A8B" w:rsidRPr="00787409" w:rsidRDefault="00E90A8B" w:rsidP="00546FD2">
      <w:pPr>
        <w:suppressAutoHyphens/>
        <w:autoSpaceDN w:val="0"/>
        <w:spacing w:after="0" w:line="480" w:lineRule="auto"/>
        <w:rPr>
          <w:rFonts w:eastAsia="Calibri"/>
          <w:szCs w:val="24"/>
        </w:rPr>
      </w:pPr>
    </w:p>
    <w:p w:rsidR="001E3AA4" w:rsidRPr="00C102DB" w:rsidRDefault="00BA5B2A" w:rsidP="00C102DB">
      <w:pPr>
        <w:spacing w:line="480" w:lineRule="auto"/>
        <w:rPr>
          <w:lang w:val="en-US"/>
        </w:rPr>
      </w:pPr>
      <w:r>
        <w:rPr>
          <w:lang w:val="en-US"/>
        </w:rPr>
        <w:t xml:space="preserve">The spatial dimension of land also means </w:t>
      </w:r>
      <w:r w:rsidR="0060040B">
        <w:rPr>
          <w:lang w:val="en-US"/>
        </w:rPr>
        <w:t xml:space="preserve">that </w:t>
      </w:r>
      <w:r>
        <w:rPr>
          <w:lang w:val="en-US"/>
        </w:rPr>
        <w:t xml:space="preserve">property relationships may require flexibility and endurance </w:t>
      </w:r>
      <w:r w:rsidR="00155A9F">
        <w:rPr>
          <w:lang w:val="en-US"/>
        </w:rPr>
        <w:t>to accommodate the lived use of land.</w:t>
      </w:r>
      <w:r>
        <w:rPr>
          <w:lang w:val="en-US"/>
        </w:rPr>
        <w:t xml:space="preserve"> </w:t>
      </w:r>
      <w:r w:rsidR="00F241C0">
        <w:rPr>
          <w:lang w:val="en-US"/>
        </w:rPr>
        <w:t xml:space="preserve">Where there is a dispute over shared space, for instance in the enjoyment of individual rights to use </w:t>
      </w:r>
      <w:r w:rsidR="00B47DC0">
        <w:rPr>
          <w:lang w:val="en-US"/>
        </w:rPr>
        <w:t>common</w:t>
      </w:r>
      <w:r w:rsidR="00F241C0">
        <w:rPr>
          <w:lang w:val="en-US"/>
        </w:rPr>
        <w:t xml:space="preserve"> facilities, it may be necessary to resolve not only the disputed property relationship but also the personal relationship between the parties. If the personal relationship cannot be maintained the property relationship may also</w:t>
      </w:r>
      <w:r w:rsidR="00716003">
        <w:rPr>
          <w:lang w:val="en-US"/>
        </w:rPr>
        <w:t xml:space="preserve"> </w:t>
      </w:r>
      <w:r w:rsidR="00716003" w:rsidRPr="00C102DB">
        <w:rPr>
          <w:lang w:val="en-US"/>
        </w:rPr>
        <w:t>falter</w:t>
      </w:r>
      <w:r w:rsidR="00F241C0" w:rsidRPr="00C102DB">
        <w:rPr>
          <w:lang w:val="en-US"/>
        </w:rPr>
        <w:t>.</w:t>
      </w:r>
      <w:r w:rsidR="00F241C0">
        <w:rPr>
          <w:lang w:val="en-US"/>
        </w:rPr>
        <w:t xml:space="preserve"> </w:t>
      </w:r>
      <w:r w:rsidR="00155A9F">
        <w:rPr>
          <w:lang w:val="en-US"/>
        </w:rPr>
        <w:t xml:space="preserve"> </w:t>
      </w:r>
      <w:r w:rsidR="00F241C0" w:rsidRPr="00D65181">
        <w:rPr>
          <w:lang w:val="en-US"/>
        </w:rPr>
        <w:t xml:space="preserve">Legal geography theorists emphasise </w:t>
      </w:r>
      <w:r w:rsidR="00F241C0">
        <w:rPr>
          <w:lang w:val="en-US"/>
        </w:rPr>
        <w:t>that</w:t>
      </w:r>
      <w:r w:rsidR="000A11DD">
        <w:rPr>
          <w:lang w:val="en-US"/>
        </w:rPr>
        <w:t xml:space="preserve"> </w:t>
      </w:r>
      <w:r w:rsidR="00F241C0" w:rsidRPr="007B054C">
        <w:t>‘spaces matter. They are constituted and constitutive of social life, practice and experience, and shot through with power and possibility’.</w:t>
      </w:r>
      <w:r w:rsidR="00F241C0" w:rsidRPr="007B054C">
        <w:rPr>
          <w:rStyle w:val="FootnoteReference"/>
        </w:rPr>
        <w:footnoteReference w:id="19"/>
      </w:r>
      <w:r w:rsidR="00F241C0" w:rsidRPr="007B054C">
        <w:t xml:space="preserve"> </w:t>
      </w:r>
      <w:r w:rsidR="00F241C0">
        <w:t xml:space="preserve"> This understanding </w:t>
      </w:r>
      <w:r w:rsidR="007B7425">
        <w:t xml:space="preserve">highlights </w:t>
      </w:r>
      <w:r w:rsidR="00F241C0">
        <w:t>the impossibility of separating a place, the law that governs and applies to</w:t>
      </w:r>
      <w:r w:rsidR="00155A9F">
        <w:t xml:space="preserve"> it</w:t>
      </w:r>
      <w:r w:rsidR="00F241C0">
        <w:t xml:space="preserve">, and the parties who use it and hold property rights in it: </w:t>
      </w:r>
      <w:r w:rsidR="00F241C0" w:rsidRPr="00370268">
        <w:rPr>
          <w:lang w:val="en-US"/>
        </w:rPr>
        <w:t>‘aspects of the social that are analytically identified as either legal or spatial are conjoined and co-constituted’</w:t>
      </w:r>
      <w:r w:rsidR="00B47DC0">
        <w:rPr>
          <w:lang w:val="en-US"/>
        </w:rPr>
        <w:t>.</w:t>
      </w:r>
      <w:r w:rsidR="00F241C0" w:rsidRPr="00370268">
        <w:rPr>
          <w:rFonts w:eastAsia="Times New Roman"/>
          <w:vertAlign w:val="superscript"/>
        </w:rPr>
        <w:footnoteReference w:id="20"/>
      </w:r>
      <w:r w:rsidR="00F241C0">
        <w:rPr>
          <w:lang w:val="en-US"/>
        </w:rPr>
        <w:t xml:space="preserve">  </w:t>
      </w:r>
    </w:p>
    <w:p w:rsidR="000D029D" w:rsidRPr="00ED19F4" w:rsidRDefault="001E3AA4" w:rsidP="00546FD2">
      <w:pPr>
        <w:suppressAutoHyphens/>
        <w:autoSpaceDN w:val="0"/>
        <w:spacing w:after="0" w:line="480" w:lineRule="auto"/>
        <w:rPr>
          <w:rFonts w:eastAsia="Calibri"/>
          <w:szCs w:val="24"/>
        </w:rPr>
      </w:pPr>
      <w:r w:rsidRPr="00ED19F4">
        <w:rPr>
          <w:rFonts w:eastAsia="Calibri"/>
          <w:szCs w:val="24"/>
        </w:rPr>
        <w:t xml:space="preserve">A focus on time and the dynamics of property relations requires consideration of </w:t>
      </w:r>
      <w:r w:rsidR="00E020F6">
        <w:rPr>
          <w:rFonts w:eastAsia="Calibri"/>
          <w:szCs w:val="24"/>
        </w:rPr>
        <w:t xml:space="preserve">how </w:t>
      </w:r>
      <w:r w:rsidRPr="00ED19F4">
        <w:rPr>
          <w:rFonts w:eastAsia="Calibri"/>
          <w:szCs w:val="24"/>
        </w:rPr>
        <w:t xml:space="preserve">the </w:t>
      </w:r>
      <w:r w:rsidR="000D029D" w:rsidRPr="00ED19F4">
        <w:rPr>
          <w:rFonts w:eastAsia="Calibri"/>
          <w:szCs w:val="24"/>
        </w:rPr>
        <w:t>different sources</w:t>
      </w:r>
      <w:r w:rsidR="00B84B05">
        <w:rPr>
          <w:rFonts w:eastAsia="Calibri"/>
          <w:szCs w:val="24"/>
        </w:rPr>
        <w:t xml:space="preserve"> </w:t>
      </w:r>
      <w:r w:rsidR="00E020F6">
        <w:rPr>
          <w:rFonts w:eastAsia="Calibri"/>
          <w:szCs w:val="24"/>
        </w:rPr>
        <w:t xml:space="preserve">(conventional legal rules, regulatory principles, self-generated norms etc) </w:t>
      </w:r>
      <w:r w:rsidR="000D029D" w:rsidRPr="00ED19F4">
        <w:rPr>
          <w:rFonts w:eastAsia="Calibri"/>
          <w:szCs w:val="24"/>
        </w:rPr>
        <w:t xml:space="preserve">are likely to come to the fore at </w:t>
      </w:r>
      <w:r w:rsidR="00B84B05">
        <w:rPr>
          <w:rFonts w:eastAsia="Calibri"/>
          <w:szCs w:val="24"/>
        </w:rPr>
        <w:t xml:space="preserve">various </w:t>
      </w:r>
      <w:r w:rsidR="000D029D" w:rsidRPr="00ED19F4">
        <w:rPr>
          <w:rFonts w:eastAsia="Calibri"/>
          <w:szCs w:val="24"/>
        </w:rPr>
        <w:t xml:space="preserve">points in a given property relationship. </w:t>
      </w:r>
      <w:r w:rsidR="00233BCB">
        <w:rPr>
          <w:rFonts w:eastAsia="Calibri"/>
          <w:szCs w:val="24"/>
        </w:rPr>
        <w:t>O</w:t>
      </w:r>
      <w:r w:rsidR="00233BCB" w:rsidRPr="00ED19F4">
        <w:rPr>
          <w:rFonts w:eastAsia="Calibri"/>
          <w:szCs w:val="24"/>
        </w:rPr>
        <w:t>ur analytical framework helps to identify</w:t>
      </w:r>
      <w:r w:rsidR="00E020F6">
        <w:rPr>
          <w:rFonts w:eastAsia="Calibri"/>
          <w:szCs w:val="24"/>
        </w:rPr>
        <w:t xml:space="preserve"> that</w:t>
      </w:r>
      <w:r w:rsidR="00233BCB" w:rsidRPr="00ED19F4">
        <w:rPr>
          <w:rFonts w:eastAsia="Calibri"/>
          <w:szCs w:val="24"/>
        </w:rPr>
        <w:t xml:space="preserve"> the</w:t>
      </w:r>
      <w:r w:rsidR="00513902">
        <w:rPr>
          <w:rFonts w:eastAsia="Calibri"/>
          <w:szCs w:val="24"/>
        </w:rPr>
        <w:t>se</w:t>
      </w:r>
      <w:r w:rsidR="00E020F6">
        <w:rPr>
          <w:rFonts w:eastAsia="Calibri"/>
          <w:szCs w:val="24"/>
        </w:rPr>
        <w:t xml:space="preserve"> informal</w:t>
      </w:r>
      <w:r w:rsidR="00513902">
        <w:rPr>
          <w:rFonts w:eastAsia="Calibri"/>
          <w:szCs w:val="24"/>
        </w:rPr>
        <w:t xml:space="preserve"> norms</w:t>
      </w:r>
      <w:r w:rsidR="00233BCB" w:rsidRPr="00ED19F4">
        <w:rPr>
          <w:rFonts w:eastAsia="Calibri"/>
          <w:szCs w:val="24"/>
        </w:rPr>
        <w:t xml:space="preserve"> may sometimes </w:t>
      </w:r>
      <w:r w:rsidR="00E020F6">
        <w:rPr>
          <w:rFonts w:eastAsia="Calibri"/>
          <w:szCs w:val="24"/>
        </w:rPr>
        <w:t xml:space="preserve">come to </w:t>
      </w:r>
      <w:r w:rsidR="00233BCB" w:rsidRPr="00ED19F4">
        <w:rPr>
          <w:rFonts w:eastAsia="Calibri"/>
          <w:szCs w:val="24"/>
        </w:rPr>
        <w:t>be taken into account by the law</w:t>
      </w:r>
      <w:r w:rsidR="00233BCB">
        <w:rPr>
          <w:rFonts w:eastAsia="Calibri"/>
          <w:szCs w:val="24"/>
        </w:rPr>
        <w:t xml:space="preserve"> (perhaps even </w:t>
      </w:r>
      <w:r w:rsidR="00233BCB" w:rsidRPr="00ED19F4">
        <w:rPr>
          <w:rFonts w:eastAsia="Calibri"/>
          <w:szCs w:val="24"/>
        </w:rPr>
        <w:t>be</w:t>
      </w:r>
      <w:r w:rsidR="00233BCB">
        <w:rPr>
          <w:rFonts w:eastAsia="Calibri"/>
          <w:szCs w:val="24"/>
        </w:rPr>
        <w:t>ing formally</w:t>
      </w:r>
      <w:r w:rsidR="00233BCB" w:rsidRPr="00ED19F4">
        <w:rPr>
          <w:rFonts w:eastAsia="Calibri"/>
          <w:szCs w:val="24"/>
        </w:rPr>
        <w:t xml:space="preserve"> recognised in</w:t>
      </w:r>
      <w:r w:rsidR="00233BCB">
        <w:rPr>
          <w:rFonts w:eastAsia="Calibri"/>
          <w:szCs w:val="24"/>
        </w:rPr>
        <w:t xml:space="preserve"> law and in equity through time</w:t>
      </w:r>
      <w:r w:rsidR="00233BCB" w:rsidRPr="00ED19F4">
        <w:rPr>
          <w:rFonts w:eastAsia="Calibri"/>
          <w:szCs w:val="24"/>
        </w:rPr>
        <w:t xml:space="preserve"> or by way of waiver of consensually agreed rights</w:t>
      </w:r>
      <w:r w:rsidR="00233BCB">
        <w:rPr>
          <w:rFonts w:eastAsia="Calibri"/>
          <w:szCs w:val="24"/>
        </w:rPr>
        <w:t>)</w:t>
      </w:r>
      <w:r w:rsidR="00233BCB" w:rsidRPr="00ED19F4">
        <w:rPr>
          <w:rFonts w:eastAsia="Calibri"/>
          <w:szCs w:val="24"/>
        </w:rPr>
        <w:t xml:space="preserve">, and </w:t>
      </w:r>
      <w:r w:rsidR="00E020F6">
        <w:rPr>
          <w:rFonts w:eastAsia="Calibri"/>
          <w:szCs w:val="24"/>
        </w:rPr>
        <w:t>may</w:t>
      </w:r>
      <w:r w:rsidR="00233BCB" w:rsidRPr="00ED19F4">
        <w:rPr>
          <w:rFonts w:eastAsia="Calibri"/>
          <w:szCs w:val="24"/>
        </w:rPr>
        <w:t xml:space="preserve"> sometimes </w:t>
      </w:r>
      <w:r w:rsidR="00233BCB">
        <w:rPr>
          <w:rFonts w:eastAsia="Calibri"/>
          <w:szCs w:val="24"/>
        </w:rPr>
        <w:t>‘</w:t>
      </w:r>
      <w:r w:rsidR="00233BCB" w:rsidRPr="00ED19F4">
        <w:rPr>
          <w:rFonts w:eastAsia="Calibri"/>
          <w:szCs w:val="24"/>
        </w:rPr>
        <w:t xml:space="preserve">behave like property’ in that they are transmitted to </w:t>
      </w:r>
      <w:r w:rsidR="00233BCB">
        <w:rPr>
          <w:rFonts w:eastAsia="Calibri"/>
          <w:szCs w:val="24"/>
        </w:rPr>
        <w:t>subsequent</w:t>
      </w:r>
      <w:r w:rsidR="00233BCB" w:rsidRPr="00ED19F4">
        <w:rPr>
          <w:rFonts w:eastAsia="Calibri"/>
          <w:szCs w:val="24"/>
        </w:rPr>
        <w:t xml:space="preserve"> holders of property rights. </w:t>
      </w:r>
      <w:r w:rsidR="00E020F6">
        <w:rPr>
          <w:rFonts w:eastAsia="Calibri"/>
          <w:szCs w:val="24"/>
        </w:rPr>
        <w:t>Further, d</w:t>
      </w:r>
      <w:r>
        <w:rPr>
          <w:rFonts w:eastAsia="Calibri"/>
          <w:szCs w:val="24"/>
        </w:rPr>
        <w:t>uring the day-to-day lived relationships, the law</w:t>
      </w:r>
      <w:r w:rsidR="00E020F6">
        <w:rPr>
          <w:rFonts w:eastAsia="Calibri"/>
          <w:szCs w:val="24"/>
        </w:rPr>
        <w:t xml:space="preserve"> itself</w:t>
      </w:r>
      <w:r>
        <w:rPr>
          <w:rFonts w:eastAsia="Calibri"/>
          <w:szCs w:val="24"/>
        </w:rPr>
        <w:t xml:space="preserve"> will often l</w:t>
      </w:r>
      <w:r w:rsidR="00C82211">
        <w:rPr>
          <w:rFonts w:eastAsia="Calibri"/>
          <w:szCs w:val="24"/>
        </w:rPr>
        <w:t>ie</w:t>
      </w:r>
      <w:r>
        <w:rPr>
          <w:rFonts w:eastAsia="Calibri"/>
          <w:szCs w:val="24"/>
        </w:rPr>
        <w:t xml:space="preserve"> largely hidden or unknown in the background</w:t>
      </w:r>
      <w:r w:rsidR="00E020F6">
        <w:rPr>
          <w:rFonts w:eastAsia="Calibri"/>
          <w:szCs w:val="24"/>
        </w:rPr>
        <w:t xml:space="preserve"> and yet</w:t>
      </w:r>
      <w:r w:rsidRPr="00ED19F4">
        <w:rPr>
          <w:rFonts w:eastAsia="Calibri"/>
          <w:szCs w:val="24"/>
        </w:rPr>
        <w:t xml:space="preserve"> at </w:t>
      </w:r>
      <w:r w:rsidR="00B84B05">
        <w:rPr>
          <w:rFonts w:eastAsia="Calibri"/>
          <w:szCs w:val="24"/>
        </w:rPr>
        <w:t>other times</w:t>
      </w:r>
      <w:r w:rsidRPr="00ED19F4">
        <w:rPr>
          <w:rFonts w:eastAsia="Calibri"/>
          <w:szCs w:val="24"/>
        </w:rPr>
        <w:t xml:space="preserve"> </w:t>
      </w:r>
      <w:r w:rsidR="00E020F6">
        <w:rPr>
          <w:rFonts w:eastAsia="Calibri"/>
          <w:szCs w:val="24"/>
        </w:rPr>
        <w:t xml:space="preserve">it is the </w:t>
      </w:r>
      <w:r w:rsidRPr="00ED19F4">
        <w:rPr>
          <w:rFonts w:eastAsia="Calibri"/>
          <w:szCs w:val="24"/>
        </w:rPr>
        <w:t xml:space="preserve">formal legal rights </w:t>
      </w:r>
      <w:r w:rsidR="00E020F6">
        <w:rPr>
          <w:rFonts w:eastAsia="Calibri"/>
          <w:szCs w:val="24"/>
        </w:rPr>
        <w:t>that are</w:t>
      </w:r>
      <w:r w:rsidRPr="00ED19F4">
        <w:rPr>
          <w:rFonts w:eastAsia="Calibri"/>
          <w:szCs w:val="24"/>
        </w:rPr>
        <w:t xml:space="preserve"> privileged, perhaps particularly when the relationship is in crisis. Parties who have been </w:t>
      </w:r>
      <w:r>
        <w:rPr>
          <w:rFonts w:eastAsia="Calibri"/>
          <w:szCs w:val="24"/>
        </w:rPr>
        <w:t xml:space="preserve">previously </w:t>
      </w:r>
      <w:r w:rsidRPr="00ED19F4">
        <w:rPr>
          <w:rFonts w:eastAsia="Calibri"/>
          <w:szCs w:val="24"/>
        </w:rPr>
        <w:t xml:space="preserve">unaware of the </w:t>
      </w:r>
      <w:r w:rsidR="00EF7781">
        <w:rPr>
          <w:rFonts w:eastAsia="Calibri"/>
          <w:szCs w:val="24"/>
        </w:rPr>
        <w:t>precise legal details</w:t>
      </w:r>
      <w:r w:rsidRPr="00ED19F4">
        <w:rPr>
          <w:rFonts w:eastAsia="Calibri"/>
          <w:szCs w:val="24"/>
        </w:rPr>
        <w:t xml:space="preserve">, or content to agree to ignore </w:t>
      </w:r>
      <w:r w:rsidR="00EF7781">
        <w:rPr>
          <w:rFonts w:eastAsia="Calibri"/>
          <w:szCs w:val="24"/>
        </w:rPr>
        <w:t>them</w:t>
      </w:r>
      <w:r w:rsidRPr="00ED19F4">
        <w:rPr>
          <w:rFonts w:eastAsia="Calibri"/>
          <w:szCs w:val="24"/>
        </w:rPr>
        <w:t xml:space="preserve">, </w:t>
      </w:r>
      <w:r w:rsidR="0008253A">
        <w:rPr>
          <w:rFonts w:eastAsia="Calibri"/>
          <w:szCs w:val="24"/>
        </w:rPr>
        <w:t xml:space="preserve">may </w:t>
      </w:r>
      <w:r w:rsidRPr="00ED19F4">
        <w:rPr>
          <w:rFonts w:eastAsia="Calibri"/>
          <w:szCs w:val="24"/>
        </w:rPr>
        <w:t>turn to the law at such moments.</w:t>
      </w:r>
      <w:r>
        <w:rPr>
          <w:rFonts w:eastAsia="Calibri"/>
          <w:szCs w:val="24"/>
        </w:rPr>
        <w:t xml:space="preserve"> </w:t>
      </w:r>
    </w:p>
    <w:p w:rsidR="00233BCB" w:rsidRPr="00ED19F4" w:rsidRDefault="00233BCB" w:rsidP="00546FD2">
      <w:pPr>
        <w:suppressAutoHyphens/>
        <w:autoSpaceDN w:val="0"/>
        <w:spacing w:after="0" w:line="480" w:lineRule="auto"/>
        <w:rPr>
          <w:rFonts w:eastAsia="Calibri"/>
          <w:szCs w:val="24"/>
        </w:rPr>
      </w:pPr>
    </w:p>
    <w:p w:rsidR="000D029D" w:rsidRDefault="0066046E" w:rsidP="00546FD2">
      <w:pPr>
        <w:suppressAutoHyphens/>
        <w:autoSpaceDN w:val="0"/>
        <w:spacing w:after="0" w:line="480" w:lineRule="auto"/>
        <w:rPr>
          <w:rFonts w:eastAsia="Calibri"/>
          <w:szCs w:val="24"/>
        </w:rPr>
      </w:pPr>
      <w:r>
        <w:rPr>
          <w:rFonts w:eastAsia="Calibri"/>
          <w:szCs w:val="24"/>
        </w:rPr>
        <w:t xml:space="preserve">This </w:t>
      </w:r>
      <w:r w:rsidR="00B84B05">
        <w:rPr>
          <w:rFonts w:eastAsia="Calibri"/>
          <w:szCs w:val="24"/>
        </w:rPr>
        <w:t>approach</w:t>
      </w:r>
      <w:r w:rsidR="00B84B05" w:rsidRPr="00ED19F4">
        <w:rPr>
          <w:rFonts w:eastAsia="Calibri"/>
          <w:szCs w:val="24"/>
        </w:rPr>
        <w:t xml:space="preserve"> </w:t>
      </w:r>
      <w:r w:rsidR="00EF7781">
        <w:rPr>
          <w:rFonts w:eastAsia="Calibri"/>
          <w:szCs w:val="24"/>
        </w:rPr>
        <w:t xml:space="preserve">also </w:t>
      </w:r>
      <w:r w:rsidR="00B84B05" w:rsidRPr="00ED19F4">
        <w:rPr>
          <w:rFonts w:eastAsia="Calibri"/>
          <w:szCs w:val="24"/>
        </w:rPr>
        <w:t xml:space="preserve">takes note of </w:t>
      </w:r>
      <w:r w:rsidR="00E020F6">
        <w:rPr>
          <w:rFonts w:eastAsia="Calibri"/>
          <w:szCs w:val="24"/>
        </w:rPr>
        <w:t xml:space="preserve">the variety of ways that decisions can be made when there are disputes about </w:t>
      </w:r>
      <w:r w:rsidR="006C4F7D">
        <w:rPr>
          <w:rFonts w:eastAsia="Calibri"/>
          <w:szCs w:val="24"/>
        </w:rPr>
        <w:t>property relationships.</w:t>
      </w:r>
      <w:r w:rsidR="008740DB">
        <w:rPr>
          <w:rFonts w:eastAsia="Calibri"/>
          <w:szCs w:val="24"/>
        </w:rPr>
        <w:t xml:space="preserve"> Sometimes judicial decisions may pay attention to the dynamic and </w:t>
      </w:r>
      <w:r w:rsidR="008740DB" w:rsidRPr="00ED19F4">
        <w:rPr>
          <w:rFonts w:eastAsia="Calibri"/>
          <w:szCs w:val="24"/>
        </w:rPr>
        <w:t>enduring nature of property relations</w:t>
      </w:r>
      <w:r w:rsidR="008740DB">
        <w:rPr>
          <w:rFonts w:eastAsia="Calibri"/>
          <w:szCs w:val="24"/>
        </w:rPr>
        <w:t xml:space="preserve"> (as we illustrate below), </w:t>
      </w:r>
      <w:r w:rsidR="00154211">
        <w:rPr>
          <w:rFonts w:eastAsia="Calibri"/>
          <w:szCs w:val="24"/>
        </w:rPr>
        <w:t>sometimes</w:t>
      </w:r>
      <w:r w:rsidR="008740DB">
        <w:rPr>
          <w:rFonts w:eastAsia="Calibri"/>
          <w:szCs w:val="24"/>
        </w:rPr>
        <w:t xml:space="preserve"> they </w:t>
      </w:r>
      <w:r w:rsidR="008740DB" w:rsidRPr="00ED19F4">
        <w:rPr>
          <w:rFonts w:eastAsia="Calibri"/>
          <w:szCs w:val="24"/>
        </w:rPr>
        <w:t xml:space="preserve">adopt the traditional ‘winner takes all’ </w:t>
      </w:r>
      <w:r w:rsidR="008740DB" w:rsidRPr="00C102DB">
        <w:rPr>
          <w:rFonts w:eastAsia="Calibri"/>
          <w:szCs w:val="24"/>
        </w:rPr>
        <w:t>approach.</w:t>
      </w:r>
      <w:r w:rsidR="008740DB" w:rsidRPr="00C102DB">
        <w:rPr>
          <w:rFonts w:eastAsia="Calibri"/>
          <w:szCs w:val="24"/>
          <w:vertAlign w:val="superscript"/>
        </w:rPr>
        <w:footnoteReference w:id="21"/>
      </w:r>
      <w:r w:rsidR="008740DB" w:rsidRPr="00C102DB">
        <w:rPr>
          <w:rFonts w:eastAsia="Calibri"/>
          <w:szCs w:val="24"/>
        </w:rPr>
        <w:t xml:space="preserve"> </w:t>
      </w:r>
      <w:r w:rsidR="00154211" w:rsidRPr="00C102DB">
        <w:rPr>
          <w:rFonts w:eastAsia="Calibri"/>
          <w:szCs w:val="24"/>
        </w:rPr>
        <w:t>Further, we note that although judges will usually privilege the contractual document</w:t>
      </w:r>
      <w:r w:rsidR="000F183D" w:rsidRPr="00C102DB">
        <w:rPr>
          <w:rFonts w:eastAsia="Calibri"/>
          <w:szCs w:val="24"/>
        </w:rPr>
        <w:t>,</w:t>
      </w:r>
      <w:r w:rsidR="00154211" w:rsidRPr="00C102DB">
        <w:rPr>
          <w:rFonts w:eastAsia="Calibri"/>
          <w:szCs w:val="24"/>
        </w:rPr>
        <w:t xml:space="preserve"> </w:t>
      </w:r>
      <w:r w:rsidR="000F183D" w:rsidRPr="00C102DB">
        <w:rPr>
          <w:rFonts w:eastAsia="Calibri"/>
          <w:szCs w:val="24"/>
        </w:rPr>
        <w:t>the parties</w:t>
      </w:r>
      <w:r w:rsidR="00DB06B0" w:rsidRPr="00C102DB">
        <w:rPr>
          <w:rFonts w:eastAsia="Calibri"/>
          <w:szCs w:val="24"/>
        </w:rPr>
        <w:t>’</w:t>
      </w:r>
      <w:r w:rsidR="000F183D" w:rsidRPr="00C102DB">
        <w:rPr>
          <w:rFonts w:eastAsia="Calibri"/>
          <w:szCs w:val="24"/>
        </w:rPr>
        <w:t xml:space="preserve"> un</w:t>
      </w:r>
      <w:r w:rsidR="00154211" w:rsidRPr="00C102DB">
        <w:rPr>
          <w:rFonts w:eastAsia="Calibri"/>
          <w:szCs w:val="24"/>
        </w:rPr>
        <w:t>written understandings may be factored into the interpretation of the factual matrix.</w:t>
      </w:r>
      <w:r w:rsidR="00154211" w:rsidRPr="00C102DB">
        <w:rPr>
          <w:rStyle w:val="FootnoteReference"/>
          <w:rFonts w:eastAsia="Calibri"/>
          <w:szCs w:val="24"/>
        </w:rPr>
        <w:footnoteReference w:id="22"/>
      </w:r>
      <w:r w:rsidR="00154211" w:rsidRPr="00C102DB">
        <w:rPr>
          <w:rFonts w:eastAsia="Calibri"/>
          <w:szCs w:val="24"/>
        </w:rPr>
        <w:t xml:space="preserve">  </w:t>
      </w:r>
      <w:r w:rsidR="00DB06B0" w:rsidRPr="00C102DB">
        <w:rPr>
          <w:rFonts w:eastAsia="Calibri"/>
          <w:szCs w:val="24"/>
        </w:rPr>
        <w:t xml:space="preserve">The </w:t>
      </w:r>
      <w:r w:rsidR="00154211" w:rsidRPr="00C102DB">
        <w:rPr>
          <w:rFonts w:eastAsia="Calibri"/>
          <w:szCs w:val="24"/>
        </w:rPr>
        <w:t xml:space="preserve">courts now encourage alternative dispute resolution, </w:t>
      </w:r>
      <w:r w:rsidR="00C102DB" w:rsidRPr="00C102DB">
        <w:rPr>
          <w:rFonts w:eastAsia="Calibri"/>
          <w:szCs w:val="24"/>
        </w:rPr>
        <w:t xml:space="preserve">so </w:t>
      </w:r>
      <w:r w:rsidR="00154211" w:rsidRPr="00C102DB">
        <w:rPr>
          <w:rFonts w:eastAsia="Calibri"/>
          <w:szCs w:val="24"/>
        </w:rPr>
        <w:t xml:space="preserve">we also consider dispute resolution </w:t>
      </w:r>
      <w:r w:rsidR="00C102DB" w:rsidRPr="00C102DB">
        <w:rPr>
          <w:rFonts w:eastAsia="Calibri"/>
          <w:szCs w:val="24"/>
        </w:rPr>
        <w:t xml:space="preserve">beyond the courts </w:t>
      </w:r>
      <w:r w:rsidR="00125836" w:rsidRPr="00C102DB">
        <w:rPr>
          <w:rFonts w:eastAsia="Calibri"/>
          <w:szCs w:val="24"/>
        </w:rPr>
        <w:t xml:space="preserve">by </w:t>
      </w:r>
      <w:r w:rsidR="000D029D" w:rsidRPr="00C102DB">
        <w:rPr>
          <w:rFonts w:eastAsia="Calibri"/>
          <w:szCs w:val="24"/>
        </w:rPr>
        <w:t>regulators</w:t>
      </w:r>
      <w:r w:rsidR="0036425E" w:rsidRPr="00C102DB">
        <w:rPr>
          <w:rFonts w:eastAsia="Calibri"/>
          <w:szCs w:val="24"/>
        </w:rPr>
        <w:t xml:space="preserve"> and</w:t>
      </w:r>
      <w:r w:rsidR="000D029D" w:rsidRPr="00C102DB">
        <w:rPr>
          <w:rFonts w:eastAsia="Calibri"/>
          <w:szCs w:val="24"/>
        </w:rPr>
        <w:t xml:space="preserve"> mediators</w:t>
      </w:r>
      <w:r w:rsidR="00125836" w:rsidRPr="00C102DB">
        <w:rPr>
          <w:rFonts w:eastAsia="Calibri"/>
          <w:szCs w:val="24"/>
        </w:rPr>
        <w:t>,</w:t>
      </w:r>
      <w:r w:rsidR="000D029D" w:rsidRPr="00C102DB">
        <w:rPr>
          <w:rFonts w:eastAsia="Calibri"/>
          <w:szCs w:val="24"/>
        </w:rPr>
        <w:t xml:space="preserve"> </w:t>
      </w:r>
      <w:r w:rsidR="00C102DB" w:rsidRPr="00C102DB">
        <w:rPr>
          <w:rFonts w:eastAsia="Calibri"/>
          <w:szCs w:val="24"/>
        </w:rPr>
        <w:t>and in some instances the parties themselves</w:t>
      </w:r>
      <w:r w:rsidR="00422CB6">
        <w:rPr>
          <w:rFonts w:eastAsia="Calibri"/>
          <w:szCs w:val="24"/>
        </w:rPr>
        <w:t>,</w:t>
      </w:r>
      <w:r w:rsidR="00C102DB" w:rsidRPr="00C102DB">
        <w:rPr>
          <w:rFonts w:eastAsia="Calibri"/>
          <w:szCs w:val="24"/>
          <w:vertAlign w:val="superscript"/>
        </w:rPr>
        <w:footnoteReference w:id="23"/>
      </w:r>
      <w:r w:rsidR="00C102DB" w:rsidRPr="00C102DB">
        <w:rPr>
          <w:rFonts w:eastAsia="Calibri"/>
          <w:szCs w:val="24"/>
        </w:rPr>
        <w:t xml:space="preserve"> </w:t>
      </w:r>
      <w:r w:rsidR="00154211" w:rsidRPr="00C102DB">
        <w:rPr>
          <w:rFonts w:eastAsia="Calibri"/>
          <w:szCs w:val="24"/>
        </w:rPr>
        <w:t xml:space="preserve">and how </w:t>
      </w:r>
      <w:r w:rsidR="00C102DB" w:rsidRPr="00C102DB">
        <w:rPr>
          <w:rFonts w:eastAsia="Calibri"/>
          <w:szCs w:val="24"/>
        </w:rPr>
        <w:t>these processes may</w:t>
      </w:r>
      <w:r w:rsidR="00154211" w:rsidRPr="00C102DB">
        <w:rPr>
          <w:rFonts w:eastAsia="Calibri"/>
          <w:szCs w:val="24"/>
        </w:rPr>
        <w:t xml:space="preserve"> open up </w:t>
      </w:r>
      <w:r w:rsidR="00DB06B0" w:rsidRPr="00C102DB">
        <w:rPr>
          <w:rFonts w:eastAsia="Calibri"/>
          <w:szCs w:val="24"/>
        </w:rPr>
        <w:t xml:space="preserve">discretionary spaces in decision-making </w:t>
      </w:r>
      <w:r w:rsidR="0036425E" w:rsidRPr="00C102DB">
        <w:rPr>
          <w:rFonts w:eastAsia="Calibri"/>
          <w:szCs w:val="24"/>
        </w:rPr>
        <w:t xml:space="preserve">to accommodate </w:t>
      </w:r>
      <w:r w:rsidR="00154211" w:rsidRPr="00C102DB">
        <w:rPr>
          <w:rFonts w:eastAsia="Calibri"/>
          <w:szCs w:val="24"/>
        </w:rPr>
        <w:t>the dynamics of the property relationship.</w:t>
      </w:r>
      <w:r w:rsidR="000D029D" w:rsidRPr="00ED19F4">
        <w:rPr>
          <w:rFonts w:eastAsia="Calibri"/>
          <w:szCs w:val="24"/>
        </w:rPr>
        <w:t xml:space="preserve"> </w:t>
      </w:r>
    </w:p>
    <w:p w:rsidR="009069D2" w:rsidRPr="00ED19F4" w:rsidRDefault="009069D2" w:rsidP="00546FD2">
      <w:pPr>
        <w:suppressAutoHyphens/>
        <w:autoSpaceDN w:val="0"/>
        <w:spacing w:after="0" w:line="480" w:lineRule="auto"/>
        <w:rPr>
          <w:rFonts w:eastAsia="Calibri"/>
          <w:szCs w:val="24"/>
        </w:rPr>
      </w:pPr>
    </w:p>
    <w:p w:rsidR="008F3664" w:rsidRPr="00ED19F4" w:rsidRDefault="008F3664" w:rsidP="00546FD2">
      <w:pPr>
        <w:spacing w:line="480" w:lineRule="auto"/>
        <w:rPr>
          <w:b/>
          <w:szCs w:val="24"/>
        </w:rPr>
      </w:pPr>
      <w:r w:rsidRPr="00ED19F4">
        <w:rPr>
          <w:b/>
          <w:szCs w:val="24"/>
        </w:rPr>
        <w:t>The</w:t>
      </w:r>
      <w:r w:rsidR="00FB759D">
        <w:rPr>
          <w:b/>
          <w:szCs w:val="24"/>
        </w:rPr>
        <w:t xml:space="preserve"> </w:t>
      </w:r>
      <w:r w:rsidR="00136727">
        <w:rPr>
          <w:b/>
          <w:szCs w:val="24"/>
        </w:rPr>
        <w:t>t</w:t>
      </w:r>
      <w:r w:rsidR="00FB759D">
        <w:rPr>
          <w:b/>
          <w:szCs w:val="24"/>
        </w:rPr>
        <w:t xml:space="preserve">heoretical </w:t>
      </w:r>
      <w:r w:rsidR="00136727">
        <w:rPr>
          <w:b/>
          <w:szCs w:val="24"/>
        </w:rPr>
        <w:t>f</w:t>
      </w:r>
      <w:r w:rsidR="00FB759D">
        <w:rPr>
          <w:b/>
          <w:szCs w:val="24"/>
        </w:rPr>
        <w:t>rame</w:t>
      </w:r>
      <w:r w:rsidRPr="00ED19F4">
        <w:rPr>
          <w:b/>
          <w:szCs w:val="24"/>
        </w:rPr>
        <w:t xml:space="preserve">: </w:t>
      </w:r>
      <w:r w:rsidR="00136727">
        <w:rPr>
          <w:b/>
          <w:szCs w:val="24"/>
        </w:rPr>
        <w:t>b</w:t>
      </w:r>
      <w:r w:rsidR="00F43E73">
        <w:rPr>
          <w:b/>
          <w:szCs w:val="24"/>
        </w:rPr>
        <w:t xml:space="preserve">eyond </w:t>
      </w:r>
      <w:r w:rsidRPr="00ED19F4">
        <w:rPr>
          <w:b/>
          <w:szCs w:val="24"/>
        </w:rPr>
        <w:t>RCT and property law scholarship</w:t>
      </w:r>
    </w:p>
    <w:p w:rsidR="008F3664" w:rsidRPr="00370268" w:rsidRDefault="008F3664" w:rsidP="00546FD2">
      <w:pPr>
        <w:spacing w:line="480" w:lineRule="auto"/>
      </w:pPr>
      <w:r>
        <w:t>This section of the paper positions our schema within existing scholarship</w:t>
      </w:r>
      <w:r w:rsidR="00EE0438">
        <w:t>. The</w:t>
      </w:r>
      <w:r w:rsidR="001E150A" w:rsidRPr="00F534B2">
        <w:t xml:space="preserve"> dynamics</w:t>
      </w:r>
      <w:r w:rsidR="00C63CDB" w:rsidRPr="00F534B2">
        <w:t xml:space="preserve"> approach does </w:t>
      </w:r>
      <w:r w:rsidR="001E150A" w:rsidRPr="00F534B2">
        <w:t>not start from</w:t>
      </w:r>
      <w:r w:rsidR="0058707F" w:rsidRPr="00F534B2">
        <w:t xml:space="preserve"> the</w:t>
      </w:r>
      <w:r w:rsidR="00C63CDB" w:rsidRPr="00F534B2">
        <w:t xml:space="preserve"> individual </w:t>
      </w:r>
      <w:r w:rsidR="0058707F" w:rsidRPr="00F534B2">
        <w:t xml:space="preserve">property </w:t>
      </w:r>
      <w:r w:rsidR="00C63CDB" w:rsidRPr="00F534B2">
        <w:t>owner, but attempts to capture the complexity of property relations</w:t>
      </w:r>
      <w:r w:rsidR="00EE0438">
        <w:t xml:space="preserve">, as other </w:t>
      </w:r>
      <w:r w:rsidR="00C63CDB" w:rsidRPr="00F534B2">
        <w:t>scholars, notably Dagan</w:t>
      </w:r>
      <w:r w:rsidR="001E150A" w:rsidRPr="00F534B2">
        <w:rPr>
          <w:rStyle w:val="FootnoteReference"/>
        </w:rPr>
        <w:footnoteReference w:id="24"/>
      </w:r>
      <w:r w:rsidR="00C63CDB" w:rsidRPr="00F534B2">
        <w:t xml:space="preserve"> and Page</w:t>
      </w:r>
      <w:r w:rsidR="00C63CDB" w:rsidRPr="00F534B2">
        <w:rPr>
          <w:rStyle w:val="FootnoteReference"/>
        </w:rPr>
        <w:footnoteReference w:id="25"/>
      </w:r>
      <w:r w:rsidR="00C63CDB" w:rsidRPr="00F534B2">
        <w:t xml:space="preserve">, </w:t>
      </w:r>
      <w:r w:rsidR="00EE0438">
        <w:t xml:space="preserve">have also done. Although </w:t>
      </w:r>
      <w:r w:rsidR="000273B2">
        <w:t>our</w:t>
      </w:r>
      <w:r w:rsidR="00EE0438">
        <w:t xml:space="preserve"> approach, which is essentially descriptive, and our focus, which is on property relationships in land, </w:t>
      </w:r>
      <w:r w:rsidR="000273B2">
        <w:t xml:space="preserve">differ from the other theoretical work discussed below this section </w:t>
      </w:r>
      <w:r w:rsidR="00EE0438">
        <w:t>highlights how those analyses have informed our own</w:t>
      </w:r>
      <w:r w:rsidR="00B571D3">
        <w:t>, as well as where our work differs</w:t>
      </w:r>
      <w:r w:rsidR="00EE0438">
        <w:t xml:space="preserve">. </w:t>
      </w:r>
    </w:p>
    <w:p w:rsidR="008F3664" w:rsidRPr="00395514" w:rsidRDefault="008F3664" w:rsidP="00546FD2">
      <w:pPr>
        <w:spacing w:line="480" w:lineRule="auto"/>
        <w:rPr>
          <w:b/>
        </w:rPr>
      </w:pPr>
      <w:r w:rsidRPr="0008253A">
        <w:rPr>
          <w:b/>
          <w:i/>
          <w:iCs/>
        </w:rPr>
        <w:t>Reading across from Relational Contract Theory</w:t>
      </w:r>
    </w:p>
    <w:p w:rsidR="00420D58" w:rsidRDefault="002523C3" w:rsidP="0008253A">
      <w:pPr>
        <w:spacing w:line="480" w:lineRule="auto"/>
      </w:pPr>
      <w:r>
        <w:t xml:space="preserve">The core RCT idea that </w:t>
      </w:r>
      <w:r w:rsidRPr="00C02B48">
        <w:t>contracts</w:t>
      </w:r>
      <w:r>
        <w:t xml:space="preserve"> are</w:t>
      </w:r>
      <w:r w:rsidRPr="00C02B48">
        <w:t xml:space="preserve"> ‘embedded in complex relations’</w:t>
      </w:r>
      <w:r w:rsidRPr="00C02B48">
        <w:rPr>
          <w:rStyle w:val="FootnoteReference"/>
        </w:rPr>
        <w:footnoteReference w:id="26"/>
      </w:r>
      <w:r>
        <w:t xml:space="preserve"> suggests that to understand enduring property relationships it may </w:t>
      </w:r>
      <w:r w:rsidR="003F5040">
        <w:t xml:space="preserve">likewise </w:t>
      </w:r>
      <w:r>
        <w:t>be necessary</w:t>
      </w:r>
      <w:r w:rsidRPr="00C02B48">
        <w:t xml:space="preserve"> to take account of implicit understandings which inform or lie beyond the stated contractual terms</w:t>
      </w:r>
      <w:r>
        <w:t xml:space="preserve"> and the </w:t>
      </w:r>
      <w:r w:rsidRPr="005022E8">
        <w:t xml:space="preserve">adaptations made over the life of the contract. </w:t>
      </w:r>
      <w:r>
        <w:t xml:space="preserve"> </w:t>
      </w:r>
      <w:r w:rsidR="008F3664" w:rsidRPr="00C02B48">
        <w:t>Macneil</w:t>
      </w:r>
      <w:r w:rsidR="00241FCC">
        <w:t>’</w:t>
      </w:r>
      <w:r w:rsidR="008F3664" w:rsidRPr="00C02B48">
        <w:t xml:space="preserve">s imagery of a </w:t>
      </w:r>
      <w:r w:rsidR="001468E5">
        <w:t>‘</w:t>
      </w:r>
      <w:r w:rsidR="008F3664" w:rsidRPr="005022E8">
        <w:t>spectrum of contractual behaviour and norms</w:t>
      </w:r>
      <w:r w:rsidR="001468E5">
        <w:t>’</w:t>
      </w:r>
      <w:r w:rsidR="008F3664">
        <w:t xml:space="preserve"> </w:t>
      </w:r>
      <w:r>
        <w:t xml:space="preserve">suggests a continuum from </w:t>
      </w:r>
      <w:r w:rsidR="001468E5">
        <w:t>‘as-if-discrete transactions’</w:t>
      </w:r>
      <w:r w:rsidR="008F3664" w:rsidRPr="005022E8">
        <w:rPr>
          <w:rStyle w:val="FootnoteReference"/>
        </w:rPr>
        <w:footnoteReference w:id="27"/>
      </w:r>
      <w:r w:rsidR="008F3664" w:rsidRPr="005022E8">
        <w:t xml:space="preserve"> (which conform to classical contract theory) </w:t>
      </w:r>
      <w:r>
        <w:t>to</w:t>
      </w:r>
      <w:r w:rsidR="001468E5">
        <w:t xml:space="preserve"> relational (or ‘intertwined’</w:t>
      </w:r>
      <w:r w:rsidR="008F3664" w:rsidRPr="005022E8">
        <w:t>)</w:t>
      </w:r>
      <w:r w:rsidR="008F3664" w:rsidRPr="005022E8">
        <w:rPr>
          <w:rStyle w:val="FootnoteReference"/>
        </w:rPr>
        <w:footnoteReference w:id="28"/>
      </w:r>
      <w:r w:rsidR="008F3664" w:rsidRPr="005022E8">
        <w:t xml:space="preserve"> contracts in which the parties</w:t>
      </w:r>
      <w:r w:rsidR="001468E5">
        <w:t>’</w:t>
      </w:r>
      <w:r w:rsidR="008F3664" w:rsidRPr="005022E8">
        <w:t xml:space="preserve"> mutual trust and reciprocity are more important than their legal relationship</w:t>
      </w:r>
      <w:r w:rsidR="00F1134E">
        <w:t>.</w:t>
      </w:r>
      <w:r w:rsidR="008F3664">
        <w:t xml:space="preserve"> </w:t>
      </w:r>
      <w:r w:rsidR="003F5040">
        <w:t>For discrete contracts</w:t>
      </w:r>
      <w:r w:rsidR="00DB06B0">
        <w:t>,</w:t>
      </w:r>
      <w:r w:rsidR="003F5040">
        <w:t xml:space="preserve"> </w:t>
      </w:r>
      <w:r w:rsidR="008F3664">
        <w:t xml:space="preserve">Macneil’s neologism </w:t>
      </w:r>
      <w:r w:rsidR="008F3664" w:rsidRPr="005022E8">
        <w:t>‘presentiation’</w:t>
      </w:r>
      <w:r w:rsidR="0057273C">
        <w:t xml:space="preserve"> </w:t>
      </w:r>
      <w:r w:rsidR="008F3664">
        <w:t>conveys</w:t>
      </w:r>
      <w:r w:rsidR="008F3664" w:rsidRPr="005022E8">
        <w:t xml:space="preserve"> </w:t>
      </w:r>
      <w:r w:rsidR="003F5040">
        <w:t xml:space="preserve">the idea that </w:t>
      </w:r>
      <w:r w:rsidR="00222471">
        <w:t xml:space="preserve">that </w:t>
      </w:r>
      <w:r w:rsidR="003F5040" w:rsidRPr="005022E8">
        <w:t>there is complete contract planning at the time of contract formation</w:t>
      </w:r>
      <w:r w:rsidR="003F5040">
        <w:t xml:space="preserve"> (that is, </w:t>
      </w:r>
      <w:r w:rsidR="00DB06B0">
        <w:t xml:space="preserve">the contract </w:t>
      </w:r>
      <w:r w:rsidR="003F5040">
        <w:t>i</w:t>
      </w:r>
      <w:r w:rsidR="00222471">
        <w:t>nclude</w:t>
      </w:r>
      <w:r w:rsidR="00DB06B0">
        <w:t>s</w:t>
      </w:r>
      <w:r w:rsidR="008F3664" w:rsidRPr="005022E8">
        <w:t xml:space="preserve"> in the present moment </w:t>
      </w:r>
      <w:r w:rsidR="00F01222">
        <w:t>provision for</w:t>
      </w:r>
      <w:r w:rsidR="008F3664" w:rsidRPr="005022E8">
        <w:t xml:space="preserve"> all, including future, aspects of the </w:t>
      </w:r>
      <w:r w:rsidR="00F1134E">
        <w:t>parties’ relationship</w:t>
      </w:r>
      <w:r w:rsidR="003F5040">
        <w:t>)</w:t>
      </w:r>
      <w:r w:rsidR="008F3664" w:rsidRPr="005022E8">
        <w:t xml:space="preserve">. </w:t>
      </w:r>
      <w:r w:rsidR="003F5040" w:rsidRPr="003F5040">
        <w:t xml:space="preserve">We might expect enduring </w:t>
      </w:r>
      <w:r w:rsidR="003F5040" w:rsidRPr="00DB06B0">
        <w:t xml:space="preserve">property relationships to reflect the norms associated by RCT scholars </w:t>
      </w:r>
      <w:r w:rsidR="00507F8D" w:rsidRPr="00DB06B0">
        <w:t xml:space="preserve">with </w:t>
      </w:r>
      <w:r w:rsidR="003F5040" w:rsidRPr="00DB06B0">
        <w:t>strongly relational long-term contracts: solidarity, reciprocity, flexibility and role integrity.</w:t>
      </w:r>
      <w:r w:rsidR="003F5040" w:rsidRPr="00DB06B0">
        <w:rPr>
          <w:vertAlign w:val="superscript"/>
        </w:rPr>
        <w:footnoteReference w:id="29"/>
      </w:r>
      <w:r w:rsidR="003F5040" w:rsidRPr="00DB06B0">
        <w:t xml:space="preserve"> After all, alth</w:t>
      </w:r>
      <w:r w:rsidR="003F5040">
        <w:t xml:space="preserve">ough </w:t>
      </w:r>
      <w:r w:rsidR="00FE57B4" w:rsidRPr="0058455D">
        <w:t xml:space="preserve">initial consent frames the </w:t>
      </w:r>
      <w:r w:rsidR="003F5040">
        <w:t xml:space="preserve">property </w:t>
      </w:r>
      <w:r w:rsidR="00FE57B4" w:rsidRPr="0058455D">
        <w:t xml:space="preserve">relationship at the outset </w:t>
      </w:r>
      <w:r w:rsidR="00420D58">
        <w:t>there is a strong temporal element</w:t>
      </w:r>
      <w:r w:rsidR="003F5040" w:rsidRPr="0058455D">
        <w:t xml:space="preserve">, as Gerhart </w:t>
      </w:r>
      <w:r w:rsidR="00507F8D">
        <w:t>comments</w:t>
      </w:r>
      <w:r w:rsidR="00420D58">
        <w:t>:</w:t>
      </w:r>
    </w:p>
    <w:p w:rsidR="00420D58" w:rsidRDefault="00FE57B4" w:rsidP="00546FD2">
      <w:pPr>
        <w:spacing w:line="480" w:lineRule="auto"/>
        <w:ind w:left="567" w:right="656"/>
      </w:pPr>
      <w:r w:rsidRPr="0058455D">
        <w:t xml:space="preserve">the idea of consent as the source of relationships also illuminates ideas about relationships over time.   </w:t>
      </w:r>
      <w:r w:rsidR="00507F8D">
        <w:t>…</w:t>
      </w:r>
      <w:r w:rsidRPr="0058455D">
        <w:t xml:space="preserve">   Either circumstances change, or people in the relationship change their values and interests, or the identity of the people in the relationship change.</w:t>
      </w:r>
      <w:r w:rsidRPr="0058455D">
        <w:rPr>
          <w:rStyle w:val="FootnoteReference"/>
        </w:rPr>
        <w:footnoteReference w:id="30"/>
      </w:r>
      <w:r>
        <w:t xml:space="preserve"> </w:t>
      </w:r>
    </w:p>
    <w:p w:rsidR="008F3664" w:rsidRPr="00FE57B4" w:rsidRDefault="00736A91" w:rsidP="00546FD2">
      <w:pPr>
        <w:spacing w:line="480" w:lineRule="auto"/>
      </w:pPr>
      <w:r>
        <w:t xml:space="preserve">Indeed, we have already referred to the </w:t>
      </w:r>
      <w:r>
        <w:rPr>
          <w:i/>
        </w:rPr>
        <w:t xml:space="preserve">de facto </w:t>
      </w:r>
      <w:r>
        <w:t xml:space="preserve">self-generated norms that arise from and inform property relationships, </w:t>
      </w:r>
      <w:r w:rsidRPr="00422CB6">
        <w:t xml:space="preserve">echoing </w:t>
      </w:r>
      <w:r w:rsidR="00507F8D" w:rsidRPr="00422CB6">
        <w:t>Kimel</w:t>
      </w:r>
      <w:r w:rsidR="001D71E5" w:rsidRPr="00422CB6">
        <w:t>’s characterisation</w:t>
      </w:r>
      <w:r w:rsidRPr="00422CB6">
        <w:t xml:space="preserve"> of</w:t>
      </w:r>
      <w:r w:rsidR="00507F8D" w:rsidRPr="00422CB6">
        <w:t xml:space="preserve"> </w:t>
      </w:r>
      <w:r w:rsidR="00876801" w:rsidRPr="00422CB6">
        <w:t>relational contracts</w:t>
      </w:r>
      <w:r w:rsidR="00507F8D" w:rsidRPr="00422CB6">
        <w:t xml:space="preserve"> </w:t>
      </w:r>
      <w:r w:rsidR="001D71E5" w:rsidRPr="00422CB6">
        <w:t>as having</w:t>
      </w:r>
      <w:r w:rsidRPr="00422CB6">
        <w:t xml:space="preserve"> </w:t>
      </w:r>
      <w:r w:rsidR="00876801" w:rsidRPr="00422CB6">
        <w:t>‘the propensity to gener</w:t>
      </w:r>
      <w:r w:rsidR="00876801" w:rsidRPr="005022E8">
        <w:t>ate norms, define or inform parties’ expectations, provide sources of reassurance, facilitate co-operation, create interdependence’, beyond the express contractual terms.</w:t>
      </w:r>
      <w:r w:rsidR="00876801" w:rsidRPr="005022E8">
        <w:rPr>
          <w:rStyle w:val="FootnoteReference"/>
        </w:rPr>
        <w:footnoteReference w:id="31"/>
      </w:r>
      <w:r w:rsidR="00876801" w:rsidRPr="003E798F">
        <w:t xml:space="preserve"> </w:t>
      </w:r>
      <w:r w:rsidRPr="001D71E5">
        <w:t>N</w:t>
      </w:r>
      <w:r w:rsidR="00FE57B4" w:rsidRPr="001D71E5">
        <w:t>ot infrequently</w:t>
      </w:r>
      <w:r w:rsidRPr="001D71E5">
        <w:t>, however,</w:t>
      </w:r>
      <w:r w:rsidR="00FE57B4" w:rsidRPr="001D71E5">
        <w:t xml:space="preserve"> enduring property relationships are </w:t>
      </w:r>
      <w:r w:rsidR="00507F8D" w:rsidRPr="001D71E5">
        <w:t xml:space="preserve">also </w:t>
      </w:r>
      <w:r w:rsidR="00FE57B4" w:rsidRPr="001D71E5">
        <w:t>highly presentiated</w:t>
      </w:r>
      <w:r w:rsidR="00DD33E1" w:rsidRPr="001D71E5">
        <w:t xml:space="preserve">, thus reflecting characteristics associated with discrete contracts, </w:t>
      </w:r>
      <w:r w:rsidR="001948EF" w:rsidRPr="001D71E5">
        <w:t>and</w:t>
      </w:r>
      <w:r w:rsidR="00556E04" w:rsidRPr="001D71E5">
        <w:t xml:space="preserve"> we explore below the</w:t>
      </w:r>
      <w:r w:rsidR="00556E04">
        <w:t xml:space="preserve"> interrelationship between presentiation and</w:t>
      </w:r>
      <w:r w:rsidR="001948EF">
        <w:t xml:space="preserve"> </w:t>
      </w:r>
      <w:r w:rsidR="00556E04">
        <w:t>the implicit relational understandings when it comes to dispute resolution</w:t>
      </w:r>
      <w:r w:rsidR="00FE57B4">
        <w:t>. Further, whatever the legal documentation says, e</w:t>
      </w:r>
      <w:r w:rsidR="008F3664" w:rsidRPr="005022E8">
        <w:t xml:space="preserve">mpirical </w:t>
      </w:r>
      <w:r w:rsidR="008F3664">
        <w:t>research</w:t>
      </w:r>
      <w:r w:rsidR="008F3664" w:rsidRPr="005022E8">
        <w:t xml:space="preserve"> </w:t>
      </w:r>
      <w:r w:rsidR="005506A2">
        <w:t xml:space="preserve">into relational contracts </w:t>
      </w:r>
      <w:r w:rsidR="008F3664" w:rsidRPr="005022E8">
        <w:t xml:space="preserve">shows that the parties may in practice understand the relationship differently and/or pay little attention to the contract. Macaulay and Bernstein </w:t>
      </w:r>
      <w:r w:rsidR="005506A2">
        <w:t xml:space="preserve">therefore argue </w:t>
      </w:r>
      <w:r w:rsidR="008F3664" w:rsidRPr="005022E8">
        <w:t>that it is necessary to look beyond the ‘paper deal’ to the ‘real deal’ and, in particular, to reflect upon and identify when the paper deal is ‘non-used’, and when non-contractual norms are preferred</w:t>
      </w:r>
      <w:r w:rsidR="008F3664" w:rsidRPr="005022E8">
        <w:rPr>
          <w:rFonts w:eastAsia="Times New Roman"/>
        </w:rPr>
        <w:t>.</w:t>
      </w:r>
      <w:r w:rsidR="008F3664" w:rsidRPr="005022E8">
        <w:rPr>
          <w:rStyle w:val="FootnoteReference"/>
        </w:rPr>
        <w:footnoteReference w:id="32"/>
      </w:r>
      <w:r w:rsidR="005506A2">
        <w:rPr>
          <w:rFonts w:eastAsia="Times New Roman"/>
        </w:rPr>
        <w:t xml:space="preserve"> </w:t>
      </w:r>
      <w:r w:rsidR="000E6B42">
        <w:rPr>
          <w:rFonts w:eastAsia="Times New Roman"/>
        </w:rPr>
        <w:t xml:space="preserve">This </w:t>
      </w:r>
      <w:r w:rsidR="001D71E5">
        <w:rPr>
          <w:rFonts w:eastAsia="Times New Roman"/>
        </w:rPr>
        <w:t xml:space="preserve">insight </w:t>
      </w:r>
      <w:r w:rsidR="000E6B42">
        <w:rPr>
          <w:rFonts w:eastAsia="Times New Roman"/>
        </w:rPr>
        <w:t>is also</w:t>
      </w:r>
      <w:r w:rsidR="005506A2">
        <w:rPr>
          <w:rFonts w:eastAsia="Times New Roman"/>
        </w:rPr>
        <w:t xml:space="preserve"> very useful in </w:t>
      </w:r>
      <w:r w:rsidR="005506A2" w:rsidRPr="005022E8">
        <w:t>understand</w:t>
      </w:r>
      <w:r w:rsidR="005506A2">
        <w:t>ing</w:t>
      </w:r>
      <w:r w:rsidR="005506A2" w:rsidRPr="005022E8">
        <w:t xml:space="preserve"> property relationships</w:t>
      </w:r>
      <w:r w:rsidR="000E6B42">
        <w:t>.</w:t>
      </w:r>
    </w:p>
    <w:p w:rsidR="008F3664" w:rsidRPr="0058455D" w:rsidRDefault="00634BA8" w:rsidP="00546FD2">
      <w:pPr>
        <w:pStyle w:val="CommentText"/>
        <w:spacing w:line="480" w:lineRule="auto"/>
      </w:pPr>
      <w:r>
        <w:t>O</w:t>
      </w:r>
      <w:r w:rsidR="008F3664" w:rsidRPr="0058455D">
        <w:t xml:space="preserve">ur </w:t>
      </w:r>
      <w:r>
        <w:t>focus on r</w:t>
      </w:r>
      <w:r w:rsidR="008F3664" w:rsidRPr="0058455D">
        <w:t>elational property</w:t>
      </w:r>
      <w:r>
        <w:t>,</w:t>
      </w:r>
      <w:r w:rsidR="008F3664" w:rsidRPr="0058455D">
        <w:t xml:space="preserve"> rather than contract</w:t>
      </w:r>
      <w:r>
        <w:t xml:space="preserve"> more generally</w:t>
      </w:r>
      <w:r w:rsidR="008F3664" w:rsidRPr="0058455D">
        <w:t xml:space="preserve">, </w:t>
      </w:r>
      <w:r>
        <w:t xml:space="preserve">requires us to reflect on how the </w:t>
      </w:r>
      <w:r w:rsidRPr="0058455D">
        <w:t xml:space="preserve">spatial </w:t>
      </w:r>
      <w:r>
        <w:t xml:space="preserve">and functional </w:t>
      </w:r>
      <w:r w:rsidRPr="0058455D">
        <w:t>dimension</w:t>
      </w:r>
      <w:r>
        <w:t>s</w:t>
      </w:r>
      <w:r w:rsidRPr="0058455D">
        <w:t xml:space="preserve"> </w:t>
      </w:r>
      <w:r>
        <w:t xml:space="preserve">of </w:t>
      </w:r>
      <w:r w:rsidR="008F3664" w:rsidRPr="0058455D">
        <w:t>property in land</w:t>
      </w:r>
      <w:r>
        <w:t xml:space="preserve"> </w:t>
      </w:r>
      <w:r w:rsidR="008F3664" w:rsidRPr="0058455D">
        <w:t xml:space="preserve">affect the </w:t>
      </w:r>
      <w:r>
        <w:t>relational behaviour and norms</w:t>
      </w:r>
      <w:r w:rsidR="008F3664" w:rsidRPr="0058455D">
        <w:t>.</w:t>
      </w:r>
    </w:p>
    <w:p w:rsidR="008F3664" w:rsidRPr="00395514" w:rsidRDefault="008F3664" w:rsidP="00546FD2">
      <w:pPr>
        <w:spacing w:line="480" w:lineRule="auto"/>
        <w:rPr>
          <w:b/>
        </w:rPr>
      </w:pPr>
      <w:r w:rsidRPr="00837AB8">
        <w:rPr>
          <w:b/>
          <w:i/>
          <w:iCs/>
        </w:rPr>
        <w:t>Exclusionary and other rights in property</w:t>
      </w:r>
    </w:p>
    <w:p w:rsidR="00422CB6" w:rsidRDefault="00422CB6" w:rsidP="00422CB6">
      <w:pPr>
        <w:autoSpaceDE w:val="0"/>
        <w:spacing w:line="480" w:lineRule="auto"/>
      </w:pPr>
      <w:r>
        <w:t>Although the starting point for many inquiries into the nature of property has become what is referred to as the ‘bundle of rights’ view (the bundle representing the ‘collection of the individual rights people have as against one another with respect to owned resources’</w:t>
      </w:r>
      <w:r>
        <w:rPr>
          <w:rStyle w:val="FootnoteReference"/>
        </w:rPr>
        <w:footnoteReference w:id="33"/>
      </w:r>
      <w:r>
        <w:t>), Penner has argued that it is important to preserve the idea that property is a ‘right to a thing’.</w:t>
      </w:r>
      <w:r>
        <w:rPr>
          <w:rStyle w:val="FootnoteReference"/>
        </w:rPr>
        <w:footnoteReference w:id="34"/>
      </w:r>
      <w:r>
        <w:t xml:space="preserve"> As </w:t>
      </w:r>
      <w:r w:rsidRPr="00817B09">
        <w:t xml:space="preserve">Heller </w:t>
      </w:r>
      <w:r>
        <w:t>observes, while the bundle of rights metaphor ‘reflects well the possibility of complex relational fragmentation, it gives only a weak sense of the “thingness” of private property’.</w:t>
      </w:r>
      <w:r>
        <w:rPr>
          <w:rStyle w:val="FootnoteReference"/>
        </w:rPr>
        <w:footnoteReference w:id="35"/>
      </w:r>
      <w:r>
        <w:t xml:space="preserve"> </w:t>
      </w:r>
      <w:r w:rsidRPr="00C43FAD">
        <w:t>As discussed above,</w:t>
      </w:r>
      <w:r>
        <w:t xml:space="preserve"> we agree that when the property is land it is both inherently relational and to do with a thing,</w:t>
      </w:r>
      <w:r>
        <w:rPr>
          <w:lang w:val="en-US"/>
        </w:rPr>
        <w:t xml:space="preserve"> because the physicality of the land is also centrally important in forming and reforming these relationships. </w:t>
      </w:r>
    </w:p>
    <w:p w:rsidR="00422CB6" w:rsidRPr="00422CB6" w:rsidRDefault="00422CB6" w:rsidP="00422CB6">
      <w:pPr>
        <w:spacing w:line="480" w:lineRule="auto"/>
        <w:rPr>
          <w:rStyle w:val="FootnoteReference"/>
          <w:rFonts w:eastAsia="Cambria"/>
          <w:vertAlign w:val="baseline"/>
        </w:rPr>
      </w:pPr>
      <w:r>
        <w:t xml:space="preserve">A current and lively debate, particularly amongst North American property scholars, is focussed on the </w:t>
      </w:r>
      <w:r w:rsidRPr="00C43FAD">
        <w:rPr>
          <w:rFonts w:eastAsia="Cambria"/>
        </w:rPr>
        <w:t xml:space="preserve">‘means by which property organizes </w:t>
      </w:r>
      <w:r>
        <w:rPr>
          <w:rFonts w:eastAsia="Cambria"/>
        </w:rPr>
        <w:t xml:space="preserve">human behavior and social life’, framing the debate in terms of </w:t>
      </w:r>
      <w:r>
        <w:t>whether there is a specific stick in the bundle that is uniquely important, that is, ‘whether the right to exclude is fundamental to what it means to have a property right.’</w:t>
      </w:r>
      <w:r w:rsidRPr="00C43FAD">
        <w:rPr>
          <w:rFonts w:eastAsia="Cambria"/>
          <w:vertAlign w:val="superscript"/>
        </w:rPr>
        <w:footnoteReference w:id="36"/>
      </w:r>
      <w:r>
        <w:rPr>
          <w:rFonts w:eastAsia="Cambria"/>
        </w:rPr>
        <w:t xml:space="preserve"> </w:t>
      </w:r>
      <w:r>
        <w:t xml:space="preserve">According to Baron, </w:t>
      </w:r>
      <w:r w:rsidRPr="00205B11">
        <w:t>information theorists</w:t>
      </w:r>
      <w:r w:rsidRPr="00205B11">
        <w:rPr>
          <w:rStyle w:val="FootnoteReference"/>
        </w:rPr>
        <w:footnoteReference w:id="37"/>
      </w:r>
      <w:r w:rsidRPr="00205B11">
        <w:rPr>
          <w:rStyle w:val="FootnoteReference"/>
        </w:rPr>
        <w:t xml:space="preserve"> </w:t>
      </w:r>
      <w:r w:rsidRPr="00205B11">
        <w:t>focus on how property law works ‘through exclusion rights with respect to things’; they maintain that property should provide clear signals enabling efficient transactions, and so ‘bundles of rights are not and should not be infinitely customizable</w:t>
      </w:r>
      <w:r>
        <w:t>’.</w:t>
      </w:r>
      <w:r w:rsidRPr="00205B11">
        <w:rPr>
          <w:rStyle w:val="FootnoteReference"/>
        </w:rPr>
        <w:footnoteReference w:id="38"/>
      </w:r>
      <w:r w:rsidRPr="00C43FAD">
        <w:rPr>
          <w:rFonts w:eastAsia="Cambria"/>
        </w:rPr>
        <w:t xml:space="preserve"> Information theorists suggest that there is, and should be, a clear, streamlined and stable system of property to facilitate transactions and ensure that property rights are clearly communicated; property rules should be ‘crystalline’ rather than ‘muddy’.</w:t>
      </w:r>
      <w:r w:rsidRPr="00C43FAD">
        <w:rPr>
          <w:rFonts w:eastAsia="Cambria"/>
          <w:vertAlign w:val="superscript"/>
        </w:rPr>
        <w:footnoteReference w:id="39"/>
      </w:r>
      <w:r w:rsidRPr="00C43FAD">
        <w:rPr>
          <w:rFonts w:eastAsia="Cambria"/>
        </w:rPr>
        <w:t xml:space="preserve"> Therefore, the right to exclude others is the paramount property right. In contrast, the bundle of rights property theorists emphasise that property ‘isn’t about controlling the “thing” so much as it is about my relationship with you, and with everybody else in the world’.</w:t>
      </w:r>
      <w:r w:rsidRPr="00C43FAD">
        <w:rPr>
          <w:rFonts w:eastAsia="Cambria"/>
          <w:vertAlign w:val="superscript"/>
        </w:rPr>
        <w:footnoteReference w:id="40"/>
      </w:r>
      <w:r w:rsidRPr="00C43FAD">
        <w:rPr>
          <w:rFonts w:eastAsia="Cambria"/>
        </w:rPr>
        <w:t xml:space="preserve"> That approach to understanding property is now closely associated with the progressive property theorists, who argue that property law should be concerned with ‘the inevitable impacts of one person’s property rights on others’.</w:t>
      </w:r>
      <w:r w:rsidRPr="00C43FAD">
        <w:rPr>
          <w:rFonts w:eastAsia="Cambria"/>
          <w:vertAlign w:val="superscript"/>
        </w:rPr>
        <w:footnoteReference w:id="41"/>
      </w:r>
      <w:r w:rsidRPr="00C43FAD">
        <w:rPr>
          <w:rFonts w:eastAsia="Cambria"/>
        </w:rPr>
        <w:t xml:space="preserve"> Their focus is not ‘on function, but on ends’, meaning that a considerable level of complexity in property law and potential for change can be expected and tolerated.</w:t>
      </w:r>
      <w:r w:rsidRPr="00C43FAD">
        <w:rPr>
          <w:rFonts w:eastAsia="Cambria"/>
          <w:vertAlign w:val="superscript"/>
        </w:rPr>
        <w:footnoteReference w:id="42"/>
      </w:r>
      <w:r w:rsidRPr="00C43FAD">
        <w:rPr>
          <w:rFonts w:eastAsia="Cambria"/>
        </w:rPr>
        <w:t xml:space="preserve"> </w:t>
      </w:r>
    </w:p>
    <w:p w:rsidR="00E35FDB" w:rsidRDefault="009B5DEC" w:rsidP="00546FD2">
      <w:pPr>
        <w:spacing w:line="480" w:lineRule="auto"/>
      </w:pPr>
      <w:r w:rsidRPr="00370268">
        <w:t xml:space="preserve">We agree </w:t>
      </w:r>
      <w:r w:rsidR="00837AB8">
        <w:t>with this view</w:t>
      </w:r>
      <w:r w:rsidRPr="00370268">
        <w:t>. Indeed, it is exactly this complexity that the dynamics perspective is designed to illuminate</w:t>
      </w:r>
      <w:r>
        <w:t>, so t</w:t>
      </w:r>
      <w:r w:rsidR="008F3664">
        <w:t xml:space="preserve">here are clear affinities between the progressive understanding of property relations, and the </w:t>
      </w:r>
      <w:r w:rsidR="00FD2E96">
        <w:t xml:space="preserve">views </w:t>
      </w:r>
      <w:r w:rsidR="008F3664">
        <w:t>advocat</w:t>
      </w:r>
      <w:r w:rsidR="000273B2">
        <w:t>ed here</w:t>
      </w:r>
      <w:r w:rsidR="008F3664">
        <w:t>. However, progressive property theory remains centred on the property rights-holder and their relationship with the world</w:t>
      </w:r>
      <w:r w:rsidR="00837AB8">
        <w:t>,</w:t>
      </w:r>
      <w:r w:rsidR="008F3664">
        <w:t xml:space="preserve"> and </w:t>
      </w:r>
      <w:r w:rsidR="00837AB8">
        <w:t xml:space="preserve">with </w:t>
      </w:r>
      <w:r w:rsidR="008F3664">
        <w:t>the state. This is a major difference from our perspective.</w:t>
      </w:r>
      <w:r w:rsidR="00AB143C">
        <w:t xml:space="preserve"> </w:t>
      </w:r>
      <w:r w:rsidR="008F3664">
        <w:t>Another difference is that both the progressive and information approaches to property are normative. The information theorists’ claim is that ‘to coordinate social behaviour effectively, property should be (on the whole) simple’, while progressive theorists are concerned with whether ‘property rules are serving the proper values and creating appropriate relationships’.</w:t>
      </w:r>
      <w:r w:rsidR="008F3664">
        <w:rPr>
          <w:rStyle w:val="FootnoteReference"/>
        </w:rPr>
        <w:footnoteReference w:id="43"/>
      </w:r>
      <w:r w:rsidR="008F3664">
        <w:t xml:space="preserve"> In contrast</w:t>
      </w:r>
      <w:r w:rsidR="00BB5775">
        <w:t>,</w:t>
      </w:r>
      <w:r w:rsidR="00AB143C">
        <w:t xml:space="preserve"> </w:t>
      </w:r>
      <w:r w:rsidR="008F3664">
        <w:t xml:space="preserve">our goal is to understand how property relationships work, rather than to advocate that property relationships should be governed by any particular normative values, for example, fairness, efficiency or sustainability. </w:t>
      </w:r>
    </w:p>
    <w:p w:rsidR="008F3664" w:rsidRDefault="008F3664" w:rsidP="00546FD2">
      <w:pPr>
        <w:spacing w:line="480" w:lineRule="auto"/>
      </w:pPr>
      <w:r>
        <w:t>In the UK</w:t>
      </w:r>
      <w:r w:rsidR="00420D58">
        <w:rPr>
          <w:rFonts w:eastAsia="Cambria"/>
        </w:rPr>
        <w:t xml:space="preserve"> </w:t>
      </w:r>
      <w:r w:rsidR="000273B2">
        <w:rPr>
          <w:rFonts w:eastAsia="Cambria"/>
        </w:rPr>
        <w:t>much property law scholarship is</w:t>
      </w:r>
      <w:r w:rsidR="00420D58">
        <w:t xml:space="preserve"> </w:t>
      </w:r>
      <w:r>
        <w:t>doctrinal</w:t>
      </w:r>
      <w:r w:rsidR="000273B2">
        <w:t xml:space="preserve">, </w:t>
      </w:r>
      <w:r>
        <w:t>focus</w:t>
      </w:r>
      <w:r w:rsidR="000273B2">
        <w:t>sing</w:t>
      </w:r>
      <w:r>
        <w:t xml:space="preserve"> on legal rules</w:t>
      </w:r>
      <w:r w:rsidR="000273B2">
        <w:t xml:space="preserve"> rather than normative </w:t>
      </w:r>
      <w:r w:rsidR="000273B2" w:rsidRPr="00422CB6">
        <w:t>principles.</w:t>
      </w:r>
      <w:r w:rsidRPr="00422CB6">
        <w:rPr>
          <w:rStyle w:val="FootnoteReference"/>
        </w:rPr>
        <w:footnoteReference w:id="44"/>
      </w:r>
      <w:r w:rsidRPr="00422CB6">
        <w:t xml:space="preserve"> The Grays’ enquiry into ‘the various forms of reasoning displayed in our law of land’ is </w:t>
      </w:r>
      <w:r w:rsidR="001D71E5" w:rsidRPr="00422CB6">
        <w:t xml:space="preserve">therefore </w:t>
      </w:r>
      <w:r w:rsidRPr="00422CB6">
        <w:t>an exception.</w:t>
      </w:r>
      <w:r w:rsidRPr="00422CB6">
        <w:rPr>
          <w:rStyle w:val="FootnoteReference"/>
        </w:rPr>
        <w:footnoteReference w:id="45"/>
      </w:r>
      <w:r w:rsidRPr="00422CB6">
        <w:t xml:space="preserve"> They find that ‘large normative propositions lurk quietly – in true Anglo-Saxon understatement – between the inscrutable lines of statutory or judicial prose’.</w:t>
      </w:r>
      <w:r w:rsidRPr="00422CB6">
        <w:rPr>
          <w:rStyle w:val="FootnoteReference"/>
        </w:rPr>
        <w:footnoteReference w:id="46"/>
      </w:r>
      <w:r w:rsidRPr="00422CB6">
        <w:t xml:space="preserve"> These </w:t>
      </w:r>
      <w:r w:rsidR="001D71E5" w:rsidRPr="00422CB6">
        <w:t xml:space="preserve">are </w:t>
      </w:r>
      <w:r w:rsidRPr="00422CB6">
        <w:t>term</w:t>
      </w:r>
      <w:r w:rsidR="001D71E5" w:rsidRPr="00422CB6">
        <w:t>ed</w:t>
      </w:r>
      <w:r w:rsidRPr="00422CB6">
        <w:t xml:space="preserve"> ‘meta-principles’, embodying fundamental ethical or systemic values which reflect the constantly evolving social economic</w:t>
      </w:r>
      <w:r>
        <w:t xml:space="preserve"> and physical contexts of land law. The Grays argue </w:t>
      </w:r>
      <w:r w:rsidR="000273B2">
        <w:t xml:space="preserve">persuasively </w:t>
      </w:r>
      <w:r>
        <w:t xml:space="preserve">that there are three current </w:t>
      </w:r>
      <w:r w:rsidR="00C26BCB">
        <w:t xml:space="preserve">normative </w:t>
      </w:r>
      <w:r>
        <w:t xml:space="preserve">meta-principles applied to differing </w:t>
      </w:r>
      <w:r w:rsidR="00C26BCB">
        <w:t xml:space="preserve">spheres of </w:t>
      </w:r>
      <w:r>
        <w:t xml:space="preserve">property relationships. In one-off transactions between strangers, the </w:t>
      </w:r>
      <w:r w:rsidR="00C26BCB">
        <w:t xml:space="preserve">relevant meta-principle </w:t>
      </w:r>
      <w:r>
        <w:t>that the law seeks to promote and reward is rationality, whereas in ‘those large public issues which relate to the environmental quality of the life we enjoy, inevitably in common, with our fellow citizens’</w:t>
      </w:r>
      <w:r w:rsidR="000273B2" w:rsidRPr="000273B2">
        <w:t xml:space="preserve"> </w:t>
      </w:r>
      <w:r w:rsidR="000273B2">
        <w:t>it is reciprocity</w:t>
      </w:r>
      <w:r>
        <w:t>.</w:t>
      </w:r>
      <w:r>
        <w:rPr>
          <w:rStyle w:val="FootnoteReference"/>
        </w:rPr>
        <w:footnoteReference w:id="47"/>
      </w:r>
      <w:r>
        <w:t xml:space="preserve"> Between neighbours</w:t>
      </w:r>
      <w:r w:rsidR="006611F4">
        <w:t>,</w:t>
      </w:r>
      <w:r w:rsidR="0058568E">
        <w:t xml:space="preserve"> </w:t>
      </w:r>
      <w:r>
        <w:t>the Grays suggest that the meta-principle that frames court decisions is ‘the maximisation of social co-operation’.</w:t>
      </w:r>
      <w:r>
        <w:rPr>
          <w:rStyle w:val="FootnoteReference"/>
        </w:rPr>
        <w:footnoteReference w:id="48"/>
      </w:r>
      <w:r>
        <w:t xml:space="preserve">  </w:t>
      </w:r>
      <w:r w:rsidR="000273B2">
        <w:t>Whereas their</w:t>
      </w:r>
      <w:r w:rsidR="00C26BCB">
        <w:t xml:space="preserve"> </w:t>
      </w:r>
      <w:r>
        <w:t xml:space="preserve">analysis is argued from the starting point of legislation and case law, </w:t>
      </w:r>
      <w:r w:rsidR="00FD2E96">
        <w:t>our</w:t>
      </w:r>
      <w:r>
        <w:t xml:space="preserve"> approach start</w:t>
      </w:r>
      <w:r w:rsidR="00FD2E96">
        <w:t>s</w:t>
      </w:r>
      <w:r>
        <w:t xml:space="preserve"> from the land and the relationship between holders of property rights in </w:t>
      </w:r>
      <w:r w:rsidR="00BB5775">
        <w:t>it</w:t>
      </w:r>
      <w:r w:rsidR="00D16890">
        <w:t xml:space="preserve">, </w:t>
      </w:r>
      <w:r w:rsidR="00C26BCB" w:rsidRPr="00F1793D">
        <w:t>reveal</w:t>
      </w:r>
      <w:r w:rsidR="00D16890">
        <w:t>ing</w:t>
      </w:r>
      <w:r w:rsidR="000273B2">
        <w:t xml:space="preserve"> </w:t>
      </w:r>
      <w:r w:rsidR="00F1516D">
        <w:t xml:space="preserve">the </w:t>
      </w:r>
      <w:r w:rsidR="00D16890">
        <w:t xml:space="preserve">complex </w:t>
      </w:r>
      <w:r w:rsidR="00F1516D">
        <w:t xml:space="preserve">dynamics of </w:t>
      </w:r>
      <w:r w:rsidR="00222471" w:rsidRPr="00F1793D">
        <w:t>enduring property relations</w:t>
      </w:r>
      <w:r w:rsidR="0058568E">
        <w:t>hips</w:t>
      </w:r>
      <w:r w:rsidR="00222471" w:rsidRPr="00F1793D">
        <w:t xml:space="preserve"> </w:t>
      </w:r>
      <w:r w:rsidR="00D16890">
        <w:t xml:space="preserve">rather than </w:t>
      </w:r>
      <w:r w:rsidR="00222471" w:rsidRPr="00F1793D">
        <w:t>normative meta-principle</w:t>
      </w:r>
      <w:r w:rsidR="00D16890">
        <w:t>s</w:t>
      </w:r>
      <w:r w:rsidR="00222471" w:rsidRPr="00F1793D">
        <w:t>.</w:t>
      </w:r>
    </w:p>
    <w:p w:rsidR="008F3664" w:rsidRPr="00395514" w:rsidRDefault="008F3664" w:rsidP="00546FD2">
      <w:pPr>
        <w:spacing w:line="480" w:lineRule="auto"/>
        <w:rPr>
          <w:b/>
        </w:rPr>
      </w:pPr>
      <w:r w:rsidRPr="00837AB8">
        <w:rPr>
          <w:b/>
          <w:i/>
          <w:iCs/>
        </w:rPr>
        <w:t>Governance property</w:t>
      </w:r>
    </w:p>
    <w:p w:rsidR="00546FD2" w:rsidRDefault="008F3664" w:rsidP="00546FD2">
      <w:pPr>
        <w:spacing w:line="480" w:lineRule="auto"/>
      </w:pPr>
      <w:r>
        <w:t xml:space="preserve">In contexts where land is used in common with other rights-holders, some arrangements for its governance must be put in place. </w:t>
      </w:r>
      <w:r w:rsidR="00E8270F">
        <w:t>T</w:t>
      </w:r>
      <w:r w:rsidR="00266472">
        <w:t>he</w:t>
      </w:r>
      <w:r w:rsidRPr="00B179F5">
        <w:t xml:space="preserve"> bundle of rights metaphor </w:t>
      </w:r>
      <w:r w:rsidR="00B571D3">
        <w:t>has been said to be</w:t>
      </w:r>
      <w:r w:rsidR="00266472">
        <w:t xml:space="preserve"> useful for</w:t>
      </w:r>
      <w:r w:rsidRPr="00B179F5">
        <w:t xml:space="preserve"> ‘teasing out the different facets of ownership … in complex governance arrangements such as common interest communities or residential owners associations’.</w:t>
      </w:r>
      <w:r w:rsidRPr="00B179F5">
        <w:rPr>
          <w:rStyle w:val="FootnoteReference"/>
        </w:rPr>
        <w:footnoteReference w:id="49"/>
      </w:r>
      <w:r w:rsidR="006B0D17">
        <w:t xml:space="preserve"> </w:t>
      </w:r>
      <w:r w:rsidR="00266472">
        <w:t xml:space="preserve">Confusingly </w:t>
      </w:r>
      <w:r w:rsidR="00FD2E96">
        <w:t xml:space="preserve">though, </w:t>
      </w:r>
      <w:r>
        <w:t xml:space="preserve">the term governance </w:t>
      </w:r>
      <w:r w:rsidR="001D71E5">
        <w:t xml:space="preserve">has been </w:t>
      </w:r>
      <w:r w:rsidR="00266472">
        <w:t xml:space="preserve">used </w:t>
      </w:r>
      <w:r>
        <w:t xml:space="preserve">in different ways. Smith, for example, differentiates </w:t>
      </w:r>
      <w:r w:rsidR="00241FCC">
        <w:t>‘</w:t>
      </w:r>
      <w:r>
        <w:t>property</w:t>
      </w:r>
      <w:r w:rsidR="00241FCC">
        <w:t>’</w:t>
      </w:r>
      <w:r>
        <w:t xml:space="preserve"> (which he associates with exclusionary rights) from </w:t>
      </w:r>
      <w:r w:rsidR="00241FCC">
        <w:t>‘</w:t>
      </w:r>
      <w:r>
        <w:t>governance</w:t>
      </w:r>
      <w:r w:rsidR="00241FCC">
        <w:t>’</w:t>
      </w:r>
      <w:r>
        <w:t xml:space="preserve">, </w:t>
      </w:r>
      <w:r w:rsidR="006611F4">
        <w:t xml:space="preserve">by </w:t>
      </w:r>
      <w:r w:rsidR="00266472">
        <w:t>which he mean</w:t>
      </w:r>
      <w:r w:rsidR="006611F4">
        <w:t>s</w:t>
      </w:r>
      <w:r w:rsidR="00266472">
        <w:t xml:space="preserve"> a wide range of</w:t>
      </w:r>
      <w:r>
        <w:t xml:space="preserve"> sources ‘from contractual provisions, to norms of proper use, to nuisance law and public environmental regulation’.</w:t>
      </w:r>
      <w:r>
        <w:rPr>
          <w:rStyle w:val="FootnoteReference"/>
        </w:rPr>
        <w:footnoteReference w:id="50"/>
      </w:r>
      <w:r>
        <w:t xml:space="preserve"> By contrast, Alexander</w:t>
      </w:r>
      <w:r w:rsidR="006C03BC">
        <w:t>’s</w:t>
      </w:r>
      <w:r>
        <w:t xml:space="preserve"> defin</w:t>
      </w:r>
      <w:r w:rsidR="006C03BC">
        <w:t>ition of</w:t>
      </w:r>
      <w:r>
        <w:t xml:space="preserve"> </w:t>
      </w:r>
      <w:r w:rsidR="00241FCC">
        <w:t>‘</w:t>
      </w:r>
      <w:r>
        <w:t>governance property</w:t>
      </w:r>
      <w:r w:rsidR="00241FCC">
        <w:t>’</w:t>
      </w:r>
      <w:r>
        <w:t xml:space="preserve"> </w:t>
      </w:r>
      <w:r w:rsidR="006C03BC">
        <w:t>encompasses</w:t>
      </w:r>
      <w:r>
        <w:t xml:space="preserve"> both the external relations of property and internal governance norms in multiple-ownership property</w:t>
      </w:r>
      <w:r w:rsidR="006C03BC">
        <w:t>,</w:t>
      </w:r>
      <w:r>
        <w:rPr>
          <w:rStyle w:val="FootnoteReference"/>
        </w:rPr>
        <w:footnoteReference w:id="51"/>
      </w:r>
      <w:r>
        <w:t xml:space="preserve"> </w:t>
      </w:r>
      <w:r w:rsidR="001A5E74">
        <w:t>for</w:t>
      </w:r>
      <w:r w:rsidR="006C03BC">
        <w:t xml:space="preserve"> example </w:t>
      </w:r>
      <w:r>
        <w:t xml:space="preserve">marriage or domestic partnerships, the home or household, common interest communities, leasehold, business partnerships and commercial trusts. </w:t>
      </w:r>
    </w:p>
    <w:p w:rsidR="00BB5775" w:rsidRDefault="008F3664" w:rsidP="00546FD2">
      <w:pPr>
        <w:spacing w:line="480" w:lineRule="auto"/>
      </w:pPr>
      <w:r>
        <w:t>As Dagan notes, the concept of governance property accounts for, or at least does not overlook, property relationships other than fee simple ownership</w:t>
      </w:r>
      <w:r w:rsidR="00266472">
        <w:t>,</w:t>
      </w:r>
      <w:r>
        <w:rPr>
          <w:rStyle w:val="FootnoteReference"/>
        </w:rPr>
        <w:footnoteReference w:id="52"/>
      </w:r>
      <w:r>
        <w:t xml:space="preserve"> </w:t>
      </w:r>
      <w:r w:rsidR="00266472">
        <w:t xml:space="preserve">so it </w:t>
      </w:r>
      <w:r>
        <w:t xml:space="preserve">seems to map well onto the type of property relationships that are </w:t>
      </w:r>
      <w:r w:rsidR="00096821">
        <w:t xml:space="preserve">our </w:t>
      </w:r>
      <w:r>
        <w:t>focus.</w:t>
      </w:r>
      <w:r w:rsidR="00266472">
        <w:t xml:space="preserve"> </w:t>
      </w:r>
      <w:r>
        <w:t>Dagan</w:t>
      </w:r>
      <w:r w:rsidR="00096821">
        <w:t xml:space="preserve"> </w:t>
      </w:r>
      <w:r w:rsidR="00266472">
        <w:t>suggest</w:t>
      </w:r>
      <w:r w:rsidR="00096821">
        <w:t>s</w:t>
      </w:r>
      <w:r w:rsidR="00266472">
        <w:t xml:space="preserve"> </w:t>
      </w:r>
      <w:r>
        <w:t xml:space="preserve">that </w:t>
      </w:r>
      <w:r w:rsidRPr="00370268">
        <w:t>formal and hierarchical governance arrangements which foreground the legal rules are appropriate for predominantly economic property institutions, whereas law acts ‘in softer ways’ to facilitate the ‘informal and participatory’ governance arrangements for predominantly social property institutions</w:t>
      </w:r>
      <w:r w:rsidR="00096821">
        <w:t>’</w:t>
      </w:r>
      <w:r w:rsidR="00A77A12">
        <w:t>.</w:t>
      </w:r>
      <w:r w:rsidRPr="00370268">
        <w:rPr>
          <w:vertAlign w:val="superscript"/>
        </w:rPr>
        <w:footnoteReference w:id="53"/>
      </w:r>
      <w:r>
        <w:t xml:space="preserve"> </w:t>
      </w:r>
      <w:r w:rsidR="00B52479">
        <w:t xml:space="preserve">This </w:t>
      </w:r>
      <w:r w:rsidR="00096821">
        <w:t xml:space="preserve">observation </w:t>
      </w:r>
      <w:r w:rsidR="00B52479">
        <w:t xml:space="preserve">assists </w:t>
      </w:r>
      <w:r w:rsidR="00BD6E64">
        <w:t xml:space="preserve">our approach to understanding the range of different enduring property relations.  </w:t>
      </w:r>
    </w:p>
    <w:p w:rsidR="008F3664" w:rsidRDefault="008F3664" w:rsidP="00546FD2">
      <w:pPr>
        <w:spacing w:line="480" w:lineRule="auto"/>
      </w:pPr>
      <w:r>
        <w:t>Like ours, Alexander’s enquiry is shifted away from the ‘external life’ of property towards the ‘</w:t>
      </w:r>
      <w:r w:rsidRPr="007A4207">
        <w:rPr>
          <w:i/>
        </w:rPr>
        <w:t>internal</w:t>
      </w:r>
      <w:r>
        <w:t xml:space="preserve"> relationships among property stakeholders</w:t>
      </w:r>
      <w:r w:rsidR="00BD6E64">
        <w:t>,</w:t>
      </w:r>
      <w:r>
        <w:t>’</w:t>
      </w:r>
      <w:r>
        <w:rPr>
          <w:rStyle w:val="FootnoteReference"/>
        </w:rPr>
        <w:footnoteReference w:id="54"/>
      </w:r>
      <w:r>
        <w:t xml:space="preserve"> assert</w:t>
      </w:r>
      <w:r w:rsidR="00BD6E64">
        <w:t>ing</w:t>
      </w:r>
      <w:r>
        <w:t xml:space="preserve"> that a concentration upon the external life of property </w:t>
      </w:r>
      <w:r w:rsidR="00BD6E64">
        <w:t>and particularly on</w:t>
      </w:r>
      <w:r>
        <w:t xml:space="preserve"> the right to exclude, gives ‘a distorted and misleading view of property’.</w:t>
      </w:r>
      <w:r>
        <w:rPr>
          <w:rStyle w:val="FootnoteReference"/>
        </w:rPr>
        <w:footnoteReference w:id="55"/>
      </w:r>
      <w:r>
        <w:t xml:space="preserve">  Our approach also centres on the use of land and the enduring relationship</w:t>
      </w:r>
      <w:r w:rsidR="00D25251">
        <w:t>s</w:t>
      </w:r>
      <w:r>
        <w:t xml:space="preserve"> between those with property rights in the same land, taking into account the influence of broader external forces on these relationships. We agree with Alexander that use of land is the key, as exclusion inevitably </w:t>
      </w:r>
      <w:r w:rsidR="00800B86">
        <w:t xml:space="preserve">centres on </w:t>
      </w:r>
      <w:r>
        <w:t>disputes, but our perspective is distinct from his. Alexander</w:t>
      </w:r>
      <w:r w:rsidR="00241FCC">
        <w:t>’</w:t>
      </w:r>
      <w:r>
        <w:t xml:space="preserve">s concept of governance property is too broad for our purposes; although his work includes some of the relationships that we are exploring, for instance leaseholds, it is more expansive as it also includes wider co-ownership structures, including domestic partnership, trust property and business organisations. </w:t>
      </w:r>
      <w:r w:rsidR="00B571D3">
        <w:rPr>
          <w:rFonts w:eastAsia="Cambria"/>
        </w:rPr>
        <w:t>Whilst t</w:t>
      </w:r>
      <w:r>
        <w:rPr>
          <w:rFonts w:eastAsia="Cambria"/>
        </w:rPr>
        <w:t xml:space="preserve">he dynamics approach </w:t>
      </w:r>
      <w:r w:rsidR="006C03BC">
        <w:rPr>
          <w:rFonts w:eastAsia="Cambria"/>
        </w:rPr>
        <w:t xml:space="preserve">would seem </w:t>
      </w:r>
      <w:r>
        <w:rPr>
          <w:rFonts w:eastAsia="Cambria"/>
        </w:rPr>
        <w:t xml:space="preserve">particularly pertinent in the context of the family home, the dominant dynamics of the </w:t>
      </w:r>
      <w:r>
        <w:rPr>
          <w:rFonts w:eastAsia="Cambria"/>
          <w:i/>
        </w:rPr>
        <w:t xml:space="preserve">family </w:t>
      </w:r>
      <w:r>
        <w:rPr>
          <w:rFonts w:eastAsia="Cambria"/>
        </w:rPr>
        <w:t xml:space="preserve">relationship are likely to drown out the influence of the essential spatial and temporal dimensions of land that we wish to explore. </w:t>
      </w:r>
    </w:p>
    <w:p w:rsidR="008F3664" w:rsidRDefault="008F3664" w:rsidP="00546FD2">
      <w:pPr>
        <w:spacing w:line="480" w:lineRule="auto"/>
      </w:pPr>
      <w:r>
        <w:t>A further distinction is that Alexander’s purpose is normative; he argues that governance property contributes to the development of certain virtues that promote human flourishing, primarily community, cooperation, trust and honesty.</w:t>
      </w:r>
      <w:r>
        <w:rPr>
          <w:rStyle w:val="FootnoteReference"/>
        </w:rPr>
        <w:footnoteReference w:id="56"/>
      </w:r>
      <w:r>
        <w:t xml:space="preserve"> Dagan also suggests that governance property promotes co-operation rather than competition.</w:t>
      </w:r>
      <w:r>
        <w:rPr>
          <w:rStyle w:val="FootnoteReference"/>
        </w:rPr>
        <w:footnoteReference w:id="57"/>
      </w:r>
      <w:r>
        <w:t xml:space="preserve"> We accept that norms promoting human flourishing may constitute an aspect of particular property relations, but do not consider </w:t>
      </w:r>
      <w:r w:rsidRPr="005D02D0">
        <w:t>that this is a</w:t>
      </w:r>
      <w:r w:rsidR="0058166E" w:rsidRPr="005D02D0">
        <w:t>n essential element</w:t>
      </w:r>
      <w:r w:rsidR="00B52479" w:rsidRPr="005D02D0">
        <w:t>,</w:t>
      </w:r>
      <w:r w:rsidRPr="005D02D0">
        <w:t xml:space="preserve"> or even usual</w:t>
      </w:r>
      <w:r w:rsidR="00B52479" w:rsidRPr="005D02D0">
        <w:t>,</w:t>
      </w:r>
      <w:r w:rsidRPr="005D02D0">
        <w:t xml:space="preserve"> in all governance property relationships. The structure of a typical commercial lease</w:t>
      </w:r>
      <w:r>
        <w:t>, for example, creates a division between the financial interests of the landlord and tenant that is often said to contribute to an adversarial relationship between the parties</w:t>
      </w:r>
      <w:r w:rsidR="00E8270F">
        <w:t>;</w:t>
      </w:r>
      <w:r>
        <w:t xml:space="preserve"> indeed, that relationship is sometimes referred to as a battleground.</w:t>
      </w:r>
      <w:r>
        <w:rPr>
          <w:rStyle w:val="FootnoteReference"/>
        </w:rPr>
        <w:footnoteReference w:id="58"/>
      </w:r>
      <w:r>
        <w:t xml:space="preserve"> </w:t>
      </w:r>
    </w:p>
    <w:p w:rsidR="00E35FDB" w:rsidRDefault="00B571D3" w:rsidP="00546FD2">
      <w:pPr>
        <w:spacing w:line="480" w:lineRule="auto"/>
      </w:pPr>
      <w:r>
        <w:t>In the following section we</w:t>
      </w:r>
      <w:r w:rsidR="008F3664">
        <w:t xml:space="preserve"> turn to consideration of the inevitable, but often unrecognised, complexity in property relations due to their inherent dynamics: time elapses, parties to the relationship change, </w:t>
      </w:r>
      <w:r w:rsidR="00F4046E">
        <w:t xml:space="preserve">and </w:t>
      </w:r>
      <w:r w:rsidR="008F3664">
        <w:t>the parties’ use and understanding of the rules and norms that apply to the property.</w:t>
      </w:r>
      <w:r w:rsidR="009E3A57">
        <w:t xml:space="preserve"> </w:t>
      </w:r>
    </w:p>
    <w:p w:rsidR="00DD6625" w:rsidRDefault="00DD6625" w:rsidP="00546FD2">
      <w:pPr>
        <w:spacing w:line="480" w:lineRule="auto"/>
      </w:pPr>
      <w:r>
        <w:rPr>
          <w:b/>
        </w:rPr>
        <w:t>Explaining the dynamics of enduring property relationships</w:t>
      </w:r>
    </w:p>
    <w:p w:rsidR="00DD6625" w:rsidRDefault="009618C7" w:rsidP="00546FD2">
      <w:pPr>
        <w:spacing w:line="480" w:lineRule="auto"/>
      </w:pPr>
      <w:r>
        <w:t>T</w:t>
      </w:r>
      <w:r w:rsidR="000A4D80">
        <w:t xml:space="preserve">he dynamics approach offers </w:t>
      </w:r>
      <w:r w:rsidR="005D02D0">
        <w:t>multiple</w:t>
      </w:r>
      <w:r w:rsidR="000A4D80">
        <w:t xml:space="preserve"> ways of looking at </w:t>
      </w:r>
      <w:r>
        <w:t xml:space="preserve">these inherently complex </w:t>
      </w:r>
      <w:r w:rsidR="000A4D80">
        <w:t xml:space="preserve">property relationships so that we can </w:t>
      </w:r>
      <w:r w:rsidR="002F5B31">
        <w:t>appreciate</w:t>
      </w:r>
      <w:r w:rsidR="00A620F0">
        <w:t xml:space="preserve"> their</w:t>
      </w:r>
      <w:r w:rsidR="002F5B31">
        <w:t xml:space="preserve"> differing features. For convenience we group these perspectives into three </w:t>
      </w:r>
      <w:r w:rsidR="00B61DCB">
        <w:t>inter-related</w:t>
      </w:r>
      <w:r w:rsidR="002F5B31">
        <w:t xml:space="preserve"> categories</w:t>
      </w:r>
      <w:r w:rsidR="00FE0C99">
        <w:t xml:space="preserve">: the </w:t>
      </w:r>
      <w:r w:rsidR="00A620F0">
        <w:t xml:space="preserve">diverse </w:t>
      </w:r>
      <w:r w:rsidR="00FE0C99">
        <w:t xml:space="preserve">network of sources, property’s temporal element, and discretionary spaces in </w:t>
      </w:r>
      <w:r w:rsidR="00F60081">
        <w:t>decision-making</w:t>
      </w:r>
      <w:r w:rsidR="00FE0C99">
        <w:t xml:space="preserve">. </w:t>
      </w:r>
    </w:p>
    <w:p w:rsidR="008F3664" w:rsidRDefault="00B24895" w:rsidP="00546FD2">
      <w:pPr>
        <w:spacing w:line="480" w:lineRule="auto"/>
      </w:pPr>
      <w:r>
        <w:t>Our</w:t>
      </w:r>
      <w:r w:rsidR="00452D9C">
        <w:t xml:space="preserve"> starting point is </w:t>
      </w:r>
      <w:r w:rsidR="00452D9C" w:rsidRPr="001A60C0">
        <w:t xml:space="preserve">property relationships </w:t>
      </w:r>
      <w:r w:rsidR="005E691F" w:rsidRPr="001A60C0">
        <w:t xml:space="preserve">which are built </w:t>
      </w:r>
      <w:r w:rsidR="00A50326" w:rsidRPr="001A60C0">
        <w:t>around prope</w:t>
      </w:r>
      <w:r w:rsidR="005E691F" w:rsidRPr="001A60C0">
        <w:t xml:space="preserve">rty rights </w:t>
      </w:r>
      <w:r w:rsidRPr="001A60C0">
        <w:t xml:space="preserve">recognised </w:t>
      </w:r>
      <w:r w:rsidR="005E691F" w:rsidRPr="001A60C0">
        <w:t>by the legal system.</w:t>
      </w:r>
      <w:r w:rsidR="005E691F">
        <w:t xml:space="preserve"> In land law terms, this means rights </w:t>
      </w:r>
      <w:r w:rsidR="008955AC">
        <w:t xml:space="preserve">within the </w:t>
      </w:r>
      <w:r w:rsidR="00A70BCD" w:rsidRPr="009618C7">
        <w:rPr>
          <w:i/>
        </w:rPr>
        <w:t>numerus clausus</w:t>
      </w:r>
      <w:r w:rsidR="001A60C0">
        <w:t xml:space="preserve">, </w:t>
      </w:r>
      <w:r w:rsidR="005E691F">
        <w:t xml:space="preserve">such as the fee simple, leasehold, mortgages, easements and so on. </w:t>
      </w:r>
      <w:r w:rsidR="00E4529A">
        <w:t xml:space="preserve">But rather than focus </w:t>
      </w:r>
      <w:r w:rsidR="005966D8">
        <w:t>our attention exclusively</w:t>
      </w:r>
      <w:r w:rsidR="00E4529A">
        <w:t xml:space="preserve"> on these rights</w:t>
      </w:r>
      <w:r>
        <w:t xml:space="preserve">, </w:t>
      </w:r>
      <w:r w:rsidR="005966D8">
        <w:t xml:space="preserve">we are interested in </w:t>
      </w:r>
      <w:r>
        <w:t xml:space="preserve">using a broad dynamics lens to </w:t>
      </w:r>
      <w:r w:rsidR="005966D8">
        <w:t>explor</w:t>
      </w:r>
      <w:r>
        <w:t>e</w:t>
      </w:r>
      <w:r w:rsidR="005966D8">
        <w:t xml:space="preserve"> the relationships between</w:t>
      </w:r>
      <w:r w:rsidR="000431F9">
        <w:t xml:space="preserve"> the persons who each possess one of these </w:t>
      </w:r>
      <w:r w:rsidR="005966D8">
        <w:t>property right</w:t>
      </w:r>
      <w:r w:rsidR="000431F9">
        <w:t>s</w:t>
      </w:r>
      <w:r w:rsidR="005966D8">
        <w:t xml:space="preserve"> in relation to the sa</w:t>
      </w:r>
      <w:r w:rsidR="002F0B4F">
        <w:t>m</w:t>
      </w:r>
      <w:r w:rsidR="00446C12">
        <w:t xml:space="preserve">e </w:t>
      </w:r>
      <w:r w:rsidR="00E405E1">
        <w:t>land</w:t>
      </w:r>
      <w:r>
        <w:t xml:space="preserve"> (such as mortgagee and mortgagor)</w:t>
      </w:r>
      <w:r w:rsidR="00446C12">
        <w:t>. At time</w:t>
      </w:r>
      <w:r w:rsidR="00C84E9B">
        <w:t xml:space="preserve">s this </w:t>
      </w:r>
      <w:r w:rsidR="00AB1615">
        <w:t xml:space="preserve">may </w:t>
      </w:r>
      <w:r>
        <w:t xml:space="preserve">be </w:t>
      </w:r>
      <w:r w:rsidR="00AB1615">
        <w:t>broaden</w:t>
      </w:r>
      <w:r>
        <w:t>ed</w:t>
      </w:r>
      <w:r w:rsidR="00AB1615">
        <w:t xml:space="preserve"> out yet further to </w:t>
      </w:r>
      <w:r w:rsidR="00E405E1">
        <w:t xml:space="preserve">explore </w:t>
      </w:r>
      <w:r w:rsidR="00E06522">
        <w:t>the relationship</w:t>
      </w:r>
      <w:r w:rsidR="00E405E1">
        <w:t>s</w:t>
      </w:r>
      <w:r w:rsidR="00E06522">
        <w:t xml:space="preserve"> amongst </w:t>
      </w:r>
      <w:r w:rsidR="00AB1615">
        <w:t>rights-holders</w:t>
      </w:r>
      <w:r w:rsidR="00E06522">
        <w:t xml:space="preserve"> </w:t>
      </w:r>
      <w:r>
        <w:t xml:space="preserve">who are spatially connected but may </w:t>
      </w:r>
      <w:r w:rsidR="00E06522">
        <w:t>not have direct contract</w:t>
      </w:r>
      <w:r w:rsidR="001A5E74">
        <w:t>-</w:t>
      </w:r>
      <w:r w:rsidR="00955398">
        <w:t xml:space="preserve">based property </w:t>
      </w:r>
      <w:r w:rsidR="00E06522">
        <w:t xml:space="preserve">rights with each other (as with the occupiers of flats). </w:t>
      </w:r>
      <w:r w:rsidR="005103AF">
        <w:t xml:space="preserve"> </w:t>
      </w:r>
    </w:p>
    <w:p w:rsidR="000F064D" w:rsidRPr="001B645C" w:rsidRDefault="0069082D" w:rsidP="000C7DDA">
      <w:pPr>
        <w:spacing w:line="480" w:lineRule="auto"/>
        <w:rPr>
          <w:b/>
        </w:rPr>
      </w:pPr>
      <w:r w:rsidRPr="000C7DDA">
        <w:rPr>
          <w:b/>
          <w:i/>
          <w:iCs/>
        </w:rPr>
        <w:t xml:space="preserve">The </w:t>
      </w:r>
      <w:r w:rsidR="000C7DDA" w:rsidRPr="000C7DDA">
        <w:rPr>
          <w:b/>
          <w:i/>
          <w:iCs/>
        </w:rPr>
        <w:t xml:space="preserve">diverse </w:t>
      </w:r>
      <w:r w:rsidR="00136727" w:rsidRPr="000C7DDA">
        <w:rPr>
          <w:b/>
          <w:i/>
          <w:iCs/>
        </w:rPr>
        <w:t>n</w:t>
      </w:r>
      <w:r w:rsidRPr="000C7DDA">
        <w:rPr>
          <w:b/>
          <w:i/>
          <w:iCs/>
        </w:rPr>
        <w:t xml:space="preserve">etwork of </w:t>
      </w:r>
      <w:r w:rsidR="00136727" w:rsidRPr="000C7DDA">
        <w:rPr>
          <w:b/>
          <w:i/>
          <w:iCs/>
        </w:rPr>
        <w:t>r</w:t>
      </w:r>
      <w:r w:rsidRPr="000C7DDA">
        <w:rPr>
          <w:b/>
          <w:i/>
          <w:iCs/>
        </w:rPr>
        <w:t xml:space="preserve">elationship </w:t>
      </w:r>
      <w:r w:rsidR="00136727" w:rsidRPr="000C7DDA">
        <w:rPr>
          <w:b/>
          <w:i/>
          <w:iCs/>
        </w:rPr>
        <w:t>s</w:t>
      </w:r>
      <w:r w:rsidRPr="000C7DDA">
        <w:rPr>
          <w:b/>
          <w:i/>
          <w:iCs/>
        </w:rPr>
        <w:t>ources</w:t>
      </w:r>
    </w:p>
    <w:p w:rsidR="000431F9" w:rsidRDefault="00457D36" w:rsidP="00546FD2">
      <w:pPr>
        <w:spacing w:line="480" w:lineRule="auto"/>
      </w:pPr>
      <w:r>
        <w:t xml:space="preserve">Even though we start from property-rights narrowly defined, </w:t>
      </w:r>
      <w:r w:rsidRPr="0064068A">
        <w:t>in explaining the various influence</w:t>
      </w:r>
      <w:r w:rsidR="006B2DD9">
        <w:t>s that shape</w:t>
      </w:r>
      <w:r w:rsidRPr="0064068A">
        <w:t xml:space="preserve"> these relationships </w:t>
      </w:r>
      <w:r>
        <w:t>we adopt a more expansive approach that looks beyond legal instruments</w:t>
      </w:r>
      <w:r w:rsidR="000431F9">
        <w:t>,</w:t>
      </w:r>
      <w:r>
        <w:t xml:space="preserve"> to include self-generated norms and what Singer refers to as ‘social custom’.</w:t>
      </w:r>
      <w:r w:rsidRPr="00370268">
        <w:rPr>
          <w:vertAlign w:val="superscript"/>
        </w:rPr>
        <w:footnoteReference w:id="59"/>
      </w:r>
      <w:r>
        <w:t xml:space="preserve"> </w:t>
      </w:r>
      <w:r w:rsidR="00CA466A">
        <w:t>Th</w:t>
      </w:r>
      <w:r w:rsidR="0064068A">
        <w:t xml:space="preserve">is </w:t>
      </w:r>
      <w:r w:rsidR="00CA466A">
        <w:t xml:space="preserve">broader approach is akin to the wider recognition </w:t>
      </w:r>
      <w:r w:rsidR="006633BF">
        <w:t xml:space="preserve">within RCT scholarship that an analysis of contractual relationships requires </w:t>
      </w:r>
      <w:r w:rsidRPr="007B054C">
        <w:t>‘understanding, recognition and consideration of all essential elements of its enveloping relations</w:t>
      </w:r>
      <w:r w:rsidR="00241FCC">
        <w:t>’</w:t>
      </w:r>
      <w:r w:rsidRPr="007B054C">
        <w:t>.</w:t>
      </w:r>
      <w:r w:rsidRPr="007B054C">
        <w:rPr>
          <w:rStyle w:val="FootnoteReference"/>
        </w:rPr>
        <w:footnoteReference w:id="60"/>
      </w:r>
      <w:r>
        <w:t xml:space="preserve">  </w:t>
      </w:r>
      <w:r w:rsidR="007B17E2" w:rsidRPr="00EA5373">
        <w:t xml:space="preserve">Although reasons of space prevent us from discussing here </w:t>
      </w:r>
      <w:r w:rsidR="00B24895" w:rsidRPr="00EA5373">
        <w:t xml:space="preserve">other factors which may, in certain contexts, have an impact on particular property relations, such as </w:t>
      </w:r>
      <w:r w:rsidR="007B17E2" w:rsidRPr="00EA5373">
        <w:t>the law of trespass, the tort of nuisance (from tree roots to noise), restrictive covenants, rights of reasonable access to another’s land,</w:t>
      </w:r>
      <w:r w:rsidR="007B17E2" w:rsidRPr="00EA5373">
        <w:rPr>
          <w:rStyle w:val="FootnoteReference"/>
        </w:rPr>
        <w:footnoteReference w:id="61"/>
      </w:r>
      <w:r w:rsidR="007B17E2" w:rsidRPr="00EA5373">
        <w:t xml:space="preserve"> and ‘public environmental regulation’,</w:t>
      </w:r>
      <w:r w:rsidR="007B17E2" w:rsidRPr="00EA5373">
        <w:rPr>
          <w:rStyle w:val="FootnoteReference"/>
        </w:rPr>
        <w:footnoteReference w:id="62"/>
      </w:r>
      <w:r w:rsidR="007B17E2" w:rsidRPr="00EA5373">
        <w:t xml:space="preserve"> all of these </w:t>
      </w:r>
      <w:r w:rsidR="00B24895" w:rsidRPr="00EA5373">
        <w:t>potentially</w:t>
      </w:r>
      <w:r w:rsidR="007B17E2" w:rsidRPr="00EA5373">
        <w:t xml:space="preserve"> fall within the ambit of the dynamics approach</w:t>
      </w:r>
      <w:r w:rsidR="00B24895" w:rsidRPr="00EA5373">
        <w:t>.</w:t>
      </w:r>
    </w:p>
    <w:p w:rsidR="005D43ED" w:rsidRPr="00BB5775" w:rsidRDefault="007B17E2" w:rsidP="00546FD2">
      <w:pPr>
        <w:spacing w:line="480" w:lineRule="auto"/>
      </w:pPr>
      <w:r>
        <w:t xml:space="preserve">The core elements of </w:t>
      </w:r>
      <w:r w:rsidR="00995B1B">
        <w:t xml:space="preserve">consensual property rights </w:t>
      </w:r>
      <w:r w:rsidR="00E26519">
        <w:t>include</w:t>
      </w:r>
      <w:r w:rsidR="0089064F">
        <w:t>,</w:t>
      </w:r>
      <w:r w:rsidR="00E26519">
        <w:t xml:space="preserve"> </w:t>
      </w:r>
      <w:r w:rsidR="000431F9">
        <w:t>but are not confined to</w:t>
      </w:r>
      <w:r w:rsidR="0089064F">
        <w:t>,</w:t>
      </w:r>
      <w:r w:rsidR="000431F9">
        <w:t xml:space="preserve"> </w:t>
      </w:r>
      <w:r w:rsidR="00197D64">
        <w:t xml:space="preserve">the background </w:t>
      </w:r>
      <w:r w:rsidR="00457D36">
        <w:t xml:space="preserve">common law and statutory </w:t>
      </w:r>
      <w:r w:rsidR="00197D64">
        <w:t>rules of property and contract law</w:t>
      </w:r>
      <w:r w:rsidR="00457D36">
        <w:t xml:space="preserve">, such as </w:t>
      </w:r>
      <w:r w:rsidR="00AA33AF">
        <w:t xml:space="preserve">rules that dictate the definitional content of </w:t>
      </w:r>
      <w:r w:rsidR="00AA33AF">
        <w:rPr>
          <w:i/>
        </w:rPr>
        <w:t xml:space="preserve">de jure </w:t>
      </w:r>
      <w:r w:rsidR="00F505CE">
        <w:t>property interests</w:t>
      </w:r>
      <w:r w:rsidR="0089064F">
        <w:t>:</w:t>
      </w:r>
      <w:r w:rsidR="00457D36">
        <w:t xml:space="preserve"> for example, the re</w:t>
      </w:r>
      <w:r w:rsidR="00F505CE">
        <w:t>quirement that a tenant has exclusive possession</w:t>
      </w:r>
      <w:r w:rsidR="00457D36">
        <w:t>.</w:t>
      </w:r>
      <w:r w:rsidR="00F505CE">
        <w:t xml:space="preserve"> </w:t>
      </w:r>
      <w:r>
        <w:t>They</w:t>
      </w:r>
      <w:r w:rsidR="00457D36">
        <w:t xml:space="preserve"> also include default rules that apply unless excluded or varied, f</w:t>
      </w:r>
      <w:r w:rsidR="00457D36" w:rsidRPr="007B054C">
        <w:t xml:space="preserve">or example, </w:t>
      </w:r>
      <w:r w:rsidR="00457D36">
        <w:t xml:space="preserve">that </w:t>
      </w:r>
      <w:r w:rsidR="00457D36" w:rsidRPr="007B054C">
        <w:t xml:space="preserve">a legal charge by way of mortgage confers upon the </w:t>
      </w:r>
      <w:r w:rsidR="0006700B">
        <w:t>chargee</w:t>
      </w:r>
      <w:r w:rsidR="00457D36" w:rsidRPr="007B054C">
        <w:t xml:space="preserve"> an implied power of sale and to appoint a receiver.</w:t>
      </w:r>
      <w:r w:rsidR="00457D36" w:rsidRPr="007B054C">
        <w:rPr>
          <w:rStyle w:val="FootnoteReference"/>
        </w:rPr>
        <w:footnoteReference w:id="63"/>
      </w:r>
      <w:r w:rsidR="00457D36" w:rsidRPr="007B054C">
        <w:t xml:space="preserve"> </w:t>
      </w:r>
      <w:r w:rsidR="00457D36">
        <w:t xml:space="preserve"> </w:t>
      </w:r>
      <w:r w:rsidR="009B2A05">
        <w:t>For many doctrinal scholars it is these kinds of rules, as developed and applied through the common law</w:t>
      </w:r>
      <w:r w:rsidR="00CF2532">
        <w:t xml:space="preserve"> and equity</w:t>
      </w:r>
      <w:r w:rsidR="009B2A05">
        <w:t>, that are the exclusive focus of attention. Yet even within this legal frame there are other essential elements that are central to understanding any prop</w:t>
      </w:r>
      <w:r w:rsidR="00457D36">
        <w:t>e</w:t>
      </w:r>
      <w:r w:rsidR="009B2A05">
        <w:t xml:space="preserve">rty </w:t>
      </w:r>
      <w:r w:rsidR="00F60EB5">
        <w:t>relationship</w:t>
      </w:r>
      <w:r w:rsidR="00CF2532">
        <w:t>. Prominent are</w:t>
      </w:r>
      <w:r w:rsidR="0006700B">
        <w:t xml:space="preserve"> </w:t>
      </w:r>
      <w:r w:rsidR="00F60EB5">
        <w:t>the specific terms that have been agreed on by the parties</w:t>
      </w:r>
      <w:r w:rsidR="0006700B">
        <w:t>. I</w:t>
      </w:r>
      <w:r w:rsidR="00F52A24">
        <w:t xml:space="preserve">ndeed, the starting point for much legal advice and decision-making is to learn what the parties have set out in the contract. </w:t>
      </w:r>
      <w:r w:rsidR="0006700B">
        <w:t>In turn, these e</w:t>
      </w:r>
      <w:r w:rsidR="0006700B" w:rsidRPr="0006700B">
        <w:t xml:space="preserve">xpress </w:t>
      </w:r>
      <w:r w:rsidR="00D92C50">
        <w:t>provisions</w:t>
      </w:r>
      <w:r w:rsidR="0006700B" w:rsidRPr="0006700B">
        <w:t xml:space="preserve"> are </w:t>
      </w:r>
      <w:r w:rsidR="000431F9">
        <w:t xml:space="preserve">also </w:t>
      </w:r>
      <w:r w:rsidR="0006700B" w:rsidRPr="0006700B">
        <w:t>subject to the canons of construction and contractual interpretation</w:t>
      </w:r>
      <w:r w:rsidR="00510749">
        <w:t>,</w:t>
      </w:r>
      <w:r w:rsidR="0006700B" w:rsidRPr="0006700B">
        <w:rPr>
          <w:vertAlign w:val="superscript"/>
        </w:rPr>
        <w:footnoteReference w:id="64"/>
      </w:r>
      <w:r w:rsidR="0006700B" w:rsidRPr="0006700B">
        <w:t xml:space="preserve"> </w:t>
      </w:r>
      <w:r w:rsidR="00510749">
        <w:t>and</w:t>
      </w:r>
      <w:r w:rsidR="0006700B" w:rsidRPr="0006700B">
        <w:t xml:space="preserve"> may </w:t>
      </w:r>
      <w:r w:rsidR="00510749">
        <w:t xml:space="preserve">further </w:t>
      </w:r>
      <w:r w:rsidR="0006700B" w:rsidRPr="0006700B">
        <w:t xml:space="preserve">be subject to </w:t>
      </w:r>
      <w:r w:rsidR="00510749">
        <w:t xml:space="preserve">various measures intended </w:t>
      </w:r>
      <w:r w:rsidR="007F2161">
        <w:t xml:space="preserve">to </w:t>
      </w:r>
      <w:r w:rsidR="005D43ED" w:rsidRPr="0006700B">
        <w:rPr>
          <w:lang w:val="en-US"/>
        </w:rPr>
        <w:t>rebalance the inequality of bargaining power between the parties</w:t>
      </w:r>
      <w:r w:rsidR="00510749">
        <w:rPr>
          <w:lang w:val="en-US"/>
        </w:rPr>
        <w:t>,</w:t>
      </w:r>
      <w:r w:rsidR="005D43ED" w:rsidRPr="0006700B">
        <w:rPr>
          <w:lang w:val="en-US"/>
        </w:rPr>
        <w:t xml:space="preserve"> to breathe some reality into the consensual foundation of the parties’ relationship</w:t>
      </w:r>
      <w:r w:rsidR="005D43ED">
        <w:rPr>
          <w:lang w:val="en-US"/>
        </w:rPr>
        <w:t xml:space="preserve">. </w:t>
      </w:r>
      <w:r w:rsidR="00510749">
        <w:rPr>
          <w:lang w:val="en-US"/>
        </w:rPr>
        <w:t>S</w:t>
      </w:r>
      <w:r w:rsidR="005D43ED">
        <w:rPr>
          <w:lang w:val="en-US"/>
        </w:rPr>
        <w:t xml:space="preserve">uch </w:t>
      </w:r>
      <w:r w:rsidR="00510749">
        <w:rPr>
          <w:lang w:val="en-US"/>
        </w:rPr>
        <w:t xml:space="preserve">measures include </w:t>
      </w:r>
      <w:r w:rsidR="005D43ED">
        <w:rPr>
          <w:lang w:val="en-US"/>
        </w:rPr>
        <w:t xml:space="preserve">equity’s concern to guard </w:t>
      </w:r>
      <w:r w:rsidR="005D43ED" w:rsidRPr="0006700B">
        <w:t>against oppressive and unconscionable</w:t>
      </w:r>
      <w:r w:rsidR="005D43ED">
        <w:t xml:space="preserve"> terms,</w:t>
      </w:r>
      <w:r w:rsidR="005D43ED" w:rsidRPr="0006700B">
        <w:rPr>
          <w:vertAlign w:val="superscript"/>
        </w:rPr>
        <w:footnoteReference w:id="65"/>
      </w:r>
      <w:r w:rsidR="005D43ED" w:rsidRPr="0006700B">
        <w:t xml:space="preserve"> </w:t>
      </w:r>
      <w:r w:rsidR="00DA49BC">
        <w:t>terms implied by common law and statute,</w:t>
      </w:r>
      <w:r w:rsidR="00DA49BC">
        <w:rPr>
          <w:rStyle w:val="FootnoteReference"/>
        </w:rPr>
        <w:footnoteReference w:id="66"/>
      </w:r>
      <w:r w:rsidR="00DA49BC">
        <w:t xml:space="preserve"> and </w:t>
      </w:r>
      <w:r w:rsidR="005D43ED">
        <w:rPr>
          <w:lang w:val="en-US"/>
        </w:rPr>
        <w:t xml:space="preserve">legislative measures that require contractual terms to meet </w:t>
      </w:r>
      <w:r w:rsidR="005D43ED" w:rsidRPr="0006700B">
        <w:t>statutory standards of fairness</w:t>
      </w:r>
      <w:r w:rsidR="005D43ED" w:rsidRPr="0006700B">
        <w:rPr>
          <w:vertAlign w:val="superscript"/>
        </w:rPr>
        <w:footnoteReference w:id="67"/>
      </w:r>
      <w:r w:rsidR="005D43ED" w:rsidRPr="0006700B">
        <w:t xml:space="preserve"> </w:t>
      </w:r>
      <w:r w:rsidR="005D43ED">
        <w:t xml:space="preserve">or </w:t>
      </w:r>
      <w:r w:rsidR="00510749">
        <w:t>risk</w:t>
      </w:r>
      <w:r w:rsidR="00510749" w:rsidRPr="0006700B">
        <w:t xml:space="preserve"> </w:t>
      </w:r>
      <w:r w:rsidR="005D43ED" w:rsidRPr="0006700B">
        <w:t>be</w:t>
      </w:r>
      <w:r w:rsidR="00510749">
        <w:t>ing</w:t>
      </w:r>
      <w:r w:rsidR="005D43ED" w:rsidRPr="0006700B">
        <w:t xml:space="preserve"> struck down or altered upon enforcement.</w:t>
      </w:r>
      <w:r w:rsidR="005D43ED" w:rsidRPr="0006700B">
        <w:rPr>
          <w:vertAlign w:val="superscript"/>
        </w:rPr>
        <w:footnoteReference w:id="68"/>
      </w:r>
      <w:r w:rsidR="005D43ED" w:rsidRPr="0006700B">
        <w:t xml:space="preserve"> </w:t>
      </w:r>
      <w:r w:rsidR="005D43ED" w:rsidRPr="0006700B">
        <w:rPr>
          <w:lang w:val="en-US"/>
        </w:rPr>
        <w:t xml:space="preserve">Regulation may also provide routes to promote flexibility within the parties’ relationship by providing </w:t>
      </w:r>
      <w:r w:rsidR="005D43ED" w:rsidRPr="00BB5775">
        <w:rPr>
          <w:lang w:val="en-US"/>
        </w:rPr>
        <w:t>opportunities for that relationship to be re-negotiated or otherwise adjusted.</w:t>
      </w:r>
      <w:r w:rsidR="005D43ED" w:rsidRPr="00BB5775">
        <w:rPr>
          <w:vertAlign w:val="superscript"/>
          <w:lang w:val="en-US"/>
        </w:rPr>
        <w:footnoteReference w:id="69"/>
      </w:r>
      <w:r w:rsidR="005D43ED" w:rsidRPr="00BB5775">
        <w:rPr>
          <w:lang w:val="en-US"/>
        </w:rPr>
        <w:t xml:space="preserve">  </w:t>
      </w:r>
    </w:p>
    <w:p w:rsidR="00644720" w:rsidRPr="00524C34" w:rsidRDefault="000431F9" w:rsidP="00546FD2">
      <w:pPr>
        <w:spacing w:line="480" w:lineRule="auto"/>
        <w:rPr>
          <w:color w:val="000000"/>
          <w:szCs w:val="24"/>
        </w:rPr>
      </w:pPr>
      <w:r w:rsidRPr="00BB5775">
        <w:t>Further, the</w:t>
      </w:r>
      <w:r w:rsidRPr="00F1793D">
        <w:t xml:space="preserve"> interface between contract and property rules</w:t>
      </w:r>
      <w:r w:rsidR="00644720" w:rsidRPr="00F1793D">
        <w:t xml:space="preserve"> will frequently create its own tension</w:t>
      </w:r>
      <w:r w:rsidR="00CF2532" w:rsidRPr="00F1793D">
        <w:t xml:space="preserve">. </w:t>
      </w:r>
      <w:r w:rsidR="00CF2532" w:rsidRPr="00F1793D">
        <w:rPr>
          <w:szCs w:val="24"/>
        </w:rPr>
        <w:t xml:space="preserve">For instance, </w:t>
      </w:r>
      <w:r w:rsidR="00CF2532" w:rsidRPr="00CF2532">
        <w:rPr>
          <w:szCs w:val="24"/>
        </w:rPr>
        <w:t xml:space="preserve">terms that clog the equity of redemption </w:t>
      </w:r>
      <w:r w:rsidR="00FD2E96">
        <w:rPr>
          <w:szCs w:val="24"/>
        </w:rPr>
        <w:t xml:space="preserve">in mortgage law </w:t>
      </w:r>
      <w:r w:rsidR="00CF2532" w:rsidRPr="00CF2532">
        <w:rPr>
          <w:szCs w:val="24"/>
        </w:rPr>
        <w:t>may be satisfactory through a contractual lens but void under property law</w:t>
      </w:r>
      <w:r w:rsidR="00DC6D17">
        <w:rPr>
          <w:szCs w:val="24"/>
        </w:rPr>
        <w:t>,</w:t>
      </w:r>
      <w:r w:rsidR="00DC6D17">
        <w:rPr>
          <w:rStyle w:val="FootnoteReference"/>
          <w:szCs w:val="24"/>
        </w:rPr>
        <w:footnoteReference w:id="70"/>
      </w:r>
      <w:r w:rsidR="00CF2532" w:rsidRPr="00CF2532">
        <w:rPr>
          <w:szCs w:val="24"/>
        </w:rPr>
        <w:t xml:space="preserve"> and a lease of uncertain duration may be valid as a matter of contract but fall foul of the requirement for certainty of term demanded by property law</w:t>
      </w:r>
      <w:r w:rsidR="00DC6D17">
        <w:rPr>
          <w:szCs w:val="24"/>
        </w:rPr>
        <w:t>.</w:t>
      </w:r>
      <w:r w:rsidR="00DC6D17" w:rsidRPr="00524C34">
        <w:rPr>
          <w:rStyle w:val="FootnoteReference"/>
          <w:color w:val="000000"/>
          <w:szCs w:val="24"/>
        </w:rPr>
        <w:footnoteReference w:id="71"/>
      </w:r>
      <w:r w:rsidR="00DC6D17">
        <w:rPr>
          <w:szCs w:val="24"/>
        </w:rPr>
        <w:t xml:space="preserve"> </w:t>
      </w:r>
    </w:p>
    <w:p w:rsidR="00A77A12" w:rsidRDefault="00D92C50" w:rsidP="00546FD2">
      <w:pPr>
        <w:spacing w:line="480" w:lineRule="auto"/>
        <w:rPr>
          <w:lang w:val="en-US"/>
        </w:rPr>
      </w:pPr>
      <w:r>
        <w:t xml:space="preserve">The temporal nature of enduring property relationships means that these </w:t>
      </w:r>
      <w:r w:rsidRPr="00DA49BC">
        <w:rPr>
          <w:i/>
        </w:rPr>
        <w:t>de</w:t>
      </w:r>
      <w:r w:rsidRPr="0006700B">
        <w:rPr>
          <w:i/>
        </w:rPr>
        <w:t xml:space="preserve"> jure</w:t>
      </w:r>
      <w:r w:rsidR="000431F9">
        <w:t xml:space="preserve"> rights may, over time,</w:t>
      </w:r>
      <w:r w:rsidRPr="0006700B">
        <w:t xml:space="preserve"> be lived differently or acquire new legal meaning</w:t>
      </w:r>
      <w:r>
        <w:t xml:space="preserve">. Some legal doctrines specifically recognise this. A </w:t>
      </w:r>
      <w:r w:rsidR="000431F9">
        <w:t>useful</w:t>
      </w:r>
      <w:r>
        <w:t xml:space="preserve"> illustration is provided by </w:t>
      </w:r>
      <w:r w:rsidRPr="00D92C50">
        <w:rPr>
          <w:bCs/>
          <w:i/>
          <w:lang w:val="en-US"/>
        </w:rPr>
        <w:t>Bradley v Heslin</w:t>
      </w:r>
      <w:r>
        <w:rPr>
          <w:bCs/>
          <w:i/>
          <w:lang w:val="en-US"/>
        </w:rPr>
        <w:t xml:space="preserve">, </w:t>
      </w:r>
      <w:r>
        <w:rPr>
          <w:bCs/>
          <w:lang w:val="en-US"/>
        </w:rPr>
        <w:t>a neighbo</w:t>
      </w:r>
      <w:r w:rsidR="000431F9">
        <w:rPr>
          <w:bCs/>
          <w:lang w:val="en-US"/>
        </w:rPr>
        <w:t>u</w:t>
      </w:r>
      <w:r>
        <w:rPr>
          <w:bCs/>
          <w:lang w:val="en-US"/>
        </w:rPr>
        <w:t xml:space="preserve">r dispute </w:t>
      </w:r>
      <w:r>
        <w:t>involving easements.</w:t>
      </w:r>
      <w:r w:rsidRPr="00D92C50">
        <w:rPr>
          <w:vertAlign w:val="superscript"/>
          <w:lang w:val="en-US"/>
        </w:rPr>
        <w:footnoteReference w:id="72"/>
      </w:r>
      <w:r w:rsidRPr="00D92C50">
        <w:rPr>
          <w:lang w:val="en-US"/>
        </w:rPr>
        <w:t xml:space="preserve"> The history of this case started in 1977 when the owner of a large house </w:t>
      </w:r>
      <w:r>
        <w:rPr>
          <w:lang w:val="en-US"/>
        </w:rPr>
        <w:t>(</w:t>
      </w:r>
      <w:r w:rsidR="00510749">
        <w:rPr>
          <w:lang w:val="en-US"/>
        </w:rPr>
        <w:t xml:space="preserve">number </w:t>
      </w:r>
      <w:r w:rsidR="005A2DEC">
        <w:rPr>
          <w:lang w:val="en-US"/>
        </w:rPr>
        <w:t>‘</w:t>
      </w:r>
      <w:r>
        <w:rPr>
          <w:lang w:val="en-US"/>
        </w:rPr>
        <w:t>40</w:t>
      </w:r>
      <w:r w:rsidR="005A2DEC">
        <w:rPr>
          <w:lang w:val="en-US"/>
        </w:rPr>
        <w:t>’</w:t>
      </w:r>
      <w:r>
        <w:rPr>
          <w:lang w:val="en-US"/>
        </w:rPr>
        <w:t xml:space="preserve">) </w:t>
      </w:r>
      <w:r w:rsidRPr="00D92C50">
        <w:rPr>
          <w:lang w:val="en-US"/>
        </w:rPr>
        <w:t>built a smaller house (</w:t>
      </w:r>
      <w:r w:rsidR="005A2DEC">
        <w:rPr>
          <w:lang w:val="en-US"/>
        </w:rPr>
        <w:t>number ‘</w:t>
      </w:r>
      <w:r w:rsidRPr="00D92C50">
        <w:rPr>
          <w:lang w:val="en-US"/>
        </w:rPr>
        <w:t>40A</w:t>
      </w:r>
      <w:r w:rsidR="005A2DEC">
        <w:rPr>
          <w:lang w:val="en-US"/>
        </w:rPr>
        <w:t>’</w:t>
      </w:r>
      <w:r w:rsidRPr="00D92C50">
        <w:rPr>
          <w:lang w:val="en-US"/>
        </w:rPr>
        <w:t>) in the back garden</w:t>
      </w:r>
      <w:r>
        <w:rPr>
          <w:lang w:val="en-US"/>
        </w:rPr>
        <w:t xml:space="preserve">, </w:t>
      </w:r>
      <w:r w:rsidRPr="00D92C50">
        <w:rPr>
          <w:lang w:val="en-US"/>
        </w:rPr>
        <w:t>sold the large house and the front garden</w:t>
      </w:r>
      <w:r w:rsidR="00FB01F8">
        <w:rPr>
          <w:lang w:val="en-US"/>
        </w:rPr>
        <w:t>,</w:t>
      </w:r>
      <w:r>
        <w:rPr>
          <w:lang w:val="en-US"/>
        </w:rPr>
        <w:t xml:space="preserve"> and</w:t>
      </w:r>
      <w:r w:rsidRPr="00D92C50">
        <w:rPr>
          <w:lang w:val="en-US"/>
        </w:rPr>
        <w:t xml:space="preserve"> retain</w:t>
      </w:r>
      <w:r>
        <w:rPr>
          <w:lang w:val="en-US"/>
        </w:rPr>
        <w:t>ed</w:t>
      </w:r>
      <w:r w:rsidRPr="00D92C50">
        <w:rPr>
          <w:lang w:val="en-US"/>
        </w:rPr>
        <w:t xml:space="preserve"> ownership of 40A and a </w:t>
      </w:r>
      <w:r w:rsidR="00FB01F8">
        <w:rPr>
          <w:lang w:val="en-US"/>
        </w:rPr>
        <w:t>driveway</w:t>
      </w:r>
      <w:r w:rsidRPr="00D92C50">
        <w:rPr>
          <w:lang w:val="en-US"/>
        </w:rPr>
        <w:t xml:space="preserve"> leading from it to the road. </w:t>
      </w:r>
      <w:r w:rsidR="00FB01F8">
        <w:rPr>
          <w:lang w:val="en-US"/>
        </w:rPr>
        <w:t>The buyer</w:t>
      </w:r>
      <w:r>
        <w:rPr>
          <w:lang w:val="en-US"/>
        </w:rPr>
        <w:t xml:space="preserve"> of </w:t>
      </w:r>
      <w:r w:rsidRPr="00D92C50">
        <w:rPr>
          <w:lang w:val="en-US"/>
        </w:rPr>
        <w:t>40</w:t>
      </w:r>
      <w:r w:rsidR="00FB01F8">
        <w:rPr>
          <w:lang w:val="en-US"/>
        </w:rPr>
        <w:t xml:space="preserve"> was</w:t>
      </w:r>
      <w:r w:rsidRPr="00D92C50">
        <w:rPr>
          <w:lang w:val="en-US"/>
        </w:rPr>
        <w:t xml:space="preserve"> granted </w:t>
      </w:r>
      <w:r w:rsidR="00FB01F8">
        <w:rPr>
          <w:lang w:val="en-US"/>
        </w:rPr>
        <w:t>a right of way over this</w:t>
      </w:r>
      <w:r w:rsidRPr="00D92C50">
        <w:rPr>
          <w:lang w:val="en-US"/>
        </w:rPr>
        <w:t xml:space="preserve"> driveway</w:t>
      </w:r>
      <w:r w:rsidR="00FB01F8">
        <w:rPr>
          <w:lang w:val="en-US"/>
        </w:rPr>
        <w:t xml:space="preserve"> but as part of </w:t>
      </w:r>
      <w:r w:rsidR="0089064F">
        <w:rPr>
          <w:lang w:val="en-US"/>
        </w:rPr>
        <w:t xml:space="preserve">subsequent </w:t>
      </w:r>
      <w:r w:rsidR="00FB01F8">
        <w:rPr>
          <w:lang w:val="en-US"/>
        </w:rPr>
        <w:t xml:space="preserve">work to his </w:t>
      </w:r>
      <w:r w:rsidR="00510749">
        <w:rPr>
          <w:lang w:val="en-US"/>
        </w:rPr>
        <w:t xml:space="preserve">own </w:t>
      </w:r>
      <w:r w:rsidR="00FB01F8">
        <w:rPr>
          <w:lang w:val="en-US"/>
        </w:rPr>
        <w:t xml:space="preserve">property he also </w:t>
      </w:r>
      <w:r w:rsidRPr="00D92C50">
        <w:rPr>
          <w:lang w:val="en-US"/>
        </w:rPr>
        <w:t>rebuilt the driveway (</w:t>
      </w:r>
      <w:r w:rsidR="00FB01F8">
        <w:rPr>
          <w:lang w:val="en-US"/>
        </w:rPr>
        <w:t>even though it</w:t>
      </w:r>
      <w:r w:rsidRPr="00D92C50">
        <w:rPr>
          <w:lang w:val="en-US"/>
        </w:rPr>
        <w:t xml:space="preserve"> belonged to 40A)</w:t>
      </w:r>
      <w:r w:rsidR="001861BE">
        <w:rPr>
          <w:lang w:val="en-US"/>
        </w:rPr>
        <w:t>, changing t</w:t>
      </w:r>
      <w:r w:rsidR="00FB01F8">
        <w:rPr>
          <w:lang w:val="en-US"/>
        </w:rPr>
        <w:t xml:space="preserve">he </w:t>
      </w:r>
      <w:r w:rsidRPr="00D92C50">
        <w:rPr>
          <w:lang w:val="en-US"/>
        </w:rPr>
        <w:t xml:space="preserve">dimensions </w:t>
      </w:r>
      <w:r w:rsidR="00FB01F8">
        <w:rPr>
          <w:lang w:val="en-US"/>
        </w:rPr>
        <w:t xml:space="preserve">of the driveway </w:t>
      </w:r>
      <w:r w:rsidR="001861BE">
        <w:rPr>
          <w:lang w:val="en-US"/>
        </w:rPr>
        <w:t>to</w:t>
      </w:r>
      <w:r w:rsidRPr="00D92C50">
        <w:rPr>
          <w:lang w:val="en-US"/>
        </w:rPr>
        <w:t xml:space="preserve"> include some of 40’s land</w:t>
      </w:r>
      <w:r w:rsidR="00FB01F8">
        <w:rPr>
          <w:lang w:val="en-US"/>
        </w:rPr>
        <w:t xml:space="preserve"> and </w:t>
      </w:r>
      <w:r w:rsidR="001861BE">
        <w:rPr>
          <w:lang w:val="en-US"/>
        </w:rPr>
        <w:t xml:space="preserve">installing </w:t>
      </w:r>
      <w:r w:rsidRPr="00D92C50">
        <w:rPr>
          <w:lang w:val="en-US"/>
        </w:rPr>
        <w:t xml:space="preserve">a pair of iron gates where </w:t>
      </w:r>
      <w:r w:rsidR="00510749">
        <w:rPr>
          <w:lang w:val="en-US"/>
        </w:rPr>
        <w:t>the driveway</w:t>
      </w:r>
      <w:r w:rsidR="00510749" w:rsidRPr="00D92C50">
        <w:rPr>
          <w:lang w:val="en-US"/>
        </w:rPr>
        <w:t xml:space="preserve"> </w:t>
      </w:r>
      <w:r w:rsidRPr="00D92C50">
        <w:rPr>
          <w:lang w:val="en-US"/>
        </w:rPr>
        <w:t>met the road. Over the next 30 years both properties changed hands more than once</w:t>
      </w:r>
      <w:r w:rsidR="00FB01F8">
        <w:rPr>
          <w:lang w:val="en-US"/>
        </w:rPr>
        <w:t>. At times</w:t>
      </w:r>
      <w:r w:rsidRPr="00D92C50">
        <w:rPr>
          <w:lang w:val="en-US"/>
        </w:rPr>
        <w:t xml:space="preserve"> the gates were </w:t>
      </w:r>
      <w:r w:rsidR="00FB01F8">
        <w:rPr>
          <w:lang w:val="en-US"/>
        </w:rPr>
        <w:t>generally</w:t>
      </w:r>
      <w:r w:rsidRPr="00D92C50">
        <w:rPr>
          <w:lang w:val="en-US"/>
        </w:rPr>
        <w:t xml:space="preserve"> closed and locked</w:t>
      </w:r>
      <w:r w:rsidR="006E76F3">
        <w:rPr>
          <w:lang w:val="en-US"/>
        </w:rPr>
        <w:t>, to keep in</w:t>
      </w:r>
      <w:r w:rsidRPr="00D92C50">
        <w:rPr>
          <w:lang w:val="en-US"/>
        </w:rPr>
        <w:t xml:space="preserve"> an aggressive dog, or to prevent young children from wandering out into the road.  </w:t>
      </w:r>
      <w:r w:rsidR="00FB01F8">
        <w:rPr>
          <w:lang w:val="en-US"/>
        </w:rPr>
        <w:t xml:space="preserve">During </w:t>
      </w:r>
      <w:r w:rsidRPr="00D92C50">
        <w:rPr>
          <w:lang w:val="en-US"/>
        </w:rPr>
        <w:t xml:space="preserve">other periods the gates were mostly open, except when there were worries about rowdy youngsters trespassing, or outbreaks of burglary in the area. But </w:t>
      </w:r>
      <w:r w:rsidR="001A1C18">
        <w:rPr>
          <w:lang w:val="en-US"/>
        </w:rPr>
        <w:t>in 2011 the then owners</w:t>
      </w:r>
      <w:r w:rsidR="00D25251">
        <w:rPr>
          <w:lang w:val="en-US"/>
        </w:rPr>
        <w:t xml:space="preserve"> </w:t>
      </w:r>
      <w:r w:rsidR="001A1C18">
        <w:rPr>
          <w:lang w:val="en-US"/>
        </w:rPr>
        <w:t xml:space="preserve">could not agree </w:t>
      </w:r>
      <w:r w:rsidR="00D25251">
        <w:rPr>
          <w:lang w:val="en-US"/>
        </w:rPr>
        <w:t xml:space="preserve">whether the gates should </w:t>
      </w:r>
      <w:r w:rsidRPr="00D92C50">
        <w:rPr>
          <w:lang w:val="en-US"/>
        </w:rPr>
        <w:t xml:space="preserve">be kept open or closed when not in use. </w:t>
      </w:r>
      <w:r w:rsidR="006E76F3">
        <w:rPr>
          <w:lang w:val="en-US"/>
        </w:rPr>
        <w:t>The</w:t>
      </w:r>
      <w:r w:rsidR="00A77A12">
        <w:rPr>
          <w:lang w:val="en-US"/>
        </w:rPr>
        <w:t>ir</w:t>
      </w:r>
      <w:r w:rsidR="006E76F3">
        <w:rPr>
          <w:lang w:val="en-US"/>
        </w:rPr>
        <w:t xml:space="preserve"> formal legal rights, recorded in the grant of the easement, no longer reflected how the land was laid out, or the practices about usage that had developed over time. </w:t>
      </w:r>
    </w:p>
    <w:p w:rsidR="00D92C50" w:rsidRDefault="006E76F3" w:rsidP="00546FD2">
      <w:pPr>
        <w:spacing w:line="480" w:lineRule="auto"/>
        <w:rPr>
          <w:rFonts w:eastAsia="Calibri"/>
          <w:szCs w:val="24"/>
          <w:lang w:val="en-US"/>
        </w:rPr>
      </w:pPr>
      <w:r>
        <w:rPr>
          <w:lang w:val="en-US"/>
        </w:rPr>
        <w:t xml:space="preserve">After </w:t>
      </w:r>
      <w:r w:rsidR="00D92C50" w:rsidRPr="00D92C50">
        <w:rPr>
          <w:lang w:val="en-US"/>
        </w:rPr>
        <w:t xml:space="preserve">a three day hearing in the High Court, </w:t>
      </w:r>
      <w:r w:rsidR="001A1C18">
        <w:rPr>
          <w:lang w:val="en-US"/>
        </w:rPr>
        <w:t xml:space="preserve">and a site visit, </w:t>
      </w:r>
      <w:r>
        <w:rPr>
          <w:lang w:val="en-US"/>
        </w:rPr>
        <w:t>Norris J</w:t>
      </w:r>
      <w:r w:rsidR="00D92C50" w:rsidRPr="00D92C50">
        <w:rPr>
          <w:lang w:val="en-US"/>
        </w:rPr>
        <w:t xml:space="preserve"> </w:t>
      </w:r>
      <w:r w:rsidRPr="007B054C">
        <w:rPr>
          <w:rFonts w:eastAsia="Calibri"/>
          <w:szCs w:val="24"/>
          <w:lang w:val="en-US"/>
        </w:rPr>
        <w:t xml:space="preserve">found the understandings and conduct of the neighbours had led to an adjustment of ownership boundaries </w:t>
      </w:r>
      <w:r>
        <w:rPr>
          <w:rFonts w:eastAsia="Calibri"/>
          <w:szCs w:val="24"/>
          <w:lang w:val="en-US"/>
        </w:rPr>
        <w:t xml:space="preserve">of the drive </w:t>
      </w:r>
      <w:r w:rsidRPr="007B054C">
        <w:rPr>
          <w:rFonts w:eastAsia="Calibri"/>
          <w:szCs w:val="24"/>
          <w:lang w:val="en-US"/>
        </w:rPr>
        <w:t>through either adverse possession or proprietary estoppel</w:t>
      </w:r>
      <w:r>
        <w:rPr>
          <w:rFonts w:eastAsia="Calibri"/>
          <w:szCs w:val="24"/>
          <w:lang w:val="en-US"/>
        </w:rPr>
        <w:t xml:space="preserve">. </w:t>
      </w:r>
      <w:r w:rsidR="001A1C18">
        <w:rPr>
          <w:rFonts w:eastAsia="Calibri"/>
          <w:szCs w:val="24"/>
          <w:lang w:val="en-US"/>
        </w:rPr>
        <w:t xml:space="preserve">The current owner of 40 </w:t>
      </w:r>
      <w:r w:rsidR="00E358A7">
        <w:rPr>
          <w:rFonts w:eastAsia="Calibri"/>
          <w:szCs w:val="24"/>
          <w:lang w:val="en-US"/>
        </w:rPr>
        <w:t xml:space="preserve">also </w:t>
      </w:r>
      <w:r w:rsidR="001A1C18">
        <w:rPr>
          <w:rFonts w:eastAsia="Calibri"/>
          <w:szCs w:val="24"/>
          <w:lang w:val="en-US"/>
        </w:rPr>
        <w:t>enjoyed</w:t>
      </w:r>
      <w:r w:rsidRPr="007B054C">
        <w:rPr>
          <w:rFonts w:eastAsia="Calibri"/>
          <w:szCs w:val="24"/>
          <w:lang w:val="en-US"/>
        </w:rPr>
        <w:t xml:space="preserve"> an equitab</w:t>
      </w:r>
      <w:r>
        <w:rPr>
          <w:rFonts w:eastAsia="Calibri"/>
          <w:szCs w:val="24"/>
          <w:lang w:val="en-US"/>
        </w:rPr>
        <w:t xml:space="preserve">le easement founded in estoppel </w:t>
      </w:r>
      <w:r w:rsidR="001A1C18">
        <w:rPr>
          <w:rFonts w:eastAsia="Calibri"/>
          <w:szCs w:val="24"/>
          <w:lang w:val="en-US"/>
        </w:rPr>
        <w:t xml:space="preserve">(not part of the original grant) </w:t>
      </w:r>
      <w:r w:rsidRPr="006E76F3">
        <w:rPr>
          <w:rFonts w:eastAsia="Calibri"/>
          <w:szCs w:val="24"/>
          <w:lang w:val="en-US"/>
        </w:rPr>
        <w:t>consisting of ‘a right to close and open the gates for all purposes connected with the reasonable use and enjoyment of their property’</w:t>
      </w:r>
      <w:r w:rsidR="001A1C18">
        <w:rPr>
          <w:rFonts w:eastAsia="Calibri"/>
          <w:szCs w:val="24"/>
          <w:lang w:val="en-US"/>
        </w:rPr>
        <w:t>,</w:t>
      </w:r>
      <w:r w:rsidRPr="006E76F3">
        <w:rPr>
          <w:rFonts w:eastAsia="Calibri"/>
          <w:szCs w:val="24"/>
          <w:lang w:val="en-US"/>
        </w:rPr>
        <w:t xml:space="preserve"> subject to the proviso that </w:t>
      </w:r>
      <w:r w:rsidR="001A1C18">
        <w:rPr>
          <w:rFonts w:eastAsia="Calibri"/>
          <w:szCs w:val="24"/>
          <w:lang w:val="en-US"/>
        </w:rPr>
        <w:t>the exercise of this right</w:t>
      </w:r>
      <w:r w:rsidR="001A1C18" w:rsidRPr="006E76F3">
        <w:rPr>
          <w:rFonts w:eastAsia="Calibri"/>
          <w:szCs w:val="24"/>
          <w:lang w:val="en-US"/>
        </w:rPr>
        <w:t xml:space="preserve"> </w:t>
      </w:r>
      <w:r w:rsidRPr="006E76F3">
        <w:rPr>
          <w:rFonts w:eastAsia="Calibri"/>
          <w:szCs w:val="24"/>
          <w:lang w:val="en-US"/>
        </w:rPr>
        <w:t>must not ‘substantially interfere with the reasonable enjoyment of the small house.’</w:t>
      </w:r>
      <w:r w:rsidR="00FC5CC1">
        <w:rPr>
          <w:rStyle w:val="FootnoteReference"/>
          <w:rFonts w:eastAsia="Calibri"/>
          <w:szCs w:val="24"/>
          <w:lang w:val="en-US"/>
        </w:rPr>
        <w:footnoteReference w:id="73"/>
      </w:r>
      <w:r w:rsidRPr="006E76F3">
        <w:rPr>
          <w:rFonts w:eastAsia="Calibri"/>
          <w:szCs w:val="24"/>
          <w:lang w:val="en-US"/>
        </w:rPr>
        <w:t xml:space="preserve">Although the judge handed the problem back to the </w:t>
      </w:r>
      <w:r w:rsidR="00FC5CC1">
        <w:rPr>
          <w:rFonts w:eastAsia="Calibri"/>
          <w:szCs w:val="24"/>
          <w:lang w:val="en-US"/>
        </w:rPr>
        <w:t xml:space="preserve">parties to resolve, he did indicate how the declared rights ‘might be </w:t>
      </w:r>
      <w:bookmarkStart w:id="1" w:name="para85"/>
      <w:r w:rsidR="00FC5CC1">
        <w:t>applied on the ground in daily life</w:t>
      </w:r>
      <w:bookmarkEnd w:id="1"/>
      <w:r w:rsidR="00FC5CC1">
        <w:t>’,</w:t>
      </w:r>
      <w:r w:rsidR="00E358A7">
        <w:t xml:space="preserve"> </w:t>
      </w:r>
      <w:r w:rsidR="00FC5CC1">
        <w:t xml:space="preserve">suggesting reasonable hours for the gates to be shut until ‘adequate opening arrangements’ could be </w:t>
      </w:r>
      <w:r w:rsidR="00A77A12">
        <w:t xml:space="preserve">achieved through </w:t>
      </w:r>
      <w:r w:rsidR="00FC5CC1">
        <w:t>install</w:t>
      </w:r>
      <w:r w:rsidR="00A77A12">
        <w:t>ing</w:t>
      </w:r>
      <w:r w:rsidR="00FC5CC1">
        <w:t xml:space="preserve"> electric gates.</w:t>
      </w:r>
      <w:r>
        <w:rPr>
          <w:rStyle w:val="FootnoteReference"/>
          <w:rFonts w:eastAsia="Calibri"/>
          <w:szCs w:val="24"/>
          <w:lang w:val="en-US"/>
        </w:rPr>
        <w:footnoteReference w:id="74"/>
      </w:r>
      <w:r w:rsidRPr="006E76F3">
        <w:rPr>
          <w:rFonts w:eastAsia="Calibri"/>
          <w:szCs w:val="24"/>
          <w:lang w:val="en-US"/>
        </w:rPr>
        <w:t xml:space="preserve"> </w:t>
      </w:r>
    </w:p>
    <w:p w:rsidR="000431F9" w:rsidRDefault="000431F9" w:rsidP="00546FD2">
      <w:pPr>
        <w:spacing w:line="480" w:lineRule="auto"/>
        <w:rPr>
          <w:rFonts w:eastAsia="Calibri"/>
          <w:szCs w:val="24"/>
          <w:lang w:val="en-US"/>
        </w:rPr>
      </w:pPr>
      <w:r>
        <w:rPr>
          <w:rFonts w:eastAsia="Calibri"/>
          <w:szCs w:val="24"/>
          <w:lang w:val="en-US"/>
        </w:rPr>
        <w:t>Norris J’s approach in this case reflects several dimensions of the dynamics approach</w:t>
      </w:r>
      <w:r w:rsidR="00A77A12">
        <w:rPr>
          <w:rFonts w:eastAsia="Calibri"/>
          <w:szCs w:val="24"/>
          <w:lang w:val="en-US"/>
        </w:rPr>
        <w:t>, and is used as an illustration throughout this article</w:t>
      </w:r>
      <w:r>
        <w:rPr>
          <w:rFonts w:eastAsia="Calibri"/>
          <w:szCs w:val="24"/>
          <w:lang w:val="en-US"/>
        </w:rPr>
        <w:t xml:space="preserve">. </w:t>
      </w:r>
      <w:r w:rsidRPr="00EB79E2">
        <w:rPr>
          <w:lang w:val="en-US"/>
        </w:rPr>
        <w:t>Th</w:t>
      </w:r>
      <w:r w:rsidR="00E55541">
        <w:rPr>
          <w:lang w:val="en-US"/>
        </w:rPr>
        <w:t>e</w:t>
      </w:r>
      <w:r w:rsidRPr="00EB79E2">
        <w:rPr>
          <w:lang w:val="en-US"/>
        </w:rPr>
        <w:t xml:space="preserve"> decision </w:t>
      </w:r>
      <w:r w:rsidR="00E55541">
        <w:rPr>
          <w:lang w:val="en-US"/>
        </w:rPr>
        <w:t xml:space="preserve">in </w:t>
      </w:r>
      <w:r w:rsidR="00E55541" w:rsidRPr="00F60FE0">
        <w:rPr>
          <w:i/>
          <w:lang w:val="en-US"/>
        </w:rPr>
        <w:t>Bradley</w:t>
      </w:r>
      <w:r w:rsidR="00E55541">
        <w:rPr>
          <w:lang w:val="en-US"/>
        </w:rPr>
        <w:t xml:space="preserve"> </w:t>
      </w:r>
      <w:r w:rsidRPr="00EB79E2">
        <w:rPr>
          <w:lang w:val="en-US"/>
        </w:rPr>
        <w:t xml:space="preserve">was reached </w:t>
      </w:r>
      <w:r>
        <w:rPr>
          <w:rFonts w:eastAsia="Calibri"/>
          <w:szCs w:val="24"/>
          <w:lang w:val="en-US"/>
        </w:rPr>
        <w:t xml:space="preserve">by looking not only to the formal legal instruments, but </w:t>
      </w:r>
      <w:r w:rsidR="0040363E">
        <w:rPr>
          <w:rFonts w:eastAsia="Calibri"/>
          <w:szCs w:val="24"/>
          <w:lang w:val="en-US"/>
        </w:rPr>
        <w:t xml:space="preserve">also </w:t>
      </w:r>
      <w:r w:rsidR="00F60FE0">
        <w:rPr>
          <w:rFonts w:eastAsia="Calibri"/>
          <w:szCs w:val="24"/>
          <w:lang w:val="en-US"/>
        </w:rPr>
        <w:t xml:space="preserve">at </w:t>
      </w:r>
      <w:r w:rsidR="0040363E">
        <w:rPr>
          <w:rFonts w:eastAsia="Calibri"/>
          <w:szCs w:val="24"/>
          <w:lang w:val="en-US"/>
        </w:rPr>
        <w:t xml:space="preserve">the facts on the ground, and </w:t>
      </w:r>
      <w:r w:rsidRPr="00EB79E2">
        <w:rPr>
          <w:lang w:val="en-US"/>
        </w:rPr>
        <w:t>after careful consideration of the interrelationship between legal rights and agreements, understandings and ‘simple acts of neighbourliness’.</w:t>
      </w:r>
      <w:r w:rsidR="00F60FE0">
        <w:rPr>
          <w:rStyle w:val="FootnoteReference"/>
          <w:lang w:val="en-US"/>
        </w:rPr>
        <w:footnoteReference w:id="75"/>
      </w:r>
      <w:r>
        <w:rPr>
          <w:lang w:val="en-US"/>
        </w:rPr>
        <w:t xml:space="preserve"> The outcome – with the adjustment of ownership boundaries and recognition of an equitable estoppel - de</w:t>
      </w:r>
      <w:r w:rsidR="00644720">
        <w:rPr>
          <w:lang w:val="en-US"/>
        </w:rPr>
        <w:t xml:space="preserve">monstrates also how the formal </w:t>
      </w:r>
      <w:r>
        <w:rPr>
          <w:lang w:val="en-US"/>
        </w:rPr>
        <w:t xml:space="preserve">property rights themselves may change over time. </w:t>
      </w:r>
      <w:r w:rsidR="00C03AA5">
        <w:rPr>
          <w:lang w:val="en-US"/>
        </w:rPr>
        <w:t>Further examples are given below when we discuss Blandy’s research on residential leasehold sites.</w:t>
      </w:r>
    </w:p>
    <w:p w:rsidR="007F2161" w:rsidRDefault="00274CA0" w:rsidP="00546FD2">
      <w:pPr>
        <w:spacing w:line="480" w:lineRule="auto"/>
      </w:pPr>
      <w:r>
        <w:t xml:space="preserve">The life of the property relationship </w:t>
      </w:r>
      <w:r w:rsidR="00DE0305">
        <w:t>is</w:t>
      </w:r>
      <w:r w:rsidR="007F2161">
        <w:t>, in any event,</w:t>
      </w:r>
      <w:r w:rsidR="00DE0305">
        <w:t xml:space="preserve"> often inattentive to these </w:t>
      </w:r>
      <w:r w:rsidR="00644720">
        <w:t xml:space="preserve">formal </w:t>
      </w:r>
      <w:r>
        <w:t>legal frame</w:t>
      </w:r>
      <w:r w:rsidR="00DE0305">
        <w:t>s</w:t>
      </w:r>
      <w:r>
        <w:t xml:space="preserve">. </w:t>
      </w:r>
      <w:r w:rsidRPr="00274CA0">
        <w:t>Patrick and Bright’s research on the use of ‘green</w:t>
      </w:r>
      <w:r w:rsidR="00DE0305">
        <w:t>’</w:t>
      </w:r>
      <w:r w:rsidRPr="00274CA0">
        <w:t xml:space="preserve"> </w:t>
      </w:r>
      <w:r w:rsidR="000C0CB7">
        <w:t xml:space="preserve">(environmental) </w:t>
      </w:r>
      <w:r w:rsidR="00DE0305">
        <w:t>clauses</w:t>
      </w:r>
      <w:r w:rsidRPr="00274CA0">
        <w:t xml:space="preserve"> in leases </w:t>
      </w:r>
      <w:r w:rsidR="00DE0305">
        <w:t xml:space="preserve">of commercial property </w:t>
      </w:r>
      <w:r w:rsidRPr="00274CA0">
        <w:t>found that for many</w:t>
      </w:r>
      <w:r w:rsidR="000C0CB7">
        <w:t xml:space="preserve"> landlords and tenants</w:t>
      </w:r>
      <w:r w:rsidRPr="00274CA0">
        <w:t xml:space="preserve"> the lease seemed largely irrelevant for day to day issues</w:t>
      </w:r>
      <w:r w:rsidR="000C0CB7">
        <w:t xml:space="preserve">: </w:t>
      </w:r>
      <w:r w:rsidRPr="00274CA0">
        <w:t>the parties talked about the id</w:t>
      </w:r>
      <w:r w:rsidR="00DE0305">
        <w:t xml:space="preserve">ea of the </w:t>
      </w:r>
      <w:r w:rsidR="008C2ED7">
        <w:t>‘</w:t>
      </w:r>
      <w:r w:rsidR="00DE0305">
        <w:t>lease in a cupboard</w:t>
      </w:r>
      <w:r w:rsidR="008C2ED7">
        <w:t>’</w:t>
      </w:r>
      <w:r w:rsidR="00DE0305">
        <w:t xml:space="preserve">, </w:t>
      </w:r>
      <w:r w:rsidRPr="00274CA0">
        <w:t>locked away and never looked at.</w:t>
      </w:r>
      <w:r w:rsidRPr="00274CA0">
        <w:rPr>
          <w:vertAlign w:val="superscript"/>
        </w:rPr>
        <w:footnoteReference w:id="76"/>
      </w:r>
      <w:r w:rsidRPr="00274CA0">
        <w:t xml:space="preserve">  Similar attitudes to formal law are common in residential leasehold and mortgage relationships</w:t>
      </w:r>
      <w:r w:rsidR="00644720">
        <w:t>;</w:t>
      </w:r>
      <w:r w:rsidRPr="00274CA0">
        <w:t xml:space="preserve"> many leaseholders or mortgagors </w:t>
      </w:r>
      <w:r w:rsidR="00644720">
        <w:t>are not only</w:t>
      </w:r>
      <w:r w:rsidRPr="00274CA0">
        <w:t xml:space="preserve"> unaware of what the lease or mortgage says</w:t>
      </w:r>
      <w:r w:rsidR="00644720">
        <w:t>,</w:t>
      </w:r>
      <w:r w:rsidRPr="00274CA0">
        <w:t xml:space="preserve"> but </w:t>
      </w:r>
      <w:r w:rsidR="00644720">
        <w:t xml:space="preserve">also do not know where to find </w:t>
      </w:r>
      <w:r w:rsidRPr="00274CA0">
        <w:t>the document itself.</w:t>
      </w:r>
      <w:r w:rsidR="005C5A09">
        <w:rPr>
          <w:rStyle w:val="FootnoteReference"/>
        </w:rPr>
        <w:footnoteReference w:id="77"/>
      </w:r>
      <w:r w:rsidRPr="00274CA0">
        <w:t xml:space="preserve"> </w:t>
      </w:r>
      <w:r w:rsidR="005C5A09">
        <w:t>T</w:t>
      </w:r>
      <w:r w:rsidR="005C5A09" w:rsidRPr="0006700B">
        <w:t xml:space="preserve">he </w:t>
      </w:r>
      <w:r w:rsidR="005C5A09">
        <w:t xml:space="preserve">fact that </w:t>
      </w:r>
      <w:r w:rsidR="005C5A09" w:rsidRPr="0006700B">
        <w:t>parties to an enduring property relationship may not know or be concerned to check the legal frame of their relationship</w:t>
      </w:r>
      <w:r w:rsidR="005C5A09">
        <w:t xml:space="preserve"> </w:t>
      </w:r>
      <w:r w:rsidR="007F2161">
        <w:t>echoes</w:t>
      </w:r>
      <w:r w:rsidR="0006700B" w:rsidRPr="0006700B">
        <w:t xml:space="preserve"> the difference between the ‘paper deal’ and the ‘real deal’</w:t>
      </w:r>
      <w:r w:rsidR="005C5A09">
        <w:t xml:space="preserve"> observed in </w:t>
      </w:r>
      <w:r w:rsidR="001861BE">
        <w:t xml:space="preserve">RCT </w:t>
      </w:r>
      <w:r w:rsidR="005C5A09">
        <w:t>scholarship.</w:t>
      </w:r>
      <w:r w:rsidR="0006700B" w:rsidRPr="0006700B">
        <w:rPr>
          <w:vertAlign w:val="superscript"/>
        </w:rPr>
        <w:footnoteReference w:id="78"/>
      </w:r>
    </w:p>
    <w:p w:rsidR="0006700B" w:rsidRPr="00C6775E" w:rsidRDefault="00DA49BC" w:rsidP="00546FD2">
      <w:pPr>
        <w:spacing w:line="480" w:lineRule="auto"/>
      </w:pPr>
      <w:r>
        <w:rPr>
          <w:lang w:val="en-US"/>
        </w:rPr>
        <w:t>R</w:t>
      </w:r>
      <w:r w:rsidRPr="007B054C">
        <w:rPr>
          <w:lang w:val="en-US"/>
        </w:rPr>
        <w:t>egul</w:t>
      </w:r>
      <w:r>
        <w:rPr>
          <w:lang w:val="en-US"/>
        </w:rPr>
        <w:t xml:space="preserve">atory measures </w:t>
      </w:r>
      <w:r w:rsidRPr="007B054C">
        <w:rPr>
          <w:lang w:val="en-US"/>
        </w:rPr>
        <w:t>play several, often interconnecting, roles</w:t>
      </w:r>
      <w:r>
        <w:rPr>
          <w:lang w:val="en-US"/>
        </w:rPr>
        <w:t xml:space="preserve"> that </w:t>
      </w:r>
      <w:r w:rsidR="008C2ED7">
        <w:rPr>
          <w:lang w:val="en-US"/>
        </w:rPr>
        <w:t>affect</w:t>
      </w:r>
      <w:r>
        <w:rPr>
          <w:lang w:val="en-US"/>
        </w:rPr>
        <w:t xml:space="preserve"> property relationships, additional to the way</w:t>
      </w:r>
      <w:r w:rsidR="008C2ED7">
        <w:rPr>
          <w:lang w:val="en-US"/>
        </w:rPr>
        <w:t>s</w:t>
      </w:r>
      <w:r>
        <w:rPr>
          <w:lang w:val="en-US"/>
        </w:rPr>
        <w:t xml:space="preserve"> in which the contractual rights </w:t>
      </w:r>
      <w:r w:rsidR="008C2ED7">
        <w:rPr>
          <w:lang w:val="en-US"/>
        </w:rPr>
        <w:t xml:space="preserve">may be </w:t>
      </w:r>
      <w:r>
        <w:rPr>
          <w:lang w:val="en-US"/>
        </w:rPr>
        <w:t>adjusted</w:t>
      </w:r>
      <w:r w:rsidRPr="007B054C">
        <w:rPr>
          <w:lang w:val="en-US"/>
        </w:rPr>
        <w:t xml:space="preserve">. </w:t>
      </w:r>
      <w:r w:rsidR="00F65C23" w:rsidRPr="009B128E">
        <w:t xml:space="preserve">The scope of regulation has </w:t>
      </w:r>
      <w:r w:rsidR="008C2ED7">
        <w:t>proved</w:t>
      </w:r>
      <w:r w:rsidR="008C2ED7" w:rsidRPr="009B128E">
        <w:t xml:space="preserve"> </w:t>
      </w:r>
      <w:r w:rsidR="00F65C23" w:rsidRPr="009B128E">
        <w:t>notoriously difficult to pin down; Black suggests a definition of any ‘</w:t>
      </w:r>
      <w:r w:rsidR="00F65C23" w:rsidRPr="009B128E">
        <w:rPr>
          <w:rFonts w:eastAsia="Times New Roman"/>
          <w:lang w:eastAsia="en-GB"/>
        </w:rPr>
        <w:t>intentional activity of attempting to control, order, or influence the behaviour of others</w:t>
      </w:r>
      <w:r w:rsidR="00F65C23">
        <w:rPr>
          <w:rFonts w:eastAsia="Times New Roman"/>
          <w:lang w:eastAsia="en-GB"/>
        </w:rPr>
        <w:t>’</w:t>
      </w:r>
      <w:r w:rsidR="00F65C23" w:rsidRPr="009B128E">
        <w:rPr>
          <w:rFonts w:eastAsia="Times New Roman"/>
          <w:lang w:eastAsia="en-GB"/>
        </w:rPr>
        <w:t>.</w:t>
      </w:r>
      <w:r w:rsidR="00F65C23" w:rsidRPr="009B128E">
        <w:rPr>
          <w:vertAlign w:val="superscript"/>
        </w:rPr>
        <w:footnoteReference w:id="79"/>
      </w:r>
      <w:r w:rsidR="00F65C23" w:rsidRPr="009B128E">
        <w:t xml:space="preserve"> </w:t>
      </w:r>
      <w:r w:rsidR="00F65C23">
        <w:rPr>
          <w:lang w:val="en-US"/>
        </w:rPr>
        <w:t xml:space="preserve">There may be </w:t>
      </w:r>
      <w:r w:rsidR="00F65C23">
        <w:t>‘t</w:t>
      </w:r>
      <w:r w:rsidR="00F65C23" w:rsidRPr="0006700B">
        <w:t xml:space="preserve">op-down’ regulation </w:t>
      </w:r>
      <w:r w:rsidR="00F65C23">
        <w:t>taking</w:t>
      </w:r>
      <w:r w:rsidR="00F65C23" w:rsidRPr="0006700B">
        <w:t xml:space="preserve"> the fo</w:t>
      </w:r>
      <w:r w:rsidR="00F65C23">
        <w:t>rm of command and control rules</w:t>
      </w:r>
      <w:r w:rsidR="00F65C23" w:rsidRPr="0006700B">
        <w:t xml:space="preserve"> externally imposed by government or regulatory bodies</w:t>
      </w:r>
      <w:r w:rsidR="006E67AE">
        <w:t>.</w:t>
      </w:r>
      <w:r w:rsidR="006E67AE">
        <w:rPr>
          <w:rStyle w:val="FootnoteReference"/>
        </w:rPr>
        <w:footnoteReference w:id="80"/>
      </w:r>
      <w:r w:rsidR="00F65C23">
        <w:t xml:space="preserve"> </w:t>
      </w:r>
      <w:r w:rsidR="00E74728">
        <w:t>But</w:t>
      </w:r>
      <w:r w:rsidR="00242692">
        <w:t xml:space="preserve"> </w:t>
      </w:r>
      <w:r w:rsidR="00F65C23">
        <w:t>r</w:t>
      </w:r>
      <w:r w:rsidR="00F65C23" w:rsidRPr="009B128E">
        <w:t xml:space="preserve">egulatory theory has identified a wide range of influences, actors and networks beyond government that </w:t>
      </w:r>
      <w:r w:rsidR="00F65C23">
        <w:t xml:space="preserve">also </w:t>
      </w:r>
      <w:r w:rsidR="00F65C23" w:rsidRPr="009B128E">
        <w:t>set, monitor and require compliance with behavourial standards</w:t>
      </w:r>
      <w:r w:rsidR="00242692">
        <w:t>,</w:t>
      </w:r>
      <w:r w:rsidR="00F65C23" w:rsidRPr="009B128E">
        <w:t xml:space="preserve"> </w:t>
      </w:r>
      <w:r w:rsidR="0037400D">
        <w:t xml:space="preserve">often employing </w:t>
      </w:r>
      <w:r w:rsidR="00DD0C50">
        <w:t>softer and more subtle</w:t>
      </w:r>
      <w:r w:rsidR="0037400D">
        <w:t xml:space="preserve"> techniques</w:t>
      </w:r>
      <w:r w:rsidR="00F65C23" w:rsidRPr="009B128E">
        <w:t>.</w:t>
      </w:r>
      <w:r w:rsidR="00F65C23" w:rsidRPr="009B128E">
        <w:rPr>
          <w:vertAlign w:val="superscript"/>
        </w:rPr>
        <w:footnoteReference w:id="81"/>
      </w:r>
      <w:r w:rsidR="00F65C23" w:rsidRPr="009B128E">
        <w:t xml:space="preserve"> </w:t>
      </w:r>
      <w:r w:rsidR="00596970" w:rsidRPr="00596970">
        <w:t xml:space="preserve"> </w:t>
      </w:r>
      <w:r w:rsidR="00596970">
        <w:t xml:space="preserve">An extreme illustration of </w:t>
      </w:r>
      <w:r w:rsidR="0037400D">
        <w:t xml:space="preserve">a </w:t>
      </w:r>
      <w:r w:rsidR="00596970">
        <w:t>softer regulat</w:t>
      </w:r>
      <w:r w:rsidR="0037400D">
        <w:t>ory</w:t>
      </w:r>
      <w:r w:rsidR="00596970">
        <w:t xml:space="preserve"> </w:t>
      </w:r>
      <w:r w:rsidR="00596970" w:rsidRPr="009B128E">
        <w:t xml:space="preserve">technique </w:t>
      </w:r>
      <w:r w:rsidR="00596970">
        <w:t>is the landlord</w:t>
      </w:r>
      <w:r w:rsidR="00596970" w:rsidRPr="009B128E">
        <w:t xml:space="preserve"> leaving flowers for an in-coming tenant</w:t>
      </w:r>
      <w:r w:rsidR="00596970">
        <w:t>, which Cowan observes is</w:t>
      </w:r>
      <w:r w:rsidR="00596970" w:rsidRPr="009B128E">
        <w:t xml:space="preserve"> more effective </w:t>
      </w:r>
      <w:r w:rsidR="008C2ED7">
        <w:t xml:space="preserve">than the contract in </w:t>
      </w:r>
      <w:r w:rsidR="00596970" w:rsidRPr="009B128E">
        <w:t>establish</w:t>
      </w:r>
      <w:r w:rsidR="008C2ED7">
        <w:t>ing</w:t>
      </w:r>
      <w:r w:rsidR="00596970" w:rsidRPr="009B128E">
        <w:t xml:space="preserve"> a </w:t>
      </w:r>
      <w:r w:rsidR="008C2ED7">
        <w:t xml:space="preserve">good </w:t>
      </w:r>
      <w:r w:rsidR="00596970" w:rsidRPr="009B128E">
        <w:t>working relationship.</w:t>
      </w:r>
      <w:r w:rsidR="00596970" w:rsidRPr="009B128E">
        <w:rPr>
          <w:rStyle w:val="FootnoteReference"/>
        </w:rPr>
        <w:footnoteReference w:id="82"/>
      </w:r>
      <w:r w:rsidR="00596970">
        <w:t xml:space="preserve"> </w:t>
      </w:r>
      <w:r w:rsidR="00CB56B8">
        <w:t>Th</w:t>
      </w:r>
      <w:r w:rsidR="00596970">
        <w:t>e general</w:t>
      </w:r>
      <w:r w:rsidR="00F65C23" w:rsidRPr="009B128E">
        <w:t xml:space="preserve"> </w:t>
      </w:r>
      <w:r w:rsidR="0072255D">
        <w:t xml:space="preserve">move </w:t>
      </w:r>
      <w:r w:rsidR="00F65C23" w:rsidRPr="009B128E">
        <w:t>toward</w:t>
      </w:r>
      <w:r w:rsidR="00F65C23">
        <w:t>s</w:t>
      </w:r>
      <w:r w:rsidR="00F65C23" w:rsidRPr="009B128E">
        <w:t xml:space="preserve"> de-centred and softer regulation recognises and utilises the</w:t>
      </w:r>
      <w:r w:rsidR="00DD0C50">
        <w:t>se</w:t>
      </w:r>
      <w:r w:rsidR="00F65C23" w:rsidRPr="009B128E">
        <w:t xml:space="preserve"> </w:t>
      </w:r>
      <w:r w:rsidR="0037400D">
        <w:t xml:space="preserve">subtle influences and </w:t>
      </w:r>
      <w:r w:rsidR="00F65C23" w:rsidRPr="009B128E">
        <w:t xml:space="preserve">complex </w:t>
      </w:r>
      <w:r w:rsidR="00DD0C50">
        <w:t>networks</w:t>
      </w:r>
      <w:r w:rsidR="00F65C23" w:rsidRPr="009B128E">
        <w:t>.  Thus ‘top-down’ forms of regulation may be supplemented, or even kept at bay, by the influence of ‘middle-out’ – or sideways - regulatory pressures.</w:t>
      </w:r>
      <w:r w:rsidR="00F65C23" w:rsidRPr="009B128E">
        <w:rPr>
          <w:vertAlign w:val="superscript"/>
        </w:rPr>
        <w:footnoteReference w:id="83"/>
      </w:r>
      <w:r w:rsidR="00F65C23" w:rsidRPr="009B128E">
        <w:t xml:space="preserve">  Prominent amongst such pressures are consensus tools which rely on persuasion and co-operation to modify behaviour and are encapsulated within ideas of responsive regulation which seeks to harness the regulated</w:t>
      </w:r>
      <w:r w:rsidR="00F65C23">
        <w:t>’s</w:t>
      </w:r>
      <w:r w:rsidR="00F65C23" w:rsidRPr="009B128E">
        <w:t xml:space="preserve"> own decision-making and management structures</w:t>
      </w:r>
      <w:r w:rsidR="008C2ED7">
        <w:t>,</w:t>
      </w:r>
      <w:r w:rsidR="00F65C23" w:rsidRPr="009B128E">
        <w:t xml:space="preserve"> to achieve compliance with broad based behavioural</w:t>
      </w:r>
      <w:r w:rsidR="00F65C23">
        <w:t xml:space="preserve"> objectives</w:t>
      </w:r>
      <w:r w:rsidR="00F65C23" w:rsidRPr="009B128E">
        <w:t>.</w:t>
      </w:r>
      <w:r w:rsidR="00F65C23" w:rsidRPr="009B128E">
        <w:rPr>
          <w:rStyle w:val="FootnoteReference"/>
        </w:rPr>
        <w:footnoteReference w:id="84"/>
      </w:r>
      <w:r w:rsidR="00F65C23" w:rsidRPr="009B128E">
        <w:t xml:space="preserve"> Such </w:t>
      </w:r>
      <w:r w:rsidR="00F65C23">
        <w:t xml:space="preserve">approaches </w:t>
      </w:r>
      <w:r w:rsidR="00F65C23" w:rsidRPr="009B128E">
        <w:t>are evident</w:t>
      </w:r>
      <w:r w:rsidR="00242692">
        <w:t>, for example,</w:t>
      </w:r>
      <w:r w:rsidR="00F65C23" w:rsidRPr="009B128E">
        <w:t xml:space="preserve"> in the </w:t>
      </w:r>
      <w:r w:rsidR="0006700B" w:rsidRPr="0006700B">
        <w:t>indirect, or steering</w:t>
      </w:r>
      <w:r w:rsidR="0072255D">
        <w:t>,</w:t>
      </w:r>
      <w:r w:rsidR="0006700B" w:rsidRPr="0006700B">
        <w:t xml:space="preserve"> influence </w:t>
      </w:r>
      <w:r w:rsidR="00C6775E">
        <w:t xml:space="preserve">of regulatory measures </w:t>
      </w:r>
      <w:r w:rsidR="004046EC">
        <w:t xml:space="preserve">which set </w:t>
      </w:r>
      <w:r w:rsidR="00C6775E" w:rsidRPr="007B054C">
        <w:t>minimum energy efficiency standards</w:t>
      </w:r>
      <w:r w:rsidR="00C6775E" w:rsidRPr="007B054C">
        <w:rPr>
          <w:rStyle w:val="FootnoteReference"/>
        </w:rPr>
        <w:footnoteReference w:id="85"/>
      </w:r>
      <w:r w:rsidR="00A01245">
        <w:t xml:space="preserve"> </w:t>
      </w:r>
      <w:r w:rsidR="0072255D">
        <w:t>and</w:t>
      </w:r>
      <w:r w:rsidR="0006700B" w:rsidRPr="0006700B">
        <w:t xml:space="preserve"> are driving the adoption of particular ‘green’ clauses in some segments of the commercial property market</w:t>
      </w:r>
      <w:r w:rsidR="00C6775E">
        <w:t xml:space="preserve">. In this context, </w:t>
      </w:r>
      <w:r w:rsidR="0006700B" w:rsidRPr="0006700B">
        <w:t>non-state ‘middle actors’– in particular</w:t>
      </w:r>
      <w:r w:rsidR="00C6775E">
        <w:t xml:space="preserve"> property industry groups –</w:t>
      </w:r>
      <w:r w:rsidR="0006700B" w:rsidRPr="0006700B">
        <w:t>exert</w:t>
      </w:r>
      <w:r w:rsidR="00C6775E">
        <w:t xml:space="preserve"> ‘sideways’ influence</w:t>
      </w:r>
      <w:r w:rsidR="0006700B" w:rsidRPr="0006700B">
        <w:rPr>
          <w:vertAlign w:val="superscript"/>
        </w:rPr>
        <w:footnoteReference w:id="86"/>
      </w:r>
      <w:r w:rsidR="0006700B" w:rsidRPr="0006700B">
        <w:rPr>
          <w:vertAlign w:val="superscript"/>
        </w:rPr>
        <w:t xml:space="preserve"> </w:t>
      </w:r>
      <w:r w:rsidR="0006700B" w:rsidRPr="0006700B">
        <w:t>by promoting ‘toolkits’ offering a menu of ‘green</w:t>
      </w:r>
      <w:r w:rsidR="006E67AE">
        <w:t>’</w:t>
      </w:r>
      <w:r w:rsidR="0006700B" w:rsidRPr="0006700B">
        <w:t xml:space="preserve"> clauses that parties can elect to include in leases</w:t>
      </w:r>
      <w:r w:rsidR="00C6775E">
        <w:t>,</w:t>
      </w:r>
      <w:r w:rsidR="0006700B" w:rsidRPr="0006700B">
        <w:rPr>
          <w:vertAlign w:val="superscript"/>
        </w:rPr>
        <w:footnoteReference w:id="87"/>
      </w:r>
      <w:r w:rsidR="00C6775E">
        <w:t xml:space="preserve"> and, </w:t>
      </w:r>
      <w:r w:rsidR="0006700B" w:rsidRPr="0006700B">
        <w:t>in turn, landlords</w:t>
      </w:r>
      <w:r w:rsidR="004046EC">
        <w:t xml:space="preserve"> </w:t>
      </w:r>
      <w:r w:rsidR="0006700B" w:rsidRPr="0006700B">
        <w:t xml:space="preserve">are also sideways actors as they roll out </w:t>
      </w:r>
      <w:r w:rsidR="006E67AE">
        <w:t>‘</w:t>
      </w:r>
      <w:r w:rsidR="0006700B" w:rsidRPr="0006700B">
        <w:t>green</w:t>
      </w:r>
      <w:r w:rsidR="006E67AE">
        <w:t>’</w:t>
      </w:r>
      <w:r w:rsidR="0006700B" w:rsidRPr="0006700B">
        <w:t xml:space="preserve"> leases across their </w:t>
      </w:r>
      <w:r w:rsidR="0072255D" w:rsidRPr="0006700B">
        <w:t>propert</w:t>
      </w:r>
      <w:r w:rsidR="0072255D">
        <w:t>y</w:t>
      </w:r>
      <w:r w:rsidR="0072255D" w:rsidRPr="0006700B">
        <w:t xml:space="preserve"> </w:t>
      </w:r>
      <w:r w:rsidR="0006700B" w:rsidRPr="0006700B">
        <w:t>portfolio</w:t>
      </w:r>
      <w:r w:rsidR="0072255D">
        <w:t>.</w:t>
      </w:r>
    </w:p>
    <w:p w:rsidR="003B2B95" w:rsidRDefault="00E358A7" w:rsidP="00546FD2">
      <w:pPr>
        <w:autoSpaceDE w:val="0"/>
        <w:autoSpaceDN w:val="0"/>
        <w:adjustRightInd w:val="0"/>
        <w:spacing w:after="0" w:line="480" w:lineRule="auto"/>
      </w:pPr>
      <w:r>
        <w:t>A</w:t>
      </w:r>
      <w:r w:rsidR="004B01CE">
        <w:t xml:space="preserve">longside the various legal and regulatory influences are the ways in which the parties to the property relationships themselves </w:t>
      </w:r>
      <w:r w:rsidR="00596970">
        <w:t xml:space="preserve">generate </w:t>
      </w:r>
      <w:r w:rsidR="004B01CE">
        <w:t xml:space="preserve">norms that guide behaviour. </w:t>
      </w:r>
      <w:r w:rsidR="007F2161" w:rsidRPr="0006700B">
        <w:t xml:space="preserve">Even if </w:t>
      </w:r>
      <w:r w:rsidR="004B01CE">
        <w:t>the parties acknowledge the contract as</w:t>
      </w:r>
      <w:r w:rsidR="007F2161" w:rsidRPr="0006700B">
        <w:t xml:space="preserve"> </w:t>
      </w:r>
      <w:r w:rsidR="007F2161">
        <w:t>a reference point</w:t>
      </w:r>
      <w:r w:rsidR="007F2161" w:rsidRPr="0006700B">
        <w:t xml:space="preserve">, the express terms may be ambiguous or silent on the issue upon which the parties need an answer.  Practices thus emerge and are developed to address gaps, to agree the meaning of stated obligations, to find ways around inconsistencies, or simply an agreement to ignore unwanted terms. </w:t>
      </w:r>
    </w:p>
    <w:p w:rsidR="003B2B95" w:rsidRDefault="003B2B95" w:rsidP="00546FD2">
      <w:pPr>
        <w:autoSpaceDE w:val="0"/>
        <w:autoSpaceDN w:val="0"/>
        <w:adjustRightInd w:val="0"/>
        <w:spacing w:after="0" w:line="480" w:lineRule="auto"/>
      </w:pPr>
    </w:p>
    <w:p w:rsidR="0026207A" w:rsidRDefault="003B2B95" w:rsidP="00546FD2">
      <w:pPr>
        <w:autoSpaceDE w:val="0"/>
        <w:autoSpaceDN w:val="0"/>
        <w:adjustRightInd w:val="0"/>
        <w:spacing w:after="0" w:line="480" w:lineRule="auto"/>
      </w:pPr>
      <w:r>
        <w:t>Residential mortgages provide examples of how the lived property relationship is affected by understandings and practices developed by the parties, as well as by the wider interplay of other sources including the mortgage contract terms, statute, and market regulatory measures (both hard and soft). T</w:t>
      </w:r>
      <w:r w:rsidRPr="007B054C">
        <w:t xml:space="preserve">he key </w:t>
      </w:r>
      <w:r w:rsidR="0072255D">
        <w:t xml:space="preserve">crisis point </w:t>
      </w:r>
      <w:r>
        <w:t xml:space="preserve">in the mortgage relationship </w:t>
      </w:r>
      <w:r w:rsidRPr="007B054C">
        <w:t>aris</w:t>
      </w:r>
      <w:r>
        <w:t>es</w:t>
      </w:r>
      <w:r w:rsidRPr="007B054C">
        <w:t xml:space="preserve"> on default when the mortgagee </w:t>
      </w:r>
      <w:r>
        <w:t xml:space="preserve">seeks </w:t>
      </w:r>
      <w:r w:rsidRPr="007B054C">
        <w:t xml:space="preserve">possession as a prelude to sale. </w:t>
      </w:r>
      <w:r>
        <w:t>As a property right the residential mortgage creates a peculiar fictional relationship between mortgagee and mortgagor</w:t>
      </w:r>
      <w:r w:rsidR="00E8270F">
        <w:t xml:space="preserve">: </w:t>
      </w:r>
      <w:r>
        <w:t xml:space="preserve"> by nature a legal charge, but a charge that creates a property relationship as if there </w:t>
      </w:r>
      <w:r w:rsidR="008C2ED7">
        <w:t>were</w:t>
      </w:r>
      <w:r>
        <w:t xml:space="preserve"> a lease of 3,000 years granted by the mortgagor.</w:t>
      </w:r>
      <w:r>
        <w:rPr>
          <w:rStyle w:val="FootnoteReference"/>
        </w:rPr>
        <w:footnoteReference w:id="88"/>
      </w:r>
      <w:r>
        <w:t xml:space="preserve">  In law, the mortgagee </w:t>
      </w:r>
      <w:r w:rsidR="0090374A">
        <w:t xml:space="preserve">(as lessee) </w:t>
      </w:r>
      <w:r>
        <w:t>thus has an immediate right to possession that is not dependent on default but arises ‘before the ink is dry on the mortgage.’</w:t>
      </w:r>
      <w:r>
        <w:rPr>
          <w:rStyle w:val="FootnoteReference"/>
        </w:rPr>
        <w:footnoteReference w:id="89"/>
      </w:r>
      <w:r>
        <w:t xml:space="preserve">  This bizarre relationship is neither desired nor often appreciated by the parties</w:t>
      </w:r>
      <w:r w:rsidR="00242692">
        <w:t xml:space="preserve"> and in practice </w:t>
      </w:r>
      <w:r>
        <w:t>the parties</w:t>
      </w:r>
      <w:r w:rsidR="00242692">
        <w:t xml:space="preserve"> will</w:t>
      </w:r>
      <w:r>
        <w:t xml:space="preserve"> contractually agree that the mortgagee should only be </w:t>
      </w:r>
      <w:r w:rsidR="0090374A">
        <w:t xml:space="preserve">entitled to possession </w:t>
      </w:r>
      <w:r>
        <w:t>on default</w:t>
      </w:r>
      <w:r w:rsidR="0090374A">
        <w:t>. E</w:t>
      </w:r>
      <w:r w:rsidRPr="007B054C">
        <w:t xml:space="preserve">quity </w:t>
      </w:r>
      <w:r>
        <w:t xml:space="preserve">also </w:t>
      </w:r>
      <w:r w:rsidRPr="007B054C">
        <w:t>discourage</w:t>
      </w:r>
      <w:r>
        <w:t>s</w:t>
      </w:r>
      <w:r w:rsidRPr="007B054C">
        <w:t xml:space="preserve"> </w:t>
      </w:r>
      <w:r>
        <w:t xml:space="preserve">repossession </w:t>
      </w:r>
      <w:r w:rsidRPr="007B054C">
        <w:t xml:space="preserve">by imposing strict </w:t>
      </w:r>
      <w:r>
        <w:t xml:space="preserve">fiduciary </w:t>
      </w:r>
      <w:r w:rsidRPr="007B054C">
        <w:t xml:space="preserve">duties </w:t>
      </w:r>
      <w:r>
        <w:t>on the mortgagee</w:t>
      </w:r>
      <w:r w:rsidRPr="007B054C">
        <w:rPr>
          <w:rStyle w:val="FootnoteReference"/>
        </w:rPr>
        <w:footnoteReference w:id="90"/>
      </w:r>
      <w:r w:rsidRPr="007B054C">
        <w:t xml:space="preserve"> </w:t>
      </w:r>
      <w:r>
        <w:t>and ensuring</w:t>
      </w:r>
      <w:r w:rsidRPr="007B054C">
        <w:t xml:space="preserve"> that </w:t>
      </w:r>
      <w:r>
        <w:t xml:space="preserve">possession is only granted to </w:t>
      </w:r>
      <w:r w:rsidRPr="007B054C">
        <w:t>recover the debt</w:t>
      </w:r>
      <w:r>
        <w:t>.</w:t>
      </w:r>
      <w:r w:rsidRPr="007B054C">
        <w:rPr>
          <w:rStyle w:val="FootnoteReference"/>
        </w:rPr>
        <w:footnoteReference w:id="91"/>
      </w:r>
      <w:r>
        <w:t xml:space="preserve"> More significantly in relational terms, statutory and regulatory measures call for the sustainability of the enduring relationship between the parties to be supported when</w:t>
      </w:r>
      <w:r w:rsidR="0089064F">
        <w:t>ever</w:t>
      </w:r>
      <w:r>
        <w:t xml:space="preserve"> possible through forbearance</w:t>
      </w:r>
      <w:r w:rsidR="00E8270F">
        <w:t xml:space="preserve"> by the mortgagee</w:t>
      </w:r>
      <w:r>
        <w:t xml:space="preserve">.  </w:t>
      </w:r>
    </w:p>
    <w:p w:rsidR="0026207A" w:rsidRDefault="0026207A" w:rsidP="00546FD2">
      <w:pPr>
        <w:autoSpaceDE w:val="0"/>
        <w:autoSpaceDN w:val="0"/>
        <w:adjustRightInd w:val="0"/>
        <w:spacing w:after="0" w:line="480" w:lineRule="auto"/>
      </w:pPr>
    </w:p>
    <w:p w:rsidR="003B2B95" w:rsidRDefault="003B2B95" w:rsidP="00546FD2">
      <w:pPr>
        <w:autoSpaceDE w:val="0"/>
        <w:autoSpaceDN w:val="0"/>
        <w:adjustRightInd w:val="0"/>
        <w:spacing w:after="0" w:line="480" w:lineRule="auto"/>
      </w:pPr>
      <w:r>
        <w:t>The mortgagee’s conduct is influenced by regulatory norms prescribed by the Financial and Services Market Act 2000 (FSMA 2000)</w:t>
      </w:r>
      <w:r w:rsidR="00242692">
        <w:t>. T</w:t>
      </w:r>
      <w:r w:rsidR="000F4794">
        <w:t>he Financial Conduct Authority (FCA) has established as an overarching principle that</w:t>
      </w:r>
      <w:r>
        <w:t xml:space="preserve"> residential mortgagees </w:t>
      </w:r>
      <w:r w:rsidR="00891408">
        <w:t>must</w:t>
      </w:r>
      <w:r w:rsidR="00B06DFB">
        <w:t xml:space="preserve"> </w:t>
      </w:r>
      <w:r>
        <w:t>‘</w:t>
      </w:r>
      <w:r w:rsidR="00B06DFB" w:rsidRPr="00B06DFB">
        <w:t>pay due regard to the interests of its customers and treat them fairly.</w:t>
      </w:r>
      <w:r>
        <w:t>’</w:t>
      </w:r>
      <w:r>
        <w:rPr>
          <w:rStyle w:val="FootnoteReference"/>
        </w:rPr>
        <w:footnoteReference w:id="92"/>
      </w:r>
      <w:r>
        <w:t xml:space="preserve"> </w:t>
      </w:r>
      <w:r w:rsidR="00242692">
        <w:t>In</w:t>
      </w:r>
      <w:r w:rsidR="00117B47">
        <w:t xml:space="preserve"> </w:t>
      </w:r>
      <w:r w:rsidR="00A417EE">
        <w:t xml:space="preserve">attempting </w:t>
      </w:r>
      <w:r w:rsidR="00117B47">
        <w:t xml:space="preserve">to clothe </w:t>
      </w:r>
      <w:r w:rsidR="00A620F0">
        <w:t xml:space="preserve">this  </w:t>
      </w:r>
      <w:r w:rsidR="00B41412">
        <w:t xml:space="preserve">aspirational, yet </w:t>
      </w:r>
      <w:r w:rsidR="00A620F0">
        <w:t>abstract</w:t>
      </w:r>
      <w:r w:rsidR="00B41412">
        <w:t>,</w:t>
      </w:r>
      <w:r w:rsidR="00A620F0">
        <w:t xml:space="preserve"> standard </w:t>
      </w:r>
      <w:r w:rsidR="00117B47">
        <w:t xml:space="preserve">with more bite, </w:t>
      </w:r>
      <w:r w:rsidR="00242692">
        <w:t xml:space="preserve">the FCA </w:t>
      </w:r>
      <w:r w:rsidR="00117B47">
        <w:t xml:space="preserve">has articulated a </w:t>
      </w:r>
      <w:r w:rsidR="00A620F0">
        <w:t>set</w:t>
      </w:r>
      <w:r w:rsidR="00117B47">
        <w:t xml:space="preserve"> of </w:t>
      </w:r>
      <w:r w:rsidR="00F1516D">
        <w:t xml:space="preserve">distinct </w:t>
      </w:r>
      <w:r w:rsidR="00A620F0">
        <w:t>regulatory outcomes</w:t>
      </w:r>
      <w:r w:rsidR="00117B47">
        <w:rPr>
          <w:rStyle w:val="FootnoteReference"/>
        </w:rPr>
        <w:footnoteReference w:id="93"/>
      </w:r>
      <w:r w:rsidR="00A620F0">
        <w:t xml:space="preserve"> </w:t>
      </w:r>
      <w:r w:rsidR="00117B47">
        <w:t>but it is t</w:t>
      </w:r>
      <w:r w:rsidR="0090374A">
        <w:t>he</w:t>
      </w:r>
      <w:r>
        <w:t xml:space="preserve"> Mortgage Conduct of Business Rules (MCOB)</w:t>
      </w:r>
      <w:r>
        <w:rPr>
          <w:rStyle w:val="FootnoteReference"/>
        </w:rPr>
        <w:footnoteReference w:id="94"/>
      </w:r>
      <w:r>
        <w:t xml:space="preserve"> </w:t>
      </w:r>
      <w:r w:rsidR="00117B47">
        <w:t xml:space="preserve">that </w:t>
      </w:r>
      <w:r w:rsidR="0090374A">
        <w:t>sets out in greater detail ‘fair’ conduct</w:t>
      </w:r>
      <w:r w:rsidR="00117B47">
        <w:t>: for instance</w:t>
      </w:r>
      <w:r w:rsidR="00ED1621">
        <w:t>,</w:t>
      </w:r>
      <w:r w:rsidR="0090374A">
        <w:t xml:space="preserve"> on default </w:t>
      </w:r>
      <w:r>
        <w:t>mortgagees</w:t>
      </w:r>
      <w:r w:rsidRPr="007F487F">
        <w:t xml:space="preserve"> </w:t>
      </w:r>
      <w:r w:rsidR="00117B47">
        <w:t xml:space="preserve">are required </w:t>
      </w:r>
      <w:r>
        <w:t xml:space="preserve">to </w:t>
      </w:r>
      <w:r w:rsidR="0090374A">
        <w:t xml:space="preserve">explore </w:t>
      </w:r>
      <w:r>
        <w:t xml:space="preserve">forbearance and only to seek </w:t>
      </w:r>
      <w:r w:rsidR="0090374A">
        <w:t xml:space="preserve">enforcement </w:t>
      </w:r>
      <w:r>
        <w:t>as a last resort.</w:t>
      </w:r>
      <w:r w:rsidRPr="007B054C">
        <w:rPr>
          <w:rStyle w:val="FootnoteReference"/>
        </w:rPr>
        <w:footnoteReference w:id="95"/>
      </w:r>
      <w:r w:rsidRPr="007B054C">
        <w:t xml:space="preserve"> </w:t>
      </w:r>
      <w:r>
        <w:t xml:space="preserve"> The</w:t>
      </w:r>
      <w:r w:rsidR="00AF70C6">
        <w:t xml:space="preserve"> </w:t>
      </w:r>
      <w:r w:rsidR="00245DF6">
        <w:t xml:space="preserve">courts </w:t>
      </w:r>
      <w:r w:rsidR="009165D8">
        <w:t xml:space="preserve">also </w:t>
      </w:r>
      <w:r>
        <w:t xml:space="preserve">require the sustainability of the mortgage relationship through forbearance to be explored before </w:t>
      </w:r>
      <w:r w:rsidR="00245DF6">
        <w:t>litigation</w:t>
      </w:r>
      <w:r w:rsidR="009165D8">
        <w:t>,</w:t>
      </w:r>
      <w:r w:rsidR="00245DF6" w:rsidRPr="007B054C">
        <w:rPr>
          <w:rStyle w:val="FootnoteReference"/>
        </w:rPr>
        <w:footnoteReference w:id="96"/>
      </w:r>
      <w:r w:rsidR="00245DF6">
        <w:t xml:space="preserve"> </w:t>
      </w:r>
      <w:r w:rsidR="009165D8">
        <w:t>and are empowered to</w:t>
      </w:r>
      <w:r>
        <w:t xml:space="preserve"> delay repossession where satisfied that the mortgagor can repay arrears within a reasonable time.</w:t>
      </w:r>
      <w:r>
        <w:rPr>
          <w:rStyle w:val="FootnoteReference"/>
        </w:rPr>
        <w:footnoteReference w:id="97"/>
      </w:r>
      <w:r>
        <w:t xml:space="preserve"> These regulatory requirements are supplemented by p</w:t>
      </w:r>
      <w:r w:rsidRPr="007B054C">
        <w:t>ractices and attitudes develop</w:t>
      </w:r>
      <w:r>
        <w:t xml:space="preserve">ed </w:t>
      </w:r>
      <w:r w:rsidRPr="007B054C">
        <w:t xml:space="preserve">across the mortgage industry, </w:t>
      </w:r>
      <w:r>
        <w:t>and which may be crystallised in practice guidance by trade bodies, such as the Council of Mortgage Lenders</w:t>
      </w:r>
      <w:r w:rsidR="00DD33E1">
        <w:t xml:space="preserve"> </w:t>
      </w:r>
      <w:r w:rsidR="00DD33E1" w:rsidRPr="000324A4">
        <w:t>(now part of Finance UK)</w:t>
      </w:r>
      <w:r w:rsidRPr="000324A4">
        <w:t>.</w:t>
      </w:r>
      <w:r w:rsidR="00A417EE" w:rsidRPr="000324A4">
        <w:rPr>
          <w:rStyle w:val="FootnoteReference"/>
        </w:rPr>
        <w:footnoteReference w:id="98"/>
      </w:r>
      <w:r w:rsidRPr="000324A4">
        <w:t xml:space="preserve"> Ind</w:t>
      </w:r>
      <w:r w:rsidRPr="007B054C">
        <w:t xml:space="preserve">ividual </w:t>
      </w:r>
      <w:r>
        <w:t>mortgagees will also develop their own</w:t>
      </w:r>
      <w:r w:rsidRPr="007B054C">
        <w:t xml:space="preserve"> </w:t>
      </w:r>
      <w:r>
        <w:t xml:space="preserve">internal forbearance </w:t>
      </w:r>
      <w:r w:rsidRPr="007B054C">
        <w:t>policies</w:t>
      </w:r>
      <w:r>
        <w:t xml:space="preserve">, which </w:t>
      </w:r>
      <w:r w:rsidRPr="007B054C">
        <w:t xml:space="preserve">may change over the life of the mortgage relationship. </w:t>
      </w:r>
      <w:r w:rsidR="00D83E09">
        <w:t xml:space="preserve">Nevertheless, research has demonstrated the variable and intimidating experience that mortgagors can face when seeking to navigate this forbearance process that </w:t>
      </w:r>
      <w:r w:rsidR="00AF71B9">
        <w:t xml:space="preserve">can seem opaque rather than </w:t>
      </w:r>
      <w:r w:rsidR="00D83E09">
        <w:t>‘fair.’</w:t>
      </w:r>
      <w:r w:rsidR="00D83E09">
        <w:rPr>
          <w:rStyle w:val="FootnoteReference"/>
        </w:rPr>
        <w:footnoteReference w:id="99"/>
      </w:r>
      <w:r w:rsidR="00D83E09">
        <w:t xml:space="preserve"> Furthermore, </w:t>
      </w:r>
      <w:r w:rsidR="00AF71B9">
        <w:t>a</w:t>
      </w:r>
      <w:r w:rsidR="00D83E09">
        <w:t xml:space="preserve"> mismatch between these diverse influences on the mortgagee’s conduct in the event of default</w:t>
      </w:r>
      <w:r w:rsidR="00AF71B9">
        <w:t xml:space="preserve"> reveals the significance of their interface</w:t>
      </w:r>
      <w:r w:rsidR="00D83E09">
        <w:t xml:space="preserve">. </w:t>
      </w:r>
      <w:r w:rsidR="00AF71B9">
        <w:t xml:space="preserve"> </w:t>
      </w:r>
      <w:r w:rsidR="00D83E09">
        <w:t xml:space="preserve">A failure to comply with the MCOB rules </w:t>
      </w:r>
      <w:r w:rsidR="00AF71B9">
        <w:t xml:space="preserve">requiring forbearance </w:t>
      </w:r>
      <w:r w:rsidR="00D83E09">
        <w:t>may lead to regulatory censure but will not affect the parties’ underl</w:t>
      </w:r>
      <w:r w:rsidR="00ED1621">
        <w:t>y</w:t>
      </w:r>
      <w:r w:rsidR="0089064F">
        <w:t>in</w:t>
      </w:r>
      <w:r w:rsidR="00D83E09">
        <w:t>g property rights and obligations.</w:t>
      </w:r>
      <w:r w:rsidR="00D83E09">
        <w:rPr>
          <w:rStyle w:val="FootnoteReference"/>
        </w:rPr>
        <w:footnoteReference w:id="100"/>
      </w:r>
      <w:r w:rsidR="00AF71B9">
        <w:t xml:space="preserve"> </w:t>
      </w:r>
    </w:p>
    <w:p w:rsidR="003B2B95" w:rsidRDefault="003B2B95" w:rsidP="00546FD2">
      <w:pPr>
        <w:autoSpaceDE w:val="0"/>
        <w:autoSpaceDN w:val="0"/>
        <w:adjustRightInd w:val="0"/>
        <w:spacing w:after="0" w:line="480" w:lineRule="auto"/>
      </w:pPr>
    </w:p>
    <w:p w:rsidR="00CC10E4" w:rsidRPr="0006700B" w:rsidRDefault="00834B7C" w:rsidP="00546FD2">
      <w:pPr>
        <w:spacing w:line="480" w:lineRule="auto"/>
        <w:rPr>
          <w:lang w:val="en-US"/>
        </w:rPr>
      </w:pPr>
      <w:r>
        <w:t xml:space="preserve">The complexity of enduring property relations can also be seen in </w:t>
      </w:r>
      <w:r w:rsidR="00C03AA5" w:rsidRPr="0006700B">
        <w:t>residential leasehold</w:t>
      </w:r>
      <w:r w:rsidR="004E4AA9">
        <w:t>, which is similarly heavily-regulated.</w:t>
      </w:r>
      <w:r w:rsidR="004E4AA9">
        <w:rPr>
          <w:rStyle w:val="FootnoteReference"/>
        </w:rPr>
        <w:footnoteReference w:id="101"/>
      </w:r>
      <w:r w:rsidR="00C03AA5" w:rsidRPr="0006700B">
        <w:t xml:space="preserve"> </w:t>
      </w:r>
      <w:r w:rsidR="00FD03E7">
        <w:t>E</w:t>
      </w:r>
      <w:r w:rsidR="00AC53FC" w:rsidRPr="007B054C">
        <w:t xml:space="preserve">ach </w:t>
      </w:r>
      <w:r w:rsidR="00B740FE">
        <w:t xml:space="preserve">unit-owner will have a long lease of their unit </w:t>
      </w:r>
      <w:r w:rsidR="00E358A7">
        <w:t xml:space="preserve">as well as </w:t>
      </w:r>
      <w:r w:rsidR="00AC53FC" w:rsidRPr="007B054C">
        <w:t>property rights over common parts, such as parking areas, grounds</w:t>
      </w:r>
      <w:r w:rsidR="00AC53FC">
        <w:t xml:space="preserve">, </w:t>
      </w:r>
      <w:r w:rsidR="00AC53FC" w:rsidRPr="007B054C">
        <w:t xml:space="preserve">entrance </w:t>
      </w:r>
      <w:r w:rsidR="00E358A7">
        <w:t xml:space="preserve">lobbies </w:t>
      </w:r>
      <w:r w:rsidR="00AC53FC">
        <w:t>and lifts</w:t>
      </w:r>
      <w:r w:rsidR="00AC53FC" w:rsidRPr="007B054C">
        <w:t xml:space="preserve">. </w:t>
      </w:r>
      <w:r w:rsidR="00AC53FC">
        <w:t>T</w:t>
      </w:r>
      <w:r w:rsidR="00AC53FC" w:rsidRPr="007B054C">
        <w:t xml:space="preserve">he leaseholders </w:t>
      </w:r>
      <w:r w:rsidR="00AC53FC">
        <w:t>will be granted</w:t>
      </w:r>
      <w:r w:rsidR="00D25251">
        <w:t xml:space="preserve"> formal</w:t>
      </w:r>
      <w:r w:rsidR="00AC53FC" w:rsidRPr="007B054C">
        <w:t xml:space="preserve"> right</w:t>
      </w:r>
      <w:r w:rsidR="00D25251">
        <w:t>s</w:t>
      </w:r>
      <w:r w:rsidR="00AC53FC" w:rsidRPr="007B054C">
        <w:t xml:space="preserve"> of use and access to the</w:t>
      </w:r>
      <w:r w:rsidR="00AC53FC">
        <w:t>se</w:t>
      </w:r>
      <w:r w:rsidR="00AC53FC" w:rsidRPr="007B054C">
        <w:t xml:space="preserve"> common parts</w:t>
      </w:r>
      <w:r w:rsidR="00FD03E7">
        <w:t>,</w:t>
      </w:r>
      <w:r w:rsidR="00AC53FC">
        <w:t xml:space="preserve"> but as </w:t>
      </w:r>
      <w:r w:rsidR="00AC53FC" w:rsidRPr="007B054C">
        <w:t xml:space="preserve">the typical lease is silent on how </w:t>
      </w:r>
      <w:r w:rsidR="00AC53FC">
        <w:t>leaseholders’ easements</w:t>
      </w:r>
      <w:r w:rsidR="00AC53FC" w:rsidRPr="007B054C">
        <w:t xml:space="preserve"> over the common parts are to take effect the parties have to develop their own understandings and practices that will govern the</w:t>
      </w:r>
      <w:r w:rsidR="00AC53FC">
        <w:t>ir</w:t>
      </w:r>
      <w:r w:rsidR="00AC53FC" w:rsidRPr="007B054C">
        <w:t xml:space="preserve"> day to day</w:t>
      </w:r>
      <w:r w:rsidR="00AC53FC">
        <w:t xml:space="preserve"> relationships</w:t>
      </w:r>
      <w:r w:rsidR="00FD03E7">
        <w:t>. Over time</w:t>
      </w:r>
      <w:r w:rsidR="00AC53FC">
        <w:t xml:space="preserve"> these</w:t>
      </w:r>
      <w:r w:rsidR="00AC53FC" w:rsidRPr="007B054C">
        <w:t xml:space="preserve"> </w:t>
      </w:r>
      <w:r w:rsidR="00AC53FC" w:rsidRPr="00290A07">
        <w:rPr>
          <w:i/>
        </w:rPr>
        <w:t>de facto</w:t>
      </w:r>
      <w:r w:rsidR="00AC53FC">
        <w:t xml:space="preserve"> rules </w:t>
      </w:r>
      <w:r w:rsidR="00FD03E7">
        <w:t xml:space="preserve">become established and </w:t>
      </w:r>
      <w:r w:rsidR="00AC53FC" w:rsidRPr="007B054C">
        <w:t>may be treated as binding by new owners</w:t>
      </w:r>
      <w:r w:rsidR="00AC53FC">
        <w:t>.</w:t>
      </w:r>
      <w:r w:rsidR="00AC53FC" w:rsidRPr="007B054C">
        <w:t xml:space="preserve"> </w:t>
      </w:r>
      <w:r w:rsidR="00CC10E4">
        <w:t>Further, e</w:t>
      </w:r>
      <w:r w:rsidR="00FD03E7">
        <w:t>ven where</w:t>
      </w:r>
      <w:r w:rsidR="00AC53FC">
        <w:t xml:space="preserve"> </w:t>
      </w:r>
      <w:r w:rsidR="00C03AA5">
        <w:t>t</w:t>
      </w:r>
      <w:r w:rsidR="007F2161">
        <w:t xml:space="preserve">he lease </w:t>
      </w:r>
      <w:r w:rsidR="007F2161" w:rsidRPr="00D92C50">
        <w:t xml:space="preserve">sets out </w:t>
      </w:r>
      <w:r w:rsidR="00FD03E7">
        <w:t xml:space="preserve">in detail </w:t>
      </w:r>
      <w:r w:rsidR="007F2161" w:rsidRPr="00D92C50">
        <w:t>the rights and responsibilities of the parties</w:t>
      </w:r>
      <w:r w:rsidR="007F2161" w:rsidRPr="0006700B">
        <w:t xml:space="preserve">, one respondent </w:t>
      </w:r>
      <w:r w:rsidR="00C03AA5">
        <w:t xml:space="preserve">in Blandy’s </w:t>
      </w:r>
      <w:r w:rsidR="007E0D70">
        <w:t xml:space="preserve">empirical </w:t>
      </w:r>
      <w:r w:rsidR="00C03AA5">
        <w:t xml:space="preserve">research </w:t>
      </w:r>
      <w:r w:rsidR="007F2161" w:rsidRPr="0006700B">
        <w:t xml:space="preserve">explained that the occupiers had </w:t>
      </w:r>
      <w:r w:rsidR="007E0D70">
        <w:t xml:space="preserve">collectively </w:t>
      </w:r>
      <w:r w:rsidR="007F2161" w:rsidRPr="0006700B">
        <w:t>chosen ‘</w:t>
      </w:r>
      <w:r w:rsidR="007F2161" w:rsidRPr="00C03AA5">
        <w:rPr>
          <w:i/>
        </w:rPr>
        <w:t xml:space="preserve">not to enforce some things </w:t>
      </w:r>
      <w:r w:rsidR="007F2161" w:rsidRPr="00FD03E7">
        <w:t>[that are set out in the lease]</w:t>
      </w:r>
      <w:r w:rsidR="007F2161" w:rsidRPr="00C03AA5">
        <w:rPr>
          <w:i/>
        </w:rPr>
        <w:t xml:space="preserve"> – like no barbecues, or hanging out washing - because after a while we discovered what as a group we want to do</w:t>
      </w:r>
      <w:r w:rsidR="007F2161" w:rsidRPr="0006700B">
        <w:t>’.</w:t>
      </w:r>
      <w:r w:rsidR="007F2161" w:rsidRPr="0006700B">
        <w:rPr>
          <w:vertAlign w:val="superscript"/>
        </w:rPr>
        <w:footnoteReference w:id="102"/>
      </w:r>
      <w:r w:rsidR="007F2161" w:rsidRPr="0006700B">
        <w:t xml:space="preserve"> </w:t>
      </w:r>
      <w:r w:rsidR="00CC10E4">
        <w:t>I</w:t>
      </w:r>
      <w:r w:rsidR="00CC10E4" w:rsidRPr="0006700B">
        <w:t>n many residential leasehold sites,</w:t>
      </w:r>
      <w:r w:rsidR="00BB5E8F">
        <w:t xml:space="preserve"> individual</w:t>
      </w:r>
      <w:r w:rsidR="00CC10E4" w:rsidRPr="0006700B">
        <w:t xml:space="preserve"> </w:t>
      </w:r>
      <w:r w:rsidR="00CC10E4" w:rsidRPr="0006700B">
        <w:rPr>
          <w:i/>
        </w:rPr>
        <w:t>de jure</w:t>
      </w:r>
      <w:r w:rsidR="00CC10E4" w:rsidRPr="0006700B">
        <w:t xml:space="preserve"> property rights have been changed over time by </w:t>
      </w:r>
      <w:r w:rsidR="00CC10E4" w:rsidRPr="0006700B">
        <w:rPr>
          <w:i/>
        </w:rPr>
        <w:t>de facto</w:t>
      </w:r>
      <w:r w:rsidR="00CC10E4" w:rsidRPr="0006700B">
        <w:t xml:space="preserve"> understandings. To take an extreme example, at one site t</w:t>
      </w:r>
      <w:r w:rsidR="00CC10E4" w:rsidRPr="0006700B">
        <w:rPr>
          <w:lang w:val="en-US"/>
        </w:rPr>
        <w:t>he property boundar</w:t>
      </w:r>
      <w:r w:rsidR="00B231A7">
        <w:rPr>
          <w:lang w:val="en-US"/>
        </w:rPr>
        <w:t>y</w:t>
      </w:r>
      <w:r w:rsidR="00CC10E4" w:rsidRPr="0006700B">
        <w:rPr>
          <w:lang w:val="en-US"/>
        </w:rPr>
        <w:t xml:space="preserve"> was changed </w:t>
      </w:r>
      <w:r w:rsidR="00B231A7">
        <w:rPr>
          <w:lang w:val="en-US"/>
        </w:rPr>
        <w:t xml:space="preserve">informally </w:t>
      </w:r>
      <w:r w:rsidR="00CC10E4" w:rsidRPr="0006700B">
        <w:rPr>
          <w:lang w:val="en-US"/>
        </w:rPr>
        <w:t>and had become recognized by other owners:</w:t>
      </w:r>
      <w:r w:rsidR="00CC10E4" w:rsidRPr="0006700B" w:rsidDel="00F75C29">
        <w:rPr>
          <w:vertAlign w:val="superscript"/>
          <w:lang w:val="en-US"/>
        </w:rPr>
        <w:t xml:space="preserve"> </w:t>
      </w:r>
      <w:r w:rsidR="00CC10E4" w:rsidRPr="0006700B">
        <w:rPr>
          <w:lang w:val="en-US"/>
        </w:rPr>
        <w:t xml:space="preserve"> </w:t>
      </w:r>
      <w:r w:rsidR="00241FCC">
        <w:rPr>
          <w:i/>
        </w:rPr>
        <w:t>‘</w:t>
      </w:r>
      <w:r w:rsidR="00CC10E4" w:rsidRPr="0006700B">
        <w:rPr>
          <w:i/>
        </w:rPr>
        <w:t>I mean, legally it was my garden, and she wanted to have that bit of land close to one of her windows.  In the end a solution was reached ... she paid some money to me and I passed that on to someone else, and I got another bit of garden</w:t>
      </w:r>
      <w:r w:rsidR="00241FCC">
        <w:rPr>
          <w:i/>
        </w:rPr>
        <w:t>’</w:t>
      </w:r>
      <w:r w:rsidR="00CC10E4" w:rsidRPr="0006700B">
        <w:rPr>
          <w:i/>
        </w:rPr>
        <w:t>.</w:t>
      </w:r>
      <w:r w:rsidR="00CC10E4" w:rsidRPr="0006700B">
        <w:t xml:space="preserve"> </w:t>
      </w:r>
      <w:r w:rsidR="00CC10E4" w:rsidRPr="0006700B">
        <w:rPr>
          <w:vertAlign w:val="superscript"/>
        </w:rPr>
        <w:footnoteReference w:id="103"/>
      </w:r>
      <w:r w:rsidR="00CC10E4" w:rsidRPr="0006700B">
        <w:t xml:space="preserve"> </w:t>
      </w:r>
    </w:p>
    <w:p w:rsidR="007F2161" w:rsidRPr="00A02AC2" w:rsidRDefault="00CC10E4" w:rsidP="00546FD2">
      <w:pPr>
        <w:spacing w:line="480" w:lineRule="auto"/>
      </w:pPr>
      <w:r w:rsidRPr="0006700B">
        <w:rPr>
          <w:lang w:val="en-US"/>
        </w:rPr>
        <w:t>These empirical findings go beyond Alexander</w:t>
      </w:r>
      <w:r w:rsidR="00241FCC">
        <w:rPr>
          <w:lang w:val="en-US"/>
        </w:rPr>
        <w:t>’</w:t>
      </w:r>
      <w:r w:rsidRPr="0006700B">
        <w:rPr>
          <w:lang w:val="en-US"/>
        </w:rPr>
        <w:t xml:space="preserve">s concept of governance property. They chime with </w:t>
      </w:r>
      <w:r w:rsidRPr="0006700B">
        <w:t>Ostrom</w:t>
      </w:r>
      <w:r w:rsidR="00241FCC">
        <w:t>’</w:t>
      </w:r>
      <w:r w:rsidRPr="0006700B">
        <w:t>s work on common pool resource governance which provides a helpful framework for analy</w:t>
      </w:r>
      <w:r w:rsidR="00E8270F">
        <w:t>s</w:t>
      </w:r>
      <w:r w:rsidRPr="0006700B">
        <w:t>ing how property is constituted through the everyday practices which contribute to the social ordering of site</w:t>
      </w:r>
      <w:r w:rsidR="00924417">
        <w:t>s</w:t>
      </w:r>
      <w:r w:rsidRPr="0006700B">
        <w:t>.</w:t>
      </w:r>
      <w:r w:rsidR="00AD2C8E" w:rsidRPr="0006700B">
        <w:rPr>
          <w:vertAlign w:val="superscript"/>
        </w:rPr>
        <w:footnoteReference w:id="104"/>
      </w:r>
      <w:r w:rsidRPr="0006700B">
        <w:t xml:space="preserve"> </w:t>
      </w:r>
      <w:r w:rsidR="007E0D70">
        <w:t>Ostrom</w:t>
      </w:r>
      <w:r w:rsidR="007E0D70" w:rsidRPr="0006700B">
        <w:t xml:space="preserve"> </w:t>
      </w:r>
      <w:r w:rsidRPr="0006700B">
        <w:t xml:space="preserve">defines ‘working rules’ as those which are actually used, monitored and enforced by those directly involved, and which are known about by most of the people affected by them. </w:t>
      </w:r>
      <w:r w:rsidR="00BB5E8F">
        <w:t xml:space="preserve"> </w:t>
      </w:r>
      <w:r w:rsidR="007F2161" w:rsidRPr="0006700B">
        <w:t xml:space="preserve">The rules which the parties themselves agree are part of the lived realities of enduring relations, as </w:t>
      </w:r>
      <w:r w:rsidR="00C03AA5">
        <w:t xml:space="preserve">also </w:t>
      </w:r>
      <w:r w:rsidR="007F2161" w:rsidRPr="0006700B">
        <w:t xml:space="preserve">illustrated by the 30 ‘harmonious years’ enjoyed by successive neighbours in </w:t>
      </w:r>
      <w:r w:rsidR="007F2161" w:rsidRPr="0006700B">
        <w:rPr>
          <w:i/>
        </w:rPr>
        <w:t>Bradley v Heslin.</w:t>
      </w:r>
      <w:r w:rsidR="00337476" w:rsidRPr="00AD2C8E">
        <w:rPr>
          <w:rStyle w:val="FootnoteReference"/>
        </w:rPr>
        <w:footnoteReference w:id="105"/>
      </w:r>
      <w:r w:rsidR="007F2161" w:rsidRPr="00AD2C8E">
        <w:t xml:space="preserve"> </w:t>
      </w:r>
    </w:p>
    <w:p w:rsidR="007F2161" w:rsidRPr="0006700B" w:rsidRDefault="007F2161" w:rsidP="00546FD2">
      <w:pPr>
        <w:spacing w:line="480" w:lineRule="auto"/>
      </w:pPr>
      <w:r w:rsidRPr="0006700B">
        <w:t>Evaluating the role of the</w:t>
      </w:r>
      <w:r w:rsidR="00DD33E1">
        <w:t>se</w:t>
      </w:r>
      <w:r w:rsidRPr="0006700B">
        <w:t xml:space="preserve"> understandings and self-generated norms presents a real challenge. Their elements and </w:t>
      </w:r>
      <w:r w:rsidR="000507C4">
        <w:t>scope</w:t>
      </w:r>
      <w:r w:rsidR="000507C4" w:rsidRPr="0006700B">
        <w:t xml:space="preserve"> </w:t>
      </w:r>
      <w:r w:rsidRPr="0006700B">
        <w:t xml:space="preserve">are difficult </w:t>
      </w:r>
      <w:r w:rsidR="00924417">
        <w:t xml:space="preserve">both </w:t>
      </w:r>
      <w:r w:rsidRPr="0006700B">
        <w:t xml:space="preserve">to identify and unpick. </w:t>
      </w:r>
      <w:r w:rsidR="00C03AA5">
        <w:t xml:space="preserve"> </w:t>
      </w:r>
      <w:r w:rsidR="000507C4">
        <w:rPr>
          <w:lang w:val="en-US"/>
        </w:rPr>
        <w:t>I</w:t>
      </w:r>
      <w:r w:rsidR="000507C4" w:rsidRPr="00AD2C8E">
        <w:rPr>
          <w:lang w:val="en-US"/>
        </w:rPr>
        <w:t xml:space="preserve">n </w:t>
      </w:r>
      <w:r w:rsidR="000507C4" w:rsidRPr="00AD2C8E">
        <w:rPr>
          <w:i/>
          <w:lang w:val="en-US"/>
        </w:rPr>
        <w:t>Neilson v Poole</w:t>
      </w:r>
      <w:r w:rsidR="000507C4" w:rsidRPr="00AD2C8E">
        <w:t xml:space="preserve"> </w:t>
      </w:r>
      <w:r w:rsidRPr="00AD2C8E">
        <w:rPr>
          <w:lang w:val="en-US"/>
        </w:rPr>
        <w:t>Megarry J</w:t>
      </w:r>
      <w:r w:rsidR="000507C4">
        <w:rPr>
          <w:lang w:val="en-US"/>
        </w:rPr>
        <w:t xml:space="preserve"> noted approvingly</w:t>
      </w:r>
      <w:r w:rsidR="00337476" w:rsidRPr="00AD2C8E">
        <w:rPr>
          <w:lang w:val="en-US"/>
        </w:rPr>
        <w:t xml:space="preserve"> </w:t>
      </w:r>
      <w:r w:rsidRPr="00AD2C8E">
        <w:rPr>
          <w:lang w:val="en-US"/>
        </w:rPr>
        <w:t>that informal</w:t>
      </w:r>
      <w:r w:rsidRPr="00EB79E2">
        <w:rPr>
          <w:lang w:val="en-US"/>
        </w:rPr>
        <w:t xml:space="preserve"> ‘agreements and understandings are by their nature acts of peace, quieting strife and avoiding litigation, and are to be favoured in the law, however informal they might be’</w:t>
      </w:r>
      <w:r w:rsidR="000507C4">
        <w:rPr>
          <w:lang w:val="en-US"/>
        </w:rPr>
        <w:t>.</w:t>
      </w:r>
      <w:r w:rsidR="00A02AC2">
        <w:rPr>
          <w:rStyle w:val="FootnoteReference"/>
          <w:lang w:val="en-US"/>
        </w:rPr>
        <w:footnoteReference w:id="106"/>
      </w:r>
      <w:r w:rsidRPr="00EB79E2">
        <w:rPr>
          <w:lang w:val="en-US"/>
        </w:rPr>
        <w:t xml:space="preserve"> </w:t>
      </w:r>
      <w:r w:rsidR="000507C4" w:rsidRPr="00AD2C8E">
        <w:t xml:space="preserve">In </w:t>
      </w:r>
      <w:r w:rsidR="000507C4" w:rsidRPr="00AD2C8E">
        <w:rPr>
          <w:i/>
        </w:rPr>
        <w:t>Bradley</w:t>
      </w:r>
      <w:r w:rsidR="000507C4" w:rsidRPr="00AD2C8E">
        <w:t>,</w:t>
      </w:r>
      <w:r w:rsidR="000507C4" w:rsidRPr="00AD2C8E">
        <w:rPr>
          <w:i/>
        </w:rPr>
        <w:t xml:space="preserve"> </w:t>
      </w:r>
      <w:r w:rsidR="000507C4" w:rsidRPr="00AD2C8E">
        <w:rPr>
          <w:lang w:val="en-US"/>
        </w:rPr>
        <w:t xml:space="preserve">Norris J referred to </w:t>
      </w:r>
      <w:r w:rsidR="000507C4">
        <w:rPr>
          <w:lang w:val="en-US"/>
        </w:rPr>
        <w:t xml:space="preserve">this dictum </w:t>
      </w:r>
      <w:r w:rsidR="00033E5F">
        <w:rPr>
          <w:lang w:val="en-US"/>
        </w:rPr>
        <w:t>b</w:t>
      </w:r>
      <w:r w:rsidR="000507C4">
        <w:rPr>
          <w:lang w:val="en-US"/>
        </w:rPr>
        <w:t>ut nonetheless urged</w:t>
      </w:r>
      <w:r w:rsidRPr="00EB79E2">
        <w:rPr>
          <w:lang w:val="en-US"/>
        </w:rPr>
        <w:t xml:space="preserve"> caution that </w:t>
      </w:r>
      <w:r w:rsidR="00C35778">
        <w:rPr>
          <w:lang w:val="en-US"/>
        </w:rPr>
        <w:t>‘</w:t>
      </w:r>
      <w:r w:rsidRPr="00EB79E2">
        <w:rPr>
          <w:lang w:val="en-US"/>
        </w:rPr>
        <w:t xml:space="preserve">simple acts of neighbourliness </w:t>
      </w:r>
      <w:r w:rsidR="00C35778">
        <w:rPr>
          <w:lang w:val="en-US"/>
        </w:rPr>
        <w:t xml:space="preserve">should </w:t>
      </w:r>
      <w:r w:rsidRPr="00EB79E2">
        <w:rPr>
          <w:lang w:val="en-US"/>
        </w:rPr>
        <w:t>not ripen into legal rights vested in the beneficiary of the actor’s kindness’.</w:t>
      </w:r>
      <w:r w:rsidR="00A02AC2">
        <w:rPr>
          <w:rStyle w:val="FootnoteReference"/>
          <w:lang w:val="en-US"/>
        </w:rPr>
        <w:footnoteReference w:id="107"/>
      </w:r>
      <w:r w:rsidRPr="00EB79E2">
        <w:rPr>
          <w:lang w:val="en-US"/>
        </w:rPr>
        <w:t xml:space="preserve"> </w:t>
      </w:r>
      <w:r w:rsidRPr="00EB79E2">
        <w:t xml:space="preserve"> </w:t>
      </w:r>
      <w:r w:rsidR="00603DCA">
        <w:t>Self-generated norms</w:t>
      </w:r>
      <w:r w:rsidR="00603DCA" w:rsidRPr="0006700B">
        <w:t xml:space="preserve"> </w:t>
      </w:r>
      <w:r w:rsidRPr="0006700B">
        <w:t>are particularly prominent in self-managed property relations, for example residential leasehold</w:t>
      </w:r>
      <w:r w:rsidR="00924417">
        <w:t xml:space="preserve"> sites</w:t>
      </w:r>
      <w:r w:rsidRPr="0006700B">
        <w:t xml:space="preserve"> in which </w:t>
      </w:r>
      <w:r w:rsidR="00915A51">
        <w:t>leaseholders</w:t>
      </w:r>
      <w:r w:rsidR="00915A51" w:rsidRPr="0006700B">
        <w:t xml:space="preserve"> </w:t>
      </w:r>
      <w:r w:rsidRPr="0006700B">
        <w:t>own, manage and use the site collectively</w:t>
      </w:r>
      <w:r w:rsidR="00BB5E8F">
        <w:t>.</w:t>
      </w:r>
      <w:r w:rsidRPr="0006700B">
        <w:t xml:space="preserve"> </w:t>
      </w:r>
    </w:p>
    <w:p w:rsidR="008F3664" w:rsidRDefault="008F3664" w:rsidP="00546FD2">
      <w:pPr>
        <w:widowControl w:val="0"/>
        <w:spacing w:line="480" w:lineRule="auto"/>
        <w:jc w:val="both"/>
      </w:pPr>
      <w:r>
        <w:t xml:space="preserve">In thinking about how self-generated norms should be taken into account in the dynamic and enduring property relations with which this article is concerned, two inter-related issues arise. The first is how, and if so at what stage, these norms may become accepted as binding upon the parties and their successors; the second is an empirical issue of how such norms arise and evolve in the particular context of property relations attached to a specific place. </w:t>
      </w:r>
      <w:r w:rsidR="00CC52FA">
        <w:t xml:space="preserve">The first issue requires consideration of the </w:t>
      </w:r>
      <w:r w:rsidR="00793B0A">
        <w:t>relationship</w:t>
      </w:r>
      <w:r w:rsidR="00CC52FA">
        <w:t xml:space="preserve"> between law and norms. </w:t>
      </w:r>
      <w:r w:rsidR="00793B0A" w:rsidRPr="005778A4">
        <w:t>The</w:t>
      </w:r>
      <w:r w:rsidR="005778A4" w:rsidRPr="005778A4">
        <w:t xml:space="preserve"> </w:t>
      </w:r>
      <w:r w:rsidRPr="005778A4">
        <w:t xml:space="preserve">legal centralist stance (that law can only emanate from the state) </w:t>
      </w:r>
      <w:r w:rsidR="00793B0A" w:rsidRPr="005778A4">
        <w:t xml:space="preserve">has become less dominant in recent years, largely due to the influential empirical research of </w:t>
      </w:r>
      <w:r w:rsidRPr="005778A4">
        <w:t>Ellickson.</w:t>
      </w:r>
      <w:r w:rsidR="006E7DEC" w:rsidRPr="005778A4">
        <w:rPr>
          <w:rStyle w:val="FootnoteReference"/>
        </w:rPr>
        <w:footnoteReference w:id="108"/>
      </w:r>
      <w:r w:rsidRPr="005778A4">
        <w:t xml:space="preserve"> </w:t>
      </w:r>
      <w:r w:rsidR="00793B0A" w:rsidRPr="005778A4">
        <w:t xml:space="preserve">He </w:t>
      </w:r>
      <w:r w:rsidRPr="005778A4">
        <w:t>reached the broad conclusion that some groups, in Ellickson’s case cattle ranchers in Montana, ignore the law in favour of applying their own social norms.</w:t>
      </w:r>
      <w:r w:rsidR="00793B0A" w:rsidRPr="005778A4">
        <w:rPr>
          <w:rStyle w:val="FootnoteReference"/>
        </w:rPr>
        <w:footnoteReference w:id="109"/>
      </w:r>
      <w:r w:rsidRPr="005778A4">
        <w:t xml:space="preserve"> However, Ellickson has been critiqued for his failure to see that these apparently informal and extra-legal rules are based on the ranchers</w:t>
      </w:r>
      <w:r w:rsidR="00241FCC" w:rsidRPr="005778A4">
        <w:t>’</w:t>
      </w:r>
      <w:r w:rsidRPr="005778A4">
        <w:t xml:space="preserve"> legal status as landowners, so they are creating their own rules in the shadow of the law, which they know they can fall back on if informality does not work.</w:t>
      </w:r>
      <w:r w:rsidRPr="005778A4">
        <w:rPr>
          <w:vertAlign w:val="superscript"/>
        </w:rPr>
        <w:footnoteReference w:id="110"/>
      </w:r>
      <w:r w:rsidRPr="005778A4">
        <w:t xml:space="preserve"> We agree that the connections between formal law and self-generated norms are strong</w:t>
      </w:r>
      <w:r w:rsidR="006E7DEC" w:rsidRPr="005778A4">
        <w:t>, making it</w:t>
      </w:r>
      <w:r w:rsidR="005778A4" w:rsidRPr="005778A4">
        <w:t xml:space="preserve"> </w:t>
      </w:r>
      <w:r w:rsidR="00C03AA5" w:rsidRPr="005778A4">
        <w:t>important to</w:t>
      </w:r>
      <w:r w:rsidR="00E7166E" w:rsidRPr="005778A4">
        <w:t xml:space="preserve"> explore how self-generated norms may influence the dynamics of parties’ enduring property relations.</w:t>
      </w:r>
      <w:r w:rsidR="00E7166E">
        <w:t xml:space="preserve"> </w:t>
      </w:r>
    </w:p>
    <w:p w:rsidR="00AE66E9" w:rsidRDefault="008F3664" w:rsidP="00546FD2">
      <w:pPr>
        <w:widowControl w:val="0"/>
        <w:spacing w:line="480" w:lineRule="auto"/>
        <w:jc w:val="both"/>
      </w:pPr>
      <w:r>
        <w:t>Addressing t</w:t>
      </w:r>
      <w:r w:rsidRPr="00370268">
        <w:rPr>
          <w:rFonts w:eastAsia="Cambria"/>
        </w:rPr>
        <w:t>h</w:t>
      </w:r>
      <w:r>
        <w:rPr>
          <w:rFonts w:eastAsia="Cambria"/>
        </w:rPr>
        <w:t xml:space="preserve">e second issue identified above </w:t>
      </w:r>
      <w:r w:rsidR="00D25251">
        <w:rPr>
          <w:rFonts w:eastAsia="Cambria"/>
        </w:rPr>
        <w:t xml:space="preserve">(how norms arise and evolve) </w:t>
      </w:r>
      <w:r>
        <w:rPr>
          <w:rFonts w:eastAsia="Cambria"/>
        </w:rPr>
        <w:t>m</w:t>
      </w:r>
      <w:r w:rsidRPr="00370268">
        <w:rPr>
          <w:rFonts w:eastAsia="Cambria"/>
        </w:rPr>
        <w:t xml:space="preserve">ay necessitate empirical research into </w:t>
      </w:r>
      <w:r>
        <w:rPr>
          <w:rFonts w:eastAsia="Cambria"/>
        </w:rPr>
        <w:t xml:space="preserve">the </w:t>
      </w:r>
      <w:r w:rsidRPr="00370268">
        <w:rPr>
          <w:rFonts w:eastAsia="Cambria"/>
        </w:rPr>
        <w:t xml:space="preserve">lived and iterative experiences of property relations so as to understand the expectations that evolve from the relationship itself. </w:t>
      </w:r>
      <w:r w:rsidR="0005517A">
        <w:t>These self-generated norms</w:t>
      </w:r>
      <w:r w:rsidR="00C012F6">
        <w:t xml:space="preserve"> (or Ostrom’s working rules)</w:t>
      </w:r>
      <w:r w:rsidR="00C82D7C">
        <w:t>,</w:t>
      </w:r>
      <w:r w:rsidR="0005517A">
        <w:t xml:space="preserve"> were suggested by the </w:t>
      </w:r>
      <w:r w:rsidRPr="0055633D">
        <w:rPr>
          <w:lang w:bidi="he-IL"/>
        </w:rPr>
        <w:t xml:space="preserve">eminent legal anthropologist Falk Moore </w:t>
      </w:r>
      <w:r w:rsidR="00C82D7C">
        <w:rPr>
          <w:lang w:bidi="he-IL"/>
        </w:rPr>
        <w:t xml:space="preserve">as the starting point for </w:t>
      </w:r>
      <w:r w:rsidRPr="0055633D">
        <w:t>research</w:t>
      </w:r>
      <w:r w:rsidR="00C82D7C">
        <w:t>ing a</w:t>
      </w:r>
      <w:r w:rsidRPr="0055633D">
        <w:t xml:space="preserve">  ‘semi-autonomous social field’ that </w:t>
      </w:r>
      <w:r w:rsidRPr="0055633D">
        <w:rPr>
          <w:lang w:bidi="he-IL"/>
        </w:rPr>
        <w:t>generates its own rules and decisions and means of enforcement, but which is also penetrated by the external legal system</w:t>
      </w:r>
      <w:r w:rsidRPr="0055633D">
        <w:t>.</w:t>
      </w:r>
      <w:r w:rsidRPr="0055633D">
        <w:rPr>
          <w:vertAlign w:val="superscript"/>
          <w:lang w:bidi="he-IL"/>
        </w:rPr>
        <w:footnoteReference w:id="111"/>
      </w:r>
      <w:r w:rsidRPr="0055633D">
        <w:t xml:space="preserve"> Many instances of the type of property relationships focused on in this article would fit the description of a semi-autonomous social field.</w:t>
      </w:r>
      <w:r w:rsidR="0055633D">
        <w:t xml:space="preserve"> </w:t>
      </w:r>
    </w:p>
    <w:p w:rsidR="00C53ED4" w:rsidRPr="001B645C" w:rsidRDefault="008B134A" w:rsidP="00546FD2">
      <w:pPr>
        <w:spacing w:line="480" w:lineRule="auto"/>
        <w:rPr>
          <w:b/>
        </w:rPr>
      </w:pPr>
      <w:r w:rsidRPr="00634E4D">
        <w:rPr>
          <w:b/>
          <w:i/>
          <w:iCs/>
        </w:rPr>
        <w:t>Property</w:t>
      </w:r>
      <w:r w:rsidR="00241FCC" w:rsidRPr="00634E4D">
        <w:rPr>
          <w:b/>
          <w:i/>
          <w:iCs/>
        </w:rPr>
        <w:t>’</w:t>
      </w:r>
      <w:r w:rsidRPr="00634E4D">
        <w:rPr>
          <w:b/>
          <w:i/>
          <w:iCs/>
        </w:rPr>
        <w:t>s temporal element</w:t>
      </w:r>
    </w:p>
    <w:p w:rsidR="00AC0F11" w:rsidRPr="00025043" w:rsidRDefault="00AC0F11" w:rsidP="00546FD2">
      <w:pPr>
        <w:spacing w:line="480" w:lineRule="auto"/>
        <w:rPr>
          <w:szCs w:val="24"/>
        </w:rPr>
      </w:pPr>
      <w:r w:rsidRPr="007B054C">
        <w:t>The duration of a property relationship may be indefinite (the fee simple), fixed for a long notional duration (</w:t>
      </w:r>
      <w:r w:rsidR="00131011">
        <w:t xml:space="preserve">for example </w:t>
      </w:r>
      <w:r w:rsidRPr="007B054C">
        <w:t>99 or 999 years), for a shorter duration but with a possibility that the relationship will be renewed (</w:t>
      </w:r>
      <w:r w:rsidR="00131011">
        <w:t xml:space="preserve">for example </w:t>
      </w:r>
      <w:r w:rsidRPr="007B054C">
        <w:t>short commercial leases)</w:t>
      </w:r>
      <w:r w:rsidR="00717E98">
        <w:t>,</w:t>
      </w:r>
      <w:r w:rsidRPr="007B054C">
        <w:t xml:space="preserve"> or defined by reference to an obligation (as in the case of mortgages). </w:t>
      </w:r>
      <w:r>
        <w:t xml:space="preserve">Sometimes the combination of law with time may result in something the parties never anticipated, as with </w:t>
      </w:r>
      <w:r w:rsidRPr="00443516">
        <w:t>the statutory conversion of leases for life or until marriage into leases for ninety years,</w:t>
      </w:r>
      <w:r w:rsidRPr="00443516">
        <w:rPr>
          <w:rStyle w:val="FootnoteReference"/>
          <w:color w:val="000000"/>
        </w:rPr>
        <w:footnoteReference w:id="112"/>
      </w:r>
      <w:r w:rsidRPr="00443516">
        <w:t xml:space="preserve"> and the conversion of perpetually renewable leases into leases for two thousand years.</w:t>
      </w:r>
      <w:r w:rsidRPr="00443516">
        <w:rPr>
          <w:rStyle w:val="FootnoteReference"/>
          <w:color w:val="000000"/>
        </w:rPr>
        <w:footnoteReference w:id="113"/>
      </w:r>
      <w:r>
        <w:t xml:space="preserve"> </w:t>
      </w:r>
      <w:r>
        <w:rPr>
          <w:szCs w:val="24"/>
        </w:rPr>
        <w:t xml:space="preserve">Even where a property relationship is expressed to be time-limited there are often routes by which that </w:t>
      </w:r>
      <w:r w:rsidRPr="000324A4">
        <w:rPr>
          <w:szCs w:val="24"/>
        </w:rPr>
        <w:t xml:space="preserve">duration can be changed either by being extended or brought to an earlier end. </w:t>
      </w:r>
      <w:r w:rsidR="00924417" w:rsidRPr="000324A4">
        <w:rPr>
          <w:szCs w:val="24"/>
        </w:rPr>
        <w:t>R</w:t>
      </w:r>
      <w:r w:rsidRPr="000324A4">
        <w:rPr>
          <w:szCs w:val="24"/>
        </w:rPr>
        <w:t xml:space="preserve">ights to extend or </w:t>
      </w:r>
      <w:r w:rsidR="00C012F6" w:rsidRPr="000324A4">
        <w:rPr>
          <w:szCs w:val="24"/>
        </w:rPr>
        <w:t xml:space="preserve">to terminate </w:t>
      </w:r>
      <w:r w:rsidRPr="000324A4">
        <w:rPr>
          <w:szCs w:val="24"/>
        </w:rPr>
        <w:t xml:space="preserve">early </w:t>
      </w:r>
      <w:r w:rsidR="00516C8C" w:rsidRPr="000324A4">
        <w:rPr>
          <w:szCs w:val="24"/>
        </w:rPr>
        <w:t xml:space="preserve">may be </w:t>
      </w:r>
      <w:r w:rsidR="00EB19FD" w:rsidRPr="000324A4">
        <w:rPr>
          <w:szCs w:val="24"/>
        </w:rPr>
        <w:t xml:space="preserve">granted or </w:t>
      </w:r>
      <w:r w:rsidR="00516C8C" w:rsidRPr="000324A4">
        <w:rPr>
          <w:szCs w:val="24"/>
        </w:rPr>
        <w:t>exercised by agreement of the parties (</w:t>
      </w:r>
      <w:r w:rsidR="00AD2C8E" w:rsidRPr="000324A4">
        <w:rPr>
          <w:szCs w:val="24"/>
        </w:rPr>
        <w:t xml:space="preserve">for example, </w:t>
      </w:r>
      <w:r w:rsidR="00516C8C" w:rsidRPr="000324A4">
        <w:rPr>
          <w:szCs w:val="24"/>
        </w:rPr>
        <w:t xml:space="preserve">through </w:t>
      </w:r>
      <w:r w:rsidR="00EB19FD" w:rsidRPr="000324A4">
        <w:rPr>
          <w:szCs w:val="24"/>
        </w:rPr>
        <w:t xml:space="preserve">the forfeiture or </w:t>
      </w:r>
      <w:r w:rsidR="00516C8C" w:rsidRPr="000324A4">
        <w:rPr>
          <w:szCs w:val="24"/>
        </w:rPr>
        <w:t>surrender</w:t>
      </w:r>
      <w:r w:rsidR="00516C8C" w:rsidRPr="00AD2C8E">
        <w:rPr>
          <w:szCs w:val="24"/>
        </w:rPr>
        <w:t xml:space="preserve"> of</w:t>
      </w:r>
      <w:r w:rsidR="00AD2C8E" w:rsidRPr="00AD2C8E">
        <w:rPr>
          <w:szCs w:val="24"/>
        </w:rPr>
        <w:t xml:space="preserve"> a </w:t>
      </w:r>
      <w:r w:rsidR="00C858CB" w:rsidRPr="00AD2C8E">
        <w:rPr>
          <w:szCs w:val="24"/>
        </w:rPr>
        <w:t>lease</w:t>
      </w:r>
      <w:r w:rsidR="00516C8C" w:rsidRPr="00AD2C8E">
        <w:rPr>
          <w:szCs w:val="24"/>
        </w:rPr>
        <w:t>)</w:t>
      </w:r>
      <w:r w:rsidR="00033E5F">
        <w:rPr>
          <w:szCs w:val="24"/>
        </w:rPr>
        <w:t>;</w:t>
      </w:r>
      <w:r w:rsidRPr="00AD2C8E">
        <w:rPr>
          <w:szCs w:val="24"/>
        </w:rPr>
        <w:t xml:space="preserve"> or </w:t>
      </w:r>
      <w:r w:rsidR="00033E5F">
        <w:rPr>
          <w:szCs w:val="24"/>
        </w:rPr>
        <w:t xml:space="preserve">may </w:t>
      </w:r>
      <w:r w:rsidRPr="00AD2C8E">
        <w:rPr>
          <w:szCs w:val="24"/>
        </w:rPr>
        <w:t>arise as a result of a policy choice effected through le</w:t>
      </w:r>
      <w:r>
        <w:rPr>
          <w:szCs w:val="24"/>
        </w:rPr>
        <w:t>gislation</w:t>
      </w:r>
      <w:r w:rsidR="009D42CE">
        <w:rPr>
          <w:szCs w:val="24"/>
        </w:rPr>
        <w:t>,</w:t>
      </w:r>
      <w:r>
        <w:rPr>
          <w:szCs w:val="24"/>
        </w:rPr>
        <w:t xml:space="preserve"> for instance a right to a renew a business lease</w:t>
      </w:r>
      <w:r>
        <w:rPr>
          <w:rStyle w:val="FootnoteReference"/>
          <w:szCs w:val="24"/>
        </w:rPr>
        <w:footnoteReference w:id="114"/>
      </w:r>
      <w:r>
        <w:rPr>
          <w:szCs w:val="24"/>
        </w:rPr>
        <w:t xml:space="preserve"> or to call for an extended term or enfranchisement in the case of certain residential long leases.</w:t>
      </w:r>
      <w:r>
        <w:rPr>
          <w:rStyle w:val="FootnoteReference"/>
          <w:szCs w:val="24"/>
        </w:rPr>
        <w:footnoteReference w:id="115"/>
      </w:r>
      <w:r>
        <w:rPr>
          <w:szCs w:val="24"/>
        </w:rPr>
        <w:t xml:space="preserve"> </w:t>
      </w:r>
    </w:p>
    <w:p w:rsidR="009D0E09" w:rsidRPr="009D0E09" w:rsidRDefault="00307AC7" w:rsidP="0049334E">
      <w:pPr>
        <w:pStyle w:val="NoSpacing"/>
        <w:spacing w:afterLines="200" w:after="480" w:line="480" w:lineRule="auto"/>
        <w:rPr>
          <w:rFonts w:ascii="Times New Roman" w:eastAsia="Times New Roman" w:hAnsi="Times New Roman" w:cs="Times New Roman"/>
          <w:lang w:eastAsia="en-GB"/>
        </w:rPr>
      </w:pPr>
      <w:r w:rsidRPr="00E976F7">
        <w:rPr>
          <w:rFonts w:ascii="Times New Roman" w:hAnsi="Times New Roman" w:cs="Times New Roman"/>
        </w:rPr>
        <w:t xml:space="preserve">The </w:t>
      </w:r>
      <w:r w:rsidR="008B134A" w:rsidRPr="00E976F7">
        <w:rPr>
          <w:rFonts w:ascii="Times New Roman" w:hAnsi="Times New Roman" w:cs="Times New Roman"/>
        </w:rPr>
        <w:t>on-going</w:t>
      </w:r>
      <w:r w:rsidR="008E4061">
        <w:rPr>
          <w:rFonts w:ascii="Times New Roman" w:hAnsi="Times New Roman" w:cs="Times New Roman"/>
        </w:rPr>
        <w:t xml:space="preserve"> nature of property relationships </w:t>
      </w:r>
      <w:r w:rsidR="00EB19FD">
        <w:rPr>
          <w:rFonts w:ascii="Times New Roman" w:hAnsi="Times New Roman" w:cs="Times New Roman"/>
        </w:rPr>
        <w:t xml:space="preserve">opens up the possibility that </w:t>
      </w:r>
      <w:r w:rsidR="007161C1" w:rsidRPr="00E976F7">
        <w:rPr>
          <w:rFonts w:ascii="Times New Roman" w:hAnsi="Times New Roman" w:cs="Times New Roman"/>
        </w:rPr>
        <w:t xml:space="preserve">both </w:t>
      </w:r>
      <w:r w:rsidR="007161C1" w:rsidRPr="00E976F7">
        <w:rPr>
          <w:rFonts w:ascii="Times New Roman" w:hAnsi="Times New Roman" w:cs="Times New Roman"/>
          <w:i/>
        </w:rPr>
        <w:t>de facto</w:t>
      </w:r>
      <w:r w:rsidR="007161C1" w:rsidRPr="00E976F7">
        <w:rPr>
          <w:rFonts w:ascii="Times New Roman" w:hAnsi="Times New Roman" w:cs="Times New Roman"/>
        </w:rPr>
        <w:t xml:space="preserve"> and </w:t>
      </w:r>
      <w:r w:rsidR="007161C1" w:rsidRPr="00E976F7">
        <w:rPr>
          <w:rFonts w:ascii="Times New Roman" w:hAnsi="Times New Roman" w:cs="Times New Roman"/>
          <w:i/>
        </w:rPr>
        <w:t>de jure</w:t>
      </w:r>
      <w:r w:rsidR="007161C1" w:rsidRPr="00E976F7">
        <w:rPr>
          <w:rFonts w:ascii="Times New Roman" w:hAnsi="Times New Roman" w:cs="Times New Roman"/>
        </w:rPr>
        <w:t xml:space="preserve"> </w:t>
      </w:r>
      <w:r w:rsidR="007161C1" w:rsidRPr="000324A4">
        <w:rPr>
          <w:rFonts w:ascii="Times New Roman" w:hAnsi="Times New Roman" w:cs="Times New Roman"/>
        </w:rPr>
        <w:t xml:space="preserve">obligations </w:t>
      </w:r>
      <w:r w:rsidR="00EB19FD" w:rsidRPr="000324A4">
        <w:rPr>
          <w:rFonts w:ascii="Times New Roman" w:hAnsi="Times New Roman" w:cs="Times New Roman"/>
        </w:rPr>
        <w:t xml:space="preserve">may </w:t>
      </w:r>
      <w:r w:rsidR="007161C1" w:rsidRPr="000324A4">
        <w:rPr>
          <w:rFonts w:ascii="Times New Roman" w:hAnsi="Times New Roman" w:cs="Times New Roman"/>
        </w:rPr>
        <w:t>evolve over time</w:t>
      </w:r>
      <w:r w:rsidR="00EB19FD" w:rsidRPr="000324A4">
        <w:rPr>
          <w:rFonts w:ascii="Times New Roman" w:hAnsi="Times New Roman" w:cs="Times New Roman"/>
        </w:rPr>
        <w:t>.</w:t>
      </w:r>
      <w:r w:rsidR="007161C1" w:rsidRPr="000324A4">
        <w:rPr>
          <w:rFonts w:ascii="Times New Roman" w:hAnsi="Times New Roman" w:cs="Times New Roman"/>
        </w:rPr>
        <w:t xml:space="preserve"> </w:t>
      </w:r>
      <w:r w:rsidR="00A111B9">
        <w:rPr>
          <w:rFonts w:ascii="Times New Roman" w:hAnsi="Times New Roman" w:cs="Times New Roman"/>
        </w:rPr>
        <w:t>As noted earlier, c</w:t>
      </w:r>
      <w:r w:rsidR="007161C1" w:rsidRPr="000324A4">
        <w:rPr>
          <w:rFonts w:ascii="Times New Roman" w:hAnsi="Times New Roman" w:cs="Times New Roman"/>
        </w:rPr>
        <w:t xml:space="preserve">ertain </w:t>
      </w:r>
      <w:r w:rsidR="007161C1" w:rsidRPr="000324A4">
        <w:rPr>
          <w:rFonts w:ascii="Times New Roman" w:hAnsi="Times New Roman" w:cs="Times New Roman"/>
          <w:i/>
        </w:rPr>
        <w:t>de facto</w:t>
      </w:r>
      <w:r w:rsidR="007161C1" w:rsidRPr="00E976F7">
        <w:rPr>
          <w:rFonts w:ascii="Times New Roman" w:hAnsi="Times New Roman" w:cs="Times New Roman"/>
        </w:rPr>
        <w:t xml:space="preserve"> rights and obligations may </w:t>
      </w:r>
      <w:r w:rsidR="008E4061">
        <w:rPr>
          <w:rFonts w:ascii="Times New Roman" w:hAnsi="Times New Roman" w:cs="Times New Roman"/>
        </w:rPr>
        <w:t xml:space="preserve">even </w:t>
      </w:r>
      <w:r w:rsidR="007161C1" w:rsidRPr="00E976F7">
        <w:rPr>
          <w:rFonts w:ascii="Times New Roman" w:hAnsi="Times New Roman" w:cs="Times New Roman"/>
        </w:rPr>
        <w:t xml:space="preserve">become recognised </w:t>
      </w:r>
      <w:r w:rsidR="007161C1" w:rsidRPr="00E976F7">
        <w:rPr>
          <w:rFonts w:ascii="Times New Roman" w:hAnsi="Times New Roman" w:cs="Times New Roman"/>
          <w:i/>
        </w:rPr>
        <w:t>in law</w:t>
      </w:r>
      <w:r w:rsidR="007161C1" w:rsidRPr="00E976F7">
        <w:rPr>
          <w:rFonts w:ascii="Times New Roman" w:hAnsi="Times New Roman" w:cs="Times New Roman"/>
        </w:rPr>
        <w:t>. Property law scholars have addressed the question of time, but usually at a macro scale. For example, the work of van der Walt illustrates how once-marginal property interests may join the ‘mainstream rights paradigm’ as a result of wider societal changes or legal and political developments.</w:t>
      </w:r>
      <w:r w:rsidR="007161C1" w:rsidRPr="00E976F7">
        <w:rPr>
          <w:rFonts w:ascii="Times New Roman" w:hAnsi="Times New Roman" w:cs="Times New Roman"/>
          <w:vertAlign w:val="superscript"/>
        </w:rPr>
        <w:footnoteReference w:id="116"/>
      </w:r>
      <w:r w:rsidR="007161C1" w:rsidRPr="00E976F7">
        <w:rPr>
          <w:rFonts w:ascii="Times New Roman" w:hAnsi="Times New Roman" w:cs="Times New Roman"/>
        </w:rPr>
        <w:t xml:space="preserve"> </w:t>
      </w:r>
      <w:r w:rsidR="00717E98" w:rsidRPr="00E976F7">
        <w:rPr>
          <w:rFonts w:ascii="Times New Roman" w:hAnsi="Times New Roman" w:cs="Times New Roman"/>
        </w:rPr>
        <w:t xml:space="preserve">Referring to the fact that property institutions are never ‘frozen’, </w:t>
      </w:r>
      <w:r w:rsidR="00717E98" w:rsidRPr="00E976F7">
        <w:rPr>
          <w:rFonts w:ascii="Times New Roman" w:eastAsia="Times New Roman" w:hAnsi="Times New Roman" w:cs="Times New Roman"/>
          <w:lang w:eastAsia="en-GB"/>
        </w:rPr>
        <w:t xml:space="preserve">Dagan also considers that </w:t>
      </w:r>
      <w:r w:rsidR="00717E98" w:rsidRPr="00E976F7">
        <w:rPr>
          <w:rFonts w:ascii="Times New Roman" w:hAnsi="Times New Roman" w:cs="Times New Roman"/>
        </w:rPr>
        <w:t>property is ‘inherently dynamic</w:t>
      </w:r>
      <w:r w:rsidR="00033E5F">
        <w:rPr>
          <w:rFonts w:ascii="Times New Roman" w:hAnsi="Times New Roman" w:cs="Times New Roman"/>
        </w:rPr>
        <w:t>’</w:t>
      </w:r>
      <w:r w:rsidR="00717E98" w:rsidRPr="00E976F7">
        <w:rPr>
          <w:rFonts w:ascii="Times New Roman" w:hAnsi="Times New Roman" w:cs="Times New Roman"/>
        </w:rPr>
        <w:t>.</w:t>
      </w:r>
      <w:r w:rsidR="00717E98" w:rsidRPr="00E976F7">
        <w:rPr>
          <w:rFonts w:ascii="Times New Roman" w:hAnsi="Times New Roman" w:cs="Times New Roman"/>
          <w:vertAlign w:val="superscript"/>
        </w:rPr>
        <w:footnoteReference w:id="117"/>
      </w:r>
      <w:r w:rsidR="00717E98" w:rsidRPr="00E976F7">
        <w:rPr>
          <w:rFonts w:ascii="Times New Roman" w:hAnsi="Times New Roman" w:cs="Times New Roman"/>
        </w:rPr>
        <w:t xml:space="preserve"> </w:t>
      </w:r>
      <w:r w:rsidR="007161C1" w:rsidRPr="00E976F7">
        <w:rPr>
          <w:rFonts w:ascii="Times New Roman" w:eastAsia="Times New Roman" w:hAnsi="Times New Roman" w:cs="Times New Roman"/>
          <w:lang w:eastAsia="en-GB"/>
        </w:rPr>
        <w:t xml:space="preserve">Davidson and Dyal-Chand </w:t>
      </w:r>
      <w:r w:rsidR="007161C1" w:rsidRPr="00E976F7">
        <w:rPr>
          <w:rFonts w:ascii="Times New Roman" w:hAnsi="Times New Roman" w:cs="Times New Roman"/>
        </w:rPr>
        <w:t>identify ‘property moments’ when ‘property law - and the larger culture of property - have witnessed moments of deep contestation, times of crisis that call foundational concepts into question</w:t>
      </w:r>
      <w:r w:rsidR="009D0E09">
        <w:rPr>
          <w:rFonts w:ascii="Times New Roman" w:hAnsi="Times New Roman" w:cs="Times New Roman"/>
        </w:rPr>
        <w:t>.</w:t>
      </w:r>
      <w:r w:rsidR="007161C1" w:rsidRPr="00E976F7">
        <w:rPr>
          <w:rFonts w:ascii="Times New Roman" w:hAnsi="Times New Roman" w:cs="Times New Roman"/>
        </w:rPr>
        <w:t>’</w:t>
      </w:r>
      <w:r w:rsidR="007161C1" w:rsidRPr="00E976F7">
        <w:rPr>
          <w:rFonts w:ascii="Times New Roman" w:hAnsi="Times New Roman" w:cs="Times New Roman"/>
          <w:vertAlign w:val="superscript"/>
        </w:rPr>
        <w:footnoteReference w:id="118"/>
      </w:r>
      <w:r w:rsidR="007161C1" w:rsidRPr="00E976F7">
        <w:rPr>
          <w:rFonts w:ascii="Times New Roman" w:eastAsia="Times New Roman" w:hAnsi="Times New Roman" w:cs="Times New Roman"/>
          <w:lang w:eastAsia="en-GB"/>
        </w:rPr>
        <w:t xml:space="preserve">  </w:t>
      </w:r>
    </w:p>
    <w:p w:rsidR="007161C1" w:rsidRDefault="008E4061" w:rsidP="0049334E">
      <w:pPr>
        <w:spacing w:afterLines="200" w:after="480" w:line="480" w:lineRule="auto"/>
      </w:pPr>
      <w:r>
        <w:t>T</w:t>
      </w:r>
      <w:r w:rsidR="007161C1">
        <w:t xml:space="preserve">his article </w:t>
      </w:r>
      <w:r>
        <w:t>looks at the micro-scale and</w:t>
      </w:r>
      <w:r w:rsidR="007161C1">
        <w:t xml:space="preserve"> how the </w:t>
      </w:r>
      <w:r w:rsidR="00D25251">
        <w:t xml:space="preserve">parties, </w:t>
      </w:r>
      <w:r w:rsidR="007161C1">
        <w:t>courts and other decision-makers address the complexities associated with enduring property relationships</w:t>
      </w:r>
      <w:r w:rsidR="00D25251">
        <w:t xml:space="preserve"> and the way in which </w:t>
      </w:r>
      <w:r w:rsidR="00BC7062">
        <w:t xml:space="preserve">individual </w:t>
      </w:r>
      <w:r w:rsidR="00D25251">
        <w:t>property relationships respond to change over time</w:t>
      </w:r>
      <w:r w:rsidR="007161C1">
        <w:t xml:space="preserve">. </w:t>
      </w:r>
    </w:p>
    <w:p w:rsidR="005350B6" w:rsidRDefault="00AF368C" w:rsidP="00546FD2">
      <w:pPr>
        <w:spacing w:line="480" w:lineRule="auto"/>
      </w:pPr>
      <w:r>
        <w:t>The parties may build responsive</w:t>
      </w:r>
      <w:r w:rsidR="00B53595">
        <w:t>ness</w:t>
      </w:r>
      <w:r>
        <w:t xml:space="preserve"> into the contractual documentation. As noted above, in RCT scholarship</w:t>
      </w:r>
      <w:r w:rsidRPr="00AF368C">
        <w:t xml:space="preserve"> </w:t>
      </w:r>
      <w:r w:rsidRPr="00202971">
        <w:t>Macneil associates the norms of solidarity, reciprocity, flexibility and role integrity with long-term contracts at the relational end of the discrete/relational spectrum</w:t>
      </w:r>
      <w:r>
        <w:t>.</w:t>
      </w:r>
      <w:r w:rsidRPr="00202971">
        <w:rPr>
          <w:rStyle w:val="FootnoteReference"/>
        </w:rPr>
        <w:footnoteReference w:id="119"/>
      </w:r>
      <w:r w:rsidRPr="00202971">
        <w:t xml:space="preserve"> </w:t>
      </w:r>
      <w:r w:rsidR="00D25251">
        <w:t xml:space="preserve">Here </w:t>
      </w:r>
      <w:r w:rsidR="00924417">
        <w:t xml:space="preserve">a </w:t>
      </w:r>
      <w:r w:rsidR="00D25251">
        <w:t>divergence between relational contracts and many property relationships in land become</w:t>
      </w:r>
      <w:r w:rsidR="007166D2">
        <w:t>s</w:t>
      </w:r>
      <w:r w:rsidR="00D25251">
        <w:t xml:space="preserve"> apparent. </w:t>
      </w:r>
      <w:r w:rsidR="008B134A" w:rsidRPr="00202971">
        <w:t xml:space="preserve">Although some property relations do reflect </w:t>
      </w:r>
      <w:r>
        <w:t xml:space="preserve">these </w:t>
      </w:r>
      <w:r w:rsidR="00D25251">
        <w:t xml:space="preserve">relational </w:t>
      </w:r>
      <w:r>
        <w:t xml:space="preserve">norms, </w:t>
      </w:r>
      <w:r w:rsidR="008B134A" w:rsidRPr="00202971">
        <w:t>others appear to be founded on norms more commonly associated with ‘as if discrete’ contracts.</w:t>
      </w:r>
      <w:r w:rsidR="008B134A" w:rsidRPr="007B054C">
        <w:t xml:space="preserve"> </w:t>
      </w:r>
      <w:r>
        <w:t xml:space="preserve">This can be illustrated by considering </w:t>
      </w:r>
      <w:r w:rsidR="00924417">
        <w:t xml:space="preserve">commercial </w:t>
      </w:r>
      <w:r w:rsidR="00D16704">
        <w:t>leases.</w:t>
      </w:r>
      <w:r>
        <w:t xml:space="preserve"> Although l</w:t>
      </w:r>
      <w:r w:rsidRPr="007B054C">
        <w:rPr>
          <w:szCs w:val="24"/>
        </w:rPr>
        <w:t>ease lengths vary considerably</w:t>
      </w:r>
      <w:r w:rsidR="00A111B9">
        <w:rPr>
          <w:szCs w:val="24"/>
        </w:rPr>
        <w:t xml:space="preserve"> </w:t>
      </w:r>
      <w:r w:rsidR="00AA4F87">
        <w:rPr>
          <w:szCs w:val="24"/>
        </w:rPr>
        <w:t xml:space="preserve">almost 30% </w:t>
      </w:r>
      <w:r w:rsidR="00855F27">
        <w:rPr>
          <w:szCs w:val="24"/>
        </w:rPr>
        <w:t xml:space="preserve">are </w:t>
      </w:r>
      <w:r w:rsidR="00F51020">
        <w:rPr>
          <w:szCs w:val="24"/>
        </w:rPr>
        <w:t>between ten and</w:t>
      </w:r>
      <w:r w:rsidR="005C3797">
        <w:rPr>
          <w:szCs w:val="24"/>
        </w:rPr>
        <w:t xml:space="preserve"> fourteen </w:t>
      </w:r>
      <w:r w:rsidR="00AA4F87">
        <w:rPr>
          <w:szCs w:val="24"/>
        </w:rPr>
        <w:t>years</w:t>
      </w:r>
      <w:r w:rsidRPr="007B054C">
        <w:rPr>
          <w:szCs w:val="24"/>
        </w:rPr>
        <w:t>.</w:t>
      </w:r>
      <w:r w:rsidR="00AA4F87">
        <w:rPr>
          <w:rStyle w:val="FootnoteReference"/>
          <w:szCs w:val="24"/>
        </w:rPr>
        <w:footnoteReference w:id="120"/>
      </w:r>
      <w:r w:rsidRPr="007B054C">
        <w:rPr>
          <w:szCs w:val="24"/>
        </w:rPr>
        <w:t xml:space="preserve"> </w:t>
      </w:r>
      <w:r w:rsidR="00E336F5">
        <w:t>T</w:t>
      </w:r>
      <w:r w:rsidR="00E336F5" w:rsidRPr="007B054C">
        <w:t xml:space="preserve">he longevity </w:t>
      </w:r>
      <w:r w:rsidR="00E336F5">
        <w:t xml:space="preserve">of commercial leases </w:t>
      </w:r>
      <w:r w:rsidR="00557B1A">
        <w:t>would be suggestive</w:t>
      </w:r>
      <w:r w:rsidR="00E336F5" w:rsidRPr="007B054C">
        <w:t xml:space="preserve"> </w:t>
      </w:r>
      <w:r w:rsidR="00557B1A">
        <w:t>of</w:t>
      </w:r>
      <w:r w:rsidR="00E336F5" w:rsidRPr="007B054C">
        <w:t xml:space="preserve"> the norms associated with relational contracts </w:t>
      </w:r>
      <w:r w:rsidR="00153318">
        <w:t xml:space="preserve">that are intended </w:t>
      </w:r>
      <w:r w:rsidR="00E336F5">
        <w:t>to preserve the relationship. For instance</w:t>
      </w:r>
      <w:r w:rsidR="00557B1A">
        <w:t>,</w:t>
      </w:r>
      <w:r w:rsidR="00E336F5">
        <w:t xml:space="preserve"> </w:t>
      </w:r>
      <w:r w:rsidR="00E336F5" w:rsidRPr="007B054C">
        <w:t xml:space="preserve">we might anticipate flexibility to mean something like, </w:t>
      </w:r>
      <w:r w:rsidR="00B53595">
        <w:t>‘</w:t>
      </w:r>
      <w:r w:rsidR="00E336F5" w:rsidRPr="007B054C">
        <w:t>the lease itself provides accommodation on terms that do not constrain the occupier</w:t>
      </w:r>
      <w:r w:rsidR="00241FCC">
        <w:t>’</w:t>
      </w:r>
      <w:r w:rsidR="00E336F5" w:rsidRPr="007B054C">
        <w:t>s ability to respond to its changing business circumstances</w:t>
      </w:r>
      <w:r w:rsidR="00B53595">
        <w:t>’</w:t>
      </w:r>
      <w:r w:rsidR="00E336F5" w:rsidRPr="007B054C">
        <w:t>.</w:t>
      </w:r>
      <w:r w:rsidR="00E336F5" w:rsidRPr="007B054C">
        <w:rPr>
          <w:rStyle w:val="FootnoteReference"/>
        </w:rPr>
        <w:footnoteReference w:id="121"/>
      </w:r>
      <w:r w:rsidR="00E336F5" w:rsidRPr="007B054C">
        <w:t xml:space="preserve"> </w:t>
      </w:r>
      <w:r w:rsidR="00557B1A">
        <w:t xml:space="preserve">However, </w:t>
      </w:r>
      <w:r w:rsidR="00A208A2">
        <w:t xml:space="preserve">as </w:t>
      </w:r>
      <w:r w:rsidR="00A208A2" w:rsidRPr="007B054C">
        <w:rPr>
          <w:szCs w:val="24"/>
        </w:rPr>
        <w:t>the property is esse</w:t>
      </w:r>
      <w:r w:rsidR="00A208A2">
        <w:rPr>
          <w:szCs w:val="24"/>
        </w:rPr>
        <w:t>ntially an investment vehicle</w:t>
      </w:r>
      <w:r w:rsidR="00A208A2" w:rsidRPr="007B054C">
        <w:rPr>
          <w:szCs w:val="24"/>
        </w:rPr>
        <w:t xml:space="preserve"> </w:t>
      </w:r>
      <w:r w:rsidR="00557B1A" w:rsidRPr="007B054C">
        <w:rPr>
          <w:szCs w:val="24"/>
        </w:rPr>
        <w:t xml:space="preserve">for many landlords, particularly of prime properties, the value of the landlord’s reversion is </w:t>
      </w:r>
      <w:r w:rsidR="007166D2" w:rsidRPr="00153318">
        <w:rPr>
          <w:szCs w:val="24"/>
        </w:rPr>
        <w:t>critical</w:t>
      </w:r>
      <w:r w:rsidR="00A208A2" w:rsidRPr="00153318">
        <w:rPr>
          <w:szCs w:val="24"/>
        </w:rPr>
        <w:t xml:space="preserve"> </w:t>
      </w:r>
      <w:r w:rsidR="00707AE2" w:rsidRPr="00153318">
        <w:rPr>
          <w:szCs w:val="24"/>
        </w:rPr>
        <w:t xml:space="preserve">and </w:t>
      </w:r>
      <w:r w:rsidR="00BC7062" w:rsidRPr="00153318">
        <w:rPr>
          <w:szCs w:val="24"/>
        </w:rPr>
        <w:t>may</w:t>
      </w:r>
      <w:r w:rsidR="00BC7062">
        <w:rPr>
          <w:szCs w:val="24"/>
        </w:rPr>
        <w:t xml:space="preserve"> be threatened by </w:t>
      </w:r>
      <w:r w:rsidR="00557B1A">
        <w:rPr>
          <w:szCs w:val="24"/>
        </w:rPr>
        <w:t>flexibility</w:t>
      </w:r>
      <w:r w:rsidR="00A111B9">
        <w:rPr>
          <w:szCs w:val="24"/>
        </w:rPr>
        <w:t xml:space="preserve"> in lease wording</w:t>
      </w:r>
      <w:r w:rsidR="00557B1A" w:rsidRPr="007B054C">
        <w:rPr>
          <w:szCs w:val="24"/>
        </w:rPr>
        <w:t xml:space="preserve">. </w:t>
      </w:r>
      <w:r w:rsidR="00557B1A">
        <w:t>E</w:t>
      </w:r>
      <w:r w:rsidR="00E336F5" w:rsidRPr="007B054C">
        <w:t>mpirical evidence shows that</w:t>
      </w:r>
      <w:r w:rsidR="0030646F">
        <w:t xml:space="preserve"> </w:t>
      </w:r>
      <w:r w:rsidR="00E336F5" w:rsidRPr="007B054C">
        <w:t xml:space="preserve">commercial leases </w:t>
      </w:r>
      <w:r w:rsidR="00E336F5">
        <w:t xml:space="preserve">in the UK </w:t>
      </w:r>
      <w:r w:rsidR="00E336F5" w:rsidRPr="007B054C">
        <w:t>are seldom flexible</w:t>
      </w:r>
      <w:r w:rsidR="00E336F5">
        <w:t xml:space="preserve">, but </w:t>
      </w:r>
      <w:r w:rsidR="00A208A2">
        <w:t xml:space="preserve">instead </w:t>
      </w:r>
      <w:r w:rsidR="00E336F5">
        <w:t>show high levels of</w:t>
      </w:r>
      <w:r w:rsidR="00E336F5" w:rsidRPr="00202971">
        <w:t xml:space="preserve"> ‘presentiation’</w:t>
      </w:r>
      <w:r w:rsidR="00557B1A">
        <w:t>,</w:t>
      </w:r>
      <w:r w:rsidR="00E336F5" w:rsidRPr="007B054C">
        <w:rPr>
          <w:rStyle w:val="FootnoteReference"/>
        </w:rPr>
        <w:footnoteReference w:id="122"/>
      </w:r>
      <w:r w:rsidR="00E336F5" w:rsidRPr="007B054C">
        <w:t xml:space="preserve"> </w:t>
      </w:r>
      <w:r w:rsidR="00557B1A">
        <w:t>behaving</w:t>
      </w:r>
      <w:r w:rsidR="006418F6" w:rsidRPr="007B054C">
        <w:t xml:space="preserve"> in many respects like ‘as if discrete’ contracts</w:t>
      </w:r>
      <w:r w:rsidR="00CE68F4">
        <w:t>. Far from the norms of solidarity and role integrity,</w:t>
      </w:r>
      <w:r w:rsidR="00557B1A">
        <w:t xml:space="preserve"> </w:t>
      </w:r>
      <w:r w:rsidR="0040140C">
        <w:t>c</w:t>
      </w:r>
      <w:r w:rsidR="006418F6" w:rsidRPr="007B054C">
        <w:t xml:space="preserve">ommercial landlord and tenant relationships </w:t>
      </w:r>
      <w:r w:rsidR="00557B1A">
        <w:t xml:space="preserve">are </w:t>
      </w:r>
      <w:r w:rsidR="006418F6" w:rsidRPr="007B054C">
        <w:t>typically adversarial</w:t>
      </w:r>
      <w:r w:rsidR="00CE68F4">
        <w:t>, with t</w:t>
      </w:r>
      <w:r w:rsidR="006418F6" w:rsidRPr="007B054C">
        <w:t>enants complain</w:t>
      </w:r>
      <w:r w:rsidR="00CE68F4">
        <w:t>ing</w:t>
      </w:r>
      <w:r w:rsidR="006418F6" w:rsidRPr="007B054C">
        <w:t xml:space="preserve"> of poor communication (both between landlord and tenant, and between tenants in multi-tenanted buildings), </w:t>
      </w:r>
      <w:r w:rsidR="00BC7062">
        <w:t xml:space="preserve">confrontational </w:t>
      </w:r>
      <w:r w:rsidR="006418F6" w:rsidRPr="007B054C">
        <w:t>stances, and slow response times to problems.</w:t>
      </w:r>
      <w:r w:rsidR="006418F6" w:rsidRPr="007B054C">
        <w:rPr>
          <w:rStyle w:val="FootnoteReference"/>
        </w:rPr>
        <w:footnoteReference w:id="123"/>
      </w:r>
      <w:r w:rsidR="00CE68F4">
        <w:t xml:space="preserve"> </w:t>
      </w:r>
    </w:p>
    <w:p w:rsidR="002007AD" w:rsidRDefault="005350B6" w:rsidP="00546FD2">
      <w:pPr>
        <w:spacing w:line="480" w:lineRule="auto"/>
      </w:pPr>
      <w:r>
        <w:rPr>
          <w:szCs w:val="24"/>
        </w:rPr>
        <w:t xml:space="preserve">The </w:t>
      </w:r>
      <w:r w:rsidR="0061632D">
        <w:rPr>
          <w:szCs w:val="24"/>
        </w:rPr>
        <w:t xml:space="preserve">consequences of </w:t>
      </w:r>
      <w:r w:rsidR="006418F6" w:rsidRPr="007B054C">
        <w:t>high levels of presentiation</w:t>
      </w:r>
      <w:r>
        <w:t xml:space="preserve"> in leases </w:t>
      </w:r>
      <w:r w:rsidR="005D2F9C">
        <w:t>are</w:t>
      </w:r>
      <w:r>
        <w:t xml:space="preserve"> evident from case law. </w:t>
      </w:r>
      <w:r w:rsidR="00A208A2">
        <w:t xml:space="preserve">If </w:t>
      </w:r>
      <w:r w:rsidR="00CE68F4">
        <w:t>f</w:t>
      </w:r>
      <w:r w:rsidR="00CC6DB6">
        <w:t>lexibility</w:t>
      </w:r>
      <w:r w:rsidR="005D2F9C">
        <w:t xml:space="preserve"> </w:t>
      </w:r>
      <w:r w:rsidR="00A208A2" w:rsidRPr="00A111B9">
        <w:rPr>
          <w:i/>
        </w:rPr>
        <w:t>is</w:t>
      </w:r>
      <w:r w:rsidR="00CC6DB6" w:rsidRPr="00A111B9">
        <w:rPr>
          <w:i/>
        </w:rPr>
        <w:t xml:space="preserve"> </w:t>
      </w:r>
      <w:r w:rsidR="00CC6DB6">
        <w:t>built into the terms of the lease</w:t>
      </w:r>
      <w:r w:rsidR="005D2F9C">
        <w:t>,</w:t>
      </w:r>
      <w:r w:rsidR="00CC6DB6">
        <w:t xml:space="preserve"> </w:t>
      </w:r>
      <w:r w:rsidR="00CE68F4">
        <w:t>it is done in a structured and controlled manner. A</w:t>
      </w:r>
      <w:r w:rsidR="008B134A" w:rsidRPr="007B054C">
        <w:t>nticipating the need for adjustment over time, commercial leases typically include carefully drafted and detailed upward-only rent review clauses</w:t>
      </w:r>
      <w:r w:rsidR="00CE68F4">
        <w:t>.  Break</w:t>
      </w:r>
      <w:r w:rsidR="0030646F">
        <w:t xml:space="preserve"> clauses </w:t>
      </w:r>
      <w:r w:rsidR="00CE68F4">
        <w:t>may</w:t>
      </w:r>
      <w:r w:rsidR="00CE1AAC">
        <w:t xml:space="preserve"> </w:t>
      </w:r>
      <w:r w:rsidR="0030646F">
        <w:t>allow for early termination</w:t>
      </w:r>
      <w:r w:rsidR="00CE68F4">
        <w:t>,</w:t>
      </w:r>
      <w:r w:rsidR="00CC6DB6">
        <w:t xml:space="preserve"> but </w:t>
      </w:r>
      <w:r w:rsidR="00CE68F4">
        <w:t xml:space="preserve">are applied strictly by the courts in view of the fact that leases are carefully </w:t>
      </w:r>
      <w:r w:rsidR="00CE68F4" w:rsidRPr="00153318">
        <w:t>presentiated.</w:t>
      </w:r>
      <w:r w:rsidR="008B134A" w:rsidRPr="00153318">
        <w:t xml:space="preserve"> </w:t>
      </w:r>
      <w:r w:rsidR="00CE68F4" w:rsidRPr="00153318">
        <w:t>In</w:t>
      </w:r>
      <w:r w:rsidR="008B134A" w:rsidRPr="00153318">
        <w:t xml:space="preserve"> </w:t>
      </w:r>
      <w:r w:rsidR="008B134A" w:rsidRPr="00153318">
        <w:rPr>
          <w:i/>
        </w:rPr>
        <w:t>Marks and Spencer plc v BNP Paribas</w:t>
      </w:r>
      <w:r w:rsidR="008B134A" w:rsidRPr="00153318">
        <w:t>,</w:t>
      </w:r>
      <w:r w:rsidR="0030646F" w:rsidRPr="00153318">
        <w:rPr>
          <w:rStyle w:val="FootnoteReference"/>
        </w:rPr>
        <w:footnoteReference w:id="124"/>
      </w:r>
      <w:r w:rsidR="008B134A" w:rsidRPr="00153318">
        <w:t xml:space="preserve"> the Supreme Court declined to </w:t>
      </w:r>
      <w:r w:rsidR="00A111B9">
        <w:t>supplement th</w:t>
      </w:r>
      <w:r w:rsidR="00774E6E">
        <w:t xml:space="preserve">is </w:t>
      </w:r>
      <w:r w:rsidR="00A111B9">
        <w:t xml:space="preserve">relationship </w:t>
      </w:r>
      <w:r w:rsidR="00774E6E">
        <w:t xml:space="preserve">by refusing </w:t>
      </w:r>
      <w:r w:rsidR="00A111B9">
        <w:t>to imply</w:t>
      </w:r>
      <w:r w:rsidR="00774E6E">
        <w:t xml:space="preserve"> a term to </w:t>
      </w:r>
      <w:r w:rsidR="00A111B9">
        <w:t>permit the partial recovery of rent paid in advance of exercising a break clause</w:t>
      </w:r>
      <w:r w:rsidR="00707AE2" w:rsidRPr="00153318">
        <w:t>.</w:t>
      </w:r>
      <w:r w:rsidR="008B134A" w:rsidRPr="00153318">
        <w:t xml:space="preserve"> Lord Neuberger referred to the fact that to imply a term would ‘lie somewhat uneasily’ with</w:t>
      </w:r>
      <w:r w:rsidR="008B134A" w:rsidRPr="007B054C">
        <w:t xml:space="preserve"> the fact that the lease was a ‘very full and</w:t>
      </w:r>
      <w:r w:rsidR="00CE68F4">
        <w:t xml:space="preserve"> carefully considered contract’.</w:t>
      </w:r>
      <w:r w:rsidR="008B134A" w:rsidRPr="007B054C">
        <w:rPr>
          <w:rStyle w:val="FootnoteReference"/>
        </w:rPr>
        <w:footnoteReference w:id="125"/>
      </w:r>
    </w:p>
    <w:p w:rsidR="00C53ED4" w:rsidRDefault="008B134A" w:rsidP="00546FD2">
      <w:pPr>
        <w:spacing w:line="480" w:lineRule="auto"/>
      </w:pPr>
      <w:r w:rsidRPr="007B054C">
        <w:t>In the residential leasehold sector, similar</w:t>
      </w:r>
      <w:r w:rsidR="002174EB" w:rsidRPr="007B054C">
        <w:t>ly detailed</w:t>
      </w:r>
      <w:r w:rsidRPr="007B054C">
        <w:t xml:space="preserve"> </w:t>
      </w:r>
      <w:r w:rsidR="00CE68F4">
        <w:t xml:space="preserve">forward-planning </w:t>
      </w:r>
      <w:r w:rsidRPr="007B054C">
        <w:t xml:space="preserve">provisions are often found in relation to service charges. These can </w:t>
      </w:r>
      <w:r w:rsidR="00417496">
        <w:t xml:space="preserve">sometimes </w:t>
      </w:r>
      <w:r w:rsidR="00CE68F4">
        <w:t>have an unanticipated impact</w:t>
      </w:r>
      <w:r w:rsidRPr="007B054C">
        <w:t>,</w:t>
      </w:r>
      <w:r w:rsidR="00CE68F4">
        <w:t xml:space="preserve"> as shown in</w:t>
      </w:r>
      <w:r w:rsidRPr="007B054C">
        <w:t xml:space="preserve"> </w:t>
      </w:r>
      <w:r w:rsidRPr="007B054C">
        <w:rPr>
          <w:i/>
        </w:rPr>
        <w:t>Arnold v Britton</w:t>
      </w:r>
      <w:r w:rsidR="00CE68F4">
        <w:t>.</w:t>
      </w:r>
      <w:r w:rsidRPr="007B054C">
        <w:rPr>
          <w:rStyle w:val="FootnoteReference"/>
        </w:rPr>
        <w:footnoteReference w:id="126"/>
      </w:r>
      <w:r w:rsidR="00CE68F4">
        <w:t xml:space="preserve"> </w:t>
      </w:r>
      <w:r w:rsidRPr="007B054C">
        <w:t xml:space="preserve">Between 1977 and 1991 a number of </w:t>
      </w:r>
      <w:r w:rsidR="005C3797">
        <w:t xml:space="preserve">999 year </w:t>
      </w:r>
      <w:r w:rsidRPr="007B054C">
        <w:t xml:space="preserve">leases </w:t>
      </w:r>
      <w:r w:rsidR="005C3797">
        <w:t xml:space="preserve">were granted </w:t>
      </w:r>
      <w:r w:rsidRPr="007B054C">
        <w:t xml:space="preserve">of chalets in a caravan park. The initial annual service charge was £90 </w:t>
      </w:r>
      <w:r w:rsidR="00A435B3">
        <w:t xml:space="preserve">but the wording of the contract seemed to commit the leaseholders to a 10 percent compound increase each year, which by </w:t>
      </w:r>
      <w:r w:rsidRPr="007B054C">
        <w:t xml:space="preserve">2072 </w:t>
      </w:r>
      <w:r w:rsidR="00A435B3">
        <w:t xml:space="preserve">would result </w:t>
      </w:r>
      <w:r w:rsidRPr="007B054C">
        <w:t xml:space="preserve">in service charges of over half a million pounds annually! </w:t>
      </w:r>
      <w:r w:rsidR="00A208A2">
        <w:t>A</w:t>
      </w:r>
      <w:r w:rsidRPr="007B054C">
        <w:t xml:space="preserve">pplying the principles of contractual interpretation, </w:t>
      </w:r>
      <w:r w:rsidR="00A208A2">
        <w:t xml:space="preserve">the Supreme Court </w:t>
      </w:r>
      <w:r w:rsidRPr="007B054C">
        <w:t xml:space="preserve">was unable to interfere with this patently absurd result although </w:t>
      </w:r>
      <w:r w:rsidR="0064248E">
        <w:t>there was both reluctance</w:t>
      </w:r>
      <w:r w:rsidRPr="007B054C">
        <w:t xml:space="preserve"> and a strong dissenting voice.</w:t>
      </w:r>
      <w:r w:rsidR="00CA5F32">
        <w:rPr>
          <w:rStyle w:val="FootnoteReference"/>
        </w:rPr>
        <w:footnoteReference w:id="127"/>
      </w:r>
      <w:r w:rsidRPr="007B054C">
        <w:t xml:space="preserve"> The majority could only suggest Parliamentary intervention</w:t>
      </w:r>
      <w:r w:rsidR="00855F27">
        <w:t>,</w:t>
      </w:r>
      <w:r w:rsidRPr="007B054C">
        <w:t xml:space="preserve"> or future negotiations between the parties to vary the service charge provision</w:t>
      </w:r>
      <w:r w:rsidR="00A801EF">
        <w:t xml:space="preserve"> -</w:t>
      </w:r>
      <w:r w:rsidRPr="007B054C">
        <w:t xml:space="preserve"> in which the landlord would clearly hold the stronger hand.</w:t>
      </w:r>
      <w:r w:rsidRPr="007B054C">
        <w:rPr>
          <w:rStyle w:val="FootnoteReference"/>
        </w:rPr>
        <w:footnoteReference w:id="128"/>
      </w:r>
      <w:r w:rsidRPr="007B054C">
        <w:t xml:space="preserve">  </w:t>
      </w:r>
    </w:p>
    <w:p w:rsidR="0030646F" w:rsidRDefault="005350B6" w:rsidP="00546FD2">
      <w:pPr>
        <w:pStyle w:val="CommentText"/>
        <w:spacing w:line="480" w:lineRule="auto"/>
      </w:pPr>
      <w:r>
        <w:t xml:space="preserve">These two Supreme Court cases show </w:t>
      </w:r>
      <w:r w:rsidR="00BA50F4">
        <w:t xml:space="preserve">that where there are </w:t>
      </w:r>
      <w:r>
        <w:t>high levels of presentation in property relationship</w:t>
      </w:r>
      <w:r w:rsidR="00A208A2">
        <w:t>s</w:t>
      </w:r>
      <w:r>
        <w:t xml:space="preserve"> the courts – at the crisis moment – </w:t>
      </w:r>
      <w:r w:rsidR="00717E98">
        <w:t>must ‘ascertain the objective meaning of the language which the parties have chosen to express their agreement’</w:t>
      </w:r>
      <w:r w:rsidR="00A73634">
        <w:rPr>
          <w:rStyle w:val="FootnoteReference"/>
        </w:rPr>
        <w:footnoteReference w:id="129"/>
      </w:r>
      <w:r w:rsidR="00A73634">
        <w:t xml:space="preserve"> </w:t>
      </w:r>
      <w:r>
        <w:t xml:space="preserve">to </w:t>
      </w:r>
      <w:r w:rsidRPr="00153318">
        <w:t xml:space="preserve">decide the outcome. </w:t>
      </w:r>
      <w:r w:rsidR="00CA5F32" w:rsidRPr="00153318">
        <w:rPr>
          <w:rFonts w:eastAsia="Calibri"/>
          <w:lang w:val="en-US"/>
        </w:rPr>
        <w:t>P</w:t>
      </w:r>
      <w:r w:rsidR="0064248E" w:rsidRPr="00153318">
        <w:rPr>
          <w:rFonts w:eastAsia="Calibri"/>
          <w:lang w:val="en-US"/>
        </w:rPr>
        <w:t xml:space="preserve">arties may </w:t>
      </w:r>
      <w:r w:rsidR="00CA5F32" w:rsidRPr="00153318">
        <w:rPr>
          <w:rFonts w:eastAsia="Calibri"/>
          <w:lang w:val="en-US"/>
        </w:rPr>
        <w:t xml:space="preserve">therefore </w:t>
      </w:r>
      <w:r w:rsidR="0064248E" w:rsidRPr="00153318">
        <w:rPr>
          <w:rFonts w:eastAsia="Calibri"/>
          <w:lang w:val="en-US"/>
        </w:rPr>
        <w:t xml:space="preserve">prefer to deal with issues differently </w:t>
      </w:r>
      <w:r w:rsidR="00AE7607" w:rsidRPr="00153318">
        <w:rPr>
          <w:rFonts w:eastAsia="Calibri"/>
          <w:lang w:val="en-US"/>
        </w:rPr>
        <w:t xml:space="preserve">so </w:t>
      </w:r>
      <w:r w:rsidR="0064248E" w:rsidRPr="00153318">
        <w:rPr>
          <w:rFonts w:eastAsia="Calibri"/>
          <w:lang w:val="en-US"/>
        </w:rPr>
        <w:t>the</w:t>
      </w:r>
      <w:r w:rsidR="00AE7607" w:rsidRPr="00153318">
        <w:rPr>
          <w:rFonts w:eastAsia="Calibri"/>
          <w:lang w:val="en-US"/>
        </w:rPr>
        <w:t>ir</w:t>
      </w:r>
      <w:r w:rsidR="0064248E" w:rsidRPr="00153318">
        <w:rPr>
          <w:rFonts w:eastAsia="Calibri"/>
          <w:lang w:val="en-US"/>
        </w:rPr>
        <w:t xml:space="preserve"> property relationship </w:t>
      </w:r>
      <w:r w:rsidR="00AE7607" w:rsidRPr="00153318">
        <w:rPr>
          <w:rFonts w:eastAsia="Calibri"/>
          <w:lang w:val="en-US"/>
        </w:rPr>
        <w:t xml:space="preserve">can </w:t>
      </w:r>
      <w:r w:rsidR="0064248E" w:rsidRPr="00153318">
        <w:rPr>
          <w:rFonts w:eastAsia="Calibri"/>
          <w:lang w:val="en-US"/>
        </w:rPr>
        <w:t xml:space="preserve">be responsive over time. </w:t>
      </w:r>
      <w:r w:rsidR="00793F34" w:rsidRPr="00153318">
        <w:rPr>
          <w:rFonts w:eastAsia="Calibri"/>
          <w:lang w:val="en-US"/>
        </w:rPr>
        <w:t>R</w:t>
      </w:r>
      <w:r w:rsidR="00261B43" w:rsidRPr="00153318">
        <w:rPr>
          <w:rFonts w:eastAsia="Calibri"/>
          <w:lang w:val="en-US"/>
        </w:rPr>
        <w:t xml:space="preserve">esearch </w:t>
      </w:r>
      <w:r w:rsidR="0064248E" w:rsidRPr="00153318">
        <w:rPr>
          <w:rFonts w:eastAsia="Calibri"/>
          <w:lang w:val="en-US"/>
        </w:rPr>
        <w:t>into</w:t>
      </w:r>
      <w:r w:rsidR="00261B43" w:rsidRPr="00153318">
        <w:rPr>
          <w:rFonts w:eastAsia="Calibri"/>
          <w:lang w:val="en-US"/>
        </w:rPr>
        <w:t xml:space="preserve"> the </w:t>
      </w:r>
      <w:r w:rsidR="0064248E" w:rsidRPr="00153318">
        <w:rPr>
          <w:rFonts w:eastAsia="Calibri"/>
          <w:lang w:val="en-US"/>
        </w:rPr>
        <w:t xml:space="preserve">use of </w:t>
      </w:r>
      <w:r w:rsidR="005D2F9C" w:rsidRPr="00153318">
        <w:rPr>
          <w:rFonts w:eastAsia="Calibri"/>
          <w:lang w:val="en-US"/>
        </w:rPr>
        <w:t>‘</w:t>
      </w:r>
      <w:r w:rsidR="0064248E" w:rsidRPr="00153318">
        <w:rPr>
          <w:rFonts w:eastAsia="Calibri"/>
          <w:lang w:val="en-US"/>
        </w:rPr>
        <w:t>green</w:t>
      </w:r>
      <w:r w:rsidR="005D2F9C" w:rsidRPr="00153318">
        <w:rPr>
          <w:rFonts w:eastAsia="Calibri"/>
          <w:lang w:val="en-US"/>
        </w:rPr>
        <w:t>’</w:t>
      </w:r>
      <w:r w:rsidR="00261B43" w:rsidRPr="00153318">
        <w:rPr>
          <w:rFonts w:eastAsia="Calibri"/>
          <w:lang w:val="en-US"/>
        </w:rPr>
        <w:t xml:space="preserve"> leases shows the adoption of a number of strategies </w:t>
      </w:r>
      <w:r w:rsidR="0064248E" w:rsidRPr="00153318">
        <w:rPr>
          <w:rFonts w:eastAsia="Calibri"/>
          <w:lang w:val="en-US"/>
        </w:rPr>
        <w:t>that support greater flexibility</w:t>
      </w:r>
      <w:r w:rsidR="00261B43" w:rsidRPr="00153318">
        <w:rPr>
          <w:rFonts w:eastAsia="Calibri"/>
          <w:lang w:val="en-US"/>
        </w:rPr>
        <w:t>.</w:t>
      </w:r>
      <w:r w:rsidR="005D2F9C" w:rsidRPr="00153318">
        <w:rPr>
          <w:rStyle w:val="FootnoteReference"/>
          <w:rFonts w:eastAsia="Calibri"/>
          <w:lang w:val="en-US"/>
        </w:rPr>
        <w:footnoteReference w:id="130"/>
      </w:r>
      <w:r w:rsidR="0064248E" w:rsidRPr="00153318">
        <w:rPr>
          <w:rFonts w:eastAsia="Calibri"/>
          <w:lang w:val="en-US"/>
        </w:rPr>
        <w:t xml:space="preserve"> </w:t>
      </w:r>
      <w:r w:rsidR="00261B43" w:rsidRPr="00153318">
        <w:rPr>
          <w:rFonts w:eastAsia="Calibri"/>
          <w:lang w:val="en-US"/>
        </w:rPr>
        <w:t>For instance</w:t>
      </w:r>
      <w:r w:rsidR="0064248E" w:rsidRPr="00153318">
        <w:rPr>
          <w:rFonts w:eastAsia="Calibri"/>
          <w:lang w:val="en-US"/>
        </w:rPr>
        <w:t>,</w:t>
      </w:r>
      <w:r w:rsidR="00261B43" w:rsidRPr="00153318">
        <w:rPr>
          <w:rFonts w:eastAsia="Calibri"/>
          <w:lang w:val="en-US"/>
        </w:rPr>
        <w:t xml:space="preserve"> </w:t>
      </w:r>
      <w:r w:rsidR="00070058" w:rsidRPr="00153318">
        <w:rPr>
          <w:rFonts w:eastAsia="Calibri"/>
          <w:lang w:val="en-US"/>
        </w:rPr>
        <w:t>‘</w:t>
      </w:r>
      <w:r w:rsidR="00261B43" w:rsidRPr="00153318">
        <w:rPr>
          <w:rFonts w:eastAsia="Calibri"/>
          <w:lang w:val="en-US"/>
        </w:rPr>
        <w:t>g</w:t>
      </w:r>
      <w:r w:rsidR="0030646F" w:rsidRPr="00153318">
        <w:rPr>
          <w:rFonts w:eastAsia="Calibri"/>
          <w:lang w:val="en-US"/>
        </w:rPr>
        <w:t>reen</w:t>
      </w:r>
      <w:r w:rsidR="00070058" w:rsidRPr="00153318">
        <w:rPr>
          <w:rFonts w:eastAsia="Calibri"/>
          <w:lang w:val="en-US"/>
        </w:rPr>
        <w:t>’</w:t>
      </w:r>
      <w:r w:rsidR="0030646F" w:rsidRPr="00153318">
        <w:rPr>
          <w:rFonts w:eastAsia="Calibri"/>
          <w:lang w:val="en-US"/>
        </w:rPr>
        <w:t xml:space="preserve"> clauses </w:t>
      </w:r>
      <w:r w:rsidR="00793F34" w:rsidRPr="00153318">
        <w:rPr>
          <w:rFonts w:eastAsia="Calibri"/>
          <w:lang w:val="en-US"/>
        </w:rPr>
        <w:t xml:space="preserve">in </w:t>
      </w:r>
      <w:r w:rsidR="00A719D4" w:rsidRPr="00153318">
        <w:rPr>
          <w:rFonts w:eastAsia="Calibri"/>
          <w:lang w:val="en-US"/>
        </w:rPr>
        <w:t>lease</w:t>
      </w:r>
      <w:r w:rsidR="00793F34" w:rsidRPr="00153318">
        <w:rPr>
          <w:rFonts w:eastAsia="Calibri"/>
          <w:lang w:val="en-US"/>
        </w:rPr>
        <w:t>s</w:t>
      </w:r>
      <w:r w:rsidR="00A719D4" w:rsidRPr="00153318">
        <w:rPr>
          <w:rFonts w:eastAsia="Calibri"/>
          <w:lang w:val="en-US"/>
        </w:rPr>
        <w:t xml:space="preserve"> </w:t>
      </w:r>
      <w:r w:rsidR="00F60081" w:rsidRPr="00153318">
        <w:rPr>
          <w:rFonts w:eastAsia="Calibri"/>
          <w:lang w:val="en-US"/>
        </w:rPr>
        <w:t xml:space="preserve">are </w:t>
      </w:r>
      <w:r w:rsidR="0030646F" w:rsidRPr="00153318">
        <w:t>sometimes expressed in general terms and</w:t>
      </w:r>
      <w:r w:rsidR="00A719D4" w:rsidRPr="00153318">
        <w:t>/or</w:t>
      </w:r>
      <w:r w:rsidR="0030646F" w:rsidRPr="00153318">
        <w:t xml:space="preserve"> stated to be non-binding</w:t>
      </w:r>
      <w:r w:rsidR="00793F34" w:rsidRPr="00153318">
        <w:t>, and</w:t>
      </w:r>
      <w:r w:rsidR="0075470F" w:rsidRPr="00153318">
        <w:t xml:space="preserve"> sometimes </w:t>
      </w:r>
      <w:r w:rsidR="0030646F" w:rsidRPr="00153318">
        <w:t xml:space="preserve">consigned to Memoranda of Understanding </w:t>
      </w:r>
      <w:r w:rsidR="00F60081" w:rsidRPr="00153318">
        <w:t>(</w:t>
      </w:r>
      <w:r w:rsidR="0030646F" w:rsidRPr="00153318">
        <w:t>outside the formal lease</w:t>
      </w:r>
      <w:r w:rsidR="00F60081" w:rsidRPr="00153318">
        <w:t>)</w:t>
      </w:r>
      <w:r w:rsidR="008C564B" w:rsidRPr="00153318">
        <w:t xml:space="preserve"> so as</w:t>
      </w:r>
      <w:r w:rsidR="0030646F" w:rsidRPr="00153318">
        <w:t xml:space="preserve"> </w:t>
      </w:r>
      <w:r w:rsidR="008C564B" w:rsidRPr="00153318">
        <w:t xml:space="preserve">to be </w:t>
      </w:r>
      <w:r w:rsidR="0064248E" w:rsidRPr="00153318">
        <w:t>easier to change over time</w:t>
      </w:r>
      <w:r w:rsidR="0030646F" w:rsidRPr="00153318">
        <w:t xml:space="preserve">. </w:t>
      </w:r>
      <w:r w:rsidR="00AE7607" w:rsidRPr="00153318">
        <w:t>I</w:t>
      </w:r>
      <w:r w:rsidR="0030646F" w:rsidRPr="00153318">
        <w:t>nterviewees</w:t>
      </w:r>
      <w:r w:rsidR="0030646F">
        <w:t xml:space="preserve"> </w:t>
      </w:r>
      <w:r w:rsidR="00F3599A">
        <w:t>in Patrick and Brights’ research considered</w:t>
      </w:r>
      <w:r w:rsidR="0030646F">
        <w:t xml:space="preserve"> the non-binding nature of </w:t>
      </w:r>
      <w:r w:rsidR="008C564B">
        <w:t xml:space="preserve">these </w:t>
      </w:r>
      <w:r w:rsidR="0030646F">
        <w:t xml:space="preserve">obligations </w:t>
      </w:r>
      <w:r w:rsidR="0064248E">
        <w:t>w</w:t>
      </w:r>
      <w:r w:rsidR="0030646F">
        <w:t xml:space="preserve">as </w:t>
      </w:r>
      <w:r w:rsidR="0030646F" w:rsidRPr="00B9352E">
        <w:t xml:space="preserve">desirable, </w:t>
      </w:r>
      <w:r w:rsidR="0030646F">
        <w:t>because l</w:t>
      </w:r>
      <w:r w:rsidR="0030646F" w:rsidRPr="00B9352E">
        <w:t xml:space="preserve">egally binding clauses could </w:t>
      </w:r>
      <w:r w:rsidR="008C564B">
        <w:t xml:space="preserve">inhibit </w:t>
      </w:r>
      <w:r w:rsidR="0030646F" w:rsidRPr="00B9352E">
        <w:t>cooperation and joint initiatives.</w:t>
      </w:r>
      <w:r w:rsidR="0030646F" w:rsidRPr="007B054C">
        <w:t xml:space="preserve"> </w:t>
      </w:r>
      <w:r w:rsidR="0030646F">
        <w:t xml:space="preserve">Indeed one lawyer </w:t>
      </w:r>
      <w:r w:rsidR="00070058" w:rsidRPr="00070058">
        <w:rPr>
          <w:sz w:val="22"/>
          <w:szCs w:val="22"/>
        </w:rPr>
        <w:t>stated</w:t>
      </w:r>
      <w:r w:rsidR="00793F34">
        <w:rPr>
          <w:sz w:val="22"/>
          <w:szCs w:val="22"/>
        </w:rPr>
        <w:t>,</w:t>
      </w:r>
      <w:r w:rsidR="00070058" w:rsidRPr="00070058">
        <w:rPr>
          <w:sz w:val="22"/>
          <w:szCs w:val="22"/>
        </w:rPr>
        <w:t xml:space="preserve"> ‘</w:t>
      </w:r>
      <w:r w:rsidR="00070058" w:rsidRPr="00CA5F32">
        <w:rPr>
          <w:i/>
        </w:rPr>
        <w:t>t</w:t>
      </w:r>
      <w:r w:rsidR="0030646F" w:rsidRPr="00CA5F32">
        <w:rPr>
          <w:i/>
        </w:rPr>
        <w:t>he lease is very static, it’s very difficult to put these sorts of provisions in because they will naturally evolve over time</w:t>
      </w:r>
      <w:r w:rsidR="00070058" w:rsidRPr="00CA5F32">
        <w:rPr>
          <w:i/>
        </w:rPr>
        <w:t>’</w:t>
      </w:r>
      <w:r w:rsidR="0030646F" w:rsidRPr="006418F6">
        <w:t>.</w:t>
      </w:r>
      <w:r w:rsidR="00F60081">
        <w:rPr>
          <w:rStyle w:val="FootnoteReference"/>
        </w:rPr>
        <w:footnoteReference w:id="131"/>
      </w:r>
    </w:p>
    <w:p w:rsidR="006C11B9" w:rsidRDefault="006C11B9" w:rsidP="00546FD2">
      <w:pPr>
        <w:spacing w:line="480" w:lineRule="auto"/>
      </w:pPr>
      <w:r w:rsidRPr="006C11B9">
        <w:t xml:space="preserve">The high degree of planning that goes into long leases is somewhat ironic, given that many property rights-holders </w:t>
      </w:r>
      <w:r w:rsidR="00A73634">
        <w:t xml:space="preserve">pay </w:t>
      </w:r>
      <w:r w:rsidRPr="006C11B9">
        <w:t xml:space="preserve">little or no attention to the documentation. However, </w:t>
      </w:r>
      <w:r>
        <w:t xml:space="preserve">although this may be true of the day-to-day, </w:t>
      </w:r>
      <w:r w:rsidRPr="006C11B9">
        <w:t xml:space="preserve">crisis moments </w:t>
      </w:r>
      <w:r w:rsidR="006301B6">
        <w:t>may hit a</w:t>
      </w:r>
      <w:r w:rsidRPr="006C11B9">
        <w:t xml:space="preserve"> property relationship</w:t>
      </w:r>
      <w:r w:rsidR="008476C1">
        <w:t>,</w:t>
      </w:r>
      <w:r w:rsidR="00CA5F32">
        <w:rPr>
          <w:rStyle w:val="FootnoteReference"/>
        </w:rPr>
        <w:footnoteReference w:id="132"/>
      </w:r>
      <w:r w:rsidR="008476C1">
        <w:t xml:space="preserve"> </w:t>
      </w:r>
      <w:r w:rsidR="00C91EB7">
        <w:t xml:space="preserve">which </w:t>
      </w:r>
      <w:r w:rsidRPr="006C11B9">
        <w:t>could result in termination, resolution or a pivotal turn in those relations.</w:t>
      </w:r>
      <w:r w:rsidRPr="006C11B9" w:rsidDel="001E7C99">
        <w:t xml:space="preserve"> </w:t>
      </w:r>
      <w:r w:rsidRPr="006C11B9">
        <w:t xml:space="preserve"> It is at this time that the parties are likely to take the lease or mortgage out of the cupboard to see how their rights and obligations are formally defined.</w:t>
      </w:r>
      <w:r>
        <w:t xml:space="preserve"> </w:t>
      </w:r>
    </w:p>
    <w:p w:rsidR="00153318" w:rsidRDefault="008476C1" w:rsidP="00546FD2">
      <w:pPr>
        <w:spacing w:line="480" w:lineRule="auto"/>
      </w:pPr>
      <w:r>
        <w:t xml:space="preserve">Another feature that flows from the enduring nature of property relationships is the expectation of, or at least potential for, </w:t>
      </w:r>
      <w:r w:rsidR="00B34707" w:rsidRPr="007B054C">
        <w:t>transmissibility</w:t>
      </w:r>
      <w:r>
        <w:t xml:space="preserve">. The fact that the property right endures through different owners </w:t>
      </w:r>
      <w:r w:rsidR="00B34707" w:rsidRPr="007B054C">
        <w:t xml:space="preserve">shapes the general principles of property law, the negotiated content of property rights, and the way in which property relationships are regulated. </w:t>
      </w:r>
      <w:r w:rsidR="008B5C99">
        <w:t>For example, l</w:t>
      </w:r>
      <w:r w:rsidRPr="007B054C">
        <w:t>easehold covenants can be enforced by and against the persons who are in the property relationship of landlord and tenant for the time being, even though they are not in a contractual relationship.</w:t>
      </w:r>
      <w:r w:rsidRPr="007B054C">
        <w:rPr>
          <w:rStyle w:val="FootnoteReference"/>
        </w:rPr>
        <w:footnoteReference w:id="133"/>
      </w:r>
      <w:r w:rsidRPr="007B054C">
        <w:t xml:space="preserve"> </w:t>
      </w:r>
      <w:r>
        <w:t>Likewise</w:t>
      </w:r>
      <w:r w:rsidR="00855F27">
        <w:t>,</w:t>
      </w:r>
      <w:r>
        <w:t xml:space="preserve"> leaseholders</w:t>
      </w:r>
      <w:r w:rsidRPr="00402C46">
        <w:t xml:space="preserve"> </w:t>
      </w:r>
      <w:r>
        <w:t>of different units within a development, although not in a direct contractual relationship, may be able to enforce covenants between themselves where they can establish a building scheme based upon the imposition of common covenants.</w:t>
      </w:r>
      <w:r>
        <w:rPr>
          <w:rStyle w:val="FootnoteReference"/>
        </w:rPr>
        <w:footnoteReference w:id="134"/>
      </w:r>
    </w:p>
    <w:p w:rsidR="00ED657F" w:rsidRPr="000E09F7" w:rsidRDefault="00F06ABF" w:rsidP="00546FD2">
      <w:pPr>
        <w:spacing w:line="480" w:lineRule="auto"/>
      </w:pPr>
      <w:r>
        <w:rPr>
          <w:szCs w:val="24"/>
        </w:rPr>
        <w:t xml:space="preserve">Transmissibility is not necessarily </w:t>
      </w:r>
      <w:r w:rsidR="009661D2">
        <w:rPr>
          <w:szCs w:val="24"/>
        </w:rPr>
        <w:t>clear-cut</w:t>
      </w:r>
      <w:r>
        <w:rPr>
          <w:szCs w:val="24"/>
        </w:rPr>
        <w:t xml:space="preserve">, even though the rules of property law purport to be. There appears to be </w:t>
      </w:r>
      <w:r w:rsidR="008B134A" w:rsidRPr="007B054C">
        <w:rPr>
          <w:szCs w:val="24"/>
        </w:rPr>
        <w:t xml:space="preserve">a ‘spectrum of enforceability’ </w:t>
      </w:r>
      <w:r w:rsidR="008B134A" w:rsidRPr="007B054C">
        <w:t xml:space="preserve">in the transmissibility of the internal dynamics of a property relationship, </w:t>
      </w:r>
      <w:r w:rsidR="00AA0AAB">
        <w:t xml:space="preserve">reflecting </w:t>
      </w:r>
      <w:r w:rsidR="008B134A" w:rsidRPr="007B054C">
        <w:t xml:space="preserve">the relative strengths of the express and implicit understandings relating to the exercise of both the </w:t>
      </w:r>
      <w:r w:rsidR="008B134A" w:rsidRPr="007B054C">
        <w:rPr>
          <w:i/>
        </w:rPr>
        <w:t>de jure</w:t>
      </w:r>
      <w:r w:rsidR="008B134A" w:rsidRPr="007B054C">
        <w:t xml:space="preserve"> rights and the </w:t>
      </w:r>
      <w:r w:rsidR="008B134A" w:rsidRPr="007B054C">
        <w:rPr>
          <w:i/>
        </w:rPr>
        <w:t>de facto</w:t>
      </w:r>
      <w:r w:rsidR="008B134A" w:rsidRPr="007B054C">
        <w:t xml:space="preserve"> use of land.  </w:t>
      </w:r>
      <w:r w:rsidR="000E09F7">
        <w:t>At</w:t>
      </w:r>
      <w:r w:rsidR="008B134A" w:rsidRPr="007B054C">
        <w:t xml:space="preserve"> one end of this spectrum </w:t>
      </w:r>
      <w:r w:rsidR="00B960A1">
        <w:t>there are</w:t>
      </w:r>
      <w:r w:rsidR="000E09F7">
        <w:t>, for example,</w:t>
      </w:r>
      <w:r w:rsidR="00B960A1">
        <w:t xml:space="preserve"> </w:t>
      </w:r>
      <w:r w:rsidR="00F60081">
        <w:t>the</w:t>
      </w:r>
      <w:r w:rsidR="00AA0AAB">
        <w:t xml:space="preserve"> </w:t>
      </w:r>
      <w:r w:rsidR="008B134A" w:rsidRPr="007B054C">
        <w:t>leasehold covenants</w:t>
      </w:r>
      <w:r w:rsidR="00F60081">
        <w:t xml:space="preserve"> that</w:t>
      </w:r>
      <w:r w:rsidR="007166D2">
        <w:t>, as we have seen,</w:t>
      </w:r>
      <w:r w:rsidR="00F60081">
        <w:t xml:space="preserve"> bind successors</w:t>
      </w:r>
      <w:r w:rsidR="00B960A1">
        <w:t>.</w:t>
      </w:r>
      <w:r w:rsidR="000E09F7">
        <w:rPr>
          <w:rStyle w:val="st"/>
        </w:rPr>
        <w:t xml:space="preserve"> </w:t>
      </w:r>
      <w:r w:rsidR="000E09F7">
        <w:t>At</w:t>
      </w:r>
      <w:r>
        <w:t xml:space="preserve"> </w:t>
      </w:r>
      <w:r w:rsidR="008B134A" w:rsidRPr="007B054C">
        <w:t xml:space="preserve">the other end of the spectrum </w:t>
      </w:r>
      <w:r>
        <w:t>are</w:t>
      </w:r>
      <w:r w:rsidR="008B134A" w:rsidRPr="007B054C">
        <w:t xml:space="preserve"> </w:t>
      </w:r>
      <w:r w:rsidR="000E09F7">
        <w:t>‘</w:t>
      </w:r>
      <w:r w:rsidR="008B134A" w:rsidRPr="007B054C">
        <w:t>understandings</w:t>
      </w:r>
      <w:r w:rsidR="000E09F7">
        <w:t>’</w:t>
      </w:r>
      <w:r w:rsidR="008B134A" w:rsidRPr="007B054C">
        <w:t xml:space="preserve"> developed by A and B regulating their use of communal space, </w:t>
      </w:r>
      <w:r>
        <w:t xml:space="preserve">which may </w:t>
      </w:r>
      <w:r w:rsidR="00B960A1">
        <w:t>be</w:t>
      </w:r>
      <w:r w:rsidR="000E09F7">
        <w:t xml:space="preserve"> adopted by</w:t>
      </w:r>
      <w:r w:rsidR="00F60081">
        <w:t xml:space="preserve"> their successors,</w:t>
      </w:r>
      <w:r w:rsidR="008B134A" w:rsidRPr="007B054C">
        <w:t xml:space="preserve"> A2 and B2. </w:t>
      </w:r>
      <w:r>
        <w:t xml:space="preserve">It </w:t>
      </w:r>
      <w:r w:rsidR="00402C46">
        <w:t xml:space="preserve">is </w:t>
      </w:r>
      <w:r>
        <w:t>not that these bind A2 and B2 as a matter of law, but the fact that A2 and B2 regard themselves as bound indicates that the</w:t>
      </w:r>
      <w:r w:rsidR="00C91EB7">
        <w:t>se</w:t>
      </w:r>
      <w:r>
        <w:t xml:space="preserve"> norms </w:t>
      </w:r>
      <w:r w:rsidR="00B960A1">
        <w:t xml:space="preserve">can </w:t>
      </w:r>
      <w:r>
        <w:t xml:space="preserve">behave in a ‘property-like’ manner.  </w:t>
      </w:r>
      <w:r w:rsidR="000E09F7">
        <w:t xml:space="preserve">In Blandy’s research </w:t>
      </w:r>
      <w:r w:rsidR="000E09F7">
        <w:rPr>
          <w:szCs w:val="24"/>
        </w:rPr>
        <w:t>o</w:t>
      </w:r>
      <w:r w:rsidR="00ED657F" w:rsidRPr="00A7355F">
        <w:rPr>
          <w:szCs w:val="24"/>
        </w:rPr>
        <w:t xml:space="preserve">ne residential leaseholder explained how </w:t>
      </w:r>
      <w:r w:rsidR="00AA0AAB">
        <w:rPr>
          <w:szCs w:val="24"/>
        </w:rPr>
        <w:t xml:space="preserve">informal </w:t>
      </w:r>
      <w:r w:rsidR="00ED657F" w:rsidRPr="00A7355F">
        <w:rPr>
          <w:szCs w:val="24"/>
        </w:rPr>
        <w:t xml:space="preserve">obligations (in this case, sweeping the passageway outside the front door of her flat) </w:t>
      </w:r>
      <w:r w:rsidR="00ED657F">
        <w:rPr>
          <w:szCs w:val="24"/>
        </w:rPr>
        <w:t>were passed on to new residents: ‘</w:t>
      </w:r>
      <w:r w:rsidR="00ED657F" w:rsidRPr="00A7355F">
        <w:rPr>
          <w:i/>
          <w:szCs w:val="24"/>
        </w:rPr>
        <w:t>I just know that that’s supposed to be a rule, right</w:t>
      </w:r>
      <w:r w:rsidR="00AA0AAB">
        <w:rPr>
          <w:i/>
          <w:szCs w:val="24"/>
        </w:rPr>
        <w:t>.</w:t>
      </w:r>
      <w:r w:rsidR="00ED657F" w:rsidRPr="00A7355F">
        <w:rPr>
          <w:i/>
          <w:szCs w:val="24"/>
        </w:rPr>
        <w:t xml:space="preserve"> I follow on accordingly</w:t>
      </w:r>
      <w:r w:rsidR="00ED657F">
        <w:rPr>
          <w:szCs w:val="24"/>
        </w:rPr>
        <w:t>’</w:t>
      </w:r>
      <w:r w:rsidR="00ED657F" w:rsidRPr="003E16FA">
        <w:rPr>
          <w:szCs w:val="24"/>
        </w:rPr>
        <w:t>.</w:t>
      </w:r>
      <w:r w:rsidR="00AA0AAB">
        <w:rPr>
          <w:rStyle w:val="FootnoteReference"/>
          <w:szCs w:val="24"/>
        </w:rPr>
        <w:footnoteReference w:id="135"/>
      </w:r>
    </w:p>
    <w:p w:rsidR="00C53ED4" w:rsidRPr="007B054C" w:rsidRDefault="007166D2" w:rsidP="00546FD2">
      <w:pPr>
        <w:spacing w:line="480" w:lineRule="auto"/>
      </w:pPr>
      <w:r>
        <w:t>This</w:t>
      </w:r>
      <w:r w:rsidR="008B134A" w:rsidRPr="007B054C">
        <w:t xml:space="preserve"> </w:t>
      </w:r>
      <w:r w:rsidRPr="007B054C">
        <w:t>challeng</w:t>
      </w:r>
      <w:r>
        <w:t>es</w:t>
      </w:r>
      <w:r w:rsidRPr="007B054C">
        <w:t xml:space="preserve"> </w:t>
      </w:r>
      <w:r w:rsidR="008B134A" w:rsidRPr="007B054C">
        <w:t xml:space="preserve">boundaries between mere understandings, contract and property. </w:t>
      </w:r>
      <w:r w:rsidR="006008A7">
        <w:rPr>
          <w:rStyle w:val="st"/>
        </w:rPr>
        <w:t>P</w:t>
      </w:r>
      <w:r w:rsidR="00F06ABF">
        <w:rPr>
          <w:rStyle w:val="st"/>
        </w:rPr>
        <w:t>roperty rules, for example, on leasehold covenants</w:t>
      </w:r>
      <w:r w:rsidR="006008A7">
        <w:rPr>
          <w:rStyle w:val="st"/>
        </w:rPr>
        <w:t>,</w:t>
      </w:r>
      <w:r w:rsidR="00F06ABF">
        <w:rPr>
          <w:rStyle w:val="st"/>
        </w:rPr>
        <w:t xml:space="preserve"> provide </w:t>
      </w:r>
      <w:r w:rsidR="008B134A" w:rsidRPr="007B054C">
        <w:rPr>
          <w:rStyle w:val="st"/>
        </w:rPr>
        <w:t>a</w:t>
      </w:r>
      <w:r w:rsidR="008B134A" w:rsidRPr="007B054C">
        <w:t xml:space="preserve"> classic example of a </w:t>
      </w:r>
      <w:r w:rsidR="00241FCC">
        <w:t>‘</w:t>
      </w:r>
      <w:r w:rsidR="008B134A" w:rsidRPr="007B054C">
        <w:t>crystal rule</w:t>
      </w:r>
      <w:r w:rsidR="00241FCC">
        <w:t>’</w:t>
      </w:r>
      <w:r w:rsidR="008B134A" w:rsidRPr="007B054C">
        <w:t>, perfectly designed for regulating one-off transactions between strangers.</w:t>
      </w:r>
      <w:r w:rsidR="008B134A" w:rsidRPr="007B054C">
        <w:rPr>
          <w:rStyle w:val="FootnoteReference"/>
        </w:rPr>
        <w:footnoteReference w:id="136"/>
      </w:r>
      <w:r w:rsidR="008B134A" w:rsidRPr="007B054C">
        <w:t xml:space="preserve"> However, an appreciation of the dynamics of enduring property relationships dictates an exploration of </w:t>
      </w:r>
      <w:r w:rsidR="006008A7">
        <w:t>the</w:t>
      </w:r>
      <w:r w:rsidR="008B134A" w:rsidRPr="007B054C">
        <w:t xml:space="preserve"> spectrum of enforceability that underlies the rights and understandings within a given relationship. </w:t>
      </w:r>
    </w:p>
    <w:p w:rsidR="00AE7673" w:rsidRPr="001B645C" w:rsidRDefault="00AE7673" w:rsidP="00546FD2">
      <w:pPr>
        <w:tabs>
          <w:tab w:val="left" w:pos="4500"/>
        </w:tabs>
        <w:spacing w:line="480" w:lineRule="auto"/>
        <w:rPr>
          <w:b/>
          <w:szCs w:val="24"/>
        </w:rPr>
      </w:pPr>
      <w:r w:rsidRPr="00634E4D">
        <w:rPr>
          <w:b/>
          <w:i/>
          <w:iCs/>
          <w:szCs w:val="24"/>
        </w:rPr>
        <w:t>Discretionary spaces in decision-making</w:t>
      </w:r>
      <w:r w:rsidRPr="001B645C">
        <w:rPr>
          <w:b/>
          <w:szCs w:val="24"/>
        </w:rPr>
        <w:t xml:space="preserve"> </w:t>
      </w:r>
      <w:r w:rsidRPr="001B645C">
        <w:rPr>
          <w:b/>
          <w:szCs w:val="24"/>
        </w:rPr>
        <w:tab/>
      </w:r>
    </w:p>
    <w:p w:rsidR="00AE7673" w:rsidRDefault="00AE7673" w:rsidP="00546FD2">
      <w:pPr>
        <w:spacing w:line="480" w:lineRule="auto"/>
        <w:rPr>
          <w:rFonts w:eastAsia="Times New Roman"/>
          <w:szCs w:val="24"/>
          <w:lang w:val="en-US"/>
        </w:rPr>
      </w:pPr>
      <w:r>
        <w:rPr>
          <w:szCs w:val="24"/>
        </w:rPr>
        <w:t xml:space="preserve">Enforceability is </w:t>
      </w:r>
      <w:r w:rsidR="006301B6">
        <w:rPr>
          <w:szCs w:val="24"/>
        </w:rPr>
        <w:t>fore grounded</w:t>
      </w:r>
      <w:r>
        <w:rPr>
          <w:szCs w:val="24"/>
        </w:rPr>
        <w:t xml:space="preserve"> when disputes arise. </w:t>
      </w:r>
      <w:r>
        <w:rPr>
          <w:rFonts w:eastAsia="Times New Roman"/>
          <w:szCs w:val="24"/>
          <w:lang w:val="en-US"/>
        </w:rPr>
        <w:t xml:space="preserve">We now explore </w:t>
      </w:r>
      <w:r>
        <w:rPr>
          <w:szCs w:val="24"/>
        </w:rPr>
        <w:t>the scope for discretion in decision-making</w:t>
      </w:r>
      <w:r>
        <w:rPr>
          <w:rFonts w:eastAsia="Times New Roman"/>
          <w:szCs w:val="24"/>
          <w:lang w:val="en-US"/>
        </w:rPr>
        <w:t xml:space="preserve"> and how far the </w:t>
      </w:r>
      <w:r w:rsidRPr="007B054C">
        <w:rPr>
          <w:rFonts w:eastAsia="Times New Roman"/>
          <w:szCs w:val="24"/>
          <w:lang w:val="en-US"/>
        </w:rPr>
        <w:t xml:space="preserve">enduring </w:t>
      </w:r>
      <w:r>
        <w:rPr>
          <w:rFonts w:eastAsia="Times New Roman"/>
          <w:szCs w:val="24"/>
          <w:lang w:val="en-US"/>
        </w:rPr>
        <w:t xml:space="preserve">nature of </w:t>
      </w:r>
      <w:r w:rsidRPr="007B054C">
        <w:rPr>
          <w:rFonts w:eastAsia="Times New Roman"/>
          <w:szCs w:val="24"/>
          <w:lang w:val="en-US"/>
        </w:rPr>
        <w:t>property relations</w:t>
      </w:r>
      <w:r>
        <w:rPr>
          <w:rFonts w:eastAsia="Times New Roman"/>
          <w:szCs w:val="24"/>
          <w:lang w:val="en-US"/>
        </w:rPr>
        <w:t xml:space="preserve"> is </w:t>
      </w:r>
      <w:r w:rsidRPr="007B054C">
        <w:rPr>
          <w:rFonts w:eastAsia="Times New Roman"/>
          <w:szCs w:val="24"/>
          <w:lang w:val="en-US"/>
        </w:rPr>
        <w:t>acknowledged in a range of decision-making scenarios</w:t>
      </w:r>
      <w:r>
        <w:rPr>
          <w:rFonts w:eastAsia="Times New Roman"/>
          <w:szCs w:val="24"/>
          <w:lang w:val="en-US"/>
        </w:rPr>
        <w:t>,</w:t>
      </w:r>
      <w:r w:rsidRPr="007B054C">
        <w:rPr>
          <w:rFonts w:eastAsia="Times New Roman"/>
          <w:szCs w:val="24"/>
          <w:lang w:val="en-US"/>
        </w:rPr>
        <w:t xml:space="preserve"> from informal dispute-resolution</w:t>
      </w:r>
      <w:r>
        <w:rPr>
          <w:rStyle w:val="FootnoteReference"/>
          <w:rFonts w:eastAsia="Times New Roman"/>
          <w:szCs w:val="24"/>
          <w:lang w:val="en-US"/>
        </w:rPr>
        <w:footnoteReference w:id="137"/>
      </w:r>
      <w:r w:rsidRPr="003A48B0">
        <w:rPr>
          <w:rFonts w:eastAsia="Times New Roman"/>
          <w:szCs w:val="24"/>
          <w:lang w:val="en-US"/>
        </w:rPr>
        <w:t xml:space="preserve"> </w:t>
      </w:r>
      <w:r>
        <w:rPr>
          <w:rFonts w:eastAsia="Times New Roman"/>
          <w:szCs w:val="24"/>
          <w:lang w:val="en-US"/>
        </w:rPr>
        <w:t>and regulatory intervention</w:t>
      </w:r>
      <w:r w:rsidRPr="007B054C">
        <w:rPr>
          <w:rFonts w:eastAsia="Times New Roman"/>
          <w:szCs w:val="24"/>
          <w:lang w:val="en-US"/>
        </w:rPr>
        <w:t>,</w:t>
      </w:r>
      <w:r>
        <w:rPr>
          <w:rStyle w:val="FootnoteReference"/>
          <w:rFonts w:eastAsia="Times New Roman"/>
          <w:szCs w:val="24"/>
          <w:lang w:val="en-US"/>
        </w:rPr>
        <w:footnoteReference w:id="138"/>
      </w:r>
      <w:r w:rsidRPr="007B054C">
        <w:rPr>
          <w:rFonts w:eastAsia="Times New Roman"/>
          <w:szCs w:val="24"/>
          <w:lang w:val="en-US"/>
        </w:rPr>
        <w:t xml:space="preserve"> </w:t>
      </w:r>
      <w:r w:rsidRPr="007B054C">
        <w:rPr>
          <w:szCs w:val="24"/>
        </w:rPr>
        <w:t>to property tribunals</w:t>
      </w:r>
      <w:r w:rsidR="00EA1BCB">
        <w:rPr>
          <w:szCs w:val="24"/>
        </w:rPr>
        <w:t xml:space="preserve"> and courts</w:t>
      </w:r>
      <w:r w:rsidRPr="007B054C">
        <w:rPr>
          <w:szCs w:val="24"/>
        </w:rPr>
        <w:t xml:space="preserve">. </w:t>
      </w:r>
      <w:r>
        <w:rPr>
          <w:szCs w:val="24"/>
        </w:rPr>
        <w:t>T</w:t>
      </w:r>
      <w:r w:rsidRPr="007B054C">
        <w:t>he manner in which disputes are resolved between the parties</w:t>
      </w:r>
      <w:r>
        <w:t xml:space="preserve"> </w:t>
      </w:r>
      <w:r w:rsidRPr="007B054C">
        <w:t>inevitably i</w:t>
      </w:r>
      <w:r>
        <w:t>mpinges upon their relationship, and t</w:t>
      </w:r>
      <w:r>
        <w:rPr>
          <w:rFonts w:eastAsia="Times New Roman"/>
          <w:szCs w:val="24"/>
          <w:lang w:val="en-US"/>
        </w:rPr>
        <w:t xml:space="preserve">iming is important; different forms of decision-making seem appropriate at different stages in the relationship. </w:t>
      </w:r>
      <w:r w:rsidRPr="00E75F96">
        <w:rPr>
          <w:rFonts w:eastAsia="Calibri"/>
          <w:szCs w:val="24"/>
        </w:rPr>
        <w:t>This recalls the RCT vocabulary of the ‘relationship-preserving norms’ employed in successful contractual relationships, and t</w:t>
      </w:r>
      <w:r>
        <w:rPr>
          <w:rFonts w:eastAsia="Calibri"/>
          <w:szCs w:val="24"/>
        </w:rPr>
        <w:t xml:space="preserve">he contrasting ‘end-game norms’ </w:t>
      </w:r>
      <w:r w:rsidRPr="00E75F96">
        <w:rPr>
          <w:rFonts w:eastAsia="Calibri"/>
          <w:szCs w:val="24"/>
        </w:rPr>
        <w:t>which are prioritised when bringing the contract to an end.</w:t>
      </w:r>
      <w:r>
        <w:rPr>
          <w:rStyle w:val="FootnoteReference"/>
          <w:rFonts w:eastAsia="Calibri"/>
          <w:szCs w:val="24"/>
        </w:rPr>
        <w:footnoteReference w:id="139"/>
      </w:r>
      <w:r w:rsidRPr="00E75F96">
        <w:rPr>
          <w:rFonts w:eastAsia="Calibri"/>
          <w:szCs w:val="24"/>
        </w:rPr>
        <w:t xml:space="preserve">  In many enduring property relations, </w:t>
      </w:r>
      <w:r w:rsidRPr="001E0572">
        <w:t xml:space="preserve">informal </w:t>
      </w:r>
      <w:r>
        <w:t xml:space="preserve">decision-making </w:t>
      </w:r>
      <w:r w:rsidRPr="001E0572">
        <w:t>(enforcement by the parties</w:t>
      </w:r>
      <w:r w:rsidR="00241FCC">
        <w:t>’</w:t>
      </w:r>
      <w:r w:rsidRPr="001E0572">
        <w:t xml:space="preserve"> actions alone) </w:t>
      </w:r>
      <w:r>
        <w:rPr>
          <w:szCs w:val="24"/>
        </w:rPr>
        <w:t>is</w:t>
      </w:r>
      <w:r w:rsidRPr="001E0572">
        <w:t xml:space="preserve"> ‘braid</w:t>
      </w:r>
      <w:r>
        <w:t>ed</w:t>
      </w:r>
      <w:r w:rsidRPr="001E0572">
        <w:t>’</w:t>
      </w:r>
      <w:r w:rsidRPr="001E0572">
        <w:rPr>
          <w:rStyle w:val="FootnoteReference"/>
        </w:rPr>
        <w:footnoteReference w:id="140"/>
      </w:r>
      <w:r w:rsidRPr="001E0572">
        <w:t xml:space="preserve"> </w:t>
      </w:r>
      <w:r>
        <w:t>with</w:t>
      </w:r>
      <w:r w:rsidRPr="001E0572">
        <w:t xml:space="preserve"> the formal (</w:t>
      </w:r>
      <w:r>
        <w:t>taking the dispute to an external decision-maker,</w:t>
      </w:r>
      <w:r w:rsidRPr="007B054C">
        <w:t xml:space="preserve"> </w:t>
      </w:r>
      <w:r w:rsidRPr="001E0572">
        <w:t>to assist performance and provide remedies)</w:t>
      </w:r>
      <w:r>
        <w:t>.</w:t>
      </w:r>
      <w:r w:rsidRPr="001E0572">
        <w:t xml:space="preserve"> </w:t>
      </w:r>
      <w:r>
        <w:rPr>
          <w:rFonts w:eastAsia="Cambria"/>
          <w:szCs w:val="24"/>
          <w:lang w:val="en-US"/>
        </w:rPr>
        <w:t>At those residential leasehold sites which successfully rely on close relations and trust between residents to ensure that rules are followed</w:t>
      </w:r>
      <w:r w:rsidR="00123FE5">
        <w:rPr>
          <w:rFonts w:eastAsia="Cambria"/>
          <w:szCs w:val="24"/>
          <w:lang w:val="en-US"/>
        </w:rPr>
        <w:t>,</w:t>
      </w:r>
      <w:r>
        <w:rPr>
          <w:rFonts w:eastAsia="Cambria"/>
          <w:szCs w:val="24"/>
          <w:lang w:val="en-US"/>
        </w:rPr>
        <w:t xml:space="preserve"> social sanctions are often effective to ensure compliance with </w:t>
      </w:r>
      <w:r>
        <w:rPr>
          <w:rFonts w:eastAsia="Cambria"/>
          <w:i/>
          <w:szCs w:val="24"/>
          <w:lang w:val="en-US"/>
        </w:rPr>
        <w:t>de facto</w:t>
      </w:r>
      <w:r>
        <w:rPr>
          <w:rFonts w:eastAsia="Cambria"/>
          <w:szCs w:val="24"/>
          <w:lang w:val="en-US"/>
        </w:rPr>
        <w:t xml:space="preserve"> rights and duties.</w:t>
      </w:r>
      <w:r>
        <w:rPr>
          <w:rFonts w:eastAsia="Cambria"/>
          <w:szCs w:val="24"/>
          <w:vertAlign w:val="superscript"/>
          <w:lang w:val="en-US"/>
        </w:rPr>
        <w:footnoteReference w:id="141"/>
      </w:r>
      <w:r>
        <w:rPr>
          <w:rFonts w:eastAsia="Cambria"/>
          <w:szCs w:val="24"/>
          <w:lang w:val="en-US"/>
        </w:rPr>
        <w:t xml:space="preserve"> Residents in this type of self-managed governance property may also develop surprisingly formal internal mechanisms for conflict resolution, thus avoiding recourse to external adjudicators.</w:t>
      </w:r>
      <w:r>
        <w:rPr>
          <w:rStyle w:val="FootnoteReference"/>
          <w:rFonts w:eastAsia="Cambria"/>
          <w:szCs w:val="24"/>
          <w:lang w:val="en-US"/>
        </w:rPr>
        <w:footnoteReference w:id="142"/>
      </w:r>
      <w:r>
        <w:rPr>
          <w:rFonts w:eastAsia="Times New Roman"/>
          <w:szCs w:val="24"/>
          <w:lang w:val="en-US"/>
        </w:rPr>
        <w:t xml:space="preserve">  </w:t>
      </w:r>
    </w:p>
    <w:p w:rsidR="00AE7673" w:rsidRPr="007161C1" w:rsidRDefault="00AE7673" w:rsidP="00546FD2">
      <w:pPr>
        <w:spacing w:line="480" w:lineRule="auto"/>
      </w:pPr>
      <w:r>
        <w:t>C</w:t>
      </w:r>
      <w:r w:rsidRPr="007B054C">
        <w:t>ourts, tribunals</w:t>
      </w:r>
      <w:r>
        <w:t>, ombudsman, regulators</w:t>
      </w:r>
      <w:r w:rsidRPr="007B054C">
        <w:t xml:space="preserve"> and mediators</w:t>
      </w:r>
      <w:r>
        <w:t xml:space="preserve"> -</w:t>
      </w:r>
      <w:r w:rsidRPr="007B054C">
        <w:t xml:space="preserve"> as potential </w:t>
      </w:r>
      <w:r>
        <w:t xml:space="preserve">external </w:t>
      </w:r>
      <w:r w:rsidR="00241FCC">
        <w:t>‘</w:t>
      </w:r>
      <w:r w:rsidRPr="007B054C">
        <w:t>agents of settlement</w:t>
      </w:r>
      <w:r w:rsidR="00241FCC">
        <w:t>’</w:t>
      </w:r>
      <w:r w:rsidRPr="007B054C">
        <w:rPr>
          <w:rStyle w:val="FootnoteReference"/>
        </w:rPr>
        <w:footnoteReference w:id="143"/>
      </w:r>
      <w:r w:rsidRPr="007B054C">
        <w:t xml:space="preserve"> </w:t>
      </w:r>
      <w:r>
        <w:t xml:space="preserve">- </w:t>
      </w:r>
      <w:r w:rsidRPr="007B054C">
        <w:t>may</w:t>
      </w:r>
      <w:r>
        <w:t xml:space="preserve"> be able t</w:t>
      </w:r>
      <w:r w:rsidRPr="007B054C">
        <w:t xml:space="preserve">o </w:t>
      </w:r>
      <w:r>
        <w:t xml:space="preserve">recognise and </w:t>
      </w:r>
      <w:r w:rsidRPr="007B054C">
        <w:t>build flexibility into enduring prope</w:t>
      </w:r>
      <w:r>
        <w:t xml:space="preserve">rty relations but their capacity to do so is variable. </w:t>
      </w:r>
      <w:r w:rsidR="007166D2">
        <w:t xml:space="preserve">It </w:t>
      </w:r>
      <w:r>
        <w:t xml:space="preserve">is clearly possible where </w:t>
      </w:r>
      <w:r w:rsidR="001A7643">
        <w:t>an</w:t>
      </w:r>
      <w:r w:rsidR="00F22AFF">
        <w:t xml:space="preserve"> </w:t>
      </w:r>
      <w:r>
        <w:t xml:space="preserve">agent </w:t>
      </w:r>
      <w:r w:rsidR="00F22AFF">
        <w:t xml:space="preserve">of </w:t>
      </w:r>
      <w:r>
        <w:t>settlement</w:t>
      </w:r>
      <w:r w:rsidR="00F22AFF">
        <w:t xml:space="preserve"> </w:t>
      </w:r>
      <w:r>
        <w:t xml:space="preserve">has executive powers to set, monitor and enforce norms of behaviour (for instance, the FCA as regulator) or where they </w:t>
      </w:r>
      <w:r w:rsidRPr="007C0EF0">
        <w:t>are not constrained by</w:t>
      </w:r>
      <w:r w:rsidR="00905515" w:rsidRPr="007C0EF0">
        <w:t xml:space="preserve"> formal legal rules </w:t>
      </w:r>
      <w:r w:rsidRPr="007C0EF0">
        <w:t>(for example, mediators). E</w:t>
      </w:r>
      <w:r>
        <w:t>ven s</w:t>
      </w:r>
      <w:r>
        <w:rPr>
          <w:szCs w:val="24"/>
        </w:rPr>
        <w:t xml:space="preserve">ome </w:t>
      </w:r>
      <w:r w:rsidRPr="007B054C">
        <w:rPr>
          <w:szCs w:val="24"/>
        </w:rPr>
        <w:t xml:space="preserve">formal </w:t>
      </w:r>
      <w:r w:rsidRPr="007B054C">
        <w:t xml:space="preserve">remedial powers </w:t>
      </w:r>
      <w:r>
        <w:t xml:space="preserve">are </w:t>
      </w:r>
      <w:r w:rsidRPr="007B054C">
        <w:t>couched in the language of disc</w:t>
      </w:r>
      <w:r>
        <w:t xml:space="preserve">retion in a manner that is designed to enable courts, when appropriate, </w:t>
      </w:r>
      <w:r w:rsidRPr="007B054C">
        <w:t xml:space="preserve">to ensure the preservation of enduring property relations. For example, leases can be ‘saved’ when relief </w:t>
      </w:r>
      <w:r>
        <w:t xml:space="preserve">against forfeiture </w:t>
      </w:r>
      <w:r w:rsidRPr="007B054C">
        <w:t>is ordered</w:t>
      </w:r>
      <w:r w:rsidR="00155BD4">
        <w:t>,</w:t>
      </w:r>
      <w:r w:rsidRPr="007B054C">
        <w:rPr>
          <w:rStyle w:val="FootnoteReference"/>
        </w:rPr>
        <w:footnoteReference w:id="144"/>
      </w:r>
      <w:r w:rsidRPr="007B054C">
        <w:t xml:space="preserve"> </w:t>
      </w:r>
      <w:r w:rsidR="00155BD4">
        <w:t xml:space="preserve">and </w:t>
      </w:r>
      <w:r>
        <w:t xml:space="preserve">the </w:t>
      </w:r>
      <w:r w:rsidRPr="007B054C">
        <w:t xml:space="preserve">mortgagee’s right to possession </w:t>
      </w:r>
      <w:r>
        <w:t xml:space="preserve">may be </w:t>
      </w:r>
      <w:r w:rsidRPr="007B054C">
        <w:t xml:space="preserve">delayed </w:t>
      </w:r>
      <w:r>
        <w:t xml:space="preserve">by the forbearance measures already explained. </w:t>
      </w:r>
    </w:p>
    <w:p w:rsidR="001C19E8" w:rsidRPr="001C19E8" w:rsidRDefault="00AE7673" w:rsidP="00546FD2">
      <w:pPr>
        <w:tabs>
          <w:tab w:val="left" w:pos="5670"/>
        </w:tabs>
        <w:spacing w:line="480" w:lineRule="auto"/>
        <w:rPr>
          <w:rFonts w:eastAsia="Cambria"/>
          <w:szCs w:val="24"/>
        </w:rPr>
      </w:pPr>
      <w:r w:rsidRPr="007B054C">
        <w:rPr>
          <w:rFonts w:eastAsia="Times New Roman"/>
        </w:rPr>
        <w:t xml:space="preserve">Our perspective pays attention to </w:t>
      </w:r>
      <w:r>
        <w:rPr>
          <w:rFonts w:eastAsia="Times New Roman"/>
        </w:rPr>
        <w:t>Rose’s</w:t>
      </w:r>
      <w:r w:rsidRPr="007B054C">
        <w:rPr>
          <w:rFonts w:eastAsia="Times New Roman"/>
        </w:rPr>
        <w:t xml:space="preserve"> insight</w:t>
      </w:r>
      <w:r>
        <w:t xml:space="preserve"> that j</w:t>
      </w:r>
      <w:r w:rsidRPr="00370268">
        <w:t xml:space="preserve">udges, who have to examine facts </w:t>
      </w:r>
      <w:r w:rsidRPr="000629B2">
        <w:rPr>
          <w:i/>
        </w:rPr>
        <w:t>post hoc</w:t>
      </w:r>
      <w:r w:rsidRPr="00370268">
        <w:t xml:space="preserve">, tend to lean towards </w:t>
      </w:r>
      <w:r w:rsidR="00241FCC">
        <w:t>‘</w:t>
      </w:r>
      <w:r w:rsidRPr="00370268">
        <w:t>mud</w:t>
      </w:r>
      <w:r w:rsidR="00241FCC">
        <w:t>’</w:t>
      </w:r>
      <w:r w:rsidRPr="00370268">
        <w:t xml:space="preserve"> rules – applicable to individual circumstances and/or not obvious until litigated - when asked to adjudicate on property rights which have been readjusted by social understandings or where the power imbalance between the parties is inequitable.</w:t>
      </w:r>
      <w:r w:rsidRPr="00370268">
        <w:rPr>
          <w:vertAlign w:val="superscript"/>
        </w:rPr>
        <w:footnoteReference w:id="145"/>
      </w:r>
      <w:r>
        <w:rPr>
          <w:rFonts w:eastAsia="Times New Roman"/>
        </w:rPr>
        <w:t xml:space="preserve"> </w:t>
      </w:r>
      <w:r w:rsidRPr="007B054C">
        <w:rPr>
          <w:rFonts w:eastAsia="Times New Roman"/>
        </w:rPr>
        <w:t xml:space="preserve"> </w:t>
      </w:r>
      <w:r w:rsidR="000751D0">
        <w:rPr>
          <w:rFonts w:eastAsia="Times New Roman"/>
        </w:rPr>
        <w:t>More</w:t>
      </w:r>
      <w:r w:rsidR="000751D0" w:rsidRPr="007B054C">
        <w:rPr>
          <w:rFonts w:eastAsia="Times New Roman"/>
        </w:rPr>
        <w:t xml:space="preserve"> recent US property scholarship has </w:t>
      </w:r>
      <w:r w:rsidR="000751D0">
        <w:rPr>
          <w:rFonts w:eastAsia="Times New Roman"/>
        </w:rPr>
        <w:t xml:space="preserve">also, </w:t>
      </w:r>
      <w:r w:rsidR="000751D0" w:rsidRPr="007B054C">
        <w:rPr>
          <w:rFonts w:eastAsia="Times New Roman"/>
        </w:rPr>
        <w:t>at least partially</w:t>
      </w:r>
      <w:r w:rsidR="000751D0">
        <w:rPr>
          <w:rFonts w:eastAsia="Times New Roman"/>
        </w:rPr>
        <w:t>,</w:t>
      </w:r>
      <w:r w:rsidR="000751D0" w:rsidRPr="007B054C">
        <w:rPr>
          <w:rFonts w:eastAsia="Times New Roman"/>
        </w:rPr>
        <w:t xml:space="preserve"> </w:t>
      </w:r>
      <w:r w:rsidR="000751D0">
        <w:rPr>
          <w:rFonts w:eastAsia="Times New Roman"/>
        </w:rPr>
        <w:t xml:space="preserve">recognised </w:t>
      </w:r>
      <w:r w:rsidR="000751D0" w:rsidRPr="007B054C">
        <w:rPr>
          <w:rFonts w:eastAsia="Times New Roman"/>
        </w:rPr>
        <w:t>this</w:t>
      </w:r>
      <w:r w:rsidR="000751D0">
        <w:rPr>
          <w:rFonts w:eastAsia="Times New Roman"/>
        </w:rPr>
        <w:t xml:space="preserve"> with</w:t>
      </w:r>
      <w:r w:rsidR="000751D0" w:rsidRPr="007B054C">
        <w:rPr>
          <w:rFonts w:eastAsia="Times New Roman"/>
        </w:rPr>
        <w:t xml:space="preserve"> </w:t>
      </w:r>
      <w:r w:rsidR="000751D0" w:rsidRPr="007B054C">
        <w:rPr>
          <w:szCs w:val="24"/>
        </w:rPr>
        <w:t xml:space="preserve">Gerhart </w:t>
      </w:r>
      <w:r w:rsidR="000751D0">
        <w:rPr>
          <w:szCs w:val="24"/>
        </w:rPr>
        <w:t xml:space="preserve">considering </w:t>
      </w:r>
      <w:r w:rsidR="000751D0" w:rsidRPr="007B054C">
        <w:rPr>
          <w:color w:val="1F1F1E"/>
        </w:rPr>
        <w:t xml:space="preserve">judicial decisions </w:t>
      </w:r>
      <w:r w:rsidR="000751D0" w:rsidRPr="007B054C">
        <w:rPr>
          <w:szCs w:val="24"/>
        </w:rPr>
        <w:t>through the lens of</w:t>
      </w:r>
      <w:r w:rsidR="000751D0" w:rsidRPr="007B054C">
        <w:rPr>
          <w:color w:val="1F1F1E"/>
        </w:rPr>
        <w:t xml:space="preserve"> socially constructed property obligations owed to others.</w:t>
      </w:r>
      <w:r w:rsidR="000751D0" w:rsidRPr="007B054C">
        <w:rPr>
          <w:rStyle w:val="FootnoteReference"/>
          <w:color w:val="1F1F1E"/>
        </w:rPr>
        <w:footnoteReference w:id="146"/>
      </w:r>
      <w:r w:rsidR="000751D0" w:rsidRPr="007B054C">
        <w:rPr>
          <w:szCs w:val="24"/>
        </w:rPr>
        <w:t xml:space="preserve"> </w:t>
      </w:r>
      <w:r>
        <w:rPr>
          <w:szCs w:val="24"/>
        </w:rPr>
        <w:t xml:space="preserve">At first instance there is frequently </w:t>
      </w:r>
      <w:r w:rsidR="000751D0">
        <w:rPr>
          <w:szCs w:val="24"/>
        </w:rPr>
        <w:t xml:space="preserve">more </w:t>
      </w:r>
      <w:r>
        <w:rPr>
          <w:szCs w:val="24"/>
        </w:rPr>
        <w:t>scope for discretion</w:t>
      </w:r>
      <w:r w:rsidR="007C0EF0">
        <w:rPr>
          <w:szCs w:val="24"/>
        </w:rPr>
        <w:t>,</w:t>
      </w:r>
      <w:r>
        <w:rPr>
          <w:rFonts w:eastAsia="Cambria"/>
          <w:szCs w:val="24"/>
          <w:vertAlign w:val="superscript"/>
        </w:rPr>
        <w:footnoteReference w:id="147"/>
      </w:r>
      <w:r w:rsidR="00155BD4">
        <w:rPr>
          <w:szCs w:val="24"/>
        </w:rPr>
        <w:t xml:space="preserve"> with</w:t>
      </w:r>
      <w:r w:rsidRPr="00CF3E25">
        <w:rPr>
          <w:szCs w:val="24"/>
        </w:rPr>
        <w:t xml:space="preserve"> many illustrations of decision-makers acknowledging the mud-like reality of lived </w:t>
      </w:r>
      <w:r>
        <w:rPr>
          <w:szCs w:val="24"/>
        </w:rPr>
        <w:t xml:space="preserve">and enduring </w:t>
      </w:r>
      <w:r w:rsidRPr="00CF3E25">
        <w:rPr>
          <w:szCs w:val="24"/>
        </w:rPr>
        <w:t>property relationships</w:t>
      </w:r>
      <w:r w:rsidRPr="00CF3E25">
        <w:rPr>
          <w:rFonts w:eastAsia="Times New Roman"/>
          <w:szCs w:val="24"/>
          <w:lang w:val="en-US"/>
        </w:rPr>
        <w:t xml:space="preserve">. </w:t>
      </w:r>
      <w:r>
        <w:t>Analysis of judicial decisions in ‘neighbour law’ cases has shown that in common law jurisdictions, there is evidence of a move to take into account the parties’ conduct and understandings in addition to their strictly legal entitlements.</w:t>
      </w:r>
      <w:r>
        <w:rPr>
          <w:rStyle w:val="FootnoteReference"/>
        </w:rPr>
        <w:footnoteReference w:id="148"/>
      </w:r>
      <w:r>
        <w:t xml:space="preserve"> </w:t>
      </w:r>
      <w:r>
        <w:rPr>
          <w:rFonts w:eastAsia="Times New Roman"/>
          <w:szCs w:val="24"/>
          <w:lang w:val="en-US"/>
        </w:rPr>
        <w:t xml:space="preserve">For example, </w:t>
      </w:r>
      <w:r>
        <w:rPr>
          <w:rFonts w:eastAsia="Cambria"/>
          <w:szCs w:val="24"/>
        </w:rPr>
        <w:t>in establishing physical boundaries the courts can take account of ‘the subsequent conduct of the parties’</w:t>
      </w:r>
      <w:r w:rsidR="0005520C">
        <w:rPr>
          <w:rFonts w:eastAsia="Cambria"/>
          <w:szCs w:val="24"/>
        </w:rPr>
        <w:t>.</w:t>
      </w:r>
      <w:r>
        <w:rPr>
          <w:rStyle w:val="FootnoteReference"/>
          <w:rFonts w:eastAsia="Cambria"/>
          <w:szCs w:val="24"/>
        </w:rPr>
        <w:footnoteReference w:id="149"/>
      </w:r>
      <w:r>
        <w:rPr>
          <w:rFonts w:eastAsia="Cambria"/>
          <w:szCs w:val="24"/>
        </w:rPr>
        <w:t xml:space="preserve"> </w:t>
      </w:r>
      <w:r w:rsidR="0005520C">
        <w:rPr>
          <w:rFonts w:eastAsia="Cambria"/>
          <w:szCs w:val="24"/>
        </w:rPr>
        <w:t xml:space="preserve"> </w:t>
      </w:r>
      <w:r w:rsidR="000751D0">
        <w:rPr>
          <w:rFonts w:eastAsia="Cambria"/>
          <w:szCs w:val="24"/>
        </w:rPr>
        <w:t xml:space="preserve">Nevertheless, rules of construction can constrain judges in recognising lived experiences. </w:t>
      </w:r>
      <w:r w:rsidR="00167400">
        <w:rPr>
          <w:rFonts w:eastAsia="Cambria"/>
          <w:szCs w:val="24"/>
        </w:rPr>
        <w:t>In contrast to boundary agreements, a</w:t>
      </w:r>
      <w:r w:rsidR="000751D0">
        <w:rPr>
          <w:rFonts w:eastAsia="Cambria"/>
          <w:szCs w:val="24"/>
        </w:rPr>
        <w:t xml:space="preserve">n easement is construed </w:t>
      </w:r>
      <w:r w:rsidR="004B6D19">
        <w:rPr>
          <w:rFonts w:eastAsia="Cambria"/>
          <w:szCs w:val="24"/>
        </w:rPr>
        <w:t xml:space="preserve">according to its wording and meaning </w:t>
      </w:r>
      <w:r w:rsidR="000751D0">
        <w:rPr>
          <w:rFonts w:eastAsia="Cambria"/>
          <w:szCs w:val="24"/>
        </w:rPr>
        <w:t>at the time of its grant</w:t>
      </w:r>
      <w:r w:rsidR="001C19E8">
        <w:rPr>
          <w:rFonts w:eastAsia="Cambria"/>
          <w:szCs w:val="24"/>
        </w:rPr>
        <w:t>,</w:t>
      </w:r>
      <w:r w:rsidR="000751D0">
        <w:rPr>
          <w:rFonts w:eastAsia="Cambria"/>
          <w:szCs w:val="24"/>
        </w:rPr>
        <w:t xml:space="preserve"> </w:t>
      </w:r>
      <w:r w:rsidR="001C19E8">
        <w:rPr>
          <w:rFonts w:eastAsia="Cambria"/>
          <w:szCs w:val="24"/>
        </w:rPr>
        <w:t xml:space="preserve">despite its enduring nature, so </w:t>
      </w:r>
      <w:r w:rsidR="00167400">
        <w:rPr>
          <w:rFonts w:eastAsia="Cambria"/>
          <w:szCs w:val="24"/>
        </w:rPr>
        <w:t>if t</w:t>
      </w:r>
      <w:r w:rsidR="001C19E8">
        <w:rPr>
          <w:rFonts w:eastAsia="Cambria"/>
          <w:szCs w:val="24"/>
        </w:rPr>
        <w:t xml:space="preserve">he right </w:t>
      </w:r>
      <w:r w:rsidR="00155BD4">
        <w:rPr>
          <w:rFonts w:eastAsia="Cambria"/>
          <w:szCs w:val="24"/>
        </w:rPr>
        <w:t xml:space="preserve">was </w:t>
      </w:r>
      <w:r w:rsidR="001C19E8">
        <w:rPr>
          <w:rFonts w:eastAsia="Cambria"/>
          <w:szCs w:val="24"/>
        </w:rPr>
        <w:t xml:space="preserve">precisely </w:t>
      </w:r>
      <w:r w:rsidR="000751D0">
        <w:rPr>
          <w:rFonts w:eastAsia="Cambria"/>
          <w:szCs w:val="24"/>
        </w:rPr>
        <w:t xml:space="preserve">defined </w:t>
      </w:r>
      <w:r w:rsidR="001C19E8">
        <w:rPr>
          <w:rFonts w:eastAsia="Cambria"/>
          <w:szCs w:val="24"/>
        </w:rPr>
        <w:t xml:space="preserve">there is often little latitude to take account of changes </w:t>
      </w:r>
      <w:r w:rsidR="00167400">
        <w:rPr>
          <w:rFonts w:eastAsia="Cambria"/>
          <w:szCs w:val="24"/>
        </w:rPr>
        <w:t xml:space="preserve">in use or subsequent conduct when </w:t>
      </w:r>
      <w:r w:rsidR="006C6171">
        <w:rPr>
          <w:rFonts w:eastAsia="Cambria"/>
          <w:szCs w:val="24"/>
        </w:rPr>
        <w:t>interpreting the grant itself</w:t>
      </w:r>
      <w:r w:rsidR="001C19E8">
        <w:rPr>
          <w:rFonts w:eastAsia="Cambria"/>
          <w:szCs w:val="24"/>
        </w:rPr>
        <w:t xml:space="preserve">. </w:t>
      </w:r>
      <w:r w:rsidR="006C6171">
        <w:rPr>
          <w:rFonts w:eastAsia="Cambria"/>
          <w:szCs w:val="24"/>
        </w:rPr>
        <w:t>A</w:t>
      </w:r>
      <w:r w:rsidR="001C19E8">
        <w:rPr>
          <w:rFonts w:eastAsia="Cambria"/>
          <w:szCs w:val="24"/>
        </w:rPr>
        <w:t xml:space="preserve">s </w:t>
      </w:r>
      <w:r w:rsidR="001C19E8">
        <w:rPr>
          <w:rFonts w:eastAsia="Cambria"/>
          <w:i/>
          <w:szCs w:val="24"/>
        </w:rPr>
        <w:t xml:space="preserve">Bradley </w:t>
      </w:r>
      <w:r w:rsidR="001C19E8">
        <w:rPr>
          <w:rFonts w:eastAsia="Cambria"/>
          <w:szCs w:val="24"/>
        </w:rPr>
        <w:t>demonstrates</w:t>
      </w:r>
      <w:r w:rsidR="006C6171">
        <w:rPr>
          <w:rFonts w:eastAsia="Cambria"/>
          <w:szCs w:val="24"/>
        </w:rPr>
        <w:t>,</w:t>
      </w:r>
      <w:r w:rsidR="001C19E8">
        <w:rPr>
          <w:rFonts w:eastAsia="Cambria"/>
          <w:szCs w:val="24"/>
        </w:rPr>
        <w:t xml:space="preserve"> the court </w:t>
      </w:r>
      <w:r w:rsidR="006C6171">
        <w:rPr>
          <w:rFonts w:eastAsia="Cambria"/>
          <w:szCs w:val="24"/>
        </w:rPr>
        <w:t>will</w:t>
      </w:r>
      <w:r w:rsidR="00F3599A">
        <w:rPr>
          <w:rFonts w:eastAsia="Cambria"/>
          <w:szCs w:val="24"/>
        </w:rPr>
        <w:t xml:space="preserve"> then</w:t>
      </w:r>
      <w:r w:rsidR="006C6171">
        <w:rPr>
          <w:rFonts w:eastAsia="Cambria"/>
          <w:szCs w:val="24"/>
        </w:rPr>
        <w:t xml:space="preserve"> have to look t</w:t>
      </w:r>
      <w:r w:rsidR="005F6831">
        <w:rPr>
          <w:rFonts w:eastAsia="Cambria"/>
          <w:szCs w:val="24"/>
        </w:rPr>
        <w:t>o</w:t>
      </w:r>
      <w:r w:rsidR="006C6171">
        <w:rPr>
          <w:rFonts w:eastAsia="Cambria"/>
          <w:szCs w:val="24"/>
        </w:rPr>
        <w:t xml:space="preserve"> other tools.  </w:t>
      </w:r>
    </w:p>
    <w:p w:rsidR="00AE7673" w:rsidRDefault="00AE7673" w:rsidP="00546FD2">
      <w:pPr>
        <w:spacing w:line="480" w:lineRule="auto"/>
        <w:ind w:right="-46"/>
      </w:pPr>
      <w:r>
        <w:t>‘</w:t>
      </w:r>
      <w:r w:rsidR="007166D2">
        <w:t>M</w:t>
      </w:r>
      <w:r>
        <w:t xml:space="preserve">uddy’ decisions raise the question of reliance and expectation. </w:t>
      </w:r>
      <w:r w:rsidRPr="00370268">
        <w:t xml:space="preserve">Davidson </w:t>
      </w:r>
      <w:r>
        <w:t>reworks</w:t>
      </w:r>
      <w:r w:rsidRPr="00370268">
        <w:t xml:space="preserve"> the presumption that settled expectations should have priority</w:t>
      </w:r>
      <w:r>
        <w:t>,</w:t>
      </w:r>
      <w:r w:rsidRPr="00370268">
        <w:t xml:space="preserve"> to assert </w:t>
      </w:r>
      <w:r>
        <w:t>the importance of flexibility in the</w:t>
      </w:r>
      <w:r w:rsidRPr="00370268">
        <w:t xml:space="preserve"> law</w:t>
      </w:r>
      <w:r>
        <w:t>,</w:t>
      </w:r>
      <w:r w:rsidRPr="00370268">
        <w:t xml:space="preserve"> if and when required</w:t>
      </w:r>
      <w:r>
        <w:t xml:space="preserve">: </w:t>
      </w:r>
    </w:p>
    <w:p w:rsidR="00AE7673" w:rsidRDefault="00AE7673" w:rsidP="00546FD2">
      <w:pPr>
        <w:spacing w:line="480" w:lineRule="auto"/>
        <w:ind w:left="567" w:right="515"/>
      </w:pPr>
      <w:r w:rsidRPr="00370268">
        <w:t>property rights are dynamic not only in reacting after the fact as the world changes but also, crucially, in making clear that people can have some confidence from the start that when problems emerge, the system they are contemplating entering will not grind its inexorable way forward unmindful of change.</w:t>
      </w:r>
      <w:r w:rsidRPr="00370268">
        <w:rPr>
          <w:vertAlign w:val="superscript"/>
        </w:rPr>
        <w:footnoteReference w:id="150"/>
      </w:r>
      <w:r w:rsidRPr="00370268">
        <w:t xml:space="preserve"> </w:t>
      </w:r>
      <w:r>
        <w:t xml:space="preserve"> </w:t>
      </w:r>
    </w:p>
    <w:p w:rsidR="00A801EF" w:rsidRDefault="00AE7673" w:rsidP="00546FD2">
      <w:pPr>
        <w:spacing w:line="480" w:lineRule="auto"/>
        <w:ind w:right="-46"/>
      </w:pPr>
      <w:r>
        <w:t xml:space="preserve">In other words, </w:t>
      </w:r>
      <w:r w:rsidRPr="00370268">
        <w:t xml:space="preserve">responsiveness </w:t>
      </w:r>
      <w:r>
        <w:t>in certain circumstances is</w:t>
      </w:r>
      <w:r w:rsidRPr="00370268">
        <w:t xml:space="preserve"> as important as </w:t>
      </w:r>
      <w:r>
        <w:t>crystal rules</w:t>
      </w:r>
      <w:r w:rsidRPr="00370268">
        <w:t xml:space="preserve"> </w:t>
      </w:r>
      <w:r>
        <w:t xml:space="preserve">and may contribute to </w:t>
      </w:r>
      <w:r w:rsidRPr="00370268">
        <w:t>stability</w:t>
      </w:r>
      <w:r>
        <w:t xml:space="preserve"> within a dynamic relationship</w:t>
      </w:r>
      <w:r w:rsidR="001B442E">
        <w:t>.</w:t>
      </w:r>
      <w:r w:rsidR="001B442E" w:rsidRPr="001B442E">
        <w:t xml:space="preserve"> </w:t>
      </w:r>
      <w:r w:rsidR="00A801EF" w:rsidRPr="007C0EF0">
        <w:t>For example, in the field of European employment law, t</w:t>
      </w:r>
      <w:r w:rsidR="001B442E" w:rsidRPr="007C0EF0">
        <w:t>he concept of ‘Flexicurity’</w:t>
      </w:r>
      <w:r w:rsidR="00A801EF" w:rsidRPr="007C0EF0">
        <w:t xml:space="preserve"> </w:t>
      </w:r>
      <w:r w:rsidR="001B442E" w:rsidRPr="007C0EF0">
        <w:t xml:space="preserve">has been developed, in </w:t>
      </w:r>
      <w:r w:rsidRPr="007C0EF0">
        <w:t>recogni</w:t>
      </w:r>
      <w:r w:rsidR="001B442E" w:rsidRPr="007C0EF0">
        <w:t>tion</w:t>
      </w:r>
      <w:r w:rsidRPr="007C0EF0">
        <w:t xml:space="preserve"> that </w:t>
      </w:r>
      <w:r w:rsidR="00A801EF" w:rsidRPr="007C0EF0">
        <w:t xml:space="preserve">contractual arrangements which are both </w:t>
      </w:r>
      <w:r w:rsidRPr="007C0EF0">
        <w:t>flexib</w:t>
      </w:r>
      <w:r w:rsidR="00A801EF" w:rsidRPr="007C0EF0">
        <w:t xml:space="preserve">le and reliable </w:t>
      </w:r>
      <w:r w:rsidRPr="007C0EF0">
        <w:t>can enhance stability and security</w:t>
      </w:r>
      <w:r w:rsidR="001B442E" w:rsidRPr="007C0EF0">
        <w:t>.</w:t>
      </w:r>
      <w:r w:rsidR="00A801EF" w:rsidRPr="007C0EF0">
        <w:rPr>
          <w:rStyle w:val="FootnoteReference"/>
        </w:rPr>
        <w:footnoteReference w:id="151"/>
      </w:r>
      <w:r w:rsidR="001B442E" w:rsidDel="001B442E">
        <w:rPr>
          <w:rStyle w:val="FootnoteReference"/>
        </w:rPr>
        <w:t xml:space="preserve"> </w:t>
      </w:r>
    </w:p>
    <w:p w:rsidR="001B442E" w:rsidRDefault="00AE7673" w:rsidP="00546FD2">
      <w:pPr>
        <w:spacing w:line="480" w:lineRule="auto"/>
        <w:ind w:right="-46"/>
        <w:rPr>
          <w:szCs w:val="24"/>
        </w:rPr>
      </w:pPr>
      <w:r>
        <w:rPr>
          <w:rFonts w:eastAsia="Cambria"/>
          <w:szCs w:val="24"/>
        </w:rPr>
        <w:t>Disputes over property claims which are at least partly founded in self-generated norms and expectations may pose particular problems as t</w:t>
      </w:r>
      <w:r>
        <w:rPr>
          <w:szCs w:val="24"/>
        </w:rPr>
        <w:t>hese understandings and practices, developed by parties over time, are likely to undermine the clarity of property.</w:t>
      </w:r>
      <w:r>
        <w:rPr>
          <w:rStyle w:val="FootnoteReference"/>
          <w:szCs w:val="24"/>
        </w:rPr>
        <w:footnoteReference w:id="152"/>
      </w:r>
      <w:r>
        <w:rPr>
          <w:szCs w:val="24"/>
        </w:rPr>
        <w:t xml:space="preserve"> They can behave like property, and </w:t>
      </w:r>
      <w:r>
        <w:rPr>
          <w:rFonts w:eastAsia="Times New Roman"/>
          <w:szCs w:val="24"/>
        </w:rPr>
        <w:t xml:space="preserve">once settled or adjudicated, solutions moulded from ‘mud’ may be transformed into ‘crystallised’ rights. </w:t>
      </w:r>
      <w:r w:rsidR="001B442E">
        <w:rPr>
          <w:szCs w:val="24"/>
        </w:rPr>
        <w:t>Self-generated norms then acquire proprietary effect.</w:t>
      </w:r>
    </w:p>
    <w:p w:rsidR="00AE7673" w:rsidRPr="00D7685A" w:rsidRDefault="00F35F9D" w:rsidP="00546FD2">
      <w:pPr>
        <w:spacing w:line="480" w:lineRule="auto"/>
        <w:ind w:right="-46"/>
        <w:rPr>
          <w:rFonts w:eastAsia="Times New Roman"/>
          <w:szCs w:val="24"/>
          <w:lang w:val="en-US"/>
        </w:rPr>
      </w:pPr>
      <w:r>
        <w:rPr>
          <w:rFonts w:eastAsia="Times New Roman"/>
          <w:szCs w:val="24"/>
          <w:lang w:val="en-US"/>
        </w:rPr>
        <w:t>T</w:t>
      </w:r>
      <w:r w:rsidR="001B442E">
        <w:rPr>
          <w:rFonts w:eastAsia="Times New Roman"/>
          <w:szCs w:val="24"/>
          <w:lang w:val="en-US"/>
        </w:rPr>
        <w:t>he development of various (muddy) equitable doctrines has allowed a range of relationship</w:t>
      </w:r>
      <w:r w:rsidR="00033E5F">
        <w:rPr>
          <w:rFonts w:eastAsia="Times New Roman"/>
          <w:szCs w:val="24"/>
          <w:lang w:val="en-US"/>
        </w:rPr>
        <w:t>-</w:t>
      </w:r>
      <w:r w:rsidR="001B442E">
        <w:rPr>
          <w:rFonts w:eastAsia="Times New Roman"/>
          <w:szCs w:val="24"/>
          <w:lang w:val="en-US"/>
        </w:rPr>
        <w:t>specific factors to ‘</w:t>
      </w:r>
      <w:r w:rsidR="001B442E" w:rsidRPr="00C85178">
        <w:rPr>
          <w:rFonts w:eastAsia="Times New Roman"/>
          <w:szCs w:val="24"/>
        </w:rPr>
        <w:t>soften and mollify the extremity of the law</w:t>
      </w:r>
      <w:r w:rsidR="001B442E">
        <w:rPr>
          <w:rFonts w:eastAsia="Times New Roman"/>
          <w:szCs w:val="24"/>
        </w:rPr>
        <w:t>’.</w:t>
      </w:r>
      <w:r w:rsidR="001B442E">
        <w:rPr>
          <w:rStyle w:val="FootnoteReference"/>
          <w:rFonts w:eastAsia="Times New Roman"/>
          <w:szCs w:val="24"/>
        </w:rPr>
        <w:footnoteReference w:id="153"/>
      </w:r>
      <w:r w:rsidR="001B442E">
        <w:rPr>
          <w:rFonts w:eastAsia="Times New Roman"/>
          <w:szCs w:val="24"/>
        </w:rPr>
        <w:t xml:space="preserve"> </w:t>
      </w:r>
      <w:r w:rsidR="00AE7673">
        <w:rPr>
          <w:rFonts w:eastAsia="Times New Roman"/>
          <w:szCs w:val="24"/>
        </w:rPr>
        <w:t xml:space="preserve">For example, </w:t>
      </w:r>
      <w:r w:rsidR="00AE7673">
        <w:rPr>
          <w:rFonts w:eastAsia="Times New Roman"/>
          <w:szCs w:val="24"/>
          <w:lang w:val="en-US"/>
        </w:rPr>
        <w:t xml:space="preserve">the equitable doctrine of estoppel by convention has been employed to justify deviation from the strict terms governing service charges in a lease, because either both parties had assumed </w:t>
      </w:r>
      <w:r w:rsidR="00CA75C5">
        <w:rPr>
          <w:rFonts w:eastAsia="Times New Roman"/>
          <w:szCs w:val="24"/>
          <w:lang w:val="en-US"/>
        </w:rPr>
        <w:t xml:space="preserve">(wrongly) that </w:t>
      </w:r>
      <w:r w:rsidR="00AE7673">
        <w:rPr>
          <w:rFonts w:eastAsia="Times New Roman"/>
          <w:szCs w:val="24"/>
          <w:lang w:val="en-US"/>
        </w:rPr>
        <w:t>the charges should be calculated on a different basis</w:t>
      </w:r>
      <w:r w:rsidR="00CC5590">
        <w:rPr>
          <w:rFonts w:eastAsia="Times New Roman"/>
          <w:szCs w:val="24"/>
          <w:lang w:val="en-US"/>
        </w:rPr>
        <w:t>,</w:t>
      </w:r>
      <w:r w:rsidR="00AE7673">
        <w:rPr>
          <w:rFonts w:eastAsia="Times New Roman"/>
          <w:szCs w:val="24"/>
          <w:lang w:val="en-US"/>
        </w:rPr>
        <w:t xml:space="preserve"> or one party had done so and the other had acquiesced.</w:t>
      </w:r>
      <w:r w:rsidR="00AE7673">
        <w:rPr>
          <w:rStyle w:val="FootnoteReference"/>
          <w:rFonts w:eastAsia="Times New Roman"/>
          <w:szCs w:val="24"/>
          <w:lang w:val="en-US"/>
        </w:rPr>
        <w:footnoteReference w:id="154"/>
      </w:r>
      <w:r w:rsidR="00AE7673">
        <w:rPr>
          <w:rFonts w:eastAsia="Times New Roman"/>
          <w:szCs w:val="24"/>
          <w:lang w:val="en-US"/>
        </w:rPr>
        <w:t xml:space="preserve">  </w:t>
      </w:r>
      <w:r w:rsidR="00AE7673">
        <w:rPr>
          <w:rFonts w:eastAsia="Cambria"/>
          <w:szCs w:val="24"/>
        </w:rPr>
        <w:t xml:space="preserve">Likewise, although Norris J noted in </w:t>
      </w:r>
      <w:r w:rsidR="00AE7673">
        <w:rPr>
          <w:rFonts w:eastAsia="Cambria"/>
          <w:i/>
          <w:iCs/>
          <w:szCs w:val="24"/>
        </w:rPr>
        <w:t>Bradley</w:t>
      </w:r>
      <w:r w:rsidR="00AE7673">
        <w:rPr>
          <w:rFonts w:eastAsia="Cambria"/>
          <w:szCs w:val="24"/>
        </w:rPr>
        <w:t xml:space="preserve"> that the ‘court cannot write a rulebook for what may or may not be done in every eventuality</w:t>
      </w:r>
      <w:r w:rsidR="00241FCC">
        <w:rPr>
          <w:rFonts w:eastAsia="Cambria"/>
          <w:szCs w:val="24"/>
        </w:rPr>
        <w:t>’</w:t>
      </w:r>
      <w:r w:rsidR="00AE7673">
        <w:rPr>
          <w:rFonts w:eastAsia="Cambria"/>
          <w:szCs w:val="24"/>
          <w:vertAlign w:val="superscript"/>
        </w:rPr>
        <w:footnoteReference w:id="155"/>
      </w:r>
      <w:r w:rsidR="00AE7673">
        <w:rPr>
          <w:rFonts w:eastAsia="Cambria"/>
          <w:szCs w:val="24"/>
        </w:rPr>
        <w:t xml:space="preserve"> a property solution to that dispute </w:t>
      </w:r>
      <w:r w:rsidR="00033E5F">
        <w:rPr>
          <w:rFonts w:eastAsia="Cambria"/>
          <w:szCs w:val="24"/>
        </w:rPr>
        <w:t xml:space="preserve">was found </w:t>
      </w:r>
      <w:r w:rsidR="00AE7673">
        <w:rPr>
          <w:rFonts w:eastAsia="Cambria"/>
          <w:szCs w:val="24"/>
        </w:rPr>
        <w:t xml:space="preserve">by drawing on proprietary estoppel. Proprietary estoppel enables the court to </w:t>
      </w:r>
      <w:r w:rsidR="00AE7673" w:rsidRPr="00B5096B">
        <w:rPr>
          <w:rFonts w:eastAsia="Times New Roman"/>
          <w:szCs w:val="24"/>
        </w:rPr>
        <w:t>examine a range of contextual factors, including self-generated norms, in order to ‘decide’ (or discover</w:t>
      </w:r>
      <w:r w:rsidR="00AE7673" w:rsidRPr="00B5096B">
        <w:rPr>
          <w:rFonts w:eastAsia="Times New Roman"/>
          <w:szCs w:val="24"/>
          <w:vertAlign w:val="superscript"/>
        </w:rPr>
        <w:footnoteReference w:id="156"/>
      </w:r>
      <w:r w:rsidR="00AE7673" w:rsidRPr="00B5096B">
        <w:rPr>
          <w:rFonts w:eastAsia="Times New Roman"/>
          <w:szCs w:val="24"/>
        </w:rPr>
        <w:t>) the parties</w:t>
      </w:r>
      <w:r w:rsidR="00241FCC">
        <w:rPr>
          <w:rFonts w:eastAsia="Times New Roman"/>
          <w:szCs w:val="24"/>
        </w:rPr>
        <w:t>’</w:t>
      </w:r>
      <w:r w:rsidR="00AE7673" w:rsidRPr="00B5096B">
        <w:rPr>
          <w:rFonts w:eastAsia="Times New Roman"/>
          <w:szCs w:val="24"/>
        </w:rPr>
        <w:t xml:space="preserve"> rights</w:t>
      </w:r>
      <w:r w:rsidR="00AE7673">
        <w:rPr>
          <w:rFonts w:eastAsia="Cambria"/>
          <w:szCs w:val="24"/>
        </w:rPr>
        <w:t xml:space="preserve">, and in so doing may </w:t>
      </w:r>
      <w:r w:rsidR="00AE7673" w:rsidRPr="00B5096B">
        <w:rPr>
          <w:rFonts w:eastAsia="Cambria"/>
          <w:szCs w:val="24"/>
        </w:rPr>
        <w:t>recogni</w:t>
      </w:r>
      <w:r w:rsidR="00AE7673">
        <w:rPr>
          <w:rFonts w:eastAsia="Cambria"/>
          <w:szCs w:val="24"/>
        </w:rPr>
        <w:t xml:space="preserve">se </w:t>
      </w:r>
      <w:r w:rsidR="00AE7673" w:rsidRPr="00B5096B">
        <w:rPr>
          <w:rFonts w:eastAsia="Cambria"/>
          <w:szCs w:val="24"/>
        </w:rPr>
        <w:t xml:space="preserve">that </w:t>
      </w:r>
      <w:r w:rsidR="00AE7673">
        <w:rPr>
          <w:szCs w:val="24"/>
        </w:rPr>
        <w:t>‘</w:t>
      </w:r>
      <w:r w:rsidR="00AE7673" w:rsidRPr="00B5096B">
        <w:rPr>
          <w:rFonts w:eastAsia="Times New Roman"/>
          <w:szCs w:val="24"/>
          <w:lang w:val="en-US"/>
        </w:rPr>
        <w:t>between neighbours there</w:t>
      </w:r>
      <w:r w:rsidR="00AE7673">
        <w:rPr>
          <w:rFonts w:eastAsia="Times New Roman"/>
          <w:szCs w:val="24"/>
          <w:lang w:val="en-US"/>
        </w:rPr>
        <w:t xml:space="preserve"> must be give as well as take’.</w:t>
      </w:r>
      <w:r w:rsidR="00AE7673">
        <w:rPr>
          <w:rFonts w:eastAsia="Times New Roman"/>
          <w:szCs w:val="24"/>
          <w:vertAlign w:val="superscript"/>
          <w:lang w:val="en-US"/>
        </w:rPr>
        <w:footnoteReference w:id="157"/>
      </w:r>
      <w:r w:rsidR="00AE7673">
        <w:rPr>
          <w:rFonts w:eastAsia="Times New Roman"/>
          <w:szCs w:val="24"/>
          <w:lang w:val="en-US"/>
        </w:rPr>
        <w:t xml:space="preserve">  </w:t>
      </w:r>
      <w:r w:rsidR="00AE7673">
        <w:rPr>
          <w:rFonts w:eastAsia="Times New Roman"/>
          <w:i/>
          <w:szCs w:val="24"/>
          <w:lang w:val="en-US"/>
        </w:rPr>
        <w:t xml:space="preserve">Bradley </w:t>
      </w:r>
      <w:r w:rsidR="00AE7673">
        <w:rPr>
          <w:rFonts w:eastAsia="Times New Roman"/>
          <w:szCs w:val="24"/>
          <w:lang w:val="en-US"/>
        </w:rPr>
        <w:t xml:space="preserve">was an expensive decision, however, both in terms of time and the parties’ costs. In </w:t>
      </w:r>
      <w:r w:rsidR="00AE7673" w:rsidRPr="007E517B">
        <w:rPr>
          <w:rFonts w:eastAsia="Times New Roman"/>
          <w:szCs w:val="24"/>
        </w:rPr>
        <w:t xml:space="preserve">the majority of lived relationships </w:t>
      </w:r>
      <w:r w:rsidR="00AE7673">
        <w:rPr>
          <w:rFonts w:eastAsia="Times New Roman"/>
          <w:szCs w:val="24"/>
        </w:rPr>
        <w:t xml:space="preserve">the parties simply cannot afford such expense - so </w:t>
      </w:r>
      <w:r w:rsidR="00AE7673" w:rsidRPr="007E517B">
        <w:rPr>
          <w:rFonts w:eastAsia="Times New Roman"/>
          <w:szCs w:val="24"/>
        </w:rPr>
        <w:t>it is the muddy rights that endure</w:t>
      </w:r>
      <w:r w:rsidR="00AE7673">
        <w:rPr>
          <w:rFonts w:eastAsia="Times New Roman"/>
          <w:szCs w:val="24"/>
        </w:rPr>
        <w:t xml:space="preserve"> in uncrystallised form</w:t>
      </w:r>
      <w:r w:rsidR="00AE7673" w:rsidRPr="007E517B">
        <w:rPr>
          <w:rFonts w:eastAsia="Times New Roman"/>
          <w:szCs w:val="24"/>
        </w:rPr>
        <w:t>.</w:t>
      </w:r>
    </w:p>
    <w:p w:rsidR="00AE7673" w:rsidRPr="00377DD7" w:rsidRDefault="00AE7673" w:rsidP="00546FD2">
      <w:pPr>
        <w:spacing w:line="480" w:lineRule="auto"/>
        <w:rPr>
          <w:rFonts w:eastAsia="Times New Roman"/>
          <w:szCs w:val="24"/>
          <w:lang w:val="en-US"/>
        </w:rPr>
      </w:pPr>
      <w:r>
        <w:rPr>
          <w:rFonts w:eastAsiaTheme="minorEastAsia"/>
          <w:szCs w:val="24"/>
          <w:lang w:val="en-US"/>
        </w:rPr>
        <w:t>The</w:t>
      </w:r>
      <w:r w:rsidRPr="007B054C">
        <w:rPr>
          <w:rFonts w:eastAsiaTheme="minorEastAsia"/>
          <w:szCs w:val="24"/>
          <w:lang w:val="en-US"/>
        </w:rPr>
        <w:t xml:space="preserve"> need to work within established legal doctrine </w:t>
      </w:r>
      <w:r>
        <w:rPr>
          <w:rFonts w:eastAsiaTheme="minorEastAsia"/>
          <w:szCs w:val="24"/>
          <w:lang w:val="en-US"/>
        </w:rPr>
        <w:t>set</w:t>
      </w:r>
      <w:r w:rsidR="00CA75C5">
        <w:rPr>
          <w:rFonts w:eastAsiaTheme="minorEastAsia"/>
          <w:szCs w:val="24"/>
          <w:lang w:val="en-US"/>
        </w:rPr>
        <w:t>s</w:t>
      </w:r>
      <w:r w:rsidRPr="007B054C">
        <w:rPr>
          <w:rFonts w:eastAsiaTheme="minorEastAsia"/>
          <w:szCs w:val="24"/>
          <w:lang w:val="en-US"/>
        </w:rPr>
        <w:t xml:space="preserve"> constraints, at least in relation to court-based dispute resolution. </w:t>
      </w:r>
      <w:r>
        <w:rPr>
          <w:rFonts w:eastAsia="MS Mincho"/>
          <w:szCs w:val="24"/>
          <w:lang w:val="en-US"/>
        </w:rPr>
        <w:t xml:space="preserve">Within the court system, the higher courts are primarily concerned with points of law in determining the correctness of a lower </w:t>
      </w:r>
      <w:r>
        <w:rPr>
          <w:szCs w:val="24"/>
        </w:rPr>
        <w:t>court</w:t>
      </w:r>
      <w:r w:rsidR="00241FCC">
        <w:rPr>
          <w:szCs w:val="24"/>
        </w:rPr>
        <w:t>’</w:t>
      </w:r>
      <w:r>
        <w:rPr>
          <w:szCs w:val="24"/>
        </w:rPr>
        <w:t>s decision. Information theorists note approvingly that, unlike the relative freedom allowed to parties to a contract, ‘w</w:t>
      </w:r>
      <w:r>
        <w:rPr>
          <w:rFonts w:eastAsia="Times New Roman"/>
          <w:szCs w:val="24"/>
          <w:lang w:val="en-US"/>
        </w:rPr>
        <w:t>ith respect to the legal dimensions of property, the law generally insists on strict standardization of interests’.</w:t>
      </w:r>
      <w:r>
        <w:rPr>
          <w:rStyle w:val="FootnoteReference"/>
          <w:rFonts w:eastAsia="Times New Roman"/>
          <w:szCs w:val="24"/>
          <w:lang w:val="en-US"/>
        </w:rPr>
        <w:footnoteReference w:id="158"/>
      </w:r>
      <w:r>
        <w:rPr>
          <w:rFonts w:eastAsia="Times New Roman"/>
          <w:szCs w:val="24"/>
          <w:lang w:val="en-US"/>
        </w:rPr>
        <w:t xml:space="preserve">  </w:t>
      </w:r>
      <w:r w:rsidRPr="007B054C">
        <w:rPr>
          <w:szCs w:val="24"/>
        </w:rPr>
        <w:t>Dyal-Chand</w:t>
      </w:r>
      <w:r>
        <w:rPr>
          <w:szCs w:val="24"/>
        </w:rPr>
        <w:t>, however,</w:t>
      </w:r>
      <w:r w:rsidRPr="007B054C">
        <w:rPr>
          <w:szCs w:val="24"/>
        </w:rPr>
        <w:t xml:space="preserve"> highlights the </w:t>
      </w:r>
      <w:r w:rsidRPr="007B054C">
        <w:rPr>
          <w:iCs/>
          <w:szCs w:val="24"/>
        </w:rPr>
        <w:t xml:space="preserve">often inappropriate </w:t>
      </w:r>
      <w:r w:rsidR="00241FCC">
        <w:rPr>
          <w:iCs/>
          <w:szCs w:val="24"/>
        </w:rPr>
        <w:t>‘</w:t>
      </w:r>
      <w:r w:rsidRPr="007B054C">
        <w:rPr>
          <w:iCs/>
          <w:szCs w:val="24"/>
        </w:rPr>
        <w:t>all or nothing</w:t>
      </w:r>
      <w:r w:rsidR="00241FCC">
        <w:rPr>
          <w:iCs/>
          <w:szCs w:val="24"/>
        </w:rPr>
        <w:t>’</w:t>
      </w:r>
      <w:r w:rsidRPr="007B054C">
        <w:rPr>
          <w:iCs/>
          <w:szCs w:val="24"/>
        </w:rPr>
        <w:t xml:space="preserve"> outcomes to property disputes which result from a</w:t>
      </w:r>
      <w:r w:rsidRPr="007B054C">
        <w:rPr>
          <w:szCs w:val="24"/>
        </w:rPr>
        <w:t xml:space="preserve"> f</w:t>
      </w:r>
      <w:r w:rsidRPr="007B054C">
        <w:rPr>
          <w:iCs/>
          <w:szCs w:val="24"/>
        </w:rPr>
        <w:t>ocus on individual ownership and title, arguing that property sharing should be promoted as an outcome and that property rights, wherever they may be situated on the spectrum between exclusive ownership and commons property, should be recognised by the courts.</w:t>
      </w:r>
      <w:r w:rsidRPr="007B054C">
        <w:rPr>
          <w:rStyle w:val="FootnoteReference"/>
          <w:iCs/>
          <w:szCs w:val="24"/>
        </w:rPr>
        <w:footnoteReference w:id="159"/>
      </w:r>
      <w:r w:rsidRPr="007B054C">
        <w:rPr>
          <w:iCs/>
          <w:szCs w:val="24"/>
        </w:rPr>
        <w:t xml:space="preserve"> </w:t>
      </w:r>
      <w:r>
        <w:rPr>
          <w:rFonts w:eastAsia="Cambria"/>
          <w:szCs w:val="24"/>
        </w:rPr>
        <w:t xml:space="preserve">On occasions courts have expressed regret that they feel their hands are tied. In </w:t>
      </w:r>
      <w:r>
        <w:rPr>
          <w:rFonts w:eastAsia="Cambria"/>
          <w:i/>
          <w:szCs w:val="24"/>
        </w:rPr>
        <w:t>Arnold v Britton</w:t>
      </w:r>
      <w:r>
        <w:rPr>
          <w:rFonts w:eastAsia="Cambria"/>
          <w:szCs w:val="24"/>
          <w:vertAlign w:val="superscript"/>
        </w:rPr>
        <w:footnoteReference w:id="160"/>
      </w:r>
      <w:r>
        <w:rPr>
          <w:rFonts w:eastAsia="Cambria"/>
          <w:szCs w:val="24"/>
        </w:rPr>
        <w:t xml:space="preserve"> </w:t>
      </w:r>
      <w:r>
        <w:rPr>
          <w:rFonts w:eastAsia="MS Mincho"/>
          <w:szCs w:val="24"/>
          <w:lang w:val="en-US"/>
        </w:rPr>
        <w:t xml:space="preserve">Lord Hodge upheld the ‘paper deal’ but commented that </w:t>
      </w:r>
      <w:r w:rsidR="00D13087">
        <w:rPr>
          <w:rFonts w:eastAsia="MS Mincho"/>
          <w:szCs w:val="24"/>
          <w:lang w:val="en-US"/>
        </w:rPr>
        <w:t>although</w:t>
      </w:r>
      <w:r>
        <w:rPr>
          <w:rFonts w:eastAsia="MS Mincho"/>
          <w:szCs w:val="24"/>
          <w:lang w:val="en-US"/>
        </w:rPr>
        <w:t xml:space="preserve"> ‘the court does not have power to remedy these long term contracts so as to preserve the essential nature of the service charge in changed economic circumstances [this] does not mean that the lessees</w:t>
      </w:r>
      <w:r w:rsidR="00241FCC">
        <w:rPr>
          <w:rFonts w:eastAsia="MS Mincho"/>
          <w:szCs w:val="24"/>
          <w:lang w:val="en-US"/>
        </w:rPr>
        <w:t>’</w:t>
      </w:r>
      <w:r>
        <w:rPr>
          <w:rFonts w:eastAsia="MS Mincho"/>
          <w:szCs w:val="24"/>
          <w:lang w:val="en-US"/>
        </w:rPr>
        <w:t xml:space="preserve"> predicament is acceptable.’</w:t>
      </w:r>
      <w:r>
        <w:rPr>
          <w:rFonts w:eastAsia="MS Mincho"/>
          <w:szCs w:val="24"/>
          <w:vertAlign w:val="superscript"/>
          <w:lang w:val="en-US"/>
        </w:rPr>
        <w:footnoteReference w:id="161"/>
      </w:r>
      <w:r>
        <w:rPr>
          <w:rFonts w:eastAsia="MS Mincho"/>
          <w:szCs w:val="24"/>
          <w:lang w:val="en-US"/>
        </w:rPr>
        <w:t xml:space="preserve"> </w:t>
      </w:r>
      <w:r w:rsidRPr="007C0EF0">
        <w:rPr>
          <w:rFonts w:eastAsia="MS Mincho"/>
          <w:szCs w:val="24"/>
          <w:lang w:val="en-US"/>
        </w:rPr>
        <w:t>Lord Carnworth</w:t>
      </w:r>
      <w:r w:rsidR="00033E5F">
        <w:rPr>
          <w:rFonts w:eastAsia="MS Mincho"/>
          <w:szCs w:val="24"/>
          <w:lang w:val="en-US"/>
        </w:rPr>
        <w:t>’s dissent</w:t>
      </w:r>
      <w:r w:rsidRPr="007C0EF0">
        <w:rPr>
          <w:rFonts w:eastAsia="MS Mincho"/>
          <w:szCs w:val="24"/>
          <w:lang w:val="en-US"/>
        </w:rPr>
        <w:t xml:space="preserve"> recognis</w:t>
      </w:r>
      <w:r w:rsidR="00033E5F">
        <w:rPr>
          <w:rFonts w:eastAsia="MS Mincho"/>
          <w:szCs w:val="24"/>
          <w:lang w:val="en-US"/>
        </w:rPr>
        <w:t>ed</w:t>
      </w:r>
      <w:r w:rsidRPr="007C0EF0">
        <w:rPr>
          <w:rFonts w:eastAsia="MS Mincho"/>
          <w:szCs w:val="24"/>
          <w:lang w:val="en-US"/>
        </w:rPr>
        <w:t xml:space="preserve"> that ‘[l</w:t>
      </w:r>
      <w:r w:rsidRPr="007C0EF0">
        <w:rPr>
          <w:rFonts w:ascii="Verdana" w:hAnsi="Verdana"/>
          <w:sz w:val="19"/>
          <w:szCs w:val="19"/>
        </w:rPr>
        <w:t>]</w:t>
      </w:r>
      <w:r w:rsidRPr="007C0EF0">
        <w:rPr>
          <w:szCs w:val="24"/>
        </w:rPr>
        <w:t>ong residential leases are an exceptional species of contract’</w:t>
      </w:r>
      <w:r w:rsidRPr="007C0EF0">
        <w:rPr>
          <w:rStyle w:val="FootnoteReference"/>
          <w:szCs w:val="24"/>
        </w:rPr>
        <w:footnoteReference w:id="162"/>
      </w:r>
      <w:r w:rsidRPr="007C0EF0">
        <w:rPr>
          <w:szCs w:val="24"/>
        </w:rPr>
        <w:t xml:space="preserve"> </w:t>
      </w:r>
      <w:r w:rsidR="00D24D86" w:rsidRPr="007C0EF0">
        <w:rPr>
          <w:szCs w:val="24"/>
        </w:rPr>
        <w:t>due to</w:t>
      </w:r>
      <w:r w:rsidRPr="007C0EF0">
        <w:rPr>
          <w:szCs w:val="24"/>
        </w:rPr>
        <w:t xml:space="preserve"> their enduring nature</w:t>
      </w:r>
      <w:r w:rsidR="00D24D86" w:rsidRPr="007C0EF0">
        <w:rPr>
          <w:szCs w:val="24"/>
        </w:rPr>
        <w:t xml:space="preserve">. The ‘paper deal’ in this case did not meet the expectation that such leases would be drafted to ensure a </w:t>
      </w:r>
      <w:r w:rsidRPr="007C0EF0">
        <w:rPr>
          <w:szCs w:val="24"/>
        </w:rPr>
        <w:t xml:space="preserve">fair distribution of </w:t>
      </w:r>
      <w:r w:rsidR="00D24D86" w:rsidRPr="007C0EF0">
        <w:rPr>
          <w:szCs w:val="24"/>
        </w:rPr>
        <w:t>the financial obligations ‘</w:t>
      </w:r>
      <w:r w:rsidRPr="007C0EF0">
        <w:rPr>
          <w:szCs w:val="24"/>
        </w:rPr>
        <w:t>in the interests of good management and harmony within the development for both lessor and lessees’.</w:t>
      </w:r>
      <w:r w:rsidRPr="007C0EF0">
        <w:rPr>
          <w:rStyle w:val="FootnoteReference"/>
          <w:szCs w:val="24"/>
        </w:rPr>
        <w:footnoteReference w:id="163"/>
      </w:r>
    </w:p>
    <w:p w:rsidR="00AE7673" w:rsidRDefault="00AE7673" w:rsidP="00546FD2">
      <w:pPr>
        <w:spacing w:line="480" w:lineRule="auto"/>
      </w:pPr>
      <w:r>
        <w:rPr>
          <w:rFonts w:eastAsia="Times New Roman"/>
          <w:szCs w:val="24"/>
        </w:rPr>
        <w:t xml:space="preserve">Any resort to the courts by parties to an enduring property relationship represents a failure. The process is adversarial, costly and emotionally draining, and may well spell the end of the parties’ relationship. The transition from relationship-preserving to endgame norms is seen clearly in </w:t>
      </w:r>
      <w:r>
        <w:rPr>
          <w:rFonts w:eastAsia="Cambria"/>
          <w:i/>
          <w:szCs w:val="24"/>
        </w:rPr>
        <w:t>Bradley</w:t>
      </w:r>
      <w:r>
        <w:rPr>
          <w:rFonts w:eastAsia="Cambria"/>
          <w:szCs w:val="24"/>
        </w:rPr>
        <w:t>:</w:t>
      </w:r>
      <w:r>
        <w:rPr>
          <w:rFonts w:eastAsia="Cambria"/>
          <w:i/>
          <w:szCs w:val="24"/>
        </w:rPr>
        <w:t xml:space="preserve"> </w:t>
      </w:r>
      <w:r w:rsidRPr="00E83C41">
        <w:rPr>
          <w:rFonts w:eastAsia="Cambria"/>
          <w:szCs w:val="24"/>
        </w:rPr>
        <w:t>from t</w:t>
      </w:r>
      <w:r>
        <w:rPr>
          <w:rFonts w:eastAsia="Cambria"/>
          <w:szCs w:val="24"/>
        </w:rPr>
        <w:t xml:space="preserve">he previously </w:t>
      </w:r>
      <w:r>
        <w:rPr>
          <w:szCs w:val="24"/>
          <w:lang w:val="en-US"/>
        </w:rPr>
        <w:t xml:space="preserve">‘consensual, co-operative and neighbourly approach’ to the parties ‘now resort[ing] to their legal rights’, and </w:t>
      </w:r>
      <w:r>
        <w:rPr>
          <w:rFonts w:eastAsia="Cambria"/>
          <w:szCs w:val="24"/>
        </w:rPr>
        <w:t>‘ultimately legal rights (if insisted upon) must be determined’.</w:t>
      </w:r>
      <w:r>
        <w:rPr>
          <w:rStyle w:val="FootnoteReference"/>
          <w:rFonts w:eastAsia="Cambria"/>
          <w:szCs w:val="24"/>
        </w:rPr>
        <w:footnoteReference w:id="164"/>
      </w:r>
      <w:r>
        <w:rPr>
          <w:rFonts w:eastAsia="Cambria"/>
          <w:szCs w:val="24"/>
        </w:rPr>
        <w:t xml:space="preserve"> </w:t>
      </w:r>
      <w:r w:rsidR="00B3185E">
        <w:rPr>
          <w:rFonts w:eastAsia="Cambria"/>
          <w:szCs w:val="24"/>
        </w:rPr>
        <w:t xml:space="preserve">As </w:t>
      </w:r>
      <w:r w:rsidR="00B3185E">
        <w:t xml:space="preserve">Tan has shown, there will always be ‘a multiplicity of narratives involved’ in adversarial proceedings, which the judge must craft and rationalise into a final narrative that accounts for ‘the rational motivation of both parties </w:t>
      </w:r>
      <w:r w:rsidR="00B3185E" w:rsidRPr="00C073C5">
        <w:rPr>
          <w:i/>
        </w:rPr>
        <w:t>in this particular context’</w:t>
      </w:r>
      <w:r w:rsidR="00B3185E">
        <w:t xml:space="preserve"> and is persuasively explanatory of the final decision in the case.</w:t>
      </w:r>
      <w:r w:rsidR="00B3185E">
        <w:rPr>
          <w:rStyle w:val="FootnoteReference"/>
        </w:rPr>
        <w:footnoteReference w:id="165"/>
      </w:r>
      <w:r w:rsidR="00B3185E">
        <w:t xml:space="preserve"> </w:t>
      </w:r>
      <w:r w:rsidR="00B3185E" w:rsidRPr="00370268">
        <w:t>Whilst exclusionary disputes are about a moment in time</w:t>
      </w:r>
      <w:r w:rsidR="00B3185E">
        <w:t>,</w:t>
      </w:r>
      <w:r w:rsidR="00B3185E" w:rsidRPr="00370268">
        <w:t xml:space="preserve"> disputes about </w:t>
      </w:r>
      <w:r w:rsidR="00B3185E">
        <w:t xml:space="preserve">continued </w:t>
      </w:r>
      <w:r w:rsidR="00B3185E" w:rsidRPr="00370268">
        <w:t xml:space="preserve">use </w:t>
      </w:r>
      <w:r w:rsidR="00B3185E">
        <w:t xml:space="preserve">of land must take into account the </w:t>
      </w:r>
      <w:r w:rsidR="00B3185E" w:rsidRPr="00370268">
        <w:t>enduring</w:t>
      </w:r>
      <w:r w:rsidR="00B3185E">
        <w:t xml:space="preserve"> nature of the parties’ relationship</w:t>
      </w:r>
      <w:r w:rsidR="00B3185E" w:rsidRPr="00370268">
        <w:t xml:space="preserve">. </w:t>
      </w:r>
      <w:r w:rsidR="00B3185E">
        <w:t>In such cases, the judi</w:t>
      </w:r>
      <w:r w:rsidR="00B3185E" w:rsidRPr="00370268">
        <w:t xml:space="preserve">cial decision </w:t>
      </w:r>
      <w:r w:rsidR="00B3185E">
        <w:t xml:space="preserve">can be seen </w:t>
      </w:r>
      <w:r w:rsidR="00B3185E" w:rsidRPr="00370268">
        <w:t xml:space="preserve">as a pivot </w:t>
      </w:r>
      <w:r w:rsidR="00B3185E">
        <w:t xml:space="preserve">in time </w:t>
      </w:r>
      <w:r w:rsidR="00B3185E" w:rsidRPr="00370268">
        <w:t xml:space="preserve">around which the </w:t>
      </w:r>
      <w:r w:rsidR="00B3185E">
        <w:t xml:space="preserve">parties’ </w:t>
      </w:r>
      <w:r w:rsidR="00B3185E" w:rsidRPr="00370268">
        <w:t>continuing relations will turn</w:t>
      </w:r>
      <w:r w:rsidR="00B3185E">
        <w:t>.</w:t>
      </w:r>
      <w:r w:rsidR="00B3185E" w:rsidRPr="00370268">
        <w:t xml:space="preserve">  </w:t>
      </w:r>
      <w:r>
        <w:rPr>
          <w:rFonts w:eastAsia="Cambria"/>
          <w:szCs w:val="24"/>
        </w:rPr>
        <w:t xml:space="preserve">The decision of the court, and the way that the judgment reflects the opposing narratives, may </w:t>
      </w:r>
      <w:r w:rsidR="00033E5F">
        <w:rPr>
          <w:rFonts w:eastAsia="Cambria"/>
          <w:szCs w:val="24"/>
        </w:rPr>
        <w:t xml:space="preserve">enable </w:t>
      </w:r>
      <w:r>
        <w:rPr>
          <w:rFonts w:eastAsia="Cambria"/>
          <w:szCs w:val="24"/>
        </w:rPr>
        <w:t>the warring parties</w:t>
      </w:r>
      <w:r w:rsidR="00033E5F">
        <w:rPr>
          <w:rFonts w:eastAsia="Cambria"/>
          <w:szCs w:val="24"/>
        </w:rPr>
        <w:t>’</w:t>
      </w:r>
      <w:r>
        <w:rPr>
          <w:rFonts w:eastAsia="Cambria"/>
          <w:szCs w:val="24"/>
        </w:rPr>
        <w:t xml:space="preserve"> relationship to continue.</w:t>
      </w:r>
      <w:r>
        <w:rPr>
          <w:rStyle w:val="FootnoteReference"/>
          <w:rFonts w:eastAsia="Cambria"/>
          <w:szCs w:val="24"/>
        </w:rPr>
        <w:footnoteReference w:id="166"/>
      </w:r>
      <w:r>
        <w:rPr>
          <w:rFonts w:eastAsia="Cambria"/>
          <w:szCs w:val="24"/>
        </w:rPr>
        <w:t xml:space="preserve"> </w:t>
      </w:r>
    </w:p>
    <w:p w:rsidR="00AE7673" w:rsidRDefault="00AE7673" w:rsidP="00546FD2">
      <w:pPr>
        <w:spacing w:line="480" w:lineRule="auto"/>
        <w:ind w:right="-46"/>
      </w:pPr>
      <w:r>
        <w:rPr>
          <w:rFonts w:eastAsia="Cambria"/>
          <w:szCs w:val="24"/>
        </w:rPr>
        <w:t xml:space="preserve">An alternative solution would be for the parties to attend mediation and come to their own resolution, as ultimately the parties in </w:t>
      </w:r>
      <w:r w:rsidRPr="003D5841">
        <w:rPr>
          <w:rFonts w:eastAsia="Cambria"/>
          <w:i/>
          <w:szCs w:val="24"/>
        </w:rPr>
        <w:t>Bradley</w:t>
      </w:r>
      <w:r>
        <w:rPr>
          <w:rFonts w:eastAsia="Cambria"/>
          <w:szCs w:val="24"/>
        </w:rPr>
        <w:t xml:space="preserve"> did at the door of the Court of Appeal. </w:t>
      </w:r>
      <w:r w:rsidR="00826E7A">
        <w:rPr>
          <w:rFonts w:eastAsia="Cambria"/>
          <w:szCs w:val="24"/>
          <w:lang w:val="en-US"/>
        </w:rPr>
        <w:t xml:space="preserve">Property Tribunal judges will often in effect </w:t>
      </w:r>
      <w:r w:rsidR="00826E7A">
        <w:rPr>
          <w:rFonts w:eastAsia="Cambria"/>
          <w:szCs w:val="24"/>
        </w:rPr>
        <w:t>act as mediators in leasehold disputes, offering advice on how to advance the issue or about how the parties could build bridges and move on, or finding a ‘middle ground’ between the parties.</w:t>
      </w:r>
      <w:r w:rsidR="00826E7A">
        <w:rPr>
          <w:rFonts w:eastAsia="Cambria"/>
          <w:szCs w:val="24"/>
          <w:vertAlign w:val="superscript"/>
        </w:rPr>
        <w:footnoteReference w:id="167"/>
      </w:r>
      <w:r w:rsidR="00826E7A">
        <w:rPr>
          <w:rFonts w:eastAsia="Cambria"/>
          <w:szCs w:val="24"/>
        </w:rPr>
        <w:t xml:space="preserve"> </w:t>
      </w:r>
      <w:r>
        <w:rPr>
          <w:rFonts w:eastAsia="Cambria"/>
          <w:szCs w:val="24"/>
        </w:rPr>
        <w:t xml:space="preserve">Judges </w:t>
      </w:r>
      <w:r w:rsidR="0095011F">
        <w:rPr>
          <w:rFonts w:eastAsia="Cambria"/>
          <w:szCs w:val="24"/>
        </w:rPr>
        <w:t xml:space="preserve">also </w:t>
      </w:r>
      <w:r>
        <w:rPr>
          <w:rFonts w:eastAsia="Cambria"/>
          <w:szCs w:val="24"/>
        </w:rPr>
        <w:t>commonly make pleas for mediation in neighbour dispute cases, which ‘arouse deep passions and entrenched positions’.</w:t>
      </w:r>
      <w:r>
        <w:rPr>
          <w:rStyle w:val="FootnoteReference"/>
          <w:rFonts w:eastAsia="Cambria"/>
          <w:szCs w:val="24"/>
        </w:rPr>
        <w:footnoteReference w:id="168"/>
      </w:r>
      <w:r>
        <w:rPr>
          <w:rFonts w:eastAsia="Times New Roman"/>
          <w:szCs w:val="24"/>
          <w:lang w:val="en-US"/>
        </w:rPr>
        <w:t xml:space="preserve"> For instance </w:t>
      </w:r>
      <w:r>
        <w:rPr>
          <w:rFonts w:eastAsia="Cambria"/>
          <w:szCs w:val="24"/>
        </w:rPr>
        <w:t>Mummery LJ has suggested</w:t>
      </w:r>
      <w:r w:rsidR="00033E5F">
        <w:rPr>
          <w:rFonts w:eastAsia="Cambria"/>
          <w:szCs w:val="24"/>
        </w:rPr>
        <w:t xml:space="preserve"> that</w:t>
      </w:r>
      <w:r>
        <w:rPr>
          <w:rFonts w:eastAsia="Cambria"/>
          <w:szCs w:val="24"/>
        </w:rPr>
        <w:t xml:space="preserve">: </w:t>
      </w:r>
    </w:p>
    <w:p w:rsidR="00AE7673" w:rsidRDefault="00AE7673" w:rsidP="00546FD2">
      <w:pPr>
        <w:spacing w:line="480" w:lineRule="auto"/>
        <w:ind w:left="567" w:right="1354"/>
      </w:pPr>
      <w:r>
        <w:rPr>
          <w:rFonts w:eastAsia="Cambria"/>
          <w:szCs w:val="24"/>
        </w:rPr>
        <w:t>An attempt at mediation should be made right at the beginning of the dispute and certainly well before things turn nasty and become expensive. By the time neighbours get to court it is often too late for court-based ADR and mediation schemes to have much impact. […] Almost by its own momentum the case that cried out for compromise moves onwards and upwards to a conclusion that is disastrous for one of the parties, possibly for both.</w:t>
      </w:r>
      <w:r>
        <w:rPr>
          <w:rFonts w:eastAsia="Cambria"/>
          <w:szCs w:val="24"/>
          <w:vertAlign w:val="superscript"/>
        </w:rPr>
        <w:footnoteReference w:id="169"/>
      </w:r>
    </w:p>
    <w:p w:rsidR="00AE7673" w:rsidRPr="00EA1008" w:rsidRDefault="00AE7673" w:rsidP="00546FD2">
      <w:pPr>
        <w:spacing w:line="480" w:lineRule="auto"/>
        <w:rPr>
          <w:rFonts w:eastAsia="Cambria"/>
          <w:szCs w:val="24"/>
        </w:rPr>
      </w:pPr>
      <w:r>
        <w:rPr>
          <w:rFonts w:eastAsia="Cambria"/>
          <w:szCs w:val="24"/>
        </w:rPr>
        <w:t>These calls have not gone unheeded. Mediation and arbitration are becoming increasingly significant in the dispute resolution process and even those who can afford litigation are advised to consider some form of Alternative Dispute Resolution (ADR), or risk being penalised in an order for costs.</w:t>
      </w:r>
      <w:r>
        <w:rPr>
          <w:rFonts w:eastAsia="Cambria"/>
          <w:szCs w:val="24"/>
          <w:vertAlign w:val="superscript"/>
        </w:rPr>
        <w:footnoteReference w:id="170"/>
      </w:r>
      <w:r>
        <w:rPr>
          <w:rFonts w:eastAsia="Cambria"/>
          <w:szCs w:val="24"/>
        </w:rPr>
        <w:t xml:space="preserve">  Indeed, in certain contexts ADR is required as a preliminary step. For example, regulated mortgage providers must have an internal complaints handling process and once this process is exhausted the mortgagor is entitled to refer his or her dispute to the Financial Ombudsman Service.</w:t>
      </w:r>
      <w:r w:rsidRPr="00483100">
        <w:rPr>
          <w:rFonts w:eastAsia="Cambria"/>
          <w:szCs w:val="24"/>
          <w:vertAlign w:val="superscript"/>
        </w:rPr>
        <w:t xml:space="preserve"> </w:t>
      </w:r>
      <w:r>
        <w:rPr>
          <w:rFonts w:eastAsia="Cambria"/>
          <w:szCs w:val="24"/>
          <w:vertAlign w:val="superscript"/>
        </w:rPr>
        <w:footnoteReference w:id="171"/>
      </w:r>
      <w:r>
        <w:rPr>
          <w:rFonts w:eastAsia="Cambria"/>
          <w:szCs w:val="24"/>
        </w:rPr>
        <w:t xml:space="preserve">  The Ombudsman is empowered to look past the contract to resolve the dispute in a manner that it considers fair and reasonable on a case-by-case basis. The decision is binding on the mortgagee although the mortgagor can decline to accept the result and continue to pursue their case before the courts.</w:t>
      </w:r>
      <w:r>
        <w:rPr>
          <w:rStyle w:val="FootnoteReference"/>
          <w:rFonts w:eastAsia="Times New Roman"/>
          <w:szCs w:val="24"/>
          <w:lang w:val="en-US"/>
        </w:rPr>
        <w:footnoteReference w:id="172"/>
      </w:r>
      <w:r>
        <w:rPr>
          <w:rFonts w:eastAsia="Cambria"/>
          <w:szCs w:val="24"/>
        </w:rPr>
        <w:t xml:space="preserve"> The Ombudsman also plays a wider role in influencing regulatory norms of ‘fair’ conduct expected of mortgagees: </w:t>
      </w:r>
      <w:r>
        <w:rPr>
          <w:rFonts w:eastAsia="Times New Roman"/>
          <w:szCs w:val="24"/>
          <w:lang w:val="en-US"/>
        </w:rPr>
        <w:t>issuing guidance on how common disputes are approached, with recommendations as to fair practice;</w:t>
      </w:r>
      <w:r>
        <w:rPr>
          <w:rStyle w:val="FootnoteReference"/>
          <w:rFonts w:eastAsia="Times New Roman"/>
          <w:szCs w:val="24"/>
          <w:lang w:val="en-US"/>
        </w:rPr>
        <w:footnoteReference w:id="173"/>
      </w:r>
      <w:r>
        <w:rPr>
          <w:rFonts w:eastAsia="Times New Roman"/>
          <w:szCs w:val="24"/>
          <w:lang w:val="en-US"/>
        </w:rPr>
        <w:t xml:space="preserve"> producing regular newsletters detailing its resolution of complaints; and publishing its foremost decisions.</w:t>
      </w:r>
      <w:r>
        <w:rPr>
          <w:rStyle w:val="FootnoteReference"/>
          <w:rFonts w:eastAsia="Times New Roman"/>
          <w:szCs w:val="24"/>
          <w:lang w:val="en-US"/>
        </w:rPr>
        <w:footnoteReference w:id="174"/>
      </w:r>
      <w:r w:rsidDel="00F3680E">
        <w:t xml:space="preserve"> </w:t>
      </w:r>
      <w:r>
        <w:t>Being at the sharp end of consumer complaints, the Ombudsman can also</w:t>
      </w:r>
      <w:r>
        <w:rPr>
          <w:rFonts w:eastAsia="Cambria"/>
          <w:szCs w:val="24"/>
        </w:rPr>
        <w:t xml:space="preserve"> prompt the FCA to take regulatory action to resolve market malpractice.</w:t>
      </w:r>
      <w:r>
        <w:rPr>
          <w:rFonts w:eastAsia="Cambria"/>
          <w:szCs w:val="24"/>
          <w:vertAlign w:val="superscript"/>
        </w:rPr>
        <w:footnoteReference w:id="175"/>
      </w:r>
    </w:p>
    <w:p w:rsidR="00AE7673" w:rsidRDefault="00AE7673" w:rsidP="00546FD2">
      <w:pPr>
        <w:spacing w:line="480" w:lineRule="auto"/>
        <w:rPr>
          <w:szCs w:val="24"/>
        </w:rPr>
      </w:pPr>
      <w:r>
        <w:rPr>
          <w:szCs w:val="24"/>
        </w:rPr>
        <w:t xml:space="preserve">The different </w:t>
      </w:r>
      <w:r w:rsidR="00CC5590">
        <w:rPr>
          <w:szCs w:val="24"/>
        </w:rPr>
        <w:t xml:space="preserve">scope and </w:t>
      </w:r>
      <w:r>
        <w:rPr>
          <w:szCs w:val="24"/>
        </w:rPr>
        <w:t>styles of reaching a resolution between the parties, in the court system and through ADR, suggest that the latter may be more appropriate for dealing with disputes over enduring property relationships. Litigation focuses on legal rights and trims evidence with that in mind, thus reducing scope for discretionary decision-making, whereas ADR looks beyond the law to give effect to the wider sources of the relationship rights and obligations.  Mediators encourage parties to talk around the issue, thus opening up solutions and giving space for the relationship to endure.</w:t>
      </w:r>
    </w:p>
    <w:p w:rsidR="00AE7673" w:rsidRDefault="00AE7673" w:rsidP="00546FD2">
      <w:pPr>
        <w:spacing w:line="480" w:lineRule="auto"/>
        <w:rPr>
          <w:rFonts w:eastAsia="Times New Roman"/>
          <w:szCs w:val="24"/>
          <w:lang w:val="en-US"/>
        </w:rPr>
      </w:pPr>
      <w:r>
        <w:rPr>
          <w:rFonts w:eastAsia="Times New Roman"/>
          <w:szCs w:val="24"/>
          <w:lang w:val="en-US"/>
        </w:rPr>
        <w:t xml:space="preserve">But the weaknesses of ADR also need to be recognized. ADR is often seen as a mere procedural step.  If the resolution is the grant of a new property interest, the necessary formalities and registration will need to be observed if the </w:t>
      </w:r>
      <w:r w:rsidR="00421A95">
        <w:rPr>
          <w:rFonts w:eastAsia="Times New Roman"/>
          <w:szCs w:val="24"/>
          <w:lang w:val="en-US"/>
        </w:rPr>
        <w:t>outcome is to have proprietary e</w:t>
      </w:r>
      <w:r>
        <w:rPr>
          <w:rFonts w:eastAsia="Times New Roman"/>
          <w:szCs w:val="24"/>
          <w:lang w:val="en-US"/>
        </w:rPr>
        <w:t xml:space="preserve">ffect as well as bind third parties. Embedding the agreed outcome of ADR in the parties’ enduring property relationship can then be reflected in new </w:t>
      </w:r>
      <w:r w:rsidRPr="00E544D6">
        <w:rPr>
          <w:rFonts w:eastAsia="Times New Roman"/>
          <w:i/>
          <w:szCs w:val="24"/>
          <w:lang w:val="en-US"/>
        </w:rPr>
        <w:t>de jure</w:t>
      </w:r>
      <w:r>
        <w:rPr>
          <w:rFonts w:eastAsia="Times New Roman"/>
          <w:szCs w:val="24"/>
          <w:lang w:val="en-US"/>
        </w:rPr>
        <w:t xml:space="preserve"> rights.</w:t>
      </w:r>
    </w:p>
    <w:p w:rsidR="00AE7673" w:rsidRDefault="00AE7673" w:rsidP="00546FD2">
      <w:pPr>
        <w:tabs>
          <w:tab w:val="left" w:pos="3773"/>
        </w:tabs>
        <w:spacing w:line="480" w:lineRule="auto"/>
      </w:pPr>
    </w:p>
    <w:p w:rsidR="00A14608" w:rsidRDefault="00A14608" w:rsidP="00546FD2">
      <w:pPr>
        <w:tabs>
          <w:tab w:val="left" w:pos="4500"/>
        </w:tabs>
        <w:spacing w:line="480" w:lineRule="auto"/>
        <w:rPr>
          <w:b/>
          <w:szCs w:val="24"/>
        </w:rPr>
      </w:pPr>
      <w:r w:rsidRPr="00634E4D">
        <w:rPr>
          <w:b/>
          <w:i/>
          <w:iCs/>
          <w:szCs w:val="24"/>
        </w:rPr>
        <w:t>Conclusion</w:t>
      </w:r>
    </w:p>
    <w:p w:rsidR="00A14608" w:rsidRDefault="00957A0C" w:rsidP="00546FD2">
      <w:pPr>
        <w:pStyle w:val="Body"/>
        <w:spacing w:line="480" w:lineRule="auto"/>
        <w:rPr>
          <w:rFonts w:ascii="Times New Roman" w:hAnsi="Times New Roman" w:cs="Times New Roman"/>
          <w:sz w:val="24"/>
          <w:szCs w:val="24"/>
        </w:rPr>
      </w:pPr>
      <w:r>
        <w:rPr>
          <w:rFonts w:ascii="Times New Roman" w:hAnsi="Times New Roman" w:cs="Times New Roman"/>
          <w:sz w:val="24"/>
          <w:szCs w:val="24"/>
        </w:rPr>
        <w:t xml:space="preserve">This article </w:t>
      </w:r>
      <w:r w:rsidR="00F60081">
        <w:rPr>
          <w:rFonts w:ascii="Times New Roman" w:hAnsi="Times New Roman" w:cs="Times New Roman"/>
          <w:sz w:val="24"/>
          <w:szCs w:val="24"/>
        </w:rPr>
        <w:t>argues</w:t>
      </w:r>
      <w:r w:rsidR="00A14608">
        <w:rPr>
          <w:rFonts w:ascii="Times New Roman" w:hAnsi="Times New Roman" w:cs="Times New Roman"/>
          <w:sz w:val="24"/>
          <w:szCs w:val="24"/>
        </w:rPr>
        <w:t xml:space="preserve"> that it is necessary to explore the dynamic and enduring nature</w:t>
      </w:r>
      <w:r>
        <w:rPr>
          <w:rFonts w:ascii="Times New Roman" w:hAnsi="Times New Roman" w:cs="Times New Roman"/>
          <w:sz w:val="24"/>
          <w:szCs w:val="24"/>
        </w:rPr>
        <w:t xml:space="preserve"> </w:t>
      </w:r>
      <w:r w:rsidR="0036289E">
        <w:rPr>
          <w:rFonts w:ascii="Times New Roman" w:hAnsi="Times New Roman" w:cs="Times New Roman"/>
          <w:sz w:val="24"/>
          <w:szCs w:val="24"/>
        </w:rPr>
        <w:t xml:space="preserve">of </w:t>
      </w:r>
      <w:r>
        <w:rPr>
          <w:rFonts w:ascii="Times New Roman" w:hAnsi="Times New Roman" w:cs="Times New Roman"/>
          <w:sz w:val="24"/>
          <w:szCs w:val="24"/>
        </w:rPr>
        <w:t xml:space="preserve">property relations to understand </w:t>
      </w:r>
      <w:r w:rsidR="00B03C10">
        <w:rPr>
          <w:rFonts w:ascii="Times New Roman" w:hAnsi="Times New Roman" w:cs="Times New Roman"/>
          <w:sz w:val="24"/>
          <w:szCs w:val="24"/>
        </w:rPr>
        <w:t>property</w:t>
      </w:r>
      <w:r w:rsidR="00F60081" w:rsidRPr="00F60081">
        <w:rPr>
          <w:rFonts w:ascii="Times New Roman" w:hAnsi="Times New Roman" w:cs="Times New Roman"/>
          <w:sz w:val="24"/>
          <w:szCs w:val="24"/>
        </w:rPr>
        <w:t xml:space="preserve"> </w:t>
      </w:r>
      <w:r w:rsidR="00F60081">
        <w:rPr>
          <w:rFonts w:ascii="Times New Roman" w:hAnsi="Times New Roman" w:cs="Times New Roman"/>
          <w:sz w:val="24"/>
          <w:szCs w:val="24"/>
        </w:rPr>
        <w:t>fully</w:t>
      </w:r>
      <w:r w:rsidR="00A14608">
        <w:rPr>
          <w:rFonts w:ascii="Times New Roman" w:hAnsi="Times New Roman" w:cs="Times New Roman"/>
          <w:sz w:val="24"/>
          <w:szCs w:val="24"/>
        </w:rPr>
        <w:t xml:space="preserve">. The terms and understandings upon which </w:t>
      </w:r>
      <w:r w:rsidR="00B03C10">
        <w:rPr>
          <w:rFonts w:ascii="Times New Roman" w:hAnsi="Times New Roman" w:cs="Times New Roman"/>
          <w:sz w:val="24"/>
          <w:szCs w:val="24"/>
        </w:rPr>
        <w:t xml:space="preserve">property relations </w:t>
      </w:r>
      <w:r w:rsidR="00A14608">
        <w:rPr>
          <w:rFonts w:ascii="Times New Roman" w:hAnsi="Times New Roman" w:cs="Times New Roman"/>
          <w:sz w:val="24"/>
          <w:szCs w:val="24"/>
        </w:rPr>
        <w:t xml:space="preserve">depend are derived from a variety of sources. </w:t>
      </w:r>
      <w:r>
        <w:rPr>
          <w:rFonts w:ascii="Times New Roman" w:hAnsi="Times New Roman" w:cs="Times New Roman"/>
          <w:sz w:val="24"/>
          <w:szCs w:val="24"/>
        </w:rPr>
        <w:t>E</w:t>
      </w:r>
      <w:r w:rsidR="00A14608">
        <w:rPr>
          <w:rFonts w:ascii="Times New Roman" w:hAnsi="Times New Roman" w:cs="Times New Roman"/>
          <w:sz w:val="24"/>
          <w:szCs w:val="24"/>
        </w:rPr>
        <w:t xml:space="preserve">ach </w:t>
      </w:r>
      <w:r>
        <w:rPr>
          <w:rFonts w:ascii="Times New Roman" w:hAnsi="Times New Roman" w:cs="Times New Roman"/>
          <w:sz w:val="24"/>
          <w:szCs w:val="24"/>
        </w:rPr>
        <w:t>particular</w:t>
      </w:r>
      <w:r w:rsidR="00A14608">
        <w:rPr>
          <w:rFonts w:ascii="Times New Roman" w:hAnsi="Times New Roman" w:cs="Times New Roman"/>
          <w:sz w:val="24"/>
          <w:szCs w:val="24"/>
        </w:rPr>
        <w:t xml:space="preserve"> relationship</w:t>
      </w:r>
      <w:r>
        <w:rPr>
          <w:rFonts w:ascii="Times New Roman" w:hAnsi="Times New Roman" w:cs="Times New Roman"/>
          <w:sz w:val="24"/>
          <w:szCs w:val="24"/>
        </w:rPr>
        <w:t xml:space="preserve"> differs according to its type</w:t>
      </w:r>
      <w:r w:rsidR="00F60081">
        <w:rPr>
          <w:rFonts w:ascii="Times New Roman" w:hAnsi="Times New Roman" w:cs="Times New Roman"/>
          <w:sz w:val="24"/>
          <w:szCs w:val="24"/>
        </w:rPr>
        <w:t>,</w:t>
      </w:r>
      <w:r w:rsidR="00A14608">
        <w:rPr>
          <w:rFonts w:ascii="Times New Roman" w:hAnsi="Times New Roman" w:cs="Times New Roman"/>
          <w:sz w:val="24"/>
          <w:szCs w:val="24"/>
        </w:rPr>
        <w:t xml:space="preserve"> its rationale</w:t>
      </w:r>
      <w:r w:rsidR="0036289E">
        <w:rPr>
          <w:rFonts w:ascii="Times New Roman" w:hAnsi="Times New Roman" w:cs="Times New Roman"/>
          <w:sz w:val="24"/>
          <w:szCs w:val="24"/>
        </w:rPr>
        <w:t>, its particular location and context,</w:t>
      </w:r>
      <w:r w:rsidR="00A14608">
        <w:rPr>
          <w:rFonts w:ascii="Times New Roman" w:hAnsi="Times New Roman" w:cs="Times New Roman"/>
          <w:sz w:val="24"/>
          <w:szCs w:val="24"/>
        </w:rPr>
        <w:t xml:space="preserve"> and the course of its evolution. Nevertheless there are commonalities which we have sought to capture in the three broad themes identified</w:t>
      </w:r>
      <w:r w:rsidR="002926D8">
        <w:rPr>
          <w:rFonts w:ascii="Times New Roman" w:hAnsi="Times New Roman" w:cs="Times New Roman"/>
          <w:sz w:val="24"/>
          <w:szCs w:val="24"/>
        </w:rPr>
        <w:t xml:space="preserve"> here</w:t>
      </w:r>
      <w:r>
        <w:rPr>
          <w:rFonts w:ascii="Times New Roman" w:hAnsi="Times New Roman" w:cs="Times New Roman"/>
          <w:sz w:val="24"/>
          <w:szCs w:val="24"/>
        </w:rPr>
        <w:t>,</w:t>
      </w:r>
      <w:r w:rsidR="00A14608">
        <w:rPr>
          <w:rFonts w:ascii="Times New Roman" w:hAnsi="Times New Roman" w:cs="Times New Roman"/>
          <w:sz w:val="24"/>
          <w:szCs w:val="24"/>
        </w:rPr>
        <w:t xml:space="preserve"> namely: the </w:t>
      </w:r>
      <w:r w:rsidR="00DE4A5E">
        <w:rPr>
          <w:rFonts w:ascii="Times New Roman" w:hAnsi="Times New Roman" w:cs="Times New Roman"/>
          <w:sz w:val="24"/>
          <w:szCs w:val="24"/>
        </w:rPr>
        <w:t xml:space="preserve">diverse </w:t>
      </w:r>
      <w:r w:rsidR="00A14608">
        <w:rPr>
          <w:rFonts w:ascii="Times New Roman" w:hAnsi="Times New Roman" w:cs="Times New Roman"/>
          <w:sz w:val="24"/>
          <w:szCs w:val="24"/>
        </w:rPr>
        <w:t xml:space="preserve">network of sources </w:t>
      </w:r>
      <w:r w:rsidR="00F60081">
        <w:rPr>
          <w:rFonts w:ascii="Times New Roman" w:hAnsi="Times New Roman" w:cs="Times New Roman"/>
          <w:sz w:val="24"/>
          <w:szCs w:val="24"/>
        </w:rPr>
        <w:t>(including</w:t>
      </w:r>
      <w:r w:rsidR="00A25905">
        <w:rPr>
          <w:rFonts w:ascii="Times New Roman" w:hAnsi="Times New Roman" w:cs="Times New Roman"/>
          <w:sz w:val="24"/>
          <w:szCs w:val="24"/>
        </w:rPr>
        <w:t>,</w:t>
      </w:r>
      <w:r w:rsidR="00F60081">
        <w:rPr>
          <w:rFonts w:ascii="Times New Roman" w:hAnsi="Times New Roman" w:cs="Times New Roman"/>
          <w:sz w:val="24"/>
          <w:szCs w:val="24"/>
        </w:rPr>
        <w:t xml:space="preserve"> but extending beyond</w:t>
      </w:r>
      <w:r w:rsidR="00A25905">
        <w:rPr>
          <w:rFonts w:ascii="Times New Roman" w:hAnsi="Times New Roman" w:cs="Times New Roman"/>
          <w:sz w:val="24"/>
          <w:szCs w:val="24"/>
        </w:rPr>
        <w:t>,</w:t>
      </w:r>
      <w:r w:rsidR="00F60081">
        <w:rPr>
          <w:rFonts w:ascii="Times New Roman" w:hAnsi="Times New Roman" w:cs="Times New Roman"/>
          <w:sz w:val="24"/>
          <w:szCs w:val="24"/>
        </w:rPr>
        <w:t xml:space="preserve"> legal rules) </w:t>
      </w:r>
      <w:r w:rsidR="00CA75C5">
        <w:rPr>
          <w:rFonts w:ascii="Times New Roman" w:hAnsi="Times New Roman" w:cs="Times New Roman"/>
          <w:sz w:val="24"/>
          <w:szCs w:val="24"/>
        </w:rPr>
        <w:t xml:space="preserve">which are </w:t>
      </w:r>
      <w:r>
        <w:rPr>
          <w:rFonts w:ascii="Times New Roman" w:hAnsi="Times New Roman" w:cs="Times New Roman"/>
          <w:sz w:val="24"/>
          <w:szCs w:val="24"/>
        </w:rPr>
        <w:t>multifaceted in their interactions,</w:t>
      </w:r>
      <w:r w:rsidR="00A14608">
        <w:rPr>
          <w:rFonts w:ascii="Times New Roman" w:hAnsi="Times New Roman" w:cs="Times New Roman"/>
          <w:sz w:val="24"/>
          <w:szCs w:val="24"/>
        </w:rPr>
        <w:t xml:space="preserve"> property</w:t>
      </w:r>
      <w:r w:rsidR="00241FCC">
        <w:rPr>
          <w:rFonts w:ascii="Times New Roman" w:hAnsi="Times New Roman" w:cs="Times New Roman"/>
          <w:sz w:val="24"/>
          <w:szCs w:val="24"/>
        </w:rPr>
        <w:t>’</w:t>
      </w:r>
      <w:r w:rsidR="00A14608">
        <w:rPr>
          <w:rFonts w:ascii="Times New Roman" w:hAnsi="Times New Roman" w:cs="Times New Roman"/>
          <w:sz w:val="24"/>
          <w:szCs w:val="24"/>
        </w:rPr>
        <w:t xml:space="preserve">s temporal dimensions and the discretionary spaces within </w:t>
      </w:r>
      <w:r w:rsidR="00F60081">
        <w:rPr>
          <w:rFonts w:ascii="Times New Roman" w:hAnsi="Times New Roman" w:cs="Times New Roman"/>
          <w:sz w:val="24"/>
          <w:szCs w:val="24"/>
        </w:rPr>
        <w:t>decision-making</w:t>
      </w:r>
      <w:r w:rsidR="00A14608">
        <w:rPr>
          <w:rFonts w:ascii="Times New Roman" w:hAnsi="Times New Roman" w:cs="Times New Roman"/>
          <w:sz w:val="24"/>
          <w:szCs w:val="24"/>
        </w:rPr>
        <w:t>. T</w:t>
      </w:r>
      <w:r w:rsidR="0036289E">
        <w:rPr>
          <w:rFonts w:ascii="Times New Roman" w:hAnsi="Times New Roman" w:cs="Times New Roman"/>
          <w:sz w:val="24"/>
          <w:szCs w:val="24"/>
        </w:rPr>
        <w:t xml:space="preserve">he significance of these themes has been illustrated </w:t>
      </w:r>
      <w:r w:rsidR="00A14608">
        <w:rPr>
          <w:rFonts w:ascii="Times New Roman" w:hAnsi="Times New Roman" w:cs="Times New Roman"/>
          <w:sz w:val="24"/>
          <w:szCs w:val="24"/>
        </w:rPr>
        <w:t xml:space="preserve">through examples drawn principally from </w:t>
      </w:r>
      <w:r w:rsidR="0036289E">
        <w:rPr>
          <w:rFonts w:ascii="Times New Roman" w:hAnsi="Times New Roman" w:cs="Times New Roman"/>
          <w:sz w:val="24"/>
          <w:szCs w:val="24"/>
        </w:rPr>
        <w:t xml:space="preserve">research into </w:t>
      </w:r>
      <w:r w:rsidR="00A14608">
        <w:rPr>
          <w:rFonts w:ascii="Times New Roman" w:hAnsi="Times New Roman" w:cs="Times New Roman"/>
          <w:sz w:val="24"/>
          <w:szCs w:val="24"/>
        </w:rPr>
        <w:t xml:space="preserve">commercial leases, the use of communal space within residential </w:t>
      </w:r>
      <w:r w:rsidR="00A25905">
        <w:rPr>
          <w:rFonts w:ascii="Times New Roman" w:hAnsi="Times New Roman" w:cs="Times New Roman"/>
          <w:sz w:val="24"/>
          <w:szCs w:val="24"/>
        </w:rPr>
        <w:t xml:space="preserve">leasehold </w:t>
      </w:r>
      <w:r w:rsidR="00A14608">
        <w:rPr>
          <w:rFonts w:ascii="Times New Roman" w:hAnsi="Times New Roman" w:cs="Times New Roman"/>
          <w:sz w:val="24"/>
          <w:szCs w:val="24"/>
        </w:rPr>
        <w:t>sites and residential mortgages</w:t>
      </w:r>
      <w:r w:rsidR="00CE57A7">
        <w:rPr>
          <w:rFonts w:ascii="Times New Roman" w:hAnsi="Times New Roman" w:cs="Times New Roman"/>
          <w:sz w:val="24"/>
          <w:szCs w:val="24"/>
        </w:rPr>
        <w:t>, reflecting the article’s focus on property relationships in land with a contractual or consensual basis</w:t>
      </w:r>
      <w:r w:rsidR="00A25905">
        <w:rPr>
          <w:rFonts w:ascii="Times New Roman" w:hAnsi="Times New Roman" w:cs="Times New Roman"/>
          <w:sz w:val="24"/>
          <w:szCs w:val="24"/>
        </w:rPr>
        <w:t>.</w:t>
      </w:r>
    </w:p>
    <w:p w:rsidR="00A14608" w:rsidRDefault="00A14608" w:rsidP="00546FD2">
      <w:pPr>
        <w:pStyle w:val="Body"/>
        <w:spacing w:line="480" w:lineRule="auto"/>
        <w:rPr>
          <w:rFonts w:ascii="Times New Roman" w:hAnsi="Times New Roman" w:cs="Times New Roman"/>
          <w:sz w:val="24"/>
          <w:szCs w:val="24"/>
        </w:rPr>
      </w:pPr>
    </w:p>
    <w:p w:rsidR="00F3599A" w:rsidRDefault="00CE57A7" w:rsidP="00F3599A">
      <w:pPr>
        <w:pStyle w:val="Body"/>
        <w:spacing w:line="480" w:lineRule="auto"/>
        <w:rPr>
          <w:rFonts w:ascii="Times New Roman" w:hAnsi="Times New Roman" w:cs="Times New Roman"/>
          <w:sz w:val="24"/>
          <w:szCs w:val="24"/>
        </w:rPr>
      </w:pPr>
      <w:r>
        <w:rPr>
          <w:rFonts w:ascii="Times New Roman" w:hAnsi="Times New Roman" w:cs="Times New Roman"/>
          <w:sz w:val="24"/>
          <w:szCs w:val="24"/>
        </w:rPr>
        <w:t>This demonstrate</w:t>
      </w:r>
      <w:r w:rsidR="00A25905">
        <w:rPr>
          <w:rFonts w:ascii="Times New Roman" w:hAnsi="Times New Roman" w:cs="Times New Roman"/>
          <w:sz w:val="24"/>
          <w:szCs w:val="24"/>
        </w:rPr>
        <w:t>s</w:t>
      </w:r>
      <w:r>
        <w:rPr>
          <w:rFonts w:ascii="Times New Roman" w:hAnsi="Times New Roman" w:cs="Times New Roman"/>
          <w:sz w:val="24"/>
          <w:szCs w:val="24"/>
        </w:rPr>
        <w:t xml:space="preserve"> the value of the dynamics perspective.  </w:t>
      </w:r>
      <w:r w:rsidR="00A14608" w:rsidRPr="00CE57A7">
        <w:rPr>
          <w:rFonts w:ascii="Times New Roman" w:hAnsi="Times New Roman" w:cs="Times New Roman"/>
          <w:sz w:val="24"/>
          <w:szCs w:val="24"/>
        </w:rPr>
        <w:t>For commercial leases</w:t>
      </w:r>
      <w:r>
        <w:rPr>
          <w:rFonts w:ascii="Times New Roman" w:hAnsi="Times New Roman" w:cs="Times New Roman"/>
          <w:sz w:val="24"/>
          <w:szCs w:val="24"/>
        </w:rPr>
        <w:t>, the</w:t>
      </w:r>
      <w:r w:rsidR="00A14608" w:rsidRPr="00CE57A7">
        <w:rPr>
          <w:rFonts w:ascii="Times New Roman" w:hAnsi="Times New Roman" w:cs="Times New Roman"/>
          <w:sz w:val="24"/>
          <w:szCs w:val="24"/>
        </w:rPr>
        <w:t xml:space="preserve"> tension between the formal and the informal</w:t>
      </w:r>
      <w:r>
        <w:rPr>
          <w:rFonts w:ascii="Times New Roman" w:hAnsi="Times New Roman" w:cs="Times New Roman"/>
          <w:sz w:val="24"/>
          <w:szCs w:val="24"/>
        </w:rPr>
        <w:t xml:space="preserve"> is revealed</w:t>
      </w:r>
      <w:r w:rsidR="00A14608" w:rsidRPr="00CE57A7">
        <w:rPr>
          <w:rFonts w:ascii="Times New Roman" w:hAnsi="Times New Roman" w:cs="Times New Roman"/>
          <w:sz w:val="24"/>
          <w:szCs w:val="24"/>
        </w:rPr>
        <w:t xml:space="preserve">. The apparent certainty of presentiation </w:t>
      </w:r>
      <w:r>
        <w:rPr>
          <w:rFonts w:ascii="Times New Roman" w:hAnsi="Times New Roman" w:cs="Times New Roman"/>
          <w:sz w:val="24"/>
          <w:szCs w:val="24"/>
        </w:rPr>
        <w:t xml:space="preserve">in a ‘discrete’ lease </w:t>
      </w:r>
      <w:r w:rsidR="00F26DD4">
        <w:rPr>
          <w:rFonts w:ascii="Times New Roman" w:hAnsi="Times New Roman" w:cs="Times New Roman"/>
          <w:sz w:val="24"/>
          <w:szCs w:val="24"/>
        </w:rPr>
        <w:t xml:space="preserve">may be attractive, </w:t>
      </w:r>
      <w:r w:rsidR="00A14608" w:rsidRPr="00CE57A7">
        <w:rPr>
          <w:rFonts w:ascii="Times New Roman" w:hAnsi="Times New Roman" w:cs="Times New Roman"/>
          <w:sz w:val="24"/>
          <w:szCs w:val="24"/>
        </w:rPr>
        <w:t xml:space="preserve">but </w:t>
      </w:r>
      <w:r w:rsidR="0014674C">
        <w:rPr>
          <w:rFonts w:ascii="Times New Roman" w:hAnsi="Times New Roman" w:cs="Times New Roman"/>
          <w:sz w:val="24"/>
          <w:szCs w:val="24"/>
        </w:rPr>
        <w:t xml:space="preserve">parties </w:t>
      </w:r>
      <w:r w:rsidR="00A14608" w:rsidRPr="00CE57A7">
        <w:rPr>
          <w:rFonts w:ascii="Times New Roman" w:hAnsi="Times New Roman" w:cs="Times New Roman"/>
          <w:sz w:val="24"/>
          <w:szCs w:val="24"/>
        </w:rPr>
        <w:t xml:space="preserve">recognize that it may not be desirable, or even possible, for the ‘real deal’ to be committed to legally binding terms. </w:t>
      </w:r>
      <w:r w:rsidR="0074175D" w:rsidRPr="0074175D">
        <w:rPr>
          <w:rFonts w:ascii="Times New Roman" w:hAnsi="Times New Roman" w:cs="Times New Roman"/>
          <w:sz w:val="24"/>
          <w:szCs w:val="24"/>
          <w:lang w:val="en-GB"/>
        </w:rPr>
        <w:t>Mortgage law as a property institution has a long history</w:t>
      </w:r>
      <w:r w:rsidR="00CC5590">
        <w:rPr>
          <w:rFonts w:ascii="Times New Roman" w:hAnsi="Times New Roman" w:cs="Times New Roman"/>
          <w:sz w:val="24"/>
          <w:szCs w:val="24"/>
          <w:lang w:val="en-GB"/>
        </w:rPr>
        <w:t>;</w:t>
      </w:r>
      <w:r w:rsidR="0074175D" w:rsidRPr="0074175D">
        <w:rPr>
          <w:rFonts w:ascii="Times New Roman" w:hAnsi="Times New Roman" w:cs="Times New Roman"/>
          <w:sz w:val="24"/>
          <w:szCs w:val="24"/>
          <w:lang w:val="en-GB"/>
        </w:rPr>
        <w:t xml:space="preserve"> although some of the foundational legal rules remain largely unchanged</w:t>
      </w:r>
      <w:r w:rsidR="00CC5590">
        <w:rPr>
          <w:rFonts w:ascii="Times New Roman" w:hAnsi="Times New Roman" w:cs="Times New Roman"/>
          <w:sz w:val="24"/>
          <w:szCs w:val="24"/>
          <w:lang w:val="en-GB"/>
        </w:rPr>
        <w:t>,</w:t>
      </w:r>
      <w:r w:rsidR="0074175D" w:rsidRPr="0074175D">
        <w:rPr>
          <w:rFonts w:ascii="Times New Roman" w:hAnsi="Times New Roman" w:cs="Times New Roman"/>
          <w:sz w:val="24"/>
          <w:szCs w:val="24"/>
          <w:lang w:val="en-GB"/>
        </w:rPr>
        <w:t xml:space="preserve"> regulatory rules and practices have evolved in response to the changing social and economic landscape and the contemporary importance of the residential mortgage to delivery of home ownership and financial market stability.</w:t>
      </w:r>
      <w:r w:rsidR="00F3599A">
        <w:rPr>
          <w:rFonts w:ascii="Times New Roman" w:hAnsi="Times New Roman" w:cs="Times New Roman"/>
          <w:sz w:val="24"/>
          <w:szCs w:val="24"/>
          <w:lang w:val="en-GB"/>
        </w:rPr>
        <w:t xml:space="preserve"> </w:t>
      </w:r>
      <w:r w:rsidR="00B77F5A">
        <w:rPr>
          <w:rFonts w:ascii="Times New Roman" w:hAnsi="Times New Roman" w:cs="Times New Roman"/>
          <w:sz w:val="24"/>
          <w:szCs w:val="24"/>
        </w:rPr>
        <w:t xml:space="preserve">The temporal element </w:t>
      </w:r>
      <w:r w:rsidR="00CA75C5">
        <w:rPr>
          <w:rFonts w:ascii="Times New Roman" w:hAnsi="Times New Roman" w:cs="Times New Roman"/>
          <w:sz w:val="24"/>
          <w:szCs w:val="24"/>
        </w:rPr>
        <w:t xml:space="preserve">in property relationships </w:t>
      </w:r>
      <w:r w:rsidR="00033E5F">
        <w:rPr>
          <w:rFonts w:ascii="Times New Roman" w:hAnsi="Times New Roman" w:cs="Times New Roman"/>
          <w:sz w:val="24"/>
          <w:szCs w:val="24"/>
        </w:rPr>
        <w:t>and</w:t>
      </w:r>
      <w:r w:rsidR="00A25905">
        <w:rPr>
          <w:rFonts w:ascii="Times New Roman" w:hAnsi="Times New Roman" w:cs="Times New Roman"/>
          <w:sz w:val="24"/>
          <w:szCs w:val="24"/>
        </w:rPr>
        <w:t xml:space="preserve"> the importance of self-generated norms </w:t>
      </w:r>
      <w:r w:rsidR="00B77F5A">
        <w:rPr>
          <w:rFonts w:ascii="Times New Roman" w:hAnsi="Times New Roman" w:cs="Times New Roman"/>
          <w:sz w:val="24"/>
          <w:szCs w:val="24"/>
        </w:rPr>
        <w:t>appear particularly relevant in residential leasehold contexts, as t</w:t>
      </w:r>
      <w:r w:rsidR="00BC33B8" w:rsidRPr="00CE57A7">
        <w:rPr>
          <w:rFonts w:ascii="Times New Roman" w:hAnsi="Times New Roman" w:cs="Times New Roman"/>
          <w:sz w:val="24"/>
          <w:szCs w:val="24"/>
        </w:rPr>
        <w:t xml:space="preserve">he </w:t>
      </w:r>
      <w:r w:rsidR="00B77F5A">
        <w:rPr>
          <w:rFonts w:ascii="Times New Roman" w:hAnsi="Times New Roman" w:cs="Times New Roman"/>
          <w:sz w:val="24"/>
          <w:szCs w:val="24"/>
        </w:rPr>
        <w:t>(self-)</w:t>
      </w:r>
      <w:r w:rsidR="00A25905">
        <w:rPr>
          <w:rFonts w:ascii="Times New Roman" w:hAnsi="Times New Roman" w:cs="Times New Roman"/>
          <w:sz w:val="24"/>
          <w:szCs w:val="24"/>
        </w:rPr>
        <w:t xml:space="preserve"> </w:t>
      </w:r>
      <w:r w:rsidR="00BC33B8" w:rsidRPr="00CE57A7">
        <w:rPr>
          <w:rFonts w:ascii="Times New Roman" w:hAnsi="Times New Roman" w:cs="Times New Roman"/>
          <w:sz w:val="24"/>
          <w:szCs w:val="24"/>
        </w:rPr>
        <w:t xml:space="preserve">regulation of communal space must </w:t>
      </w:r>
      <w:r w:rsidR="00B77F5A">
        <w:rPr>
          <w:rFonts w:ascii="Times New Roman" w:hAnsi="Times New Roman" w:cs="Times New Roman"/>
          <w:sz w:val="24"/>
          <w:szCs w:val="24"/>
        </w:rPr>
        <w:t>attempt to</w:t>
      </w:r>
      <w:r w:rsidR="00BC33B8" w:rsidRPr="00CE57A7">
        <w:rPr>
          <w:rFonts w:ascii="Times New Roman" w:hAnsi="Times New Roman" w:cs="Times New Roman"/>
          <w:sz w:val="24"/>
          <w:szCs w:val="24"/>
        </w:rPr>
        <w:t xml:space="preserve"> reconcil</w:t>
      </w:r>
      <w:r w:rsidR="00B77F5A">
        <w:rPr>
          <w:rFonts w:ascii="Times New Roman" w:hAnsi="Times New Roman" w:cs="Times New Roman"/>
          <w:sz w:val="24"/>
          <w:szCs w:val="24"/>
        </w:rPr>
        <w:t>e</w:t>
      </w:r>
      <w:r w:rsidR="00BC33B8" w:rsidRPr="00CE57A7">
        <w:rPr>
          <w:rFonts w:ascii="Times New Roman" w:hAnsi="Times New Roman" w:cs="Times New Roman"/>
          <w:sz w:val="24"/>
          <w:szCs w:val="24"/>
        </w:rPr>
        <w:t xml:space="preserve"> diverse needs, attitudes and values</w:t>
      </w:r>
      <w:r w:rsidR="00B77F5A">
        <w:rPr>
          <w:rFonts w:ascii="Times New Roman" w:hAnsi="Times New Roman" w:cs="Times New Roman"/>
          <w:sz w:val="24"/>
          <w:szCs w:val="24"/>
        </w:rPr>
        <w:t xml:space="preserve"> as they change over time</w:t>
      </w:r>
      <w:r w:rsidR="00BC33B8" w:rsidRPr="00CE57A7">
        <w:rPr>
          <w:rFonts w:ascii="Times New Roman" w:hAnsi="Times New Roman" w:cs="Times New Roman"/>
          <w:sz w:val="24"/>
          <w:szCs w:val="24"/>
        </w:rPr>
        <w:t xml:space="preserve">. </w:t>
      </w:r>
      <w:r w:rsidR="00F3599A">
        <w:rPr>
          <w:rFonts w:ascii="Times New Roman" w:hAnsi="Times New Roman" w:cs="Times New Roman"/>
          <w:sz w:val="24"/>
          <w:szCs w:val="24"/>
        </w:rPr>
        <w:t xml:space="preserve"> </w:t>
      </w:r>
    </w:p>
    <w:p w:rsidR="00F3599A" w:rsidRDefault="00F3599A" w:rsidP="00F3599A">
      <w:pPr>
        <w:pStyle w:val="Body"/>
        <w:spacing w:line="480" w:lineRule="auto"/>
        <w:rPr>
          <w:rFonts w:ascii="Times New Roman" w:hAnsi="Times New Roman" w:cs="Times New Roman"/>
          <w:sz w:val="24"/>
          <w:szCs w:val="24"/>
        </w:rPr>
      </w:pPr>
    </w:p>
    <w:p w:rsidR="00CA75C5" w:rsidRPr="00F3599A" w:rsidRDefault="00F3599A" w:rsidP="00F3599A">
      <w:pPr>
        <w:pStyle w:val="Body"/>
        <w:spacing w:line="480" w:lineRule="auto"/>
        <w:rPr>
          <w:rFonts w:ascii="Times New Roman" w:hAnsi="Times New Roman" w:cs="Times New Roman"/>
          <w:sz w:val="24"/>
          <w:szCs w:val="24"/>
        </w:rPr>
      </w:pPr>
      <w:r w:rsidRPr="008935BE">
        <w:rPr>
          <w:rFonts w:ascii="Times New Roman" w:hAnsi="Times New Roman" w:cs="Times New Roman"/>
          <w:sz w:val="24"/>
          <w:szCs w:val="24"/>
        </w:rPr>
        <w:t>Th</w:t>
      </w:r>
      <w:r>
        <w:rPr>
          <w:rFonts w:ascii="Times New Roman" w:hAnsi="Times New Roman" w:cs="Times New Roman"/>
          <w:sz w:val="24"/>
          <w:szCs w:val="24"/>
        </w:rPr>
        <w:t>is</w:t>
      </w:r>
      <w:r w:rsidRPr="008935BE">
        <w:rPr>
          <w:rFonts w:ascii="Times New Roman" w:hAnsi="Times New Roman" w:cs="Times New Roman"/>
          <w:sz w:val="24"/>
          <w:szCs w:val="24"/>
        </w:rPr>
        <w:t xml:space="preserve"> article has also suggested that forms of decision-making and dispute resolution which reflect flexibility, informality, and compromise are more likely to be effective in resolving disputes</w:t>
      </w:r>
      <w:r w:rsidRPr="00B03C10">
        <w:rPr>
          <w:rFonts w:ascii="Times New Roman" w:hAnsi="Times New Roman" w:cs="Times New Roman"/>
          <w:sz w:val="24"/>
          <w:szCs w:val="24"/>
        </w:rPr>
        <w:t xml:space="preserve"> </w:t>
      </w:r>
      <w:r>
        <w:rPr>
          <w:rFonts w:ascii="Times New Roman" w:hAnsi="Times New Roman" w:cs="Times New Roman"/>
          <w:sz w:val="24"/>
          <w:szCs w:val="24"/>
        </w:rPr>
        <w:t xml:space="preserve">and promoting </w:t>
      </w:r>
      <w:r w:rsidRPr="008935BE">
        <w:rPr>
          <w:rFonts w:ascii="Times New Roman" w:hAnsi="Times New Roman" w:cs="Times New Roman"/>
          <w:sz w:val="24"/>
          <w:szCs w:val="24"/>
        </w:rPr>
        <w:t>successful enduring property relationships</w:t>
      </w:r>
      <w:r>
        <w:rPr>
          <w:rFonts w:ascii="Times New Roman" w:hAnsi="Times New Roman" w:cs="Times New Roman"/>
          <w:sz w:val="24"/>
          <w:szCs w:val="24"/>
        </w:rPr>
        <w:t>.</w:t>
      </w:r>
      <w:r w:rsidRPr="008935BE">
        <w:rPr>
          <w:rFonts w:ascii="Times New Roman" w:hAnsi="Times New Roman" w:cs="Times New Roman"/>
          <w:sz w:val="24"/>
          <w:szCs w:val="24"/>
        </w:rPr>
        <w:t xml:space="preserve"> </w:t>
      </w:r>
      <w:r w:rsidR="00BC33B8" w:rsidRPr="00F3599A">
        <w:rPr>
          <w:rFonts w:ascii="Times New Roman" w:hAnsi="Times New Roman" w:cs="Times New Roman"/>
          <w:sz w:val="24"/>
          <w:szCs w:val="24"/>
        </w:rPr>
        <w:t xml:space="preserve">Crystalline legal rights encapsulated at a moment in time </w:t>
      </w:r>
      <w:r w:rsidR="00553455" w:rsidRPr="00F3599A">
        <w:rPr>
          <w:rFonts w:ascii="Times New Roman" w:hAnsi="Times New Roman" w:cs="Times New Roman"/>
          <w:sz w:val="24"/>
          <w:szCs w:val="24"/>
        </w:rPr>
        <w:t>often seem</w:t>
      </w:r>
      <w:r w:rsidR="00BC33B8" w:rsidRPr="00F3599A">
        <w:rPr>
          <w:rFonts w:ascii="Times New Roman" w:hAnsi="Times New Roman" w:cs="Times New Roman"/>
          <w:sz w:val="24"/>
          <w:szCs w:val="24"/>
        </w:rPr>
        <w:t xml:space="preserve"> poorly designed for </w:t>
      </w:r>
      <w:r w:rsidR="00553455" w:rsidRPr="00F3599A">
        <w:rPr>
          <w:rFonts w:ascii="Times New Roman" w:hAnsi="Times New Roman" w:cs="Times New Roman"/>
          <w:sz w:val="24"/>
          <w:szCs w:val="24"/>
        </w:rPr>
        <w:t>dynamic and enduring property relationships</w:t>
      </w:r>
      <w:r w:rsidR="00BC33B8" w:rsidRPr="00F3599A">
        <w:rPr>
          <w:rFonts w:ascii="Times New Roman" w:hAnsi="Times New Roman" w:cs="Times New Roman"/>
          <w:sz w:val="24"/>
          <w:szCs w:val="24"/>
        </w:rPr>
        <w:t xml:space="preserve">. </w:t>
      </w:r>
      <w:r w:rsidR="00D10368" w:rsidRPr="00F3599A">
        <w:rPr>
          <w:rFonts w:ascii="Times New Roman" w:hAnsi="Times New Roman" w:cs="Times New Roman"/>
          <w:sz w:val="24"/>
          <w:szCs w:val="24"/>
        </w:rPr>
        <w:t xml:space="preserve"> The alternative is for property law </w:t>
      </w:r>
      <w:r>
        <w:rPr>
          <w:rFonts w:ascii="Times New Roman" w:hAnsi="Times New Roman" w:cs="Times New Roman"/>
          <w:sz w:val="24"/>
          <w:szCs w:val="24"/>
        </w:rPr>
        <w:t>‘</w:t>
      </w:r>
      <w:r w:rsidR="001A74E6" w:rsidRPr="00F3599A">
        <w:rPr>
          <w:rFonts w:ascii="Times New Roman" w:hAnsi="Times New Roman" w:cs="Times New Roman"/>
          <w:sz w:val="24"/>
          <w:szCs w:val="24"/>
        </w:rPr>
        <w:t xml:space="preserve">to enable workable informal arrangements between neighbours to survive changes in ownership without requiring unilateral action </w:t>
      </w:r>
      <w:r w:rsidR="00CD09C0" w:rsidRPr="00F3599A">
        <w:rPr>
          <w:rFonts w:ascii="Times New Roman" w:hAnsi="Times New Roman" w:cs="Times New Roman"/>
          <w:sz w:val="24"/>
          <w:szCs w:val="24"/>
        </w:rPr>
        <w:t xml:space="preserve">[i.e. recourse to the courts] </w:t>
      </w:r>
      <w:r w:rsidR="001A74E6" w:rsidRPr="00F3599A">
        <w:rPr>
          <w:rFonts w:ascii="Times New Roman" w:hAnsi="Times New Roman" w:cs="Times New Roman"/>
          <w:sz w:val="24"/>
          <w:szCs w:val="24"/>
        </w:rPr>
        <w:t>by one neighbour in relation to the title of another, which may itself be productive of dispute and discord</w:t>
      </w:r>
      <w:r w:rsidR="00CD09C0" w:rsidRPr="00F3599A">
        <w:rPr>
          <w:rFonts w:ascii="Times New Roman" w:hAnsi="Times New Roman" w:cs="Times New Roman"/>
          <w:sz w:val="24"/>
          <w:szCs w:val="24"/>
        </w:rPr>
        <w:t>’</w:t>
      </w:r>
      <w:r w:rsidR="001A74E6" w:rsidRPr="00F3599A">
        <w:rPr>
          <w:rFonts w:ascii="Times New Roman" w:hAnsi="Times New Roman" w:cs="Times New Roman"/>
          <w:sz w:val="24"/>
          <w:szCs w:val="24"/>
        </w:rPr>
        <w:t>.</w:t>
      </w:r>
      <w:r w:rsidR="00C02640" w:rsidRPr="00F3599A">
        <w:rPr>
          <w:rStyle w:val="FootnoteReference"/>
        </w:rPr>
        <w:footnoteReference w:id="176"/>
      </w:r>
      <w:r w:rsidR="00553455" w:rsidRPr="00F3599A">
        <w:rPr>
          <w:rStyle w:val="FootnoteReference"/>
        </w:rPr>
        <w:t xml:space="preserve"> </w:t>
      </w:r>
    </w:p>
    <w:p w:rsidR="00B03C10" w:rsidRPr="00CE57A7" w:rsidRDefault="00B03C10" w:rsidP="00546FD2">
      <w:pPr>
        <w:pStyle w:val="Body"/>
        <w:spacing w:line="480" w:lineRule="auto"/>
        <w:rPr>
          <w:rFonts w:ascii="Times New Roman" w:hAnsi="Times New Roman" w:cs="Times New Roman"/>
          <w:sz w:val="24"/>
          <w:szCs w:val="24"/>
        </w:rPr>
      </w:pPr>
    </w:p>
    <w:p w:rsidR="00A14608" w:rsidRDefault="00A25905" w:rsidP="00546FD2">
      <w:pPr>
        <w:pStyle w:val="Body"/>
        <w:spacing w:line="480" w:lineRule="auto"/>
        <w:rPr>
          <w:rFonts w:ascii="Times New Roman" w:hAnsi="Times New Roman" w:cs="Times New Roman"/>
          <w:sz w:val="24"/>
          <w:szCs w:val="24"/>
        </w:rPr>
      </w:pPr>
      <w:r>
        <w:rPr>
          <w:rFonts w:ascii="Times New Roman" w:hAnsi="Times New Roman" w:cs="Times New Roman"/>
          <w:sz w:val="24"/>
          <w:szCs w:val="24"/>
        </w:rPr>
        <w:t>As</w:t>
      </w:r>
      <w:r w:rsidR="00B7184F">
        <w:rPr>
          <w:rFonts w:ascii="Times New Roman" w:hAnsi="Times New Roman" w:cs="Times New Roman"/>
          <w:sz w:val="24"/>
          <w:szCs w:val="24"/>
        </w:rPr>
        <w:t xml:space="preserve"> </w:t>
      </w:r>
      <w:r w:rsidR="00957A0C" w:rsidRPr="00CE57A7">
        <w:rPr>
          <w:rFonts w:ascii="Times New Roman" w:hAnsi="Times New Roman" w:cs="Times New Roman"/>
          <w:sz w:val="24"/>
          <w:szCs w:val="24"/>
        </w:rPr>
        <w:t xml:space="preserve">Singer </w:t>
      </w:r>
      <w:r>
        <w:rPr>
          <w:rFonts w:ascii="Times New Roman" w:hAnsi="Times New Roman" w:cs="Times New Roman"/>
          <w:sz w:val="24"/>
          <w:szCs w:val="24"/>
        </w:rPr>
        <w:t>notes,</w:t>
      </w:r>
      <w:r w:rsidRPr="00CE57A7">
        <w:rPr>
          <w:rFonts w:ascii="Times New Roman" w:hAnsi="Times New Roman" w:cs="Times New Roman"/>
          <w:sz w:val="24"/>
          <w:szCs w:val="24"/>
        </w:rPr>
        <w:t xml:space="preserve"> </w:t>
      </w:r>
      <w:r w:rsidR="00957A0C" w:rsidRPr="00CE57A7">
        <w:rPr>
          <w:rFonts w:ascii="Times New Roman" w:hAnsi="Times New Roman" w:cs="Times New Roman"/>
          <w:sz w:val="24"/>
          <w:szCs w:val="24"/>
        </w:rPr>
        <w:t xml:space="preserve">‘we will better understand the function of property law in our economic and legal system if we </w:t>
      </w:r>
      <w:r w:rsidR="00CD09C0">
        <w:rPr>
          <w:rFonts w:ascii="Times New Roman" w:hAnsi="Times New Roman" w:cs="Times New Roman"/>
          <w:sz w:val="24"/>
          <w:szCs w:val="24"/>
        </w:rPr>
        <w:t xml:space="preserve">… </w:t>
      </w:r>
      <w:r w:rsidR="00957A0C" w:rsidRPr="00CE57A7">
        <w:rPr>
          <w:rFonts w:ascii="Times New Roman" w:hAnsi="Times New Roman" w:cs="Times New Roman"/>
          <w:sz w:val="24"/>
          <w:szCs w:val="24"/>
        </w:rPr>
        <w:t>include the entire social and legal structure that defines the property-rights system.’</w:t>
      </w:r>
      <w:r w:rsidR="00957A0C" w:rsidRPr="00CE57A7">
        <w:rPr>
          <w:rStyle w:val="FootnoteReference"/>
          <w:rFonts w:ascii="Times New Roman" w:hAnsi="Times New Roman" w:cs="Times New Roman"/>
          <w:sz w:val="24"/>
          <w:szCs w:val="24"/>
        </w:rPr>
        <w:footnoteReference w:id="177"/>
      </w:r>
      <w:r w:rsidR="00957A0C" w:rsidRPr="00CE57A7">
        <w:rPr>
          <w:rFonts w:ascii="Times New Roman" w:hAnsi="Times New Roman" w:cs="Times New Roman"/>
          <w:sz w:val="24"/>
          <w:szCs w:val="24"/>
        </w:rPr>
        <w:t xml:space="preserve"> </w:t>
      </w:r>
      <w:r w:rsidR="0099353C">
        <w:rPr>
          <w:rFonts w:ascii="Times New Roman" w:hAnsi="Times New Roman" w:cs="Times New Roman"/>
          <w:sz w:val="24"/>
          <w:szCs w:val="24"/>
        </w:rPr>
        <w:t>This entails</w:t>
      </w:r>
      <w:r w:rsidR="00A14608" w:rsidRPr="00CE57A7">
        <w:rPr>
          <w:rFonts w:ascii="Times New Roman" w:hAnsi="Times New Roman" w:cs="Times New Roman"/>
          <w:sz w:val="24"/>
          <w:szCs w:val="24"/>
        </w:rPr>
        <w:t xml:space="preserve"> </w:t>
      </w:r>
      <w:r w:rsidR="0099353C" w:rsidRPr="00CE57A7">
        <w:rPr>
          <w:rFonts w:ascii="Times New Roman" w:hAnsi="Times New Roman" w:cs="Times New Roman"/>
          <w:sz w:val="24"/>
          <w:szCs w:val="24"/>
        </w:rPr>
        <w:t>mov</w:t>
      </w:r>
      <w:r w:rsidR="0099353C">
        <w:rPr>
          <w:rFonts w:ascii="Times New Roman" w:hAnsi="Times New Roman" w:cs="Times New Roman"/>
          <w:sz w:val="24"/>
          <w:szCs w:val="24"/>
        </w:rPr>
        <w:t xml:space="preserve">ing </w:t>
      </w:r>
      <w:r w:rsidR="00A14608" w:rsidRPr="00CE57A7">
        <w:rPr>
          <w:rFonts w:ascii="Times New Roman" w:hAnsi="Times New Roman" w:cs="Times New Roman"/>
          <w:sz w:val="24"/>
          <w:szCs w:val="24"/>
        </w:rPr>
        <w:t xml:space="preserve">beyond the picture of property as a black and white photograph capturing a moment in </w:t>
      </w:r>
      <w:r w:rsidR="00CD09C0">
        <w:rPr>
          <w:rFonts w:ascii="Times New Roman" w:hAnsi="Times New Roman" w:cs="Times New Roman"/>
          <w:sz w:val="24"/>
          <w:szCs w:val="24"/>
        </w:rPr>
        <w:t>time</w:t>
      </w:r>
      <w:r w:rsidR="00A14608" w:rsidRPr="00CE57A7">
        <w:rPr>
          <w:rFonts w:ascii="Times New Roman" w:hAnsi="Times New Roman" w:cs="Times New Roman"/>
          <w:sz w:val="24"/>
          <w:szCs w:val="24"/>
        </w:rPr>
        <w:t xml:space="preserve">. Instead we </w:t>
      </w:r>
      <w:r w:rsidR="0099353C">
        <w:rPr>
          <w:rFonts w:ascii="Times New Roman" w:hAnsi="Times New Roman" w:cs="Times New Roman"/>
          <w:sz w:val="24"/>
          <w:szCs w:val="24"/>
        </w:rPr>
        <w:t xml:space="preserve">want to </w:t>
      </w:r>
      <w:r w:rsidR="00A14608" w:rsidRPr="00CE57A7">
        <w:rPr>
          <w:rFonts w:ascii="Times New Roman" w:hAnsi="Times New Roman" w:cs="Times New Roman"/>
          <w:sz w:val="24"/>
          <w:szCs w:val="24"/>
        </w:rPr>
        <w:t xml:space="preserve">see property </w:t>
      </w:r>
      <w:r w:rsidR="00B81F42" w:rsidRPr="00CE57A7">
        <w:rPr>
          <w:rFonts w:ascii="Times New Roman" w:hAnsi="Times New Roman" w:cs="Times New Roman"/>
          <w:sz w:val="24"/>
          <w:szCs w:val="24"/>
        </w:rPr>
        <w:t>in three</w:t>
      </w:r>
      <w:r w:rsidR="0036289E" w:rsidRPr="00CE57A7">
        <w:rPr>
          <w:rFonts w:ascii="Times New Roman" w:hAnsi="Times New Roman" w:cs="Times New Roman"/>
          <w:sz w:val="24"/>
          <w:szCs w:val="24"/>
        </w:rPr>
        <w:t xml:space="preserve"> </w:t>
      </w:r>
      <w:r w:rsidR="00B81F42" w:rsidRPr="00CE57A7">
        <w:rPr>
          <w:rFonts w:ascii="Times New Roman" w:hAnsi="Times New Roman" w:cs="Times New Roman"/>
          <w:sz w:val="24"/>
          <w:szCs w:val="24"/>
        </w:rPr>
        <w:t>dimensions</w:t>
      </w:r>
      <w:r>
        <w:rPr>
          <w:rFonts w:ascii="Times New Roman" w:hAnsi="Times New Roman" w:cs="Times New Roman"/>
          <w:sz w:val="24"/>
          <w:szCs w:val="24"/>
        </w:rPr>
        <w:t>,</w:t>
      </w:r>
      <w:r w:rsidR="00B81F42" w:rsidRPr="00CE57A7">
        <w:rPr>
          <w:rFonts w:ascii="Times New Roman" w:hAnsi="Times New Roman" w:cs="Times New Roman"/>
          <w:sz w:val="24"/>
          <w:szCs w:val="24"/>
        </w:rPr>
        <w:t xml:space="preserve"> and in</w:t>
      </w:r>
      <w:r w:rsidR="00A14608" w:rsidRPr="00CE57A7">
        <w:rPr>
          <w:rFonts w:ascii="Times New Roman" w:hAnsi="Times New Roman" w:cs="Times New Roman"/>
          <w:sz w:val="24"/>
          <w:szCs w:val="24"/>
        </w:rPr>
        <w:t xml:space="preserve"> colour</w:t>
      </w:r>
      <w:r>
        <w:rPr>
          <w:rFonts w:ascii="Times New Roman" w:hAnsi="Times New Roman" w:cs="Times New Roman"/>
          <w:sz w:val="24"/>
          <w:szCs w:val="24"/>
        </w:rPr>
        <w:t>,</w:t>
      </w:r>
      <w:r w:rsidR="00A14608" w:rsidRPr="00CE57A7">
        <w:rPr>
          <w:rFonts w:ascii="Times New Roman" w:hAnsi="Times New Roman" w:cs="Times New Roman"/>
          <w:sz w:val="24"/>
          <w:szCs w:val="24"/>
        </w:rPr>
        <w:t xml:space="preserve"> </w:t>
      </w:r>
      <w:r w:rsidR="0099353C">
        <w:rPr>
          <w:rFonts w:ascii="Times New Roman" w:hAnsi="Times New Roman" w:cs="Times New Roman"/>
          <w:sz w:val="24"/>
          <w:szCs w:val="24"/>
        </w:rPr>
        <w:t xml:space="preserve">to accurately </w:t>
      </w:r>
      <w:r w:rsidR="00A14608" w:rsidRPr="00CE57A7">
        <w:rPr>
          <w:rFonts w:ascii="Times New Roman" w:hAnsi="Times New Roman" w:cs="Times New Roman"/>
          <w:sz w:val="24"/>
          <w:szCs w:val="24"/>
        </w:rPr>
        <w:t>represent the right holders’ relationship located in time and space</w:t>
      </w:r>
      <w:r w:rsidR="0099353C">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99353C">
        <w:rPr>
          <w:rFonts w:ascii="Times New Roman" w:hAnsi="Times New Roman" w:cs="Times New Roman"/>
          <w:sz w:val="24"/>
          <w:szCs w:val="24"/>
        </w:rPr>
        <w:t xml:space="preserve">in lived </w:t>
      </w:r>
      <w:r w:rsidR="000B43E6">
        <w:rPr>
          <w:rFonts w:ascii="Times New Roman" w:hAnsi="Times New Roman" w:cs="Times New Roman"/>
          <w:sz w:val="24"/>
          <w:szCs w:val="24"/>
        </w:rPr>
        <w:t>experiences</w:t>
      </w:r>
      <w:r w:rsidR="00B81F42" w:rsidRPr="00CE57A7">
        <w:rPr>
          <w:rFonts w:ascii="Times New Roman" w:hAnsi="Times New Roman" w:cs="Times New Roman"/>
          <w:sz w:val="24"/>
          <w:szCs w:val="24"/>
        </w:rPr>
        <w:t>. This</w:t>
      </w:r>
      <w:r w:rsidR="00A14608" w:rsidRPr="00CE57A7">
        <w:rPr>
          <w:rFonts w:ascii="Times New Roman" w:hAnsi="Times New Roman" w:cs="Times New Roman"/>
          <w:sz w:val="24"/>
          <w:szCs w:val="24"/>
        </w:rPr>
        <w:t xml:space="preserve"> </w:t>
      </w:r>
      <w:r w:rsidR="00DA30B3">
        <w:rPr>
          <w:rFonts w:ascii="Times New Roman" w:hAnsi="Times New Roman" w:cs="Times New Roman"/>
          <w:sz w:val="24"/>
          <w:szCs w:val="24"/>
        </w:rPr>
        <w:t>captures</w:t>
      </w:r>
      <w:r w:rsidR="00DA30B3" w:rsidRPr="00CE57A7">
        <w:rPr>
          <w:rFonts w:ascii="Times New Roman" w:hAnsi="Times New Roman" w:cs="Times New Roman"/>
          <w:sz w:val="24"/>
          <w:szCs w:val="24"/>
        </w:rPr>
        <w:t xml:space="preserve"> </w:t>
      </w:r>
      <w:r w:rsidR="00A14608" w:rsidRPr="00CE57A7">
        <w:rPr>
          <w:rFonts w:ascii="Times New Roman" w:hAnsi="Times New Roman" w:cs="Times New Roman"/>
          <w:sz w:val="24"/>
          <w:szCs w:val="24"/>
        </w:rPr>
        <w:t>not only the clarity of the legal rules that bind the</w:t>
      </w:r>
      <w:r w:rsidR="00B81F42" w:rsidRPr="00CE57A7">
        <w:rPr>
          <w:rFonts w:ascii="Times New Roman" w:hAnsi="Times New Roman" w:cs="Times New Roman"/>
          <w:sz w:val="24"/>
          <w:szCs w:val="24"/>
        </w:rPr>
        <w:t xml:space="preserve"> parties</w:t>
      </w:r>
      <w:r w:rsidR="00A14608" w:rsidRPr="00CE57A7">
        <w:rPr>
          <w:rFonts w:ascii="Times New Roman" w:hAnsi="Times New Roman" w:cs="Times New Roman"/>
          <w:sz w:val="24"/>
          <w:szCs w:val="24"/>
        </w:rPr>
        <w:t xml:space="preserve"> but also the wider frameworks in which </w:t>
      </w:r>
      <w:r w:rsidR="00B81F42" w:rsidRPr="00CE57A7">
        <w:rPr>
          <w:rFonts w:ascii="Times New Roman" w:hAnsi="Times New Roman" w:cs="Times New Roman"/>
          <w:sz w:val="24"/>
          <w:szCs w:val="24"/>
        </w:rPr>
        <w:t>their</w:t>
      </w:r>
      <w:r w:rsidR="0099353C">
        <w:rPr>
          <w:rFonts w:ascii="Times New Roman" w:hAnsi="Times New Roman" w:cs="Times New Roman"/>
          <w:sz w:val="24"/>
          <w:szCs w:val="24"/>
        </w:rPr>
        <w:t xml:space="preserve"> property</w:t>
      </w:r>
      <w:r w:rsidR="00B81F42" w:rsidRPr="00CE57A7">
        <w:rPr>
          <w:rFonts w:ascii="Times New Roman" w:hAnsi="Times New Roman" w:cs="Times New Roman"/>
          <w:sz w:val="24"/>
          <w:szCs w:val="24"/>
        </w:rPr>
        <w:t xml:space="preserve"> relationship is</w:t>
      </w:r>
      <w:r w:rsidR="00A14608" w:rsidRPr="00CE57A7">
        <w:rPr>
          <w:rFonts w:ascii="Times New Roman" w:hAnsi="Times New Roman" w:cs="Times New Roman"/>
          <w:sz w:val="24"/>
          <w:szCs w:val="24"/>
        </w:rPr>
        <w:t xml:space="preserve"> embedded and the soft-focused self</w:t>
      </w:r>
      <w:r w:rsidR="00B81F42" w:rsidRPr="00CE57A7">
        <w:rPr>
          <w:rFonts w:ascii="Times New Roman" w:hAnsi="Times New Roman" w:cs="Times New Roman"/>
          <w:sz w:val="24"/>
          <w:szCs w:val="24"/>
        </w:rPr>
        <w:t>-</w:t>
      </w:r>
      <w:r w:rsidR="00A14608" w:rsidRPr="00CE57A7">
        <w:rPr>
          <w:rFonts w:ascii="Times New Roman" w:hAnsi="Times New Roman" w:cs="Times New Roman"/>
          <w:sz w:val="24"/>
          <w:szCs w:val="24"/>
        </w:rPr>
        <w:t>generated norms which may develop</w:t>
      </w:r>
      <w:r w:rsidR="0099353C">
        <w:rPr>
          <w:rFonts w:ascii="Times New Roman" w:hAnsi="Times New Roman" w:cs="Times New Roman"/>
          <w:sz w:val="24"/>
          <w:szCs w:val="24"/>
        </w:rPr>
        <w:t>.</w:t>
      </w:r>
      <w:r w:rsidR="00A14608" w:rsidRPr="00CE57A7">
        <w:rPr>
          <w:rFonts w:ascii="Times New Roman" w:hAnsi="Times New Roman" w:cs="Times New Roman"/>
          <w:sz w:val="24"/>
          <w:szCs w:val="24"/>
        </w:rPr>
        <w:t xml:space="preserve"> Both representations are important and have their place</w:t>
      </w:r>
      <w:r w:rsidR="00E47B00">
        <w:rPr>
          <w:rFonts w:ascii="Times New Roman" w:hAnsi="Times New Roman" w:cs="Times New Roman"/>
          <w:sz w:val="24"/>
          <w:szCs w:val="24"/>
        </w:rPr>
        <w:t>,</w:t>
      </w:r>
      <w:r w:rsidR="00A14608" w:rsidRPr="00CE57A7">
        <w:rPr>
          <w:rFonts w:ascii="Times New Roman" w:hAnsi="Times New Roman" w:cs="Times New Roman"/>
          <w:sz w:val="24"/>
          <w:szCs w:val="24"/>
        </w:rPr>
        <w:t xml:space="preserve"> but to promote one without the other runs the </w:t>
      </w:r>
      <w:r w:rsidR="00B72E09">
        <w:rPr>
          <w:rFonts w:ascii="Times New Roman" w:hAnsi="Times New Roman" w:cs="Times New Roman"/>
          <w:sz w:val="24"/>
          <w:szCs w:val="24"/>
        </w:rPr>
        <w:t>risk</w:t>
      </w:r>
      <w:r w:rsidR="00B72E09" w:rsidRPr="00CE57A7">
        <w:rPr>
          <w:rFonts w:ascii="Times New Roman" w:hAnsi="Times New Roman" w:cs="Times New Roman"/>
          <w:sz w:val="24"/>
          <w:szCs w:val="24"/>
        </w:rPr>
        <w:t xml:space="preserve"> </w:t>
      </w:r>
      <w:r w:rsidR="00A14608" w:rsidRPr="00CE57A7">
        <w:rPr>
          <w:rFonts w:ascii="Times New Roman" w:hAnsi="Times New Roman" w:cs="Times New Roman"/>
          <w:sz w:val="24"/>
          <w:szCs w:val="24"/>
        </w:rPr>
        <w:t xml:space="preserve">of distorting and devaluing </w:t>
      </w:r>
      <w:r w:rsidR="00B72E09">
        <w:rPr>
          <w:rFonts w:ascii="Times New Roman" w:hAnsi="Times New Roman" w:cs="Times New Roman"/>
          <w:sz w:val="24"/>
          <w:szCs w:val="24"/>
        </w:rPr>
        <w:t>the</w:t>
      </w:r>
      <w:r w:rsidR="00B72E09" w:rsidRPr="00CE57A7">
        <w:rPr>
          <w:rFonts w:ascii="Times New Roman" w:hAnsi="Times New Roman" w:cs="Times New Roman"/>
          <w:sz w:val="24"/>
          <w:szCs w:val="24"/>
        </w:rPr>
        <w:t xml:space="preserve"> </w:t>
      </w:r>
      <w:r w:rsidR="00A14608" w:rsidRPr="00CE57A7">
        <w:rPr>
          <w:rFonts w:ascii="Times New Roman" w:hAnsi="Times New Roman" w:cs="Times New Roman"/>
          <w:sz w:val="24"/>
          <w:szCs w:val="24"/>
        </w:rPr>
        <w:t>conception of property</w:t>
      </w:r>
      <w:r w:rsidR="00B72E09">
        <w:rPr>
          <w:rFonts w:ascii="Times New Roman" w:hAnsi="Times New Roman" w:cs="Times New Roman"/>
          <w:sz w:val="24"/>
          <w:szCs w:val="24"/>
        </w:rPr>
        <w:t xml:space="preserve"> to one dominated by exclusionary rights</w:t>
      </w:r>
      <w:r w:rsidR="00A14608" w:rsidRPr="00CE57A7">
        <w:rPr>
          <w:rFonts w:ascii="Times New Roman" w:hAnsi="Times New Roman" w:cs="Times New Roman"/>
          <w:sz w:val="24"/>
          <w:szCs w:val="24"/>
        </w:rPr>
        <w:t xml:space="preserve">. </w:t>
      </w:r>
    </w:p>
    <w:p w:rsidR="00B72E09" w:rsidRPr="00CE57A7" w:rsidRDefault="00B72E09" w:rsidP="00546FD2">
      <w:pPr>
        <w:pStyle w:val="Body"/>
        <w:spacing w:line="480" w:lineRule="auto"/>
        <w:rPr>
          <w:rFonts w:ascii="Times New Roman" w:hAnsi="Times New Roman" w:cs="Times New Roman"/>
          <w:sz w:val="24"/>
          <w:szCs w:val="24"/>
        </w:rPr>
      </w:pPr>
    </w:p>
    <w:p w:rsidR="00C53ED4" w:rsidRPr="007B054C" w:rsidRDefault="00A25905" w:rsidP="00546FD2">
      <w:pPr>
        <w:spacing w:line="480" w:lineRule="auto"/>
        <w:rPr>
          <w:szCs w:val="24"/>
        </w:rPr>
      </w:pPr>
      <w:r>
        <w:rPr>
          <w:szCs w:val="24"/>
        </w:rPr>
        <w:t>The</w:t>
      </w:r>
      <w:r w:rsidRPr="00CE57A7">
        <w:rPr>
          <w:szCs w:val="24"/>
        </w:rPr>
        <w:t xml:space="preserve"> themes explored in this article</w:t>
      </w:r>
      <w:r w:rsidR="00F3599A">
        <w:rPr>
          <w:szCs w:val="24"/>
        </w:rPr>
        <w:t>,</w:t>
      </w:r>
      <w:r w:rsidR="00F3599A" w:rsidRPr="00CE57A7">
        <w:rPr>
          <w:szCs w:val="24"/>
        </w:rPr>
        <w:t xml:space="preserve"> and their interaction</w:t>
      </w:r>
      <w:r w:rsidR="00F3599A">
        <w:rPr>
          <w:szCs w:val="24"/>
        </w:rPr>
        <w:t>,</w:t>
      </w:r>
      <w:r w:rsidRPr="00CE57A7">
        <w:rPr>
          <w:szCs w:val="24"/>
        </w:rPr>
        <w:t xml:space="preserve"> </w:t>
      </w:r>
      <w:r>
        <w:rPr>
          <w:szCs w:val="24"/>
        </w:rPr>
        <w:t xml:space="preserve">provide </w:t>
      </w:r>
      <w:r w:rsidRPr="00CE57A7">
        <w:rPr>
          <w:szCs w:val="24"/>
        </w:rPr>
        <w:t xml:space="preserve">a starting point to more fully appreciate the dynamics of enduring property relations in all their various forms. </w:t>
      </w:r>
      <w:r w:rsidR="00A14608" w:rsidRPr="00CE57A7">
        <w:rPr>
          <w:szCs w:val="24"/>
        </w:rPr>
        <w:t>We encourage those interested in property to join us in our exploration of property</w:t>
      </w:r>
      <w:r w:rsidR="00DA30B3">
        <w:rPr>
          <w:szCs w:val="24"/>
        </w:rPr>
        <w:t xml:space="preserve"> as dynamic and enduring, n</w:t>
      </w:r>
      <w:r w:rsidR="00A14608" w:rsidRPr="00CE57A7">
        <w:rPr>
          <w:szCs w:val="24"/>
        </w:rPr>
        <w:t xml:space="preserve">ot as an alternative to established legal rules and doctrines but as a richer and more challenging appreciation of property within lived relationships. </w:t>
      </w:r>
    </w:p>
    <w:sectPr w:rsidR="00C53ED4" w:rsidRPr="007B054C" w:rsidSect="00137FD6">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FEF" w:rsidRDefault="00674FEF">
      <w:pPr>
        <w:spacing w:after="0" w:line="240" w:lineRule="auto"/>
      </w:pPr>
      <w:r>
        <w:separator/>
      </w:r>
    </w:p>
  </w:endnote>
  <w:endnote w:type="continuationSeparator" w:id="0">
    <w:p w:rsidR="00674FEF" w:rsidRDefault="00674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Droid Sans Fallback">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inio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853587"/>
      <w:docPartObj>
        <w:docPartGallery w:val="Page Numbers (Bottom of Page)"/>
        <w:docPartUnique/>
      </w:docPartObj>
    </w:sdtPr>
    <w:sdtEndPr/>
    <w:sdtContent>
      <w:p w:rsidR="00EB4E5D" w:rsidRDefault="00912088">
        <w:pPr>
          <w:pStyle w:val="Footer"/>
          <w:jc w:val="right"/>
        </w:pPr>
        <w:r>
          <w:fldChar w:fldCharType="begin"/>
        </w:r>
        <w:r w:rsidR="00EB4E5D">
          <w:instrText xml:space="preserve"> PAGE   \* MERGEFORMAT </w:instrText>
        </w:r>
        <w:r>
          <w:fldChar w:fldCharType="separate"/>
        </w:r>
        <w:r w:rsidR="00115403">
          <w:rPr>
            <w:noProof/>
          </w:rPr>
          <w:t>1</w:t>
        </w:r>
        <w:r>
          <w:rPr>
            <w:noProof/>
          </w:rPr>
          <w:fldChar w:fldCharType="end"/>
        </w:r>
      </w:p>
    </w:sdtContent>
  </w:sdt>
  <w:p w:rsidR="00EB4E5D" w:rsidRDefault="00EB4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FEF" w:rsidRDefault="00674FEF">
      <w:pPr>
        <w:spacing w:after="0" w:line="240" w:lineRule="auto"/>
      </w:pPr>
      <w:r>
        <w:separator/>
      </w:r>
    </w:p>
  </w:footnote>
  <w:footnote w:type="continuationSeparator" w:id="0">
    <w:p w:rsidR="00674FEF" w:rsidRDefault="00674FEF">
      <w:pPr>
        <w:spacing w:after="0" w:line="240" w:lineRule="auto"/>
      </w:pPr>
      <w:r>
        <w:continuationSeparator/>
      </w:r>
    </w:p>
  </w:footnote>
  <w:footnote w:id="1">
    <w:p w:rsidR="00EB4E5D" w:rsidRPr="00840A8E" w:rsidRDefault="00EB4E5D">
      <w:pPr>
        <w:pStyle w:val="FootnoteText"/>
        <w:rPr>
          <w:sz w:val="20"/>
          <w:szCs w:val="20"/>
        </w:rPr>
      </w:pPr>
      <w:r w:rsidRPr="0034391D">
        <w:rPr>
          <w:rStyle w:val="FootnoteReference"/>
        </w:rPr>
        <w:footnoteRef/>
      </w:r>
      <w:r w:rsidRPr="0034391D">
        <w:t xml:space="preserve"> </w:t>
      </w:r>
      <w:r w:rsidRPr="0034391D">
        <w:rPr>
          <w:sz w:val="20"/>
          <w:szCs w:val="20"/>
        </w:rPr>
        <w:t>The term ‘norm’ is commonly used in two different senses: the first, meaning values or higher principles, is the sense in which most property law scholars use the term; the second, meaning practices or customs, is the sense in which the term is used by social scientists. In this article ‘norm’ is used in both these accepted senses, but we hope that the context will make clear which meaning is intended. When referring to everyday practices, we generally use the term ‘self-generat</w:t>
      </w:r>
      <w:r>
        <w:rPr>
          <w:sz w:val="20"/>
          <w:szCs w:val="20"/>
        </w:rPr>
        <w:t>ed</w:t>
      </w:r>
      <w:r w:rsidRPr="0034391D">
        <w:rPr>
          <w:sz w:val="20"/>
          <w:szCs w:val="20"/>
        </w:rPr>
        <w:t xml:space="preserve"> norm’.</w:t>
      </w:r>
    </w:p>
  </w:footnote>
  <w:footnote w:id="2">
    <w:p w:rsidR="00EB4E5D" w:rsidRPr="00AA4F87" w:rsidRDefault="00EB4E5D" w:rsidP="00FD00F3">
      <w:pPr>
        <w:pStyle w:val="FootnoteText"/>
        <w:rPr>
          <w:sz w:val="20"/>
          <w:szCs w:val="20"/>
        </w:rPr>
      </w:pPr>
      <w:r w:rsidRPr="00AA4F87">
        <w:rPr>
          <w:rStyle w:val="FootnoteReference"/>
          <w:sz w:val="20"/>
          <w:szCs w:val="20"/>
        </w:rPr>
        <w:footnoteRef/>
      </w:r>
      <w:r w:rsidRPr="00AA4F87">
        <w:rPr>
          <w:sz w:val="20"/>
          <w:szCs w:val="20"/>
        </w:rPr>
        <w:t xml:space="preserve"> R. Gordon, ‘Macaulay, Macneil and the Discovery of Solidarity and Power in Contract Law’</w:t>
      </w:r>
      <w:r>
        <w:rPr>
          <w:sz w:val="20"/>
          <w:szCs w:val="20"/>
        </w:rPr>
        <w:t xml:space="preserve"> [1985] </w:t>
      </w:r>
      <w:r w:rsidRPr="00AA4F87">
        <w:rPr>
          <w:sz w:val="20"/>
          <w:szCs w:val="20"/>
        </w:rPr>
        <w:t>Wis</w:t>
      </w:r>
      <w:r>
        <w:rPr>
          <w:sz w:val="20"/>
          <w:szCs w:val="20"/>
        </w:rPr>
        <w:t xml:space="preserve">. </w:t>
      </w:r>
      <w:r w:rsidRPr="00AA4F87">
        <w:rPr>
          <w:sz w:val="20"/>
          <w:szCs w:val="20"/>
        </w:rPr>
        <w:t>L</w:t>
      </w:r>
      <w:r>
        <w:rPr>
          <w:sz w:val="20"/>
          <w:szCs w:val="20"/>
        </w:rPr>
        <w:t xml:space="preserve">. </w:t>
      </w:r>
      <w:r w:rsidRPr="00AA4F87">
        <w:rPr>
          <w:sz w:val="20"/>
          <w:szCs w:val="20"/>
        </w:rPr>
        <w:t>R</w:t>
      </w:r>
      <w:r>
        <w:rPr>
          <w:sz w:val="20"/>
          <w:szCs w:val="20"/>
        </w:rPr>
        <w:t>ev.</w:t>
      </w:r>
      <w:r w:rsidRPr="00AA4F87">
        <w:rPr>
          <w:sz w:val="20"/>
          <w:szCs w:val="20"/>
        </w:rPr>
        <w:t xml:space="preserve"> 565</w:t>
      </w:r>
      <w:r>
        <w:rPr>
          <w:sz w:val="20"/>
          <w:szCs w:val="20"/>
        </w:rPr>
        <w:t>,</w:t>
      </w:r>
      <w:r w:rsidRPr="00AA4F87">
        <w:rPr>
          <w:sz w:val="20"/>
          <w:szCs w:val="20"/>
        </w:rPr>
        <w:t xml:space="preserve"> 569.</w:t>
      </w:r>
    </w:p>
  </w:footnote>
  <w:footnote w:id="3">
    <w:p w:rsidR="00EB4E5D" w:rsidRPr="000C0503" w:rsidRDefault="00EB4E5D" w:rsidP="00480412">
      <w:pPr>
        <w:pStyle w:val="FootnoteText"/>
        <w:rPr>
          <w:sz w:val="20"/>
          <w:szCs w:val="20"/>
          <w:lang w:val="en-US"/>
        </w:rPr>
      </w:pPr>
      <w:r w:rsidRPr="000C0503">
        <w:rPr>
          <w:rStyle w:val="FootnoteReference"/>
          <w:sz w:val="20"/>
          <w:szCs w:val="20"/>
        </w:rPr>
        <w:footnoteRef/>
      </w:r>
      <w:r w:rsidRPr="000C0503">
        <w:rPr>
          <w:sz w:val="20"/>
          <w:szCs w:val="20"/>
        </w:rPr>
        <w:t xml:space="preserve"> A similar approach could be applied to non-consensual rights in land.</w:t>
      </w:r>
    </w:p>
  </w:footnote>
  <w:footnote w:id="4">
    <w:p w:rsidR="00EB4E5D" w:rsidRPr="00AA4F87" w:rsidRDefault="00EB4E5D" w:rsidP="00A2427F">
      <w:pPr>
        <w:pStyle w:val="FootnoteText"/>
        <w:rPr>
          <w:sz w:val="20"/>
          <w:szCs w:val="20"/>
        </w:rPr>
      </w:pPr>
      <w:r w:rsidRPr="00AA4F87">
        <w:rPr>
          <w:rStyle w:val="FootnoteReference"/>
          <w:sz w:val="20"/>
          <w:szCs w:val="20"/>
        </w:rPr>
        <w:footnoteRef/>
      </w:r>
      <w:r w:rsidRPr="00AA4F87">
        <w:rPr>
          <w:sz w:val="20"/>
          <w:szCs w:val="20"/>
        </w:rPr>
        <w:t xml:space="preserve"> </w:t>
      </w:r>
      <w:r w:rsidR="00C94414">
        <w:rPr>
          <w:sz w:val="20"/>
          <w:szCs w:val="20"/>
        </w:rPr>
        <w:t xml:space="preserve">For example, </w:t>
      </w:r>
      <w:r w:rsidRPr="00AA4F87">
        <w:rPr>
          <w:sz w:val="20"/>
          <w:szCs w:val="20"/>
        </w:rPr>
        <w:t>I</w:t>
      </w:r>
      <w:r>
        <w:rPr>
          <w:sz w:val="20"/>
          <w:szCs w:val="20"/>
        </w:rPr>
        <w:t>.</w:t>
      </w:r>
      <w:r w:rsidRPr="00AA4F87">
        <w:rPr>
          <w:sz w:val="20"/>
          <w:szCs w:val="20"/>
        </w:rPr>
        <w:t xml:space="preserve"> R Macneil, ‘Relational Contra</w:t>
      </w:r>
      <w:r>
        <w:rPr>
          <w:sz w:val="20"/>
          <w:szCs w:val="20"/>
        </w:rPr>
        <w:t>ct Theory: Unanswered Questions’</w:t>
      </w:r>
      <w:r w:rsidRPr="00AA4F87">
        <w:rPr>
          <w:sz w:val="20"/>
          <w:szCs w:val="20"/>
        </w:rPr>
        <w:t xml:space="preserve"> (2000) 94 NWULR 877</w:t>
      </w:r>
      <w:r>
        <w:rPr>
          <w:sz w:val="20"/>
          <w:szCs w:val="20"/>
        </w:rPr>
        <w:t>.</w:t>
      </w:r>
    </w:p>
  </w:footnote>
  <w:footnote w:id="5">
    <w:p w:rsidR="00EB4E5D" w:rsidRPr="00AA4F87" w:rsidRDefault="00EB4E5D" w:rsidP="00A2427F">
      <w:pPr>
        <w:pStyle w:val="NoSpacing"/>
        <w:rPr>
          <w:rFonts w:ascii="Times New Roman" w:hAnsi="Times New Roman" w:cs="Times New Roman"/>
          <w:sz w:val="20"/>
          <w:szCs w:val="20"/>
        </w:rPr>
      </w:pPr>
      <w:r w:rsidRPr="00AA4F87">
        <w:rPr>
          <w:rStyle w:val="FootnoteReference"/>
          <w:rFonts w:ascii="Times New Roman" w:hAnsi="Times New Roman" w:cs="Times New Roman"/>
          <w:sz w:val="20"/>
          <w:szCs w:val="20"/>
        </w:rPr>
        <w:footnoteRef/>
      </w:r>
      <w:r w:rsidRPr="00AA4F87">
        <w:rPr>
          <w:rFonts w:ascii="Times New Roman" w:hAnsi="Times New Roman" w:cs="Times New Roman"/>
          <w:sz w:val="20"/>
          <w:szCs w:val="20"/>
        </w:rPr>
        <w:t xml:space="preserve"> See </w:t>
      </w:r>
      <w:r>
        <w:rPr>
          <w:rFonts w:ascii="Times New Roman" w:hAnsi="Times New Roman" w:cs="Times New Roman"/>
          <w:sz w:val="20"/>
          <w:szCs w:val="20"/>
        </w:rPr>
        <w:t>for example</w:t>
      </w:r>
      <w:r w:rsidRPr="00AA4F87">
        <w:rPr>
          <w:rFonts w:ascii="Times New Roman" w:hAnsi="Times New Roman" w:cs="Times New Roman"/>
          <w:sz w:val="20"/>
          <w:szCs w:val="20"/>
        </w:rPr>
        <w:t xml:space="preserve"> L</w:t>
      </w:r>
      <w:r>
        <w:rPr>
          <w:rFonts w:ascii="Times New Roman" w:hAnsi="Times New Roman" w:cs="Times New Roman"/>
          <w:sz w:val="20"/>
          <w:szCs w:val="20"/>
        </w:rPr>
        <w:t>.</w:t>
      </w:r>
      <w:r w:rsidRPr="00AA4F87">
        <w:rPr>
          <w:rFonts w:ascii="Times New Roman" w:hAnsi="Times New Roman" w:cs="Times New Roman"/>
          <w:sz w:val="20"/>
          <w:szCs w:val="20"/>
        </w:rPr>
        <w:t xml:space="preserve"> Bernstein, </w:t>
      </w:r>
      <w:r>
        <w:rPr>
          <w:rFonts w:ascii="Times New Roman" w:hAnsi="Times New Roman" w:cs="Times New Roman"/>
          <w:sz w:val="20"/>
          <w:szCs w:val="20"/>
        </w:rPr>
        <w:t>‘</w:t>
      </w:r>
      <w:r w:rsidRPr="00AA4F87">
        <w:rPr>
          <w:rFonts w:ascii="Times New Roman" w:hAnsi="Times New Roman" w:cs="Times New Roman"/>
          <w:sz w:val="20"/>
          <w:szCs w:val="20"/>
        </w:rPr>
        <w:t>Opting Out of the Legal System: Extralegal Contractual Relations in the Diamond Industry</w:t>
      </w:r>
      <w:r>
        <w:rPr>
          <w:rFonts w:ascii="Times New Roman" w:hAnsi="Times New Roman" w:cs="Times New Roman"/>
          <w:sz w:val="20"/>
          <w:szCs w:val="20"/>
        </w:rPr>
        <w:t>’</w:t>
      </w:r>
      <w:r w:rsidRPr="00AA4F87">
        <w:rPr>
          <w:rFonts w:ascii="Times New Roman" w:hAnsi="Times New Roman" w:cs="Times New Roman"/>
          <w:sz w:val="20"/>
          <w:szCs w:val="20"/>
        </w:rPr>
        <w:t xml:space="preserve"> (1992) 21 </w:t>
      </w:r>
      <w:hyperlink r:id="rId1" w:history="1">
        <w:r w:rsidRPr="00AA4F87">
          <w:rPr>
            <w:rStyle w:val="Hyperlink"/>
            <w:rFonts w:ascii="Times New Roman" w:hAnsi="Times New Roman" w:cs="Times New Roman"/>
            <w:i/>
            <w:iCs/>
            <w:color w:val="auto"/>
            <w:sz w:val="20"/>
            <w:szCs w:val="20"/>
            <w:u w:val="none"/>
          </w:rPr>
          <w:t>The Journal of Legal Studies</w:t>
        </w:r>
      </w:hyperlink>
      <w:r w:rsidRPr="00AA4F87">
        <w:rPr>
          <w:rFonts w:ascii="Times New Roman" w:hAnsi="Times New Roman" w:cs="Times New Roman"/>
          <w:sz w:val="20"/>
          <w:szCs w:val="20"/>
        </w:rPr>
        <w:t xml:space="preserve"> 115; S</w:t>
      </w:r>
      <w:r>
        <w:rPr>
          <w:rFonts w:ascii="Times New Roman" w:hAnsi="Times New Roman" w:cs="Times New Roman"/>
          <w:sz w:val="20"/>
          <w:szCs w:val="20"/>
        </w:rPr>
        <w:t>.</w:t>
      </w:r>
      <w:r w:rsidRPr="00AA4F87">
        <w:rPr>
          <w:rFonts w:ascii="Times New Roman" w:hAnsi="Times New Roman" w:cs="Times New Roman"/>
          <w:sz w:val="20"/>
          <w:szCs w:val="20"/>
        </w:rPr>
        <w:t xml:space="preserve"> Macaulay, ‘Non-Contractual Relations in Business. A Preliminary Study’ (1963) 28 American Sociological Review 55</w:t>
      </w:r>
      <w:r>
        <w:rPr>
          <w:rFonts w:ascii="Times New Roman" w:hAnsi="Times New Roman" w:cs="Times New Roman"/>
          <w:sz w:val="20"/>
          <w:szCs w:val="20"/>
        </w:rPr>
        <w:t>.</w:t>
      </w:r>
    </w:p>
  </w:footnote>
  <w:footnote w:id="6">
    <w:p w:rsidR="00EB4E5D" w:rsidRPr="00AA4F87" w:rsidRDefault="00EB4E5D" w:rsidP="00A2427F">
      <w:pPr>
        <w:pStyle w:val="FootnoteText"/>
        <w:rPr>
          <w:sz w:val="20"/>
          <w:szCs w:val="20"/>
        </w:rPr>
      </w:pPr>
      <w:r w:rsidRPr="00AA4F87">
        <w:rPr>
          <w:rStyle w:val="FootnoteReference"/>
          <w:sz w:val="20"/>
          <w:szCs w:val="20"/>
        </w:rPr>
        <w:footnoteRef/>
      </w:r>
      <w:r w:rsidRPr="00AA4F87">
        <w:rPr>
          <w:sz w:val="20"/>
          <w:szCs w:val="20"/>
        </w:rPr>
        <w:t xml:space="preserve"> </w:t>
      </w:r>
      <w:r>
        <w:rPr>
          <w:sz w:val="20"/>
          <w:szCs w:val="20"/>
        </w:rPr>
        <w:t xml:space="preserve">n </w:t>
      </w:r>
      <w:r w:rsidR="00C94414">
        <w:rPr>
          <w:sz w:val="20"/>
          <w:szCs w:val="20"/>
        </w:rPr>
        <w:t>4</w:t>
      </w:r>
      <w:r>
        <w:rPr>
          <w:sz w:val="20"/>
          <w:szCs w:val="20"/>
        </w:rPr>
        <w:t xml:space="preserve"> above, at 881, footnotes omitted. </w:t>
      </w:r>
    </w:p>
  </w:footnote>
  <w:footnote w:id="7">
    <w:p w:rsidR="00EB4E5D" w:rsidRPr="007E5D12" w:rsidRDefault="00EB4E5D">
      <w:pPr>
        <w:pStyle w:val="FootnoteText"/>
        <w:rPr>
          <w:sz w:val="20"/>
          <w:szCs w:val="20"/>
        </w:rPr>
      </w:pPr>
      <w:r w:rsidRPr="007E5D12">
        <w:rPr>
          <w:rStyle w:val="FootnoteReference"/>
          <w:sz w:val="20"/>
          <w:szCs w:val="20"/>
        </w:rPr>
        <w:footnoteRef/>
      </w:r>
      <w:r w:rsidRPr="007E5D12">
        <w:rPr>
          <w:sz w:val="20"/>
          <w:szCs w:val="20"/>
        </w:rPr>
        <w:t xml:space="preserve"> </w:t>
      </w:r>
      <w:r w:rsidRPr="007E5D12">
        <w:rPr>
          <w:sz w:val="20"/>
          <w:szCs w:val="20"/>
          <w:lang w:val="en-US"/>
        </w:rPr>
        <w:t xml:space="preserve">These sectors form a sizeable part of property interests and the economy: </w:t>
      </w:r>
      <w:r>
        <w:rPr>
          <w:sz w:val="20"/>
          <w:szCs w:val="20"/>
          <w:lang w:val="en-US"/>
        </w:rPr>
        <w:t xml:space="preserve">in 2013 </w:t>
      </w:r>
      <w:r w:rsidRPr="007E5D12">
        <w:rPr>
          <w:sz w:val="20"/>
          <w:szCs w:val="20"/>
          <w:lang w:val="en-US"/>
        </w:rPr>
        <w:t>the</w:t>
      </w:r>
      <w:r>
        <w:rPr>
          <w:sz w:val="20"/>
          <w:szCs w:val="20"/>
          <w:lang w:val="en-US"/>
        </w:rPr>
        <w:t xml:space="preserve">re were </w:t>
      </w:r>
      <w:r w:rsidRPr="007E5D12">
        <w:rPr>
          <w:sz w:val="20"/>
          <w:szCs w:val="20"/>
          <w:lang w:val="en-US"/>
        </w:rPr>
        <w:t>4.1 million</w:t>
      </w:r>
      <w:r>
        <w:rPr>
          <w:sz w:val="20"/>
          <w:szCs w:val="20"/>
          <w:lang w:val="en-US"/>
        </w:rPr>
        <w:t xml:space="preserve"> residential</w:t>
      </w:r>
      <w:r w:rsidRPr="007E5D12">
        <w:rPr>
          <w:sz w:val="20"/>
          <w:szCs w:val="20"/>
          <w:lang w:val="en-US"/>
        </w:rPr>
        <w:t xml:space="preserve"> leasehold properties in England</w:t>
      </w:r>
      <w:r>
        <w:rPr>
          <w:sz w:val="20"/>
          <w:szCs w:val="20"/>
          <w:lang w:val="en-US"/>
        </w:rPr>
        <w:t xml:space="preserve">, see Department for Communities and Local Government </w:t>
      </w:r>
      <w:r w:rsidRPr="00AF6EB5">
        <w:rPr>
          <w:i/>
          <w:sz w:val="20"/>
          <w:szCs w:val="20"/>
          <w:lang w:val="en-US"/>
        </w:rPr>
        <w:t>Residential Leasehold in England</w:t>
      </w:r>
      <w:r>
        <w:rPr>
          <w:sz w:val="20"/>
          <w:szCs w:val="20"/>
          <w:lang w:val="en-US"/>
        </w:rPr>
        <w:t xml:space="preserve"> (2014) at </w:t>
      </w:r>
      <w:r w:rsidRPr="00AF6EB5">
        <w:rPr>
          <w:sz w:val="20"/>
          <w:szCs w:val="20"/>
          <w:lang w:val="en-US"/>
        </w:rPr>
        <w:t>https://www.gov.uk/government/uploads/system/uploads/attachment_data/file/342628/Residential_Lea</w:t>
      </w:r>
      <w:r>
        <w:rPr>
          <w:sz w:val="20"/>
          <w:szCs w:val="20"/>
          <w:lang w:val="en-US"/>
        </w:rPr>
        <w:t xml:space="preserve">sehold_dwellings_in_England.pdf, and in 2015 leaseholds accounted for </w:t>
      </w:r>
      <w:r w:rsidRPr="00AF6EB5">
        <w:rPr>
          <w:rFonts w:eastAsia="Calibri"/>
          <w:sz w:val="20"/>
          <w:szCs w:val="20"/>
        </w:rPr>
        <w:t>43</w:t>
      </w:r>
      <w:r>
        <w:rPr>
          <w:rFonts w:eastAsia="Calibri"/>
          <w:sz w:val="20"/>
          <w:szCs w:val="20"/>
        </w:rPr>
        <w:t xml:space="preserve"> </w:t>
      </w:r>
      <w:r w:rsidRPr="00AF6EB5">
        <w:rPr>
          <w:rFonts w:eastAsia="Calibri"/>
          <w:sz w:val="20"/>
          <w:szCs w:val="20"/>
        </w:rPr>
        <w:t>p</w:t>
      </w:r>
      <w:r>
        <w:rPr>
          <w:rFonts w:eastAsia="Calibri"/>
          <w:sz w:val="20"/>
          <w:szCs w:val="20"/>
        </w:rPr>
        <w:t xml:space="preserve">er </w:t>
      </w:r>
      <w:r w:rsidRPr="00AF6EB5">
        <w:rPr>
          <w:rFonts w:eastAsia="Calibri"/>
          <w:sz w:val="20"/>
          <w:szCs w:val="20"/>
        </w:rPr>
        <w:t>c</w:t>
      </w:r>
      <w:r>
        <w:rPr>
          <w:rFonts w:eastAsia="Calibri"/>
          <w:sz w:val="20"/>
          <w:szCs w:val="20"/>
        </w:rPr>
        <w:t>ent</w:t>
      </w:r>
      <w:r w:rsidRPr="00AF6EB5">
        <w:rPr>
          <w:rFonts w:eastAsia="Calibri"/>
          <w:sz w:val="20"/>
          <w:szCs w:val="20"/>
        </w:rPr>
        <w:t xml:space="preserve"> of all new</w:t>
      </w:r>
      <w:r>
        <w:rPr>
          <w:rFonts w:eastAsia="Calibri"/>
          <w:sz w:val="20"/>
          <w:szCs w:val="20"/>
        </w:rPr>
        <w:t xml:space="preserve"> </w:t>
      </w:r>
      <w:r w:rsidRPr="00AF6EB5">
        <w:rPr>
          <w:rFonts w:eastAsia="Calibri"/>
          <w:sz w:val="20"/>
          <w:szCs w:val="20"/>
        </w:rPr>
        <w:t>build registrations with the Land Registry compared with 22</w:t>
      </w:r>
      <w:r>
        <w:rPr>
          <w:rFonts w:eastAsia="Calibri"/>
          <w:sz w:val="20"/>
          <w:szCs w:val="20"/>
        </w:rPr>
        <w:t xml:space="preserve"> </w:t>
      </w:r>
      <w:r w:rsidRPr="00AF6EB5">
        <w:rPr>
          <w:rFonts w:eastAsia="Calibri"/>
          <w:sz w:val="20"/>
          <w:szCs w:val="20"/>
        </w:rPr>
        <w:t>p</w:t>
      </w:r>
      <w:r>
        <w:rPr>
          <w:rFonts w:eastAsia="Calibri"/>
          <w:sz w:val="20"/>
          <w:szCs w:val="20"/>
        </w:rPr>
        <w:t xml:space="preserve">er </w:t>
      </w:r>
      <w:r w:rsidRPr="00AF6EB5">
        <w:rPr>
          <w:rFonts w:eastAsia="Calibri"/>
          <w:sz w:val="20"/>
          <w:szCs w:val="20"/>
        </w:rPr>
        <w:t>c</w:t>
      </w:r>
      <w:r>
        <w:rPr>
          <w:rFonts w:eastAsia="Calibri"/>
          <w:sz w:val="20"/>
          <w:szCs w:val="20"/>
        </w:rPr>
        <w:t>ent</w:t>
      </w:r>
      <w:r w:rsidRPr="00AF6EB5">
        <w:rPr>
          <w:rFonts w:eastAsia="Calibri"/>
          <w:sz w:val="20"/>
          <w:szCs w:val="20"/>
        </w:rPr>
        <w:t xml:space="preserve"> in 1996</w:t>
      </w:r>
      <w:r>
        <w:rPr>
          <w:rFonts w:eastAsia="Calibri"/>
          <w:sz w:val="20"/>
          <w:szCs w:val="20"/>
        </w:rPr>
        <w:t xml:space="preserve">, see </w:t>
      </w:r>
      <w:hyperlink r:id="rId2" w:history="1">
        <w:r w:rsidRPr="00457E58">
          <w:rPr>
            <w:rStyle w:val="Hyperlink"/>
            <w:rFonts w:eastAsia="Calibri"/>
            <w:sz w:val="20"/>
            <w:szCs w:val="20"/>
          </w:rPr>
          <w:t>http://www.telegraph.co.uk/finance/personalfinance/borrowing/mortgages/12099723/Why-a-boom-in-leasehold-flats-for-young-and-old-is-causing-concern.html</w:t>
        </w:r>
      </w:hyperlink>
      <w:r>
        <w:rPr>
          <w:rFonts w:eastAsia="Calibri"/>
          <w:sz w:val="20"/>
          <w:szCs w:val="20"/>
        </w:rPr>
        <w:t>; m</w:t>
      </w:r>
      <w:r w:rsidRPr="007E5D12">
        <w:rPr>
          <w:sz w:val="20"/>
          <w:szCs w:val="20"/>
          <w:lang w:val="en-US"/>
        </w:rPr>
        <w:t>ore than half of commercial properties are rented</w:t>
      </w:r>
      <w:r>
        <w:rPr>
          <w:sz w:val="20"/>
          <w:szCs w:val="20"/>
          <w:lang w:val="en-US"/>
        </w:rPr>
        <w:t xml:space="preserve">, see </w:t>
      </w:r>
      <w:r w:rsidRPr="007E5D12">
        <w:rPr>
          <w:sz w:val="20"/>
          <w:szCs w:val="20"/>
        </w:rPr>
        <w:t>Property I</w:t>
      </w:r>
      <w:r>
        <w:rPr>
          <w:sz w:val="20"/>
          <w:szCs w:val="20"/>
        </w:rPr>
        <w:t xml:space="preserve">ndustry Alliance </w:t>
      </w:r>
      <w:r w:rsidRPr="00B97F05">
        <w:rPr>
          <w:i/>
          <w:sz w:val="20"/>
          <w:szCs w:val="20"/>
        </w:rPr>
        <w:t>P</w:t>
      </w:r>
      <w:r>
        <w:rPr>
          <w:i/>
          <w:sz w:val="20"/>
          <w:szCs w:val="20"/>
        </w:rPr>
        <w:t>IA P</w:t>
      </w:r>
      <w:r w:rsidRPr="00B97F05">
        <w:rPr>
          <w:i/>
          <w:sz w:val="20"/>
          <w:szCs w:val="20"/>
        </w:rPr>
        <w:t>roperty Data Report 2015</w:t>
      </w:r>
      <w:r>
        <w:rPr>
          <w:sz w:val="20"/>
          <w:szCs w:val="20"/>
        </w:rPr>
        <w:t xml:space="preserve"> at </w:t>
      </w:r>
      <w:hyperlink r:id="rId3" w:history="1">
        <w:r w:rsidRPr="00457E58">
          <w:rPr>
            <w:rStyle w:val="Hyperlink"/>
            <w:sz w:val="20"/>
            <w:szCs w:val="20"/>
          </w:rPr>
          <w:t>http://www.ipf.org.uk/resourceLibrary/pia-property-data-report-2015.html</w:t>
        </w:r>
      </w:hyperlink>
      <w:r>
        <w:rPr>
          <w:sz w:val="20"/>
          <w:szCs w:val="20"/>
        </w:rPr>
        <w:t xml:space="preserve"> </w:t>
      </w:r>
      <w:r>
        <w:rPr>
          <w:sz w:val="20"/>
          <w:szCs w:val="20"/>
          <w:lang w:val="en-US"/>
        </w:rPr>
        <w:t xml:space="preserve">;  in 2015 there were 11 </w:t>
      </w:r>
      <w:r w:rsidRPr="007E5D12">
        <w:rPr>
          <w:sz w:val="20"/>
          <w:szCs w:val="20"/>
          <w:lang w:val="en-US"/>
        </w:rPr>
        <w:t xml:space="preserve">million homes </w:t>
      </w:r>
      <w:r>
        <w:rPr>
          <w:sz w:val="20"/>
          <w:szCs w:val="20"/>
          <w:lang w:val="en-US"/>
        </w:rPr>
        <w:t xml:space="preserve">in the UK </w:t>
      </w:r>
      <w:r w:rsidRPr="007E5D12">
        <w:rPr>
          <w:sz w:val="20"/>
          <w:szCs w:val="20"/>
          <w:lang w:val="en-US"/>
        </w:rPr>
        <w:t>mortgaged to secure £1.3 trillion of debt</w:t>
      </w:r>
      <w:r>
        <w:rPr>
          <w:sz w:val="20"/>
          <w:szCs w:val="20"/>
          <w:lang w:val="en-US"/>
        </w:rPr>
        <w:t xml:space="preserve">, </w:t>
      </w:r>
      <w:r>
        <w:rPr>
          <w:sz w:val="20"/>
          <w:szCs w:val="20"/>
        </w:rPr>
        <w:t xml:space="preserve">see </w:t>
      </w:r>
      <w:r w:rsidRPr="007E5D12">
        <w:rPr>
          <w:sz w:val="20"/>
          <w:szCs w:val="20"/>
        </w:rPr>
        <w:t>C</w:t>
      </w:r>
      <w:r>
        <w:rPr>
          <w:sz w:val="20"/>
          <w:szCs w:val="20"/>
        </w:rPr>
        <w:t xml:space="preserve">ouncil of </w:t>
      </w:r>
      <w:r w:rsidRPr="007E5D12">
        <w:rPr>
          <w:sz w:val="20"/>
          <w:szCs w:val="20"/>
        </w:rPr>
        <w:t>M</w:t>
      </w:r>
      <w:r>
        <w:rPr>
          <w:sz w:val="20"/>
          <w:szCs w:val="20"/>
        </w:rPr>
        <w:t xml:space="preserve">ortgage </w:t>
      </w:r>
      <w:r w:rsidRPr="007E5D12">
        <w:rPr>
          <w:sz w:val="20"/>
          <w:szCs w:val="20"/>
        </w:rPr>
        <w:t>L</w:t>
      </w:r>
      <w:r>
        <w:rPr>
          <w:sz w:val="20"/>
          <w:szCs w:val="20"/>
        </w:rPr>
        <w:t>enders</w:t>
      </w:r>
      <w:r w:rsidRPr="007E5D12">
        <w:rPr>
          <w:sz w:val="20"/>
          <w:szCs w:val="20"/>
        </w:rPr>
        <w:t xml:space="preserve">, </w:t>
      </w:r>
      <w:r w:rsidRPr="00B97F05">
        <w:rPr>
          <w:i/>
          <w:sz w:val="20"/>
          <w:szCs w:val="20"/>
        </w:rPr>
        <w:t>Key UK Mortgage Facts</w:t>
      </w:r>
      <w:r w:rsidRPr="007E5D12">
        <w:rPr>
          <w:sz w:val="20"/>
          <w:szCs w:val="20"/>
        </w:rPr>
        <w:t xml:space="preserve"> at </w:t>
      </w:r>
      <w:hyperlink r:id="rId4" w:history="1">
        <w:r w:rsidRPr="00FC6846">
          <w:rPr>
            <w:rStyle w:val="Hyperlink"/>
            <w:sz w:val="20"/>
            <w:szCs w:val="20"/>
          </w:rPr>
          <w:t>https://www.cml.org.uk/industry-data/key-uk-mortgage-facts/</w:t>
        </w:r>
      </w:hyperlink>
      <w:r w:rsidRPr="007E5D12">
        <w:rPr>
          <w:sz w:val="20"/>
          <w:szCs w:val="20"/>
          <w:lang w:val="en-US"/>
        </w:rPr>
        <w:t>.</w:t>
      </w:r>
    </w:p>
  </w:footnote>
  <w:footnote w:id="8">
    <w:p w:rsidR="00EB4E5D" w:rsidRPr="00AA4F87" w:rsidRDefault="00EB4E5D" w:rsidP="0031684E">
      <w:pPr>
        <w:autoSpaceDE w:val="0"/>
        <w:autoSpaceDN w:val="0"/>
        <w:adjustRightInd w:val="0"/>
        <w:spacing w:after="0" w:line="240" w:lineRule="auto"/>
        <w:rPr>
          <w:sz w:val="20"/>
        </w:rPr>
      </w:pPr>
      <w:r w:rsidRPr="00AA4F87">
        <w:rPr>
          <w:rStyle w:val="FootnoteReference"/>
          <w:sz w:val="20"/>
        </w:rPr>
        <w:footnoteRef/>
      </w:r>
      <w:r w:rsidRPr="00AA4F87">
        <w:rPr>
          <w:sz w:val="20"/>
        </w:rPr>
        <w:t xml:space="preserve"> </w:t>
      </w:r>
      <w:r>
        <w:rPr>
          <w:sz w:val="20"/>
        </w:rPr>
        <w:t xml:space="preserve">K. </w:t>
      </w:r>
      <w:r w:rsidRPr="00AA4F87">
        <w:rPr>
          <w:sz w:val="20"/>
        </w:rPr>
        <w:t>Gray</w:t>
      </w:r>
      <w:r>
        <w:rPr>
          <w:sz w:val="20"/>
        </w:rPr>
        <w:t xml:space="preserve"> and S.F. Gray</w:t>
      </w:r>
      <w:r w:rsidRPr="00AA4F87">
        <w:rPr>
          <w:sz w:val="20"/>
        </w:rPr>
        <w:t xml:space="preserve">, </w:t>
      </w:r>
      <w:r>
        <w:rPr>
          <w:sz w:val="20"/>
        </w:rPr>
        <w:t xml:space="preserve">‘The </w:t>
      </w:r>
      <w:r w:rsidRPr="00AA4F87">
        <w:rPr>
          <w:sz w:val="20"/>
        </w:rPr>
        <w:t xml:space="preserve">Rhetoric </w:t>
      </w:r>
      <w:r>
        <w:rPr>
          <w:sz w:val="20"/>
        </w:rPr>
        <w:t xml:space="preserve">of Realty’ </w:t>
      </w:r>
      <w:r w:rsidRPr="005367AF">
        <w:rPr>
          <w:rFonts w:eastAsiaTheme="minorEastAsia"/>
          <w:sz w:val="20"/>
        </w:rPr>
        <w:t>in J</w:t>
      </w:r>
      <w:r>
        <w:rPr>
          <w:rFonts w:eastAsiaTheme="minorEastAsia"/>
          <w:sz w:val="20"/>
        </w:rPr>
        <w:t>.</w:t>
      </w:r>
      <w:r w:rsidRPr="005367AF">
        <w:rPr>
          <w:rFonts w:eastAsiaTheme="minorEastAsia"/>
          <w:sz w:val="20"/>
        </w:rPr>
        <w:t xml:space="preserve"> Getzler (ed), </w:t>
      </w:r>
      <w:r w:rsidRPr="005367AF">
        <w:rPr>
          <w:rFonts w:eastAsiaTheme="minorEastAsia"/>
          <w:i/>
          <w:iCs/>
          <w:sz w:val="20"/>
        </w:rPr>
        <w:t>Rationalizing Property, Equity and Trusts: Essays in Honour of Edward Burn</w:t>
      </w:r>
      <w:r>
        <w:rPr>
          <w:rFonts w:eastAsiaTheme="minorEastAsia"/>
          <w:i/>
          <w:iCs/>
          <w:sz w:val="20"/>
        </w:rPr>
        <w:t xml:space="preserve"> </w:t>
      </w:r>
      <w:r w:rsidRPr="005367AF">
        <w:rPr>
          <w:rFonts w:eastAsiaTheme="minorEastAsia"/>
          <w:sz w:val="20"/>
        </w:rPr>
        <w:t>(London</w:t>
      </w:r>
      <w:r>
        <w:rPr>
          <w:rFonts w:eastAsiaTheme="minorEastAsia"/>
          <w:sz w:val="20"/>
        </w:rPr>
        <w:t>:</w:t>
      </w:r>
      <w:r w:rsidRPr="005367AF">
        <w:rPr>
          <w:rFonts w:eastAsiaTheme="minorEastAsia"/>
          <w:sz w:val="20"/>
        </w:rPr>
        <w:t xml:space="preserve"> Butterworths</w:t>
      </w:r>
      <w:r>
        <w:rPr>
          <w:rFonts w:eastAsiaTheme="minorEastAsia"/>
          <w:sz w:val="20"/>
        </w:rPr>
        <w:t>,</w:t>
      </w:r>
      <w:r w:rsidRPr="005367AF">
        <w:rPr>
          <w:rFonts w:eastAsiaTheme="minorEastAsia"/>
          <w:sz w:val="20"/>
        </w:rPr>
        <w:t xml:space="preserve"> 2003</w:t>
      </w:r>
      <w:r w:rsidRPr="0017566B">
        <w:rPr>
          <w:rFonts w:eastAsiaTheme="minorEastAsia"/>
          <w:sz w:val="20"/>
        </w:rPr>
        <w:t>), 241.</w:t>
      </w:r>
      <w:r>
        <w:rPr>
          <w:rFonts w:ascii="Arial" w:eastAsiaTheme="minorEastAsia" w:hAnsi="Arial" w:cs="Arial"/>
          <w:sz w:val="20"/>
        </w:rPr>
        <w:t xml:space="preserve"> </w:t>
      </w:r>
      <w:r w:rsidRPr="006974A1">
        <w:rPr>
          <w:rFonts w:eastAsiaTheme="minorEastAsia"/>
          <w:sz w:val="20"/>
        </w:rPr>
        <w:t xml:space="preserve">Note that </w:t>
      </w:r>
      <w:r w:rsidRPr="006974A1">
        <w:rPr>
          <w:sz w:val="20"/>
        </w:rPr>
        <w:t>Gray</w:t>
      </w:r>
      <w:r w:rsidRPr="00AA4F87">
        <w:rPr>
          <w:sz w:val="20"/>
        </w:rPr>
        <w:t xml:space="preserve"> </w:t>
      </w:r>
      <w:r>
        <w:rPr>
          <w:sz w:val="20"/>
        </w:rPr>
        <w:t xml:space="preserve">and Gray include the mortgage </w:t>
      </w:r>
      <w:r w:rsidRPr="00AA4F87">
        <w:rPr>
          <w:sz w:val="20"/>
        </w:rPr>
        <w:t>in this category</w:t>
      </w:r>
      <w:r>
        <w:rPr>
          <w:sz w:val="20"/>
        </w:rPr>
        <w:t>, whereas we see it as an enduring property relationship</w:t>
      </w:r>
      <w:r w:rsidRPr="00AA4F87">
        <w:rPr>
          <w:sz w:val="20"/>
        </w:rPr>
        <w:t xml:space="preserve">. </w:t>
      </w:r>
    </w:p>
  </w:footnote>
  <w:footnote w:id="9">
    <w:p w:rsidR="00EB4E5D" w:rsidRPr="00AA4F87" w:rsidRDefault="00EB4E5D" w:rsidP="00A2427F">
      <w:pPr>
        <w:pStyle w:val="FootnoteText"/>
        <w:rPr>
          <w:sz w:val="20"/>
          <w:szCs w:val="20"/>
        </w:rPr>
      </w:pPr>
      <w:r w:rsidRPr="00AA4F87">
        <w:rPr>
          <w:rStyle w:val="FootnoteReference"/>
          <w:sz w:val="20"/>
          <w:szCs w:val="20"/>
        </w:rPr>
        <w:footnoteRef/>
      </w:r>
      <w:r w:rsidRPr="00AA4F87">
        <w:rPr>
          <w:sz w:val="20"/>
          <w:szCs w:val="20"/>
        </w:rPr>
        <w:t xml:space="preserve"> M. Valverde, </w:t>
      </w:r>
      <w:r w:rsidRPr="00AA4F87">
        <w:rPr>
          <w:i/>
          <w:sz w:val="20"/>
          <w:szCs w:val="20"/>
        </w:rPr>
        <w:t>Chronotypes of Law: Jurisdiction, Scale and Governance</w:t>
      </w:r>
      <w:r w:rsidRPr="00AA4F87">
        <w:rPr>
          <w:sz w:val="20"/>
          <w:szCs w:val="20"/>
        </w:rPr>
        <w:t xml:space="preserve"> (London</w:t>
      </w:r>
      <w:r>
        <w:rPr>
          <w:sz w:val="20"/>
          <w:szCs w:val="20"/>
        </w:rPr>
        <w:t>:</w:t>
      </w:r>
      <w:r w:rsidRPr="00AA4F87">
        <w:rPr>
          <w:sz w:val="20"/>
          <w:szCs w:val="20"/>
        </w:rPr>
        <w:t xml:space="preserve"> Routledge, 2014).</w:t>
      </w:r>
    </w:p>
  </w:footnote>
  <w:footnote w:id="10">
    <w:p w:rsidR="00EB4E5D" w:rsidRPr="00AA4F87" w:rsidRDefault="00EB4E5D" w:rsidP="00CC06AA">
      <w:pPr>
        <w:pStyle w:val="NoSpacing"/>
        <w:rPr>
          <w:rFonts w:ascii="Times New Roman" w:hAnsi="Times New Roman" w:cs="Times New Roman"/>
          <w:sz w:val="20"/>
          <w:szCs w:val="20"/>
        </w:rPr>
      </w:pPr>
      <w:r w:rsidRPr="00AA4F87">
        <w:rPr>
          <w:rStyle w:val="FootnoteReference"/>
          <w:rFonts w:ascii="Times New Roman" w:hAnsi="Times New Roman" w:cs="Times New Roman"/>
          <w:sz w:val="20"/>
          <w:szCs w:val="20"/>
        </w:rPr>
        <w:footnoteRef/>
      </w:r>
      <w:r w:rsidRPr="00AA4F87">
        <w:rPr>
          <w:rFonts w:ascii="Times New Roman" w:hAnsi="Times New Roman" w:cs="Times New Roman"/>
          <w:sz w:val="20"/>
          <w:szCs w:val="20"/>
        </w:rPr>
        <w:t xml:space="preserve"> R</w:t>
      </w:r>
      <w:r>
        <w:rPr>
          <w:rFonts w:ascii="Times New Roman" w:hAnsi="Times New Roman" w:cs="Times New Roman"/>
          <w:sz w:val="20"/>
          <w:szCs w:val="20"/>
        </w:rPr>
        <w:t>.</w:t>
      </w:r>
      <w:r w:rsidRPr="00AA4F87">
        <w:rPr>
          <w:rFonts w:ascii="Times New Roman" w:hAnsi="Times New Roman" w:cs="Times New Roman"/>
          <w:sz w:val="20"/>
          <w:szCs w:val="20"/>
        </w:rPr>
        <w:t xml:space="preserve"> Cotterell, </w:t>
      </w:r>
      <w:r w:rsidRPr="00AA4F87">
        <w:rPr>
          <w:rFonts w:ascii="Times New Roman" w:hAnsi="Times New Roman" w:cs="Times New Roman"/>
          <w:i/>
          <w:iCs/>
          <w:sz w:val="20"/>
          <w:szCs w:val="20"/>
        </w:rPr>
        <w:t>Law, Culture and Society: Legal Ideas in the Mirror of Society</w:t>
      </w:r>
      <w:r w:rsidRPr="00AA4F87">
        <w:rPr>
          <w:rFonts w:ascii="Times New Roman" w:hAnsi="Times New Roman" w:cs="Times New Roman"/>
          <w:sz w:val="20"/>
          <w:szCs w:val="20"/>
        </w:rPr>
        <w:t xml:space="preserve"> (Aldershot</w:t>
      </w:r>
      <w:r>
        <w:rPr>
          <w:rFonts w:ascii="Times New Roman" w:hAnsi="Times New Roman" w:cs="Times New Roman"/>
          <w:sz w:val="20"/>
          <w:szCs w:val="20"/>
        </w:rPr>
        <w:t>:</w:t>
      </w:r>
      <w:r w:rsidRPr="00AA4F87">
        <w:rPr>
          <w:rFonts w:ascii="Times New Roman" w:hAnsi="Times New Roman" w:cs="Times New Roman"/>
          <w:sz w:val="20"/>
          <w:szCs w:val="20"/>
        </w:rPr>
        <w:t xml:space="preserve"> Ashgate</w:t>
      </w:r>
      <w:r>
        <w:rPr>
          <w:rFonts w:ascii="Times New Roman" w:hAnsi="Times New Roman" w:cs="Times New Roman"/>
          <w:sz w:val="20"/>
          <w:szCs w:val="20"/>
        </w:rPr>
        <w:t>,</w:t>
      </w:r>
      <w:r w:rsidRPr="00AA4F87">
        <w:rPr>
          <w:rFonts w:ascii="Times New Roman" w:hAnsi="Times New Roman" w:cs="Times New Roman"/>
          <w:sz w:val="20"/>
          <w:szCs w:val="20"/>
        </w:rPr>
        <w:t xml:space="preserve"> 2006).</w:t>
      </w:r>
    </w:p>
  </w:footnote>
  <w:footnote w:id="11">
    <w:p w:rsidR="00EB4E5D" w:rsidRPr="00AA4F87" w:rsidRDefault="00EB4E5D" w:rsidP="00BA5B2A">
      <w:pPr>
        <w:pStyle w:val="FootnoteText"/>
        <w:rPr>
          <w:sz w:val="20"/>
          <w:szCs w:val="20"/>
        </w:rPr>
      </w:pPr>
      <w:r w:rsidRPr="00AA4F87">
        <w:rPr>
          <w:rStyle w:val="FootnoteReference"/>
          <w:sz w:val="20"/>
          <w:szCs w:val="20"/>
        </w:rPr>
        <w:footnoteRef/>
      </w:r>
      <w:r w:rsidRPr="00AA4F87">
        <w:rPr>
          <w:sz w:val="20"/>
          <w:szCs w:val="20"/>
        </w:rPr>
        <w:t xml:space="preserve"> K. Gray and S. Gray, </w:t>
      </w:r>
      <w:r w:rsidRPr="00AA4F87">
        <w:rPr>
          <w:i/>
          <w:sz w:val="20"/>
          <w:szCs w:val="20"/>
          <w:lang w:val="en-US"/>
        </w:rPr>
        <w:t>Elements of Land Law</w:t>
      </w:r>
      <w:r w:rsidRPr="00AA4F87">
        <w:rPr>
          <w:sz w:val="20"/>
          <w:szCs w:val="20"/>
          <w:lang w:val="en-US"/>
        </w:rPr>
        <w:t xml:space="preserve"> (</w:t>
      </w:r>
      <w:r>
        <w:rPr>
          <w:sz w:val="20"/>
          <w:szCs w:val="20"/>
          <w:lang w:val="en-US"/>
        </w:rPr>
        <w:t xml:space="preserve">Oxford: </w:t>
      </w:r>
      <w:r w:rsidRPr="00AA4F87">
        <w:rPr>
          <w:sz w:val="20"/>
          <w:szCs w:val="20"/>
          <w:lang w:val="en-US"/>
        </w:rPr>
        <w:t>5</w:t>
      </w:r>
      <w:r w:rsidRPr="00AA4F87">
        <w:rPr>
          <w:sz w:val="20"/>
          <w:szCs w:val="20"/>
          <w:vertAlign w:val="superscript"/>
          <w:lang w:val="en-US"/>
        </w:rPr>
        <w:t>th</w:t>
      </w:r>
      <w:r w:rsidRPr="00AA4F87">
        <w:rPr>
          <w:sz w:val="20"/>
          <w:szCs w:val="20"/>
          <w:lang w:val="en-US"/>
        </w:rPr>
        <w:t xml:space="preserve"> ed O</w:t>
      </w:r>
      <w:r>
        <w:rPr>
          <w:sz w:val="20"/>
          <w:szCs w:val="20"/>
          <w:lang w:val="en-US"/>
        </w:rPr>
        <w:t xml:space="preserve">xford </w:t>
      </w:r>
      <w:r w:rsidRPr="00AA4F87">
        <w:rPr>
          <w:sz w:val="20"/>
          <w:szCs w:val="20"/>
          <w:lang w:val="en-US"/>
        </w:rPr>
        <w:t>U</w:t>
      </w:r>
      <w:r>
        <w:rPr>
          <w:sz w:val="20"/>
          <w:szCs w:val="20"/>
          <w:lang w:val="en-US"/>
        </w:rPr>
        <w:t xml:space="preserve">niversity </w:t>
      </w:r>
      <w:r w:rsidRPr="00AA4F87">
        <w:rPr>
          <w:sz w:val="20"/>
          <w:szCs w:val="20"/>
          <w:lang w:val="en-US"/>
        </w:rPr>
        <w:t>P</w:t>
      </w:r>
      <w:r>
        <w:rPr>
          <w:sz w:val="20"/>
          <w:szCs w:val="20"/>
          <w:lang w:val="en-US"/>
        </w:rPr>
        <w:t>ress,</w:t>
      </w:r>
      <w:r w:rsidRPr="00AA4F87">
        <w:rPr>
          <w:sz w:val="20"/>
          <w:szCs w:val="20"/>
          <w:lang w:val="en-US"/>
        </w:rPr>
        <w:t xml:space="preserve"> 2009) [1.1.1].</w:t>
      </w:r>
    </w:p>
  </w:footnote>
  <w:footnote w:id="12">
    <w:p w:rsidR="00EB4E5D" w:rsidRPr="00AA4F87" w:rsidRDefault="00EB4E5D" w:rsidP="009B3859">
      <w:pPr>
        <w:pStyle w:val="NoSpacing"/>
        <w:rPr>
          <w:rFonts w:ascii="Times New Roman" w:hAnsi="Times New Roman" w:cs="Times New Roman"/>
          <w:sz w:val="20"/>
          <w:szCs w:val="20"/>
        </w:rPr>
      </w:pPr>
      <w:r w:rsidRPr="00AA4F87">
        <w:rPr>
          <w:rStyle w:val="FootnoteReference"/>
          <w:rFonts w:ascii="Times New Roman" w:hAnsi="Times New Roman" w:cs="Times New Roman"/>
          <w:sz w:val="20"/>
          <w:szCs w:val="20"/>
        </w:rPr>
        <w:footnoteRef/>
      </w:r>
      <w:r w:rsidRPr="00AA4F87">
        <w:rPr>
          <w:rFonts w:ascii="Times New Roman" w:hAnsi="Times New Roman" w:cs="Times New Roman"/>
          <w:sz w:val="20"/>
          <w:szCs w:val="20"/>
        </w:rPr>
        <w:t xml:space="preserve"> B</w:t>
      </w:r>
      <w:r>
        <w:rPr>
          <w:rFonts w:ascii="Times New Roman" w:hAnsi="Times New Roman" w:cs="Times New Roman"/>
          <w:sz w:val="20"/>
          <w:szCs w:val="20"/>
        </w:rPr>
        <w:t>.</w:t>
      </w:r>
      <w:r w:rsidRPr="00AA4F87">
        <w:rPr>
          <w:rFonts w:ascii="Times New Roman" w:hAnsi="Times New Roman" w:cs="Times New Roman"/>
          <w:sz w:val="20"/>
          <w:szCs w:val="20"/>
        </w:rPr>
        <w:t xml:space="preserve"> Rudden, ‘Things a</w:t>
      </w:r>
      <w:r>
        <w:rPr>
          <w:rFonts w:ascii="Times New Roman" w:hAnsi="Times New Roman" w:cs="Times New Roman"/>
          <w:sz w:val="20"/>
          <w:szCs w:val="20"/>
        </w:rPr>
        <w:t>s</w:t>
      </w:r>
      <w:r w:rsidRPr="00AA4F87">
        <w:rPr>
          <w:rFonts w:ascii="Times New Roman" w:hAnsi="Times New Roman" w:cs="Times New Roman"/>
          <w:sz w:val="20"/>
          <w:szCs w:val="20"/>
        </w:rPr>
        <w:t xml:space="preserve"> Things and Things as </w:t>
      </w:r>
      <w:r>
        <w:rPr>
          <w:rFonts w:ascii="Times New Roman" w:hAnsi="Times New Roman" w:cs="Times New Roman"/>
          <w:sz w:val="20"/>
          <w:szCs w:val="20"/>
        </w:rPr>
        <w:t>W</w:t>
      </w:r>
      <w:r w:rsidRPr="00AA4F87">
        <w:rPr>
          <w:rFonts w:ascii="Times New Roman" w:hAnsi="Times New Roman" w:cs="Times New Roman"/>
          <w:sz w:val="20"/>
          <w:szCs w:val="20"/>
        </w:rPr>
        <w:t>ealth’ (1994) 14 OJLS 81, 83.</w:t>
      </w:r>
    </w:p>
  </w:footnote>
  <w:footnote w:id="13">
    <w:p w:rsidR="00EB4E5D" w:rsidRPr="00AA4F87" w:rsidRDefault="00EB4E5D" w:rsidP="00F241C0">
      <w:pPr>
        <w:pStyle w:val="NoSpacing"/>
        <w:rPr>
          <w:rFonts w:ascii="Times New Roman" w:hAnsi="Times New Roman" w:cs="Times New Roman"/>
          <w:sz w:val="20"/>
          <w:szCs w:val="20"/>
        </w:rPr>
      </w:pPr>
      <w:r w:rsidRPr="00AA4F87">
        <w:rPr>
          <w:rStyle w:val="FootnoteReference"/>
          <w:rFonts w:ascii="Times New Roman" w:hAnsi="Times New Roman" w:cs="Times New Roman"/>
          <w:sz w:val="20"/>
          <w:szCs w:val="20"/>
        </w:rPr>
        <w:footnoteRef/>
      </w:r>
      <w:r w:rsidRPr="00AA4F87">
        <w:rPr>
          <w:rFonts w:ascii="Times New Roman" w:hAnsi="Times New Roman" w:cs="Times New Roman"/>
          <w:sz w:val="20"/>
          <w:szCs w:val="20"/>
        </w:rPr>
        <w:t xml:space="preserve"> M</w:t>
      </w:r>
      <w:r>
        <w:rPr>
          <w:rFonts w:ascii="Times New Roman" w:hAnsi="Times New Roman" w:cs="Times New Roman"/>
          <w:sz w:val="20"/>
          <w:szCs w:val="20"/>
        </w:rPr>
        <w:t>.</w:t>
      </w:r>
      <w:r w:rsidRPr="00AA4F87">
        <w:rPr>
          <w:rFonts w:ascii="Times New Roman" w:hAnsi="Times New Roman" w:cs="Times New Roman"/>
          <w:sz w:val="20"/>
          <w:szCs w:val="20"/>
        </w:rPr>
        <w:t xml:space="preserve"> Radin, ‘Property and Personhood’ </w:t>
      </w:r>
      <w:r>
        <w:rPr>
          <w:rFonts w:ascii="Times New Roman" w:hAnsi="Times New Roman" w:cs="Times New Roman"/>
          <w:sz w:val="20"/>
          <w:szCs w:val="20"/>
        </w:rPr>
        <w:t>(</w:t>
      </w:r>
      <w:r w:rsidRPr="00AA4F87">
        <w:rPr>
          <w:rFonts w:ascii="Times New Roman" w:hAnsi="Times New Roman" w:cs="Times New Roman"/>
          <w:sz w:val="20"/>
          <w:szCs w:val="20"/>
        </w:rPr>
        <w:t>1982) 34 Stan</w:t>
      </w:r>
      <w:r>
        <w:rPr>
          <w:rFonts w:ascii="Times New Roman" w:hAnsi="Times New Roman" w:cs="Times New Roman"/>
          <w:sz w:val="20"/>
          <w:szCs w:val="20"/>
        </w:rPr>
        <w:t>.</w:t>
      </w:r>
      <w:r w:rsidRPr="00AA4F87">
        <w:rPr>
          <w:rFonts w:ascii="Times New Roman" w:hAnsi="Times New Roman" w:cs="Times New Roman"/>
          <w:sz w:val="20"/>
          <w:szCs w:val="20"/>
        </w:rPr>
        <w:t xml:space="preserve"> L</w:t>
      </w:r>
      <w:r>
        <w:rPr>
          <w:rFonts w:ascii="Times New Roman" w:hAnsi="Times New Roman" w:cs="Times New Roman"/>
          <w:sz w:val="20"/>
          <w:szCs w:val="20"/>
        </w:rPr>
        <w:t>.</w:t>
      </w:r>
      <w:r w:rsidRPr="00AA4F87">
        <w:rPr>
          <w:rFonts w:ascii="Times New Roman" w:hAnsi="Times New Roman" w:cs="Times New Roman"/>
          <w:sz w:val="20"/>
          <w:szCs w:val="20"/>
        </w:rPr>
        <w:t xml:space="preserve"> Rev 957.</w:t>
      </w:r>
    </w:p>
  </w:footnote>
  <w:footnote w:id="14">
    <w:p w:rsidR="00EB4E5D" w:rsidRDefault="00EB4E5D" w:rsidP="004B0053">
      <w:pPr>
        <w:suppressAutoHyphens/>
        <w:autoSpaceDN w:val="0"/>
        <w:spacing w:after="0" w:line="240" w:lineRule="auto"/>
      </w:pPr>
      <w:r>
        <w:rPr>
          <w:rStyle w:val="FootnoteReference"/>
        </w:rPr>
        <w:footnoteRef/>
      </w:r>
      <w:r>
        <w:t xml:space="preserve"> </w:t>
      </w:r>
      <w:r w:rsidRPr="00157CD9">
        <w:rPr>
          <w:sz w:val="20"/>
        </w:rPr>
        <w:t>Sir Alastair Norris, ‘The Poetry of Property: Its Commodi</w:t>
      </w:r>
      <w:r>
        <w:rPr>
          <w:sz w:val="20"/>
        </w:rPr>
        <w:t>tisation and Commercialisation’</w:t>
      </w:r>
      <w:r w:rsidRPr="00157CD9">
        <w:rPr>
          <w:sz w:val="20"/>
        </w:rPr>
        <w:t xml:space="preserve"> Annual Property Law Lecture of The Liverpool Law School and the Chancery &amp; Commercial Practice Group, Atlantic Chambers, held at the University of Liverpool, 4 November 2015</w:t>
      </w:r>
      <w:r>
        <w:rPr>
          <w:sz w:val="20"/>
        </w:rPr>
        <w:t xml:space="preserve"> ( paper on file with authors);</w:t>
      </w:r>
      <w:r w:rsidRPr="00157CD9">
        <w:rPr>
          <w:sz w:val="20"/>
        </w:rPr>
        <w:t xml:space="preserve"> </w:t>
      </w:r>
      <w:r>
        <w:rPr>
          <w:sz w:val="20"/>
        </w:rPr>
        <w:t xml:space="preserve">at </w:t>
      </w:r>
      <w:r w:rsidRPr="00157CD9">
        <w:rPr>
          <w:rFonts w:eastAsia="Calibri"/>
          <w:sz w:val="20"/>
        </w:rPr>
        <w:t xml:space="preserve">[8]  and </w:t>
      </w:r>
      <w:r>
        <w:rPr>
          <w:rFonts w:eastAsia="Calibri"/>
          <w:sz w:val="20"/>
        </w:rPr>
        <w:t>[11].</w:t>
      </w:r>
    </w:p>
  </w:footnote>
  <w:footnote w:id="15">
    <w:p w:rsidR="00EB4E5D" w:rsidRPr="00AA4F87" w:rsidRDefault="00EB4E5D" w:rsidP="00C102DB">
      <w:pPr>
        <w:pStyle w:val="NoSpacing"/>
        <w:rPr>
          <w:rFonts w:ascii="Times New Roman" w:hAnsi="Times New Roman" w:cs="Times New Roman"/>
          <w:sz w:val="20"/>
          <w:szCs w:val="20"/>
        </w:rPr>
      </w:pPr>
      <w:r w:rsidRPr="00AA4F87">
        <w:rPr>
          <w:rStyle w:val="FootnoteReference"/>
          <w:rFonts w:ascii="Times New Roman" w:hAnsi="Times New Roman" w:cs="Times New Roman"/>
          <w:sz w:val="20"/>
          <w:szCs w:val="20"/>
        </w:rPr>
        <w:footnoteRef/>
      </w:r>
      <w:r w:rsidRPr="00AA4F87">
        <w:rPr>
          <w:rFonts w:ascii="Times New Roman" w:hAnsi="Times New Roman" w:cs="Times New Roman"/>
          <w:sz w:val="20"/>
          <w:szCs w:val="20"/>
        </w:rPr>
        <w:t xml:space="preserve"> P</w:t>
      </w:r>
      <w:r>
        <w:rPr>
          <w:rFonts w:ascii="Times New Roman" w:hAnsi="Times New Roman" w:cs="Times New Roman"/>
          <w:sz w:val="20"/>
          <w:szCs w:val="20"/>
        </w:rPr>
        <w:t>.</w:t>
      </w:r>
      <w:r w:rsidRPr="00AA4F87">
        <w:rPr>
          <w:rFonts w:ascii="Times New Roman" w:hAnsi="Times New Roman" w:cs="Times New Roman"/>
          <w:sz w:val="20"/>
          <w:szCs w:val="20"/>
        </w:rPr>
        <w:t xml:space="preserve"> Birks, </w:t>
      </w:r>
      <w:r>
        <w:rPr>
          <w:rFonts w:ascii="Times New Roman" w:hAnsi="Times New Roman" w:cs="Times New Roman"/>
          <w:sz w:val="20"/>
          <w:szCs w:val="20"/>
        </w:rPr>
        <w:t>‘</w:t>
      </w:r>
      <w:r w:rsidRPr="00AA4F87">
        <w:rPr>
          <w:rFonts w:ascii="Times New Roman" w:hAnsi="Times New Roman" w:cs="Times New Roman"/>
          <w:sz w:val="20"/>
          <w:szCs w:val="20"/>
        </w:rPr>
        <w:t>Five Keys to Land Law</w:t>
      </w:r>
      <w:r>
        <w:rPr>
          <w:rFonts w:ascii="Times New Roman" w:hAnsi="Times New Roman" w:cs="Times New Roman"/>
          <w:sz w:val="20"/>
          <w:szCs w:val="20"/>
        </w:rPr>
        <w:t>’</w:t>
      </w:r>
      <w:r w:rsidRPr="00AA4F87">
        <w:rPr>
          <w:rFonts w:ascii="Times New Roman" w:hAnsi="Times New Roman" w:cs="Times New Roman"/>
          <w:sz w:val="20"/>
          <w:szCs w:val="20"/>
        </w:rPr>
        <w:t xml:space="preserve"> in S</w:t>
      </w:r>
      <w:r>
        <w:rPr>
          <w:rFonts w:ascii="Times New Roman" w:hAnsi="Times New Roman" w:cs="Times New Roman"/>
          <w:sz w:val="20"/>
          <w:szCs w:val="20"/>
        </w:rPr>
        <w:t>.</w:t>
      </w:r>
      <w:r w:rsidRPr="00AA4F87">
        <w:rPr>
          <w:rFonts w:ascii="Times New Roman" w:hAnsi="Times New Roman" w:cs="Times New Roman"/>
          <w:sz w:val="20"/>
          <w:szCs w:val="20"/>
        </w:rPr>
        <w:t xml:space="preserve"> Bright and J</w:t>
      </w:r>
      <w:r>
        <w:rPr>
          <w:rFonts w:ascii="Times New Roman" w:hAnsi="Times New Roman" w:cs="Times New Roman"/>
          <w:sz w:val="20"/>
          <w:szCs w:val="20"/>
        </w:rPr>
        <w:t>.</w:t>
      </w:r>
      <w:r w:rsidRPr="00AA4F87">
        <w:rPr>
          <w:rFonts w:ascii="Times New Roman" w:hAnsi="Times New Roman" w:cs="Times New Roman"/>
          <w:sz w:val="20"/>
          <w:szCs w:val="20"/>
        </w:rPr>
        <w:t xml:space="preserve"> Dewar (eds), </w:t>
      </w:r>
      <w:r w:rsidRPr="00AA4F87">
        <w:rPr>
          <w:rFonts w:ascii="Times New Roman" w:hAnsi="Times New Roman" w:cs="Times New Roman"/>
          <w:i/>
          <w:iCs/>
          <w:sz w:val="20"/>
          <w:szCs w:val="20"/>
        </w:rPr>
        <w:t xml:space="preserve">Land Law: Themes and Perspectives </w:t>
      </w:r>
      <w:r w:rsidRPr="00AA4F87">
        <w:rPr>
          <w:rFonts w:ascii="Times New Roman" w:hAnsi="Times New Roman" w:cs="Times New Roman"/>
          <w:sz w:val="20"/>
          <w:szCs w:val="20"/>
        </w:rPr>
        <w:t>(Oxford</w:t>
      </w:r>
      <w:r>
        <w:rPr>
          <w:rFonts w:ascii="Times New Roman" w:hAnsi="Times New Roman" w:cs="Times New Roman"/>
          <w:sz w:val="20"/>
          <w:szCs w:val="20"/>
        </w:rPr>
        <w:t>:</w:t>
      </w:r>
      <w:r w:rsidRPr="00AA4F87">
        <w:rPr>
          <w:rFonts w:ascii="Times New Roman" w:hAnsi="Times New Roman" w:cs="Times New Roman"/>
          <w:sz w:val="20"/>
          <w:szCs w:val="20"/>
        </w:rPr>
        <w:t xml:space="preserve"> Oxford University Press, 1998) 471.</w:t>
      </w:r>
    </w:p>
  </w:footnote>
  <w:footnote w:id="16">
    <w:p w:rsidR="00EB4E5D" w:rsidRPr="00AA4F87" w:rsidRDefault="00EB4E5D" w:rsidP="00D334A1">
      <w:pPr>
        <w:pStyle w:val="FootnoteText"/>
        <w:rPr>
          <w:sz w:val="20"/>
          <w:szCs w:val="20"/>
        </w:rPr>
      </w:pPr>
      <w:r w:rsidRPr="00AA4F87">
        <w:rPr>
          <w:rStyle w:val="FootnoteReference"/>
          <w:sz w:val="20"/>
          <w:szCs w:val="20"/>
        </w:rPr>
        <w:footnoteRef/>
      </w:r>
      <w:r w:rsidRPr="00AA4F87">
        <w:rPr>
          <w:sz w:val="20"/>
          <w:szCs w:val="20"/>
        </w:rPr>
        <w:t xml:space="preserve"> See </w:t>
      </w:r>
      <w:r w:rsidRPr="00AA4F87">
        <w:rPr>
          <w:i/>
          <w:sz w:val="20"/>
          <w:szCs w:val="20"/>
        </w:rPr>
        <w:t xml:space="preserve">Gillow v UK </w:t>
      </w:r>
      <w:r w:rsidRPr="00AA4F87">
        <w:rPr>
          <w:sz w:val="20"/>
          <w:szCs w:val="20"/>
        </w:rPr>
        <w:t xml:space="preserve">(1989) 11 EHRR 335, </w:t>
      </w:r>
      <w:r w:rsidRPr="00AA4F87">
        <w:rPr>
          <w:i/>
          <w:sz w:val="20"/>
          <w:szCs w:val="20"/>
        </w:rPr>
        <w:t xml:space="preserve">Connors v UK </w:t>
      </w:r>
      <w:r w:rsidRPr="00AA4F87">
        <w:rPr>
          <w:sz w:val="20"/>
          <w:szCs w:val="20"/>
        </w:rPr>
        <w:t>(2005) 40 EHRR 9 and A</w:t>
      </w:r>
      <w:r>
        <w:rPr>
          <w:sz w:val="20"/>
          <w:szCs w:val="20"/>
        </w:rPr>
        <w:t>.</w:t>
      </w:r>
      <w:r w:rsidRPr="00AA4F87">
        <w:rPr>
          <w:sz w:val="20"/>
          <w:szCs w:val="20"/>
        </w:rPr>
        <w:t xml:space="preserve"> Buyse, ‘Strings Attached: the concept of home in the case law of the ECHR’ (2006) 3 EHRLR 294.</w:t>
      </w:r>
    </w:p>
  </w:footnote>
  <w:footnote w:id="17">
    <w:p w:rsidR="00EB4E5D" w:rsidRPr="00AA4F87" w:rsidRDefault="00EB4E5D" w:rsidP="00F241C0">
      <w:pPr>
        <w:pStyle w:val="FootnoteText"/>
        <w:rPr>
          <w:sz w:val="20"/>
          <w:szCs w:val="20"/>
        </w:rPr>
      </w:pPr>
      <w:r w:rsidRPr="00AA4F87">
        <w:rPr>
          <w:rStyle w:val="FootnoteReference"/>
          <w:sz w:val="20"/>
          <w:szCs w:val="20"/>
        </w:rPr>
        <w:footnoteRef/>
      </w:r>
      <w:r w:rsidRPr="00AA4F87">
        <w:rPr>
          <w:sz w:val="20"/>
          <w:szCs w:val="20"/>
        </w:rPr>
        <w:t xml:space="preserve"> She also identified the qualities of home as shelter and investment</w:t>
      </w:r>
      <w:r>
        <w:rPr>
          <w:sz w:val="20"/>
          <w:szCs w:val="20"/>
        </w:rPr>
        <w:t>;</w:t>
      </w:r>
      <w:r w:rsidRPr="00AA4F87">
        <w:rPr>
          <w:sz w:val="20"/>
          <w:szCs w:val="20"/>
        </w:rPr>
        <w:t xml:space="preserve"> see L. Fox, </w:t>
      </w:r>
      <w:r w:rsidRPr="00AA4F87">
        <w:rPr>
          <w:i/>
          <w:sz w:val="20"/>
          <w:szCs w:val="20"/>
        </w:rPr>
        <w:t>Conceptualising Home: Theories, Laws and Policies</w:t>
      </w:r>
      <w:r w:rsidRPr="00AA4F87">
        <w:rPr>
          <w:sz w:val="20"/>
          <w:szCs w:val="20"/>
        </w:rPr>
        <w:t xml:space="preserve"> (London: Bloomsbury Publishing 2006</w:t>
      </w:r>
      <w:r>
        <w:rPr>
          <w:sz w:val="20"/>
          <w:szCs w:val="20"/>
        </w:rPr>
        <w:t>)</w:t>
      </w:r>
      <w:r w:rsidRPr="00AA4F87">
        <w:rPr>
          <w:sz w:val="20"/>
          <w:szCs w:val="20"/>
        </w:rPr>
        <w:t>.</w:t>
      </w:r>
    </w:p>
  </w:footnote>
  <w:footnote w:id="18">
    <w:p w:rsidR="00EB4E5D" w:rsidRDefault="00EB4E5D">
      <w:pPr>
        <w:pStyle w:val="FootnoteText"/>
      </w:pPr>
      <w:r>
        <w:rPr>
          <w:rStyle w:val="FootnoteReference"/>
        </w:rPr>
        <w:footnoteRef/>
      </w:r>
      <w:r>
        <w:t xml:space="preserve"> </w:t>
      </w:r>
      <w:r w:rsidRPr="00CA772F">
        <w:rPr>
          <w:i/>
          <w:sz w:val="20"/>
          <w:szCs w:val="20"/>
        </w:rPr>
        <w:t>Sugarman v CJS Investments LLP</w:t>
      </w:r>
      <w:r w:rsidRPr="002C72B0">
        <w:rPr>
          <w:sz w:val="20"/>
          <w:szCs w:val="20"/>
        </w:rPr>
        <w:t xml:space="preserve"> [2014] EWCA Civ 1239</w:t>
      </w:r>
      <w:r>
        <w:rPr>
          <w:sz w:val="20"/>
          <w:szCs w:val="20"/>
        </w:rPr>
        <w:t xml:space="preserve"> at</w:t>
      </w:r>
      <w:r w:rsidRPr="002C72B0">
        <w:rPr>
          <w:sz w:val="20"/>
          <w:szCs w:val="20"/>
        </w:rPr>
        <w:t xml:space="preserve"> [157].</w:t>
      </w:r>
    </w:p>
  </w:footnote>
  <w:footnote w:id="19">
    <w:p w:rsidR="00EB4E5D" w:rsidRPr="00AA4F87" w:rsidRDefault="00EB4E5D" w:rsidP="00F241C0">
      <w:pPr>
        <w:pStyle w:val="FootnoteText"/>
        <w:rPr>
          <w:sz w:val="20"/>
          <w:szCs w:val="20"/>
          <w:lang w:val="en-US"/>
        </w:rPr>
      </w:pPr>
      <w:r w:rsidRPr="00AA4F87">
        <w:rPr>
          <w:rStyle w:val="FootnoteReference"/>
          <w:sz w:val="20"/>
          <w:szCs w:val="20"/>
        </w:rPr>
        <w:footnoteRef/>
      </w:r>
      <w:r w:rsidRPr="00AA4F87">
        <w:rPr>
          <w:sz w:val="20"/>
          <w:szCs w:val="20"/>
        </w:rPr>
        <w:t xml:space="preserve"> </w:t>
      </w:r>
      <w:r>
        <w:rPr>
          <w:sz w:val="20"/>
          <w:szCs w:val="20"/>
        </w:rPr>
        <w:t xml:space="preserve">N. </w:t>
      </w:r>
      <w:r w:rsidRPr="00AA4F87">
        <w:rPr>
          <w:sz w:val="20"/>
          <w:szCs w:val="20"/>
          <w:lang w:val="en-US"/>
        </w:rPr>
        <w:t>Blomley</w:t>
      </w:r>
      <w:r>
        <w:rPr>
          <w:sz w:val="20"/>
          <w:szCs w:val="20"/>
          <w:lang w:val="en-US"/>
        </w:rPr>
        <w:t>,</w:t>
      </w:r>
      <w:r w:rsidRPr="00AA4F87">
        <w:rPr>
          <w:sz w:val="20"/>
          <w:szCs w:val="20"/>
          <w:lang w:val="en-US"/>
        </w:rPr>
        <w:t xml:space="preserve"> </w:t>
      </w:r>
      <w:r>
        <w:rPr>
          <w:sz w:val="20"/>
          <w:szCs w:val="20"/>
          <w:lang w:val="en-US"/>
        </w:rPr>
        <w:t xml:space="preserve">‘Property Law and Space’ </w:t>
      </w:r>
      <w:r w:rsidRPr="00AA4F87">
        <w:rPr>
          <w:sz w:val="20"/>
          <w:szCs w:val="20"/>
          <w:lang w:val="en-US"/>
        </w:rPr>
        <w:t xml:space="preserve">in </w:t>
      </w:r>
      <w:r>
        <w:rPr>
          <w:sz w:val="20"/>
          <w:szCs w:val="20"/>
          <w:lang w:val="en-US"/>
        </w:rPr>
        <w:t xml:space="preserve">S. Bright and S. </w:t>
      </w:r>
      <w:r w:rsidRPr="00AA4F87">
        <w:rPr>
          <w:sz w:val="20"/>
          <w:szCs w:val="20"/>
          <w:lang w:val="en-US"/>
        </w:rPr>
        <w:t xml:space="preserve">Blandy </w:t>
      </w:r>
      <w:r>
        <w:rPr>
          <w:sz w:val="20"/>
          <w:szCs w:val="20"/>
          <w:lang w:val="en-US"/>
        </w:rPr>
        <w:t xml:space="preserve">(eds) </w:t>
      </w:r>
      <w:r w:rsidRPr="007C439C">
        <w:rPr>
          <w:i/>
          <w:sz w:val="20"/>
          <w:szCs w:val="20"/>
          <w:lang w:val="en-US"/>
        </w:rPr>
        <w:t>Research</w:t>
      </w:r>
      <w:r>
        <w:rPr>
          <w:i/>
          <w:sz w:val="20"/>
          <w:szCs w:val="20"/>
          <w:lang w:val="en-US"/>
        </w:rPr>
        <w:t>ing</w:t>
      </w:r>
      <w:r w:rsidRPr="007C439C">
        <w:rPr>
          <w:i/>
          <w:sz w:val="20"/>
          <w:szCs w:val="20"/>
          <w:lang w:val="en-US"/>
        </w:rPr>
        <w:t xml:space="preserve"> Property Law</w:t>
      </w:r>
      <w:r>
        <w:rPr>
          <w:sz w:val="20"/>
          <w:szCs w:val="20"/>
          <w:lang w:val="en-US"/>
        </w:rPr>
        <w:t xml:space="preserve"> (London: Palgrave, 2016) 135. The importance of power in property relations cannot be ignored, but we are unable to address it here for reasons of space. </w:t>
      </w:r>
    </w:p>
  </w:footnote>
  <w:footnote w:id="20">
    <w:p w:rsidR="00EB4E5D" w:rsidRPr="00CA772F" w:rsidRDefault="00EB4E5D" w:rsidP="00CA772F">
      <w:pPr>
        <w:pStyle w:val="NoSpacing"/>
        <w:rPr>
          <w:rFonts w:ascii="Times New Roman" w:hAnsi="Times New Roman" w:cs="Times New Roman"/>
          <w:sz w:val="20"/>
          <w:szCs w:val="20"/>
        </w:rPr>
      </w:pPr>
      <w:r w:rsidRPr="00AA4F87">
        <w:rPr>
          <w:rStyle w:val="FootnoteReference"/>
          <w:rFonts w:ascii="Times New Roman" w:hAnsi="Times New Roman" w:cs="Times New Roman"/>
          <w:sz w:val="20"/>
          <w:szCs w:val="20"/>
        </w:rPr>
        <w:footnoteRef/>
      </w:r>
      <w:r w:rsidRPr="00AA4F87">
        <w:rPr>
          <w:rFonts w:ascii="Times New Roman" w:hAnsi="Times New Roman" w:cs="Times New Roman"/>
          <w:sz w:val="20"/>
          <w:szCs w:val="20"/>
        </w:rPr>
        <w:t xml:space="preserve"> I</w:t>
      </w:r>
      <w:r>
        <w:rPr>
          <w:rFonts w:ascii="Times New Roman" w:hAnsi="Times New Roman" w:cs="Times New Roman"/>
          <w:sz w:val="20"/>
          <w:szCs w:val="20"/>
        </w:rPr>
        <w:t xml:space="preserve">. </w:t>
      </w:r>
      <w:r w:rsidRPr="00AA4F87">
        <w:rPr>
          <w:rFonts w:ascii="Times New Roman" w:hAnsi="Times New Roman" w:cs="Times New Roman"/>
          <w:sz w:val="20"/>
          <w:szCs w:val="20"/>
        </w:rPr>
        <w:t>Braverman, N</w:t>
      </w:r>
      <w:r>
        <w:rPr>
          <w:rFonts w:ascii="Times New Roman" w:hAnsi="Times New Roman" w:cs="Times New Roman"/>
          <w:sz w:val="20"/>
          <w:szCs w:val="20"/>
        </w:rPr>
        <w:t>.</w:t>
      </w:r>
      <w:r w:rsidRPr="00AA4F87">
        <w:rPr>
          <w:rFonts w:ascii="Times New Roman" w:hAnsi="Times New Roman" w:cs="Times New Roman"/>
          <w:sz w:val="20"/>
          <w:szCs w:val="20"/>
        </w:rPr>
        <w:t xml:space="preserve"> Blomley, D</w:t>
      </w:r>
      <w:r>
        <w:rPr>
          <w:rFonts w:ascii="Times New Roman" w:hAnsi="Times New Roman" w:cs="Times New Roman"/>
          <w:sz w:val="20"/>
          <w:szCs w:val="20"/>
        </w:rPr>
        <w:t>.</w:t>
      </w:r>
      <w:r w:rsidRPr="00AA4F87">
        <w:rPr>
          <w:rFonts w:ascii="Times New Roman" w:hAnsi="Times New Roman" w:cs="Times New Roman"/>
          <w:sz w:val="20"/>
          <w:szCs w:val="20"/>
        </w:rPr>
        <w:t xml:space="preserve"> Delaney, and A</w:t>
      </w:r>
      <w:r>
        <w:rPr>
          <w:rFonts w:ascii="Times New Roman" w:hAnsi="Times New Roman" w:cs="Times New Roman"/>
          <w:sz w:val="20"/>
          <w:szCs w:val="20"/>
        </w:rPr>
        <w:t>.</w:t>
      </w:r>
      <w:r w:rsidRPr="00AA4F87">
        <w:rPr>
          <w:rFonts w:ascii="Times New Roman" w:hAnsi="Times New Roman" w:cs="Times New Roman"/>
          <w:sz w:val="20"/>
          <w:szCs w:val="20"/>
        </w:rPr>
        <w:t xml:space="preserve"> Kedar</w:t>
      </w:r>
      <w:r>
        <w:rPr>
          <w:rFonts w:ascii="Times New Roman" w:hAnsi="Times New Roman" w:cs="Times New Roman"/>
          <w:sz w:val="20"/>
          <w:szCs w:val="20"/>
        </w:rPr>
        <w:t>,</w:t>
      </w:r>
      <w:r w:rsidRPr="00AA4F87">
        <w:rPr>
          <w:rFonts w:ascii="Times New Roman" w:hAnsi="Times New Roman" w:cs="Times New Roman"/>
          <w:sz w:val="20"/>
          <w:szCs w:val="20"/>
        </w:rPr>
        <w:t xml:space="preserve"> </w:t>
      </w:r>
      <w:r>
        <w:rPr>
          <w:rFonts w:ascii="Times New Roman" w:hAnsi="Times New Roman" w:cs="Times New Roman"/>
          <w:sz w:val="20"/>
          <w:szCs w:val="20"/>
        </w:rPr>
        <w:t xml:space="preserve">‘Expanding the Spaces of Law’ in </w:t>
      </w:r>
      <w:r w:rsidRPr="00AA4F87">
        <w:rPr>
          <w:rFonts w:ascii="Times New Roman" w:hAnsi="Times New Roman" w:cs="Times New Roman"/>
          <w:sz w:val="20"/>
          <w:szCs w:val="20"/>
        </w:rPr>
        <w:t>I</w:t>
      </w:r>
      <w:r>
        <w:rPr>
          <w:rFonts w:ascii="Times New Roman" w:hAnsi="Times New Roman" w:cs="Times New Roman"/>
          <w:sz w:val="20"/>
          <w:szCs w:val="20"/>
        </w:rPr>
        <w:t xml:space="preserve">. </w:t>
      </w:r>
      <w:r w:rsidRPr="00AA4F87">
        <w:rPr>
          <w:rFonts w:ascii="Times New Roman" w:hAnsi="Times New Roman" w:cs="Times New Roman"/>
          <w:sz w:val="20"/>
          <w:szCs w:val="20"/>
        </w:rPr>
        <w:t>Braverman, N</w:t>
      </w:r>
      <w:r>
        <w:rPr>
          <w:rFonts w:ascii="Times New Roman" w:hAnsi="Times New Roman" w:cs="Times New Roman"/>
          <w:sz w:val="20"/>
          <w:szCs w:val="20"/>
        </w:rPr>
        <w:t>.</w:t>
      </w:r>
      <w:r w:rsidRPr="00AA4F87">
        <w:rPr>
          <w:rFonts w:ascii="Times New Roman" w:hAnsi="Times New Roman" w:cs="Times New Roman"/>
          <w:sz w:val="20"/>
          <w:szCs w:val="20"/>
        </w:rPr>
        <w:t xml:space="preserve"> Blomley, D</w:t>
      </w:r>
      <w:r>
        <w:rPr>
          <w:rFonts w:ascii="Times New Roman" w:hAnsi="Times New Roman" w:cs="Times New Roman"/>
          <w:sz w:val="20"/>
          <w:szCs w:val="20"/>
        </w:rPr>
        <w:t>.</w:t>
      </w:r>
      <w:r w:rsidRPr="00AA4F87">
        <w:rPr>
          <w:rFonts w:ascii="Times New Roman" w:hAnsi="Times New Roman" w:cs="Times New Roman"/>
          <w:sz w:val="20"/>
          <w:szCs w:val="20"/>
        </w:rPr>
        <w:t xml:space="preserve"> Delaney, and A</w:t>
      </w:r>
      <w:r>
        <w:rPr>
          <w:rFonts w:ascii="Times New Roman" w:hAnsi="Times New Roman" w:cs="Times New Roman"/>
          <w:sz w:val="20"/>
          <w:szCs w:val="20"/>
        </w:rPr>
        <w:t>.</w:t>
      </w:r>
      <w:r w:rsidRPr="00AA4F87">
        <w:rPr>
          <w:rFonts w:ascii="Times New Roman" w:hAnsi="Times New Roman" w:cs="Times New Roman"/>
          <w:sz w:val="20"/>
          <w:szCs w:val="20"/>
        </w:rPr>
        <w:t xml:space="preserve"> Kedar</w:t>
      </w:r>
      <w:r>
        <w:rPr>
          <w:rFonts w:ascii="Times New Roman" w:hAnsi="Times New Roman" w:cs="Times New Roman"/>
          <w:sz w:val="20"/>
          <w:szCs w:val="20"/>
        </w:rPr>
        <w:t xml:space="preserve"> (eds)</w:t>
      </w:r>
      <w:r w:rsidRPr="00AA4F87">
        <w:rPr>
          <w:rFonts w:ascii="Times New Roman" w:hAnsi="Times New Roman" w:cs="Times New Roman"/>
          <w:sz w:val="20"/>
          <w:szCs w:val="20"/>
        </w:rPr>
        <w:t xml:space="preserve"> </w:t>
      </w:r>
      <w:r w:rsidRPr="00EF2B04">
        <w:rPr>
          <w:rFonts w:ascii="Times New Roman" w:hAnsi="Times New Roman" w:cs="Times New Roman"/>
          <w:i/>
          <w:sz w:val="20"/>
          <w:szCs w:val="20"/>
        </w:rPr>
        <w:t>The Expanding Spaces of Law: A Timely Legal Geography</w:t>
      </w:r>
      <w:r>
        <w:rPr>
          <w:rFonts w:ascii="Times New Roman" w:hAnsi="Times New Roman" w:cs="Times New Roman"/>
          <w:sz w:val="20"/>
          <w:szCs w:val="20"/>
        </w:rPr>
        <w:t xml:space="preserve"> (Stanford, CA: Stanford Law Books, 2014)</w:t>
      </w:r>
      <w:r w:rsidRPr="00CA772F">
        <w:rPr>
          <w:rFonts w:ascii="Times New Roman" w:hAnsi="Times New Roman" w:cs="Times New Roman"/>
          <w:sz w:val="20"/>
          <w:szCs w:val="20"/>
        </w:rPr>
        <w:t xml:space="preserve"> 1.</w:t>
      </w:r>
    </w:p>
  </w:footnote>
  <w:footnote w:id="21">
    <w:p w:rsidR="00EB4E5D" w:rsidRPr="00AA4F87" w:rsidRDefault="00EB4E5D" w:rsidP="008740DB">
      <w:pPr>
        <w:pStyle w:val="FootnoteText"/>
        <w:rPr>
          <w:sz w:val="20"/>
          <w:szCs w:val="20"/>
        </w:rPr>
      </w:pPr>
      <w:r w:rsidRPr="00AA4F87">
        <w:rPr>
          <w:rStyle w:val="FootnoteReference"/>
          <w:sz w:val="20"/>
          <w:szCs w:val="20"/>
        </w:rPr>
        <w:footnoteRef/>
      </w:r>
      <w:r w:rsidRPr="00AA4F87">
        <w:rPr>
          <w:sz w:val="20"/>
          <w:szCs w:val="20"/>
        </w:rPr>
        <w:t xml:space="preserve"> </w:t>
      </w:r>
      <w:r w:rsidRPr="00AA4F87">
        <w:rPr>
          <w:iCs/>
          <w:sz w:val="20"/>
          <w:szCs w:val="20"/>
        </w:rPr>
        <w:t>R. Dyal-Chand</w:t>
      </w:r>
      <w:r>
        <w:rPr>
          <w:iCs/>
          <w:sz w:val="20"/>
          <w:szCs w:val="20"/>
        </w:rPr>
        <w:t>,</w:t>
      </w:r>
      <w:r w:rsidRPr="00AA4F87">
        <w:rPr>
          <w:iCs/>
          <w:sz w:val="20"/>
          <w:szCs w:val="20"/>
        </w:rPr>
        <w:t xml:space="preserve"> ‘Sharing the Cathedral’ (2013) 46 Conn</w:t>
      </w:r>
      <w:r>
        <w:rPr>
          <w:iCs/>
          <w:sz w:val="20"/>
          <w:szCs w:val="20"/>
        </w:rPr>
        <w:t>.</w:t>
      </w:r>
      <w:r w:rsidRPr="00AA4F87">
        <w:rPr>
          <w:iCs/>
          <w:sz w:val="20"/>
          <w:szCs w:val="20"/>
        </w:rPr>
        <w:t xml:space="preserve"> L</w:t>
      </w:r>
      <w:r>
        <w:rPr>
          <w:iCs/>
          <w:sz w:val="20"/>
          <w:szCs w:val="20"/>
        </w:rPr>
        <w:t>.</w:t>
      </w:r>
      <w:r w:rsidRPr="00AA4F87">
        <w:rPr>
          <w:iCs/>
          <w:sz w:val="20"/>
          <w:szCs w:val="20"/>
        </w:rPr>
        <w:t xml:space="preserve"> Rev 647</w:t>
      </w:r>
      <w:r>
        <w:rPr>
          <w:iCs/>
          <w:sz w:val="20"/>
          <w:szCs w:val="20"/>
        </w:rPr>
        <w:t>.</w:t>
      </w:r>
    </w:p>
  </w:footnote>
  <w:footnote w:id="22">
    <w:p w:rsidR="00EB4E5D" w:rsidRPr="00B928FD" w:rsidRDefault="00EB4E5D" w:rsidP="00154211">
      <w:pPr>
        <w:pStyle w:val="FootnoteText"/>
        <w:rPr>
          <w:sz w:val="20"/>
          <w:szCs w:val="20"/>
        </w:rPr>
      </w:pPr>
      <w:r w:rsidRPr="00F534B2">
        <w:rPr>
          <w:rStyle w:val="FootnoteReference"/>
          <w:sz w:val="20"/>
          <w:szCs w:val="20"/>
        </w:rPr>
        <w:footnoteRef/>
      </w:r>
      <w:r w:rsidRPr="00F534B2">
        <w:rPr>
          <w:sz w:val="20"/>
          <w:szCs w:val="20"/>
        </w:rPr>
        <w:t xml:space="preserve"> </w:t>
      </w:r>
      <w:r w:rsidRPr="00F534B2">
        <w:rPr>
          <w:i/>
          <w:sz w:val="20"/>
          <w:szCs w:val="20"/>
        </w:rPr>
        <w:t>I</w:t>
      </w:r>
      <w:r w:rsidRPr="00B928FD">
        <w:rPr>
          <w:i/>
          <w:sz w:val="20"/>
          <w:szCs w:val="20"/>
        </w:rPr>
        <w:t>nvestors Compensation Scheme Ltd. v West Bromwich Building Society</w:t>
      </w:r>
      <w:r w:rsidRPr="00B928FD">
        <w:rPr>
          <w:sz w:val="20"/>
          <w:szCs w:val="20"/>
        </w:rPr>
        <w:t xml:space="preserve"> [199</w:t>
      </w:r>
      <w:r>
        <w:rPr>
          <w:sz w:val="20"/>
          <w:szCs w:val="20"/>
        </w:rPr>
        <w:t>8</w:t>
      </w:r>
      <w:r w:rsidRPr="00B928FD">
        <w:rPr>
          <w:sz w:val="20"/>
          <w:szCs w:val="20"/>
        </w:rPr>
        <w:t xml:space="preserve">] </w:t>
      </w:r>
      <w:r>
        <w:rPr>
          <w:sz w:val="20"/>
          <w:szCs w:val="20"/>
        </w:rPr>
        <w:t>1 WLR 896.</w:t>
      </w:r>
    </w:p>
  </w:footnote>
  <w:footnote w:id="23">
    <w:p w:rsidR="00EB4E5D" w:rsidRDefault="00EB4E5D" w:rsidP="00C102DB">
      <w:pPr>
        <w:pStyle w:val="FootnoteText"/>
      </w:pPr>
      <w:r w:rsidRPr="00191697">
        <w:rPr>
          <w:rStyle w:val="FootnoteReference"/>
          <w:sz w:val="20"/>
          <w:szCs w:val="20"/>
        </w:rPr>
        <w:footnoteRef/>
      </w:r>
      <w:r w:rsidRPr="00191697">
        <w:rPr>
          <w:sz w:val="20"/>
          <w:szCs w:val="20"/>
        </w:rPr>
        <w:t xml:space="preserve"> For</w:t>
      </w:r>
      <w:r w:rsidRPr="007C439C">
        <w:rPr>
          <w:rFonts w:eastAsia="Calibri"/>
          <w:sz w:val="20"/>
          <w:szCs w:val="20"/>
        </w:rPr>
        <w:t xml:space="preserve"> example, </w:t>
      </w:r>
      <w:r>
        <w:rPr>
          <w:rFonts w:eastAsia="Calibri"/>
          <w:sz w:val="20"/>
          <w:szCs w:val="20"/>
        </w:rPr>
        <w:t>the</w:t>
      </w:r>
      <w:r w:rsidRPr="007C439C">
        <w:rPr>
          <w:rFonts w:eastAsia="Calibri"/>
          <w:sz w:val="20"/>
          <w:szCs w:val="20"/>
        </w:rPr>
        <w:t xml:space="preserve"> collective decisions </w:t>
      </w:r>
      <w:r>
        <w:rPr>
          <w:rFonts w:eastAsia="Calibri"/>
          <w:sz w:val="20"/>
          <w:szCs w:val="20"/>
        </w:rPr>
        <w:t>of</w:t>
      </w:r>
      <w:r w:rsidRPr="007C439C">
        <w:rPr>
          <w:rFonts w:eastAsia="Calibri"/>
          <w:sz w:val="20"/>
          <w:szCs w:val="20"/>
        </w:rPr>
        <w:t xml:space="preserve"> </w:t>
      </w:r>
      <w:r>
        <w:rPr>
          <w:rFonts w:eastAsia="Calibri"/>
          <w:sz w:val="20"/>
          <w:szCs w:val="20"/>
        </w:rPr>
        <w:t xml:space="preserve">enfranchised </w:t>
      </w:r>
      <w:r w:rsidRPr="007C439C">
        <w:rPr>
          <w:rFonts w:eastAsia="Calibri"/>
          <w:sz w:val="20"/>
          <w:szCs w:val="20"/>
        </w:rPr>
        <w:t>leaseholders</w:t>
      </w:r>
      <w:r>
        <w:rPr>
          <w:rFonts w:eastAsia="Calibri"/>
          <w:sz w:val="20"/>
          <w:szCs w:val="20"/>
        </w:rPr>
        <w:t xml:space="preserve">. </w:t>
      </w:r>
    </w:p>
  </w:footnote>
  <w:footnote w:id="24">
    <w:p w:rsidR="00EB4E5D" w:rsidRPr="001E150A" w:rsidRDefault="00EB4E5D">
      <w:pPr>
        <w:pStyle w:val="FootnoteText"/>
        <w:rPr>
          <w:sz w:val="20"/>
          <w:szCs w:val="20"/>
        </w:rPr>
      </w:pPr>
      <w:r w:rsidRPr="001E150A">
        <w:rPr>
          <w:rStyle w:val="FootnoteReference"/>
          <w:sz w:val="20"/>
          <w:szCs w:val="20"/>
        </w:rPr>
        <w:footnoteRef/>
      </w:r>
      <w:r w:rsidRPr="001E150A">
        <w:rPr>
          <w:sz w:val="20"/>
          <w:szCs w:val="20"/>
        </w:rPr>
        <w:t xml:space="preserve"> H. Dagan, </w:t>
      </w:r>
      <w:r w:rsidRPr="001E150A">
        <w:rPr>
          <w:i/>
          <w:sz w:val="20"/>
          <w:szCs w:val="20"/>
        </w:rPr>
        <w:t>Property, Values and Institutions</w:t>
      </w:r>
      <w:r w:rsidRPr="001E150A">
        <w:rPr>
          <w:sz w:val="20"/>
          <w:szCs w:val="20"/>
        </w:rPr>
        <w:t xml:space="preserve"> (Oxford</w:t>
      </w:r>
      <w:r>
        <w:rPr>
          <w:sz w:val="20"/>
          <w:szCs w:val="20"/>
        </w:rPr>
        <w:t>:</w:t>
      </w:r>
      <w:r w:rsidRPr="001E150A">
        <w:rPr>
          <w:sz w:val="20"/>
          <w:szCs w:val="20"/>
        </w:rPr>
        <w:t xml:space="preserve"> Oxford University Press, 2011). Dagan’s thesis is that there are multiple institutions of property, reflecting and promoting different societal values, so the search for one core explanation of property and its values is unproductive and undesirable.</w:t>
      </w:r>
    </w:p>
  </w:footnote>
  <w:footnote w:id="25">
    <w:p w:rsidR="00EB4E5D" w:rsidRPr="00F534B2" w:rsidRDefault="00EB4E5D" w:rsidP="00BB5775">
      <w:pPr>
        <w:spacing w:after="0" w:line="240" w:lineRule="auto"/>
        <w:contextualSpacing/>
        <w:rPr>
          <w:sz w:val="20"/>
        </w:rPr>
      </w:pPr>
      <w:r w:rsidRPr="001E150A">
        <w:rPr>
          <w:rStyle w:val="FootnoteReference"/>
          <w:sz w:val="20"/>
        </w:rPr>
        <w:footnoteRef/>
      </w:r>
      <w:r w:rsidRPr="001E150A">
        <w:rPr>
          <w:sz w:val="20"/>
        </w:rPr>
        <w:t xml:space="preserve"> J. Page, </w:t>
      </w:r>
      <w:r w:rsidRPr="001E150A">
        <w:rPr>
          <w:i/>
          <w:sz w:val="20"/>
        </w:rPr>
        <w:t>Property Diversity and its Implications</w:t>
      </w:r>
      <w:r w:rsidRPr="001E150A">
        <w:rPr>
          <w:sz w:val="20"/>
        </w:rPr>
        <w:t xml:space="preserve"> (Abingdon</w:t>
      </w:r>
      <w:r>
        <w:rPr>
          <w:sz w:val="20"/>
        </w:rPr>
        <w:t>:</w:t>
      </w:r>
      <w:r w:rsidRPr="001E150A">
        <w:rPr>
          <w:sz w:val="20"/>
        </w:rPr>
        <w:t xml:space="preserve"> Routledge, 2017). Page argues against the centrality of the private ownership property as it produces undesirable normative outcomes</w:t>
      </w:r>
      <w:r>
        <w:rPr>
          <w:sz w:val="20"/>
        </w:rPr>
        <w:t>.</w:t>
      </w:r>
    </w:p>
  </w:footnote>
  <w:footnote w:id="26">
    <w:p w:rsidR="00EB4E5D" w:rsidRPr="00AA4F87" w:rsidRDefault="00EB4E5D" w:rsidP="002523C3">
      <w:pPr>
        <w:pStyle w:val="FootnoteText"/>
        <w:rPr>
          <w:sz w:val="20"/>
          <w:szCs w:val="20"/>
          <w:lang w:val="en-US"/>
        </w:rPr>
      </w:pPr>
      <w:r w:rsidRPr="00AA4F87">
        <w:rPr>
          <w:rStyle w:val="FootnoteReference"/>
          <w:sz w:val="20"/>
          <w:szCs w:val="20"/>
        </w:rPr>
        <w:footnoteRef/>
      </w:r>
      <w:r w:rsidRPr="00AA4F87">
        <w:rPr>
          <w:sz w:val="20"/>
          <w:szCs w:val="20"/>
        </w:rPr>
        <w:t xml:space="preserve"> </w:t>
      </w:r>
      <w:r w:rsidR="00C94414">
        <w:rPr>
          <w:sz w:val="20"/>
          <w:szCs w:val="20"/>
        </w:rPr>
        <w:t>n 4</w:t>
      </w:r>
      <w:r>
        <w:rPr>
          <w:sz w:val="20"/>
          <w:szCs w:val="20"/>
        </w:rPr>
        <w:t xml:space="preserve"> above, at 881, footnotes omitted. </w:t>
      </w:r>
    </w:p>
  </w:footnote>
  <w:footnote w:id="27">
    <w:p w:rsidR="00EB4E5D" w:rsidRPr="00AA4F87" w:rsidRDefault="00EB4E5D" w:rsidP="008F3664">
      <w:pPr>
        <w:pStyle w:val="FootnoteText"/>
        <w:rPr>
          <w:sz w:val="20"/>
          <w:szCs w:val="20"/>
        </w:rPr>
      </w:pPr>
      <w:r w:rsidRPr="00AA4F87">
        <w:rPr>
          <w:rStyle w:val="FootnoteReference"/>
          <w:sz w:val="20"/>
          <w:szCs w:val="20"/>
        </w:rPr>
        <w:footnoteRef/>
      </w:r>
      <w:r w:rsidRPr="00AA4F87">
        <w:rPr>
          <w:sz w:val="20"/>
          <w:szCs w:val="20"/>
        </w:rPr>
        <w:t xml:space="preserve"> </w:t>
      </w:r>
      <w:r w:rsidR="00C94414">
        <w:rPr>
          <w:sz w:val="20"/>
          <w:szCs w:val="20"/>
        </w:rPr>
        <w:t>n 4</w:t>
      </w:r>
      <w:r>
        <w:rPr>
          <w:sz w:val="20"/>
          <w:szCs w:val="20"/>
        </w:rPr>
        <w:t xml:space="preserve"> above, at </w:t>
      </w:r>
      <w:r w:rsidRPr="00AA4F87">
        <w:rPr>
          <w:sz w:val="20"/>
          <w:szCs w:val="20"/>
        </w:rPr>
        <w:t>895.</w:t>
      </w:r>
    </w:p>
  </w:footnote>
  <w:footnote w:id="28">
    <w:p w:rsidR="00EB4E5D" w:rsidRPr="00AA4F87" w:rsidRDefault="00EB4E5D" w:rsidP="008F3664">
      <w:pPr>
        <w:pStyle w:val="FootnoteText"/>
        <w:rPr>
          <w:sz w:val="20"/>
          <w:szCs w:val="20"/>
        </w:rPr>
      </w:pPr>
      <w:r w:rsidRPr="00AA4F87">
        <w:rPr>
          <w:rStyle w:val="FootnoteReference"/>
          <w:sz w:val="20"/>
          <w:szCs w:val="20"/>
        </w:rPr>
        <w:footnoteRef/>
      </w:r>
      <w:r w:rsidRPr="00AA4F87">
        <w:rPr>
          <w:sz w:val="20"/>
          <w:szCs w:val="20"/>
        </w:rPr>
        <w:t xml:space="preserve"> I</w:t>
      </w:r>
      <w:r>
        <w:rPr>
          <w:sz w:val="20"/>
          <w:szCs w:val="20"/>
        </w:rPr>
        <w:t>.</w:t>
      </w:r>
      <w:r w:rsidRPr="00AA4F87">
        <w:rPr>
          <w:sz w:val="20"/>
          <w:szCs w:val="20"/>
        </w:rPr>
        <w:t xml:space="preserve"> R Macneil, </w:t>
      </w:r>
      <w:r>
        <w:rPr>
          <w:sz w:val="20"/>
          <w:szCs w:val="20"/>
        </w:rPr>
        <w:t>‘</w:t>
      </w:r>
      <w:r w:rsidRPr="00AA4F87">
        <w:rPr>
          <w:sz w:val="20"/>
          <w:szCs w:val="20"/>
        </w:rPr>
        <w:t>Relational Contract Theory as Sociology: A Reply to Professors Lindenberg and de Vos</w:t>
      </w:r>
      <w:r>
        <w:rPr>
          <w:sz w:val="20"/>
          <w:szCs w:val="20"/>
        </w:rPr>
        <w:t>’</w:t>
      </w:r>
      <w:r w:rsidRPr="00AA4F87">
        <w:rPr>
          <w:sz w:val="20"/>
          <w:szCs w:val="20"/>
        </w:rPr>
        <w:t xml:space="preserve"> (1987) 143 J. Inst. &amp; Theoretical Econ. 272, 276.</w:t>
      </w:r>
    </w:p>
  </w:footnote>
  <w:footnote w:id="29">
    <w:p w:rsidR="00EB4E5D" w:rsidRPr="00AA4F87" w:rsidRDefault="00EB4E5D" w:rsidP="003F5040">
      <w:pPr>
        <w:pStyle w:val="FootnoteText"/>
        <w:rPr>
          <w:sz w:val="20"/>
          <w:szCs w:val="20"/>
        </w:rPr>
      </w:pPr>
      <w:r w:rsidRPr="00AA4F87">
        <w:rPr>
          <w:rStyle w:val="FootnoteReference"/>
          <w:sz w:val="20"/>
          <w:szCs w:val="20"/>
        </w:rPr>
        <w:footnoteRef/>
      </w:r>
      <w:r w:rsidRPr="00AA4F87">
        <w:rPr>
          <w:sz w:val="20"/>
          <w:szCs w:val="20"/>
        </w:rPr>
        <w:t xml:space="preserve"> </w:t>
      </w:r>
      <w:r w:rsidR="00C94414">
        <w:rPr>
          <w:sz w:val="20"/>
          <w:szCs w:val="20"/>
        </w:rPr>
        <w:t>n 4</w:t>
      </w:r>
      <w:r>
        <w:rPr>
          <w:sz w:val="20"/>
          <w:szCs w:val="20"/>
        </w:rPr>
        <w:t xml:space="preserve"> above, at </w:t>
      </w:r>
      <w:r w:rsidRPr="00AA4F87">
        <w:rPr>
          <w:sz w:val="20"/>
          <w:szCs w:val="20"/>
        </w:rPr>
        <w:t>89</w:t>
      </w:r>
      <w:r>
        <w:rPr>
          <w:sz w:val="20"/>
          <w:szCs w:val="20"/>
        </w:rPr>
        <w:t>7</w:t>
      </w:r>
      <w:r w:rsidRPr="00AA4F87">
        <w:rPr>
          <w:sz w:val="20"/>
          <w:szCs w:val="20"/>
        </w:rPr>
        <w:t>.</w:t>
      </w:r>
      <w:r>
        <w:rPr>
          <w:sz w:val="20"/>
          <w:szCs w:val="20"/>
        </w:rPr>
        <w:t xml:space="preserve"> </w:t>
      </w:r>
    </w:p>
  </w:footnote>
  <w:footnote w:id="30">
    <w:p w:rsidR="00EB4E5D" w:rsidRPr="00AA4F87" w:rsidRDefault="00EB4E5D" w:rsidP="00FE57B4">
      <w:pPr>
        <w:pStyle w:val="FootnoteText"/>
        <w:rPr>
          <w:sz w:val="20"/>
          <w:szCs w:val="20"/>
          <w:lang w:val="en-US"/>
        </w:rPr>
      </w:pPr>
      <w:r w:rsidRPr="00AA4F87">
        <w:rPr>
          <w:rStyle w:val="FootnoteReference"/>
          <w:sz w:val="20"/>
          <w:szCs w:val="20"/>
        </w:rPr>
        <w:footnoteRef/>
      </w:r>
      <w:r w:rsidRPr="00AA4F87">
        <w:rPr>
          <w:sz w:val="20"/>
          <w:szCs w:val="20"/>
        </w:rPr>
        <w:t xml:space="preserve"> </w:t>
      </w:r>
      <w:r w:rsidRPr="00AA4F87">
        <w:rPr>
          <w:sz w:val="20"/>
          <w:szCs w:val="20"/>
          <w:lang w:val="en-US"/>
        </w:rPr>
        <w:t xml:space="preserve">Personal communication with the authors. </w:t>
      </w:r>
    </w:p>
  </w:footnote>
  <w:footnote w:id="31">
    <w:p w:rsidR="00EB4E5D" w:rsidRPr="00AA4F87" w:rsidRDefault="00EB4E5D" w:rsidP="00876801">
      <w:pPr>
        <w:pStyle w:val="FootnoteText"/>
        <w:rPr>
          <w:sz w:val="20"/>
          <w:szCs w:val="20"/>
        </w:rPr>
      </w:pPr>
      <w:r w:rsidRPr="00AA4F87">
        <w:rPr>
          <w:rStyle w:val="FootnoteReference"/>
          <w:sz w:val="20"/>
          <w:szCs w:val="20"/>
        </w:rPr>
        <w:footnoteRef/>
      </w:r>
      <w:r w:rsidRPr="00AA4F87">
        <w:rPr>
          <w:sz w:val="20"/>
          <w:szCs w:val="20"/>
        </w:rPr>
        <w:t xml:space="preserve"> D. Kimel, ‘The Choice of Paradigm for Theory of Contract: Reflections on the Relational Model’ (2007) 27 OJLS 233, 236.</w:t>
      </w:r>
    </w:p>
  </w:footnote>
  <w:footnote w:id="32">
    <w:p w:rsidR="00EB4E5D" w:rsidRPr="00C84B47" w:rsidRDefault="00EB4E5D" w:rsidP="00C84B47">
      <w:pPr>
        <w:pStyle w:val="NoSpacing"/>
        <w:rPr>
          <w:rFonts w:ascii="Times New Roman" w:hAnsi="Times New Roman" w:cs="Times New Roman"/>
          <w:sz w:val="20"/>
          <w:szCs w:val="20"/>
        </w:rPr>
      </w:pPr>
      <w:r w:rsidRPr="00C84B47">
        <w:rPr>
          <w:rStyle w:val="FootnoteReference"/>
          <w:rFonts w:ascii="Times New Roman" w:hAnsi="Times New Roman" w:cs="Times New Roman"/>
          <w:sz w:val="20"/>
          <w:szCs w:val="20"/>
        </w:rPr>
        <w:footnoteRef/>
      </w:r>
      <w:r w:rsidRPr="00C84B47">
        <w:rPr>
          <w:rFonts w:ascii="Times New Roman" w:hAnsi="Times New Roman" w:cs="Times New Roman"/>
          <w:sz w:val="20"/>
          <w:szCs w:val="20"/>
        </w:rPr>
        <w:t xml:space="preserve"> S. Macaulay, ‘The Real Deal and the Paper Deal: Empirical Pictures of Relationships, Complexity and the Urge for Transparent Simple Rules’ (2003) 66 MLR 44; L. Bernstein, ‘Merchant Law in a Merchant Court: Rethinking the Code’s Search for Immanent Business Norms’ (1996) 144 U. Pa. L. Rev. 1765.</w:t>
      </w:r>
    </w:p>
  </w:footnote>
  <w:footnote w:id="33">
    <w:p w:rsidR="00EB4E5D" w:rsidRPr="00C94414" w:rsidRDefault="00EB4E5D" w:rsidP="00C94414">
      <w:pPr>
        <w:pStyle w:val="NoSpacing"/>
        <w:rPr>
          <w:rFonts w:ascii="Times New Roman" w:hAnsi="Times New Roman" w:cs="Times New Roman"/>
          <w:sz w:val="20"/>
          <w:szCs w:val="20"/>
        </w:rPr>
      </w:pPr>
      <w:r w:rsidRPr="00C94414">
        <w:rPr>
          <w:rFonts w:ascii="Times New Roman" w:hAnsi="Times New Roman" w:cs="Times New Roman"/>
          <w:sz w:val="20"/>
          <w:szCs w:val="20"/>
        </w:rPr>
        <w:footnoteRef/>
      </w:r>
      <w:r w:rsidRPr="00C94414">
        <w:rPr>
          <w:rFonts w:ascii="Times New Roman" w:hAnsi="Times New Roman" w:cs="Times New Roman"/>
          <w:sz w:val="20"/>
          <w:szCs w:val="20"/>
        </w:rPr>
        <w:t xml:space="preserve"> G. S. Alexander and E. M. Peñalver, </w:t>
      </w:r>
      <w:r w:rsidRPr="00C94414">
        <w:rPr>
          <w:rFonts w:ascii="Times New Roman" w:hAnsi="Times New Roman" w:cs="Times New Roman"/>
          <w:i/>
          <w:sz w:val="20"/>
          <w:szCs w:val="20"/>
        </w:rPr>
        <w:t>An Introd</w:t>
      </w:r>
      <w:r w:rsidR="00C94414" w:rsidRPr="00C94414">
        <w:rPr>
          <w:rFonts w:ascii="Times New Roman" w:hAnsi="Times New Roman" w:cs="Times New Roman"/>
          <w:i/>
          <w:sz w:val="20"/>
          <w:szCs w:val="20"/>
        </w:rPr>
        <w:t>u</w:t>
      </w:r>
      <w:r w:rsidRPr="00C94414">
        <w:rPr>
          <w:rFonts w:ascii="Times New Roman" w:hAnsi="Times New Roman" w:cs="Times New Roman"/>
          <w:i/>
          <w:sz w:val="20"/>
          <w:szCs w:val="20"/>
        </w:rPr>
        <w:t>ction to Property Theory</w:t>
      </w:r>
      <w:r w:rsidRPr="00C94414">
        <w:rPr>
          <w:rFonts w:ascii="Times New Roman" w:hAnsi="Times New Roman" w:cs="Times New Roman"/>
          <w:sz w:val="20"/>
          <w:szCs w:val="20"/>
        </w:rPr>
        <w:t xml:space="preserve"> (New York: Cambridge University Press, 2012) 2.</w:t>
      </w:r>
    </w:p>
  </w:footnote>
  <w:footnote w:id="34">
    <w:p w:rsidR="00EB4E5D" w:rsidRPr="00205B11" w:rsidRDefault="00EB4E5D" w:rsidP="00422CB6">
      <w:pPr>
        <w:pStyle w:val="FootnoteText"/>
        <w:rPr>
          <w:lang w:val="en-US"/>
        </w:rPr>
      </w:pPr>
      <w:r>
        <w:rPr>
          <w:rStyle w:val="FootnoteReference"/>
        </w:rPr>
        <w:footnoteRef/>
      </w:r>
      <w:r>
        <w:t xml:space="preserve"> </w:t>
      </w:r>
      <w:r w:rsidRPr="00C84B47">
        <w:rPr>
          <w:sz w:val="20"/>
          <w:szCs w:val="20"/>
          <w:lang w:val="en-US"/>
        </w:rPr>
        <w:t xml:space="preserve">J. E. Penner, </w:t>
      </w:r>
      <w:r w:rsidRPr="00C84B47">
        <w:rPr>
          <w:i/>
          <w:sz w:val="20"/>
          <w:szCs w:val="20"/>
          <w:lang w:val="en-US"/>
        </w:rPr>
        <w:t>The Idea of Property in Law</w:t>
      </w:r>
      <w:r w:rsidRPr="00C84B47">
        <w:rPr>
          <w:sz w:val="20"/>
          <w:szCs w:val="20"/>
          <w:lang w:val="en-US"/>
        </w:rPr>
        <w:t xml:space="preserve"> (New York: Oxford University Press, 1997)</w:t>
      </w:r>
      <w:r>
        <w:rPr>
          <w:sz w:val="20"/>
          <w:szCs w:val="20"/>
          <w:lang w:val="en-US"/>
        </w:rPr>
        <w:t xml:space="preserve"> 2; J. E. Penner, ‘The </w:t>
      </w:r>
      <w:r>
        <w:rPr>
          <w:sz w:val="20"/>
          <w:szCs w:val="20"/>
        </w:rPr>
        <w:t>“Bundle of Rights” Picture of Property’ (1995-1996) 43 UCLA L.Rev. 711.</w:t>
      </w:r>
      <w:r w:rsidRPr="00205B11">
        <w:rPr>
          <w:sz w:val="20"/>
          <w:szCs w:val="20"/>
        </w:rPr>
        <w:t xml:space="preserve"> </w:t>
      </w:r>
      <w:r w:rsidRPr="00C84B47">
        <w:rPr>
          <w:sz w:val="20"/>
          <w:szCs w:val="20"/>
        </w:rPr>
        <w:t>See the classic</w:t>
      </w:r>
      <w:r w:rsidRPr="00C84B47">
        <w:rPr>
          <w:sz w:val="20"/>
          <w:szCs w:val="20"/>
          <w:lang w:val="en-US"/>
        </w:rPr>
        <w:t xml:space="preserve"> statement of the bundle of rights view in C.B. Macpherson, ‘Introduction’ in C. B. MacPherson (ed), </w:t>
      </w:r>
      <w:r w:rsidRPr="00C84B47">
        <w:rPr>
          <w:i/>
          <w:sz w:val="20"/>
          <w:szCs w:val="20"/>
          <w:lang w:val="en-US"/>
        </w:rPr>
        <w:t>Property: Mainstream and Critical Positions</w:t>
      </w:r>
      <w:r w:rsidRPr="00C84B47">
        <w:rPr>
          <w:sz w:val="20"/>
          <w:szCs w:val="20"/>
          <w:lang w:val="en-US"/>
        </w:rPr>
        <w:t xml:space="preserve"> (Toronto: University of Toronto Press, 1999). For the opposing ‘property as thing’ thesis, see </w:t>
      </w:r>
      <w:r>
        <w:rPr>
          <w:sz w:val="20"/>
          <w:szCs w:val="20"/>
          <w:lang w:val="en-US"/>
        </w:rPr>
        <w:t xml:space="preserve">also, </w:t>
      </w:r>
      <w:r w:rsidRPr="00C84B47">
        <w:rPr>
          <w:sz w:val="20"/>
          <w:szCs w:val="20"/>
          <w:lang w:val="en-US"/>
        </w:rPr>
        <w:t>for example; H. E. Smith, ‘Property as the Law of Things’ (2012) 125 Harv. L. Rev. 169.</w:t>
      </w:r>
    </w:p>
  </w:footnote>
  <w:footnote w:id="35">
    <w:p w:rsidR="00EB4E5D" w:rsidRPr="00AA4F87" w:rsidRDefault="00EB4E5D" w:rsidP="00422CB6">
      <w:pPr>
        <w:pStyle w:val="FootnoteText"/>
        <w:rPr>
          <w:sz w:val="20"/>
          <w:szCs w:val="20"/>
        </w:rPr>
      </w:pPr>
      <w:r w:rsidRPr="00AA4F87">
        <w:rPr>
          <w:rStyle w:val="FootnoteReference"/>
          <w:sz w:val="20"/>
          <w:szCs w:val="20"/>
        </w:rPr>
        <w:footnoteRef/>
      </w:r>
      <w:r w:rsidRPr="00AA4F87">
        <w:rPr>
          <w:sz w:val="20"/>
          <w:szCs w:val="20"/>
        </w:rPr>
        <w:t xml:space="preserve"> M.A.</w:t>
      </w:r>
      <w:r>
        <w:rPr>
          <w:sz w:val="20"/>
          <w:szCs w:val="20"/>
        </w:rPr>
        <w:t xml:space="preserve"> </w:t>
      </w:r>
      <w:r w:rsidRPr="00AA4F87">
        <w:rPr>
          <w:sz w:val="20"/>
          <w:szCs w:val="20"/>
        </w:rPr>
        <w:t>Heller, ‘The Boundaries of Private Property’ (1999) 108 Yale L</w:t>
      </w:r>
      <w:r>
        <w:rPr>
          <w:sz w:val="20"/>
          <w:szCs w:val="20"/>
        </w:rPr>
        <w:t>.</w:t>
      </w:r>
      <w:r w:rsidRPr="00AA4F87">
        <w:rPr>
          <w:sz w:val="20"/>
          <w:szCs w:val="20"/>
        </w:rPr>
        <w:t xml:space="preserve"> J</w:t>
      </w:r>
      <w:r>
        <w:rPr>
          <w:sz w:val="20"/>
          <w:szCs w:val="20"/>
        </w:rPr>
        <w:t xml:space="preserve">. </w:t>
      </w:r>
      <w:r w:rsidRPr="00AA4F87">
        <w:rPr>
          <w:sz w:val="20"/>
          <w:szCs w:val="20"/>
        </w:rPr>
        <w:t>1163, 119</w:t>
      </w:r>
      <w:r>
        <w:rPr>
          <w:sz w:val="20"/>
          <w:szCs w:val="20"/>
        </w:rPr>
        <w:t>3</w:t>
      </w:r>
      <w:r w:rsidRPr="00AA4F87">
        <w:rPr>
          <w:sz w:val="20"/>
          <w:szCs w:val="20"/>
        </w:rPr>
        <w:t>.</w:t>
      </w:r>
    </w:p>
  </w:footnote>
  <w:footnote w:id="36">
    <w:p w:rsidR="00EB4E5D" w:rsidRPr="00AA4F87" w:rsidRDefault="00EB4E5D" w:rsidP="00422CB6">
      <w:pPr>
        <w:spacing w:after="0" w:line="240" w:lineRule="auto"/>
        <w:contextualSpacing/>
        <w:rPr>
          <w:sz w:val="20"/>
        </w:rPr>
      </w:pPr>
      <w:r w:rsidRPr="00AA4F87">
        <w:rPr>
          <w:rStyle w:val="FootnoteReference"/>
          <w:sz w:val="20"/>
        </w:rPr>
        <w:footnoteRef/>
      </w:r>
      <w:r w:rsidRPr="00AA4F87">
        <w:rPr>
          <w:sz w:val="20"/>
        </w:rPr>
        <w:t xml:space="preserve"> J. E. Baron</w:t>
      </w:r>
      <w:r>
        <w:rPr>
          <w:sz w:val="20"/>
        </w:rPr>
        <w:t>, ‘</w:t>
      </w:r>
      <w:r w:rsidRPr="00AA4F87">
        <w:rPr>
          <w:sz w:val="20"/>
        </w:rPr>
        <w:t>The Contested Commitments of Property</w:t>
      </w:r>
      <w:r>
        <w:rPr>
          <w:sz w:val="20"/>
        </w:rPr>
        <w:t>’</w:t>
      </w:r>
      <w:r w:rsidRPr="00AA4F87">
        <w:rPr>
          <w:sz w:val="20"/>
        </w:rPr>
        <w:t xml:space="preserve"> (2010) 61 Hastings L</w:t>
      </w:r>
      <w:r>
        <w:rPr>
          <w:sz w:val="20"/>
        </w:rPr>
        <w:t>.</w:t>
      </w:r>
      <w:r w:rsidRPr="00AA4F87">
        <w:rPr>
          <w:sz w:val="20"/>
        </w:rPr>
        <w:t xml:space="preserve"> J</w:t>
      </w:r>
      <w:r>
        <w:rPr>
          <w:sz w:val="20"/>
        </w:rPr>
        <w:t>.</w:t>
      </w:r>
      <w:r w:rsidRPr="00AA4F87">
        <w:rPr>
          <w:sz w:val="20"/>
        </w:rPr>
        <w:t xml:space="preserve"> 917</w:t>
      </w:r>
      <w:r>
        <w:rPr>
          <w:sz w:val="20"/>
        </w:rPr>
        <w:t>, 918 and 919</w:t>
      </w:r>
      <w:r w:rsidRPr="00AA4F87">
        <w:rPr>
          <w:sz w:val="20"/>
        </w:rPr>
        <w:t xml:space="preserve">.  </w:t>
      </w:r>
    </w:p>
  </w:footnote>
  <w:footnote w:id="37">
    <w:p w:rsidR="00EB4E5D" w:rsidRPr="00AA4F87" w:rsidRDefault="00EB4E5D" w:rsidP="00422CB6">
      <w:pPr>
        <w:pStyle w:val="NoSpacing"/>
        <w:contextualSpacing/>
        <w:rPr>
          <w:rFonts w:ascii="Times New Roman" w:hAnsi="Times New Roman" w:cs="Times New Roman"/>
          <w:sz w:val="20"/>
          <w:szCs w:val="20"/>
        </w:rPr>
      </w:pPr>
      <w:r w:rsidRPr="00AA4F87">
        <w:rPr>
          <w:rStyle w:val="FootnoteReference"/>
          <w:sz w:val="20"/>
          <w:szCs w:val="20"/>
        </w:rPr>
        <w:footnoteRef/>
      </w:r>
      <w:r w:rsidRPr="00AA4F87">
        <w:rPr>
          <w:rFonts w:ascii="Times New Roman" w:hAnsi="Times New Roman" w:cs="Times New Roman"/>
          <w:sz w:val="20"/>
          <w:szCs w:val="20"/>
        </w:rPr>
        <w:t xml:space="preserve"> See, for example, T</w:t>
      </w:r>
      <w:r>
        <w:rPr>
          <w:rFonts w:ascii="Times New Roman" w:hAnsi="Times New Roman" w:cs="Times New Roman"/>
          <w:sz w:val="20"/>
          <w:szCs w:val="20"/>
        </w:rPr>
        <w:t>.</w:t>
      </w:r>
      <w:r w:rsidRPr="00AA4F87">
        <w:rPr>
          <w:rFonts w:ascii="Times New Roman" w:hAnsi="Times New Roman" w:cs="Times New Roman"/>
          <w:sz w:val="20"/>
          <w:szCs w:val="20"/>
        </w:rPr>
        <w:t xml:space="preserve"> W. Merrill </w:t>
      </w:r>
      <w:r>
        <w:rPr>
          <w:rFonts w:ascii="Times New Roman" w:hAnsi="Times New Roman" w:cs="Times New Roman"/>
          <w:sz w:val="20"/>
          <w:szCs w:val="20"/>
        </w:rPr>
        <w:t>and</w:t>
      </w:r>
      <w:r w:rsidRPr="00AA4F87">
        <w:rPr>
          <w:rFonts w:ascii="Times New Roman" w:hAnsi="Times New Roman" w:cs="Times New Roman"/>
          <w:sz w:val="20"/>
          <w:szCs w:val="20"/>
        </w:rPr>
        <w:t xml:space="preserve"> H</w:t>
      </w:r>
      <w:r>
        <w:rPr>
          <w:rFonts w:ascii="Times New Roman" w:hAnsi="Times New Roman" w:cs="Times New Roman"/>
          <w:sz w:val="20"/>
          <w:szCs w:val="20"/>
        </w:rPr>
        <w:t>. E. Smith, ‘</w:t>
      </w:r>
      <w:r w:rsidRPr="00AA4F87">
        <w:rPr>
          <w:rFonts w:ascii="Times New Roman" w:hAnsi="Times New Roman" w:cs="Times New Roman"/>
          <w:iCs/>
          <w:sz w:val="20"/>
          <w:szCs w:val="20"/>
        </w:rPr>
        <w:t>Optimal Standardization in the Law of</w:t>
      </w:r>
    </w:p>
    <w:p w:rsidR="00EB4E5D" w:rsidRPr="00AA4F87" w:rsidRDefault="00EB4E5D" w:rsidP="00422CB6">
      <w:pPr>
        <w:pStyle w:val="NoSpacing"/>
        <w:contextualSpacing/>
        <w:rPr>
          <w:rFonts w:ascii="Times New Roman" w:hAnsi="Times New Roman" w:cs="Times New Roman"/>
          <w:sz w:val="20"/>
          <w:szCs w:val="20"/>
        </w:rPr>
      </w:pPr>
      <w:r w:rsidRPr="00AA4F87">
        <w:rPr>
          <w:rFonts w:ascii="Times New Roman" w:hAnsi="Times New Roman" w:cs="Times New Roman"/>
          <w:iCs/>
          <w:sz w:val="20"/>
          <w:szCs w:val="20"/>
        </w:rPr>
        <w:t xml:space="preserve">Property: The </w:t>
      </w:r>
      <w:r w:rsidRPr="00AA4F87">
        <w:rPr>
          <w:rFonts w:ascii="Times New Roman" w:hAnsi="Times New Roman" w:cs="Times New Roman"/>
          <w:i/>
          <w:sz w:val="20"/>
          <w:szCs w:val="20"/>
        </w:rPr>
        <w:t>Numerus Clausus</w:t>
      </w:r>
      <w:r w:rsidRPr="00AA4F87">
        <w:rPr>
          <w:rFonts w:ascii="Times New Roman" w:hAnsi="Times New Roman" w:cs="Times New Roman"/>
          <w:sz w:val="20"/>
          <w:szCs w:val="20"/>
        </w:rPr>
        <w:t xml:space="preserve"> </w:t>
      </w:r>
      <w:r>
        <w:rPr>
          <w:rFonts w:ascii="Times New Roman" w:hAnsi="Times New Roman" w:cs="Times New Roman"/>
          <w:iCs/>
          <w:sz w:val="20"/>
          <w:szCs w:val="20"/>
        </w:rPr>
        <w:t>Principle’</w:t>
      </w:r>
      <w:r w:rsidRPr="00AA4F87">
        <w:rPr>
          <w:rFonts w:ascii="Times New Roman" w:hAnsi="Times New Roman" w:cs="Times New Roman"/>
          <w:iCs/>
          <w:sz w:val="20"/>
          <w:szCs w:val="20"/>
        </w:rPr>
        <w:t xml:space="preserve"> (2000)</w:t>
      </w:r>
      <w:r w:rsidRPr="00AA4F87">
        <w:rPr>
          <w:rFonts w:ascii="Times New Roman" w:hAnsi="Times New Roman" w:cs="Times New Roman"/>
          <w:i/>
          <w:iCs/>
          <w:sz w:val="20"/>
          <w:szCs w:val="20"/>
        </w:rPr>
        <w:t xml:space="preserve">, </w:t>
      </w:r>
      <w:r w:rsidRPr="00AA4F87">
        <w:rPr>
          <w:rFonts w:ascii="Times New Roman" w:hAnsi="Times New Roman" w:cs="Times New Roman"/>
          <w:bCs/>
          <w:sz w:val="20"/>
          <w:szCs w:val="20"/>
        </w:rPr>
        <w:t>110 Yale L</w:t>
      </w:r>
      <w:r>
        <w:rPr>
          <w:rFonts w:ascii="Times New Roman" w:hAnsi="Times New Roman" w:cs="Times New Roman"/>
          <w:bCs/>
          <w:sz w:val="20"/>
          <w:szCs w:val="20"/>
        </w:rPr>
        <w:t xml:space="preserve">. </w:t>
      </w:r>
      <w:r w:rsidRPr="00AA4F87">
        <w:rPr>
          <w:rFonts w:ascii="Times New Roman" w:hAnsi="Times New Roman" w:cs="Times New Roman"/>
          <w:bCs/>
          <w:sz w:val="20"/>
          <w:szCs w:val="20"/>
        </w:rPr>
        <w:t>J</w:t>
      </w:r>
      <w:r>
        <w:rPr>
          <w:rFonts w:ascii="Times New Roman" w:hAnsi="Times New Roman" w:cs="Times New Roman"/>
          <w:bCs/>
          <w:sz w:val="20"/>
          <w:szCs w:val="20"/>
        </w:rPr>
        <w:t>.</w:t>
      </w:r>
      <w:r w:rsidRPr="00AA4F87">
        <w:rPr>
          <w:rFonts w:ascii="Times New Roman" w:hAnsi="Times New Roman" w:cs="Times New Roman"/>
          <w:bCs/>
          <w:sz w:val="20"/>
          <w:szCs w:val="20"/>
        </w:rPr>
        <w:t xml:space="preserve"> 1</w:t>
      </w:r>
      <w:r w:rsidRPr="00C84B47">
        <w:rPr>
          <w:rFonts w:ascii="Times New Roman" w:hAnsi="Times New Roman" w:cs="Times New Roman"/>
          <w:bCs/>
          <w:sz w:val="20"/>
          <w:szCs w:val="20"/>
        </w:rPr>
        <w:t xml:space="preserve">; </w:t>
      </w:r>
      <w:r w:rsidRPr="00AA4F87">
        <w:rPr>
          <w:rFonts w:ascii="Times New Roman" w:hAnsi="Times New Roman" w:cs="Times New Roman"/>
          <w:bCs/>
          <w:sz w:val="20"/>
          <w:szCs w:val="20"/>
        </w:rPr>
        <w:t>H</w:t>
      </w:r>
      <w:r>
        <w:rPr>
          <w:rFonts w:ascii="Times New Roman" w:hAnsi="Times New Roman" w:cs="Times New Roman"/>
          <w:sz w:val="20"/>
          <w:szCs w:val="20"/>
        </w:rPr>
        <w:t>.</w:t>
      </w:r>
      <w:r w:rsidRPr="00AA4F87">
        <w:rPr>
          <w:rFonts w:ascii="Times New Roman" w:hAnsi="Times New Roman" w:cs="Times New Roman"/>
          <w:sz w:val="20"/>
          <w:szCs w:val="20"/>
        </w:rPr>
        <w:t xml:space="preserve"> </w:t>
      </w:r>
      <w:r w:rsidRPr="00AA4F87">
        <w:rPr>
          <w:rFonts w:ascii="Times New Roman" w:hAnsi="Times New Roman" w:cs="Times New Roman"/>
          <w:bCs/>
          <w:sz w:val="20"/>
          <w:szCs w:val="20"/>
        </w:rPr>
        <w:t xml:space="preserve">E. </w:t>
      </w:r>
      <w:r w:rsidRPr="00AA4F87">
        <w:rPr>
          <w:rFonts w:ascii="Times New Roman" w:hAnsi="Times New Roman" w:cs="Times New Roman"/>
          <w:sz w:val="20"/>
          <w:szCs w:val="20"/>
        </w:rPr>
        <w:t xml:space="preserve">Smith, </w:t>
      </w:r>
      <w:r>
        <w:rPr>
          <w:rFonts w:ascii="Times New Roman" w:hAnsi="Times New Roman" w:cs="Times New Roman"/>
          <w:sz w:val="20"/>
          <w:szCs w:val="20"/>
        </w:rPr>
        <w:t>‘</w:t>
      </w:r>
      <w:r w:rsidRPr="00AA4F87">
        <w:rPr>
          <w:rFonts w:ascii="Times New Roman" w:hAnsi="Times New Roman" w:cs="Times New Roman"/>
          <w:iCs/>
          <w:sz w:val="20"/>
          <w:szCs w:val="20"/>
        </w:rPr>
        <w:t>Property and Property Rules</w:t>
      </w:r>
      <w:r>
        <w:rPr>
          <w:rFonts w:ascii="Times New Roman" w:hAnsi="Times New Roman" w:cs="Times New Roman"/>
          <w:iCs/>
          <w:sz w:val="20"/>
          <w:szCs w:val="20"/>
        </w:rPr>
        <w:t>’</w:t>
      </w:r>
      <w:r w:rsidRPr="00AA4F87">
        <w:rPr>
          <w:rFonts w:ascii="Times New Roman" w:hAnsi="Times New Roman" w:cs="Times New Roman"/>
          <w:iCs/>
          <w:sz w:val="20"/>
          <w:szCs w:val="20"/>
        </w:rPr>
        <w:t xml:space="preserve"> (2004)</w:t>
      </w:r>
      <w:r w:rsidRPr="00AA4F87">
        <w:rPr>
          <w:rFonts w:ascii="Times New Roman" w:hAnsi="Times New Roman" w:cs="Times New Roman"/>
          <w:i/>
          <w:iCs/>
          <w:sz w:val="20"/>
          <w:szCs w:val="20"/>
        </w:rPr>
        <w:t xml:space="preserve"> </w:t>
      </w:r>
      <w:r w:rsidRPr="00AA4F87">
        <w:rPr>
          <w:rFonts w:ascii="Times New Roman" w:hAnsi="Times New Roman" w:cs="Times New Roman"/>
          <w:bCs/>
          <w:sz w:val="20"/>
          <w:szCs w:val="20"/>
        </w:rPr>
        <w:t>79 N</w:t>
      </w:r>
      <w:r>
        <w:rPr>
          <w:rFonts w:ascii="Times New Roman" w:hAnsi="Times New Roman" w:cs="Times New Roman"/>
          <w:bCs/>
          <w:sz w:val="20"/>
          <w:szCs w:val="20"/>
        </w:rPr>
        <w:t xml:space="preserve">. </w:t>
      </w:r>
      <w:r w:rsidRPr="00AA4F87">
        <w:rPr>
          <w:rFonts w:ascii="Times New Roman" w:hAnsi="Times New Roman" w:cs="Times New Roman"/>
          <w:bCs/>
          <w:sz w:val="20"/>
          <w:szCs w:val="20"/>
        </w:rPr>
        <w:t>Y</w:t>
      </w:r>
      <w:r>
        <w:rPr>
          <w:rFonts w:ascii="Times New Roman" w:hAnsi="Times New Roman" w:cs="Times New Roman"/>
          <w:bCs/>
          <w:sz w:val="20"/>
          <w:szCs w:val="20"/>
        </w:rPr>
        <w:t>.</w:t>
      </w:r>
      <w:r w:rsidRPr="00AA4F87">
        <w:rPr>
          <w:rFonts w:ascii="Times New Roman" w:hAnsi="Times New Roman" w:cs="Times New Roman"/>
          <w:bCs/>
          <w:sz w:val="20"/>
          <w:szCs w:val="20"/>
        </w:rPr>
        <w:t xml:space="preserve"> U</w:t>
      </w:r>
      <w:r>
        <w:rPr>
          <w:rFonts w:ascii="Times New Roman" w:hAnsi="Times New Roman" w:cs="Times New Roman"/>
          <w:bCs/>
          <w:sz w:val="20"/>
          <w:szCs w:val="20"/>
        </w:rPr>
        <w:t>.</w:t>
      </w:r>
      <w:r w:rsidRPr="00AA4F87">
        <w:rPr>
          <w:rFonts w:ascii="Times New Roman" w:hAnsi="Times New Roman" w:cs="Times New Roman"/>
          <w:bCs/>
          <w:sz w:val="20"/>
          <w:szCs w:val="20"/>
        </w:rPr>
        <w:t xml:space="preserve"> L</w:t>
      </w:r>
      <w:r>
        <w:rPr>
          <w:rFonts w:ascii="Times New Roman" w:hAnsi="Times New Roman" w:cs="Times New Roman"/>
          <w:bCs/>
          <w:sz w:val="20"/>
          <w:szCs w:val="20"/>
        </w:rPr>
        <w:t>.</w:t>
      </w:r>
      <w:r w:rsidRPr="00AA4F87">
        <w:rPr>
          <w:rFonts w:ascii="Times New Roman" w:hAnsi="Times New Roman" w:cs="Times New Roman"/>
          <w:bCs/>
          <w:sz w:val="20"/>
          <w:szCs w:val="20"/>
        </w:rPr>
        <w:t xml:space="preserve"> Rev</w:t>
      </w:r>
      <w:r w:rsidRPr="00AA4F87">
        <w:rPr>
          <w:rFonts w:ascii="Times New Roman" w:hAnsi="Times New Roman" w:cs="Times New Roman"/>
          <w:sz w:val="20"/>
          <w:szCs w:val="20"/>
        </w:rPr>
        <w:t xml:space="preserve"> </w:t>
      </w:r>
      <w:r w:rsidRPr="00AA4F87">
        <w:rPr>
          <w:rFonts w:ascii="Times New Roman" w:hAnsi="Times New Roman" w:cs="Times New Roman"/>
          <w:bCs/>
          <w:sz w:val="20"/>
          <w:szCs w:val="20"/>
        </w:rPr>
        <w:t>1719.</w:t>
      </w:r>
    </w:p>
  </w:footnote>
  <w:footnote w:id="38">
    <w:p w:rsidR="00EB4E5D" w:rsidRPr="00AA4F87" w:rsidRDefault="00EB4E5D" w:rsidP="00422CB6">
      <w:pPr>
        <w:pStyle w:val="FootnoteText"/>
        <w:contextualSpacing/>
        <w:rPr>
          <w:sz w:val="20"/>
          <w:szCs w:val="20"/>
        </w:rPr>
      </w:pPr>
      <w:r w:rsidRPr="00AA4F87">
        <w:rPr>
          <w:rStyle w:val="FootnoteReference"/>
          <w:sz w:val="20"/>
          <w:szCs w:val="20"/>
        </w:rPr>
        <w:footnoteRef/>
      </w:r>
      <w:r w:rsidRPr="00AA4F87">
        <w:rPr>
          <w:sz w:val="20"/>
          <w:szCs w:val="20"/>
        </w:rPr>
        <w:t xml:space="preserve"> </w:t>
      </w:r>
      <w:r w:rsidR="00C94414">
        <w:rPr>
          <w:sz w:val="20"/>
          <w:szCs w:val="20"/>
        </w:rPr>
        <w:t>n 36</w:t>
      </w:r>
      <w:r>
        <w:rPr>
          <w:sz w:val="20"/>
          <w:szCs w:val="20"/>
        </w:rPr>
        <w:t xml:space="preserve"> above, 940. </w:t>
      </w:r>
    </w:p>
  </w:footnote>
  <w:footnote w:id="39">
    <w:p w:rsidR="00EB4E5D" w:rsidRDefault="00EB4E5D" w:rsidP="00422CB6">
      <w:pPr>
        <w:spacing w:after="0" w:line="240" w:lineRule="auto"/>
        <w:contextualSpacing/>
      </w:pPr>
      <w:r w:rsidRPr="009E2157">
        <w:rPr>
          <w:rStyle w:val="FootnoteReference"/>
          <w:sz w:val="20"/>
        </w:rPr>
        <w:footnoteRef/>
      </w:r>
      <w:r>
        <w:t xml:space="preserve"> </w:t>
      </w:r>
      <w:r w:rsidRPr="00AA4F87">
        <w:rPr>
          <w:sz w:val="20"/>
        </w:rPr>
        <w:t>C.</w:t>
      </w:r>
      <w:r>
        <w:rPr>
          <w:sz w:val="20"/>
        </w:rPr>
        <w:t xml:space="preserve"> </w:t>
      </w:r>
      <w:r w:rsidRPr="00AA4F87">
        <w:rPr>
          <w:sz w:val="20"/>
        </w:rPr>
        <w:t>M. Rose, ‘Crystals and</w:t>
      </w:r>
      <w:r>
        <w:rPr>
          <w:sz w:val="20"/>
        </w:rPr>
        <w:t xml:space="preserve"> Mud in Property Law’ (1987-88) </w:t>
      </w:r>
      <w:r w:rsidRPr="00AA4F87">
        <w:rPr>
          <w:sz w:val="20"/>
        </w:rPr>
        <w:t>40 Stan. L. Rev. 577.</w:t>
      </w:r>
    </w:p>
  </w:footnote>
  <w:footnote w:id="40">
    <w:p w:rsidR="00EB4E5D" w:rsidRPr="00AA4F87" w:rsidRDefault="00EB4E5D" w:rsidP="00422CB6">
      <w:pPr>
        <w:pStyle w:val="FootnoteText"/>
        <w:contextualSpacing/>
        <w:rPr>
          <w:sz w:val="20"/>
          <w:szCs w:val="20"/>
        </w:rPr>
      </w:pPr>
      <w:r w:rsidRPr="00AA4F87">
        <w:rPr>
          <w:rStyle w:val="FootnoteReference"/>
          <w:sz w:val="20"/>
          <w:szCs w:val="20"/>
        </w:rPr>
        <w:footnoteRef/>
      </w:r>
      <w:r w:rsidRPr="00AA4F87">
        <w:rPr>
          <w:sz w:val="20"/>
          <w:szCs w:val="20"/>
        </w:rPr>
        <w:t xml:space="preserve"> C</w:t>
      </w:r>
      <w:r>
        <w:rPr>
          <w:sz w:val="20"/>
          <w:szCs w:val="20"/>
        </w:rPr>
        <w:t>.</w:t>
      </w:r>
      <w:r w:rsidRPr="00AA4F87">
        <w:rPr>
          <w:sz w:val="20"/>
          <w:szCs w:val="20"/>
        </w:rPr>
        <w:t xml:space="preserve"> M. Rose, </w:t>
      </w:r>
      <w:r>
        <w:rPr>
          <w:sz w:val="20"/>
          <w:szCs w:val="20"/>
        </w:rPr>
        <w:t>‘</w:t>
      </w:r>
      <w:r w:rsidRPr="00AA4F87">
        <w:rPr>
          <w:sz w:val="20"/>
          <w:szCs w:val="20"/>
        </w:rPr>
        <w:t>Property as Storytelling: Perspectives from Game Theory, Na</w:t>
      </w:r>
      <w:r>
        <w:rPr>
          <w:sz w:val="20"/>
          <w:szCs w:val="20"/>
        </w:rPr>
        <w:t>rrative Theory, Feminist Theory’</w:t>
      </w:r>
      <w:r w:rsidRPr="00AA4F87">
        <w:rPr>
          <w:sz w:val="20"/>
          <w:szCs w:val="20"/>
        </w:rPr>
        <w:t xml:space="preserve"> (1990) 2 </w:t>
      </w:r>
      <w:r w:rsidRPr="009953E9">
        <w:rPr>
          <w:sz w:val="20"/>
          <w:szCs w:val="20"/>
        </w:rPr>
        <w:t>Yale J.L. &amp; Human.</w:t>
      </w:r>
      <w:r w:rsidRPr="00AA4F87">
        <w:rPr>
          <w:sz w:val="20"/>
          <w:szCs w:val="20"/>
        </w:rPr>
        <w:t xml:space="preserve"> 37, 40.</w:t>
      </w:r>
      <w:r w:rsidRPr="00D12F18">
        <w:t xml:space="preserve"> </w:t>
      </w:r>
    </w:p>
  </w:footnote>
  <w:footnote w:id="41">
    <w:p w:rsidR="00EB4E5D" w:rsidRPr="00AA4F87" w:rsidRDefault="00EB4E5D" w:rsidP="00422CB6">
      <w:pPr>
        <w:spacing w:after="0" w:line="240" w:lineRule="auto"/>
        <w:contextualSpacing/>
        <w:rPr>
          <w:sz w:val="20"/>
        </w:rPr>
      </w:pPr>
      <w:r w:rsidRPr="00AA4F87">
        <w:rPr>
          <w:rStyle w:val="FootnoteReference"/>
          <w:sz w:val="20"/>
        </w:rPr>
        <w:footnoteRef/>
      </w:r>
      <w:r w:rsidRPr="00AA4F87">
        <w:rPr>
          <w:sz w:val="20"/>
        </w:rPr>
        <w:t xml:space="preserve"> G</w:t>
      </w:r>
      <w:r>
        <w:rPr>
          <w:sz w:val="20"/>
        </w:rPr>
        <w:t>.</w:t>
      </w:r>
      <w:r w:rsidRPr="00AA4F87">
        <w:rPr>
          <w:sz w:val="20"/>
        </w:rPr>
        <w:t xml:space="preserve"> S. Alexander, E</w:t>
      </w:r>
      <w:r>
        <w:rPr>
          <w:sz w:val="20"/>
        </w:rPr>
        <w:t>.</w:t>
      </w:r>
      <w:r w:rsidRPr="00AA4F87">
        <w:rPr>
          <w:sz w:val="20"/>
        </w:rPr>
        <w:t xml:space="preserve">M. Penalver, J. W. Singer and L.S. Underkuffler, </w:t>
      </w:r>
      <w:r>
        <w:rPr>
          <w:sz w:val="20"/>
        </w:rPr>
        <w:t>‘</w:t>
      </w:r>
      <w:r w:rsidRPr="00AA4F87">
        <w:rPr>
          <w:sz w:val="20"/>
        </w:rPr>
        <w:t>A Statement of Progressive Property</w:t>
      </w:r>
      <w:r>
        <w:rPr>
          <w:sz w:val="20"/>
        </w:rPr>
        <w:t>’</w:t>
      </w:r>
      <w:r w:rsidRPr="00AA4F87">
        <w:rPr>
          <w:sz w:val="20"/>
        </w:rPr>
        <w:t xml:space="preserve"> (2009)</w:t>
      </w:r>
      <w:r>
        <w:rPr>
          <w:sz w:val="20"/>
        </w:rPr>
        <w:t xml:space="preserve"> </w:t>
      </w:r>
      <w:r w:rsidRPr="00AA4F87">
        <w:rPr>
          <w:sz w:val="20"/>
        </w:rPr>
        <w:t>94 Cornell L</w:t>
      </w:r>
      <w:r>
        <w:rPr>
          <w:sz w:val="20"/>
        </w:rPr>
        <w:t>.</w:t>
      </w:r>
      <w:r w:rsidRPr="00AA4F87">
        <w:rPr>
          <w:sz w:val="20"/>
        </w:rPr>
        <w:t xml:space="preserve"> Rev</w:t>
      </w:r>
      <w:r>
        <w:rPr>
          <w:sz w:val="20"/>
        </w:rPr>
        <w:t>.</w:t>
      </w:r>
      <w:r w:rsidRPr="00AA4F87">
        <w:rPr>
          <w:sz w:val="20"/>
        </w:rPr>
        <w:t xml:space="preserve"> 743</w:t>
      </w:r>
      <w:r>
        <w:rPr>
          <w:sz w:val="20"/>
        </w:rPr>
        <w:t>, 743</w:t>
      </w:r>
      <w:r w:rsidRPr="00AA4F87">
        <w:rPr>
          <w:sz w:val="20"/>
        </w:rPr>
        <w:t>.</w:t>
      </w:r>
    </w:p>
  </w:footnote>
  <w:footnote w:id="42">
    <w:p w:rsidR="00EB4E5D" w:rsidRPr="00AA4F87" w:rsidRDefault="00EB4E5D" w:rsidP="00422CB6">
      <w:pPr>
        <w:pStyle w:val="FootnoteText"/>
        <w:contextualSpacing/>
        <w:rPr>
          <w:sz w:val="20"/>
          <w:szCs w:val="20"/>
        </w:rPr>
      </w:pPr>
      <w:r w:rsidRPr="00AA4F87">
        <w:rPr>
          <w:rStyle w:val="FootnoteReference"/>
          <w:sz w:val="20"/>
          <w:szCs w:val="20"/>
        </w:rPr>
        <w:footnoteRef/>
      </w:r>
      <w:r w:rsidRPr="00AA4F87">
        <w:rPr>
          <w:sz w:val="20"/>
          <w:szCs w:val="20"/>
        </w:rPr>
        <w:t xml:space="preserve"> </w:t>
      </w:r>
      <w:r w:rsidR="00C94414">
        <w:rPr>
          <w:sz w:val="20"/>
          <w:szCs w:val="20"/>
        </w:rPr>
        <w:t>n 36</w:t>
      </w:r>
      <w:r>
        <w:rPr>
          <w:sz w:val="20"/>
          <w:szCs w:val="20"/>
        </w:rPr>
        <w:t xml:space="preserve"> above, 9</w:t>
      </w:r>
      <w:r w:rsidR="00C94414">
        <w:rPr>
          <w:sz w:val="20"/>
          <w:szCs w:val="20"/>
        </w:rPr>
        <w:t>39</w:t>
      </w:r>
      <w:r>
        <w:rPr>
          <w:sz w:val="20"/>
          <w:szCs w:val="20"/>
        </w:rPr>
        <w:t xml:space="preserve">. </w:t>
      </w:r>
    </w:p>
  </w:footnote>
  <w:footnote w:id="43">
    <w:p w:rsidR="00EB4E5D" w:rsidRPr="00AA4F87" w:rsidRDefault="00EB4E5D" w:rsidP="008F3664">
      <w:pPr>
        <w:pStyle w:val="FootnoteText"/>
        <w:contextualSpacing/>
        <w:rPr>
          <w:sz w:val="20"/>
          <w:szCs w:val="20"/>
        </w:rPr>
      </w:pPr>
      <w:r w:rsidRPr="00AA4F87">
        <w:rPr>
          <w:rStyle w:val="FootnoteReference"/>
          <w:sz w:val="20"/>
          <w:szCs w:val="20"/>
        </w:rPr>
        <w:footnoteRef/>
      </w:r>
      <w:r w:rsidRPr="00AA4F87">
        <w:rPr>
          <w:sz w:val="20"/>
          <w:szCs w:val="20"/>
        </w:rPr>
        <w:t xml:space="preserve"> </w:t>
      </w:r>
      <w:r>
        <w:rPr>
          <w:sz w:val="20"/>
          <w:szCs w:val="20"/>
        </w:rPr>
        <w:t xml:space="preserve">ibid </w:t>
      </w:r>
      <w:r w:rsidRPr="00AA4F87">
        <w:rPr>
          <w:sz w:val="20"/>
          <w:szCs w:val="20"/>
        </w:rPr>
        <w:t>950</w:t>
      </w:r>
      <w:r>
        <w:rPr>
          <w:sz w:val="20"/>
          <w:szCs w:val="20"/>
        </w:rPr>
        <w:t xml:space="preserve"> a</w:t>
      </w:r>
      <w:r w:rsidRPr="00AA4F87">
        <w:rPr>
          <w:sz w:val="20"/>
          <w:szCs w:val="20"/>
        </w:rPr>
        <w:t>nd 951</w:t>
      </w:r>
      <w:r>
        <w:rPr>
          <w:sz w:val="20"/>
          <w:szCs w:val="20"/>
        </w:rPr>
        <w:t xml:space="preserve">. </w:t>
      </w:r>
    </w:p>
  </w:footnote>
  <w:footnote w:id="44">
    <w:p w:rsidR="00EB4E5D" w:rsidRPr="00AA4F87" w:rsidRDefault="00EB4E5D" w:rsidP="008F3664">
      <w:pPr>
        <w:pStyle w:val="FootnoteText"/>
        <w:rPr>
          <w:sz w:val="20"/>
          <w:szCs w:val="20"/>
        </w:rPr>
      </w:pPr>
      <w:r w:rsidRPr="00AA4F87">
        <w:rPr>
          <w:rStyle w:val="FootnoteReference"/>
          <w:sz w:val="20"/>
          <w:szCs w:val="20"/>
        </w:rPr>
        <w:footnoteRef/>
      </w:r>
      <w:r w:rsidRPr="00AA4F87">
        <w:rPr>
          <w:sz w:val="20"/>
          <w:szCs w:val="20"/>
        </w:rPr>
        <w:t xml:space="preserve"> S. Blandy and S. Bright, ‘Property Law Research Now and into the Future’ in S. Bright and S. Blandy (eds), </w:t>
      </w:r>
      <w:r w:rsidRPr="00AA4F87">
        <w:rPr>
          <w:i/>
          <w:sz w:val="20"/>
          <w:szCs w:val="20"/>
        </w:rPr>
        <w:t xml:space="preserve">Researching Property Law </w:t>
      </w:r>
      <w:r w:rsidRPr="00AA4F87">
        <w:rPr>
          <w:sz w:val="20"/>
          <w:szCs w:val="20"/>
        </w:rPr>
        <w:t>(London, Palgrave, 2016)</w:t>
      </w:r>
      <w:r w:rsidR="00C94414">
        <w:rPr>
          <w:sz w:val="20"/>
          <w:szCs w:val="20"/>
        </w:rPr>
        <w:t xml:space="preserve"> 183</w:t>
      </w:r>
      <w:r w:rsidRPr="00AA4F87">
        <w:rPr>
          <w:sz w:val="20"/>
          <w:szCs w:val="20"/>
        </w:rPr>
        <w:t>.</w:t>
      </w:r>
    </w:p>
  </w:footnote>
  <w:footnote w:id="45">
    <w:p w:rsidR="00EB4E5D" w:rsidRPr="00AA4F87" w:rsidRDefault="00EB4E5D" w:rsidP="008F3664">
      <w:pPr>
        <w:pStyle w:val="FootnoteText"/>
        <w:rPr>
          <w:sz w:val="20"/>
          <w:szCs w:val="20"/>
        </w:rPr>
      </w:pPr>
      <w:r w:rsidRPr="00AA4F87">
        <w:rPr>
          <w:rStyle w:val="FootnoteReference"/>
          <w:sz w:val="20"/>
          <w:szCs w:val="20"/>
        </w:rPr>
        <w:footnoteRef/>
      </w:r>
      <w:r>
        <w:rPr>
          <w:sz w:val="20"/>
        </w:rPr>
        <w:t xml:space="preserve"> </w:t>
      </w:r>
      <w:r w:rsidR="00C94414">
        <w:rPr>
          <w:sz w:val="20"/>
          <w:szCs w:val="20"/>
        </w:rPr>
        <w:t>n 8</w:t>
      </w:r>
      <w:r>
        <w:rPr>
          <w:sz w:val="20"/>
          <w:szCs w:val="20"/>
        </w:rPr>
        <w:t xml:space="preserve"> above, </w:t>
      </w:r>
      <w:r w:rsidRPr="001F5860">
        <w:rPr>
          <w:sz w:val="20"/>
          <w:szCs w:val="20"/>
        </w:rPr>
        <w:t>278</w:t>
      </w:r>
      <w:r>
        <w:rPr>
          <w:sz w:val="20"/>
          <w:szCs w:val="20"/>
        </w:rPr>
        <w:t xml:space="preserve">. </w:t>
      </w:r>
    </w:p>
  </w:footnote>
  <w:footnote w:id="46">
    <w:p w:rsidR="00EB4E5D" w:rsidRPr="00AA4F87" w:rsidRDefault="00EB4E5D" w:rsidP="008F3664">
      <w:pPr>
        <w:pStyle w:val="FootnoteText"/>
        <w:rPr>
          <w:sz w:val="20"/>
          <w:szCs w:val="20"/>
        </w:rPr>
      </w:pPr>
      <w:r w:rsidRPr="00AA4F87">
        <w:rPr>
          <w:rStyle w:val="FootnoteReference"/>
          <w:sz w:val="20"/>
          <w:szCs w:val="20"/>
        </w:rPr>
        <w:footnoteRef/>
      </w:r>
      <w:r>
        <w:rPr>
          <w:sz w:val="20"/>
        </w:rPr>
        <w:t xml:space="preserve"> </w:t>
      </w:r>
      <w:r>
        <w:rPr>
          <w:sz w:val="20"/>
          <w:szCs w:val="20"/>
        </w:rPr>
        <w:t xml:space="preserve">ibid </w:t>
      </w:r>
      <w:r w:rsidRPr="001F5860">
        <w:rPr>
          <w:sz w:val="20"/>
          <w:szCs w:val="20"/>
        </w:rPr>
        <w:t>2</w:t>
      </w:r>
      <w:r>
        <w:rPr>
          <w:sz w:val="20"/>
          <w:szCs w:val="20"/>
        </w:rPr>
        <w:t xml:space="preserve">36. </w:t>
      </w:r>
      <w:r w:rsidRPr="001F5860">
        <w:rPr>
          <w:sz w:val="20"/>
          <w:szCs w:val="20"/>
        </w:rPr>
        <w:t xml:space="preserve"> </w:t>
      </w:r>
    </w:p>
  </w:footnote>
  <w:footnote w:id="47">
    <w:p w:rsidR="00EB4E5D" w:rsidRPr="00AA4F87" w:rsidRDefault="00EB4E5D" w:rsidP="008F3664">
      <w:pPr>
        <w:pStyle w:val="FootnoteText"/>
        <w:rPr>
          <w:sz w:val="20"/>
          <w:szCs w:val="20"/>
        </w:rPr>
      </w:pPr>
      <w:r w:rsidRPr="00AA4F87">
        <w:rPr>
          <w:rStyle w:val="FootnoteReference"/>
          <w:sz w:val="20"/>
          <w:szCs w:val="20"/>
        </w:rPr>
        <w:footnoteRef/>
      </w:r>
      <w:r w:rsidRPr="00AA4F87">
        <w:rPr>
          <w:sz w:val="20"/>
          <w:szCs w:val="20"/>
        </w:rPr>
        <w:t xml:space="preserve"> </w:t>
      </w:r>
      <w:r>
        <w:rPr>
          <w:sz w:val="20"/>
          <w:szCs w:val="20"/>
        </w:rPr>
        <w:t xml:space="preserve">ibid 265. </w:t>
      </w:r>
      <w:r w:rsidRPr="001F5860">
        <w:rPr>
          <w:sz w:val="20"/>
          <w:szCs w:val="20"/>
        </w:rPr>
        <w:t xml:space="preserve"> </w:t>
      </w:r>
    </w:p>
  </w:footnote>
  <w:footnote w:id="48">
    <w:p w:rsidR="00EB4E5D" w:rsidRPr="00AA4F87" w:rsidRDefault="00EB4E5D" w:rsidP="008F3664">
      <w:pPr>
        <w:pStyle w:val="FootnoteText"/>
        <w:rPr>
          <w:sz w:val="20"/>
          <w:szCs w:val="20"/>
        </w:rPr>
      </w:pPr>
      <w:r w:rsidRPr="00AA4F87">
        <w:rPr>
          <w:rStyle w:val="FootnoteReference"/>
          <w:sz w:val="20"/>
          <w:szCs w:val="20"/>
        </w:rPr>
        <w:footnoteRef/>
      </w:r>
      <w:r w:rsidRPr="00AA4F87">
        <w:rPr>
          <w:sz w:val="20"/>
          <w:szCs w:val="20"/>
        </w:rPr>
        <w:t xml:space="preserve"> </w:t>
      </w:r>
      <w:r>
        <w:rPr>
          <w:sz w:val="20"/>
          <w:szCs w:val="20"/>
        </w:rPr>
        <w:t xml:space="preserve">ibid </w:t>
      </w:r>
      <w:r w:rsidRPr="001F5860">
        <w:rPr>
          <w:sz w:val="20"/>
          <w:szCs w:val="20"/>
        </w:rPr>
        <w:t>2</w:t>
      </w:r>
      <w:r>
        <w:rPr>
          <w:sz w:val="20"/>
          <w:szCs w:val="20"/>
        </w:rPr>
        <w:t xml:space="preserve">06. </w:t>
      </w:r>
      <w:r w:rsidRPr="001F5860">
        <w:rPr>
          <w:sz w:val="20"/>
          <w:szCs w:val="20"/>
        </w:rPr>
        <w:t xml:space="preserve"> </w:t>
      </w:r>
    </w:p>
  </w:footnote>
  <w:footnote w:id="49">
    <w:p w:rsidR="00EB4E5D" w:rsidRPr="00AA4F87" w:rsidRDefault="00EB4E5D" w:rsidP="008F3664">
      <w:pPr>
        <w:pStyle w:val="FootnoteText"/>
        <w:rPr>
          <w:sz w:val="20"/>
          <w:szCs w:val="20"/>
        </w:rPr>
      </w:pPr>
      <w:r w:rsidRPr="00AA4F87">
        <w:rPr>
          <w:rStyle w:val="FootnoteReference"/>
          <w:sz w:val="20"/>
          <w:szCs w:val="20"/>
        </w:rPr>
        <w:footnoteRef/>
      </w:r>
      <w:r w:rsidRPr="00AA4F87">
        <w:rPr>
          <w:sz w:val="20"/>
          <w:szCs w:val="20"/>
        </w:rPr>
        <w:t xml:space="preserve"> J.B.</w:t>
      </w:r>
      <w:r>
        <w:rPr>
          <w:sz w:val="20"/>
          <w:szCs w:val="20"/>
        </w:rPr>
        <w:t xml:space="preserve"> </w:t>
      </w:r>
      <w:r w:rsidRPr="00AA4F87">
        <w:rPr>
          <w:sz w:val="20"/>
          <w:szCs w:val="20"/>
        </w:rPr>
        <w:t xml:space="preserve">Baron, ‘Rescuing the Bundle-of-Rights Metaphor in Property Law’ (2014) 82 </w:t>
      </w:r>
      <w:r w:rsidRPr="00506C56">
        <w:rPr>
          <w:sz w:val="20"/>
          <w:szCs w:val="20"/>
        </w:rPr>
        <w:t>U. Cin. L. Rev.</w:t>
      </w:r>
      <w:r w:rsidRPr="00AA4F87">
        <w:rPr>
          <w:sz w:val="20"/>
          <w:szCs w:val="20"/>
        </w:rPr>
        <w:t xml:space="preserve"> 57, 80.</w:t>
      </w:r>
    </w:p>
  </w:footnote>
  <w:footnote w:id="50">
    <w:p w:rsidR="00EB4E5D" w:rsidRPr="00AA4F87" w:rsidRDefault="00EB4E5D" w:rsidP="008F3664">
      <w:pPr>
        <w:pStyle w:val="NoSpacing"/>
        <w:rPr>
          <w:rFonts w:ascii="Times New Roman" w:hAnsi="Times New Roman" w:cs="Times New Roman"/>
          <w:sz w:val="20"/>
          <w:szCs w:val="20"/>
        </w:rPr>
      </w:pPr>
      <w:r w:rsidRPr="00AA4F87">
        <w:rPr>
          <w:rStyle w:val="FootnoteReference"/>
          <w:rFonts w:ascii="Times New Roman" w:hAnsi="Times New Roman" w:cs="Times New Roman"/>
          <w:sz w:val="20"/>
          <w:szCs w:val="20"/>
        </w:rPr>
        <w:footnoteRef/>
      </w:r>
      <w:r w:rsidRPr="00AA4F87">
        <w:rPr>
          <w:rFonts w:ascii="Times New Roman" w:hAnsi="Times New Roman" w:cs="Times New Roman"/>
          <w:sz w:val="20"/>
          <w:szCs w:val="20"/>
        </w:rPr>
        <w:t xml:space="preserve"> H</w:t>
      </w:r>
      <w:r>
        <w:rPr>
          <w:rFonts w:ascii="Times New Roman" w:hAnsi="Times New Roman" w:cs="Times New Roman"/>
          <w:sz w:val="20"/>
          <w:szCs w:val="20"/>
        </w:rPr>
        <w:t>.</w:t>
      </w:r>
      <w:r w:rsidRPr="00AA4F87">
        <w:rPr>
          <w:rFonts w:ascii="Times New Roman" w:hAnsi="Times New Roman" w:cs="Times New Roman"/>
          <w:sz w:val="20"/>
          <w:szCs w:val="20"/>
        </w:rPr>
        <w:t>E</w:t>
      </w:r>
      <w:r>
        <w:rPr>
          <w:rFonts w:ascii="Times New Roman" w:hAnsi="Times New Roman" w:cs="Times New Roman"/>
          <w:sz w:val="20"/>
          <w:szCs w:val="20"/>
        </w:rPr>
        <w:t>.</w:t>
      </w:r>
      <w:r w:rsidRPr="00AA4F87">
        <w:rPr>
          <w:rFonts w:ascii="Times New Roman" w:hAnsi="Times New Roman" w:cs="Times New Roman"/>
          <w:sz w:val="20"/>
          <w:szCs w:val="20"/>
        </w:rPr>
        <w:t xml:space="preserve"> Smith, ‘Exclusion versus Governance: Two Strategies for Delineating Property Rights’ (2002) 31(S2) </w:t>
      </w:r>
      <w:r w:rsidRPr="00506C56">
        <w:rPr>
          <w:rFonts w:ascii="Times New Roman" w:hAnsi="Times New Roman" w:cs="Times New Roman"/>
          <w:sz w:val="20"/>
          <w:szCs w:val="20"/>
        </w:rPr>
        <w:t xml:space="preserve">J. Legis. </w:t>
      </w:r>
      <w:r w:rsidRPr="00AA4F87">
        <w:rPr>
          <w:rFonts w:ascii="Times New Roman" w:hAnsi="Times New Roman" w:cs="Times New Roman"/>
          <w:sz w:val="20"/>
          <w:szCs w:val="20"/>
        </w:rPr>
        <w:t>S453, at S455.</w:t>
      </w:r>
      <w:r w:rsidRPr="00506C56">
        <w:t xml:space="preserve"> </w:t>
      </w:r>
    </w:p>
  </w:footnote>
  <w:footnote w:id="51">
    <w:p w:rsidR="00EB4E5D" w:rsidRPr="00AA4F87" w:rsidRDefault="00EB4E5D" w:rsidP="008F3664">
      <w:pPr>
        <w:pStyle w:val="NoSpacing"/>
        <w:rPr>
          <w:rFonts w:ascii="Times New Roman" w:hAnsi="Times New Roman" w:cs="Times New Roman"/>
          <w:sz w:val="20"/>
          <w:szCs w:val="20"/>
        </w:rPr>
      </w:pPr>
      <w:r w:rsidRPr="00AA4F87">
        <w:rPr>
          <w:rStyle w:val="FootnoteReference"/>
          <w:rFonts w:ascii="Times New Roman" w:hAnsi="Times New Roman" w:cs="Times New Roman"/>
          <w:sz w:val="20"/>
          <w:szCs w:val="20"/>
        </w:rPr>
        <w:footnoteRef/>
      </w:r>
      <w:r w:rsidRPr="00AA4F87">
        <w:rPr>
          <w:rFonts w:ascii="Times New Roman" w:hAnsi="Times New Roman" w:cs="Times New Roman"/>
          <w:sz w:val="20"/>
          <w:szCs w:val="20"/>
        </w:rPr>
        <w:t xml:space="preserve"> G</w:t>
      </w:r>
      <w:r>
        <w:rPr>
          <w:rFonts w:ascii="Times New Roman" w:hAnsi="Times New Roman" w:cs="Times New Roman"/>
          <w:sz w:val="20"/>
          <w:szCs w:val="20"/>
        </w:rPr>
        <w:t>.</w:t>
      </w:r>
      <w:r w:rsidRPr="00AA4F87">
        <w:rPr>
          <w:rFonts w:ascii="Times New Roman" w:hAnsi="Times New Roman" w:cs="Times New Roman"/>
          <w:i/>
          <w:sz w:val="20"/>
          <w:szCs w:val="20"/>
        </w:rPr>
        <w:t xml:space="preserve"> </w:t>
      </w:r>
      <w:r w:rsidRPr="00AA4F87">
        <w:rPr>
          <w:rStyle w:val="st"/>
          <w:rFonts w:ascii="Times New Roman" w:hAnsi="Times New Roman" w:cs="Times New Roman"/>
          <w:sz w:val="20"/>
          <w:szCs w:val="20"/>
        </w:rPr>
        <w:t>S</w:t>
      </w:r>
      <w:r w:rsidRPr="00AA4F87">
        <w:rPr>
          <w:rStyle w:val="st"/>
          <w:rFonts w:ascii="Times New Roman" w:hAnsi="Times New Roman" w:cs="Times New Roman"/>
          <w:i/>
          <w:sz w:val="20"/>
          <w:szCs w:val="20"/>
        </w:rPr>
        <w:t xml:space="preserve">. </w:t>
      </w:r>
      <w:r w:rsidRPr="00506C56">
        <w:rPr>
          <w:rStyle w:val="Emphasis"/>
          <w:rFonts w:ascii="Times New Roman" w:hAnsi="Times New Roman" w:cs="Times New Roman"/>
          <w:i w:val="0"/>
          <w:sz w:val="20"/>
          <w:szCs w:val="20"/>
        </w:rPr>
        <w:t>Alexander, ‘Governance Property’</w:t>
      </w:r>
      <w:r w:rsidRPr="00506C56">
        <w:rPr>
          <w:rStyle w:val="st"/>
          <w:rFonts w:ascii="Times New Roman" w:hAnsi="Times New Roman" w:cs="Times New Roman"/>
          <w:i/>
          <w:sz w:val="20"/>
          <w:szCs w:val="20"/>
        </w:rPr>
        <w:t xml:space="preserve"> </w:t>
      </w:r>
      <w:r>
        <w:rPr>
          <w:rStyle w:val="st"/>
          <w:rFonts w:ascii="Times New Roman" w:hAnsi="Times New Roman" w:cs="Times New Roman"/>
          <w:sz w:val="20"/>
          <w:szCs w:val="20"/>
        </w:rPr>
        <w:t>(</w:t>
      </w:r>
      <w:r w:rsidRPr="00AA4F87">
        <w:rPr>
          <w:rStyle w:val="st"/>
          <w:rFonts w:ascii="Times New Roman" w:hAnsi="Times New Roman" w:cs="Times New Roman"/>
          <w:sz w:val="20"/>
          <w:szCs w:val="20"/>
        </w:rPr>
        <w:t xml:space="preserve">2012) 160 </w:t>
      </w:r>
      <w:r w:rsidRPr="00506C56">
        <w:rPr>
          <w:rStyle w:val="st"/>
          <w:rFonts w:ascii="Times New Roman" w:hAnsi="Times New Roman" w:cs="Times New Roman"/>
          <w:sz w:val="20"/>
          <w:szCs w:val="20"/>
        </w:rPr>
        <w:t xml:space="preserve">U. Pa. L. Rev. </w:t>
      </w:r>
      <w:r w:rsidRPr="00AA4F87">
        <w:rPr>
          <w:rStyle w:val="st"/>
          <w:rFonts w:ascii="Times New Roman" w:hAnsi="Times New Roman" w:cs="Times New Roman"/>
          <w:sz w:val="20"/>
          <w:szCs w:val="20"/>
        </w:rPr>
        <w:t>1853.</w:t>
      </w:r>
    </w:p>
  </w:footnote>
  <w:footnote w:id="52">
    <w:p w:rsidR="00EB4E5D" w:rsidRPr="00AA4F87" w:rsidRDefault="00EB4E5D" w:rsidP="008F3664">
      <w:pPr>
        <w:pStyle w:val="FootnoteText"/>
        <w:rPr>
          <w:sz w:val="20"/>
          <w:szCs w:val="20"/>
        </w:rPr>
      </w:pPr>
      <w:r w:rsidRPr="00AA4F87">
        <w:rPr>
          <w:rStyle w:val="FootnoteReference"/>
          <w:sz w:val="20"/>
          <w:szCs w:val="20"/>
        </w:rPr>
        <w:footnoteRef/>
      </w:r>
      <w:r w:rsidRPr="00AA4F87">
        <w:rPr>
          <w:sz w:val="20"/>
          <w:szCs w:val="20"/>
        </w:rPr>
        <w:t xml:space="preserve"> H. Dagan, ‘Inside Property’</w:t>
      </w:r>
      <w:r>
        <w:rPr>
          <w:sz w:val="20"/>
          <w:szCs w:val="20"/>
        </w:rPr>
        <w:t xml:space="preserve"> </w:t>
      </w:r>
      <w:r w:rsidRPr="00AA4F87">
        <w:rPr>
          <w:sz w:val="20"/>
          <w:szCs w:val="20"/>
        </w:rPr>
        <w:t xml:space="preserve">(2013) 63 </w:t>
      </w:r>
      <w:r w:rsidRPr="00506C56">
        <w:rPr>
          <w:i/>
          <w:sz w:val="20"/>
          <w:szCs w:val="20"/>
        </w:rPr>
        <w:t>University of Toronto Law Journal</w:t>
      </w:r>
      <w:r w:rsidRPr="00AA4F87">
        <w:rPr>
          <w:sz w:val="20"/>
          <w:szCs w:val="20"/>
        </w:rPr>
        <w:t xml:space="preserve"> 1.</w:t>
      </w:r>
    </w:p>
  </w:footnote>
  <w:footnote w:id="53">
    <w:p w:rsidR="00EB4E5D" w:rsidRPr="00AA4F87" w:rsidRDefault="00EB4E5D" w:rsidP="008F3664">
      <w:pPr>
        <w:pStyle w:val="FootnoteText"/>
        <w:rPr>
          <w:sz w:val="20"/>
          <w:szCs w:val="20"/>
        </w:rPr>
      </w:pPr>
      <w:r w:rsidRPr="00AA4F87">
        <w:rPr>
          <w:rStyle w:val="FootnoteReference"/>
          <w:sz w:val="20"/>
          <w:szCs w:val="20"/>
        </w:rPr>
        <w:footnoteRef/>
      </w:r>
      <w:r w:rsidRPr="00AA4F87">
        <w:rPr>
          <w:sz w:val="20"/>
          <w:szCs w:val="20"/>
        </w:rPr>
        <w:t xml:space="preserve"> </w:t>
      </w:r>
      <w:r>
        <w:rPr>
          <w:sz w:val="20"/>
          <w:szCs w:val="20"/>
        </w:rPr>
        <w:t xml:space="preserve">ibid </w:t>
      </w:r>
      <w:r w:rsidRPr="00AA4F87">
        <w:rPr>
          <w:sz w:val="20"/>
          <w:szCs w:val="20"/>
        </w:rPr>
        <w:t>6.</w:t>
      </w:r>
    </w:p>
  </w:footnote>
  <w:footnote w:id="54">
    <w:p w:rsidR="00EB4E5D" w:rsidRPr="00AA4F87" w:rsidRDefault="00EB4E5D" w:rsidP="008F3664">
      <w:pPr>
        <w:pStyle w:val="FootnoteText"/>
        <w:rPr>
          <w:sz w:val="20"/>
          <w:szCs w:val="20"/>
        </w:rPr>
      </w:pPr>
      <w:r w:rsidRPr="00AA4F87">
        <w:rPr>
          <w:rStyle w:val="FootnoteReference"/>
          <w:sz w:val="20"/>
          <w:szCs w:val="20"/>
        </w:rPr>
        <w:footnoteRef/>
      </w:r>
      <w:r w:rsidRPr="00AA4F87">
        <w:rPr>
          <w:sz w:val="20"/>
          <w:szCs w:val="20"/>
        </w:rPr>
        <w:t xml:space="preserve"> </w:t>
      </w:r>
      <w:r w:rsidR="00C94414">
        <w:rPr>
          <w:sz w:val="20"/>
          <w:szCs w:val="20"/>
        </w:rPr>
        <w:t>n 51</w:t>
      </w:r>
      <w:r>
        <w:rPr>
          <w:sz w:val="20"/>
          <w:szCs w:val="20"/>
        </w:rPr>
        <w:t xml:space="preserve"> above, 1854-1855, italics in the original.</w:t>
      </w:r>
    </w:p>
  </w:footnote>
  <w:footnote w:id="55">
    <w:p w:rsidR="00EB4E5D" w:rsidRPr="00AA4F87" w:rsidRDefault="00EB4E5D" w:rsidP="008F3664">
      <w:pPr>
        <w:pStyle w:val="FootnoteText"/>
        <w:rPr>
          <w:sz w:val="20"/>
          <w:szCs w:val="20"/>
        </w:rPr>
      </w:pPr>
      <w:r w:rsidRPr="00AA4F87">
        <w:rPr>
          <w:rStyle w:val="FootnoteReference"/>
          <w:sz w:val="20"/>
          <w:szCs w:val="20"/>
        </w:rPr>
        <w:footnoteRef/>
      </w:r>
      <w:r w:rsidRPr="00AA4F87">
        <w:rPr>
          <w:sz w:val="20"/>
          <w:szCs w:val="20"/>
        </w:rPr>
        <w:t xml:space="preserve"> </w:t>
      </w:r>
      <w:r>
        <w:rPr>
          <w:sz w:val="20"/>
          <w:szCs w:val="20"/>
        </w:rPr>
        <w:t>ibid</w:t>
      </w:r>
      <w:r w:rsidRPr="00AA4F87">
        <w:rPr>
          <w:sz w:val="20"/>
          <w:szCs w:val="20"/>
        </w:rPr>
        <w:t xml:space="preserve"> 1855.</w:t>
      </w:r>
      <w:r>
        <w:rPr>
          <w:sz w:val="20"/>
          <w:szCs w:val="20"/>
        </w:rPr>
        <w:t xml:space="preserve">  </w:t>
      </w:r>
    </w:p>
  </w:footnote>
  <w:footnote w:id="56">
    <w:p w:rsidR="00EB4E5D" w:rsidRPr="00AA4F87" w:rsidRDefault="00EB4E5D" w:rsidP="008F3664">
      <w:pPr>
        <w:pStyle w:val="FootnoteText"/>
        <w:rPr>
          <w:sz w:val="20"/>
          <w:szCs w:val="20"/>
        </w:rPr>
      </w:pPr>
      <w:r w:rsidRPr="005520A8">
        <w:rPr>
          <w:rStyle w:val="FootnoteReference"/>
          <w:sz w:val="20"/>
          <w:szCs w:val="20"/>
        </w:rPr>
        <w:footnoteRef/>
      </w:r>
      <w:r>
        <w:rPr>
          <w:sz w:val="20"/>
          <w:szCs w:val="20"/>
        </w:rPr>
        <w:t xml:space="preserve"> i</w:t>
      </w:r>
      <w:r w:rsidRPr="005520A8">
        <w:rPr>
          <w:sz w:val="20"/>
          <w:szCs w:val="20"/>
        </w:rPr>
        <w:t>bid</w:t>
      </w:r>
      <w:r w:rsidRPr="005520A8">
        <w:rPr>
          <w:sz w:val="20"/>
          <w:szCs w:val="20"/>
          <w:lang w:val="en-US"/>
        </w:rPr>
        <w:t xml:space="preserve"> 1859.</w:t>
      </w:r>
      <w:r>
        <w:rPr>
          <w:sz w:val="20"/>
          <w:szCs w:val="20"/>
          <w:lang w:val="en-US"/>
        </w:rPr>
        <w:t xml:space="preserve"> </w:t>
      </w:r>
    </w:p>
  </w:footnote>
  <w:footnote w:id="57">
    <w:p w:rsidR="00EB4E5D" w:rsidRPr="00AA4F87" w:rsidRDefault="00EB4E5D" w:rsidP="008F3664">
      <w:pPr>
        <w:pStyle w:val="FootnoteText"/>
        <w:rPr>
          <w:sz w:val="20"/>
          <w:szCs w:val="20"/>
        </w:rPr>
      </w:pPr>
      <w:r w:rsidRPr="00AA4F87">
        <w:rPr>
          <w:rStyle w:val="FootnoteReference"/>
          <w:sz w:val="20"/>
          <w:szCs w:val="20"/>
        </w:rPr>
        <w:footnoteRef/>
      </w:r>
      <w:r w:rsidRPr="00AA4F87">
        <w:rPr>
          <w:sz w:val="20"/>
          <w:szCs w:val="20"/>
        </w:rPr>
        <w:t xml:space="preserve"> </w:t>
      </w:r>
      <w:r w:rsidR="00C94414">
        <w:rPr>
          <w:sz w:val="20"/>
          <w:szCs w:val="20"/>
        </w:rPr>
        <w:t>n 52</w:t>
      </w:r>
      <w:r w:rsidR="0089373D">
        <w:rPr>
          <w:sz w:val="20"/>
          <w:szCs w:val="20"/>
        </w:rPr>
        <w:t xml:space="preserve"> </w:t>
      </w:r>
      <w:r>
        <w:rPr>
          <w:sz w:val="20"/>
          <w:szCs w:val="20"/>
        </w:rPr>
        <w:t xml:space="preserve"> above. </w:t>
      </w:r>
    </w:p>
  </w:footnote>
  <w:footnote w:id="58">
    <w:p w:rsidR="00EB4E5D" w:rsidRPr="00AA4F87" w:rsidRDefault="00EB4E5D" w:rsidP="008F3664">
      <w:pPr>
        <w:pStyle w:val="FootnoteText"/>
        <w:rPr>
          <w:sz w:val="20"/>
          <w:szCs w:val="20"/>
        </w:rPr>
      </w:pPr>
      <w:r w:rsidRPr="00AA4F87">
        <w:rPr>
          <w:rStyle w:val="FootnoteReference"/>
          <w:sz w:val="20"/>
          <w:szCs w:val="20"/>
        </w:rPr>
        <w:footnoteRef/>
      </w:r>
      <w:r w:rsidRPr="00AA4F87">
        <w:rPr>
          <w:sz w:val="20"/>
          <w:szCs w:val="20"/>
        </w:rPr>
        <w:t xml:space="preserve"> S Bright, </w:t>
      </w:r>
      <w:r>
        <w:rPr>
          <w:sz w:val="20"/>
          <w:szCs w:val="20"/>
        </w:rPr>
        <w:t>‘</w:t>
      </w:r>
      <w:r w:rsidRPr="00AA4F87">
        <w:rPr>
          <w:sz w:val="20"/>
          <w:szCs w:val="20"/>
        </w:rPr>
        <w:t xml:space="preserve">Carbon Reduction </w:t>
      </w:r>
      <w:r>
        <w:rPr>
          <w:sz w:val="20"/>
          <w:szCs w:val="20"/>
        </w:rPr>
        <w:t>and Commercial Leases in the UK’</w:t>
      </w:r>
      <w:r w:rsidRPr="00AA4F87">
        <w:rPr>
          <w:sz w:val="20"/>
          <w:szCs w:val="20"/>
        </w:rPr>
        <w:t xml:space="preserve"> (2010) 2 IJLBE 218, 227</w:t>
      </w:r>
      <w:r>
        <w:rPr>
          <w:sz w:val="20"/>
          <w:szCs w:val="20"/>
        </w:rPr>
        <w:t>;</w:t>
      </w:r>
      <w:r w:rsidRPr="00AA4F87">
        <w:rPr>
          <w:sz w:val="20"/>
          <w:szCs w:val="20"/>
        </w:rPr>
        <w:t xml:space="preserve"> </w:t>
      </w:r>
      <w:r>
        <w:rPr>
          <w:sz w:val="20"/>
          <w:szCs w:val="20"/>
        </w:rPr>
        <w:t xml:space="preserve">J </w:t>
      </w:r>
      <w:r w:rsidRPr="00AA4F87">
        <w:rPr>
          <w:sz w:val="20"/>
          <w:szCs w:val="20"/>
        </w:rPr>
        <w:t xml:space="preserve">Patrick and </w:t>
      </w:r>
      <w:r>
        <w:rPr>
          <w:sz w:val="20"/>
          <w:szCs w:val="20"/>
        </w:rPr>
        <w:t xml:space="preserve">S. </w:t>
      </w:r>
      <w:r w:rsidRPr="00AA4F87">
        <w:rPr>
          <w:sz w:val="20"/>
          <w:szCs w:val="20"/>
        </w:rPr>
        <w:t xml:space="preserve">Bright, </w:t>
      </w:r>
      <w:r>
        <w:rPr>
          <w:sz w:val="20"/>
          <w:szCs w:val="20"/>
        </w:rPr>
        <w:t xml:space="preserve">‘WICKED insights into the role of green leases’ (2016) </w:t>
      </w:r>
      <w:r w:rsidRPr="00AA4F87">
        <w:rPr>
          <w:sz w:val="20"/>
          <w:szCs w:val="20"/>
        </w:rPr>
        <w:t>Conv</w:t>
      </w:r>
      <w:r>
        <w:rPr>
          <w:sz w:val="20"/>
          <w:szCs w:val="20"/>
        </w:rPr>
        <w:t xml:space="preserve">. 264, 272. </w:t>
      </w:r>
    </w:p>
  </w:footnote>
  <w:footnote w:id="59">
    <w:p w:rsidR="00EB4E5D" w:rsidRPr="00AA4F87" w:rsidRDefault="00EB4E5D" w:rsidP="00457D36">
      <w:pPr>
        <w:pStyle w:val="FootnoteText"/>
        <w:rPr>
          <w:sz w:val="20"/>
          <w:szCs w:val="20"/>
        </w:rPr>
      </w:pPr>
      <w:r w:rsidRPr="00AA4F87">
        <w:rPr>
          <w:rStyle w:val="FootnoteReference"/>
          <w:sz w:val="20"/>
          <w:szCs w:val="20"/>
        </w:rPr>
        <w:footnoteRef/>
      </w:r>
      <w:r w:rsidRPr="00AA4F87">
        <w:rPr>
          <w:sz w:val="20"/>
          <w:szCs w:val="20"/>
        </w:rPr>
        <w:t xml:space="preserve"> J.W. Singer, ‘Democratic Estates: Property Law in a Free and Democratic Society’ (2009) 94 Cornell L</w:t>
      </w:r>
      <w:r>
        <w:rPr>
          <w:sz w:val="20"/>
          <w:szCs w:val="20"/>
        </w:rPr>
        <w:t>. Rev.</w:t>
      </w:r>
      <w:r w:rsidRPr="00AA4F87">
        <w:rPr>
          <w:sz w:val="20"/>
          <w:szCs w:val="20"/>
        </w:rPr>
        <w:t xml:space="preserve"> 1009, 1053.</w:t>
      </w:r>
    </w:p>
  </w:footnote>
  <w:footnote w:id="60">
    <w:p w:rsidR="00EB4E5D" w:rsidRPr="00AA4F87" w:rsidRDefault="00EB4E5D" w:rsidP="00457D36">
      <w:pPr>
        <w:pStyle w:val="FootnoteText"/>
        <w:rPr>
          <w:sz w:val="20"/>
          <w:szCs w:val="20"/>
        </w:rPr>
      </w:pPr>
      <w:r w:rsidRPr="00AA4F87">
        <w:rPr>
          <w:rStyle w:val="FootnoteReference"/>
          <w:sz w:val="20"/>
          <w:szCs w:val="20"/>
        </w:rPr>
        <w:footnoteRef/>
      </w:r>
      <w:r w:rsidR="0089373D">
        <w:rPr>
          <w:sz w:val="20"/>
          <w:szCs w:val="20"/>
        </w:rPr>
        <w:t xml:space="preserve"> n 4</w:t>
      </w:r>
      <w:r>
        <w:rPr>
          <w:sz w:val="20"/>
          <w:szCs w:val="20"/>
        </w:rPr>
        <w:t xml:space="preserve"> above, at 881, footnotes omitted. </w:t>
      </w:r>
    </w:p>
  </w:footnote>
  <w:footnote w:id="61">
    <w:p w:rsidR="00EB4E5D" w:rsidRPr="00AA4F87" w:rsidRDefault="00EB4E5D" w:rsidP="007B17E2">
      <w:pPr>
        <w:pStyle w:val="FootnoteText"/>
        <w:rPr>
          <w:sz w:val="20"/>
          <w:szCs w:val="20"/>
        </w:rPr>
      </w:pPr>
      <w:r w:rsidRPr="00AA4F87">
        <w:rPr>
          <w:rStyle w:val="FootnoteReference"/>
          <w:sz w:val="20"/>
          <w:szCs w:val="20"/>
        </w:rPr>
        <w:footnoteRef/>
      </w:r>
      <w:r w:rsidRPr="00AA4F87">
        <w:rPr>
          <w:sz w:val="20"/>
          <w:szCs w:val="20"/>
        </w:rPr>
        <w:t xml:space="preserve"> </w:t>
      </w:r>
      <w:r w:rsidRPr="00A5683F">
        <w:rPr>
          <w:sz w:val="20"/>
          <w:szCs w:val="20"/>
        </w:rPr>
        <w:t>All these examples a</w:t>
      </w:r>
      <w:r w:rsidR="0089373D">
        <w:rPr>
          <w:sz w:val="20"/>
          <w:szCs w:val="20"/>
        </w:rPr>
        <w:t>re taken from Gray and Gray, n 8</w:t>
      </w:r>
      <w:r w:rsidRPr="00A5683F">
        <w:rPr>
          <w:sz w:val="20"/>
          <w:szCs w:val="20"/>
        </w:rPr>
        <w:t xml:space="preserve"> above.</w:t>
      </w:r>
    </w:p>
  </w:footnote>
  <w:footnote w:id="62">
    <w:p w:rsidR="00EB4E5D" w:rsidRPr="00AA4F87" w:rsidRDefault="00EB4E5D" w:rsidP="007B17E2">
      <w:pPr>
        <w:pStyle w:val="NoSpacing"/>
        <w:rPr>
          <w:rFonts w:ascii="Times New Roman" w:hAnsi="Times New Roman" w:cs="Times New Roman"/>
          <w:sz w:val="20"/>
          <w:szCs w:val="20"/>
        </w:rPr>
      </w:pPr>
      <w:r w:rsidRPr="00AA4F87">
        <w:rPr>
          <w:rStyle w:val="FootnoteReference"/>
          <w:rFonts w:ascii="Times New Roman" w:hAnsi="Times New Roman" w:cs="Times New Roman"/>
          <w:sz w:val="20"/>
          <w:szCs w:val="20"/>
        </w:rPr>
        <w:footnoteRef/>
      </w:r>
      <w:r w:rsidRPr="00AA4F87">
        <w:rPr>
          <w:rFonts w:ascii="Times New Roman" w:hAnsi="Times New Roman" w:cs="Times New Roman"/>
          <w:sz w:val="20"/>
          <w:szCs w:val="20"/>
        </w:rPr>
        <w:t xml:space="preserve"> </w:t>
      </w:r>
      <w:r w:rsidR="0089373D">
        <w:rPr>
          <w:rFonts w:ascii="Times New Roman" w:hAnsi="Times New Roman" w:cs="Times New Roman"/>
          <w:sz w:val="20"/>
          <w:szCs w:val="20"/>
        </w:rPr>
        <w:t>n 50</w:t>
      </w:r>
      <w:r>
        <w:rPr>
          <w:rFonts w:ascii="Times New Roman" w:hAnsi="Times New Roman" w:cs="Times New Roman"/>
          <w:sz w:val="20"/>
          <w:szCs w:val="20"/>
        </w:rPr>
        <w:t xml:space="preserve"> above</w:t>
      </w:r>
      <w:r w:rsidRPr="00AA4F87">
        <w:rPr>
          <w:rFonts w:ascii="Times New Roman" w:hAnsi="Times New Roman" w:cs="Times New Roman"/>
          <w:sz w:val="20"/>
          <w:szCs w:val="20"/>
        </w:rPr>
        <w:t>, S455.</w:t>
      </w:r>
    </w:p>
  </w:footnote>
  <w:footnote w:id="63">
    <w:p w:rsidR="00EB4E5D" w:rsidRPr="00AA4F87" w:rsidRDefault="00EB4E5D" w:rsidP="00457D36">
      <w:pPr>
        <w:pStyle w:val="NoSpacing"/>
        <w:rPr>
          <w:rFonts w:ascii="Times New Roman" w:hAnsi="Times New Roman" w:cs="Times New Roman"/>
          <w:sz w:val="20"/>
          <w:szCs w:val="20"/>
        </w:rPr>
      </w:pPr>
      <w:r w:rsidRPr="00AA4F87">
        <w:rPr>
          <w:rStyle w:val="FootnoteReference"/>
          <w:rFonts w:ascii="Times New Roman" w:hAnsi="Times New Roman" w:cs="Times New Roman"/>
          <w:sz w:val="20"/>
          <w:szCs w:val="20"/>
        </w:rPr>
        <w:footnoteRef/>
      </w:r>
      <w:r w:rsidRPr="00AA4F87">
        <w:rPr>
          <w:rFonts w:ascii="Times New Roman" w:hAnsi="Times New Roman" w:cs="Times New Roman"/>
          <w:sz w:val="20"/>
          <w:szCs w:val="20"/>
        </w:rPr>
        <w:t xml:space="preserve">  Law of Property Act 1925</w:t>
      </w:r>
      <w:r>
        <w:rPr>
          <w:rFonts w:ascii="Times New Roman" w:hAnsi="Times New Roman" w:cs="Times New Roman"/>
          <w:sz w:val="20"/>
          <w:szCs w:val="20"/>
        </w:rPr>
        <w:t>,</w:t>
      </w:r>
      <w:r w:rsidRPr="00AA4F87">
        <w:rPr>
          <w:rFonts w:ascii="Times New Roman" w:hAnsi="Times New Roman" w:cs="Times New Roman"/>
          <w:sz w:val="20"/>
          <w:szCs w:val="20"/>
        </w:rPr>
        <w:t xml:space="preserve"> s101. Other examples from English land law include Law of Property Act 1925, </w:t>
      </w:r>
      <w:r>
        <w:rPr>
          <w:rFonts w:ascii="Times New Roman" w:hAnsi="Times New Roman" w:cs="Times New Roman"/>
          <w:sz w:val="20"/>
          <w:szCs w:val="20"/>
        </w:rPr>
        <w:t xml:space="preserve">ss 78 and 79, </w:t>
      </w:r>
      <w:r w:rsidRPr="00AA4F87">
        <w:rPr>
          <w:rFonts w:ascii="Times New Roman" w:hAnsi="Times New Roman" w:cs="Times New Roman"/>
          <w:sz w:val="20"/>
          <w:szCs w:val="20"/>
        </w:rPr>
        <w:t>essentially intended as word-saving devices to assist in the transmissibility of restrictive covenants.</w:t>
      </w:r>
    </w:p>
  </w:footnote>
  <w:footnote w:id="64">
    <w:p w:rsidR="00EB4E5D" w:rsidRPr="00AA4F87" w:rsidRDefault="00EB4E5D" w:rsidP="0006700B">
      <w:pPr>
        <w:pStyle w:val="FootnoteText"/>
        <w:rPr>
          <w:sz w:val="20"/>
          <w:szCs w:val="20"/>
        </w:rPr>
      </w:pPr>
      <w:r w:rsidRPr="00AA4F87">
        <w:rPr>
          <w:rStyle w:val="FootnoteReference"/>
          <w:sz w:val="20"/>
          <w:szCs w:val="20"/>
        </w:rPr>
        <w:footnoteRef/>
      </w:r>
      <w:r w:rsidRPr="00AA4F87">
        <w:rPr>
          <w:sz w:val="20"/>
          <w:szCs w:val="20"/>
        </w:rPr>
        <w:t xml:space="preserve"> See</w:t>
      </w:r>
      <w:r>
        <w:rPr>
          <w:sz w:val="20"/>
          <w:szCs w:val="20"/>
        </w:rPr>
        <w:t>,</w:t>
      </w:r>
      <w:r w:rsidRPr="00AA4F87">
        <w:rPr>
          <w:sz w:val="20"/>
          <w:szCs w:val="20"/>
        </w:rPr>
        <w:t xml:space="preserve"> for example</w:t>
      </w:r>
      <w:r>
        <w:rPr>
          <w:sz w:val="20"/>
          <w:szCs w:val="20"/>
        </w:rPr>
        <w:t>,</w:t>
      </w:r>
      <w:r w:rsidRPr="00AA4F87">
        <w:rPr>
          <w:sz w:val="20"/>
          <w:szCs w:val="20"/>
        </w:rPr>
        <w:t xml:space="preserve"> </w:t>
      </w:r>
      <w:r w:rsidRPr="00AA4F87">
        <w:rPr>
          <w:i/>
          <w:sz w:val="20"/>
          <w:szCs w:val="20"/>
        </w:rPr>
        <w:t xml:space="preserve">Arnold v Britton </w:t>
      </w:r>
      <w:r w:rsidRPr="00AA4F87">
        <w:rPr>
          <w:sz w:val="20"/>
          <w:szCs w:val="20"/>
        </w:rPr>
        <w:t>[2015] AC 1619</w:t>
      </w:r>
      <w:r>
        <w:rPr>
          <w:sz w:val="20"/>
          <w:szCs w:val="20"/>
        </w:rPr>
        <w:t>, discussed further below.</w:t>
      </w:r>
    </w:p>
  </w:footnote>
  <w:footnote w:id="65">
    <w:p w:rsidR="00EB4E5D" w:rsidRPr="00AA4F87" w:rsidRDefault="00EB4E5D" w:rsidP="005D43ED">
      <w:pPr>
        <w:pStyle w:val="FootnoteText"/>
        <w:rPr>
          <w:sz w:val="20"/>
          <w:szCs w:val="20"/>
        </w:rPr>
      </w:pPr>
      <w:r w:rsidRPr="00AA4F87">
        <w:rPr>
          <w:rStyle w:val="FootnoteReference"/>
          <w:sz w:val="20"/>
          <w:szCs w:val="20"/>
        </w:rPr>
        <w:footnoteRef/>
      </w:r>
      <w:r w:rsidRPr="00AA4F87">
        <w:rPr>
          <w:sz w:val="20"/>
          <w:szCs w:val="20"/>
        </w:rPr>
        <w:t xml:space="preserve"> See</w:t>
      </w:r>
      <w:r>
        <w:rPr>
          <w:sz w:val="20"/>
          <w:szCs w:val="20"/>
        </w:rPr>
        <w:t>,</w:t>
      </w:r>
      <w:r w:rsidRPr="00AA4F87">
        <w:rPr>
          <w:sz w:val="20"/>
          <w:szCs w:val="20"/>
        </w:rPr>
        <w:t xml:space="preserve"> for example</w:t>
      </w:r>
      <w:r>
        <w:rPr>
          <w:sz w:val="20"/>
          <w:szCs w:val="20"/>
        </w:rPr>
        <w:t>,</w:t>
      </w:r>
      <w:r w:rsidRPr="00AA4F87">
        <w:rPr>
          <w:sz w:val="20"/>
          <w:szCs w:val="20"/>
        </w:rPr>
        <w:t xml:space="preserve"> in </w:t>
      </w:r>
      <w:r>
        <w:rPr>
          <w:sz w:val="20"/>
          <w:szCs w:val="20"/>
        </w:rPr>
        <w:t xml:space="preserve">relation to </w:t>
      </w:r>
      <w:r w:rsidRPr="00AA4F87">
        <w:rPr>
          <w:sz w:val="20"/>
          <w:szCs w:val="20"/>
        </w:rPr>
        <w:t>mortgages</w:t>
      </w:r>
      <w:r>
        <w:rPr>
          <w:sz w:val="20"/>
          <w:szCs w:val="20"/>
        </w:rPr>
        <w:t>:</w:t>
      </w:r>
      <w:r w:rsidRPr="00AA4F87">
        <w:rPr>
          <w:sz w:val="20"/>
          <w:szCs w:val="20"/>
        </w:rPr>
        <w:t xml:space="preserve"> </w:t>
      </w:r>
      <w:r w:rsidRPr="00AA4F87">
        <w:rPr>
          <w:i/>
          <w:sz w:val="20"/>
          <w:szCs w:val="20"/>
        </w:rPr>
        <w:t xml:space="preserve">Knightsbridge Estates Trust Ltd v Byrne </w:t>
      </w:r>
      <w:r>
        <w:rPr>
          <w:sz w:val="20"/>
          <w:szCs w:val="20"/>
        </w:rPr>
        <w:t>[1939] Ch 441;</w:t>
      </w:r>
      <w:r w:rsidRPr="00AA4F87">
        <w:rPr>
          <w:sz w:val="20"/>
          <w:szCs w:val="20"/>
        </w:rPr>
        <w:t xml:space="preserve"> </w:t>
      </w:r>
      <w:r w:rsidRPr="00AA4F87">
        <w:rPr>
          <w:i/>
          <w:sz w:val="20"/>
          <w:szCs w:val="20"/>
        </w:rPr>
        <w:t xml:space="preserve">G&amp;K Kreglinger v New Patagonia Meat and Cold Storage Co Ltd </w:t>
      </w:r>
      <w:r w:rsidRPr="00AA4F87">
        <w:rPr>
          <w:sz w:val="20"/>
          <w:szCs w:val="20"/>
        </w:rPr>
        <w:t>[1914] AC 26</w:t>
      </w:r>
      <w:r>
        <w:rPr>
          <w:sz w:val="20"/>
          <w:szCs w:val="20"/>
        </w:rPr>
        <w:t>,</w:t>
      </w:r>
      <w:r w:rsidRPr="00AA4F87">
        <w:rPr>
          <w:sz w:val="20"/>
          <w:szCs w:val="20"/>
        </w:rPr>
        <w:t xml:space="preserve"> and </w:t>
      </w:r>
      <w:r w:rsidRPr="00AA4F87">
        <w:rPr>
          <w:i/>
          <w:sz w:val="20"/>
          <w:szCs w:val="20"/>
        </w:rPr>
        <w:t xml:space="preserve">Multiservice Bookbinding Ltd v Marden </w:t>
      </w:r>
      <w:r w:rsidRPr="00AA4F87">
        <w:rPr>
          <w:sz w:val="20"/>
          <w:szCs w:val="20"/>
        </w:rPr>
        <w:t xml:space="preserve">[1979] Ch 84. </w:t>
      </w:r>
    </w:p>
  </w:footnote>
  <w:footnote w:id="66">
    <w:p w:rsidR="00EB4E5D" w:rsidRPr="00AA4F87" w:rsidRDefault="00EB4E5D">
      <w:pPr>
        <w:pStyle w:val="FootnoteText"/>
        <w:rPr>
          <w:sz w:val="20"/>
          <w:szCs w:val="20"/>
          <w:lang w:val="en-US"/>
        </w:rPr>
      </w:pPr>
      <w:r w:rsidRPr="00AA4F87">
        <w:rPr>
          <w:rStyle w:val="FootnoteReference"/>
          <w:sz w:val="20"/>
          <w:szCs w:val="20"/>
        </w:rPr>
        <w:footnoteRef/>
      </w:r>
      <w:r w:rsidRPr="00AA4F87">
        <w:rPr>
          <w:sz w:val="20"/>
          <w:szCs w:val="20"/>
        </w:rPr>
        <w:t xml:space="preserve"> </w:t>
      </w:r>
      <w:r>
        <w:rPr>
          <w:sz w:val="20"/>
          <w:szCs w:val="20"/>
          <w:lang w:val="en-US"/>
        </w:rPr>
        <w:t xml:space="preserve">See, for example, </w:t>
      </w:r>
      <w:r w:rsidRPr="00AA4F87">
        <w:rPr>
          <w:i/>
          <w:sz w:val="20"/>
          <w:szCs w:val="20"/>
        </w:rPr>
        <w:t xml:space="preserve">Marks &amp; Spencer plc v BNP Paribas Securities Services Trust Co (Jersey) Ltd </w:t>
      </w:r>
      <w:r>
        <w:rPr>
          <w:sz w:val="20"/>
          <w:szCs w:val="20"/>
        </w:rPr>
        <w:t>[2016] AC 742, and</w:t>
      </w:r>
      <w:r w:rsidRPr="00AA4F87">
        <w:rPr>
          <w:sz w:val="20"/>
          <w:szCs w:val="20"/>
          <w:lang w:val="en-US"/>
        </w:rPr>
        <w:t xml:space="preserve"> L</w:t>
      </w:r>
      <w:r>
        <w:rPr>
          <w:sz w:val="20"/>
          <w:szCs w:val="20"/>
          <w:lang w:val="en-US"/>
        </w:rPr>
        <w:t xml:space="preserve">andlord and </w:t>
      </w:r>
      <w:r w:rsidRPr="00AA4F87">
        <w:rPr>
          <w:sz w:val="20"/>
          <w:szCs w:val="20"/>
          <w:lang w:val="en-US"/>
        </w:rPr>
        <w:t>T</w:t>
      </w:r>
      <w:r>
        <w:rPr>
          <w:sz w:val="20"/>
          <w:szCs w:val="20"/>
          <w:lang w:val="en-US"/>
        </w:rPr>
        <w:t xml:space="preserve">enant </w:t>
      </w:r>
      <w:r w:rsidRPr="00AA4F87">
        <w:rPr>
          <w:sz w:val="20"/>
          <w:szCs w:val="20"/>
          <w:lang w:val="en-US"/>
        </w:rPr>
        <w:t>A</w:t>
      </w:r>
      <w:r>
        <w:rPr>
          <w:sz w:val="20"/>
          <w:szCs w:val="20"/>
          <w:lang w:val="en-US"/>
        </w:rPr>
        <w:t>ct</w:t>
      </w:r>
      <w:r w:rsidRPr="00AA4F87">
        <w:rPr>
          <w:sz w:val="20"/>
          <w:szCs w:val="20"/>
          <w:lang w:val="en-US"/>
        </w:rPr>
        <w:t xml:space="preserve"> 1985</w:t>
      </w:r>
      <w:r>
        <w:rPr>
          <w:sz w:val="20"/>
          <w:szCs w:val="20"/>
          <w:lang w:val="en-US"/>
        </w:rPr>
        <w:t>,</w:t>
      </w:r>
      <w:r w:rsidRPr="00955398">
        <w:rPr>
          <w:sz w:val="20"/>
          <w:szCs w:val="20"/>
          <w:lang w:val="en-US"/>
        </w:rPr>
        <w:t xml:space="preserve"> </w:t>
      </w:r>
      <w:r w:rsidRPr="00AA4F87">
        <w:rPr>
          <w:sz w:val="20"/>
          <w:szCs w:val="20"/>
          <w:lang w:val="en-US"/>
        </w:rPr>
        <w:t>s 11</w:t>
      </w:r>
      <w:r>
        <w:rPr>
          <w:sz w:val="20"/>
          <w:szCs w:val="20"/>
          <w:lang w:val="en-US"/>
        </w:rPr>
        <w:t>.</w:t>
      </w:r>
    </w:p>
  </w:footnote>
  <w:footnote w:id="67">
    <w:p w:rsidR="00EB4E5D" w:rsidRPr="00AA4F87" w:rsidRDefault="00EB4E5D" w:rsidP="005D43ED">
      <w:pPr>
        <w:pStyle w:val="NoSpacing"/>
        <w:rPr>
          <w:rFonts w:ascii="Times New Roman" w:hAnsi="Times New Roman" w:cs="Times New Roman"/>
          <w:sz w:val="20"/>
          <w:szCs w:val="20"/>
        </w:rPr>
      </w:pPr>
      <w:r w:rsidRPr="00AA4F87">
        <w:rPr>
          <w:rStyle w:val="FootnoteReference"/>
          <w:rFonts w:ascii="Times New Roman" w:hAnsi="Times New Roman" w:cs="Times New Roman"/>
          <w:sz w:val="20"/>
          <w:szCs w:val="20"/>
        </w:rPr>
        <w:footnoteRef/>
      </w:r>
      <w:r w:rsidRPr="00AA4F87">
        <w:rPr>
          <w:rFonts w:ascii="Times New Roman" w:hAnsi="Times New Roman" w:cs="Times New Roman"/>
          <w:sz w:val="20"/>
          <w:szCs w:val="20"/>
        </w:rPr>
        <w:t xml:space="preserve"> Consumer Rights Act 2015</w:t>
      </w:r>
      <w:r>
        <w:rPr>
          <w:rFonts w:ascii="Times New Roman" w:hAnsi="Times New Roman" w:cs="Times New Roman"/>
          <w:sz w:val="20"/>
          <w:szCs w:val="20"/>
        </w:rPr>
        <w:t>, Part 2</w:t>
      </w:r>
      <w:r w:rsidRPr="00AA4F87">
        <w:rPr>
          <w:rFonts w:ascii="Times New Roman" w:hAnsi="Times New Roman" w:cs="Times New Roman"/>
          <w:sz w:val="20"/>
          <w:szCs w:val="20"/>
        </w:rPr>
        <w:t>.</w:t>
      </w:r>
    </w:p>
  </w:footnote>
  <w:footnote w:id="68">
    <w:p w:rsidR="00EB4E5D" w:rsidRPr="00AA4F87" w:rsidRDefault="00EB4E5D" w:rsidP="005D43ED">
      <w:pPr>
        <w:pStyle w:val="FootnoteText"/>
        <w:rPr>
          <w:sz w:val="20"/>
          <w:szCs w:val="20"/>
        </w:rPr>
      </w:pPr>
      <w:r w:rsidRPr="00AA4F87">
        <w:rPr>
          <w:rStyle w:val="FootnoteReference"/>
          <w:sz w:val="20"/>
          <w:szCs w:val="20"/>
        </w:rPr>
        <w:footnoteRef/>
      </w:r>
      <w:r w:rsidRPr="00AA4F87">
        <w:rPr>
          <w:sz w:val="20"/>
          <w:szCs w:val="20"/>
        </w:rPr>
        <w:t xml:space="preserve"> </w:t>
      </w:r>
      <w:r>
        <w:rPr>
          <w:sz w:val="20"/>
          <w:szCs w:val="20"/>
        </w:rPr>
        <w:t xml:space="preserve">ibid and, </w:t>
      </w:r>
      <w:r w:rsidRPr="00AA4F87">
        <w:rPr>
          <w:sz w:val="20"/>
          <w:szCs w:val="20"/>
        </w:rPr>
        <w:t>in relation to certain consumer mortgages</w:t>
      </w:r>
      <w:r>
        <w:rPr>
          <w:sz w:val="20"/>
          <w:szCs w:val="20"/>
        </w:rPr>
        <w:t>,</w:t>
      </w:r>
      <w:r w:rsidRPr="00AA4F87">
        <w:rPr>
          <w:sz w:val="20"/>
          <w:szCs w:val="20"/>
        </w:rPr>
        <w:t xml:space="preserve"> Consumer Credit Act 1974</w:t>
      </w:r>
      <w:r>
        <w:rPr>
          <w:sz w:val="20"/>
          <w:szCs w:val="20"/>
        </w:rPr>
        <w:t xml:space="preserve">, </w:t>
      </w:r>
      <w:r w:rsidRPr="00AA4F87">
        <w:rPr>
          <w:sz w:val="20"/>
          <w:szCs w:val="20"/>
        </w:rPr>
        <w:t>s140A-C</w:t>
      </w:r>
      <w:r>
        <w:rPr>
          <w:sz w:val="20"/>
          <w:szCs w:val="20"/>
        </w:rPr>
        <w:t xml:space="preserve">. As an </w:t>
      </w:r>
      <w:r w:rsidRPr="00AA4F87">
        <w:rPr>
          <w:sz w:val="20"/>
          <w:szCs w:val="20"/>
        </w:rPr>
        <w:t xml:space="preserve">example </w:t>
      </w:r>
      <w:r>
        <w:rPr>
          <w:sz w:val="20"/>
          <w:szCs w:val="20"/>
        </w:rPr>
        <w:t xml:space="preserve">see </w:t>
      </w:r>
      <w:r w:rsidRPr="00AA4F87">
        <w:rPr>
          <w:sz w:val="20"/>
          <w:szCs w:val="20"/>
        </w:rPr>
        <w:t>the finding that non-negotiable terms in leases issued by developers McCarthy and Stone breached the</w:t>
      </w:r>
      <w:r>
        <w:rPr>
          <w:sz w:val="20"/>
          <w:szCs w:val="20"/>
        </w:rPr>
        <w:t xml:space="preserve"> standards now found in the Consumer Rights Act 2015, Part 2:</w:t>
      </w:r>
      <w:r w:rsidRPr="00AA4F87">
        <w:rPr>
          <w:sz w:val="20"/>
          <w:szCs w:val="20"/>
        </w:rPr>
        <w:t xml:space="preserve"> </w:t>
      </w:r>
      <w:r w:rsidRPr="00AA4F87">
        <w:rPr>
          <w:i/>
          <w:sz w:val="20"/>
          <w:szCs w:val="20"/>
        </w:rPr>
        <w:t xml:space="preserve">OFT investigation into retirement home transfer fee terms </w:t>
      </w:r>
      <w:r w:rsidRPr="00AA4F87">
        <w:rPr>
          <w:sz w:val="20"/>
          <w:szCs w:val="20"/>
        </w:rPr>
        <w:t>(London, Office of Fair Trading, 2013).</w:t>
      </w:r>
    </w:p>
  </w:footnote>
  <w:footnote w:id="69">
    <w:p w:rsidR="00EB4E5D" w:rsidRPr="00AA4F87" w:rsidRDefault="00EB4E5D" w:rsidP="005D43ED">
      <w:pPr>
        <w:pStyle w:val="FootnoteText"/>
        <w:rPr>
          <w:sz w:val="20"/>
          <w:szCs w:val="20"/>
        </w:rPr>
      </w:pPr>
      <w:r w:rsidRPr="00AA4F87">
        <w:rPr>
          <w:rStyle w:val="FootnoteReference"/>
          <w:sz w:val="20"/>
          <w:szCs w:val="20"/>
        </w:rPr>
        <w:footnoteRef/>
      </w:r>
      <w:r w:rsidRPr="00AA4F87">
        <w:rPr>
          <w:sz w:val="20"/>
          <w:szCs w:val="20"/>
        </w:rPr>
        <w:t xml:space="preserve"> For example, the Leasehold Reform Act 1967 gives leaseholders of houses the right to buy the freehold. Qualifying leaseholders of flats can collectively enfranchise: Leasehold Reform Housing and Urban Development Act 1993 (as amended by the Commonhold and Leasehold Reform Act 2002). See also Law of Property 1925 s84 which provides for the modification or extinction of restrictive covenants, which the Law Commission has recommended should be extended to easements </w:t>
      </w:r>
      <w:r>
        <w:rPr>
          <w:sz w:val="20"/>
          <w:szCs w:val="20"/>
        </w:rPr>
        <w:t>(see Law Co</w:t>
      </w:r>
      <w:r w:rsidRPr="00AA4F87">
        <w:rPr>
          <w:sz w:val="20"/>
          <w:szCs w:val="20"/>
        </w:rPr>
        <w:t>m 327 (2011) Part 7</w:t>
      </w:r>
      <w:r>
        <w:rPr>
          <w:sz w:val="20"/>
          <w:szCs w:val="20"/>
        </w:rPr>
        <w:t>)</w:t>
      </w:r>
      <w:r w:rsidRPr="00AA4F87">
        <w:rPr>
          <w:sz w:val="20"/>
          <w:szCs w:val="20"/>
        </w:rPr>
        <w:t xml:space="preserve">. </w:t>
      </w:r>
    </w:p>
  </w:footnote>
  <w:footnote w:id="70">
    <w:p w:rsidR="00EB4E5D" w:rsidRDefault="00EB4E5D" w:rsidP="00DC6D17">
      <w:pPr>
        <w:pStyle w:val="FootnoteText"/>
      </w:pPr>
      <w:r>
        <w:rPr>
          <w:rStyle w:val="FootnoteReference"/>
        </w:rPr>
        <w:footnoteRef/>
      </w:r>
      <w:r>
        <w:t xml:space="preserve"> </w:t>
      </w:r>
      <w:r w:rsidRPr="00AA4F87">
        <w:rPr>
          <w:i/>
          <w:sz w:val="20"/>
          <w:szCs w:val="20"/>
        </w:rPr>
        <w:t xml:space="preserve">Jones v Morgan </w:t>
      </w:r>
      <w:r w:rsidRPr="00AA4F87">
        <w:rPr>
          <w:sz w:val="20"/>
          <w:szCs w:val="20"/>
        </w:rPr>
        <w:t>[2001] EWCA Civ 99</w:t>
      </w:r>
      <w:r>
        <w:rPr>
          <w:sz w:val="20"/>
          <w:szCs w:val="20"/>
        </w:rPr>
        <w:t>5.</w:t>
      </w:r>
    </w:p>
  </w:footnote>
  <w:footnote w:id="71">
    <w:p w:rsidR="00EB4E5D" w:rsidRPr="00AA4F87" w:rsidRDefault="00EB4E5D" w:rsidP="007671AE">
      <w:pPr>
        <w:pStyle w:val="FootnoteText"/>
        <w:contextualSpacing/>
        <w:rPr>
          <w:sz w:val="20"/>
          <w:szCs w:val="20"/>
        </w:rPr>
      </w:pPr>
      <w:r w:rsidRPr="00AA4F87">
        <w:rPr>
          <w:rStyle w:val="FootnoteReference"/>
          <w:sz w:val="20"/>
          <w:szCs w:val="20"/>
        </w:rPr>
        <w:footnoteRef/>
      </w:r>
      <w:r>
        <w:rPr>
          <w:sz w:val="20"/>
          <w:szCs w:val="20"/>
        </w:rPr>
        <w:t xml:space="preserve"> </w:t>
      </w:r>
      <w:r w:rsidRPr="00AA4F87">
        <w:rPr>
          <w:sz w:val="20"/>
          <w:szCs w:val="20"/>
        </w:rPr>
        <w:t xml:space="preserve"> </w:t>
      </w:r>
      <w:r w:rsidRPr="00AA4F87">
        <w:rPr>
          <w:i/>
          <w:sz w:val="20"/>
          <w:szCs w:val="20"/>
        </w:rPr>
        <w:t xml:space="preserve">Prudential Assurance Ltd v London Residuary Body </w:t>
      </w:r>
      <w:r w:rsidRPr="00AA4F87">
        <w:rPr>
          <w:sz w:val="20"/>
          <w:szCs w:val="20"/>
        </w:rPr>
        <w:t xml:space="preserve">[1992] 2 AC 386 and </w:t>
      </w:r>
      <w:r w:rsidRPr="00AA4F87">
        <w:rPr>
          <w:i/>
          <w:sz w:val="20"/>
          <w:szCs w:val="20"/>
        </w:rPr>
        <w:t xml:space="preserve">Berrisford v Mexfield Housing Co-operative Ltd </w:t>
      </w:r>
      <w:r>
        <w:rPr>
          <w:sz w:val="20"/>
          <w:szCs w:val="20"/>
        </w:rPr>
        <w:t>[2012</w:t>
      </w:r>
      <w:r w:rsidRPr="00AA4F87">
        <w:rPr>
          <w:sz w:val="20"/>
          <w:szCs w:val="20"/>
        </w:rPr>
        <w:t xml:space="preserve">] </w:t>
      </w:r>
      <w:r>
        <w:rPr>
          <w:sz w:val="20"/>
          <w:szCs w:val="20"/>
        </w:rPr>
        <w:t>1 AC 955</w:t>
      </w:r>
      <w:r w:rsidRPr="00AA4F87">
        <w:rPr>
          <w:sz w:val="20"/>
          <w:szCs w:val="20"/>
        </w:rPr>
        <w:t xml:space="preserve">. </w:t>
      </w:r>
    </w:p>
  </w:footnote>
  <w:footnote w:id="72">
    <w:p w:rsidR="00EB4E5D" w:rsidRPr="00AA4F87" w:rsidRDefault="00EB4E5D" w:rsidP="00E358A7">
      <w:pPr>
        <w:spacing w:after="0" w:line="240" w:lineRule="auto"/>
        <w:contextualSpacing/>
      </w:pPr>
      <w:r w:rsidRPr="00AA4F87">
        <w:rPr>
          <w:rStyle w:val="FootnoteReference"/>
          <w:sz w:val="20"/>
        </w:rPr>
        <w:footnoteRef/>
      </w:r>
      <w:r w:rsidRPr="00AA4F87">
        <w:rPr>
          <w:sz w:val="20"/>
        </w:rPr>
        <w:t xml:space="preserve"> </w:t>
      </w:r>
      <w:r w:rsidRPr="00AA4F87">
        <w:rPr>
          <w:rFonts w:eastAsia="Calibri"/>
          <w:bCs/>
          <w:i/>
          <w:sz w:val="20"/>
          <w:lang w:val="en-US"/>
        </w:rPr>
        <w:t>Bradley v Heslin</w:t>
      </w:r>
      <w:r w:rsidRPr="00AA4F87">
        <w:rPr>
          <w:rFonts w:eastAsia="Calibri"/>
          <w:b/>
          <w:bCs/>
          <w:i/>
          <w:sz w:val="20"/>
          <w:lang w:val="en-US"/>
        </w:rPr>
        <w:t xml:space="preserve"> </w:t>
      </w:r>
      <w:r w:rsidRPr="00AA4F87">
        <w:rPr>
          <w:sz w:val="20"/>
        </w:rPr>
        <w:t>[2014] EWHC 32</w:t>
      </w:r>
      <w:r>
        <w:rPr>
          <w:sz w:val="20"/>
        </w:rPr>
        <w:t>67</w:t>
      </w:r>
      <w:r w:rsidRPr="00AA4F87">
        <w:rPr>
          <w:sz w:val="20"/>
        </w:rPr>
        <w:t>.</w:t>
      </w:r>
      <w:r w:rsidRPr="00AA4F87">
        <w:rPr>
          <w:rFonts w:eastAsia="Calibri"/>
          <w:b/>
          <w:bCs/>
          <w:i/>
          <w:sz w:val="20"/>
          <w:lang w:val="en-US"/>
        </w:rPr>
        <w:t xml:space="preserve"> </w:t>
      </w:r>
    </w:p>
  </w:footnote>
  <w:footnote w:id="73">
    <w:p w:rsidR="00EB4E5D" w:rsidRPr="00FC5CC1" w:rsidRDefault="00EB4E5D" w:rsidP="00E358A7">
      <w:pPr>
        <w:pStyle w:val="FootnoteText"/>
        <w:contextualSpacing/>
        <w:rPr>
          <w:sz w:val="20"/>
          <w:szCs w:val="20"/>
        </w:rPr>
      </w:pPr>
      <w:r w:rsidRPr="00FC5CC1">
        <w:rPr>
          <w:rStyle w:val="FootnoteReference"/>
          <w:sz w:val="20"/>
          <w:szCs w:val="20"/>
        </w:rPr>
        <w:footnoteRef/>
      </w:r>
      <w:r w:rsidRPr="00FC5CC1">
        <w:rPr>
          <w:sz w:val="20"/>
          <w:szCs w:val="20"/>
        </w:rPr>
        <w:t xml:space="preserve"> </w:t>
      </w:r>
      <w:r>
        <w:rPr>
          <w:sz w:val="20"/>
          <w:szCs w:val="20"/>
        </w:rPr>
        <w:t>ibid at</w:t>
      </w:r>
      <w:r w:rsidRPr="00FC5CC1">
        <w:rPr>
          <w:sz w:val="20"/>
          <w:szCs w:val="20"/>
        </w:rPr>
        <w:t xml:space="preserve"> [82].</w:t>
      </w:r>
    </w:p>
  </w:footnote>
  <w:footnote w:id="74">
    <w:p w:rsidR="00EB4E5D" w:rsidRPr="00AA4F87" w:rsidRDefault="00EB4E5D">
      <w:pPr>
        <w:pStyle w:val="FootnoteText"/>
        <w:rPr>
          <w:sz w:val="20"/>
          <w:szCs w:val="20"/>
        </w:rPr>
      </w:pPr>
      <w:r w:rsidRPr="00AA4F87">
        <w:rPr>
          <w:rStyle w:val="FootnoteReference"/>
          <w:sz w:val="20"/>
          <w:szCs w:val="20"/>
        </w:rPr>
        <w:footnoteRef/>
      </w:r>
      <w:r w:rsidRPr="00AA4F87">
        <w:rPr>
          <w:sz w:val="20"/>
          <w:szCs w:val="20"/>
        </w:rPr>
        <w:t xml:space="preserve"> </w:t>
      </w:r>
      <w:r>
        <w:rPr>
          <w:sz w:val="20"/>
          <w:szCs w:val="20"/>
        </w:rPr>
        <w:t xml:space="preserve">ibid at [85]. </w:t>
      </w:r>
      <w:r w:rsidRPr="00AA4F87">
        <w:rPr>
          <w:sz w:val="20"/>
          <w:szCs w:val="20"/>
        </w:rPr>
        <w:t xml:space="preserve">The case was appealed but settled at the door of the Court of Appeal: personal email communication from </w:t>
      </w:r>
      <w:r>
        <w:rPr>
          <w:sz w:val="20"/>
          <w:szCs w:val="20"/>
        </w:rPr>
        <w:t xml:space="preserve">Lawrence McDonald, </w:t>
      </w:r>
      <w:r w:rsidRPr="00AA4F87">
        <w:rPr>
          <w:sz w:val="20"/>
          <w:szCs w:val="20"/>
        </w:rPr>
        <w:t xml:space="preserve">junior barrister for the Bradleys. </w:t>
      </w:r>
    </w:p>
  </w:footnote>
  <w:footnote w:id="75">
    <w:p w:rsidR="00EB4E5D" w:rsidRPr="00F60FE0" w:rsidRDefault="00EB4E5D">
      <w:pPr>
        <w:pStyle w:val="FootnoteText"/>
        <w:rPr>
          <w:sz w:val="20"/>
          <w:szCs w:val="20"/>
        </w:rPr>
      </w:pPr>
      <w:r w:rsidRPr="00F60FE0">
        <w:rPr>
          <w:rStyle w:val="FootnoteReference"/>
          <w:sz w:val="20"/>
          <w:szCs w:val="20"/>
        </w:rPr>
        <w:footnoteRef/>
      </w:r>
      <w:r w:rsidRPr="00F60FE0">
        <w:rPr>
          <w:sz w:val="20"/>
          <w:szCs w:val="20"/>
        </w:rPr>
        <w:t xml:space="preserve"> Ibid at [51].</w:t>
      </w:r>
    </w:p>
  </w:footnote>
  <w:footnote w:id="76">
    <w:p w:rsidR="00EB4E5D" w:rsidRPr="00AA4F87" w:rsidRDefault="00EB4E5D" w:rsidP="00274CA0">
      <w:pPr>
        <w:pStyle w:val="FootnoteText"/>
        <w:contextualSpacing/>
        <w:rPr>
          <w:sz w:val="20"/>
          <w:szCs w:val="20"/>
          <w:lang w:val="en-US"/>
        </w:rPr>
      </w:pPr>
      <w:r w:rsidRPr="00AA4F87">
        <w:rPr>
          <w:rStyle w:val="FootnoteReference"/>
          <w:sz w:val="20"/>
          <w:szCs w:val="20"/>
        </w:rPr>
        <w:footnoteRef/>
      </w:r>
      <w:r w:rsidRPr="00AA4F87">
        <w:rPr>
          <w:sz w:val="20"/>
          <w:szCs w:val="20"/>
        </w:rPr>
        <w:t xml:space="preserve"> </w:t>
      </w:r>
      <w:r>
        <w:rPr>
          <w:sz w:val="20"/>
          <w:szCs w:val="20"/>
        </w:rPr>
        <w:t xml:space="preserve">J </w:t>
      </w:r>
      <w:r w:rsidRPr="00AA4F87">
        <w:rPr>
          <w:sz w:val="20"/>
          <w:szCs w:val="20"/>
        </w:rPr>
        <w:t xml:space="preserve">Patrick and </w:t>
      </w:r>
      <w:r>
        <w:rPr>
          <w:sz w:val="20"/>
          <w:szCs w:val="20"/>
        </w:rPr>
        <w:t xml:space="preserve">S. </w:t>
      </w:r>
      <w:r w:rsidRPr="00AA4F87">
        <w:rPr>
          <w:sz w:val="20"/>
          <w:szCs w:val="20"/>
        </w:rPr>
        <w:t xml:space="preserve">Bright, </w:t>
      </w:r>
      <w:r>
        <w:rPr>
          <w:sz w:val="20"/>
          <w:szCs w:val="20"/>
        </w:rPr>
        <w:t xml:space="preserve">‘WICKED insights into the role of green leases’ (2016) </w:t>
      </w:r>
      <w:r w:rsidRPr="00AA4F87">
        <w:rPr>
          <w:sz w:val="20"/>
          <w:szCs w:val="20"/>
        </w:rPr>
        <w:t>Conveyancer</w:t>
      </w:r>
      <w:r>
        <w:rPr>
          <w:sz w:val="20"/>
          <w:szCs w:val="20"/>
        </w:rPr>
        <w:t xml:space="preserve"> 264, 277.</w:t>
      </w:r>
    </w:p>
  </w:footnote>
  <w:footnote w:id="77">
    <w:p w:rsidR="00EB4E5D" w:rsidRPr="001861BE" w:rsidRDefault="00EB4E5D">
      <w:pPr>
        <w:pStyle w:val="FootnoteText"/>
        <w:rPr>
          <w:sz w:val="20"/>
          <w:szCs w:val="20"/>
        </w:rPr>
      </w:pPr>
      <w:r w:rsidRPr="00AA4F87">
        <w:rPr>
          <w:rStyle w:val="FootnoteReference"/>
          <w:sz w:val="20"/>
          <w:szCs w:val="20"/>
        </w:rPr>
        <w:footnoteRef/>
      </w:r>
      <w:r w:rsidRPr="00AA4F87">
        <w:rPr>
          <w:sz w:val="20"/>
          <w:szCs w:val="20"/>
        </w:rPr>
        <w:t xml:space="preserve"> </w:t>
      </w:r>
      <w:r>
        <w:rPr>
          <w:sz w:val="20"/>
          <w:szCs w:val="20"/>
        </w:rPr>
        <w:t xml:space="preserve">See </w:t>
      </w:r>
      <w:r w:rsidRPr="001861BE">
        <w:rPr>
          <w:i/>
          <w:sz w:val="20"/>
          <w:szCs w:val="20"/>
        </w:rPr>
        <w:t>National Leasehold Survey 2016</w:t>
      </w:r>
      <w:r w:rsidRPr="001861BE">
        <w:rPr>
          <w:sz w:val="20"/>
          <w:szCs w:val="20"/>
        </w:rPr>
        <w:t xml:space="preserve">, available at: </w:t>
      </w:r>
      <w:hyperlink r:id="rId5" w:tgtFrame="_blank" w:history="1">
        <w:r w:rsidRPr="001861BE">
          <w:rPr>
            <w:rStyle w:val="Hyperlink"/>
            <w:sz w:val="20"/>
            <w:szCs w:val="20"/>
          </w:rPr>
          <w:t>http://www.lease-advice.org/files/2016/07/</w:t>
        </w:r>
        <w:r w:rsidRPr="001861BE">
          <w:rPr>
            <w:rStyle w:val="il"/>
            <w:color w:val="0000FF"/>
            <w:sz w:val="20"/>
            <w:szCs w:val="20"/>
            <w:u w:val="single"/>
          </w:rPr>
          <w:t>Brady</w:t>
        </w:r>
        <w:r w:rsidRPr="001861BE">
          <w:rPr>
            <w:rStyle w:val="Hyperlink"/>
            <w:sz w:val="20"/>
            <w:szCs w:val="20"/>
          </w:rPr>
          <w:t>-Solicitors-in-partnership-with-LEASE-Leaseholder-Survey-June-16.pdf</w:t>
        </w:r>
      </w:hyperlink>
    </w:p>
  </w:footnote>
  <w:footnote w:id="78">
    <w:p w:rsidR="00EB4E5D" w:rsidRPr="00AA4F87" w:rsidRDefault="00EB4E5D" w:rsidP="00177423">
      <w:pPr>
        <w:spacing w:after="0" w:line="240" w:lineRule="auto"/>
        <w:contextualSpacing/>
        <w:rPr>
          <w:sz w:val="20"/>
        </w:rPr>
      </w:pPr>
      <w:r w:rsidRPr="00AA4F87">
        <w:rPr>
          <w:rStyle w:val="FootnoteReference"/>
          <w:sz w:val="20"/>
        </w:rPr>
        <w:footnoteRef/>
      </w:r>
      <w:r w:rsidRPr="00AA4F87">
        <w:rPr>
          <w:sz w:val="20"/>
        </w:rPr>
        <w:t xml:space="preserve"> </w:t>
      </w:r>
      <w:r w:rsidR="0089373D">
        <w:rPr>
          <w:sz w:val="20"/>
        </w:rPr>
        <w:t>n 32</w:t>
      </w:r>
      <w:r>
        <w:rPr>
          <w:sz w:val="20"/>
        </w:rPr>
        <w:t xml:space="preserve"> above.</w:t>
      </w:r>
    </w:p>
  </w:footnote>
  <w:footnote w:id="79">
    <w:p w:rsidR="00EB4E5D" w:rsidRPr="00AA4F87" w:rsidRDefault="00EB4E5D" w:rsidP="00177423">
      <w:pPr>
        <w:pStyle w:val="FootnoteText"/>
        <w:rPr>
          <w:sz w:val="20"/>
          <w:szCs w:val="20"/>
        </w:rPr>
      </w:pPr>
      <w:r w:rsidRPr="00AA4F87">
        <w:rPr>
          <w:rStyle w:val="FootnoteReference"/>
          <w:sz w:val="20"/>
          <w:szCs w:val="20"/>
        </w:rPr>
        <w:footnoteRef/>
      </w:r>
      <w:r w:rsidRPr="00AA4F87">
        <w:rPr>
          <w:sz w:val="20"/>
          <w:szCs w:val="20"/>
        </w:rPr>
        <w:t xml:space="preserve"> J</w:t>
      </w:r>
      <w:r>
        <w:rPr>
          <w:sz w:val="20"/>
          <w:szCs w:val="20"/>
        </w:rPr>
        <w:t>.</w:t>
      </w:r>
      <w:r w:rsidRPr="00AA4F87">
        <w:rPr>
          <w:sz w:val="20"/>
          <w:szCs w:val="20"/>
        </w:rPr>
        <w:t xml:space="preserve"> Black, ‘Decentring Regulation: Understanding the Role of Regulation and Self</w:t>
      </w:r>
      <w:r>
        <w:rPr>
          <w:sz w:val="20"/>
          <w:szCs w:val="20"/>
        </w:rPr>
        <w:t xml:space="preserve"> </w:t>
      </w:r>
      <w:r w:rsidRPr="00AA4F87">
        <w:rPr>
          <w:sz w:val="20"/>
          <w:szCs w:val="20"/>
        </w:rPr>
        <w:t>Regulation in a "Post-Regulatory" World</w:t>
      </w:r>
      <w:r>
        <w:rPr>
          <w:sz w:val="20"/>
          <w:szCs w:val="20"/>
        </w:rPr>
        <w:t>’</w:t>
      </w:r>
      <w:r w:rsidRPr="00AA4F87">
        <w:rPr>
          <w:sz w:val="20"/>
          <w:szCs w:val="20"/>
        </w:rPr>
        <w:t xml:space="preserve"> (2001) 54 </w:t>
      </w:r>
      <w:r w:rsidRPr="00A01245">
        <w:rPr>
          <w:i/>
          <w:sz w:val="20"/>
          <w:szCs w:val="20"/>
        </w:rPr>
        <w:t>Current Legal Problems</w:t>
      </w:r>
      <w:r w:rsidRPr="00AA4F87">
        <w:rPr>
          <w:sz w:val="20"/>
          <w:szCs w:val="20"/>
        </w:rPr>
        <w:t xml:space="preserve"> 103, 142.</w:t>
      </w:r>
    </w:p>
  </w:footnote>
  <w:footnote w:id="80">
    <w:p w:rsidR="00EB4E5D" w:rsidRPr="006E67AE" w:rsidRDefault="00EB4E5D">
      <w:pPr>
        <w:pStyle w:val="FootnoteText"/>
        <w:rPr>
          <w:sz w:val="20"/>
          <w:szCs w:val="20"/>
        </w:rPr>
      </w:pPr>
      <w:r w:rsidRPr="006A5BCB">
        <w:rPr>
          <w:rStyle w:val="FootnoteReference"/>
          <w:sz w:val="20"/>
          <w:szCs w:val="20"/>
        </w:rPr>
        <w:footnoteRef/>
      </w:r>
      <w:r>
        <w:t xml:space="preserve"> </w:t>
      </w:r>
      <w:r w:rsidRPr="00F10C2F">
        <w:rPr>
          <w:sz w:val="20"/>
          <w:szCs w:val="20"/>
        </w:rPr>
        <w:t>For example</w:t>
      </w:r>
      <w:r>
        <w:t xml:space="preserve"> </w:t>
      </w:r>
      <w:r w:rsidRPr="006E67AE">
        <w:rPr>
          <w:sz w:val="20"/>
          <w:szCs w:val="20"/>
        </w:rPr>
        <w:t>the licensing requirements applicable to houses in multiple occupation under the Housing Act 2004</w:t>
      </w:r>
      <w:r>
        <w:rPr>
          <w:sz w:val="20"/>
          <w:szCs w:val="20"/>
        </w:rPr>
        <w:t>,</w:t>
      </w:r>
      <w:r w:rsidRPr="006E67AE">
        <w:rPr>
          <w:sz w:val="20"/>
          <w:szCs w:val="20"/>
        </w:rPr>
        <w:t xml:space="preserve"> Part 2</w:t>
      </w:r>
      <w:r>
        <w:rPr>
          <w:sz w:val="20"/>
          <w:szCs w:val="20"/>
        </w:rPr>
        <w:t>,</w:t>
      </w:r>
      <w:r w:rsidRPr="006E67AE">
        <w:rPr>
          <w:sz w:val="20"/>
          <w:szCs w:val="20"/>
        </w:rPr>
        <w:t xml:space="preserve"> which </w:t>
      </w:r>
      <w:r>
        <w:rPr>
          <w:sz w:val="20"/>
          <w:szCs w:val="20"/>
        </w:rPr>
        <w:t xml:space="preserve">prescribe </w:t>
      </w:r>
      <w:r w:rsidRPr="006E67AE">
        <w:rPr>
          <w:sz w:val="20"/>
          <w:szCs w:val="20"/>
        </w:rPr>
        <w:t xml:space="preserve">detailed housing standards </w:t>
      </w:r>
      <w:r>
        <w:rPr>
          <w:sz w:val="20"/>
          <w:szCs w:val="20"/>
        </w:rPr>
        <w:t>for</w:t>
      </w:r>
      <w:r w:rsidRPr="006E67AE">
        <w:rPr>
          <w:sz w:val="20"/>
          <w:szCs w:val="20"/>
        </w:rPr>
        <w:t xml:space="preserve"> licensed properties</w:t>
      </w:r>
      <w:r>
        <w:rPr>
          <w:sz w:val="20"/>
          <w:szCs w:val="20"/>
        </w:rPr>
        <w:t>.</w:t>
      </w:r>
    </w:p>
  </w:footnote>
  <w:footnote w:id="81">
    <w:p w:rsidR="00EB4E5D" w:rsidRPr="00AA4F87" w:rsidRDefault="00EB4E5D" w:rsidP="00F65C23">
      <w:pPr>
        <w:pStyle w:val="FootnoteText"/>
        <w:rPr>
          <w:sz w:val="20"/>
          <w:szCs w:val="20"/>
        </w:rPr>
      </w:pPr>
      <w:r w:rsidRPr="00AA4F87">
        <w:rPr>
          <w:rStyle w:val="FootnoteReference"/>
          <w:sz w:val="20"/>
          <w:szCs w:val="20"/>
        </w:rPr>
        <w:footnoteRef/>
      </w:r>
      <w:r w:rsidRPr="00AA4F87">
        <w:rPr>
          <w:sz w:val="20"/>
          <w:szCs w:val="20"/>
        </w:rPr>
        <w:t xml:space="preserve"> I. Ayres &amp; J. Braithwaite, </w:t>
      </w:r>
      <w:r w:rsidRPr="00AA4F87">
        <w:rPr>
          <w:i/>
          <w:sz w:val="20"/>
          <w:szCs w:val="20"/>
        </w:rPr>
        <w:t>Responsive Regulation: Transcending the Deregulation Debate</w:t>
      </w:r>
      <w:r w:rsidRPr="00AA4F87">
        <w:rPr>
          <w:sz w:val="20"/>
          <w:szCs w:val="20"/>
        </w:rPr>
        <w:t xml:space="preserve"> (</w:t>
      </w:r>
      <w:r>
        <w:rPr>
          <w:sz w:val="20"/>
          <w:szCs w:val="20"/>
        </w:rPr>
        <w:t>New York:</w:t>
      </w:r>
      <w:r w:rsidRPr="00AA4F87">
        <w:rPr>
          <w:sz w:val="20"/>
          <w:szCs w:val="20"/>
        </w:rPr>
        <w:t xml:space="preserve"> O</w:t>
      </w:r>
      <w:r>
        <w:rPr>
          <w:sz w:val="20"/>
          <w:szCs w:val="20"/>
        </w:rPr>
        <w:t xml:space="preserve">xford </w:t>
      </w:r>
      <w:r w:rsidRPr="00AA4F87">
        <w:rPr>
          <w:sz w:val="20"/>
          <w:szCs w:val="20"/>
        </w:rPr>
        <w:t>U</w:t>
      </w:r>
      <w:r>
        <w:rPr>
          <w:sz w:val="20"/>
          <w:szCs w:val="20"/>
        </w:rPr>
        <w:t xml:space="preserve">niversity </w:t>
      </w:r>
      <w:r w:rsidRPr="00AA4F87">
        <w:rPr>
          <w:sz w:val="20"/>
          <w:szCs w:val="20"/>
        </w:rPr>
        <w:t>P</w:t>
      </w:r>
      <w:r>
        <w:rPr>
          <w:sz w:val="20"/>
          <w:szCs w:val="20"/>
        </w:rPr>
        <w:t>ress</w:t>
      </w:r>
      <w:r w:rsidRPr="00AA4F87">
        <w:rPr>
          <w:sz w:val="20"/>
          <w:szCs w:val="20"/>
        </w:rPr>
        <w:t>, 1992).</w:t>
      </w:r>
    </w:p>
  </w:footnote>
  <w:footnote w:id="82">
    <w:p w:rsidR="00EB4E5D" w:rsidRPr="00AA4F87" w:rsidRDefault="00EB4E5D" w:rsidP="00596970">
      <w:pPr>
        <w:pStyle w:val="FootnoteText"/>
        <w:rPr>
          <w:sz w:val="20"/>
          <w:szCs w:val="20"/>
        </w:rPr>
      </w:pPr>
      <w:r w:rsidRPr="00AA4F87">
        <w:rPr>
          <w:rStyle w:val="FootnoteReference"/>
          <w:sz w:val="20"/>
          <w:szCs w:val="20"/>
        </w:rPr>
        <w:footnoteRef/>
      </w:r>
      <w:r w:rsidRPr="00AA4F87">
        <w:rPr>
          <w:sz w:val="20"/>
          <w:szCs w:val="20"/>
        </w:rPr>
        <w:t xml:space="preserve"> D</w:t>
      </w:r>
      <w:r>
        <w:rPr>
          <w:sz w:val="20"/>
          <w:szCs w:val="20"/>
        </w:rPr>
        <w:t>.</w:t>
      </w:r>
      <w:r w:rsidRPr="00AA4F87">
        <w:rPr>
          <w:sz w:val="20"/>
          <w:szCs w:val="20"/>
        </w:rPr>
        <w:t xml:space="preserve"> Cowan, </w:t>
      </w:r>
      <w:r w:rsidRPr="004046EC">
        <w:rPr>
          <w:i/>
          <w:sz w:val="20"/>
          <w:szCs w:val="20"/>
        </w:rPr>
        <w:t>Housing Law and Policy</w:t>
      </w:r>
      <w:r w:rsidRPr="00AA4F87">
        <w:rPr>
          <w:sz w:val="20"/>
          <w:szCs w:val="20"/>
        </w:rPr>
        <w:t xml:space="preserve"> </w:t>
      </w:r>
      <w:r>
        <w:rPr>
          <w:sz w:val="20"/>
          <w:szCs w:val="20"/>
        </w:rPr>
        <w:t xml:space="preserve">(Cambridge: Cambridge University Press, 2011) </w:t>
      </w:r>
      <w:r w:rsidRPr="00AA4F87">
        <w:rPr>
          <w:sz w:val="20"/>
          <w:szCs w:val="20"/>
        </w:rPr>
        <w:t>11</w:t>
      </w:r>
      <w:r>
        <w:rPr>
          <w:sz w:val="20"/>
          <w:szCs w:val="20"/>
        </w:rPr>
        <w:t>.</w:t>
      </w:r>
    </w:p>
  </w:footnote>
  <w:footnote w:id="83">
    <w:p w:rsidR="00EB4E5D" w:rsidRPr="00AA4F87" w:rsidRDefault="00EB4E5D" w:rsidP="00F65C23">
      <w:pPr>
        <w:pStyle w:val="FootnoteText"/>
        <w:rPr>
          <w:sz w:val="20"/>
          <w:szCs w:val="20"/>
        </w:rPr>
      </w:pPr>
      <w:r w:rsidRPr="00AA4F87">
        <w:rPr>
          <w:rStyle w:val="FootnoteReference"/>
          <w:sz w:val="20"/>
          <w:szCs w:val="20"/>
        </w:rPr>
        <w:footnoteRef/>
      </w:r>
      <w:r w:rsidRPr="00AA4F87">
        <w:rPr>
          <w:sz w:val="20"/>
          <w:szCs w:val="20"/>
        </w:rPr>
        <w:t xml:space="preserve"> Y</w:t>
      </w:r>
      <w:r>
        <w:rPr>
          <w:sz w:val="20"/>
          <w:szCs w:val="20"/>
        </w:rPr>
        <w:t>.</w:t>
      </w:r>
      <w:r w:rsidRPr="00AA4F87">
        <w:rPr>
          <w:sz w:val="20"/>
          <w:szCs w:val="20"/>
        </w:rPr>
        <w:t xml:space="preserve"> Parag and K</w:t>
      </w:r>
      <w:r>
        <w:rPr>
          <w:sz w:val="20"/>
          <w:szCs w:val="20"/>
        </w:rPr>
        <w:t xml:space="preserve">. </w:t>
      </w:r>
      <w:r w:rsidRPr="00AA4F87">
        <w:rPr>
          <w:sz w:val="20"/>
          <w:szCs w:val="20"/>
        </w:rPr>
        <w:t>B</w:t>
      </w:r>
      <w:r>
        <w:rPr>
          <w:sz w:val="20"/>
          <w:szCs w:val="20"/>
        </w:rPr>
        <w:t>.</w:t>
      </w:r>
      <w:r w:rsidRPr="00AA4F87">
        <w:rPr>
          <w:sz w:val="20"/>
          <w:szCs w:val="20"/>
        </w:rPr>
        <w:t xml:space="preserve"> Janda, ‘More than Filler: Middle Actors and Socio-Technical Change in the Energy System from the Middle-Out’ (2014) 3 </w:t>
      </w:r>
      <w:r w:rsidRPr="00AA4F87">
        <w:rPr>
          <w:i/>
          <w:sz w:val="20"/>
          <w:szCs w:val="20"/>
        </w:rPr>
        <w:t xml:space="preserve">Energy Research and Social Science </w:t>
      </w:r>
      <w:r w:rsidRPr="00AA4F87">
        <w:rPr>
          <w:sz w:val="20"/>
          <w:szCs w:val="20"/>
        </w:rPr>
        <w:t>102.</w:t>
      </w:r>
    </w:p>
  </w:footnote>
  <w:footnote w:id="84">
    <w:p w:rsidR="00EB4E5D" w:rsidRPr="00AA4F87" w:rsidRDefault="00EB4E5D" w:rsidP="00F65C23">
      <w:pPr>
        <w:pStyle w:val="FootnoteText"/>
        <w:rPr>
          <w:sz w:val="20"/>
          <w:szCs w:val="20"/>
        </w:rPr>
      </w:pPr>
      <w:r w:rsidRPr="00AA4F87">
        <w:rPr>
          <w:rStyle w:val="FootnoteReference"/>
          <w:sz w:val="20"/>
          <w:szCs w:val="20"/>
        </w:rPr>
        <w:footnoteRef/>
      </w:r>
      <w:r w:rsidRPr="00AA4F87">
        <w:rPr>
          <w:sz w:val="20"/>
          <w:szCs w:val="20"/>
        </w:rPr>
        <w:t xml:space="preserve"> L</w:t>
      </w:r>
      <w:r>
        <w:rPr>
          <w:sz w:val="20"/>
          <w:szCs w:val="20"/>
        </w:rPr>
        <w:t>.</w:t>
      </w:r>
      <w:r w:rsidRPr="00AA4F87">
        <w:rPr>
          <w:sz w:val="20"/>
          <w:szCs w:val="20"/>
        </w:rPr>
        <w:t xml:space="preserve"> Salamon (ed)</w:t>
      </w:r>
      <w:r>
        <w:rPr>
          <w:sz w:val="20"/>
          <w:szCs w:val="20"/>
        </w:rPr>
        <w:t>,</w:t>
      </w:r>
      <w:r w:rsidRPr="00AA4F87">
        <w:rPr>
          <w:sz w:val="20"/>
          <w:szCs w:val="20"/>
        </w:rPr>
        <w:t xml:space="preserve"> </w:t>
      </w:r>
      <w:r w:rsidRPr="00AA4F87">
        <w:rPr>
          <w:i/>
          <w:sz w:val="20"/>
          <w:szCs w:val="20"/>
        </w:rPr>
        <w:t xml:space="preserve">The Tools of Government: A Guide to the New Governance </w:t>
      </w:r>
      <w:r w:rsidRPr="00A01245">
        <w:rPr>
          <w:sz w:val="20"/>
          <w:szCs w:val="20"/>
        </w:rPr>
        <w:t>(N</w:t>
      </w:r>
      <w:r w:rsidRPr="00AA4F87">
        <w:rPr>
          <w:sz w:val="20"/>
          <w:szCs w:val="20"/>
        </w:rPr>
        <w:t>ew York</w:t>
      </w:r>
      <w:r>
        <w:rPr>
          <w:sz w:val="20"/>
          <w:szCs w:val="20"/>
        </w:rPr>
        <w:t>: Oxford University Press,</w:t>
      </w:r>
      <w:r w:rsidRPr="00AA4F87">
        <w:rPr>
          <w:sz w:val="20"/>
          <w:szCs w:val="20"/>
        </w:rPr>
        <w:t xml:space="preserve"> 2002</w:t>
      </w:r>
      <w:r>
        <w:rPr>
          <w:sz w:val="20"/>
          <w:szCs w:val="20"/>
        </w:rPr>
        <w:t>)</w:t>
      </w:r>
      <w:r w:rsidRPr="00AA4F87">
        <w:rPr>
          <w:sz w:val="20"/>
          <w:szCs w:val="20"/>
        </w:rPr>
        <w:t>.</w:t>
      </w:r>
    </w:p>
  </w:footnote>
  <w:footnote w:id="85">
    <w:p w:rsidR="00EB4E5D" w:rsidRPr="004046EC" w:rsidRDefault="00EB4E5D" w:rsidP="00C6775E">
      <w:pPr>
        <w:pStyle w:val="FootnoteText"/>
        <w:rPr>
          <w:sz w:val="20"/>
          <w:szCs w:val="20"/>
        </w:rPr>
      </w:pPr>
      <w:r w:rsidRPr="00AA4F87">
        <w:rPr>
          <w:rStyle w:val="FootnoteReference"/>
          <w:sz w:val="20"/>
          <w:szCs w:val="20"/>
        </w:rPr>
        <w:footnoteRef/>
      </w:r>
      <w:r w:rsidRPr="00AA4F87">
        <w:rPr>
          <w:sz w:val="20"/>
          <w:szCs w:val="20"/>
        </w:rPr>
        <w:t xml:space="preserve"> </w:t>
      </w:r>
      <w:r>
        <w:rPr>
          <w:sz w:val="20"/>
          <w:szCs w:val="20"/>
        </w:rPr>
        <w:t xml:space="preserve">See the </w:t>
      </w:r>
      <w:r w:rsidRPr="00AA4F87">
        <w:rPr>
          <w:sz w:val="20"/>
          <w:szCs w:val="20"/>
        </w:rPr>
        <w:t>Energy Efficiency (Private Rented Property) (England and Wales) Regulations 2015</w:t>
      </w:r>
      <w:r>
        <w:rPr>
          <w:sz w:val="20"/>
          <w:szCs w:val="20"/>
        </w:rPr>
        <w:t xml:space="preserve">, which </w:t>
      </w:r>
      <w:r w:rsidRPr="004046EC">
        <w:rPr>
          <w:sz w:val="20"/>
          <w:szCs w:val="20"/>
        </w:rPr>
        <w:t>make it unlawful to let properties that fail to achieve a prescribed minimum energy efficiency standard</w:t>
      </w:r>
      <w:r>
        <w:rPr>
          <w:sz w:val="20"/>
          <w:szCs w:val="20"/>
        </w:rPr>
        <w:t>.</w:t>
      </w:r>
    </w:p>
  </w:footnote>
  <w:footnote w:id="86">
    <w:p w:rsidR="00EB4E5D" w:rsidRPr="00AA4F87" w:rsidRDefault="00EB4E5D" w:rsidP="0006700B">
      <w:pPr>
        <w:pStyle w:val="FootnoteText"/>
        <w:rPr>
          <w:sz w:val="20"/>
          <w:szCs w:val="20"/>
        </w:rPr>
      </w:pPr>
      <w:r w:rsidRPr="00AA4F87">
        <w:rPr>
          <w:rStyle w:val="FootnoteReference"/>
          <w:sz w:val="20"/>
          <w:szCs w:val="20"/>
        </w:rPr>
        <w:footnoteRef/>
      </w:r>
      <w:r w:rsidRPr="00AA4F87">
        <w:rPr>
          <w:sz w:val="20"/>
          <w:szCs w:val="20"/>
        </w:rPr>
        <w:t xml:space="preserve"> </w:t>
      </w:r>
      <w:r w:rsidR="0089373D" w:rsidRPr="00AA4F87">
        <w:rPr>
          <w:sz w:val="20"/>
        </w:rPr>
        <w:t>K</w:t>
      </w:r>
      <w:r w:rsidR="0089373D">
        <w:rPr>
          <w:sz w:val="20"/>
        </w:rPr>
        <w:t>.</w:t>
      </w:r>
      <w:r w:rsidR="0089373D" w:rsidRPr="00AA4F87">
        <w:rPr>
          <w:sz w:val="20"/>
        </w:rPr>
        <w:t xml:space="preserve"> B. Janda, S</w:t>
      </w:r>
      <w:r w:rsidR="0089373D">
        <w:rPr>
          <w:sz w:val="20"/>
        </w:rPr>
        <w:t>.</w:t>
      </w:r>
      <w:r w:rsidR="0089373D" w:rsidRPr="00AA4F87">
        <w:rPr>
          <w:sz w:val="20"/>
        </w:rPr>
        <w:t xml:space="preserve"> Bright, J</w:t>
      </w:r>
      <w:r w:rsidR="0089373D">
        <w:rPr>
          <w:sz w:val="20"/>
        </w:rPr>
        <w:t>.</w:t>
      </w:r>
      <w:r w:rsidR="0089373D" w:rsidRPr="00AA4F87">
        <w:rPr>
          <w:sz w:val="20"/>
        </w:rPr>
        <w:t xml:space="preserve"> Patrick, S</w:t>
      </w:r>
      <w:r w:rsidR="0089373D">
        <w:rPr>
          <w:sz w:val="20"/>
        </w:rPr>
        <w:t>.</w:t>
      </w:r>
      <w:r w:rsidR="0089373D" w:rsidRPr="00AA4F87">
        <w:rPr>
          <w:sz w:val="20"/>
        </w:rPr>
        <w:t xml:space="preserve"> Wilkinson &amp; T</w:t>
      </w:r>
      <w:r w:rsidR="0089373D">
        <w:rPr>
          <w:sz w:val="20"/>
        </w:rPr>
        <w:t>.</w:t>
      </w:r>
      <w:r w:rsidR="0089373D" w:rsidRPr="00AA4F87">
        <w:rPr>
          <w:sz w:val="20"/>
        </w:rPr>
        <w:t xml:space="preserve"> J. Dixon (2016) </w:t>
      </w:r>
      <w:r w:rsidR="0089373D">
        <w:rPr>
          <w:sz w:val="20"/>
        </w:rPr>
        <w:t>‘</w:t>
      </w:r>
      <w:r w:rsidR="0089373D" w:rsidRPr="00AA4F87">
        <w:rPr>
          <w:sz w:val="20"/>
        </w:rPr>
        <w:t>The evolution of green leases: towards inter-organizational environmental governance</w:t>
      </w:r>
      <w:r w:rsidR="0089373D">
        <w:rPr>
          <w:sz w:val="20"/>
        </w:rPr>
        <w:t>’</w:t>
      </w:r>
      <w:r w:rsidR="0089373D" w:rsidRPr="00AA4F87">
        <w:rPr>
          <w:sz w:val="20"/>
        </w:rPr>
        <w:t xml:space="preserve">, </w:t>
      </w:r>
      <w:r w:rsidR="0089373D">
        <w:rPr>
          <w:sz w:val="20"/>
        </w:rPr>
        <w:t xml:space="preserve">44 </w:t>
      </w:r>
      <w:r w:rsidR="0089373D" w:rsidRPr="006A5BCB">
        <w:rPr>
          <w:i/>
          <w:sz w:val="20"/>
        </w:rPr>
        <w:t>Building Research &amp; Information</w:t>
      </w:r>
      <w:r w:rsidR="0089373D">
        <w:rPr>
          <w:i/>
          <w:sz w:val="20"/>
        </w:rPr>
        <w:t xml:space="preserve"> </w:t>
      </w:r>
      <w:r w:rsidR="0089373D">
        <w:rPr>
          <w:sz w:val="20"/>
        </w:rPr>
        <w:t>660</w:t>
      </w:r>
      <w:r w:rsidR="008F205E">
        <w:rPr>
          <w:sz w:val="20"/>
        </w:rPr>
        <w:t>, 667</w:t>
      </w:r>
      <w:r>
        <w:rPr>
          <w:sz w:val="20"/>
          <w:szCs w:val="20"/>
        </w:rPr>
        <w:t xml:space="preserve">. </w:t>
      </w:r>
    </w:p>
  </w:footnote>
  <w:footnote w:id="87">
    <w:p w:rsidR="00EB4E5D" w:rsidRPr="00AA4F87" w:rsidRDefault="00EB4E5D" w:rsidP="0006700B">
      <w:pPr>
        <w:spacing w:after="0" w:line="240" w:lineRule="auto"/>
        <w:rPr>
          <w:sz w:val="20"/>
        </w:rPr>
      </w:pPr>
      <w:r w:rsidRPr="00AA4F87">
        <w:rPr>
          <w:rStyle w:val="FootnoteReference"/>
          <w:sz w:val="20"/>
        </w:rPr>
        <w:footnoteRef/>
      </w:r>
      <w:r w:rsidRPr="00AA4F87">
        <w:rPr>
          <w:sz w:val="20"/>
        </w:rPr>
        <w:t xml:space="preserve">  </w:t>
      </w:r>
      <w:r w:rsidR="008F205E">
        <w:rPr>
          <w:sz w:val="20"/>
        </w:rPr>
        <w:t>Ibid 665.</w:t>
      </w:r>
    </w:p>
  </w:footnote>
  <w:footnote w:id="88">
    <w:p w:rsidR="00EB4E5D" w:rsidRPr="00AA4F87" w:rsidRDefault="00EB4E5D" w:rsidP="003B2B95">
      <w:pPr>
        <w:pStyle w:val="FootnoteText"/>
        <w:rPr>
          <w:sz w:val="20"/>
          <w:szCs w:val="20"/>
        </w:rPr>
      </w:pPr>
      <w:r w:rsidRPr="00AA4F87">
        <w:rPr>
          <w:rStyle w:val="FootnoteReference"/>
          <w:sz w:val="20"/>
          <w:szCs w:val="20"/>
        </w:rPr>
        <w:footnoteRef/>
      </w:r>
      <w:r w:rsidRPr="00AA4F87">
        <w:rPr>
          <w:sz w:val="20"/>
          <w:szCs w:val="20"/>
        </w:rPr>
        <w:t xml:space="preserve"> Law of Property Act 1925, s</w:t>
      </w:r>
      <w:r>
        <w:rPr>
          <w:sz w:val="20"/>
          <w:szCs w:val="20"/>
        </w:rPr>
        <w:t xml:space="preserve"> </w:t>
      </w:r>
      <w:r w:rsidRPr="00AA4F87">
        <w:rPr>
          <w:sz w:val="20"/>
          <w:szCs w:val="20"/>
        </w:rPr>
        <w:t>87(1).</w:t>
      </w:r>
    </w:p>
  </w:footnote>
  <w:footnote w:id="89">
    <w:p w:rsidR="00EB4E5D" w:rsidRPr="00AA4F87" w:rsidRDefault="00EB4E5D" w:rsidP="003B2B95">
      <w:pPr>
        <w:pStyle w:val="FootnoteText"/>
        <w:rPr>
          <w:sz w:val="20"/>
          <w:szCs w:val="20"/>
        </w:rPr>
      </w:pPr>
      <w:r w:rsidRPr="00AA4F87">
        <w:rPr>
          <w:rStyle w:val="FootnoteReference"/>
          <w:sz w:val="20"/>
          <w:szCs w:val="20"/>
        </w:rPr>
        <w:footnoteRef/>
      </w:r>
      <w:r w:rsidRPr="00AA4F87">
        <w:rPr>
          <w:sz w:val="20"/>
          <w:szCs w:val="20"/>
        </w:rPr>
        <w:t xml:space="preserve"> </w:t>
      </w:r>
      <w:r w:rsidRPr="00AA4F87">
        <w:rPr>
          <w:i/>
          <w:sz w:val="20"/>
          <w:szCs w:val="20"/>
        </w:rPr>
        <w:t xml:space="preserve">Four-Maids Ltd v Dudley Marshall (Properties) Ltd </w:t>
      </w:r>
      <w:r w:rsidRPr="00AA4F87">
        <w:rPr>
          <w:sz w:val="20"/>
          <w:szCs w:val="20"/>
        </w:rPr>
        <w:t>[1957] Ch 317</w:t>
      </w:r>
      <w:r>
        <w:rPr>
          <w:sz w:val="20"/>
          <w:szCs w:val="20"/>
        </w:rPr>
        <w:t xml:space="preserve">, </w:t>
      </w:r>
      <w:r w:rsidRPr="00AA4F87">
        <w:rPr>
          <w:sz w:val="20"/>
          <w:szCs w:val="20"/>
        </w:rPr>
        <w:t xml:space="preserve">320 </w:t>
      </w:r>
      <w:r>
        <w:rPr>
          <w:sz w:val="20"/>
          <w:szCs w:val="20"/>
        </w:rPr>
        <w:t>[Harman J].</w:t>
      </w:r>
      <w:r w:rsidRPr="00AA4F87">
        <w:rPr>
          <w:sz w:val="20"/>
          <w:szCs w:val="20"/>
        </w:rPr>
        <w:t xml:space="preserve"> </w:t>
      </w:r>
    </w:p>
  </w:footnote>
  <w:footnote w:id="90">
    <w:p w:rsidR="00EB4E5D" w:rsidRPr="00AA4F87" w:rsidRDefault="00EB4E5D" w:rsidP="003B2B95">
      <w:pPr>
        <w:pStyle w:val="FootnoteText"/>
        <w:rPr>
          <w:sz w:val="20"/>
          <w:szCs w:val="20"/>
        </w:rPr>
      </w:pPr>
      <w:r w:rsidRPr="00AA4F87">
        <w:rPr>
          <w:rStyle w:val="FootnoteReference"/>
          <w:sz w:val="20"/>
          <w:szCs w:val="20"/>
        </w:rPr>
        <w:footnoteRef/>
      </w:r>
      <w:r w:rsidRPr="00AA4F87">
        <w:rPr>
          <w:sz w:val="20"/>
          <w:szCs w:val="20"/>
        </w:rPr>
        <w:t xml:space="preserve"> Eg to account for what the mortgagee ought to have received</w:t>
      </w:r>
      <w:r>
        <w:rPr>
          <w:sz w:val="20"/>
          <w:szCs w:val="20"/>
        </w:rPr>
        <w:t>,</w:t>
      </w:r>
      <w:r w:rsidRPr="00AA4F87">
        <w:rPr>
          <w:sz w:val="20"/>
          <w:szCs w:val="20"/>
        </w:rPr>
        <w:t xml:space="preserve"> see </w:t>
      </w:r>
      <w:r w:rsidRPr="00AA4F87">
        <w:rPr>
          <w:i/>
          <w:sz w:val="20"/>
          <w:szCs w:val="20"/>
        </w:rPr>
        <w:t xml:space="preserve">White v City of London Brewery </w:t>
      </w:r>
      <w:r w:rsidRPr="00AA4F87">
        <w:rPr>
          <w:sz w:val="20"/>
          <w:szCs w:val="20"/>
        </w:rPr>
        <w:t>(1889) 42 Ch D 237.</w:t>
      </w:r>
    </w:p>
  </w:footnote>
  <w:footnote w:id="91">
    <w:p w:rsidR="00EB4E5D" w:rsidRPr="00AA4F87" w:rsidRDefault="00EB4E5D" w:rsidP="003B2B95">
      <w:pPr>
        <w:spacing w:after="0" w:line="240" w:lineRule="auto"/>
        <w:rPr>
          <w:sz w:val="20"/>
        </w:rPr>
      </w:pPr>
      <w:r w:rsidRPr="00AA4F87">
        <w:rPr>
          <w:rStyle w:val="FootnoteReference"/>
          <w:sz w:val="20"/>
        </w:rPr>
        <w:footnoteRef/>
      </w:r>
      <w:r w:rsidRPr="00AA4F87">
        <w:rPr>
          <w:sz w:val="20"/>
        </w:rPr>
        <w:t xml:space="preserve"> </w:t>
      </w:r>
      <w:r w:rsidRPr="00AA4F87">
        <w:rPr>
          <w:i/>
          <w:sz w:val="20"/>
        </w:rPr>
        <w:t xml:space="preserve">Quennell v Maltby </w:t>
      </w:r>
      <w:r w:rsidRPr="00AA4F87">
        <w:rPr>
          <w:sz w:val="20"/>
        </w:rPr>
        <w:t>[1979] 1 WLR 318.</w:t>
      </w:r>
    </w:p>
  </w:footnote>
  <w:footnote w:id="92">
    <w:p w:rsidR="00EB4E5D" w:rsidRPr="00983C76" w:rsidRDefault="00EB4E5D" w:rsidP="003B2B95">
      <w:pPr>
        <w:pStyle w:val="FootnoteText"/>
        <w:rPr>
          <w:sz w:val="20"/>
          <w:szCs w:val="20"/>
        </w:rPr>
      </w:pPr>
      <w:r w:rsidRPr="00AA4F87">
        <w:rPr>
          <w:rStyle w:val="FootnoteReference"/>
          <w:sz w:val="20"/>
          <w:szCs w:val="20"/>
        </w:rPr>
        <w:footnoteRef/>
      </w:r>
      <w:r w:rsidRPr="00AA4F87">
        <w:rPr>
          <w:sz w:val="20"/>
          <w:szCs w:val="20"/>
        </w:rPr>
        <w:t xml:space="preserve"> </w:t>
      </w:r>
      <w:r w:rsidRPr="00BD72D8">
        <w:rPr>
          <w:sz w:val="20"/>
          <w:szCs w:val="20"/>
        </w:rPr>
        <w:t xml:space="preserve">Financial Conduct Authority, </w:t>
      </w:r>
      <w:r w:rsidRPr="00110299">
        <w:rPr>
          <w:i/>
          <w:sz w:val="20"/>
          <w:szCs w:val="20"/>
        </w:rPr>
        <w:t>Handbook</w:t>
      </w:r>
      <w:r>
        <w:rPr>
          <w:sz w:val="20"/>
          <w:szCs w:val="20"/>
        </w:rPr>
        <w:t>,</w:t>
      </w:r>
      <w:r w:rsidRPr="00BD72D8">
        <w:rPr>
          <w:sz w:val="20"/>
          <w:szCs w:val="20"/>
        </w:rPr>
        <w:t xml:space="preserve"> </w:t>
      </w:r>
      <w:r>
        <w:rPr>
          <w:sz w:val="20"/>
          <w:szCs w:val="20"/>
        </w:rPr>
        <w:t xml:space="preserve">The Principles para. </w:t>
      </w:r>
      <w:r w:rsidRPr="00153090">
        <w:rPr>
          <w:sz w:val="20"/>
          <w:szCs w:val="20"/>
          <w:lang w:val="da-DK"/>
        </w:rPr>
        <w:t xml:space="preserve">2.1.6, at </w:t>
      </w:r>
      <w:hyperlink r:id="rId6" w:history="1">
        <w:r w:rsidRPr="00153090">
          <w:rPr>
            <w:rStyle w:val="Hyperlink"/>
            <w:sz w:val="20"/>
            <w:szCs w:val="20"/>
            <w:lang w:val="da-DK"/>
          </w:rPr>
          <w:t>https://www.handbook.fca.org.uk/handbook/PRIN/Sch/6/6.html</w:t>
        </w:r>
      </w:hyperlink>
      <w:r w:rsidRPr="00153090">
        <w:rPr>
          <w:sz w:val="20"/>
          <w:szCs w:val="20"/>
          <w:lang w:val="da-DK"/>
        </w:rPr>
        <w:t xml:space="preserve">. </w:t>
      </w:r>
      <w:r w:rsidRPr="00BD72D8">
        <w:rPr>
          <w:sz w:val="20"/>
          <w:szCs w:val="20"/>
        </w:rPr>
        <w:t xml:space="preserve">This handbook </w:t>
      </w:r>
      <w:r>
        <w:rPr>
          <w:sz w:val="20"/>
          <w:szCs w:val="20"/>
        </w:rPr>
        <w:t>was first</w:t>
      </w:r>
      <w:r w:rsidRPr="00BD72D8">
        <w:rPr>
          <w:sz w:val="20"/>
          <w:szCs w:val="20"/>
        </w:rPr>
        <w:t xml:space="preserve"> published by the FCA in </w:t>
      </w:r>
      <w:r>
        <w:rPr>
          <w:sz w:val="20"/>
          <w:szCs w:val="20"/>
        </w:rPr>
        <w:t xml:space="preserve">2003, in </w:t>
      </w:r>
      <w:r w:rsidRPr="00BD72D8">
        <w:rPr>
          <w:sz w:val="20"/>
          <w:szCs w:val="20"/>
        </w:rPr>
        <w:t>consultation with industry and consumer groups</w:t>
      </w:r>
      <w:r>
        <w:rPr>
          <w:sz w:val="20"/>
          <w:szCs w:val="20"/>
        </w:rPr>
        <w:t>,</w:t>
      </w:r>
      <w:r w:rsidRPr="00BD72D8">
        <w:rPr>
          <w:sz w:val="20"/>
          <w:szCs w:val="20"/>
        </w:rPr>
        <w:t xml:space="preserve"> pursuant to the FMSA 2000</w:t>
      </w:r>
      <w:r>
        <w:rPr>
          <w:sz w:val="20"/>
          <w:szCs w:val="20"/>
        </w:rPr>
        <w:t>.</w:t>
      </w:r>
    </w:p>
  </w:footnote>
  <w:footnote w:id="93">
    <w:p w:rsidR="00EB4E5D" w:rsidRPr="00117B47" w:rsidRDefault="00EB4E5D">
      <w:pPr>
        <w:pStyle w:val="FootnoteText"/>
        <w:rPr>
          <w:sz w:val="20"/>
          <w:szCs w:val="20"/>
          <w:lang w:val="en-US"/>
        </w:rPr>
      </w:pPr>
      <w:r w:rsidRPr="00117B47">
        <w:rPr>
          <w:rStyle w:val="FootnoteReference"/>
          <w:sz w:val="20"/>
          <w:szCs w:val="20"/>
        </w:rPr>
        <w:footnoteRef/>
      </w:r>
      <w:r w:rsidRPr="00117B47">
        <w:rPr>
          <w:sz w:val="20"/>
          <w:szCs w:val="20"/>
        </w:rPr>
        <w:t xml:space="preserve"> </w:t>
      </w:r>
      <w:r w:rsidRPr="00117B47">
        <w:rPr>
          <w:sz w:val="20"/>
          <w:szCs w:val="20"/>
          <w:lang w:val="en-US"/>
        </w:rPr>
        <w:t xml:space="preserve">See </w:t>
      </w:r>
      <w:hyperlink r:id="rId7" w:history="1">
        <w:r w:rsidRPr="00C16913">
          <w:rPr>
            <w:rStyle w:val="Hyperlink"/>
            <w:sz w:val="20"/>
            <w:szCs w:val="20"/>
            <w:lang w:val="en-US"/>
          </w:rPr>
          <w:t>https://www.fca.org.uk/firms/fair-treatment-customers</w:t>
        </w:r>
      </w:hyperlink>
      <w:r>
        <w:rPr>
          <w:sz w:val="20"/>
          <w:szCs w:val="20"/>
          <w:lang w:val="en-US"/>
        </w:rPr>
        <w:t xml:space="preserve"> viewed 9 April 2017.</w:t>
      </w:r>
    </w:p>
  </w:footnote>
  <w:footnote w:id="94">
    <w:p w:rsidR="00EB4E5D" w:rsidRPr="000115EE" w:rsidRDefault="00EB4E5D" w:rsidP="003B2B95">
      <w:pPr>
        <w:pStyle w:val="FootnoteText"/>
        <w:rPr>
          <w:sz w:val="20"/>
          <w:szCs w:val="20"/>
        </w:rPr>
      </w:pPr>
      <w:r w:rsidRPr="000115EE">
        <w:rPr>
          <w:rStyle w:val="FootnoteReference"/>
          <w:sz w:val="20"/>
          <w:szCs w:val="20"/>
        </w:rPr>
        <w:footnoteRef/>
      </w:r>
      <w:r w:rsidRPr="000115EE">
        <w:rPr>
          <w:sz w:val="20"/>
          <w:szCs w:val="20"/>
        </w:rPr>
        <w:t xml:space="preserve"> </w:t>
      </w:r>
      <w:r w:rsidRPr="00BD72D8">
        <w:rPr>
          <w:sz w:val="20"/>
          <w:szCs w:val="20"/>
        </w:rPr>
        <w:t xml:space="preserve">Financial Conduct Authority, </w:t>
      </w:r>
      <w:r w:rsidRPr="00110299">
        <w:rPr>
          <w:i/>
          <w:sz w:val="20"/>
          <w:szCs w:val="20"/>
        </w:rPr>
        <w:t>Handbook</w:t>
      </w:r>
      <w:r>
        <w:rPr>
          <w:sz w:val="20"/>
          <w:szCs w:val="20"/>
        </w:rPr>
        <w:t xml:space="preserve">, MCOB, at </w:t>
      </w:r>
      <w:r w:rsidRPr="0079288B">
        <w:rPr>
          <w:sz w:val="20"/>
          <w:szCs w:val="20"/>
        </w:rPr>
        <w:t>https://www.handbook.fca.org.uk/handbook/MCOB/13/?view=chapter</w:t>
      </w:r>
      <w:r>
        <w:rPr>
          <w:sz w:val="20"/>
          <w:szCs w:val="20"/>
        </w:rPr>
        <w:t>.</w:t>
      </w:r>
    </w:p>
  </w:footnote>
  <w:footnote w:id="95">
    <w:p w:rsidR="00EB4E5D" w:rsidRPr="00AA4F87" w:rsidRDefault="00EB4E5D" w:rsidP="003B2B95">
      <w:pPr>
        <w:pStyle w:val="FootnoteText"/>
        <w:rPr>
          <w:sz w:val="20"/>
          <w:szCs w:val="20"/>
          <w:lang w:val="en-US"/>
        </w:rPr>
      </w:pPr>
      <w:r w:rsidRPr="000115EE">
        <w:rPr>
          <w:rStyle w:val="FootnoteReference"/>
          <w:sz w:val="20"/>
          <w:szCs w:val="20"/>
        </w:rPr>
        <w:footnoteRef/>
      </w:r>
      <w:r w:rsidRPr="000115EE">
        <w:rPr>
          <w:sz w:val="20"/>
          <w:szCs w:val="20"/>
        </w:rPr>
        <w:t xml:space="preserve"> </w:t>
      </w:r>
      <w:r>
        <w:rPr>
          <w:sz w:val="20"/>
          <w:szCs w:val="20"/>
          <w:lang w:val="en-US"/>
        </w:rPr>
        <w:t xml:space="preserve">ibid para. </w:t>
      </w:r>
      <w:r w:rsidRPr="000115EE">
        <w:rPr>
          <w:sz w:val="20"/>
          <w:szCs w:val="20"/>
          <w:lang w:val="en-US"/>
        </w:rPr>
        <w:t>13.3.2A (6).</w:t>
      </w:r>
    </w:p>
  </w:footnote>
  <w:footnote w:id="96">
    <w:p w:rsidR="00EB4E5D" w:rsidRPr="00AA4F87" w:rsidRDefault="00EB4E5D" w:rsidP="00245DF6">
      <w:pPr>
        <w:pStyle w:val="FootnoteText"/>
        <w:rPr>
          <w:sz w:val="20"/>
          <w:szCs w:val="20"/>
        </w:rPr>
      </w:pPr>
      <w:r w:rsidRPr="00AA4F87">
        <w:rPr>
          <w:rStyle w:val="FootnoteReference"/>
          <w:sz w:val="20"/>
          <w:szCs w:val="20"/>
        </w:rPr>
        <w:footnoteRef/>
      </w:r>
      <w:r w:rsidRPr="00AA4F87">
        <w:rPr>
          <w:sz w:val="20"/>
          <w:szCs w:val="20"/>
        </w:rPr>
        <w:t xml:space="preserve"> </w:t>
      </w:r>
      <w:r>
        <w:rPr>
          <w:sz w:val="20"/>
          <w:szCs w:val="20"/>
        </w:rPr>
        <w:t xml:space="preserve">See </w:t>
      </w:r>
      <w:r w:rsidRPr="00245DF6">
        <w:rPr>
          <w:i/>
          <w:sz w:val="20"/>
          <w:szCs w:val="20"/>
        </w:rPr>
        <w:t>Pre-action Protocol on Possession Actions based upon Mortgage or Home Purchase Plan Arrears in Respect of Residential Property</w:t>
      </w:r>
      <w:r>
        <w:rPr>
          <w:sz w:val="20"/>
          <w:szCs w:val="20"/>
        </w:rPr>
        <w:t xml:space="preserve">, </w:t>
      </w:r>
      <w:r w:rsidRPr="00AA4F87">
        <w:rPr>
          <w:sz w:val="20"/>
          <w:szCs w:val="20"/>
        </w:rPr>
        <w:t xml:space="preserve">at </w:t>
      </w:r>
      <w:hyperlink r:id="rId8" w:history="1">
        <w:r w:rsidRPr="00AA4F87">
          <w:rPr>
            <w:rStyle w:val="Hyperlink"/>
            <w:sz w:val="20"/>
            <w:szCs w:val="20"/>
          </w:rPr>
          <w:t>http://www.justice.gov.uk/courts/procedure-rules/civil/protocol/prot_mha</w:t>
        </w:r>
      </w:hyperlink>
      <w:r>
        <w:rPr>
          <w:rStyle w:val="Hyperlink"/>
          <w:sz w:val="20"/>
          <w:szCs w:val="20"/>
        </w:rPr>
        <w:t>.</w:t>
      </w:r>
    </w:p>
  </w:footnote>
  <w:footnote w:id="97">
    <w:p w:rsidR="00EB4E5D" w:rsidRPr="00AA4F87" w:rsidRDefault="00EB4E5D" w:rsidP="003B2B95">
      <w:pPr>
        <w:pStyle w:val="FootnoteText"/>
        <w:rPr>
          <w:sz w:val="20"/>
          <w:szCs w:val="20"/>
        </w:rPr>
      </w:pPr>
      <w:r w:rsidRPr="00AA4F87">
        <w:rPr>
          <w:rStyle w:val="FootnoteReference"/>
          <w:sz w:val="20"/>
          <w:szCs w:val="20"/>
        </w:rPr>
        <w:footnoteRef/>
      </w:r>
      <w:r w:rsidRPr="00AA4F87">
        <w:rPr>
          <w:sz w:val="20"/>
          <w:szCs w:val="20"/>
        </w:rPr>
        <w:t xml:space="preserve"> </w:t>
      </w:r>
      <w:r w:rsidRPr="00B75A9E">
        <w:rPr>
          <w:sz w:val="20"/>
          <w:szCs w:val="20"/>
        </w:rPr>
        <w:t>Administration of Justice Act 1970, s 36</w:t>
      </w:r>
      <w:r>
        <w:rPr>
          <w:sz w:val="20"/>
          <w:szCs w:val="20"/>
        </w:rPr>
        <w:t xml:space="preserve">; </w:t>
      </w:r>
      <w:r w:rsidRPr="00AA4F87">
        <w:rPr>
          <w:i/>
          <w:sz w:val="20"/>
          <w:szCs w:val="20"/>
        </w:rPr>
        <w:t xml:space="preserve">Cheltenham &amp; Gloucester BS v Norgan </w:t>
      </w:r>
      <w:r w:rsidRPr="00AA4F87">
        <w:rPr>
          <w:sz w:val="20"/>
          <w:szCs w:val="20"/>
        </w:rPr>
        <w:t xml:space="preserve">[1996] 1 WLR </w:t>
      </w:r>
      <w:r>
        <w:rPr>
          <w:sz w:val="20"/>
          <w:szCs w:val="20"/>
        </w:rPr>
        <w:t>343</w:t>
      </w:r>
      <w:r w:rsidRPr="00AA4F87">
        <w:rPr>
          <w:sz w:val="20"/>
          <w:szCs w:val="20"/>
        </w:rPr>
        <w:t>.</w:t>
      </w:r>
    </w:p>
  </w:footnote>
  <w:footnote w:id="98">
    <w:p w:rsidR="00EB4E5D" w:rsidRPr="00A417EE" w:rsidRDefault="00EB4E5D">
      <w:pPr>
        <w:pStyle w:val="FootnoteText"/>
        <w:rPr>
          <w:sz w:val="20"/>
          <w:szCs w:val="20"/>
          <w:lang w:val="en-US"/>
        </w:rPr>
      </w:pPr>
      <w:r w:rsidRPr="00A417EE">
        <w:rPr>
          <w:rStyle w:val="FootnoteReference"/>
          <w:sz w:val="20"/>
          <w:szCs w:val="20"/>
        </w:rPr>
        <w:footnoteRef/>
      </w:r>
      <w:r w:rsidRPr="00A417EE">
        <w:rPr>
          <w:sz w:val="20"/>
          <w:szCs w:val="20"/>
        </w:rPr>
        <w:t xml:space="preserve"> </w:t>
      </w:r>
      <w:r>
        <w:rPr>
          <w:sz w:val="20"/>
          <w:szCs w:val="20"/>
        </w:rPr>
        <w:t>For example s</w:t>
      </w:r>
      <w:r w:rsidRPr="00A417EE">
        <w:rPr>
          <w:sz w:val="20"/>
          <w:szCs w:val="20"/>
        </w:rPr>
        <w:t>ee CML, Guidance to Members – the Role of LPA Receivers (2014).</w:t>
      </w:r>
    </w:p>
  </w:footnote>
  <w:footnote w:id="99">
    <w:p w:rsidR="00EB4E5D" w:rsidRPr="00A417EE" w:rsidRDefault="00EB4E5D" w:rsidP="00D83E09">
      <w:pPr>
        <w:pStyle w:val="FootnoteText"/>
        <w:rPr>
          <w:sz w:val="20"/>
          <w:szCs w:val="20"/>
          <w:lang w:val="en-US"/>
        </w:rPr>
      </w:pPr>
      <w:r w:rsidRPr="00A417EE">
        <w:rPr>
          <w:rStyle w:val="FootnoteReference"/>
          <w:sz w:val="20"/>
          <w:szCs w:val="20"/>
        </w:rPr>
        <w:footnoteRef/>
      </w:r>
      <w:r w:rsidRPr="00A417EE">
        <w:rPr>
          <w:sz w:val="20"/>
          <w:szCs w:val="20"/>
        </w:rPr>
        <w:t xml:space="preserve"> A. Wallace, ‘Feeling like I’m doing it on my own: Examining the Synchronicity between Policy Responses and the Circumstances and Experiences of Mortgage Borrowers in Arrears’ (2012) 11 Social Policy and Society 117 and S. Bright &amp; L. Whitehouse, </w:t>
      </w:r>
      <w:r w:rsidRPr="00A417EE">
        <w:rPr>
          <w:i/>
          <w:sz w:val="20"/>
          <w:szCs w:val="20"/>
        </w:rPr>
        <w:t>Information, Advice and Representation in Housing Possession Cases</w:t>
      </w:r>
      <w:r w:rsidRPr="00A417EE">
        <w:rPr>
          <w:sz w:val="20"/>
          <w:szCs w:val="20"/>
        </w:rPr>
        <w:t xml:space="preserve"> (Universities of Oxford &amp; Hull 2014).</w:t>
      </w:r>
      <w:r w:rsidRPr="00A417EE">
        <w:t xml:space="preserve"> </w:t>
      </w:r>
      <w:r w:rsidRPr="00A417EE">
        <w:rPr>
          <w:sz w:val="20"/>
          <w:szCs w:val="20"/>
        </w:rPr>
        <w:t xml:space="preserve">Even the FCA acknowledges this variable </w:t>
      </w:r>
      <w:r>
        <w:rPr>
          <w:sz w:val="20"/>
          <w:szCs w:val="20"/>
        </w:rPr>
        <w:t xml:space="preserve">experience </w:t>
      </w:r>
      <w:r w:rsidRPr="00A417EE">
        <w:rPr>
          <w:sz w:val="20"/>
          <w:szCs w:val="20"/>
        </w:rPr>
        <w:t>see</w:t>
      </w:r>
      <w:r w:rsidRPr="00A417EE">
        <w:rPr>
          <w:rFonts w:asciiTheme="majorBidi" w:hAnsiTheme="majorBidi" w:cstheme="majorBidi"/>
          <w:sz w:val="20"/>
          <w:szCs w:val="20"/>
        </w:rPr>
        <w:t xml:space="preserve"> FCA, Mortgage lenders’ arrears management and forbearance</w:t>
      </w:r>
      <w:r w:rsidRPr="00A417EE">
        <w:rPr>
          <w:rFonts w:asciiTheme="majorBidi" w:hAnsiTheme="majorBidi" w:cstheme="majorBidi"/>
          <w:i/>
          <w:sz w:val="20"/>
          <w:szCs w:val="20"/>
        </w:rPr>
        <w:t xml:space="preserve"> </w:t>
      </w:r>
      <w:r w:rsidRPr="00A417EE">
        <w:rPr>
          <w:rFonts w:asciiTheme="majorBidi" w:hAnsiTheme="majorBidi" w:cstheme="majorBidi"/>
          <w:sz w:val="20"/>
          <w:szCs w:val="20"/>
        </w:rPr>
        <w:t>TR14/3 (2014).</w:t>
      </w:r>
    </w:p>
  </w:footnote>
  <w:footnote w:id="100">
    <w:p w:rsidR="00EB4E5D" w:rsidRPr="00D83E09" w:rsidRDefault="00EB4E5D">
      <w:pPr>
        <w:pStyle w:val="FootnoteText"/>
        <w:rPr>
          <w:sz w:val="20"/>
          <w:szCs w:val="20"/>
          <w:lang w:val="en-US"/>
        </w:rPr>
      </w:pPr>
      <w:r w:rsidRPr="00D83E09">
        <w:rPr>
          <w:rStyle w:val="FootnoteReference"/>
          <w:sz w:val="20"/>
          <w:szCs w:val="20"/>
        </w:rPr>
        <w:footnoteRef/>
      </w:r>
      <w:r w:rsidRPr="00D83E09">
        <w:rPr>
          <w:sz w:val="20"/>
          <w:szCs w:val="20"/>
        </w:rPr>
        <w:t xml:space="preserve"> </w:t>
      </w:r>
      <w:r w:rsidRPr="00D83E09">
        <w:rPr>
          <w:i/>
          <w:sz w:val="20"/>
          <w:szCs w:val="20"/>
        </w:rPr>
        <w:t>Thakker v Northern Rock (Asset Management)Plc</w:t>
      </w:r>
      <w:r w:rsidRPr="00D83E09">
        <w:rPr>
          <w:sz w:val="20"/>
          <w:szCs w:val="20"/>
        </w:rPr>
        <w:t xml:space="preserve">  [2014] EWHC 2107.</w:t>
      </w:r>
    </w:p>
  </w:footnote>
  <w:footnote w:id="101">
    <w:p w:rsidR="00EB4E5D" w:rsidRPr="004E4AA9" w:rsidRDefault="00EB4E5D">
      <w:pPr>
        <w:pStyle w:val="FootnoteText"/>
        <w:rPr>
          <w:sz w:val="20"/>
          <w:szCs w:val="20"/>
        </w:rPr>
      </w:pPr>
      <w:r w:rsidRPr="004E4AA9">
        <w:rPr>
          <w:rStyle w:val="FootnoteReference"/>
          <w:sz w:val="20"/>
          <w:szCs w:val="20"/>
        </w:rPr>
        <w:footnoteRef/>
      </w:r>
      <w:r w:rsidRPr="004E4AA9">
        <w:rPr>
          <w:sz w:val="20"/>
          <w:szCs w:val="20"/>
        </w:rPr>
        <w:t xml:space="preserve"> </w:t>
      </w:r>
      <w:r>
        <w:rPr>
          <w:sz w:val="20"/>
          <w:szCs w:val="20"/>
        </w:rPr>
        <w:t xml:space="preserve">S. </w:t>
      </w:r>
      <w:r w:rsidRPr="004E4AA9">
        <w:rPr>
          <w:sz w:val="20"/>
          <w:szCs w:val="20"/>
        </w:rPr>
        <w:t xml:space="preserve">Blandy and </w:t>
      </w:r>
      <w:r>
        <w:rPr>
          <w:sz w:val="20"/>
          <w:szCs w:val="20"/>
        </w:rPr>
        <w:t xml:space="preserve">D. </w:t>
      </w:r>
      <w:r w:rsidRPr="004E4AA9">
        <w:rPr>
          <w:sz w:val="20"/>
          <w:szCs w:val="20"/>
        </w:rPr>
        <w:t>Robinson</w:t>
      </w:r>
      <w:r>
        <w:rPr>
          <w:sz w:val="20"/>
          <w:szCs w:val="20"/>
        </w:rPr>
        <w:t>,</w:t>
      </w:r>
      <w:r w:rsidRPr="004E4AA9">
        <w:rPr>
          <w:sz w:val="20"/>
          <w:szCs w:val="20"/>
        </w:rPr>
        <w:t xml:space="preserve"> </w:t>
      </w:r>
      <w:r>
        <w:rPr>
          <w:sz w:val="20"/>
          <w:szCs w:val="20"/>
        </w:rPr>
        <w:t>‘</w:t>
      </w:r>
      <w:r w:rsidRPr="004E4AA9">
        <w:rPr>
          <w:sz w:val="20"/>
          <w:szCs w:val="20"/>
        </w:rPr>
        <w:t>Reforming Leasehold: Discursive Events and Outcomes, 1984-2000</w:t>
      </w:r>
      <w:r>
        <w:rPr>
          <w:sz w:val="20"/>
          <w:szCs w:val="20"/>
        </w:rPr>
        <w:t>’</w:t>
      </w:r>
      <w:r w:rsidRPr="004E4AA9">
        <w:rPr>
          <w:sz w:val="20"/>
          <w:szCs w:val="20"/>
        </w:rPr>
        <w:t xml:space="preserve"> (2001) 28</w:t>
      </w:r>
      <w:r>
        <w:rPr>
          <w:sz w:val="20"/>
          <w:szCs w:val="20"/>
        </w:rPr>
        <w:t xml:space="preserve"> JLS </w:t>
      </w:r>
      <w:r w:rsidRPr="004E4AA9">
        <w:rPr>
          <w:sz w:val="20"/>
          <w:szCs w:val="20"/>
        </w:rPr>
        <w:t>384</w:t>
      </w:r>
      <w:r>
        <w:rPr>
          <w:sz w:val="20"/>
          <w:szCs w:val="20"/>
        </w:rPr>
        <w:t>.</w:t>
      </w:r>
    </w:p>
  </w:footnote>
  <w:footnote w:id="102">
    <w:p w:rsidR="00EB4E5D" w:rsidRPr="00AA4F87" w:rsidRDefault="00EB4E5D" w:rsidP="007F2161">
      <w:pPr>
        <w:pStyle w:val="FootnoteText"/>
        <w:rPr>
          <w:sz w:val="20"/>
          <w:szCs w:val="20"/>
        </w:rPr>
      </w:pPr>
      <w:r w:rsidRPr="00AA4F87">
        <w:rPr>
          <w:rStyle w:val="FootnoteReference"/>
          <w:sz w:val="20"/>
          <w:szCs w:val="20"/>
        </w:rPr>
        <w:footnoteRef/>
      </w:r>
      <w:r w:rsidRPr="00AA4F87">
        <w:rPr>
          <w:sz w:val="20"/>
          <w:szCs w:val="20"/>
        </w:rPr>
        <w:t xml:space="preserve"> </w:t>
      </w:r>
      <w:r>
        <w:rPr>
          <w:sz w:val="20"/>
          <w:szCs w:val="20"/>
        </w:rPr>
        <w:t xml:space="preserve">S. </w:t>
      </w:r>
      <w:r w:rsidRPr="00FD03E7">
        <w:rPr>
          <w:sz w:val="20"/>
          <w:szCs w:val="20"/>
        </w:rPr>
        <w:t>Blandy ‘Collective Property: Owning and Managing Residential Space’ in N</w:t>
      </w:r>
      <w:r>
        <w:rPr>
          <w:sz w:val="20"/>
          <w:szCs w:val="20"/>
        </w:rPr>
        <w:t>.</w:t>
      </w:r>
      <w:r w:rsidRPr="00FD03E7">
        <w:rPr>
          <w:sz w:val="20"/>
          <w:szCs w:val="20"/>
        </w:rPr>
        <w:t xml:space="preserve"> Hopkins (ed) </w:t>
      </w:r>
      <w:r w:rsidRPr="00FD03E7">
        <w:rPr>
          <w:i/>
          <w:sz w:val="20"/>
          <w:szCs w:val="20"/>
        </w:rPr>
        <w:t>Modern Studies in Property Law</w:t>
      </w:r>
      <w:r w:rsidRPr="00FD03E7">
        <w:rPr>
          <w:sz w:val="20"/>
          <w:szCs w:val="20"/>
        </w:rPr>
        <w:t xml:space="preserve"> vol. 7 </w:t>
      </w:r>
      <w:r>
        <w:rPr>
          <w:sz w:val="20"/>
          <w:szCs w:val="20"/>
        </w:rPr>
        <w:t>(</w:t>
      </w:r>
      <w:r w:rsidRPr="00FD03E7">
        <w:rPr>
          <w:sz w:val="20"/>
          <w:szCs w:val="20"/>
        </w:rPr>
        <w:t xml:space="preserve">Oxford: Hart, </w:t>
      </w:r>
      <w:r>
        <w:rPr>
          <w:sz w:val="20"/>
          <w:szCs w:val="20"/>
        </w:rPr>
        <w:t xml:space="preserve">2013). </w:t>
      </w:r>
    </w:p>
  </w:footnote>
  <w:footnote w:id="103">
    <w:p w:rsidR="00EB4E5D" w:rsidRPr="00AA4F87" w:rsidRDefault="00EB4E5D" w:rsidP="00CC10E4">
      <w:pPr>
        <w:pStyle w:val="FootnoteText"/>
        <w:rPr>
          <w:sz w:val="20"/>
          <w:szCs w:val="20"/>
        </w:rPr>
      </w:pPr>
      <w:r w:rsidRPr="00AA4F87">
        <w:rPr>
          <w:rStyle w:val="FootnoteReference"/>
          <w:sz w:val="20"/>
          <w:szCs w:val="20"/>
        </w:rPr>
        <w:footnoteRef/>
      </w:r>
      <w:r w:rsidRPr="00AA4F87">
        <w:rPr>
          <w:sz w:val="20"/>
          <w:szCs w:val="20"/>
        </w:rPr>
        <w:t xml:space="preserve"> </w:t>
      </w:r>
      <w:r>
        <w:rPr>
          <w:sz w:val="20"/>
          <w:szCs w:val="20"/>
        </w:rPr>
        <w:t xml:space="preserve">ibid 164. </w:t>
      </w:r>
      <w:r w:rsidRPr="00AA4F87">
        <w:rPr>
          <w:sz w:val="20"/>
          <w:szCs w:val="20"/>
        </w:rPr>
        <w:t xml:space="preserve">Likewise, in </w:t>
      </w:r>
      <w:r w:rsidRPr="00AA4F87">
        <w:rPr>
          <w:i/>
          <w:sz w:val="20"/>
          <w:szCs w:val="20"/>
        </w:rPr>
        <w:t>Bradley v Heslin</w:t>
      </w:r>
      <w:r w:rsidRPr="00AA4F87">
        <w:rPr>
          <w:sz w:val="20"/>
          <w:szCs w:val="20"/>
        </w:rPr>
        <w:t xml:space="preserve"> </w:t>
      </w:r>
      <w:r>
        <w:rPr>
          <w:sz w:val="20"/>
          <w:szCs w:val="20"/>
        </w:rPr>
        <w:t xml:space="preserve">(n 72 above), </w:t>
      </w:r>
      <w:r w:rsidRPr="00AA4F87">
        <w:rPr>
          <w:sz w:val="20"/>
          <w:szCs w:val="20"/>
        </w:rPr>
        <w:t xml:space="preserve">Norris J noted that the driveway had </w:t>
      </w:r>
      <w:r>
        <w:rPr>
          <w:sz w:val="20"/>
          <w:szCs w:val="20"/>
        </w:rPr>
        <w:t xml:space="preserve">been </w:t>
      </w:r>
      <w:r w:rsidRPr="00AA4F87">
        <w:rPr>
          <w:sz w:val="20"/>
          <w:szCs w:val="20"/>
        </w:rPr>
        <w:t xml:space="preserve">moved with the probable knowledge and consent of the driveway’s owner, in disregard of the boundaries in the formal grant. </w:t>
      </w:r>
    </w:p>
  </w:footnote>
  <w:footnote w:id="104">
    <w:p w:rsidR="00EB4E5D" w:rsidRPr="00AA4F87" w:rsidRDefault="00EB4E5D" w:rsidP="00AD2C8E">
      <w:pPr>
        <w:pStyle w:val="NoSpacing"/>
        <w:rPr>
          <w:rFonts w:ascii="Times New Roman" w:hAnsi="Times New Roman" w:cs="Times New Roman"/>
          <w:sz w:val="20"/>
          <w:szCs w:val="20"/>
        </w:rPr>
      </w:pPr>
      <w:r w:rsidRPr="00AA4F87">
        <w:rPr>
          <w:rStyle w:val="FootnoteReference"/>
          <w:rFonts w:ascii="Times New Roman" w:hAnsi="Times New Roman" w:cs="Times New Roman"/>
          <w:sz w:val="20"/>
          <w:szCs w:val="20"/>
        </w:rPr>
        <w:footnoteRef/>
      </w:r>
      <w:r w:rsidRPr="00AA4F87">
        <w:rPr>
          <w:rFonts w:ascii="Times New Roman" w:hAnsi="Times New Roman" w:cs="Times New Roman"/>
          <w:sz w:val="20"/>
          <w:szCs w:val="20"/>
        </w:rPr>
        <w:t xml:space="preserve">  See, primarily</w:t>
      </w:r>
      <w:r>
        <w:rPr>
          <w:rFonts w:ascii="Times New Roman" w:hAnsi="Times New Roman" w:cs="Times New Roman"/>
          <w:sz w:val="20"/>
          <w:szCs w:val="20"/>
        </w:rPr>
        <w:t>,</w:t>
      </w:r>
      <w:r w:rsidRPr="00AA4F87">
        <w:rPr>
          <w:rFonts w:ascii="Times New Roman" w:hAnsi="Times New Roman" w:cs="Times New Roman"/>
          <w:sz w:val="20"/>
          <w:szCs w:val="20"/>
        </w:rPr>
        <w:t xml:space="preserve"> E</w:t>
      </w:r>
      <w:r>
        <w:rPr>
          <w:rFonts w:ascii="Times New Roman" w:hAnsi="Times New Roman" w:cs="Times New Roman"/>
          <w:sz w:val="20"/>
          <w:szCs w:val="20"/>
        </w:rPr>
        <w:t>.</w:t>
      </w:r>
      <w:r w:rsidRPr="00AA4F87">
        <w:rPr>
          <w:rFonts w:ascii="Times New Roman" w:hAnsi="Times New Roman" w:cs="Times New Roman"/>
          <w:sz w:val="20"/>
          <w:szCs w:val="20"/>
        </w:rPr>
        <w:t xml:space="preserve"> Ostrom, </w:t>
      </w:r>
      <w:r w:rsidRPr="00AA4F87">
        <w:rPr>
          <w:rFonts w:ascii="Times New Roman" w:hAnsi="Times New Roman" w:cs="Times New Roman"/>
          <w:i/>
          <w:iCs/>
          <w:sz w:val="20"/>
          <w:szCs w:val="20"/>
        </w:rPr>
        <w:t>Governing the Commons: The Evolution of Institutions for Collective Action</w:t>
      </w:r>
      <w:r w:rsidRPr="00AA4F87">
        <w:rPr>
          <w:rFonts w:ascii="Times New Roman" w:hAnsi="Times New Roman" w:cs="Times New Roman"/>
          <w:sz w:val="20"/>
          <w:szCs w:val="20"/>
        </w:rPr>
        <w:t xml:space="preserve"> (Princeton</w:t>
      </w:r>
      <w:r>
        <w:rPr>
          <w:rFonts w:ascii="Times New Roman" w:hAnsi="Times New Roman" w:cs="Times New Roman"/>
          <w:sz w:val="20"/>
          <w:szCs w:val="20"/>
        </w:rPr>
        <w:t>:</w:t>
      </w:r>
      <w:r w:rsidRPr="00AA4F87">
        <w:rPr>
          <w:rFonts w:ascii="Times New Roman" w:hAnsi="Times New Roman" w:cs="Times New Roman"/>
          <w:sz w:val="20"/>
          <w:szCs w:val="20"/>
        </w:rPr>
        <w:t xml:space="preserve"> Princeton University Press, 1990); E</w:t>
      </w:r>
      <w:r>
        <w:rPr>
          <w:rFonts w:ascii="Times New Roman" w:hAnsi="Times New Roman" w:cs="Times New Roman"/>
          <w:sz w:val="20"/>
          <w:szCs w:val="20"/>
        </w:rPr>
        <w:t>.</w:t>
      </w:r>
      <w:r w:rsidRPr="00AA4F87">
        <w:rPr>
          <w:rFonts w:ascii="Times New Roman" w:hAnsi="Times New Roman" w:cs="Times New Roman"/>
          <w:sz w:val="20"/>
          <w:szCs w:val="20"/>
        </w:rPr>
        <w:t xml:space="preserve"> Ostrom, </w:t>
      </w:r>
      <w:r w:rsidRPr="00AA4F87">
        <w:rPr>
          <w:rFonts w:ascii="Times New Roman" w:hAnsi="Times New Roman" w:cs="Times New Roman"/>
          <w:i/>
          <w:iCs/>
          <w:sz w:val="20"/>
          <w:szCs w:val="20"/>
        </w:rPr>
        <w:t>Understanding Institutional Diversity</w:t>
      </w:r>
      <w:r w:rsidRPr="00AA4F87">
        <w:rPr>
          <w:rFonts w:ascii="Times New Roman" w:hAnsi="Times New Roman" w:cs="Times New Roman"/>
          <w:sz w:val="20"/>
          <w:szCs w:val="20"/>
        </w:rPr>
        <w:t xml:space="preserve"> (Oxford</w:t>
      </w:r>
      <w:r>
        <w:rPr>
          <w:rFonts w:ascii="Times New Roman" w:hAnsi="Times New Roman" w:cs="Times New Roman"/>
          <w:sz w:val="20"/>
          <w:szCs w:val="20"/>
        </w:rPr>
        <w:t>:</w:t>
      </w:r>
      <w:r w:rsidRPr="00AA4F87">
        <w:rPr>
          <w:rFonts w:ascii="Times New Roman" w:hAnsi="Times New Roman" w:cs="Times New Roman"/>
          <w:sz w:val="20"/>
          <w:szCs w:val="20"/>
        </w:rPr>
        <w:t xml:space="preserve"> Oxford University Press, 2005); L</w:t>
      </w:r>
      <w:r>
        <w:rPr>
          <w:rFonts w:ascii="Times New Roman" w:hAnsi="Times New Roman" w:cs="Times New Roman"/>
          <w:sz w:val="20"/>
          <w:szCs w:val="20"/>
        </w:rPr>
        <w:t xml:space="preserve">. </w:t>
      </w:r>
      <w:r w:rsidRPr="00AA4F87">
        <w:rPr>
          <w:rFonts w:ascii="Times New Roman" w:hAnsi="Times New Roman" w:cs="Times New Roman"/>
          <w:sz w:val="20"/>
          <w:szCs w:val="20"/>
        </w:rPr>
        <w:t>A</w:t>
      </w:r>
      <w:r>
        <w:rPr>
          <w:rFonts w:ascii="Times New Roman" w:hAnsi="Times New Roman" w:cs="Times New Roman"/>
          <w:sz w:val="20"/>
          <w:szCs w:val="20"/>
        </w:rPr>
        <w:t>.</w:t>
      </w:r>
      <w:r w:rsidRPr="00AA4F87">
        <w:rPr>
          <w:rFonts w:ascii="Times New Roman" w:hAnsi="Times New Roman" w:cs="Times New Roman"/>
          <w:sz w:val="20"/>
          <w:szCs w:val="20"/>
        </w:rPr>
        <w:t xml:space="preserve"> Fennell, ‘Ostrom</w:t>
      </w:r>
      <w:r>
        <w:rPr>
          <w:rFonts w:ascii="Times New Roman" w:hAnsi="Times New Roman" w:cs="Times New Roman"/>
          <w:sz w:val="20"/>
          <w:szCs w:val="20"/>
        </w:rPr>
        <w:t>’</w:t>
      </w:r>
      <w:r w:rsidRPr="00AA4F87">
        <w:rPr>
          <w:rFonts w:ascii="Times New Roman" w:hAnsi="Times New Roman" w:cs="Times New Roman"/>
          <w:sz w:val="20"/>
          <w:szCs w:val="20"/>
        </w:rPr>
        <w:t xml:space="preserve">s Law: Property Rights in the Commons’ (2011) 5 </w:t>
      </w:r>
      <w:r w:rsidRPr="0042151F">
        <w:rPr>
          <w:rFonts w:ascii="Times New Roman" w:hAnsi="Times New Roman" w:cs="Times New Roman"/>
          <w:i/>
          <w:iCs/>
          <w:sz w:val="20"/>
          <w:szCs w:val="20"/>
        </w:rPr>
        <w:t>International Journal of the Commons</w:t>
      </w:r>
      <w:r w:rsidRPr="00AA4F87">
        <w:rPr>
          <w:rFonts w:ascii="Times New Roman" w:hAnsi="Times New Roman" w:cs="Times New Roman"/>
          <w:sz w:val="20"/>
          <w:szCs w:val="20"/>
        </w:rPr>
        <w:t xml:space="preserve"> 9.</w:t>
      </w:r>
    </w:p>
  </w:footnote>
  <w:footnote w:id="105">
    <w:p w:rsidR="00EB4E5D" w:rsidRPr="00153090" w:rsidRDefault="00EB4E5D">
      <w:pPr>
        <w:pStyle w:val="FootnoteText"/>
        <w:rPr>
          <w:sz w:val="20"/>
          <w:szCs w:val="20"/>
          <w:lang w:val="da-DK"/>
        </w:rPr>
      </w:pPr>
      <w:r w:rsidRPr="00337476">
        <w:rPr>
          <w:rStyle w:val="FootnoteReference"/>
          <w:sz w:val="20"/>
          <w:szCs w:val="20"/>
        </w:rPr>
        <w:footnoteRef/>
      </w:r>
      <w:r w:rsidRPr="00153090">
        <w:rPr>
          <w:sz w:val="20"/>
          <w:szCs w:val="20"/>
          <w:lang w:val="da-DK"/>
        </w:rPr>
        <w:t xml:space="preserve"> n 7</w:t>
      </w:r>
      <w:r w:rsidR="009D0E09">
        <w:rPr>
          <w:sz w:val="20"/>
          <w:szCs w:val="20"/>
          <w:lang w:val="da-DK"/>
        </w:rPr>
        <w:t>2</w:t>
      </w:r>
      <w:r w:rsidRPr="00153090">
        <w:rPr>
          <w:sz w:val="20"/>
          <w:szCs w:val="20"/>
          <w:lang w:val="da-DK"/>
        </w:rPr>
        <w:t>.</w:t>
      </w:r>
    </w:p>
  </w:footnote>
  <w:footnote w:id="106">
    <w:p w:rsidR="00EB4E5D" w:rsidRPr="00153090" w:rsidRDefault="00EB4E5D">
      <w:pPr>
        <w:pStyle w:val="FootnoteText"/>
        <w:rPr>
          <w:sz w:val="20"/>
          <w:szCs w:val="20"/>
          <w:lang w:val="da-DK"/>
        </w:rPr>
      </w:pPr>
      <w:r w:rsidRPr="00337476">
        <w:rPr>
          <w:rStyle w:val="FootnoteReference"/>
          <w:sz w:val="20"/>
          <w:szCs w:val="20"/>
        </w:rPr>
        <w:footnoteRef/>
      </w:r>
      <w:r w:rsidRPr="00153090">
        <w:rPr>
          <w:sz w:val="20"/>
          <w:szCs w:val="20"/>
          <w:lang w:val="da-DK"/>
        </w:rPr>
        <w:t xml:space="preserve"> </w:t>
      </w:r>
      <w:r w:rsidRPr="00153090">
        <w:rPr>
          <w:rFonts w:eastAsia="Calibri"/>
          <w:sz w:val="20"/>
          <w:szCs w:val="20"/>
          <w:lang w:val="da-DK"/>
        </w:rPr>
        <w:t>(1960) 20 P &amp; CR 909</w:t>
      </w:r>
      <w:r>
        <w:rPr>
          <w:rFonts w:eastAsia="Calibri"/>
          <w:sz w:val="20"/>
          <w:szCs w:val="20"/>
          <w:lang w:val="da-DK"/>
        </w:rPr>
        <w:t>, at 919.</w:t>
      </w:r>
    </w:p>
  </w:footnote>
  <w:footnote w:id="107">
    <w:p w:rsidR="00EB4E5D" w:rsidRPr="00153090" w:rsidRDefault="00EB4E5D">
      <w:pPr>
        <w:pStyle w:val="FootnoteText"/>
        <w:rPr>
          <w:sz w:val="20"/>
          <w:szCs w:val="20"/>
          <w:lang w:val="da-DK"/>
        </w:rPr>
      </w:pPr>
      <w:r w:rsidRPr="00337476">
        <w:rPr>
          <w:rStyle w:val="FootnoteReference"/>
          <w:sz w:val="20"/>
          <w:szCs w:val="20"/>
        </w:rPr>
        <w:footnoteRef/>
      </w:r>
      <w:r w:rsidRPr="00153090">
        <w:rPr>
          <w:sz w:val="20"/>
          <w:szCs w:val="20"/>
          <w:lang w:val="da-DK"/>
        </w:rPr>
        <w:t xml:space="preserve"> </w:t>
      </w:r>
      <w:r w:rsidR="009D0E09">
        <w:rPr>
          <w:sz w:val="20"/>
          <w:szCs w:val="20"/>
          <w:lang w:val="da-DK"/>
        </w:rPr>
        <w:t>n 72</w:t>
      </w:r>
      <w:r>
        <w:rPr>
          <w:sz w:val="20"/>
          <w:szCs w:val="20"/>
          <w:lang w:val="da-DK"/>
        </w:rPr>
        <w:t xml:space="preserve"> </w:t>
      </w:r>
      <w:r w:rsidRPr="00153090">
        <w:rPr>
          <w:sz w:val="20"/>
          <w:szCs w:val="20"/>
          <w:lang w:val="da-DK"/>
        </w:rPr>
        <w:t>at [51].</w:t>
      </w:r>
    </w:p>
  </w:footnote>
  <w:footnote w:id="108">
    <w:p w:rsidR="00EB4E5D" w:rsidRPr="006E7DEC" w:rsidRDefault="00EB4E5D">
      <w:pPr>
        <w:pStyle w:val="FootnoteText"/>
        <w:rPr>
          <w:sz w:val="20"/>
          <w:szCs w:val="20"/>
        </w:rPr>
      </w:pPr>
      <w:r>
        <w:rPr>
          <w:rStyle w:val="FootnoteReference"/>
        </w:rPr>
        <w:footnoteRef/>
      </w:r>
      <w:r>
        <w:t xml:space="preserve"> </w:t>
      </w:r>
      <w:r w:rsidRPr="00AA4F87">
        <w:rPr>
          <w:sz w:val="20"/>
          <w:szCs w:val="20"/>
        </w:rPr>
        <w:t>G</w:t>
      </w:r>
      <w:r>
        <w:rPr>
          <w:sz w:val="20"/>
          <w:szCs w:val="20"/>
        </w:rPr>
        <w:t>.</w:t>
      </w:r>
      <w:r w:rsidRPr="00AA4F87">
        <w:rPr>
          <w:sz w:val="20"/>
          <w:szCs w:val="20"/>
        </w:rPr>
        <w:t xml:space="preserve"> Alexander &amp; H</w:t>
      </w:r>
      <w:r>
        <w:rPr>
          <w:sz w:val="20"/>
          <w:szCs w:val="20"/>
        </w:rPr>
        <w:t>.</w:t>
      </w:r>
      <w:r w:rsidRPr="00AA4F87">
        <w:rPr>
          <w:sz w:val="20"/>
          <w:szCs w:val="20"/>
        </w:rPr>
        <w:t xml:space="preserve"> Dagan, </w:t>
      </w:r>
      <w:r w:rsidRPr="00D30BDD">
        <w:rPr>
          <w:i/>
          <w:sz w:val="20"/>
          <w:szCs w:val="20"/>
        </w:rPr>
        <w:t>Properties of Property</w:t>
      </w:r>
      <w:r>
        <w:rPr>
          <w:sz w:val="20"/>
          <w:szCs w:val="20"/>
        </w:rPr>
        <w:t xml:space="preserve"> (Kluwer:</w:t>
      </w:r>
      <w:r w:rsidRPr="00AA4F87">
        <w:rPr>
          <w:sz w:val="20"/>
          <w:szCs w:val="20"/>
        </w:rPr>
        <w:t xml:space="preserve"> New York</w:t>
      </w:r>
      <w:r>
        <w:rPr>
          <w:sz w:val="20"/>
          <w:szCs w:val="20"/>
        </w:rPr>
        <w:t>,</w:t>
      </w:r>
      <w:r w:rsidRPr="00AA4F87">
        <w:rPr>
          <w:sz w:val="20"/>
          <w:szCs w:val="20"/>
        </w:rPr>
        <w:t xml:space="preserve"> 2011) </w:t>
      </w:r>
      <w:r>
        <w:rPr>
          <w:sz w:val="20"/>
          <w:szCs w:val="20"/>
        </w:rPr>
        <w:t>168.</w:t>
      </w:r>
    </w:p>
  </w:footnote>
  <w:footnote w:id="109">
    <w:p w:rsidR="00EB4E5D" w:rsidRDefault="00EB4E5D">
      <w:pPr>
        <w:pStyle w:val="FootnoteText"/>
      </w:pPr>
      <w:r>
        <w:rPr>
          <w:rStyle w:val="FootnoteReference"/>
        </w:rPr>
        <w:footnoteRef/>
      </w:r>
      <w:r>
        <w:t xml:space="preserve"> </w:t>
      </w:r>
      <w:r w:rsidRPr="00AA4F87">
        <w:rPr>
          <w:sz w:val="20"/>
          <w:szCs w:val="20"/>
        </w:rPr>
        <w:t xml:space="preserve">R. C. Ellickson, </w:t>
      </w:r>
      <w:r w:rsidRPr="00AA4F87">
        <w:rPr>
          <w:i/>
          <w:sz w:val="20"/>
          <w:szCs w:val="20"/>
        </w:rPr>
        <w:t>Order Without Law: How Neighbors Settle Disputes</w:t>
      </w:r>
      <w:r w:rsidRPr="00AA4F87">
        <w:rPr>
          <w:sz w:val="20"/>
          <w:szCs w:val="20"/>
        </w:rPr>
        <w:t xml:space="preserve"> (Cambridge MA: Harvard University Press, 1994).</w:t>
      </w:r>
    </w:p>
  </w:footnote>
  <w:footnote w:id="110">
    <w:p w:rsidR="00EB4E5D" w:rsidRPr="00AA4F87" w:rsidRDefault="00EB4E5D" w:rsidP="008F3664">
      <w:pPr>
        <w:pStyle w:val="FootnoteText"/>
        <w:rPr>
          <w:sz w:val="20"/>
          <w:szCs w:val="20"/>
        </w:rPr>
      </w:pPr>
      <w:r w:rsidRPr="00AA4F87">
        <w:rPr>
          <w:rStyle w:val="FootnoteReference"/>
          <w:sz w:val="20"/>
          <w:szCs w:val="20"/>
        </w:rPr>
        <w:footnoteRef/>
      </w:r>
      <w:r w:rsidRPr="00AA4F87">
        <w:rPr>
          <w:sz w:val="20"/>
          <w:szCs w:val="20"/>
        </w:rPr>
        <w:t xml:space="preserve"> A. Sarat and T.R. Kearns, ‘Beyond the Great Divide: Forms of Legal Scholarship in Everyday Life’ in A. Sarat and T.R. Kearns (eds), </w:t>
      </w:r>
      <w:r w:rsidRPr="00D30BDD">
        <w:rPr>
          <w:i/>
          <w:sz w:val="20"/>
          <w:szCs w:val="20"/>
        </w:rPr>
        <w:t>Law in Everyday Life</w:t>
      </w:r>
      <w:r w:rsidRPr="00AA4F87">
        <w:rPr>
          <w:sz w:val="20"/>
          <w:szCs w:val="20"/>
        </w:rPr>
        <w:t xml:space="preserve"> (Ann Arbor, Michigan: University of Michigan Press, 1993).</w:t>
      </w:r>
    </w:p>
  </w:footnote>
  <w:footnote w:id="111">
    <w:p w:rsidR="00EB4E5D" w:rsidRPr="00AA4F87" w:rsidRDefault="00EB4E5D" w:rsidP="008F3664">
      <w:pPr>
        <w:pStyle w:val="FootnoteText"/>
        <w:rPr>
          <w:sz w:val="20"/>
          <w:szCs w:val="20"/>
        </w:rPr>
      </w:pPr>
      <w:r w:rsidRPr="00AA4F87">
        <w:rPr>
          <w:rStyle w:val="FootnoteReference"/>
          <w:sz w:val="20"/>
          <w:szCs w:val="20"/>
        </w:rPr>
        <w:footnoteRef/>
      </w:r>
      <w:r w:rsidRPr="00AA4F87">
        <w:rPr>
          <w:sz w:val="20"/>
          <w:szCs w:val="20"/>
        </w:rPr>
        <w:t xml:space="preserve"> S</w:t>
      </w:r>
      <w:r>
        <w:rPr>
          <w:sz w:val="20"/>
          <w:szCs w:val="20"/>
        </w:rPr>
        <w:t xml:space="preserve">. </w:t>
      </w:r>
      <w:r w:rsidRPr="00AA4F87">
        <w:rPr>
          <w:sz w:val="20"/>
          <w:szCs w:val="20"/>
        </w:rPr>
        <w:t>F</w:t>
      </w:r>
      <w:r>
        <w:rPr>
          <w:sz w:val="20"/>
          <w:szCs w:val="20"/>
        </w:rPr>
        <w:t>.</w:t>
      </w:r>
      <w:r w:rsidRPr="00AA4F87">
        <w:rPr>
          <w:sz w:val="20"/>
          <w:szCs w:val="20"/>
        </w:rPr>
        <w:t xml:space="preserve"> Moore, ‘Law and Social Change: The Semi-Autonomous Social Field as an Appropriate Subject of Study’ (1973) 7 </w:t>
      </w:r>
      <w:r w:rsidRPr="00787B5A">
        <w:rPr>
          <w:sz w:val="20"/>
          <w:szCs w:val="20"/>
        </w:rPr>
        <w:t>Law &amp; Soc</w:t>
      </w:r>
      <w:r>
        <w:rPr>
          <w:sz w:val="20"/>
          <w:szCs w:val="20"/>
        </w:rPr>
        <w:t>’</w:t>
      </w:r>
      <w:r w:rsidRPr="00787B5A">
        <w:rPr>
          <w:sz w:val="20"/>
          <w:szCs w:val="20"/>
        </w:rPr>
        <w:t xml:space="preserve">y Rev. </w:t>
      </w:r>
      <w:r w:rsidRPr="00AA4F87">
        <w:rPr>
          <w:sz w:val="20"/>
          <w:szCs w:val="20"/>
        </w:rPr>
        <w:t>719.</w:t>
      </w:r>
    </w:p>
  </w:footnote>
  <w:footnote w:id="112">
    <w:p w:rsidR="00EB4E5D" w:rsidRPr="00AA4F87" w:rsidRDefault="00EB4E5D" w:rsidP="00AC0F11">
      <w:pPr>
        <w:pStyle w:val="CLFootnoteText"/>
        <w:rPr>
          <w:szCs w:val="20"/>
        </w:rPr>
      </w:pPr>
      <w:r w:rsidRPr="00AA4F87">
        <w:rPr>
          <w:rStyle w:val="FootnoteReference"/>
          <w:szCs w:val="20"/>
        </w:rPr>
        <w:footnoteRef/>
      </w:r>
      <w:r w:rsidRPr="00AA4F87">
        <w:rPr>
          <w:szCs w:val="20"/>
        </w:rPr>
        <w:t xml:space="preserve"> </w:t>
      </w:r>
      <w:r w:rsidRPr="00AA4F87">
        <w:rPr>
          <w:rStyle w:val="BodyTextChar"/>
          <w:rFonts w:ascii="Times New Roman" w:hAnsi="Times New Roman"/>
          <w:sz w:val="20"/>
          <w:szCs w:val="20"/>
        </w:rPr>
        <w:t>Law of Property Act 1925</w:t>
      </w:r>
      <w:r>
        <w:rPr>
          <w:rStyle w:val="BodyTextChar"/>
          <w:rFonts w:ascii="Times New Roman" w:hAnsi="Times New Roman"/>
          <w:sz w:val="20"/>
          <w:szCs w:val="20"/>
        </w:rPr>
        <w:t>,</w:t>
      </w:r>
      <w:r w:rsidRPr="00AA4F87">
        <w:rPr>
          <w:rStyle w:val="BodyTextChar"/>
          <w:rFonts w:ascii="Times New Roman" w:hAnsi="Times New Roman"/>
          <w:sz w:val="20"/>
          <w:szCs w:val="20"/>
        </w:rPr>
        <w:t xml:space="preserve"> s149(6). See</w:t>
      </w:r>
      <w:r>
        <w:rPr>
          <w:rStyle w:val="BodyTextChar"/>
          <w:rFonts w:ascii="Times New Roman" w:hAnsi="Times New Roman"/>
          <w:sz w:val="20"/>
          <w:szCs w:val="20"/>
        </w:rPr>
        <w:t>,</w:t>
      </w:r>
      <w:r w:rsidRPr="00AA4F87">
        <w:rPr>
          <w:rStyle w:val="BodyTextChar"/>
          <w:rFonts w:ascii="Times New Roman" w:hAnsi="Times New Roman"/>
          <w:sz w:val="20"/>
          <w:szCs w:val="20"/>
        </w:rPr>
        <w:t xml:space="preserve"> for example</w:t>
      </w:r>
      <w:r>
        <w:rPr>
          <w:rStyle w:val="BodyTextChar"/>
          <w:rFonts w:ascii="Times New Roman" w:hAnsi="Times New Roman"/>
          <w:sz w:val="20"/>
          <w:szCs w:val="20"/>
        </w:rPr>
        <w:t>,</w:t>
      </w:r>
      <w:r w:rsidRPr="00AA4F87">
        <w:rPr>
          <w:rStyle w:val="BodyTextChar"/>
          <w:rFonts w:ascii="Times New Roman" w:hAnsi="Times New Roman"/>
          <w:sz w:val="20"/>
          <w:szCs w:val="20"/>
        </w:rPr>
        <w:t xml:space="preserve"> </w:t>
      </w:r>
      <w:r w:rsidRPr="00AA4F87">
        <w:rPr>
          <w:i/>
          <w:szCs w:val="20"/>
        </w:rPr>
        <w:t xml:space="preserve">Berrisford v Mexfield Housing Co-operative Ltd </w:t>
      </w:r>
      <w:r>
        <w:rPr>
          <w:szCs w:val="20"/>
        </w:rPr>
        <w:t>[2012</w:t>
      </w:r>
      <w:r w:rsidRPr="00AA4F87">
        <w:rPr>
          <w:szCs w:val="20"/>
        </w:rPr>
        <w:t xml:space="preserve">] </w:t>
      </w:r>
      <w:r>
        <w:rPr>
          <w:szCs w:val="20"/>
        </w:rPr>
        <w:t>1 AC 955.</w:t>
      </w:r>
    </w:p>
  </w:footnote>
  <w:footnote w:id="113">
    <w:p w:rsidR="00EB4E5D" w:rsidRPr="00AA4F87" w:rsidRDefault="00EB4E5D" w:rsidP="00AC0F11">
      <w:pPr>
        <w:pStyle w:val="CLFootnoteText"/>
        <w:rPr>
          <w:szCs w:val="20"/>
        </w:rPr>
      </w:pPr>
      <w:r w:rsidRPr="00AA4F87">
        <w:rPr>
          <w:rStyle w:val="FootnoteReference"/>
          <w:szCs w:val="20"/>
        </w:rPr>
        <w:footnoteRef/>
      </w:r>
      <w:r w:rsidRPr="00AA4F87">
        <w:rPr>
          <w:szCs w:val="20"/>
        </w:rPr>
        <w:t xml:space="preserve"> </w:t>
      </w:r>
      <w:r w:rsidRPr="00AA4F87">
        <w:rPr>
          <w:rStyle w:val="BodyTextChar"/>
          <w:rFonts w:ascii="Times New Roman" w:hAnsi="Times New Roman"/>
          <w:sz w:val="20"/>
          <w:szCs w:val="20"/>
        </w:rPr>
        <w:t>Law of Property Act 1922</w:t>
      </w:r>
      <w:r>
        <w:rPr>
          <w:rStyle w:val="BodyTextChar"/>
          <w:rFonts w:ascii="Times New Roman" w:hAnsi="Times New Roman"/>
          <w:sz w:val="20"/>
          <w:szCs w:val="20"/>
        </w:rPr>
        <w:t>,</w:t>
      </w:r>
      <w:r w:rsidRPr="00AA4F87">
        <w:rPr>
          <w:rStyle w:val="BodyTextChar"/>
          <w:rFonts w:ascii="Times New Roman" w:hAnsi="Times New Roman"/>
          <w:sz w:val="20"/>
          <w:szCs w:val="20"/>
        </w:rPr>
        <w:t xml:space="preserve"> s145.</w:t>
      </w:r>
    </w:p>
  </w:footnote>
  <w:footnote w:id="114">
    <w:p w:rsidR="00EB4E5D" w:rsidRPr="00AA4F87" w:rsidRDefault="00EB4E5D" w:rsidP="00AC0F11">
      <w:pPr>
        <w:pStyle w:val="FootnoteText"/>
        <w:rPr>
          <w:sz w:val="20"/>
          <w:szCs w:val="20"/>
        </w:rPr>
      </w:pPr>
      <w:r w:rsidRPr="00AA4F87">
        <w:rPr>
          <w:rStyle w:val="FootnoteReference"/>
          <w:sz w:val="20"/>
          <w:szCs w:val="20"/>
        </w:rPr>
        <w:footnoteRef/>
      </w:r>
      <w:r w:rsidRPr="00AA4F87">
        <w:rPr>
          <w:sz w:val="20"/>
          <w:szCs w:val="20"/>
        </w:rPr>
        <w:t xml:space="preserve"> Landlord &amp; Tenant Act 1954</w:t>
      </w:r>
      <w:r>
        <w:rPr>
          <w:sz w:val="20"/>
          <w:szCs w:val="20"/>
        </w:rPr>
        <w:t xml:space="preserve">, </w:t>
      </w:r>
      <w:r w:rsidRPr="00AA4F87">
        <w:rPr>
          <w:sz w:val="20"/>
          <w:szCs w:val="20"/>
        </w:rPr>
        <w:t xml:space="preserve">Part II. </w:t>
      </w:r>
    </w:p>
  </w:footnote>
  <w:footnote w:id="115">
    <w:p w:rsidR="00EB4E5D" w:rsidRPr="00AA4F87" w:rsidRDefault="00EB4E5D" w:rsidP="00AC0F11">
      <w:pPr>
        <w:pStyle w:val="FootnoteText"/>
        <w:rPr>
          <w:sz w:val="20"/>
          <w:szCs w:val="20"/>
        </w:rPr>
      </w:pPr>
      <w:r w:rsidRPr="00AA4F87">
        <w:rPr>
          <w:rStyle w:val="FootnoteReference"/>
          <w:sz w:val="20"/>
          <w:szCs w:val="20"/>
        </w:rPr>
        <w:footnoteRef/>
      </w:r>
      <w:r w:rsidRPr="00AA4F87">
        <w:rPr>
          <w:sz w:val="20"/>
          <w:szCs w:val="20"/>
        </w:rPr>
        <w:t xml:space="preserve"> Leasehold Reform, Housing and Urban Development Act 1993. </w:t>
      </w:r>
    </w:p>
  </w:footnote>
  <w:footnote w:id="116">
    <w:p w:rsidR="00EB4E5D" w:rsidRPr="00AA4F87" w:rsidRDefault="00EB4E5D" w:rsidP="007161C1">
      <w:pPr>
        <w:pStyle w:val="FootnoteText"/>
        <w:rPr>
          <w:sz w:val="20"/>
          <w:szCs w:val="20"/>
        </w:rPr>
      </w:pPr>
      <w:r w:rsidRPr="00AA4F87">
        <w:rPr>
          <w:rStyle w:val="FootnoteReference"/>
          <w:sz w:val="20"/>
          <w:szCs w:val="20"/>
        </w:rPr>
        <w:footnoteRef/>
      </w:r>
      <w:r w:rsidRPr="00AA4F87">
        <w:rPr>
          <w:sz w:val="20"/>
          <w:szCs w:val="20"/>
        </w:rPr>
        <w:t xml:space="preserve"> A</w:t>
      </w:r>
      <w:r>
        <w:rPr>
          <w:sz w:val="20"/>
          <w:szCs w:val="20"/>
        </w:rPr>
        <w:t>.</w:t>
      </w:r>
      <w:r w:rsidRPr="00AA4F87">
        <w:rPr>
          <w:sz w:val="20"/>
          <w:szCs w:val="20"/>
        </w:rPr>
        <w:t xml:space="preserve">van der WaIt, </w:t>
      </w:r>
      <w:r w:rsidRPr="00AA4F87">
        <w:rPr>
          <w:i/>
          <w:iCs/>
          <w:sz w:val="20"/>
          <w:szCs w:val="20"/>
        </w:rPr>
        <w:t>Property in the Margins</w:t>
      </w:r>
      <w:r>
        <w:rPr>
          <w:sz w:val="20"/>
          <w:szCs w:val="20"/>
        </w:rPr>
        <w:t xml:space="preserve"> (Oxford:</w:t>
      </w:r>
      <w:r w:rsidRPr="00AA4F87">
        <w:rPr>
          <w:sz w:val="20"/>
          <w:szCs w:val="20"/>
        </w:rPr>
        <w:t xml:space="preserve"> Hart, 2009).</w:t>
      </w:r>
    </w:p>
  </w:footnote>
  <w:footnote w:id="117">
    <w:p w:rsidR="00EB4E5D" w:rsidRPr="00AA4F87" w:rsidRDefault="00EB4E5D" w:rsidP="00717E98">
      <w:pPr>
        <w:pStyle w:val="FootnoteText"/>
        <w:rPr>
          <w:sz w:val="20"/>
          <w:szCs w:val="20"/>
        </w:rPr>
      </w:pPr>
      <w:r w:rsidRPr="00AA4F87">
        <w:rPr>
          <w:rStyle w:val="FootnoteReference"/>
          <w:sz w:val="20"/>
          <w:szCs w:val="20"/>
        </w:rPr>
        <w:footnoteRef/>
      </w:r>
      <w:r w:rsidRPr="00AA4F87">
        <w:rPr>
          <w:sz w:val="20"/>
          <w:szCs w:val="20"/>
        </w:rPr>
        <w:t xml:space="preserve"> H. Dagan, ‘Private Law Pluralism and the Rule of Law’ in L.M. Austin and D. Klimchuk (eds), </w:t>
      </w:r>
      <w:r w:rsidRPr="00AA4F87">
        <w:rPr>
          <w:i/>
          <w:sz w:val="20"/>
          <w:szCs w:val="20"/>
        </w:rPr>
        <w:t>Private Law and the Rule of Law</w:t>
      </w:r>
      <w:r w:rsidRPr="00AA4F87">
        <w:rPr>
          <w:sz w:val="20"/>
          <w:szCs w:val="20"/>
        </w:rPr>
        <w:t xml:space="preserve"> (Oxford: Oxford University Press, 2013) 165.</w:t>
      </w:r>
    </w:p>
  </w:footnote>
  <w:footnote w:id="118">
    <w:p w:rsidR="00EB4E5D" w:rsidRPr="00AA4F87" w:rsidRDefault="00EB4E5D" w:rsidP="007161C1">
      <w:pPr>
        <w:pStyle w:val="FootnoteText"/>
        <w:rPr>
          <w:sz w:val="20"/>
          <w:szCs w:val="20"/>
        </w:rPr>
      </w:pPr>
      <w:r w:rsidRPr="00AA4F87">
        <w:rPr>
          <w:rStyle w:val="FootnoteReference"/>
          <w:sz w:val="20"/>
          <w:szCs w:val="20"/>
        </w:rPr>
        <w:footnoteRef/>
      </w:r>
      <w:r w:rsidRPr="00AA4F87">
        <w:rPr>
          <w:sz w:val="20"/>
          <w:szCs w:val="20"/>
        </w:rPr>
        <w:t xml:space="preserve"> N</w:t>
      </w:r>
      <w:r>
        <w:rPr>
          <w:sz w:val="20"/>
          <w:szCs w:val="20"/>
        </w:rPr>
        <w:t>.</w:t>
      </w:r>
      <w:r w:rsidRPr="00AA4F87">
        <w:rPr>
          <w:sz w:val="20"/>
          <w:szCs w:val="20"/>
        </w:rPr>
        <w:t xml:space="preserve"> M. Davidson and R</w:t>
      </w:r>
      <w:r>
        <w:rPr>
          <w:sz w:val="20"/>
          <w:szCs w:val="20"/>
        </w:rPr>
        <w:t>.</w:t>
      </w:r>
      <w:r w:rsidRPr="00AA4F87">
        <w:rPr>
          <w:sz w:val="20"/>
          <w:szCs w:val="20"/>
        </w:rPr>
        <w:t xml:space="preserve">Dyal-Chand, </w:t>
      </w:r>
      <w:r>
        <w:rPr>
          <w:sz w:val="20"/>
          <w:szCs w:val="20"/>
        </w:rPr>
        <w:t>‘</w:t>
      </w:r>
      <w:r w:rsidRPr="00AA4F87">
        <w:rPr>
          <w:sz w:val="20"/>
          <w:szCs w:val="20"/>
        </w:rPr>
        <w:t>Property in Crisis</w:t>
      </w:r>
      <w:r>
        <w:rPr>
          <w:sz w:val="20"/>
          <w:szCs w:val="20"/>
        </w:rPr>
        <w:t>’</w:t>
      </w:r>
      <w:r w:rsidRPr="00AA4F87">
        <w:rPr>
          <w:sz w:val="20"/>
          <w:szCs w:val="20"/>
        </w:rPr>
        <w:t xml:space="preserve"> (2010)</w:t>
      </w:r>
      <w:r>
        <w:rPr>
          <w:sz w:val="20"/>
          <w:szCs w:val="20"/>
        </w:rPr>
        <w:t xml:space="preserve"> </w:t>
      </w:r>
      <w:r w:rsidRPr="00AA4F87">
        <w:rPr>
          <w:sz w:val="20"/>
          <w:szCs w:val="20"/>
        </w:rPr>
        <w:t>78 Fordham L. Rev. 1607, 1612</w:t>
      </w:r>
      <w:r>
        <w:rPr>
          <w:sz w:val="20"/>
          <w:szCs w:val="20"/>
        </w:rPr>
        <w:t xml:space="preserve">.  </w:t>
      </w:r>
      <w:r w:rsidRPr="009D0E09">
        <w:rPr>
          <w:sz w:val="20"/>
          <w:szCs w:val="20"/>
        </w:rPr>
        <w:t xml:space="preserve">They refer </w:t>
      </w:r>
      <w:r w:rsidRPr="009D0E09">
        <w:rPr>
          <w:rFonts w:eastAsia="Times New Roman"/>
          <w:sz w:val="20"/>
          <w:szCs w:val="20"/>
          <w:lang w:eastAsia="en-GB"/>
        </w:rPr>
        <w:t>to the financial crash of 2008 and the change to US court practices in mortgage foreclosures</w:t>
      </w:r>
      <w:r w:rsidRPr="009D0E09">
        <w:rPr>
          <w:sz w:val="20"/>
          <w:szCs w:val="20"/>
        </w:rPr>
        <w:t xml:space="preserve">. In UK the financial crisis also resulted in a shift in emphasis towards forbearance, but effected through regulatory pressure rather than judicial activism see S. Nield, ‘Mortgage market review: "hard-wired common sense?"’ (2015) 38 </w:t>
      </w:r>
      <w:r w:rsidRPr="009D0E09">
        <w:rPr>
          <w:i/>
          <w:sz w:val="20"/>
          <w:szCs w:val="20"/>
        </w:rPr>
        <w:t>Journal of Consumer Policy</w:t>
      </w:r>
      <w:r w:rsidRPr="009D0E09">
        <w:rPr>
          <w:sz w:val="20"/>
          <w:szCs w:val="20"/>
        </w:rPr>
        <w:t xml:space="preserve"> 139.</w:t>
      </w:r>
    </w:p>
  </w:footnote>
  <w:footnote w:id="119">
    <w:p w:rsidR="00EB4E5D" w:rsidRPr="00AA4F87" w:rsidRDefault="00EB4E5D" w:rsidP="00AF368C">
      <w:pPr>
        <w:pStyle w:val="FootnoteText"/>
        <w:rPr>
          <w:sz w:val="20"/>
          <w:szCs w:val="20"/>
        </w:rPr>
      </w:pPr>
      <w:r w:rsidRPr="00AA4F87">
        <w:rPr>
          <w:rStyle w:val="FootnoteReference"/>
          <w:sz w:val="20"/>
          <w:szCs w:val="20"/>
        </w:rPr>
        <w:footnoteRef/>
      </w:r>
      <w:r w:rsidRPr="00AA4F87">
        <w:rPr>
          <w:sz w:val="20"/>
          <w:szCs w:val="20"/>
        </w:rPr>
        <w:t xml:space="preserve"> </w:t>
      </w:r>
      <w:r w:rsidR="009D0E09">
        <w:rPr>
          <w:sz w:val="20"/>
          <w:szCs w:val="20"/>
        </w:rPr>
        <w:t>n 4</w:t>
      </w:r>
      <w:r>
        <w:rPr>
          <w:sz w:val="20"/>
          <w:szCs w:val="20"/>
        </w:rPr>
        <w:t xml:space="preserve"> above, at 897. </w:t>
      </w:r>
    </w:p>
  </w:footnote>
  <w:footnote w:id="120">
    <w:p w:rsidR="00EB4E5D" w:rsidRPr="00A111B9" w:rsidRDefault="00EB4E5D" w:rsidP="00A111B9">
      <w:pPr>
        <w:pStyle w:val="FootnoteText"/>
        <w:rPr>
          <w:sz w:val="20"/>
          <w:szCs w:val="20"/>
          <w:vertAlign w:val="superscript"/>
        </w:rPr>
      </w:pPr>
      <w:r w:rsidRPr="00BC7062">
        <w:rPr>
          <w:rStyle w:val="FootnoteReference"/>
          <w:sz w:val="20"/>
          <w:szCs w:val="20"/>
        </w:rPr>
        <w:footnoteRef/>
      </w:r>
      <w:r>
        <w:rPr>
          <w:sz w:val="20"/>
          <w:szCs w:val="20"/>
        </w:rPr>
        <w:t xml:space="preserve"> Strutt and Parker, </w:t>
      </w:r>
      <w:r w:rsidRPr="00F51020">
        <w:rPr>
          <w:i/>
          <w:sz w:val="20"/>
          <w:szCs w:val="20"/>
        </w:rPr>
        <w:t>UK Commercial Property Lease Lengths Continue to Increase</w:t>
      </w:r>
      <w:r>
        <w:rPr>
          <w:sz w:val="20"/>
          <w:szCs w:val="20"/>
        </w:rPr>
        <w:t xml:space="preserve"> (2016), at </w:t>
      </w:r>
      <w:hyperlink r:id="rId9" w:history="1">
        <w:r w:rsidRPr="00457E58">
          <w:rPr>
            <w:rStyle w:val="Hyperlink"/>
            <w:sz w:val="20"/>
            <w:szCs w:val="20"/>
          </w:rPr>
          <w:t>https://perma.cc/PXJ9-R9U7</w:t>
        </w:r>
      </w:hyperlink>
      <w:r>
        <w:rPr>
          <w:sz w:val="20"/>
          <w:szCs w:val="20"/>
        </w:rPr>
        <w:t>. T</w:t>
      </w:r>
      <w:r w:rsidRPr="00A111B9">
        <w:rPr>
          <w:sz w:val="20"/>
          <w:szCs w:val="20"/>
        </w:rPr>
        <w:t>he average length of new leases is seven years</w:t>
      </w:r>
      <w:r>
        <w:rPr>
          <w:sz w:val="20"/>
          <w:szCs w:val="20"/>
        </w:rPr>
        <w:t>.</w:t>
      </w:r>
    </w:p>
  </w:footnote>
  <w:footnote w:id="121">
    <w:p w:rsidR="00EB4E5D" w:rsidRPr="00AA4F87" w:rsidRDefault="00EB4E5D" w:rsidP="00E336F5">
      <w:pPr>
        <w:pStyle w:val="FootnoteText"/>
        <w:rPr>
          <w:sz w:val="20"/>
          <w:szCs w:val="20"/>
        </w:rPr>
      </w:pPr>
      <w:r w:rsidRPr="00AA4F87">
        <w:rPr>
          <w:rStyle w:val="FootnoteReference"/>
          <w:sz w:val="20"/>
          <w:szCs w:val="20"/>
        </w:rPr>
        <w:footnoteRef/>
      </w:r>
      <w:r w:rsidRPr="00AA4F87">
        <w:rPr>
          <w:sz w:val="20"/>
          <w:szCs w:val="20"/>
        </w:rPr>
        <w:t xml:space="preserve"> D</w:t>
      </w:r>
      <w:r>
        <w:rPr>
          <w:sz w:val="20"/>
          <w:szCs w:val="20"/>
        </w:rPr>
        <w:t xml:space="preserve">epartment for the </w:t>
      </w:r>
      <w:r w:rsidRPr="00AA4F87">
        <w:rPr>
          <w:sz w:val="20"/>
          <w:szCs w:val="20"/>
        </w:rPr>
        <w:t>E</w:t>
      </w:r>
      <w:r>
        <w:rPr>
          <w:sz w:val="20"/>
          <w:szCs w:val="20"/>
        </w:rPr>
        <w:t xml:space="preserve">nvironment, </w:t>
      </w:r>
      <w:r w:rsidRPr="00AA4F87">
        <w:rPr>
          <w:sz w:val="20"/>
          <w:szCs w:val="20"/>
        </w:rPr>
        <w:t>T</w:t>
      </w:r>
      <w:r>
        <w:rPr>
          <w:sz w:val="20"/>
          <w:szCs w:val="20"/>
        </w:rPr>
        <w:t xml:space="preserve">ransport and the </w:t>
      </w:r>
      <w:r w:rsidRPr="00AA4F87">
        <w:rPr>
          <w:sz w:val="20"/>
          <w:szCs w:val="20"/>
        </w:rPr>
        <w:t>R</w:t>
      </w:r>
      <w:r>
        <w:rPr>
          <w:sz w:val="20"/>
          <w:szCs w:val="20"/>
        </w:rPr>
        <w:t>egions</w:t>
      </w:r>
      <w:r w:rsidRPr="00AA4F87">
        <w:rPr>
          <w:sz w:val="20"/>
          <w:szCs w:val="20"/>
        </w:rPr>
        <w:t xml:space="preserve">, </w:t>
      </w:r>
      <w:r w:rsidRPr="00AA4F87">
        <w:rPr>
          <w:i/>
          <w:iCs/>
          <w:sz w:val="20"/>
          <w:szCs w:val="20"/>
        </w:rPr>
        <w:t>Monitoring the Code of Practice for Commercial Leases, Interim Report</w:t>
      </w:r>
      <w:r>
        <w:rPr>
          <w:sz w:val="20"/>
          <w:szCs w:val="20"/>
        </w:rPr>
        <w:t xml:space="preserve"> (2004), </w:t>
      </w:r>
      <w:r w:rsidRPr="00AA4F87">
        <w:rPr>
          <w:sz w:val="20"/>
          <w:szCs w:val="20"/>
        </w:rPr>
        <w:t>ii.</w:t>
      </w:r>
    </w:p>
  </w:footnote>
  <w:footnote w:id="122">
    <w:p w:rsidR="00EB4E5D" w:rsidRPr="00AA4F87" w:rsidRDefault="00EB4E5D" w:rsidP="00E336F5">
      <w:pPr>
        <w:pStyle w:val="FootnoteText"/>
        <w:rPr>
          <w:sz w:val="20"/>
          <w:szCs w:val="20"/>
        </w:rPr>
      </w:pPr>
      <w:r w:rsidRPr="00AA4F87">
        <w:rPr>
          <w:rStyle w:val="FootnoteReference"/>
          <w:sz w:val="20"/>
          <w:szCs w:val="20"/>
        </w:rPr>
        <w:footnoteRef/>
      </w:r>
      <w:r w:rsidRPr="00AA4F87">
        <w:rPr>
          <w:sz w:val="20"/>
          <w:szCs w:val="20"/>
        </w:rPr>
        <w:t xml:space="preserve"> </w:t>
      </w:r>
      <w:r w:rsidRPr="00AA4F87">
        <w:rPr>
          <w:rFonts w:eastAsia="Cambria"/>
          <w:sz w:val="20"/>
          <w:szCs w:val="20"/>
        </w:rPr>
        <w:t xml:space="preserve">N. </w:t>
      </w:r>
      <w:r>
        <w:rPr>
          <w:rFonts w:eastAsia="Cambria"/>
          <w:sz w:val="20"/>
          <w:szCs w:val="20"/>
        </w:rPr>
        <w:t>Crosby, V. Gibson, S. Murdoch, ‘</w:t>
      </w:r>
      <w:r w:rsidRPr="00AA4F87">
        <w:rPr>
          <w:rFonts w:eastAsia="Cambria"/>
          <w:sz w:val="20"/>
          <w:szCs w:val="20"/>
        </w:rPr>
        <w:t>UK Commercial Property Lease Structures: Landlord and Tenant Mismatch</w:t>
      </w:r>
      <w:r>
        <w:rPr>
          <w:rFonts w:eastAsia="Cambria"/>
          <w:sz w:val="20"/>
          <w:szCs w:val="20"/>
        </w:rPr>
        <w:t>’</w:t>
      </w:r>
      <w:r w:rsidRPr="00AA4F87">
        <w:rPr>
          <w:rFonts w:eastAsia="Cambria"/>
          <w:i/>
          <w:sz w:val="20"/>
          <w:szCs w:val="20"/>
        </w:rPr>
        <w:t xml:space="preserve"> </w:t>
      </w:r>
      <w:r w:rsidRPr="00F51020">
        <w:rPr>
          <w:rFonts w:eastAsia="Cambria"/>
          <w:sz w:val="20"/>
          <w:szCs w:val="20"/>
        </w:rPr>
        <w:t>(2003)</w:t>
      </w:r>
      <w:r>
        <w:rPr>
          <w:rFonts w:eastAsia="Cambria"/>
          <w:i/>
          <w:sz w:val="20"/>
          <w:szCs w:val="20"/>
        </w:rPr>
        <w:t xml:space="preserve"> </w:t>
      </w:r>
      <w:r w:rsidRPr="00AA4F87">
        <w:rPr>
          <w:rFonts w:eastAsia="Cambria"/>
          <w:sz w:val="20"/>
          <w:szCs w:val="20"/>
        </w:rPr>
        <w:t xml:space="preserve">40 </w:t>
      </w:r>
      <w:r w:rsidRPr="00F51020">
        <w:rPr>
          <w:rFonts w:eastAsia="Cambria"/>
          <w:i/>
          <w:sz w:val="20"/>
          <w:szCs w:val="20"/>
        </w:rPr>
        <w:t>Urban Studies</w:t>
      </w:r>
      <w:r w:rsidRPr="00AA4F87">
        <w:rPr>
          <w:rFonts w:eastAsia="Cambria"/>
          <w:sz w:val="20"/>
          <w:szCs w:val="20"/>
        </w:rPr>
        <w:t xml:space="preserve"> 1487</w:t>
      </w:r>
      <w:r w:rsidRPr="00AA4F87">
        <w:rPr>
          <w:sz w:val="20"/>
          <w:szCs w:val="20"/>
        </w:rPr>
        <w:t xml:space="preserve">; </w:t>
      </w:r>
      <w:r>
        <w:rPr>
          <w:rFonts w:eastAsia="Cambria"/>
          <w:sz w:val="20"/>
          <w:szCs w:val="20"/>
        </w:rPr>
        <w:t>Office of the Deputy Prime Minister,</w:t>
      </w:r>
      <w:r w:rsidRPr="00AA4F87">
        <w:rPr>
          <w:rFonts w:eastAsia="Cambria"/>
          <w:sz w:val="20"/>
          <w:szCs w:val="20"/>
        </w:rPr>
        <w:t xml:space="preserve"> </w:t>
      </w:r>
      <w:r w:rsidRPr="00F51020">
        <w:rPr>
          <w:rFonts w:eastAsia="Cambria"/>
          <w:i/>
          <w:sz w:val="20"/>
          <w:szCs w:val="20"/>
        </w:rPr>
        <w:t>Monitoring the 2002 Code of Practice for Commercial Leases</w:t>
      </w:r>
      <w:r w:rsidRPr="00AA4F87">
        <w:rPr>
          <w:rFonts w:eastAsia="Cambria"/>
          <w:sz w:val="20"/>
          <w:szCs w:val="20"/>
        </w:rPr>
        <w:t xml:space="preserve"> </w:t>
      </w:r>
      <w:r>
        <w:rPr>
          <w:rFonts w:eastAsia="Cambria"/>
          <w:sz w:val="20"/>
          <w:szCs w:val="20"/>
        </w:rPr>
        <w:t>(</w:t>
      </w:r>
      <w:r w:rsidRPr="00AA4F87">
        <w:rPr>
          <w:rFonts w:eastAsia="Cambria"/>
          <w:sz w:val="20"/>
          <w:szCs w:val="20"/>
        </w:rPr>
        <w:t>2005</w:t>
      </w:r>
      <w:r>
        <w:rPr>
          <w:rFonts w:eastAsia="Cambria"/>
          <w:sz w:val="20"/>
          <w:szCs w:val="20"/>
        </w:rPr>
        <w:t>)</w:t>
      </w:r>
      <w:r w:rsidRPr="00BC7062">
        <w:rPr>
          <w:sz w:val="20"/>
          <w:szCs w:val="20"/>
        </w:rPr>
        <w:t>. It may be that in some sub-sectors, or in other countries, things are otherwise:</w:t>
      </w:r>
      <w:r>
        <w:t xml:space="preserve"> </w:t>
      </w:r>
      <w:r>
        <w:rPr>
          <w:sz w:val="20"/>
          <w:szCs w:val="20"/>
        </w:rPr>
        <w:t>see the</w:t>
      </w:r>
      <w:r w:rsidRPr="00AA4F87">
        <w:rPr>
          <w:sz w:val="20"/>
          <w:szCs w:val="20"/>
        </w:rPr>
        <w:t xml:space="preserve"> characteris</w:t>
      </w:r>
      <w:r>
        <w:rPr>
          <w:sz w:val="20"/>
          <w:szCs w:val="20"/>
        </w:rPr>
        <w:t>ation of</w:t>
      </w:r>
      <w:r w:rsidRPr="00AA4F87">
        <w:rPr>
          <w:sz w:val="20"/>
          <w:szCs w:val="20"/>
        </w:rPr>
        <w:t xml:space="preserve"> Australian retail leases as relational </w:t>
      </w:r>
      <w:r>
        <w:rPr>
          <w:sz w:val="20"/>
          <w:szCs w:val="20"/>
        </w:rPr>
        <w:t xml:space="preserve">in </w:t>
      </w:r>
      <w:r w:rsidRPr="00AA4F87">
        <w:rPr>
          <w:sz w:val="20"/>
          <w:szCs w:val="20"/>
        </w:rPr>
        <w:t>L. Villiers and E. Webb, ‘Using relational contract principles to construe the landlord-tenant relationship: S</w:t>
      </w:r>
      <w:r>
        <w:rPr>
          <w:sz w:val="20"/>
          <w:szCs w:val="20"/>
        </w:rPr>
        <w:t>ome preliminary observations’ (2</w:t>
      </w:r>
      <w:r w:rsidRPr="00AA4F87">
        <w:rPr>
          <w:sz w:val="20"/>
          <w:szCs w:val="20"/>
        </w:rPr>
        <w:t xml:space="preserve">011) 1 </w:t>
      </w:r>
      <w:r w:rsidRPr="00F51020">
        <w:rPr>
          <w:i/>
          <w:sz w:val="20"/>
          <w:szCs w:val="20"/>
        </w:rPr>
        <w:t>Property Law Review</w:t>
      </w:r>
      <w:r w:rsidRPr="00AA4F87">
        <w:rPr>
          <w:sz w:val="20"/>
          <w:szCs w:val="20"/>
        </w:rPr>
        <w:t xml:space="preserve"> 21.</w:t>
      </w:r>
    </w:p>
  </w:footnote>
  <w:footnote w:id="123">
    <w:p w:rsidR="00EB4E5D" w:rsidRPr="00AA4F87" w:rsidRDefault="00EB4E5D" w:rsidP="006418F6">
      <w:pPr>
        <w:pStyle w:val="FootnoteText"/>
        <w:rPr>
          <w:rFonts w:eastAsia="Cambria"/>
          <w:sz w:val="20"/>
          <w:szCs w:val="20"/>
        </w:rPr>
      </w:pPr>
      <w:r w:rsidRPr="00AA4F87">
        <w:rPr>
          <w:rStyle w:val="FootnoteReference"/>
          <w:sz w:val="20"/>
          <w:szCs w:val="20"/>
        </w:rPr>
        <w:footnoteRef/>
      </w:r>
      <w:r w:rsidRPr="00AA4F87">
        <w:rPr>
          <w:sz w:val="20"/>
          <w:szCs w:val="20"/>
        </w:rPr>
        <w:t xml:space="preserve"> </w:t>
      </w:r>
      <w:r>
        <w:rPr>
          <w:sz w:val="20"/>
          <w:szCs w:val="20"/>
        </w:rPr>
        <w:t>A. Langley and E. S. Stevenson</w:t>
      </w:r>
      <w:r>
        <w:rPr>
          <w:rFonts w:eastAsia="Cambria"/>
          <w:sz w:val="20"/>
          <w:szCs w:val="20"/>
        </w:rPr>
        <w:t>,</w:t>
      </w:r>
      <w:r w:rsidRPr="00AA4F87">
        <w:rPr>
          <w:rFonts w:eastAsia="Cambria"/>
          <w:sz w:val="20"/>
          <w:szCs w:val="20"/>
        </w:rPr>
        <w:t xml:space="preserve"> </w:t>
      </w:r>
      <w:r w:rsidRPr="00E229DC">
        <w:rPr>
          <w:rFonts w:eastAsia="Cambria"/>
          <w:i/>
          <w:sz w:val="20"/>
          <w:szCs w:val="20"/>
        </w:rPr>
        <w:t>Incorporating Environmental Best Practice into Commercial Tenant Lease Agreements: Good Practice Guide, Parts 1 and 2</w:t>
      </w:r>
      <w:r w:rsidRPr="00AA4F87">
        <w:rPr>
          <w:rFonts w:eastAsia="Cambria"/>
          <w:sz w:val="20"/>
          <w:szCs w:val="20"/>
        </w:rPr>
        <w:t xml:space="preserve"> </w:t>
      </w:r>
      <w:r>
        <w:rPr>
          <w:rFonts w:eastAsia="Cambria"/>
          <w:sz w:val="20"/>
          <w:szCs w:val="20"/>
        </w:rPr>
        <w:t xml:space="preserve">(Cardiff: Welsh School of Architecture, </w:t>
      </w:r>
      <w:r w:rsidRPr="00AA4F87">
        <w:rPr>
          <w:rFonts w:eastAsia="Cambria"/>
          <w:sz w:val="20"/>
          <w:szCs w:val="20"/>
        </w:rPr>
        <w:t>2007</w:t>
      </w:r>
      <w:r>
        <w:rPr>
          <w:rFonts w:eastAsia="Cambria"/>
          <w:sz w:val="20"/>
          <w:szCs w:val="20"/>
        </w:rPr>
        <w:t>).</w:t>
      </w:r>
      <w:r w:rsidRPr="00AA4F87">
        <w:rPr>
          <w:rFonts w:eastAsia="Cambria"/>
          <w:sz w:val="20"/>
          <w:szCs w:val="20"/>
        </w:rPr>
        <w:t xml:space="preserve">  </w:t>
      </w:r>
    </w:p>
  </w:footnote>
  <w:footnote w:id="124">
    <w:p w:rsidR="00EB4E5D" w:rsidRPr="00AA4F87" w:rsidRDefault="00EB4E5D">
      <w:pPr>
        <w:pStyle w:val="FootnoteText"/>
        <w:rPr>
          <w:sz w:val="20"/>
          <w:szCs w:val="20"/>
        </w:rPr>
      </w:pPr>
      <w:r w:rsidRPr="00AA4F87">
        <w:rPr>
          <w:rStyle w:val="FootnoteReference"/>
          <w:sz w:val="20"/>
          <w:szCs w:val="20"/>
        </w:rPr>
        <w:footnoteRef/>
      </w:r>
      <w:r>
        <w:rPr>
          <w:i/>
          <w:iCs/>
          <w:sz w:val="20"/>
          <w:szCs w:val="20"/>
        </w:rPr>
        <w:t xml:space="preserve"> </w:t>
      </w:r>
      <w:r>
        <w:rPr>
          <w:iCs/>
          <w:sz w:val="20"/>
          <w:szCs w:val="20"/>
        </w:rPr>
        <w:t>n</w:t>
      </w:r>
      <w:r w:rsidRPr="00846B55">
        <w:rPr>
          <w:iCs/>
          <w:sz w:val="20"/>
          <w:szCs w:val="20"/>
        </w:rPr>
        <w:t xml:space="preserve"> 6</w:t>
      </w:r>
      <w:r w:rsidR="009D0E09">
        <w:rPr>
          <w:iCs/>
          <w:sz w:val="20"/>
          <w:szCs w:val="20"/>
        </w:rPr>
        <w:t>6</w:t>
      </w:r>
      <w:r w:rsidRPr="00846B55">
        <w:rPr>
          <w:iCs/>
          <w:sz w:val="20"/>
          <w:szCs w:val="20"/>
        </w:rPr>
        <w:t xml:space="preserve"> above.</w:t>
      </w:r>
    </w:p>
  </w:footnote>
  <w:footnote w:id="125">
    <w:p w:rsidR="00EB4E5D" w:rsidRPr="00AA4F87" w:rsidRDefault="00EB4E5D">
      <w:pPr>
        <w:pStyle w:val="FootnoteText"/>
        <w:rPr>
          <w:sz w:val="20"/>
          <w:szCs w:val="20"/>
        </w:rPr>
      </w:pPr>
      <w:r w:rsidRPr="00AA4F87">
        <w:rPr>
          <w:rStyle w:val="FootnoteReference"/>
          <w:sz w:val="20"/>
          <w:szCs w:val="20"/>
        </w:rPr>
        <w:footnoteRef/>
      </w:r>
      <w:r>
        <w:rPr>
          <w:sz w:val="20"/>
          <w:szCs w:val="20"/>
        </w:rPr>
        <w:t xml:space="preserve"> i</w:t>
      </w:r>
      <w:r w:rsidRPr="00AA4F87">
        <w:rPr>
          <w:sz w:val="20"/>
          <w:szCs w:val="20"/>
        </w:rPr>
        <w:t xml:space="preserve">bid </w:t>
      </w:r>
      <w:r w:rsidRPr="00AA4F87">
        <w:rPr>
          <w:rFonts w:eastAsia="Cambria"/>
          <w:sz w:val="20"/>
          <w:szCs w:val="20"/>
        </w:rPr>
        <w:t>[49].</w:t>
      </w:r>
      <w:r w:rsidRPr="00AA4F87">
        <w:rPr>
          <w:sz w:val="20"/>
          <w:szCs w:val="20"/>
        </w:rPr>
        <w:t xml:space="preserve"> </w:t>
      </w:r>
    </w:p>
  </w:footnote>
  <w:footnote w:id="126">
    <w:p w:rsidR="00EB4E5D" w:rsidRPr="00AA4F87" w:rsidRDefault="00EB4E5D">
      <w:pPr>
        <w:pStyle w:val="FootnoteText"/>
        <w:rPr>
          <w:sz w:val="20"/>
          <w:szCs w:val="20"/>
        </w:rPr>
      </w:pPr>
      <w:r w:rsidRPr="00AA4F87">
        <w:rPr>
          <w:rStyle w:val="FootnoteReference"/>
          <w:sz w:val="20"/>
          <w:szCs w:val="20"/>
        </w:rPr>
        <w:footnoteRef/>
      </w:r>
      <w:r w:rsidRPr="00AA4F87">
        <w:rPr>
          <w:sz w:val="20"/>
          <w:szCs w:val="20"/>
        </w:rPr>
        <w:t xml:space="preserve"> </w:t>
      </w:r>
      <w:r w:rsidR="009D0E09">
        <w:rPr>
          <w:sz w:val="20"/>
          <w:szCs w:val="20"/>
        </w:rPr>
        <w:t>n 64</w:t>
      </w:r>
      <w:r>
        <w:rPr>
          <w:sz w:val="20"/>
          <w:szCs w:val="20"/>
        </w:rPr>
        <w:t xml:space="preserve"> above.  </w:t>
      </w:r>
    </w:p>
  </w:footnote>
  <w:footnote w:id="127">
    <w:p w:rsidR="00EB4E5D" w:rsidRPr="00CA5F32" w:rsidRDefault="00EB4E5D">
      <w:pPr>
        <w:pStyle w:val="FootnoteText"/>
        <w:rPr>
          <w:sz w:val="20"/>
          <w:szCs w:val="20"/>
        </w:rPr>
      </w:pPr>
      <w:r w:rsidRPr="00CA5F32">
        <w:rPr>
          <w:rStyle w:val="FootnoteReference"/>
          <w:sz w:val="20"/>
          <w:szCs w:val="20"/>
        </w:rPr>
        <w:footnoteRef/>
      </w:r>
      <w:r w:rsidRPr="00CA5F32">
        <w:rPr>
          <w:sz w:val="20"/>
          <w:szCs w:val="20"/>
        </w:rPr>
        <w:t xml:space="preserve"> Lord Carnwath, discussed further below.</w:t>
      </w:r>
    </w:p>
  </w:footnote>
  <w:footnote w:id="128">
    <w:p w:rsidR="00EB4E5D" w:rsidRPr="00AA4F87" w:rsidRDefault="00EB4E5D">
      <w:pPr>
        <w:pStyle w:val="FootnoteText"/>
        <w:rPr>
          <w:sz w:val="20"/>
          <w:szCs w:val="20"/>
        </w:rPr>
      </w:pPr>
      <w:r w:rsidRPr="00AA4F87">
        <w:rPr>
          <w:rStyle w:val="FootnoteReference"/>
          <w:sz w:val="20"/>
          <w:szCs w:val="20"/>
        </w:rPr>
        <w:footnoteRef/>
      </w:r>
      <w:r>
        <w:rPr>
          <w:sz w:val="20"/>
          <w:szCs w:val="20"/>
        </w:rPr>
        <w:t xml:space="preserve"> </w:t>
      </w:r>
      <w:r w:rsidRPr="00AA4F87">
        <w:rPr>
          <w:sz w:val="20"/>
          <w:szCs w:val="20"/>
        </w:rPr>
        <w:t>Lord Neuberger</w:t>
      </w:r>
      <w:r>
        <w:rPr>
          <w:sz w:val="20"/>
          <w:szCs w:val="20"/>
        </w:rPr>
        <w:t>,</w:t>
      </w:r>
      <w:r w:rsidRPr="00AA4F87">
        <w:rPr>
          <w:sz w:val="20"/>
          <w:szCs w:val="20"/>
        </w:rPr>
        <w:t xml:space="preserve"> at </w:t>
      </w:r>
      <w:r>
        <w:rPr>
          <w:sz w:val="20"/>
          <w:szCs w:val="20"/>
        </w:rPr>
        <w:t>1637.</w:t>
      </w:r>
    </w:p>
  </w:footnote>
  <w:footnote w:id="129">
    <w:p w:rsidR="00EB4E5D" w:rsidRPr="00A73634" w:rsidRDefault="00EB4E5D">
      <w:pPr>
        <w:pStyle w:val="FootnoteText"/>
        <w:rPr>
          <w:sz w:val="20"/>
          <w:szCs w:val="20"/>
        </w:rPr>
      </w:pPr>
      <w:r w:rsidRPr="00A73634">
        <w:rPr>
          <w:rStyle w:val="FootnoteReference"/>
          <w:sz w:val="20"/>
          <w:szCs w:val="20"/>
        </w:rPr>
        <w:footnoteRef/>
      </w:r>
      <w:r w:rsidRPr="00A73634">
        <w:rPr>
          <w:sz w:val="20"/>
          <w:szCs w:val="20"/>
        </w:rPr>
        <w:t xml:space="preserve"> </w:t>
      </w:r>
      <w:r w:rsidRPr="00123FE5">
        <w:rPr>
          <w:i/>
          <w:sz w:val="20"/>
          <w:szCs w:val="20"/>
        </w:rPr>
        <w:t>Wood v Capita Insurance Services Limited</w:t>
      </w:r>
      <w:r>
        <w:rPr>
          <w:sz w:val="20"/>
          <w:szCs w:val="20"/>
        </w:rPr>
        <w:t xml:space="preserve"> [2017] UKSC 24. Lord Hodge at [10].</w:t>
      </w:r>
    </w:p>
  </w:footnote>
  <w:footnote w:id="130">
    <w:p w:rsidR="00EB4E5D" w:rsidRPr="005D2F9C" w:rsidRDefault="00EB4E5D">
      <w:pPr>
        <w:pStyle w:val="FootnoteText"/>
        <w:rPr>
          <w:sz w:val="20"/>
          <w:szCs w:val="20"/>
        </w:rPr>
      </w:pPr>
      <w:r w:rsidRPr="00F60081">
        <w:rPr>
          <w:rStyle w:val="FootnoteReference"/>
          <w:sz w:val="20"/>
          <w:szCs w:val="20"/>
        </w:rPr>
        <w:footnoteRef/>
      </w:r>
      <w:r w:rsidRPr="00F60081">
        <w:rPr>
          <w:sz w:val="20"/>
          <w:szCs w:val="20"/>
        </w:rPr>
        <w:t xml:space="preserve"> </w:t>
      </w:r>
      <w:r w:rsidR="009D0E09">
        <w:rPr>
          <w:sz w:val="20"/>
          <w:szCs w:val="20"/>
        </w:rPr>
        <w:t>n 76</w:t>
      </w:r>
      <w:r>
        <w:rPr>
          <w:sz w:val="20"/>
          <w:szCs w:val="20"/>
        </w:rPr>
        <w:t xml:space="preserve"> above. </w:t>
      </w:r>
    </w:p>
  </w:footnote>
  <w:footnote w:id="131">
    <w:p w:rsidR="00EB4E5D" w:rsidRPr="00F60081" w:rsidRDefault="00EB4E5D">
      <w:pPr>
        <w:pStyle w:val="FootnoteText"/>
        <w:rPr>
          <w:sz w:val="20"/>
          <w:szCs w:val="20"/>
          <w:lang w:val="en-US"/>
        </w:rPr>
      </w:pPr>
      <w:r w:rsidRPr="00F60081">
        <w:rPr>
          <w:rStyle w:val="FootnoteReference"/>
          <w:sz w:val="20"/>
          <w:szCs w:val="20"/>
        </w:rPr>
        <w:footnoteRef/>
      </w:r>
      <w:r w:rsidRPr="00F60081">
        <w:rPr>
          <w:sz w:val="20"/>
          <w:szCs w:val="20"/>
        </w:rPr>
        <w:t xml:space="preserve"> </w:t>
      </w:r>
      <w:r>
        <w:rPr>
          <w:sz w:val="20"/>
          <w:szCs w:val="20"/>
          <w:lang w:val="en-US"/>
        </w:rPr>
        <w:t>ibid</w:t>
      </w:r>
      <w:r w:rsidRPr="00F60081">
        <w:rPr>
          <w:sz w:val="20"/>
          <w:szCs w:val="20"/>
          <w:lang w:val="en-US"/>
        </w:rPr>
        <w:t xml:space="preserve"> 276.</w:t>
      </w:r>
    </w:p>
  </w:footnote>
  <w:footnote w:id="132">
    <w:p w:rsidR="00EB4E5D" w:rsidRPr="003C36D7" w:rsidRDefault="00EB4E5D">
      <w:pPr>
        <w:pStyle w:val="FootnoteText"/>
        <w:rPr>
          <w:sz w:val="20"/>
          <w:szCs w:val="20"/>
        </w:rPr>
      </w:pPr>
      <w:r w:rsidRPr="003C36D7">
        <w:rPr>
          <w:rStyle w:val="FootnoteReference"/>
          <w:sz w:val="20"/>
          <w:szCs w:val="20"/>
        </w:rPr>
        <w:footnoteRef/>
      </w:r>
      <w:r w:rsidRPr="003C36D7">
        <w:rPr>
          <w:sz w:val="20"/>
          <w:szCs w:val="20"/>
        </w:rPr>
        <w:t xml:space="preserve"> </w:t>
      </w:r>
      <w:r w:rsidR="009D0E09">
        <w:rPr>
          <w:sz w:val="20"/>
          <w:szCs w:val="20"/>
        </w:rPr>
        <w:t>n 118</w:t>
      </w:r>
      <w:r>
        <w:rPr>
          <w:sz w:val="20"/>
          <w:szCs w:val="20"/>
        </w:rPr>
        <w:t xml:space="preserve"> above, 1612.  </w:t>
      </w:r>
    </w:p>
  </w:footnote>
  <w:footnote w:id="133">
    <w:p w:rsidR="00EB4E5D" w:rsidRPr="00AA4F87" w:rsidRDefault="00EB4E5D" w:rsidP="008476C1">
      <w:pPr>
        <w:pStyle w:val="FootnoteText"/>
        <w:rPr>
          <w:sz w:val="20"/>
          <w:szCs w:val="20"/>
        </w:rPr>
      </w:pPr>
      <w:r w:rsidRPr="00AA4F87">
        <w:rPr>
          <w:rStyle w:val="FootnoteReference"/>
          <w:sz w:val="20"/>
          <w:szCs w:val="20"/>
        </w:rPr>
        <w:footnoteRef/>
      </w:r>
      <w:r w:rsidRPr="00AA4F87">
        <w:rPr>
          <w:sz w:val="20"/>
          <w:szCs w:val="20"/>
        </w:rPr>
        <w:t xml:space="preserve"> A result initially achieved through a combination of common law and statute (</w:t>
      </w:r>
      <w:r w:rsidRPr="00AA4F87">
        <w:rPr>
          <w:i/>
          <w:sz w:val="20"/>
          <w:szCs w:val="20"/>
        </w:rPr>
        <w:t xml:space="preserve">Spencer’s Case </w:t>
      </w:r>
      <w:r w:rsidRPr="00AA4F87">
        <w:rPr>
          <w:sz w:val="20"/>
          <w:szCs w:val="20"/>
        </w:rPr>
        <w:t>(1583) 5 Co Rep 16a; Law of Property Act 1925</w:t>
      </w:r>
      <w:r>
        <w:rPr>
          <w:sz w:val="20"/>
          <w:szCs w:val="20"/>
        </w:rPr>
        <w:t>,</w:t>
      </w:r>
      <w:r w:rsidRPr="00AA4F87">
        <w:rPr>
          <w:sz w:val="20"/>
          <w:szCs w:val="20"/>
        </w:rPr>
        <w:t xml:space="preserve"> ss 141 and 142) and now by the Landlord and Tenant (Covenants) Act 1995</w:t>
      </w:r>
      <w:r>
        <w:rPr>
          <w:sz w:val="20"/>
          <w:szCs w:val="20"/>
        </w:rPr>
        <w:t xml:space="preserve"> – which was</w:t>
      </w:r>
      <w:r w:rsidRPr="00AA4F87">
        <w:rPr>
          <w:sz w:val="20"/>
          <w:szCs w:val="20"/>
        </w:rPr>
        <w:t xml:space="preserve"> driven in large part by the need to </w:t>
      </w:r>
      <w:r w:rsidRPr="003C36D7">
        <w:rPr>
          <w:i/>
          <w:sz w:val="20"/>
          <w:szCs w:val="20"/>
        </w:rPr>
        <w:t>remove</w:t>
      </w:r>
      <w:r w:rsidRPr="00AA4F87">
        <w:rPr>
          <w:sz w:val="20"/>
          <w:szCs w:val="20"/>
        </w:rPr>
        <w:t xml:space="preserve"> the enduring nature of contractual liability</w:t>
      </w:r>
      <w:r>
        <w:rPr>
          <w:sz w:val="20"/>
          <w:szCs w:val="20"/>
        </w:rPr>
        <w:t>.</w:t>
      </w:r>
    </w:p>
  </w:footnote>
  <w:footnote w:id="134">
    <w:p w:rsidR="00EB4E5D" w:rsidRPr="00AA4F87" w:rsidRDefault="00EB4E5D" w:rsidP="008476C1">
      <w:pPr>
        <w:pStyle w:val="FootnoteText"/>
        <w:rPr>
          <w:sz w:val="20"/>
          <w:szCs w:val="20"/>
        </w:rPr>
      </w:pPr>
      <w:r w:rsidRPr="00AA4F87">
        <w:rPr>
          <w:rStyle w:val="FootnoteReference"/>
          <w:sz w:val="20"/>
          <w:szCs w:val="20"/>
        </w:rPr>
        <w:footnoteRef/>
      </w:r>
      <w:r w:rsidRPr="00AA4F87">
        <w:rPr>
          <w:sz w:val="20"/>
          <w:szCs w:val="20"/>
        </w:rPr>
        <w:t xml:space="preserve"> </w:t>
      </w:r>
      <w:r w:rsidRPr="00AA4F87">
        <w:rPr>
          <w:i/>
          <w:sz w:val="20"/>
          <w:szCs w:val="20"/>
        </w:rPr>
        <w:t xml:space="preserve">Williams v Kiley </w:t>
      </w:r>
      <w:r w:rsidRPr="00AA4F87">
        <w:rPr>
          <w:sz w:val="20"/>
          <w:szCs w:val="20"/>
        </w:rPr>
        <w:t>[2002] EWCA Civ 1645.</w:t>
      </w:r>
    </w:p>
  </w:footnote>
  <w:footnote w:id="135">
    <w:p w:rsidR="00EB4E5D" w:rsidRPr="00AA0AAB" w:rsidRDefault="00EB4E5D">
      <w:pPr>
        <w:pStyle w:val="FootnoteText"/>
        <w:rPr>
          <w:sz w:val="20"/>
          <w:szCs w:val="20"/>
        </w:rPr>
      </w:pPr>
      <w:r w:rsidRPr="00AA0AAB">
        <w:rPr>
          <w:rStyle w:val="FootnoteReference"/>
          <w:sz w:val="20"/>
          <w:szCs w:val="20"/>
        </w:rPr>
        <w:footnoteRef/>
      </w:r>
      <w:r w:rsidRPr="00AA0AAB">
        <w:rPr>
          <w:sz w:val="20"/>
          <w:szCs w:val="20"/>
        </w:rPr>
        <w:t xml:space="preserve"> Interview carried out for research project </w:t>
      </w:r>
      <w:r w:rsidRPr="00AA0AAB">
        <w:rPr>
          <w:i/>
          <w:sz w:val="20"/>
          <w:szCs w:val="20"/>
        </w:rPr>
        <w:t>The Role Of Legality In Multi-Occupied Residential Settings: A Legal Consciousness Approach</w:t>
      </w:r>
      <w:r w:rsidRPr="00AA0AAB">
        <w:rPr>
          <w:sz w:val="20"/>
          <w:szCs w:val="20"/>
        </w:rPr>
        <w:t>,</w:t>
      </w:r>
      <w:r w:rsidRPr="00AA0AAB">
        <w:rPr>
          <w:i/>
          <w:sz w:val="20"/>
          <w:szCs w:val="20"/>
        </w:rPr>
        <w:t xml:space="preserve"> </w:t>
      </w:r>
      <w:r w:rsidRPr="00AA0AAB">
        <w:rPr>
          <w:sz w:val="20"/>
          <w:szCs w:val="20"/>
        </w:rPr>
        <w:t>funded by the British Academy.</w:t>
      </w:r>
    </w:p>
  </w:footnote>
  <w:footnote w:id="136">
    <w:p w:rsidR="00EB4E5D" w:rsidRPr="00AA4F87" w:rsidRDefault="00EB4E5D">
      <w:pPr>
        <w:pStyle w:val="FootnoteText"/>
        <w:rPr>
          <w:sz w:val="20"/>
          <w:szCs w:val="20"/>
        </w:rPr>
      </w:pPr>
      <w:r w:rsidRPr="00AA4F87">
        <w:rPr>
          <w:rStyle w:val="FootnoteReference"/>
          <w:sz w:val="20"/>
          <w:szCs w:val="20"/>
        </w:rPr>
        <w:footnoteRef/>
      </w:r>
      <w:r w:rsidRPr="00AA4F87">
        <w:rPr>
          <w:sz w:val="20"/>
          <w:szCs w:val="20"/>
        </w:rPr>
        <w:t xml:space="preserve"> </w:t>
      </w:r>
      <w:r w:rsidR="009D0E09">
        <w:rPr>
          <w:sz w:val="20"/>
          <w:szCs w:val="20"/>
        </w:rPr>
        <w:t>n 39</w:t>
      </w:r>
      <w:r>
        <w:rPr>
          <w:sz w:val="20"/>
          <w:szCs w:val="20"/>
        </w:rPr>
        <w:t xml:space="preserve"> above. </w:t>
      </w:r>
    </w:p>
  </w:footnote>
  <w:footnote w:id="137">
    <w:p w:rsidR="00EB4E5D" w:rsidRPr="00AA4F87" w:rsidRDefault="00EB4E5D" w:rsidP="00AE7673">
      <w:pPr>
        <w:pStyle w:val="FootnoteText"/>
        <w:rPr>
          <w:sz w:val="20"/>
          <w:szCs w:val="20"/>
        </w:rPr>
      </w:pPr>
      <w:r w:rsidRPr="00AA4F87">
        <w:rPr>
          <w:rStyle w:val="FootnoteReference"/>
          <w:sz w:val="20"/>
          <w:szCs w:val="20"/>
        </w:rPr>
        <w:footnoteRef/>
      </w:r>
      <w:r w:rsidRPr="00AA4F87">
        <w:rPr>
          <w:sz w:val="20"/>
          <w:szCs w:val="20"/>
        </w:rPr>
        <w:t xml:space="preserve"> For instance</w:t>
      </w:r>
      <w:r>
        <w:rPr>
          <w:sz w:val="20"/>
          <w:szCs w:val="20"/>
        </w:rPr>
        <w:t>,</w:t>
      </w:r>
      <w:r w:rsidRPr="00AA4F87">
        <w:rPr>
          <w:sz w:val="20"/>
          <w:szCs w:val="20"/>
        </w:rPr>
        <w:t xml:space="preserve"> informal mediation or the resolution of disputes by the Financial Ombudsman Service.</w:t>
      </w:r>
    </w:p>
  </w:footnote>
  <w:footnote w:id="138">
    <w:p w:rsidR="00EB4E5D" w:rsidRPr="00AA4F87" w:rsidRDefault="00EB4E5D" w:rsidP="00AE7673">
      <w:pPr>
        <w:pStyle w:val="FootnoteText"/>
        <w:rPr>
          <w:sz w:val="20"/>
          <w:szCs w:val="20"/>
        </w:rPr>
      </w:pPr>
      <w:r w:rsidRPr="00AA4F87">
        <w:rPr>
          <w:rStyle w:val="FootnoteReference"/>
          <w:sz w:val="20"/>
          <w:szCs w:val="20"/>
        </w:rPr>
        <w:footnoteRef/>
      </w:r>
      <w:r w:rsidRPr="00AA4F87">
        <w:rPr>
          <w:sz w:val="20"/>
          <w:szCs w:val="20"/>
        </w:rPr>
        <w:t xml:space="preserve"> For example the FCA who can issue directions or guidance to financial service providers. An instance is found in the resolution of payment protection insurance miss-selling</w:t>
      </w:r>
      <w:r>
        <w:rPr>
          <w:sz w:val="20"/>
          <w:szCs w:val="20"/>
        </w:rPr>
        <w:t>;</w:t>
      </w:r>
      <w:r w:rsidRPr="00AA4F87">
        <w:rPr>
          <w:sz w:val="20"/>
          <w:szCs w:val="20"/>
        </w:rPr>
        <w:t xml:space="preserve"> see </w:t>
      </w:r>
      <w:hyperlink r:id="rId10" w:history="1">
        <w:r w:rsidRPr="00E744DC">
          <w:rPr>
            <w:rStyle w:val="Hyperlink"/>
            <w:sz w:val="20"/>
            <w:szCs w:val="20"/>
          </w:rPr>
          <w:t>https://www.fca.org.uk/news/statements/financial-conduct-authority%E2%80%99s-statement-payment-protection-insurance-ppi</w:t>
        </w:r>
      </w:hyperlink>
      <w:r w:rsidRPr="001B645C">
        <w:rPr>
          <w:sz w:val="20"/>
          <w:szCs w:val="20"/>
        </w:rPr>
        <w:t>.</w:t>
      </w:r>
      <w:r>
        <w:rPr>
          <w:sz w:val="20"/>
          <w:szCs w:val="20"/>
        </w:rPr>
        <w:t xml:space="preserve"> </w:t>
      </w:r>
    </w:p>
  </w:footnote>
  <w:footnote w:id="139">
    <w:p w:rsidR="00EB4E5D" w:rsidRPr="009457ED" w:rsidRDefault="00EB4E5D" w:rsidP="009457ED">
      <w:pPr>
        <w:pStyle w:val="NoSpacing"/>
        <w:rPr>
          <w:rFonts w:ascii="Times New Roman" w:hAnsi="Times New Roman" w:cs="Times New Roman"/>
          <w:sz w:val="20"/>
          <w:szCs w:val="20"/>
        </w:rPr>
      </w:pPr>
      <w:r w:rsidRPr="009457ED">
        <w:rPr>
          <w:rStyle w:val="FootnoteReference"/>
          <w:rFonts w:ascii="Times New Roman" w:hAnsi="Times New Roman" w:cs="Times New Roman"/>
          <w:sz w:val="20"/>
          <w:szCs w:val="20"/>
        </w:rPr>
        <w:footnoteRef/>
      </w:r>
      <w:r w:rsidRPr="009457ED">
        <w:rPr>
          <w:rFonts w:ascii="Times New Roman" w:hAnsi="Times New Roman" w:cs="Times New Roman"/>
          <w:sz w:val="20"/>
          <w:szCs w:val="20"/>
        </w:rPr>
        <w:t xml:space="preserve"> L. Bernstein, ‘Merchant Law in a Merchant Court: Rethinking the Code</w:t>
      </w:r>
      <w:r>
        <w:rPr>
          <w:rFonts w:ascii="Times New Roman" w:hAnsi="Times New Roman" w:cs="Times New Roman"/>
          <w:sz w:val="20"/>
          <w:szCs w:val="20"/>
        </w:rPr>
        <w:t>’</w:t>
      </w:r>
      <w:r w:rsidRPr="009457ED">
        <w:rPr>
          <w:rFonts w:ascii="Times New Roman" w:hAnsi="Times New Roman" w:cs="Times New Roman"/>
          <w:sz w:val="20"/>
          <w:szCs w:val="20"/>
        </w:rPr>
        <w:t>s Search for Immanent Business Norms’ (1996) 144 U. Pa. L. Rev. 1765, 1796.</w:t>
      </w:r>
    </w:p>
  </w:footnote>
  <w:footnote w:id="140">
    <w:p w:rsidR="00EB4E5D" w:rsidRPr="009457ED" w:rsidRDefault="00EB4E5D" w:rsidP="009457ED">
      <w:pPr>
        <w:pStyle w:val="NoSpacing"/>
        <w:rPr>
          <w:rFonts w:ascii="Times New Roman" w:hAnsi="Times New Roman" w:cs="Times New Roman"/>
          <w:sz w:val="20"/>
          <w:szCs w:val="20"/>
        </w:rPr>
      </w:pPr>
      <w:r w:rsidRPr="009457ED">
        <w:rPr>
          <w:rStyle w:val="FootnoteReference"/>
          <w:rFonts w:ascii="Times New Roman" w:hAnsi="Times New Roman" w:cs="Times New Roman"/>
          <w:sz w:val="20"/>
          <w:szCs w:val="20"/>
        </w:rPr>
        <w:footnoteRef/>
      </w:r>
      <w:r w:rsidRPr="009457ED">
        <w:rPr>
          <w:rFonts w:ascii="Times New Roman" w:hAnsi="Times New Roman" w:cs="Times New Roman"/>
          <w:sz w:val="20"/>
          <w:szCs w:val="20"/>
        </w:rPr>
        <w:t xml:space="preserve"> R. J Gilson, C.F Sabel and R.E Scott, </w:t>
      </w:r>
      <w:r>
        <w:rPr>
          <w:rFonts w:ascii="Times New Roman" w:hAnsi="Times New Roman" w:cs="Times New Roman"/>
          <w:sz w:val="20"/>
          <w:szCs w:val="20"/>
        </w:rPr>
        <w:t>‘</w:t>
      </w:r>
      <w:r w:rsidRPr="009457ED">
        <w:rPr>
          <w:rFonts w:ascii="Times New Roman" w:hAnsi="Times New Roman" w:cs="Times New Roman"/>
          <w:sz w:val="20"/>
          <w:szCs w:val="20"/>
        </w:rPr>
        <w:t>Braiding: the interaction of formal and informal contracting in theory, practice and doctrine</w:t>
      </w:r>
      <w:r>
        <w:rPr>
          <w:rFonts w:ascii="Times New Roman" w:hAnsi="Times New Roman" w:cs="Times New Roman"/>
          <w:sz w:val="20"/>
          <w:szCs w:val="20"/>
        </w:rPr>
        <w:t>’</w:t>
      </w:r>
      <w:r w:rsidRPr="009457ED">
        <w:rPr>
          <w:rFonts w:ascii="Times New Roman" w:hAnsi="Times New Roman" w:cs="Times New Roman"/>
          <w:sz w:val="20"/>
          <w:szCs w:val="20"/>
        </w:rPr>
        <w:t xml:space="preserve"> (2010) 110 Colum</w:t>
      </w:r>
      <w:r>
        <w:rPr>
          <w:rFonts w:ascii="Times New Roman" w:hAnsi="Times New Roman" w:cs="Times New Roman"/>
          <w:sz w:val="20"/>
          <w:szCs w:val="20"/>
        </w:rPr>
        <w:t>.</w:t>
      </w:r>
      <w:r w:rsidRPr="009457ED">
        <w:rPr>
          <w:rFonts w:ascii="Times New Roman" w:hAnsi="Times New Roman" w:cs="Times New Roman"/>
          <w:sz w:val="20"/>
          <w:szCs w:val="20"/>
        </w:rPr>
        <w:t xml:space="preserve"> L</w:t>
      </w:r>
      <w:r>
        <w:rPr>
          <w:rFonts w:ascii="Times New Roman" w:hAnsi="Times New Roman" w:cs="Times New Roman"/>
          <w:sz w:val="20"/>
          <w:szCs w:val="20"/>
        </w:rPr>
        <w:t>.</w:t>
      </w:r>
      <w:r w:rsidRPr="009457ED">
        <w:rPr>
          <w:rFonts w:ascii="Times New Roman" w:hAnsi="Times New Roman" w:cs="Times New Roman"/>
          <w:sz w:val="20"/>
          <w:szCs w:val="20"/>
        </w:rPr>
        <w:t xml:space="preserve"> Rev</w:t>
      </w:r>
      <w:r>
        <w:rPr>
          <w:rFonts w:ascii="Times New Roman" w:hAnsi="Times New Roman" w:cs="Times New Roman"/>
          <w:sz w:val="20"/>
          <w:szCs w:val="20"/>
        </w:rPr>
        <w:t>.</w:t>
      </w:r>
      <w:r w:rsidRPr="009457ED">
        <w:rPr>
          <w:rFonts w:ascii="Times New Roman" w:hAnsi="Times New Roman" w:cs="Times New Roman"/>
          <w:sz w:val="20"/>
          <w:szCs w:val="20"/>
        </w:rPr>
        <w:t xml:space="preserve"> 1377.</w:t>
      </w:r>
    </w:p>
  </w:footnote>
  <w:footnote w:id="141">
    <w:p w:rsidR="00EB4E5D" w:rsidRPr="008D38A0" w:rsidRDefault="00EB4E5D" w:rsidP="00AE7673">
      <w:pPr>
        <w:pStyle w:val="FootnoteText"/>
        <w:rPr>
          <w:sz w:val="20"/>
          <w:szCs w:val="20"/>
        </w:rPr>
      </w:pPr>
      <w:r w:rsidRPr="00AA4F87">
        <w:rPr>
          <w:rStyle w:val="FootnoteReference"/>
          <w:sz w:val="20"/>
          <w:szCs w:val="20"/>
        </w:rPr>
        <w:footnoteRef/>
      </w:r>
      <w:r w:rsidRPr="00AA4F87">
        <w:rPr>
          <w:sz w:val="20"/>
          <w:szCs w:val="20"/>
        </w:rPr>
        <w:t xml:space="preserve"> </w:t>
      </w:r>
      <w:r>
        <w:rPr>
          <w:sz w:val="20"/>
          <w:szCs w:val="20"/>
        </w:rPr>
        <w:t>n 10</w:t>
      </w:r>
      <w:r w:rsidR="009D0E09">
        <w:rPr>
          <w:sz w:val="20"/>
          <w:szCs w:val="20"/>
        </w:rPr>
        <w:t>2</w:t>
      </w:r>
      <w:r>
        <w:rPr>
          <w:sz w:val="20"/>
          <w:szCs w:val="20"/>
        </w:rPr>
        <w:t xml:space="preserve"> above.  </w:t>
      </w:r>
    </w:p>
  </w:footnote>
  <w:footnote w:id="142">
    <w:p w:rsidR="00EB4E5D" w:rsidRPr="00AA4F87" w:rsidRDefault="00EB4E5D" w:rsidP="00AE7673">
      <w:pPr>
        <w:pStyle w:val="FootnoteText"/>
        <w:rPr>
          <w:sz w:val="20"/>
          <w:szCs w:val="20"/>
        </w:rPr>
      </w:pPr>
      <w:r w:rsidRPr="00AA4F87">
        <w:rPr>
          <w:rStyle w:val="FootnoteReference"/>
          <w:sz w:val="20"/>
          <w:szCs w:val="20"/>
        </w:rPr>
        <w:footnoteRef/>
      </w:r>
      <w:r w:rsidRPr="00AA4F87">
        <w:rPr>
          <w:sz w:val="20"/>
          <w:szCs w:val="20"/>
        </w:rPr>
        <w:t xml:space="preserve"> </w:t>
      </w:r>
      <w:r>
        <w:rPr>
          <w:sz w:val="20"/>
          <w:szCs w:val="20"/>
        </w:rPr>
        <w:t xml:space="preserve">ibid. </w:t>
      </w:r>
    </w:p>
  </w:footnote>
  <w:footnote w:id="143">
    <w:p w:rsidR="00EB4E5D" w:rsidRPr="00AA4F87" w:rsidRDefault="00EB4E5D" w:rsidP="00AE7673">
      <w:pPr>
        <w:pStyle w:val="FootnoteText"/>
        <w:rPr>
          <w:sz w:val="20"/>
          <w:szCs w:val="20"/>
        </w:rPr>
      </w:pPr>
      <w:r w:rsidRPr="00AA4F87">
        <w:rPr>
          <w:rStyle w:val="FootnoteReference"/>
          <w:sz w:val="20"/>
          <w:szCs w:val="20"/>
        </w:rPr>
        <w:footnoteRef/>
      </w:r>
      <w:r w:rsidRPr="00AA4F87">
        <w:rPr>
          <w:sz w:val="20"/>
          <w:szCs w:val="20"/>
        </w:rPr>
        <w:t xml:space="preserve"> </w:t>
      </w:r>
      <w:r w:rsidR="009D0E09">
        <w:rPr>
          <w:sz w:val="20"/>
          <w:szCs w:val="20"/>
        </w:rPr>
        <w:t>n 3</w:t>
      </w:r>
      <w:r>
        <w:rPr>
          <w:sz w:val="20"/>
          <w:szCs w:val="20"/>
        </w:rPr>
        <w:t xml:space="preserve">2 above, 45.  </w:t>
      </w:r>
    </w:p>
  </w:footnote>
  <w:footnote w:id="144">
    <w:p w:rsidR="00EB4E5D" w:rsidRPr="00AA4F87" w:rsidRDefault="00EB4E5D" w:rsidP="00C94178">
      <w:pPr>
        <w:pStyle w:val="FootnoteText"/>
        <w:contextualSpacing/>
        <w:rPr>
          <w:sz w:val="20"/>
          <w:szCs w:val="20"/>
        </w:rPr>
      </w:pPr>
      <w:r w:rsidRPr="00AA4F87">
        <w:rPr>
          <w:rStyle w:val="FootnoteReference"/>
          <w:sz w:val="20"/>
          <w:szCs w:val="20"/>
        </w:rPr>
        <w:footnoteRef/>
      </w:r>
      <w:r w:rsidRPr="00AA4F87">
        <w:rPr>
          <w:sz w:val="20"/>
          <w:szCs w:val="20"/>
        </w:rPr>
        <w:t xml:space="preserve"> A jurisdiction originally founded equity but now contained in Law of Property Act 1925</w:t>
      </w:r>
      <w:r>
        <w:rPr>
          <w:sz w:val="20"/>
          <w:szCs w:val="20"/>
        </w:rPr>
        <w:t xml:space="preserve">, </w:t>
      </w:r>
      <w:r w:rsidRPr="00AA4F87">
        <w:rPr>
          <w:sz w:val="20"/>
          <w:szCs w:val="20"/>
        </w:rPr>
        <w:t>s</w:t>
      </w:r>
      <w:r>
        <w:rPr>
          <w:sz w:val="20"/>
          <w:szCs w:val="20"/>
        </w:rPr>
        <w:t xml:space="preserve"> </w:t>
      </w:r>
      <w:r w:rsidRPr="00AA4F87">
        <w:rPr>
          <w:sz w:val="20"/>
          <w:szCs w:val="20"/>
        </w:rPr>
        <w:t>146(1).</w:t>
      </w:r>
    </w:p>
  </w:footnote>
  <w:footnote w:id="145">
    <w:p w:rsidR="00EB4E5D" w:rsidRPr="003A0650" w:rsidRDefault="00EB4E5D" w:rsidP="003A0650">
      <w:pPr>
        <w:pStyle w:val="FootnoteText"/>
        <w:rPr>
          <w:sz w:val="20"/>
          <w:szCs w:val="20"/>
        </w:rPr>
      </w:pPr>
      <w:r w:rsidRPr="003A0650">
        <w:rPr>
          <w:rStyle w:val="FootnoteReference"/>
          <w:sz w:val="20"/>
        </w:rPr>
        <w:footnoteRef/>
      </w:r>
      <w:r w:rsidRPr="003A0650">
        <w:t xml:space="preserve"> </w:t>
      </w:r>
      <w:r w:rsidR="009D0E09">
        <w:rPr>
          <w:sz w:val="20"/>
          <w:szCs w:val="20"/>
        </w:rPr>
        <w:t>n 39</w:t>
      </w:r>
      <w:r>
        <w:rPr>
          <w:sz w:val="20"/>
          <w:szCs w:val="20"/>
        </w:rPr>
        <w:t xml:space="preserve"> above. </w:t>
      </w:r>
    </w:p>
  </w:footnote>
  <w:footnote w:id="146">
    <w:p w:rsidR="00EB4E5D" w:rsidRPr="00AA4F87" w:rsidRDefault="00EB4E5D" w:rsidP="000751D0">
      <w:pPr>
        <w:pStyle w:val="FootnoteText"/>
        <w:rPr>
          <w:sz w:val="20"/>
          <w:szCs w:val="20"/>
        </w:rPr>
      </w:pPr>
      <w:r w:rsidRPr="00AA4F87">
        <w:rPr>
          <w:rStyle w:val="FootnoteReference"/>
          <w:sz w:val="20"/>
          <w:szCs w:val="20"/>
        </w:rPr>
        <w:footnoteRef/>
      </w:r>
      <w:r w:rsidRPr="00AA4F87">
        <w:rPr>
          <w:sz w:val="20"/>
          <w:szCs w:val="20"/>
        </w:rPr>
        <w:t xml:space="preserve"> P. Gerhart, </w:t>
      </w:r>
      <w:r w:rsidRPr="00AA4F87">
        <w:rPr>
          <w:i/>
          <w:sz w:val="20"/>
          <w:szCs w:val="20"/>
        </w:rPr>
        <w:t xml:space="preserve">Property Law and Social Morality </w:t>
      </w:r>
      <w:r w:rsidRPr="00AA4F87">
        <w:rPr>
          <w:sz w:val="20"/>
          <w:szCs w:val="20"/>
        </w:rPr>
        <w:t>(</w:t>
      </w:r>
      <w:r>
        <w:rPr>
          <w:sz w:val="20"/>
          <w:szCs w:val="20"/>
        </w:rPr>
        <w:t xml:space="preserve">New York: </w:t>
      </w:r>
      <w:r w:rsidRPr="00AA4F87">
        <w:rPr>
          <w:sz w:val="20"/>
          <w:szCs w:val="20"/>
        </w:rPr>
        <w:t>Cambridge University Press, 2013</w:t>
      </w:r>
      <w:r>
        <w:rPr>
          <w:sz w:val="20"/>
          <w:szCs w:val="20"/>
        </w:rPr>
        <w:t>).</w:t>
      </w:r>
    </w:p>
  </w:footnote>
  <w:footnote w:id="147">
    <w:p w:rsidR="00EB4E5D" w:rsidRPr="00AA4F87" w:rsidRDefault="00EB4E5D" w:rsidP="00C94178">
      <w:pPr>
        <w:pStyle w:val="NoSpacing"/>
        <w:contextualSpacing/>
        <w:rPr>
          <w:rFonts w:ascii="Times New Roman" w:hAnsi="Times New Roman" w:cs="Times New Roman"/>
          <w:sz w:val="20"/>
          <w:szCs w:val="20"/>
        </w:rPr>
      </w:pPr>
      <w:r w:rsidRPr="00AA4F87">
        <w:rPr>
          <w:rStyle w:val="FootnoteReference"/>
          <w:rFonts w:ascii="Times New Roman" w:hAnsi="Times New Roman" w:cs="Times New Roman"/>
          <w:sz w:val="20"/>
          <w:szCs w:val="20"/>
        </w:rPr>
        <w:footnoteRef/>
      </w:r>
      <w:r w:rsidRPr="00AA4F87">
        <w:rPr>
          <w:rFonts w:ascii="Times New Roman" w:hAnsi="Times New Roman" w:cs="Times New Roman"/>
          <w:sz w:val="20"/>
          <w:szCs w:val="20"/>
        </w:rPr>
        <w:t xml:space="preserve"> J. Dickinson, </w:t>
      </w:r>
      <w:r w:rsidRPr="00AA4F87">
        <w:rPr>
          <w:rFonts w:ascii="Times New Roman" w:hAnsi="Times New Roman" w:cs="Times New Roman"/>
          <w:i/>
          <w:sz w:val="20"/>
          <w:szCs w:val="20"/>
        </w:rPr>
        <w:t xml:space="preserve">Analysis of inter-resident disputes in private residential developments </w:t>
      </w:r>
      <w:r w:rsidRPr="00AA4F87">
        <w:rPr>
          <w:rFonts w:ascii="Times New Roman" w:hAnsi="Times New Roman" w:cs="Times New Roman"/>
          <w:sz w:val="20"/>
          <w:szCs w:val="20"/>
        </w:rPr>
        <w:t xml:space="preserve">(unpublished, 2013), paper on file with </w:t>
      </w:r>
      <w:r>
        <w:rPr>
          <w:rFonts w:ascii="Times New Roman" w:hAnsi="Times New Roman" w:cs="Times New Roman"/>
          <w:sz w:val="20"/>
          <w:szCs w:val="20"/>
        </w:rPr>
        <w:t>[author]</w:t>
      </w:r>
      <w:r w:rsidRPr="00AA4F87">
        <w:rPr>
          <w:rFonts w:ascii="Times New Roman" w:hAnsi="Times New Roman" w:cs="Times New Roman"/>
          <w:sz w:val="20"/>
          <w:szCs w:val="20"/>
        </w:rPr>
        <w:t>.</w:t>
      </w:r>
    </w:p>
  </w:footnote>
  <w:footnote w:id="148">
    <w:p w:rsidR="00EB4E5D" w:rsidRPr="00AA4F87" w:rsidRDefault="00EB4E5D" w:rsidP="005E1391">
      <w:pPr>
        <w:pStyle w:val="FootnoteText"/>
        <w:rPr>
          <w:sz w:val="20"/>
          <w:szCs w:val="20"/>
        </w:rPr>
      </w:pPr>
      <w:r w:rsidRPr="00AA4F87">
        <w:rPr>
          <w:rStyle w:val="FootnoteReference"/>
          <w:sz w:val="20"/>
          <w:szCs w:val="20"/>
        </w:rPr>
        <w:footnoteRef/>
      </w:r>
      <w:r w:rsidRPr="00AA4F87">
        <w:rPr>
          <w:sz w:val="20"/>
          <w:szCs w:val="20"/>
        </w:rPr>
        <w:t xml:space="preserve"> </w:t>
      </w:r>
      <w:r>
        <w:rPr>
          <w:sz w:val="20"/>
          <w:szCs w:val="20"/>
        </w:rPr>
        <w:t xml:space="preserve">n </w:t>
      </w:r>
      <w:r w:rsidR="009D0E09">
        <w:rPr>
          <w:sz w:val="20"/>
          <w:szCs w:val="20"/>
        </w:rPr>
        <w:t>8</w:t>
      </w:r>
      <w:r>
        <w:rPr>
          <w:sz w:val="20"/>
          <w:szCs w:val="20"/>
        </w:rPr>
        <w:t xml:space="preserve"> above. </w:t>
      </w:r>
      <w:r w:rsidRPr="001F5860">
        <w:rPr>
          <w:sz w:val="20"/>
          <w:szCs w:val="20"/>
        </w:rPr>
        <w:t xml:space="preserve"> </w:t>
      </w:r>
    </w:p>
  </w:footnote>
  <w:footnote w:id="149">
    <w:p w:rsidR="00EB4E5D" w:rsidRPr="00FA5AA5" w:rsidRDefault="00EB4E5D" w:rsidP="00FA5AA5">
      <w:pPr>
        <w:pStyle w:val="NoSpacing"/>
        <w:rPr>
          <w:rFonts w:ascii="Times New Roman" w:hAnsi="Times New Roman" w:cs="Times New Roman"/>
          <w:sz w:val="20"/>
          <w:szCs w:val="20"/>
        </w:rPr>
      </w:pPr>
      <w:r w:rsidRPr="00FA5AA5">
        <w:rPr>
          <w:rStyle w:val="FootnoteReference"/>
          <w:rFonts w:ascii="Times New Roman" w:hAnsi="Times New Roman" w:cs="Times New Roman"/>
          <w:sz w:val="20"/>
          <w:szCs w:val="20"/>
        </w:rPr>
        <w:footnoteRef/>
      </w:r>
      <w:r w:rsidRPr="00FA5AA5">
        <w:rPr>
          <w:rFonts w:ascii="Times New Roman" w:hAnsi="Times New Roman" w:cs="Times New Roman"/>
          <w:sz w:val="20"/>
          <w:szCs w:val="20"/>
        </w:rPr>
        <w:t xml:space="preserve"> </w:t>
      </w:r>
      <w:r w:rsidRPr="00FA5AA5">
        <w:rPr>
          <w:rFonts w:ascii="Times New Roman" w:hAnsi="Times New Roman" w:cs="Times New Roman"/>
          <w:i/>
          <w:sz w:val="20"/>
          <w:szCs w:val="20"/>
        </w:rPr>
        <w:t>Norman v Sparling</w:t>
      </w:r>
      <w:r w:rsidRPr="00FA5AA5">
        <w:rPr>
          <w:rFonts w:ascii="Times New Roman" w:hAnsi="Times New Roman" w:cs="Times New Roman"/>
          <w:sz w:val="20"/>
          <w:szCs w:val="20"/>
        </w:rPr>
        <w:t xml:space="preserve"> [2014] EWCA Civ 1152 at [12].</w:t>
      </w:r>
    </w:p>
  </w:footnote>
  <w:footnote w:id="150">
    <w:p w:rsidR="00EB4E5D" w:rsidRPr="00AA4F87" w:rsidRDefault="00EB4E5D" w:rsidP="00AE7673">
      <w:pPr>
        <w:pStyle w:val="NoSpacing"/>
        <w:rPr>
          <w:rFonts w:ascii="Times New Roman" w:hAnsi="Times New Roman" w:cs="Times New Roman"/>
          <w:sz w:val="20"/>
          <w:szCs w:val="20"/>
        </w:rPr>
      </w:pPr>
      <w:r w:rsidRPr="00AA4F87">
        <w:rPr>
          <w:rStyle w:val="FootnoteReference"/>
          <w:rFonts w:ascii="Times New Roman" w:hAnsi="Times New Roman" w:cs="Times New Roman"/>
          <w:sz w:val="20"/>
          <w:szCs w:val="20"/>
        </w:rPr>
        <w:footnoteRef/>
      </w:r>
      <w:r w:rsidRPr="00AA4F87">
        <w:rPr>
          <w:rFonts w:ascii="Times New Roman" w:hAnsi="Times New Roman" w:cs="Times New Roman"/>
          <w:sz w:val="20"/>
          <w:szCs w:val="20"/>
        </w:rPr>
        <w:t xml:space="preserve"> N. M. Davidson, ‘Property’s Morale’ (2011) 110 Mich. L. Rev. 437, 488.</w:t>
      </w:r>
    </w:p>
  </w:footnote>
  <w:footnote w:id="151">
    <w:p w:rsidR="00EB4E5D" w:rsidRPr="00F3272E" w:rsidRDefault="00EB4E5D">
      <w:pPr>
        <w:pStyle w:val="FootnoteText"/>
        <w:rPr>
          <w:sz w:val="20"/>
          <w:szCs w:val="20"/>
        </w:rPr>
      </w:pPr>
      <w:r>
        <w:rPr>
          <w:rStyle w:val="FootnoteReference"/>
        </w:rPr>
        <w:footnoteRef/>
      </w:r>
      <w:r>
        <w:t xml:space="preserve"> </w:t>
      </w:r>
      <w:r w:rsidRPr="00F3272E">
        <w:rPr>
          <w:sz w:val="20"/>
          <w:szCs w:val="20"/>
        </w:rPr>
        <w:t xml:space="preserve">Employment, Social Affairs and Inclusion (European Commission), </w:t>
      </w:r>
      <w:r w:rsidRPr="00F3272E">
        <w:rPr>
          <w:i/>
          <w:sz w:val="20"/>
          <w:szCs w:val="20"/>
        </w:rPr>
        <w:t>Flexicurity</w:t>
      </w:r>
      <w:r w:rsidRPr="00F3272E">
        <w:rPr>
          <w:sz w:val="20"/>
          <w:szCs w:val="20"/>
        </w:rPr>
        <w:t xml:space="preserve">, at </w:t>
      </w:r>
      <w:hyperlink r:id="rId11" w:history="1">
        <w:r w:rsidRPr="00F3272E">
          <w:rPr>
            <w:rStyle w:val="Hyperlink"/>
            <w:sz w:val="20"/>
            <w:szCs w:val="20"/>
          </w:rPr>
          <w:t>http://ec.europa.eu/social/main.jsp?catId=102</w:t>
        </w:r>
      </w:hyperlink>
      <w:r>
        <w:rPr>
          <w:sz w:val="20"/>
          <w:szCs w:val="20"/>
        </w:rPr>
        <w:t>.</w:t>
      </w:r>
    </w:p>
  </w:footnote>
  <w:footnote w:id="152">
    <w:p w:rsidR="00EB4E5D" w:rsidRPr="00AA4F87" w:rsidRDefault="00EB4E5D" w:rsidP="00AE7673">
      <w:pPr>
        <w:pStyle w:val="FootnoteText"/>
        <w:rPr>
          <w:sz w:val="20"/>
          <w:szCs w:val="20"/>
        </w:rPr>
      </w:pPr>
      <w:r w:rsidRPr="00AA4F87">
        <w:rPr>
          <w:rStyle w:val="FootnoteReference"/>
          <w:sz w:val="20"/>
          <w:szCs w:val="20"/>
        </w:rPr>
        <w:footnoteRef/>
      </w:r>
      <w:r w:rsidR="009D0E09">
        <w:rPr>
          <w:sz w:val="20"/>
          <w:szCs w:val="20"/>
        </w:rPr>
        <w:t xml:space="preserve"> n 39</w:t>
      </w:r>
      <w:r>
        <w:rPr>
          <w:sz w:val="20"/>
          <w:szCs w:val="20"/>
        </w:rPr>
        <w:t xml:space="preserve"> above.  </w:t>
      </w:r>
    </w:p>
  </w:footnote>
  <w:footnote w:id="153">
    <w:p w:rsidR="00EB4E5D" w:rsidRPr="00335BF1" w:rsidRDefault="00EB4E5D" w:rsidP="001B442E">
      <w:pPr>
        <w:pStyle w:val="FootnoteText"/>
        <w:rPr>
          <w:lang w:val="en-US"/>
        </w:rPr>
      </w:pPr>
      <w:r w:rsidRPr="00335BF1">
        <w:rPr>
          <w:rStyle w:val="FootnoteReference"/>
          <w:sz w:val="20"/>
          <w:szCs w:val="20"/>
        </w:rPr>
        <w:footnoteRef/>
      </w:r>
      <w:r w:rsidRPr="00335BF1">
        <w:rPr>
          <w:sz w:val="20"/>
          <w:szCs w:val="20"/>
        </w:rPr>
        <w:t xml:space="preserve"> </w:t>
      </w:r>
      <w:r w:rsidRPr="00335BF1">
        <w:rPr>
          <w:i/>
          <w:sz w:val="20"/>
          <w:szCs w:val="20"/>
        </w:rPr>
        <w:t>Earl of Oxford’s Case</w:t>
      </w:r>
      <w:r w:rsidRPr="00335BF1">
        <w:rPr>
          <w:sz w:val="20"/>
          <w:szCs w:val="20"/>
        </w:rPr>
        <w:t xml:space="preserve"> (1615) 1 Ch Rep 1, </w:t>
      </w:r>
      <w:r>
        <w:rPr>
          <w:sz w:val="20"/>
          <w:szCs w:val="20"/>
        </w:rPr>
        <w:t>Lord Ellesmere LC.</w:t>
      </w:r>
    </w:p>
  </w:footnote>
  <w:footnote w:id="154">
    <w:p w:rsidR="00EB4E5D" w:rsidRPr="00CC318F" w:rsidRDefault="00EB4E5D" w:rsidP="00AE7673">
      <w:pPr>
        <w:pStyle w:val="FootnoteText"/>
        <w:rPr>
          <w:sz w:val="20"/>
          <w:szCs w:val="20"/>
        </w:rPr>
      </w:pPr>
      <w:r w:rsidRPr="00CC318F">
        <w:rPr>
          <w:rStyle w:val="FootnoteReference"/>
          <w:sz w:val="20"/>
          <w:szCs w:val="20"/>
        </w:rPr>
        <w:footnoteRef/>
      </w:r>
      <w:r w:rsidRPr="00CC318F">
        <w:rPr>
          <w:sz w:val="20"/>
          <w:szCs w:val="20"/>
        </w:rPr>
        <w:t xml:space="preserve"> </w:t>
      </w:r>
      <w:r w:rsidRPr="006414D6">
        <w:rPr>
          <w:bCs/>
          <w:i/>
          <w:kern w:val="36"/>
          <w:sz w:val="20"/>
          <w:szCs w:val="20"/>
        </w:rPr>
        <w:t>Tingdene Holiday Parks Ltd v Cox</w:t>
      </w:r>
      <w:r>
        <w:rPr>
          <w:bCs/>
          <w:i/>
          <w:kern w:val="36"/>
          <w:sz w:val="20"/>
          <w:szCs w:val="20"/>
        </w:rPr>
        <w:t xml:space="preserve"> </w:t>
      </w:r>
      <w:r>
        <w:rPr>
          <w:bCs/>
          <w:kern w:val="36"/>
          <w:sz w:val="20"/>
          <w:szCs w:val="20"/>
        </w:rPr>
        <w:t xml:space="preserve">[2011] UKUT 310; </w:t>
      </w:r>
      <w:r w:rsidRPr="006414D6">
        <w:rPr>
          <w:i/>
          <w:sz w:val="20"/>
          <w:szCs w:val="20"/>
        </w:rPr>
        <w:t xml:space="preserve">Clacy </w:t>
      </w:r>
      <w:r w:rsidRPr="00CC318F">
        <w:rPr>
          <w:i/>
          <w:sz w:val="20"/>
          <w:szCs w:val="20"/>
        </w:rPr>
        <w:t xml:space="preserve">v Saunders </w:t>
      </w:r>
      <w:r w:rsidRPr="00CC318F">
        <w:rPr>
          <w:sz w:val="20"/>
          <w:szCs w:val="20"/>
        </w:rPr>
        <w:t xml:space="preserve">[2015] UKUT 387, and </w:t>
      </w:r>
      <w:r w:rsidRPr="00CC318F">
        <w:rPr>
          <w:i/>
          <w:sz w:val="20"/>
          <w:szCs w:val="20"/>
        </w:rPr>
        <w:t>Admiralty Park Management Ltd v Ojo</w:t>
      </w:r>
      <w:r w:rsidRPr="00CC318F">
        <w:rPr>
          <w:sz w:val="20"/>
          <w:szCs w:val="20"/>
        </w:rPr>
        <w:t xml:space="preserve"> [2016] UKUT</w:t>
      </w:r>
      <w:r>
        <w:rPr>
          <w:sz w:val="20"/>
          <w:szCs w:val="20"/>
        </w:rPr>
        <w:t>,</w:t>
      </w:r>
      <w:r w:rsidRPr="00CC318F">
        <w:rPr>
          <w:sz w:val="20"/>
          <w:szCs w:val="20"/>
        </w:rPr>
        <w:t xml:space="preserve"> </w:t>
      </w:r>
      <w:r>
        <w:rPr>
          <w:sz w:val="20"/>
          <w:szCs w:val="20"/>
        </w:rPr>
        <w:t xml:space="preserve">relying on </w:t>
      </w:r>
      <w:r>
        <w:rPr>
          <w:i/>
          <w:sz w:val="20"/>
          <w:szCs w:val="20"/>
        </w:rPr>
        <w:t xml:space="preserve">Republic of India v India Steam Ship Co Ltd </w:t>
      </w:r>
      <w:r>
        <w:rPr>
          <w:sz w:val="20"/>
          <w:szCs w:val="20"/>
        </w:rPr>
        <w:t>[1998] AC 878</w:t>
      </w:r>
      <w:r w:rsidRPr="00CC318F">
        <w:rPr>
          <w:sz w:val="20"/>
          <w:szCs w:val="20"/>
        </w:rPr>
        <w:t>.</w:t>
      </w:r>
      <w:r>
        <w:rPr>
          <w:sz w:val="20"/>
          <w:szCs w:val="20"/>
        </w:rPr>
        <w:t xml:space="preserve"> This doctrine is apparently increasingly being used at First-tier Property tribunal level: see H Bowers, H. Carr and C. Hunter, ‘All in it together? Improving dispute resolution in collectively managed and collectively enfranchised long leasehold properties’, paper presented at the Comparative Social Sustainability symposium, RMIT University Europe, Barcelona, 21-22 November 2016.</w:t>
      </w:r>
    </w:p>
  </w:footnote>
  <w:footnote w:id="155">
    <w:p w:rsidR="00EB4E5D" w:rsidRPr="00AA4F87" w:rsidRDefault="00EB4E5D" w:rsidP="00AE7673">
      <w:pPr>
        <w:pStyle w:val="FootnoteText"/>
        <w:contextualSpacing/>
        <w:rPr>
          <w:sz w:val="20"/>
          <w:szCs w:val="20"/>
        </w:rPr>
      </w:pPr>
      <w:r w:rsidRPr="00AA4F87">
        <w:rPr>
          <w:rStyle w:val="FootnoteReference"/>
          <w:sz w:val="20"/>
          <w:szCs w:val="20"/>
        </w:rPr>
        <w:footnoteRef/>
      </w:r>
      <w:r w:rsidRPr="00AA4F87">
        <w:rPr>
          <w:sz w:val="20"/>
          <w:szCs w:val="20"/>
        </w:rPr>
        <w:t xml:space="preserve"> </w:t>
      </w:r>
      <w:r w:rsidR="009D0E09">
        <w:rPr>
          <w:rStyle w:val="st"/>
          <w:sz w:val="20"/>
          <w:szCs w:val="20"/>
        </w:rPr>
        <w:t>n 72</w:t>
      </w:r>
      <w:r>
        <w:rPr>
          <w:rStyle w:val="st"/>
          <w:sz w:val="20"/>
          <w:szCs w:val="20"/>
        </w:rPr>
        <w:t xml:space="preserve"> above, at</w:t>
      </w:r>
      <w:r w:rsidRPr="00AA4F87">
        <w:rPr>
          <w:rStyle w:val="st"/>
          <w:sz w:val="20"/>
          <w:szCs w:val="20"/>
        </w:rPr>
        <w:t xml:space="preserve"> [84].</w:t>
      </w:r>
    </w:p>
  </w:footnote>
  <w:footnote w:id="156">
    <w:p w:rsidR="00EB4E5D" w:rsidRPr="00AA4F87" w:rsidRDefault="00EB4E5D" w:rsidP="00AE7673">
      <w:pPr>
        <w:pStyle w:val="FootnoteText"/>
        <w:contextualSpacing/>
        <w:rPr>
          <w:sz w:val="20"/>
          <w:szCs w:val="20"/>
        </w:rPr>
      </w:pPr>
      <w:r w:rsidRPr="00AA4F87">
        <w:rPr>
          <w:rStyle w:val="FootnoteReference"/>
          <w:sz w:val="20"/>
          <w:szCs w:val="20"/>
        </w:rPr>
        <w:footnoteRef/>
      </w:r>
      <w:r w:rsidRPr="00AA4F87">
        <w:rPr>
          <w:sz w:val="20"/>
          <w:szCs w:val="20"/>
        </w:rPr>
        <w:t xml:space="preserve"> Scholars differ as to whether the courts are simply declaring rights that are already established</w:t>
      </w:r>
      <w:r>
        <w:rPr>
          <w:sz w:val="20"/>
          <w:szCs w:val="20"/>
        </w:rPr>
        <w:t xml:space="preserve">; see for example, </w:t>
      </w:r>
      <w:r w:rsidRPr="00AA4F87">
        <w:rPr>
          <w:sz w:val="20"/>
          <w:szCs w:val="20"/>
        </w:rPr>
        <w:t>B</w:t>
      </w:r>
      <w:r>
        <w:rPr>
          <w:sz w:val="20"/>
          <w:szCs w:val="20"/>
        </w:rPr>
        <w:t>. McFarlane</w:t>
      </w:r>
      <w:r w:rsidRPr="00AA4F87">
        <w:rPr>
          <w:sz w:val="20"/>
          <w:szCs w:val="20"/>
        </w:rPr>
        <w:t>,</w:t>
      </w:r>
      <w:r>
        <w:rPr>
          <w:sz w:val="20"/>
          <w:szCs w:val="20"/>
        </w:rPr>
        <w:t xml:space="preserve"> ‘Proprietary estoppel and third parties after the Land Registration Act 2002’ (2003) 62 </w:t>
      </w:r>
      <w:r w:rsidRPr="00AA4F87">
        <w:rPr>
          <w:sz w:val="20"/>
          <w:szCs w:val="20"/>
        </w:rPr>
        <w:t>CLJ</w:t>
      </w:r>
      <w:r>
        <w:rPr>
          <w:sz w:val="20"/>
          <w:szCs w:val="20"/>
        </w:rPr>
        <w:t xml:space="preserve"> 661</w:t>
      </w:r>
      <w:r w:rsidRPr="00AA4F87">
        <w:rPr>
          <w:sz w:val="20"/>
          <w:szCs w:val="20"/>
        </w:rPr>
        <w:t xml:space="preserve"> </w:t>
      </w:r>
      <w:r>
        <w:rPr>
          <w:sz w:val="20"/>
          <w:szCs w:val="20"/>
        </w:rPr>
        <w:t>(</w:t>
      </w:r>
      <w:r w:rsidRPr="00AA4F87">
        <w:rPr>
          <w:sz w:val="20"/>
          <w:szCs w:val="20"/>
        </w:rPr>
        <w:t>commenting on proprietary estoppel)</w:t>
      </w:r>
      <w:r>
        <w:rPr>
          <w:sz w:val="20"/>
          <w:szCs w:val="20"/>
        </w:rPr>
        <w:t>,</w:t>
      </w:r>
      <w:r w:rsidRPr="00AA4F87">
        <w:rPr>
          <w:sz w:val="20"/>
          <w:szCs w:val="20"/>
        </w:rPr>
        <w:t xml:space="preserve"> or whether it is the court that effectively crystallises the right</w:t>
      </w:r>
      <w:r>
        <w:rPr>
          <w:sz w:val="20"/>
          <w:szCs w:val="20"/>
        </w:rPr>
        <w:t>;</w:t>
      </w:r>
      <w:r w:rsidRPr="00AA4F87">
        <w:rPr>
          <w:sz w:val="20"/>
          <w:szCs w:val="20"/>
        </w:rPr>
        <w:t xml:space="preserve"> </w:t>
      </w:r>
      <w:r>
        <w:rPr>
          <w:sz w:val="20"/>
          <w:szCs w:val="20"/>
        </w:rPr>
        <w:t>see, for example</w:t>
      </w:r>
      <w:r w:rsidRPr="00AA4F87">
        <w:rPr>
          <w:sz w:val="20"/>
          <w:szCs w:val="20"/>
        </w:rPr>
        <w:t xml:space="preserve"> </w:t>
      </w:r>
      <w:r>
        <w:rPr>
          <w:sz w:val="20"/>
          <w:szCs w:val="20"/>
        </w:rPr>
        <w:t xml:space="preserve">A. </w:t>
      </w:r>
      <w:r w:rsidRPr="00AA4F87">
        <w:rPr>
          <w:sz w:val="20"/>
          <w:szCs w:val="20"/>
        </w:rPr>
        <w:t xml:space="preserve">Doyle and </w:t>
      </w:r>
      <w:r>
        <w:rPr>
          <w:sz w:val="20"/>
          <w:szCs w:val="20"/>
        </w:rPr>
        <w:t xml:space="preserve">J. </w:t>
      </w:r>
      <w:r w:rsidRPr="00AA4F87">
        <w:rPr>
          <w:sz w:val="20"/>
          <w:szCs w:val="20"/>
        </w:rPr>
        <w:t xml:space="preserve">Brown, </w:t>
      </w:r>
      <w:r w:rsidRPr="00AA4F87">
        <w:rPr>
          <w:i/>
          <w:sz w:val="20"/>
          <w:szCs w:val="20"/>
        </w:rPr>
        <w:t>‘Jones v Kernott</w:t>
      </w:r>
      <w:r w:rsidRPr="00AA4F87">
        <w:rPr>
          <w:sz w:val="20"/>
          <w:szCs w:val="20"/>
        </w:rPr>
        <w:t>: which road to Rome</w:t>
      </w:r>
      <w:r>
        <w:rPr>
          <w:sz w:val="20"/>
          <w:szCs w:val="20"/>
        </w:rPr>
        <w:t>?</w:t>
      </w:r>
      <w:r w:rsidRPr="00AA4F87">
        <w:rPr>
          <w:sz w:val="20"/>
          <w:szCs w:val="20"/>
        </w:rPr>
        <w:t xml:space="preserve">’ </w:t>
      </w:r>
      <w:r>
        <w:rPr>
          <w:sz w:val="20"/>
          <w:szCs w:val="20"/>
        </w:rPr>
        <w:t>(</w:t>
      </w:r>
      <w:r w:rsidRPr="00AA4F87">
        <w:rPr>
          <w:sz w:val="20"/>
          <w:szCs w:val="20"/>
        </w:rPr>
        <w:t>2012</w:t>
      </w:r>
      <w:r>
        <w:rPr>
          <w:sz w:val="20"/>
          <w:szCs w:val="20"/>
        </w:rPr>
        <w:t>) 26</w:t>
      </w:r>
      <w:r w:rsidRPr="00AA4F87">
        <w:rPr>
          <w:sz w:val="20"/>
          <w:szCs w:val="20"/>
        </w:rPr>
        <w:t xml:space="preserve"> </w:t>
      </w:r>
      <w:r w:rsidRPr="000C132C">
        <w:rPr>
          <w:i/>
          <w:sz w:val="20"/>
          <w:szCs w:val="20"/>
        </w:rPr>
        <w:t>Trust</w:t>
      </w:r>
      <w:r>
        <w:rPr>
          <w:i/>
          <w:sz w:val="20"/>
          <w:szCs w:val="20"/>
        </w:rPr>
        <w:t>s</w:t>
      </w:r>
      <w:r w:rsidRPr="000C132C">
        <w:rPr>
          <w:i/>
          <w:sz w:val="20"/>
          <w:szCs w:val="20"/>
        </w:rPr>
        <w:t xml:space="preserve"> Law International</w:t>
      </w:r>
      <w:r w:rsidRPr="00AA4F87">
        <w:rPr>
          <w:sz w:val="20"/>
          <w:szCs w:val="20"/>
        </w:rPr>
        <w:t xml:space="preserve"> 96</w:t>
      </w:r>
      <w:r>
        <w:rPr>
          <w:i/>
          <w:sz w:val="20"/>
          <w:szCs w:val="20"/>
        </w:rPr>
        <w:t>,</w:t>
      </w:r>
      <w:r w:rsidRPr="00AA4F87">
        <w:rPr>
          <w:sz w:val="20"/>
          <w:szCs w:val="20"/>
        </w:rPr>
        <w:t xml:space="preserve"> </w:t>
      </w:r>
      <w:r>
        <w:rPr>
          <w:sz w:val="20"/>
          <w:szCs w:val="20"/>
        </w:rPr>
        <w:t>(</w:t>
      </w:r>
      <w:r w:rsidRPr="00AA4F87">
        <w:rPr>
          <w:sz w:val="20"/>
          <w:szCs w:val="20"/>
        </w:rPr>
        <w:t>discussing the C</w:t>
      </w:r>
      <w:r>
        <w:rPr>
          <w:sz w:val="20"/>
          <w:szCs w:val="20"/>
        </w:rPr>
        <w:t xml:space="preserve">ommon </w:t>
      </w:r>
      <w:r w:rsidRPr="00AA4F87">
        <w:rPr>
          <w:sz w:val="20"/>
          <w:szCs w:val="20"/>
        </w:rPr>
        <w:t>I</w:t>
      </w:r>
      <w:r>
        <w:rPr>
          <w:sz w:val="20"/>
          <w:szCs w:val="20"/>
        </w:rPr>
        <w:t xml:space="preserve">ntention </w:t>
      </w:r>
      <w:r w:rsidRPr="00AA4F87">
        <w:rPr>
          <w:sz w:val="20"/>
          <w:szCs w:val="20"/>
        </w:rPr>
        <w:t>C</w:t>
      </w:r>
      <w:r>
        <w:rPr>
          <w:sz w:val="20"/>
          <w:szCs w:val="20"/>
        </w:rPr>
        <w:t xml:space="preserve">onstructive </w:t>
      </w:r>
      <w:r w:rsidRPr="00AA4F87">
        <w:rPr>
          <w:sz w:val="20"/>
          <w:szCs w:val="20"/>
        </w:rPr>
        <w:t>T</w:t>
      </w:r>
      <w:r>
        <w:rPr>
          <w:sz w:val="20"/>
          <w:szCs w:val="20"/>
        </w:rPr>
        <w:t>rust</w:t>
      </w:r>
      <w:r w:rsidRPr="00AA4F87">
        <w:rPr>
          <w:sz w:val="20"/>
          <w:szCs w:val="20"/>
        </w:rPr>
        <w:t>)</w:t>
      </w:r>
      <w:r>
        <w:rPr>
          <w:sz w:val="20"/>
          <w:szCs w:val="20"/>
        </w:rPr>
        <w:t>.</w:t>
      </w:r>
    </w:p>
  </w:footnote>
  <w:footnote w:id="157">
    <w:p w:rsidR="00EB4E5D" w:rsidRPr="00AA4F87" w:rsidRDefault="00EB4E5D" w:rsidP="00AE7673">
      <w:pPr>
        <w:pStyle w:val="FootnoteText"/>
        <w:contextualSpacing/>
        <w:rPr>
          <w:sz w:val="20"/>
          <w:szCs w:val="20"/>
        </w:rPr>
      </w:pPr>
      <w:r w:rsidRPr="00AA4F87">
        <w:rPr>
          <w:rStyle w:val="FootnoteReference"/>
          <w:sz w:val="20"/>
          <w:szCs w:val="20"/>
        </w:rPr>
        <w:footnoteRef/>
      </w:r>
      <w:r w:rsidRPr="00AA4F87">
        <w:rPr>
          <w:sz w:val="20"/>
          <w:szCs w:val="20"/>
        </w:rPr>
        <w:t xml:space="preserve"> </w:t>
      </w:r>
      <w:r w:rsidRPr="00AA4F87">
        <w:rPr>
          <w:i/>
          <w:sz w:val="20"/>
          <w:szCs w:val="20"/>
        </w:rPr>
        <w:t>Costagliola v English</w:t>
      </w:r>
      <w:r w:rsidRPr="00AA4F87">
        <w:rPr>
          <w:sz w:val="20"/>
          <w:szCs w:val="20"/>
        </w:rPr>
        <w:t xml:space="preserve"> (1969) 210 EG 1425,</w:t>
      </w:r>
      <w:r>
        <w:rPr>
          <w:sz w:val="20"/>
          <w:szCs w:val="20"/>
        </w:rPr>
        <w:t xml:space="preserve"> </w:t>
      </w:r>
      <w:r w:rsidRPr="00AA4F87">
        <w:rPr>
          <w:sz w:val="20"/>
          <w:szCs w:val="20"/>
        </w:rPr>
        <w:t>1431</w:t>
      </w:r>
      <w:r w:rsidRPr="00AA4F87">
        <w:rPr>
          <w:sz w:val="20"/>
          <w:szCs w:val="20"/>
          <w:lang w:val="en-US"/>
        </w:rPr>
        <w:t>.</w:t>
      </w:r>
    </w:p>
  </w:footnote>
  <w:footnote w:id="158">
    <w:p w:rsidR="00EB4E5D" w:rsidRPr="00AA4F87" w:rsidRDefault="00EB4E5D" w:rsidP="00AE7673">
      <w:pPr>
        <w:pStyle w:val="NoSpacing"/>
        <w:contextualSpacing/>
        <w:rPr>
          <w:rFonts w:ascii="Times New Roman" w:hAnsi="Times New Roman" w:cs="Times New Roman"/>
          <w:sz w:val="20"/>
          <w:szCs w:val="20"/>
        </w:rPr>
      </w:pPr>
      <w:r w:rsidRPr="00AA4F87">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AA4F87">
        <w:rPr>
          <w:rFonts w:ascii="Times New Roman" w:hAnsi="Times New Roman" w:cs="Times New Roman"/>
          <w:sz w:val="20"/>
          <w:szCs w:val="20"/>
        </w:rPr>
        <w:t>T</w:t>
      </w:r>
      <w:r>
        <w:rPr>
          <w:rFonts w:ascii="Times New Roman" w:hAnsi="Times New Roman" w:cs="Times New Roman"/>
          <w:sz w:val="20"/>
          <w:szCs w:val="20"/>
        </w:rPr>
        <w:t>.</w:t>
      </w:r>
      <w:r w:rsidRPr="00AA4F87">
        <w:rPr>
          <w:rFonts w:ascii="Times New Roman" w:hAnsi="Times New Roman" w:cs="Times New Roman"/>
          <w:sz w:val="20"/>
          <w:szCs w:val="20"/>
        </w:rPr>
        <w:t xml:space="preserve"> W. Merrill &amp; H</w:t>
      </w:r>
      <w:r>
        <w:rPr>
          <w:rFonts w:ascii="Times New Roman" w:hAnsi="Times New Roman" w:cs="Times New Roman"/>
          <w:sz w:val="20"/>
          <w:szCs w:val="20"/>
        </w:rPr>
        <w:t>.</w:t>
      </w:r>
      <w:r w:rsidRPr="00AA4F87">
        <w:rPr>
          <w:rFonts w:ascii="Times New Roman" w:hAnsi="Times New Roman" w:cs="Times New Roman"/>
          <w:sz w:val="20"/>
          <w:szCs w:val="20"/>
        </w:rPr>
        <w:t xml:space="preserve"> E. Smith, </w:t>
      </w:r>
      <w:r>
        <w:rPr>
          <w:rFonts w:ascii="Times New Roman" w:hAnsi="Times New Roman" w:cs="Times New Roman"/>
          <w:sz w:val="20"/>
          <w:szCs w:val="20"/>
        </w:rPr>
        <w:t>‘</w:t>
      </w:r>
      <w:r w:rsidRPr="00AA4F87">
        <w:rPr>
          <w:rFonts w:ascii="Times New Roman" w:hAnsi="Times New Roman" w:cs="Times New Roman"/>
          <w:iCs/>
          <w:sz w:val="20"/>
          <w:szCs w:val="20"/>
        </w:rPr>
        <w:t xml:space="preserve">Optimal Standardization in the Law of Property: The </w:t>
      </w:r>
      <w:r w:rsidRPr="00AA4F87">
        <w:rPr>
          <w:rFonts w:ascii="Times New Roman" w:hAnsi="Times New Roman" w:cs="Times New Roman"/>
          <w:i/>
          <w:sz w:val="20"/>
          <w:szCs w:val="20"/>
        </w:rPr>
        <w:t>Numerus Clausus</w:t>
      </w:r>
      <w:r w:rsidRPr="00AA4F87">
        <w:rPr>
          <w:rFonts w:ascii="Times New Roman" w:hAnsi="Times New Roman" w:cs="Times New Roman"/>
          <w:sz w:val="20"/>
          <w:szCs w:val="20"/>
        </w:rPr>
        <w:t xml:space="preserve"> </w:t>
      </w:r>
      <w:r w:rsidRPr="00AA4F87">
        <w:rPr>
          <w:rFonts w:ascii="Times New Roman" w:hAnsi="Times New Roman" w:cs="Times New Roman"/>
          <w:iCs/>
          <w:sz w:val="20"/>
          <w:szCs w:val="20"/>
        </w:rPr>
        <w:t>Principle</w:t>
      </w:r>
      <w:r>
        <w:rPr>
          <w:rFonts w:ascii="Times New Roman" w:hAnsi="Times New Roman" w:cs="Times New Roman"/>
          <w:iCs/>
          <w:sz w:val="20"/>
          <w:szCs w:val="20"/>
        </w:rPr>
        <w:t>’</w:t>
      </w:r>
      <w:r w:rsidRPr="00AA4F87">
        <w:rPr>
          <w:rFonts w:ascii="Times New Roman" w:hAnsi="Times New Roman" w:cs="Times New Roman"/>
          <w:iCs/>
          <w:sz w:val="20"/>
          <w:szCs w:val="20"/>
        </w:rPr>
        <w:t>, (2000)</w:t>
      </w:r>
      <w:r w:rsidRPr="00AA4F87">
        <w:rPr>
          <w:rFonts w:ascii="Times New Roman" w:hAnsi="Times New Roman" w:cs="Times New Roman"/>
          <w:i/>
          <w:iCs/>
          <w:sz w:val="20"/>
          <w:szCs w:val="20"/>
        </w:rPr>
        <w:t xml:space="preserve">, </w:t>
      </w:r>
      <w:r w:rsidRPr="00AA4F87">
        <w:rPr>
          <w:rFonts w:ascii="Times New Roman" w:hAnsi="Times New Roman" w:cs="Times New Roman"/>
          <w:bCs/>
          <w:sz w:val="20"/>
          <w:szCs w:val="20"/>
        </w:rPr>
        <w:t>110 Yale L</w:t>
      </w:r>
      <w:r>
        <w:rPr>
          <w:rFonts w:ascii="Times New Roman" w:hAnsi="Times New Roman" w:cs="Times New Roman"/>
          <w:bCs/>
          <w:sz w:val="20"/>
          <w:szCs w:val="20"/>
        </w:rPr>
        <w:t xml:space="preserve">. </w:t>
      </w:r>
      <w:r w:rsidRPr="00AA4F87">
        <w:rPr>
          <w:rFonts w:ascii="Times New Roman" w:hAnsi="Times New Roman" w:cs="Times New Roman"/>
          <w:bCs/>
          <w:sz w:val="20"/>
          <w:szCs w:val="20"/>
        </w:rPr>
        <w:t>J</w:t>
      </w:r>
      <w:r>
        <w:rPr>
          <w:rFonts w:ascii="Times New Roman" w:hAnsi="Times New Roman" w:cs="Times New Roman"/>
          <w:bCs/>
          <w:sz w:val="20"/>
          <w:szCs w:val="20"/>
        </w:rPr>
        <w:t>.</w:t>
      </w:r>
      <w:r w:rsidRPr="00AA4F87">
        <w:rPr>
          <w:rFonts w:ascii="Times New Roman" w:hAnsi="Times New Roman" w:cs="Times New Roman"/>
          <w:bCs/>
          <w:sz w:val="20"/>
          <w:szCs w:val="20"/>
        </w:rPr>
        <w:t xml:space="preserve"> 1, 3.</w:t>
      </w:r>
    </w:p>
  </w:footnote>
  <w:footnote w:id="159">
    <w:p w:rsidR="00EB4E5D" w:rsidRPr="00AA4F87" w:rsidRDefault="00EB4E5D" w:rsidP="00AE7673">
      <w:pPr>
        <w:pStyle w:val="NoSpacing"/>
        <w:rPr>
          <w:rFonts w:ascii="Times New Roman" w:hAnsi="Times New Roman" w:cs="Times New Roman"/>
          <w:sz w:val="20"/>
          <w:szCs w:val="20"/>
        </w:rPr>
      </w:pPr>
      <w:r w:rsidRPr="00AA4F87">
        <w:rPr>
          <w:rStyle w:val="FootnoteReference"/>
          <w:rFonts w:ascii="Times New Roman" w:hAnsi="Times New Roman" w:cs="Times New Roman"/>
          <w:sz w:val="20"/>
          <w:szCs w:val="20"/>
        </w:rPr>
        <w:footnoteRef/>
      </w:r>
      <w:r w:rsidRPr="00AA4F87">
        <w:rPr>
          <w:rFonts w:ascii="Times New Roman" w:hAnsi="Times New Roman" w:cs="Times New Roman"/>
          <w:sz w:val="20"/>
          <w:szCs w:val="20"/>
        </w:rPr>
        <w:t xml:space="preserve"> </w:t>
      </w:r>
      <w:r w:rsidR="009D0E09">
        <w:rPr>
          <w:rFonts w:ascii="Times New Roman" w:hAnsi="Times New Roman" w:cs="Times New Roman"/>
          <w:sz w:val="20"/>
          <w:szCs w:val="20"/>
        </w:rPr>
        <w:t>n 21 above.</w:t>
      </w:r>
    </w:p>
  </w:footnote>
  <w:footnote w:id="160">
    <w:p w:rsidR="00EB4E5D" w:rsidRPr="00AA4F87" w:rsidRDefault="00EB4E5D" w:rsidP="00AE7673">
      <w:pPr>
        <w:pStyle w:val="FootnoteText"/>
        <w:rPr>
          <w:sz w:val="20"/>
          <w:szCs w:val="20"/>
        </w:rPr>
      </w:pPr>
      <w:r w:rsidRPr="00AA4F87">
        <w:rPr>
          <w:rStyle w:val="FootnoteReference"/>
          <w:sz w:val="20"/>
          <w:szCs w:val="20"/>
        </w:rPr>
        <w:footnoteRef/>
      </w:r>
      <w:r w:rsidRPr="00AA4F87">
        <w:rPr>
          <w:sz w:val="20"/>
          <w:szCs w:val="20"/>
        </w:rPr>
        <w:t xml:space="preserve"> </w:t>
      </w:r>
      <w:r w:rsidR="009D0E09">
        <w:rPr>
          <w:sz w:val="20"/>
          <w:szCs w:val="20"/>
        </w:rPr>
        <w:t>n 64</w:t>
      </w:r>
      <w:r>
        <w:rPr>
          <w:sz w:val="20"/>
          <w:szCs w:val="20"/>
        </w:rPr>
        <w:t xml:space="preserve"> above.</w:t>
      </w:r>
    </w:p>
  </w:footnote>
  <w:footnote w:id="161">
    <w:p w:rsidR="00EB4E5D" w:rsidRPr="00AA4F87" w:rsidRDefault="00EB4E5D" w:rsidP="00AE7673">
      <w:pPr>
        <w:pStyle w:val="FootnoteText"/>
        <w:rPr>
          <w:sz w:val="20"/>
          <w:szCs w:val="20"/>
        </w:rPr>
      </w:pPr>
      <w:r w:rsidRPr="00AA4F87">
        <w:rPr>
          <w:rStyle w:val="FootnoteReference"/>
          <w:sz w:val="20"/>
          <w:szCs w:val="20"/>
        </w:rPr>
        <w:footnoteRef/>
      </w:r>
      <w:r w:rsidRPr="00AA4F87">
        <w:rPr>
          <w:sz w:val="20"/>
          <w:szCs w:val="20"/>
        </w:rPr>
        <w:t xml:space="preserve"> </w:t>
      </w:r>
      <w:r>
        <w:rPr>
          <w:sz w:val="20"/>
          <w:szCs w:val="20"/>
        </w:rPr>
        <w:t>ibid, a</w:t>
      </w:r>
      <w:r w:rsidRPr="00AA4F87">
        <w:rPr>
          <w:sz w:val="20"/>
          <w:szCs w:val="20"/>
        </w:rPr>
        <w:t>t [79].</w:t>
      </w:r>
      <w:r>
        <w:rPr>
          <w:sz w:val="20"/>
          <w:szCs w:val="20"/>
        </w:rPr>
        <w:t xml:space="preserve">  </w:t>
      </w:r>
    </w:p>
  </w:footnote>
  <w:footnote w:id="162">
    <w:p w:rsidR="00EB4E5D" w:rsidRPr="00377DD7" w:rsidRDefault="00EB4E5D" w:rsidP="00AE7673">
      <w:pPr>
        <w:pStyle w:val="FootnoteText"/>
        <w:rPr>
          <w:sz w:val="20"/>
          <w:szCs w:val="20"/>
        </w:rPr>
      </w:pPr>
      <w:r w:rsidRPr="00377DD7">
        <w:rPr>
          <w:rStyle w:val="FootnoteReference"/>
          <w:sz w:val="20"/>
          <w:szCs w:val="20"/>
        </w:rPr>
        <w:footnoteRef/>
      </w:r>
      <w:r w:rsidRPr="00377DD7">
        <w:rPr>
          <w:sz w:val="20"/>
          <w:szCs w:val="20"/>
        </w:rPr>
        <w:t xml:space="preserve"> </w:t>
      </w:r>
      <w:r>
        <w:rPr>
          <w:sz w:val="20"/>
          <w:szCs w:val="20"/>
        </w:rPr>
        <w:t>ibid, a</w:t>
      </w:r>
      <w:r w:rsidRPr="00AA4F87">
        <w:rPr>
          <w:sz w:val="20"/>
          <w:szCs w:val="20"/>
        </w:rPr>
        <w:t>t [</w:t>
      </w:r>
      <w:r w:rsidRPr="00377DD7">
        <w:rPr>
          <w:sz w:val="20"/>
          <w:szCs w:val="20"/>
        </w:rPr>
        <w:t>116</w:t>
      </w:r>
      <w:r>
        <w:rPr>
          <w:sz w:val="20"/>
          <w:szCs w:val="20"/>
        </w:rPr>
        <w:t>]</w:t>
      </w:r>
      <w:r w:rsidRPr="00377DD7">
        <w:rPr>
          <w:sz w:val="20"/>
          <w:szCs w:val="20"/>
        </w:rPr>
        <w:t>.</w:t>
      </w:r>
      <w:r>
        <w:rPr>
          <w:sz w:val="20"/>
          <w:szCs w:val="20"/>
        </w:rPr>
        <w:t xml:space="preserve">   </w:t>
      </w:r>
    </w:p>
  </w:footnote>
  <w:footnote w:id="163">
    <w:p w:rsidR="00EB4E5D" w:rsidRPr="00377DD7" w:rsidRDefault="00EB4E5D" w:rsidP="00AE7673">
      <w:pPr>
        <w:pStyle w:val="FootnoteText"/>
        <w:rPr>
          <w:sz w:val="20"/>
          <w:szCs w:val="20"/>
        </w:rPr>
      </w:pPr>
      <w:r w:rsidRPr="00377DD7">
        <w:rPr>
          <w:rStyle w:val="FootnoteReference"/>
          <w:sz w:val="20"/>
          <w:szCs w:val="20"/>
        </w:rPr>
        <w:footnoteRef/>
      </w:r>
      <w:r w:rsidRPr="00377DD7">
        <w:rPr>
          <w:sz w:val="20"/>
          <w:szCs w:val="20"/>
        </w:rPr>
        <w:t xml:space="preserve"> </w:t>
      </w:r>
      <w:r>
        <w:rPr>
          <w:sz w:val="20"/>
          <w:szCs w:val="20"/>
        </w:rPr>
        <w:t>ibid, a</w:t>
      </w:r>
      <w:r w:rsidRPr="00AA4F87">
        <w:rPr>
          <w:sz w:val="20"/>
          <w:szCs w:val="20"/>
        </w:rPr>
        <w:t>t [</w:t>
      </w:r>
      <w:r w:rsidRPr="00377DD7">
        <w:rPr>
          <w:sz w:val="20"/>
          <w:szCs w:val="20"/>
        </w:rPr>
        <w:t>11</w:t>
      </w:r>
      <w:r>
        <w:rPr>
          <w:sz w:val="20"/>
          <w:szCs w:val="20"/>
        </w:rPr>
        <w:t>9]</w:t>
      </w:r>
      <w:r w:rsidRPr="00377DD7">
        <w:rPr>
          <w:sz w:val="20"/>
          <w:szCs w:val="20"/>
        </w:rPr>
        <w:t>.</w:t>
      </w:r>
      <w:r>
        <w:rPr>
          <w:sz w:val="20"/>
          <w:szCs w:val="20"/>
        </w:rPr>
        <w:t xml:space="preserve"> </w:t>
      </w:r>
    </w:p>
  </w:footnote>
  <w:footnote w:id="164">
    <w:p w:rsidR="00EB4E5D" w:rsidRPr="00AA4F87" w:rsidRDefault="00EB4E5D" w:rsidP="00AE7673">
      <w:pPr>
        <w:pStyle w:val="FootnoteText"/>
        <w:rPr>
          <w:sz w:val="20"/>
          <w:szCs w:val="20"/>
        </w:rPr>
      </w:pPr>
      <w:r w:rsidRPr="00AA4F87">
        <w:rPr>
          <w:rStyle w:val="FootnoteReference"/>
          <w:sz w:val="20"/>
          <w:szCs w:val="20"/>
        </w:rPr>
        <w:footnoteRef/>
      </w:r>
      <w:r w:rsidRPr="00AA4F87">
        <w:rPr>
          <w:sz w:val="20"/>
          <w:szCs w:val="20"/>
        </w:rPr>
        <w:t xml:space="preserve"> </w:t>
      </w:r>
      <w:r>
        <w:rPr>
          <w:sz w:val="20"/>
          <w:szCs w:val="20"/>
        </w:rPr>
        <w:t>n 7</w:t>
      </w:r>
      <w:r w:rsidR="009D0E09">
        <w:rPr>
          <w:sz w:val="20"/>
          <w:szCs w:val="20"/>
        </w:rPr>
        <w:t>2</w:t>
      </w:r>
      <w:r>
        <w:rPr>
          <w:sz w:val="20"/>
          <w:szCs w:val="20"/>
        </w:rPr>
        <w:t xml:space="preserve"> above, </w:t>
      </w:r>
      <w:r w:rsidRPr="00AA4F87">
        <w:rPr>
          <w:rFonts w:eastAsia="Cambria"/>
          <w:sz w:val="20"/>
          <w:szCs w:val="20"/>
        </w:rPr>
        <w:t>at [1].</w:t>
      </w:r>
    </w:p>
  </w:footnote>
  <w:footnote w:id="165">
    <w:p w:rsidR="00EB4E5D" w:rsidRPr="00AA4F87" w:rsidRDefault="00EB4E5D" w:rsidP="00B3185E">
      <w:pPr>
        <w:pStyle w:val="NoSpacing"/>
        <w:rPr>
          <w:rFonts w:ascii="Times New Roman" w:hAnsi="Times New Roman" w:cs="Times New Roman"/>
          <w:sz w:val="20"/>
          <w:szCs w:val="20"/>
        </w:rPr>
      </w:pPr>
      <w:r w:rsidRPr="00AA4F87">
        <w:rPr>
          <w:rStyle w:val="FootnoteReference"/>
          <w:rFonts w:ascii="Times New Roman" w:hAnsi="Times New Roman" w:cs="Times New Roman"/>
          <w:sz w:val="20"/>
          <w:szCs w:val="20"/>
        </w:rPr>
        <w:footnoteRef/>
      </w:r>
      <w:r w:rsidRPr="00AA4F87">
        <w:rPr>
          <w:rFonts w:ascii="Times New Roman" w:hAnsi="Times New Roman" w:cs="Times New Roman"/>
          <w:sz w:val="20"/>
          <w:szCs w:val="20"/>
        </w:rPr>
        <w:t xml:space="preserve"> Z. X. Tan, ‘Beyond the Real and the Paper Deal: The Quest for Contextual Coherence in Contractual Interpretation’ (2016) 79 MLR 623, 638 (italics in the original).</w:t>
      </w:r>
    </w:p>
  </w:footnote>
  <w:footnote w:id="166">
    <w:p w:rsidR="00EB4E5D" w:rsidRPr="00AA4F87" w:rsidRDefault="00EB4E5D" w:rsidP="00AE7673">
      <w:pPr>
        <w:pStyle w:val="FootnoteText"/>
        <w:rPr>
          <w:sz w:val="20"/>
          <w:szCs w:val="20"/>
        </w:rPr>
      </w:pPr>
      <w:r w:rsidRPr="00AA4F87">
        <w:rPr>
          <w:rStyle w:val="FootnoteReference"/>
          <w:sz w:val="20"/>
          <w:szCs w:val="20"/>
        </w:rPr>
        <w:footnoteRef/>
      </w:r>
      <w:r w:rsidRPr="00AA4F87">
        <w:rPr>
          <w:sz w:val="20"/>
          <w:szCs w:val="20"/>
        </w:rPr>
        <w:t xml:space="preserve"> </w:t>
      </w:r>
      <w:r>
        <w:rPr>
          <w:sz w:val="20"/>
          <w:szCs w:val="20"/>
        </w:rPr>
        <w:t xml:space="preserve">ibid. </w:t>
      </w:r>
    </w:p>
  </w:footnote>
  <w:footnote w:id="167">
    <w:p w:rsidR="00EB4E5D" w:rsidRPr="00AA4F87" w:rsidRDefault="00EB4E5D" w:rsidP="00826E7A">
      <w:pPr>
        <w:pStyle w:val="NoSpacing"/>
        <w:rPr>
          <w:rFonts w:ascii="Times New Roman" w:hAnsi="Times New Roman" w:cs="Times New Roman"/>
          <w:sz w:val="20"/>
          <w:szCs w:val="20"/>
        </w:rPr>
      </w:pPr>
      <w:r w:rsidRPr="00AA4F87">
        <w:rPr>
          <w:rStyle w:val="FootnoteReference"/>
          <w:rFonts w:ascii="Times New Roman" w:hAnsi="Times New Roman" w:cs="Times New Roman"/>
          <w:sz w:val="20"/>
          <w:szCs w:val="20"/>
        </w:rPr>
        <w:footnoteRef/>
      </w:r>
      <w:r w:rsidRPr="00AA4F87">
        <w:rPr>
          <w:rFonts w:ascii="Times New Roman" w:hAnsi="Times New Roman" w:cs="Times New Roman"/>
          <w:sz w:val="20"/>
          <w:szCs w:val="20"/>
        </w:rPr>
        <w:t xml:space="preserve"> </w:t>
      </w:r>
      <w:r>
        <w:rPr>
          <w:rFonts w:ascii="Times New Roman" w:hAnsi="Times New Roman" w:cs="Times New Roman"/>
          <w:sz w:val="20"/>
          <w:szCs w:val="20"/>
        </w:rPr>
        <w:t>n 1</w:t>
      </w:r>
      <w:r w:rsidR="009D0E09">
        <w:rPr>
          <w:rFonts w:ascii="Times New Roman" w:hAnsi="Times New Roman" w:cs="Times New Roman"/>
          <w:sz w:val="20"/>
          <w:szCs w:val="20"/>
        </w:rPr>
        <w:t>47</w:t>
      </w:r>
      <w:r>
        <w:rPr>
          <w:rFonts w:ascii="Times New Roman" w:hAnsi="Times New Roman" w:cs="Times New Roman"/>
          <w:sz w:val="20"/>
          <w:szCs w:val="20"/>
        </w:rPr>
        <w:t xml:space="preserve"> above</w:t>
      </w:r>
      <w:r w:rsidRPr="00AA4F87">
        <w:rPr>
          <w:rFonts w:ascii="Times New Roman" w:hAnsi="Times New Roman" w:cs="Times New Roman"/>
          <w:sz w:val="20"/>
          <w:szCs w:val="20"/>
        </w:rPr>
        <w:t>.</w:t>
      </w:r>
    </w:p>
  </w:footnote>
  <w:footnote w:id="168">
    <w:p w:rsidR="00EB4E5D" w:rsidRPr="00676AAE" w:rsidRDefault="00EB4E5D" w:rsidP="00AE7673">
      <w:pPr>
        <w:pStyle w:val="NoSpacing"/>
        <w:contextualSpacing/>
        <w:rPr>
          <w:rFonts w:ascii="Times New Roman" w:hAnsi="Times New Roman" w:cs="Times New Roman"/>
          <w:sz w:val="20"/>
          <w:szCs w:val="20"/>
        </w:rPr>
      </w:pPr>
      <w:r w:rsidRPr="00AA4F87">
        <w:rPr>
          <w:rStyle w:val="FootnoteReference"/>
          <w:rFonts w:ascii="Times New Roman" w:hAnsi="Times New Roman" w:cs="Times New Roman"/>
          <w:sz w:val="20"/>
          <w:szCs w:val="20"/>
        </w:rPr>
        <w:footnoteRef/>
      </w:r>
      <w:r w:rsidRPr="00AA4F87">
        <w:rPr>
          <w:rFonts w:ascii="Times New Roman" w:hAnsi="Times New Roman" w:cs="Times New Roman"/>
          <w:sz w:val="20"/>
          <w:szCs w:val="20"/>
        </w:rPr>
        <w:t xml:space="preserve"> </w:t>
      </w:r>
      <w:r w:rsidRPr="00AA4F87">
        <w:rPr>
          <w:rFonts w:ascii="Times New Roman" w:hAnsi="Times New Roman" w:cs="Times New Roman"/>
          <w:i/>
          <w:sz w:val="20"/>
          <w:szCs w:val="20"/>
        </w:rPr>
        <w:t>Oliver &amp; Anor v Symons &amp; Anor</w:t>
      </w:r>
      <w:r w:rsidRPr="00AA4F87">
        <w:rPr>
          <w:rFonts w:ascii="Times New Roman" w:hAnsi="Times New Roman" w:cs="Times New Roman"/>
          <w:sz w:val="20"/>
          <w:szCs w:val="20"/>
        </w:rPr>
        <w:t xml:space="preserve"> [2012] EWCA Civ 267 at [53].</w:t>
      </w:r>
      <w:r>
        <w:rPr>
          <w:rFonts w:ascii="Times New Roman" w:hAnsi="Times New Roman" w:cs="Times New Roman"/>
          <w:sz w:val="20"/>
          <w:szCs w:val="20"/>
        </w:rPr>
        <w:t xml:space="preserve"> See also Lord Carnworth n 69 at 1661.</w:t>
      </w:r>
    </w:p>
  </w:footnote>
  <w:footnote w:id="169">
    <w:p w:rsidR="00EB4E5D" w:rsidRPr="00153090" w:rsidRDefault="00EB4E5D" w:rsidP="00AE7673">
      <w:pPr>
        <w:pStyle w:val="NoSpacing"/>
        <w:contextualSpacing/>
        <w:rPr>
          <w:rFonts w:ascii="Times New Roman" w:hAnsi="Times New Roman" w:cs="Times New Roman"/>
          <w:sz w:val="20"/>
          <w:szCs w:val="20"/>
          <w:lang w:val="da-DK"/>
        </w:rPr>
      </w:pPr>
      <w:r w:rsidRPr="00AA4F87">
        <w:rPr>
          <w:rStyle w:val="FootnoteReference"/>
          <w:rFonts w:ascii="Times New Roman" w:hAnsi="Times New Roman" w:cs="Times New Roman"/>
          <w:sz w:val="20"/>
          <w:szCs w:val="20"/>
        </w:rPr>
        <w:footnoteRef/>
      </w:r>
      <w:r w:rsidRPr="00153090">
        <w:rPr>
          <w:rFonts w:ascii="Times New Roman" w:hAnsi="Times New Roman" w:cs="Times New Roman"/>
          <w:sz w:val="20"/>
          <w:szCs w:val="20"/>
          <w:lang w:val="da-DK"/>
        </w:rPr>
        <w:t xml:space="preserve"> </w:t>
      </w:r>
      <w:r w:rsidRPr="00153090">
        <w:rPr>
          <w:rStyle w:val="Emphasis"/>
          <w:rFonts w:ascii="Times New Roman" w:hAnsi="Times New Roman" w:cs="Times New Roman"/>
          <w:sz w:val="20"/>
          <w:lang w:val="da-DK"/>
        </w:rPr>
        <w:t>Bradford v James</w:t>
      </w:r>
      <w:r w:rsidRPr="00153090">
        <w:rPr>
          <w:rStyle w:val="st"/>
          <w:rFonts w:ascii="Times New Roman" w:hAnsi="Times New Roman" w:cs="Times New Roman"/>
          <w:sz w:val="20"/>
          <w:szCs w:val="20"/>
          <w:lang w:val="da-DK"/>
        </w:rPr>
        <w:t xml:space="preserve"> [2008] EWCA Civ 837 at [1].</w:t>
      </w:r>
    </w:p>
  </w:footnote>
  <w:footnote w:id="170">
    <w:p w:rsidR="00EB4E5D" w:rsidRPr="00AA4F87" w:rsidRDefault="00EB4E5D" w:rsidP="00AE7673">
      <w:pPr>
        <w:pStyle w:val="NoSpacing"/>
        <w:contextualSpacing/>
        <w:rPr>
          <w:rFonts w:ascii="Times New Roman" w:hAnsi="Times New Roman" w:cs="Times New Roman"/>
          <w:sz w:val="20"/>
          <w:szCs w:val="20"/>
        </w:rPr>
      </w:pPr>
      <w:r w:rsidRPr="00AA4F87">
        <w:rPr>
          <w:rStyle w:val="FootnoteReference"/>
          <w:rFonts w:ascii="Times New Roman" w:hAnsi="Times New Roman" w:cs="Times New Roman"/>
          <w:sz w:val="20"/>
          <w:szCs w:val="20"/>
        </w:rPr>
        <w:footnoteRef/>
      </w:r>
      <w:r w:rsidRPr="00AA4F87">
        <w:rPr>
          <w:rFonts w:ascii="Times New Roman" w:hAnsi="Times New Roman" w:cs="Times New Roman"/>
          <w:sz w:val="20"/>
          <w:szCs w:val="20"/>
        </w:rPr>
        <w:t xml:space="preserve"> </w:t>
      </w:r>
      <w:r w:rsidRPr="00340B41">
        <w:rPr>
          <w:rFonts w:ascii="Times New Roman" w:hAnsi="Times New Roman" w:cs="Times New Roman"/>
          <w:i/>
          <w:sz w:val="20"/>
          <w:szCs w:val="20"/>
        </w:rPr>
        <w:t>Practice Direction - Pre-action Conduct and Protocols</w:t>
      </w:r>
      <w:r>
        <w:rPr>
          <w:rFonts w:ascii="Times New Roman" w:hAnsi="Times New Roman" w:cs="Times New Roman"/>
          <w:sz w:val="20"/>
          <w:szCs w:val="20"/>
        </w:rPr>
        <w:t xml:space="preserve">, Civil Procedure Rules, at </w:t>
      </w:r>
      <w:r w:rsidRPr="00340B41">
        <w:rPr>
          <w:rFonts w:ascii="Times New Roman" w:hAnsi="Times New Roman" w:cs="Times New Roman"/>
          <w:sz w:val="20"/>
          <w:szCs w:val="20"/>
        </w:rPr>
        <w:t>https://www.justice.gov.uk/courts/procedure-rules/civil/rules/pd_pre-action_conduct</w:t>
      </w:r>
      <w:r>
        <w:rPr>
          <w:rFonts w:ascii="Times New Roman" w:hAnsi="Times New Roman" w:cs="Times New Roman"/>
          <w:sz w:val="20"/>
          <w:szCs w:val="20"/>
        </w:rPr>
        <w:t>.</w:t>
      </w:r>
    </w:p>
  </w:footnote>
  <w:footnote w:id="171">
    <w:p w:rsidR="00EB4E5D" w:rsidRPr="00340B41" w:rsidRDefault="00EB4E5D" w:rsidP="00AE7673">
      <w:pPr>
        <w:pStyle w:val="FootnoteText"/>
        <w:contextualSpacing/>
        <w:rPr>
          <w:sz w:val="20"/>
          <w:szCs w:val="20"/>
        </w:rPr>
      </w:pPr>
      <w:r w:rsidRPr="00AA4F87">
        <w:rPr>
          <w:rStyle w:val="FootnoteReference"/>
          <w:sz w:val="20"/>
          <w:szCs w:val="20"/>
        </w:rPr>
        <w:footnoteRef/>
      </w:r>
      <w:r w:rsidRPr="00AA4F87">
        <w:rPr>
          <w:sz w:val="20"/>
          <w:szCs w:val="20"/>
        </w:rPr>
        <w:t xml:space="preserve"> See </w:t>
      </w:r>
      <w:r w:rsidRPr="007C0EF0">
        <w:rPr>
          <w:sz w:val="20"/>
          <w:szCs w:val="20"/>
        </w:rPr>
        <w:t>http:/</w:t>
      </w:r>
      <w:r>
        <w:rPr>
          <w:sz w:val="20"/>
          <w:szCs w:val="20"/>
        </w:rPr>
        <w:t>/www.financial-ombudsman.org.uk.</w:t>
      </w:r>
    </w:p>
  </w:footnote>
  <w:footnote w:id="172">
    <w:p w:rsidR="00EB4E5D" w:rsidRPr="00AA4F87" w:rsidRDefault="00EB4E5D" w:rsidP="00AE7673">
      <w:pPr>
        <w:pStyle w:val="FootnoteText"/>
        <w:rPr>
          <w:sz w:val="20"/>
          <w:szCs w:val="20"/>
        </w:rPr>
      </w:pPr>
      <w:r w:rsidRPr="00AA4F87">
        <w:rPr>
          <w:rStyle w:val="FootnoteReference"/>
          <w:sz w:val="20"/>
          <w:szCs w:val="20"/>
        </w:rPr>
        <w:footnoteRef/>
      </w:r>
      <w:r w:rsidRPr="00AA4F87">
        <w:rPr>
          <w:sz w:val="20"/>
          <w:szCs w:val="20"/>
        </w:rPr>
        <w:t xml:space="preserve"> F</w:t>
      </w:r>
      <w:r>
        <w:rPr>
          <w:sz w:val="20"/>
          <w:szCs w:val="20"/>
        </w:rPr>
        <w:t xml:space="preserve">inancial </w:t>
      </w:r>
      <w:r w:rsidRPr="00AA4F87">
        <w:rPr>
          <w:sz w:val="20"/>
          <w:szCs w:val="20"/>
        </w:rPr>
        <w:t>S</w:t>
      </w:r>
      <w:r>
        <w:rPr>
          <w:sz w:val="20"/>
          <w:szCs w:val="20"/>
        </w:rPr>
        <w:t xml:space="preserve">ervices and </w:t>
      </w:r>
      <w:r w:rsidRPr="00AA4F87">
        <w:rPr>
          <w:sz w:val="20"/>
          <w:szCs w:val="20"/>
        </w:rPr>
        <w:t>M</w:t>
      </w:r>
      <w:r>
        <w:rPr>
          <w:sz w:val="20"/>
          <w:szCs w:val="20"/>
        </w:rPr>
        <w:t xml:space="preserve">arkets </w:t>
      </w:r>
      <w:r w:rsidRPr="00AA4F87">
        <w:rPr>
          <w:sz w:val="20"/>
          <w:szCs w:val="20"/>
        </w:rPr>
        <w:t>A</w:t>
      </w:r>
      <w:r>
        <w:rPr>
          <w:sz w:val="20"/>
          <w:szCs w:val="20"/>
        </w:rPr>
        <w:t>ct 2000</w:t>
      </w:r>
      <w:r w:rsidRPr="00AA4F87">
        <w:rPr>
          <w:sz w:val="20"/>
          <w:szCs w:val="20"/>
        </w:rPr>
        <w:t>, s</w:t>
      </w:r>
      <w:r>
        <w:rPr>
          <w:sz w:val="20"/>
          <w:szCs w:val="20"/>
        </w:rPr>
        <w:t xml:space="preserve"> </w:t>
      </w:r>
      <w:r w:rsidRPr="00AA4F87">
        <w:rPr>
          <w:sz w:val="20"/>
          <w:szCs w:val="20"/>
        </w:rPr>
        <w:t>229.</w:t>
      </w:r>
    </w:p>
  </w:footnote>
  <w:footnote w:id="173">
    <w:p w:rsidR="00EB4E5D" w:rsidRPr="00AA4F87" w:rsidRDefault="00EB4E5D" w:rsidP="00AE7673">
      <w:pPr>
        <w:pStyle w:val="FootnoteText"/>
        <w:rPr>
          <w:sz w:val="20"/>
          <w:szCs w:val="20"/>
        </w:rPr>
      </w:pPr>
      <w:r w:rsidRPr="00AA4F87">
        <w:rPr>
          <w:rStyle w:val="FootnoteReference"/>
          <w:sz w:val="20"/>
          <w:szCs w:val="20"/>
        </w:rPr>
        <w:footnoteRef/>
      </w:r>
      <w:r w:rsidRPr="00AA4F87">
        <w:rPr>
          <w:sz w:val="20"/>
          <w:szCs w:val="20"/>
        </w:rPr>
        <w:t xml:space="preserve"> See </w:t>
      </w:r>
      <w:hyperlink r:id="rId12" w:history="1">
        <w:r w:rsidRPr="00FC6846">
          <w:rPr>
            <w:rStyle w:val="Hyperlink"/>
            <w:sz w:val="20"/>
            <w:szCs w:val="20"/>
          </w:rPr>
          <w:t>http://www.financial-ombudsman.org.uk/publications/technical_notes/mortgage-arrears-and-charges.html</w:t>
        </w:r>
      </w:hyperlink>
      <w:r>
        <w:rPr>
          <w:sz w:val="20"/>
          <w:szCs w:val="20"/>
        </w:rPr>
        <w:t xml:space="preserve"> .</w:t>
      </w:r>
    </w:p>
  </w:footnote>
  <w:footnote w:id="174">
    <w:p w:rsidR="00EB4E5D" w:rsidRPr="00AA4F87" w:rsidRDefault="00EB4E5D" w:rsidP="00AE7673">
      <w:pPr>
        <w:pStyle w:val="FootnoteText"/>
        <w:rPr>
          <w:sz w:val="20"/>
          <w:szCs w:val="20"/>
        </w:rPr>
      </w:pPr>
      <w:r w:rsidRPr="00AA4F87">
        <w:rPr>
          <w:rStyle w:val="FootnoteReference"/>
          <w:sz w:val="20"/>
          <w:szCs w:val="20"/>
        </w:rPr>
        <w:footnoteRef/>
      </w:r>
      <w:r w:rsidRPr="00AA4F87">
        <w:rPr>
          <w:sz w:val="20"/>
          <w:szCs w:val="20"/>
        </w:rPr>
        <w:t xml:space="preserve"> F</w:t>
      </w:r>
      <w:r>
        <w:rPr>
          <w:sz w:val="20"/>
          <w:szCs w:val="20"/>
        </w:rPr>
        <w:t xml:space="preserve">inancial </w:t>
      </w:r>
      <w:r w:rsidRPr="00AA4F87">
        <w:rPr>
          <w:sz w:val="20"/>
          <w:szCs w:val="20"/>
        </w:rPr>
        <w:t>S</w:t>
      </w:r>
      <w:r>
        <w:rPr>
          <w:sz w:val="20"/>
          <w:szCs w:val="20"/>
        </w:rPr>
        <w:t xml:space="preserve">ervices and </w:t>
      </w:r>
      <w:r w:rsidRPr="00AA4F87">
        <w:rPr>
          <w:sz w:val="20"/>
          <w:szCs w:val="20"/>
        </w:rPr>
        <w:t>M</w:t>
      </w:r>
      <w:r>
        <w:rPr>
          <w:sz w:val="20"/>
          <w:szCs w:val="20"/>
        </w:rPr>
        <w:t xml:space="preserve">arkets </w:t>
      </w:r>
      <w:r w:rsidRPr="00AA4F87">
        <w:rPr>
          <w:sz w:val="20"/>
          <w:szCs w:val="20"/>
        </w:rPr>
        <w:t>A</w:t>
      </w:r>
      <w:r>
        <w:rPr>
          <w:sz w:val="20"/>
          <w:szCs w:val="20"/>
        </w:rPr>
        <w:t>ct 2000</w:t>
      </w:r>
      <w:r w:rsidRPr="00AA4F87">
        <w:rPr>
          <w:sz w:val="20"/>
          <w:szCs w:val="20"/>
        </w:rPr>
        <w:t>,</w:t>
      </w:r>
      <w:r>
        <w:rPr>
          <w:sz w:val="20"/>
          <w:szCs w:val="20"/>
        </w:rPr>
        <w:t xml:space="preserve"> s</w:t>
      </w:r>
      <w:r w:rsidRPr="00AA4F87">
        <w:rPr>
          <w:sz w:val="20"/>
          <w:szCs w:val="20"/>
        </w:rPr>
        <w:t>230A.</w:t>
      </w:r>
    </w:p>
  </w:footnote>
  <w:footnote w:id="175">
    <w:p w:rsidR="00EB4E5D" w:rsidRPr="000300D0" w:rsidRDefault="00EB4E5D" w:rsidP="000300D0">
      <w:pPr>
        <w:pStyle w:val="NoSpacing"/>
        <w:rPr>
          <w:rFonts w:ascii="Times New Roman" w:hAnsi="Times New Roman" w:cs="Times New Roman"/>
          <w:sz w:val="20"/>
          <w:szCs w:val="20"/>
        </w:rPr>
      </w:pPr>
      <w:r w:rsidRPr="000300D0">
        <w:rPr>
          <w:rStyle w:val="FootnoteReference"/>
          <w:rFonts w:ascii="Times New Roman" w:hAnsi="Times New Roman" w:cs="Times New Roman"/>
          <w:sz w:val="20"/>
          <w:szCs w:val="20"/>
        </w:rPr>
        <w:footnoteRef/>
      </w:r>
      <w:r w:rsidRPr="000300D0">
        <w:rPr>
          <w:rFonts w:ascii="Times New Roman" w:hAnsi="Times New Roman" w:cs="Times New Roman"/>
          <w:sz w:val="20"/>
          <w:szCs w:val="20"/>
        </w:rPr>
        <w:t xml:space="preserve"> See the </w:t>
      </w:r>
      <w:r w:rsidRPr="000300D0">
        <w:rPr>
          <w:rFonts w:ascii="Times New Roman" w:hAnsi="Times New Roman" w:cs="Times New Roman"/>
          <w:i/>
          <w:sz w:val="20"/>
          <w:szCs w:val="20"/>
        </w:rPr>
        <w:t>Memorandum of Understanding between the Financial Conduct Authority (the FCA) and the scheme  operator, the Financial Ombudsman Service Limited</w:t>
      </w:r>
      <w:r>
        <w:rPr>
          <w:rFonts w:ascii="Times New Roman" w:hAnsi="Times New Roman" w:cs="Times New Roman"/>
          <w:sz w:val="20"/>
          <w:szCs w:val="20"/>
        </w:rPr>
        <w:t xml:space="preserve"> (2015) at </w:t>
      </w:r>
      <w:r w:rsidRPr="000300D0">
        <w:rPr>
          <w:rFonts w:ascii="Times New Roman" w:hAnsi="Times New Roman" w:cs="Times New Roman"/>
          <w:sz w:val="20"/>
          <w:szCs w:val="20"/>
        </w:rPr>
        <w:t>https://www.fca.org.uk/publication/mou/mou-fos.pdf).</w:t>
      </w:r>
    </w:p>
  </w:footnote>
  <w:footnote w:id="176">
    <w:p w:rsidR="00EB4E5D" w:rsidRPr="00B03C10" w:rsidRDefault="00EB4E5D" w:rsidP="008935BE">
      <w:pPr>
        <w:suppressAutoHyphens/>
        <w:autoSpaceDN w:val="0"/>
        <w:spacing w:after="0" w:line="240" w:lineRule="auto"/>
        <w:rPr>
          <w:sz w:val="20"/>
        </w:rPr>
      </w:pPr>
      <w:r w:rsidRPr="00B03C10">
        <w:rPr>
          <w:rStyle w:val="FootnoteReference"/>
          <w:sz w:val="20"/>
        </w:rPr>
        <w:footnoteRef/>
      </w:r>
      <w:r w:rsidRPr="00B03C10">
        <w:rPr>
          <w:sz w:val="20"/>
        </w:rPr>
        <w:t xml:space="preserve"> </w:t>
      </w:r>
      <w:r w:rsidR="009D0E09">
        <w:rPr>
          <w:sz w:val="20"/>
        </w:rPr>
        <w:t>n 14</w:t>
      </w:r>
      <w:r>
        <w:rPr>
          <w:sz w:val="20"/>
        </w:rPr>
        <w:t xml:space="preserve"> above, at </w:t>
      </w:r>
      <w:r w:rsidR="009D0E09">
        <w:rPr>
          <w:rFonts w:eastAsia="Calibri"/>
          <w:sz w:val="20"/>
        </w:rPr>
        <w:t>[12]</w:t>
      </w:r>
      <w:r w:rsidRPr="00B03C10">
        <w:rPr>
          <w:rFonts w:eastAsia="Calibri"/>
          <w:sz w:val="20"/>
        </w:rPr>
        <w:t xml:space="preserve"> and [33].</w:t>
      </w:r>
      <w:r>
        <w:rPr>
          <w:rFonts w:eastAsia="Calibri"/>
          <w:sz w:val="20"/>
        </w:rPr>
        <w:t xml:space="preserve">  </w:t>
      </w:r>
    </w:p>
  </w:footnote>
  <w:footnote w:id="177">
    <w:p w:rsidR="00EB4E5D" w:rsidRPr="00B03C10" w:rsidRDefault="00EB4E5D" w:rsidP="00957A0C">
      <w:pPr>
        <w:pStyle w:val="FootnoteText"/>
        <w:rPr>
          <w:sz w:val="20"/>
          <w:szCs w:val="20"/>
        </w:rPr>
      </w:pPr>
      <w:r w:rsidRPr="00B03C10">
        <w:rPr>
          <w:rStyle w:val="FootnoteReference"/>
          <w:sz w:val="20"/>
          <w:szCs w:val="20"/>
        </w:rPr>
        <w:footnoteRef/>
      </w:r>
      <w:r w:rsidRPr="00B03C10">
        <w:rPr>
          <w:sz w:val="20"/>
          <w:szCs w:val="20"/>
        </w:rPr>
        <w:t xml:space="preserve"> </w:t>
      </w:r>
      <w:r w:rsidR="009D0E09">
        <w:rPr>
          <w:sz w:val="20"/>
          <w:szCs w:val="20"/>
        </w:rPr>
        <w:t>n 59</w:t>
      </w:r>
      <w:r>
        <w:rPr>
          <w:sz w:val="20"/>
          <w:szCs w:val="20"/>
        </w:rPr>
        <w:t xml:space="preserve"> above</w:t>
      </w:r>
      <w:r w:rsidRPr="00B03C10">
        <w:rPr>
          <w:sz w:val="20"/>
          <w:szCs w:val="20"/>
        </w:rPr>
        <w:t>, 1053.</w:t>
      </w:r>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D70ED"/>
    <w:multiLevelType w:val="hybridMultilevel"/>
    <w:tmpl w:val="E69C79CC"/>
    <w:lvl w:ilvl="0" w:tplc="29ECD132">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A912999"/>
    <w:multiLevelType w:val="hybridMultilevel"/>
    <w:tmpl w:val="BE30F0BC"/>
    <w:lvl w:ilvl="0" w:tplc="6562FD6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77633"/>
    <w:multiLevelType w:val="hybridMultilevel"/>
    <w:tmpl w:val="F3A6B054"/>
    <w:lvl w:ilvl="0" w:tplc="8728A7A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BC7CE7"/>
    <w:multiLevelType w:val="hybridMultilevel"/>
    <w:tmpl w:val="1FC2C52C"/>
    <w:lvl w:ilvl="0" w:tplc="236AF5C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BA2689"/>
    <w:multiLevelType w:val="hybridMultilevel"/>
    <w:tmpl w:val="BEFC7372"/>
    <w:lvl w:ilvl="0" w:tplc="9CBC770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F57E0F"/>
    <w:multiLevelType w:val="hybridMultilevel"/>
    <w:tmpl w:val="0AA2619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E27497B"/>
    <w:multiLevelType w:val="hybridMultilevel"/>
    <w:tmpl w:val="85A0AD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110F9D"/>
    <w:multiLevelType w:val="multilevel"/>
    <w:tmpl w:val="62502A2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DB90249"/>
    <w:multiLevelType w:val="hybridMultilevel"/>
    <w:tmpl w:val="986279BC"/>
    <w:lvl w:ilvl="0" w:tplc="28EEAF88">
      <w:start w:val="1"/>
      <w:numFmt w:val="lowerRoman"/>
      <w:lvlText w:val="%1)"/>
      <w:lvlJc w:val="left"/>
      <w:pPr>
        <w:ind w:left="765" w:hanging="72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num w:numId="1">
    <w:abstractNumId w:val="0"/>
  </w:num>
  <w:num w:numId="2">
    <w:abstractNumId w:val="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5"/>
  </w:num>
  <w:num w:numId="8">
    <w:abstractNumId w:val="4"/>
  </w:num>
  <w:num w:numId="9">
    <w:abstractNumId w:val="3"/>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4A"/>
    <w:rsid w:val="000005A8"/>
    <w:rsid w:val="00001E55"/>
    <w:rsid w:val="000024F3"/>
    <w:rsid w:val="00005F72"/>
    <w:rsid w:val="000115EE"/>
    <w:rsid w:val="00013542"/>
    <w:rsid w:val="00020497"/>
    <w:rsid w:val="00023A6B"/>
    <w:rsid w:val="00023C55"/>
    <w:rsid w:val="00025043"/>
    <w:rsid w:val="000273B2"/>
    <w:rsid w:val="000300D0"/>
    <w:rsid w:val="000311CD"/>
    <w:rsid w:val="000316C5"/>
    <w:rsid w:val="000324A4"/>
    <w:rsid w:val="00033E5F"/>
    <w:rsid w:val="000369FC"/>
    <w:rsid w:val="00041922"/>
    <w:rsid w:val="00042260"/>
    <w:rsid w:val="000431F9"/>
    <w:rsid w:val="000441ED"/>
    <w:rsid w:val="000459A1"/>
    <w:rsid w:val="00045E54"/>
    <w:rsid w:val="000507C4"/>
    <w:rsid w:val="0005517A"/>
    <w:rsid w:val="0005520C"/>
    <w:rsid w:val="00056897"/>
    <w:rsid w:val="00061D9F"/>
    <w:rsid w:val="00061FF4"/>
    <w:rsid w:val="000629B2"/>
    <w:rsid w:val="000660BA"/>
    <w:rsid w:val="0006700B"/>
    <w:rsid w:val="00070058"/>
    <w:rsid w:val="00071C5C"/>
    <w:rsid w:val="00073DA4"/>
    <w:rsid w:val="00074726"/>
    <w:rsid w:val="00074776"/>
    <w:rsid w:val="00074959"/>
    <w:rsid w:val="000751D0"/>
    <w:rsid w:val="00077350"/>
    <w:rsid w:val="0008253A"/>
    <w:rsid w:val="00084F19"/>
    <w:rsid w:val="000909E7"/>
    <w:rsid w:val="00092170"/>
    <w:rsid w:val="000956FE"/>
    <w:rsid w:val="000958CB"/>
    <w:rsid w:val="00096821"/>
    <w:rsid w:val="000A1051"/>
    <w:rsid w:val="000A11DD"/>
    <w:rsid w:val="000A1631"/>
    <w:rsid w:val="000A1E21"/>
    <w:rsid w:val="000A4644"/>
    <w:rsid w:val="000A4D80"/>
    <w:rsid w:val="000A63D0"/>
    <w:rsid w:val="000B217D"/>
    <w:rsid w:val="000B43E6"/>
    <w:rsid w:val="000B5F2E"/>
    <w:rsid w:val="000C0503"/>
    <w:rsid w:val="000C0718"/>
    <w:rsid w:val="000C0CB7"/>
    <w:rsid w:val="000C132C"/>
    <w:rsid w:val="000C31D3"/>
    <w:rsid w:val="000C4035"/>
    <w:rsid w:val="000C55E7"/>
    <w:rsid w:val="000C560E"/>
    <w:rsid w:val="000C605A"/>
    <w:rsid w:val="000C7DDA"/>
    <w:rsid w:val="000D0153"/>
    <w:rsid w:val="000D029D"/>
    <w:rsid w:val="000D62C3"/>
    <w:rsid w:val="000D67B4"/>
    <w:rsid w:val="000D7228"/>
    <w:rsid w:val="000E09F7"/>
    <w:rsid w:val="000E5656"/>
    <w:rsid w:val="000E6B42"/>
    <w:rsid w:val="000F064D"/>
    <w:rsid w:val="000F12CE"/>
    <w:rsid w:val="000F183D"/>
    <w:rsid w:val="000F1D85"/>
    <w:rsid w:val="000F4794"/>
    <w:rsid w:val="000F6460"/>
    <w:rsid w:val="00105533"/>
    <w:rsid w:val="00105CE8"/>
    <w:rsid w:val="001075C1"/>
    <w:rsid w:val="00111C43"/>
    <w:rsid w:val="00112FD7"/>
    <w:rsid w:val="00115403"/>
    <w:rsid w:val="00116EA8"/>
    <w:rsid w:val="001172F8"/>
    <w:rsid w:val="00117B47"/>
    <w:rsid w:val="001213BD"/>
    <w:rsid w:val="0012318D"/>
    <w:rsid w:val="00123FE5"/>
    <w:rsid w:val="00125836"/>
    <w:rsid w:val="00126E77"/>
    <w:rsid w:val="00131011"/>
    <w:rsid w:val="0013112C"/>
    <w:rsid w:val="00131531"/>
    <w:rsid w:val="00132339"/>
    <w:rsid w:val="00135225"/>
    <w:rsid w:val="00136727"/>
    <w:rsid w:val="00136862"/>
    <w:rsid w:val="00137FD6"/>
    <w:rsid w:val="00140A83"/>
    <w:rsid w:val="0014155E"/>
    <w:rsid w:val="001426C1"/>
    <w:rsid w:val="001454C7"/>
    <w:rsid w:val="0014662C"/>
    <w:rsid w:val="0014674C"/>
    <w:rsid w:val="001468E5"/>
    <w:rsid w:val="00146EB0"/>
    <w:rsid w:val="00153090"/>
    <w:rsid w:val="00153318"/>
    <w:rsid w:val="0015337C"/>
    <w:rsid w:val="00154211"/>
    <w:rsid w:val="00155A9F"/>
    <w:rsid w:val="00155BD4"/>
    <w:rsid w:val="00157A37"/>
    <w:rsid w:val="00157CD9"/>
    <w:rsid w:val="00161B88"/>
    <w:rsid w:val="00166799"/>
    <w:rsid w:val="00167400"/>
    <w:rsid w:val="00170DA8"/>
    <w:rsid w:val="00170E70"/>
    <w:rsid w:val="0017187A"/>
    <w:rsid w:val="0017221F"/>
    <w:rsid w:val="00175640"/>
    <w:rsid w:val="0017566B"/>
    <w:rsid w:val="00177423"/>
    <w:rsid w:val="00182945"/>
    <w:rsid w:val="00182DD2"/>
    <w:rsid w:val="001861BE"/>
    <w:rsid w:val="0018798E"/>
    <w:rsid w:val="00187EE7"/>
    <w:rsid w:val="00190798"/>
    <w:rsid w:val="0019127E"/>
    <w:rsid w:val="00191697"/>
    <w:rsid w:val="0019338E"/>
    <w:rsid w:val="001948EF"/>
    <w:rsid w:val="001951FD"/>
    <w:rsid w:val="00195C67"/>
    <w:rsid w:val="00196A9E"/>
    <w:rsid w:val="001977FE"/>
    <w:rsid w:val="00197D64"/>
    <w:rsid w:val="001A00C0"/>
    <w:rsid w:val="001A1C18"/>
    <w:rsid w:val="001A3F59"/>
    <w:rsid w:val="001A5312"/>
    <w:rsid w:val="001A5E74"/>
    <w:rsid w:val="001A60C0"/>
    <w:rsid w:val="001A6D2A"/>
    <w:rsid w:val="001A6E1A"/>
    <w:rsid w:val="001A74E6"/>
    <w:rsid w:val="001A7643"/>
    <w:rsid w:val="001B098A"/>
    <w:rsid w:val="001B0ED7"/>
    <w:rsid w:val="001B31C7"/>
    <w:rsid w:val="001B442E"/>
    <w:rsid w:val="001B50DB"/>
    <w:rsid w:val="001B645C"/>
    <w:rsid w:val="001B67BE"/>
    <w:rsid w:val="001C0314"/>
    <w:rsid w:val="001C0DA1"/>
    <w:rsid w:val="001C19E8"/>
    <w:rsid w:val="001C2613"/>
    <w:rsid w:val="001C3127"/>
    <w:rsid w:val="001C4F04"/>
    <w:rsid w:val="001C5069"/>
    <w:rsid w:val="001C566D"/>
    <w:rsid w:val="001D3929"/>
    <w:rsid w:val="001D65AE"/>
    <w:rsid w:val="001D67F6"/>
    <w:rsid w:val="001D71E5"/>
    <w:rsid w:val="001D79F9"/>
    <w:rsid w:val="001E0572"/>
    <w:rsid w:val="001E0C3D"/>
    <w:rsid w:val="001E150A"/>
    <w:rsid w:val="001E3AA4"/>
    <w:rsid w:val="001E6039"/>
    <w:rsid w:val="001E7C99"/>
    <w:rsid w:val="001F0831"/>
    <w:rsid w:val="001F08FA"/>
    <w:rsid w:val="001F1191"/>
    <w:rsid w:val="001F4391"/>
    <w:rsid w:val="001F44B7"/>
    <w:rsid w:val="001F53AB"/>
    <w:rsid w:val="001F5860"/>
    <w:rsid w:val="001F5DDE"/>
    <w:rsid w:val="002005A4"/>
    <w:rsid w:val="002007AD"/>
    <w:rsid w:val="00201118"/>
    <w:rsid w:val="00202971"/>
    <w:rsid w:val="00203C05"/>
    <w:rsid w:val="002047CC"/>
    <w:rsid w:val="002055E4"/>
    <w:rsid w:val="00205DC4"/>
    <w:rsid w:val="00207FF6"/>
    <w:rsid w:val="00211998"/>
    <w:rsid w:val="0021556A"/>
    <w:rsid w:val="002174EB"/>
    <w:rsid w:val="002216D6"/>
    <w:rsid w:val="00222471"/>
    <w:rsid w:val="002304F9"/>
    <w:rsid w:val="00230680"/>
    <w:rsid w:val="00231141"/>
    <w:rsid w:val="00232C35"/>
    <w:rsid w:val="00233BCB"/>
    <w:rsid w:val="00241FCC"/>
    <w:rsid w:val="00242692"/>
    <w:rsid w:val="00245DF6"/>
    <w:rsid w:val="00245F19"/>
    <w:rsid w:val="002478E6"/>
    <w:rsid w:val="00250D7D"/>
    <w:rsid w:val="002523C3"/>
    <w:rsid w:val="002545E9"/>
    <w:rsid w:val="00254A26"/>
    <w:rsid w:val="00261B43"/>
    <w:rsid w:val="0026207A"/>
    <w:rsid w:val="002627B7"/>
    <w:rsid w:val="002629EF"/>
    <w:rsid w:val="002640D8"/>
    <w:rsid w:val="00266472"/>
    <w:rsid w:val="002671AA"/>
    <w:rsid w:val="002709CC"/>
    <w:rsid w:val="00271ADE"/>
    <w:rsid w:val="00271C8B"/>
    <w:rsid w:val="00273468"/>
    <w:rsid w:val="00274CA0"/>
    <w:rsid w:val="002808A9"/>
    <w:rsid w:val="00280E12"/>
    <w:rsid w:val="002853A7"/>
    <w:rsid w:val="00290A07"/>
    <w:rsid w:val="002926D8"/>
    <w:rsid w:val="002928EA"/>
    <w:rsid w:val="00295C2A"/>
    <w:rsid w:val="002970E5"/>
    <w:rsid w:val="002977B7"/>
    <w:rsid w:val="00297A5B"/>
    <w:rsid w:val="002B23CC"/>
    <w:rsid w:val="002B4FC0"/>
    <w:rsid w:val="002B58D1"/>
    <w:rsid w:val="002C2CAB"/>
    <w:rsid w:val="002C72B0"/>
    <w:rsid w:val="002D27EE"/>
    <w:rsid w:val="002D37F0"/>
    <w:rsid w:val="002D7454"/>
    <w:rsid w:val="002D7EBA"/>
    <w:rsid w:val="002D7EFE"/>
    <w:rsid w:val="002E057C"/>
    <w:rsid w:val="002E477A"/>
    <w:rsid w:val="002E4ACB"/>
    <w:rsid w:val="002F0012"/>
    <w:rsid w:val="002F0B4F"/>
    <w:rsid w:val="002F0BED"/>
    <w:rsid w:val="002F13CF"/>
    <w:rsid w:val="002F16A4"/>
    <w:rsid w:val="002F5856"/>
    <w:rsid w:val="002F5B31"/>
    <w:rsid w:val="00304460"/>
    <w:rsid w:val="00305F03"/>
    <w:rsid w:val="0030646F"/>
    <w:rsid w:val="00307AC7"/>
    <w:rsid w:val="00307AE5"/>
    <w:rsid w:val="00311558"/>
    <w:rsid w:val="003119C6"/>
    <w:rsid w:val="003121E4"/>
    <w:rsid w:val="00313A7E"/>
    <w:rsid w:val="0031684E"/>
    <w:rsid w:val="00320FDE"/>
    <w:rsid w:val="0032139B"/>
    <w:rsid w:val="00321FA6"/>
    <w:rsid w:val="00331A08"/>
    <w:rsid w:val="00332B77"/>
    <w:rsid w:val="0033648F"/>
    <w:rsid w:val="00337476"/>
    <w:rsid w:val="00340B41"/>
    <w:rsid w:val="003430F1"/>
    <w:rsid w:val="0034391D"/>
    <w:rsid w:val="00345A28"/>
    <w:rsid w:val="00345B24"/>
    <w:rsid w:val="0034750C"/>
    <w:rsid w:val="003519AA"/>
    <w:rsid w:val="00353429"/>
    <w:rsid w:val="00353FBB"/>
    <w:rsid w:val="00356070"/>
    <w:rsid w:val="0036106F"/>
    <w:rsid w:val="00361EE4"/>
    <w:rsid w:val="0036289E"/>
    <w:rsid w:val="0036425E"/>
    <w:rsid w:val="00364CC1"/>
    <w:rsid w:val="003663E7"/>
    <w:rsid w:val="0037095D"/>
    <w:rsid w:val="00373605"/>
    <w:rsid w:val="00373FF7"/>
    <w:rsid w:val="0037400D"/>
    <w:rsid w:val="003758C6"/>
    <w:rsid w:val="00377DD7"/>
    <w:rsid w:val="00392933"/>
    <w:rsid w:val="00392F12"/>
    <w:rsid w:val="00395514"/>
    <w:rsid w:val="003977BC"/>
    <w:rsid w:val="003A0650"/>
    <w:rsid w:val="003A2F9F"/>
    <w:rsid w:val="003A37A2"/>
    <w:rsid w:val="003A48B0"/>
    <w:rsid w:val="003A6523"/>
    <w:rsid w:val="003A6D02"/>
    <w:rsid w:val="003A7431"/>
    <w:rsid w:val="003A74AE"/>
    <w:rsid w:val="003B2B95"/>
    <w:rsid w:val="003B2EC4"/>
    <w:rsid w:val="003B436D"/>
    <w:rsid w:val="003C2BBE"/>
    <w:rsid w:val="003C36D7"/>
    <w:rsid w:val="003C5ABC"/>
    <w:rsid w:val="003D186F"/>
    <w:rsid w:val="003D2528"/>
    <w:rsid w:val="003D3F8D"/>
    <w:rsid w:val="003D453B"/>
    <w:rsid w:val="003D7DCD"/>
    <w:rsid w:val="003E16FA"/>
    <w:rsid w:val="003E195D"/>
    <w:rsid w:val="003E2800"/>
    <w:rsid w:val="003E5892"/>
    <w:rsid w:val="003F0A9A"/>
    <w:rsid w:val="003F2ECE"/>
    <w:rsid w:val="003F395F"/>
    <w:rsid w:val="003F3EFD"/>
    <w:rsid w:val="003F5040"/>
    <w:rsid w:val="003F6E73"/>
    <w:rsid w:val="003F7FEF"/>
    <w:rsid w:val="0040140C"/>
    <w:rsid w:val="00402C46"/>
    <w:rsid w:val="0040363E"/>
    <w:rsid w:val="004046EC"/>
    <w:rsid w:val="004051D6"/>
    <w:rsid w:val="00405888"/>
    <w:rsid w:val="004106FE"/>
    <w:rsid w:val="00411E63"/>
    <w:rsid w:val="004125C4"/>
    <w:rsid w:val="00412963"/>
    <w:rsid w:val="00416543"/>
    <w:rsid w:val="00417496"/>
    <w:rsid w:val="00420D58"/>
    <w:rsid w:val="0042151F"/>
    <w:rsid w:val="00421A95"/>
    <w:rsid w:val="00422CB6"/>
    <w:rsid w:val="0043168C"/>
    <w:rsid w:val="00431D51"/>
    <w:rsid w:val="004340A2"/>
    <w:rsid w:val="00435884"/>
    <w:rsid w:val="004404AB"/>
    <w:rsid w:val="00445E90"/>
    <w:rsid w:val="00446C12"/>
    <w:rsid w:val="00452D9C"/>
    <w:rsid w:val="00453C99"/>
    <w:rsid w:val="00454305"/>
    <w:rsid w:val="00454661"/>
    <w:rsid w:val="004554BA"/>
    <w:rsid w:val="004559D0"/>
    <w:rsid w:val="0045793F"/>
    <w:rsid w:val="00457D36"/>
    <w:rsid w:val="00464E15"/>
    <w:rsid w:val="00465761"/>
    <w:rsid w:val="00480412"/>
    <w:rsid w:val="00481964"/>
    <w:rsid w:val="00481F72"/>
    <w:rsid w:val="00483100"/>
    <w:rsid w:val="004848D0"/>
    <w:rsid w:val="00486EBF"/>
    <w:rsid w:val="00487982"/>
    <w:rsid w:val="004901AF"/>
    <w:rsid w:val="004903B7"/>
    <w:rsid w:val="0049334E"/>
    <w:rsid w:val="00493B72"/>
    <w:rsid w:val="00493CC0"/>
    <w:rsid w:val="004964AD"/>
    <w:rsid w:val="004A4C23"/>
    <w:rsid w:val="004A5D11"/>
    <w:rsid w:val="004A7236"/>
    <w:rsid w:val="004B0053"/>
    <w:rsid w:val="004B01CE"/>
    <w:rsid w:val="004B5F44"/>
    <w:rsid w:val="004B6D19"/>
    <w:rsid w:val="004C0463"/>
    <w:rsid w:val="004C573D"/>
    <w:rsid w:val="004D1D94"/>
    <w:rsid w:val="004D7700"/>
    <w:rsid w:val="004E36BD"/>
    <w:rsid w:val="004E3A66"/>
    <w:rsid w:val="004E4687"/>
    <w:rsid w:val="004E4AA9"/>
    <w:rsid w:val="004E5599"/>
    <w:rsid w:val="004E6472"/>
    <w:rsid w:val="004E72CB"/>
    <w:rsid w:val="004F2EDA"/>
    <w:rsid w:val="004F3166"/>
    <w:rsid w:val="004F3E4D"/>
    <w:rsid w:val="00500596"/>
    <w:rsid w:val="00500E2F"/>
    <w:rsid w:val="0050197A"/>
    <w:rsid w:val="0050350F"/>
    <w:rsid w:val="00505610"/>
    <w:rsid w:val="00505C5C"/>
    <w:rsid w:val="00506C56"/>
    <w:rsid w:val="00507454"/>
    <w:rsid w:val="0050748C"/>
    <w:rsid w:val="00507F8D"/>
    <w:rsid w:val="005103AF"/>
    <w:rsid w:val="00510749"/>
    <w:rsid w:val="00511D6A"/>
    <w:rsid w:val="00513902"/>
    <w:rsid w:val="00514BFA"/>
    <w:rsid w:val="00516C8C"/>
    <w:rsid w:val="0052227E"/>
    <w:rsid w:val="00524C34"/>
    <w:rsid w:val="00526A2E"/>
    <w:rsid w:val="00526A93"/>
    <w:rsid w:val="00527EBF"/>
    <w:rsid w:val="0053135A"/>
    <w:rsid w:val="005320CC"/>
    <w:rsid w:val="0053427B"/>
    <w:rsid w:val="005350B6"/>
    <w:rsid w:val="0053577E"/>
    <w:rsid w:val="00535B06"/>
    <w:rsid w:val="005367AF"/>
    <w:rsid w:val="00540D60"/>
    <w:rsid w:val="005453CE"/>
    <w:rsid w:val="005458D8"/>
    <w:rsid w:val="00546FD2"/>
    <w:rsid w:val="005506A2"/>
    <w:rsid w:val="00551652"/>
    <w:rsid w:val="005520A8"/>
    <w:rsid w:val="005531A9"/>
    <w:rsid w:val="00553455"/>
    <w:rsid w:val="0055404A"/>
    <w:rsid w:val="00554678"/>
    <w:rsid w:val="00554867"/>
    <w:rsid w:val="0055633D"/>
    <w:rsid w:val="00556E04"/>
    <w:rsid w:val="00557B1A"/>
    <w:rsid w:val="005648F2"/>
    <w:rsid w:val="00565320"/>
    <w:rsid w:val="00572350"/>
    <w:rsid w:val="005726AA"/>
    <w:rsid w:val="005726AD"/>
    <w:rsid w:val="0057273C"/>
    <w:rsid w:val="0057483A"/>
    <w:rsid w:val="005778A4"/>
    <w:rsid w:val="005811A1"/>
    <w:rsid w:val="0058166E"/>
    <w:rsid w:val="0058455D"/>
    <w:rsid w:val="0058568E"/>
    <w:rsid w:val="00585CE8"/>
    <w:rsid w:val="0058707F"/>
    <w:rsid w:val="005908AB"/>
    <w:rsid w:val="005919B5"/>
    <w:rsid w:val="00593798"/>
    <w:rsid w:val="005966D8"/>
    <w:rsid w:val="00596970"/>
    <w:rsid w:val="005A016C"/>
    <w:rsid w:val="005A2DEC"/>
    <w:rsid w:val="005A6B47"/>
    <w:rsid w:val="005B3990"/>
    <w:rsid w:val="005C3797"/>
    <w:rsid w:val="005C3BBC"/>
    <w:rsid w:val="005C4C10"/>
    <w:rsid w:val="005C5154"/>
    <w:rsid w:val="005C5A09"/>
    <w:rsid w:val="005C6CE6"/>
    <w:rsid w:val="005C700A"/>
    <w:rsid w:val="005D02D0"/>
    <w:rsid w:val="005D2F9C"/>
    <w:rsid w:val="005D43ED"/>
    <w:rsid w:val="005D5256"/>
    <w:rsid w:val="005D6B6F"/>
    <w:rsid w:val="005E1391"/>
    <w:rsid w:val="005E19B5"/>
    <w:rsid w:val="005E691F"/>
    <w:rsid w:val="005E6C86"/>
    <w:rsid w:val="005F1F15"/>
    <w:rsid w:val="005F23CC"/>
    <w:rsid w:val="005F419F"/>
    <w:rsid w:val="005F6831"/>
    <w:rsid w:val="0060040B"/>
    <w:rsid w:val="006008A7"/>
    <w:rsid w:val="00603DCA"/>
    <w:rsid w:val="006049BF"/>
    <w:rsid w:val="00604DAC"/>
    <w:rsid w:val="00605B99"/>
    <w:rsid w:val="00610F1F"/>
    <w:rsid w:val="006124A4"/>
    <w:rsid w:val="00614FC9"/>
    <w:rsid w:val="0061632D"/>
    <w:rsid w:val="0062049E"/>
    <w:rsid w:val="006234EB"/>
    <w:rsid w:val="00623A12"/>
    <w:rsid w:val="00625160"/>
    <w:rsid w:val="006274D5"/>
    <w:rsid w:val="00630199"/>
    <w:rsid w:val="006301B6"/>
    <w:rsid w:val="00630A70"/>
    <w:rsid w:val="00633FBC"/>
    <w:rsid w:val="00634BA8"/>
    <w:rsid w:val="00634E4D"/>
    <w:rsid w:val="00637098"/>
    <w:rsid w:val="0064068A"/>
    <w:rsid w:val="006414D6"/>
    <w:rsid w:val="006417DD"/>
    <w:rsid w:val="006418F6"/>
    <w:rsid w:val="0064248E"/>
    <w:rsid w:val="00644720"/>
    <w:rsid w:val="00646F40"/>
    <w:rsid w:val="00652BF0"/>
    <w:rsid w:val="006544B9"/>
    <w:rsid w:val="00654699"/>
    <w:rsid w:val="0065561D"/>
    <w:rsid w:val="00656B18"/>
    <w:rsid w:val="0066046E"/>
    <w:rsid w:val="006611F4"/>
    <w:rsid w:val="006633BF"/>
    <w:rsid w:val="00667D72"/>
    <w:rsid w:val="00674FEF"/>
    <w:rsid w:val="00676278"/>
    <w:rsid w:val="00676AAE"/>
    <w:rsid w:val="00682B1B"/>
    <w:rsid w:val="00683011"/>
    <w:rsid w:val="006839AA"/>
    <w:rsid w:val="0069082D"/>
    <w:rsid w:val="00690F60"/>
    <w:rsid w:val="006915A4"/>
    <w:rsid w:val="00692A9F"/>
    <w:rsid w:val="006937C8"/>
    <w:rsid w:val="0069539D"/>
    <w:rsid w:val="00695537"/>
    <w:rsid w:val="006974A1"/>
    <w:rsid w:val="006A53BB"/>
    <w:rsid w:val="006A5BCB"/>
    <w:rsid w:val="006A6EC4"/>
    <w:rsid w:val="006A7108"/>
    <w:rsid w:val="006B0D17"/>
    <w:rsid w:val="006B2DD9"/>
    <w:rsid w:val="006B2E4D"/>
    <w:rsid w:val="006B2F39"/>
    <w:rsid w:val="006B423B"/>
    <w:rsid w:val="006B6C76"/>
    <w:rsid w:val="006B7D23"/>
    <w:rsid w:val="006C03BC"/>
    <w:rsid w:val="006C11B9"/>
    <w:rsid w:val="006C4F7D"/>
    <w:rsid w:val="006C5927"/>
    <w:rsid w:val="006C6171"/>
    <w:rsid w:val="006D2C18"/>
    <w:rsid w:val="006D4B8C"/>
    <w:rsid w:val="006D58ED"/>
    <w:rsid w:val="006D60F6"/>
    <w:rsid w:val="006D74F2"/>
    <w:rsid w:val="006E175C"/>
    <w:rsid w:val="006E188B"/>
    <w:rsid w:val="006E401F"/>
    <w:rsid w:val="006E478D"/>
    <w:rsid w:val="006E67AE"/>
    <w:rsid w:val="006E76F3"/>
    <w:rsid w:val="006E7DEC"/>
    <w:rsid w:val="006F3F87"/>
    <w:rsid w:val="006F6F1F"/>
    <w:rsid w:val="0070041D"/>
    <w:rsid w:val="00700A28"/>
    <w:rsid w:val="0070489E"/>
    <w:rsid w:val="00705005"/>
    <w:rsid w:val="00705A18"/>
    <w:rsid w:val="0070783C"/>
    <w:rsid w:val="00707AE2"/>
    <w:rsid w:val="00711D4A"/>
    <w:rsid w:val="007142CA"/>
    <w:rsid w:val="00714ABB"/>
    <w:rsid w:val="00715BFA"/>
    <w:rsid w:val="00716003"/>
    <w:rsid w:val="007161C1"/>
    <w:rsid w:val="007166D2"/>
    <w:rsid w:val="00717E98"/>
    <w:rsid w:val="00721D07"/>
    <w:rsid w:val="0072255D"/>
    <w:rsid w:val="0072294A"/>
    <w:rsid w:val="00725618"/>
    <w:rsid w:val="00730D58"/>
    <w:rsid w:val="007328CF"/>
    <w:rsid w:val="007336B5"/>
    <w:rsid w:val="00736A91"/>
    <w:rsid w:val="00736AE3"/>
    <w:rsid w:val="00737B8C"/>
    <w:rsid w:val="0074175D"/>
    <w:rsid w:val="00750CD5"/>
    <w:rsid w:val="0075470F"/>
    <w:rsid w:val="00763004"/>
    <w:rsid w:val="007671AE"/>
    <w:rsid w:val="007671ED"/>
    <w:rsid w:val="00774E6E"/>
    <w:rsid w:val="00777F40"/>
    <w:rsid w:val="00787409"/>
    <w:rsid w:val="00787B5A"/>
    <w:rsid w:val="007909DA"/>
    <w:rsid w:val="00793B0A"/>
    <w:rsid w:val="00793F34"/>
    <w:rsid w:val="00797250"/>
    <w:rsid w:val="007A4207"/>
    <w:rsid w:val="007B054C"/>
    <w:rsid w:val="007B17E2"/>
    <w:rsid w:val="007B3AD4"/>
    <w:rsid w:val="007B4FCB"/>
    <w:rsid w:val="007B7425"/>
    <w:rsid w:val="007C0EF0"/>
    <w:rsid w:val="007C0F19"/>
    <w:rsid w:val="007C1B22"/>
    <w:rsid w:val="007C1CD5"/>
    <w:rsid w:val="007C41C3"/>
    <w:rsid w:val="007C439C"/>
    <w:rsid w:val="007C5785"/>
    <w:rsid w:val="007C7EB6"/>
    <w:rsid w:val="007D300E"/>
    <w:rsid w:val="007D38A7"/>
    <w:rsid w:val="007D4C9C"/>
    <w:rsid w:val="007E0D70"/>
    <w:rsid w:val="007E517B"/>
    <w:rsid w:val="007E5D12"/>
    <w:rsid w:val="007E6AC9"/>
    <w:rsid w:val="007F11DC"/>
    <w:rsid w:val="007F2161"/>
    <w:rsid w:val="007F487F"/>
    <w:rsid w:val="008005CB"/>
    <w:rsid w:val="00800B86"/>
    <w:rsid w:val="00803E4D"/>
    <w:rsid w:val="0080438D"/>
    <w:rsid w:val="00804560"/>
    <w:rsid w:val="0080561B"/>
    <w:rsid w:val="0081500D"/>
    <w:rsid w:val="00816C66"/>
    <w:rsid w:val="00820DB4"/>
    <w:rsid w:val="00821FAF"/>
    <w:rsid w:val="008222E0"/>
    <w:rsid w:val="00826E7A"/>
    <w:rsid w:val="00830BC5"/>
    <w:rsid w:val="008315D9"/>
    <w:rsid w:val="008322D1"/>
    <w:rsid w:val="00834362"/>
    <w:rsid w:val="00834B7C"/>
    <w:rsid w:val="00834F17"/>
    <w:rsid w:val="008372A4"/>
    <w:rsid w:val="00837AB8"/>
    <w:rsid w:val="00837D76"/>
    <w:rsid w:val="00840A8E"/>
    <w:rsid w:val="00841BB5"/>
    <w:rsid w:val="00846B55"/>
    <w:rsid w:val="008476C1"/>
    <w:rsid w:val="00850828"/>
    <w:rsid w:val="00851EAB"/>
    <w:rsid w:val="00855E42"/>
    <w:rsid w:val="00855F27"/>
    <w:rsid w:val="00856D1D"/>
    <w:rsid w:val="00857C7E"/>
    <w:rsid w:val="00857E8D"/>
    <w:rsid w:val="008606F7"/>
    <w:rsid w:val="0086358B"/>
    <w:rsid w:val="0087246D"/>
    <w:rsid w:val="008740DB"/>
    <w:rsid w:val="00876801"/>
    <w:rsid w:val="00876D0D"/>
    <w:rsid w:val="00881313"/>
    <w:rsid w:val="008815DA"/>
    <w:rsid w:val="00881E72"/>
    <w:rsid w:val="00882987"/>
    <w:rsid w:val="00884F4F"/>
    <w:rsid w:val="0088776C"/>
    <w:rsid w:val="0089064F"/>
    <w:rsid w:val="00890B16"/>
    <w:rsid w:val="00891408"/>
    <w:rsid w:val="00892D6D"/>
    <w:rsid w:val="008935BE"/>
    <w:rsid w:val="0089373D"/>
    <w:rsid w:val="00893BB2"/>
    <w:rsid w:val="008947D7"/>
    <w:rsid w:val="008955AC"/>
    <w:rsid w:val="00897FB3"/>
    <w:rsid w:val="008A6A49"/>
    <w:rsid w:val="008B134A"/>
    <w:rsid w:val="008B5C99"/>
    <w:rsid w:val="008B5DC9"/>
    <w:rsid w:val="008C0FA9"/>
    <w:rsid w:val="008C10CF"/>
    <w:rsid w:val="008C266E"/>
    <w:rsid w:val="008C2ED7"/>
    <w:rsid w:val="008C564B"/>
    <w:rsid w:val="008C6EEB"/>
    <w:rsid w:val="008C7F51"/>
    <w:rsid w:val="008D1431"/>
    <w:rsid w:val="008D38A0"/>
    <w:rsid w:val="008E0F1A"/>
    <w:rsid w:val="008E100C"/>
    <w:rsid w:val="008E14AA"/>
    <w:rsid w:val="008E183E"/>
    <w:rsid w:val="008E19C7"/>
    <w:rsid w:val="008E3E10"/>
    <w:rsid w:val="008E4061"/>
    <w:rsid w:val="008E41E6"/>
    <w:rsid w:val="008E5CBB"/>
    <w:rsid w:val="008F0184"/>
    <w:rsid w:val="008F173C"/>
    <w:rsid w:val="008F1C49"/>
    <w:rsid w:val="008F205E"/>
    <w:rsid w:val="008F3664"/>
    <w:rsid w:val="008F3FC9"/>
    <w:rsid w:val="008F4CB5"/>
    <w:rsid w:val="008F5EF0"/>
    <w:rsid w:val="0090374A"/>
    <w:rsid w:val="00905515"/>
    <w:rsid w:val="009069D2"/>
    <w:rsid w:val="00912088"/>
    <w:rsid w:val="00913F15"/>
    <w:rsid w:val="00915A51"/>
    <w:rsid w:val="009165D8"/>
    <w:rsid w:val="00917469"/>
    <w:rsid w:val="009204BE"/>
    <w:rsid w:val="00920A34"/>
    <w:rsid w:val="009215B7"/>
    <w:rsid w:val="00924417"/>
    <w:rsid w:val="0092560D"/>
    <w:rsid w:val="009257CF"/>
    <w:rsid w:val="00925BAA"/>
    <w:rsid w:val="00927628"/>
    <w:rsid w:val="00932D04"/>
    <w:rsid w:val="00936DD4"/>
    <w:rsid w:val="00943FDC"/>
    <w:rsid w:val="009457ED"/>
    <w:rsid w:val="00945A37"/>
    <w:rsid w:val="0095011F"/>
    <w:rsid w:val="00950B0E"/>
    <w:rsid w:val="00950E13"/>
    <w:rsid w:val="00951FD1"/>
    <w:rsid w:val="00953A40"/>
    <w:rsid w:val="00955398"/>
    <w:rsid w:val="00957A0C"/>
    <w:rsid w:val="00960A7D"/>
    <w:rsid w:val="009618C7"/>
    <w:rsid w:val="009661D2"/>
    <w:rsid w:val="009719C8"/>
    <w:rsid w:val="00971E81"/>
    <w:rsid w:val="00972F9E"/>
    <w:rsid w:val="0097694B"/>
    <w:rsid w:val="00980C6B"/>
    <w:rsid w:val="009811C9"/>
    <w:rsid w:val="00982A58"/>
    <w:rsid w:val="0098314F"/>
    <w:rsid w:val="009835F3"/>
    <w:rsid w:val="00983C76"/>
    <w:rsid w:val="0098742F"/>
    <w:rsid w:val="009929F4"/>
    <w:rsid w:val="0099353C"/>
    <w:rsid w:val="009953E9"/>
    <w:rsid w:val="00995B1B"/>
    <w:rsid w:val="009965B7"/>
    <w:rsid w:val="00997413"/>
    <w:rsid w:val="009974EB"/>
    <w:rsid w:val="00997B8E"/>
    <w:rsid w:val="009A109F"/>
    <w:rsid w:val="009A64AA"/>
    <w:rsid w:val="009A65B7"/>
    <w:rsid w:val="009B049E"/>
    <w:rsid w:val="009B09CE"/>
    <w:rsid w:val="009B128E"/>
    <w:rsid w:val="009B16BD"/>
    <w:rsid w:val="009B1957"/>
    <w:rsid w:val="009B1BB7"/>
    <w:rsid w:val="009B279E"/>
    <w:rsid w:val="009B2A05"/>
    <w:rsid w:val="009B3696"/>
    <w:rsid w:val="009B3859"/>
    <w:rsid w:val="009B5806"/>
    <w:rsid w:val="009B5DEC"/>
    <w:rsid w:val="009B7255"/>
    <w:rsid w:val="009C21CB"/>
    <w:rsid w:val="009C6542"/>
    <w:rsid w:val="009D0E09"/>
    <w:rsid w:val="009D0F70"/>
    <w:rsid w:val="009D2890"/>
    <w:rsid w:val="009D4170"/>
    <w:rsid w:val="009D41D7"/>
    <w:rsid w:val="009D42CE"/>
    <w:rsid w:val="009D634B"/>
    <w:rsid w:val="009D6904"/>
    <w:rsid w:val="009D727D"/>
    <w:rsid w:val="009E08B0"/>
    <w:rsid w:val="009E2157"/>
    <w:rsid w:val="009E342B"/>
    <w:rsid w:val="009E3A57"/>
    <w:rsid w:val="009E4722"/>
    <w:rsid w:val="009E62B3"/>
    <w:rsid w:val="009E6571"/>
    <w:rsid w:val="009F00F4"/>
    <w:rsid w:val="009F247F"/>
    <w:rsid w:val="009F310E"/>
    <w:rsid w:val="009F3E7E"/>
    <w:rsid w:val="009F3F03"/>
    <w:rsid w:val="009F4999"/>
    <w:rsid w:val="00A01245"/>
    <w:rsid w:val="00A02AC2"/>
    <w:rsid w:val="00A03F73"/>
    <w:rsid w:val="00A04E29"/>
    <w:rsid w:val="00A111B9"/>
    <w:rsid w:val="00A12827"/>
    <w:rsid w:val="00A14608"/>
    <w:rsid w:val="00A149E3"/>
    <w:rsid w:val="00A153B6"/>
    <w:rsid w:val="00A17321"/>
    <w:rsid w:val="00A17A0C"/>
    <w:rsid w:val="00A204D4"/>
    <w:rsid w:val="00A208A2"/>
    <w:rsid w:val="00A21AE7"/>
    <w:rsid w:val="00A22C50"/>
    <w:rsid w:val="00A2427F"/>
    <w:rsid w:val="00A2584F"/>
    <w:rsid w:val="00A25905"/>
    <w:rsid w:val="00A317F3"/>
    <w:rsid w:val="00A372EF"/>
    <w:rsid w:val="00A41298"/>
    <w:rsid w:val="00A417EE"/>
    <w:rsid w:val="00A435B3"/>
    <w:rsid w:val="00A50326"/>
    <w:rsid w:val="00A50A93"/>
    <w:rsid w:val="00A51EF8"/>
    <w:rsid w:val="00A57A4A"/>
    <w:rsid w:val="00A606F0"/>
    <w:rsid w:val="00A620F0"/>
    <w:rsid w:val="00A62A23"/>
    <w:rsid w:val="00A62BDB"/>
    <w:rsid w:val="00A671EE"/>
    <w:rsid w:val="00A703AF"/>
    <w:rsid w:val="00A706C3"/>
    <w:rsid w:val="00A70BCD"/>
    <w:rsid w:val="00A719D4"/>
    <w:rsid w:val="00A73634"/>
    <w:rsid w:val="00A740C8"/>
    <w:rsid w:val="00A760DD"/>
    <w:rsid w:val="00A77A12"/>
    <w:rsid w:val="00A801EF"/>
    <w:rsid w:val="00A8047F"/>
    <w:rsid w:val="00A8296D"/>
    <w:rsid w:val="00A852C1"/>
    <w:rsid w:val="00A857B2"/>
    <w:rsid w:val="00A86118"/>
    <w:rsid w:val="00A87C15"/>
    <w:rsid w:val="00A90B26"/>
    <w:rsid w:val="00A935D3"/>
    <w:rsid w:val="00A96FAF"/>
    <w:rsid w:val="00A97D5D"/>
    <w:rsid w:val="00AA02DA"/>
    <w:rsid w:val="00AA0AAB"/>
    <w:rsid w:val="00AA2278"/>
    <w:rsid w:val="00AA33AF"/>
    <w:rsid w:val="00AA3B22"/>
    <w:rsid w:val="00AA3C74"/>
    <w:rsid w:val="00AA3DB7"/>
    <w:rsid w:val="00AA4F87"/>
    <w:rsid w:val="00AA6B1E"/>
    <w:rsid w:val="00AA7628"/>
    <w:rsid w:val="00AB143C"/>
    <w:rsid w:val="00AB1615"/>
    <w:rsid w:val="00AB29D1"/>
    <w:rsid w:val="00AB62D1"/>
    <w:rsid w:val="00AC0F11"/>
    <w:rsid w:val="00AC26E9"/>
    <w:rsid w:val="00AC2A74"/>
    <w:rsid w:val="00AC2F4C"/>
    <w:rsid w:val="00AC3A30"/>
    <w:rsid w:val="00AC53FC"/>
    <w:rsid w:val="00AC5F80"/>
    <w:rsid w:val="00AC6D15"/>
    <w:rsid w:val="00AC7F1F"/>
    <w:rsid w:val="00AD17CA"/>
    <w:rsid w:val="00AD20CC"/>
    <w:rsid w:val="00AD2C8E"/>
    <w:rsid w:val="00AD6707"/>
    <w:rsid w:val="00AD6D92"/>
    <w:rsid w:val="00AE26F1"/>
    <w:rsid w:val="00AE4198"/>
    <w:rsid w:val="00AE4209"/>
    <w:rsid w:val="00AE66E9"/>
    <w:rsid w:val="00AE7607"/>
    <w:rsid w:val="00AE7673"/>
    <w:rsid w:val="00AF0CCA"/>
    <w:rsid w:val="00AF2742"/>
    <w:rsid w:val="00AF368C"/>
    <w:rsid w:val="00AF6EB5"/>
    <w:rsid w:val="00AF70C6"/>
    <w:rsid w:val="00AF71B9"/>
    <w:rsid w:val="00B020A8"/>
    <w:rsid w:val="00B03C10"/>
    <w:rsid w:val="00B06DFB"/>
    <w:rsid w:val="00B12211"/>
    <w:rsid w:val="00B153DB"/>
    <w:rsid w:val="00B15B37"/>
    <w:rsid w:val="00B15D9A"/>
    <w:rsid w:val="00B16166"/>
    <w:rsid w:val="00B1710A"/>
    <w:rsid w:val="00B17BE5"/>
    <w:rsid w:val="00B213AA"/>
    <w:rsid w:val="00B231A7"/>
    <w:rsid w:val="00B24895"/>
    <w:rsid w:val="00B275F0"/>
    <w:rsid w:val="00B2784F"/>
    <w:rsid w:val="00B3185E"/>
    <w:rsid w:val="00B31B93"/>
    <w:rsid w:val="00B3304F"/>
    <w:rsid w:val="00B333B9"/>
    <w:rsid w:val="00B34707"/>
    <w:rsid w:val="00B34CEF"/>
    <w:rsid w:val="00B37403"/>
    <w:rsid w:val="00B41412"/>
    <w:rsid w:val="00B461D6"/>
    <w:rsid w:val="00B47329"/>
    <w:rsid w:val="00B47DC0"/>
    <w:rsid w:val="00B5096B"/>
    <w:rsid w:val="00B5113B"/>
    <w:rsid w:val="00B52479"/>
    <w:rsid w:val="00B533BE"/>
    <w:rsid w:val="00B53595"/>
    <w:rsid w:val="00B55AA0"/>
    <w:rsid w:val="00B571D3"/>
    <w:rsid w:val="00B57576"/>
    <w:rsid w:val="00B609C4"/>
    <w:rsid w:val="00B61DCB"/>
    <w:rsid w:val="00B63F6A"/>
    <w:rsid w:val="00B64320"/>
    <w:rsid w:val="00B6573F"/>
    <w:rsid w:val="00B65FE4"/>
    <w:rsid w:val="00B70D63"/>
    <w:rsid w:val="00B7184F"/>
    <w:rsid w:val="00B72398"/>
    <w:rsid w:val="00B72E09"/>
    <w:rsid w:val="00B73EED"/>
    <w:rsid w:val="00B740FE"/>
    <w:rsid w:val="00B75A9E"/>
    <w:rsid w:val="00B77F5A"/>
    <w:rsid w:val="00B81F42"/>
    <w:rsid w:val="00B827EA"/>
    <w:rsid w:val="00B84B05"/>
    <w:rsid w:val="00B855DD"/>
    <w:rsid w:val="00B8671D"/>
    <w:rsid w:val="00B902F8"/>
    <w:rsid w:val="00B90A3D"/>
    <w:rsid w:val="00B928FD"/>
    <w:rsid w:val="00B9352E"/>
    <w:rsid w:val="00B93807"/>
    <w:rsid w:val="00B95B16"/>
    <w:rsid w:val="00B960A1"/>
    <w:rsid w:val="00B97F05"/>
    <w:rsid w:val="00BA2193"/>
    <w:rsid w:val="00BA50F4"/>
    <w:rsid w:val="00BA5845"/>
    <w:rsid w:val="00BA5B2A"/>
    <w:rsid w:val="00BA5D80"/>
    <w:rsid w:val="00BB20AB"/>
    <w:rsid w:val="00BB2BF0"/>
    <w:rsid w:val="00BB3DB3"/>
    <w:rsid w:val="00BB51CC"/>
    <w:rsid w:val="00BB5674"/>
    <w:rsid w:val="00BB5775"/>
    <w:rsid w:val="00BB5783"/>
    <w:rsid w:val="00BB5E8F"/>
    <w:rsid w:val="00BB63AE"/>
    <w:rsid w:val="00BC25CF"/>
    <w:rsid w:val="00BC281D"/>
    <w:rsid w:val="00BC33B8"/>
    <w:rsid w:val="00BC3B6C"/>
    <w:rsid w:val="00BC3FA0"/>
    <w:rsid w:val="00BC7062"/>
    <w:rsid w:val="00BD0E1F"/>
    <w:rsid w:val="00BD4000"/>
    <w:rsid w:val="00BD4774"/>
    <w:rsid w:val="00BD5A9C"/>
    <w:rsid w:val="00BD6E64"/>
    <w:rsid w:val="00BE4085"/>
    <w:rsid w:val="00BE45F6"/>
    <w:rsid w:val="00BE51F8"/>
    <w:rsid w:val="00BE6AF8"/>
    <w:rsid w:val="00BE7897"/>
    <w:rsid w:val="00BF2524"/>
    <w:rsid w:val="00C00DA0"/>
    <w:rsid w:val="00C012F6"/>
    <w:rsid w:val="00C01350"/>
    <w:rsid w:val="00C02640"/>
    <w:rsid w:val="00C03AA5"/>
    <w:rsid w:val="00C075C7"/>
    <w:rsid w:val="00C102DB"/>
    <w:rsid w:val="00C140E2"/>
    <w:rsid w:val="00C17D77"/>
    <w:rsid w:val="00C17EE9"/>
    <w:rsid w:val="00C20D43"/>
    <w:rsid w:val="00C217A3"/>
    <w:rsid w:val="00C24F72"/>
    <w:rsid w:val="00C26BCB"/>
    <w:rsid w:val="00C32816"/>
    <w:rsid w:val="00C34692"/>
    <w:rsid w:val="00C34F1B"/>
    <w:rsid w:val="00C35778"/>
    <w:rsid w:val="00C421BF"/>
    <w:rsid w:val="00C43DA9"/>
    <w:rsid w:val="00C457C7"/>
    <w:rsid w:val="00C47601"/>
    <w:rsid w:val="00C515B4"/>
    <w:rsid w:val="00C53ED4"/>
    <w:rsid w:val="00C5616E"/>
    <w:rsid w:val="00C63CDB"/>
    <w:rsid w:val="00C6775E"/>
    <w:rsid w:val="00C70084"/>
    <w:rsid w:val="00C72115"/>
    <w:rsid w:val="00C7233A"/>
    <w:rsid w:val="00C74C1C"/>
    <w:rsid w:val="00C77096"/>
    <w:rsid w:val="00C7778D"/>
    <w:rsid w:val="00C80E96"/>
    <w:rsid w:val="00C8131A"/>
    <w:rsid w:val="00C81B0E"/>
    <w:rsid w:val="00C82211"/>
    <w:rsid w:val="00C827B9"/>
    <w:rsid w:val="00C82D7C"/>
    <w:rsid w:val="00C83C24"/>
    <w:rsid w:val="00C84B47"/>
    <w:rsid w:val="00C84E9B"/>
    <w:rsid w:val="00C855E3"/>
    <w:rsid w:val="00C858CB"/>
    <w:rsid w:val="00C8683D"/>
    <w:rsid w:val="00C91EB7"/>
    <w:rsid w:val="00C92CD0"/>
    <w:rsid w:val="00C938A5"/>
    <w:rsid w:val="00C94178"/>
    <w:rsid w:val="00C94414"/>
    <w:rsid w:val="00C9607C"/>
    <w:rsid w:val="00CA01CC"/>
    <w:rsid w:val="00CA0692"/>
    <w:rsid w:val="00CA0CA6"/>
    <w:rsid w:val="00CA466A"/>
    <w:rsid w:val="00CA5F32"/>
    <w:rsid w:val="00CA6BB5"/>
    <w:rsid w:val="00CA75C5"/>
    <w:rsid w:val="00CA772F"/>
    <w:rsid w:val="00CB1823"/>
    <w:rsid w:val="00CB56B8"/>
    <w:rsid w:val="00CC06AA"/>
    <w:rsid w:val="00CC10E4"/>
    <w:rsid w:val="00CC1E00"/>
    <w:rsid w:val="00CC318F"/>
    <w:rsid w:val="00CC4729"/>
    <w:rsid w:val="00CC52FA"/>
    <w:rsid w:val="00CC5590"/>
    <w:rsid w:val="00CC6DB6"/>
    <w:rsid w:val="00CD09C0"/>
    <w:rsid w:val="00CD533E"/>
    <w:rsid w:val="00CD5DEB"/>
    <w:rsid w:val="00CD6537"/>
    <w:rsid w:val="00CD7EBE"/>
    <w:rsid w:val="00CE01BC"/>
    <w:rsid w:val="00CE13DA"/>
    <w:rsid w:val="00CE1AAC"/>
    <w:rsid w:val="00CE39AE"/>
    <w:rsid w:val="00CE39F8"/>
    <w:rsid w:val="00CE55ED"/>
    <w:rsid w:val="00CE57A7"/>
    <w:rsid w:val="00CE68F4"/>
    <w:rsid w:val="00CF1399"/>
    <w:rsid w:val="00CF15FC"/>
    <w:rsid w:val="00CF2532"/>
    <w:rsid w:val="00CF6CAE"/>
    <w:rsid w:val="00D02138"/>
    <w:rsid w:val="00D0458F"/>
    <w:rsid w:val="00D06FD8"/>
    <w:rsid w:val="00D10368"/>
    <w:rsid w:val="00D12F18"/>
    <w:rsid w:val="00D13087"/>
    <w:rsid w:val="00D13677"/>
    <w:rsid w:val="00D147BF"/>
    <w:rsid w:val="00D16704"/>
    <w:rsid w:val="00D16890"/>
    <w:rsid w:val="00D17AE2"/>
    <w:rsid w:val="00D17F19"/>
    <w:rsid w:val="00D2441E"/>
    <w:rsid w:val="00D24D86"/>
    <w:rsid w:val="00D25251"/>
    <w:rsid w:val="00D25D9C"/>
    <w:rsid w:val="00D275F9"/>
    <w:rsid w:val="00D30BDD"/>
    <w:rsid w:val="00D30F7D"/>
    <w:rsid w:val="00D334A1"/>
    <w:rsid w:val="00D37692"/>
    <w:rsid w:val="00D407BE"/>
    <w:rsid w:val="00D41FD1"/>
    <w:rsid w:val="00D43B1A"/>
    <w:rsid w:val="00D471F9"/>
    <w:rsid w:val="00D472A5"/>
    <w:rsid w:val="00D4733B"/>
    <w:rsid w:val="00D510DD"/>
    <w:rsid w:val="00D52D2A"/>
    <w:rsid w:val="00D53459"/>
    <w:rsid w:val="00D57977"/>
    <w:rsid w:val="00D61B2F"/>
    <w:rsid w:val="00D62763"/>
    <w:rsid w:val="00D63DFB"/>
    <w:rsid w:val="00D665A0"/>
    <w:rsid w:val="00D73055"/>
    <w:rsid w:val="00D73827"/>
    <w:rsid w:val="00D746D0"/>
    <w:rsid w:val="00D83E09"/>
    <w:rsid w:val="00D8552F"/>
    <w:rsid w:val="00D91610"/>
    <w:rsid w:val="00D92C50"/>
    <w:rsid w:val="00D95A60"/>
    <w:rsid w:val="00D96EAF"/>
    <w:rsid w:val="00D9790D"/>
    <w:rsid w:val="00DA25FE"/>
    <w:rsid w:val="00DA30B3"/>
    <w:rsid w:val="00DA3D94"/>
    <w:rsid w:val="00DA49BC"/>
    <w:rsid w:val="00DA6976"/>
    <w:rsid w:val="00DB06B0"/>
    <w:rsid w:val="00DB1289"/>
    <w:rsid w:val="00DB3DB8"/>
    <w:rsid w:val="00DB4B06"/>
    <w:rsid w:val="00DB7C2C"/>
    <w:rsid w:val="00DC0BF4"/>
    <w:rsid w:val="00DC2396"/>
    <w:rsid w:val="00DC27E7"/>
    <w:rsid w:val="00DC43CB"/>
    <w:rsid w:val="00DC4404"/>
    <w:rsid w:val="00DC5404"/>
    <w:rsid w:val="00DC599D"/>
    <w:rsid w:val="00DC6D17"/>
    <w:rsid w:val="00DD0C50"/>
    <w:rsid w:val="00DD0D94"/>
    <w:rsid w:val="00DD33E1"/>
    <w:rsid w:val="00DD4ABE"/>
    <w:rsid w:val="00DD58F3"/>
    <w:rsid w:val="00DD6625"/>
    <w:rsid w:val="00DE0305"/>
    <w:rsid w:val="00DE354C"/>
    <w:rsid w:val="00DE4A5E"/>
    <w:rsid w:val="00DE4E6E"/>
    <w:rsid w:val="00DE5409"/>
    <w:rsid w:val="00DE755F"/>
    <w:rsid w:val="00DF10CF"/>
    <w:rsid w:val="00DF1204"/>
    <w:rsid w:val="00DF4889"/>
    <w:rsid w:val="00DF4EAD"/>
    <w:rsid w:val="00E00BC2"/>
    <w:rsid w:val="00E020F6"/>
    <w:rsid w:val="00E03D7F"/>
    <w:rsid w:val="00E06522"/>
    <w:rsid w:val="00E07BC0"/>
    <w:rsid w:val="00E14536"/>
    <w:rsid w:val="00E17606"/>
    <w:rsid w:val="00E2022D"/>
    <w:rsid w:val="00E206BA"/>
    <w:rsid w:val="00E229DC"/>
    <w:rsid w:val="00E232B3"/>
    <w:rsid w:val="00E25A99"/>
    <w:rsid w:val="00E25B6A"/>
    <w:rsid w:val="00E26125"/>
    <w:rsid w:val="00E26519"/>
    <w:rsid w:val="00E272C8"/>
    <w:rsid w:val="00E30567"/>
    <w:rsid w:val="00E336F5"/>
    <w:rsid w:val="00E358A7"/>
    <w:rsid w:val="00E35949"/>
    <w:rsid w:val="00E35FDB"/>
    <w:rsid w:val="00E36D12"/>
    <w:rsid w:val="00E405E1"/>
    <w:rsid w:val="00E41C24"/>
    <w:rsid w:val="00E41DCF"/>
    <w:rsid w:val="00E4295C"/>
    <w:rsid w:val="00E42CE4"/>
    <w:rsid w:val="00E43700"/>
    <w:rsid w:val="00E43F81"/>
    <w:rsid w:val="00E44060"/>
    <w:rsid w:val="00E4529A"/>
    <w:rsid w:val="00E47B00"/>
    <w:rsid w:val="00E50BA8"/>
    <w:rsid w:val="00E53639"/>
    <w:rsid w:val="00E544D6"/>
    <w:rsid w:val="00E55277"/>
    <w:rsid w:val="00E55523"/>
    <w:rsid w:val="00E55541"/>
    <w:rsid w:val="00E57A54"/>
    <w:rsid w:val="00E616D1"/>
    <w:rsid w:val="00E6341E"/>
    <w:rsid w:val="00E6548B"/>
    <w:rsid w:val="00E667C1"/>
    <w:rsid w:val="00E668AC"/>
    <w:rsid w:val="00E7166E"/>
    <w:rsid w:val="00E726AF"/>
    <w:rsid w:val="00E74728"/>
    <w:rsid w:val="00E752F2"/>
    <w:rsid w:val="00E75F96"/>
    <w:rsid w:val="00E8270F"/>
    <w:rsid w:val="00E837A3"/>
    <w:rsid w:val="00E8456F"/>
    <w:rsid w:val="00E86F9D"/>
    <w:rsid w:val="00E87DCC"/>
    <w:rsid w:val="00E90A8B"/>
    <w:rsid w:val="00E920DC"/>
    <w:rsid w:val="00E922FE"/>
    <w:rsid w:val="00E92F05"/>
    <w:rsid w:val="00E93940"/>
    <w:rsid w:val="00E976F7"/>
    <w:rsid w:val="00E97789"/>
    <w:rsid w:val="00EA1BCB"/>
    <w:rsid w:val="00EA221C"/>
    <w:rsid w:val="00EA24F4"/>
    <w:rsid w:val="00EA42E3"/>
    <w:rsid w:val="00EA4B03"/>
    <w:rsid w:val="00EA51B0"/>
    <w:rsid w:val="00EA5373"/>
    <w:rsid w:val="00EA7045"/>
    <w:rsid w:val="00EB19FD"/>
    <w:rsid w:val="00EB4E5D"/>
    <w:rsid w:val="00EB7203"/>
    <w:rsid w:val="00EB79E2"/>
    <w:rsid w:val="00EC7DF8"/>
    <w:rsid w:val="00ED131C"/>
    <w:rsid w:val="00ED1621"/>
    <w:rsid w:val="00ED19F4"/>
    <w:rsid w:val="00ED31FC"/>
    <w:rsid w:val="00ED56C7"/>
    <w:rsid w:val="00ED657F"/>
    <w:rsid w:val="00EE0438"/>
    <w:rsid w:val="00EE196C"/>
    <w:rsid w:val="00EE1A35"/>
    <w:rsid w:val="00EE1EA0"/>
    <w:rsid w:val="00EE3A5A"/>
    <w:rsid w:val="00EE65A3"/>
    <w:rsid w:val="00EF123F"/>
    <w:rsid w:val="00EF1F74"/>
    <w:rsid w:val="00EF2B04"/>
    <w:rsid w:val="00EF767A"/>
    <w:rsid w:val="00EF7781"/>
    <w:rsid w:val="00F01222"/>
    <w:rsid w:val="00F04667"/>
    <w:rsid w:val="00F06ABF"/>
    <w:rsid w:val="00F106D2"/>
    <w:rsid w:val="00F10C2F"/>
    <w:rsid w:val="00F1134E"/>
    <w:rsid w:val="00F1516D"/>
    <w:rsid w:val="00F1793D"/>
    <w:rsid w:val="00F22670"/>
    <w:rsid w:val="00F22A83"/>
    <w:rsid w:val="00F22AFF"/>
    <w:rsid w:val="00F241C0"/>
    <w:rsid w:val="00F26DD4"/>
    <w:rsid w:val="00F3272E"/>
    <w:rsid w:val="00F3599A"/>
    <w:rsid w:val="00F35F9D"/>
    <w:rsid w:val="00F3680E"/>
    <w:rsid w:val="00F4046E"/>
    <w:rsid w:val="00F4111C"/>
    <w:rsid w:val="00F41861"/>
    <w:rsid w:val="00F43E73"/>
    <w:rsid w:val="00F446F4"/>
    <w:rsid w:val="00F44B71"/>
    <w:rsid w:val="00F47627"/>
    <w:rsid w:val="00F505CE"/>
    <w:rsid w:val="00F51020"/>
    <w:rsid w:val="00F51BD1"/>
    <w:rsid w:val="00F52A24"/>
    <w:rsid w:val="00F534B2"/>
    <w:rsid w:val="00F563BE"/>
    <w:rsid w:val="00F60060"/>
    <w:rsid w:val="00F60081"/>
    <w:rsid w:val="00F60EB5"/>
    <w:rsid w:val="00F60FE0"/>
    <w:rsid w:val="00F65C23"/>
    <w:rsid w:val="00F67225"/>
    <w:rsid w:val="00F67BDA"/>
    <w:rsid w:val="00F70B54"/>
    <w:rsid w:val="00F7563F"/>
    <w:rsid w:val="00F75C29"/>
    <w:rsid w:val="00F7616E"/>
    <w:rsid w:val="00F84540"/>
    <w:rsid w:val="00F86694"/>
    <w:rsid w:val="00F870BE"/>
    <w:rsid w:val="00F90353"/>
    <w:rsid w:val="00F91277"/>
    <w:rsid w:val="00F915BF"/>
    <w:rsid w:val="00F92CBB"/>
    <w:rsid w:val="00F96267"/>
    <w:rsid w:val="00F96E6A"/>
    <w:rsid w:val="00F97535"/>
    <w:rsid w:val="00F97EE2"/>
    <w:rsid w:val="00FA06D4"/>
    <w:rsid w:val="00FA0852"/>
    <w:rsid w:val="00FA2473"/>
    <w:rsid w:val="00FA384D"/>
    <w:rsid w:val="00FA5AA5"/>
    <w:rsid w:val="00FA6173"/>
    <w:rsid w:val="00FB01F8"/>
    <w:rsid w:val="00FB580F"/>
    <w:rsid w:val="00FB759D"/>
    <w:rsid w:val="00FB7BAC"/>
    <w:rsid w:val="00FC1FE0"/>
    <w:rsid w:val="00FC320D"/>
    <w:rsid w:val="00FC3B2F"/>
    <w:rsid w:val="00FC5CC1"/>
    <w:rsid w:val="00FC6C57"/>
    <w:rsid w:val="00FC74D3"/>
    <w:rsid w:val="00FC79E0"/>
    <w:rsid w:val="00FD00F3"/>
    <w:rsid w:val="00FD03E7"/>
    <w:rsid w:val="00FD087E"/>
    <w:rsid w:val="00FD2E96"/>
    <w:rsid w:val="00FD4604"/>
    <w:rsid w:val="00FD5ADF"/>
    <w:rsid w:val="00FD682C"/>
    <w:rsid w:val="00FE03B7"/>
    <w:rsid w:val="00FE0464"/>
    <w:rsid w:val="00FE0C99"/>
    <w:rsid w:val="00FE0D62"/>
    <w:rsid w:val="00FE57B4"/>
    <w:rsid w:val="00FF3B7F"/>
    <w:rsid w:val="00FF5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CDE73AD-099D-4235-B293-ED9660A9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AF8"/>
    <w:pPr>
      <w:spacing w:after="200" w:line="276" w:lineRule="auto"/>
    </w:pPr>
    <w:rPr>
      <w:rFonts w:ascii="Times New Roman" w:eastAsiaTheme="minorHAnsi" w:hAnsi="Times New Roman" w:cs="Times New Roman"/>
      <w:sz w:val="24"/>
      <w:lang w:val="en-GB"/>
    </w:rPr>
  </w:style>
  <w:style w:type="paragraph" w:styleId="Heading1">
    <w:name w:val="heading 1"/>
    <w:basedOn w:val="Normal"/>
    <w:link w:val="Heading1Char"/>
    <w:uiPriority w:val="9"/>
    <w:qFormat/>
    <w:rsid w:val="00BE6AF8"/>
    <w:pPr>
      <w:spacing w:before="100" w:beforeAutospacing="1" w:after="100" w:afterAutospacing="1" w:line="240" w:lineRule="auto"/>
      <w:outlineLvl w:val="0"/>
    </w:pPr>
    <w:rPr>
      <w:rFonts w:eastAsia="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6AF8"/>
    <w:rPr>
      <w:color w:val="0000FF" w:themeColor="hyperlink"/>
      <w:u w:val="single"/>
    </w:rPr>
  </w:style>
  <w:style w:type="character" w:styleId="FollowedHyperlink">
    <w:name w:val="FollowedHyperlink"/>
    <w:basedOn w:val="DefaultParagraphFont"/>
    <w:uiPriority w:val="99"/>
    <w:semiHidden/>
    <w:unhideWhenUsed/>
    <w:rsid w:val="00BE6AF8"/>
    <w:rPr>
      <w:color w:val="800080" w:themeColor="followedHyperlink"/>
      <w:u w:val="single"/>
    </w:rPr>
  </w:style>
  <w:style w:type="character" w:customStyle="1" w:styleId="Heading1Char">
    <w:name w:val="Heading 1 Char"/>
    <w:basedOn w:val="DefaultParagraphFont"/>
    <w:link w:val="Heading1"/>
    <w:uiPriority w:val="9"/>
    <w:locked/>
    <w:rsid w:val="00BE6AF8"/>
    <w:rPr>
      <w:rFonts w:ascii="Times New Roman" w:eastAsia="Times New Roman" w:hAnsi="Times New Roman" w:cs="Times New Roman" w:hint="default"/>
      <w:b/>
      <w:bCs/>
      <w:kern w:val="36"/>
      <w:sz w:val="48"/>
      <w:szCs w:val="48"/>
      <w:lang w:val="en-GB" w:eastAsia="en-GB"/>
    </w:rPr>
  </w:style>
  <w:style w:type="paragraph" w:styleId="NormalWeb">
    <w:name w:val="Normal (Web)"/>
    <w:basedOn w:val="Normal"/>
    <w:uiPriority w:val="99"/>
    <w:semiHidden/>
    <w:unhideWhenUsed/>
    <w:rsid w:val="00BE6AF8"/>
    <w:pPr>
      <w:spacing w:before="100" w:beforeAutospacing="1" w:after="100" w:afterAutospacing="1" w:line="240" w:lineRule="auto"/>
    </w:pPr>
    <w:rPr>
      <w:rFonts w:eastAsia="Times New Roman"/>
      <w:szCs w:val="24"/>
      <w:lang w:eastAsia="en-GB"/>
    </w:rPr>
  </w:style>
  <w:style w:type="paragraph" w:styleId="FootnoteText">
    <w:name w:val="footnote text"/>
    <w:basedOn w:val="Normal"/>
    <w:link w:val="FootnoteTextChar"/>
    <w:uiPriority w:val="99"/>
    <w:unhideWhenUsed/>
    <w:rsid w:val="00BE6AF8"/>
    <w:pPr>
      <w:spacing w:after="0" w:line="240" w:lineRule="auto"/>
    </w:pPr>
    <w:rPr>
      <w:szCs w:val="24"/>
    </w:rPr>
  </w:style>
  <w:style w:type="character" w:customStyle="1" w:styleId="FootnoteTextChar">
    <w:name w:val="Footnote Text Char"/>
    <w:basedOn w:val="DefaultParagraphFont"/>
    <w:link w:val="FootnoteText"/>
    <w:uiPriority w:val="99"/>
    <w:locked/>
    <w:rsid w:val="00BE6AF8"/>
    <w:rPr>
      <w:rFonts w:ascii="Times New Roman" w:eastAsiaTheme="minorHAnsi" w:hAnsi="Times New Roman" w:cs="Times New Roman" w:hint="default"/>
      <w:lang w:val="en-GB"/>
    </w:rPr>
  </w:style>
  <w:style w:type="paragraph" w:styleId="CommentText">
    <w:name w:val="annotation text"/>
    <w:basedOn w:val="Normal"/>
    <w:link w:val="CommentTextChar"/>
    <w:uiPriority w:val="99"/>
    <w:unhideWhenUsed/>
    <w:rsid w:val="00BE6AF8"/>
    <w:pPr>
      <w:spacing w:line="240" w:lineRule="auto"/>
    </w:pPr>
    <w:rPr>
      <w:szCs w:val="24"/>
    </w:rPr>
  </w:style>
  <w:style w:type="character" w:customStyle="1" w:styleId="CommentTextChar">
    <w:name w:val="Comment Text Char"/>
    <w:basedOn w:val="DefaultParagraphFont"/>
    <w:link w:val="CommentText"/>
    <w:uiPriority w:val="99"/>
    <w:locked/>
    <w:rsid w:val="00BE6AF8"/>
    <w:rPr>
      <w:rFonts w:ascii="Times New Roman" w:eastAsiaTheme="minorHAnsi" w:hAnsi="Times New Roman" w:cs="Times New Roman" w:hint="default"/>
      <w:lang w:val="en-GB"/>
    </w:rPr>
  </w:style>
  <w:style w:type="paragraph" w:styleId="Header">
    <w:name w:val="header"/>
    <w:basedOn w:val="Normal"/>
    <w:link w:val="HeaderChar"/>
    <w:uiPriority w:val="99"/>
    <w:semiHidden/>
    <w:unhideWhenUsed/>
    <w:rsid w:val="00BE6AF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BE6AF8"/>
    <w:rPr>
      <w:rFonts w:ascii="Times New Roman" w:eastAsiaTheme="minorHAnsi" w:hAnsi="Times New Roman" w:cs="Times New Roman" w:hint="default"/>
      <w:szCs w:val="20"/>
      <w:lang w:val="en-GB"/>
    </w:rPr>
  </w:style>
  <w:style w:type="paragraph" w:styleId="Footer">
    <w:name w:val="footer"/>
    <w:basedOn w:val="Normal"/>
    <w:link w:val="FooterChar"/>
    <w:uiPriority w:val="99"/>
    <w:unhideWhenUsed/>
    <w:rsid w:val="00BE6AF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E6AF8"/>
    <w:rPr>
      <w:rFonts w:ascii="Times New Roman" w:eastAsiaTheme="minorHAnsi" w:hAnsi="Times New Roman" w:cs="Times New Roman" w:hint="default"/>
      <w:szCs w:val="20"/>
      <w:lang w:val="en-GB"/>
    </w:rPr>
  </w:style>
  <w:style w:type="paragraph" w:styleId="EndnoteText">
    <w:name w:val="endnote text"/>
    <w:basedOn w:val="Normal"/>
    <w:link w:val="EndnoteTextChar"/>
    <w:uiPriority w:val="99"/>
    <w:semiHidden/>
    <w:unhideWhenUsed/>
    <w:rsid w:val="00BE6AF8"/>
    <w:pPr>
      <w:spacing w:after="0" w:line="240" w:lineRule="auto"/>
    </w:pPr>
    <w:rPr>
      <w:sz w:val="20"/>
    </w:rPr>
  </w:style>
  <w:style w:type="character" w:customStyle="1" w:styleId="EndnoteTextChar">
    <w:name w:val="Endnote Text Char"/>
    <w:basedOn w:val="DefaultParagraphFont"/>
    <w:link w:val="EndnoteText"/>
    <w:uiPriority w:val="99"/>
    <w:semiHidden/>
    <w:locked/>
    <w:rsid w:val="00BE6AF8"/>
    <w:rPr>
      <w:rFonts w:ascii="Times New Roman" w:eastAsiaTheme="minorHAnsi" w:hAnsi="Times New Roman" w:cs="Times New Roman" w:hint="default"/>
      <w:sz w:val="20"/>
      <w:szCs w:val="20"/>
      <w:lang w:val="en-GB"/>
    </w:rPr>
  </w:style>
  <w:style w:type="paragraph" w:styleId="CommentSubject">
    <w:name w:val="annotation subject"/>
    <w:basedOn w:val="CommentText"/>
    <w:next w:val="CommentText"/>
    <w:link w:val="CommentSubjectChar"/>
    <w:uiPriority w:val="99"/>
    <w:semiHidden/>
    <w:unhideWhenUsed/>
    <w:rsid w:val="00BE6AF8"/>
    <w:rPr>
      <w:b/>
      <w:bCs/>
      <w:sz w:val="20"/>
      <w:szCs w:val="20"/>
    </w:rPr>
  </w:style>
  <w:style w:type="character" w:customStyle="1" w:styleId="CommentSubjectChar">
    <w:name w:val="Comment Subject Char"/>
    <w:basedOn w:val="CommentTextChar"/>
    <w:link w:val="CommentSubject"/>
    <w:uiPriority w:val="99"/>
    <w:semiHidden/>
    <w:locked/>
    <w:rsid w:val="00BE6AF8"/>
    <w:rPr>
      <w:rFonts w:ascii="Times New Roman" w:eastAsiaTheme="minorHAnsi" w:hAnsi="Times New Roman" w:cs="Times New Roman" w:hint="default"/>
      <w:b/>
      <w:bCs/>
      <w:sz w:val="20"/>
      <w:szCs w:val="20"/>
      <w:lang w:val="en-GB"/>
    </w:rPr>
  </w:style>
  <w:style w:type="paragraph" w:styleId="BalloonText">
    <w:name w:val="Balloon Text"/>
    <w:basedOn w:val="Normal"/>
    <w:link w:val="BalloonTextChar"/>
    <w:uiPriority w:val="99"/>
    <w:semiHidden/>
    <w:unhideWhenUsed/>
    <w:rsid w:val="00BE6AF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E6AF8"/>
    <w:rPr>
      <w:rFonts w:ascii="Lucida Grande" w:eastAsiaTheme="minorHAnsi" w:hAnsi="Lucida Grande" w:cs="Lucida Grande" w:hint="default"/>
      <w:sz w:val="18"/>
      <w:szCs w:val="18"/>
      <w:lang w:val="en-GB"/>
    </w:rPr>
  </w:style>
  <w:style w:type="paragraph" w:styleId="NoSpacing">
    <w:name w:val="No Spacing"/>
    <w:qFormat/>
    <w:rsid w:val="00BE6AF8"/>
    <w:rPr>
      <w:rFonts w:ascii="Arial" w:eastAsia="Calibri" w:hAnsi="Arial" w:cs="Arial"/>
      <w:sz w:val="24"/>
      <w:szCs w:val="24"/>
      <w:lang w:val="en-GB"/>
    </w:rPr>
  </w:style>
  <w:style w:type="paragraph" w:styleId="Revision">
    <w:name w:val="Revision"/>
    <w:uiPriority w:val="99"/>
    <w:semiHidden/>
    <w:rsid w:val="00BE6AF8"/>
    <w:rPr>
      <w:rFonts w:ascii="Times New Roman" w:eastAsiaTheme="minorHAnsi" w:hAnsi="Times New Roman" w:cs="Times New Roman"/>
      <w:sz w:val="24"/>
      <w:lang w:val="en-GB"/>
    </w:rPr>
  </w:style>
  <w:style w:type="paragraph" w:customStyle="1" w:styleId="Default">
    <w:name w:val="Default"/>
    <w:uiPriority w:val="99"/>
    <w:semiHidden/>
    <w:rsid w:val="00BE6AF8"/>
    <w:pPr>
      <w:autoSpaceDE w:val="0"/>
      <w:autoSpaceDN w:val="0"/>
      <w:adjustRightInd w:val="0"/>
    </w:pPr>
    <w:rPr>
      <w:rFonts w:ascii="Times New Roman" w:hAnsi="Times New Roman" w:cs="Times New Roman"/>
      <w:color w:val="000000"/>
      <w:sz w:val="24"/>
      <w:szCs w:val="24"/>
      <w:lang w:val="en-GB"/>
    </w:rPr>
  </w:style>
  <w:style w:type="paragraph" w:customStyle="1" w:styleId="Footnote">
    <w:name w:val="Footnote"/>
    <w:basedOn w:val="Normal"/>
    <w:uiPriority w:val="99"/>
    <w:semiHidden/>
    <w:rsid w:val="00BE6AF8"/>
    <w:pPr>
      <w:suppressAutoHyphens/>
      <w:spacing w:after="0" w:line="240" w:lineRule="auto"/>
    </w:pPr>
    <w:rPr>
      <w:rFonts w:ascii="Calibri" w:eastAsia="Droid Sans Fallback" w:hAnsi="Calibri"/>
      <w:color w:val="00000A"/>
      <w:szCs w:val="24"/>
    </w:rPr>
  </w:style>
  <w:style w:type="character" w:styleId="FootnoteReference">
    <w:name w:val="footnote reference"/>
    <w:basedOn w:val="DefaultParagraphFont"/>
    <w:uiPriority w:val="99"/>
    <w:unhideWhenUsed/>
    <w:rsid w:val="00BE6AF8"/>
    <w:rPr>
      <w:vertAlign w:val="superscript"/>
    </w:rPr>
  </w:style>
  <w:style w:type="character" w:styleId="CommentReference">
    <w:name w:val="annotation reference"/>
    <w:basedOn w:val="DefaultParagraphFont"/>
    <w:unhideWhenUsed/>
    <w:rsid w:val="00BE6AF8"/>
    <w:rPr>
      <w:sz w:val="18"/>
      <w:szCs w:val="18"/>
    </w:rPr>
  </w:style>
  <w:style w:type="character" w:styleId="EndnoteReference">
    <w:name w:val="endnote reference"/>
    <w:basedOn w:val="DefaultParagraphFont"/>
    <w:uiPriority w:val="99"/>
    <w:semiHidden/>
    <w:unhideWhenUsed/>
    <w:rsid w:val="00BE6AF8"/>
    <w:rPr>
      <w:vertAlign w:val="superscript"/>
    </w:rPr>
  </w:style>
  <w:style w:type="character" w:customStyle="1" w:styleId="st">
    <w:name w:val="st"/>
    <w:basedOn w:val="DefaultParagraphFont"/>
    <w:rsid w:val="00BE6AF8"/>
  </w:style>
  <w:style w:type="character" w:customStyle="1" w:styleId="FootnoteAnchor">
    <w:name w:val="Footnote Anchor"/>
    <w:rsid w:val="00BE6AF8"/>
    <w:rPr>
      <w:vertAlign w:val="superscript"/>
    </w:rPr>
  </w:style>
  <w:style w:type="character" w:styleId="Emphasis">
    <w:name w:val="Emphasis"/>
    <w:basedOn w:val="DefaultParagraphFont"/>
    <w:qFormat/>
    <w:rsid w:val="00BE6AF8"/>
    <w:rPr>
      <w:i/>
      <w:iCs/>
    </w:rPr>
  </w:style>
  <w:style w:type="paragraph" w:customStyle="1" w:styleId="CLFootnoteText">
    <w:name w:val="CL Footnote Text"/>
    <w:qFormat/>
    <w:rsid w:val="00AC2A74"/>
    <w:pPr>
      <w:jc w:val="both"/>
    </w:pPr>
    <w:rPr>
      <w:rFonts w:ascii="Times New Roman" w:eastAsia="Times New Roman" w:hAnsi="Times New Roman" w:cs="Times New Roman"/>
      <w:szCs w:val="18"/>
      <w:lang w:val="en-GB"/>
    </w:rPr>
  </w:style>
  <w:style w:type="paragraph" w:styleId="BodyText">
    <w:name w:val="Body Text"/>
    <w:basedOn w:val="Normal"/>
    <w:link w:val="BodyTextChar"/>
    <w:rsid w:val="00307AC7"/>
    <w:pPr>
      <w:spacing w:after="120" w:line="240" w:lineRule="auto"/>
    </w:pPr>
    <w:rPr>
      <w:rFonts w:ascii="Times" w:eastAsia="Cambria" w:hAnsi="Times"/>
      <w:szCs w:val="24"/>
      <w:lang w:val="en-US"/>
    </w:rPr>
  </w:style>
  <w:style w:type="character" w:customStyle="1" w:styleId="BodyTextChar">
    <w:name w:val="Body Text Char"/>
    <w:basedOn w:val="DefaultParagraphFont"/>
    <w:link w:val="BodyText"/>
    <w:rsid w:val="00307AC7"/>
    <w:rPr>
      <w:rFonts w:ascii="Times" w:eastAsia="Cambria" w:hAnsi="Times" w:cs="Times New Roman"/>
      <w:sz w:val="24"/>
      <w:szCs w:val="24"/>
    </w:rPr>
  </w:style>
  <w:style w:type="paragraph" w:styleId="ListParagraph">
    <w:name w:val="List Paragraph"/>
    <w:basedOn w:val="Normal"/>
    <w:rsid w:val="003758C6"/>
    <w:pPr>
      <w:suppressAutoHyphens/>
      <w:autoSpaceDN w:val="0"/>
      <w:spacing w:after="0" w:line="240" w:lineRule="auto"/>
      <w:ind w:left="720"/>
      <w:textAlignment w:val="baseline"/>
    </w:pPr>
    <w:rPr>
      <w:rFonts w:ascii="Calibri" w:eastAsia="Calibri" w:hAnsi="Calibri"/>
      <w:sz w:val="22"/>
      <w:szCs w:val="22"/>
    </w:rPr>
  </w:style>
  <w:style w:type="paragraph" w:customStyle="1" w:styleId="DIS">
    <w:name w:val="DIS"/>
    <w:rsid w:val="00644720"/>
    <w:pPr>
      <w:widowControl w:val="0"/>
      <w:tabs>
        <w:tab w:val="left" w:pos="240"/>
        <w:tab w:val="left" w:pos="60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20" w:lineRule="atLeast"/>
      <w:ind w:left="240" w:right="240"/>
      <w:jc w:val="both"/>
    </w:pPr>
    <w:rPr>
      <w:rFonts w:ascii="Minion" w:eastAsia="Times New Roman" w:hAnsi="Minion" w:cs="Times New Roman"/>
      <w:snapToGrid w:val="0"/>
      <w:sz w:val="18"/>
      <w:szCs w:val="18"/>
    </w:rPr>
  </w:style>
  <w:style w:type="paragraph" w:customStyle="1" w:styleId="Body">
    <w:name w:val="Body"/>
    <w:rsid w:val="00A14608"/>
    <w:rPr>
      <w:rFonts w:ascii="Helvetica" w:eastAsia="Arial Unicode MS" w:hAnsi="Helvetica" w:cs="Arial Unicode MS"/>
      <w:color w:val="000000"/>
      <w:sz w:val="22"/>
      <w:szCs w:val="22"/>
      <w:lang w:eastAsia="en-GB"/>
    </w:rPr>
  </w:style>
  <w:style w:type="character" w:customStyle="1" w:styleId="il">
    <w:name w:val="il"/>
    <w:basedOn w:val="DefaultParagraphFont"/>
    <w:rsid w:val="001861BE"/>
  </w:style>
  <w:style w:type="character" w:customStyle="1" w:styleId="starpage1">
    <w:name w:val="starpage1"/>
    <w:basedOn w:val="DefaultParagraphFont"/>
    <w:rsid w:val="008315D9"/>
    <w:rPr>
      <w:b/>
      <w:bCs/>
      <w:i/>
      <w:iCs/>
      <w:color w:val="66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843788">
      <w:bodyDiv w:val="1"/>
      <w:marLeft w:val="0"/>
      <w:marRight w:val="0"/>
      <w:marTop w:val="0"/>
      <w:marBottom w:val="0"/>
      <w:divBdr>
        <w:top w:val="none" w:sz="0" w:space="0" w:color="auto"/>
        <w:left w:val="none" w:sz="0" w:space="0" w:color="auto"/>
        <w:bottom w:val="none" w:sz="0" w:space="0" w:color="auto"/>
        <w:right w:val="none" w:sz="0" w:space="0" w:color="auto"/>
      </w:divBdr>
    </w:div>
    <w:div w:id="593637485">
      <w:bodyDiv w:val="1"/>
      <w:marLeft w:val="0"/>
      <w:marRight w:val="0"/>
      <w:marTop w:val="0"/>
      <w:marBottom w:val="0"/>
      <w:divBdr>
        <w:top w:val="none" w:sz="0" w:space="0" w:color="auto"/>
        <w:left w:val="none" w:sz="0" w:space="0" w:color="auto"/>
        <w:bottom w:val="none" w:sz="0" w:space="0" w:color="auto"/>
        <w:right w:val="none" w:sz="0" w:space="0" w:color="auto"/>
      </w:divBdr>
    </w:div>
    <w:div w:id="692002871">
      <w:bodyDiv w:val="1"/>
      <w:marLeft w:val="0"/>
      <w:marRight w:val="0"/>
      <w:marTop w:val="0"/>
      <w:marBottom w:val="0"/>
      <w:divBdr>
        <w:top w:val="none" w:sz="0" w:space="0" w:color="auto"/>
        <w:left w:val="none" w:sz="0" w:space="0" w:color="auto"/>
        <w:bottom w:val="none" w:sz="0" w:space="0" w:color="auto"/>
        <w:right w:val="none" w:sz="0" w:space="0" w:color="auto"/>
      </w:divBdr>
      <w:divsChild>
        <w:div w:id="1190146777">
          <w:marLeft w:val="360"/>
          <w:marRight w:val="0"/>
          <w:marTop w:val="200"/>
          <w:marBottom w:val="0"/>
          <w:divBdr>
            <w:top w:val="none" w:sz="0" w:space="0" w:color="auto"/>
            <w:left w:val="none" w:sz="0" w:space="0" w:color="auto"/>
            <w:bottom w:val="none" w:sz="0" w:space="0" w:color="auto"/>
            <w:right w:val="none" w:sz="0" w:space="0" w:color="auto"/>
          </w:divBdr>
        </w:div>
        <w:div w:id="370499105">
          <w:marLeft w:val="1080"/>
          <w:marRight w:val="0"/>
          <w:marTop w:val="100"/>
          <w:marBottom w:val="0"/>
          <w:divBdr>
            <w:top w:val="none" w:sz="0" w:space="0" w:color="auto"/>
            <w:left w:val="none" w:sz="0" w:space="0" w:color="auto"/>
            <w:bottom w:val="none" w:sz="0" w:space="0" w:color="auto"/>
            <w:right w:val="none" w:sz="0" w:space="0" w:color="auto"/>
          </w:divBdr>
        </w:div>
        <w:div w:id="822745484">
          <w:marLeft w:val="1080"/>
          <w:marRight w:val="0"/>
          <w:marTop w:val="100"/>
          <w:marBottom w:val="0"/>
          <w:divBdr>
            <w:top w:val="none" w:sz="0" w:space="0" w:color="auto"/>
            <w:left w:val="none" w:sz="0" w:space="0" w:color="auto"/>
            <w:bottom w:val="none" w:sz="0" w:space="0" w:color="auto"/>
            <w:right w:val="none" w:sz="0" w:space="0" w:color="auto"/>
          </w:divBdr>
        </w:div>
      </w:divsChild>
    </w:div>
    <w:div w:id="760224485">
      <w:bodyDiv w:val="1"/>
      <w:marLeft w:val="0"/>
      <w:marRight w:val="0"/>
      <w:marTop w:val="0"/>
      <w:marBottom w:val="0"/>
      <w:divBdr>
        <w:top w:val="none" w:sz="0" w:space="0" w:color="auto"/>
        <w:left w:val="none" w:sz="0" w:space="0" w:color="auto"/>
        <w:bottom w:val="none" w:sz="0" w:space="0" w:color="auto"/>
        <w:right w:val="none" w:sz="0" w:space="0" w:color="auto"/>
      </w:divBdr>
    </w:div>
    <w:div w:id="880170670">
      <w:bodyDiv w:val="1"/>
      <w:marLeft w:val="0"/>
      <w:marRight w:val="0"/>
      <w:marTop w:val="0"/>
      <w:marBottom w:val="0"/>
      <w:divBdr>
        <w:top w:val="none" w:sz="0" w:space="0" w:color="auto"/>
        <w:left w:val="none" w:sz="0" w:space="0" w:color="auto"/>
        <w:bottom w:val="none" w:sz="0" w:space="0" w:color="auto"/>
        <w:right w:val="none" w:sz="0" w:space="0" w:color="auto"/>
      </w:divBdr>
    </w:div>
    <w:div w:id="908884620">
      <w:bodyDiv w:val="1"/>
      <w:marLeft w:val="0"/>
      <w:marRight w:val="0"/>
      <w:marTop w:val="0"/>
      <w:marBottom w:val="0"/>
      <w:divBdr>
        <w:top w:val="none" w:sz="0" w:space="0" w:color="auto"/>
        <w:left w:val="none" w:sz="0" w:space="0" w:color="auto"/>
        <w:bottom w:val="none" w:sz="0" w:space="0" w:color="auto"/>
        <w:right w:val="none" w:sz="0" w:space="0" w:color="auto"/>
      </w:divBdr>
      <w:divsChild>
        <w:div w:id="540628290">
          <w:marLeft w:val="0"/>
          <w:marRight w:val="0"/>
          <w:marTop w:val="0"/>
          <w:marBottom w:val="0"/>
          <w:divBdr>
            <w:top w:val="none" w:sz="0" w:space="0" w:color="auto"/>
            <w:left w:val="none" w:sz="0" w:space="0" w:color="auto"/>
            <w:bottom w:val="none" w:sz="0" w:space="0" w:color="auto"/>
            <w:right w:val="none" w:sz="0" w:space="0" w:color="auto"/>
          </w:divBdr>
        </w:div>
        <w:div w:id="1697735274">
          <w:marLeft w:val="0"/>
          <w:marRight w:val="0"/>
          <w:marTop w:val="0"/>
          <w:marBottom w:val="0"/>
          <w:divBdr>
            <w:top w:val="none" w:sz="0" w:space="0" w:color="auto"/>
            <w:left w:val="none" w:sz="0" w:space="0" w:color="auto"/>
            <w:bottom w:val="none" w:sz="0" w:space="0" w:color="auto"/>
            <w:right w:val="none" w:sz="0" w:space="0" w:color="auto"/>
          </w:divBdr>
        </w:div>
        <w:div w:id="818227966">
          <w:marLeft w:val="0"/>
          <w:marRight w:val="0"/>
          <w:marTop w:val="0"/>
          <w:marBottom w:val="0"/>
          <w:divBdr>
            <w:top w:val="none" w:sz="0" w:space="0" w:color="auto"/>
            <w:left w:val="none" w:sz="0" w:space="0" w:color="auto"/>
            <w:bottom w:val="none" w:sz="0" w:space="0" w:color="auto"/>
            <w:right w:val="none" w:sz="0" w:space="0" w:color="auto"/>
          </w:divBdr>
        </w:div>
        <w:div w:id="1980458009">
          <w:marLeft w:val="0"/>
          <w:marRight w:val="0"/>
          <w:marTop w:val="0"/>
          <w:marBottom w:val="0"/>
          <w:divBdr>
            <w:top w:val="none" w:sz="0" w:space="0" w:color="auto"/>
            <w:left w:val="none" w:sz="0" w:space="0" w:color="auto"/>
            <w:bottom w:val="none" w:sz="0" w:space="0" w:color="auto"/>
            <w:right w:val="none" w:sz="0" w:space="0" w:color="auto"/>
          </w:divBdr>
        </w:div>
      </w:divsChild>
    </w:div>
    <w:div w:id="1001930231">
      <w:bodyDiv w:val="1"/>
      <w:marLeft w:val="0"/>
      <w:marRight w:val="0"/>
      <w:marTop w:val="0"/>
      <w:marBottom w:val="0"/>
      <w:divBdr>
        <w:top w:val="none" w:sz="0" w:space="0" w:color="auto"/>
        <w:left w:val="none" w:sz="0" w:space="0" w:color="auto"/>
        <w:bottom w:val="none" w:sz="0" w:space="0" w:color="auto"/>
        <w:right w:val="none" w:sz="0" w:space="0" w:color="auto"/>
      </w:divBdr>
    </w:div>
    <w:div w:id="1163862697">
      <w:bodyDiv w:val="1"/>
      <w:marLeft w:val="0"/>
      <w:marRight w:val="0"/>
      <w:marTop w:val="0"/>
      <w:marBottom w:val="0"/>
      <w:divBdr>
        <w:top w:val="none" w:sz="0" w:space="0" w:color="auto"/>
        <w:left w:val="none" w:sz="0" w:space="0" w:color="auto"/>
        <w:bottom w:val="none" w:sz="0" w:space="0" w:color="auto"/>
        <w:right w:val="none" w:sz="0" w:space="0" w:color="auto"/>
      </w:divBdr>
      <w:divsChild>
        <w:div w:id="47609651">
          <w:marLeft w:val="0"/>
          <w:marRight w:val="0"/>
          <w:marTop w:val="0"/>
          <w:marBottom w:val="0"/>
          <w:divBdr>
            <w:top w:val="none" w:sz="0" w:space="0" w:color="auto"/>
            <w:left w:val="none" w:sz="0" w:space="0" w:color="auto"/>
            <w:bottom w:val="none" w:sz="0" w:space="0" w:color="auto"/>
            <w:right w:val="none" w:sz="0" w:space="0" w:color="auto"/>
          </w:divBdr>
        </w:div>
        <w:div w:id="207036208">
          <w:marLeft w:val="0"/>
          <w:marRight w:val="0"/>
          <w:marTop w:val="0"/>
          <w:marBottom w:val="0"/>
          <w:divBdr>
            <w:top w:val="none" w:sz="0" w:space="0" w:color="auto"/>
            <w:left w:val="none" w:sz="0" w:space="0" w:color="auto"/>
            <w:bottom w:val="none" w:sz="0" w:space="0" w:color="auto"/>
            <w:right w:val="none" w:sz="0" w:space="0" w:color="auto"/>
          </w:divBdr>
        </w:div>
        <w:div w:id="2135980102">
          <w:marLeft w:val="0"/>
          <w:marRight w:val="0"/>
          <w:marTop w:val="0"/>
          <w:marBottom w:val="0"/>
          <w:divBdr>
            <w:top w:val="none" w:sz="0" w:space="0" w:color="auto"/>
            <w:left w:val="none" w:sz="0" w:space="0" w:color="auto"/>
            <w:bottom w:val="none" w:sz="0" w:space="0" w:color="auto"/>
            <w:right w:val="none" w:sz="0" w:space="0" w:color="auto"/>
          </w:divBdr>
        </w:div>
      </w:divsChild>
    </w:div>
    <w:div w:id="1260874061">
      <w:bodyDiv w:val="1"/>
      <w:marLeft w:val="0"/>
      <w:marRight w:val="0"/>
      <w:marTop w:val="0"/>
      <w:marBottom w:val="0"/>
      <w:divBdr>
        <w:top w:val="none" w:sz="0" w:space="0" w:color="auto"/>
        <w:left w:val="none" w:sz="0" w:space="0" w:color="auto"/>
        <w:bottom w:val="none" w:sz="0" w:space="0" w:color="auto"/>
        <w:right w:val="none" w:sz="0" w:space="0" w:color="auto"/>
      </w:divBdr>
    </w:div>
    <w:div w:id="1586109141">
      <w:bodyDiv w:val="1"/>
      <w:marLeft w:val="0"/>
      <w:marRight w:val="0"/>
      <w:marTop w:val="0"/>
      <w:marBottom w:val="0"/>
      <w:divBdr>
        <w:top w:val="none" w:sz="0" w:space="0" w:color="auto"/>
        <w:left w:val="none" w:sz="0" w:space="0" w:color="auto"/>
        <w:bottom w:val="none" w:sz="0" w:space="0" w:color="auto"/>
        <w:right w:val="none" w:sz="0" w:space="0" w:color="auto"/>
      </w:divBdr>
      <w:divsChild>
        <w:div w:id="197158117">
          <w:marLeft w:val="0"/>
          <w:marRight w:val="0"/>
          <w:marTop w:val="0"/>
          <w:marBottom w:val="0"/>
          <w:divBdr>
            <w:top w:val="none" w:sz="0" w:space="0" w:color="auto"/>
            <w:left w:val="none" w:sz="0" w:space="0" w:color="auto"/>
            <w:bottom w:val="none" w:sz="0" w:space="0" w:color="auto"/>
            <w:right w:val="none" w:sz="0" w:space="0" w:color="auto"/>
          </w:divBdr>
        </w:div>
        <w:div w:id="857815364">
          <w:marLeft w:val="0"/>
          <w:marRight w:val="0"/>
          <w:marTop w:val="0"/>
          <w:marBottom w:val="0"/>
          <w:divBdr>
            <w:top w:val="none" w:sz="0" w:space="0" w:color="auto"/>
            <w:left w:val="none" w:sz="0" w:space="0" w:color="auto"/>
            <w:bottom w:val="none" w:sz="0" w:space="0" w:color="auto"/>
            <w:right w:val="none" w:sz="0" w:space="0" w:color="auto"/>
          </w:divBdr>
        </w:div>
        <w:div w:id="1130441767">
          <w:marLeft w:val="0"/>
          <w:marRight w:val="0"/>
          <w:marTop w:val="0"/>
          <w:marBottom w:val="0"/>
          <w:divBdr>
            <w:top w:val="none" w:sz="0" w:space="0" w:color="auto"/>
            <w:left w:val="none" w:sz="0" w:space="0" w:color="auto"/>
            <w:bottom w:val="none" w:sz="0" w:space="0" w:color="auto"/>
            <w:right w:val="none" w:sz="0" w:space="0" w:color="auto"/>
          </w:divBdr>
        </w:div>
      </w:divsChild>
    </w:div>
    <w:div w:id="1590306795">
      <w:bodyDiv w:val="1"/>
      <w:marLeft w:val="0"/>
      <w:marRight w:val="0"/>
      <w:marTop w:val="0"/>
      <w:marBottom w:val="0"/>
      <w:divBdr>
        <w:top w:val="none" w:sz="0" w:space="0" w:color="auto"/>
        <w:left w:val="none" w:sz="0" w:space="0" w:color="auto"/>
        <w:bottom w:val="none" w:sz="0" w:space="0" w:color="auto"/>
        <w:right w:val="none" w:sz="0" w:space="0" w:color="auto"/>
      </w:divBdr>
      <w:divsChild>
        <w:div w:id="428350133">
          <w:marLeft w:val="0"/>
          <w:marRight w:val="0"/>
          <w:marTop w:val="0"/>
          <w:marBottom w:val="0"/>
          <w:divBdr>
            <w:top w:val="none" w:sz="0" w:space="0" w:color="auto"/>
            <w:left w:val="none" w:sz="0" w:space="0" w:color="auto"/>
            <w:bottom w:val="none" w:sz="0" w:space="0" w:color="auto"/>
            <w:right w:val="none" w:sz="0" w:space="0" w:color="auto"/>
          </w:divBdr>
        </w:div>
        <w:div w:id="818889008">
          <w:marLeft w:val="0"/>
          <w:marRight w:val="0"/>
          <w:marTop w:val="0"/>
          <w:marBottom w:val="0"/>
          <w:divBdr>
            <w:top w:val="none" w:sz="0" w:space="0" w:color="auto"/>
            <w:left w:val="none" w:sz="0" w:space="0" w:color="auto"/>
            <w:bottom w:val="none" w:sz="0" w:space="0" w:color="auto"/>
            <w:right w:val="none" w:sz="0" w:space="0" w:color="auto"/>
          </w:divBdr>
        </w:div>
        <w:div w:id="1699546930">
          <w:marLeft w:val="0"/>
          <w:marRight w:val="0"/>
          <w:marTop w:val="0"/>
          <w:marBottom w:val="0"/>
          <w:divBdr>
            <w:top w:val="none" w:sz="0" w:space="0" w:color="auto"/>
            <w:left w:val="none" w:sz="0" w:space="0" w:color="auto"/>
            <w:bottom w:val="none" w:sz="0" w:space="0" w:color="auto"/>
            <w:right w:val="none" w:sz="0" w:space="0" w:color="auto"/>
          </w:divBdr>
        </w:div>
        <w:div w:id="634919156">
          <w:marLeft w:val="0"/>
          <w:marRight w:val="0"/>
          <w:marTop w:val="0"/>
          <w:marBottom w:val="0"/>
          <w:divBdr>
            <w:top w:val="none" w:sz="0" w:space="0" w:color="auto"/>
            <w:left w:val="none" w:sz="0" w:space="0" w:color="auto"/>
            <w:bottom w:val="none" w:sz="0" w:space="0" w:color="auto"/>
            <w:right w:val="none" w:sz="0" w:space="0" w:color="auto"/>
          </w:divBdr>
        </w:div>
        <w:div w:id="1613780794">
          <w:marLeft w:val="0"/>
          <w:marRight w:val="0"/>
          <w:marTop w:val="0"/>
          <w:marBottom w:val="0"/>
          <w:divBdr>
            <w:top w:val="none" w:sz="0" w:space="0" w:color="auto"/>
            <w:left w:val="none" w:sz="0" w:space="0" w:color="auto"/>
            <w:bottom w:val="none" w:sz="0" w:space="0" w:color="auto"/>
            <w:right w:val="none" w:sz="0" w:space="0" w:color="auto"/>
          </w:divBdr>
        </w:div>
      </w:divsChild>
    </w:div>
    <w:div w:id="1787696720">
      <w:bodyDiv w:val="1"/>
      <w:marLeft w:val="0"/>
      <w:marRight w:val="0"/>
      <w:marTop w:val="0"/>
      <w:marBottom w:val="0"/>
      <w:divBdr>
        <w:top w:val="none" w:sz="0" w:space="0" w:color="auto"/>
        <w:left w:val="none" w:sz="0" w:space="0" w:color="auto"/>
        <w:bottom w:val="none" w:sz="0" w:space="0" w:color="auto"/>
        <w:right w:val="none" w:sz="0" w:space="0" w:color="auto"/>
      </w:divBdr>
    </w:div>
    <w:div w:id="2033257583">
      <w:bodyDiv w:val="1"/>
      <w:marLeft w:val="0"/>
      <w:marRight w:val="0"/>
      <w:marTop w:val="0"/>
      <w:marBottom w:val="0"/>
      <w:divBdr>
        <w:top w:val="none" w:sz="0" w:space="0" w:color="auto"/>
        <w:left w:val="none" w:sz="0" w:space="0" w:color="auto"/>
        <w:bottom w:val="none" w:sz="0" w:space="0" w:color="auto"/>
        <w:right w:val="none" w:sz="0" w:space="0" w:color="auto"/>
      </w:divBdr>
      <w:divsChild>
        <w:div w:id="471556861">
          <w:marLeft w:val="0"/>
          <w:marRight w:val="0"/>
          <w:marTop w:val="0"/>
          <w:marBottom w:val="0"/>
          <w:divBdr>
            <w:top w:val="none" w:sz="0" w:space="0" w:color="auto"/>
            <w:left w:val="none" w:sz="0" w:space="0" w:color="auto"/>
            <w:bottom w:val="none" w:sz="0" w:space="0" w:color="auto"/>
            <w:right w:val="none" w:sz="0" w:space="0" w:color="auto"/>
          </w:divBdr>
        </w:div>
        <w:div w:id="888608131">
          <w:marLeft w:val="0"/>
          <w:marRight w:val="0"/>
          <w:marTop w:val="0"/>
          <w:marBottom w:val="0"/>
          <w:divBdr>
            <w:top w:val="none" w:sz="0" w:space="0" w:color="auto"/>
            <w:left w:val="none" w:sz="0" w:space="0" w:color="auto"/>
            <w:bottom w:val="none" w:sz="0" w:space="0" w:color="auto"/>
            <w:right w:val="none" w:sz="0" w:space="0" w:color="auto"/>
          </w:divBdr>
        </w:div>
        <w:div w:id="1161460821">
          <w:marLeft w:val="0"/>
          <w:marRight w:val="0"/>
          <w:marTop w:val="0"/>
          <w:marBottom w:val="0"/>
          <w:divBdr>
            <w:top w:val="none" w:sz="0" w:space="0" w:color="auto"/>
            <w:left w:val="none" w:sz="0" w:space="0" w:color="auto"/>
            <w:bottom w:val="none" w:sz="0" w:space="0" w:color="auto"/>
            <w:right w:val="none" w:sz="0" w:space="0" w:color="auto"/>
          </w:divBdr>
        </w:div>
      </w:divsChild>
    </w:div>
    <w:div w:id="2114012913">
      <w:bodyDiv w:val="1"/>
      <w:marLeft w:val="0"/>
      <w:marRight w:val="0"/>
      <w:marTop w:val="0"/>
      <w:marBottom w:val="0"/>
      <w:divBdr>
        <w:top w:val="none" w:sz="0" w:space="0" w:color="auto"/>
        <w:left w:val="none" w:sz="0" w:space="0" w:color="auto"/>
        <w:bottom w:val="none" w:sz="0" w:space="0" w:color="auto"/>
        <w:right w:val="none" w:sz="0" w:space="0" w:color="auto"/>
      </w:divBdr>
      <w:divsChild>
        <w:div w:id="985210220">
          <w:marLeft w:val="0"/>
          <w:marRight w:val="0"/>
          <w:marTop w:val="0"/>
          <w:marBottom w:val="0"/>
          <w:divBdr>
            <w:top w:val="none" w:sz="0" w:space="0" w:color="auto"/>
            <w:left w:val="none" w:sz="0" w:space="0" w:color="auto"/>
            <w:bottom w:val="none" w:sz="0" w:space="0" w:color="auto"/>
            <w:right w:val="none" w:sz="0" w:space="0" w:color="auto"/>
          </w:divBdr>
        </w:div>
        <w:div w:id="1040712073">
          <w:marLeft w:val="0"/>
          <w:marRight w:val="0"/>
          <w:marTop w:val="0"/>
          <w:marBottom w:val="0"/>
          <w:divBdr>
            <w:top w:val="none" w:sz="0" w:space="0" w:color="auto"/>
            <w:left w:val="none" w:sz="0" w:space="0" w:color="auto"/>
            <w:bottom w:val="none" w:sz="0" w:space="0" w:color="auto"/>
            <w:right w:val="none" w:sz="0" w:space="0" w:color="auto"/>
          </w:divBdr>
        </w:div>
        <w:div w:id="1131825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justice.gov.uk/courts/procedure-rules/civil/protocol/prot_mha" TargetMode="External"/><Relationship Id="rId3" Type="http://schemas.openxmlformats.org/officeDocument/2006/relationships/hyperlink" Target="http://www.ipf.org.uk/resourceLibrary/pia-property-data-report-2015.htmlt" TargetMode="External"/><Relationship Id="rId7" Type="http://schemas.openxmlformats.org/officeDocument/2006/relationships/hyperlink" Target="https://www.fca.org.uk/firms/fair-treatment-customers" TargetMode="External"/><Relationship Id="rId12" Type="http://schemas.openxmlformats.org/officeDocument/2006/relationships/hyperlink" Target="http://www.financial-ombudsman.org.uk/publications/technical_notes/mortgage-arrears-and-charges.html" TargetMode="External"/><Relationship Id="rId2" Type="http://schemas.openxmlformats.org/officeDocument/2006/relationships/hyperlink" Target="http://www.telegraph.co.uk/finance/personalfinance/borrowing/mortgages/12099723/Why-a-boom-in-leasehold-flats-for-young-and-old-is-causing-concern.html" TargetMode="External"/><Relationship Id="rId1" Type="http://schemas.openxmlformats.org/officeDocument/2006/relationships/hyperlink" Target="http://econpapers.repec.org/article/ucpjlstud/" TargetMode="External"/><Relationship Id="rId6" Type="http://schemas.openxmlformats.org/officeDocument/2006/relationships/hyperlink" Target="https://www.handbook.fca.org.uk/handbook/PRIN/Sch/6/6.html" TargetMode="External"/><Relationship Id="rId11" Type="http://schemas.openxmlformats.org/officeDocument/2006/relationships/hyperlink" Target="http://ec.europa.eu/social/main.jsp?catId=102" TargetMode="External"/><Relationship Id="rId5" Type="http://schemas.openxmlformats.org/officeDocument/2006/relationships/hyperlink" Target="http://www.lease-advice.org/files/2016/07/Brady-Solicitors-in-partnership-with-LEASE-Leaseholder-Survey-June-16.pdf" TargetMode="External"/><Relationship Id="rId10" Type="http://schemas.openxmlformats.org/officeDocument/2006/relationships/hyperlink" Target="https://www.fca.org.uk/news/statements/financial-conduct-authority%E2%80%99s-statement-payment-protection-insurance-ppi" TargetMode="External"/><Relationship Id="rId4" Type="http://schemas.openxmlformats.org/officeDocument/2006/relationships/hyperlink" Target="https://www.cml.org.uk/industry-data/key-uk-mortgage-facts/" TargetMode="External"/><Relationship Id="rId9" Type="http://schemas.openxmlformats.org/officeDocument/2006/relationships/hyperlink" Target="https://perma.cc/PXJ9-R9U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F0EBD-56CB-4D31-8E15-5E76F56A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11164</Words>
  <Characters>63636</Characters>
  <Application>Microsoft Office Word</Application>
  <DocSecurity>4</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Law Faculty - Oxford University</Company>
  <LinksUpToDate>false</LinksUpToDate>
  <CharactersWithSpaces>74651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Bright</dc:creator>
  <cp:lastModifiedBy>de Montfalcon S.P.</cp:lastModifiedBy>
  <cp:revision>2</cp:revision>
  <cp:lastPrinted>2017-07-19T18:44:00Z</cp:lastPrinted>
  <dcterms:created xsi:type="dcterms:W3CDTF">2017-07-26T13:50:00Z</dcterms:created>
  <dcterms:modified xsi:type="dcterms:W3CDTF">2017-07-26T13:50:00Z</dcterms:modified>
</cp:coreProperties>
</file>