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85" w:rsidRDefault="00F41185" w:rsidP="00F41185">
      <w:pPr>
        <w:pStyle w:val="Title"/>
      </w:pPr>
      <w:bookmarkStart w:id="0" w:name="_GoBack"/>
      <w:bookmarkEnd w:id="0"/>
    </w:p>
    <w:p w:rsidR="00F41185" w:rsidRDefault="00F41185" w:rsidP="00F41185">
      <w:pPr>
        <w:pStyle w:val="Title"/>
      </w:pPr>
    </w:p>
    <w:p w:rsidR="00F41185" w:rsidRDefault="00AA71B7" w:rsidP="006D4403">
      <w:pPr>
        <w:pStyle w:val="Title"/>
        <w:spacing w:line="360" w:lineRule="auto"/>
      </w:pPr>
      <w:r>
        <w:t xml:space="preserve">TRAJECTORIES OF </w:t>
      </w:r>
      <w:r w:rsidR="00F41185">
        <w:t>MULTISITE MUSCULOSKELETAL PAIN</w:t>
      </w:r>
      <w:r>
        <w:t xml:space="preserve"> AND IMPLICATIONS FOR PREVENTION</w:t>
      </w:r>
    </w:p>
    <w:p w:rsidR="00F41185" w:rsidRDefault="00F41185" w:rsidP="006D4403">
      <w:pPr>
        <w:pStyle w:val="Title"/>
        <w:spacing w:line="360" w:lineRule="auto"/>
      </w:pPr>
    </w:p>
    <w:p w:rsidR="00F41185" w:rsidRDefault="00F41185" w:rsidP="006D4403">
      <w:pPr>
        <w:pStyle w:val="Title"/>
        <w:spacing w:line="360" w:lineRule="auto"/>
      </w:pPr>
      <w:r>
        <w:t xml:space="preserve">Commentary on </w:t>
      </w:r>
      <w:r w:rsidRPr="00F41185">
        <w:t>Ne</w:t>
      </w:r>
      <w:r w:rsidR="00804103">
        <w:t>u</w:t>
      </w:r>
      <w:r w:rsidRPr="00F41185">
        <w:t xml:space="preserve">pane S, Leino-Arjas P, Nygård C-H, Oakman J, Virtanen P.  Developmental pathways of multisite musculoskeletal pain: what is the influence of physical and psychosocial working conditions?  Occup Environ Med </w:t>
      </w:r>
      <w:r w:rsidR="000507E4" w:rsidRPr="00F41185">
        <w:t>201</w:t>
      </w:r>
      <w:r w:rsidR="000507E4">
        <w:t>7</w:t>
      </w:r>
    </w:p>
    <w:p w:rsidR="00F41185" w:rsidRDefault="00F41185" w:rsidP="006D4403">
      <w:pPr>
        <w:spacing w:line="360" w:lineRule="auto"/>
      </w:pPr>
    </w:p>
    <w:p w:rsidR="00F41185" w:rsidRDefault="00F41185" w:rsidP="006D4403">
      <w:pPr>
        <w:pStyle w:val="Title"/>
        <w:spacing w:line="360" w:lineRule="auto"/>
      </w:pPr>
      <w:r>
        <w:t>David Coggon</w:t>
      </w:r>
      <w:r w:rsidRPr="00F41185">
        <w:rPr>
          <w:vertAlign w:val="superscript"/>
        </w:rPr>
        <w:t>1,2</w:t>
      </w:r>
    </w:p>
    <w:p w:rsidR="00F41185" w:rsidRDefault="00F41185" w:rsidP="006D4403">
      <w:pPr>
        <w:pStyle w:val="Title"/>
        <w:spacing w:line="360" w:lineRule="auto"/>
      </w:pPr>
      <w:r>
        <w:t>Georgia Ntani</w:t>
      </w:r>
      <w:r w:rsidRPr="00F41185">
        <w:rPr>
          <w:vertAlign w:val="superscript"/>
        </w:rPr>
        <w:t>1,2</w:t>
      </w:r>
    </w:p>
    <w:p w:rsidR="00F41185" w:rsidRDefault="00F41185" w:rsidP="006D4403">
      <w:pPr>
        <w:spacing w:line="360" w:lineRule="auto"/>
      </w:pPr>
    </w:p>
    <w:p w:rsidR="00F41185" w:rsidRDefault="00F41185" w:rsidP="006D4403">
      <w:pPr>
        <w:spacing w:line="360" w:lineRule="auto"/>
      </w:pPr>
    </w:p>
    <w:p w:rsidR="00F41185" w:rsidRDefault="00F41185" w:rsidP="006D4403">
      <w:pPr>
        <w:spacing w:line="360" w:lineRule="auto"/>
      </w:pPr>
      <w:r w:rsidRPr="00F41185">
        <w:rPr>
          <w:vertAlign w:val="superscript"/>
        </w:rPr>
        <w:t>1</w:t>
      </w:r>
      <w:r>
        <w:t>MRC Lifecourse Epidemiology Unit, University of Southampton, Southampton, UK</w:t>
      </w:r>
    </w:p>
    <w:p w:rsidR="00F41185" w:rsidRDefault="00F41185" w:rsidP="006D4403">
      <w:pPr>
        <w:spacing w:line="360" w:lineRule="auto"/>
      </w:pPr>
      <w:r w:rsidRPr="006D4403">
        <w:rPr>
          <w:vertAlign w:val="superscript"/>
        </w:rPr>
        <w:t>2</w:t>
      </w:r>
      <w:r w:rsidR="006D4403">
        <w:t>Arthritis Research UK/MRC Centre for Musculoskeletal Health and Work, University of Southampton, Southampton UK</w:t>
      </w:r>
      <w:r>
        <w:t xml:space="preserve"> </w:t>
      </w:r>
    </w:p>
    <w:p w:rsidR="006D4403" w:rsidRDefault="006D4403" w:rsidP="006D4403">
      <w:pPr>
        <w:spacing w:line="360" w:lineRule="auto"/>
      </w:pPr>
    </w:p>
    <w:p w:rsidR="006D4403" w:rsidRDefault="006D4403" w:rsidP="006D4403">
      <w:pPr>
        <w:spacing w:line="360" w:lineRule="auto"/>
      </w:pPr>
    </w:p>
    <w:p w:rsidR="006D4403" w:rsidRDefault="006D4403" w:rsidP="006D4403">
      <w:pPr>
        <w:pStyle w:val="Heading1"/>
        <w:spacing w:line="360" w:lineRule="auto"/>
      </w:pPr>
      <w:r>
        <w:t>Correspondence to:</w:t>
      </w:r>
    </w:p>
    <w:p w:rsidR="006D4403" w:rsidRDefault="006D4403" w:rsidP="006D4403">
      <w:pPr>
        <w:spacing w:line="360" w:lineRule="auto"/>
      </w:pPr>
      <w:r>
        <w:t>Professor David Coggon</w:t>
      </w:r>
    </w:p>
    <w:p w:rsidR="006D4403" w:rsidRDefault="006D4403" w:rsidP="006D4403">
      <w:pPr>
        <w:spacing w:line="360" w:lineRule="auto"/>
      </w:pPr>
      <w:r>
        <w:t>MRC Lifecourse Epidemiology Unit</w:t>
      </w:r>
    </w:p>
    <w:p w:rsidR="006D4403" w:rsidRDefault="006D4403" w:rsidP="006D4403">
      <w:pPr>
        <w:spacing w:line="360" w:lineRule="auto"/>
      </w:pPr>
      <w:r>
        <w:t>Southampton General Hospital</w:t>
      </w:r>
    </w:p>
    <w:p w:rsidR="006D4403" w:rsidRDefault="006D4403" w:rsidP="006D4403">
      <w:pPr>
        <w:spacing w:line="360" w:lineRule="auto"/>
      </w:pPr>
      <w:r>
        <w:t>Southampton</w:t>
      </w:r>
    </w:p>
    <w:p w:rsidR="006D4403" w:rsidRDefault="006D4403" w:rsidP="006D4403">
      <w:pPr>
        <w:spacing w:line="360" w:lineRule="auto"/>
      </w:pPr>
      <w:r>
        <w:t>SO16 6YD</w:t>
      </w:r>
    </w:p>
    <w:p w:rsidR="006D4403" w:rsidRDefault="006D4403" w:rsidP="006D4403">
      <w:pPr>
        <w:spacing w:line="360" w:lineRule="auto"/>
      </w:pPr>
      <w:r>
        <w:t>UK</w:t>
      </w:r>
    </w:p>
    <w:p w:rsidR="006D4403" w:rsidRDefault="006D4403" w:rsidP="006D4403">
      <w:pPr>
        <w:spacing w:line="360" w:lineRule="auto"/>
      </w:pPr>
    </w:p>
    <w:p w:rsidR="006D4403" w:rsidRDefault="006D4403" w:rsidP="006D4403">
      <w:pPr>
        <w:spacing w:line="360" w:lineRule="auto"/>
      </w:pPr>
      <w:r>
        <w:t>Telephone:  #44 2380 777624</w:t>
      </w:r>
    </w:p>
    <w:p w:rsidR="006D4403" w:rsidRDefault="006D4403" w:rsidP="006D4403">
      <w:pPr>
        <w:spacing w:line="360" w:lineRule="auto"/>
      </w:pPr>
      <w:r>
        <w:t>Fax:  #44 2380 704021</w:t>
      </w:r>
    </w:p>
    <w:p w:rsidR="006D4403" w:rsidRPr="006D4403" w:rsidRDefault="006D4403" w:rsidP="006D4403">
      <w:pPr>
        <w:spacing w:line="360" w:lineRule="auto"/>
      </w:pPr>
      <w:r>
        <w:t>Email:   dnc@mrc.soton.ac.uk</w:t>
      </w:r>
    </w:p>
    <w:p w:rsidR="00F41185" w:rsidRDefault="00F41185" w:rsidP="00F41185">
      <w:pPr>
        <w:pStyle w:val="Title"/>
      </w:pPr>
      <w:r>
        <w:br w:type="page"/>
      </w:r>
    </w:p>
    <w:p w:rsidR="00EE5B09" w:rsidRDefault="00134E15" w:rsidP="00F82E2B">
      <w:pPr>
        <w:spacing w:line="360" w:lineRule="auto"/>
        <w:jc w:val="both"/>
      </w:pPr>
      <w:r>
        <w:lastRenderedPageBreak/>
        <w:t>Musculoskeletal pain, especially in the back and upper limb, is a major cause of disability in people of working age</w:t>
      </w:r>
      <w:r w:rsidR="00BA6A0A">
        <w:t>.  O</w:t>
      </w:r>
      <w:r>
        <w:t xml:space="preserve">bservational </w:t>
      </w:r>
      <w:r w:rsidR="00420C1C">
        <w:t>studies have</w:t>
      </w:r>
      <w:r>
        <w:t xml:space="preserve"> consistently demonstrated associations with </w:t>
      </w:r>
      <w:r w:rsidR="00C6454C">
        <w:t xml:space="preserve">occupational </w:t>
      </w:r>
      <w:r w:rsidR="00BA6A0A">
        <w:t>activities such as heavy lifting</w:t>
      </w:r>
      <w:r w:rsidR="00D43436">
        <w:t xml:space="preserve"> </w:t>
      </w:r>
      <w:r w:rsidR="00BA6A0A">
        <w:t xml:space="preserve">and forceful repetitive movements of the wrist and hand, which </w:t>
      </w:r>
      <w:r w:rsidR="00C6454C">
        <w:t>physically stress</w:t>
      </w:r>
      <w:r>
        <w:t xml:space="preserve"> </w:t>
      </w:r>
      <w:r w:rsidR="00E4077C">
        <w:t>relevant</w:t>
      </w:r>
      <w:r w:rsidR="00267112">
        <w:t xml:space="preserve"> anatomical structures</w:t>
      </w:r>
      <w:r w:rsidR="00C6454C">
        <w:t xml:space="preserve"> [</w:t>
      </w:r>
      <w:r w:rsidR="006E6440">
        <w:t>1</w:t>
      </w:r>
      <w:r w:rsidR="00C6454C">
        <w:t>]</w:t>
      </w:r>
      <w:r>
        <w:t>.</w:t>
      </w:r>
      <w:r w:rsidR="00267112">
        <w:t xml:space="preserve">  Thus, although </w:t>
      </w:r>
      <w:r w:rsidR="00C6454C">
        <w:t xml:space="preserve">there is </w:t>
      </w:r>
      <w:r w:rsidR="00D47663">
        <w:t xml:space="preserve">often </w:t>
      </w:r>
      <w:r w:rsidR="00267112">
        <w:t xml:space="preserve">no </w:t>
      </w:r>
      <w:r w:rsidR="00C6454C">
        <w:t xml:space="preserve">demonstrable </w:t>
      </w:r>
      <w:r w:rsidR="00267112">
        <w:t>underlying injury to tissues</w:t>
      </w:r>
      <w:r w:rsidR="00A5102E">
        <w:t xml:space="preserve"> </w:t>
      </w:r>
      <w:r w:rsidR="00D47663">
        <w:t xml:space="preserve">that would account for reported symptoms </w:t>
      </w:r>
      <w:r w:rsidR="00A5102E">
        <w:t>[</w:t>
      </w:r>
      <w:r w:rsidR="006E6440">
        <w:t>2</w:t>
      </w:r>
      <w:r w:rsidR="00A5102E">
        <w:t>]</w:t>
      </w:r>
      <w:r w:rsidR="00267112">
        <w:t xml:space="preserve">, preventive efforts in the workplace have focused </w:t>
      </w:r>
      <w:r w:rsidR="004243BD">
        <w:t>main</w:t>
      </w:r>
      <w:r w:rsidR="00267112">
        <w:t xml:space="preserve">ly on ergonomic measures </w:t>
      </w:r>
      <w:r w:rsidR="000F6056">
        <w:t>designed to</w:t>
      </w:r>
      <w:r w:rsidR="00267112">
        <w:t xml:space="preserve"> reduc</w:t>
      </w:r>
      <w:r w:rsidR="000F6056">
        <w:t>e</w:t>
      </w:r>
      <w:r w:rsidR="00267112">
        <w:t xml:space="preserve"> </w:t>
      </w:r>
      <w:r w:rsidR="00C6454C">
        <w:t>mechanical loading</w:t>
      </w:r>
      <w:r w:rsidR="00267112">
        <w:t xml:space="preserve">.  </w:t>
      </w:r>
      <w:r w:rsidR="00E4077C">
        <w:t xml:space="preserve">Disappointingly, </w:t>
      </w:r>
      <w:r w:rsidR="00A5102E">
        <w:t>randomised controlled trials</w:t>
      </w:r>
      <w:r w:rsidR="00E4077C">
        <w:t xml:space="preserve"> of ergonomic interventions</w:t>
      </w:r>
      <w:r w:rsidR="00EE5B09">
        <w:t xml:space="preserve"> have </w:t>
      </w:r>
      <w:r w:rsidR="00E4077C">
        <w:t>failed to demonstrate major benefits</w:t>
      </w:r>
      <w:r w:rsidR="000F6056">
        <w:t xml:space="preserve"> in the prevention </w:t>
      </w:r>
      <w:r w:rsidR="00E2118A">
        <w:t xml:space="preserve">either </w:t>
      </w:r>
      <w:r w:rsidR="000F6056">
        <w:t xml:space="preserve">of low back </w:t>
      </w:r>
      <w:r w:rsidR="00D47663">
        <w:t>[</w:t>
      </w:r>
      <w:r w:rsidR="006E6440">
        <w:t>3</w:t>
      </w:r>
      <w:r w:rsidR="00D47663">
        <w:t xml:space="preserve">] </w:t>
      </w:r>
      <w:r w:rsidR="00E2118A">
        <w:t xml:space="preserve">or upper limb </w:t>
      </w:r>
      <w:r w:rsidR="000F6056">
        <w:t>pain</w:t>
      </w:r>
      <w:r w:rsidR="00D47663">
        <w:t xml:space="preserve"> </w:t>
      </w:r>
      <w:r w:rsidR="004243BD">
        <w:t>[</w:t>
      </w:r>
      <w:r w:rsidR="006E6440">
        <w:t>4</w:t>
      </w:r>
      <w:r w:rsidR="004243BD">
        <w:t>]</w:t>
      </w:r>
      <w:r w:rsidR="00D47663">
        <w:t>, although evidence on the latter is rather sparse</w:t>
      </w:r>
      <w:r w:rsidR="00EE5B09">
        <w:t xml:space="preserve">.  Moreover, </w:t>
      </w:r>
      <w:r w:rsidR="00420C1C">
        <w:t>research</w:t>
      </w:r>
      <w:r w:rsidR="00EE5B09">
        <w:t xml:space="preserve"> has revealed </w:t>
      </w:r>
      <w:r w:rsidR="00F179AF">
        <w:t>large international variation in the prevalence of disability from musculoskeletal pain, even among workers with similar jobs [</w:t>
      </w:r>
      <w:r w:rsidR="006E6440">
        <w:t>5</w:t>
      </w:r>
      <w:r w:rsidR="00F179AF">
        <w:t xml:space="preserve">], and </w:t>
      </w:r>
      <w:r w:rsidR="000F6056">
        <w:t xml:space="preserve">also </w:t>
      </w:r>
      <w:r w:rsidR="00420C1C">
        <w:t xml:space="preserve">major temporal </w:t>
      </w:r>
      <w:r w:rsidR="00D43436">
        <w:t xml:space="preserve">changes </w:t>
      </w:r>
      <w:r w:rsidR="00F179AF">
        <w:t>within countries</w:t>
      </w:r>
      <w:r w:rsidR="00420C1C">
        <w:t xml:space="preserve"> that cannot be explained by biomechanical factors [</w:t>
      </w:r>
      <w:r w:rsidR="006E6440">
        <w:t>6</w:t>
      </w:r>
      <w:r w:rsidR="00420C1C">
        <w:t>]</w:t>
      </w:r>
      <w:r w:rsidR="00EE5B09">
        <w:t xml:space="preserve">.  These </w:t>
      </w:r>
      <w:r w:rsidR="008B623D">
        <w:t>observations</w:t>
      </w:r>
      <w:r w:rsidR="004243BD">
        <w:t xml:space="preserve"> </w:t>
      </w:r>
      <w:r w:rsidR="00A5102E">
        <w:t xml:space="preserve">indicate that there must </w:t>
      </w:r>
      <w:r w:rsidR="006D4403">
        <w:t xml:space="preserve">also </w:t>
      </w:r>
      <w:r w:rsidR="00A5102E">
        <w:t>be</w:t>
      </w:r>
      <w:r w:rsidR="00EE5B09">
        <w:t xml:space="preserve"> other </w:t>
      </w:r>
      <w:r w:rsidR="00726F8E">
        <w:t xml:space="preserve">important </w:t>
      </w:r>
      <w:r w:rsidR="00EE5B09">
        <w:t>causes.</w:t>
      </w:r>
    </w:p>
    <w:p w:rsidR="00EE5B09" w:rsidRDefault="00EE5B09" w:rsidP="00F82E2B">
      <w:pPr>
        <w:spacing w:line="360" w:lineRule="auto"/>
        <w:jc w:val="both"/>
      </w:pPr>
    </w:p>
    <w:p w:rsidR="00134E15" w:rsidRDefault="00726F8E" w:rsidP="00F82E2B">
      <w:pPr>
        <w:spacing w:line="360" w:lineRule="auto"/>
        <w:jc w:val="both"/>
      </w:pPr>
      <w:r>
        <w:t>An</w:t>
      </w:r>
      <w:r w:rsidR="00DA0A3C">
        <w:t xml:space="preserve">other notable </w:t>
      </w:r>
      <w:r w:rsidR="000F6056">
        <w:t xml:space="preserve">epidemiological </w:t>
      </w:r>
      <w:r w:rsidR="00DA0A3C">
        <w:t xml:space="preserve">feature of </w:t>
      </w:r>
      <w:r>
        <w:t xml:space="preserve">musculoskeletal pain is </w:t>
      </w:r>
      <w:r w:rsidR="000F6056">
        <w:t xml:space="preserve">its </w:t>
      </w:r>
      <w:r w:rsidR="00DA0A3C">
        <w:t>tendency to</w:t>
      </w:r>
      <w:r>
        <w:t xml:space="preserve"> recur, and </w:t>
      </w:r>
      <w:r w:rsidR="00DA0A3C">
        <w:t>to</w:t>
      </w:r>
      <w:r>
        <w:t xml:space="preserve"> affect multiple anatomical sites simultaneously or close in time</w:t>
      </w:r>
      <w:r w:rsidR="009B196B">
        <w:t xml:space="preserve"> [</w:t>
      </w:r>
      <w:r w:rsidR="006E6440">
        <w:t>7,8</w:t>
      </w:r>
      <w:r w:rsidR="009B196B">
        <w:t>]</w:t>
      </w:r>
      <w:r>
        <w:t>.  Th</w:t>
      </w:r>
      <w:r w:rsidR="00DA0A3C">
        <w:t>e latter</w:t>
      </w:r>
      <w:r>
        <w:t xml:space="preserve"> is not simply </w:t>
      </w:r>
      <w:r w:rsidR="008B623D">
        <w:t xml:space="preserve">chance </w:t>
      </w:r>
      <w:r>
        <w:t>coincidence.  Analysis of cross-sectional data from a large international study (CUPID) has shown that</w:t>
      </w:r>
      <w:r w:rsidR="00FF5524">
        <w:t xml:space="preserve"> when account was taken of</w:t>
      </w:r>
      <w:r w:rsidR="001C18E4">
        <w:t xml:space="preserve"> the prevalence of pain at individual </w:t>
      </w:r>
      <w:r w:rsidR="00FF5524">
        <w:t xml:space="preserve">body </w:t>
      </w:r>
      <w:r w:rsidR="001C18E4">
        <w:t>sites,</w:t>
      </w:r>
      <w:r>
        <w:t xml:space="preserve"> the </w:t>
      </w:r>
      <w:r w:rsidR="00FF5524">
        <w:t>frequency</w:t>
      </w:r>
      <w:r w:rsidR="001C18E4">
        <w:t xml:space="preserve"> </w:t>
      </w:r>
      <w:r>
        <w:t xml:space="preserve">of multisite pain </w:t>
      </w:r>
      <w:r w:rsidR="00FF5524">
        <w:t xml:space="preserve">was </w:t>
      </w:r>
      <w:r>
        <w:t xml:space="preserve">much </w:t>
      </w:r>
      <w:r w:rsidR="001C18E4">
        <w:t>higher</w:t>
      </w:r>
      <w:r>
        <w:t xml:space="preserve"> tha</w:t>
      </w:r>
      <w:r w:rsidR="0021199D">
        <w:t xml:space="preserve">n would </w:t>
      </w:r>
      <w:r w:rsidR="00FF5524">
        <w:t xml:space="preserve">have </w:t>
      </w:r>
      <w:r w:rsidR="0021199D">
        <w:t>be</w:t>
      </w:r>
      <w:r w:rsidR="00FF5524">
        <w:t>en</w:t>
      </w:r>
      <w:r w:rsidR="0021199D">
        <w:t xml:space="preserve"> expected </w:t>
      </w:r>
      <w:r w:rsidR="001C18E4">
        <w:t>if the occurrence of pain at each site were statistically independent [8].  This applie</w:t>
      </w:r>
      <w:r w:rsidR="00FF5524">
        <w:t>d</w:t>
      </w:r>
      <w:r w:rsidR="001C18E4">
        <w:t xml:space="preserve"> </w:t>
      </w:r>
      <w:r w:rsidR="00F179AF">
        <w:t>especially</w:t>
      </w:r>
      <w:r w:rsidR="002458FF">
        <w:t xml:space="preserve"> when the number of </w:t>
      </w:r>
      <w:r w:rsidR="008B623D">
        <w:t xml:space="preserve">affected </w:t>
      </w:r>
      <w:r w:rsidR="00DA0A3C">
        <w:t xml:space="preserve">sites </w:t>
      </w:r>
      <w:r w:rsidR="001C18E4">
        <w:t xml:space="preserve">was </w:t>
      </w:r>
      <w:r w:rsidR="002458FF">
        <w:t xml:space="preserve">large.  Furthermore, </w:t>
      </w:r>
      <w:r w:rsidR="00F179AF">
        <w:t>it appears</w:t>
      </w:r>
      <w:r w:rsidR="00EE5B09">
        <w:t xml:space="preserve"> that pain which is localised to a single site</w:t>
      </w:r>
      <w:r>
        <w:t xml:space="preserve"> </w:t>
      </w:r>
      <w:r w:rsidR="008B623D">
        <w:t xml:space="preserve">may </w:t>
      </w:r>
      <w:r>
        <w:t>differ in its severity, causes and prognosis from that which occurs in a context of more widespread symptoms</w:t>
      </w:r>
      <w:r w:rsidR="000F6056">
        <w:t xml:space="preserve"> [</w:t>
      </w:r>
      <w:r w:rsidR="006E6440">
        <w:t>9-11</w:t>
      </w:r>
      <w:r w:rsidR="000F6056">
        <w:t>]</w:t>
      </w:r>
      <w:r>
        <w:t xml:space="preserve">.  This suggests that to prevent pain at specific anatomical sites such as the back and </w:t>
      </w:r>
      <w:r w:rsidR="00F82E2B">
        <w:t>wrist/hand</w:t>
      </w:r>
      <w:r>
        <w:t>, we need to understand better the drivers of multisite pain.</w:t>
      </w:r>
    </w:p>
    <w:p w:rsidR="00134E15" w:rsidRDefault="00134E15" w:rsidP="00F82E2B">
      <w:pPr>
        <w:spacing w:line="360" w:lineRule="auto"/>
        <w:jc w:val="both"/>
      </w:pPr>
    </w:p>
    <w:p w:rsidR="00752717" w:rsidRDefault="00D841B9" w:rsidP="00F82E2B">
      <w:pPr>
        <w:spacing w:line="360" w:lineRule="auto"/>
        <w:jc w:val="both"/>
      </w:pPr>
      <w:r>
        <w:t>The paper by Ne</w:t>
      </w:r>
      <w:r w:rsidR="00804103">
        <w:t>u</w:t>
      </w:r>
      <w:r>
        <w:t>pa</w:t>
      </w:r>
      <w:r w:rsidR="009B196B">
        <w:t>n</w:t>
      </w:r>
      <w:r>
        <w:t xml:space="preserve">e and colleagues </w:t>
      </w:r>
      <w:r w:rsidR="004D3624">
        <w:t xml:space="preserve">in this edition of OEM </w:t>
      </w:r>
      <w:r>
        <w:t>is therefore timely</w:t>
      </w:r>
      <w:r w:rsidR="00122ACD">
        <w:t xml:space="preserve"> [12]</w:t>
      </w:r>
      <w:r>
        <w:t>.  By appl</w:t>
      </w:r>
      <w:r w:rsidR="000F6056">
        <w:t>ying</w:t>
      </w:r>
      <w:r>
        <w:t xml:space="preserve"> latent class analysis to data obtained by questionnaire at up to four time points in a longitudinal study of employees at a Finnish food company, they distinguished five trajectories of musculoskeletal pain, and assessed their association with risk factors as</w:t>
      </w:r>
      <w:r w:rsidR="00A62C65">
        <w:t>certained</w:t>
      </w:r>
      <w:r>
        <w:t xml:space="preserve"> at baseline.</w:t>
      </w:r>
      <w:r w:rsidR="00637458">
        <w:t xml:space="preserve">  The high frequency of multi-site pain was confirmed.  Only 3</w:t>
      </w:r>
      <w:r w:rsidR="00DB3A92">
        <w:t>5</w:t>
      </w:r>
      <w:r w:rsidR="00637458">
        <w:t>.</w:t>
      </w:r>
      <w:r w:rsidR="00DB3A92">
        <w:t>6</w:t>
      </w:r>
      <w:r w:rsidR="00637458">
        <w:t xml:space="preserve">% of </w:t>
      </w:r>
      <w:r w:rsidR="00752717">
        <w:t>participants</w:t>
      </w:r>
      <w:r w:rsidR="00637458">
        <w:t xml:space="preserve"> persistently had no (or only mild) pain, and among the remain</w:t>
      </w:r>
      <w:r w:rsidR="00A62C65">
        <w:t>der</w:t>
      </w:r>
      <w:r w:rsidR="00637458">
        <w:t xml:space="preserve">, more than four out of five </w:t>
      </w:r>
      <w:r w:rsidR="00752717">
        <w:t xml:space="preserve">at </w:t>
      </w:r>
      <w:r w:rsidR="00A62C65">
        <w:t xml:space="preserve">least once </w:t>
      </w:r>
      <w:r w:rsidR="00637458">
        <w:t>reported pain in the past week at two or more of the four anatomical sites studied</w:t>
      </w:r>
      <w:r w:rsidR="00F82E2B">
        <w:t xml:space="preserve"> (</w:t>
      </w:r>
      <w:r w:rsidR="008B623D">
        <w:t>hands or upper extremities; neck or shoulders; lower back; and feet or lower extrem</w:t>
      </w:r>
      <w:r w:rsidR="00D81025">
        <w:t>i</w:t>
      </w:r>
      <w:r w:rsidR="008B623D">
        <w:t>ties</w:t>
      </w:r>
      <w:r w:rsidR="00F82E2B">
        <w:t>)</w:t>
      </w:r>
      <w:r w:rsidR="00637458">
        <w:t xml:space="preserve">.  </w:t>
      </w:r>
    </w:p>
    <w:p w:rsidR="00752717" w:rsidRDefault="00752717" w:rsidP="00F82E2B">
      <w:pPr>
        <w:spacing w:line="360" w:lineRule="auto"/>
        <w:jc w:val="both"/>
      </w:pPr>
    </w:p>
    <w:p w:rsidR="00364BC2" w:rsidRDefault="00752717" w:rsidP="00F82E2B">
      <w:pPr>
        <w:spacing w:line="360" w:lineRule="auto"/>
        <w:jc w:val="both"/>
      </w:pPr>
      <w:r>
        <w:lastRenderedPageBreak/>
        <w:t xml:space="preserve">In comparison with the group who </w:t>
      </w:r>
      <w:r w:rsidR="00A62C65">
        <w:t xml:space="preserve">were </w:t>
      </w:r>
      <w:r w:rsidR="000F6056">
        <w:t>pain-</w:t>
      </w:r>
      <w:r w:rsidR="00A62C65">
        <w:t>free</w:t>
      </w:r>
      <w:r w:rsidR="008B623D">
        <w:t xml:space="preserve"> throughout the period of study</w:t>
      </w:r>
      <w:r>
        <w:t xml:space="preserve">, </w:t>
      </w:r>
      <w:r w:rsidR="00DA0A3C">
        <w:t xml:space="preserve">persistent </w:t>
      </w:r>
      <w:r w:rsidR="00A62C65">
        <w:t xml:space="preserve">complaint of pain at three or four </w:t>
      </w:r>
      <w:r w:rsidR="00703563">
        <w:t xml:space="preserve">anatomical </w:t>
      </w:r>
      <w:r w:rsidR="00A62C65">
        <w:t>sites</w:t>
      </w:r>
      <w:r w:rsidR="00A62C65" w:rsidRPr="00A62C65">
        <w:t xml:space="preserve"> </w:t>
      </w:r>
      <w:r w:rsidR="00A62C65">
        <w:t xml:space="preserve">(29% of the study sample) was associated with female sex, and baseline report of poor work ability, high physical and mental strain, poor work environment and </w:t>
      </w:r>
      <w:r w:rsidR="00364BC2">
        <w:t>high exposure to repetitive movements.  Corresponding associations for the other three trajectories (newly developing, increasing and decreasing musculoskeletal pain) were in the same direction, but weaker and not all statistically significant.  In contrast, no differences were observed between white and blue collar workers.</w:t>
      </w:r>
    </w:p>
    <w:p w:rsidR="00364BC2" w:rsidRDefault="00364BC2" w:rsidP="00F82E2B">
      <w:pPr>
        <w:spacing w:line="360" w:lineRule="auto"/>
        <w:jc w:val="both"/>
      </w:pPr>
    </w:p>
    <w:p w:rsidR="00BE7A0A" w:rsidRDefault="0097153D" w:rsidP="00F82E2B">
      <w:pPr>
        <w:spacing w:line="360" w:lineRule="auto"/>
        <w:jc w:val="both"/>
      </w:pPr>
      <w:r>
        <w:t xml:space="preserve">Interpretation of these </w:t>
      </w:r>
      <w:r w:rsidR="00703563">
        <w:t>findings</w:t>
      </w:r>
      <w:r>
        <w:t xml:space="preserve"> is not straightforward.  Assignment to the trajectories</w:t>
      </w:r>
      <w:r w:rsidR="00A62C65">
        <w:t xml:space="preserve"> </w:t>
      </w:r>
      <w:r>
        <w:t>that were compared depended in part on the pattern of pain at baseline (the first of the four time points).  Thus risk factors determined at baseline cannot be considered</w:t>
      </w:r>
      <w:r w:rsidR="000F6056">
        <w:t xml:space="preserve"> simply as</w:t>
      </w:r>
      <w:r>
        <w:t xml:space="preserve"> “predictors” (the term used by the authors).  This may explain the apparent paradox that factors associated with developing and increasing musculoskeletal pain were also </w:t>
      </w:r>
      <w:r w:rsidR="00D81025">
        <w:t>linked</w:t>
      </w:r>
      <w:r>
        <w:t xml:space="preserve"> with </w:t>
      </w:r>
      <w:r w:rsidR="00BC3B57">
        <w:t xml:space="preserve">decreasing pain.  All were more common in people who had pain at some point during the study than in those who were always pain-free.  </w:t>
      </w:r>
      <w:r w:rsidR="00703563">
        <w:t>Furthermore,</w:t>
      </w:r>
      <w:r w:rsidR="00BC3B57">
        <w:t xml:space="preserve"> the three trajectories which showed the strongest </w:t>
      </w:r>
      <w:r w:rsidR="00802501">
        <w:t>relationship to baseline exposures</w:t>
      </w:r>
      <w:r w:rsidR="00BC3B57">
        <w:t xml:space="preserve"> (persistent, increasing and decreasing pain) all entailed </w:t>
      </w:r>
      <w:r w:rsidR="00802501">
        <w:t>symptoms</w:t>
      </w:r>
      <w:r w:rsidR="00BC3B57">
        <w:t xml:space="preserve"> at baseline, </w:t>
      </w:r>
      <w:r w:rsidR="00703563">
        <w:t xml:space="preserve">and </w:t>
      </w:r>
      <w:r w:rsidR="00802501">
        <w:t>the</w:t>
      </w:r>
      <w:r w:rsidR="00703563">
        <w:t>ir</w:t>
      </w:r>
      <w:r w:rsidR="00802501">
        <w:t xml:space="preserve"> associations </w:t>
      </w:r>
      <w:r w:rsidR="003946F4">
        <w:t xml:space="preserve">with risk factors </w:t>
      </w:r>
      <w:r w:rsidR="00802501">
        <w:t xml:space="preserve">may in part reflect reverse causation – perceptions of </w:t>
      </w:r>
      <w:r w:rsidR="00EF3EEF">
        <w:t xml:space="preserve">stress, </w:t>
      </w:r>
      <w:r w:rsidR="00802501">
        <w:t xml:space="preserve">work ability and </w:t>
      </w:r>
      <w:r w:rsidR="003946F4">
        <w:t xml:space="preserve">work </w:t>
      </w:r>
      <w:r w:rsidR="00802501">
        <w:t>environment being influence</w:t>
      </w:r>
      <w:r w:rsidR="00DB3A92">
        <w:t>d</w:t>
      </w:r>
      <w:r w:rsidR="00802501">
        <w:t xml:space="preserve"> by the presence of pain.  It is also possible that people differ in their awareness </w:t>
      </w:r>
      <w:r w:rsidR="008B623D">
        <w:t xml:space="preserve">of, </w:t>
      </w:r>
      <w:r w:rsidR="00802501">
        <w:t>and propensity to</w:t>
      </w:r>
      <w:r w:rsidR="008B623D">
        <w:t>,</w:t>
      </w:r>
      <w:r w:rsidR="00802501">
        <w:t xml:space="preserve"> report pain, and that those who </w:t>
      </w:r>
      <w:r w:rsidR="00EF3EEF">
        <w:t xml:space="preserve">complain </w:t>
      </w:r>
      <w:r w:rsidR="00802501">
        <w:t>more readily tend also to be more negative in their perceptions of work.</w:t>
      </w:r>
      <w:r w:rsidR="00BE7A0A">
        <w:t xml:space="preserve">  </w:t>
      </w:r>
      <w:r w:rsidR="00D81025">
        <w:t>Differential subjective</w:t>
      </w:r>
      <w:r w:rsidR="00BE7A0A">
        <w:t xml:space="preserve"> reporting of the physical demands of work might account for </w:t>
      </w:r>
      <w:r w:rsidR="00D81025">
        <w:t xml:space="preserve">positive </w:t>
      </w:r>
      <w:r w:rsidR="00067104">
        <w:t>associations</w:t>
      </w:r>
      <w:r w:rsidR="00D81025">
        <w:t xml:space="preserve"> </w:t>
      </w:r>
      <w:r w:rsidR="00067104">
        <w:t xml:space="preserve">even </w:t>
      </w:r>
      <w:r w:rsidR="00D81025">
        <w:t xml:space="preserve">when </w:t>
      </w:r>
      <w:r w:rsidR="00067104">
        <w:t>risk was not clearly higher in</w:t>
      </w:r>
      <w:r w:rsidR="00BE7A0A">
        <w:t xml:space="preserve"> blue as compared with white collar occupations. </w:t>
      </w:r>
    </w:p>
    <w:p w:rsidR="00BE7A0A" w:rsidRDefault="00BE7A0A" w:rsidP="00F82E2B">
      <w:pPr>
        <w:spacing w:line="360" w:lineRule="auto"/>
        <w:jc w:val="both"/>
      </w:pPr>
    </w:p>
    <w:p w:rsidR="005C75AB" w:rsidRDefault="00BE7A0A" w:rsidP="000C61C0">
      <w:pPr>
        <w:spacing w:line="360" w:lineRule="auto"/>
        <w:jc w:val="both"/>
      </w:pPr>
      <w:r>
        <w:t>For these reasons, Ne</w:t>
      </w:r>
      <w:r w:rsidR="00804103">
        <w:t>u</w:t>
      </w:r>
      <w:r>
        <w:t>pa</w:t>
      </w:r>
      <w:r w:rsidR="00D81025">
        <w:t>n</w:t>
      </w:r>
      <w:r>
        <w:t>e and colleagues may not be justified in their conclusion</w:t>
      </w:r>
      <w:r w:rsidR="00802501">
        <w:t xml:space="preserve"> </w:t>
      </w:r>
      <w:r>
        <w:t>that modifications to the physical and psychosocial work environment should be an important first step in the development of interventions to change persistent pain pathways.</w:t>
      </w:r>
      <w:r w:rsidR="00BC3B57">
        <w:t xml:space="preserve"> </w:t>
      </w:r>
      <w:r w:rsidR="00EF3EEF">
        <w:t xml:space="preserve"> More certain is that musculoskeletal pain at any given anatomical site </w:t>
      </w:r>
      <w:r w:rsidR="00816EA7">
        <w:t xml:space="preserve">usually </w:t>
      </w:r>
      <w:r w:rsidR="00EF3EEF">
        <w:t>occurs</w:t>
      </w:r>
      <w:r w:rsidR="00BC3B57">
        <w:t xml:space="preserve"> </w:t>
      </w:r>
      <w:r w:rsidR="00EF3EEF">
        <w:t>in a context of pain elsewhere, either simultaneously or close in time</w:t>
      </w:r>
      <w:r w:rsidR="00816EA7">
        <w:t>, and that this happens much more frequently than would be expected by chance</w:t>
      </w:r>
      <w:r w:rsidR="00EF3EEF">
        <w:t>.</w:t>
      </w:r>
      <w:r w:rsidR="008C19D2">
        <w:t xml:space="preserve">  It follows that efforts to prevent pain should look beyond biomechanical factors that are specific to only one or two regions of the body, and focus </w:t>
      </w:r>
      <w:r w:rsidR="003946F4">
        <w:t>also</w:t>
      </w:r>
      <w:r w:rsidR="008C19D2">
        <w:t xml:space="preserve"> on what drives differences </w:t>
      </w:r>
      <w:r w:rsidR="00816EA7">
        <w:t>in propensity to</w:t>
      </w:r>
      <w:r w:rsidR="008C19D2">
        <w:t xml:space="preserve"> musculoskeletal pain</w:t>
      </w:r>
      <w:r w:rsidR="00816EA7">
        <w:t xml:space="preserve"> across multiple anatomical sites.  Established psycho</w:t>
      </w:r>
      <w:r w:rsidR="00955672">
        <w:t>logical</w:t>
      </w:r>
      <w:r w:rsidR="00816EA7">
        <w:t xml:space="preserve"> risk factors such as low mood, somatising tendency, and (to a lesser extent) </w:t>
      </w:r>
      <w:r w:rsidR="00955672">
        <w:t xml:space="preserve">psychosocial </w:t>
      </w:r>
      <w:r w:rsidR="00816EA7">
        <w:t>aspects of work</w:t>
      </w:r>
      <w:r w:rsidR="00955672">
        <w:t>, may contribute</w:t>
      </w:r>
      <w:r w:rsidR="00B24E6A">
        <w:t xml:space="preserve"> [8,12]</w:t>
      </w:r>
      <w:r w:rsidR="00955672">
        <w:t xml:space="preserve">, but the </w:t>
      </w:r>
      <w:r w:rsidR="003946F4">
        <w:t>sizes</w:t>
      </w:r>
      <w:r w:rsidR="00955672">
        <w:t xml:space="preserve"> of associated relative risks suggest that they are unlikely to be the full answer.</w:t>
      </w:r>
      <w:r w:rsidR="00816EA7">
        <w:t xml:space="preserve"> </w:t>
      </w:r>
      <w:r w:rsidR="005C75AB">
        <w:br w:type="page"/>
      </w:r>
    </w:p>
    <w:p w:rsidR="005C75AB" w:rsidRDefault="005C75AB" w:rsidP="005C75AB">
      <w:pPr>
        <w:pStyle w:val="Heading1"/>
        <w:spacing w:line="360" w:lineRule="auto"/>
      </w:pPr>
      <w:r>
        <w:lastRenderedPageBreak/>
        <w:t>References</w:t>
      </w:r>
    </w:p>
    <w:p w:rsidR="005C75AB" w:rsidRPr="00165D48" w:rsidRDefault="005C75AB" w:rsidP="005C75AB">
      <w:pPr>
        <w:pStyle w:val="ListParagraph"/>
        <w:numPr>
          <w:ilvl w:val="0"/>
          <w:numId w:val="1"/>
        </w:numPr>
        <w:spacing w:line="360" w:lineRule="auto"/>
        <w:ind w:left="567" w:hanging="567"/>
        <w:rPr>
          <w:bCs/>
        </w:rPr>
      </w:pPr>
      <w:r w:rsidRPr="00165D48">
        <w:rPr>
          <w:bCs/>
        </w:rPr>
        <w:t xml:space="preserve">Bernard BP.  A critical review of epidemiologic evidence for work-related musculoskeletal disorders of the neck, upper extremity and low back.  US Department of Health and Human Services, 1997  </w:t>
      </w:r>
      <w:hyperlink r:id="rId8" w:history="1">
        <w:r w:rsidRPr="00165D48">
          <w:rPr>
            <w:rStyle w:val="Hyperlink"/>
            <w:bCs/>
          </w:rPr>
          <w:t>https://www.cdc.gov/niosh/docs/97-141/pdfs/97-141.pdf</w:t>
        </w:r>
      </w:hyperlink>
      <w:r w:rsidRPr="00165D48">
        <w:rPr>
          <w:bCs/>
        </w:rPr>
        <w:t xml:space="preserve"> </w:t>
      </w:r>
    </w:p>
    <w:p w:rsidR="005C75AB" w:rsidRDefault="005C75AB" w:rsidP="005C75AB">
      <w:pPr>
        <w:spacing w:line="360" w:lineRule="auto"/>
        <w:ind w:left="567" w:hanging="567"/>
        <w:rPr>
          <w:bCs/>
        </w:rPr>
      </w:pPr>
    </w:p>
    <w:p w:rsidR="005C75AB" w:rsidRPr="00D04D60" w:rsidRDefault="005C75AB" w:rsidP="005C75AB">
      <w:pPr>
        <w:pStyle w:val="ListParagraph"/>
        <w:numPr>
          <w:ilvl w:val="0"/>
          <w:numId w:val="1"/>
        </w:numPr>
        <w:spacing w:line="360" w:lineRule="auto"/>
        <w:ind w:left="567" w:hanging="567"/>
        <w:rPr>
          <w:bCs/>
        </w:rPr>
      </w:pPr>
      <w:r w:rsidRPr="00165D48">
        <w:rPr>
          <w:bCs/>
        </w:rPr>
        <w:t>Endean A, Palmer KT, Coggon D.  Potential of MRI findings to refine case definition for mechanical low back pain in epidemiological studies: A systematic review</w:t>
      </w:r>
      <w:r w:rsidRPr="00D04D60">
        <w:rPr>
          <w:bCs/>
        </w:rPr>
        <w:t>.  Spine 2011;36:160-9.</w:t>
      </w:r>
    </w:p>
    <w:p w:rsidR="005C75AB" w:rsidRDefault="005C75AB" w:rsidP="005C75AB">
      <w:pPr>
        <w:spacing w:line="360" w:lineRule="auto"/>
        <w:ind w:left="567" w:hanging="567"/>
        <w:rPr>
          <w:bCs/>
        </w:rPr>
      </w:pPr>
    </w:p>
    <w:p w:rsidR="005C75AB" w:rsidRPr="00165D48" w:rsidRDefault="005C75AB" w:rsidP="005C75AB">
      <w:pPr>
        <w:pStyle w:val="ListParagraph"/>
        <w:numPr>
          <w:ilvl w:val="0"/>
          <w:numId w:val="1"/>
        </w:numPr>
        <w:spacing w:line="360" w:lineRule="auto"/>
        <w:ind w:left="567" w:hanging="567"/>
        <w:rPr>
          <w:bCs/>
        </w:rPr>
      </w:pPr>
      <w:r w:rsidRPr="00165D48">
        <w:rPr>
          <w:bCs/>
        </w:rPr>
        <w:t>Driessen MT, Proper KI, van Tulder MW, Anema JR, Bongers PM, van der Beek AJ.  The effectiveness of physical and organisational ergonomic interventions on low back pain and neck pain: a systematic review.  Occup Environ Med 2010;67:277-285.</w:t>
      </w:r>
    </w:p>
    <w:p w:rsidR="005C75AB" w:rsidRDefault="005C75AB" w:rsidP="005C75AB">
      <w:pPr>
        <w:spacing w:line="360" w:lineRule="auto"/>
        <w:ind w:left="567" w:hanging="567"/>
        <w:rPr>
          <w:bCs/>
        </w:rPr>
      </w:pPr>
    </w:p>
    <w:p w:rsidR="005C75AB" w:rsidRPr="00165D48" w:rsidRDefault="005C75AB" w:rsidP="005C75AB">
      <w:pPr>
        <w:pStyle w:val="ListParagraph"/>
        <w:numPr>
          <w:ilvl w:val="0"/>
          <w:numId w:val="1"/>
        </w:numPr>
        <w:spacing w:line="360" w:lineRule="auto"/>
        <w:ind w:left="567" w:hanging="567"/>
        <w:rPr>
          <w:bCs/>
        </w:rPr>
      </w:pPr>
      <w:r w:rsidRPr="00165D48">
        <w:rPr>
          <w:bCs/>
        </w:rPr>
        <w:t>Hoe VC, Urquhart DM, Kelsall HL, Sim MR.  Ergonomic design and training for preventing work-related musculoskeletal disorders of the upper limb and neck in adults.  Cochrane Database of Systematic Reviews 2012, Issue 8. Art. No.: CD008570.  DOI: 10.1002/14651858.CD008570.pub2.</w:t>
      </w:r>
    </w:p>
    <w:p w:rsidR="005C75AB" w:rsidRDefault="005C75AB" w:rsidP="005C75AB">
      <w:pPr>
        <w:spacing w:line="360" w:lineRule="auto"/>
        <w:ind w:left="567" w:hanging="567"/>
        <w:rPr>
          <w:bCs/>
        </w:rPr>
      </w:pPr>
    </w:p>
    <w:p w:rsidR="005C75AB" w:rsidRPr="00D04D60" w:rsidRDefault="005C75AB" w:rsidP="005C75AB">
      <w:pPr>
        <w:pStyle w:val="ListParagraph"/>
        <w:numPr>
          <w:ilvl w:val="0"/>
          <w:numId w:val="1"/>
        </w:numPr>
        <w:spacing w:line="360" w:lineRule="auto"/>
        <w:ind w:left="567" w:hanging="567"/>
        <w:rPr>
          <w:bCs/>
        </w:rPr>
      </w:pPr>
      <w:r w:rsidRPr="00165D48">
        <w:rPr>
          <w:bCs/>
        </w:rPr>
        <w:t xml:space="preserve">Coggon D, Ntani G, Palmer KT, et al.  Disabling musculoskeletal pain in working populations: Is it the job, the person or the culture? </w:t>
      </w:r>
      <w:r w:rsidRPr="00D04D60">
        <w:rPr>
          <w:bCs/>
        </w:rPr>
        <w:t xml:space="preserve"> Pain.  2013;154:856-63.</w:t>
      </w:r>
    </w:p>
    <w:p w:rsidR="005C75AB" w:rsidRPr="00D04D60" w:rsidRDefault="005C75AB" w:rsidP="005C75AB">
      <w:pPr>
        <w:spacing w:line="360" w:lineRule="auto"/>
        <w:ind w:left="567" w:hanging="567"/>
        <w:rPr>
          <w:bCs/>
        </w:rPr>
      </w:pPr>
    </w:p>
    <w:p w:rsidR="005C75AB" w:rsidRPr="00165D48" w:rsidRDefault="005C75AB" w:rsidP="005C75AB">
      <w:pPr>
        <w:pStyle w:val="ListParagraph"/>
        <w:numPr>
          <w:ilvl w:val="0"/>
          <w:numId w:val="1"/>
        </w:numPr>
        <w:spacing w:line="360" w:lineRule="auto"/>
        <w:ind w:left="567" w:hanging="567"/>
        <w:rPr>
          <w:bCs/>
        </w:rPr>
      </w:pPr>
      <w:r w:rsidRPr="00165D48">
        <w:rPr>
          <w:bCs/>
        </w:rPr>
        <w:t>Coggon D. Occupational medicine at a turning point. Occup Environ Med 2005;62:281</w:t>
      </w:r>
      <w:r w:rsidRPr="00165D48">
        <w:rPr>
          <w:rFonts w:hint="eastAsia"/>
          <w:bCs/>
        </w:rPr>
        <w:t>–</w:t>
      </w:r>
      <w:r w:rsidRPr="00165D48">
        <w:rPr>
          <w:bCs/>
        </w:rPr>
        <w:t>283.</w:t>
      </w:r>
    </w:p>
    <w:p w:rsidR="005C75AB" w:rsidRDefault="005C75AB" w:rsidP="005C75AB">
      <w:pPr>
        <w:spacing w:line="360" w:lineRule="auto"/>
        <w:ind w:left="567" w:hanging="567"/>
        <w:rPr>
          <w:bCs/>
        </w:rPr>
      </w:pPr>
    </w:p>
    <w:p w:rsidR="005C75AB" w:rsidRDefault="005C75AB" w:rsidP="005C75AB">
      <w:pPr>
        <w:pStyle w:val="ListParagraph"/>
        <w:numPr>
          <w:ilvl w:val="0"/>
          <w:numId w:val="1"/>
        </w:numPr>
        <w:spacing w:line="360" w:lineRule="auto"/>
        <w:ind w:left="567" w:hanging="567"/>
        <w:rPr>
          <w:lang w:eastAsia="en-GB"/>
        </w:rPr>
      </w:pPr>
      <w:r w:rsidRPr="00096179">
        <w:rPr>
          <w:lang w:eastAsia="en-GB"/>
        </w:rPr>
        <w:t>Papageorgiou AC, Croft PR, Thomas E, Ferry S, Jayson MI, Silman AJ.  Influence of previous pain experience on the episode incidence of low back pain: results from the South Manchester Back Pain Study. Pain 1996;66:181</w:t>
      </w:r>
      <w:r w:rsidRPr="00096179">
        <w:rPr>
          <w:rFonts w:hint="eastAsia"/>
          <w:lang w:eastAsia="en-GB"/>
        </w:rPr>
        <w:t>–</w:t>
      </w:r>
      <w:r>
        <w:rPr>
          <w:lang w:eastAsia="en-GB"/>
        </w:rPr>
        <w:t>18</w:t>
      </w:r>
      <w:r w:rsidRPr="00096179">
        <w:rPr>
          <w:lang w:eastAsia="en-GB"/>
        </w:rPr>
        <w:t>5.</w:t>
      </w:r>
    </w:p>
    <w:p w:rsidR="005C75AB" w:rsidRDefault="005C75AB" w:rsidP="005C75AB">
      <w:pPr>
        <w:spacing w:line="360" w:lineRule="auto"/>
        <w:ind w:left="567" w:hanging="567"/>
        <w:rPr>
          <w:lang w:eastAsia="en-GB"/>
        </w:rPr>
      </w:pPr>
    </w:p>
    <w:p w:rsidR="005C75AB" w:rsidRDefault="005C75AB" w:rsidP="005C75AB">
      <w:pPr>
        <w:pStyle w:val="ListParagraph"/>
        <w:numPr>
          <w:ilvl w:val="0"/>
          <w:numId w:val="1"/>
        </w:numPr>
        <w:spacing w:line="360" w:lineRule="auto"/>
        <w:ind w:left="567" w:hanging="567"/>
        <w:rPr>
          <w:lang w:eastAsia="en-GB"/>
        </w:rPr>
      </w:pPr>
      <w:r w:rsidRPr="00096179">
        <w:rPr>
          <w:lang w:eastAsia="en-GB"/>
        </w:rPr>
        <w:t>Coggon D, Ntani G, Palmer KT, et al.  Patterns of multi-site pain and associations with risk factors.  Pain 2013;154:1769-</w:t>
      </w:r>
      <w:r>
        <w:rPr>
          <w:lang w:eastAsia="en-GB"/>
        </w:rPr>
        <w:t>17</w:t>
      </w:r>
      <w:r w:rsidRPr="00096179">
        <w:rPr>
          <w:lang w:eastAsia="en-GB"/>
        </w:rPr>
        <w:t>77.</w:t>
      </w:r>
    </w:p>
    <w:p w:rsidR="005C75AB" w:rsidRDefault="005C75AB" w:rsidP="005C75AB">
      <w:pPr>
        <w:spacing w:line="360" w:lineRule="auto"/>
        <w:ind w:left="567" w:hanging="567"/>
        <w:rPr>
          <w:lang w:eastAsia="en-GB"/>
        </w:rPr>
      </w:pPr>
    </w:p>
    <w:p w:rsidR="005C75AB" w:rsidRPr="00165D48" w:rsidRDefault="005C75AB" w:rsidP="005C75AB">
      <w:pPr>
        <w:pStyle w:val="ListParagraph"/>
        <w:numPr>
          <w:ilvl w:val="0"/>
          <w:numId w:val="1"/>
        </w:numPr>
        <w:spacing w:line="360" w:lineRule="auto"/>
        <w:ind w:left="567" w:hanging="567"/>
        <w:rPr>
          <w:bCs/>
        </w:rPr>
      </w:pPr>
      <w:r w:rsidRPr="00165D48">
        <w:rPr>
          <w:bCs/>
        </w:rPr>
        <w:t>Natvig B, Bruusgaard D, Eriksen W.  Localised low back pain and low back pain as part of widespread musculoskeletal pain: two different disorders?  A cross-sectional population study.  J Rehab Med 2001;33:21-25.</w:t>
      </w:r>
    </w:p>
    <w:p w:rsidR="005C75AB" w:rsidRDefault="005C75AB" w:rsidP="005C75AB">
      <w:pPr>
        <w:spacing w:line="360" w:lineRule="auto"/>
        <w:ind w:left="567" w:hanging="567"/>
      </w:pPr>
    </w:p>
    <w:p w:rsidR="005C75AB" w:rsidRDefault="005C75AB" w:rsidP="005C75AB">
      <w:pPr>
        <w:pStyle w:val="ListParagraph"/>
        <w:numPr>
          <w:ilvl w:val="0"/>
          <w:numId w:val="1"/>
        </w:numPr>
        <w:spacing w:line="360" w:lineRule="auto"/>
        <w:ind w:left="567" w:hanging="567"/>
        <w:rPr>
          <w:lang w:eastAsia="en-GB"/>
        </w:rPr>
      </w:pPr>
      <w:r w:rsidRPr="003543CA">
        <w:rPr>
          <w:lang w:eastAsia="en-GB"/>
        </w:rPr>
        <w:lastRenderedPageBreak/>
        <w:t xml:space="preserve">Sarquis </w:t>
      </w:r>
      <w:r w:rsidRPr="003A6317">
        <w:rPr>
          <w:lang w:eastAsia="en-GB"/>
        </w:rPr>
        <w:t>LM, Coggon D,</w:t>
      </w:r>
      <w:r w:rsidRPr="003543CA">
        <w:rPr>
          <w:lang w:eastAsia="en-GB"/>
        </w:rPr>
        <w:t xml:space="preserve"> Ntani G, Walker-Bone K, Palmer KT, Felli VE</w:t>
      </w:r>
      <w:r>
        <w:rPr>
          <w:lang w:eastAsia="en-GB"/>
        </w:rPr>
        <w:t>, et al</w:t>
      </w:r>
      <w:r w:rsidRPr="003543CA">
        <w:rPr>
          <w:lang w:eastAsia="en-GB"/>
        </w:rPr>
        <w:t xml:space="preserve">. Classification of neck/shoulder </w:t>
      </w:r>
      <w:r w:rsidR="00D04D60">
        <w:rPr>
          <w:lang w:eastAsia="en-GB"/>
        </w:rPr>
        <w:t>p</w:t>
      </w:r>
      <w:r w:rsidRPr="003543CA">
        <w:rPr>
          <w:lang w:eastAsia="en-GB"/>
        </w:rPr>
        <w:t>ain in epidemiological research: a comparison of personal and occupational characteristics, disability and prognosis among 12,195 workers from 18 countries. Pain 2016</w:t>
      </w:r>
      <w:r>
        <w:rPr>
          <w:lang w:eastAsia="en-GB"/>
        </w:rPr>
        <w:t>;157:1028-36.</w:t>
      </w:r>
    </w:p>
    <w:p w:rsidR="005C75AB" w:rsidRDefault="005C75AB" w:rsidP="005C75AB">
      <w:pPr>
        <w:spacing w:line="360" w:lineRule="auto"/>
        <w:ind w:left="567" w:hanging="567"/>
        <w:rPr>
          <w:lang w:eastAsia="en-GB"/>
        </w:rPr>
      </w:pPr>
    </w:p>
    <w:p w:rsidR="005C75AB" w:rsidRDefault="005C75AB" w:rsidP="005C75AB">
      <w:pPr>
        <w:pStyle w:val="ListParagraph"/>
        <w:numPr>
          <w:ilvl w:val="0"/>
          <w:numId w:val="1"/>
        </w:numPr>
        <w:spacing w:line="360" w:lineRule="auto"/>
        <w:ind w:left="567" w:hanging="567"/>
      </w:pPr>
      <w:r w:rsidRPr="009D1DC8">
        <w:t xml:space="preserve">Coggon D, Ntani G, Walker-Bone K, </w:t>
      </w:r>
      <w:r>
        <w:t>et al</w:t>
      </w:r>
      <w:r w:rsidRPr="009D1DC8">
        <w:t>.  Epidemiological differences between locali</w:t>
      </w:r>
      <w:r>
        <w:t>z</w:t>
      </w:r>
      <w:r w:rsidRPr="009D1DC8">
        <w:t>ed and non-locali</w:t>
      </w:r>
      <w:r>
        <w:t>z</w:t>
      </w:r>
      <w:r w:rsidRPr="009D1DC8">
        <w:t>ed low back pain.  Spine 2016</w:t>
      </w:r>
      <w:r>
        <w:t xml:space="preserve"> Epub ahead of print  </w:t>
      </w:r>
      <w:hyperlink r:id="rId9" w:history="1">
        <w:r w:rsidRPr="007F6D4B">
          <w:rPr>
            <w:rStyle w:val="Hyperlink"/>
          </w:rPr>
          <w:t>http://journals.lww.com/spinejournal/Abstract/publishahead/Epidemiological_Differences_Between_Localised_and.95786.aspx</w:t>
        </w:r>
      </w:hyperlink>
    </w:p>
    <w:p w:rsidR="005C75AB" w:rsidRDefault="005C75AB" w:rsidP="005C75AB">
      <w:pPr>
        <w:spacing w:line="360" w:lineRule="auto"/>
        <w:ind w:left="567" w:hanging="567"/>
      </w:pPr>
    </w:p>
    <w:p w:rsidR="005C75AB" w:rsidRDefault="005C75AB" w:rsidP="005C75AB">
      <w:pPr>
        <w:pStyle w:val="ListParagraph"/>
        <w:numPr>
          <w:ilvl w:val="0"/>
          <w:numId w:val="1"/>
        </w:numPr>
        <w:spacing w:line="360" w:lineRule="auto"/>
        <w:ind w:left="567" w:hanging="567"/>
      </w:pPr>
      <w:r>
        <w:t>Ne</w:t>
      </w:r>
      <w:r w:rsidR="00804103">
        <w:t>u</w:t>
      </w:r>
      <w:r>
        <w:t xml:space="preserve">pane S, Leino-Arjas P, Nygård C-H, Oakman J, Virtanen P.  Developmental pathways of multisite musculoskeletal pain: what is the influence of physical and psychosocial working conditions?  Occup Environ Med 2016 </w:t>
      </w:r>
      <w:r w:rsidRPr="00165D48">
        <w:rPr>
          <w:highlight w:val="yellow"/>
        </w:rPr>
        <w:t>to be completed</w:t>
      </w:r>
      <w:r>
        <w:t>.</w:t>
      </w:r>
    </w:p>
    <w:p w:rsidR="005C75AB" w:rsidRPr="003A6317" w:rsidRDefault="005C75AB" w:rsidP="005C75AB">
      <w:pPr>
        <w:spacing w:line="360" w:lineRule="auto"/>
        <w:ind w:left="567" w:hanging="567"/>
      </w:pPr>
    </w:p>
    <w:p w:rsidR="00D841B9" w:rsidRDefault="008C19D2" w:rsidP="00F82E2B">
      <w:pPr>
        <w:spacing w:line="360" w:lineRule="auto"/>
        <w:jc w:val="both"/>
      </w:pPr>
      <w:r>
        <w:t xml:space="preserve"> </w:t>
      </w:r>
    </w:p>
    <w:sectPr w:rsidR="00D841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45" w:rsidRDefault="009B5545" w:rsidP="005C75AB">
      <w:pPr>
        <w:spacing w:line="240" w:lineRule="auto"/>
      </w:pPr>
      <w:r>
        <w:separator/>
      </w:r>
    </w:p>
  </w:endnote>
  <w:endnote w:type="continuationSeparator" w:id="0">
    <w:p w:rsidR="009B5545" w:rsidRDefault="009B5545" w:rsidP="005C7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7165"/>
      <w:docPartObj>
        <w:docPartGallery w:val="Page Numbers (Bottom of Page)"/>
        <w:docPartUnique/>
      </w:docPartObj>
    </w:sdtPr>
    <w:sdtEndPr>
      <w:rPr>
        <w:noProof/>
      </w:rPr>
    </w:sdtEndPr>
    <w:sdtContent>
      <w:p w:rsidR="005C75AB" w:rsidRDefault="005C75AB">
        <w:pPr>
          <w:pStyle w:val="Footer"/>
          <w:jc w:val="center"/>
        </w:pPr>
        <w:r>
          <w:fldChar w:fldCharType="begin"/>
        </w:r>
        <w:r>
          <w:instrText xml:space="preserve"> PAGE   \* MERGEFORMAT </w:instrText>
        </w:r>
        <w:r>
          <w:fldChar w:fldCharType="separate"/>
        </w:r>
        <w:r w:rsidR="00DC5FDF">
          <w:rPr>
            <w:noProof/>
          </w:rPr>
          <w:t>1</w:t>
        </w:r>
        <w:r>
          <w:rPr>
            <w:noProof/>
          </w:rPr>
          <w:fldChar w:fldCharType="end"/>
        </w:r>
      </w:p>
    </w:sdtContent>
  </w:sdt>
  <w:p w:rsidR="005C75AB" w:rsidRDefault="005C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45" w:rsidRDefault="009B5545" w:rsidP="005C75AB">
      <w:pPr>
        <w:spacing w:line="240" w:lineRule="auto"/>
      </w:pPr>
      <w:r>
        <w:separator/>
      </w:r>
    </w:p>
  </w:footnote>
  <w:footnote w:type="continuationSeparator" w:id="0">
    <w:p w:rsidR="009B5545" w:rsidRDefault="009B5545" w:rsidP="005C75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166D"/>
    <w:multiLevelType w:val="hybridMultilevel"/>
    <w:tmpl w:val="EF7E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FE"/>
    <w:rsid w:val="000507E4"/>
    <w:rsid w:val="00056BF4"/>
    <w:rsid w:val="00067104"/>
    <w:rsid w:val="000C2140"/>
    <w:rsid w:val="000C61C0"/>
    <w:rsid w:val="000F6056"/>
    <w:rsid w:val="001108AD"/>
    <w:rsid w:val="00122ACD"/>
    <w:rsid w:val="00134E15"/>
    <w:rsid w:val="001C18E4"/>
    <w:rsid w:val="0021199D"/>
    <w:rsid w:val="002458FF"/>
    <w:rsid w:val="00267112"/>
    <w:rsid w:val="00307964"/>
    <w:rsid w:val="00351A9B"/>
    <w:rsid w:val="00364BC2"/>
    <w:rsid w:val="003946F4"/>
    <w:rsid w:val="003B160E"/>
    <w:rsid w:val="00420C1C"/>
    <w:rsid w:val="004243BD"/>
    <w:rsid w:val="004D3624"/>
    <w:rsid w:val="005A5BC5"/>
    <w:rsid w:val="005B78CA"/>
    <w:rsid w:val="005C75AB"/>
    <w:rsid w:val="00637458"/>
    <w:rsid w:val="006C3EF5"/>
    <w:rsid w:val="006D4403"/>
    <w:rsid w:val="006E6440"/>
    <w:rsid w:val="006E73E2"/>
    <w:rsid w:val="00703563"/>
    <w:rsid w:val="00711492"/>
    <w:rsid w:val="00726F8E"/>
    <w:rsid w:val="00752717"/>
    <w:rsid w:val="0077607C"/>
    <w:rsid w:val="007D2D7E"/>
    <w:rsid w:val="00802501"/>
    <w:rsid w:val="00804103"/>
    <w:rsid w:val="00816EA7"/>
    <w:rsid w:val="008B623D"/>
    <w:rsid w:val="008C0BFB"/>
    <w:rsid w:val="008C19D2"/>
    <w:rsid w:val="00955672"/>
    <w:rsid w:val="0097153D"/>
    <w:rsid w:val="00992C7B"/>
    <w:rsid w:val="009B196B"/>
    <w:rsid w:val="009B5545"/>
    <w:rsid w:val="00A5102E"/>
    <w:rsid w:val="00A62C65"/>
    <w:rsid w:val="00A9206A"/>
    <w:rsid w:val="00AA71B7"/>
    <w:rsid w:val="00B24E6A"/>
    <w:rsid w:val="00B51FA3"/>
    <w:rsid w:val="00B5352F"/>
    <w:rsid w:val="00BA6A0A"/>
    <w:rsid w:val="00BC3B57"/>
    <w:rsid w:val="00BC41F8"/>
    <w:rsid w:val="00BD4232"/>
    <w:rsid w:val="00BE7A0A"/>
    <w:rsid w:val="00BF47DC"/>
    <w:rsid w:val="00C554E6"/>
    <w:rsid w:val="00C6454C"/>
    <w:rsid w:val="00D04D60"/>
    <w:rsid w:val="00D34CC9"/>
    <w:rsid w:val="00D43436"/>
    <w:rsid w:val="00D47663"/>
    <w:rsid w:val="00D81025"/>
    <w:rsid w:val="00D841B9"/>
    <w:rsid w:val="00DA0A3C"/>
    <w:rsid w:val="00DB3A92"/>
    <w:rsid w:val="00DC5FDF"/>
    <w:rsid w:val="00E2118A"/>
    <w:rsid w:val="00E4077C"/>
    <w:rsid w:val="00E86576"/>
    <w:rsid w:val="00EE5B09"/>
    <w:rsid w:val="00EF3EEF"/>
    <w:rsid w:val="00F179AF"/>
    <w:rsid w:val="00F41185"/>
    <w:rsid w:val="00F82E2B"/>
    <w:rsid w:val="00F863FE"/>
    <w:rsid w:val="00FA248B"/>
    <w:rsid w:val="00FF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semiHidden/>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semiHidden/>
    <w:rsid w:val="003B160E"/>
    <w:rPr>
      <w:rFonts w:ascii="Arial" w:eastAsiaTheme="majorEastAsia" w:hAnsi="Arial" w:cstheme="majorBidi"/>
      <w:b/>
      <w:bCs/>
      <w:i/>
      <w:szCs w:val="26"/>
    </w:rPr>
  </w:style>
  <w:style w:type="character" w:styleId="Hyperlink">
    <w:name w:val="Hyperlink"/>
    <w:basedOn w:val="DefaultParagraphFont"/>
    <w:uiPriority w:val="99"/>
    <w:unhideWhenUsed/>
    <w:rsid w:val="005C75AB"/>
    <w:rPr>
      <w:color w:val="0000FF" w:themeColor="hyperlink"/>
      <w:u w:val="single"/>
    </w:rPr>
  </w:style>
  <w:style w:type="paragraph" w:styleId="ListParagraph">
    <w:name w:val="List Paragraph"/>
    <w:basedOn w:val="Normal"/>
    <w:uiPriority w:val="34"/>
    <w:qFormat/>
    <w:rsid w:val="005C75AB"/>
    <w:pPr>
      <w:ind w:left="720"/>
    </w:pPr>
  </w:style>
  <w:style w:type="character" w:styleId="FollowedHyperlink">
    <w:name w:val="FollowedHyperlink"/>
    <w:basedOn w:val="DefaultParagraphFont"/>
    <w:uiPriority w:val="99"/>
    <w:semiHidden/>
    <w:unhideWhenUsed/>
    <w:rsid w:val="005C75AB"/>
    <w:rPr>
      <w:color w:val="800080" w:themeColor="followedHyperlink"/>
      <w:u w:val="single"/>
    </w:rPr>
  </w:style>
  <w:style w:type="paragraph" w:styleId="Header">
    <w:name w:val="header"/>
    <w:basedOn w:val="Normal"/>
    <w:link w:val="HeaderChar"/>
    <w:uiPriority w:val="99"/>
    <w:unhideWhenUsed/>
    <w:rsid w:val="005C75AB"/>
    <w:pPr>
      <w:tabs>
        <w:tab w:val="center" w:pos="4513"/>
        <w:tab w:val="right" w:pos="9026"/>
      </w:tabs>
      <w:spacing w:line="240" w:lineRule="auto"/>
    </w:pPr>
  </w:style>
  <w:style w:type="character" w:customStyle="1" w:styleId="HeaderChar">
    <w:name w:val="Header Char"/>
    <w:basedOn w:val="DefaultParagraphFont"/>
    <w:link w:val="Header"/>
    <w:uiPriority w:val="99"/>
    <w:rsid w:val="005C75AB"/>
    <w:rPr>
      <w:rFonts w:ascii="Arial" w:hAnsi="Arial" w:cs="Arial"/>
    </w:rPr>
  </w:style>
  <w:style w:type="paragraph" w:styleId="Footer">
    <w:name w:val="footer"/>
    <w:basedOn w:val="Normal"/>
    <w:link w:val="FooterChar"/>
    <w:uiPriority w:val="99"/>
    <w:unhideWhenUsed/>
    <w:rsid w:val="005C75AB"/>
    <w:pPr>
      <w:tabs>
        <w:tab w:val="center" w:pos="4513"/>
        <w:tab w:val="right" w:pos="9026"/>
      </w:tabs>
      <w:spacing w:line="240" w:lineRule="auto"/>
    </w:pPr>
  </w:style>
  <w:style w:type="character" w:customStyle="1" w:styleId="FooterChar">
    <w:name w:val="Footer Char"/>
    <w:basedOn w:val="DefaultParagraphFont"/>
    <w:link w:val="Footer"/>
    <w:uiPriority w:val="99"/>
    <w:rsid w:val="005C75AB"/>
    <w:rPr>
      <w:rFonts w:ascii="Arial" w:hAnsi="Arial" w:cs="Arial"/>
    </w:rPr>
  </w:style>
  <w:style w:type="paragraph" w:styleId="BalloonText">
    <w:name w:val="Balloon Text"/>
    <w:basedOn w:val="Normal"/>
    <w:link w:val="BalloonTextChar"/>
    <w:uiPriority w:val="99"/>
    <w:semiHidden/>
    <w:unhideWhenUsed/>
    <w:rsid w:val="004D3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semiHidden/>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semiHidden/>
    <w:rsid w:val="003B160E"/>
    <w:rPr>
      <w:rFonts w:ascii="Arial" w:eastAsiaTheme="majorEastAsia" w:hAnsi="Arial" w:cstheme="majorBidi"/>
      <w:b/>
      <w:bCs/>
      <w:i/>
      <w:szCs w:val="26"/>
    </w:rPr>
  </w:style>
  <w:style w:type="character" w:styleId="Hyperlink">
    <w:name w:val="Hyperlink"/>
    <w:basedOn w:val="DefaultParagraphFont"/>
    <w:uiPriority w:val="99"/>
    <w:unhideWhenUsed/>
    <w:rsid w:val="005C75AB"/>
    <w:rPr>
      <w:color w:val="0000FF" w:themeColor="hyperlink"/>
      <w:u w:val="single"/>
    </w:rPr>
  </w:style>
  <w:style w:type="paragraph" w:styleId="ListParagraph">
    <w:name w:val="List Paragraph"/>
    <w:basedOn w:val="Normal"/>
    <w:uiPriority w:val="34"/>
    <w:qFormat/>
    <w:rsid w:val="005C75AB"/>
    <w:pPr>
      <w:ind w:left="720"/>
    </w:pPr>
  </w:style>
  <w:style w:type="character" w:styleId="FollowedHyperlink">
    <w:name w:val="FollowedHyperlink"/>
    <w:basedOn w:val="DefaultParagraphFont"/>
    <w:uiPriority w:val="99"/>
    <w:semiHidden/>
    <w:unhideWhenUsed/>
    <w:rsid w:val="005C75AB"/>
    <w:rPr>
      <w:color w:val="800080" w:themeColor="followedHyperlink"/>
      <w:u w:val="single"/>
    </w:rPr>
  </w:style>
  <w:style w:type="paragraph" w:styleId="Header">
    <w:name w:val="header"/>
    <w:basedOn w:val="Normal"/>
    <w:link w:val="HeaderChar"/>
    <w:uiPriority w:val="99"/>
    <w:unhideWhenUsed/>
    <w:rsid w:val="005C75AB"/>
    <w:pPr>
      <w:tabs>
        <w:tab w:val="center" w:pos="4513"/>
        <w:tab w:val="right" w:pos="9026"/>
      </w:tabs>
      <w:spacing w:line="240" w:lineRule="auto"/>
    </w:pPr>
  </w:style>
  <w:style w:type="character" w:customStyle="1" w:styleId="HeaderChar">
    <w:name w:val="Header Char"/>
    <w:basedOn w:val="DefaultParagraphFont"/>
    <w:link w:val="Header"/>
    <w:uiPriority w:val="99"/>
    <w:rsid w:val="005C75AB"/>
    <w:rPr>
      <w:rFonts w:ascii="Arial" w:hAnsi="Arial" w:cs="Arial"/>
    </w:rPr>
  </w:style>
  <w:style w:type="paragraph" w:styleId="Footer">
    <w:name w:val="footer"/>
    <w:basedOn w:val="Normal"/>
    <w:link w:val="FooterChar"/>
    <w:uiPriority w:val="99"/>
    <w:unhideWhenUsed/>
    <w:rsid w:val="005C75AB"/>
    <w:pPr>
      <w:tabs>
        <w:tab w:val="center" w:pos="4513"/>
        <w:tab w:val="right" w:pos="9026"/>
      </w:tabs>
      <w:spacing w:line="240" w:lineRule="auto"/>
    </w:pPr>
  </w:style>
  <w:style w:type="character" w:customStyle="1" w:styleId="FooterChar">
    <w:name w:val="Footer Char"/>
    <w:basedOn w:val="DefaultParagraphFont"/>
    <w:link w:val="Footer"/>
    <w:uiPriority w:val="99"/>
    <w:rsid w:val="005C75AB"/>
    <w:rPr>
      <w:rFonts w:ascii="Arial" w:hAnsi="Arial" w:cs="Arial"/>
    </w:rPr>
  </w:style>
  <w:style w:type="paragraph" w:styleId="BalloonText">
    <w:name w:val="Balloon Text"/>
    <w:basedOn w:val="Normal"/>
    <w:link w:val="BalloonTextChar"/>
    <w:uiPriority w:val="99"/>
    <w:semiHidden/>
    <w:unhideWhenUsed/>
    <w:rsid w:val="004D3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docs/97-141/pdfs/97-14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urnals.lww.com/spinejournal/Abstract/publishahead/Epidemiological_Differences_Between_Localised_and.957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2017-07-21T10:52:00Z</dcterms:created>
  <dcterms:modified xsi:type="dcterms:W3CDTF">2017-07-21T10:52:00Z</dcterms:modified>
</cp:coreProperties>
</file>