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DE785" w14:textId="77777777" w:rsidR="00700433" w:rsidRPr="001C49FC" w:rsidRDefault="008B4F2B" w:rsidP="00A746F2">
      <w:pPr>
        <w:jc w:val="center"/>
        <w:rPr>
          <w:rFonts w:ascii="Avenir Book" w:hAnsi="Avenir Book" w:cs="Times New Roman"/>
          <w:b/>
          <w:color w:val="000000" w:themeColor="text1"/>
          <w:sz w:val="32"/>
          <w:szCs w:val="32"/>
        </w:rPr>
      </w:pPr>
      <w:bookmarkStart w:id="0" w:name="_GoBack"/>
      <w:bookmarkEnd w:id="0"/>
      <w:r w:rsidRPr="001C49FC">
        <w:rPr>
          <w:rFonts w:ascii="Avenir Book" w:hAnsi="Avenir Book" w:cs="Times New Roman"/>
          <w:b/>
          <w:color w:val="000000" w:themeColor="text1"/>
          <w:sz w:val="32"/>
          <w:szCs w:val="32"/>
        </w:rPr>
        <w:t xml:space="preserve">The CJEU </w:t>
      </w:r>
      <w:r w:rsidRPr="001C49FC">
        <w:rPr>
          <w:rFonts w:ascii="Avenir Book" w:hAnsi="Avenir Book" w:cs="Times New Roman"/>
          <w:b/>
          <w:i/>
          <w:color w:val="000000" w:themeColor="text1"/>
          <w:sz w:val="32"/>
          <w:szCs w:val="32"/>
        </w:rPr>
        <w:t>Pirate Bay</w:t>
      </w:r>
      <w:r w:rsidRPr="001C49FC">
        <w:rPr>
          <w:rFonts w:ascii="Avenir Book" w:hAnsi="Avenir Book" w:cs="Times New Roman"/>
          <w:b/>
          <w:color w:val="000000" w:themeColor="text1"/>
          <w:sz w:val="32"/>
          <w:szCs w:val="32"/>
        </w:rPr>
        <w:t xml:space="preserve"> judgment </w:t>
      </w:r>
    </w:p>
    <w:p w14:paraId="552274FE" w14:textId="24A7A3F2" w:rsidR="008B4F2B" w:rsidRPr="001C49FC" w:rsidRDefault="008B4F2B" w:rsidP="00A746F2">
      <w:pPr>
        <w:jc w:val="center"/>
        <w:rPr>
          <w:rFonts w:ascii="Avenir Book" w:hAnsi="Avenir Book" w:cs="Times New Roman"/>
          <w:b/>
          <w:color w:val="000000" w:themeColor="text1"/>
          <w:sz w:val="32"/>
          <w:szCs w:val="32"/>
        </w:rPr>
      </w:pPr>
      <w:r w:rsidRPr="001C49FC">
        <w:rPr>
          <w:rFonts w:ascii="Avenir Book" w:hAnsi="Avenir Book" w:cs="Times New Roman"/>
          <w:b/>
          <w:color w:val="000000" w:themeColor="text1"/>
          <w:sz w:val="32"/>
          <w:szCs w:val="32"/>
        </w:rPr>
        <w:t xml:space="preserve">and its </w:t>
      </w:r>
      <w:r w:rsidR="00454F37" w:rsidRPr="001C49FC">
        <w:rPr>
          <w:rFonts w:ascii="Avenir Book" w:hAnsi="Avenir Book" w:cs="Times New Roman"/>
          <w:b/>
          <w:color w:val="000000" w:themeColor="text1"/>
          <w:sz w:val="32"/>
          <w:szCs w:val="32"/>
        </w:rPr>
        <w:t>impact</w:t>
      </w:r>
      <w:r w:rsidRPr="001C49FC">
        <w:rPr>
          <w:rFonts w:ascii="Avenir Book" w:hAnsi="Avenir Book" w:cs="Times New Roman"/>
          <w:b/>
          <w:color w:val="000000" w:themeColor="text1"/>
          <w:sz w:val="32"/>
          <w:szCs w:val="32"/>
        </w:rPr>
        <w:t xml:space="preserve"> </w:t>
      </w:r>
      <w:r w:rsidR="00454F37" w:rsidRPr="001C49FC">
        <w:rPr>
          <w:rFonts w:ascii="Avenir Book" w:hAnsi="Avenir Book" w:cs="Times New Roman"/>
          <w:b/>
          <w:color w:val="000000" w:themeColor="text1"/>
          <w:sz w:val="32"/>
          <w:szCs w:val="32"/>
        </w:rPr>
        <w:t>on</w:t>
      </w:r>
      <w:r w:rsidR="00734842" w:rsidRPr="001C49FC">
        <w:rPr>
          <w:rFonts w:ascii="Avenir Book" w:hAnsi="Avenir Book" w:cs="Times New Roman"/>
          <w:b/>
          <w:color w:val="000000" w:themeColor="text1"/>
          <w:sz w:val="32"/>
          <w:szCs w:val="32"/>
        </w:rPr>
        <w:t xml:space="preserve"> the liability of </w:t>
      </w:r>
      <w:r w:rsidRPr="001C49FC">
        <w:rPr>
          <w:rFonts w:ascii="Avenir Book" w:hAnsi="Avenir Book" w:cs="Times New Roman"/>
          <w:b/>
          <w:color w:val="000000" w:themeColor="text1"/>
          <w:sz w:val="32"/>
          <w:szCs w:val="32"/>
        </w:rPr>
        <w:t>online platforms</w:t>
      </w:r>
    </w:p>
    <w:p w14:paraId="217352FC" w14:textId="77777777" w:rsidR="008B4F2B" w:rsidRPr="001C49FC" w:rsidRDefault="008B4F2B" w:rsidP="00A746F2">
      <w:pPr>
        <w:jc w:val="both"/>
        <w:rPr>
          <w:rFonts w:ascii="Avenir Book" w:hAnsi="Avenir Book" w:cs="Times New Roman"/>
          <w:color w:val="000000" w:themeColor="text1"/>
          <w:sz w:val="22"/>
          <w:szCs w:val="22"/>
        </w:rPr>
      </w:pPr>
    </w:p>
    <w:p w14:paraId="0796483D" w14:textId="2E9DA3A4" w:rsidR="00320B44" w:rsidRPr="001C49FC" w:rsidRDefault="00320B44" w:rsidP="00540BC0">
      <w:pPr>
        <w:pBdr>
          <w:bottom w:val="single" w:sz="4" w:space="1" w:color="auto"/>
        </w:pBdr>
        <w:jc w:val="center"/>
        <w:rPr>
          <w:rFonts w:ascii="Avenir Book" w:hAnsi="Avenir Book" w:cs="Times New Roman"/>
          <w:color w:val="000000" w:themeColor="text1"/>
          <w:sz w:val="22"/>
          <w:szCs w:val="22"/>
        </w:rPr>
      </w:pPr>
      <w:r w:rsidRPr="001C49FC">
        <w:rPr>
          <w:rFonts w:ascii="Avenir Book" w:hAnsi="Avenir Book" w:cs="Times New Roman"/>
          <w:i/>
          <w:color w:val="000000" w:themeColor="text1"/>
          <w:sz w:val="22"/>
          <w:szCs w:val="22"/>
        </w:rPr>
        <w:t>by Eleonora Rosati</w:t>
      </w:r>
      <w:r w:rsidRPr="001C49FC">
        <w:rPr>
          <w:rStyle w:val="FootnoteReference"/>
          <w:rFonts w:ascii="Avenir Book" w:hAnsi="Avenir Book" w:cs="Times New Roman"/>
          <w:color w:val="000000" w:themeColor="text1"/>
          <w:sz w:val="22"/>
          <w:szCs w:val="22"/>
        </w:rPr>
        <w:footnoteReference w:customMarkFollows="1" w:id="1"/>
        <w:t>*</w:t>
      </w:r>
    </w:p>
    <w:p w14:paraId="364C9BAD" w14:textId="77777777" w:rsidR="002068CC" w:rsidRDefault="002068CC" w:rsidP="002068CC">
      <w:pPr>
        <w:jc w:val="center"/>
        <w:rPr>
          <w:rFonts w:ascii="Avenir Book" w:hAnsi="Avenir Book" w:cs="Times New Roman"/>
          <w:color w:val="000000" w:themeColor="text1"/>
          <w:sz w:val="22"/>
          <w:szCs w:val="22"/>
        </w:rPr>
      </w:pPr>
    </w:p>
    <w:p w14:paraId="040D9167" w14:textId="43F2023C" w:rsidR="00A746F2" w:rsidRPr="002068CC" w:rsidRDefault="002068CC" w:rsidP="002068CC">
      <w:pPr>
        <w:jc w:val="center"/>
        <w:rPr>
          <w:rFonts w:ascii="Avenir Book" w:hAnsi="Avenir Book" w:cs="Times New Roman"/>
          <w:color w:val="000000" w:themeColor="text1"/>
          <w:sz w:val="20"/>
          <w:szCs w:val="20"/>
        </w:rPr>
      </w:pPr>
      <w:r w:rsidRPr="002068CC">
        <w:rPr>
          <w:rFonts w:ascii="Avenir Book" w:hAnsi="Avenir Book" w:cs="Times New Roman"/>
          <w:color w:val="000000" w:themeColor="text1"/>
          <w:sz w:val="20"/>
          <w:szCs w:val="20"/>
        </w:rPr>
        <w:t xml:space="preserve">(forthcoming in </w:t>
      </w:r>
      <w:r w:rsidRPr="002068CC">
        <w:rPr>
          <w:rFonts w:ascii="Avenir Book" w:hAnsi="Avenir Book" w:cs="Times New Roman"/>
          <w:i/>
          <w:color w:val="000000" w:themeColor="text1"/>
          <w:sz w:val="20"/>
          <w:szCs w:val="20"/>
        </w:rPr>
        <w:t>European Intellectual Property Review</w:t>
      </w:r>
      <w:r w:rsidRPr="002068CC">
        <w:rPr>
          <w:rFonts w:ascii="Avenir Book" w:hAnsi="Avenir Book" w:cs="Times New Roman"/>
          <w:color w:val="000000" w:themeColor="text1"/>
          <w:sz w:val="20"/>
          <w:szCs w:val="20"/>
        </w:rPr>
        <w:t>)</w:t>
      </w:r>
    </w:p>
    <w:p w14:paraId="3806D39B" w14:textId="77777777" w:rsidR="00540BC0" w:rsidRPr="001C49FC" w:rsidRDefault="00540BC0" w:rsidP="00A746F2">
      <w:pPr>
        <w:jc w:val="both"/>
        <w:rPr>
          <w:rFonts w:ascii="Avenir Book" w:hAnsi="Avenir Book" w:cs="Times New Roman"/>
          <w:color w:val="000000" w:themeColor="text1"/>
          <w:sz w:val="22"/>
          <w:szCs w:val="22"/>
        </w:rPr>
      </w:pPr>
    </w:p>
    <w:p w14:paraId="78F0C2A3" w14:textId="77777777" w:rsidR="00540BC0" w:rsidRPr="001C49FC" w:rsidRDefault="00540BC0" w:rsidP="00A746F2">
      <w:pPr>
        <w:jc w:val="both"/>
        <w:rPr>
          <w:rFonts w:ascii="Avenir Book" w:hAnsi="Avenir Book" w:cs="Times New Roman"/>
          <w:color w:val="000000" w:themeColor="text1"/>
          <w:sz w:val="22"/>
          <w:szCs w:val="22"/>
        </w:rPr>
      </w:pPr>
    </w:p>
    <w:p w14:paraId="22498646" w14:textId="66D087BA" w:rsidR="00540BC0" w:rsidRPr="001C49FC" w:rsidRDefault="00540BC0" w:rsidP="00540BC0">
      <w:pPr>
        <w:jc w:val="both"/>
        <w:rPr>
          <w:rFonts w:ascii="Avenir Book" w:hAnsi="Avenir Book" w:cs="Times New Roman"/>
          <w:bCs/>
          <w:i/>
          <w:color w:val="000000" w:themeColor="text1"/>
          <w:sz w:val="20"/>
          <w:szCs w:val="20"/>
        </w:rPr>
      </w:pPr>
      <w:r w:rsidRPr="001C49FC">
        <w:rPr>
          <w:rFonts w:ascii="Avenir Book" w:hAnsi="Avenir Book" w:cs="Times New Roman"/>
          <w:i/>
          <w:color w:val="000000" w:themeColor="text1"/>
          <w:sz w:val="20"/>
          <w:szCs w:val="20"/>
        </w:rPr>
        <w:t xml:space="preserve">In its 2017 judgment in </w:t>
      </w:r>
      <w:r w:rsidRPr="001C49FC">
        <w:rPr>
          <w:rFonts w:ascii="Avenir Book" w:hAnsi="Avenir Book" w:cs="Times New Roman"/>
          <w:bCs/>
          <w:color w:val="000000" w:themeColor="text1"/>
          <w:sz w:val="20"/>
          <w:szCs w:val="20"/>
        </w:rPr>
        <w:t>The Pirate Bay</w:t>
      </w:r>
      <w:r w:rsidR="005F1E8B" w:rsidRPr="001C49FC">
        <w:rPr>
          <w:rFonts w:ascii="Avenir Book" w:hAnsi="Avenir Book" w:cs="Times New Roman"/>
          <w:bCs/>
          <w:color w:val="000000" w:themeColor="text1"/>
          <w:sz w:val="20"/>
          <w:szCs w:val="20"/>
        </w:rPr>
        <w:t xml:space="preserve"> (C-610/15)</w:t>
      </w:r>
      <w:r w:rsidRPr="001C49FC">
        <w:rPr>
          <w:rFonts w:ascii="Avenir Book" w:hAnsi="Avenir Book" w:cs="Times New Roman"/>
          <w:bCs/>
          <w:i/>
          <w:color w:val="000000" w:themeColor="text1"/>
          <w:sz w:val="20"/>
          <w:szCs w:val="20"/>
        </w:rPr>
        <w:t xml:space="preserve"> the CJEU </w:t>
      </w:r>
      <w:r w:rsidRPr="001C49FC">
        <w:rPr>
          <w:rFonts w:ascii="Avenir Book" w:hAnsi="Avenir Book"/>
          <w:bCs/>
          <w:i/>
          <w:color w:val="000000" w:themeColor="text1"/>
          <w:sz w:val="20"/>
          <w:szCs w:val="20"/>
        </w:rPr>
        <w:t xml:space="preserve">developed further its construction of the right of communication to the public within Article 3(1) of </w:t>
      </w:r>
      <w:r w:rsidR="009C719F" w:rsidRPr="001C49FC">
        <w:rPr>
          <w:rFonts w:ascii="Avenir Book" w:hAnsi="Avenir Book"/>
          <w:bCs/>
          <w:i/>
          <w:color w:val="000000" w:themeColor="text1"/>
          <w:sz w:val="20"/>
          <w:szCs w:val="20"/>
        </w:rPr>
        <w:t>Directive 2001/29 (</w:t>
      </w:r>
      <w:r w:rsidRPr="001C49FC">
        <w:rPr>
          <w:rFonts w:ascii="Avenir Book" w:hAnsi="Avenir Book"/>
          <w:bCs/>
          <w:i/>
          <w:color w:val="000000" w:themeColor="text1"/>
          <w:sz w:val="20"/>
          <w:szCs w:val="20"/>
        </w:rPr>
        <w:t>the InfoSoc Directive</w:t>
      </w:r>
      <w:r w:rsidR="009C719F" w:rsidRPr="001C49FC">
        <w:rPr>
          <w:rFonts w:ascii="Avenir Book" w:hAnsi="Avenir Book"/>
          <w:bCs/>
          <w:i/>
          <w:color w:val="000000" w:themeColor="text1"/>
          <w:sz w:val="20"/>
          <w:szCs w:val="20"/>
        </w:rPr>
        <w:t>)</w:t>
      </w:r>
      <w:r w:rsidRPr="001C49FC">
        <w:rPr>
          <w:rFonts w:ascii="Avenir Book" w:hAnsi="Avenir Book" w:cs="Times New Roman"/>
          <w:bCs/>
          <w:i/>
          <w:color w:val="000000" w:themeColor="text1"/>
          <w:sz w:val="20"/>
          <w:szCs w:val="20"/>
        </w:rPr>
        <w:t xml:space="preserve">, and </w:t>
      </w:r>
      <w:r w:rsidRPr="001C49FC">
        <w:rPr>
          <w:rFonts w:ascii="Avenir Book" w:hAnsi="Avenir Book"/>
          <w:bCs/>
          <w:i/>
          <w:color w:val="000000" w:themeColor="text1"/>
          <w:sz w:val="20"/>
          <w:szCs w:val="20"/>
        </w:rPr>
        <w:t xml:space="preserve">clarified under what conditions the operators of an unlicensed online platform are potentially liable for copyright infringement. </w:t>
      </w:r>
      <w:r w:rsidRPr="001C49FC">
        <w:rPr>
          <w:rFonts w:ascii="Avenir Book" w:hAnsi="Avenir Book"/>
          <w:i/>
          <w:color w:val="000000" w:themeColor="text1"/>
          <w:sz w:val="20"/>
          <w:szCs w:val="20"/>
        </w:rPr>
        <w:t xml:space="preserve">The Court held that the operators of </w:t>
      </w:r>
      <w:r w:rsidR="00B6525D" w:rsidRPr="001C49FC">
        <w:rPr>
          <w:rFonts w:ascii="Avenir Book" w:hAnsi="Avenir Book"/>
          <w:i/>
          <w:color w:val="000000" w:themeColor="text1"/>
          <w:sz w:val="20"/>
          <w:szCs w:val="20"/>
        </w:rPr>
        <w:t>a</w:t>
      </w:r>
      <w:r w:rsidRPr="001C49FC">
        <w:rPr>
          <w:rFonts w:ascii="Avenir Book" w:hAnsi="Avenir Book"/>
          <w:i/>
          <w:color w:val="000000" w:themeColor="text1"/>
          <w:sz w:val="20"/>
          <w:szCs w:val="20"/>
        </w:rPr>
        <w:t xml:space="preserve"> platform that make</w:t>
      </w:r>
      <w:r w:rsidR="00B6525D" w:rsidRPr="001C49FC">
        <w:rPr>
          <w:rFonts w:ascii="Avenir Book" w:hAnsi="Avenir Book"/>
          <w:i/>
          <w:color w:val="000000" w:themeColor="text1"/>
          <w:sz w:val="20"/>
          <w:szCs w:val="20"/>
        </w:rPr>
        <w:t>s</w:t>
      </w:r>
      <w:r w:rsidRPr="001C49FC">
        <w:rPr>
          <w:rFonts w:ascii="Avenir Book" w:hAnsi="Avenir Book"/>
          <w:i/>
          <w:color w:val="000000" w:themeColor="text1"/>
          <w:sz w:val="20"/>
          <w:szCs w:val="20"/>
        </w:rPr>
        <w:t xml:space="preserve"> available to the public third-party uploaded copyright content and provide</w:t>
      </w:r>
      <w:r w:rsidR="00B6525D" w:rsidRPr="001C49FC">
        <w:rPr>
          <w:rFonts w:ascii="Avenir Book" w:hAnsi="Avenir Book"/>
          <w:i/>
          <w:color w:val="000000" w:themeColor="text1"/>
          <w:sz w:val="20"/>
          <w:szCs w:val="20"/>
        </w:rPr>
        <w:t>s</w:t>
      </w:r>
      <w:r w:rsidRPr="001C49FC">
        <w:rPr>
          <w:rFonts w:ascii="Avenir Book" w:hAnsi="Avenir Book"/>
          <w:i/>
          <w:color w:val="000000" w:themeColor="text1"/>
          <w:sz w:val="20"/>
          <w:szCs w:val="20"/>
        </w:rPr>
        <w:t xml:space="preserve"> functions such as indexing, categorization, deletion and filtering of content may be liable for copyright infringement</w:t>
      </w:r>
      <w:r w:rsidR="00A324FE">
        <w:rPr>
          <w:rFonts w:ascii="Avenir Book" w:hAnsi="Avenir Book"/>
          <w:i/>
          <w:color w:val="000000" w:themeColor="text1"/>
          <w:sz w:val="20"/>
          <w:szCs w:val="20"/>
        </w:rPr>
        <w:t>,</w:t>
      </w:r>
      <w:r w:rsidRPr="001C49FC">
        <w:rPr>
          <w:rFonts w:ascii="Avenir Book" w:hAnsi="Avenir Book"/>
          <w:i/>
          <w:color w:val="000000" w:themeColor="text1"/>
          <w:sz w:val="20"/>
          <w:szCs w:val="20"/>
        </w:rPr>
        <w:t xml:space="preserve"> jointly with users of the platform. For a finding of liability it is not required that the operators possess actual knowledge of the infringing character of the content uploaded by users.</w:t>
      </w:r>
    </w:p>
    <w:p w14:paraId="6A0D74E2" w14:textId="17BAD93D" w:rsidR="00540BC0" w:rsidRPr="001C49FC" w:rsidRDefault="00540BC0" w:rsidP="00540BC0">
      <w:pPr>
        <w:pStyle w:val="ListParagraph"/>
        <w:numPr>
          <w:ilvl w:val="0"/>
          <w:numId w:val="0"/>
        </w:numPr>
        <w:pBdr>
          <w:bottom w:val="none" w:sz="0" w:space="0" w:color="auto"/>
        </w:pBdr>
        <w:rPr>
          <w:b w:val="0"/>
          <w:i/>
          <w:sz w:val="20"/>
          <w:szCs w:val="20"/>
        </w:rPr>
      </w:pPr>
      <w:r w:rsidRPr="001C49FC">
        <w:rPr>
          <w:b w:val="0"/>
          <w:i/>
          <w:sz w:val="20"/>
          <w:szCs w:val="20"/>
        </w:rPr>
        <w:t>The decision encompasses different types of platforms and operators with different degree</w:t>
      </w:r>
      <w:r w:rsidR="00BB5740" w:rsidRPr="001C49FC">
        <w:rPr>
          <w:b w:val="0"/>
          <w:i/>
          <w:sz w:val="20"/>
          <w:szCs w:val="20"/>
        </w:rPr>
        <w:t>s</w:t>
      </w:r>
      <w:r w:rsidRPr="001C49FC">
        <w:rPr>
          <w:b w:val="0"/>
          <w:i/>
          <w:sz w:val="20"/>
          <w:szCs w:val="20"/>
        </w:rPr>
        <w:t xml:space="preserve"> of knowledge of the character – lawful or unlawful – of the content made available therein. It calls into consideration the relationship between liability for (harmonized) primary copyright infringement and (unharmonized) secondary copyright infringement.</w:t>
      </w:r>
      <w:r w:rsidR="006E240A" w:rsidRPr="001C49FC">
        <w:rPr>
          <w:b w:val="0"/>
          <w:i/>
          <w:sz w:val="20"/>
          <w:szCs w:val="20"/>
        </w:rPr>
        <w:t xml:space="preserve"> I</w:t>
      </w:r>
      <w:r w:rsidRPr="001C49FC">
        <w:rPr>
          <w:b w:val="0"/>
          <w:i/>
          <w:sz w:val="20"/>
          <w:szCs w:val="20"/>
        </w:rPr>
        <w:t xml:space="preserve">n relation to the current EU policy discussion </w:t>
      </w:r>
      <w:r w:rsidR="00EA4366" w:rsidRPr="001C49FC">
        <w:rPr>
          <w:b w:val="0"/>
          <w:i/>
          <w:sz w:val="20"/>
          <w:szCs w:val="20"/>
        </w:rPr>
        <w:t>of</w:t>
      </w:r>
      <w:r w:rsidRPr="001C49FC">
        <w:rPr>
          <w:b w:val="0"/>
          <w:i/>
          <w:sz w:val="20"/>
          <w:szCs w:val="20"/>
        </w:rPr>
        <w:t xml:space="preserve"> the so called ‘value gap proposal’, the judgment </w:t>
      </w:r>
      <w:r w:rsidR="006E240A" w:rsidRPr="001C49FC">
        <w:rPr>
          <w:b w:val="0"/>
          <w:i/>
          <w:sz w:val="20"/>
          <w:szCs w:val="20"/>
        </w:rPr>
        <w:t>reinforces</w:t>
      </w:r>
      <w:r w:rsidRPr="001C49FC">
        <w:rPr>
          <w:b w:val="0"/>
          <w:i/>
          <w:sz w:val="20"/>
          <w:szCs w:val="20"/>
        </w:rPr>
        <w:t xml:space="preserve"> the</w:t>
      </w:r>
      <w:r w:rsidR="006E240A" w:rsidRPr="001C49FC">
        <w:rPr>
          <w:b w:val="0"/>
          <w:i/>
          <w:sz w:val="20"/>
          <w:szCs w:val="20"/>
        </w:rPr>
        <w:t xml:space="preserve"> </w:t>
      </w:r>
      <w:r w:rsidRPr="001C49FC">
        <w:rPr>
          <w:b w:val="0"/>
          <w:i/>
          <w:sz w:val="20"/>
          <w:szCs w:val="20"/>
        </w:rPr>
        <w:t>position of the European Commission, especially the basic idea that the making available, by a hosting provider, of third-p</w:t>
      </w:r>
      <w:r w:rsidR="00EA4366" w:rsidRPr="001C49FC">
        <w:rPr>
          <w:b w:val="0"/>
          <w:i/>
          <w:sz w:val="20"/>
          <w:szCs w:val="20"/>
        </w:rPr>
        <w:t>arty uploaded copyright content</w:t>
      </w:r>
      <w:r w:rsidRPr="001C49FC">
        <w:rPr>
          <w:b w:val="0"/>
          <w:i/>
          <w:sz w:val="20"/>
          <w:szCs w:val="20"/>
        </w:rPr>
        <w:t xml:space="preserve"> may fall within the scope of the right of communication to the public. </w:t>
      </w:r>
      <w:r w:rsidR="006E240A" w:rsidRPr="001C49FC">
        <w:rPr>
          <w:b w:val="0"/>
          <w:i/>
          <w:sz w:val="20"/>
          <w:szCs w:val="20"/>
        </w:rPr>
        <w:t xml:space="preserve">The Court’s reasoning </w:t>
      </w:r>
      <w:r w:rsidRPr="001C49FC">
        <w:rPr>
          <w:b w:val="0"/>
          <w:i/>
          <w:sz w:val="20"/>
          <w:szCs w:val="20"/>
        </w:rPr>
        <w:t xml:space="preserve">also </w:t>
      </w:r>
      <w:r w:rsidR="006E240A" w:rsidRPr="001C49FC">
        <w:rPr>
          <w:b w:val="0"/>
          <w:i/>
          <w:sz w:val="20"/>
          <w:szCs w:val="20"/>
        </w:rPr>
        <w:t>prompts a reflection as to</w:t>
      </w:r>
      <w:r w:rsidRPr="001C49FC">
        <w:rPr>
          <w:b w:val="0"/>
          <w:i/>
          <w:sz w:val="20"/>
          <w:szCs w:val="20"/>
        </w:rPr>
        <w:t xml:space="preserve"> whether a hosting provider that is primarily responsible for acts of communication to the public is actually eligible for the safe harbour within Article 14 of </w:t>
      </w:r>
      <w:r w:rsidR="009C719F" w:rsidRPr="001C49FC">
        <w:rPr>
          <w:b w:val="0"/>
          <w:i/>
          <w:sz w:val="20"/>
          <w:szCs w:val="20"/>
        </w:rPr>
        <w:t>Directive 2000/31 (</w:t>
      </w:r>
      <w:r w:rsidRPr="001C49FC">
        <w:rPr>
          <w:b w:val="0"/>
          <w:i/>
          <w:sz w:val="20"/>
          <w:szCs w:val="20"/>
        </w:rPr>
        <w:t>the E-Commerce Directive</w:t>
      </w:r>
      <w:r w:rsidR="009C719F" w:rsidRPr="001C49FC">
        <w:rPr>
          <w:b w:val="0"/>
          <w:i/>
          <w:sz w:val="20"/>
          <w:szCs w:val="20"/>
        </w:rPr>
        <w:t>)</w:t>
      </w:r>
      <w:r w:rsidRPr="001C49FC">
        <w:rPr>
          <w:b w:val="0"/>
          <w:i/>
          <w:sz w:val="20"/>
          <w:szCs w:val="20"/>
        </w:rPr>
        <w:t>.</w:t>
      </w:r>
    </w:p>
    <w:p w14:paraId="1A1FBB2A" w14:textId="77777777" w:rsidR="00540BC0" w:rsidRPr="001C49FC" w:rsidRDefault="00540BC0" w:rsidP="00540BC0">
      <w:pPr>
        <w:pStyle w:val="ListParagraph"/>
        <w:numPr>
          <w:ilvl w:val="0"/>
          <w:numId w:val="0"/>
        </w:numPr>
        <w:pBdr>
          <w:bottom w:val="none" w:sz="0" w:space="0" w:color="auto"/>
        </w:pBdr>
        <w:rPr>
          <w:b w:val="0"/>
          <w:i/>
        </w:rPr>
      </w:pPr>
    </w:p>
    <w:p w14:paraId="4E5BEFAE" w14:textId="77777777" w:rsidR="00540BC0" w:rsidRPr="001C49FC" w:rsidRDefault="00540BC0" w:rsidP="00540BC0">
      <w:pPr>
        <w:pStyle w:val="ListParagraph"/>
        <w:numPr>
          <w:ilvl w:val="0"/>
          <w:numId w:val="0"/>
        </w:numPr>
        <w:pBdr>
          <w:bottom w:val="none" w:sz="0" w:space="0" w:color="auto"/>
        </w:pBdr>
        <w:rPr>
          <w:b w:val="0"/>
          <w:i/>
        </w:rPr>
      </w:pPr>
    </w:p>
    <w:p w14:paraId="0B1C6A76" w14:textId="77777777" w:rsidR="006E240A" w:rsidRPr="001C49FC" w:rsidRDefault="006E240A" w:rsidP="00540BC0">
      <w:pPr>
        <w:pStyle w:val="ListParagraph"/>
        <w:numPr>
          <w:ilvl w:val="0"/>
          <w:numId w:val="0"/>
        </w:numPr>
        <w:pBdr>
          <w:bottom w:val="none" w:sz="0" w:space="0" w:color="auto"/>
        </w:pBdr>
        <w:rPr>
          <w:b w:val="0"/>
          <w:i/>
        </w:rPr>
      </w:pPr>
    </w:p>
    <w:p w14:paraId="58B8C4C7" w14:textId="77777777" w:rsidR="008B103B" w:rsidRPr="001C49FC" w:rsidRDefault="001415CE">
      <w:pPr>
        <w:pStyle w:val="TOC1"/>
        <w:tabs>
          <w:tab w:val="right" w:leader="dot" w:pos="9622"/>
        </w:tabs>
        <w:rPr>
          <w:rFonts w:ascii="Avenir Book" w:hAnsi="Avenir Book"/>
          <w:b/>
          <w:noProof/>
          <w:color w:val="000000" w:themeColor="text1"/>
          <w:sz w:val="20"/>
          <w:szCs w:val="20"/>
          <w:lang w:eastAsia="ja-JP"/>
        </w:rPr>
      </w:pPr>
      <w:r w:rsidRPr="001C49FC">
        <w:rPr>
          <w:rFonts w:ascii="Avenir Book" w:hAnsi="Avenir Book" w:cs="Times New Roman"/>
          <w:b/>
          <w:color w:val="000000" w:themeColor="text1"/>
          <w:sz w:val="20"/>
          <w:szCs w:val="20"/>
        </w:rPr>
        <w:fldChar w:fldCharType="begin"/>
      </w:r>
      <w:r w:rsidRPr="001C49FC">
        <w:rPr>
          <w:rFonts w:ascii="Avenir Book" w:hAnsi="Avenir Book" w:cs="Times New Roman"/>
          <w:b/>
          <w:color w:val="000000" w:themeColor="text1"/>
          <w:sz w:val="20"/>
          <w:szCs w:val="20"/>
        </w:rPr>
        <w:instrText xml:space="preserve"> TOC \o "1-3" </w:instrText>
      </w:r>
      <w:r w:rsidRPr="001C49FC">
        <w:rPr>
          <w:rFonts w:ascii="Avenir Book" w:hAnsi="Avenir Book" w:cs="Times New Roman"/>
          <w:b/>
          <w:color w:val="000000" w:themeColor="text1"/>
          <w:sz w:val="20"/>
          <w:szCs w:val="20"/>
        </w:rPr>
        <w:fldChar w:fldCharType="separate"/>
      </w:r>
      <w:r w:rsidR="008B103B" w:rsidRPr="001C49FC">
        <w:rPr>
          <w:rFonts w:ascii="Avenir Book" w:hAnsi="Avenir Book"/>
          <w:b/>
          <w:noProof/>
          <w:color w:val="000000" w:themeColor="text1"/>
          <w:sz w:val="20"/>
          <w:szCs w:val="20"/>
        </w:rPr>
        <w:t>Introduction</w:t>
      </w:r>
      <w:r w:rsidR="008B103B" w:rsidRPr="001C49FC">
        <w:rPr>
          <w:rFonts w:ascii="Avenir Book" w:hAnsi="Avenir Book"/>
          <w:b/>
          <w:noProof/>
          <w:color w:val="000000" w:themeColor="text1"/>
          <w:sz w:val="20"/>
          <w:szCs w:val="20"/>
        </w:rPr>
        <w:tab/>
      </w:r>
      <w:r w:rsidR="008B103B" w:rsidRPr="001C49FC">
        <w:rPr>
          <w:rFonts w:ascii="Avenir Book" w:hAnsi="Avenir Book"/>
          <w:b/>
          <w:noProof/>
          <w:color w:val="000000" w:themeColor="text1"/>
          <w:sz w:val="20"/>
          <w:szCs w:val="20"/>
        </w:rPr>
        <w:fldChar w:fldCharType="begin"/>
      </w:r>
      <w:r w:rsidR="008B103B" w:rsidRPr="001C49FC">
        <w:rPr>
          <w:rFonts w:ascii="Avenir Book" w:hAnsi="Avenir Book"/>
          <w:b/>
          <w:noProof/>
          <w:color w:val="000000" w:themeColor="text1"/>
          <w:sz w:val="20"/>
          <w:szCs w:val="20"/>
        </w:rPr>
        <w:instrText xml:space="preserve"> PAGEREF _Toc361053680 \h </w:instrText>
      </w:r>
      <w:r w:rsidR="008B103B" w:rsidRPr="001C49FC">
        <w:rPr>
          <w:rFonts w:ascii="Avenir Book" w:hAnsi="Avenir Book"/>
          <w:b/>
          <w:noProof/>
          <w:color w:val="000000" w:themeColor="text1"/>
          <w:sz w:val="20"/>
          <w:szCs w:val="20"/>
        </w:rPr>
      </w:r>
      <w:r w:rsidR="008B103B"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2</w:t>
      </w:r>
      <w:r w:rsidR="008B103B" w:rsidRPr="001C49FC">
        <w:rPr>
          <w:rFonts w:ascii="Avenir Book" w:hAnsi="Avenir Book"/>
          <w:b/>
          <w:noProof/>
          <w:color w:val="000000" w:themeColor="text1"/>
          <w:sz w:val="20"/>
          <w:szCs w:val="20"/>
        </w:rPr>
        <w:fldChar w:fldCharType="end"/>
      </w:r>
    </w:p>
    <w:p w14:paraId="4361E12E" w14:textId="1EBE66F5" w:rsidR="008B103B" w:rsidRPr="001C49FC" w:rsidRDefault="008B103B">
      <w:pPr>
        <w:pStyle w:val="TOC1"/>
        <w:tabs>
          <w:tab w:val="left" w:pos="44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1.</w:t>
      </w:r>
      <w:r w:rsidRPr="001C49FC">
        <w:rPr>
          <w:rFonts w:ascii="Avenir Book" w:hAnsi="Avenir Book"/>
          <w:b/>
          <w:noProof/>
          <w:color w:val="000000" w:themeColor="text1"/>
          <w:sz w:val="20"/>
          <w:szCs w:val="20"/>
          <w:lang w:eastAsia="ja-JP"/>
        </w:rPr>
        <w:tab/>
      </w:r>
      <w:r w:rsidRPr="001C49FC">
        <w:rPr>
          <w:rFonts w:ascii="Avenir Book" w:hAnsi="Avenir Book"/>
          <w:b/>
          <w:noProof/>
          <w:color w:val="000000" w:themeColor="text1"/>
          <w:sz w:val="20"/>
          <w:szCs w:val="20"/>
        </w:rPr>
        <w:t xml:space="preserve">The right of communication to the public in the InfoSoc Directive and CJEU case law until </w:t>
      </w:r>
      <w:r w:rsidRPr="001C49FC">
        <w:rPr>
          <w:rFonts w:ascii="Avenir Book" w:hAnsi="Avenir Book"/>
          <w:b/>
          <w:i/>
          <w:noProof/>
          <w:color w:val="000000" w:themeColor="text1"/>
          <w:sz w:val="20"/>
          <w:szCs w:val="20"/>
        </w:rPr>
        <w:t>The Pirate Bay</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_Toc361053681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3</w:t>
      </w:r>
      <w:r w:rsidRPr="001C49FC">
        <w:rPr>
          <w:rFonts w:ascii="Avenir Book" w:hAnsi="Avenir Book"/>
          <w:b/>
          <w:noProof/>
          <w:color w:val="000000" w:themeColor="text1"/>
          <w:sz w:val="20"/>
          <w:szCs w:val="20"/>
        </w:rPr>
        <w:fldChar w:fldCharType="end"/>
      </w:r>
    </w:p>
    <w:p w14:paraId="1D088837" w14:textId="77777777" w:rsidR="008B103B" w:rsidRPr="001C49FC" w:rsidRDefault="008B103B">
      <w:pPr>
        <w:pStyle w:val="TOC2"/>
        <w:tabs>
          <w:tab w:val="left" w:pos="88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shd w:val="clear" w:color="auto" w:fill="FFFFFF"/>
        </w:rPr>
        <w:t>1.1.</w:t>
      </w:r>
      <w:r w:rsidRPr="001C49FC">
        <w:rPr>
          <w:rFonts w:ascii="Avenir Book" w:hAnsi="Avenir Book"/>
          <w:b/>
          <w:noProof/>
          <w:color w:val="000000" w:themeColor="text1"/>
          <w:sz w:val="20"/>
          <w:szCs w:val="20"/>
          <w:lang w:eastAsia="ja-JP"/>
        </w:rPr>
        <w:tab/>
      </w:r>
      <w:r w:rsidRPr="001C49FC">
        <w:rPr>
          <w:rFonts w:ascii="Avenir Book" w:hAnsi="Avenir Book"/>
          <w:b/>
          <w:noProof/>
          <w:color w:val="000000" w:themeColor="text1"/>
          <w:sz w:val="20"/>
          <w:szCs w:val="20"/>
          <w:shd w:val="clear" w:color="auto" w:fill="FFFFFF"/>
        </w:rPr>
        <w:t>Requirements and criteria under Article 3(1) of the InfoSoc Directive</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_Toc361053682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3</w:t>
      </w:r>
      <w:r w:rsidRPr="001C49FC">
        <w:rPr>
          <w:rFonts w:ascii="Avenir Book" w:hAnsi="Avenir Book"/>
          <w:b/>
          <w:noProof/>
          <w:color w:val="000000" w:themeColor="text1"/>
          <w:sz w:val="20"/>
          <w:szCs w:val="20"/>
        </w:rPr>
        <w:fldChar w:fldCharType="end"/>
      </w:r>
    </w:p>
    <w:p w14:paraId="6B5E6C09" w14:textId="6CDC49A1" w:rsidR="008B103B" w:rsidRPr="001C49FC" w:rsidRDefault="008B103B">
      <w:pPr>
        <w:pStyle w:val="TOC2"/>
        <w:tabs>
          <w:tab w:val="left" w:pos="88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1.2.</w:t>
      </w:r>
      <w:r w:rsidRPr="001C49FC">
        <w:rPr>
          <w:rFonts w:ascii="Avenir Book" w:hAnsi="Avenir Book"/>
          <w:b/>
          <w:noProof/>
          <w:color w:val="000000" w:themeColor="text1"/>
          <w:sz w:val="20"/>
          <w:szCs w:val="20"/>
          <w:lang w:eastAsia="ja-JP"/>
        </w:rPr>
        <w:tab/>
      </w:r>
      <w:r w:rsidR="00A324FE">
        <w:rPr>
          <w:rFonts w:ascii="Avenir Book" w:hAnsi="Avenir Book"/>
          <w:b/>
          <w:noProof/>
          <w:color w:val="000000" w:themeColor="text1"/>
          <w:sz w:val="20"/>
          <w:szCs w:val="20"/>
        </w:rPr>
        <w:t>T</w:t>
      </w:r>
      <w:r w:rsidRPr="001C49FC">
        <w:rPr>
          <w:rFonts w:ascii="Avenir Book" w:hAnsi="Avenir Book"/>
          <w:b/>
          <w:noProof/>
          <w:color w:val="000000" w:themeColor="text1"/>
          <w:sz w:val="20"/>
          <w:szCs w:val="20"/>
        </w:rPr>
        <w:t>he notions of ‘indispensable intervention’ and ‘profit’</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_Toc361053683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4</w:t>
      </w:r>
      <w:r w:rsidRPr="001C49FC">
        <w:rPr>
          <w:rFonts w:ascii="Avenir Book" w:hAnsi="Avenir Book"/>
          <w:b/>
          <w:noProof/>
          <w:color w:val="000000" w:themeColor="text1"/>
          <w:sz w:val="20"/>
          <w:szCs w:val="20"/>
        </w:rPr>
        <w:fldChar w:fldCharType="end"/>
      </w:r>
    </w:p>
    <w:p w14:paraId="20638F1B" w14:textId="77777777" w:rsidR="008B103B" w:rsidRPr="001C49FC" w:rsidRDefault="008B103B">
      <w:pPr>
        <w:pStyle w:val="TOC1"/>
        <w:tabs>
          <w:tab w:val="left" w:pos="44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2.</w:t>
      </w:r>
      <w:r w:rsidRPr="001C49FC">
        <w:rPr>
          <w:rFonts w:ascii="Avenir Book" w:hAnsi="Avenir Book"/>
          <w:b/>
          <w:noProof/>
          <w:color w:val="000000" w:themeColor="text1"/>
          <w:sz w:val="20"/>
          <w:szCs w:val="20"/>
          <w:lang w:eastAsia="ja-JP"/>
        </w:rPr>
        <w:tab/>
      </w:r>
      <w:r w:rsidRPr="001C49FC">
        <w:rPr>
          <w:rFonts w:ascii="Avenir Book" w:hAnsi="Avenir Book"/>
          <w:b/>
          <w:noProof/>
          <w:color w:val="000000" w:themeColor="text1"/>
          <w:sz w:val="20"/>
          <w:szCs w:val="20"/>
        </w:rPr>
        <w:t xml:space="preserve">The </w:t>
      </w:r>
      <w:r w:rsidRPr="001C49FC">
        <w:rPr>
          <w:rFonts w:ascii="Avenir Book" w:hAnsi="Avenir Book"/>
          <w:b/>
          <w:i/>
          <w:noProof/>
          <w:color w:val="000000" w:themeColor="text1"/>
          <w:sz w:val="20"/>
          <w:szCs w:val="20"/>
        </w:rPr>
        <w:t>Pirate Bay</w:t>
      </w:r>
      <w:r w:rsidRPr="001C49FC">
        <w:rPr>
          <w:rFonts w:ascii="Avenir Book" w:hAnsi="Avenir Book"/>
          <w:b/>
          <w:noProof/>
          <w:color w:val="000000" w:themeColor="text1"/>
          <w:sz w:val="20"/>
          <w:szCs w:val="20"/>
        </w:rPr>
        <w:t xml:space="preserve"> judgment as an evolution and consolidation of earlier case law</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_Toc361053684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6</w:t>
      </w:r>
      <w:r w:rsidRPr="001C49FC">
        <w:rPr>
          <w:rFonts w:ascii="Avenir Book" w:hAnsi="Avenir Book"/>
          <w:b/>
          <w:noProof/>
          <w:color w:val="000000" w:themeColor="text1"/>
          <w:sz w:val="20"/>
          <w:szCs w:val="20"/>
        </w:rPr>
        <w:fldChar w:fldCharType="end"/>
      </w:r>
    </w:p>
    <w:p w14:paraId="2675BFC6" w14:textId="77777777" w:rsidR="008B103B" w:rsidRPr="001C49FC" w:rsidRDefault="008B103B">
      <w:pPr>
        <w:pStyle w:val="TOC2"/>
        <w:tabs>
          <w:tab w:val="left" w:pos="88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2.1.</w:t>
      </w:r>
      <w:r w:rsidRPr="001C49FC">
        <w:rPr>
          <w:rFonts w:ascii="Avenir Book" w:hAnsi="Avenir Book"/>
          <w:b/>
          <w:noProof/>
          <w:color w:val="000000" w:themeColor="text1"/>
          <w:sz w:val="20"/>
          <w:szCs w:val="20"/>
          <w:lang w:eastAsia="ja-JP"/>
        </w:rPr>
        <w:tab/>
      </w:r>
      <w:r w:rsidRPr="001C49FC">
        <w:rPr>
          <w:rFonts w:ascii="Avenir Book" w:hAnsi="Avenir Book"/>
          <w:b/>
          <w:noProof/>
          <w:color w:val="000000" w:themeColor="text1"/>
          <w:sz w:val="20"/>
          <w:szCs w:val="20"/>
        </w:rPr>
        <w:t>The AG Opinion</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_Toc361053685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6</w:t>
      </w:r>
      <w:r w:rsidRPr="001C49FC">
        <w:rPr>
          <w:rFonts w:ascii="Avenir Book" w:hAnsi="Avenir Book"/>
          <w:b/>
          <w:noProof/>
          <w:color w:val="000000" w:themeColor="text1"/>
          <w:sz w:val="20"/>
          <w:szCs w:val="20"/>
        </w:rPr>
        <w:fldChar w:fldCharType="end"/>
      </w:r>
    </w:p>
    <w:p w14:paraId="0E4AD4EB" w14:textId="77777777" w:rsidR="008B103B" w:rsidRPr="001C49FC" w:rsidRDefault="008B103B">
      <w:pPr>
        <w:pStyle w:val="TOC2"/>
        <w:tabs>
          <w:tab w:val="left" w:pos="88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2.2.</w:t>
      </w:r>
      <w:r w:rsidRPr="001C49FC">
        <w:rPr>
          <w:rFonts w:ascii="Avenir Book" w:hAnsi="Avenir Book"/>
          <w:b/>
          <w:noProof/>
          <w:color w:val="000000" w:themeColor="text1"/>
          <w:sz w:val="20"/>
          <w:szCs w:val="20"/>
          <w:lang w:eastAsia="ja-JP"/>
        </w:rPr>
        <w:tab/>
      </w:r>
      <w:r w:rsidRPr="001C49FC">
        <w:rPr>
          <w:rFonts w:ascii="Avenir Book" w:hAnsi="Avenir Book"/>
          <w:b/>
          <w:noProof/>
          <w:color w:val="000000" w:themeColor="text1"/>
          <w:sz w:val="20"/>
          <w:szCs w:val="20"/>
        </w:rPr>
        <w:t>The CJEU decision</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_Toc361053686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8</w:t>
      </w:r>
      <w:r w:rsidRPr="001C49FC">
        <w:rPr>
          <w:rFonts w:ascii="Avenir Book" w:hAnsi="Avenir Book"/>
          <w:b/>
          <w:noProof/>
          <w:color w:val="000000" w:themeColor="text1"/>
          <w:sz w:val="20"/>
          <w:szCs w:val="20"/>
        </w:rPr>
        <w:fldChar w:fldCharType="end"/>
      </w:r>
    </w:p>
    <w:p w14:paraId="67D6E182" w14:textId="77777777" w:rsidR="008B103B" w:rsidRPr="001C49FC" w:rsidRDefault="008B103B">
      <w:pPr>
        <w:pStyle w:val="TOC1"/>
        <w:tabs>
          <w:tab w:val="left" w:pos="440"/>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3.</w:t>
      </w:r>
      <w:r w:rsidRPr="001C49FC">
        <w:rPr>
          <w:rFonts w:ascii="Avenir Book" w:hAnsi="Avenir Book"/>
          <w:b/>
          <w:noProof/>
          <w:color w:val="000000" w:themeColor="text1"/>
          <w:sz w:val="20"/>
          <w:szCs w:val="20"/>
          <w:lang w:eastAsia="ja-JP"/>
        </w:rPr>
        <w:tab/>
      </w:r>
      <w:r w:rsidRPr="001C49FC">
        <w:rPr>
          <w:rFonts w:ascii="Avenir Book" w:hAnsi="Avenir Book"/>
          <w:b/>
          <w:noProof/>
          <w:color w:val="000000" w:themeColor="text1"/>
          <w:sz w:val="20"/>
          <w:szCs w:val="20"/>
        </w:rPr>
        <w:t xml:space="preserve">After </w:t>
      </w:r>
      <w:r w:rsidRPr="001C49FC">
        <w:rPr>
          <w:rFonts w:ascii="Avenir Book" w:hAnsi="Avenir Book"/>
          <w:b/>
          <w:i/>
          <w:noProof/>
          <w:color w:val="000000" w:themeColor="text1"/>
          <w:sz w:val="20"/>
          <w:szCs w:val="20"/>
        </w:rPr>
        <w:t>The Pirate Bay</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_Toc361053687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11</w:t>
      </w:r>
      <w:r w:rsidRPr="001C49FC">
        <w:rPr>
          <w:rFonts w:ascii="Avenir Book" w:hAnsi="Avenir Book"/>
          <w:b/>
          <w:noProof/>
          <w:color w:val="000000" w:themeColor="text1"/>
          <w:sz w:val="20"/>
          <w:szCs w:val="20"/>
        </w:rPr>
        <w:fldChar w:fldCharType="end"/>
      </w:r>
    </w:p>
    <w:p w14:paraId="39962386" w14:textId="77777777" w:rsidR="008B103B" w:rsidRPr="001C49FC" w:rsidRDefault="008B103B">
      <w:pPr>
        <w:pStyle w:val="TOC2"/>
        <w:tabs>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3.1. Primary and secondary liability</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_Toc361053688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11</w:t>
      </w:r>
      <w:r w:rsidRPr="001C49FC">
        <w:rPr>
          <w:rFonts w:ascii="Avenir Book" w:hAnsi="Avenir Book"/>
          <w:b/>
          <w:noProof/>
          <w:color w:val="000000" w:themeColor="text1"/>
          <w:sz w:val="20"/>
          <w:szCs w:val="20"/>
        </w:rPr>
        <w:fldChar w:fldCharType="end"/>
      </w:r>
    </w:p>
    <w:p w14:paraId="4FDDA9B7" w14:textId="77777777" w:rsidR="008B103B" w:rsidRPr="001C49FC" w:rsidRDefault="008B103B">
      <w:pPr>
        <w:pStyle w:val="TOC2"/>
        <w:tabs>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shd w:val="clear" w:color="auto" w:fill="FFFFFF"/>
        </w:rPr>
        <w:t>3.2. Impact on the safe harbour regime</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_Toc361053689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12</w:t>
      </w:r>
      <w:r w:rsidRPr="001C49FC">
        <w:rPr>
          <w:rFonts w:ascii="Avenir Book" w:hAnsi="Avenir Book"/>
          <w:b/>
          <w:noProof/>
          <w:color w:val="000000" w:themeColor="text1"/>
          <w:sz w:val="20"/>
          <w:szCs w:val="20"/>
        </w:rPr>
        <w:fldChar w:fldCharType="end"/>
      </w:r>
    </w:p>
    <w:p w14:paraId="05C4A9C0" w14:textId="77777777" w:rsidR="008B103B" w:rsidRPr="001C49FC" w:rsidRDefault="008B103B">
      <w:pPr>
        <w:pStyle w:val="TOC2"/>
        <w:tabs>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3.3. The ‘value gap proposal’</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_Toc361053690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13</w:t>
      </w:r>
      <w:r w:rsidRPr="001C49FC">
        <w:rPr>
          <w:rFonts w:ascii="Avenir Book" w:hAnsi="Avenir Book"/>
          <w:b/>
          <w:noProof/>
          <w:color w:val="000000" w:themeColor="text1"/>
          <w:sz w:val="20"/>
          <w:szCs w:val="20"/>
        </w:rPr>
        <w:fldChar w:fldCharType="end"/>
      </w:r>
    </w:p>
    <w:p w14:paraId="64B0DD2D" w14:textId="77777777" w:rsidR="008B103B" w:rsidRPr="001C49FC" w:rsidRDefault="008B103B">
      <w:pPr>
        <w:pStyle w:val="TOC1"/>
        <w:tabs>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Findings</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_Toc361053691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15</w:t>
      </w:r>
      <w:r w:rsidRPr="001C49FC">
        <w:rPr>
          <w:rFonts w:ascii="Avenir Book" w:hAnsi="Avenir Book"/>
          <w:b/>
          <w:noProof/>
          <w:color w:val="000000" w:themeColor="text1"/>
          <w:sz w:val="20"/>
          <w:szCs w:val="20"/>
        </w:rPr>
        <w:fldChar w:fldCharType="end"/>
      </w:r>
    </w:p>
    <w:p w14:paraId="7021EA8D" w14:textId="77777777" w:rsidR="008B103B" w:rsidRPr="001C49FC" w:rsidRDefault="008B103B">
      <w:pPr>
        <w:pStyle w:val="TOC1"/>
        <w:tabs>
          <w:tab w:val="right" w:leader="dot" w:pos="9622"/>
        </w:tabs>
        <w:rPr>
          <w:rFonts w:ascii="Avenir Book" w:hAnsi="Avenir Book"/>
          <w:b/>
          <w:noProof/>
          <w:color w:val="000000" w:themeColor="text1"/>
          <w:sz w:val="20"/>
          <w:szCs w:val="20"/>
          <w:lang w:eastAsia="ja-JP"/>
        </w:rPr>
      </w:pPr>
      <w:r w:rsidRPr="001C49FC">
        <w:rPr>
          <w:rFonts w:ascii="Avenir Book" w:hAnsi="Avenir Book"/>
          <w:b/>
          <w:noProof/>
          <w:color w:val="000000" w:themeColor="text1"/>
          <w:sz w:val="20"/>
          <w:szCs w:val="20"/>
        </w:rPr>
        <w:t>Notes</w:t>
      </w:r>
      <w:r w:rsidRPr="001C49FC">
        <w:rPr>
          <w:rFonts w:ascii="Avenir Book" w:hAnsi="Avenir Book"/>
          <w:b/>
          <w:noProof/>
          <w:color w:val="000000" w:themeColor="text1"/>
          <w:sz w:val="20"/>
          <w:szCs w:val="20"/>
        </w:rPr>
        <w:tab/>
      </w:r>
      <w:r w:rsidRPr="001C49FC">
        <w:rPr>
          <w:rFonts w:ascii="Avenir Book" w:hAnsi="Avenir Book"/>
          <w:b/>
          <w:noProof/>
          <w:color w:val="000000" w:themeColor="text1"/>
          <w:sz w:val="20"/>
          <w:szCs w:val="20"/>
        </w:rPr>
        <w:fldChar w:fldCharType="begin"/>
      </w:r>
      <w:r w:rsidRPr="001C49FC">
        <w:rPr>
          <w:rFonts w:ascii="Avenir Book" w:hAnsi="Avenir Book"/>
          <w:b/>
          <w:noProof/>
          <w:color w:val="000000" w:themeColor="text1"/>
          <w:sz w:val="20"/>
          <w:szCs w:val="20"/>
        </w:rPr>
        <w:instrText xml:space="preserve"> PAGEREF _Toc361053692 \h </w:instrText>
      </w:r>
      <w:r w:rsidRPr="001C49FC">
        <w:rPr>
          <w:rFonts w:ascii="Avenir Book" w:hAnsi="Avenir Book"/>
          <w:b/>
          <w:noProof/>
          <w:color w:val="000000" w:themeColor="text1"/>
          <w:sz w:val="20"/>
          <w:szCs w:val="20"/>
        </w:rPr>
      </w:r>
      <w:r w:rsidRPr="001C49FC">
        <w:rPr>
          <w:rFonts w:ascii="Avenir Book" w:hAnsi="Avenir Book"/>
          <w:b/>
          <w:noProof/>
          <w:color w:val="000000" w:themeColor="text1"/>
          <w:sz w:val="20"/>
          <w:szCs w:val="20"/>
        </w:rPr>
        <w:fldChar w:fldCharType="separate"/>
      </w:r>
      <w:r w:rsidR="002068CC">
        <w:rPr>
          <w:rFonts w:ascii="Avenir Book" w:hAnsi="Avenir Book"/>
          <w:b/>
          <w:noProof/>
          <w:color w:val="000000" w:themeColor="text1"/>
          <w:sz w:val="20"/>
          <w:szCs w:val="20"/>
        </w:rPr>
        <w:t>17</w:t>
      </w:r>
      <w:r w:rsidRPr="001C49FC">
        <w:rPr>
          <w:rFonts w:ascii="Avenir Book" w:hAnsi="Avenir Book"/>
          <w:b/>
          <w:noProof/>
          <w:color w:val="000000" w:themeColor="text1"/>
          <w:sz w:val="20"/>
          <w:szCs w:val="20"/>
        </w:rPr>
        <w:fldChar w:fldCharType="end"/>
      </w:r>
    </w:p>
    <w:p w14:paraId="70AEE2F7" w14:textId="1BF43500" w:rsidR="00A746F2" w:rsidRPr="001C49FC" w:rsidRDefault="001415CE" w:rsidP="00A746F2">
      <w:pPr>
        <w:jc w:val="both"/>
        <w:rPr>
          <w:rFonts w:ascii="Avenir Book" w:hAnsi="Avenir Book" w:cs="Times New Roman"/>
          <w:b/>
          <w:color w:val="000000" w:themeColor="text1"/>
          <w:sz w:val="22"/>
          <w:szCs w:val="22"/>
        </w:rPr>
      </w:pPr>
      <w:r w:rsidRPr="001C49FC">
        <w:rPr>
          <w:rFonts w:ascii="Avenir Book" w:hAnsi="Avenir Book" w:cs="Times New Roman"/>
          <w:b/>
          <w:color w:val="000000" w:themeColor="text1"/>
          <w:sz w:val="20"/>
          <w:szCs w:val="20"/>
        </w:rPr>
        <w:fldChar w:fldCharType="end"/>
      </w:r>
    </w:p>
    <w:p w14:paraId="498FE622" w14:textId="77777777" w:rsidR="00540BC0" w:rsidRPr="001C49FC" w:rsidRDefault="00540BC0" w:rsidP="00A746F2">
      <w:pPr>
        <w:jc w:val="both"/>
        <w:rPr>
          <w:rFonts w:ascii="Avenir Book" w:hAnsi="Avenir Book" w:cs="Times New Roman"/>
          <w:color w:val="000000" w:themeColor="text1"/>
          <w:sz w:val="22"/>
          <w:szCs w:val="22"/>
        </w:rPr>
      </w:pPr>
    </w:p>
    <w:p w14:paraId="027F6FBA" w14:textId="4767E58B" w:rsidR="00CE154A" w:rsidRPr="001C49FC" w:rsidRDefault="00540BC0" w:rsidP="00540BC0">
      <w:pPr>
        <w:pBdr>
          <w:bottom w:val="single" w:sz="4" w:space="1" w:color="auto"/>
        </w:pBdr>
        <w:rPr>
          <w:rFonts w:ascii="Avenir Book" w:eastAsiaTheme="majorEastAsia" w:hAnsi="Avenir Book" w:cstheme="majorBidi"/>
          <w:b/>
          <w:bCs/>
          <w:color w:val="000000" w:themeColor="text1"/>
          <w:sz w:val="22"/>
          <w:szCs w:val="22"/>
        </w:rPr>
      </w:pPr>
      <w:bookmarkStart w:id="1" w:name="_Toc361053680"/>
      <w:r w:rsidRPr="001C49FC">
        <w:rPr>
          <w:rFonts w:ascii="Avenir Book" w:hAnsi="Avenir Book"/>
          <w:color w:val="000000" w:themeColor="text1"/>
          <w:sz w:val="22"/>
          <w:szCs w:val="22"/>
        </w:rPr>
        <w:br w:type="page"/>
      </w:r>
      <w:r w:rsidR="00CE154A" w:rsidRPr="001C49FC">
        <w:rPr>
          <w:rFonts w:ascii="Avenir Book" w:hAnsi="Avenir Book"/>
          <w:b/>
          <w:color w:val="000000" w:themeColor="text1"/>
          <w:sz w:val="22"/>
          <w:szCs w:val="22"/>
        </w:rPr>
        <w:lastRenderedPageBreak/>
        <w:t>Introduction</w:t>
      </w:r>
      <w:bookmarkEnd w:id="1"/>
    </w:p>
    <w:p w14:paraId="6DEDD350" w14:textId="77777777" w:rsidR="00CE154A" w:rsidRPr="001C49FC" w:rsidRDefault="00CE154A" w:rsidP="00A746F2">
      <w:pPr>
        <w:jc w:val="both"/>
        <w:rPr>
          <w:rFonts w:ascii="Avenir Book" w:hAnsi="Avenir Book" w:cs="Times New Roman"/>
          <w:color w:val="000000" w:themeColor="text1"/>
          <w:sz w:val="22"/>
          <w:szCs w:val="22"/>
        </w:rPr>
      </w:pPr>
    </w:p>
    <w:p w14:paraId="6FFE0C0E" w14:textId="4C37C744" w:rsidR="00301FC9" w:rsidRPr="001C49FC" w:rsidRDefault="0056614F" w:rsidP="000B21F4">
      <w:pPr>
        <w:jc w:val="both"/>
        <w:rPr>
          <w:rFonts w:ascii="Avenir Book" w:hAnsi="Avenir Book" w:cs="Times New Roman"/>
          <w:color w:val="000000" w:themeColor="text1"/>
          <w:spacing w:val="-20"/>
          <w:sz w:val="22"/>
          <w:szCs w:val="22"/>
        </w:rPr>
        <w:sectPr w:rsidR="00301FC9" w:rsidRPr="001C49FC" w:rsidSect="001C49FC">
          <w:headerReference w:type="default" r:id="rId7"/>
          <w:footerReference w:type="even" r:id="rId8"/>
          <w:footerReference w:type="default" r:id="rId9"/>
          <w:endnotePr>
            <w:numFmt w:val="decimal"/>
          </w:endnotePr>
          <w:pgSz w:w="11900" w:h="16840"/>
          <w:pgMar w:top="1417" w:right="1134" w:bottom="1134" w:left="1134" w:header="708" w:footer="708" w:gutter="0"/>
          <w:cols w:space="708"/>
          <w:titlePg/>
          <w:docGrid w:linePitch="360"/>
        </w:sectPr>
      </w:pPr>
      <w:r w:rsidRPr="001C49FC">
        <w:rPr>
          <w:rFonts w:ascii="Avenir Book" w:hAnsi="Avenir Book" w:cs="Times New Roman"/>
          <w:color w:val="000000" w:themeColor="text1"/>
          <w:sz w:val="22"/>
          <w:szCs w:val="22"/>
        </w:rPr>
        <w:t xml:space="preserve">In its 2017 judgment in </w:t>
      </w:r>
      <w:r w:rsidRPr="001C49FC">
        <w:rPr>
          <w:rFonts w:ascii="Avenir Book" w:hAnsi="Avenir Book" w:cs="Times New Roman"/>
          <w:bCs/>
          <w:i/>
          <w:color w:val="000000" w:themeColor="text1"/>
          <w:sz w:val="22"/>
          <w:szCs w:val="22"/>
        </w:rPr>
        <w:t>Stichting Brein v Ziggo BV and XS4All Internet BV</w:t>
      </w:r>
      <w:r w:rsidR="00301FC9" w:rsidRPr="001C49FC">
        <w:rPr>
          <w:rFonts w:ascii="Avenir Book" w:hAnsi="Avenir Book" w:cs="Times New Roman"/>
          <w:bCs/>
          <w:color w:val="000000" w:themeColor="text1"/>
          <w:sz w:val="22"/>
          <w:szCs w:val="22"/>
        </w:rPr>
        <w:t>, C-</w:t>
      </w:r>
      <w:r w:rsidR="00301FC9" w:rsidRPr="001C49FC">
        <w:rPr>
          <w:rFonts w:ascii="Avenir Book" w:hAnsi="Avenir Book" w:cs="Times New Roman"/>
          <w:color w:val="000000" w:themeColor="text1"/>
          <w:spacing w:val="-20"/>
          <w:sz w:val="22"/>
          <w:szCs w:val="22"/>
        </w:rPr>
        <w:t>610/15</w:t>
      </w:r>
      <w:r w:rsidR="00301FC9" w:rsidRPr="001C49FC">
        <w:rPr>
          <w:rStyle w:val="EndnoteReference"/>
          <w:rFonts w:ascii="Avenir Book" w:hAnsi="Avenir Book" w:cs="Times New Roman"/>
          <w:color w:val="000000" w:themeColor="text1"/>
          <w:spacing w:val="-20"/>
          <w:sz w:val="22"/>
          <w:szCs w:val="22"/>
        </w:rPr>
        <w:endnoteReference w:id="1"/>
      </w:r>
    </w:p>
    <w:p w14:paraId="0488CEF7" w14:textId="5B4A3485" w:rsidR="008B103B" w:rsidRPr="00A746F2" w:rsidRDefault="008B103B" w:rsidP="000B21F4">
      <w:pPr>
        <w:jc w:val="both"/>
        <w:rPr>
          <w:rFonts w:ascii="Avenir Book" w:hAnsi="Avenir Book" w:cs="Times New Roman"/>
          <w:bCs/>
          <w:sz w:val="22"/>
          <w:szCs w:val="22"/>
        </w:rPr>
      </w:pPr>
      <w:r w:rsidRPr="001C49FC">
        <w:rPr>
          <w:rFonts w:ascii="Avenir Book" w:hAnsi="Avenir Book" w:cs="Times New Roman"/>
          <w:bCs/>
          <w:color w:val="000000" w:themeColor="text1"/>
          <w:sz w:val="22"/>
          <w:szCs w:val="22"/>
        </w:rPr>
        <w:t>(‘</w:t>
      </w:r>
      <w:r w:rsidRPr="001C49FC">
        <w:rPr>
          <w:rFonts w:ascii="Avenir Book" w:hAnsi="Avenir Book" w:cs="Times New Roman"/>
          <w:bCs/>
          <w:i/>
          <w:color w:val="000000" w:themeColor="text1"/>
          <w:sz w:val="22"/>
          <w:szCs w:val="22"/>
        </w:rPr>
        <w:t>The Pirate Bay</w:t>
      </w:r>
      <w:r w:rsidRPr="001C49FC">
        <w:rPr>
          <w:rFonts w:ascii="Avenir Book" w:hAnsi="Avenir Book" w:cs="Times New Roman"/>
          <w:bCs/>
          <w:color w:val="000000" w:themeColor="text1"/>
          <w:sz w:val="22"/>
          <w:szCs w:val="22"/>
        </w:rPr>
        <w:t>’ or ‘</w:t>
      </w:r>
      <w:r w:rsidRPr="001C49FC">
        <w:rPr>
          <w:rFonts w:ascii="Avenir Book" w:hAnsi="Avenir Book" w:cs="Times New Roman"/>
          <w:bCs/>
          <w:i/>
          <w:color w:val="000000" w:themeColor="text1"/>
          <w:sz w:val="22"/>
          <w:szCs w:val="22"/>
        </w:rPr>
        <w:t>Pirate Bay</w:t>
      </w:r>
      <w:r w:rsidRPr="001C49FC">
        <w:rPr>
          <w:rFonts w:ascii="Avenir Book" w:hAnsi="Avenir Book" w:cs="Times New Roman"/>
          <w:bCs/>
          <w:color w:val="000000" w:themeColor="text1"/>
          <w:sz w:val="22"/>
          <w:szCs w:val="22"/>
        </w:rPr>
        <w:t>’) the Court of Justice of the European Union (</w:t>
      </w:r>
      <w:r w:rsidR="00DC2D22" w:rsidRPr="001C49FC">
        <w:rPr>
          <w:rFonts w:ascii="Avenir Book" w:hAnsi="Avenir Book" w:cs="Times New Roman"/>
          <w:bCs/>
          <w:color w:val="000000" w:themeColor="text1"/>
          <w:sz w:val="22"/>
          <w:szCs w:val="22"/>
        </w:rPr>
        <w:t>‘</w:t>
      </w:r>
      <w:r w:rsidRPr="001C49FC">
        <w:rPr>
          <w:rFonts w:ascii="Avenir Book" w:hAnsi="Avenir Book" w:cs="Times New Roman"/>
          <w:bCs/>
          <w:color w:val="000000" w:themeColor="text1"/>
          <w:sz w:val="22"/>
          <w:szCs w:val="22"/>
        </w:rPr>
        <w:t>CJEU</w:t>
      </w:r>
      <w:r w:rsidR="00DC2D22" w:rsidRPr="001C49FC">
        <w:rPr>
          <w:rFonts w:ascii="Avenir Book" w:hAnsi="Avenir Book" w:cs="Times New Roman"/>
          <w:bCs/>
          <w:color w:val="000000" w:themeColor="text1"/>
          <w:sz w:val="22"/>
          <w:szCs w:val="22"/>
        </w:rPr>
        <w:t>’</w:t>
      </w:r>
      <w:r w:rsidRPr="001C49FC">
        <w:rPr>
          <w:rFonts w:ascii="Avenir Book" w:hAnsi="Avenir Book" w:cs="Times New Roman"/>
          <w:bCs/>
          <w:color w:val="000000" w:themeColor="text1"/>
          <w:sz w:val="22"/>
          <w:szCs w:val="22"/>
        </w:rPr>
        <w:t>) developed further its construction</w:t>
      </w:r>
      <w:r w:rsidRPr="00A746F2">
        <w:rPr>
          <w:rFonts w:ascii="Avenir Book" w:hAnsi="Avenir Book" w:cs="Times New Roman"/>
          <w:bCs/>
          <w:sz w:val="22"/>
          <w:szCs w:val="22"/>
        </w:rPr>
        <w:t xml:space="preserve"> of the right of communication to the public within Article 3(1) of Directive 2001/29</w:t>
      </w:r>
      <w:r w:rsidRPr="00A746F2">
        <w:rPr>
          <w:rStyle w:val="EndnoteReference"/>
          <w:rFonts w:ascii="Avenir Book" w:hAnsi="Avenir Book" w:cs="Times New Roman"/>
          <w:bCs/>
          <w:sz w:val="22"/>
          <w:szCs w:val="22"/>
        </w:rPr>
        <w:endnoteReference w:id="2"/>
      </w:r>
      <w:r w:rsidRPr="00A746F2">
        <w:rPr>
          <w:rFonts w:ascii="Avenir Book" w:hAnsi="Avenir Book" w:cs="Times New Roman"/>
          <w:bCs/>
          <w:sz w:val="22"/>
          <w:szCs w:val="22"/>
        </w:rPr>
        <w:t xml:space="preserve"> (‘InfoSoc Directive’), and clarified under what conditions the operators of an unlicensed online file-sharing platform are liable for copyright infringement. </w:t>
      </w:r>
    </w:p>
    <w:p w14:paraId="1EB6FCF6" w14:textId="77777777" w:rsidR="008B103B" w:rsidRPr="00A746F2" w:rsidRDefault="008B103B" w:rsidP="000B21F4">
      <w:pPr>
        <w:jc w:val="both"/>
        <w:rPr>
          <w:rFonts w:ascii="Avenir Book" w:hAnsi="Avenir Book" w:cs="Times New Roman"/>
          <w:bCs/>
          <w:sz w:val="22"/>
          <w:szCs w:val="22"/>
        </w:rPr>
      </w:pPr>
    </w:p>
    <w:p w14:paraId="0EB2F5E4" w14:textId="687AC00C"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The CJEU judgment builds upon the earlier Opinion of Advocate General (</w:t>
      </w:r>
      <w:r w:rsidR="00DC2D22">
        <w:rPr>
          <w:rFonts w:ascii="Avenir Book" w:hAnsi="Avenir Book" w:cs="Times New Roman"/>
          <w:bCs/>
          <w:sz w:val="22"/>
          <w:szCs w:val="22"/>
        </w:rPr>
        <w:t>‘</w:t>
      </w:r>
      <w:r w:rsidRPr="00A746F2">
        <w:rPr>
          <w:rFonts w:ascii="Avenir Book" w:hAnsi="Avenir Book" w:cs="Times New Roman"/>
          <w:bCs/>
          <w:sz w:val="22"/>
          <w:szCs w:val="22"/>
        </w:rPr>
        <w:t>AG</w:t>
      </w:r>
      <w:r w:rsidR="00DC2D22">
        <w:rPr>
          <w:rFonts w:ascii="Avenir Book" w:hAnsi="Avenir Book" w:cs="Times New Roman"/>
          <w:bCs/>
          <w:sz w:val="22"/>
          <w:szCs w:val="22"/>
        </w:rPr>
        <w:t>’</w:t>
      </w:r>
      <w:r w:rsidRPr="00A746F2">
        <w:rPr>
          <w:rFonts w:ascii="Avenir Book" w:hAnsi="Avenir Book" w:cs="Times New Roman"/>
          <w:bCs/>
          <w:sz w:val="22"/>
          <w:szCs w:val="22"/>
        </w:rPr>
        <w:t>) Maciej Szpunar in the same case</w:t>
      </w:r>
      <w:r w:rsidRPr="00A746F2">
        <w:rPr>
          <w:rStyle w:val="EndnoteReference"/>
          <w:rFonts w:ascii="Avenir Book" w:hAnsi="Avenir Book" w:cs="Times New Roman"/>
          <w:bCs/>
          <w:sz w:val="22"/>
          <w:szCs w:val="22"/>
        </w:rPr>
        <w:endnoteReference w:id="3"/>
      </w:r>
      <w:r w:rsidRPr="00A746F2">
        <w:rPr>
          <w:rFonts w:ascii="Avenir Book" w:hAnsi="Avenir Book" w:cs="Times New Roman"/>
          <w:bCs/>
          <w:sz w:val="22"/>
          <w:szCs w:val="22"/>
        </w:rPr>
        <w:t>, yet goes beyond it. This is notably so with regard to the consideration of the subjective element (knowledge) of the operators of an online plat</w:t>
      </w:r>
      <w:r w:rsidR="00DC2D22">
        <w:rPr>
          <w:rFonts w:ascii="Avenir Book" w:hAnsi="Avenir Book" w:cs="Times New Roman"/>
          <w:bCs/>
          <w:sz w:val="22"/>
          <w:szCs w:val="22"/>
        </w:rPr>
        <w:t>form making available copyright</w:t>
      </w:r>
      <w:r w:rsidRPr="00A746F2">
        <w:rPr>
          <w:rFonts w:ascii="Avenir Book" w:hAnsi="Avenir Book" w:cs="Times New Roman"/>
          <w:bCs/>
          <w:sz w:val="22"/>
          <w:szCs w:val="22"/>
        </w:rPr>
        <w:t xml:space="preserve"> content. Unlike AG Szpunar, the Court did not </w:t>
      </w:r>
      <w:r w:rsidR="00BB3E87">
        <w:rPr>
          <w:rFonts w:ascii="Avenir Book" w:hAnsi="Avenir Book" w:cs="Times New Roman"/>
          <w:bCs/>
          <w:sz w:val="22"/>
          <w:szCs w:val="22"/>
        </w:rPr>
        <w:t>refer</w:t>
      </w:r>
      <w:r w:rsidRPr="00A746F2">
        <w:rPr>
          <w:rFonts w:ascii="Avenir Book" w:hAnsi="Avenir Book" w:cs="Times New Roman"/>
          <w:bCs/>
          <w:sz w:val="22"/>
          <w:szCs w:val="22"/>
        </w:rPr>
        <w:t xml:space="preserve"> liability </w:t>
      </w:r>
      <w:r w:rsidR="00BB3E87">
        <w:rPr>
          <w:rFonts w:ascii="Avenir Book" w:hAnsi="Avenir Book" w:cs="Times New Roman"/>
          <w:bCs/>
          <w:sz w:val="22"/>
          <w:szCs w:val="22"/>
        </w:rPr>
        <w:t xml:space="preserve">only </w:t>
      </w:r>
      <w:r w:rsidRPr="00A746F2">
        <w:rPr>
          <w:rFonts w:ascii="Avenir Book" w:hAnsi="Avenir Book" w:cs="Times New Roman"/>
          <w:bCs/>
          <w:sz w:val="22"/>
          <w:szCs w:val="22"/>
        </w:rPr>
        <w:t xml:space="preserve">to situations in which the operators of an online platform have acquired </w:t>
      </w:r>
      <w:r w:rsidRPr="00A746F2">
        <w:rPr>
          <w:rFonts w:ascii="Avenir Book" w:hAnsi="Avenir Book" w:cs="Times New Roman"/>
          <w:bCs/>
          <w:i/>
          <w:sz w:val="22"/>
          <w:szCs w:val="22"/>
        </w:rPr>
        <w:t>actual</w:t>
      </w:r>
      <w:r w:rsidRPr="00A746F2">
        <w:rPr>
          <w:rFonts w:ascii="Avenir Book" w:hAnsi="Avenir Book" w:cs="Times New Roman"/>
          <w:bCs/>
          <w:sz w:val="22"/>
          <w:szCs w:val="22"/>
        </w:rPr>
        <w:t xml:space="preserve"> knowledge of third-party infringements, but also included situations of </w:t>
      </w:r>
      <w:r w:rsidRPr="00A746F2">
        <w:rPr>
          <w:rFonts w:ascii="Avenir Book" w:hAnsi="Avenir Book" w:cs="Times New Roman"/>
          <w:bCs/>
          <w:i/>
          <w:sz w:val="22"/>
          <w:szCs w:val="22"/>
        </w:rPr>
        <w:t>constructive</w:t>
      </w:r>
      <w:r w:rsidRPr="00A746F2">
        <w:rPr>
          <w:rFonts w:ascii="Avenir Book" w:hAnsi="Avenir Book" w:cs="Times New Roman"/>
          <w:bCs/>
          <w:sz w:val="22"/>
          <w:szCs w:val="22"/>
        </w:rPr>
        <w:t xml:space="preserve"> knowledge (‘could not </w:t>
      </w:r>
      <w:r w:rsidR="000251DE">
        <w:rPr>
          <w:rFonts w:ascii="Avenir Book" w:hAnsi="Avenir Book" w:cs="Times New Roman"/>
          <w:bCs/>
          <w:sz w:val="22"/>
          <w:szCs w:val="22"/>
        </w:rPr>
        <w:t>be unaware’</w:t>
      </w:r>
      <w:r w:rsidRPr="00A746F2">
        <w:rPr>
          <w:rFonts w:ascii="Avenir Book" w:hAnsi="Avenir Book" w:cs="Times New Roman"/>
          <w:bCs/>
          <w:sz w:val="22"/>
          <w:szCs w:val="22"/>
        </w:rPr>
        <w:t xml:space="preserve">) and, possibly, even situations in which knowledge is to be </w:t>
      </w:r>
      <w:r w:rsidRPr="00A746F2">
        <w:rPr>
          <w:rFonts w:ascii="Avenir Book" w:hAnsi="Avenir Book" w:cs="Times New Roman"/>
          <w:bCs/>
          <w:i/>
          <w:sz w:val="22"/>
          <w:szCs w:val="22"/>
        </w:rPr>
        <w:t>presumed</w:t>
      </w:r>
      <w:r w:rsidRPr="00A746F2">
        <w:rPr>
          <w:rFonts w:ascii="Avenir Book" w:hAnsi="Avenir Book" w:cs="Times New Roman"/>
          <w:bCs/>
          <w:sz w:val="22"/>
          <w:szCs w:val="22"/>
        </w:rPr>
        <w:t>.</w:t>
      </w:r>
    </w:p>
    <w:p w14:paraId="6D133D5C" w14:textId="77777777" w:rsidR="008B103B" w:rsidRPr="00A746F2" w:rsidRDefault="008B103B" w:rsidP="000B21F4">
      <w:pPr>
        <w:jc w:val="both"/>
        <w:rPr>
          <w:rFonts w:ascii="Avenir Book" w:hAnsi="Avenir Book" w:cs="Times New Roman"/>
          <w:bCs/>
          <w:sz w:val="22"/>
          <w:szCs w:val="22"/>
        </w:rPr>
      </w:pPr>
    </w:p>
    <w:p w14:paraId="20F21296" w14:textId="16CC343C"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Overall, the CJEU decision is not limited to egregious scenarios like the one of The Pirate Bay</w:t>
      </w:r>
      <w:r w:rsidRPr="00A746F2">
        <w:rPr>
          <w:rStyle w:val="EndnoteReference"/>
          <w:rFonts w:ascii="Avenir Book" w:hAnsi="Avenir Book" w:cs="Times New Roman"/>
          <w:bCs/>
          <w:sz w:val="22"/>
          <w:szCs w:val="22"/>
        </w:rPr>
        <w:endnoteReference w:id="4"/>
      </w:r>
      <w:r w:rsidRPr="00A746F2">
        <w:rPr>
          <w:rFonts w:ascii="Avenir Book" w:hAnsi="Avenir Book" w:cs="Times New Roman"/>
          <w:bCs/>
          <w:sz w:val="22"/>
          <w:szCs w:val="22"/>
        </w:rPr>
        <w:t xml:space="preserve">: the Court’s findings are applicable to different types of online platforms, as well as operators </w:t>
      </w:r>
      <w:r w:rsidR="00165805">
        <w:rPr>
          <w:rFonts w:ascii="Avenir Book" w:hAnsi="Avenir Book" w:cs="Times New Roman"/>
          <w:bCs/>
          <w:sz w:val="22"/>
          <w:szCs w:val="22"/>
        </w:rPr>
        <w:t>with</w:t>
      </w:r>
      <w:r w:rsidRPr="00A746F2">
        <w:rPr>
          <w:rFonts w:ascii="Avenir Book" w:hAnsi="Avenir Book" w:cs="Times New Roman"/>
          <w:bCs/>
          <w:sz w:val="22"/>
          <w:szCs w:val="22"/>
        </w:rPr>
        <w:t xml:space="preserve"> different degrees of knowledge of infringements committed by users of their services. </w:t>
      </w:r>
    </w:p>
    <w:p w14:paraId="340CCABD" w14:textId="77777777" w:rsidR="008B103B" w:rsidRPr="00A746F2" w:rsidRDefault="008B103B" w:rsidP="000B21F4">
      <w:pPr>
        <w:jc w:val="both"/>
        <w:rPr>
          <w:rFonts w:ascii="Avenir Book" w:hAnsi="Avenir Book" w:cs="Times New Roman"/>
          <w:bCs/>
          <w:sz w:val="22"/>
          <w:szCs w:val="22"/>
        </w:rPr>
      </w:pPr>
    </w:p>
    <w:p w14:paraId="533634AD" w14:textId="16C2CEB0"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The judgment is expected to have substantial implications for future cases (including at the level of individual Member States</w:t>
      </w:r>
      <w:r w:rsidR="002B4F63">
        <w:rPr>
          <w:rStyle w:val="EndnoteReference"/>
          <w:rFonts w:ascii="Avenir Book" w:hAnsi="Avenir Book" w:cs="Times New Roman"/>
          <w:bCs/>
          <w:sz w:val="22"/>
          <w:szCs w:val="22"/>
        </w:rPr>
        <w:endnoteReference w:id="5"/>
      </w:r>
      <w:r w:rsidRPr="00A746F2">
        <w:rPr>
          <w:rFonts w:ascii="Avenir Book" w:hAnsi="Avenir Book" w:cs="Times New Roman"/>
          <w:bCs/>
          <w:sz w:val="22"/>
          <w:szCs w:val="22"/>
        </w:rPr>
        <w:t>), and prompts a broader reflection on issues such as the interplay between primary and secondary liability for copyright infringement, applicability of the safe harbour regime within Directive 2000/31</w:t>
      </w:r>
      <w:r w:rsidRPr="00A746F2">
        <w:rPr>
          <w:rStyle w:val="EndnoteReference"/>
          <w:rFonts w:ascii="Avenir Book" w:hAnsi="Avenir Book" w:cs="Times New Roman"/>
          <w:bCs/>
          <w:sz w:val="22"/>
          <w:szCs w:val="22"/>
        </w:rPr>
        <w:endnoteReference w:id="6"/>
      </w:r>
      <w:r w:rsidRPr="00A746F2">
        <w:rPr>
          <w:rFonts w:ascii="Avenir Book" w:hAnsi="Avenir Book" w:cs="Times New Roman"/>
          <w:bCs/>
          <w:sz w:val="22"/>
          <w:szCs w:val="22"/>
        </w:rPr>
        <w:t xml:space="preserve"> (‘E-Commerce Directive’), as well as the current EU copyright reform debate. With particular regard to the latter, lacking a definition of what is to be intended as an ‘act of communication to the public’ in the context of the proposed Directive on copyright in the Digital Single Market</w:t>
      </w:r>
      <w:r w:rsidRPr="00A746F2">
        <w:rPr>
          <w:rStyle w:val="EndnoteReference"/>
          <w:rFonts w:ascii="Avenir Book" w:hAnsi="Avenir Book" w:cs="Times New Roman"/>
          <w:bCs/>
          <w:sz w:val="22"/>
          <w:szCs w:val="22"/>
        </w:rPr>
        <w:endnoteReference w:id="7"/>
      </w:r>
      <w:r w:rsidRPr="00A746F2">
        <w:rPr>
          <w:rFonts w:ascii="Avenir Book" w:hAnsi="Avenir Book" w:cs="Times New Roman"/>
          <w:bCs/>
          <w:sz w:val="22"/>
          <w:szCs w:val="22"/>
        </w:rPr>
        <w:t xml:space="preserve"> and the draft provision contained in Article 13 therein (so called ‘value gap proposal’), the outcome of the case confirms –</w:t>
      </w:r>
      <w:r w:rsidR="00DC2D22">
        <w:rPr>
          <w:rFonts w:ascii="Avenir Book" w:hAnsi="Avenir Book" w:cs="Times New Roman"/>
          <w:bCs/>
          <w:sz w:val="22"/>
          <w:szCs w:val="22"/>
        </w:rPr>
        <w:t xml:space="preserve"> </w:t>
      </w:r>
      <w:r w:rsidRPr="00A746F2">
        <w:rPr>
          <w:rFonts w:ascii="Avenir Book" w:hAnsi="Avenir Book" w:cs="Times New Roman"/>
          <w:bCs/>
          <w:sz w:val="22"/>
          <w:szCs w:val="22"/>
        </w:rPr>
        <w:t>from the point of view of EU law – the correctness of the European Commission’s assessment that certain online platforms should be regarded as primarily responsible for acts of communication to the public.</w:t>
      </w:r>
    </w:p>
    <w:p w14:paraId="53CF474F" w14:textId="77777777" w:rsidR="008B103B" w:rsidRPr="00A746F2" w:rsidRDefault="008B103B" w:rsidP="000B21F4">
      <w:pPr>
        <w:jc w:val="both"/>
        <w:rPr>
          <w:rFonts w:ascii="Avenir Book" w:hAnsi="Avenir Book" w:cs="Times New Roman"/>
          <w:bCs/>
          <w:sz w:val="22"/>
          <w:szCs w:val="22"/>
        </w:rPr>
      </w:pPr>
    </w:p>
    <w:p w14:paraId="51EF7B76" w14:textId="16003DCD"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 xml:space="preserve">This contribution is structured as follows. The first part reviews relevant CJEU case law on the right of communication to the public, and outlines its overall evolution until the </w:t>
      </w:r>
      <w:r w:rsidRPr="00A746F2">
        <w:rPr>
          <w:rFonts w:ascii="Avenir Book" w:hAnsi="Avenir Book" w:cs="Times New Roman"/>
          <w:bCs/>
          <w:i/>
          <w:sz w:val="22"/>
          <w:szCs w:val="22"/>
        </w:rPr>
        <w:t>Pirate Bay</w:t>
      </w:r>
      <w:r w:rsidRPr="00A746F2">
        <w:rPr>
          <w:rFonts w:ascii="Avenir Book" w:hAnsi="Avenir Book" w:cs="Times New Roman"/>
          <w:bCs/>
          <w:sz w:val="22"/>
          <w:szCs w:val="22"/>
        </w:rPr>
        <w:t xml:space="preserve"> judgment. The second part discusses the </w:t>
      </w:r>
      <w:r w:rsidRPr="00A746F2">
        <w:rPr>
          <w:rFonts w:ascii="Avenir Book" w:hAnsi="Avenir Book" w:cs="Times New Roman"/>
          <w:bCs/>
          <w:i/>
          <w:sz w:val="22"/>
          <w:szCs w:val="22"/>
        </w:rPr>
        <w:t>Pirate Bay</w:t>
      </w:r>
      <w:r w:rsidRPr="00A746F2">
        <w:rPr>
          <w:rFonts w:ascii="Avenir Book" w:hAnsi="Avenir Book" w:cs="Times New Roman"/>
          <w:bCs/>
          <w:sz w:val="22"/>
          <w:szCs w:val="22"/>
        </w:rPr>
        <w:t xml:space="preserve"> case, and highlights how – on the one hand – the CJEU judgment goes beyond the AG Opinion and – on the other hand – builds upon previous </w:t>
      </w:r>
      <w:r w:rsidR="00063C66">
        <w:rPr>
          <w:rFonts w:ascii="Avenir Book" w:hAnsi="Avenir Book" w:cs="Times New Roman"/>
          <w:bCs/>
          <w:sz w:val="22"/>
          <w:szCs w:val="22"/>
        </w:rPr>
        <w:t>case law</w:t>
      </w:r>
      <w:r w:rsidRPr="00A746F2">
        <w:rPr>
          <w:rFonts w:ascii="Avenir Book" w:hAnsi="Avenir Book" w:cs="Times New Roman"/>
          <w:bCs/>
          <w:sz w:val="22"/>
          <w:szCs w:val="22"/>
        </w:rPr>
        <w:t xml:space="preserve">. The third part assesses the possible effects of the decision, notably with regard to the distinction between primary and secondary liability, exemptions/limitations of liability for </w:t>
      </w:r>
      <w:r w:rsidR="00711FBC">
        <w:rPr>
          <w:rFonts w:ascii="Avenir Book" w:hAnsi="Avenir Book" w:cs="Times New Roman"/>
          <w:bCs/>
          <w:sz w:val="22"/>
          <w:szCs w:val="22"/>
        </w:rPr>
        <w:t>information society</w:t>
      </w:r>
      <w:r w:rsidRPr="00A746F2">
        <w:rPr>
          <w:rFonts w:ascii="Avenir Book" w:hAnsi="Avenir Book" w:cs="Times New Roman"/>
          <w:bCs/>
          <w:sz w:val="22"/>
          <w:szCs w:val="22"/>
        </w:rPr>
        <w:t xml:space="preserve"> service providers (‘</w:t>
      </w:r>
      <w:r w:rsidR="00711FBC">
        <w:rPr>
          <w:rFonts w:ascii="Avenir Book" w:hAnsi="Avenir Book" w:cs="Times New Roman"/>
          <w:bCs/>
          <w:sz w:val="22"/>
          <w:szCs w:val="22"/>
        </w:rPr>
        <w:t>providers</w:t>
      </w:r>
      <w:r w:rsidRPr="00A746F2">
        <w:rPr>
          <w:rFonts w:ascii="Avenir Book" w:hAnsi="Avenir Book" w:cs="Times New Roman"/>
          <w:bCs/>
          <w:sz w:val="22"/>
          <w:szCs w:val="22"/>
        </w:rPr>
        <w:t>’), and current EU policy discussion.</w:t>
      </w:r>
    </w:p>
    <w:p w14:paraId="4C254C57" w14:textId="77777777" w:rsidR="008B103B" w:rsidRPr="00A746F2" w:rsidRDefault="008B103B" w:rsidP="000B21F4">
      <w:pPr>
        <w:jc w:val="both"/>
        <w:rPr>
          <w:rFonts w:ascii="Avenir Book" w:hAnsi="Avenir Book" w:cs="Times New Roman"/>
          <w:bCs/>
          <w:sz w:val="22"/>
          <w:szCs w:val="22"/>
        </w:rPr>
      </w:pPr>
    </w:p>
    <w:p w14:paraId="31626D64" w14:textId="10FAF94B" w:rsidR="008B103B" w:rsidRPr="000B21F4" w:rsidRDefault="00413A56" w:rsidP="000B21F4">
      <w:pPr>
        <w:jc w:val="both"/>
        <w:rPr>
          <w:rFonts w:ascii="Avenir Book" w:hAnsi="Avenir Book" w:cs="Times New Roman"/>
          <w:bCs/>
          <w:sz w:val="22"/>
          <w:szCs w:val="22"/>
        </w:rPr>
      </w:pPr>
      <w:r>
        <w:rPr>
          <w:rFonts w:ascii="Avenir Book" w:hAnsi="Avenir Book" w:cs="Times New Roman"/>
          <w:bCs/>
          <w:sz w:val="22"/>
          <w:szCs w:val="22"/>
        </w:rPr>
        <w:t>T</w:t>
      </w:r>
      <w:r w:rsidR="008B103B" w:rsidRPr="00A746F2">
        <w:rPr>
          <w:rFonts w:ascii="Avenir Book" w:hAnsi="Avenir Book" w:cs="Times New Roman"/>
          <w:bCs/>
          <w:sz w:val="22"/>
          <w:szCs w:val="22"/>
        </w:rPr>
        <w:t xml:space="preserve">he CJEU analysis serves to inform the response to the question of </w:t>
      </w:r>
      <w:r w:rsidR="008B103B" w:rsidRPr="00A746F2">
        <w:rPr>
          <w:rFonts w:ascii="Avenir Book" w:hAnsi="Avenir Book" w:cs="Times New Roman"/>
          <w:bCs/>
          <w:i/>
          <w:sz w:val="22"/>
          <w:szCs w:val="22"/>
        </w:rPr>
        <w:t>who</w:t>
      </w:r>
      <w:r w:rsidR="008B103B" w:rsidRPr="00A746F2">
        <w:rPr>
          <w:rFonts w:ascii="Avenir Book" w:hAnsi="Avenir Book" w:cs="Times New Roman"/>
          <w:bCs/>
          <w:sz w:val="22"/>
          <w:szCs w:val="22"/>
        </w:rPr>
        <w:t xml:space="preserve"> is to be regarded as making acts of communication to the public. While confirming a certain alignment between case law evolution and EU copyright policy discourse, the outcome of the case suggests that the CJEU may be heading even further than what policy and law makers are currently discussing in the framework of the ‘value gap proposal’. In particular, a possible reading of </w:t>
      </w:r>
      <w:r w:rsidR="008B103B" w:rsidRPr="00A746F2">
        <w:rPr>
          <w:rFonts w:ascii="Avenir Book" w:hAnsi="Avenir Book" w:cs="Times New Roman"/>
          <w:bCs/>
          <w:i/>
          <w:sz w:val="22"/>
          <w:szCs w:val="22"/>
        </w:rPr>
        <w:t>The Pirate Bay</w:t>
      </w:r>
      <w:r w:rsidR="008B103B" w:rsidRPr="00A746F2">
        <w:rPr>
          <w:rFonts w:ascii="Avenir Book" w:hAnsi="Avenir Book" w:cs="Times New Roman"/>
          <w:bCs/>
          <w:sz w:val="22"/>
          <w:szCs w:val="22"/>
        </w:rPr>
        <w:t xml:space="preserve"> is that the CJEU did not mention the safe harbour regime in the context of its analysis in that this would be only applicable to situations where </w:t>
      </w:r>
      <w:r w:rsidR="00711FBC">
        <w:rPr>
          <w:rFonts w:ascii="Avenir Book" w:hAnsi="Avenir Book" w:cs="Times New Roman"/>
          <w:bCs/>
          <w:sz w:val="22"/>
          <w:szCs w:val="22"/>
        </w:rPr>
        <w:t xml:space="preserve">just users of the service of a provider </w:t>
      </w:r>
      <w:r w:rsidR="008B103B" w:rsidRPr="00A746F2">
        <w:rPr>
          <w:rFonts w:ascii="Avenir Book" w:hAnsi="Avenir Book" w:cs="Times New Roman"/>
          <w:bCs/>
          <w:sz w:val="22"/>
          <w:szCs w:val="22"/>
        </w:rPr>
        <w:t>are primarily responsible for infringing acts, not also scenarios in which (as it was the case here) it is the platform operators themselves that are primarily responsible for such acts.</w:t>
      </w:r>
    </w:p>
    <w:p w14:paraId="314E46F8" w14:textId="77777777" w:rsidR="00A324C8" w:rsidRDefault="00A324C8" w:rsidP="000B21F4">
      <w:pPr>
        <w:jc w:val="both"/>
        <w:rPr>
          <w:rFonts w:ascii="Avenir Book" w:hAnsi="Avenir Book" w:cs="Times New Roman"/>
          <w:sz w:val="22"/>
          <w:szCs w:val="22"/>
        </w:rPr>
      </w:pPr>
    </w:p>
    <w:p w14:paraId="3FA9A013" w14:textId="77777777" w:rsidR="00A324C8" w:rsidRPr="00A746F2" w:rsidRDefault="00A324C8" w:rsidP="000B21F4">
      <w:pPr>
        <w:jc w:val="both"/>
        <w:rPr>
          <w:rFonts w:ascii="Avenir Book" w:hAnsi="Avenir Book" w:cs="Times New Roman"/>
          <w:sz w:val="22"/>
          <w:szCs w:val="22"/>
        </w:rPr>
      </w:pPr>
    </w:p>
    <w:p w14:paraId="5179BEEC" w14:textId="4311FC00" w:rsidR="008B103B" w:rsidRPr="00A746F2" w:rsidRDefault="008B103B" w:rsidP="00861BAD">
      <w:pPr>
        <w:pStyle w:val="Heading1"/>
        <w:pBdr>
          <w:bottom w:val="single" w:sz="4" w:space="1" w:color="auto"/>
        </w:pBdr>
        <w:spacing w:before="0"/>
        <w:rPr>
          <w:rFonts w:ascii="Avenir Book" w:hAnsi="Avenir Book"/>
          <w:color w:val="auto"/>
          <w:sz w:val="22"/>
          <w:szCs w:val="22"/>
        </w:rPr>
      </w:pPr>
      <w:bookmarkStart w:id="2" w:name="_Toc361053681"/>
      <w:r w:rsidRPr="00A746F2">
        <w:rPr>
          <w:rFonts w:ascii="Avenir Book" w:hAnsi="Avenir Book"/>
          <w:color w:val="auto"/>
          <w:sz w:val="22"/>
          <w:szCs w:val="22"/>
        </w:rPr>
        <w:t>1.</w:t>
      </w:r>
      <w:r w:rsidRPr="00A746F2">
        <w:rPr>
          <w:rFonts w:ascii="Avenir Book" w:hAnsi="Avenir Book"/>
          <w:color w:val="auto"/>
          <w:sz w:val="22"/>
          <w:szCs w:val="22"/>
        </w:rPr>
        <w:tab/>
        <w:t xml:space="preserve">The right of communication to the public in the InfoSoc Directive and CJEU case law until </w:t>
      </w:r>
      <w:r w:rsidRPr="00A746F2">
        <w:rPr>
          <w:rFonts w:ascii="Avenir Book" w:hAnsi="Avenir Book"/>
          <w:i/>
          <w:color w:val="auto"/>
          <w:sz w:val="22"/>
          <w:szCs w:val="22"/>
        </w:rPr>
        <w:t>The Pirate Bay</w:t>
      </w:r>
      <w:bookmarkEnd w:id="2"/>
    </w:p>
    <w:p w14:paraId="33788335" w14:textId="77777777" w:rsidR="00A324C8" w:rsidRPr="00A746F2" w:rsidRDefault="00A324C8" w:rsidP="000B21F4">
      <w:pPr>
        <w:jc w:val="both"/>
        <w:rPr>
          <w:rFonts w:ascii="Avenir Book" w:hAnsi="Avenir Book" w:cs="Times New Roman"/>
          <w:i/>
          <w:sz w:val="22"/>
          <w:szCs w:val="22"/>
          <w:u w:val="single"/>
        </w:rPr>
      </w:pPr>
    </w:p>
    <w:p w14:paraId="2B8214E7" w14:textId="3C1C4F91"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lastRenderedPageBreak/>
        <w:t>At the international level the right of communication to the public received its first formulation in Article 11</w:t>
      </w:r>
      <w:r w:rsidRPr="00A746F2">
        <w:rPr>
          <w:rFonts w:ascii="Avenir Book" w:hAnsi="Avenir Book" w:cs="Times New Roman"/>
          <w:i/>
          <w:sz w:val="22"/>
          <w:szCs w:val="22"/>
        </w:rPr>
        <w:t>bis</w:t>
      </w:r>
      <w:r w:rsidRPr="00A746F2">
        <w:rPr>
          <w:rFonts w:ascii="Avenir Book" w:hAnsi="Avenir Book" w:cs="Times New Roman"/>
          <w:sz w:val="22"/>
          <w:szCs w:val="22"/>
        </w:rPr>
        <w:t xml:space="preserve"> of the Berne Convention, as first adopted in 1928 and subsequently revised with the Brussels Act 1948.</w:t>
      </w:r>
      <w:r w:rsidRPr="00A746F2">
        <w:rPr>
          <w:rStyle w:val="EndnoteReference"/>
          <w:rFonts w:ascii="Avenir Book" w:hAnsi="Avenir Book" w:cs="Times New Roman"/>
          <w:sz w:val="22"/>
          <w:szCs w:val="22"/>
        </w:rPr>
        <w:endnoteReference w:id="8"/>
      </w:r>
      <w:r w:rsidRPr="00A746F2">
        <w:rPr>
          <w:rFonts w:ascii="Avenir Book" w:hAnsi="Avenir Book" w:cs="Times New Roman"/>
          <w:sz w:val="22"/>
          <w:szCs w:val="22"/>
        </w:rPr>
        <w:t xml:space="preserve"> The WIPO Copyright Treaty 1996 (‘WCT’) supplemented the Berne Convention</w:t>
      </w:r>
      <w:r w:rsidRPr="00A746F2">
        <w:rPr>
          <w:rStyle w:val="EndnoteReference"/>
          <w:rFonts w:ascii="Avenir Book" w:hAnsi="Avenir Book" w:cs="Times New Roman"/>
          <w:sz w:val="22"/>
          <w:szCs w:val="22"/>
        </w:rPr>
        <w:endnoteReference w:id="9"/>
      </w:r>
      <w:r w:rsidRPr="00A746F2">
        <w:rPr>
          <w:rFonts w:ascii="Avenir Book" w:hAnsi="Avenir Book" w:cs="Times New Roman"/>
          <w:sz w:val="22"/>
          <w:szCs w:val="22"/>
        </w:rPr>
        <w:t>, and introduced the concept of ‘making available to the public’.</w:t>
      </w:r>
      <w:r w:rsidRPr="00A746F2">
        <w:rPr>
          <w:rStyle w:val="EndnoteReference"/>
          <w:rFonts w:ascii="Avenir Book" w:hAnsi="Avenir Book" w:cs="Times New Roman"/>
          <w:sz w:val="22"/>
          <w:szCs w:val="22"/>
        </w:rPr>
        <w:endnoteReference w:id="10"/>
      </w:r>
      <w:r w:rsidRPr="00A746F2">
        <w:rPr>
          <w:rFonts w:ascii="Avenir Book" w:hAnsi="Avenir Book" w:cs="Times New Roman"/>
          <w:sz w:val="22"/>
          <w:szCs w:val="22"/>
        </w:rPr>
        <w:t xml:space="preserve"> </w:t>
      </w:r>
    </w:p>
    <w:p w14:paraId="24A756C6" w14:textId="77777777" w:rsidR="008B103B" w:rsidRPr="00A746F2" w:rsidRDefault="008B103B" w:rsidP="000B21F4">
      <w:pPr>
        <w:jc w:val="both"/>
        <w:rPr>
          <w:rFonts w:ascii="Avenir Book" w:hAnsi="Avenir Book" w:cs="Times New Roman"/>
          <w:sz w:val="22"/>
          <w:szCs w:val="22"/>
        </w:rPr>
      </w:pPr>
    </w:p>
    <w:p w14:paraId="3F6AA7AA" w14:textId="23092A81" w:rsidR="008B103B" w:rsidRPr="00A746F2" w:rsidRDefault="008B103B" w:rsidP="000B21F4">
      <w:pPr>
        <w:jc w:val="both"/>
        <w:rPr>
          <w:rFonts w:ascii="Avenir Book" w:eastAsia="Times New Roman" w:hAnsi="Avenir Book" w:cs="Times New Roman"/>
          <w:sz w:val="22"/>
          <w:szCs w:val="22"/>
        </w:rPr>
      </w:pPr>
      <w:r w:rsidRPr="00A746F2">
        <w:rPr>
          <w:rFonts w:ascii="Avenir Book" w:hAnsi="Avenir Book" w:cs="Times New Roman"/>
          <w:sz w:val="22"/>
          <w:szCs w:val="22"/>
        </w:rPr>
        <w:t>The wording of Article 3(1) of the InfoSoc Directive is derived from Article 8 WCT.</w:t>
      </w:r>
      <w:r w:rsidRPr="00A746F2">
        <w:rPr>
          <w:rStyle w:val="EndnoteReference"/>
          <w:rFonts w:ascii="Avenir Book" w:hAnsi="Avenir Book" w:cs="Times New Roman"/>
          <w:sz w:val="22"/>
          <w:szCs w:val="22"/>
        </w:rPr>
        <w:endnoteReference w:id="11"/>
      </w:r>
      <w:r w:rsidRPr="00A746F2">
        <w:rPr>
          <w:rFonts w:ascii="Avenir Book" w:hAnsi="Avenir Book" w:cs="Times New Roman"/>
          <w:sz w:val="22"/>
          <w:szCs w:val="22"/>
        </w:rPr>
        <w:t xml:space="preserve"> However, Article 3(1) of the InfoSoc Directive </w:t>
      </w:r>
      <w:r w:rsidRPr="00A746F2">
        <w:rPr>
          <w:rFonts w:ascii="Avenir Book" w:eastAsia="Times New Roman" w:hAnsi="Avenir Book" w:cs="Times New Roman"/>
          <w:sz w:val="22"/>
          <w:szCs w:val="22"/>
          <w:shd w:val="clear" w:color="auto" w:fill="FFFFFF"/>
        </w:rPr>
        <w:t xml:space="preserve">does not define the concept of ‘communication to the public’. This provision, in fact, only states that </w:t>
      </w:r>
      <w:r w:rsidRPr="00A746F2">
        <w:rPr>
          <w:rFonts w:ascii="Avenir Book" w:hAnsi="Avenir Book" w:cs="Times New Roman"/>
          <w:sz w:val="22"/>
          <w:szCs w:val="22"/>
        </w:rPr>
        <w:t xml:space="preserve">EU “Member States shall </w:t>
      </w:r>
      <w:r w:rsidRPr="00A746F2">
        <w:rPr>
          <w:rFonts w:ascii="Avenir Book" w:eastAsia="Times New Roman" w:hAnsi="Avenir Book" w:cs="Times New Roman"/>
          <w:sz w:val="22"/>
          <w:szCs w:val="22"/>
        </w:rPr>
        <w:t xml:space="preserve">provide authors with the exclusive right to authorise or prohibit any communication to the public of their works, by wire or wireless means, including the making available to the public of their works in such a way that members of the public may access them from a place and at a time individually chosen by them.” </w:t>
      </w:r>
    </w:p>
    <w:p w14:paraId="42B89D41" w14:textId="77777777" w:rsidR="008B103B" w:rsidRPr="00A746F2" w:rsidRDefault="008B103B" w:rsidP="000B21F4">
      <w:pPr>
        <w:jc w:val="both"/>
        <w:rPr>
          <w:rFonts w:ascii="Avenir Book" w:eastAsia="Times New Roman" w:hAnsi="Avenir Book" w:cs="Times New Roman"/>
          <w:sz w:val="22"/>
          <w:szCs w:val="22"/>
        </w:rPr>
      </w:pPr>
    </w:p>
    <w:p w14:paraId="0EAAF10D" w14:textId="252549EA"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rPr>
        <w:t xml:space="preserve">Lacking a definition of the notion of ‘communication to the public’, the CJEU has sought to determine the meaning and scope of this concept </w:t>
      </w:r>
      <w:r w:rsidRPr="00A746F2">
        <w:rPr>
          <w:rFonts w:ascii="Avenir Book" w:eastAsia="Times New Roman" w:hAnsi="Avenir Book" w:cs="Times New Roman"/>
          <w:sz w:val="22"/>
          <w:szCs w:val="22"/>
          <w:shd w:val="clear" w:color="auto" w:fill="FFFFFF"/>
        </w:rPr>
        <w:t>in light of the objectives pursued by the InfoSoc Directive, notably to ensure a high level of protection of intellectual property (Recital 24) and for authors.</w:t>
      </w:r>
      <w:r w:rsidRPr="00A746F2">
        <w:rPr>
          <w:rStyle w:val="EndnoteReference"/>
          <w:rFonts w:ascii="Avenir Book" w:eastAsia="Times New Roman" w:hAnsi="Avenir Book" w:cs="Times New Roman"/>
          <w:sz w:val="22"/>
          <w:szCs w:val="22"/>
          <w:shd w:val="clear" w:color="auto" w:fill="FFFFFF"/>
        </w:rPr>
        <w:endnoteReference w:id="12"/>
      </w:r>
    </w:p>
    <w:p w14:paraId="48CEA231"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008357B0" w14:textId="5ECB2B59" w:rsidR="008B103B"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shd w:val="clear" w:color="auto" w:fill="FFFFFF"/>
        </w:rPr>
        <w:t>In its rich body of case law on Article 3(1) of the InfoSoc Directive (at the time of writing, the Court has issued nearly twenty decisions</w:t>
      </w:r>
      <w:r w:rsidRPr="00A746F2">
        <w:rPr>
          <w:rStyle w:val="EndnoteReference"/>
          <w:rFonts w:ascii="Avenir Book" w:eastAsia="Times New Roman" w:hAnsi="Avenir Book" w:cs="Times New Roman"/>
          <w:sz w:val="22"/>
          <w:szCs w:val="22"/>
          <w:shd w:val="clear" w:color="auto" w:fill="FFFFFF"/>
        </w:rPr>
        <w:endnoteReference w:id="13"/>
      </w:r>
      <w:r w:rsidRPr="00A746F2">
        <w:rPr>
          <w:rFonts w:ascii="Avenir Book" w:eastAsia="Times New Roman" w:hAnsi="Avenir Book" w:cs="Times New Roman"/>
          <w:sz w:val="22"/>
          <w:szCs w:val="22"/>
          <w:shd w:val="clear" w:color="auto" w:fill="FFFFFF"/>
        </w:rPr>
        <w:t xml:space="preserve">), the CJEU has consistently stated that the essential requirements of Article 3(1) are an ‘act of communication’, directed to a ‘public’. </w:t>
      </w:r>
      <w:r w:rsidRPr="00A746F2">
        <w:rPr>
          <w:rFonts w:ascii="Avenir Book" w:eastAsia="Times New Roman" w:hAnsi="Avenir Book" w:cs="Times New Roman"/>
          <w:sz w:val="22"/>
          <w:szCs w:val="22"/>
        </w:rPr>
        <w:t>In addition, the CJEU has also highlighted the importance of considering additional criteria</w:t>
      </w:r>
      <w:r w:rsidRPr="00A746F2">
        <w:rPr>
          <w:rFonts w:ascii="Avenir Book" w:eastAsia="Times New Roman" w:hAnsi="Avenir Book" w:cs="Times New Roman"/>
          <w:sz w:val="22"/>
          <w:szCs w:val="22"/>
          <w:shd w:val="clear" w:color="auto" w:fill="FFFFFF"/>
        </w:rPr>
        <w:t xml:space="preserve"> which are not autonomous and are interdependent, and may – in different situations – be present to widely varying degrees. Such criteria must be applied both individually and in their interaction with one another.</w:t>
      </w:r>
      <w:r w:rsidRPr="00A746F2">
        <w:rPr>
          <w:rStyle w:val="EndnoteReference"/>
          <w:rFonts w:ascii="Avenir Book" w:eastAsia="Times New Roman" w:hAnsi="Avenir Book" w:cs="Times New Roman"/>
          <w:sz w:val="22"/>
          <w:szCs w:val="22"/>
          <w:shd w:val="clear" w:color="auto" w:fill="FFFFFF"/>
        </w:rPr>
        <w:endnoteReference w:id="14"/>
      </w:r>
    </w:p>
    <w:p w14:paraId="696EDAFB" w14:textId="77777777" w:rsidR="00A324C8" w:rsidRDefault="00A324C8" w:rsidP="000B21F4">
      <w:pPr>
        <w:jc w:val="both"/>
        <w:rPr>
          <w:rFonts w:ascii="Avenir Book" w:eastAsia="Times New Roman" w:hAnsi="Avenir Book" w:cs="Times New Roman"/>
          <w:sz w:val="22"/>
          <w:szCs w:val="22"/>
          <w:shd w:val="clear" w:color="auto" w:fill="FFFFFF"/>
        </w:rPr>
      </w:pPr>
    </w:p>
    <w:p w14:paraId="70B68A46"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0FC1B96F" w14:textId="23218D4D" w:rsidR="008B103B" w:rsidRPr="00A324C8" w:rsidRDefault="008B103B" w:rsidP="00A324C8">
      <w:pPr>
        <w:pStyle w:val="Heading2"/>
        <w:pBdr>
          <w:bottom w:val="single" w:sz="4" w:space="1" w:color="auto"/>
        </w:pBdr>
        <w:spacing w:before="0"/>
        <w:rPr>
          <w:rFonts w:ascii="Avenir Book" w:hAnsi="Avenir Book"/>
          <w:color w:val="auto"/>
          <w:sz w:val="22"/>
          <w:szCs w:val="22"/>
        </w:rPr>
      </w:pPr>
      <w:bookmarkStart w:id="3" w:name="_Toc361053682"/>
      <w:r w:rsidRPr="00A746F2">
        <w:rPr>
          <w:rFonts w:ascii="Avenir Book" w:hAnsi="Avenir Book"/>
          <w:color w:val="auto"/>
          <w:sz w:val="22"/>
          <w:szCs w:val="22"/>
          <w:shd w:val="clear" w:color="auto" w:fill="FFFFFF"/>
        </w:rPr>
        <w:t>1.1.</w:t>
      </w:r>
      <w:r w:rsidRPr="00A746F2">
        <w:rPr>
          <w:rFonts w:ascii="Avenir Book" w:hAnsi="Avenir Book"/>
          <w:color w:val="auto"/>
          <w:sz w:val="22"/>
          <w:szCs w:val="22"/>
          <w:shd w:val="clear" w:color="auto" w:fill="FFFFFF"/>
        </w:rPr>
        <w:tab/>
        <w:t>Requirements and criteria under Article 3(1) of the InfoSoc Directive</w:t>
      </w:r>
      <w:r w:rsidRPr="00A746F2">
        <w:rPr>
          <w:rStyle w:val="EndnoteReference"/>
          <w:rFonts w:ascii="Avenir Book" w:eastAsia="Times New Roman" w:hAnsi="Avenir Book" w:cs="Times New Roman"/>
          <w:b w:val="0"/>
          <w:color w:val="auto"/>
          <w:sz w:val="22"/>
          <w:szCs w:val="22"/>
          <w:shd w:val="clear" w:color="auto" w:fill="FFFFFF"/>
        </w:rPr>
        <w:endnoteReference w:id="15"/>
      </w:r>
      <w:bookmarkEnd w:id="3"/>
    </w:p>
    <w:p w14:paraId="6068966C" w14:textId="77777777" w:rsidR="00A324C8" w:rsidRPr="00A746F2" w:rsidRDefault="00A324C8" w:rsidP="000B21F4">
      <w:pPr>
        <w:jc w:val="both"/>
        <w:rPr>
          <w:rFonts w:ascii="Avenir Book" w:eastAsia="Times New Roman" w:hAnsi="Avenir Book" w:cs="Times New Roman"/>
          <w:sz w:val="22"/>
          <w:szCs w:val="22"/>
          <w:shd w:val="clear" w:color="auto" w:fill="FFFFFF"/>
        </w:rPr>
      </w:pPr>
    </w:p>
    <w:p w14:paraId="02721D30" w14:textId="6B63A020" w:rsidR="008B103B" w:rsidRPr="00A746F2" w:rsidRDefault="008B103B" w:rsidP="000B21F4">
      <w:pPr>
        <w:jc w:val="both"/>
        <w:rPr>
          <w:rFonts w:ascii="Avenir Book" w:eastAsia="Times New Roman" w:hAnsi="Avenir Book" w:cs="Times New Roman"/>
          <w:sz w:val="22"/>
          <w:szCs w:val="22"/>
        </w:rPr>
      </w:pPr>
      <w:r w:rsidRPr="00A746F2">
        <w:rPr>
          <w:rFonts w:ascii="Avenir Book" w:hAnsi="Avenir Book" w:cs="Times New Roman"/>
          <w:sz w:val="22"/>
          <w:szCs w:val="22"/>
        </w:rPr>
        <w:t xml:space="preserve">Starting from the understanding of ‘public’, this is an indeterminate and fairly large (above </w:t>
      </w:r>
      <w:r w:rsidRPr="00A746F2">
        <w:rPr>
          <w:rFonts w:ascii="Avenir Book" w:hAnsi="Avenir Book" w:cs="Times New Roman"/>
          <w:i/>
          <w:sz w:val="22"/>
          <w:szCs w:val="22"/>
        </w:rPr>
        <w:t>de minimis</w:t>
      </w:r>
      <w:r w:rsidRPr="00A746F2">
        <w:rPr>
          <w:rFonts w:ascii="Avenir Book" w:hAnsi="Avenir Book" w:cs="Times New Roman"/>
          <w:sz w:val="22"/>
          <w:szCs w:val="22"/>
        </w:rPr>
        <w:t>) number of people.</w:t>
      </w:r>
      <w:r w:rsidRPr="00A746F2">
        <w:rPr>
          <w:rStyle w:val="EndnoteReference"/>
          <w:rFonts w:ascii="Avenir Book" w:hAnsi="Avenir Book" w:cs="Times New Roman"/>
          <w:sz w:val="22"/>
          <w:szCs w:val="22"/>
        </w:rPr>
        <w:endnoteReference w:id="16"/>
      </w:r>
      <w:r w:rsidRPr="00A746F2">
        <w:rPr>
          <w:rFonts w:ascii="Avenir Book" w:hAnsi="Avenir Book" w:cs="Times New Roman"/>
          <w:sz w:val="22"/>
          <w:szCs w:val="22"/>
        </w:rPr>
        <w:t xml:space="preserve"> In the case of</w:t>
      </w:r>
      <w:r w:rsidRPr="00A746F2">
        <w:rPr>
          <w:rFonts w:ascii="Avenir Book" w:eastAsia="Times New Roman" w:hAnsi="Avenir Book" w:cs="Times New Roman"/>
          <w:sz w:val="22"/>
          <w:szCs w:val="22"/>
        </w:rPr>
        <w:t xml:space="preserve"> a communication concerning the same works as those covered by the initial communication and made</w:t>
      </w:r>
      <w:r w:rsidR="007A1656">
        <w:rPr>
          <w:rFonts w:ascii="Avenir Book" w:eastAsia="Times New Roman" w:hAnsi="Avenir Book" w:cs="Times New Roman"/>
          <w:sz w:val="22"/>
          <w:szCs w:val="22"/>
        </w:rPr>
        <w:t xml:space="preserve"> by the same technical means (e.g.</w:t>
      </w:r>
      <w:r w:rsidRPr="00A746F2">
        <w:rPr>
          <w:rFonts w:ascii="Avenir Book" w:eastAsia="Times New Roman" w:hAnsi="Avenir Book" w:cs="Times New Roman"/>
          <w:sz w:val="22"/>
          <w:szCs w:val="22"/>
        </w:rPr>
        <w:t xml:space="preserve"> internet), the communication must be directed to a ‘new’ public. This is a public </w:t>
      </w:r>
      <w:r w:rsidR="001C5A24">
        <w:rPr>
          <w:rFonts w:ascii="Avenir Book" w:eastAsia="Times New Roman" w:hAnsi="Avenir Book" w:cs="Times New Roman"/>
          <w:sz w:val="22"/>
          <w:szCs w:val="22"/>
        </w:rPr>
        <w:t>which</w:t>
      </w:r>
      <w:r w:rsidRPr="00A746F2">
        <w:rPr>
          <w:rFonts w:ascii="Avenir Book" w:eastAsia="Times New Roman" w:hAnsi="Avenir Book" w:cs="Times New Roman"/>
          <w:sz w:val="22"/>
          <w:szCs w:val="22"/>
        </w:rPr>
        <w:t xml:space="preserve"> was not taken into account by the relevant rightholder when </w:t>
      </w:r>
      <w:r w:rsidR="00413A56">
        <w:rPr>
          <w:rFonts w:ascii="Avenir Book" w:eastAsia="Times New Roman" w:hAnsi="Avenir Book" w:cs="Times New Roman"/>
          <w:sz w:val="22"/>
          <w:szCs w:val="22"/>
        </w:rPr>
        <w:t>it</w:t>
      </w:r>
      <w:r w:rsidRPr="00A746F2">
        <w:rPr>
          <w:rFonts w:ascii="Avenir Book" w:eastAsia="Times New Roman" w:hAnsi="Avenir Book" w:cs="Times New Roman"/>
          <w:sz w:val="22"/>
          <w:szCs w:val="22"/>
        </w:rPr>
        <w:t xml:space="preserve"> authorized the initial communication to the public.</w:t>
      </w:r>
      <w:r w:rsidRPr="00A746F2">
        <w:rPr>
          <w:rStyle w:val="EndnoteReference"/>
          <w:rFonts w:ascii="Avenir Book" w:eastAsia="Times New Roman" w:hAnsi="Avenir Book" w:cs="Times New Roman"/>
          <w:sz w:val="22"/>
          <w:szCs w:val="22"/>
        </w:rPr>
        <w:endnoteReference w:id="17"/>
      </w:r>
      <w:r w:rsidRPr="00A746F2">
        <w:rPr>
          <w:rFonts w:ascii="Avenir Book" w:eastAsia="Times New Roman" w:hAnsi="Avenir Book" w:cs="Times New Roman"/>
          <w:sz w:val="22"/>
          <w:szCs w:val="22"/>
        </w:rPr>
        <w:t xml:space="preserve">  </w:t>
      </w:r>
    </w:p>
    <w:p w14:paraId="1CD069A8"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37E804A3" w14:textId="7ED806DF"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shd w:val="clear" w:color="auto" w:fill="FFFFFF"/>
        </w:rPr>
        <w:t xml:space="preserve">With regard to the notion of ‘act of communication’, case law appears now solidly oriented in the sense of requiring the mere making available of a copyright </w:t>
      </w:r>
      <w:r w:rsidRPr="00A746F2">
        <w:rPr>
          <w:rFonts w:ascii="Avenir Book" w:hAnsi="Avenir Book" w:cs="Times New Roman"/>
          <w:sz w:val="22"/>
          <w:szCs w:val="22"/>
        </w:rPr>
        <w:t>work – not also its actual transmission</w:t>
      </w:r>
      <w:r w:rsidRPr="00A746F2">
        <w:rPr>
          <w:rStyle w:val="EndnoteReference"/>
          <w:rFonts w:ascii="Avenir Book" w:hAnsi="Avenir Book" w:cs="Times New Roman"/>
          <w:sz w:val="22"/>
          <w:szCs w:val="22"/>
        </w:rPr>
        <w:endnoteReference w:id="18"/>
      </w:r>
      <w:r w:rsidRPr="00A746F2">
        <w:rPr>
          <w:rFonts w:ascii="Avenir Book" w:hAnsi="Avenir Book" w:cs="Times New Roman"/>
          <w:sz w:val="22"/>
          <w:szCs w:val="22"/>
        </w:rPr>
        <w:t xml:space="preserve"> – in such a way that the persons forming the public may access it, irrespective of whether they avail themselves of such opportunity</w:t>
      </w:r>
      <w:r w:rsidRPr="00A746F2">
        <w:rPr>
          <w:rFonts w:ascii="Avenir Book" w:eastAsia="Times New Roman" w:hAnsi="Avenir Book" w:cs="Times New Roman"/>
          <w:sz w:val="22"/>
          <w:szCs w:val="22"/>
          <w:shd w:val="clear" w:color="auto" w:fill="FFFFFF"/>
        </w:rPr>
        <w:t>.</w:t>
      </w:r>
      <w:r w:rsidRPr="00A746F2">
        <w:rPr>
          <w:rStyle w:val="EndnoteReference"/>
          <w:rFonts w:ascii="Avenir Book" w:eastAsia="Times New Roman" w:hAnsi="Avenir Book" w:cs="Times New Roman"/>
          <w:sz w:val="22"/>
          <w:szCs w:val="22"/>
          <w:shd w:val="clear" w:color="auto" w:fill="FFFFFF"/>
        </w:rPr>
        <w:endnoteReference w:id="19"/>
      </w:r>
      <w:r w:rsidRPr="00A746F2">
        <w:rPr>
          <w:rFonts w:ascii="Avenir Book" w:eastAsia="Times New Roman" w:hAnsi="Avenir Book" w:cs="Times New Roman"/>
          <w:sz w:val="22"/>
          <w:szCs w:val="22"/>
          <w:shd w:val="clear" w:color="auto" w:fill="FFFFFF"/>
        </w:rPr>
        <w:t xml:space="preserve"> </w:t>
      </w:r>
      <w:r w:rsidRPr="00A746F2">
        <w:rPr>
          <w:rFonts w:ascii="Avenir Book" w:hAnsi="Avenir Book" w:cs="Times New Roman"/>
          <w:sz w:val="22"/>
          <w:szCs w:val="22"/>
        </w:rPr>
        <w:t>In cases where the CJEU has held the making available of a work sufficient, the Court has however indicated the need to consider whether there is a necessary and deliberate intervention on the side of the user/defendant, without which third parties could not access the work</w:t>
      </w:r>
      <w:r w:rsidR="00413A56">
        <w:rPr>
          <w:rFonts w:ascii="Avenir Book" w:hAnsi="Avenir Book" w:cs="Times New Roman"/>
          <w:sz w:val="22"/>
          <w:szCs w:val="22"/>
        </w:rPr>
        <w:t xml:space="preserve"> at issue</w:t>
      </w:r>
      <w:r w:rsidRPr="00A746F2">
        <w:rPr>
          <w:rFonts w:ascii="Avenir Book" w:hAnsi="Avenir Book" w:cs="Times New Roman"/>
          <w:sz w:val="22"/>
          <w:szCs w:val="22"/>
        </w:rPr>
        <w:t xml:space="preserve">. More specifically, </w:t>
      </w:r>
      <w:r w:rsidRPr="00A746F2">
        <w:rPr>
          <w:rFonts w:ascii="Avenir Book" w:eastAsia="Times New Roman" w:hAnsi="Avenir Book" w:cs="Times New Roman"/>
          <w:sz w:val="22"/>
          <w:szCs w:val="22"/>
          <w:shd w:val="clear" w:color="auto" w:fill="FFFFFF"/>
        </w:rPr>
        <w:t xml:space="preserve">the user makes an act of communication when </w:t>
      </w:r>
      <w:r w:rsidR="001C5A24">
        <w:rPr>
          <w:rFonts w:ascii="Avenir Book" w:eastAsia="Times New Roman" w:hAnsi="Avenir Book" w:cs="Times New Roman"/>
          <w:sz w:val="22"/>
          <w:szCs w:val="22"/>
          <w:shd w:val="clear" w:color="auto" w:fill="FFFFFF"/>
        </w:rPr>
        <w:t>it</w:t>
      </w:r>
      <w:r w:rsidR="00063C66">
        <w:rPr>
          <w:rFonts w:ascii="Avenir Book" w:eastAsia="Times New Roman" w:hAnsi="Avenir Book" w:cs="Times New Roman"/>
          <w:sz w:val="22"/>
          <w:szCs w:val="22"/>
          <w:shd w:val="clear" w:color="auto" w:fill="FFFFFF"/>
        </w:rPr>
        <w:t xml:space="preserve"> intervenes –</w:t>
      </w:r>
      <w:r w:rsidRPr="00A746F2">
        <w:rPr>
          <w:rFonts w:ascii="Avenir Book" w:eastAsia="Times New Roman" w:hAnsi="Avenir Book" w:cs="Times New Roman"/>
          <w:sz w:val="22"/>
          <w:szCs w:val="22"/>
          <w:shd w:val="clear" w:color="auto" w:fill="FFFFFF"/>
        </w:rPr>
        <w:t xml:space="preserve"> in full knowledge of</w:t>
      </w:r>
      <w:r w:rsidR="00063C66">
        <w:rPr>
          <w:rFonts w:ascii="Avenir Book" w:eastAsia="Times New Roman" w:hAnsi="Avenir Book" w:cs="Times New Roman"/>
          <w:sz w:val="22"/>
          <w:szCs w:val="22"/>
          <w:shd w:val="clear" w:color="auto" w:fill="FFFFFF"/>
        </w:rPr>
        <w:t xml:space="preserve"> the consequences of its action –</w:t>
      </w:r>
      <w:r w:rsidRPr="00A746F2">
        <w:rPr>
          <w:rFonts w:ascii="Avenir Book" w:eastAsia="Times New Roman" w:hAnsi="Avenir Book" w:cs="Times New Roman"/>
          <w:sz w:val="22"/>
          <w:szCs w:val="22"/>
          <w:shd w:val="clear" w:color="auto" w:fill="FFFFFF"/>
        </w:rPr>
        <w:t xml:space="preserve"> to give access to a protected work to its customers, and does so, in particular, where, in the absence of that intervention, its customers would not, in principle, be able to enjoy the work.</w:t>
      </w:r>
      <w:r w:rsidRPr="00A746F2">
        <w:rPr>
          <w:rStyle w:val="EndnoteReference"/>
          <w:rFonts w:ascii="Avenir Book" w:hAnsi="Avenir Book" w:cs="Times New Roman"/>
          <w:sz w:val="22"/>
          <w:szCs w:val="22"/>
        </w:rPr>
        <w:endnoteReference w:id="20"/>
      </w:r>
    </w:p>
    <w:p w14:paraId="28F2DFE9"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496B5C58" w14:textId="2B635554" w:rsidR="008B103B" w:rsidRPr="00A746F2" w:rsidRDefault="008B103B" w:rsidP="000B21F4">
      <w:pPr>
        <w:jc w:val="both"/>
        <w:rPr>
          <w:rFonts w:ascii="Avenir Book" w:hAnsi="Avenir Book" w:cs="Times New Roman"/>
          <w:sz w:val="22"/>
          <w:szCs w:val="22"/>
        </w:rPr>
      </w:pPr>
      <w:r w:rsidRPr="00A746F2">
        <w:rPr>
          <w:rFonts w:ascii="Avenir Book" w:eastAsia="Times New Roman" w:hAnsi="Avenir Book" w:cs="Times New Roman"/>
          <w:sz w:val="22"/>
          <w:szCs w:val="22"/>
          <w:shd w:val="clear" w:color="auto" w:fill="FFFFFF"/>
        </w:rPr>
        <w:t xml:space="preserve">With particular regard to the notion of indispensability of one’s own intervention, in its 2017 decision in </w:t>
      </w:r>
      <w:r w:rsidRPr="00A746F2">
        <w:rPr>
          <w:rFonts w:ascii="Avenir Book" w:eastAsia="Times New Roman" w:hAnsi="Avenir Book" w:cs="Times New Roman"/>
          <w:i/>
          <w:sz w:val="22"/>
          <w:szCs w:val="22"/>
          <w:shd w:val="clear" w:color="auto" w:fill="FFFFFF"/>
        </w:rPr>
        <w:t>Filmspeler</w:t>
      </w:r>
      <w:r w:rsidRPr="00A746F2">
        <w:rPr>
          <w:rFonts w:ascii="Avenir Book" w:eastAsia="Times New Roman" w:hAnsi="Avenir Book" w:cs="Times New Roman"/>
          <w:sz w:val="22"/>
          <w:szCs w:val="22"/>
          <w:shd w:val="clear" w:color="auto" w:fill="FFFFFF"/>
        </w:rPr>
        <w:t xml:space="preserve">, </w:t>
      </w:r>
      <w:r w:rsidRPr="00A746F2">
        <w:rPr>
          <w:rFonts w:ascii="Avenir Book" w:hAnsi="Avenir Book" w:cs="Times New Roman"/>
          <w:sz w:val="22"/>
          <w:szCs w:val="22"/>
          <w:shd w:val="clear" w:color="auto" w:fill="FFFFFF"/>
        </w:rPr>
        <w:t xml:space="preserve">the CJEU held that </w:t>
      </w:r>
      <w:r w:rsidRPr="00A746F2">
        <w:rPr>
          <w:rFonts w:ascii="Avenir Book" w:hAnsi="Avenir Book" w:cs="Times New Roman"/>
          <w:sz w:val="22"/>
          <w:szCs w:val="22"/>
        </w:rPr>
        <w:t xml:space="preserve">the concept of ‘communication to the public’ must be </w:t>
      </w:r>
      <w:r w:rsidR="001C5A24">
        <w:rPr>
          <w:rFonts w:ascii="Avenir Book" w:hAnsi="Avenir Book" w:cs="Times New Roman"/>
          <w:sz w:val="22"/>
          <w:szCs w:val="22"/>
        </w:rPr>
        <w:t>intended</w:t>
      </w:r>
      <w:r w:rsidRPr="00A746F2">
        <w:rPr>
          <w:rFonts w:ascii="Avenir Book" w:hAnsi="Avenir Book" w:cs="Times New Roman"/>
          <w:sz w:val="22"/>
          <w:szCs w:val="22"/>
        </w:rPr>
        <w:t xml:space="preserve"> as covering the sale of a multimedia player on which there are pre-installed add-ons, available on the internet, containing hyperlinks to </w:t>
      </w:r>
      <w:r w:rsidR="007A1656">
        <w:rPr>
          <w:rFonts w:ascii="Avenir Book" w:hAnsi="Avenir Book" w:cs="Times New Roman"/>
          <w:sz w:val="22"/>
          <w:szCs w:val="22"/>
        </w:rPr>
        <w:t>freely accessible websites</w:t>
      </w:r>
      <w:r w:rsidRPr="00A746F2">
        <w:rPr>
          <w:rFonts w:ascii="Avenir Book" w:hAnsi="Avenir Book" w:cs="Times New Roman"/>
          <w:sz w:val="22"/>
          <w:szCs w:val="22"/>
        </w:rPr>
        <w:t xml:space="preserve"> on which copyright works have been made available to the public without the co</w:t>
      </w:r>
      <w:r w:rsidR="00961FAB">
        <w:rPr>
          <w:rFonts w:ascii="Avenir Book" w:hAnsi="Avenir Book" w:cs="Times New Roman"/>
          <w:sz w:val="22"/>
          <w:szCs w:val="22"/>
        </w:rPr>
        <w:t>nsent of the rightholders. The C</w:t>
      </w:r>
      <w:r w:rsidRPr="00A746F2">
        <w:rPr>
          <w:rFonts w:ascii="Avenir Book" w:hAnsi="Avenir Book" w:cs="Times New Roman"/>
          <w:sz w:val="22"/>
          <w:szCs w:val="22"/>
        </w:rPr>
        <w:t xml:space="preserve">ourt held that an intervention like the one of the provider of a multimedia player is to be regarded as </w:t>
      </w:r>
      <w:r w:rsidRPr="00A746F2">
        <w:rPr>
          <w:rFonts w:ascii="Avenir Book" w:hAnsi="Avenir Book" w:cs="Times New Roman"/>
          <w:i/>
          <w:sz w:val="22"/>
          <w:szCs w:val="22"/>
        </w:rPr>
        <w:t>facilitating</w:t>
      </w:r>
      <w:r w:rsidRPr="00A746F2">
        <w:rPr>
          <w:rFonts w:ascii="Avenir Book" w:hAnsi="Avenir Book" w:cs="Times New Roman"/>
          <w:sz w:val="22"/>
          <w:szCs w:val="22"/>
        </w:rPr>
        <w:t xml:space="preserve"> access to unlicensed content that would be otherwise more diff</w:t>
      </w:r>
      <w:r w:rsidR="001C5A24">
        <w:rPr>
          <w:rFonts w:ascii="Avenir Book" w:hAnsi="Avenir Book" w:cs="Times New Roman"/>
          <w:sz w:val="22"/>
          <w:szCs w:val="22"/>
        </w:rPr>
        <w:t xml:space="preserve">icult to locate. Accordingly, an intervention </w:t>
      </w:r>
      <w:r w:rsidRPr="00A746F2">
        <w:rPr>
          <w:rFonts w:ascii="Avenir Book" w:hAnsi="Avenir Book" w:cs="Times New Roman"/>
          <w:sz w:val="22"/>
          <w:szCs w:val="22"/>
        </w:rPr>
        <w:t>of this kind fall</w:t>
      </w:r>
      <w:r w:rsidR="001C5A24">
        <w:rPr>
          <w:rFonts w:ascii="Avenir Book" w:hAnsi="Avenir Book" w:cs="Times New Roman"/>
          <w:sz w:val="22"/>
          <w:szCs w:val="22"/>
        </w:rPr>
        <w:t>s</w:t>
      </w:r>
      <w:r w:rsidRPr="00A746F2">
        <w:rPr>
          <w:rFonts w:ascii="Avenir Book" w:hAnsi="Avenir Book" w:cs="Times New Roman"/>
          <w:sz w:val="22"/>
          <w:szCs w:val="22"/>
        </w:rPr>
        <w:t xml:space="preserve"> within the scope of Article 3(1) of the InfoSoc Directive. </w:t>
      </w:r>
    </w:p>
    <w:p w14:paraId="40022377" w14:textId="77777777" w:rsidR="008B103B" w:rsidRPr="00A746F2" w:rsidRDefault="008B103B" w:rsidP="000B21F4">
      <w:pPr>
        <w:jc w:val="both"/>
        <w:rPr>
          <w:rFonts w:ascii="Avenir Book" w:hAnsi="Avenir Book" w:cs="Times New Roman"/>
          <w:sz w:val="22"/>
          <w:szCs w:val="22"/>
        </w:rPr>
      </w:pPr>
    </w:p>
    <w:p w14:paraId="6B2723A2" w14:textId="194C5355" w:rsidR="008B103B" w:rsidRPr="00A746F2" w:rsidRDefault="008B103B" w:rsidP="000B21F4">
      <w:pPr>
        <w:pStyle w:val="FootnoteText"/>
        <w:jc w:val="both"/>
        <w:rPr>
          <w:rFonts w:ascii="Avenir Book" w:hAnsi="Avenir Book" w:cs="Times New Roman"/>
          <w:sz w:val="22"/>
          <w:szCs w:val="22"/>
          <w:lang w:val="en-GB"/>
        </w:rPr>
      </w:pPr>
      <w:r w:rsidRPr="00A746F2">
        <w:rPr>
          <w:rFonts w:ascii="Avenir Book" w:hAnsi="Avenir Book" w:cs="Times New Roman"/>
          <w:sz w:val="22"/>
          <w:szCs w:val="22"/>
        </w:rPr>
        <w:t xml:space="preserve">Another criterion considered by the CJEU is whether </w:t>
      </w:r>
      <w:r w:rsidR="00413A56">
        <w:rPr>
          <w:rFonts w:ascii="Avenir Book" w:hAnsi="Avenir Book" w:cs="Times New Roman"/>
          <w:sz w:val="22"/>
          <w:szCs w:val="22"/>
        </w:rPr>
        <w:t>the user/defendant</w:t>
      </w:r>
      <w:r w:rsidRPr="00A746F2">
        <w:rPr>
          <w:rFonts w:ascii="Avenir Book" w:hAnsi="Avenir Book" w:cs="Times New Roman"/>
          <w:sz w:val="22"/>
          <w:szCs w:val="22"/>
        </w:rPr>
        <w:t xml:space="preserve"> merely provides physical facilities or not. While </w:t>
      </w:r>
      <w:r w:rsidRPr="00A746F2">
        <w:rPr>
          <w:rFonts w:ascii="Avenir Book" w:hAnsi="Avenir Book" w:cs="Times New Roman"/>
          <w:sz w:val="22"/>
          <w:szCs w:val="22"/>
          <w:lang w:val="en-GB"/>
        </w:rPr>
        <w:t>the mere provision of physical facilities does not amount to an act of communication to the public (Recital 27), the installation of such facilities may make the public access to copyright works technically possible, and thus fall within the scope of Article 3(1) of the InfoSoc Directive.</w:t>
      </w:r>
      <w:r w:rsidRPr="00A746F2">
        <w:rPr>
          <w:rStyle w:val="EndnoteReference"/>
          <w:rFonts w:ascii="Avenir Book" w:hAnsi="Avenir Book" w:cs="Times New Roman"/>
          <w:sz w:val="22"/>
          <w:szCs w:val="22"/>
          <w:lang w:val="en-GB"/>
        </w:rPr>
        <w:endnoteReference w:id="21"/>
      </w:r>
      <w:r w:rsidRPr="00A746F2">
        <w:rPr>
          <w:rFonts w:ascii="Avenir Book" w:hAnsi="Avenir Book" w:cs="Times New Roman"/>
          <w:sz w:val="22"/>
          <w:szCs w:val="22"/>
          <w:lang w:val="en-GB"/>
        </w:rPr>
        <w:t xml:space="preserve"> </w:t>
      </w:r>
    </w:p>
    <w:p w14:paraId="2042B877" w14:textId="77777777" w:rsidR="008B103B" w:rsidRPr="00A746F2" w:rsidRDefault="008B103B" w:rsidP="000B21F4">
      <w:pPr>
        <w:pStyle w:val="FootnoteText"/>
        <w:jc w:val="both"/>
        <w:rPr>
          <w:rFonts w:ascii="Avenir Book" w:hAnsi="Avenir Book" w:cs="Times New Roman"/>
          <w:sz w:val="22"/>
          <w:szCs w:val="22"/>
          <w:lang w:val="en-GB"/>
        </w:rPr>
      </w:pPr>
    </w:p>
    <w:p w14:paraId="32A7232A" w14:textId="11218EC8" w:rsidR="008B103B" w:rsidRPr="000B21F4" w:rsidRDefault="008B103B" w:rsidP="000B21F4">
      <w:pPr>
        <w:jc w:val="both"/>
        <w:rPr>
          <w:rFonts w:ascii="Avenir Book" w:eastAsia="Times New Roman" w:hAnsi="Avenir Book" w:cs="Times New Roman"/>
          <w:sz w:val="22"/>
          <w:szCs w:val="22"/>
        </w:rPr>
      </w:pPr>
      <w:r w:rsidRPr="00A746F2">
        <w:rPr>
          <w:rFonts w:ascii="Avenir Book" w:hAnsi="Avenir Book" w:cs="Times New Roman"/>
          <w:sz w:val="22"/>
          <w:szCs w:val="22"/>
        </w:rPr>
        <w:t xml:space="preserve">In the recent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decision (a case concerning the treatment of linking to unlic</w:t>
      </w:r>
      <w:r w:rsidR="00063C66">
        <w:rPr>
          <w:rFonts w:ascii="Avenir Book" w:hAnsi="Avenir Book" w:cs="Times New Roman"/>
          <w:sz w:val="22"/>
          <w:szCs w:val="22"/>
        </w:rPr>
        <w:t xml:space="preserve">ensed content) the Court, among other things, relied </w:t>
      </w:r>
      <w:r w:rsidRPr="00A746F2">
        <w:rPr>
          <w:rFonts w:ascii="Avenir Book" w:hAnsi="Avenir Book" w:cs="Times New Roman"/>
          <w:sz w:val="22"/>
          <w:szCs w:val="22"/>
        </w:rPr>
        <w:t xml:space="preserve">on the ‘profit-making’ character of the communication at issue to determine potential liability of the ‘hyperlinker’ for the posting of links to unlicensed content. The Court adopted </w:t>
      </w:r>
      <w:r w:rsidRPr="00A746F2">
        <w:rPr>
          <w:rFonts w:ascii="Avenir Book" w:eastAsia="Times New Roman" w:hAnsi="Avenir Book" w:cs="Times New Roman"/>
          <w:sz w:val="22"/>
          <w:szCs w:val="22"/>
          <w:shd w:val="clear" w:color="auto" w:fill="FFFFFF"/>
        </w:rPr>
        <w:t>a rebuttable presumption that "when the posting of hyperlinks is carried out for profit, it can be expected that the person who posted such a link carries out the necessary checks to ensure that the work concerned is not illegally published on the website to which those hyperlinks lead, so that it must be presumed that that posting has occurred with the full knowledge of the protected nature of that work and the possible lack of consent to publication on the internet by the copyright holder."</w:t>
      </w:r>
      <w:r w:rsidRPr="00A746F2">
        <w:rPr>
          <w:rStyle w:val="EndnoteReference"/>
          <w:rFonts w:ascii="Avenir Book" w:eastAsia="Times New Roman" w:hAnsi="Avenir Book" w:cs="Times New Roman"/>
          <w:sz w:val="22"/>
          <w:szCs w:val="22"/>
          <w:shd w:val="clear" w:color="auto" w:fill="FFFFFF"/>
        </w:rPr>
        <w:endnoteReference w:id="22"/>
      </w:r>
      <w:r w:rsidRPr="00A746F2">
        <w:rPr>
          <w:rFonts w:ascii="Avenir Book" w:eastAsia="Times New Roman" w:hAnsi="Avenir Book" w:cs="Times New Roman"/>
          <w:sz w:val="22"/>
          <w:szCs w:val="22"/>
          <w:shd w:val="clear" w:color="auto" w:fill="FFFFFF"/>
        </w:rPr>
        <w:t xml:space="preserve"> The operation of this presumption was confirmed in the </w:t>
      </w:r>
      <w:r w:rsidR="00413A56">
        <w:rPr>
          <w:rFonts w:ascii="Avenir Book" w:eastAsia="Times New Roman" w:hAnsi="Avenir Book" w:cs="Times New Roman"/>
          <w:sz w:val="22"/>
          <w:szCs w:val="22"/>
          <w:shd w:val="clear" w:color="auto" w:fill="FFFFFF"/>
        </w:rPr>
        <w:t>subsequent</w:t>
      </w:r>
      <w:r w:rsidRPr="00A746F2">
        <w:rPr>
          <w:rFonts w:ascii="Avenir Book" w:eastAsia="Times New Roman" w:hAnsi="Avenir Book" w:cs="Times New Roman"/>
          <w:sz w:val="22"/>
          <w:szCs w:val="22"/>
          <w:shd w:val="clear" w:color="auto" w:fill="FFFFFF"/>
        </w:rPr>
        <w:t xml:space="preserve"> </w:t>
      </w:r>
      <w:r w:rsidRPr="00A746F2">
        <w:rPr>
          <w:rFonts w:ascii="Avenir Book" w:eastAsia="Times New Roman" w:hAnsi="Avenir Book" w:cs="Times New Roman"/>
          <w:i/>
          <w:sz w:val="22"/>
          <w:szCs w:val="22"/>
          <w:shd w:val="clear" w:color="auto" w:fill="FFFFFF"/>
        </w:rPr>
        <w:t>Filmspeler</w:t>
      </w:r>
      <w:r w:rsidRPr="00A746F2">
        <w:rPr>
          <w:rFonts w:ascii="Avenir Book" w:eastAsia="Times New Roman" w:hAnsi="Avenir Book" w:cs="Times New Roman"/>
          <w:sz w:val="22"/>
          <w:szCs w:val="22"/>
          <w:shd w:val="clear" w:color="auto" w:fill="FFFFFF"/>
        </w:rPr>
        <w:t xml:space="preserve"> judgment.</w:t>
      </w:r>
      <w:r w:rsidRPr="00A746F2">
        <w:rPr>
          <w:rStyle w:val="EndnoteReference"/>
          <w:rFonts w:ascii="Avenir Book" w:eastAsia="Times New Roman" w:hAnsi="Avenir Book" w:cs="Times New Roman"/>
          <w:sz w:val="22"/>
          <w:szCs w:val="22"/>
          <w:shd w:val="clear" w:color="auto" w:fill="FFFFFF"/>
        </w:rPr>
        <w:endnoteReference w:id="23"/>
      </w:r>
    </w:p>
    <w:p w14:paraId="66DD4BF0" w14:textId="77777777" w:rsidR="000B21F4" w:rsidRDefault="000B21F4" w:rsidP="000B21F4">
      <w:pPr>
        <w:jc w:val="both"/>
        <w:rPr>
          <w:rFonts w:ascii="Avenir Book" w:eastAsia="Times New Roman" w:hAnsi="Avenir Book" w:cs="Times New Roman"/>
          <w:sz w:val="22"/>
          <w:szCs w:val="22"/>
          <w:shd w:val="clear" w:color="auto" w:fill="FFFFFF"/>
        </w:rPr>
      </w:pPr>
    </w:p>
    <w:p w14:paraId="5CD3C678" w14:textId="77777777" w:rsidR="00A324C8" w:rsidRPr="00A746F2" w:rsidRDefault="00A324C8" w:rsidP="000B21F4">
      <w:pPr>
        <w:jc w:val="both"/>
        <w:rPr>
          <w:rFonts w:ascii="Avenir Book" w:eastAsia="Times New Roman" w:hAnsi="Avenir Book" w:cs="Times New Roman"/>
          <w:sz w:val="22"/>
          <w:szCs w:val="22"/>
          <w:shd w:val="clear" w:color="auto" w:fill="FFFFFF"/>
        </w:rPr>
      </w:pPr>
    </w:p>
    <w:p w14:paraId="60931354" w14:textId="505C4139" w:rsidR="008B103B" w:rsidRPr="00A324C8" w:rsidRDefault="008B103B" w:rsidP="00A324C8">
      <w:pPr>
        <w:pStyle w:val="Heading2"/>
        <w:pBdr>
          <w:bottom w:val="single" w:sz="4" w:space="1" w:color="auto"/>
        </w:pBdr>
        <w:spacing w:before="0"/>
        <w:rPr>
          <w:rFonts w:ascii="Avenir Book" w:hAnsi="Avenir Book"/>
          <w:color w:val="auto"/>
          <w:sz w:val="22"/>
          <w:szCs w:val="22"/>
        </w:rPr>
      </w:pPr>
      <w:bookmarkStart w:id="4" w:name="_Toc361053683"/>
      <w:r w:rsidRPr="00A746F2">
        <w:rPr>
          <w:rFonts w:ascii="Avenir Book" w:hAnsi="Avenir Book"/>
          <w:color w:val="auto"/>
          <w:sz w:val="22"/>
          <w:szCs w:val="22"/>
        </w:rPr>
        <w:t>1.2.</w:t>
      </w:r>
      <w:r w:rsidRPr="00A746F2">
        <w:rPr>
          <w:rFonts w:ascii="Avenir Book" w:hAnsi="Avenir Book"/>
          <w:color w:val="auto"/>
          <w:sz w:val="22"/>
          <w:szCs w:val="22"/>
        </w:rPr>
        <w:tab/>
      </w:r>
      <w:r w:rsidR="007A1656">
        <w:rPr>
          <w:rFonts w:ascii="Avenir Book" w:hAnsi="Avenir Book"/>
          <w:color w:val="auto"/>
          <w:sz w:val="22"/>
          <w:szCs w:val="22"/>
        </w:rPr>
        <w:t>T</w:t>
      </w:r>
      <w:r w:rsidRPr="00A746F2">
        <w:rPr>
          <w:rFonts w:ascii="Avenir Book" w:hAnsi="Avenir Book"/>
          <w:color w:val="auto"/>
          <w:sz w:val="22"/>
          <w:szCs w:val="22"/>
        </w:rPr>
        <w:t>he notions of ‘indispensable intervention’ and ‘profit’</w:t>
      </w:r>
      <w:bookmarkEnd w:id="4"/>
    </w:p>
    <w:p w14:paraId="275F93BD" w14:textId="77777777" w:rsidR="00A324C8" w:rsidRPr="00A746F2" w:rsidRDefault="00A324C8" w:rsidP="000B21F4">
      <w:pPr>
        <w:jc w:val="both"/>
        <w:rPr>
          <w:rFonts w:ascii="Avenir Book" w:hAnsi="Avenir Book" w:cs="Times New Roman"/>
          <w:sz w:val="22"/>
          <w:szCs w:val="22"/>
        </w:rPr>
      </w:pPr>
    </w:p>
    <w:p w14:paraId="088B025E" w14:textId="490B30A9" w:rsidR="008B103B" w:rsidRPr="00A746F2" w:rsidRDefault="00413A56" w:rsidP="000B21F4">
      <w:pPr>
        <w:jc w:val="both"/>
        <w:rPr>
          <w:rFonts w:ascii="Avenir Book" w:hAnsi="Avenir Book" w:cs="Times New Roman"/>
          <w:sz w:val="22"/>
          <w:szCs w:val="22"/>
        </w:rPr>
      </w:pPr>
      <w:r>
        <w:rPr>
          <w:rFonts w:ascii="Avenir Book" w:hAnsi="Avenir Book" w:cs="Times New Roman"/>
          <w:sz w:val="22"/>
          <w:szCs w:val="22"/>
        </w:rPr>
        <w:t>T</w:t>
      </w:r>
      <w:r w:rsidR="008B103B" w:rsidRPr="00A746F2">
        <w:rPr>
          <w:rFonts w:ascii="Avenir Book" w:hAnsi="Avenir Book" w:cs="Times New Roman"/>
          <w:sz w:val="22"/>
          <w:szCs w:val="22"/>
        </w:rPr>
        <w:t xml:space="preserve">he most recent CJEU decisions have focused in particular on the </w:t>
      </w:r>
      <w:r>
        <w:rPr>
          <w:rFonts w:ascii="Avenir Book" w:hAnsi="Avenir Book" w:cs="Times New Roman"/>
          <w:sz w:val="22"/>
          <w:szCs w:val="22"/>
        </w:rPr>
        <w:t>criteria</w:t>
      </w:r>
      <w:r w:rsidR="008B103B" w:rsidRPr="00A746F2">
        <w:rPr>
          <w:rFonts w:ascii="Avenir Book" w:hAnsi="Avenir Book" w:cs="Times New Roman"/>
          <w:sz w:val="22"/>
          <w:szCs w:val="22"/>
        </w:rPr>
        <w:t xml:space="preserve"> of ‘indispensable intervention’ of the user/defendant, and referred to the user’s profit-making intention. Both are crucial to understand in what sense the decision in the </w:t>
      </w:r>
      <w:r w:rsidR="008B103B" w:rsidRPr="00A746F2">
        <w:rPr>
          <w:rFonts w:ascii="Avenir Book" w:hAnsi="Avenir Book" w:cs="Times New Roman"/>
          <w:i/>
          <w:sz w:val="22"/>
          <w:szCs w:val="22"/>
        </w:rPr>
        <w:t>The Pirate Bay</w:t>
      </w:r>
      <w:r w:rsidR="008B103B" w:rsidRPr="00A746F2">
        <w:rPr>
          <w:rFonts w:ascii="Avenir Book" w:hAnsi="Avenir Book" w:cs="Times New Roman"/>
          <w:sz w:val="22"/>
          <w:szCs w:val="22"/>
        </w:rPr>
        <w:t xml:space="preserve"> should not be seen as a departure of the CJEU from its earlier case law.</w:t>
      </w:r>
    </w:p>
    <w:p w14:paraId="41712181" w14:textId="77777777" w:rsidR="008B103B" w:rsidRPr="00A746F2" w:rsidRDefault="008B103B" w:rsidP="000B21F4">
      <w:pPr>
        <w:jc w:val="both"/>
        <w:rPr>
          <w:rFonts w:ascii="Avenir Book" w:hAnsi="Avenir Book" w:cs="Times New Roman"/>
          <w:sz w:val="22"/>
          <w:szCs w:val="22"/>
        </w:rPr>
      </w:pPr>
    </w:p>
    <w:p w14:paraId="2F98686D" w14:textId="4F6F5BFB" w:rsidR="008B103B" w:rsidRPr="00A746F2" w:rsidRDefault="008B103B" w:rsidP="000B21F4">
      <w:pPr>
        <w:jc w:val="both"/>
        <w:rPr>
          <w:rFonts w:ascii="Avenir Book" w:eastAsia="Times New Roman" w:hAnsi="Avenir Book" w:cs="Times New Roman"/>
          <w:sz w:val="22"/>
          <w:szCs w:val="22"/>
        </w:rPr>
      </w:pPr>
      <w:r w:rsidRPr="00A746F2">
        <w:rPr>
          <w:rFonts w:ascii="Avenir Book" w:hAnsi="Avenir Book" w:cs="Times New Roman"/>
          <w:sz w:val="22"/>
          <w:szCs w:val="22"/>
        </w:rPr>
        <w:t xml:space="preserve">With regard to ‘indispensable intervention’, over time the CJEU has dismissed attempts to interpret this criterion narrowly. A clear example is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w:t>
      </w:r>
      <w:r w:rsidRPr="00A746F2">
        <w:rPr>
          <w:rFonts w:ascii="Avenir Book" w:eastAsia="Times New Roman" w:hAnsi="Avenir Book" w:cs="Times New Roman"/>
          <w:sz w:val="22"/>
          <w:szCs w:val="22"/>
          <w:shd w:val="clear" w:color="auto" w:fill="FFFFFF"/>
        </w:rPr>
        <w:t xml:space="preserve">In his Opinion in that case AG </w:t>
      </w:r>
      <w:r w:rsidR="008D0CE2">
        <w:rPr>
          <w:rFonts w:ascii="Avenir Book" w:eastAsia="Times New Roman" w:hAnsi="Avenir Book" w:cs="Times New Roman"/>
          <w:sz w:val="22"/>
          <w:szCs w:val="22"/>
          <w:shd w:val="clear" w:color="auto" w:fill="FFFFFF"/>
        </w:rPr>
        <w:t xml:space="preserve">Melchior </w:t>
      </w:r>
      <w:r w:rsidRPr="00A746F2">
        <w:rPr>
          <w:rFonts w:ascii="Avenir Book" w:eastAsia="Times New Roman" w:hAnsi="Avenir Book" w:cs="Times New Roman"/>
          <w:sz w:val="22"/>
          <w:szCs w:val="22"/>
          <w:shd w:val="clear" w:color="auto" w:fill="FFFFFF"/>
        </w:rPr>
        <w:t xml:space="preserve">Wathelet had excluded </w:t>
      </w:r>
      <w:r w:rsidRPr="00A746F2">
        <w:rPr>
          <w:rFonts w:ascii="Avenir Book" w:eastAsia="Times New Roman" w:hAnsi="Avenir Book" w:cs="Times New Roman"/>
          <w:i/>
          <w:sz w:val="22"/>
          <w:szCs w:val="22"/>
          <w:shd w:val="clear" w:color="auto" w:fill="FFFFFF"/>
        </w:rPr>
        <w:t>tout court</w:t>
      </w:r>
      <w:r w:rsidRPr="00A746F2">
        <w:rPr>
          <w:rFonts w:ascii="Avenir Book" w:eastAsia="Times New Roman" w:hAnsi="Avenir Book" w:cs="Times New Roman"/>
          <w:sz w:val="22"/>
          <w:szCs w:val="22"/>
          <w:shd w:val="clear" w:color="auto" w:fill="FFFFFF"/>
        </w:rPr>
        <w:t xml:space="preserve"> that the unauthorized provision of a link to a copyright work – whether published with the consent of the rightholder or not – could be classified as an act of communication to the public. This would be so on consideration that</w:t>
      </w:r>
      <w:r w:rsidR="00063C66">
        <w:rPr>
          <w:rFonts w:ascii="Avenir Book" w:eastAsia="Times New Roman" w:hAnsi="Avenir Book" w:cs="Times New Roman"/>
          <w:sz w:val="22"/>
          <w:szCs w:val="22"/>
          <w:shd w:val="clear" w:color="auto" w:fill="FFFFFF"/>
        </w:rPr>
        <w:t>,</w:t>
      </w:r>
      <w:r w:rsidRPr="00A746F2">
        <w:rPr>
          <w:rFonts w:ascii="Avenir Book" w:eastAsia="Times New Roman" w:hAnsi="Avenir Book" w:cs="Times New Roman"/>
          <w:sz w:val="22"/>
          <w:szCs w:val="22"/>
          <w:shd w:val="clear" w:color="auto" w:fill="FFFFFF"/>
        </w:rPr>
        <w:t xml:space="preserve"> </w:t>
      </w:r>
      <w:r w:rsidRPr="00A746F2">
        <w:rPr>
          <w:rFonts w:ascii="Avenir Book" w:eastAsia="Times New Roman" w:hAnsi="Avenir Book" w:cs="Times New Roman"/>
          <w:sz w:val="22"/>
          <w:szCs w:val="22"/>
        </w:rPr>
        <w:t>to establish an act of communication, the intervention of the ‘hyperlinker’ must be vital or indispensable in order to benefit from or enjoy the relevant copyright work. Hyperlinks posted on a website that direct to copyright works freely accessible on another website cannot be classified as an ‘act of communication’: the intervention of the operator of the website that posts the hyperlinks is not indispensable to the making available of the works in question to users.</w:t>
      </w:r>
      <w:r w:rsidRPr="00A746F2">
        <w:rPr>
          <w:rStyle w:val="EndnoteReference"/>
          <w:rFonts w:ascii="Avenir Book" w:eastAsia="Times New Roman" w:hAnsi="Avenir Book" w:cs="Times New Roman"/>
          <w:sz w:val="22"/>
          <w:szCs w:val="22"/>
        </w:rPr>
        <w:endnoteReference w:id="24"/>
      </w:r>
      <w:r w:rsidRPr="00A746F2">
        <w:rPr>
          <w:rFonts w:ascii="Avenir Book" w:eastAsia="Times New Roman" w:hAnsi="Avenir Book" w:cs="Times New Roman"/>
          <w:sz w:val="22"/>
          <w:szCs w:val="22"/>
        </w:rPr>
        <w:t xml:space="preserve"> </w:t>
      </w:r>
    </w:p>
    <w:p w14:paraId="442F005A" w14:textId="77777777" w:rsidR="008B103B" w:rsidRPr="00A746F2" w:rsidRDefault="008B103B" w:rsidP="000B21F4">
      <w:pPr>
        <w:jc w:val="both"/>
        <w:rPr>
          <w:rFonts w:ascii="Avenir Book" w:eastAsia="Times New Roman" w:hAnsi="Avenir Book" w:cs="Times New Roman"/>
          <w:sz w:val="22"/>
          <w:szCs w:val="22"/>
        </w:rPr>
      </w:pPr>
    </w:p>
    <w:p w14:paraId="06333D31" w14:textId="7B76A25D"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The CJEU rejected this construction of the indispensability of the user’s role. In order to modulate the various options within the framework of </w:t>
      </w:r>
      <w:r w:rsidRPr="00A746F2">
        <w:rPr>
          <w:rFonts w:ascii="Avenir Book" w:eastAsia="Times New Roman" w:hAnsi="Avenir Book" w:cs="Times New Roman"/>
          <w:i/>
          <w:sz w:val="22"/>
          <w:szCs w:val="22"/>
        </w:rPr>
        <w:t>prima facie</w:t>
      </w:r>
      <w:r w:rsidRPr="00A746F2">
        <w:rPr>
          <w:rFonts w:ascii="Avenir Book" w:eastAsia="Times New Roman" w:hAnsi="Avenir Book" w:cs="Times New Roman"/>
          <w:sz w:val="22"/>
          <w:szCs w:val="22"/>
        </w:rPr>
        <w:t xml:space="preserve"> liability (determination of actual liability requires </w:t>
      </w:r>
      <w:r w:rsidR="004D4D7F">
        <w:rPr>
          <w:rFonts w:ascii="Avenir Book" w:eastAsia="Times New Roman" w:hAnsi="Avenir Book" w:cs="Times New Roman"/>
          <w:sz w:val="22"/>
          <w:szCs w:val="22"/>
        </w:rPr>
        <w:t xml:space="preserve">the </w:t>
      </w:r>
      <w:r w:rsidRPr="00A746F2">
        <w:rPr>
          <w:rFonts w:ascii="Avenir Book" w:eastAsia="Times New Roman" w:hAnsi="Avenir Book" w:cs="Times New Roman"/>
          <w:sz w:val="22"/>
          <w:szCs w:val="22"/>
        </w:rPr>
        <w:t xml:space="preserve">undertaking </w:t>
      </w:r>
      <w:r w:rsidR="004D4D7F">
        <w:rPr>
          <w:rFonts w:ascii="Avenir Book" w:eastAsia="Times New Roman" w:hAnsi="Avenir Book" w:cs="Times New Roman"/>
          <w:sz w:val="22"/>
          <w:szCs w:val="22"/>
        </w:rPr>
        <w:t xml:space="preserve">of </w:t>
      </w:r>
      <w:r w:rsidRPr="00A746F2">
        <w:rPr>
          <w:rFonts w:ascii="Avenir Book" w:eastAsia="Times New Roman" w:hAnsi="Avenir Book" w:cs="Times New Roman"/>
          <w:sz w:val="22"/>
          <w:szCs w:val="22"/>
        </w:rPr>
        <w:t xml:space="preserve">other considerations, including applicability of any exceptions/limitations), the Court preferred to take into account other criteria instead – including the profit-making intention of the user and its knowledge of the unlicensed character of the content linked to – rather than </w:t>
      </w:r>
      <w:r w:rsidR="007A1656">
        <w:rPr>
          <w:rFonts w:ascii="Avenir Book" w:eastAsia="Times New Roman" w:hAnsi="Avenir Book" w:cs="Times New Roman"/>
          <w:sz w:val="22"/>
          <w:szCs w:val="22"/>
        </w:rPr>
        <w:t>to exclude</w:t>
      </w:r>
      <w:r w:rsidRPr="00A746F2">
        <w:rPr>
          <w:rFonts w:ascii="Avenir Book" w:eastAsia="Times New Roman" w:hAnsi="Avenir Book" w:cs="Times New Roman"/>
          <w:sz w:val="22"/>
          <w:szCs w:val="22"/>
        </w:rPr>
        <w:t xml:space="preserve"> that the provision of a link to a protected work would just fall outside the scope of Article 3(1) of the InfoSoc Directive.</w:t>
      </w:r>
    </w:p>
    <w:p w14:paraId="1AF354B0" w14:textId="77777777" w:rsidR="008B103B" w:rsidRPr="00A746F2" w:rsidRDefault="008B103B" w:rsidP="000B21F4">
      <w:pPr>
        <w:jc w:val="both"/>
        <w:rPr>
          <w:rFonts w:ascii="Avenir Book" w:eastAsia="Times New Roman" w:hAnsi="Avenir Book" w:cs="Times New Roman"/>
          <w:sz w:val="22"/>
          <w:szCs w:val="22"/>
        </w:rPr>
      </w:pPr>
    </w:p>
    <w:p w14:paraId="4F2B4CA0" w14:textId="76171D4E"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The subsequent decision in </w:t>
      </w:r>
      <w:r w:rsidRPr="00A746F2">
        <w:rPr>
          <w:rFonts w:ascii="Avenir Book" w:eastAsia="Times New Roman" w:hAnsi="Avenir Book" w:cs="Times New Roman"/>
          <w:i/>
          <w:sz w:val="22"/>
          <w:szCs w:val="22"/>
        </w:rPr>
        <w:t>Filmspeler</w:t>
      </w:r>
      <w:r w:rsidRPr="00A746F2">
        <w:rPr>
          <w:rFonts w:ascii="Avenir Book" w:eastAsia="Times New Roman" w:hAnsi="Avenir Book" w:cs="Times New Roman"/>
          <w:sz w:val="22"/>
          <w:szCs w:val="22"/>
        </w:rPr>
        <w:t xml:space="preserve"> elaborates further on the notion of indispensable intervention. Substantially confirming the Opinion of </w:t>
      </w:r>
      <w:r w:rsidRPr="00A746F2">
        <w:rPr>
          <w:rFonts w:ascii="Avenir Book" w:hAnsi="Avenir Book" w:cs="Times New Roman"/>
          <w:sz w:val="22"/>
          <w:szCs w:val="22"/>
          <w:shd w:val="clear" w:color="auto" w:fill="FFFFFF"/>
        </w:rPr>
        <w:t xml:space="preserve">AG </w:t>
      </w:r>
      <w:r w:rsidR="008D0CE2">
        <w:rPr>
          <w:rFonts w:ascii="Avenir Book" w:hAnsi="Avenir Book" w:cs="Times New Roman"/>
          <w:sz w:val="22"/>
          <w:szCs w:val="22"/>
          <w:shd w:val="clear" w:color="auto" w:fill="FFFFFF"/>
        </w:rPr>
        <w:t xml:space="preserve">Manuel </w:t>
      </w:r>
      <w:r w:rsidRPr="00A746F2">
        <w:rPr>
          <w:rFonts w:ascii="Avenir Book" w:hAnsi="Avenir Book" w:cs="Times New Roman"/>
          <w:sz w:val="22"/>
          <w:szCs w:val="22"/>
          <w:shd w:val="clear" w:color="auto" w:fill="FFFFFF"/>
        </w:rPr>
        <w:t>Campos Sánchez-Bordona, who had called “reductionist”</w:t>
      </w:r>
      <w:r w:rsidRPr="00A746F2">
        <w:rPr>
          <w:rStyle w:val="EndnoteReference"/>
          <w:rFonts w:ascii="Avenir Book" w:hAnsi="Avenir Book" w:cs="Times New Roman"/>
          <w:sz w:val="22"/>
          <w:szCs w:val="22"/>
          <w:shd w:val="clear" w:color="auto" w:fill="FFFFFF"/>
        </w:rPr>
        <w:endnoteReference w:id="25"/>
      </w:r>
      <w:r w:rsidRPr="00A746F2">
        <w:rPr>
          <w:rFonts w:ascii="Avenir Book" w:hAnsi="Avenir Book" w:cs="Times New Roman"/>
          <w:sz w:val="22"/>
          <w:szCs w:val="22"/>
          <w:shd w:val="clear" w:color="auto" w:fill="FFFFFF"/>
        </w:rPr>
        <w:t xml:space="preserve"> the view that the case at hand would relate to the mere provision of </w:t>
      </w:r>
      <w:r w:rsidRPr="00A746F2">
        <w:rPr>
          <w:rFonts w:ascii="Avenir Book" w:eastAsia="Times New Roman" w:hAnsi="Avenir Book" w:cs="Times New Roman"/>
          <w:sz w:val="22"/>
          <w:szCs w:val="22"/>
          <w:shd w:val="clear" w:color="auto" w:fill="FFFFFF"/>
        </w:rPr>
        <w:t>physical facilities for enabling or making a communication</w:t>
      </w:r>
      <w:r w:rsidRPr="00A746F2">
        <w:rPr>
          <w:rFonts w:ascii="Avenir Book" w:eastAsia="Times New Roman" w:hAnsi="Avenir Book" w:cs="Times New Roman"/>
          <w:sz w:val="22"/>
          <w:szCs w:val="22"/>
        </w:rPr>
        <w:t xml:space="preserve">, </w:t>
      </w:r>
      <w:r w:rsidR="00851185">
        <w:rPr>
          <w:rFonts w:ascii="Avenir Book" w:hAnsi="Avenir Book" w:cs="Times New Roman"/>
          <w:sz w:val="22"/>
          <w:szCs w:val="22"/>
          <w:shd w:val="clear" w:color="auto" w:fill="FFFFFF"/>
        </w:rPr>
        <w:t>the CJEU rejected that an indispensable intervention is limited to a ‘</w:t>
      </w:r>
      <w:r w:rsidRPr="00A746F2">
        <w:rPr>
          <w:rFonts w:ascii="Avenir Book" w:hAnsi="Avenir Book" w:cs="Times New Roman"/>
          <w:sz w:val="22"/>
          <w:szCs w:val="22"/>
          <w:shd w:val="clear" w:color="auto" w:fill="FFFFFF"/>
        </w:rPr>
        <w:t xml:space="preserve">merely direct' indispensable intervention. The Court held that that </w:t>
      </w:r>
      <w:r w:rsidRPr="00A746F2">
        <w:rPr>
          <w:rFonts w:ascii="Avenir Book" w:hAnsi="Avenir Book" w:cs="Times New Roman"/>
          <w:sz w:val="22"/>
          <w:szCs w:val="22"/>
        </w:rPr>
        <w:t>an intervention enabling a direct link to be established between those who make available infringing works and users of such works, “is quite different from the mere provision of physical facilities, referred to in recital 27 of [the InfoSoc Directive].”</w:t>
      </w:r>
      <w:r w:rsidRPr="00A746F2">
        <w:rPr>
          <w:rStyle w:val="EndnoteReference"/>
          <w:rFonts w:ascii="Avenir Book" w:hAnsi="Avenir Book" w:cs="Times New Roman"/>
          <w:sz w:val="22"/>
          <w:szCs w:val="22"/>
        </w:rPr>
        <w:endnoteReference w:id="26"/>
      </w:r>
      <w:r w:rsidRPr="00A746F2">
        <w:rPr>
          <w:rFonts w:ascii="Avenir Book" w:hAnsi="Avenir Book" w:cs="Times New Roman"/>
          <w:sz w:val="22"/>
          <w:szCs w:val="22"/>
        </w:rPr>
        <w:t xml:space="preserve"> Such an intervention – </w:t>
      </w:r>
      <w:r w:rsidRPr="00A746F2">
        <w:rPr>
          <w:rFonts w:ascii="Avenir Book" w:eastAsia="Times New Roman" w:hAnsi="Avenir Book" w:cs="Times New Roman"/>
          <w:sz w:val="22"/>
          <w:szCs w:val="22"/>
          <w:shd w:val="clear" w:color="auto" w:fill="FFFFFF"/>
        </w:rPr>
        <w:t xml:space="preserve">made “with full knowledge of the consequences” </w:t>
      </w:r>
      <w:r w:rsidR="00E131CC">
        <w:rPr>
          <w:rFonts w:ascii="Avenir Book" w:eastAsia="Times New Roman" w:hAnsi="Avenir Book" w:cs="Times New Roman"/>
          <w:sz w:val="22"/>
          <w:szCs w:val="22"/>
          <w:shd w:val="clear" w:color="auto" w:fill="FFFFFF"/>
        </w:rPr>
        <w:t>of</w:t>
      </w:r>
      <w:r w:rsidRPr="00A746F2">
        <w:rPr>
          <w:rFonts w:ascii="Avenir Book" w:eastAsia="Times New Roman" w:hAnsi="Avenir Book" w:cs="Times New Roman"/>
          <w:sz w:val="22"/>
          <w:szCs w:val="22"/>
          <w:shd w:val="clear" w:color="auto" w:fill="FFFFFF"/>
        </w:rPr>
        <w:t xml:space="preserve"> such a conduct</w:t>
      </w:r>
      <w:r w:rsidRPr="00A746F2">
        <w:rPr>
          <w:rStyle w:val="EndnoteReference"/>
          <w:rFonts w:ascii="Avenir Book" w:eastAsia="Times New Roman" w:hAnsi="Avenir Book" w:cs="Times New Roman"/>
          <w:sz w:val="22"/>
          <w:szCs w:val="22"/>
          <w:shd w:val="clear" w:color="auto" w:fill="FFFFFF"/>
        </w:rPr>
        <w:endnoteReference w:id="27"/>
      </w:r>
      <w:r w:rsidRPr="00A746F2">
        <w:rPr>
          <w:rFonts w:ascii="Avenir Book" w:eastAsia="Times New Roman" w:hAnsi="Avenir Book" w:cs="Times New Roman"/>
          <w:sz w:val="22"/>
          <w:szCs w:val="22"/>
          <w:shd w:val="clear" w:color="auto" w:fill="FFFFFF"/>
        </w:rPr>
        <w:t xml:space="preserve"> – </w:t>
      </w:r>
      <w:r w:rsidRPr="00A746F2">
        <w:rPr>
          <w:rFonts w:ascii="Avenir Book" w:hAnsi="Avenir Book" w:cs="Times New Roman"/>
          <w:sz w:val="22"/>
          <w:szCs w:val="22"/>
        </w:rPr>
        <w:t xml:space="preserve">facilitates access to unlicensed content that would be otherwise more difficult to locate. </w:t>
      </w:r>
    </w:p>
    <w:p w14:paraId="26C54793" w14:textId="77777777" w:rsidR="008B103B" w:rsidRPr="00A746F2" w:rsidRDefault="008B103B" w:rsidP="000B21F4">
      <w:pPr>
        <w:jc w:val="both"/>
        <w:rPr>
          <w:rFonts w:ascii="Avenir Book" w:eastAsia="Times New Roman" w:hAnsi="Avenir Book" w:cs="Times New Roman"/>
          <w:sz w:val="22"/>
          <w:szCs w:val="22"/>
          <w:lang w:val="en-GB" w:eastAsia="en-GB"/>
        </w:rPr>
      </w:pPr>
    </w:p>
    <w:p w14:paraId="53A4B8C8" w14:textId="559F72F7"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lang w:val="en-GB" w:eastAsia="en-GB"/>
        </w:rPr>
        <w:t xml:space="preserve">With regard to the notion of ‘profit-making intention’, </w:t>
      </w:r>
      <w:r w:rsidRPr="00A746F2">
        <w:rPr>
          <w:rFonts w:ascii="Avenir Book" w:eastAsia="Times New Roman" w:hAnsi="Avenir Book" w:cs="Times New Roman"/>
          <w:sz w:val="22"/>
          <w:szCs w:val="22"/>
          <w:shd w:val="clear" w:color="auto" w:fill="FFFFFF"/>
        </w:rPr>
        <w:t>as discussed more at length elsewhere</w:t>
      </w:r>
      <w:r w:rsidRPr="00A746F2">
        <w:rPr>
          <w:rStyle w:val="EndnoteReference"/>
          <w:rFonts w:ascii="Avenir Book" w:eastAsia="Times New Roman" w:hAnsi="Avenir Book" w:cs="Times New Roman"/>
          <w:sz w:val="22"/>
          <w:szCs w:val="22"/>
          <w:shd w:val="clear" w:color="auto" w:fill="FFFFFF"/>
        </w:rPr>
        <w:endnoteReference w:id="28"/>
      </w:r>
      <w:r w:rsidRPr="00A746F2">
        <w:rPr>
          <w:rFonts w:ascii="Avenir Book" w:eastAsia="Times New Roman" w:hAnsi="Avenir Book" w:cs="Times New Roman"/>
          <w:sz w:val="22"/>
          <w:szCs w:val="22"/>
          <w:shd w:val="clear" w:color="auto" w:fill="FFFFFF"/>
        </w:rPr>
        <w:t xml:space="preserve">, </w:t>
      </w:r>
      <w:r w:rsidRPr="00A746F2">
        <w:rPr>
          <w:rFonts w:ascii="Avenir Book" w:hAnsi="Avenir Book" w:cs="Times New Roman"/>
          <w:sz w:val="22"/>
          <w:szCs w:val="22"/>
        </w:rPr>
        <w:t xml:space="preserve">it </w:t>
      </w:r>
      <w:r w:rsidR="007A1656">
        <w:rPr>
          <w:rFonts w:ascii="Avenir Book" w:hAnsi="Avenir Book" w:cs="Times New Roman"/>
          <w:sz w:val="22"/>
          <w:szCs w:val="22"/>
        </w:rPr>
        <w:t>might</w:t>
      </w:r>
      <w:r w:rsidRPr="00A746F2">
        <w:rPr>
          <w:rFonts w:ascii="Avenir Book" w:hAnsi="Avenir Book" w:cs="Times New Roman"/>
          <w:sz w:val="22"/>
          <w:szCs w:val="22"/>
        </w:rPr>
        <w:t xml:space="preserve"> not be </w:t>
      </w:r>
      <w:r w:rsidR="00851185" w:rsidRPr="00851185">
        <w:rPr>
          <w:rFonts w:ascii="Avenir Book" w:hAnsi="Avenir Book" w:cs="Times New Roman"/>
          <w:sz w:val="22"/>
          <w:szCs w:val="22"/>
        </w:rPr>
        <w:t>self-</w:t>
      </w:r>
      <w:r w:rsidRPr="00A746F2">
        <w:rPr>
          <w:rFonts w:ascii="Avenir Book" w:hAnsi="Avenir Book" w:cs="Times New Roman"/>
          <w:sz w:val="22"/>
          <w:szCs w:val="22"/>
        </w:rPr>
        <w:t xml:space="preserve">evident whether the presence of a profit-making intention should be assessed in relation to the specific act of communication at hand, or the broader context in which such act is performed. Although both alternatives may be plausible, consideration of the context in which the relevant link is provided is more in line with existing CJEU case law, both preceding and following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In </w:t>
      </w:r>
      <w:r w:rsidRPr="00A746F2">
        <w:rPr>
          <w:rFonts w:ascii="Avenir Book" w:hAnsi="Avenir Book" w:cs="Times New Roman"/>
          <w:i/>
          <w:sz w:val="22"/>
          <w:szCs w:val="22"/>
        </w:rPr>
        <w:t>SGAE</w:t>
      </w:r>
      <w:r w:rsidRPr="00A746F2">
        <w:rPr>
          <w:rFonts w:ascii="Avenir Book" w:hAnsi="Avenir Book" w:cs="Times New Roman"/>
          <w:sz w:val="22"/>
          <w:szCs w:val="22"/>
        </w:rPr>
        <w:t xml:space="preserve">, </w:t>
      </w:r>
      <w:r w:rsidRPr="00A746F2">
        <w:rPr>
          <w:rFonts w:ascii="Avenir Book" w:hAnsi="Avenir Book" w:cs="Times New Roman"/>
          <w:i/>
          <w:sz w:val="22"/>
          <w:szCs w:val="22"/>
        </w:rPr>
        <w:t>FAPL</w:t>
      </w:r>
      <w:r w:rsidRPr="00A746F2">
        <w:rPr>
          <w:rFonts w:ascii="Avenir Book" w:hAnsi="Avenir Book" w:cs="Times New Roman"/>
          <w:sz w:val="22"/>
          <w:szCs w:val="22"/>
        </w:rPr>
        <w:t xml:space="preserve">, and </w:t>
      </w:r>
      <w:r w:rsidRPr="00A746F2">
        <w:rPr>
          <w:rFonts w:ascii="Avenir Book" w:hAnsi="Avenir Book" w:cs="Times New Roman"/>
          <w:i/>
          <w:sz w:val="22"/>
          <w:szCs w:val="22"/>
        </w:rPr>
        <w:t>Reha Training</w:t>
      </w:r>
      <w:r w:rsidRPr="00A746F2">
        <w:rPr>
          <w:rFonts w:ascii="Avenir Book" w:hAnsi="Avenir Book" w:cs="Times New Roman"/>
          <w:sz w:val="22"/>
          <w:szCs w:val="22"/>
        </w:rPr>
        <w:t>, in fact, the Court considered that the profit-making nature of the communication was apparent from the fact that the defendants transmitted the relevant works in their own establishment (hotels, a public house, and a rehabilitation centre, respectively) in order to benefit therefrom and attract customers to whom the works transmitted are of interest.</w:t>
      </w:r>
      <w:r w:rsidRPr="00A746F2">
        <w:rPr>
          <w:rStyle w:val="EndnoteReference"/>
          <w:rFonts w:ascii="Avenir Book" w:hAnsi="Avenir Book" w:cs="Times New Roman"/>
          <w:sz w:val="22"/>
          <w:szCs w:val="22"/>
        </w:rPr>
        <w:endnoteReference w:id="29"/>
      </w:r>
      <w:r w:rsidRPr="00A746F2">
        <w:rPr>
          <w:rFonts w:ascii="Avenir Book" w:hAnsi="Avenir Book" w:cs="Times New Roman"/>
          <w:sz w:val="22"/>
          <w:szCs w:val="22"/>
        </w:rPr>
        <w:t xml:space="preserve"> In </w:t>
      </w:r>
      <w:r w:rsidRPr="00A746F2">
        <w:rPr>
          <w:rFonts w:ascii="Avenir Book" w:hAnsi="Avenir Book" w:cs="Times New Roman"/>
          <w:i/>
          <w:sz w:val="22"/>
          <w:szCs w:val="22"/>
        </w:rPr>
        <w:t>Filmspeler</w:t>
      </w:r>
      <w:r w:rsidRPr="00A746F2">
        <w:rPr>
          <w:rFonts w:ascii="Avenir Book" w:hAnsi="Avenir Book" w:cs="Times New Roman"/>
          <w:sz w:val="22"/>
          <w:szCs w:val="22"/>
        </w:rPr>
        <w:t xml:space="preserve">, the CJEU </w:t>
      </w:r>
      <w:r w:rsidRPr="00A746F2">
        <w:rPr>
          <w:rFonts w:ascii="Avenir Book" w:eastAsia="Times New Roman" w:hAnsi="Avenir Book" w:cs="Times New Roman"/>
          <w:sz w:val="22"/>
          <w:szCs w:val="22"/>
          <w:shd w:val="clear" w:color="auto" w:fill="FFFFFF"/>
        </w:rPr>
        <w:t>identified the profit-making intention of the defendant in the circumstance that the relevant multimedia player “is supplied with a view to making a profit, the price for the multimedia player being paid in particular to obtain direct access to protected works available on streaming websites without the consent of the copyright holders.”</w:t>
      </w:r>
      <w:r w:rsidRPr="00A746F2">
        <w:rPr>
          <w:rStyle w:val="EndnoteReference"/>
          <w:rFonts w:ascii="Avenir Book" w:eastAsia="Times New Roman" w:hAnsi="Avenir Book" w:cs="Times New Roman"/>
          <w:sz w:val="22"/>
          <w:szCs w:val="22"/>
          <w:shd w:val="clear" w:color="auto" w:fill="FFFFFF"/>
        </w:rPr>
        <w:endnoteReference w:id="30"/>
      </w:r>
      <w:r w:rsidRPr="00A746F2">
        <w:rPr>
          <w:rFonts w:ascii="Avenir Book" w:eastAsia="Times New Roman" w:hAnsi="Avenir Book" w:cs="Times New Roman"/>
          <w:sz w:val="22"/>
          <w:szCs w:val="22"/>
          <w:shd w:val="clear" w:color="auto" w:fill="FFFFFF"/>
        </w:rPr>
        <w:t xml:space="preserve"> </w:t>
      </w:r>
    </w:p>
    <w:p w14:paraId="691A0CDC"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1D94AB8D" w14:textId="610A5AAD" w:rsidR="008B103B" w:rsidRPr="00A746F2" w:rsidRDefault="008B103B" w:rsidP="000B21F4">
      <w:pPr>
        <w:jc w:val="both"/>
        <w:rPr>
          <w:rFonts w:ascii="Avenir Book" w:eastAsia="Times New Roman" w:hAnsi="Avenir Book" w:cs="Times New Roman"/>
          <w:sz w:val="22"/>
          <w:szCs w:val="22"/>
          <w:lang w:val="en-GB" w:eastAsia="en-GB"/>
        </w:rPr>
      </w:pPr>
      <w:r w:rsidRPr="00A746F2">
        <w:rPr>
          <w:rFonts w:ascii="Avenir Book" w:hAnsi="Avenir Book" w:cs="Times New Roman"/>
          <w:sz w:val="22"/>
          <w:szCs w:val="22"/>
        </w:rPr>
        <w:t xml:space="preserve">The more recent decision in </w:t>
      </w:r>
      <w:r w:rsidRPr="00A746F2">
        <w:rPr>
          <w:rFonts w:ascii="Avenir Book" w:hAnsi="Avenir Book" w:cs="Times New Roman"/>
          <w:i/>
          <w:sz w:val="22"/>
          <w:szCs w:val="22"/>
        </w:rPr>
        <w:t>The Pirate Bay</w:t>
      </w:r>
      <w:r w:rsidRPr="00A746F2">
        <w:rPr>
          <w:rFonts w:ascii="Avenir Book" w:hAnsi="Avenir Book" w:cs="Times New Roman"/>
          <w:sz w:val="22"/>
          <w:szCs w:val="22"/>
        </w:rPr>
        <w:t xml:space="preserve"> substantially consolidates the CJEU position regarding the broad construction of the notion of ‘indispensable intervention’, as well as the relevance of the profit-making intention – also to be intended broadly – of the user/defendant.</w:t>
      </w:r>
      <w:r w:rsidRPr="00A746F2">
        <w:rPr>
          <w:rFonts w:ascii="Avenir Book" w:eastAsia="Times New Roman" w:hAnsi="Avenir Book" w:cs="Times New Roman"/>
          <w:sz w:val="22"/>
          <w:szCs w:val="22"/>
          <w:lang w:val="en-GB" w:eastAsia="en-GB"/>
        </w:rPr>
        <w:t xml:space="preserve"> </w:t>
      </w:r>
    </w:p>
    <w:p w14:paraId="25A13BEF" w14:textId="77777777" w:rsidR="008B103B" w:rsidRDefault="008B103B" w:rsidP="000B21F4">
      <w:pPr>
        <w:jc w:val="both"/>
        <w:rPr>
          <w:rFonts w:ascii="Avenir Book" w:hAnsi="Avenir Book" w:cs="Times New Roman"/>
          <w:i/>
          <w:sz w:val="22"/>
          <w:szCs w:val="22"/>
        </w:rPr>
      </w:pPr>
    </w:p>
    <w:p w14:paraId="1D71E0BA" w14:textId="483CD27C" w:rsidR="008B103B" w:rsidRPr="00A746F2" w:rsidRDefault="008B103B" w:rsidP="000B21F4">
      <w:pPr>
        <w:pStyle w:val="Heading1"/>
        <w:pBdr>
          <w:bottom w:val="single" w:sz="4" w:space="1" w:color="auto"/>
        </w:pBdr>
        <w:spacing w:before="0"/>
        <w:rPr>
          <w:rFonts w:ascii="Avenir Book" w:hAnsi="Avenir Book"/>
          <w:color w:val="auto"/>
          <w:sz w:val="22"/>
          <w:szCs w:val="22"/>
          <w:u w:val="single"/>
        </w:rPr>
      </w:pPr>
      <w:bookmarkStart w:id="5" w:name="_Toc361053684"/>
      <w:r w:rsidRPr="00A746F2">
        <w:rPr>
          <w:rFonts w:ascii="Avenir Book" w:hAnsi="Avenir Book"/>
          <w:color w:val="auto"/>
          <w:sz w:val="22"/>
          <w:szCs w:val="22"/>
        </w:rPr>
        <w:t>2.</w:t>
      </w:r>
      <w:r w:rsidRPr="00A746F2">
        <w:rPr>
          <w:rFonts w:ascii="Avenir Book" w:hAnsi="Avenir Book"/>
          <w:color w:val="auto"/>
          <w:sz w:val="22"/>
          <w:szCs w:val="22"/>
        </w:rPr>
        <w:tab/>
        <w:t xml:space="preserve">The </w:t>
      </w:r>
      <w:r w:rsidRPr="00A746F2">
        <w:rPr>
          <w:rFonts w:ascii="Avenir Book" w:hAnsi="Avenir Book"/>
          <w:i/>
          <w:color w:val="auto"/>
          <w:sz w:val="22"/>
          <w:szCs w:val="22"/>
        </w:rPr>
        <w:t>Pirate Bay</w:t>
      </w:r>
      <w:r w:rsidRPr="00A746F2">
        <w:rPr>
          <w:rFonts w:ascii="Avenir Book" w:hAnsi="Avenir Book"/>
          <w:color w:val="auto"/>
          <w:sz w:val="22"/>
          <w:szCs w:val="22"/>
        </w:rPr>
        <w:t xml:space="preserve"> judgment as an evolution and consolidation of earlier case law</w:t>
      </w:r>
      <w:bookmarkEnd w:id="5"/>
    </w:p>
    <w:p w14:paraId="18B37FB9" w14:textId="77777777" w:rsidR="00A324C8" w:rsidRPr="00A746F2" w:rsidRDefault="00A324C8" w:rsidP="000B21F4">
      <w:pPr>
        <w:jc w:val="both"/>
        <w:rPr>
          <w:rFonts w:ascii="Avenir Book" w:hAnsi="Avenir Book" w:cs="Times New Roman"/>
          <w:sz w:val="22"/>
          <w:szCs w:val="22"/>
        </w:rPr>
      </w:pPr>
    </w:p>
    <w:p w14:paraId="4999EE0E" w14:textId="77777777"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This reference for a preliminary ruling from the Dutch Supreme Court arose in the context of litigation between Dutch anti-piracy foundation Stichting Brein and two internet access providers, Ziggo and XS4ALL, over the application, by the former, for an order that would require the latter to block access for their customers to the website of The Pirate Bay. </w:t>
      </w:r>
    </w:p>
    <w:p w14:paraId="25CED849" w14:textId="77777777" w:rsidR="008B103B" w:rsidRPr="00A746F2" w:rsidRDefault="008B103B" w:rsidP="000B21F4">
      <w:pPr>
        <w:jc w:val="both"/>
        <w:rPr>
          <w:rFonts w:ascii="Avenir Book" w:hAnsi="Avenir Book" w:cs="Times New Roman"/>
          <w:sz w:val="22"/>
          <w:szCs w:val="22"/>
        </w:rPr>
      </w:pPr>
    </w:p>
    <w:p w14:paraId="3B949615" w14:textId="6FCC29F3" w:rsidR="008B103B" w:rsidRPr="00A746F2" w:rsidRDefault="008B103B" w:rsidP="000B21F4">
      <w:pPr>
        <w:jc w:val="both"/>
        <w:rPr>
          <w:rFonts w:ascii="Avenir Book" w:eastAsia="Times New Roman" w:hAnsi="Avenir Book" w:cs="Times New Roman"/>
          <w:sz w:val="22"/>
          <w:szCs w:val="22"/>
        </w:rPr>
      </w:pPr>
      <w:r w:rsidRPr="00A746F2">
        <w:rPr>
          <w:rFonts w:ascii="Avenir Book" w:hAnsi="Avenir Book" w:cs="Times New Roman"/>
          <w:sz w:val="22"/>
          <w:szCs w:val="22"/>
        </w:rPr>
        <w:t xml:space="preserve">An engine for peer-to-peer (‘P2P’) file-sharing, The Pirate Bay </w:t>
      </w:r>
      <w:r w:rsidRPr="00A746F2">
        <w:rPr>
          <w:rFonts w:ascii="Avenir Book" w:eastAsia="Times New Roman" w:hAnsi="Avenir Book" w:cs="Times New Roman"/>
          <w:sz w:val="22"/>
          <w:szCs w:val="22"/>
          <w:shd w:val="clear" w:color="auto" w:fill="FFFFFF"/>
        </w:rPr>
        <w:t>does not host any protected works. However, The Pirate Bay operates a system by means of which metadata on protected works which is present on the users’ computers is indexed and categorized for users, so that the users can trace, upload and download the protected works on the basis thereof.</w:t>
      </w:r>
      <w:r w:rsidRPr="00A746F2">
        <w:rPr>
          <w:rFonts w:ascii="Avenir Book" w:eastAsia="Times New Roman" w:hAnsi="Avenir Book" w:cs="Times New Roman"/>
          <w:sz w:val="22"/>
          <w:szCs w:val="22"/>
        </w:rPr>
        <w:t xml:space="preserve"> </w:t>
      </w:r>
      <w:r w:rsidRPr="00A746F2">
        <w:rPr>
          <w:rFonts w:ascii="Avenir Book" w:hAnsi="Avenir Book" w:cs="Times New Roman"/>
          <w:sz w:val="22"/>
          <w:szCs w:val="22"/>
        </w:rPr>
        <w:t>It is estimated that the near totality (</w:t>
      </w:r>
      <w:r w:rsidRPr="00A746F2">
        <w:rPr>
          <w:rFonts w:ascii="Avenir Book" w:eastAsia="Times New Roman" w:hAnsi="Avenir Book" w:cs="Times New Roman"/>
          <w:sz w:val="22"/>
          <w:szCs w:val="22"/>
          <w:shd w:val="clear" w:color="auto" w:fill="FFFFFF"/>
        </w:rPr>
        <w:t>90% to 95%) of the files shared on the network of The Pirate Bay contain copyright works distributed unlawfully.</w:t>
      </w:r>
      <w:r w:rsidRPr="00A746F2">
        <w:rPr>
          <w:rStyle w:val="EndnoteReference"/>
          <w:rFonts w:ascii="Avenir Book" w:eastAsia="Times New Roman" w:hAnsi="Avenir Book" w:cs="Times New Roman"/>
          <w:sz w:val="22"/>
          <w:szCs w:val="22"/>
          <w:shd w:val="clear" w:color="auto" w:fill="FFFFFF"/>
        </w:rPr>
        <w:endnoteReference w:id="31"/>
      </w:r>
    </w:p>
    <w:p w14:paraId="7ACDF5DB"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5F2FCFAF" w14:textId="1B722296"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shd w:val="clear" w:color="auto" w:fill="FFFFFF"/>
        </w:rPr>
        <w:t xml:space="preserve">Upheld at first instance, Stichting Brein’s application was dismissed on appeal. This was so on consideration that it would be the users of The Pirate Bay – rather than the platform operators – to be responsible for copyright infringements. In addition the blocking order sought was </w:t>
      </w:r>
      <w:r w:rsidR="00E131CC">
        <w:rPr>
          <w:rFonts w:ascii="Avenir Book" w:eastAsia="Times New Roman" w:hAnsi="Avenir Book" w:cs="Times New Roman"/>
          <w:sz w:val="22"/>
          <w:szCs w:val="22"/>
          <w:shd w:val="clear" w:color="auto" w:fill="FFFFFF"/>
        </w:rPr>
        <w:t>found</w:t>
      </w:r>
      <w:r w:rsidRPr="00A746F2">
        <w:rPr>
          <w:rFonts w:ascii="Avenir Book" w:eastAsia="Times New Roman" w:hAnsi="Avenir Book" w:cs="Times New Roman"/>
          <w:sz w:val="22"/>
          <w:szCs w:val="22"/>
          <w:shd w:val="clear" w:color="auto" w:fill="FFFFFF"/>
        </w:rPr>
        <w:t xml:space="preserve"> disproportionate to the aim pursued, this being effective copyright protection. </w:t>
      </w:r>
    </w:p>
    <w:p w14:paraId="40828AE7"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121C71C8" w14:textId="793C62A0"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rPr>
        <w:t>The decision was appealed to the Supreme Court, which decided to stay the proceedings and</w:t>
      </w:r>
      <w:r w:rsidR="00575E47">
        <w:rPr>
          <w:rFonts w:ascii="Avenir Book" w:eastAsia="Times New Roman" w:hAnsi="Avenir Book" w:cs="Times New Roman"/>
          <w:sz w:val="22"/>
          <w:szCs w:val="22"/>
        </w:rPr>
        <w:t xml:space="preserve"> </w:t>
      </w:r>
      <w:r w:rsidRPr="00A746F2">
        <w:rPr>
          <w:rFonts w:ascii="Avenir Book" w:eastAsia="Times New Roman" w:hAnsi="Avenir Book" w:cs="Times New Roman"/>
          <w:sz w:val="22"/>
          <w:szCs w:val="22"/>
        </w:rPr>
        <w:t>seek guidance from the CJEU</w:t>
      </w:r>
      <w:r w:rsidR="00575E47">
        <w:rPr>
          <w:rFonts w:ascii="Avenir Book" w:eastAsia="Times New Roman" w:hAnsi="Avenir Book" w:cs="Times New Roman"/>
          <w:sz w:val="22"/>
          <w:szCs w:val="22"/>
        </w:rPr>
        <w:t xml:space="preserve"> on </w:t>
      </w:r>
      <w:r w:rsidRPr="00A746F2">
        <w:rPr>
          <w:rFonts w:ascii="Avenir Book" w:eastAsia="Times New Roman" w:hAnsi="Avenir Book" w:cs="Times New Roman"/>
          <w:sz w:val="22"/>
          <w:szCs w:val="22"/>
        </w:rPr>
        <w:t>whether the operators of a website like The Pirate Bay are to be regarded as making acts of communication to the public within the meaning of Article 3(1) of the InfoSoc Directive.</w:t>
      </w:r>
    </w:p>
    <w:p w14:paraId="5582B5ED" w14:textId="77777777" w:rsidR="008B103B" w:rsidRDefault="008B103B" w:rsidP="000B21F4">
      <w:pPr>
        <w:jc w:val="both"/>
        <w:rPr>
          <w:rFonts w:ascii="Avenir Book" w:eastAsia="Times New Roman" w:hAnsi="Avenir Book" w:cs="Times New Roman"/>
          <w:sz w:val="22"/>
          <w:szCs w:val="22"/>
        </w:rPr>
      </w:pPr>
    </w:p>
    <w:p w14:paraId="3584F446" w14:textId="77777777" w:rsidR="008B103B" w:rsidRPr="00A746F2" w:rsidRDefault="008B103B" w:rsidP="000B21F4">
      <w:pPr>
        <w:jc w:val="both"/>
        <w:rPr>
          <w:rFonts w:ascii="Avenir Book" w:eastAsia="Times New Roman" w:hAnsi="Avenir Book" w:cs="Times New Roman"/>
          <w:sz w:val="22"/>
          <w:szCs w:val="22"/>
        </w:rPr>
      </w:pPr>
    </w:p>
    <w:p w14:paraId="6BED0825" w14:textId="6063CD6A" w:rsidR="008B103B" w:rsidRPr="00A746F2" w:rsidRDefault="008B103B" w:rsidP="000B21F4">
      <w:pPr>
        <w:pStyle w:val="Heading2"/>
        <w:pBdr>
          <w:bottom w:val="single" w:sz="4" w:space="1" w:color="auto"/>
        </w:pBdr>
        <w:spacing w:before="0"/>
        <w:rPr>
          <w:rFonts w:ascii="Avenir Book" w:hAnsi="Avenir Book"/>
          <w:color w:val="auto"/>
          <w:sz w:val="22"/>
          <w:szCs w:val="22"/>
        </w:rPr>
      </w:pPr>
      <w:bookmarkStart w:id="6" w:name="_Toc361053685"/>
      <w:r w:rsidRPr="00A746F2">
        <w:rPr>
          <w:rFonts w:ascii="Avenir Book" w:hAnsi="Avenir Book"/>
          <w:color w:val="auto"/>
          <w:sz w:val="22"/>
          <w:szCs w:val="22"/>
        </w:rPr>
        <w:t>2.1.</w:t>
      </w:r>
      <w:r w:rsidRPr="00A746F2">
        <w:rPr>
          <w:rFonts w:ascii="Avenir Book" w:hAnsi="Avenir Book"/>
          <w:color w:val="auto"/>
          <w:sz w:val="22"/>
          <w:szCs w:val="22"/>
        </w:rPr>
        <w:tab/>
        <w:t>The AG Opinion</w:t>
      </w:r>
      <w:bookmarkEnd w:id="6"/>
    </w:p>
    <w:p w14:paraId="39378951" w14:textId="77777777" w:rsidR="00A324C8" w:rsidRPr="00A746F2" w:rsidRDefault="00A324C8" w:rsidP="000B21F4">
      <w:pPr>
        <w:jc w:val="both"/>
        <w:rPr>
          <w:rFonts w:ascii="Avenir Book" w:eastAsia="Times New Roman" w:hAnsi="Avenir Book" w:cs="Times New Roman"/>
          <w:sz w:val="22"/>
          <w:szCs w:val="22"/>
        </w:rPr>
      </w:pPr>
    </w:p>
    <w:p w14:paraId="36CECCB4" w14:textId="77777777"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In his Opinion on 8 February 2017 AG Szpunar answered this question in the affirmative, further to three preliminary caveats. </w:t>
      </w:r>
    </w:p>
    <w:p w14:paraId="46B4CBD4" w14:textId="77777777" w:rsidR="008B103B" w:rsidRPr="00A746F2" w:rsidRDefault="008B103B" w:rsidP="000B21F4">
      <w:pPr>
        <w:jc w:val="both"/>
        <w:rPr>
          <w:rFonts w:ascii="Avenir Book" w:eastAsia="Times New Roman" w:hAnsi="Avenir Book" w:cs="Times New Roman"/>
          <w:sz w:val="22"/>
          <w:szCs w:val="22"/>
        </w:rPr>
      </w:pPr>
    </w:p>
    <w:p w14:paraId="444F9E54" w14:textId="2D6119E0"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First, he dismissed the submission of the European Commission (Legal Service) that a case like the one at issue would be best addressed under national liability regimes, i.e. as a matter of (unharmonized) secondary rather than (harmonized) primary liability. An option of this kind would be </w:t>
      </w:r>
      <w:r w:rsidR="00851185">
        <w:rPr>
          <w:rFonts w:ascii="Avenir Book" w:eastAsia="Times New Roman" w:hAnsi="Avenir Book" w:cs="Times New Roman"/>
          <w:sz w:val="22"/>
          <w:szCs w:val="22"/>
        </w:rPr>
        <w:t>un</w:t>
      </w:r>
      <w:r w:rsidRPr="00A746F2">
        <w:rPr>
          <w:rFonts w:ascii="Avenir Book" w:eastAsia="Times New Roman" w:hAnsi="Avenir Book" w:cs="Times New Roman"/>
          <w:sz w:val="22"/>
          <w:szCs w:val="22"/>
        </w:rPr>
        <w:t>helpful: depending “on the very divergent solutions adopted under the different national legal systems […] would undermine the objective of EU legislation in the relatively abundant field of copyright, which is precisely to harmonise the scope of the rights enjoyed by authors and other rightholders within the single market. That is why the answer to the problems raised in the present case must […] be sought rather in EU law.”</w:t>
      </w:r>
      <w:r w:rsidRPr="00A746F2">
        <w:rPr>
          <w:rStyle w:val="EndnoteReference"/>
          <w:rFonts w:ascii="Avenir Book" w:eastAsia="Times New Roman" w:hAnsi="Avenir Book" w:cs="Times New Roman"/>
          <w:sz w:val="22"/>
          <w:szCs w:val="22"/>
        </w:rPr>
        <w:endnoteReference w:id="32"/>
      </w:r>
    </w:p>
    <w:p w14:paraId="20FC4F8C" w14:textId="77777777" w:rsidR="008B103B" w:rsidRPr="00A746F2" w:rsidRDefault="008B103B" w:rsidP="000B21F4">
      <w:pPr>
        <w:jc w:val="both"/>
        <w:rPr>
          <w:rFonts w:ascii="Avenir Book" w:eastAsia="Times New Roman" w:hAnsi="Avenir Book" w:cs="Times New Roman"/>
          <w:sz w:val="22"/>
          <w:szCs w:val="22"/>
        </w:rPr>
      </w:pPr>
    </w:p>
    <w:p w14:paraId="0A8464EF" w14:textId="6B7B70C6"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Secondly, the AG marked a distinction between the present case and what at the time of the Opinion was the most immediate ‘precedent’</w:t>
      </w:r>
      <w:r w:rsidRPr="00A746F2">
        <w:rPr>
          <w:rStyle w:val="EndnoteReference"/>
          <w:rFonts w:ascii="Avenir Book" w:eastAsia="Times New Roman" w:hAnsi="Avenir Book" w:cs="Times New Roman"/>
          <w:sz w:val="22"/>
          <w:szCs w:val="22"/>
        </w:rPr>
        <w:endnoteReference w:id="33"/>
      </w:r>
      <w:r w:rsidRPr="00A746F2">
        <w:rPr>
          <w:rFonts w:ascii="Avenir Book" w:eastAsia="Times New Roman" w:hAnsi="Avenir Book" w:cs="Times New Roman"/>
          <w:sz w:val="22"/>
          <w:szCs w:val="22"/>
        </w:rPr>
        <w:t xml:space="preserve">, i.e. </w:t>
      </w:r>
      <w:r w:rsidRPr="00A746F2">
        <w:rPr>
          <w:rFonts w:ascii="Avenir Book" w:eastAsia="Times New Roman" w:hAnsi="Avenir Book" w:cs="Times New Roman"/>
          <w:i/>
          <w:sz w:val="22"/>
          <w:szCs w:val="22"/>
        </w:rPr>
        <w:t>GS Media</w:t>
      </w:r>
      <w:r w:rsidRPr="00A746F2">
        <w:rPr>
          <w:rFonts w:ascii="Avenir Book" w:eastAsia="Times New Roman" w:hAnsi="Avenir Book" w:cs="Times New Roman"/>
          <w:sz w:val="22"/>
          <w:szCs w:val="22"/>
        </w:rPr>
        <w:t xml:space="preserve">. This served the AG to avoid having to follow a particular aspect of this judgment, i.e. the presumption of knowledge of the unlicensed character of the content communicated by the user/defendant, as triggered by </w:t>
      </w:r>
      <w:r w:rsidR="00A301FA">
        <w:rPr>
          <w:rFonts w:ascii="Avenir Book" w:eastAsia="Times New Roman" w:hAnsi="Avenir Book" w:cs="Times New Roman"/>
          <w:sz w:val="22"/>
          <w:szCs w:val="22"/>
        </w:rPr>
        <w:t>its</w:t>
      </w:r>
      <w:r w:rsidRPr="00A746F2">
        <w:rPr>
          <w:rFonts w:ascii="Avenir Book" w:eastAsia="Times New Roman" w:hAnsi="Avenir Book" w:cs="Times New Roman"/>
          <w:sz w:val="22"/>
          <w:szCs w:val="22"/>
        </w:rPr>
        <w:t xml:space="preserve"> profit-making intention.</w:t>
      </w:r>
      <w:r w:rsidRPr="00A746F2">
        <w:rPr>
          <w:rStyle w:val="EndnoteReference"/>
          <w:rFonts w:ascii="Avenir Book" w:eastAsia="Times New Roman" w:hAnsi="Avenir Book" w:cs="Times New Roman"/>
          <w:sz w:val="22"/>
          <w:szCs w:val="22"/>
        </w:rPr>
        <w:endnoteReference w:id="34"/>
      </w:r>
      <w:r w:rsidRPr="00A746F2">
        <w:rPr>
          <w:rFonts w:ascii="Avenir Book" w:eastAsia="Times New Roman" w:hAnsi="Avenir Book" w:cs="Times New Roman"/>
          <w:sz w:val="22"/>
          <w:szCs w:val="22"/>
        </w:rPr>
        <w:t xml:space="preserve"> To achieve this objective, the AG submitted that the </w:t>
      </w:r>
      <w:r w:rsidRPr="00A746F2">
        <w:rPr>
          <w:rFonts w:ascii="Avenir Book" w:eastAsia="Times New Roman" w:hAnsi="Avenir Book" w:cs="Times New Roman"/>
          <w:i/>
          <w:sz w:val="22"/>
          <w:szCs w:val="22"/>
        </w:rPr>
        <w:t>Pirate Bay</w:t>
      </w:r>
      <w:r w:rsidRPr="00A746F2">
        <w:rPr>
          <w:rFonts w:ascii="Avenir Book" w:eastAsia="Times New Roman" w:hAnsi="Avenir Book" w:cs="Times New Roman"/>
          <w:sz w:val="22"/>
          <w:szCs w:val="22"/>
        </w:rPr>
        <w:t xml:space="preserve"> case would be different from </w:t>
      </w:r>
      <w:r w:rsidRPr="00A746F2">
        <w:rPr>
          <w:rFonts w:ascii="Avenir Book" w:eastAsia="Times New Roman" w:hAnsi="Avenir Book" w:cs="Times New Roman"/>
          <w:i/>
          <w:sz w:val="22"/>
          <w:szCs w:val="22"/>
        </w:rPr>
        <w:t xml:space="preserve">GS Media </w:t>
      </w:r>
      <w:r w:rsidRPr="00A746F2">
        <w:rPr>
          <w:rFonts w:ascii="Avenir Book" w:eastAsia="Times New Roman" w:hAnsi="Avenir Book" w:cs="Times New Roman"/>
          <w:sz w:val="22"/>
          <w:szCs w:val="22"/>
        </w:rPr>
        <w:t xml:space="preserve">(and </w:t>
      </w:r>
      <w:r w:rsidRPr="00A746F2">
        <w:rPr>
          <w:rFonts w:ascii="Avenir Book" w:eastAsia="Times New Roman" w:hAnsi="Avenir Book" w:cs="Times New Roman"/>
          <w:i/>
          <w:sz w:val="22"/>
          <w:szCs w:val="22"/>
        </w:rPr>
        <w:t>Svensson</w:t>
      </w:r>
      <w:r w:rsidRPr="00A746F2">
        <w:rPr>
          <w:rFonts w:ascii="Avenir Book" w:eastAsia="Times New Roman" w:hAnsi="Avenir Book" w:cs="Times New Roman"/>
          <w:sz w:val="22"/>
          <w:szCs w:val="22"/>
        </w:rPr>
        <w:t xml:space="preserve">), in the sense that it would not relate to </w:t>
      </w:r>
      <w:r w:rsidR="007036C1">
        <w:rPr>
          <w:rFonts w:ascii="Avenir Book" w:eastAsia="Times New Roman" w:hAnsi="Avenir Book" w:cs="Times New Roman"/>
          <w:sz w:val="22"/>
          <w:szCs w:val="22"/>
        </w:rPr>
        <w:t>a</w:t>
      </w:r>
      <w:r w:rsidRPr="00A746F2">
        <w:rPr>
          <w:rFonts w:ascii="Avenir Book" w:eastAsia="Times New Roman" w:hAnsi="Avenir Book" w:cs="Times New Roman"/>
          <w:sz w:val="22"/>
          <w:szCs w:val="22"/>
        </w:rPr>
        <w:t xml:space="preserve"> secondary communication (this being the provision of a link) of protected content already made available on a third-party site, but rather primary communication of copyright works.</w:t>
      </w:r>
      <w:r w:rsidRPr="00A746F2">
        <w:rPr>
          <w:rStyle w:val="EndnoteReference"/>
          <w:rFonts w:ascii="Avenir Book" w:eastAsia="Times New Roman" w:hAnsi="Avenir Book" w:cs="Times New Roman"/>
          <w:sz w:val="22"/>
          <w:szCs w:val="22"/>
        </w:rPr>
        <w:endnoteReference w:id="35"/>
      </w:r>
    </w:p>
    <w:p w14:paraId="00A63FA2" w14:textId="77777777" w:rsidR="008B103B" w:rsidRPr="00A746F2" w:rsidRDefault="008B103B" w:rsidP="000B21F4">
      <w:pPr>
        <w:jc w:val="both"/>
        <w:rPr>
          <w:rFonts w:ascii="Avenir Book" w:eastAsia="Times New Roman" w:hAnsi="Avenir Book" w:cs="Times New Roman"/>
          <w:sz w:val="22"/>
          <w:szCs w:val="22"/>
        </w:rPr>
      </w:pPr>
    </w:p>
    <w:p w14:paraId="686E41E9" w14:textId="57F1D785"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rPr>
        <w:t xml:space="preserve">Thirdly, the AG stressed the significance of considering the substance of the acts at issue, </w:t>
      </w:r>
      <w:r w:rsidR="003F2568">
        <w:rPr>
          <w:rFonts w:ascii="Avenir Book" w:eastAsia="Times New Roman" w:hAnsi="Avenir Book" w:cs="Times New Roman"/>
          <w:sz w:val="22"/>
          <w:szCs w:val="22"/>
        </w:rPr>
        <w:t>rather than</w:t>
      </w:r>
      <w:r w:rsidRPr="00A746F2">
        <w:rPr>
          <w:rFonts w:ascii="Avenir Book" w:eastAsia="Times New Roman" w:hAnsi="Avenir Book" w:cs="Times New Roman"/>
          <w:sz w:val="22"/>
          <w:szCs w:val="22"/>
        </w:rPr>
        <w:t xml:space="preserve"> their technical background. </w:t>
      </w:r>
      <w:r w:rsidRPr="00A746F2">
        <w:rPr>
          <w:rFonts w:ascii="Avenir Book" w:eastAsia="Times New Roman" w:hAnsi="Avenir Book" w:cs="Times New Roman"/>
          <w:sz w:val="22"/>
          <w:szCs w:val="22"/>
          <w:shd w:val="clear" w:color="auto" w:fill="FFFFFF"/>
        </w:rPr>
        <w:t>This would be necessary to avoid that “technical development far outstrips legislative or judicial procedures, at the risk of rendering obsolete, even before they have been adopted, legal solutions based on a given technological status quo.”</w:t>
      </w:r>
      <w:r w:rsidRPr="00A746F2">
        <w:rPr>
          <w:rStyle w:val="EndnoteReference"/>
          <w:rFonts w:ascii="Avenir Book" w:eastAsia="Times New Roman" w:hAnsi="Avenir Book" w:cs="Times New Roman"/>
          <w:sz w:val="22"/>
          <w:szCs w:val="22"/>
          <w:shd w:val="clear" w:color="auto" w:fill="FFFFFF"/>
        </w:rPr>
        <w:endnoteReference w:id="36"/>
      </w:r>
      <w:r w:rsidRPr="00A746F2">
        <w:rPr>
          <w:rFonts w:ascii="Avenir Book" w:eastAsia="Times New Roman" w:hAnsi="Avenir Book" w:cs="Times New Roman"/>
          <w:sz w:val="22"/>
          <w:szCs w:val="22"/>
          <w:shd w:val="clear" w:color="auto" w:fill="FFFFFF"/>
        </w:rPr>
        <w:t xml:space="preserve"> Considering the qualification of the </w:t>
      </w:r>
      <w:r w:rsidRPr="00A746F2">
        <w:rPr>
          <w:rFonts w:ascii="Avenir Book" w:eastAsia="Times New Roman" w:hAnsi="Avenir Book" w:cs="Times New Roman"/>
          <w:i/>
          <w:sz w:val="22"/>
          <w:szCs w:val="22"/>
          <w:shd w:val="clear" w:color="auto" w:fill="FFFFFF"/>
        </w:rPr>
        <w:t>role</w:t>
      </w:r>
      <w:r w:rsidRPr="00A746F2">
        <w:rPr>
          <w:rFonts w:ascii="Avenir Book" w:eastAsia="Times New Roman" w:hAnsi="Avenir Book" w:cs="Times New Roman"/>
          <w:sz w:val="22"/>
          <w:szCs w:val="22"/>
          <w:shd w:val="clear" w:color="auto" w:fill="FFFFFF"/>
        </w:rPr>
        <w:t xml:space="preserve"> of operators of websites like The Pirate Bay would also serve to deliver solutions that find application in different contexts.</w:t>
      </w:r>
    </w:p>
    <w:p w14:paraId="7EF927B6"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2523BCDE" w14:textId="77777777" w:rsidR="00056C1B"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shd w:val="clear" w:color="auto" w:fill="FFFFFF"/>
        </w:rPr>
        <w:t>Holding that there is no issue regarding the making of acts of communication in the case of works shared on a P2P network</w:t>
      </w:r>
      <w:r w:rsidRPr="00A746F2">
        <w:rPr>
          <w:rStyle w:val="EndnoteReference"/>
          <w:rFonts w:ascii="Avenir Book" w:eastAsia="Times New Roman" w:hAnsi="Avenir Book" w:cs="Times New Roman"/>
          <w:sz w:val="22"/>
          <w:szCs w:val="22"/>
          <w:shd w:val="clear" w:color="auto" w:fill="FFFFFF"/>
        </w:rPr>
        <w:endnoteReference w:id="37"/>
      </w:r>
      <w:r w:rsidRPr="00A746F2">
        <w:rPr>
          <w:rFonts w:ascii="Avenir Book" w:eastAsia="Times New Roman" w:hAnsi="Avenir Book" w:cs="Times New Roman"/>
          <w:sz w:val="22"/>
          <w:szCs w:val="22"/>
          <w:shd w:val="clear" w:color="auto" w:fill="FFFFFF"/>
        </w:rPr>
        <w:t xml:space="preserve">, AG Szpunar noted that the real question posed by the Dutch court was </w:t>
      </w:r>
      <w:r w:rsidRPr="00A746F2">
        <w:rPr>
          <w:rFonts w:ascii="Avenir Book" w:eastAsia="Times New Roman" w:hAnsi="Avenir Book" w:cs="Times New Roman"/>
          <w:i/>
          <w:sz w:val="22"/>
          <w:szCs w:val="22"/>
          <w:shd w:val="clear" w:color="auto" w:fill="FFFFFF"/>
        </w:rPr>
        <w:t>who</w:t>
      </w:r>
      <w:r w:rsidRPr="00A746F2">
        <w:rPr>
          <w:rFonts w:ascii="Avenir Book" w:eastAsia="Times New Roman" w:hAnsi="Avenir Book" w:cs="Times New Roman"/>
          <w:sz w:val="22"/>
          <w:szCs w:val="22"/>
          <w:shd w:val="clear" w:color="auto" w:fill="FFFFFF"/>
        </w:rPr>
        <w:t xml:space="preserve"> is responsible for such acts.</w:t>
      </w:r>
      <w:r w:rsidRPr="00A746F2">
        <w:rPr>
          <w:rStyle w:val="EndnoteReference"/>
          <w:rFonts w:ascii="Avenir Book" w:eastAsia="Times New Roman" w:hAnsi="Avenir Book" w:cs="Times New Roman"/>
          <w:sz w:val="22"/>
          <w:szCs w:val="22"/>
          <w:shd w:val="clear" w:color="auto" w:fill="FFFFFF"/>
        </w:rPr>
        <w:endnoteReference w:id="38"/>
      </w:r>
      <w:r w:rsidRPr="00A746F2">
        <w:rPr>
          <w:rFonts w:ascii="Avenir Book" w:eastAsia="Times New Roman" w:hAnsi="Avenir Book" w:cs="Times New Roman"/>
          <w:sz w:val="22"/>
          <w:szCs w:val="22"/>
          <w:shd w:val="clear" w:color="auto" w:fill="FFFFFF"/>
        </w:rPr>
        <w:t xml:space="preserve"> He concluded that users intentionally make available works in their possession to other </w:t>
      </w:r>
      <w:r w:rsidR="005E5705">
        <w:rPr>
          <w:rFonts w:ascii="Avenir Book" w:eastAsia="Times New Roman" w:hAnsi="Avenir Book" w:cs="Times New Roman"/>
          <w:sz w:val="22"/>
          <w:szCs w:val="22"/>
          <w:shd w:val="clear" w:color="auto" w:fill="FFFFFF"/>
        </w:rPr>
        <w:t>users of the Pirate Bay network;</w:t>
      </w:r>
      <w:r w:rsidRPr="00A746F2">
        <w:rPr>
          <w:rFonts w:ascii="Avenir Book" w:eastAsia="Times New Roman" w:hAnsi="Avenir Book" w:cs="Times New Roman"/>
          <w:sz w:val="22"/>
          <w:szCs w:val="22"/>
          <w:shd w:val="clear" w:color="auto" w:fill="FFFFFF"/>
        </w:rPr>
        <w:t xml:space="preserve"> hence their acts should be regarded as falling within the scope of Article 3(1).</w:t>
      </w:r>
      <w:r w:rsidRPr="00A746F2">
        <w:rPr>
          <w:rStyle w:val="EndnoteReference"/>
          <w:rFonts w:ascii="Avenir Book" w:eastAsia="Times New Roman" w:hAnsi="Avenir Book" w:cs="Times New Roman"/>
          <w:sz w:val="22"/>
          <w:szCs w:val="22"/>
          <w:shd w:val="clear" w:color="auto" w:fill="FFFFFF"/>
        </w:rPr>
        <w:endnoteReference w:id="39"/>
      </w:r>
      <w:r w:rsidRPr="00A746F2">
        <w:rPr>
          <w:rFonts w:ascii="Avenir Book" w:eastAsia="Times New Roman" w:hAnsi="Avenir Book" w:cs="Times New Roman"/>
          <w:sz w:val="22"/>
          <w:szCs w:val="22"/>
          <w:shd w:val="clear" w:color="auto" w:fill="FFFFFF"/>
        </w:rPr>
        <w:t xml:space="preserve"> </w:t>
      </w:r>
    </w:p>
    <w:p w14:paraId="20B3A028" w14:textId="77777777" w:rsidR="00056C1B" w:rsidRDefault="00056C1B" w:rsidP="000B21F4">
      <w:pPr>
        <w:jc w:val="both"/>
        <w:rPr>
          <w:rFonts w:ascii="Avenir Book" w:eastAsia="Times New Roman" w:hAnsi="Avenir Book" w:cs="Times New Roman"/>
          <w:sz w:val="22"/>
          <w:szCs w:val="22"/>
          <w:shd w:val="clear" w:color="auto" w:fill="FFFFFF"/>
        </w:rPr>
      </w:pPr>
    </w:p>
    <w:p w14:paraId="19E92CAC" w14:textId="2613D874"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shd w:val="clear" w:color="auto" w:fill="FFFFFF"/>
        </w:rPr>
        <w:t>As regards the operators of The Pirate Bay, the AG relied on the criterion of the essential role of the user originating the communication and the deliberate nature of its intervention. The AG recalled that such “player makes an act of communication when it intervenes, in full knowledge of the consequences of its action, to give its customers access to a protected work, and does so in particular where without that intervention its customers would not, in principle, be able to enjoy the broadcast work.”</w:t>
      </w:r>
      <w:r w:rsidRPr="00A746F2">
        <w:rPr>
          <w:rStyle w:val="EndnoteReference"/>
          <w:rFonts w:ascii="Avenir Book" w:eastAsia="Times New Roman" w:hAnsi="Avenir Book" w:cs="Times New Roman"/>
          <w:sz w:val="22"/>
          <w:szCs w:val="22"/>
          <w:shd w:val="clear" w:color="auto" w:fill="FFFFFF"/>
        </w:rPr>
        <w:endnoteReference w:id="40"/>
      </w:r>
      <w:r w:rsidRPr="00A746F2">
        <w:rPr>
          <w:rFonts w:ascii="Avenir Book" w:eastAsia="Times New Roman" w:hAnsi="Avenir Book" w:cs="Times New Roman"/>
          <w:sz w:val="22"/>
          <w:szCs w:val="22"/>
          <w:shd w:val="clear" w:color="auto" w:fill="FFFFFF"/>
        </w:rPr>
        <w:t xml:space="preserve"> </w:t>
      </w:r>
    </w:p>
    <w:p w14:paraId="0168FC42"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52A4FED9" w14:textId="158C3A30" w:rsidR="008B103B" w:rsidRPr="00A746F2" w:rsidRDefault="008B103B" w:rsidP="000B21F4">
      <w:pPr>
        <w:jc w:val="both"/>
        <w:rPr>
          <w:rFonts w:ascii="Avenir Book" w:hAnsi="Avenir Book" w:cs="Times New Roman"/>
          <w:sz w:val="22"/>
          <w:szCs w:val="22"/>
        </w:rPr>
      </w:pPr>
      <w:r w:rsidRPr="00A746F2">
        <w:rPr>
          <w:rFonts w:ascii="Avenir Book" w:eastAsia="Times New Roman" w:hAnsi="Avenir Book" w:cs="Times New Roman"/>
          <w:sz w:val="22"/>
          <w:szCs w:val="22"/>
          <w:shd w:val="clear" w:color="auto" w:fill="FFFFFF"/>
        </w:rPr>
        <w:t>While regarding the role of the operators as “necessary”</w:t>
      </w:r>
      <w:r w:rsidRPr="00A746F2">
        <w:rPr>
          <w:rStyle w:val="EndnoteReference"/>
          <w:rFonts w:ascii="Avenir Book" w:eastAsia="Times New Roman" w:hAnsi="Avenir Book" w:cs="Times New Roman"/>
          <w:sz w:val="22"/>
          <w:szCs w:val="22"/>
          <w:shd w:val="clear" w:color="auto" w:fill="FFFFFF"/>
        </w:rPr>
        <w:endnoteReference w:id="41"/>
      </w:r>
      <w:r w:rsidRPr="00A746F2">
        <w:rPr>
          <w:rFonts w:ascii="Avenir Book" w:eastAsia="Times New Roman" w:hAnsi="Avenir Book" w:cs="Times New Roman"/>
          <w:sz w:val="22"/>
          <w:szCs w:val="22"/>
          <w:shd w:val="clear" w:color="auto" w:fill="FFFFFF"/>
        </w:rPr>
        <w:t>, the AG also considered whether liability could subsis</w:t>
      </w:r>
      <w:r w:rsidR="00056C1B">
        <w:rPr>
          <w:rFonts w:ascii="Avenir Book" w:eastAsia="Times New Roman" w:hAnsi="Avenir Book" w:cs="Times New Roman"/>
          <w:sz w:val="22"/>
          <w:szCs w:val="22"/>
          <w:shd w:val="clear" w:color="auto" w:fill="FFFFFF"/>
        </w:rPr>
        <w:t>t in relation to a subject that –</w:t>
      </w:r>
      <w:r w:rsidRPr="00A746F2">
        <w:rPr>
          <w:rFonts w:ascii="Avenir Book" w:eastAsia="Times New Roman" w:hAnsi="Avenir Book" w:cs="Times New Roman"/>
          <w:sz w:val="22"/>
          <w:szCs w:val="22"/>
          <w:shd w:val="clear" w:color="auto" w:fill="FFFFFF"/>
        </w:rPr>
        <w:t xml:space="preserve"> like </w:t>
      </w:r>
      <w:r w:rsidR="00056C1B">
        <w:rPr>
          <w:rFonts w:ascii="Avenir Book" w:eastAsia="Times New Roman" w:hAnsi="Avenir Book" w:cs="Times New Roman"/>
          <w:sz w:val="22"/>
          <w:szCs w:val="22"/>
          <w:shd w:val="clear" w:color="auto" w:fill="FFFFFF"/>
        </w:rPr>
        <w:t>the operators of The Pirate Bay –</w:t>
      </w:r>
      <w:r w:rsidRPr="00A746F2">
        <w:rPr>
          <w:rFonts w:ascii="Avenir Book" w:eastAsia="Times New Roman" w:hAnsi="Avenir Book" w:cs="Times New Roman"/>
          <w:sz w:val="22"/>
          <w:szCs w:val="22"/>
          <w:shd w:val="clear" w:color="auto" w:fill="FFFFFF"/>
        </w:rPr>
        <w:t xml:space="preserve"> merely indexes the </w:t>
      </w:r>
      <w:r w:rsidRPr="00A746F2">
        <w:rPr>
          <w:rFonts w:ascii="Avenir Book" w:hAnsi="Avenir Book" w:cs="Times New Roman"/>
          <w:sz w:val="22"/>
          <w:szCs w:val="22"/>
        </w:rPr>
        <w:t>metadata relating to works that are offered for sharing by users of the P2P network, and has in principle no influence over the appearance of a given work on that network.</w:t>
      </w:r>
      <w:r w:rsidRPr="00A746F2">
        <w:rPr>
          <w:rStyle w:val="EndnoteReference"/>
          <w:rFonts w:ascii="Avenir Book" w:hAnsi="Avenir Book" w:cs="Times New Roman"/>
          <w:sz w:val="22"/>
          <w:szCs w:val="22"/>
        </w:rPr>
        <w:endnoteReference w:id="42"/>
      </w:r>
      <w:r w:rsidRPr="00A746F2">
        <w:rPr>
          <w:rFonts w:ascii="Avenir Book" w:hAnsi="Avenir Book" w:cs="Times New Roman"/>
          <w:sz w:val="22"/>
          <w:szCs w:val="22"/>
        </w:rPr>
        <w:t xml:space="preserve"> </w:t>
      </w:r>
    </w:p>
    <w:p w14:paraId="6E8FAAA9" w14:textId="77777777" w:rsidR="008B103B" w:rsidRPr="00A746F2" w:rsidRDefault="008B103B" w:rsidP="000B21F4">
      <w:pPr>
        <w:jc w:val="both"/>
        <w:rPr>
          <w:rFonts w:ascii="Avenir Book" w:hAnsi="Avenir Book" w:cs="Times New Roman"/>
          <w:sz w:val="22"/>
          <w:szCs w:val="22"/>
        </w:rPr>
      </w:pPr>
    </w:p>
    <w:p w14:paraId="1265DFA3" w14:textId="1ED1B814"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According to the AG liability cannot arise in the case in which the intermediary at issue is unaware that a certain work has been made available without the copyright owner’s consent or if – once it has been made aware of the illegality – it acts in good faith to rectify the matter.</w:t>
      </w:r>
      <w:r w:rsidRPr="00A746F2">
        <w:rPr>
          <w:rStyle w:val="EndnoteReference"/>
          <w:rFonts w:ascii="Avenir Book" w:hAnsi="Avenir Book" w:cs="Times New Roman"/>
          <w:sz w:val="22"/>
          <w:szCs w:val="22"/>
        </w:rPr>
        <w:endnoteReference w:id="43"/>
      </w:r>
      <w:r w:rsidRPr="00A746F2">
        <w:rPr>
          <w:rFonts w:ascii="Avenir Book" w:hAnsi="Avenir Book" w:cs="Times New Roman"/>
          <w:sz w:val="22"/>
          <w:szCs w:val="22"/>
        </w:rPr>
        <w:t xml:space="preserve"> It follows that liability could be only found “from the moment [when] that operator has knowledge of the fact that making available took place in breach of copyright and does not take action to render access to the work in question impossible”.</w:t>
      </w:r>
      <w:r w:rsidRPr="00A746F2">
        <w:rPr>
          <w:rStyle w:val="EndnoteReference"/>
          <w:rFonts w:ascii="Avenir Book" w:hAnsi="Avenir Book" w:cs="Times New Roman"/>
          <w:sz w:val="22"/>
          <w:szCs w:val="22"/>
        </w:rPr>
        <w:endnoteReference w:id="44"/>
      </w:r>
      <w:r w:rsidRPr="00A746F2">
        <w:rPr>
          <w:rFonts w:ascii="Avenir Book" w:hAnsi="Avenir Book" w:cs="Times New Roman"/>
          <w:sz w:val="22"/>
          <w:szCs w:val="22"/>
        </w:rPr>
        <w:t xml:space="preserve"> </w:t>
      </w:r>
    </w:p>
    <w:p w14:paraId="060E0BEE" w14:textId="77777777" w:rsidR="008B103B" w:rsidRPr="00A746F2" w:rsidRDefault="008B103B" w:rsidP="000B21F4">
      <w:pPr>
        <w:jc w:val="both"/>
        <w:rPr>
          <w:rFonts w:ascii="Avenir Book" w:hAnsi="Avenir Book" w:cs="Times New Roman"/>
          <w:sz w:val="22"/>
          <w:szCs w:val="22"/>
        </w:rPr>
      </w:pPr>
    </w:p>
    <w:p w14:paraId="7C748363" w14:textId="38FF0837"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In this part of the Opinion it is apparent why AG Szpunar had inserted the caveat that the case at hand would be different from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The AG, in fact, rejected that knowledge is to be presumed in the case of </w:t>
      </w:r>
      <w:r w:rsidR="004030C9">
        <w:rPr>
          <w:rFonts w:ascii="Avenir Book" w:hAnsi="Avenir Book" w:cs="Times New Roman"/>
          <w:sz w:val="22"/>
          <w:szCs w:val="22"/>
        </w:rPr>
        <w:t>the</w:t>
      </w:r>
      <w:r w:rsidRPr="00A746F2">
        <w:rPr>
          <w:rFonts w:ascii="Avenir Book" w:hAnsi="Avenir Book" w:cs="Times New Roman"/>
          <w:sz w:val="22"/>
          <w:szCs w:val="22"/>
        </w:rPr>
        <w:t xml:space="preserve"> operator of a for-profit </w:t>
      </w:r>
      <w:r w:rsidR="00851185">
        <w:rPr>
          <w:rFonts w:ascii="Avenir Book" w:hAnsi="Avenir Book" w:cs="Times New Roman"/>
          <w:sz w:val="22"/>
          <w:szCs w:val="22"/>
        </w:rPr>
        <w:t>platform</w:t>
      </w:r>
      <w:r w:rsidRPr="00A746F2">
        <w:rPr>
          <w:rFonts w:ascii="Avenir Book" w:hAnsi="Avenir Book" w:cs="Times New Roman"/>
          <w:sz w:val="22"/>
          <w:szCs w:val="22"/>
        </w:rPr>
        <w:t xml:space="preserve">. This was </w:t>
      </w:r>
      <w:r w:rsidR="00A01F46">
        <w:rPr>
          <w:rFonts w:ascii="Avenir Book" w:hAnsi="Avenir Book" w:cs="Times New Roman"/>
          <w:sz w:val="22"/>
          <w:szCs w:val="22"/>
        </w:rPr>
        <w:t>so</w:t>
      </w:r>
      <w:r w:rsidRPr="00A746F2">
        <w:rPr>
          <w:rFonts w:ascii="Avenir Book" w:hAnsi="Avenir Book" w:cs="Times New Roman"/>
          <w:sz w:val="22"/>
          <w:szCs w:val="22"/>
        </w:rPr>
        <w:t xml:space="preserve"> out of fear that the application of such a presumption would result in the imposition of a general monitoring obligation.</w:t>
      </w:r>
      <w:r w:rsidRPr="00A746F2">
        <w:rPr>
          <w:rStyle w:val="EndnoteReference"/>
          <w:rFonts w:ascii="Avenir Book" w:hAnsi="Avenir Book" w:cs="Times New Roman"/>
          <w:sz w:val="22"/>
          <w:szCs w:val="22"/>
        </w:rPr>
        <w:endnoteReference w:id="45"/>
      </w:r>
      <w:r w:rsidRPr="00A746F2">
        <w:rPr>
          <w:rFonts w:ascii="Avenir Book" w:hAnsi="Avenir Book" w:cs="Times New Roman"/>
          <w:sz w:val="22"/>
          <w:szCs w:val="22"/>
        </w:rPr>
        <w:t xml:space="preserve"> Although the AG did not expressly refer to it in this part of the Opinion, what he had in mind is the body of provisions in the E-Commerce Directive that concern exemptions/limitations from liability for </w:t>
      </w:r>
      <w:r w:rsidR="00711FBC">
        <w:rPr>
          <w:rFonts w:ascii="Avenir Book" w:hAnsi="Avenir Book" w:cs="Times New Roman"/>
          <w:sz w:val="22"/>
          <w:szCs w:val="22"/>
        </w:rPr>
        <w:t>providers</w:t>
      </w:r>
      <w:r w:rsidRPr="00A746F2">
        <w:rPr>
          <w:rFonts w:ascii="Avenir Book" w:hAnsi="Avenir Book" w:cs="Times New Roman"/>
          <w:sz w:val="22"/>
          <w:szCs w:val="22"/>
        </w:rPr>
        <w:t xml:space="preserve"> (so called safe harbours, referred elsewhere in the Opinion</w:t>
      </w:r>
      <w:r w:rsidRPr="00A746F2">
        <w:rPr>
          <w:rStyle w:val="EndnoteReference"/>
          <w:rFonts w:ascii="Avenir Book" w:hAnsi="Avenir Book" w:cs="Times New Roman"/>
          <w:sz w:val="22"/>
          <w:szCs w:val="22"/>
        </w:rPr>
        <w:endnoteReference w:id="46"/>
      </w:r>
      <w:r w:rsidRPr="00A746F2">
        <w:rPr>
          <w:rFonts w:ascii="Avenir Book" w:hAnsi="Avenir Book" w:cs="Times New Roman"/>
          <w:sz w:val="22"/>
          <w:szCs w:val="22"/>
        </w:rPr>
        <w:t xml:space="preserve">), as well as the provision in Article 15 therein which excludes that Member States may impose on providers general obligations </w:t>
      </w:r>
      <w:r w:rsidRPr="00A746F2">
        <w:rPr>
          <w:rFonts w:ascii="Avenir Book" w:eastAsia="Times New Roman" w:hAnsi="Avenir Book" w:cs="Times New Roman"/>
          <w:sz w:val="22"/>
          <w:szCs w:val="22"/>
        </w:rPr>
        <w:t>to monitor the information which they transmit or store, or a general obligation actively to seek facts or circumstances indicating illegal activity.</w:t>
      </w:r>
    </w:p>
    <w:p w14:paraId="338D19FF" w14:textId="02F8200A" w:rsidR="008B103B" w:rsidRPr="00A746F2" w:rsidRDefault="008B103B" w:rsidP="000B21F4">
      <w:pPr>
        <w:jc w:val="both"/>
        <w:rPr>
          <w:rFonts w:ascii="Avenir Book" w:eastAsia="Times New Roman" w:hAnsi="Avenir Book" w:cs="Times New Roman"/>
          <w:sz w:val="22"/>
          <w:szCs w:val="22"/>
          <w:shd w:val="clear" w:color="auto" w:fill="FFFFFF"/>
        </w:rPr>
      </w:pPr>
    </w:p>
    <w:p w14:paraId="01079C8E" w14:textId="0BC935C2" w:rsidR="008B103B" w:rsidRPr="00A746F2" w:rsidRDefault="008B103B" w:rsidP="000B21F4">
      <w:pPr>
        <w:pStyle w:val="Heading2"/>
        <w:pBdr>
          <w:bottom w:val="single" w:sz="4" w:space="1" w:color="auto"/>
        </w:pBdr>
        <w:spacing w:before="0"/>
        <w:rPr>
          <w:rFonts w:ascii="Avenir Book" w:hAnsi="Avenir Book"/>
          <w:color w:val="auto"/>
          <w:sz w:val="22"/>
          <w:szCs w:val="22"/>
        </w:rPr>
      </w:pPr>
      <w:bookmarkStart w:id="7" w:name="_Toc361053686"/>
      <w:r w:rsidRPr="00A746F2">
        <w:rPr>
          <w:rFonts w:ascii="Avenir Book" w:hAnsi="Avenir Book"/>
          <w:color w:val="auto"/>
          <w:sz w:val="22"/>
          <w:szCs w:val="22"/>
        </w:rPr>
        <w:t>2.2.</w:t>
      </w:r>
      <w:r w:rsidRPr="00A746F2">
        <w:rPr>
          <w:rFonts w:ascii="Avenir Book" w:hAnsi="Avenir Book"/>
          <w:color w:val="auto"/>
          <w:sz w:val="22"/>
          <w:szCs w:val="22"/>
        </w:rPr>
        <w:tab/>
        <w:t>The CJEU decision</w:t>
      </w:r>
      <w:bookmarkEnd w:id="7"/>
    </w:p>
    <w:p w14:paraId="229BA93E" w14:textId="77777777" w:rsidR="00A324C8" w:rsidRPr="00A746F2" w:rsidRDefault="00A324C8" w:rsidP="000B21F4">
      <w:pPr>
        <w:jc w:val="both"/>
        <w:rPr>
          <w:rFonts w:ascii="Avenir Book" w:hAnsi="Avenir Book" w:cs="Times New Roman"/>
          <w:sz w:val="22"/>
          <w:szCs w:val="22"/>
        </w:rPr>
      </w:pPr>
    </w:p>
    <w:p w14:paraId="380AF3BF" w14:textId="42217E21"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The CJEU substantially followed the AG in his analysis of the right of communication to the public with, however, three significant points of divergence. </w:t>
      </w:r>
    </w:p>
    <w:p w14:paraId="03F6E46D" w14:textId="77777777" w:rsidR="008B103B" w:rsidRPr="00A746F2" w:rsidRDefault="008B103B" w:rsidP="000B21F4">
      <w:pPr>
        <w:jc w:val="both"/>
        <w:rPr>
          <w:rFonts w:ascii="Avenir Book" w:hAnsi="Avenir Book" w:cs="Times New Roman"/>
          <w:sz w:val="22"/>
          <w:szCs w:val="22"/>
        </w:rPr>
      </w:pPr>
    </w:p>
    <w:p w14:paraId="035E78DA" w14:textId="629F890F"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First, the CJEU judgment does not include any references to the E-Commerce Directive and the safe harbour regime envisaged therein. Secondly, to determine the liability of the platform operators, the Court did not limit the applicability of its findings to situations of ‘actual’ knowledge by the defendants of the unlicensed character of the works made available through their </w:t>
      </w:r>
      <w:r w:rsidR="00851185">
        <w:rPr>
          <w:rFonts w:ascii="Avenir Book" w:hAnsi="Avenir Book" w:cs="Times New Roman"/>
          <w:sz w:val="22"/>
          <w:szCs w:val="22"/>
        </w:rPr>
        <w:t>platform</w:t>
      </w:r>
      <w:r w:rsidRPr="00A746F2">
        <w:rPr>
          <w:rFonts w:ascii="Avenir Book" w:hAnsi="Avenir Book" w:cs="Times New Roman"/>
          <w:sz w:val="22"/>
          <w:szCs w:val="22"/>
        </w:rPr>
        <w:t>. Thirdly (and likely linked to the previous point) the Court did not ‘distinguish’</w:t>
      </w:r>
      <w:r w:rsidRPr="00A746F2">
        <w:rPr>
          <w:rStyle w:val="EndnoteReference"/>
          <w:rFonts w:ascii="Avenir Book" w:hAnsi="Avenir Book" w:cs="Times New Roman"/>
          <w:sz w:val="22"/>
          <w:szCs w:val="22"/>
        </w:rPr>
        <w:endnoteReference w:id="47"/>
      </w:r>
      <w:r w:rsidRPr="00A746F2">
        <w:rPr>
          <w:rFonts w:ascii="Avenir Book" w:hAnsi="Avenir Book" w:cs="Times New Roman"/>
          <w:sz w:val="22"/>
          <w:szCs w:val="22"/>
        </w:rPr>
        <w:t xml:space="preserve"> the present case from earlier decisions, notably </w:t>
      </w:r>
      <w:r w:rsidRPr="00A746F2">
        <w:rPr>
          <w:rFonts w:ascii="Avenir Book" w:hAnsi="Avenir Book" w:cs="Times New Roman"/>
          <w:i/>
          <w:sz w:val="22"/>
          <w:szCs w:val="22"/>
        </w:rPr>
        <w:t>GS Media</w:t>
      </w:r>
      <w:r w:rsidRPr="00A746F2">
        <w:rPr>
          <w:rFonts w:ascii="Avenir Book" w:hAnsi="Avenir Book" w:cs="Times New Roman"/>
          <w:sz w:val="22"/>
          <w:szCs w:val="22"/>
        </w:rPr>
        <w:t>. All these aspects – as it will be explained further below – are key to appreciate the implications of the judgment.</w:t>
      </w:r>
    </w:p>
    <w:p w14:paraId="08C9BD56" w14:textId="77777777" w:rsidR="008B103B" w:rsidRPr="00A746F2" w:rsidRDefault="008B103B" w:rsidP="000B21F4">
      <w:pPr>
        <w:jc w:val="both"/>
        <w:rPr>
          <w:rFonts w:ascii="Avenir Book" w:hAnsi="Avenir Book" w:cs="Times New Roman"/>
          <w:sz w:val="22"/>
          <w:szCs w:val="22"/>
        </w:rPr>
      </w:pPr>
    </w:p>
    <w:p w14:paraId="52DA2374" w14:textId="63C9A0B4"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The Court began its analysis by referring </w:t>
      </w:r>
      <w:r w:rsidR="00851185">
        <w:rPr>
          <w:rFonts w:ascii="Avenir Book" w:hAnsi="Avenir Book" w:cs="Times New Roman"/>
          <w:sz w:val="22"/>
          <w:szCs w:val="22"/>
        </w:rPr>
        <w:t xml:space="preserve">to </w:t>
      </w:r>
      <w:r w:rsidRPr="00A746F2">
        <w:rPr>
          <w:rFonts w:ascii="Avenir Book" w:hAnsi="Avenir Book" w:cs="Times New Roman"/>
          <w:sz w:val="22"/>
          <w:szCs w:val="22"/>
        </w:rPr>
        <w:t>the preventive character of the right of communication to the public</w:t>
      </w:r>
      <w:r w:rsidRPr="00A746F2">
        <w:rPr>
          <w:rStyle w:val="EndnoteReference"/>
          <w:rFonts w:ascii="Avenir Book" w:hAnsi="Avenir Book" w:cs="Times New Roman"/>
          <w:sz w:val="22"/>
          <w:szCs w:val="22"/>
        </w:rPr>
        <w:endnoteReference w:id="48"/>
      </w:r>
      <w:r w:rsidRPr="00A746F2">
        <w:rPr>
          <w:rFonts w:ascii="Avenir Book" w:hAnsi="Avenir Book" w:cs="Times New Roman"/>
          <w:sz w:val="22"/>
          <w:szCs w:val="22"/>
        </w:rPr>
        <w:t xml:space="preserve"> and the need to ensure a high level of copyright protection, in line with the objectives pursued by the EU legislature </w:t>
      </w:r>
      <w:r w:rsidR="00851185">
        <w:rPr>
          <w:rFonts w:ascii="Avenir Book" w:hAnsi="Avenir Book" w:cs="Times New Roman"/>
          <w:sz w:val="22"/>
          <w:szCs w:val="22"/>
        </w:rPr>
        <w:t>at the time of adopting</w:t>
      </w:r>
      <w:r w:rsidRPr="00A746F2">
        <w:rPr>
          <w:rFonts w:ascii="Avenir Book" w:hAnsi="Avenir Book" w:cs="Times New Roman"/>
          <w:sz w:val="22"/>
          <w:szCs w:val="22"/>
        </w:rPr>
        <w:t xml:space="preserve"> the InfoSoc Directive.</w:t>
      </w:r>
      <w:r w:rsidRPr="00A746F2">
        <w:rPr>
          <w:rStyle w:val="EndnoteReference"/>
          <w:rFonts w:ascii="Avenir Book" w:hAnsi="Avenir Book" w:cs="Times New Roman"/>
          <w:sz w:val="22"/>
          <w:szCs w:val="22"/>
        </w:rPr>
        <w:endnoteReference w:id="49"/>
      </w:r>
      <w:r w:rsidRPr="00A746F2">
        <w:rPr>
          <w:rFonts w:ascii="Avenir Book" w:hAnsi="Avenir Book" w:cs="Times New Roman"/>
          <w:sz w:val="22"/>
          <w:szCs w:val="22"/>
        </w:rPr>
        <w:t xml:space="preserve"> The CJEU then noted how the concept of communication to the public requires an individual assessment that depends on the circumstances </w:t>
      </w:r>
      <w:r w:rsidR="00A301FA">
        <w:rPr>
          <w:rFonts w:ascii="Avenir Book" w:hAnsi="Avenir Book" w:cs="Times New Roman"/>
          <w:sz w:val="22"/>
          <w:szCs w:val="22"/>
        </w:rPr>
        <w:t>at issue</w:t>
      </w:r>
      <w:r w:rsidRPr="00A746F2">
        <w:rPr>
          <w:rFonts w:ascii="Avenir Book" w:hAnsi="Avenir Book" w:cs="Times New Roman"/>
          <w:sz w:val="22"/>
          <w:szCs w:val="22"/>
        </w:rPr>
        <w:t>.</w:t>
      </w:r>
      <w:r w:rsidRPr="00A746F2">
        <w:rPr>
          <w:rStyle w:val="EndnoteReference"/>
          <w:rFonts w:ascii="Avenir Book" w:hAnsi="Avenir Book" w:cs="Times New Roman"/>
          <w:sz w:val="22"/>
          <w:szCs w:val="22"/>
        </w:rPr>
        <w:endnoteReference w:id="50"/>
      </w:r>
      <w:r w:rsidRPr="00A746F2">
        <w:rPr>
          <w:rFonts w:ascii="Avenir Book" w:hAnsi="Avenir Book" w:cs="Times New Roman"/>
          <w:sz w:val="22"/>
          <w:szCs w:val="22"/>
        </w:rPr>
        <w:t xml:space="preserve"> </w:t>
      </w:r>
    </w:p>
    <w:p w14:paraId="2BE08CC2" w14:textId="77777777" w:rsidR="008B103B" w:rsidRPr="00A746F2" w:rsidRDefault="008B103B" w:rsidP="000B21F4">
      <w:pPr>
        <w:jc w:val="both"/>
        <w:rPr>
          <w:rFonts w:ascii="Avenir Book" w:hAnsi="Avenir Book" w:cs="Times New Roman"/>
          <w:sz w:val="22"/>
          <w:szCs w:val="22"/>
        </w:rPr>
      </w:pPr>
    </w:p>
    <w:p w14:paraId="44D5FB80" w14:textId="1DD5E3E3"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The right is composed of two necessary elements – an ‘act of communication’ (which does not require the actual transmission of the work in question)</w:t>
      </w:r>
      <w:r w:rsidRPr="00A746F2">
        <w:rPr>
          <w:rStyle w:val="EndnoteReference"/>
          <w:rFonts w:ascii="Avenir Book" w:hAnsi="Avenir Book" w:cs="Times New Roman"/>
          <w:sz w:val="22"/>
          <w:szCs w:val="22"/>
        </w:rPr>
        <w:endnoteReference w:id="51"/>
      </w:r>
      <w:r w:rsidRPr="00A746F2">
        <w:rPr>
          <w:rFonts w:ascii="Avenir Book" w:hAnsi="Avenir Book" w:cs="Times New Roman"/>
          <w:sz w:val="22"/>
          <w:szCs w:val="22"/>
        </w:rPr>
        <w:t xml:space="preserve"> directed to a ‘public’</w:t>
      </w:r>
      <w:r w:rsidRPr="00A746F2">
        <w:rPr>
          <w:rStyle w:val="EndnoteReference"/>
          <w:rFonts w:ascii="Avenir Book" w:hAnsi="Avenir Book" w:cs="Times New Roman"/>
          <w:sz w:val="22"/>
          <w:szCs w:val="22"/>
        </w:rPr>
        <w:endnoteReference w:id="52"/>
      </w:r>
      <w:r w:rsidRPr="00A746F2">
        <w:rPr>
          <w:rFonts w:ascii="Avenir Book" w:hAnsi="Avenir Book" w:cs="Times New Roman"/>
          <w:sz w:val="22"/>
          <w:szCs w:val="22"/>
        </w:rPr>
        <w:t xml:space="preserve"> –, </w:t>
      </w:r>
      <w:r w:rsidR="00BB3E87">
        <w:rPr>
          <w:rFonts w:ascii="Avenir Book" w:hAnsi="Avenir Book" w:cs="Times New Roman"/>
          <w:sz w:val="22"/>
          <w:szCs w:val="22"/>
        </w:rPr>
        <w:t xml:space="preserve">and </w:t>
      </w:r>
      <w:r w:rsidR="00A301FA">
        <w:rPr>
          <w:rFonts w:ascii="Avenir Book" w:hAnsi="Avenir Book" w:cs="Times New Roman"/>
          <w:sz w:val="22"/>
          <w:szCs w:val="22"/>
        </w:rPr>
        <w:t xml:space="preserve">is informed by </w:t>
      </w:r>
      <w:r w:rsidRPr="00A746F2">
        <w:rPr>
          <w:rFonts w:ascii="Avenir Book" w:hAnsi="Avenir Book" w:cs="Times New Roman"/>
          <w:sz w:val="22"/>
          <w:szCs w:val="22"/>
        </w:rPr>
        <w:t>several complementary criteria which are not autonomous and are interdependent.</w:t>
      </w:r>
      <w:r w:rsidRPr="00A746F2">
        <w:rPr>
          <w:rStyle w:val="EndnoteReference"/>
          <w:rFonts w:ascii="Avenir Book" w:hAnsi="Avenir Book" w:cs="Times New Roman"/>
          <w:sz w:val="22"/>
          <w:szCs w:val="22"/>
        </w:rPr>
        <w:endnoteReference w:id="53"/>
      </w:r>
      <w:r w:rsidRPr="00A746F2">
        <w:rPr>
          <w:rFonts w:ascii="Avenir Book" w:hAnsi="Avenir Book" w:cs="Times New Roman"/>
          <w:sz w:val="22"/>
          <w:szCs w:val="22"/>
        </w:rPr>
        <w:t xml:space="preserve"> As also noted by the AG, </w:t>
      </w:r>
      <w:r w:rsidR="00BB3E87">
        <w:rPr>
          <w:rFonts w:ascii="Avenir Book" w:hAnsi="Avenir Book" w:cs="Times New Roman"/>
          <w:sz w:val="22"/>
          <w:szCs w:val="22"/>
        </w:rPr>
        <w:t>these include</w:t>
      </w:r>
      <w:r w:rsidRPr="00A746F2">
        <w:rPr>
          <w:rFonts w:ascii="Avenir Book" w:hAnsi="Avenir Book" w:cs="Times New Roman"/>
          <w:sz w:val="22"/>
          <w:szCs w:val="22"/>
        </w:rPr>
        <w:t xml:space="preserve"> both the indispensable role played by the user/defendant</w:t>
      </w:r>
      <w:r w:rsidRPr="00A746F2">
        <w:rPr>
          <w:rStyle w:val="EndnoteReference"/>
          <w:rFonts w:ascii="Avenir Book" w:hAnsi="Avenir Book" w:cs="Times New Roman"/>
          <w:sz w:val="22"/>
          <w:szCs w:val="22"/>
        </w:rPr>
        <w:endnoteReference w:id="54"/>
      </w:r>
      <w:r w:rsidRPr="00A746F2">
        <w:rPr>
          <w:rFonts w:ascii="Avenir Book" w:hAnsi="Avenir Book" w:cs="Times New Roman"/>
          <w:sz w:val="22"/>
          <w:szCs w:val="22"/>
        </w:rPr>
        <w:t xml:space="preserve"> and the profit-making nature of the communication at hand.</w:t>
      </w:r>
      <w:r w:rsidRPr="00A746F2">
        <w:rPr>
          <w:rStyle w:val="EndnoteReference"/>
          <w:rFonts w:ascii="Avenir Book" w:hAnsi="Avenir Book" w:cs="Times New Roman"/>
          <w:sz w:val="22"/>
          <w:szCs w:val="22"/>
        </w:rPr>
        <w:endnoteReference w:id="55"/>
      </w:r>
    </w:p>
    <w:p w14:paraId="031E0C32" w14:textId="77777777" w:rsidR="008B103B" w:rsidRPr="00A746F2" w:rsidRDefault="008B103B" w:rsidP="000B21F4">
      <w:pPr>
        <w:jc w:val="both"/>
        <w:rPr>
          <w:rFonts w:ascii="Avenir Book" w:hAnsi="Avenir Book" w:cs="Times New Roman"/>
          <w:sz w:val="22"/>
          <w:szCs w:val="22"/>
        </w:rPr>
      </w:pPr>
    </w:p>
    <w:p w14:paraId="5EDF1300" w14:textId="5C822AB2"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The CJEU observed that from earlier case law, notably the decisions on linking (</w:t>
      </w:r>
      <w:r w:rsidRPr="00A746F2">
        <w:rPr>
          <w:rFonts w:ascii="Avenir Book" w:hAnsi="Avenir Book" w:cs="Times New Roman"/>
          <w:i/>
          <w:sz w:val="22"/>
          <w:szCs w:val="22"/>
        </w:rPr>
        <w:t>Svensson</w:t>
      </w:r>
      <w:r w:rsidRPr="00A746F2">
        <w:rPr>
          <w:rFonts w:ascii="Avenir Book" w:hAnsi="Avenir Book" w:cs="Times New Roman"/>
          <w:sz w:val="22"/>
          <w:szCs w:val="22"/>
        </w:rPr>
        <w:t xml:space="preserve">, </w:t>
      </w:r>
      <w:r w:rsidRPr="00A746F2">
        <w:rPr>
          <w:rFonts w:ascii="Avenir Book" w:hAnsi="Avenir Book" w:cs="Times New Roman"/>
          <w:i/>
          <w:sz w:val="22"/>
          <w:szCs w:val="22"/>
        </w:rPr>
        <w:t>BestWater</w:t>
      </w:r>
      <w:r w:rsidRPr="00A746F2">
        <w:rPr>
          <w:rFonts w:ascii="Avenir Book" w:hAnsi="Avenir Book" w:cs="Times New Roman"/>
          <w:sz w:val="22"/>
          <w:szCs w:val="22"/>
        </w:rPr>
        <w:t xml:space="preserve">, </w:t>
      </w:r>
      <w:r w:rsidRPr="00A746F2">
        <w:rPr>
          <w:rFonts w:ascii="Avenir Book" w:hAnsi="Avenir Book" w:cs="Times New Roman"/>
          <w:i/>
          <w:sz w:val="22"/>
          <w:szCs w:val="22"/>
        </w:rPr>
        <w:t>GS Media</w:t>
      </w:r>
      <w:r w:rsidRPr="00A746F2">
        <w:rPr>
          <w:rFonts w:ascii="Avenir Book" w:hAnsi="Avenir Book" w:cs="Times New Roman"/>
          <w:sz w:val="22"/>
          <w:szCs w:val="22"/>
        </w:rPr>
        <w:t>)</w:t>
      </w:r>
      <w:r w:rsidRPr="00A746F2">
        <w:rPr>
          <w:rStyle w:val="EndnoteReference"/>
          <w:rFonts w:ascii="Avenir Book" w:hAnsi="Avenir Book" w:cs="Times New Roman"/>
          <w:sz w:val="22"/>
          <w:szCs w:val="22"/>
        </w:rPr>
        <w:endnoteReference w:id="56"/>
      </w:r>
      <w:r w:rsidRPr="00A746F2">
        <w:rPr>
          <w:rFonts w:ascii="Avenir Book" w:hAnsi="Avenir Book" w:cs="Times New Roman"/>
          <w:sz w:val="22"/>
          <w:szCs w:val="22"/>
        </w:rPr>
        <w:t xml:space="preserve"> and the more recent </w:t>
      </w:r>
      <w:r w:rsidRPr="00A746F2">
        <w:rPr>
          <w:rFonts w:ascii="Avenir Book" w:hAnsi="Avenir Book" w:cs="Times New Roman"/>
          <w:i/>
          <w:sz w:val="22"/>
          <w:szCs w:val="22"/>
        </w:rPr>
        <w:t>Filmspeler</w:t>
      </w:r>
      <w:r w:rsidRPr="00A746F2">
        <w:rPr>
          <w:rFonts w:ascii="Avenir Book" w:hAnsi="Avenir Book" w:cs="Times New Roman"/>
          <w:sz w:val="22"/>
          <w:szCs w:val="22"/>
        </w:rPr>
        <w:t xml:space="preserve"> judgment</w:t>
      </w:r>
      <w:r w:rsidRPr="00A746F2">
        <w:rPr>
          <w:rStyle w:val="EndnoteReference"/>
          <w:rFonts w:ascii="Avenir Book" w:hAnsi="Avenir Book" w:cs="Times New Roman"/>
          <w:sz w:val="22"/>
          <w:szCs w:val="22"/>
        </w:rPr>
        <w:endnoteReference w:id="57"/>
      </w:r>
      <w:r w:rsidRPr="00A746F2">
        <w:rPr>
          <w:rFonts w:ascii="Avenir Book" w:hAnsi="Avenir Book" w:cs="Times New Roman"/>
          <w:sz w:val="22"/>
          <w:szCs w:val="22"/>
        </w:rPr>
        <w:t>, it follows that “as a rule, any act by which a user, with full knowledge of the relevant facts, provides its clients with access to protected works is liable to constitute an ‘act of communication’ for the purposes of Article 3(1) of Directive 2001/29.”</w:t>
      </w:r>
      <w:r w:rsidRPr="00A746F2">
        <w:rPr>
          <w:rStyle w:val="EndnoteReference"/>
          <w:rFonts w:ascii="Avenir Book" w:hAnsi="Avenir Book" w:cs="Times New Roman"/>
          <w:sz w:val="22"/>
          <w:szCs w:val="22"/>
        </w:rPr>
        <w:endnoteReference w:id="58"/>
      </w:r>
    </w:p>
    <w:p w14:paraId="1833EEBB" w14:textId="77777777" w:rsidR="008B103B" w:rsidRPr="00A746F2" w:rsidRDefault="008B103B" w:rsidP="000B21F4">
      <w:pPr>
        <w:jc w:val="both"/>
        <w:rPr>
          <w:rFonts w:ascii="Avenir Book" w:hAnsi="Avenir Book" w:cs="Times New Roman"/>
          <w:sz w:val="22"/>
          <w:szCs w:val="22"/>
        </w:rPr>
      </w:pPr>
    </w:p>
    <w:p w14:paraId="426DCAE4" w14:textId="2F4D25D6"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The Court agreed with the AG that in the case at hand there is no dispute that acts of communication to the public are being made</w:t>
      </w:r>
      <w:r w:rsidRPr="00A746F2">
        <w:rPr>
          <w:rStyle w:val="EndnoteReference"/>
          <w:rFonts w:ascii="Avenir Book" w:hAnsi="Avenir Book" w:cs="Times New Roman"/>
          <w:sz w:val="22"/>
          <w:szCs w:val="22"/>
        </w:rPr>
        <w:endnoteReference w:id="59"/>
      </w:r>
      <w:r w:rsidRPr="00A746F2">
        <w:rPr>
          <w:rFonts w:ascii="Avenir Book" w:hAnsi="Avenir Book" w:cs="Times New Roman"/>
          <w:sz w:val="22"/>
          <w:szCs w:val="22"/>
        </w:rPr>
        <w:t>, and are directed to a ‘public’ (a ‘new public’).</w:t>
      </w:r>
      <w:r w:rsidRPr="00A746F2">
        <w:rPr>
          <w:rStyle w:val="EndnoteReference"/>
          <w:rFonts w:ascii="Avenir Book" w:hAnsi="Avenir Book" w:cs="Times New Roman"/>
          <w:sz w:val="22"/>
          <w:szCs w:val="22"/>
        </w:rPr>
        <w:endnoteReference w:id="60"/>
      </w:r>
      <w:r w:rsidRPr="00A746F2">
        <w:rPr>
          <w:rFonts w:ascii="Avenir Book" w:hAnsi="Avenir Book" w:cs="Times New Roman"/>
          <w:sz w:val="22"/>
          <w:szCs w:val="22"/>
        </w:rPr>
        <w:t xml:space="preserve"> The point was however to determine whether the platform operators could be responsible for them. </w:t>
      </w:r>
    </w:p>
    <w:p w14:paraId="60F4EDA1" w14:textId="77777777" w:rsidR="008B103B" w:rsidRPr="00A746F2" w:rsidRDefault="008B103B" w:rsidP="000B21F4">
      <w:pPr>
        <w:jc w:val="both"/>
        <w:rPr>
          <w:rFonts w:ascii="Avenir Book" w:hAnsi="Avenir Book" w:cs="Times New Roman"/>
          <w:sz w:val="22"/>
          <w:szCs w:val="22"/>
        </w:rPr>
      </w:pPr>
    </w:p>
    <w:p w14:paraId="3B4E050C" w14:textId="7DE96172"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Considering the first requirement in Article 3(1), i.e. the need for an ‘act of communication’, the Court acknowledged that the works made available to the users of The Pirate Bay are placed online on that platform not by the platform operators but by users.</w:t>
      </w:r>
      <w:r w:rsidRPr="00A746F2">
        <w:rPr>
          <w:rStyle w:val="EndnoteReference"/>
          <w:rFonts w:ascii="Avenir Book" w:hAnsi="Avenir Book" w:cs="Times New Roman"/>
          <w:sz w:val="22"/>
          <w:szCs w:val="22"/>
        </w:rPr>
        <w:endnoteReference w:id="61"/>
      </w:r>
      <w:r w:rsidRPr="00A746F2">
        <w:rPr>
          <w:rFonts w:ascii="Avenir Book" w:hAnsi="Avenir Book" w:cs="Times New Roman"/>
          <w:sz w:val="22"/>
          <w:szCs w:val="22"/>
        </w:rPr>
        <w:t xml:space="preserve"> However, the operators of The Pirate Bay “by making that platform available and managing it, provide their users with access to the works concerned. They can therefore be regarded as playing an essential role in making the works in question available.”</w:t>
      </w:r>
      <w:r w:rsidRPr="00A746F2">
        <w:rPr>
          <w:rStyle w:val="EndnoteReference"/>
          <w:rFonts w:ascii="Avenir Book" w:hAnsi="Avenir Book" w:cs="Times New Roman"/>
          <w:sz w:val="22"/>
          <w:szCs w:val="22"/>
        </w:rPr>
        <w:endnoteReference w:id="62"/>
      </w:r>
      <w:r w:rsidRPr="00A746F2">
        <w:rPr>
          <w:rFonts w:ascii="Avenir Book" w:hAnsi="Avenir Book" w:cs="Times New Roman"/>
          <w:sz w:val="22"/>
          <w:szCs w:val="22"/>
        </w:rPr>
        <w:t xml:space="preserve"> </w:t>
      </w:r>
    </w:p>
    <w:p w14:paraId="029B9E95" w14:textId="77777777" w:rsidR="008B103B" w:rsidRPr="00A746F2" w:rsidRDefault="008B103B" w:rsidP="000B21F4">
      <w:pPr>
        <w:jc w:val="both"/>
        <w:rPr>
          <w:rFonts w:ascii="Avenir Book" w:hAnsi="Avenir Book" w:cs="Times New Roman"/>
          <w:sz w:val="22"/>
          <w:szCs w:val="22"/>
        </w:rPr>
      </w:pPr>
    </w:p>
    <w:p w14:paraId="32B66438" w14:textId="051C052B"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As regards the requirement of full knowledge of the relevant facts, this is satisfied by consideration of how the Pirate Bay operators index torrent files so to allow users of the platform to locate those works and share them within the context of a P2P network.</w:t>
      </w:r>
      <w:r w:rsidRPr="00A746F2">
        <w:rPr>
          <w:rStyle w:val="EndnoteReference"/>
          <w:rFonts w:ascii="Avenir Book" w:hAnsi="Avenir Book" w:cs="Times New Roman"/>
          <w:sz w:val="22"/>
          <w:szCs w:val="22"/>
        </w:rPr>
        <w:endnoteReference w:id="63"/>
      </w:r>
      <w:r w:rsidRPr="00A746F2">
        <w:rPr>
          <w:rFonts w:ascii="Avenir Book" w:hAnsi="Avenir Book" w:cs="Times New Roman"/>
          <w:sz w:val="22"/>
          <w:szCs w:val="22"/>
        </w:rPr>
        <w:t xml:space="preserve"> Without such intervention, “the works could not be shared by the users or, at the very least, sharing them on the internet would prove to be more complex.”</w:t>
      </w:r>
      <w:r w:rsidRPr="00A746F2">
        <w:rPr>
          <w:rStyle w:val="EndnoteReference"/>
          <w:rFonts w:ascii="Avenir Book" w:hAnsi="Avenir Book" w:cs="Times New Roman"/>
          <w:sz w:val="22"/>
          <w:szCs w:val="22"/>
        </w:rPr>
        <w:endnoteReference w:id="64"/>
      </w:r>
    </w:p>
    <w:p w14:paraId="1A49DE32" w14:textId="77777777" w:rsidR="008B103B" w:rsidRPr="00A746F2" w:rsidRDefault="008B103B" w:rsidP="000B21F4">
      <w:pPr>
        <w:jc w:val="both"/>
        <w:rPr>
          <w:rFonts w:ascii="Avenir Book" w:hAnsi="Avenir Book" w:cs="Times New Roman"/>
          <w:sz w:val="22"/>
          <w:szCs w:val="22"/>
        </w:rPr>
      </w:pPr>
    </w:p>
    <w:p w14:paraId="5D546C17" w14:textId="5D53E7A5"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The Court also dismissed the argument that the Pirate Bay operators could be regarded as providing mere physical facilities for enabling or making a communication, thus falling outside the scope of Article 3(1). The undertaking by the Pirate Bay operators of indexing, categorization, deletion, or filtering activities rules out any assimilation to the mere provision of facilities within the meaning of Recital 27.</w:t>
      </w:r>
      <w:r w:rsidRPr="00A746F2">
        <w:rPr>
          <w:rStyle w:val="EndnoteReference"/>
          <w:rFonts w:ascii="Avenir Book" w:hAnsi="Avenir Book" w:cs="Times New Roman"/>
          <w:sz w:val="22"/>
          <w:szCs w:val="22"/>
        </w:rPr>
        <w:endnoteReference w:id="65"/>
      </w:r>
      <w:r w:rsidRPr="00A746F2">
        <w:rPr>
          <w:rFonts w:ascii="Avenir Book" w:hAnsi="Avenir Book" w:cs="Times New Roman"/>
          <w:sz w:val="22"/>
          <w:szCs w:val="22"/>
        </w:rPr>
        <w:t xml:space="preserve"> The making available and management of an online sharing platform must be therefore considered an act of communication for the purposes of Article 3(1).</w:t>
      </w:r>
      <w:r w:rsidRPr="00A746F2">
        <w:rPr>
          <w:rStyle w:val="EndnoteReference"/>
          <w:rFonts w:ascii="Avenir Book" w:hAnsi="Avenir Book" w:cs="Times New Roman"/>
          <w:sz w:val="22"/>
          <w:szCs w:val="22"/>
        </w:rPr>
        <w:endnoteReference w:id="66"/>
      </w:r>
    </w:p>
    <w:p w14:paraId="0F52696F" w14:textId="77777777" w:rsidR="008B103B" w:rsidRPr="00A746F2" w:rsidRDefault="008B103B" w:rsidP="000B21F4">
      <w:pPr>
        <w:jc w:val="both"/>
        <w:rPr>
          <w:rFonts w:ascii="Avenir Book" w:hAnsi="Avenir Book" w:cs="Times New Roman"/>
          <w:sz w:val="22"/>
          <w:szCs w:val="22"/>
        </w:rPr>
      </w:pPr>
    </w:p>
    <w:p w14:paraId="40266193" w14:textId="77777777"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Turning to the requirement that the communication at hand must be directed to a ‘new public’, i.e. a public not taken into account by the copyright holders when they authorized the initial communication, the CJEU concluded that also this requirement is met. The court referred to the fact that the Pirate Bay operators “were informed” that their platform provides access to works published without authorization of the relevant rightholders.</w:t>
      </w:r>
      <w:r w:rsidRPr="00A746F2">
        <w:rPr>
          <w:rStyle w:val="EndnoteReference"/>
          <w:rFonts w:ascii="Avenir Book" w:hAnsi="Avenir Book" w:cs="Times New Roman"/>
          <w:sz w:val="22"/>
          <w:szCs w:val="22"/>
        </w:rPr>
        <w:endnoteReference w:id="67"/>
      </w:r>
      <w:r w:rsidRPr="00A746F2">
        <w:rPr>
          <w:rFonts w:ascii="Avenir Book" w:hAnsi="Avenir Book" w:cs="Times New Roman"/>
          <w:sz w:val="22"/>
          <w:szCs w:val="22"/>
        </w:rPr>
        <w:t xml:space="preserve"> </w:t>
      </w:r>
    </w:p>
    <w:p w14:paraId="35F86CEE" w14:textId="77777777" w:rsidR="008B103B" w:rsidRPr="00A746F2" w:rsidRDefault="008B103B" w:rsidP="000B21F4">
      <w:pPr>
        <w:jc w:val="both"/>
        <w:rPr>
          <w:rFonts w:ascii="Avenir Book" w:hAnsi="Avenir Book" w:cs="Times New Roman"/>
          <w:sz w:val="22"/>
          <w:szCs w:val="22"/>
        </w:rPr>
      </w:pPr>
    </w:p>
    <w:p w14:paraId="6B4C6518" w14:textId="07B21B98"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However, the CJEU did not li</w:t>
      </w:r>
      <w:r w:rsidR="00BB3E87">
        <w:rPr>
          <w:rFonts w:ascii="Avenir Book" w:hAnsi="Avenir Book" w:cs="Times New Roman"/>
          <w:sz w:val="22"/>
          <w:szCs w:val="22"/>
        </w:rPr>
        <w:t>mit liability to situations of actual knowledge</w:t>
      </w:r>
      <w:r w:rsidRPr="00A746F2">
        <w:rPr>
          <w:rFonts w:ascii="Avenir Book" w:hAnsi="Avenir Book" w:cs="Times New Roman"/>
          <w:sz w:val="22"/>
          <w:szCs w:val="22"/>
        </w:rPr>
        <w:t xml:space="preserve"> (as instead the AG had done): it also included knowledge (‘could not </w:t>
      </w:r>
      <w:r w:rsidR="000251DE">
        <w:rPr>
          <w:rFonts w:ascii="Avenir Book" w:hAnsi="Avenir Book" w:cs="Times New Roman"/>
          <w:sz w:val="22"/>
          <w:szCs w:val="22"/>
        </w:rPr>
        <w:t>be unaware</w:t>
      </w:r>
      <w:r w:rsidR="000B3084">
        <w:rPr>
          <w:rFonts w:ascii="Avenir Book" w:hAnsi="Avenir Book" w:cs="Times New Roman"/>
          <w:sz w:val="22"/>
          <w:szCs w:val="22"/>
        </w:rPr>
        <w:t>’</w:t>
      </w:r>
      <w:r w:rsidRPr="00A746F2">
        <w:rPr>
          <w:rFonts w:ascii="Avenir Book" w:hAnsi="Avenir Book" w:cs="Times New Roman"/>
          <w:sz w:val="22"/>
          <w:szCs w:val="22"/>
        </w:rPr>
        <w:t xml:space="preserve">) and arguably more. In relation to constructive knowledge, the Court observed how the Pirate Bay operators </w:t>
      </w:r>
    </w:p>
    <w:p w14:paraId="62A7EA47" w14:textId="77777777" w:rsidR="008B103B" w:rsidRPr="00A746F2" w:rsidRDefault="008B103B" w:rsidP="000B21F4">
      <w:pPr>
        <w:jc w:val="both"/>
        <w:rPr>
          <w:rFonts w:ascii="Avenir Book" w:hAnsi="Avenir Book" w:cs="Times New Roman"/>
          <w:sz w:val="22"/>
          <w:szCs w:val="22"/>
        </w:rPr>
      </w:pPr>
    </w:p>
    <w:p w14:paraId="5ED3A099" w14:textId="28B57346" w:rsidR="008B103B" w:rsidRPr="00A746F2" w:rsidRDefault="008B103B" w:rsidP="000B21F4">
      <w:pPr>
        <w:ind w:left="708"/>
        <w:jc w:val="both"/>
        <w:rPr>
          <w:rFonts w:ascii="Avenir Book" w:hAnsi="Avenir Book" w:cs="Times New Roman"/>
          <w:sz w:val="22"/>
          <w:szCs w:val="22"/>
        </w:rPr>
      </w:pPr>
      <w:r w:rsidRPr="00A746F2">
        <w:rPr>
          <w:rFonts w:ascii="Avenir Book" w:hAnsi="Avenir Book" w:cs="Times New Roman"/>
          <w:sz w:val="22"/>
          <w:szCs w:val="22"/>
        </w:rPr>
        <w:t>“</w:t>
      </w:r>
      <w:r w:rsidRPr="00C876A3">
        <w:rPr>
          <w:rFonts w:ascii="Avenir Book" w:hAnsi="Avenir Book" w:cs="Times New Roman"/>
          <w:i/>
          <w:sz w:val="22"/>
          <w:szCs w:val="22"/>
        </w:rPr>
        <w:t>could not be unaware</w:t>
      </w:r>
      <w:r w:rsidRPr="00A746F2">
        <w:rPr>
          <w:rFonts w:ascii="Avenir Book" w:hAnsi="Avenir Book" w:cs="Times New Roman"/>
          <w:sz w:val="22"/>
          <w:szCs w:val="22"/>
        </w:rPr>
        <w:t xml:space="preserve"> that this platform provides access to works published without the consent of the rightholders, given that, as expressly highlighted by the referring court, a very large number of torrent files on the online sharing platform [The Pirate Bay] relate to works published without the consent of the rightholders. In those circumstances, it must be held that there is communication to a ‘new public’”</w:t>
      </w:r>
      <w:r w:rsidR="00C876A3">
        <w:rPr>
          <w:rFonts w:ascii="Avenir Book" w:hAnsi="Avenir Book" w:cs="Times New Roman"/>
          <w:sz w:val="22"/>
          <w:szCs w:val="22"/>
        </w:rPr>
        <w:t xml:space="preserve"> (emphasis added)</w:t>
      </w:r>
      <w:r w:rsidRPr="00A746F2">
        <w:rPr>
          <w:rFonts w:ascii="Avenir Book" w:hAnsi="Avenir Book" w:cs="Times New Roman"/>
          <w:sz w:val="22"/>
          <w:szCs w:val="22"/>
        </w:rPr>
        <w:t>.</w:t>
      </w:r>
      <w:r w:rsidRPr="00A746F2">
        <w:rPr>
          <w:rStyle w:val="EndnoteReference"/>
          <w:rFonts w:ascii="Avenir Book" w:hAnsi="Avenir Book" w:cs="Times New Roman"/>
          <w:sz w:val="22"/>
          <w:szCs w:val="22"/>
        </w:rPr>
        <w:endnoteReference w:id="68"/>
      </w:r>
      <w:r w:rsidRPr="00A746F2">
        <w:rPr>
          <w:rFonts w:ascii="Avenir Book" w:hAnsi="Avenir Book" w:cs="Times New Roman"/>
          <w:sz w:val="22"/>
          <w:szCs w:val="22"/>
        </w:rPr>
        <w:t xml:space="preserve"> </w:t>
      </w:r>
    </w:p>
    <w:p w14:paraId="5710C4F9" w14:textId="77777777" w:rsidR="008B103B" w:rsidRPr="00A746F2" w:rsidRDefault="008B103B" w:rsidP="000B21F4">
      <w:pPr>
        <w:jc w:val="both"/>
        <w:rPr>
          <w:rFonts w:ascii="Avenir Book" w:hAnsi="Avenir Book" w:cs="Times New Roman"/>
          <w:sz w:val="22"/>
          <w:szCs w:val="22"/>
        </w:rPr>
      </w:pPr>
    </w:p>
    <w:p w14:paraId="38FE6794" w14:textId="213A2D4E" w:rsidR="008B103B" w:rsidRPr="00A746F2" w:rsidRDefault="00EE7BCE" w:rsidP="000B21F4">
      <w:pPr>
        <w:jc w:val="both"/>
        <w:rPr>
          <w:rFonts w:ascii="Avenir Book" w:eastAsia="Times New Roman" w:hAnsi="Avenir Book" w:cs="Times New Roman"/>
          <w:sz w:val="22"/>
          <w:szCs w:val="22"/>
        </w:rPr>
      </w:pPr>
      <w:r>
        <w:rPr>
          <w:rFonts w:ascii="Avenir Book" w:hAnsi="Avenir Book" w:cs="Times New Roman"/>
          <w:sz w:val="22"/>
          <w:szCs w:val="22"/>
        </w:rPr>
        <w:t>Liability based on ‘</w:t>
      </w:r>
      <w:r w:rsidR="008B103B" w:rsidRPr="00A746F2">
        <w:rPr>
          <w:rFonts w:ascii="Avenir Book" w:hAnsi="Avenir Book" w:cs="Times New Roman"/>
          <w:sz w:val="22"/>
          <w:szCs w:val="22"/>
        </w:rPr>
        <w:t>constructive</w:t>
      </w:r>
      <w:r>
        <w:rPr>
          <w:rFonts w:ascii="Avenir Book" w:hAnsi="Avenir Book" w:cs="Times New Roman"/>
          <w:sz w:val="22"/>
          <w:szCs w:val="22"/>
        </w:rPr>
        <w:t>’ knowledge</w:t>
      </w:r>
      <w:r w:rsidR="008B103B" w:rsidRPr="00A746F2">
        <w:rPr>
          <w:rFonts w:ascii="Avenir Book" w:hAnsi="Avenir Book" w:cs="Times New Roman"/>
          <w:sz w:val="22"/>
          <w:szCs w:val="22"/>
        </w:rPr>
        <w:t xml:space="preserve"> echoes – though the Court did not mention it – the reasoning in the </w:t>
      </w:r>
      <w:r w:rsidR="008B103B" w:rsidRPr="00A746F2">
        <w:rPr>
          <w:rFonts w:ascii="Avenir Book" w:hAnsi="Avenir Book" w:cs="Times New Roman"/>
          <w:i/>
          <w:sz w:val="22"/>
          <w:szCs w:val="22"/>
        </w:rPr>
        <w:t>eBay</w:t>
      </w:r>
      <w:r w:rsidR="008B103B" w:rsidRPr="00A746F2">
        <w:rPr>
          <w:rFonts w:ascii="Avenir Book" w:hAnsi="Avenir Book" w:cs="Times New Roman"/>
          <w:sz w:val="22"/>
          <w:szCs w:val="22"/>
        </w:rPr>
        <w:t xml:space="preserve"> decision, notably the part in which the CJEU had suggested that the safe harbour within Article 14 of the E-Commerce Directive would not apply to “an information society service </w:t>
      </w:r>
      <w:r w:rsidR="008B103B" w:rsidRPr="00A746F2">
        <w:rPr>
          <w:rFonts w:ascii="Avenir Book" w:eastAsia="Times New Roman" w:hAnsi="Avenir Book" w:cs="Times New Roman"/>
          <w:sz w:val="22"/>
          <w:szCs w:val="22"/>
          <w:shd w:val="clear" w:color="auto" w:fill="FFFFFF"/>
        </w:rPr>
        <w:t>[which is] aware of facts or circumstances on the basis of which a diligent economic operator should have identified the illegality in question and acted in accordance with Article 14(1)(b) of Directive 2000/31.”</w:t>
      </w:r>
      <w:r w:rsidR="008B103B" w:rsidRPr="00A746F2">
        <w:rPr>
          <w:rStyle w:val="EndnoteReference"/>
          <w:rFonts w:ascii="Avenir Book" w:eastAsia="Times New Roman" w:hAnsi="Avenir Book" w:cs="Times New Roman"/>
          <w:sz w:val="22"/>
          <w:szCs w:val="22"/>
          <w:shd w:val="clear" w:color="auto" w:fill="FFFFFF"/>
        </w:rPr>
        <w:endnoteReference w:id="69"/>
      </w:r>
    </w:p>
    <w:p w14:paraId="70FB719D" w14:textId="0D9B5628" w:rsidR="008B103B" w:rsidRPr="00A746F2" w:rsidRDefault="008B103B" w:rsidP="000B21F4">
      <w:pPr>
        <w:jc w:val="both"/>
        <w:rPr>
          <w:rFonts w:ascii="Avenir Book" w:hAnsi="Avenir Book" w:cs="Times New Roman"/>
          <w:sz w:val="22"/>
          <w:szCs w:val="22"/>
        </w:rPr>
      </w:pPr>
    </w:p>
    <w:p w14:paraId="1EFF04EF" w14:textId="30F34E77" w:rsidR="00A01F46" w:rsidRDefault="00EE7BCE" w:rsidP="000B21F4">
      <w:pPr>
        <w:jc w:val="both"/>
        <w:rPr>
          <w:rFonts w:ascii="Avenir Book" w:hAnsi="Avenir Book" w:cs="Times New Roman"/>
          <w:sz w:val="22"/>
          <w:szCs w:val="22"/>
        </w:rPr>
      </w:pPr>
      <w:r>
        <w:rPr>
          <w:rFonts w:ascii="Avenir Book" w:hAnsi="Avenir Book" w:cs="Times New Roman"/>
          <w:sz w:val="22"/>
          <w:szCs w:val="22"/>
        </w:rPr>
        <w:t>The C</w:t>
      </w:r>
      <w:r w:rsidR="008B103B" w:rsidRPr="00A746F2">
        <w:rPr>
          <w:rFonts w:ascii="Avenir Book" w:hAnsi="Avenir Book" w:cs="Times New Roman"/>
          <w:sz w:val="22"/>
          <w:szCs w:val="22"/>
        </w:rPr>
        <w:t>ourt could have limited liability to situations of actual or constructive knowledge (as per the ‘diligent economic operator’ criterion). Some initial commentators have in fact submitted that the judgment is silent regarding scenarios other than those in which the defendant has actual or constructive knowledge of third-party infringements.</w:t>
      </w:r>
      <w:r w:rsidR="008B103B" w:rsidRPr="00A746F2">
        <w:rPr>
          <w:rStyle w:val="EndnoteReference"/>
          <w:rFonts w:ascii="Avenir Book" w:hAnsi="Avenir Book" w:cs="Times New Roman"/>
          <w:bCs/>
          <w:sz w:val="22"/>
          <w:szCs w:val="22"/>
        </w:rPr>
        <w:t xml:space="preserve"> </w:t>
      </w:r>
      <w:r w:rsidR="008B103B" w:rsidRPr="00A746F2">
        <w:rPr>
          <w:rStyle w:val="EndnoteReference"/>
          <w:rFonts w:ascii="Avenir Book" w:hAnsi="Avenir Book" w:cs="Times New Roman"/>
          <w:bCs/>
          <w:sz w:val="22"/>
          <w:szCs w:val="22"/>
        </w:rPr>
        <w:endnoteReference w:id="70"/>
      </w:r>
      <w:r w:rsidR="008B103B" w:rsidRPr="00A746F2">
        <w:rPr>
          <w:rFonts w:ascii="Avenir Book" w:hAnsi="Avenir Book" w:cs="Times New Roman"/>
          <w:sz w:val="22"/>
          <w:szCs w:val="22"/>
        </w:rPr>
        <w:t xml:space="preserve"> </w:t>
      </w:r>
    </w:p>
    <w:p w14:paraId="4BD121DB" w14:textId="77777777" w:rsidR="00A01F46" w:rsidRDefault="00A01F46" w:rsidP="000B21F4">
      <w:pPr>
        <w:jc w:val="both"/>
        <w:rPr>
          <w:rFonts w:ascii="Avenir Book" w:hAnsi="Avenir Book" w:cs="Times New Roman"/>
          <w:sz w:val="22"/>
          <w:szCs w:val="22"/>
        </w:rPr>
      </w:pPr>
    </w:p>
    <w:p w14:paraId="3B8485E4" w14:textId="386D1526"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However, if this was the case, it would be difficult to understand the meaning of paragraphs 46 and 47 of the judgment, in which the CJEU referred to the profit-making intention of the defendants and seemingly linked that to a finding of </w:t>
      </w:r>
      <w:r w:rsidRPr="00A746F2">
        <w:rPr>
          <w:rFonts w:ascii="Avenir Book" w:hAnsi="Avenir Book" w:cs="Times New Roman"/>
          <w:i/>
          <w:sz w:val="22"/>
          <w:szCs w:val="22"/>
        </w:rPr>
        <w:t>prima facie</w:t>
      </w:r>
      <w:r w:rsidRPr="00A746F2">
        <w:rPr>
          <w:rFonts w:ascii="Avenir Book" w:hAnsi="Avenir Book" w:cs="Times New Roman"/>
          <w:sz w:val="22"/>
          <w:szCs w:val="22"/>
        </w:rPr>
        <w:t xml:space="preserve"> liability: </w:t>
      </w:r>
    </w:p>
    <w:p w14:paraId="7617D519" w14:textId="77777777" w:rsidR="008B103B" w:rsidRPr="00A746F2" w:rsidRDefault="008B103B" w:rsidP="000B21F4">
      <w:pPr>
        <w:jc w:val="both"/>
        <w:rPr>
          <w:rFonts w:ascii="Avenir Book" w:hAnsi="Avenir Book" w:cs="Times New Roman"/>
          <w:sz w:val="22"/>
          <w:szCs w:val="22"/>
        </w:rPr>
      </w:pPr>
    </w:p>
    <w:p w14:paraId="0F757BC6" w14:textId="0A61B880" w:rsidR="008B103B" w:rsidRPr="00A746F2" w:rsidRDefault="008B103B" w:rsidP="000B21F4">
      <w:pPr>
        <w:ind w:left="708"/>
        <w:jc w:val="both"/>
        <w:rPr>
          <w:rFonts w:ascii="Avenir Book" w:hAnsi="Avenir Book" w:cs="Times New Roman"/>
          <w:sz w:val="22"/>
          <w:szCs w:val="22"/>
        </w:rPr>
      </w:pPr>
      <w:r w:rsidRPr="00A746F2">
        <w:rPr>
          <w:rFonts w:ascii="Avenir Book" w:hAnsi="Avenir Book" w:cs="Times New Roman"/>
          <w:sz w:val="22"/>
          <w:szCs w:val="22"/>
        </w:rPr>
        <w:t>“[46] Furthermore, there can be no dispute that the making available and management of an online sharing platform, such as that at issue in the main proceedings, is carried out with the purpose of obtaining profit therefrom, it being clear from the observations submitted to the Court that that platform generates considerable advertising revenues.</w:t>
      </w:r>
    </w:p>
    <w:p w14:paraId="291A2184" w14:textId="404C1884" w:rsidR="008B103B" w:rsidRPr="00A746F2" w:rsidRDefault="008B103B" w:rsidP="000B21F4">
      <w:pPr>
        <w:ind w:left="708"/>
        <w:jc w:val="both"/>
        <w:rPr>
          <w:rFonts w:ascii="Avenir Book" w:hAnsi="Avenir Book" w:cs="Times New Roman"/>
          <w:sz w:val="22"/>
          <w:szCs w:val="22"/>
        </w:rPr>
      </w:pPr>
      <w:r w:rsidRPr="00A746F2">
        <w:rPr>
          <w:rFonts w:ascii="Avenir Book" w:hAnsi="Avenir Book" w:cs="Times New Roman"/>
          <w:sz w:val="22"/>
          <w:szCs w:val="22"/>
        </w:rPr>
        <w:t>[47] Therefore, it must be held that the making available and management of an online sharing platform, such as that at issue in the main proceedings, constitutes a ‘communication to the public’, within the meaning of Article 3(1) of Directive 2001/29.”</w:t>
      </w:r>
    </w:p>
    <w:p w14:paraId="132ADBF3" w14:textId="77777777" w:rsidR="008B103B" w:rsidRPr="00A746F2" w:rsidRDefault="008B103B" w:rsidP="000B21F4">
      <w:pPr>
        <w:jc w:val="both"/>
        <w:rPr>
          <w:rFonts w:ascii="Avenir Book" w:hAnsi="Avenir Book" w:cs="Times New Roman"/>
          <w:sz w:val="22"/>
          <w:szCs w:val="22"/>
        </w:rPr>
      </w:pPr>
    </w:p>
    <w:p w14:paraId="48C74F18" w14:textId="35CE2877"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Although it did not refer explicitly to it, the Court had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in mind (the judge rapporteur was the same in both cases: Marko </w:t>
      </w:r>
      <w:r w:rsidRPr="00A746F2">
        <w:rPr>
          <w:rFonts w:ascii="Avenir Book" w:hAnsi="Avenir Book" w:cs="Times New Roman"/>
          <w:bCs/>
          <w:sz w:val="22"/>
          <w:szCs w:val="22"/>
        </w:rPr>
        <w:t xml:space="preserve">Ilešič), </w:t>
      </w:r>
      <w:r w:rsidRPr="00A746F2">
        <w:rPr>
          <w:rFonts w:ascii="Avenir Book" w:hAnsi="Avenir Book" w:cs="Times New Roman"/>
          <w:sz w:val="22"/>
          <w:szCs w:val="22"/>
        </w:rPr>
        <w:t xml:space="preserve">when it appeared to link </w:t>
      </w:r>
      <w:r w:rsidR="00851185">
        <w:rPr>
          <w:rFonts w:ascii="Avenir Book" w:hAnsi="Avenir Book" w:cs="Times New Roman"/>
          <w:sz w:val="22"/>
          <w:szCs w:val="22"/>
        </w:rPr>
        <w:t xml:space="preserve">together </w:t>
      </w:r>
      <w:r w:rsidRPr="00A746F2">
        <w:rPr>
          <w:rFonts w:ascii="Avenir Book" w:hAnsi="Avenir Book" w:cs="Times New Roman"/>
          <w:sz w:val="22"/>
          <w:szCs w:val="22"/>
        </w:rPr>
        <w:t>the making available and management of an online sharing platform</w:t>
      </w:r>
      <w:r w:rsidR="00851185">
        <w:rPr>
          <w:rFonts w:ascii="Avenir Book" w:hAnsi="Avenir Book" w:cs="Times New Roman"/>
          <w:sz w:val="22"/>
          <w:szCs w:val="22"/>
        </w:rPr>
        <w:t>,</w:t>
      </w:r>
      <w:r w:rsidRPr="00A746F2">
        <w:rPr>
          <w:rFonts w:ascii="Avenir Book" w:hAnsi="Avenir Book" w:cs="Times New Roman"/>
          <w:sz w:val="22"/>
          <w:szCs w:val="22"/>
        </w:rPr>
        <w:t xml:space="preserve"> </w:t>
      </w:r>
      <w:r w:rsidR="00851185">
        <w:rPr>
          <w:rFonts w:ascii="Avenir Book" w:hAnsi="Avenir Book" w:cs="Times New Roman"/>
          <w:sz w:val="22"/>
          <w:szCs w:val="22"/>
        </w:rPr>
        <w:t>the</w:t>
      </w:r>
      <w:r w:rsidRPr="00A746F2">
        <w:rPr>
          <w:rFonts w:ascii="Avenir Book" w:hAnsi="Avenir Book" w:cs="Times New Roman"/>
          <w:sz w:val="22"/>
          <w:szCs w:val="22"/>
        </w:rPr>
        <w:t xml:space="preserve"> profit-making </w:t>
      </w:r>
      <w:r w:rsidR="00851185">
        <w:rPr>
          <w:rFonts w:ascii="Avenir Book" w:hAnsi="Avenir Book" w:cs="Times New Roman"/>
          <w:sz w:val="22"/>
          <w:szCs w:val="22"/>
        </w:rPr>
        <w:t>intention of their operators, and</w:t>
      </w:r>
      <w:r w:rsidRPr="00A746F2">
        <w:rPr>
          <w:rFonts w:ascii="Avenir Book" w:hAnsi="Avenir Book" w:cs="Times New Roman"/>
          <w:sz w:val="22"/>
          <w:szCs w:val="22"/>
        </w:rPr>
        <w:t xml:space="preserve"> </w:t>
      </w:r>
      <w:r w:rsidRPr="00A746F2">
        <w:rPr>
          <w:rFonts w:ascii="Avenir Book" w:hAnsi="Avenir Book" w:cs="Times New Roman"/>
          <w:i/>
          <w:sz w:val="22"/>
          <w:szCs w:val="22"/>
        </w:rPr>
        <w:t>prima facie</w:t>
      </w:r>
      <w:r w:rsidRPr="00A746F2">
        <w:rPr>
          <w:rFonts w:ascii="Avenir Book" w:hAnsi="Avenir Book" w:cs="Times New Roman"/>
          <w:sz w:val="22"/>
          <w:szCs w:val="22"/>
        </w:rPr>
        <w:t xml:space="preserve"> liability under Article 3(1). </w:t>
      </w:r>
    </w:p>
    <w:p w14:paraId="1C7B8941" w14:textId="77777777" w:rsidR="008B103B" w:rsidRPr="00A746F2" w:rsidRDefault="008B103B" w:rsidP="000B21F4">
      <w:pPr>
        <w:jc w:val="both"/>
        <w:rPr>
          <w:rFonts w:ascii="Avenir Book" w:hAnsi="Avenir Book" w:cs="Times New Roman"/>
          <w:sz w:val="22"/>
          <w:szCs w:val="22"/>
        </w:rPr>
      </w:pPr>
    </w:p>
    <w:p w14:paraId="5E649B92" w14:textId="0115FB8F"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sz w:val="22"/>
          <w:szCs w:val="22"/>
        </w:rPr>
        <w:t xml:space="preserve">In particular, the relevant part of the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judgment is </w:t>
      </w:r>
      <w:r w:rsidRPr="00A746F2">
        <w:rPr>
          <w:rFonts w:ascii="Avenir Book" w:hAnsi="Avenir Book" w:cs="Times New Roman"/>
          <w:bCs/>
          <w:sz w:val="22"/>
          <w:szCs w:val="22"/>
        </w:rPr>
        <w:t xml:space="preserve">paragraphs 47 to 54. Like in that case, in </w:t>
      </w:r>
      <w:r w:rsidRPr="00A746F2">
        <w:rPr>
          <w:rFonts w:ascii="Avenir Book" w:hAnsi="Avenir Book" w:cs="Times New Roman"/>
          <w:bCs/>
          <w:i/>
          <w:sz w:val="22"/>
          <w:szCs w:val="22"/>
        </w:rPr>
        <w:t>The Pirate Bay</w:t>
      </w:r>
      <w:r w:rsidRPr="00A746F2">
        <w:rPr>
          <w:rFonts w:ascii="Avenir Book" w:hAnsi="Avenir Book" w:cs="Times New Roman"/>
          <w:bCs/>
          <w:sz w:val="22"/>
          <w:szCs w:val="22"/>
        </w:rPr>
        <w:t xml:space="preserve"> the CJEU </w:t>
      </w:r>
      <w:r w:rsidR="004030C9">
        <w:rPr>
          <w:rFonts w:ascii="Avenir Book" w:hAnsi="Avenir Book" w:cs="Times New Roman"/>
          <w:bCs/>
          <w:sz w:val="22"/>
          <w:szCs w:val="22"/>
        </w:rPr>
        <w:t>implied</w:t>
      </w:r>
      <w:r w:rsidRPr="00A746F2">
        <w:rPr>
          <w:rFonts w:ascii="Avenir Book" w:hAnsi="Avenir Book" w:cs="Times New Roman"/>
          <w:bCs/>
          <w:sz w:val="22"/>
          <w:szCs w:val="22"/>
        </w:rPr>
        <w:t xml:space="preserve"> that the operator of an online platform that does so “with the purpose of obtaining profit therefrom” (paragraph 46 of </w:t>
      </w:r>
      <w:r w:rsidRPr="00A746F2">
        <w:rPr>
          <w:rFonts w:ascii="Avenir Book" w:hAnsi="Avenir Book" w:cs="Times New Roman"/>
          <w:bCs/>
          <w:i/>
          <w:sz w:val="22"/>
          <w:szCs w:val="22"/>
        </w:rPr>
        <w:t>The Pirate Bay</w:t>
      </w:r>
      <w:r w:rsidRPr="00A746F2">
        <w:rPr>
          <w:rFonts w:ascii="Avenir Book" w:hAnsi="Avenir Book" w:cs="Times New Roman"/>
          <w:bCs/>
          <w:sz w:val="22"/>
          <w:szCs w:val="22"/>
        </w:rPr>
        <w:t xml:space="preserve">) can be expected to have undertaken all “the necessary checks to ensure that the work concerned is not illegally published on the website to which those hyperlinks lead, so that it must be presumed that that posting has occurred with the full knowledge of the protected nature of that work and the possible lack of consent to publication on the internet by the copyright holder. In such circumstances, and in so far as that rebuttable presumption is not rebutted, the act of posting a hyperlink to a work which was illegally placed on the internet constitutes a ‘communication to the public’ within the meaning of Article 3(1) of Directive 2001/29.” (paragraph 51 of </w:t>
      </w:r>
      <w:r w:rsidRPr="00A746F2">
        <w:rPr>
          <w:rFonts w:ascii="Avenir Book" w:hAnsi="Avenir Book" w:cs="Times New Roman"/>
          <w:bCs/>
          <w:i/>
          <w:sz w:val="22"/>
          <w:szCs w:val="22"/>
        </w:rPr>
        <w:t>GS Media</w:t>
      </w:r>
      <w:r w:rsidRPr="00A746F2">
        <w:rPr>
          <w:rFonts w:ascii="Avenir Book" w:hAnsi="Avenir Book" w:cs="Times New Roman"/>
          <w:bCs/>
          <w:sz w:val="22"/>
          <w:szCs w:val="22"/>
        </w:rPr>
        <w:t xml:space="preserve">). </w:t>
      </w:r>
    </w:p>
    <w:p w14:paraId="13D65DDC" w14:textId="77777777" w:rsidR="008B103B" w:rsidRPr="00A746F2" w:rsidRDefault="008B103B" w:rsidP="000B21F4">
      <w:pPr>
        <w:jc w:val="both"/>
        <w:rPr>
          <w:rFonts w:ascii="Avenir Book" w:hAnsi="Avenir Book" w:cs="Times New Roman"/>
          <w:bCs/>
          <w:sz w:val="22"/>
          <w:szCs w:val="22"/>
        </w:rPr>
      </w:pPr>
    </w:p>
    <w:p w14:paraId="0AD88BD3" w14:textId="1449D74B"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This interpretation finds support in two additional considerations.</w:t>
      </w:r>
    </w:p>
    <w:p w14:paraId="241BA642" w14:textId="77777777" w:rsidR="008B103B" w:rsidRPr="00A746F2" w:rsidRDefault="008B103B" w:rsidP="000B21F4">
      <w:pPr>
        <w:jc w:val="both"/>
        <w:rPr>
          <w:rFonts w:ascii="Avenir Book" w:hAnsi="Avenir Book" w:cs="Times New Roman"/>
          <w:bCs/>
          <w:sz w:val="22"/>
          <w:szCs w:val="22"/>
        </w:rPr>
      </w:pPr>
    </w:p>
    <w:p w14:paraId="21DB7872" w14:textId="3966CF5D"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 xml:space="preserve">The first one is that the reasoning of the Court follows extensively </w:t>
      </w:r>
      <w:r w:rsidRPr="00A746F2">
        <w:rPr>
          <w:rFonts w:ascii="Avenir Book" w:hAnsi="Avenir Book" w:cs="Times New Roman"/>
          <w:bCs/>
          <w:i/>
          <w:sz w:val="22"/>
          <w:szCs w:val="22"/>
        </w:rPr>
        <w:t>Filmspeler</w:t>
      </w:r>
      <w:r w:rsidRPr="00A746F2">
        <w:rPr>
          <w:rFonts w:ascii="Avenir Book" w:hAnsi="Avenir Book" w:cs="Times New Roman"/>
          <w:bCs/>
          <w:sz w:val="22"/>
          <w:szCs w:val="22"/>
        </w:rPr>
        <w:t xml:space="preserve"> (also here the judge rapporteur was </w:t>
      </w:r>
      <w:r w:rsidRPr="00A746F2">
        <w:rPr>
          <w:rFonts w:ascii="Avenir Book" w:hAnsi="Avenir Book" w:cs="Times New Roman"/>
          <w:sz w:val="22"/>
          <w:szCs w:val="22"/>
        </w:rPr>
        <w:t>Marko </w:t>
      </w:r>
      <w:r w:rsidRPr="00A746F2">
        <w:rPr>
          <w:rFonts w:ascii="Avenir Book" w:hAnsi="Avenir Book" w:cs="Times New Roman"/>
          <w:bCs/>
          <w:sz w:val="22"/>
          <w:szCs w:val="22"/>
        </w:rPr>
        <w:t xml:space="preserve">Ilešič). In particular, the Court referred with approval to paragraph 50 of the </w:t>
      </w:r>
      <w:r w:rsidRPr="00A746F2">
        <w:rPr>
          <w:rFonts w:ascii="Avenir Book" w:hAnsi="Avenir Book" w:cs="Times New Roman"/>
          <w:bCs/>
          <w:i/>
          <w:sz w:val="22"/>
          <w:szCs w:val="22"/>
        </w:rPr>
        <w:t>Filmspeler</w:t>
      </w:r>
      <w:r w:rsidRPr="00A746F2">
        <w:rPr>
          <w:rFonts w:ascii="Avenir Book" w:hAnsi="Avenir Book" w:cs="Times New Roman"/>
          <w:bCs/>
          <w:sz w:val="22"/>
          <w:szCs w:val="22"/>
        </w:rPr>
        <w:t xml:space="preserve"> judgment, in which the CJEU had concluded that both the indispensable intervention of the defendant/user and its profit-making intention would lead to a finding of liability under Article 3(1) of the InfoSoc Directive. As mentioned above, in </w:t>
      </w:r>
      <w:r w:rsidRPr="00A01F46">
        <w:rPr>
          <w:rFonts w:ascii="Avenir Book" w:hAnsi="Avenir Book" w:cs="Times New Roman"/>
          <w:bCs/>
          <w:i/>
          <w:sz w:val="22"/>
          <w:szCs w:val="22"/>
        </w:rPr>
        <w:t>Filmspeler</w:t>
      </w:r>
      <w:r w:rsidRPr="00A746F2">
        <w:rPr>
          <w:rFonts w:ascii="Avenir Book" w:hAnsi="Avenir Book" w:cs="Times New Roman"/>
          <w:bCs/>
          <w:sz w:val="22"/>
          <w:szCs w:val="22"/>
        </w:rPr>
        <w:t xml:space="preserve"> the CJEU confirmed the validity and application of the </w:t>
      </w:r>
      <w:r w:rsidRPr="00A746F2">
        <w:rPr>
          <w:rFonts w:ascii="Avenir Book" w:hAnsi="Avenir Book" w:cs="Times New Roman"/>
          <w:bCs/>
          <w:i/>
          <w:sz w:val="22"/>
          <w:szCs w:val="22"/>
        </w:rPr>
        <w:t>GS Media</w:t>
      </w:r>
      <w:r w:rsidRPr="00A746F2">
        <w:rPr>
          <w:rFonts w:ascii="Avenir Book" w:hAnsi="Avenir Book" w:cs="Times New Roman"/>
          <w:bCs/>
          <w:sz w:val="22"/>
          <w:szCs w:val="22"/>
        </w:rPr>
        <w:t xml:space="preserve"> presumption</w:t>
      </w:r>
      <w:r w:rsidR="00851185">
        <w:rPr>
          <w:rFonts w:ascii="Avenir Book" w:hAnsi="Avenir Book" w:cs="Times New Roman"/>
          <w:bCs/>
          <w:sz w:val="22"/>
          <w:szCs w:val="22"/>
        </w:rPr>
        <w:t xml:space="preserve"> of knowledge</w:t>
      </w:r>
      <w:r w:rsidRPr="00A746F2">
        <w:rPr>
          <w:rFonts w:ascii="Avenir Book" w:hAnsi="Avenir Book" w:cs="Times New Roman"/>
          <w:bCs/>
          <w:sz w:val="22"/>
          <w:szCs w:val="22"/>
        </w:rPr>
        <w:t>.</w:t>
      </w:r>
    </w:p>
    <w:p w14:paraId="4182272E" w14:textId="77777777" w:rsidR="008B103B" w:rsidRPr="00A746F2" w:rsidRDefault="008B103B" w:rsidP="000B21F4">
      <w:pPr>
        <w:jc w:val="both"/>
        <w:rPr>
          <w:rFonts w:ascii="Avenir Book" w:hAnsi="Avenir Book" w:cs="Times New Roman"/>
          <w:bCs/>
          <w:sz w:val="22"/>
          <w:szCs w:val="22"/>
        </w:rPr>
      </w:pPr>
    </w:p>
    <w:p w14:paraId="3925EAAD" w14:textId="239DAB15" w:rsidR="008B103B" w:rsidRPr="00A746F2" w:rsidRDefault="008B103B" w:rsidP="000B21F4">
      <w:pPr>
        <w:jc w:val="both"/>
        <w:rPr>
          <w:rFonts w:ascii="Avenir Book" w:hAnsi="Avenir Book" w:cs="Times New Roman"/>
          <w:bCs/>
          <w:sz w:val="22"/>
          <w:szCs w:val="22"/>
        </w:rPr>
      </w:pPr>
      <w:r w:rsidRPr="00A746F2">
        <w:rPr>
          <w:rFonts w:ascii="Avenir Book" w:hAnsi="Avenir Book" w:cs="Times New Roman"/>
          <w:bCs/>
          <w:sz w:val="22"/>
          <w:szCs w:val="22"/>
        </w:rPr>
        <w:t>The second consideration is that ‘knowledge’ must not be intended in a subjective sense, i.e. as actual awareness of third-party infringements by the platform operators, but rather – in line with earlier CJEU case law – as knowledge and acceptance of the possible consequences of one’s own conduct.</w:t>
      </w:r>
    </w:p>
    <w:p w14:paraId="195213BD" w14:textId="77777777" w:rsidR="008B103B" w:rsidRPr="00A746F2" w:rsidRDefault="008B103B" w:rsidP="000B21F4">
      <w:pPr>
        <w:pStyle w:val="FootnoteText"/>
        <w:jc w:val="both"/>
        <w:rPr>
          <w:rFonts w:ascii="Avenir Book" w:hAnsi="Avenir Book" w:cs="Times New Roman"/>
          <w:bCs/>
          <w:sz w:val="22"/>
          <w:szCs w:val="22"/>
        </w:rPr>
      </w:pPr>
    </w:p>
    <w:p w14:paraId="4A67EE65" w14:textId="58834950" w:rsidR="008B103B" w:rsidRPr="00A746F2" w:rsidRDefault="008B103B" w:rsidP="000B21F4">
      <w:pPr>
        <w:pStyle w:val="FootnoteText"/>
        <w:jc w:val="both"/>
        <w:rPr>
          <w:rFonts w:ascii="Avenir Book" w:hAnsi="Avenir Book" w:cs="Times New Roman"/>
          <w:bCs/>
          <w:sz w:val="22"/>
          <w:szCs w:val="22"/>
        </w:rPr>
      </w:pPr>
      <w:r w:rsidRPr="00A746F2">
        <w:rPr>
          <w:rFonts w:ascii="Avenir Book" w:hAnsi="Avenir Book" w:cs="Times New Roman"/>
          <w:bCs/>
          <w:sz w:val="22"/>
          <w:szCs w:val="22"/>
        </w:rPr>
        <w:t xml:space="preserve">Hence, it is not convincing to suggest that the </w:t>
      </w:r>
      <w:r w:rsidRPr="00A746F2">
        <w:rPr>
          <w:rFonts w:ascii="Avenir Book" w:hAnsi="Avenir Book" w:cs="Times New Roman"/>
          <w:bCs/>
          <w:i/>
          <w:sz w:val="22"/>
          <w:szCs w:val="22"/>
        </w:rPr>
        <w:t>Pirate Bay</w:t>
      </w:r>
      <w:r w:rsidRPr="00A746F2">
        <w:rPr>
          <w:rFonts w:ascii="Avenir Book" w:hAnsi="Avenir Book" w:cs="Times New Roman"/>
          <w:bCs/>
          <w:sz w:val="22"/>
          <w:szCs w:val="22"/>
        </w:rPr>
        <w:t xml:space="preserve"> decision is silent regarding the treatment of situations in which the operators of an online platform that makes available third-party uploaded content have no actual knowledge of the unlawful character of the content thus made available, but nonetheless pursue a profit. On the contrary, </w:t>
      </w:r>
      <w:r w:rsidRPr="00A746F2">
        <w:rPr>
          <w:rFonts w:ascii="Avenir Book" w:hAnsi="Avenir Book" w:cs="Times New Roman"/>
          <w:bCs/>
          <w:i/>
          <w:sz w:val="22"/>
          <w:szCs w:val="22"/>
        </w:rPr>
        <w:t>The Pirate Bay</w:t>
      </w:r>
      <w:r w:rsidRPr="00A746F2">
        <w:rPr>
          <w:rFonts w:ascii="Avenir Book" w:hAnsi="Avenir Book" w:cs="Times New Roman"/>
          <w:bCs/>
          <w:sz w:val="22"/>
          <w:szCs w:val="22"/>
        </w:rPr>
        <w:t xml:space="preserve"> decision follows the same reasoning of the earlier CJEU decisions in </w:t>
      </w:r>
      <w:r w:rsidRPr="00A746F2">
        <w:rPr>
          <w:rFonts w:ascii="Avenir Book" w:hAnsi="Avenir Book" w:cs="Times New Roman"/>
          <w:bCs/>
          <w:i/>
          <w:sz w:val="22"/>
          <w:szCs w:val="22"/>
        </w:rPr>
        <w:t>GS Media</w:t>
      </w:r>
      <w:r w:rsidRPr="00A746F2">
        <w:rPr>
          <w:rFonts w:ascii="Avenir Book" w:hAnsi="Avenir Book" w:cs="Times New Roman"/>
          <w:bCs/>
          <w:sz w:val="22"/>
          <w:szCs w:val="22"/>
        </w:rPr>
        <w:t xml:space="preserve"> and </w:t>
      </w:r>
      <w:r w:rsidRPr="00A746F2">
        <w:rPr>
          <w:rFonts w:ascii="Avenir Book" w:hAnsi="Avenir Book" w:cs="Times New Roman"/>
          <w:bCs/>
          <w:i/>
          <w:sz w:val="22"/>
          <w:szCs w:val="22"/>
        </w:rPr>
        <w:t>Filmspeler</w:t>
      </w:r>
      <w:r w:rsidRPr="00A746F2">
        <w:rPr>
          <w:rFonts w:ascii="Avenir Book" w:hAnsi="Avenir Book" w:cs="Times New Roman"/>
          <w:bCs/>
          <w:sz w:val="22"/>
          <w:szCs w:val="22"/>
        </w:rPr>
        <w:t xml:space="preserve">: a profit-making intention on the side of the defendant </w:t>
      </w:r>
      <w:r w:rsidR="00851185">
        <w:rPr>
          <w:rFonts w:ascii="Avenir Book" w:hAnsi="Avenir Book" w:cs="Times New Roman"/>
          <w:bCs/>
          <w:sz w:val="22"/>
          <w:szCs w:val="22"/>
        </w:rPr>
        <w:t>may be</w:t>
      </w:r>
      <w:r w:rsidRPr="00A746F2">
        <w:rPr>
          <w:rFonts w:ascii="Avenir Book" w:hAnsi="Avenir Book" w:cs="Times New Roman"/>
          <w:bCs/>
          <w:sz w:val="22"/>
          <w:szCs w:val="22"/>
        </w:rPr>
        <w:t xml:space="preserve"> sufficient to trigger a rebuttable presumption of knowledge, by the defendant, of the character – licensed or not – of the content communicated through its platform. </w:t>
      </w:r>
    </w:p>
    <w:p w14:paraId="550C112E" w14:textId="77777777" w:rsidR="008B103B" w:rsidRDefault="008B103B" w:rsidP="000B21F4">
      <w:pPr>
        <w:pStyle w:val="FootnoteText"/>
        <w:jc w:val="both"/>
        <w:rPr>
          <w:rFonts w:ascii="Avenir Book" w:hAnsi="Avenir Book" w:cs="Times New Roman"/>
          <w:bCs/>
          <w:sz w:val="22"/>
          <w:szCs w:val="22"/>
        </w:rPr>
      </w:pPr>
    </w:p>
    <w:p w14:paraId="72CD56AF" w14:textId="77777777" w:rsidR="00A324C8" w:rsidRPr="00A746F2" w:rsidRDefault="00A324C8" w:rsidP="000B21F4">
      <w:pPr>
        <w:pStyle w:val="FootnoteText"/>
        <w:jc w:val="both"/>
        <w:rPr>
          <w:rFonts w:ascii="Avenir Book" w:hAnsi="Avenir Book" w:cs="Times New Roman"/>
          <w:bCs/>
          <w:sz w:val="22"/>
          <w:szCs w:val="22"/>
        </w:rPr>
      </w:pPr>
    </w:p>
    <w:p w14:paraId="6C85C5C9" w14:textId="4D3980F0" w:rsidR="008B103B" w:rsidRPr="00A746F2" w:rsidRDefault="008B103B" w:rsidP="000B21F4">
      <w:pPr>
        <w:pStyle w:val="Heading1"/>
        <w:pBdr>
          <w:bottom w:val="single" w:sz="4" w:space="1" w:color="auto"/>
        </w:pBdr>
        <w:spacing w:before="0"/>
        <w:rPr>
          <w:rFonts w:ascii="Avenir Book" w:hAnsi="Avenir Book"/>
          <w:color w:val="auto"/>
          <w:sz w:val="22"/>
          <w:szCs w:val="22"/>
        </w:rPr>
      </w:pPr>
      <w:bookmarkStart w:id="8" w:name="_Toc361053687"/>
      <w:r w:rsidRPr="00A746F2">
        <w:rPr>
          <w:rFonts w:ascii="Avenir Book" w:hAnsi="Avenir Book"/>
          <w:color w:val="auto"/>
          <w:sz w:val="22"/>
          <w:szCs w:val="22"/>
        </w:rPr>
        <w:t>3.</w:t>
      </w:r>
      <w:r w:rsidRPr="00A746F2">
        <w:rPr>
          <w:rFonts w:ascii="Avenir Book" w:hAnsi="Avenir Book"/>
          <w:color w:val="auto"/>
          <w:sz w:val="22"/>
          <w:szCs w:val="22"/>
        </w:rPr>
        <w:tab/>
        <w:t xml:space="preserve">After </w:t>
      </w:r>
      <w:r w:rsidRPr="005A2BF0">
        <w:rPr>
          <w:rFonts w:ascii="Avenir Book" w:hAnsi="Avenir Book"/>
          <w:i/>
          <w:color w:val="auto"/>
          <w:sz w:val="22"/>
          <w:szCs w:val="22"/>
        </w:rPr>
        <w:t>The Pirate Bay</w:t>
      </w:r>
      <w:bookmarkEnd w:id="8"/>
    </w:p>
    <w:p w14:paraId="48B86792" w14:textId="77777777" w:rsidR="00A324C8" w:rsidRPr="00A746F2" w:rsidRDefault="00A324C8" w:rsidP="000B21F4">
      <w:pPr>
        <w:jc w:val="both"/>
        <w:rPr>
          <w:rFonts w:ascii="Avenir Book" w:hAnsi="Avenir Book" w:cs="Times New Roman"/>
          <w:sz w:val="22"/>
          <w:szCs w:val="22"/>
        </w:rPr>
      </w:pPr>
    </w:p>
    <w:p w14:paraId="705B26B7" w14:textId="5DEC33CF"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The analysis undertaken by the CJEU in </w:t>
      </w:r>
      <w:r w:rsidRPr="00A746F2">
        <w:rPr>
          <w:rFonts w:ascii="Avenir Book" w:hAnsi="Avenir Book" w:cs="Times New Roman"/>
          <w:i/>
          <w:sz w:val="22"/>
          <w:szCs w:val="22"/>
        </w:rPr>
        <w:t>The Pirate Bay</w:t>
      </w:r>
      <w:r w:rsidRPr="00A746F2">
        <w:rPr>
          <w:rFonts w:ascii="Avenir Book" w:hAnsi="Avenir Book" w:cs="Times New Roman"/>
          <w:sz w:val="22"/>
          <w:szCs w:val="22"/>
        </w:rPr>
        <w:t xml:space="preserve"> suggests a number of fundamental points. </w:t>
      </w:r>
    </w:p>
    <w:p w14:paraId="548028B3" w14:textId="77777777" w:rsidR="008B103B" w:rsidRPr="00A746F2" w:rsidRDefault="008B103B" w:rsidP="000B21F4">
      <w:pPr>
        <w:jc w:val="both"/>
        <w:rPr>
          <w:rFonts w:ascii="Avenir Book" w:hAnsi="Avenir Book" w:cs="Times New Roman"/>
          <w:sz w:val="22"/>
          <w:szCs w:val="22"/>
        </w:rPr>
      </w:pPr>
    </w:p>
    <w:p w14:paraId="4E6A77A6" w14:textId="4EF25DDE" w:rsidR="008B103B" w:rsidRPr="00A746F2" w:rsidRDefault="00B62E6B" w:rsidP="000B21F4">
      <w:pPr>
        <w:jc w:val="both"/>
        <w:rPr>
          <w:rFonts w:ascii="Avenir Book" w:eastAsia="Times New Roman" w:hAnsi="Avenir Book" w:cs="Times New Roman"/>
          <w:sz w:val="22"/>
          <w:szCs w:val="22"/>
        </w:rPr>
      </w:pPr>
      <w:r>
        <w:rPr>
          <w:rFonts w:ascii="Avenir Book" w:hAnsi="Avenir Book" w:cs="Times New Roman"/>
          <w:sz w:val="22"/>
          <w:szCs w:val="22"/>
        </w:rPr>
        <w:t xml:space="preserve">First, an </w:t>
      </w:r>
      <w:r w:rsidR="008B103B" w:rsidRPr="00A746F2">
        <w:rPr>
          <w:rFonts w:ascii="Avenir Book" w:hAnsi="Avenir Book" w:cs="Times New Roman"/>
          <w:sz w:val="22"/>
          <w:szCs w:val="22"/>
        </w:rPr>
        <w:t>‘intervention’ for the purpose of determining what amounts to an act of communication merely requires the making of acts of indexing, categorization, deletion, or filtering of content. It appears that it is also irrelevant whether such activities are carried out manually or automatically, e.g. algorithmically: it is sufficient that a system is put in place to perform such activities. With specific reference to the case of The Pirate Bay, its operators have admitted in the past that the activities indicated by the CJEU as indicative of an ‘intervention’ for the purpose of application of Article 3(1) of the InfoSoc Directive are carried out automatically.</w:t>
      </w:r>
      <w:r w:rsidR="008B103B" w:rsidRPr="00A746F2">
        <w:rPr>
          <w:rStyle w:val="EndnoteReference"/>
          <w:rFonts w:ascii="Avenir Book" w:eastAsia="Times New Roman" w:hAnsi="Avenir Book" w:cs="Times New Roman"/>
          <w:sz w:val="22"/>
          <w:szCs w:val="22"/>
        </w:rPr>
        <w:endnoteReference w:id="71"/>
      </w:r>
    </w:p>
    <w:p w14:paraId="58025231" w14:textId="77777777" w:rsidR="008B103B" w:rsidRPr="00A746F2" w:rsidRDefault="008B103B" w:rsidP="000B21F4">
      <w:pPr>
        <w:jc w:val="both"/>
        <w:rPr>
          <w:rFonts w:ascii="Avenir Book" w:hAnsi="Avenir Book" w:cs="Times New Roman"/>
          <w:sz w:val="22"/>
          <w:szCs w:val="22"/>
        </w:rPr>
      </w:pPr>
    </w:p>
    <w:p w14:paraId="1C1A7528" w14:textId="77777777" w:rsidR="004030C9"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Secondly, in line with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‘knowledge’ (of the unlawful character of the works made available) for the purpose of determining whether the communication at hand entails a </w:t>
      </w:r>
      <w:r w:rsidRPr="00A746F2">
        <w:rPr>
          <w:rFonts w:ascii="Avenir Book" w:hAnsi="Avenir Book" w:cs="Times New Roman"/>
          <w:i/>
          <w:sz w:val="22"/>
          <w:szCs w:val="22"/>
        </w:rPr>
        <w:t>prima facie</w:t>
      </w:r>
      <w:r w:rsidRPr="00A746F2">
        <w:rPr>
          <w:rFonts w:ascii="Avenir Book" w:hAnsi="Avenir Book" w:cs="Times New Roman"/>
          <w:sz w:val="22"/>
          <w:szCs w:val="22"/>
        </w:rPr>
        <w:t xml:space="preserve"> liability under Article 3(1) of the InfoSoc Directive may be actual, constructive, but </w:t>
      </w:r>
      <w:r w:rsidR="00851185">
        <w:rPr>
          <w:rFonts w:ascii="Avenir Book" w:hAnsi="Avenir Book" w:cs="Times New Roman"/>
          <w:sz w:val="22"/>
          <w:szCs w:val="22"/>
        </w:rPr>
        <w:t>arguably</w:t>
      </w:r>
    </w:p>
    <w:p w14:paraId="444A07EC" w14:textId="03BC82CA"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also presumed in </w:t>
      </w:r>
      <w:r w:rsidR="00B62E6B">
        <w:rPr>
          <w:rFonts w:ascii="Avenir Book" w:hAnsi="Avenir Book" w:cs="Times New Roman"/>
          <w:sz w:val="22"/>
          <w:szCs w:val="22"/>
        </w:rPr>
        <w:t xml:space="preserve">the case </w:t>
      </w:r>
      <w:r w:rsidRPr="00A746F2">
        <w:rPr>
          <w:rFonts w:ascii="Avenir Book" w:hAnsi="Avenir Book" w:cs="Times New Roman"/>
          <w:sz w:val="22"/>
          <w:szCs w:val="22"/>
        </w:rPr>
        <w:t xml:space="preserve">of operators </w:t>
      </w:r>
      <w:r w:rsidR="00B62E6B">
        <w:rPr>
          <w:rFonts w:ascii="Avenir Book" w:hAnsi="Avenir Book" w:cs="Times New Roman"/>
          <w:sz w:val="22"/>
          <w:szCs w:val="22"/>
        </w:rPr>
        <w:t>of for-profit</w:t>
      </w:r>
      <w:r w:rsidRPr="00A746F2">
        <w:rPr>
          <w:rFonts w:ascii="Avenir Book" w:hAnsi="Avenir Book" w:cs="Times New Roman"/>
          <w:sz w:val="22"/>
          <w:szCs w:val="22"/>
        </w:rPr>
        <w:t xml:space="preserve"> platform</w:t>
      </w:r>
      <w:r w:rsidR="00B62E6B">
        <w:rPr>
          <w:rFonts w:ascii="Avenir Book" w:hAnsi="Avenir Book" w:cs="Times New Roman"/>
          <w:sz w:val="22"/>
          <w:szCs w:val="22"/>
        </w:rPr>
        <w:t>s</w:t>
      </w:r>
      <w:r w:rsidRPr="00A746F2">
        <w:rPr>
          <w:rFonts w:ascii="Avenir Book" w:hAnsi="Avenir Book" w:cs="Times New Roman"/>
          <w:sz w:val="22"/>
          <w:szCs w:val="22"/>
        </w:rPr>
        <w:t xml:space="preserve">. In this sense the </w:t>
      </w:r>
      <w:r w:rsidRPr="00A746F2">
        <w:rPr>
          <w:rFonts w:ascii="Avenir Book" w:hAnsi="Avenir Book" w:cs="Times New Roman"/>
          <w:i/>
          <w:sz w:val="22"/>
          <w:szCs w:val="22"/>
        </w:rPr>
        <w:t>Pirate Bay</w:t>
      </w:r>
      <w:r w:rsidRPr="00A746F2">
        <w:rPr>
          <w:rFonts w:ascii="Avenir Book" w:hAnsi="Avenir Book" w:cs="Times New Roman"/>
          <w:sz w:val="22"/>
          <w:szCs w:val="22"/>
        </w:rPr>
        <w:t xml:space="preserve"> judgment may be seen as not departing – but rather </w:t>
      </w:r>
      <w:r w:rsidR="00132763">
        <w:rPr>
          <w:rFonts w:ascii="Avenir Book" w:hAnsi="Avenir Book" w:cs="Times New Roman"/>
          <w:sz w:val="22"/>
          <w:szCs w:val="22"/>
        </w:rPr>
        <w:t>building upon</w:t>
      </w:r>
      <w:r w:rsidRPr="00A746F2">
        <w:rPr>
          <w:rFonts w:ascii="Avenir Book" w:hAnsi="Avenir Book" w:cs="Times New Roman"/>
          <w:sz w:val="22"/>
          <w:szCs w:val="22"/>
        </w:rPr>
        <w:t xml:space="preserve"> – earlier case law, including the recent decisions in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and </w:t>
      </w:r>
      <w:r w:rsidRPr="00A746F2">
        <w:rPr>
          <w:rFonts w:ascii="Avenir Book" w:hAnsi="Avenir Book" w:cs="Times New Roman"/>
          <w:i/>
          <w:sz w:val="22"/>
          <w:szCs w:val="22"/>
        </w:rPr>
        <w:t>Filmspeler</w:t>
      </w:r>
      <w:r w:rsidRPr="00A746F2">
        <w:rPr>
          <w:rFonts w:ascii="Avenir Book" w:hAnsi="Avenir Book" w:cs="Times New Roman"/>
          <w:sz w:val="22"/>
          <w:szCs w:val="22"/>
        </w:rPr>
        <w:t>.</w:t>
      </w:r>
    </w:p>
    <w:p w14:paraId="43263E01" w14:textId="77777777" w:rsidR="008B103B" w:rsidRPr="00A746F2" w:rsidRDefault="008B103B" w:rsidP="000B21F4">
      <w:pPr>
        <w:jc w:val="both"/>
        <w:rPr>
          <w:rFonts w:ascii="Avenir Book" w:hAnsi="Avenir Book" w:cs="Times New Roman"/>
          <w:sz w:val="22"/>
          <w:szCs w:val="22"/>
        </w:rPr>
      </w:pPr>
    </w:p>
    <w:p w14:paraId="05C8F5F0" w14:textId="05B34170"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 xml:space="preserve">There are additional aspects of the judgment that deserve consideration, and will likely attract further commentary. The first is the interplay between primary and secondary liability for copyright infringement. The second is the impact that the </w:t>
      </w:r>
      <w:r w:rsidRPr="00A746F2">
        <w:rPr>
          <w:rFonts w:ascii="Avenir Book" w:hAnsi="Avenir Book" w:cs="Times New Roman"/>
          <w:i/>
          <w:sz w:val="22"/>
          <w:szCs w:val="22"/>
        </w:rPr>
        <w:t>Pirate Bay</w:t>
      </w:r>
      <w:r w:rsidRPr="00A746F2">
        <w:rPr>
          <w:rFonts w:ascii="Avenir Book" w:hAnsi="Avenir Book" w:cs="Times New Roman"/>
          <w:sz w:val="22"/>
          <w:szCs w:val="22"/>
        </w:rPr>
        <w:t xml:space="preserve"> decision might have on the understanding and application of the safe harbours within the E-commerce Directive. The final aspect relates to the policy debate currently unfolding at the EU level, notably to what has come to be known as the ‘value gap proposal’.  </w:t>
      </w:r>
    </w:p>
    <w:p w14:paraId="6A8DC375" w14:textId="77777777" w:rsidR="008B103B" w:rsidRDefault="008B103B" w:rsidP="000B21F4">
      <w:pPr>
        <w:jc w:val="both"/>
        <w:rPr>
          <w:rFonts w:ascii="Avenir Book" w:hAnsi="Avenir Book" w:cs="Times New Roman"/>
          <w:sz w:val="22"/>
          <w:szCs w:val="22"/>
        </w:rPr>
      </w:pPr>
    </w:p>
    <w:p w14:paraId="489C00F7" w14:textId="77777777" w:rsidR="008B103B" w:rsidRPr="00A746F2" w:rsidRDefault="008B103B" w:rsidP="000B21F4">
      <w:pPr>
        <w:jc w:val="both"/>
        <w:rPr>
          <w:rFonts w:ascii="Avenir Book" w:hAnsi="Avenir Book" w:cs="Times New Roman"/>
          <w:sz w:val="22"/>
          <w:szCs w:val="22"/>
        </w:rPr>
      </w:pPr>
    </w:p>
    <w:p w14:paraId="4D4F518A" w14:textId="43766A59" w:rsidR="008B103B" w:rsidRPr="00A746F2" w:rsidRDefault="008B103B" w:rsidP="000B21F4">
      <w:pPr>
        <w:pStyle w:val="Heading2"/>
        <w:pBdr>
          <w:bottom w:val="single" w:sz="4" w:space="1" w:color="auto"/>
        </w:pBdr>
        <w:spacing w:before="0"/>
        <w:rPr>
          <w:rFonts w:ascii="Avenir Book" w:hAnsi="Avenir Book"/>
          <w:color w:val="auto"/>
          <w:sz w:val="22"/>
          <w:szCs w:val="22"/>
        </w:rPr>
      </w:pPr>
      <w:bookmarkStart w:id="9" w:name="_Toc361053688"/>
      <w:r w:rsidRPr="00A746F2">
        <w:rPr>
          <w:rFonts w:ascii="Avenir Book" w:hAnsi="Avenir Book"/>
          <w:color w:val="auto"/>
          <w:sz w:val="22"/>
          <w:szCs w:val="22"/>
        </w:rPr>
        <w:t>3.1. Primary and secondary liability</w:t>
      </w:r>
      <w:bookmarkEnd w:id="9"/>
    </w:p>
    <w:p w14:paraId="656A20C8" w14:textId="77777777" w:rsidR="00A324C8" w:rsidRPr="00A746F2" w:rsidRDefault="00A324C8" w:rsidP="000B21F4">
      <w:pPr>
        <w:jc w:val="both"/>
        <w:rPr>
          <w:rFonts w:ascii="Avenir Book" w:hAnsi="Avenir Book" w:cs="Times New Roman"/>
          <w:sz w:val="22"/>
          <w:szCs w:val="22"/>
        </w:rPr>
      </w:pPr>
    </w:p>
    <w:p w14:paraId="24ECFAE6" w14:textId="77777777"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While EU legislature has harmonized the conditions for primary liability, the existence of and conditions for a finding of liability as a secondary infringer have been left to the legal systems of individual Member States.</w:t>
      </w:r>
      <w:r w:rsidRPr="00A746F2">
        <w:rPr>
          <w:rStyle w:val="EndnoteReference"/>
          <w:rFonts w:ascii="Avenir Book" w:eastAsia="Times New Roman" w:hAnsi="Avenir Book" w:cs="Times New Roman"/>
          <w:sz w:val="22"/>
          <w:szCs w:val="22"/>
          <w:shd w:val="clear" w:color="auto" w:fill="FFFFFF"/>
        </w:rPr>
        <w:endnoteReference w:id="72"/>
      </w:r>
      <w:r w:rsidRPr="00A746F2">
        <w:rPr>
          <w:rFonts w:ascii="Avenir Book" w:hAnsi="Avenir Book" w:cs="Times New Roman"/>
          <w:sz w:val="22"/>
          <w:szCs w:val="22"/>
        </w:rPr>
        <w:t xml:space="preserve"> </w:t>
      </w:r>
    </w:p>
    <w:p w14:paraId="7520A2F8" w14:textId="77777777" w:rsidR="008B103B" w:rsidRPr="00A746F2" w:rsidRDefault="008B103B" w:rsidP="000B21F4">
      <w:pPr>
        <w:jc w:val="both"/>
        <w:rPr>
          <w:rFonts w:ascii="Avenir Book" w:hAnsi="Avenir Book" w:cs="Times New Roman"/>
          <w:sz w:val="22"/>
          <w:szCs w:val="22"/>
        </w:rPr>
      </w:pPr>
    </w:p>
    <w:p w14:paraId="794238A1" w14:textId="3262032D"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It has been argued that, by introducing a knowledge requirement within the scope of primary liability, the CJEU has blurred the distinction between what has been traditionally regarded as a strict liability tort (primary infringement) and liability informed by the defendant’s subjective state of actual or constructive knowledge (secondary infringement).</w:t>
      </w:r>
      <w:r w:rsidRPr="00A746F2">
        <w:rPr>
          <w:rStyle w:val="EndnoteReference"/>
          <w:rFonts w:ascii="Avenir Book" w:hAnsi="Avenir Book" w:cs="Times New Roman"/>
          <w:sz w:val="22"/>
          <w:szCs w:val="22"/>
        </w:rPr>
        <w:endnoteReference w:id="73"/>
      </w:r>
      <w:r w:rsidRPr="00A746F2">
        <w:rPr>
          <w:rFonts w:ascii="Avenir Book" w:hAnsi="Avenir Book" w:cs="Times New Roman"/>
          <w:sz w:val="22"/>
          <w:szCs w:val="22"/>
        </w:rPr>
        <w:t xml:space="preserve"> </w:t>
      </w:r>
    </w:p>
    <w:p w14:paraId="5A2476C5" w14:textId="77777777" w:rsidR="008B103B" w:rsidRPr="00A746F2" w:rsidRDefault="008B103B" w:rsidP="000B21F4">
      <w:pPr>
        <w:jc w:val="both"/>
        <w:rPr>
          <w:rFonts w:ascii="Avenir Book" w:hAnsi="Avenir Book" w:cs="Times New Roman"/>
          <w:sz w:val="22"/>
          <w:szCs w:val="22"/>
        </w:rPr>
      </w:pPr>
    </w:p>
    <w:p w14:paraId="3BEB92DF" w14:textId="2244CCE5" w:rsidR="008B103B" w:rsidRPr="00A746F2" w:rsidRDefault="008B103B" w:rsidP="000B21F4">
      <w:pPr>
        <w:jc w:val="both"/>
        <w:rPr>
          <w:rFonts w:ascii="Avenir Book" w:hAnsi="Avenir Book" w:cs="Times New Roman"/>
          <w:sz w:val="22"/>
          <w:szCs w:val="22"/>
        </w:rPr>
      </w:pPr>
      <w:r w:rsidRPr="00A746F2">
        <w:rPr>
          <w:rFonts w:ascii="Avenir Book" w:hAnsi="Avenir Book" w:cs="Times New Roman"/>
          <w:sz w:val="22"/>
          <w:szCs w:val="22"/>
        </w:rPr>
        <w:t>This argument has merit from a formal standpoint, and may result in practical uncertainties for those EU jurisdictions with a secondary liability regime, notably liability by authorization.</w:t>
      </w:r>
      <w:r w:rsidRPr="00A746F2">
        <w:rPr>
          <w:rStyle w:val="EndnoteReference"/>
          <w:rFonts w:ascii="Avenir Book" w:hAnsi="Avenir Book" w:cs="Times New Roman"/>
          <w:sz w:val="22"/>
          <w:szCs w:val="22"/>
        </w:rPr>
        <w:endnoteReference w:id="74"/>
      </w:r>
      <w:r w:rsidRPr="00A746F2">
        <w:rPr>
          <w:rFonts w:ascii="Avenir Book" w:hAnsi="Avenir Book" w:cs="Times New Roman"/>
          <w:sz w:val="22"/>
          <w:szCs w:val="22"/>
        </w:rPr>
        <w:t xml:space="preserve"> </w:t>
      </w:r>
      <w:r w:rsidRPr="00A746F2">
        <w:rPr>
          <w:rFonts w:ascii="Avenir Book" w:eastAsia="Times New Roman" w:hAnsi="Avenir Book" w:cs="Times New Roman"/>
          <w:sz w:val="22"/>
          <w:szCs w:val="22"/>
          <w:shd w:val="clear" w:color="auto" w:fill="FFFFFF"/>
        </w:rPr>
        <w:t>One might for instance recall that in the UK the High Court of England and Wales held the operators of The Pirate Bay liable as accessories</w:t>
      </w:r>
      <w:r w:rsidR="00132763">
        <w:rPr>
          <w:rFonts w:ascii="Avenir Book" w:eastAsia="Times New Roman" w:hAnsi="Avenir Book" w:cs="Times New Roman"/>
          <w:sz w:val="22"/>
          <w:szCs w:val="22"/>
          <w:shd w:val="clear" w:color="auto" w:fill="FFFFFF"/>
        </w:rPr>
        <w:t xml:space="preserve"> </w:t>
      </w:r>
      <w:r w:rsidRPr="00A746F2">
        <w:rPr>
          <w:rFonts w:ascii="Avenir Book" w:eastAsia="Times New Roman" w:hAnsi="Avenir Book" w:cs="Times New Roman"/>
          <w:sz w:val="22"/>
          <w:szCs w:val="22"/>
          <w:shd w:val="clear" w:color="auto" w:fill="FFFFFF"/>
        </w:rPr>
        <w:t>for users’ infringements.</w:t>
      </w:r>
      <w:r w:rsidRPr="00A746F2">
        <w:rPr>
          <w:rStyle w:val="EndnoteReference"/>
          <w:rFonts w:ascii="Avenir Book" w:eastAsia="Times New Roman" w:hAnsi="Avenir Book" w:cs="Times New Roman"/>
          <w:sz w:val="22"/>
          <w:szCs w:val="22"/>
          <w:shd w:val="clear" w:color="auto" w:fill="FFFFFF"/>
        </w:rPr>
        <w:endnoteReference w:id="75"/>
      </w:r>
      <w:r w:rsidRPr="00A746F2">
        <w:rPr>
          <w:rFonts w:ascii="Avenir Book" w:eastAsia="Times New Roman" w:hAnsi="Avenir Book" w:cs="Times New Roman"/>
          <w:sz w:val="22"/>
          <w:szCs w:val="22"/>
          <w:shd w:val="clear" w:color="auto" w:fill="FFFFFF"/>
        </w:rPr>
        <w:t xml:space="preserve"> As explained by Arnold and Davies</w:t>
      </w:r>
      <w:r w:rsidRPr="00A746F2">
        <w:rPr>
          <w:rStyle w:val="EndnoteReference"/>
          <w:rFonts w:ascii="Avenir Book" w:eastAsia="Times New Roman" w:hAnsi="Avenir Book" w:cs="Times New Roman"/>
          <w:sz w:val="22"/>
          <w:szCs w:val="22"/>
          <w:shd w:val="clear" w:color="auto" w:fill="FFFFFF"/>
        </w:rPr>
        <w:endnoteReference w:id="76"/>
      </w:r>
      <w:r w:rsidRPr="00A746F2">
        <w:rPr>
          <w:rFonts w:ascii="Avenir Book" w:eastAsia="Times New Roman" w:hAnsi="Avenir Book" w:cs="Times New Roman"/>
          <w:sz w:val="22"/>
          <w:szCs w:val="22"/>
          <w:shd w:val="clear" w:color="auto" w:fill="FFFFFF"/>
        </w:rPr>
        <w:t xml:space="preserve"> liability by authorization is composed of a conduct element and a mental element. As regards the latter, this must be intended as requiring demonstration of a sufficient degree of knowledge by the defendant of the circumstances and of the acts committed (or about to be committed) by the primary infringer. Further to the CJEU decision in </w:t>
      </w:r>
      <w:r w:rsidRPr="00A746F2">
        <w:rPr>
          <w:rFonts w:ascii="Avenir Book" w:eastAsia="Times New Roman" w:hAnsi="Avenir Book" w:cs="Times New Roman"/>
          <w:i/>
          <w:sz w:val="22"/>
          <w:szCs w:val="22"/>
          <w:shd w:val="clear" w:color="auto" w:fill="FFFFFF"/>
        </w:rPr>
        <w:t>The Pirate Bay</w:t>
      </w:r>
      <w:r w:rsidRPr="00A746F2">
        <w:rPr>
          <w:rFonts w:ascii="Avenir Book" w:eastAsia="Times New Roman" w:hAnsi="Avenir Book" w:cs="Times New Roman"/>
          <w:sz w:val="22"/>
          <w:szCs w:val="22"/>
          <w:shd w:val="clear" w:color="auto" w:fill="FFFFFF"/>
        </w:rPr>
        <w:t xml:space="preserve"> situations like the one examined by the CJEU should be assessed by national c</w:t>
      </w:r>
      <w:r w:rsidR="00851185">
        <w:rPr>
          <w:rFonts w:ascii="Avenir Book" w:eastAsia="Times New Roman" w:hAnsi="Avenir Book" w:cs="Times New Roman"/>
          <w:sz w:val="22"/>
          <w:szCs w:val="22"/>
          <w:shd w:val="clear" w:color="auto" w:fill="FFFFFF"/>
        </w:rPr>
        <w:t>ourts under the lens of primary –</w:t>
      </w:r>
      <w:r w:rsidRPr="00A746F2">
        <w:rPr>
          <w:rFonts w:ascii="Avenir Book" w:eastAsia="Times New Roman" w:hAnsi="Avenir Book" w:cs="Times New Roman"/>
          <w:sz w:val="22"/>
          <w:szCs w:val="22"/>
          <w:shd w:val="clear" w:color="auto" w:fill="FFFFFF"/>
        </w:rPr>
        <w:t xml:space="preserve"> rather than secondary</w:t>
      </w:r>
      <w:r w:rsidR="00851185">
        <w:rPr>
          <w:rFonts w:ascii="Avenir Book" w:eastAsia="Times New Roman" w:hAnsi="Avenir Book" w:cs="Times New Roman"/>
          <w:sz w:val="22"/>
          <w:szCs w:val="22"/>
          <w:shd w:val="clear" w:color="auto" w:fill="FFFFFF"/>
        </w:rPr>
        <w:t xml:space="preserve"> –</w:t>
      </w:r>
      <w:r w:rsidRPr="00A746F2">
        <w:rPr>
          <w:rFonts w:ascii="Avenir Book" w:eastAsia="Times New Roman" w:hAnsi="Avenir Book" w:cs="Times New Roman"/>
          <w:sz w:val="22"/>
          <w:szCs w:val="22"/>
          <w:shd w:val="clear" w:color="auto" w:fill="FFFFFF"/>
        </w:rPr>
        <w:t xml:space="preserve"> liability.</w:t>
      </w:r>
      <w:r w:rsidRPr="00A746F2">
        <w:rPr>
          <w:rStyle w:val="EndnoteReference"/>
          <w:rFonts w:ascii="Avenir Book" w:eastAsia="Times New Roman" w:hAnsi="Avenir Book" w:cs="Times New Roman"/>
          <w:sz w:val="22"/>
          <w:szCs w:val="22"/>
          <w:shd w:val="clear" w:color="auto" w:fill="FFFFFF"/>
        </w:rPr>
        <w:endnoteReference w:id="77"/>
      </w:r>
    </w:p>
    <w:p w14:paraId="3B3BD0BE" w14:textId="77777777" w:rsidR="008B103B" w:rsidRPr="00A746F2" w:rsidRDefault="008B103B" w:rsidP="000B21F4">
      <w:pPr>
        <w:jc w:val="both"/>
        <w:rPr>
          <w:rFonts w:ascii="Avenir Book" w:hAnsi="Avenir Book" w:cs="Times New Roman"/>
          <w:sz w:val="22"/>
          <w:szCs w:val="22"/>
        </w:rPr>
      </w:pPr>
    </w:p>
    <w:p w14:paraId="202D12EA" w14:textId="770FD446"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hAnsi="Avenir Book" w:cs="Times New Roman"/>
          <w:sz w:val="22"/>
          <w:szCs w:val="22"/>
        </w:rPr>
        <w:t xml:space="preserve">In any case, the CJEU has referred to ‘knowledge’ in the context of Article 3(1) of the InfoSoc Directive since its first decision on this matter, the 2006 judgment in </w:t>
      </w:r>
      <w:r w:rsidRPr="00A746F2">
        <w:rPr>
          <w:rFonts w:ascii="Avenir Book" w:hAnsi="Avenir Book" w:cs="Times New Roman"/>
          <w:i/>
          <w:sz w:val="22"/>
          <w:szCs w:val="22"/>
        </w:rPr>
        <w:t>SGAE</w:t>
      </w:r>
      <w:r w:rsidRPr="00A746F2">
        <w:rPr>
          <w:rFonts w:ascii="Avenir Book" w:hAnsi="Avenir Book" w:cs="Times New Roman"/>
          <w:sz w:val="22"/>
          <w:szCs w:val="22"/>
        </w:rPr>
        <w:t xml:space="preserve">. In that case the Court had been asked to determine whether </w:t>
      </w:r>
      <w:r w:rsidRPr="00A746F2">
        <w:rPr>
          <w:rFonts w:ascii="Avenir Book" w:eastAsia="Times New Roman" w:hAnsi="Avenir Book" w:cs="Times New Roman"/>
          <w:sz w:val="22"/>
          <w:szCs w:val="22"/>
          <w:shd w:val="clear" w:color="auto" w:fill="FFFFFF"/>
        </w:rPr>
        <w:t>the installation in hotel rooms of television sets to which a satellite or terrestrial television signal is sent by cable constitute an act of communication to the public within Article 3(1) of the InfoSoc Directive. Answering in the affirmative, the CJEU held that the intervention of the hotel is one that – in full knowledge of the consequences of its action – gives access to protected works to its customers.</w:t>
      </w:r>
      <w:r w:rsidRPr="00A746F2">
        <w:rPr>
          <w:rStyle w:val="EndnoteReference"/>
          <w:rFonts w:ascii="Avenir Book" w:eastAsia="Times New Roman" w:hAnsi="Avenir Book" w:cs="Times New Roman"/>
          <w:sz w:val="22"/>
          <w:szCs w:val="22"/>
          <w:shd w:val="clear" w:color="auto" w:fill="FFFFFF"/>
        </w:rPr>
        <w:endnoteReference w:id="78"/>
      </w:r>
      <w:r w:rsidRPr="00A746F2">
        <w:rPr>
          <w:rFonts w:ascii="Avenir Book" w:eastAsia="Times New Roman" w:hAnsi="Avenir Book" w:cs="Times New Roman"/>
          <w:sz w:val="22"/>
          <w:szCs w:val="22"/>
          <w:shd w:val="clear" w:color="auto" w:fill="FFFFFF"/>
        </w:rPr>
        <w:t xml:space="preserve"> </w:t>
      </w:r>
    </w:p>
    <w:p w14:paraId="31FF525B"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2F12D06D" w14:textId="77777777" w:rsidR="00A324C8" w:rsidRPr="00A324C8" w:rsidRDefault="00A324C8" w:rsidP="00A324C8"/>
    <w:p w14:paraId="6182E086" w14:textId="2CE90287" w:rsidR="008B103B" w:rsidRPr="00A746F2" w:rsidRDefault="008B103B" w:rsidP="000B21F4">
      <w:pPr>
        <w:pStyle w:val="Heading2"/>
        <w:pBdr>
          <w:bottom w:val="single" w:sz="4" w:space="1" w:color="auto"/>
        </w:pBdr>
        <w:spacing w:before="0"/>
        <w:rPr>
          <w:rFonts w:ascii="Avenir Book" w:hAnsi="Avenir Book"/>
          <w:color w:val="auto"/>
          <w:sz w:val="22"/>
          <w:szCs w:val="22"/>
          <w:shd w:val="clear" w:color="auto" w:fill="FFFFFF"/>
        </w:rPr>
      </w:pPr>
      <w:bookmarkStart w:id="10" w:name="_Toc361053689"/>
      <w:r w:rsidRPr="00A746F2">
        <w:rPr>
          <w:rFonts w:ascii="Avenir Book" w:hAnsi="Avenir Book"/>
          <w:color w:val="auto"/>
          <w:sz w:val="22"/>
          <w:szCs w:val="22"/>
          <w:shd w:val="clear" w:color="auto" w:fill="FFFFFF"/>
        </w:rPr>
        <w:t>3.2. Impact on the safe harbour regime</w:t>
      </w:r>
      <w:bookmarkEnd w:id="10"/>
    </w:p>
    <w:p w14:paraId="58A539A9" w14:textId="77777777" w:rsidR="008B103B" w:rsidRPr="00A746F2" w:rsidRDefault="008B103B" w:rsidP="000B21F4">
      <w:pPr>
        <w:jc w:val="both"/>
        <w:rPr>
          <w:rFonts w:ascii="Avenir Book" w:hAnsi="Avenir Book" w:cs="Times New Roman"/>
          <w:sz w:val="22"/>
          <w:szCs w:val="22"/>
        </w:rPr>
      </w:pPr>
    </w:p>
    <w:p w14:paraId="28C5ACED" w14:textId="2B586271"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Turning to consideration of the relationship between liability under the InfoSoc Directive and applicability of the E-commerce Directive safe harbours, while the former is without prejudice to the provisions of the latter (Recitals 16 and 20 of the InfoSoc Directive), confirmation that the operators of an online platform may be jointly liable with users for copyright infringement might have an impact on the applicability of Articles 12 to 14 of the E-Commerce Directive. </w:t>
      </w:r>
    </w:p>
    <w:p w14:paraId="6FCC48D9" w14:textId="77777777" w:rsidR="008B103B" w:rsidRPr="00A746F2" w:rsidRDefault="008B103B" w:rsidP="000B21F4">
      <w:pPr>
        <w:jc w:val="both"/>
        <w:rPr>
          <w:rFonts w:ascii="Avenir Book" w:eastAsia="Times New Roman" w:hAnsi="Avenir Book" w:cs="Times New Roman"/>
          <w:sz w:val="22"/>
          <w:szCs w:val="22"/>
        </w:rPr>
      </w:pPr>
    </w:p>
    <w:p w14:paraId="0DC2A7DD" w14:textId="0A802BEC" w:rsidR="008B103B" w:rsidRPr="00A746F2" w:rsidRDefault="008B103B" w:rsidP="000B21F4">
      <w:pPr>
        <w:jc w:val="both"/>
        <w:rPr>
          <w:rFonts w:ascii="Avenir Book" w:hAnsi="Avenir Book" w:cs="Times New Roman"/>
          <w:sz w:val="22"/>
          <w:szCs w:val="22"/>
        </w:rPr>
      </w:pPr>
      <w:r w:rsidRPr="00A746F2">
        <w:rPr>
          <w:rFonts w:ascii="Avenir Book" w:eastAsia="Times New Roman" w:hAnsi="Avenir Book" w:cs="Times New Roman"/>
          <w:sz w:val="22"/>
          <w:szCs w:val="22"/>
        </w:rPr>
        <w:t xml:space="preserve">By proposing the adoption of the E-commerce Directive, the European Commission sought </w:t>
      </w:r>
      <w:r w:rsidRPr="00A746F2">
        <w:rPr>
          <w:rFonts w:ascii="Avenir Book" w:hAnsi="Avenir Book" w:cs="Times New Roman"/>
          <w:sz w:val="22"/>
          <w:szCs w:val="22"/>
        </w:rPr>
        <w:t xml:space="preserve">to clarify the responsibility of </w:t>
      </w:r>
      <w:r w:rsidR="00711FBC">
        <w:rPr>
          <w:rFonts w:ascii="Avenir Book" w:hAnsi="Avenir Book" w:cs="Times New Roman"/>
          <w:sz w:val="22"/>
          <w:szCs w:val="22"/>
        </w:rPr>
        <w:t>providers</w:t>
      </w:r>
      <w:r w:rsidRPr="00A746F2">
        <w:rPr>
          <w:rFonts w:ascii="Avenir Book" w:hAnsi="Avenir Book" w:cs="Times New Roman"/>
          <w:sz w:val="22"/>
          <w:szCs w:val="22"/>
        </w:rPr>
        <w:t xml:space="preserve"> for transmitting and storing information at the request of third parties, that is when </w:t>
      </w:r>
      <w:r w:rsidR="00711FBC">
        <w:rPr>
          <w:rFonts w:ascii="Avenir Book" w:hAnsi="Avenir Book" w:cs="Times New Roman"/>
          <w:sz w:val="22"/>
          <w:szCs w:val="22"/>
        </w:rPr>
        <w:t>providers</w:t>
      </w:r>
      <w:r w:rsidRPr="00A746F2">
        <w:rPr>
          <w:rFonts w:ascii="Avenir Book" w:hAnsi="Avenir Book" w:cs="Times New Roman"/>
          <w:sz w:val="22"/>
          <w:szCs w:val="22"/>
        </w:rPr>
        <w:t xml:space="preserve"> act as mere intermediaries. As </w:t>
      </w:r>
      <w:r w:rsidR="000E074E">
        <w:rPr>
          <w:rFonts w:ascii="Avenir Book" w:hAnsi="Avenir Book" w:cs="Times New Roman"/>
          <w:sz w:val="22"/>
          <w:szCs w:val="22"/>
        </w:rPr>
        <w:t>stated</w:t>
      </w:r>
      <w:r w:rsidRPr="00A746F2">
        <w:rPr>
          <w:rFonts w:ascii="Avenir Book" w:hAnsi="Avenir Book" w:cs="Times New Roman"/>
          <w:sz w:val="22"/>
          <w:szCs w:val="22"/>
        </w:rPr>
        <w:t xml:space="preserve"> by an internal study of the Organisation for Economic Co-operation and Development (</w:t>
      </w:r>
      <w:r w:rsidRPr="00A746F2">
        <w:rPr>
          <w:rFonts w:ascii="Avenir Book" w:hAnsi="Avenir Book" w:cs="Times New Roman"/>
          <w:bCs/>
          <w:sz w:val="22"/>
          <w:szCs w:val="22"/>
        </w:rPr>
        <w:t>OECD</w:t>
      </w:r>
      <w:r w:rsidRPr="00A746F2">
        <w:rPr>
          <w:rFonts w:ascii="Avenir Book" w:hAnsi="Avenir Book" w:cs="Times New Roman"/>
          <w:sz w:val="22"/>
          <w:szCs w:val="22"/>
        </w:rPr>
        <w:t xml:space="preserve">), </w:t>
      </w:r>
    </w:p>
    <w:p w14:paraId="5AA6C9FF" w14:textId="77777777" w:rsidR="008B103B" w:rsidRPr="00A746F2" w:rsidRDefault="008B103B" w:rsidP="000B21F4">
      <w:pPr>
        <w:jc w:val="both"/>
        <w:rPr>
          <w:rFonts w:ascii="Avenir Book" w:hAnsi="Avenir Book" w:cs="Times New Roman"/>
          <w:sz w:val="22"/>
          <w:szCs w:val="22"/>
        </w:rPr>
      </w:pPr>
    </w:p>
    <w:p w14:paraId="78A73E38" w14:textId="5DBFA7C3" w:rsidR="008B103B" w:rsidRPr="00A746F2" w:rsidRDefault="008B103B" w:rsidP="000B21F4">
      <w:pPr>
        <w:ind w:left="708"/>
        <w:jc w:val="both"/>
        <w:rPr>
          <w:rFonts w:ascii="Avenir Book" w:eastAsia="Times New Roman" w:hAnsi="Avenir Book" w:cs="Times New Roman"/>
          <w:sz w:val="22"/>
          <w:szCs w:val="22"/>
        </w:rPr>
      </w:pPr>
      <w:r w:rsidRPr="00A746F2">
        <w:rPr>
          <w:rFonts w:ascii="Avenir Book" w:hAnsi="Avenir Book" w:cs="Times New Roman"/>
          <w:sz w:val="22"/>
          <w:szCs w:val="22"/>
        </w:rPr>
        <w:t>“</w:t>
      </w:r>
      <w:r w:rsidRPr="00A746F2">
        <w:rPr>
          <w:rFonts w:ascii="Avenir Book" w:eastAsia="Times New Roman" w:hAnsi="Avenir Book" w:cs="Times New Roman"/>
          <w:sz w:val="22"/>
          <w:szCs w:val="22"/>
        </w:rPr>
        <w:t>The implicit meaning of the word intermediary is that it is located between or among two or more parties, and although they help in the transmission/dissemination process, intermediaries do not initiate decisions to disseminate the content, products or services that transverse their networks or servers. A proposed definition of ‘Internet intermediaries’ is the following: Internet intermediaries bring together or facilitate transactions between third parties on the Internet. They give access to, host, transmit and index content, products and services originated by third parties on the Internet or provide Internet-based services to third parties.”</w:t>
      </w:r>
      <w:r w:rsidRPr="00A746F2">
        <w:rPr>
          <w:rStyle w:val="EndnoteReference"/>
          <w:rFonts w:ascii="Avenir Book" w:eastAsia="Times New Roman" w:hAnsi="Avenir Book" w:cs="Times New Roman"/>
          <w:sz w:val="22"/>
          <w:szCs w:val="22"/>
        </w:rPr>
        <w:endnoteReference w:id="79"/>
      </w:r>
    </w:p>
    <w:p w14:paraId="6277EF2F" w14:textId="77777777" w:rsidR="008B103B" w:rsidRPr="00A746F2" w:rsidRDefault="008B103B" w:rsidP="000B21F4">
      <w:pPr>
        <w:pStyle w:val="NormalWeb"/>
        <w:shd w:val="clear" w:color="auto" w:fill="FFFFFF"/>
        <w:jc w:val="both"/>
        <w:rPr>
          <w:rFonts w:ascii="Avenir Book" w:hAnsi="Avenir Book"/>
          <w:sz w:val="22"/>
          <w:szCs w:val="22"/>
        </w:rPr>
      </w:pPr>
    </w:p>
    <w:p w14:paraId="5BA2AA93" w14:textId="4475436F" w:rsidR="008B103B" w:rsidRPr="00A746F2" w:rsidRDefault="008B103B" w:rsidP="000B21F4">
      <w:pPr>
        <w:pStyle w:val="NormalWeb"/>
        <w:shd w:val="clear" w:color="auto" w:fill="FFFFFF"/>
        <w:jc w:val="both"/>
        <w:rPr>
          <w:rFonts w:ascii="Avenir Book" w:hAnsi="Avenir Book"/>
          <w:sz w:val="22"/>
          <w:szCs w:val="22"/>
        </w:rPr>
      </w:pPr>
      <w:r w:rsidRPr="00A746F2">
        <w:rPr>
          <w:rFonts w:ascii="Avenir Book" w:hAnsi="Avenir Book"/>
          <w:sz w:val="22"/>
          <w:szCs w:val="22"/>
        </w:rPr>
        <w:t xml:space="preserve">All this suggests that </w:t>
      </w:r>
      <w:r w:rsidR="000E074E">
        <w:rPr>
          <w:rFonts w:ascii="Avenir Book" w:hAnsi="Avenir Book"/>
          <w:sz w:val="22"/>
          <w:szCs w:val="22"/>
        </w:rPr>
        <w:t>the insulation</w:t>
      </w:r>
      <w:r w:rsidR="000E074E">
        <w:rPr>
          <w:rStyle w:val="EndnoteReference"/>
          <w:rFonts w:ascii="Avenir Book" w:hAnsi="Avenir Book"/>
          <w:sz w:val="22"/>
          <w:szCs w:val="22"/>
        </w:rPr>
        <w:endnoteReference w:id="80"/>
      </w:r>
      <w:r w:rsidR="000E074E">
        <w:rPr>
          <w:rFonts w:ascii="Avenir Book" w:hAnsi="Avenir Book"/>
          <w:sz w:val="22"/>
          <w:szCs w:val="22"/>
        </w:rPr>
        <w:t xml:space="preserve"> provided by the</w:t>
      </w:r>
      <w:r w:rsidRPr="00A746F2">
        <w:rPr>
          <w:rFonts w:ascii="Avenir Book" w:hAnsi="Avenir Book"/>
          <w:sz w:val="22"/>
          <w:szCs w:val="22"/>
        </w:rPr>
        <w:t xml:space="preserve"> safe harbour regime is not applicable to a provider that goes beyond its passive role of intermediary.</w:t>
      </w:r>
      <w:r w:rsidR="00851185" w:rsidRPr="00A746F2">
        <w:rPr>
          <w:rStyle w:val="EndnoteReference"/>
          <w:rFonts w:ascii="Avenir Book" w:hAnsi="Avenir Book"/>
          <w:sz w:val="22"/>
          <w:szCs w:val="22"/>
        </w:rPr>
        <w:endnoteReference w:id="81"/>
      </w:r>
      <w:r w:rsidRPr="00A746F2">
        <w:rPr>
          <w:rFonts w:ascii="Avenir Book" w:hAnsi="Avenir Book"/>
          <w:sz w:val="22"/>
          <w:szCs w:val="22"/>
        </w:rPr>
        <w:t xml:space="preserve"> This conclusion is supported by both textual references to the wording of the E-Commerce Directive and CJEU case law.</w:t>
      </w:r>
      <w:r w:rsidR="00851185" w:rsidRPr="00A746F2">
        <w:rPr>
          <w:rStyle w:val="EndnoteReference"/>
          <w:rFonts w:ascii="Avenir Book" w:eastAsia="Times New Roman" w:hAnsi="Avenir Book"/>
          <w:sz w:val="22"/>
          <w:szCs w:val="22"/>
          <w:shd w:val="clear" w:color="auto" w:fill="FFFFFF"/>
        </w:rPr>
        <w:endnoteReference w:id="82"/>
      </w:r>
      <w:r w:rsidRPr="00A746F2">
        <w:rPr>
          <w:rFonts w:ascii="Avenir Book" w:hAnsi="Avenir Book"/>
          <w:sz w:val="22"/>
          <w:szCs w:val="22"/>
        </w:rPr>
        <w:t xml:space="preserve"> Besides the general wording of Recital 42 in the preamble to the E-Commerce Directive, </w:t>
      </w:r>
      <w:r w:rsidRPr="00A746F2">
        <w:rPr>
          <w:rFonts w:ascii="Avenir Book" w:eastAsia="Times New Roman" w:hAnsi="Avenir Book"/>
          <w:sz w:val="22"/>
          <w:szCs w:val="22"/>
        </w:rPr>
        <w:t xml:space="preserve">for mere conduit and caching providers it is Recital 44 that explicitly excludes the applicability of </w:t>
      </w:r>
      <w:r w:rsidR="001034EB">
        <w:rPr>
          <w:rFonts w:ascii="Avenir Book" w:eastAsia="Times New Roman" w:hAnsi="Avenir Book"/>
          <w:sz w:val="22"/>
          <w:szCs w:val="22"/>
        </w:rPr>
        <w:t xml:space="preserve">the </w:t>
      </w:r>
      <w:r w:rsidRPr="00A746F2">
        <w:rPr>
          <w:rFonts w:ascii="Avenir Book" w:eastAsia="Times New Roman" w:hAnsi="Avenir Book"/>
          <w:sz w:val="22"/>
          <w:szCs w:val="22"/>
        </w:rPr>
        <w:t xml:space="preserve">safe harbours in case of direct infringements in collaboration with the recipients of their services. For hosting providers it is fair to assume that the same regime applies. </w:t>
      </w:r>
      <w:r w:rsidR="00851185">
        <w:rPr>
          <w:rFonts w:ascii="Avenir Book" w:eastAsia="Times New Roman" w:hAnsi="Avenir Book"/>
          <w:sz w:val="22"/>
          <w:szCs w:val="22"/>
        </w:rPr>
        <w:t>T</w:t>
      </w:r>
      <w:r w:rsidRPr="00A746F2">
        <w:rPr>
          <w:rFonts w:ascii="Avenir Book" w:eastAsia="Times New Roman" w:hAnsi="Avenir Book"/>
          <w:sz w:val="22"/>
          <w:szCs w:val="22"/>
        </w:rPr>
        <w:t>he safe harbour relates to possible liability of a</w:t>
      </w:r>
      <w:r w:rsidR="00851185">
        <w:rPr>
          <w:rFonts w:ascii="Avenir Book" w:eastAsia="Times New Roman" w:hAnsi="Avenir Book"/>
          <w:sz w:val="22"/>
          <w:szCs w:val="22"/>
        </w:rPr>
        <w:t xml:space="preserve"> hosting</w:t>
      </w:r>
      <w:r w:rsidRPr="00A746F2">
        <w:rPr>
          <w:rFonts w:ascii="Avenir Book" w:eastAsia="Times New Roman" w:hAnsi="Avenir Book"/>
          <w:sz w:val="22"/>
          <w:szCs w:val="22"/>
        </w:rPr>
        <w:t xml:space="preserve"> provider on a secondary basis for third-party infringements, not direct infringements by the provider (Recital 46 and Article 14(2)). </w:t>
      </w:r>
    </w:p>
    <w:p w14:paraId="1BAF3D0C"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0F2A7764" w14:textId="11EA93DC"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Some scholars suggest a different reading of the E-Commerce Directive (notably Recital 42) and relevant CJEU case law, holding that, on the one hand, the safe harbour regime cannot be invoked by </w:t>
      </w:r>
      <w:r w:rsidR="00711FBC">
        <w:rPr>
          <w:rFonts w:ascii="Avenir Book" w:eastAsia="Times New Roman" w:hAnsi="Avenir Book" w:cs="Times New Roman"/>
          <w:sz w:val="22"/>
          <w:szCs w:val="22"/>
        </w:rPr>
        <w:t>providers</w:t>
      </w:r>
      <w:r w:rsidRPr="00A746F2">
        <w:rPr>
          <w:rFonts w:ascii="Avenir Book" w:eastAsia="Times New Roman" w:hAnsi="Avenir Book" w:cs="Times New Roman"/>
          <w:sz w:val="22"/>
          <w:szCs w:val="22"/>
        </w:rPr>
        <w:t xml:space="preserve"> in relation to their own content (i.e. in case in which they act as editors/publishers) but, on the other hand, the safe harbour protection remains available for third-party content.</w:t>
      </w:r>
      <w:r w:rsidRPr="00A746F2">
        <w:rPr>
          <w:rStyle w:val="EndnoteReference"/>
          <w:rFonts w:ascii="Avenir Book" w:eastAsia="Times New Roman" w:hAnsi="Avenir Book" w:cs="Times New Roman"/>
          <w:sz w:val="22"/>
          <w:szCs w:val="22"/>
        </w:rPr>
        <w:endnoteReference w:id="83"/>
      </w:r>
      <w:r w:rsidRPr="00A746F2">
        <w:rPr>
          <w:rFonts w:ascii="Avenir Book" w:eastAsia="Times New Roman" w:hAnsi="Avenir Book" w:cs="Times New Roman"/>
          <w:sz w:val="22"/>
          <w:szCs w:val="22"/>
        </w:rPr>
        <w:t xml:space="preserve"> In this sense</w:t>
      </w:r>
      <w:r w:rsidR="00851185">
        <w:rPr>
          <w:rFonts w:ascii="Avenir Book" w:eastAsia="Times New Roman" w:hAnsi="Avenir Book" w:cs="Times New Roman"/>
          <w:sz w:val="22"/>
          <w:szCs w:val="22"/>
        </w:rPr>
        <w:t>, the safe harbours would apply</w:t>
      </w:r>
      <w:r w:rsidRPr="00A746F2">
        <w:rPr>
          <w:rFonts w:ascii="Avenir Book" w:eastAsia="Times New Roman" w:hAnsi="Avenir Book" w:cs="Times New Roman"/>
          <w:sz w:val="22"/>
          <w:szCs w:val="22"/>
        </w:rPr>
        <w:t xml:space="preserve"> irrespective of the form of liability.</w:t>
      </w:r>
      <w:r w:rsidRPr="00A746F2">
        <w:rPr>
          <w:rStyle w:val="EndnoteReference"/>
          <w:rFonts w:ascii="Avenir Book" w:eastAsia="Times New Roman" w:hAnsi="Avenir Book" w:cs="Times New Roman"/>
          <w:sz w:val="22"/>
          <w:szCs w:val="22"/>
        </w:rPr>
        <w:endnoteReference w:id="84"/>
      </w:r>
      <w:r w:rsidRPr="00A746F2">
        <w:rPr>
          <w:rFonts w:ascii="Avenir Book" w:eastAsia="Times New Roman" w:hAnsi="Avenir Book" w:cs="Times New Roman"/>
          <w:sz w:val="22"/>
          <w:szCs w:val="22"/>
        </w:rPr>
        <w:t xml:space="preserve"> In the present case, this position seems to be the one adopted by AG Szpunar in his Opinion.</w:t>
      </w:r>
      <w:r w:rsidRPr="00A746F2">
        <w:rPr>
          <w:rStyle w:val="EndnoteReference"/>
          <w:rFonts w:ascii="Avenir Book" w:eastAsia="Times New Roman" w:hAnsi="Avenir Book" w:cs="Times New Roman"/>
          <w:sz w:val="22"/>
          <w:szCs w:val="22"/>
        </w:rPr>
        <w:endnoteReference w:id="85"/>
      </w:r>
      <w:r w:rsidRPr="00A746F2">
        <w:rPr>
          <w:rFonts w:ascii="Avenir Book" w:eastAsia="Times New Roman" w:hAnsi="Avenir Book" w:cs="Times New Roman"/>
          <w:sz w:val="22"/>
          <w:szCs w:val="22"/>
        </w:rPr>
        <w:t xml:space="preserve"> </w:t>
      </w:r>
    </w:p>
    <w:p w14:paraId="1E748F55" w14:textId="77777777" w:rsidR="008B103B" w:rsidRPr="00A746F2" w:rsidRDefault="008B103B" w:rsidP="000B21F4">
      <w:pPr>
        <w:jc w:val="both"/>
        <w:rPr>
          <w:rFonts w:ascii="Avenir Book" w:eastAsia="Times New Roman" w:hAnsi="Avenir Book" w:cs="Times New Roman"/>
          <w:sz w:val="22"/>
          <w:szCs w:val="22"/>
        </w:rPr>
      </w:pPr>
    </w:p>
    <w:p w14:paraId="62D136A6" w14:textId="096B7F64" w:rsidR="008B103B" w:rsidRPr="00A746F2" w:rsidRDefault="00A16F31" w:rsidP="000B21F4">
      <w:pPr>
        <w:jc w:val="both"/>
        <w:rPr>
          <w:rFonts w:ascii="Avenir Book" w:eastAsia="Times New Roman" w:hAnsi="Avenir Book" w:cs="Times New Roman"/>
          <w:sz w:val="22"/>
          <w:szCs w:val="22"/>
        </w:rPr>
      </w:pPr>
      <w:r>
        <w:rPr>
          <w:rFonts w:ascii="Avenir Book" w:eastAsia="Times New Roman" w:hAnsi="Avenir Book" w:cs="Times New Roman"/>
          <w:sz w:val="22"/>
          <w:szCs w:val="22"/>
        </w:rPr>
        <w:t>Even if one regarded this interpretation as the correct one,</w:t>
      </w:r>
      <w:r w:rsidR="001034EB">
        <w:rPr>
          <w:rFonts w:ascii="Avenir Book" w:eastAsia="Times New Roman" w:hAnsi="Avenir Book" w:cs="Times New Roman"/>
          <w:sz w:val="22"/>
          <w:szCs w:val="22"/>
        </w:rPr>
        <w:t xml:space="preserve"> </w:t>
      </w:r>
      <w:r w:rsidR="008B103B" w:rsidRPr="00A746F2">
        <w:rPr>
          <w:rFonts w:ascii="Avenir Book" w:eastAsia="Times New Roman" w:hAnsi="Avenir Book" w:cs="Times New Roman"/>
          <w:sz w:val="22"/>
          <w:szCs w:val="22"/>
        </w:rPr>
        <w:t xml:space="preserve">the Court </w:t>
      </w:r>
      <w:r w:rsidR="00851185">
        <w:rPr>
          <w:rFonts w:ascii="Avenir Book" w:eastAsia="Times New Roman" w:hAnsi="Avenir Book" w:cs="Times New Roman"/>
          <w:sz w:val="22"/>
          <w:szCs w:val="22"/>
        </w:rPr>
        <w:t xml:space="preserve">seemingly </w:t>
      </w:r>
      <w:r>
        <w:rPr>
          <w:rFonts w:ascii="Avenir Book" w:eastAsia="Times New Roman" w:hAnsi="Avenir Book" w:cs="Times New Roman"/>
          <w:sz w:val="22"/>
          <w:szCs w:val="22"/>
        </w:rPr>
        <w:t>took a different direction. F</w:t>
      </w:r>
      <w:r w:rsidR="008B103B" w:rsidRPr="00A746F2">
        <w:rPr>
          <w:rFonts w:ascii="Avenir Book" w:eastAsia="Times New Roman" w:hAnsi="Avenir Book" w:cs="Times New Roman"/>
          <w:sz w:val="22"/>
          <w:szCs w:val="22"/>
        </w:rPr>
        <w:t xml:space="preserve">irst, </w:t>
      </w:r>
      <w:r>
        <w:rPr>
          <w:rFonts w:ascii="Avenir Book" w:eastAsia="Times New Roman" w:hAnsi="Avenir Book" w:cs="Times New Roman"/>
          <w:sz w:val="22"/>
          <w:szCs w:val="22"/>
        </w:rPr>
        <w:t>it omitted</w:t>
      </w:r>
      <w:r w:rsidR="008B103B" w:rsidRPr="00A746F2">
        <w:rPr>
          <w:rFonts w:ascii="Avenir Book" w:eastAsia="Times New Roman" w:hAnsi="Avenir Book" w:cs="Times New Roman"/>
          <w:sz w:val="22"/>
          <w:szCs w:val="22"/>
        </w:rPr>
        <w:t xml:space="preserve"> any reference to the E-Commerce Directive and, secondly, </w:t>
      </w:r>
      <w:r>
        <w:rPr>
          <w:rFonts w:ascii="Avenir Book" w:eastAsia="Times New Roman" w:hAnsi="Avenir Book" w:cs="Times New Roman"/>
          <w:sz w:val="22"/>
          <w:szCs w:val="22"/>
        </w:rPr>
        <w:t>went beyond AG Szpunar as far as the hypotheses of liability are concerned</w:t>
      </w:r>
      <w:r w:rsidR="008B103B" w:rsidRPr="00A746F2">
        <w:rPr>
          <w:rFonts w:ascii="Avenir Book" w:eastAsia="Times New Roman" w:hAnsi="Avenir Book" w:cs="Times New Roman"/>
          <w:sz w:val="22"/>
          <w:szCs w:val="22"/>
        </w:rPr>
        <w:t xml:space="preserve">. Lack of references to the E-commerce Directive may suggest, on the one hand, </w:t>
      </w:r>
      <w:r>
        <w:rPr>
          <w:rFonts w:ascii="Avenir Book" w:eastAsia="Times New Roman" w:hAnsi="Avenir Book" w:cs="Times New Roman"/>
          <w:sz w:val="22"/>
          <w:szCs w:val="22"/>
        </w:rPr>
        <w:t>that</w:t>
      </w:r>
      <w:r w:rsidRPr="00A746F2">
        <w:rPr>
          <w:rFonts w:ascii="Avenir Book" w:eastAsia="Times New Roman" w:hAnsi="Avenir Book" w:cs="Times New Roman"/>
          <w:sz w:val="22"/>
          <w:szCs w:val="22"/>
        </w:rPr>
        <w:t xml:space="preserve"> </w:t>
      </w:r>
      <w:r w:rsidR="008B103B" w:rsidRPr="00A746F2">
        <w:rPr>
          <w:rFonts w:ascii="Avenir Book" w:eastAsia="Times New Roman" w:hAnsi="Avenir Book" w:cs="Times New Roman"/>
          <w:sz w:val="22"/>
          <w:szCs w:val="22"/>
        </w:rPr>
        <w:t xml:space="preserve">the exemptions/limitations from liability envisaged in the latter would not be applicable in case of primary infringement by platform operators and, on the other hand, </w:t>
      </w:r>
      <w:r>
        <w:rPr>
          <w:rFonts w:ascii="Avenir Book" w:eastAsia="Times New Roman" w:hAnsi="Avenir Book" w:cs="Times New Roman"/>
          <w:sz w:val="22"/>
          <w:szCs w:val="22"/>
        </w:rPr>
        <w:t>that</w:t>
      </w:r>
      <w:r w:rsidR="008B103B" w:rsidRPr="00A746F2">
        <w:rPr>
          <w:rFonts w:ascii="Avenir Book" w:eastAsia="Times New Roman" w:hAnsi="Avenir Book" w:cs="Times New Roman"/>
          <w:sz w:val="22"/>
          <w:szCs w:val="22"/>
        </w:rPr>
        <w:t xml:space="preserve"> the CJEU did not deem this problematic.</w:t>
      </w:r>
    </w:p>
    <w:p w14:paraId="367ADAC5" w14:textId="77777777" w:rsidR="008B103B" w:rsidRPr="00A746F2" w:rsidRDefault="008B103B" w:rsidP="000B21F4">
      <w:pPr>
        <w:jc w:val="both"/>
        <w:rPr>
          <w:rFonts w:ascii="Avenir Book" w:eastAsia="Times New Roman" w:hAnsi="Avenir Book" w:cs="Times New Roman"/>
          <w:sz w:val="22"/>
          <w:szCs w:val="22"/>
        </w:rPr>
      </w:pPr>
    </w:p>
    <w:p w14:paraId="3B88B13F" w14:textId="21EA1A5C"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rPr>
        <w:t xml:space="preserve">As explained, in fact, the CJEU excluded that liability for unauthorized acts of communication to the public would only arise in case of actual knowledge. The Court held that liability would also arise in case of constructive knowledge and – potentially – also in cases in which knowledge is presumed in a </w:t>
      </w:r>
      <w:r w:rsidRPr="00A746F2">
        <w:rPr>
          <w:rFonts w:ascii="Avenir Book" w:eastAsia="Times New Roman" w:hAnsi="Avenir Book" w:cs="Times New Roman"/>
          <w:i/>
          <w:sz w:val="22"/>
          <w:szCs w:val="22"/>
        </w:rPr>
        <w:t>GS Media</w:t>
      </w:r>
      <w:r w:rsidRPr="00A746F2">
        <w:rPr>
          <w:rFonts w:ascii="Avenir Book" w:eastAsia="Times New Roman" w:hAnsi="Avenir Book" w:cs="Times New Roman"/>
          <w:sz w:val="22"/>
          <w:szCs w:val="22"/>
        </w:rPr>
        <w:t xml:space="preserve"> sense, i.e. when the platform at issue is operated for profit. In the latter scenario on</w:t>
      </w:r>
      <w:r w:rsidR="00BD096F">
        <w:rPr>
          <w:rFonts w:ascii="Avenir Book" w:eastAsia="Times New Roman" w:hAnsi="Avenir Book" w:cs="Times New Roman"/>
          <w:sz w:val="22"/>
          <w:szCs w:val="22"/>
        </w:rPr>
        <w:t>e</w:t>
      </w:r>
      <w:r w:rsidRPr="00A746F2">
        <w:rPr>
          <w:rFonts w:ascii="Avenir Book" w:eastAsia="Times New Roman" w:hAnsi="Avenir Book" w:cs="Times New Roman"/>
          <w:sz w:val="22"/>
          <w:szCs w:val="22"/>
        </w:rPr>
        <w:t xml:space="preserve"> might wonder to what extent there might be the risk, highlighted by Advocate General Szpunar in his Opinion, that a presumption of knowledge and, hence, </w:t>
      </w:r>
      <w:r w:rsidRPr="00A746F2">
        <w:rPr>
          <w:rFonts w:ascii="Avenir Book" w:eastAsia="Times New Roman" w:hAnsi="Avenir Book" w:cs="Times New Roman"/>
          <w:i/>
          <w:sz w:val="22"/>
          <w:szCs w:val="22"/>
        </w:rPr>
        <w:t>prima facie</w:t>
      </w:r>
      <w:r w:rsidRPr="00A746F2">
        <w:rPr>
          <w:rFonts w:ascii="Avenir Book" w:eastAsia="Times New Roman" w:hAnsi="Avenir Book" w:cs="Times New Roman"/>
          <w:sz w:val="22"/>
          <w:szCs w:val="22"/>
        </w:rPr>
        <w:t xml:space="preserve"> liability would result in “imposing on </w:t>
      </w:r>
      <w:r w:rsidRPr="00A746F2">
        <w:rPr>
          <w:rFonts w:ascii="Avenir Book" w:eastAsia="Times New Roman" w:hAnsi="Avenir Book" w:cs="Times New Roman"/>
          <w:sz w:val="22"/>
          <w:szCs w:val="22"/>
          <w:shd w:val="clear" w:color="auto" w:fill="FFFFFF"/>
        </w:rPr>
        <w:t>operators of indexing sites of peer-to-peer networks, which normally operate for profit, a general obligation to monitor the indexed content.”</w:t>
      </w:r>
      <w:r w:rsidRPr="00A746F2">
        <w:rPr>
          <w:rStyle w:val="EndnoteReference"/>
          <w:rFonts w:ascii="Avenir Book" w:eastAsia="Times New Roman" w:hAnsi="Avenir Book" w:cs="Times New Roman"/>
          <w:sz w:val="22"/>
          <w:szCs w:val="22"/>
          <w:shd w:val="clear" w:color="auto" w:fill="FFFFFF"/>
        </w:rPr>
        <w:endnoteReference w:id="86"/>
      </w:r>
      <w:r w:rsidRPr="00A746F2">
        <w:rPr>
          <w:rFonts w:ascii="Avenir Book" w:eastAsia="Times New Roman" w:hAnsi="Avenir Book" w:cs="Times New Roman"/>
          <w:sz w:val="22"/>
          <w:szCs w:val="22"/>
          <w:shd w:val="clear" w:color="auto" w:fill="FFFFFF"/>
        </w:rPr>
        <w:t xml:space="preserve"> </w:t>
      </w:r>
    </w:p>
    <w:p w14:paraId="797CC965"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5A843C7C" w14:textId="7964163E"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shd w:val="clear" w:color="auto" w:fill="FFFFFF"/>
        </w:rPr>
        <w:t xml:space="preserve">In its most recent decision in this regard, </w:t>
      </w:r>
      <w:r w:rsidRPr="00A746F2">
        <w:rPr>
          <w:rFonts w:ascii="Avenir Book" w:eastAsia="Times New Roman" w:hAnsi="Avenir Book" w:cs="Times New Roman"/>
          <w:i/>
          <w:sz w:val="22"/>
          <w:szCs w:val="22"/>
          <w:shd w:val="clear" w:color="auto" w:fill="FFFFFF"/>
        </w:rPr>
        <w:t>Mc Fadden</w:t>
      </w:r>
      <w:r w:rsidRPr="00A746F2">
        <w:rPr>
          <w:rFonts w:ascii="Avenir Book" w:eastAsia="Times New Roman" w:hAnsi="Avenir Book" w:cs="Times New Roman"/>
          <w:sz w:val="22"/>
          <w:szCs w:val="22"/>
          <w:shd w:val="clear" w:color="auto" w:fill="FFFFFF"/>
        </w:rPr>
        <w:t>, the CJEU confirmed that a measure that would consist of monitoring all of the information transmitted” must be excluded from the outset as contrary to Article 15(1) of Directive 2000/31”.</w:t>
      </w:r>
      <w:r w:rsidRPr="00A746F2">
        <w:rPr>
          <w:rStyle w:val="EndnoteReference"/>
          <w:rFonts w:ascii="Avenir Book" w:eastAsia="Times New Roman" w:hAnsi="Avenir Book" w:cs="Times New Roman"/>
          <w:sz w:val="22"/>
          <w:szCs w:val="22"/>
          <w:shd w:val="clear" w:color="auto" w:fill="FFFFFF"/>
        </w:rPr>
        <w:endnoteReference w:id="87"/>
      </w:r>
      <w:r w:rsidRPr="00A746F2">
        <w:rPr>
          <w:rFonts w:ascii="Avenir Book" w:eastAsia="Times New Roman" w:hAnsi="Avenir Book" w:cs="Times New Roman"/>
          <w:sz w:val="22"/>
          <w:szCs w:val="22"/>
          <w:shd w:val="clear" w:color="auto" w:fill="FFFFFF"/>
        </w:rPr>
        <w:t xml:space="preserve"> This conclusion is in line with the seminal decision in </w:t>
      </w:r>
      <w:r w:rsidRPr="00A746F2">
        <w:rPr>
          <w:rFonts w:ascii="Avenir Book" w:eastAsia="Times New Roman" w:hAnsi="Avenir Book" w:cs="Times New Roman"/>
          <w:i/>
          <w:sz w:val="22"/>
          <w:szCs w:val="22"/>
          <w:shd w:val="clear" w:color="auto" w:fill="FFFFFF"/>
        </w:rPr>
        <w:t>eBay.</w:t>
      </w:r>
      <w:r w:rsidRPr="00A746F2">
        <w:rPr>
          <w:rStyle w:val="EndnoteReference"/>
          <w:rFonts w:ascii="Avenir Book" w:eastAsia="Times New Roman" w:hAnsi="Avenir Book" w:cs="Times New Roman"/>
          <w:sz w:val="22"/>
          <w:szCs w:val="22"/>
          <w:shd w:val="clear" w:color="auto" w:fill="FFFFFF"/>
        </w:rPr>
        <w:endnoteReference w:id="88"/>
      </w:r>
    </w:p>
    <w:p w14:paraId="4211DD2D" w14:textId="77777777" w:rsidR="008B103B" w:rsidRPr="00A746F2" w:rsidRDefault="008B103B" w:rsidP="000B21F4">
      <w:pPr>
        <w:jc w:val="both"/>
        <w:rPr>
          <w:rFonts w:ascii="Avenir Book" w:eastAsia="Times New Roman" w:hAnsi="Avenir Book" w:cs="Times New Roman"/>
          <w:sz w:val="22"/>
          <w:szCs w:val="22"/>
          <w:shd w:val="clear" w:color="auto" w:fill="FFFFFF"/>
        </w:rPr>
      </w:pPr>
    </w:p>
    <w:p w14:paraId="351A571E" w14:textId="26FCC966" w:rsidR="008B103B" w:rsidRPr="00A746F2" w:rsidRDefault="008B103B" w:rsidP="000B21F4">
      <w:pPr>
        <w:jc w:val="both"/>
        <w:rPr>
          <w:rFonts w:ascii="Avenir Book" w:eastAsia="Times New Roman" w:hAnsi="Avenir Book" w:cs="Times New Roman"/>
          <w:sz w:val="22"/>
          <w:szCs w:val="22"/>
          <w:shd w:val="clear" w:color="auto" w:fill="FFFFFF"/>
        </w:rPr>
      </w:pPr>
      <w:r w:rsidRPr="00A746F2">
        <w:rPr>
          <w:rFonts w:ascii="Avenir Book" w:eastAsia="Times New Roman" w:hAnsi="Avenir Book" w:cs="Times New Roman"/>
          <w:sz w:val="22"/>
          <w:szCs w:val="22"/>
          <w:shd w:val="clear" w:color="auto" w:fill="FFFFFF"/>
        </w:rPr>
        <w:t xml:space="preserve">Further clarity on this point </w:t>
      </w:r>
      <w:r w:rsidR="00915E40">
        <w:rPr>
          <w:rFonts w:ascii="Avenir Book" w:eastAsia="Times New Roman" w:hAnsi="Avenir Book" w:cs="Times New Roman"/>
          <w:sz w:val="22"/>
          <w:szCs w:val="22"/>
          <w:shd w:val="clear" w:color="auto" w:fill="FFFFFF"/>
        </w:rPr>
        <w:t>may be</w:t>
      </w:r>
      <w:r w:rsidRPr="00A746F2">
        <w:rPr>
          <w:rFonts w:ascii="Avenir Book" w:eastAsia="Times New Roman" w:hAnsi="Avenir Book" w:cs="Times New Roman"/>
          <w:sz w:val="22"/>
          <w:szCs w:val="22"/>
          <w:shd w:val="clear" w:color="auto" w:fill="FFFFFF"/>
        </w:rPr>
        <w:t xml:space="preserve"> </w:t>
      </w:r>
      <w:r w:rsidR="00915E40">
        <w:rPr>
          <w:rFonts w:ascii="Avenir Book" w:eastAsia="Times New Roman" w:hAnsi="Avenir Book" w:cs="Times New Roman"/>
          <w:sz w:val="22"/>
          <w:szCs w:val="22"/>
          <w:shd w:val="clear" w:color="auto" w:fill="FFFFFF"/>
        </w:rPr>
        <w:t>required</w:t>
      </w:r>
      <w:r w:rsidRPr="00A746F2">
        <w:rPr>
          <w:rFonts w:ascii="Avenir Book" w:eastAsia="Times New Roman" w:hAnsi="Avenir Book" w:cs="Times New Roman"/>
          <w:sz w:val="22"/>
          <w:szCs w:val="22"/>
          <w:shd w:val="clear" w:color="auto" w:fill="FFFFFF"/>
        </w:rPr>
        <w:t xml:space="preserve">. A possible solution </w:t>
      </w:r>
      <w:r w:rsidR="00851185">
        <w:rPr>
          <w:rFonts w:ascii="Avenir Book" w:eastAsia="Times New Roman" w:hAnsi="Avenir Book" w:cs="Times New Roman"/>
          <w:sz w:val="22"/>
          <w:szCs w:val="22"/>
          <w:shd w:val="clear" w:color="auto" w:fill="FFFFFF"/>
        </w:rPr>
        <w:t>may</w:t>
      </w:r>
      <w:r w:rsidRPr="00A746F2">
        <w:rPr>
          <w:rFonts w:ascii="Avenir Book" w:eastAsia="Times New Roman" w:hAnsi="Avenir Book" w:cs="Times New Roman"/>
          <w:sz w:val="22"/>
          <w:szCs w:val="22"/>
          <w:shd w:val="clear" w:color="auto" w:fill="FFFFFF"/>
        </w:rPr>
        <w:t xml:space="preserve"> be however to interpret the </w:t>
      </w:r>
      <w:r w:rsidRPr="00A746F2">
        <w:rPr>
          <w:rFonts w:ascii="Avenir Book" w:hAnsi="Avenir Book" w:cs="Times New Roman"/>
          <w:bCs/>
          <w:sz w:val="22"/>
          <w:szCs w:val="22"/>
        </w:rPr>
        <w:t xml:space="preserve">presumption imposed by the CJEU in </w:t>
      </w:r>
      <w:r w:rsidRPr="00A746F2">
        <w:rPr>
          <w:rFonts w:ascii="Avenir Book" w:hAnsi="Avenir Book" w:cs="Times New Roman"/>
          <w:bCs/>
          <w:i/>
          <w:sz w:val="22"/>
          <w:szCs w:val="22"/>
        </w:rPr>
        <w:t>GS Media</w:t>
      </w:r>
      <w:r w:rsidRPr="00A746F2">
        <w:rPr>
          <w:rFonts w:ascii="Avenir Book" w:hAnsi="Avenir Book" w:cs="Times New Roman"/>
          <w:bCs/>
          <w:sz w:val="22"/>
          <w:szCs w:val="22"/>
        </w:rPr>
        <w:t xml:space="preserve"> as part of a broader obligation to conform to the behaviour of the ‘diligent economic operator’. In this sense, operators of platforms with a profit-making intention </w:t>
      </w:r>
      <w:r w:rsidRPr="00A746F2">
        <w:rPr>
          <w:rFonts w:ascii="Avenir Book" w:eastAsia="Times New Roman" w:hAnsi="Avenir Book" w:cs="Times New Roman"/>
          <w:sz w:val="22"/>
          <w:szCs w:val="22"/>
          <w:shd w:val="clear" w:color="auto" w:fill="FFFFFF"/>
        </w:rPr>
        <w:t xml:space="preserve">would have an </w:t>
      </w:r>
      <w:r w:rsidRPr="00A746F2">
        <w:rPr>
          <w:rFonts w:ascii="Avenir Book" w:eastAsia="Times New Roman" w:hAnsi="Avenir Book" w:cs="Times New Roman"/>
          <w:i/>
          <w:sz w:val="22"/>
          <w:szCs w:val="22"/>
          <w:shd w:val="clear" w:color="auto" w:fill="FFFFFF"/>
        </w:rPr>
        <w:t>ex ante</w:t>
      </w:r>
      <w:r w:rsidRPr="00A746F2">
        <w:rPr>
          <w:rFonts w:ascii="Avenir Book" w:eastAsia="Times New Roman" w:hAnsi="Avenir Book" w:cs="Times New Roman"/>
          <w:sz w:val="22"/>
          <w:szCs w:val="22"/>
          <w:shd w:val="clear" w:color="auto" w:fill="FFFFFF"/>
        </w:rPr>
        <w:t xml:space="preserve"> reasonable duty of care and be subject to an </w:t>
      </w:r>
      <w:r w:rsidRPr="00A746F2">
        <w:rPr>
          <w:rFonts w:ascii="Avenir Book" w:eastAsia="Times New Roman" w:hAnsi="Avenir Book" w:cs="Times New Roman"/>
          <w:i/>
          <w:sz w:val="22"/>
          <w:szCs w:val="22"/>
          <w:shd w:val="clear" w:color="auto" w:fill="FFFFFF"/>
        </w:rPr>
        <w:t>ex post</w:t>
      </w:r>
      <w:r w:rsidRPr="00A746F2">
        <w:rPr>
          <w:rFonts w:ascii="Avenir Book" w:eastAsia="Times New Roman" w:hAnsi="Avenir Book" w:cs="Times New Roman"/>
          <w:sz w:val="22"/>
          <w:szCs w:val="22"/>
          <w:shd w:val="clear" w:color="auto" w:fill="FFFFFF"/>
        </w:rPr>
        <w:t xml:space="preserve"> notice-and-takedown system</w:t>
      </w:r>
      <w:r w:rsidRPr="00A746F2">
        <w:rPr>
          <w:rStyle w:val="EndnoteReference"/>
          <w:rFonts w:ascii="Avenir Book" w:eastAsia="Times New Roman" w:hAnsi="Avenir Book" w:cs="Times New Roman"/>
          <w:sz w:val="22"/>
          <w:szCs w:val="22"/>
          <w:shd w:val="clear" w:color="auto" w:fill="FFFFFF"/>
        </w:rPr>
        <w:endnoteReference w:id="89"/>
      </w:r>
      <w:r w:rsidRPr="00A746F2">
        <w:rPr>
          <w:rFonts w:ascii="Avenir Book" w:eastAsia="Times New Roman" w:hAnsi="Avenir Book" w:cs="Times New Roman"/>
          <w:sz w:val="22"/>
          <w:szCs w:val="22"/>
          <w:shd w:val="clear" w:color="auto" w:fill="FFFFFF"/>
        </w:rPr>
        <w:t>, which would also include an obligation to prevent infringements of the same kind, e.g. by means of re-uploads of the same content.</w:t>
      </w:r>
      <w:r w:rsidRPr="00A746F2">
        <w:rPr>
          <w:rStyle w:val="EndnoteReference"/>
          <w:rFonts w:ascii="Avenir Book" w:eastAsia="Times New Roman" w:hAnsi="Avenir Book" w:cs="Times New Roman"/>
          <w:sz w:val="22"/>
          <w:szCs w:val="22"/>
          <w:shd w:val="clear" w:color="auto" w:fill="FFFFFF"/>
        </w:rPr>
        <w:endnoteReference w:id="90"/>
      </w:r>
      <w:r w:rsidRPr="00A746F2">
        <w:rPr>
          <w:rFonts w:ascii="Avenir Book" w:eastAsia="Times New Roman" w:hAnsi="Avenir Book" w:cs="Times New Roman"/>
          <w:sz w:val="22"/>
          <w:szCs w:val="22"/>
          <w:shd w:val="clear" w:color="auto" w:fill="FFFFFF"/>
        </w:rPr>
        <w:t xml:space="preserve">  </w:t>
      </w:r>
    </w:p>
    <w:p w14:paraId="1B721398" w14:textId="5CFB162B" w:rsidR="008B103B" w:rsidRDefault="008B103B" w:rsidP="000B21F4">
      <w:pPr>
        <w:jc w:val="both"/>
        <w:rPr>
          <w:rFonts w:ascii="Avenir Book" w:eastAsia="Times New Roman" w:hAnsi="Avenir Book" w:cs="Times New Roman"/>
          <w:sz w:val="22"/>
          <w:szCs w:val="22"/>
        </w:rPr>
      </w:pPr>
    </w:p>
    <w:p w14:paraId="55B780AA" w14:textId="77777777" w:rsidR="00A324C8" w:rsidRPr="00A746F2" w:rsidRDefault="00A324C8" w:rsidP="000B21F4">
      <w:pPr>
        <w:jc w:val="both"/>
        <w:rPr>
          <w:rFonts w:ascii="Avenir Book" w:eastAsia="Times New Roman" w:hAnsi="Avenir Book" w:cs="Times New Roman"/>
          <w:sz w:val="22"/>
          <w:szCs w:val="22"/>
        </w:rPr>
      </w:pPr>
    </w:p>
    <w:p w14:paraId="3AABC9BF" w14:textId="2107281D" w:rsidR="008B103B" w:rsidRPr="00A746F2" w:rsidRDefault="008B103B" w:rsidP="000B21F4">
      <w:pPr>
        <w:pStyle w:val="Heading2"/>
        <w:pBdr>
          <w:bottom w:val="single" w:sz="4" w:space="1" w:color="auto"/>
        </w:pBdr>
        <w:spacing w:before="0"/>
        <w:rPr>
          <w:rFonts w:ascii="Avenir Book" w:hAnsi="Avenir Book"/>
          <w:color w:val="auto"/>
          <w:sz w:val="22"/>
          <w:szCs w:val="22"/>
        </w:rPr>
      </w:pPr>
      <w:bookmarkStart w:id="11" w:name="_Toc361053690"/>
      <w:r w:rsidRPr="00A746F2">
        <w:rPr>
          <w:rFonts w:ascii="Avenir Book" w:hAnsi="Avenir Book"/>
          <w:color w:val="auto"/>
          <w:sz w:val="22"/>
          <w:szCs w:val="22"/>
        </w:rPr>
        <w:t>3.3. The ‘value gap proposal’</w:t>
      </w:r>
      <w:bookmarkEnd w:id="11"/>
    </w:p>
    <w:p w14:paraId="6B6788A3" w14:textId="77777777" w:rsidR="008B103B" w:rsidRPr="00A746F2" w:rsidRDefault="008B103B" w:rsidP="000B21F4">
      <w:pPr>
        <w:jc w:val="both"/>
        <w:rPr>
          <w:rFonts w:ascii="Avenir Book" w:eastAsia="Times New Roman" w:hAnsi="Avenir Book" w:cs="Times New Roman"/>
          <w:sz w:val="22"/>
          <w:szCs w:val="22"/>
        </w:rPr>
      </w:pPr>
    </w:p>
    <w:p w14:paraId="3754D122" w14:textId="7A794EDD" w:rsidR="008B103B" w:rsidRPr="00A746F2" w:rsidRDefault="008B103B" w:rsidP="000B21F4">
      <w:pPr>
        <w:jc w:val="both"/>
        <w:rPr>
          <w:rFonts w:ascii="Avenir Book" w:hAnsi="Avenir Book" w:cs="Times New Roman"/>
          <w:bCs/>
          <w:sz w:val="22"/>
          <w:szCs w:val="22"/>
          <w:lang w:val="en-GB"/>
        </w:rPr>
      </w:pPr>
      <w:r w:rsidRPr="00A746F2">
        <w:rPr>
          <w:rFonts w:ascii="Avenir Book" w:eastAsia="Times New Roman" w:hAnsi="Avenir Book" w:cs="Times New Roman"/>
          <w:sz w:val="22"/>
          <w:szCs w:val="22"/>
        </w:rPr>
        <w:t>Within the framework of its Digital Single Market Strategy, as first unveiled in mid-2015</w:t>
      </w:r>
      <w:r w:rsidRPr="00A746F2">
        <w:rPr>
          <w:rStyle w:val="EndnoteReference"/>
          <w:rFonts w:ascii="Avenir Book" w:eastAsia="Times New Roman" w:hAnsi="Avenir Book" w:cs="Times New Roman"/>
          <w:sz w:val="22"/>
          <w:szCs w:val="22"/>
        </w:rPr>
        <w:endnoteReference w:id="91"/>
      </w:r>
      <w:r w:rsidRPr="00A746F2">
        <w:rPr>
          <w:rFonts w:ascii="Avenir Book" w:eastAsia="Times New Roman" w:hAnsi="Avenir Book" w:cs="Times New Roman"/>
          <w:sz w:val="22"/>
          <w:szCs w:val="22"/>
        </w:rPr>
        <w:t xml:space="preserve">, in the final part of 2016 the European Commission issued a </w:t>
      </w:r>
      <w:r w:rsidRPr="00A746F2">
        <w:rPr>
          <w:rFonts w:ascii="Avenir Book" w:hAnsi="Avenir Book" w:cs="Times New Roman"/>
          <w:bCs/>
          <w:sz w:val="22"/>
          <w:szCs w:val="22"/>
          <w:lang w:val="en-GB"/>
        </w:rPr>
        <w:t>proposal for a directive on copyright in the Digital Single Market.</w:t>
      </w:r>
    </w:p>
    <w:p w14:paraId="187017BA" w14:textId="77777777" w:rsidR="008B103B" w:rsidRPr="00A746F2" w:rsidRDefault="008B103B" w:rsidP="000B21F4">
      <w:pPr>
        <w:jc w:val="both"/>
        <w:rPr>
          <w:rFonts w:ascii="Avenir Book" w:hAnsi="Avenir Book" w:cs="Times New Roman"/>
          <w:bCs/>
          <w:sz w:val="22"/>
          <w:szCs w:val="22"/>
          <w:lang w:val="en-GB"/>
        </w:rPr>
      </w:pPr>
    </w:p>
    <w:p w14:paraId="301C3081" w14:textId="1FB0E481" w:rsidR="008B103B" w:rsidRPr="00A746F2" w:rsidRDefault="008B103B" w:rsidP="000B21F4">
      <w:pPr>
        <w:jc w:val="both"/>
        <w:rPr>
          <w:rFonts w:ascii="Avenir Book" w:eastAsia="Times New Roman" w:hAnsi="Avenir Book" w:cs="Times New Roman"/>
          <w:sz w:val="22"/>
          <w:szCs w:val="22"/>
        </w:rPr>
      </w:pPr>
      <w:r w:rsidRPr="00A746F2">
        <w:rPr>
          <w:rFonts w:ascii="Avenir Book" w:hAnsi="Avenir Book" w:cs="Times New Roman"/>
          <w:bCs/>
          <w:sz w:val="22"/>
          <w:szCs w:val="22"/>
          <w:lang w:val="en-GB"/>
        </w:rPr>
        <w:t>The draft DSM Directive includes a provision intended to remedy what has come to be known as ‘value gap’. The</w:t>
      </w:r>
      <w:r w:rsidRPr="00A746F2">
        <w:rPr>
          <w:rFonts w:ascii="Avenir Book" w:eastAsia="Times New Roman" w:hAnsi="Avenir Book" w:cs="Times New Roman"/>
          <w:sz w:val="22"/>
          <w:szCs w:val="22"/>
        </w:rPr>
        <w:t xml:space="preserve"> underlying idea is that the EU liability regime for hosting providers envisaged by Article 14 of the E-commerce Directive would be invoked and applied also in situations in which the relevant c</w:t>
      </w:r>
      <w:r w:rsidR="00B5560B">
        <w:rPr>
          <w:rFonts w:ascii="Avenir Book" w:eastAsia="Times New Roman" w:hAnsi="Avenir Book" w:cs="Times New Roman"/>
          <w:sz w:val="22"/>
          <w:szCs w:val="22"/>
        </w:rPr>
        <w:t>onditions would not be met, i.e.</w:t>
      </w:r>
      <w:r w:rsidRPr="00A746F2">
        <w:rPr>
          <w:rFonts w:ascii="Avenir Book" w:eastAsia="Times New Roman" w:hAnsi="Avenir Book" w:cs="Times New Roman"/>
          <w:sz w:val="22"/>
          <w:szCs w:val="22"/>
        </w:rPr>
        <w:t xml:space="preserve"> in the case of hosting providers that are not merely passive. This would make it difficult – if not impossible – for copyright holders to conclude licensing agreements (whether </w:t>
      </w:r>
      <w:r w:rsidRPr="00A746F2">
        <w:rPr>
          <w:rFonts w:ascii="Avenir Book" w:eastAsia="Times New Roman" w:hAnsi="Avenir Book" w:cs="Times New Roman"/>
          <w:i/>
          <w:sz w:val="22"/>
          <w:szCs w:val="22"/>
        </w:rPr>
        <w:t>tout court</w:t>
      </w:r>
      <w:r w:rsidRPr="00A746F2">
        <w:rPr>
          <w:rFonts w:ascii="Avenir Book" w:eastAsia="Times New Roman" w:hAnsi="Avenir Book" w:cs="Times New Roman"/>
          <w:sz w:val="22"/>
          <w:szCs w:val="22"/>
        </w:rPr>
        <w:t xml:space="preserve"> or with appropriate remuneration clauses) with relevant hosting providers.</w:t>
      </w:r>
      <w:r w:rsidRPr="00A746F2">
        <w:rPr>
          <w:rStyle w:val="EndnoteReference"/>
          <w:rFonts w:ascii="Avenir Book" w:eastAsia="Times New Roman" w:hAnsi="Avenir Book" w:cs="Times New Roman"/>
          <w:sz w:val="22"/>
          <w:szCs w:val="22"/>
        </w:rPr>
        <w:endnoteReference w:id="92"/>
      </w:r>
    </w:p>
    <w:p w14:paraId="447D9137" w14:textId="77777777" w:rsidR="008B103B" w:rsidRPr="00A746F2" w:rsidRDefault="008B103B" w:rsidP="000B21F4">
      <w:pPr>
        <w:jc w:val="both"/>
        <w:rPr>
          <w:rFonts w:ascii="Avenir Book" w:eastAsia="Times New Roman" w:hAnsi="Avenir Book" w:cs="Times New Roman"/>
          <w:sz w:val="22"/>
          <w:szCs w:val="22"/>
        </w:rPr>
      </w:pPr>
    </w:p>
    <w:p w14:paraId="2038C858" w14:textId="7A1BA90F"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Entitled </w:t>
      </w:r>
      <w:r w:rsidRPr="00A746F2">
        <w:rPr>
          <w:rFonts w:ascii="Avenir Book" w:eastAsia="Times New Roman" w:hAnsi="Avenir Book" w:cs="Times New Roman"/>
          <w:bCs/>
          <w:sz w:val="22"/>
          <w:szCs w:val="22"/>
          <w:shd w:val="clear" w:color="auto" w:fill="F8F9FA"/>
        </w:rPr>
        <w:t>‘</w:t>
      </w:r>
      <w:r w:rsidRPr="00A746F2">
        <w:rPr>
          <w:rFonts w:ascii="Avenir Book" w:eastAsia="Times New Roman" w:hAnsi="Avenir Book" w:cs="Times New Roman"/>
          <w:sz w:val="22"/>
          <w:szCs w:val="22"/>
        </w:rPr>
        <w:t>Use of protected content by information society service providers storing and giving access to large amounts of works and other subject-matter uploaded by their users</w:t>
      </w:r>
      <w:r w:rsidRPr="00A746F2">
        <w:rPr>
          <w:rFonts w:ascii="Avenir Book" w:eastAsia="Times New Roman" w:hAnsi="Avenir Book" w:cs="Times New Roman"/>
          <w:bCs/>
          <w:sz w:val="22"/>
          <w:szCs w:val="22"/>
          <w:shd w:val="clear" w:color="auto" w:fill="F8F9FA"/>
        </w:rPr>
        <w:t>’</w:t>
      </w:r>
      <w:r w:rsidRPr="00A746F2">
        <w:rPr>
          <w:rFonts w:ascii="Avenir Book" w:eastAsia="Times New Roman" w:hAnsi="Avenir Book" w:cs="Times New Roman"/>
          <w:sz w:val="22"/>
          <w:szCs w:val="22"/>
        </w:rPr>
        <w:t>, Article 13 of the proposed DSM Directive provides that:</w:t>
      </w:r>
    </w:p>
    <w:p w14:paraId="3D6A97E2" w14:textId="77777777" w:rsidR="008B103B" w:rsidRPr="00A746F2" w:rsidRDefault="008B103B" w:rsidP="000B21F4">
      <w:pPr>
        <w:jc w:val="both"/>
        <w:rPr>
          <w:rFonts w:ascii="Avenir Book" w:eastAsia="Times New Roman" w:hAnsi="Avenir Book" w:cs="Times New Roman"/>
          <w:sz w:val="22"/>
          <w:szCs w:val="22"/>
        </w:rPr>
      </w:pPr>
    </w:p>
    <w:p w14:paraId="3D51909E" w14:textId="77777777" w:rsidR="008B103B" w:rsidRPr="00A746F2" w:rsidRDefault="008B103B" w:rsidP="000B21F4">
      <w:pPr>
        <w:pStyle w:val="ListParagraph"/>
        <w:numPr>
          <w:ilvl w:val="0"/>
          <w:numId w:val="8"/>
        </w:numPr>
        <w:pBdr>
          <w:bottom w:val="none" w:sz="0" w:space="0" w:color="auto"/>
        </w:pBdr>
        <w:rPr>
          <w:rFonts w:eastAsia="Times New Roman"/>
          <w:b w:val="0"/>
          <w:color w:val="auto"/>
        </w:rPr>
      </w:pPr>
      <w:r w:rsidRPr="00A746F2">
        <w:rPr>
          <w:rFonts w:eastAsia="Times New Roman"/>
          <w:b w:val="0"/>
          <w:color w:val="auto"/>
        </w:rPr>
        <w:t xml:space="preserve">Information society service providers that store and provide to the public access to large amounts of works or other subject-matter uploaded by their users shall, 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 shall provide rightholders with adequate information on the functioning and the deployment of the measures, as well as, when relevant, adequate reporting on the recognition and use of the works and other subject-matter. </w:t>
      </w:r>
    </w:p>
    <w:p w14:paraId="7D25DD3A" w14:textId="77777777" w:rsidR="008B103B" w:rsidRPr="00A746F2" w:rsidRDefault="008B103B" w:rsidP="000B21F4">
      <w:pPr>
        <w:pStyle w:val="ListParagraph"/>
        <w:numPr>
          <w:ilvl w:val="0"/>
          <w:numId w:val="8"/>
        </w:numPr>
        <w:pBdr>
          <w:bottom w:val="none" w:sz="0" w:space="0" w:color="auto"/>
        </w:pBdr>
        <w:rPr>
          <w:rFonts w:eastAsia="Times New Roman"/>
          <w:b w:val="0"/>
          <w:color w:val="auto"/>
        </w:rPr>
      </w:pPr>
      <w:r w:rsidRPr="00A746F2">
        <w:rPr>
          <w:rFonts w:eastAsia="Times New Roman"/>
          <w:b w:val="0"/>
          <w:color w:val="auto"/>
        </w:rPr>
        <w:t xml:space="preserve">Member States shall ensure that the service providers referred to in paragraph 1 put in place complaints and redress mechanisms that are available to users in case of disputes over the application of the measures referred to in paragraph 1. </w:t>
      </w:r>
    </w:p>
    <w:p w14:paraId="30A5067D" w14:textId="77777777" w:rsidR="008B103B" w:rsidRPr="00A746F2" w:rsidRDefault="008B103B" w:rsidP="000B21F4">
      <w:pPr>
        <w:pStyle w:val="ListParagraph"/>
        <w:numPr>
          <w:ilvl w:val="0"/>
          <w:numId w:val="8"/>
        </w:numPr>
        <w:pBdr>
          <w:bottom w:val="none" w:sz="0" w:space="0" w:color="auto"/>
        </w:pBdr>
        <w:rPr>
          <w:rFonts w:eastAsia="Times New Roman"/>
          <w:b w:val="0"/>
          <w:color w:val="auto"/>
        </w:rPr>
      </w:pPr>
      <w:r w:rsidRPr="00A746F2">
        <w:rPr>
          <w:rFonts w:eastAsia="Times New Roman"/>
          <w:b w:val="0"/>
          <w:color w:val="auto"/>
        </w:rPr>
        <w:t>Member States shall facilitate, where appropriate, the cooperation between the information society service providers and rightholders through stakeholder dialogues to define best practices, such as appropriate and proportionate content recognition technologies, taking into account, among others, the nature of the services, the availability of the technologies and their effectiveness in light of technological developments.</w:t>
      </w:r>
    </w:p>
    <w:p w14:paraId="45F6AC2C" w14:textId="77777777" w:rsidR="008B103B" w:rsidRPr="00A746F2" w:rsidRDefault="008B103B" w:rsidP="000B21F4">
      <w:pPr>
        <w:jc w:val="both"/>
        <w:rPr>
          <w:rFonts w:ascii="Avenir Book" w:eastAsia="Times New Roman" w:hAnsi="Avenir Book" w:cs="Times New Roman"/>
          <w:sz w:val="22"/>
          <w:szCs w:val="22"/>
        </w:rPr>
      </w:pPr>
    </w:p>
    <w:p w14:paraId="51787FDE" w14:textId="29DD17E3"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Read in combination with Recital 38 in the preamble to the proposed directive</w:t>
      </w:r>
      <w:r w:rsidRPr="00A746F2">
        <w:rPr>
          <w:rStyle w:val="EndnoteReference"/>
          <w:rFonts w:ascii="Avenir Book" w:eastAsia="Times New Roman" w:hAnsi="Avenir Book" w:cs="Times New Roman"/>
          <w:sz w:val="22"/>
          <w:szCs w:val="22"/>
        </w:rPr>
        <w:endnoteReference w:id="93"/>
      </w:r>
      <w:r w:rsidRPr="00A746F2">
        <w:rPr>
          <w:rFonts w:ascii="Avenir Book" w:eastAsia="Times New Roman" w:hAnsi="Avenir Book" w:cs="Times New Roman"/>
          <w:sz w:val="22"/>
          <w:szCs w:val="22"/>
        </w:rPr>
        <w:t>, what the so called ‘value gap proposal’ envisages is that, where a hosting provider stores and provides public access to large amounts of user-uploaded works</w:t>
      </w:r>
      <w:r w:rsidRPr="00A746F2">
        <w:rPr>
          <w:rStyle w:val="EndnoteReference"/>
          <w:rFonts w:ascii="Avenir Book" w:eastAsia="Times New Roman" w:hAnsi="Avenir Book" w:cs="Times New Roman"/>
          <w:sz w:val="22"/>
          <w:szCs w:val="22"/>
        </w:rPr>
        <w:endnoteReference w:id="94"/>
      </w:r>
      <w:r w:rsidRPr="00A746F2">
        <w:rPr>
          <w:rFonts w:ascii="Avenir Book" w:eastAsia="Times New Roman" w:hAnsi="Avenir Book" w:cs="Times New Roman"/>
          <w:sz w:val="22"/>
          <w:szCs w:val="22"/>
        </w:rPr>
        <w:t>, thereby performing an act of communication to the public within the meaning of Article 3(1) of the InfoSoc Directive, it is obliged to conclude a licensing agreement with the relevant rightholder(s), unless it is eligible for the application of the safe harbour pursuant to Article 14 of the E-commerce Directive. Irrespective of whether the safe harbour in Article 14 of the E-commerce Directive applies, the provider</w:t>
      </w:r>
      <w:r w:rsidR="00BD096F">
        <w:rPr>
          <w:rFonts w:ascii="Avenir Book" w:eastAsia="Times New Roman" w:hAnsi="Avenir Book" w:cs="Times New Roman"/>
          <w:sz w:val="22"/>
          <w:szCs w:val="22"/>
        </w:rPr>
        <w:t xml:space="preserve"> that provides access to large amounts of works</w:t>
      </w:r>
      <w:r w:rsidRPr="00A746F2">
        <w:rPr>
          <w:rFonts w:ascii="Avenir Book" w:eastAsia="Times New Roman" w:hAnsi="Avenir Book" w:cs="Times New Roman"/>
          <w:sz w:val="22"/>
          <w:szCs w:val="22"/>
        </w:rPr>
        <w:t xml:space="preserve"> should take appropriate and proportionate measures to ensure protection of works or other subject-matter, such as implementing effective technologies. </w:t>
      </w:r>
    </w:p>
    <w:p w14:paraId="16CE4D2E" w14:textId="77777777" w:rsidR="008B103B" w:rsidRPr="00A746F2" w:rsidRDefault="008B103B" w:rsidP="000B21F4">
      <w:pPr>
        <w:jc w:val="both"/>
        <w:rPr>
          <w:rFonts w:ascii="Avenir Book" w:eastAsia="Times New Roman" w:hAnsi="Avenir Book" w:cs="Times New Roman"/>
          <w:sz w:val="22"/>
          <w:szCs w:val="22"/>
        </w:rPr>
      </w:pPr>
    </w:p>
    <w:p w14:paraId="037395E9" w14:textId="7EB6B72D"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As clarified by Recital 38, to determine the applicability of the safe harbour protection in Article 14 of the E-commerce Directive, </w:t>
      </w:r>
      <w:r w:rsidRPr="00A746F2">
        <w:rPr>
          <w:rFonts w:ascii="Avenir Book" w:eastAsia="Times New Roman" w:hAnsi="Avenir Book" w:cs="Times New Roman"/>
          <w:bCs/>
          <w:sz w:val="22"/>
          <w:szCs w:val="22"/>
          <w:shd w:val="clear" w:color="auto" w:fill="F8F9FA"/>
        </w:rPr>
        <w:t>“</w:t>
      </w:r>
      <w:r w:rsidRPr="00A746F2">
        <w:rPr>
          <w:rFonts w:ascii="Avenir Book" w:eastAsia="Times New Roman" w:hAnsi="Avenir Book" w:cs="Times New Roman"/>
          <w:sz w:val="22"/>
          <w:szCs w:val="22"/>
        </w:rPr>
        <w:t>it is necessary to verify whether the service provider plays an active role, including by optimizing the presentation of the uploaded works or subject-matter or promoting them, irrespective of the nature of the means used therefor.</w:t>
      </w:r>
      <w:r w:rsidRPr="00A746F2">
        <w:rPr>
          <w:rFonts w:ascii="Avenir Book" w:eastAsia="Times New Roman" w:hAnsi="Avenir Book" w:cs="Times New Roman"/>
          <w:bCs/>
          <w:sz w:val="22"/>
          <w:szCs w:val="22"/>
          <w:shd w:val="clear" w:color="auto" w:fill="F8F9FA"/>
        </w:rPr>
        <w:t>”</w:t>
      </w:r>
      <w:r w:rsidRPr="00A746F2">
        <w:rPr>
          <w:rFonts w:ascii="Avenir Book" w:eastAsia="Times New Roman" w:hAnsi="Avenir Book" w:cs="Times New Roman"/>
          <w:sz w:val="22"/>
          <w:szCs w:val="22"/>
        </w:rPr>
        <w:t xml:space="preserve"> Such wording suggests that even the use of automatic optimization techniques, e</w:t>
      </w:r>
      <w:r w:rsidR="006248DC">
        <w:rPr>
          <w:rFonts w:ascii="Avenir Book" w:eastAsia="Times New Roman" w:hAnsi="Avenir Book" w:cs="Times New Roman"/>
          <w:sz w:val="22"/>
          <w:szCs w:val="22"/>
        </w:rPr>
        <w:t>.</w:t>
      </w:r>
      <w:r w:rsidRPr="00A746F2">
        <w:rPr>
          <w:rFonts w:ascii="Avenir Book" w:eastAsia="Times New Roman" w:hAnsi="Avenir Book" w:cs="Times New Roman"/>
          <w:sz w:val="22"/>
          <w:szCs w:val="22"/>
        </w:rPr>
        <w:t>g</w:t>
      </w:r>
      <w:r w:rsidR="006248DC">
        <w:rPr>
          <w:rFonts w:ascii="Avenir Book" w:eastAsia="Times New Roman" w:hAnsi="Avenir Book" w:cs="Times New Roman"/>
          <w:sz w:val="22"/>
          <w:szCs w:val="22"/>
        </w:rPr>
        <w:t>.</w:t>
      </w:r>
      <w:r w:rsidRPr="00A746F2">
        <w:rPr>
          <w:rFonts w:ascii="Avenir Book" w:eastAsia="Times New Roman" w:hAnsi="Avenir Book" w:cs="Times New Roman"/>
          <w:sz w:val="22"/>
          <w:szCs w:val="22"/>
        </w:rPr>
        <w:t xml:space="preserve"> algorithmic optimization, would be sufficient to remove the safe harbour protection within Article 14 of the E-Commerce Directive.</w:t>
      </w:r>
    </w:p>
    <w:p w14:paraId="044AC7F7" w14:textId="77777777" w:rsidR="008B103B" w:rsidRPr="00A746F2" w:rsidRDefault="008B103B" w:rsidP="000B21F4">
      <w:pPr>
        <w:jc w:val="both"/>
        <w:rPr>
          <w:rFonts w:ascii="Avenir Book" w:eastAsia="Times New Roman" w:hAnsi="Avenir Book" w:cs="Times New Roman"/>
          <w:sz w:val="22"/>
          <w:szCs w:val="22"/>
        </w:rPr>
      </w:pPr>
    </w:p>
    <w:p w14:paraId="459EFEF7" w14:textId="552A1596"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The European Commission’s value gap proposal has been discussed at length in academic circles, particularly with reference to the relationship between the proposal and existing EU legislation (notably the E-Commerce Directive). </w:t>
      </w:r>
    </w:p>
    <w:p w14:paraId="7083488B" w14:textId="77777777" w:rsidR="008B103B" w:rsidRPr="00A746F2" w:rsidRDefault="008B103B" w:rsidP="000B21F4">
      <w:pPr>
        <w:jc w:val="both"/>
        <w:rPr>
          <w:rFonts w:ascii="Avenir Book" w:eastAsia="Times New Roman" w:hAnsi="Avenir Book" w:cs="Times New Roman"/>
          <w:sz w:val="22"/>
          <w:szCs w:val="22"/>
        </w:rPr>
      </w:pPr>
    </w:p>
    <w:p w14:paraId="2C63AF5A" w14:textId="5905B3D8"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A crucial and relatively overlooked aspect of the proposal relates to one of its basic </w:t>
      </w:r>
      <w:r w:rsidR="006248DC">
        <w:rPr>
          <w:rFonts w:ascii="Avenir Book" w:eastAsia="Times New Roman" w:hAnsi="Avenir Book" w:cs="Times New Roman"/>
          <w:sz w:val="22"/>
          <w:szCs w:val="22"/>
        </w:rPr>
        <w:t>concepts</w:t>
      </w:r>
      <w:r w:rsidRPr="00A746F2">
        <w:rPr>
          <w:rFonts w:ascii="Avenir Book" w:eastAsia="Times New Roman" w:hAnsi="Avenir Book" w:cs="Times New Roman"/>
          <w:sz w:val="22"/>
          <w:szCs w:val="22"/>
        </w:rPr>
        <w:t>, this being when and in what sense a hosting provider is deemed to perform an act of communication to the public. The proposed directive does not include a definition of what is to be regarded as an act of communication, and Recital 38 laconically states that hosting providers would make an act of communication to the public for the purpose of Article 13 in that, by storing and providing access to user-uploaded content, they would go beyond the mere provision of physical facilities.</w:t>
      </w:r>
    </w:p>
    <w:p w14:paraId="3EAA726B" w14:textId="77777777" w:rsidR="008B103B" w:rsidRPr="00A746F2" w:rsidRDefault="008B103B" w:rsidP="000B21F4">
      <w:pPr>
        <w:jc w:val="both"/>
        <w:rPr>
          <w:rFonts w:ascii="Avenir Book" w:eastAsia="Times New Roman" w:hAnsi="Avenir Book" w:cs="Times New Roman"/>
          <w:sz w:val="22"/>
          <w:szCs w:val="22"/>
        </w:rPr>
      </w:pPr>
    </w:p>
    <w:p w14:paraId="3B367A20" w14:textId="1A7F2285"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Although the rationale underlying the European Commission’s proposal </w:t>
      </w:r>
      <w:r w:rsidR="00BB3E87">
        <w:rPr>
          <w:rFonts w:ascii="Avenir Book" w:eastAsia="Times New Roman" w:hAnsi="Avenir Book" w:cs="Times New Roman"/>
          <w:sz w:val="22"/>
          <w:szCs w:val="22"/>
        </w:rPr>
        <w:t>seems rooted within</w:t>
      </w:r>
      <w:r w:rsidRPr="00A746F2">
        <w:rPr>
          <w:rFonts w:ascii="Avenir Book" w:eastAsia="Times New Roman" w:hAnsi="Avenir Book" w:cs="Times New Roman"/>
          <w:sz w:val="22"/>
          <w:szCs w:val="22"/>
        </w:rPr>
        <w:t xml:space="preserve"> earlier CJEU case law, the </w:t>
      </w:r>
      <w:r w:rsidRPr="00A746F2">
        <w:rPr>
          <w:rFonts w:ascii="Avenir Book" w:eastAsia="Times New Roman" w:hAnsi="Avenir Book" w:cs="Times New Roman"/>
          <w:i/>
          <w:sz w:val="22"/>
          <w:szCs w:val="22"/>
        </w:rPr>
        <w:t>Pirate Bay</w:t>
      </w:r>
      <w:r w:rsidRPr="00A746F2">
        <w:rPr>
          <w:rFonts w:ascii="Avenir Book" w:eastAsia="Times New Roman" w:hAnsi="Avenir Book" w:cs="Times New Roman"/>
          <w:sz w:val="22"/>
          <w:szCs w:val="22"/>
        </w:rPr>
        <w:t xml:space="preserve"> decision has definitely aligned case law to policy action, and might have even gone </w:t>
      </w:r>
      <w:r w:rsidR="006248DC">
        <w:rPr>
          <w:rFonts w:ascii="Avenir Book" w:eastAsia="Times New Roman" w:hAnsi="Avenir Book" w:cs="Times New Roman"/>
          <w:sz w:val="22"/>
          <w:szCs w:val="22"/>
        </w:rPr>
        <w:t>further than</w:t>
      </w:r>
      <w:r w:rsidRPr="00A746F2">
        <w:rPr>
          <w:rFonts w:ascii="Avenir Book" w:eastAsia="Times New Roman" w:hAnsi="Avenir Book" w:cs="Times New Roman"/>
          <w:sz w:val="22"/>
          <w:szCs w:val="22"/>
        </w:rPr>
        <w:t xml:space="preserve"> the latter. </w:t>
      </w:r>
    </w:p>
    <w:p w14:paraId="4CB7AC90" w14:textId="77777777" w:rsidR="008B103B" w:rsidRPr="00A746F2" w:rsidRDefault="008B103B" w:rsidP="000B21F4">
      <w:pPr>
        <w:jc w:val="both"/>
        <w:rPr>
          <w:rFonts w:ascii="Avenir Book" w:eastAsia="Times New Roman" w:hAnsi="Avenir Book" w:cs="Times New Roman"/>
          <w:sz w:val="22"/>
          <w:szCs w:val="22"/>
        </w:rPr>
      </w:pPr>
    </w:p>
    <w:p w14:paraId="09DCD317" w14:textId="08E44D45" w:rsidR="008B103B"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The European Commission’s proposal states in fact </w:t>
      </w:r>
      <w:r w:rsidR="0053777A">
        <w:rPr>
          <w:rFonts w:ascii="Avenir Book" w:eastAsia="Times New Roman" w:hAnsi="Avenir Book" w:cs="Times New Roman"/>
          <w:sz w:val="22"/>
          <w:szCs w:val="22"/>
        </w:rPr>
        <w:t xml:space="preserve">(Recital 38) </w:t>
      </w:r>
      <w:r w:rsidRPr="00A746F2">
        <w:rPr>
          <w:rFonts w:ascii="Avenir Book" w:eastAsia="Times New Roman" w:hAnsi="Avenir Book" w:cs="Times New Roman"/>
          <w:sz w:val="22"/>
          <w:szCs w:val="22"/>
        </w:rPr>
        <w:t xml:space="preserve">that the obligation of a hosting provider to conclude an agreement with relevant rightholders would not arise in cases in which Article 14 of the E-commerce Directive applies. Further to the </w:t>
      </w:r>
      <w:r w:rsidRPr="00A746F2">
        <w:rPr>
          <w:rFonts w:ascii="Avenir Book" w:eastAsia="Times New Roman" w:hAnsi="Avenir Book" w:cs="Times New Roman"/>
          <w:i/>
          <w:sz w:val="22"/>
          <w:szCs w:val="22"/>
        </w:rPr>
        <w:t xml:space="preserve">Pirate Bay </w:t>
      </w:r>
      <w:r w:rsidRPr="00A746F2">
        <w:rPr>
          <w:rFonts w:ascii="Avenir Book" w:eastAsia="Times New Roman" w:hAnsi="Avenir Book" w:cs="Times New Roman"/>
          <w:sz w:val="22"/>
          <w:szCs w:val="22"/>
        </w:rPr>
        <w:t xml:space="preserve">decision this limitation might not have reason to exist: in fact, in a situation in which the operators of a platform are directly responsible for unauthorized acts of communication to the public, the safe harbour within Article of the E-commerce Directive </w:t>
      </w:r>
      <w:r w:rsidR="0053777A">
        <w:rPr>
          <w:rFonts w:ascii="Avenir Book" w:eastAsia="Times New Roman" w:hAnsi="Avenir Book" w:cs="Times New Roman"/>
          <w:sz w:val="22"/>
          <w:szCs w:val="22"/>
        </w:rPr>
        <w:t>would be arguably inapplicable</w:t>
      </w:r>
      <w:r w:rsidRPr="00A746F2">
        <w:rPr>
          <w:rFonts w:ascii="Avenir Book" w:eastAsia="Times New Roman" w:hAnsi="Avenir Book" w:cs="Times New Roman"/>
          <w:sz w:val="22"/>
          <w:szCs w:val="22"/>
        </w:rPr>
        <w:t xml:space="preserve">. </w:t>
      </w:r>
    </w:p>
    <w:p w14:paraId="00D7802B" w14:textId="77777777" w:rsidR="008B103B" w:rsidRPr="00A746F2" w:rsidRDefault="008B103B" w:rsidP="000B21F4">
      <w:pPr>
        <w:jc w:val="both"/>
        <w:rPr>
          <w:rFonts w:ascii="Avenir Book" w:eastAsia="Times New Roman" w:hAnsi="Avenir Book" w:cs="Times New Roman"/>
          <w:sz w:val="22"/>
          <w:szCs w:val="22"/>
        </w:rPr>
      </w:pPr>
    </w:p>
    <w:p w14:paraId="1B899CFD" w14:textId="0E8264A1" w:rsidR="00A74F7D" w:rsidRPr="00A746F2" w:rsidRDefault="008B103B" w:rsidP="000B21F4">
      <w:pPr>
        <w:jc w:val="both"/>
        <w:rPr>
          <w:rFonts w:ascii="Avenir Book" w:eastAsia="Times New Roman" w:hAnsi="Avenir Book" w:cs="Times New Roman"/>
          <w:sz w:val="22"/>
          <w:szCs w:val="22"/>
        </w:rPr>
      </w:pPr>
      <w:r w:rsidRPr="00A746F2">
        <w:rPr>
          <w:rFonts w:ascii="Avenir Book" w:eastAsia="Times New Roman" w:hAnsi="Avenir Book" w:cs="Times New Roman"/>
          <w:sz w:val="22"/>
          <w:szCs w:val="22"/>
        </w:rPr>
        <w:t xml:space="preserve">If this reading was correct, then the consequences of the </w:t>
      </w:r>
      <w:r w:rsidRPr="00A746F2">
        <w:rPr>
          <w:rFonts w:ascii="Avenir Book" w:eastAsia="Times New Roman" w:hAnsi="Avenir Book" w:cs="Times New Roman"/>
          <w:i/>
          <w:sz w:val="22"/>
          <w:szCs w:val="22"/>
        </w:rPr>
        <w:t>Pirate Bay</w:t>
      </w:r>
      <w:r w:rsidRPr="00A746F2">
        <w:rPr>
          <w:rFonts w:ascii="Avenir Book" w:eastAsia="Times New Roman" w:hAnsi="Avenir Book" w:cs="Times New Roman"/>
          <w:sz w:val="22"/>
          <w:szCs w:val="22"/>
        </w:rPr>
        <w:t xml:space="preserve"> decision would be more far-reaching than what the European Commission </w:t>
      </w:r>
      <w:r w:rsidR="00B92FF2">
        <w:rPr>
          <w:rFonts w:ascii="Avenir Book" w:eastAsia="Times New Roman" w:hAnsi="Avenir Book" w:cs="Times New Roman"/>
          <w:sz w:val="22"/>
          <w:szCs w:val="22"/>
        </w:rPr>
        <w:t xml:space="preserve">envisaged and </w:t>
      </w:r>
      <w:r w:rsidRPr="00A746F2">
        <w:rPr>
          <w:rFonts w:ascii="Avenir Book" w:eastAsia="Times New Roman" w:hAnsi="Avenir Book" w:cs="Times New Roman"/>
          <w:sz w:val="22"/>
          <w:szCs w:val="22"/>
        </w:rPr>
        <w:t>proposed in its draft Article 13: a hosting provider whose activities fall within the scope of Article 3(1) of the InfoSoc Directive would be always obliged to conclude licensing agreements with relevant rightholders.</w:t>
      </w:r>
      <w:r w:rsidRPr="00A746F2">
        <w:rPr>
          <w:rStyle w:val="EndnoteReference"/>
          <w:rFonts w:ascii="Avenir Book" w:eastAsia="Times New Roman" w:hAnsi="Avenir Book" w:cs="Times New Roman"/>
          <w:sz w:val="22"/>
          <w:szCs w:val="22"/>
        </w:rPr>
        <w:endnoteReference w:id="95"/>
      </w:r>
      <w:r w:rsidRPr="00A746F2">
        <w:rPr>
          <w:rFonts w:ascii="Avenir Book" w:eastAsia="Times New Roman" w:hAnsi="Avenir Book" w:cs="Times New Roman"/>
          <w:sz w:val="22"/>
          <w:szCs w:val="22"/>
        </w:rPr>
        <w:t xml:space="preserve"> </w:t>
      </w:r>
    </w:p>
    <w:p w14:paraId="6CA3BD7B" w14:textId="77777777" w:rsidR="002157F3" w:rsidRPr="00A746F2" w:rsidRDefault="002157F3" w:rsidP="000B21F4">
      <w:pPr>
        <w:jc w:val="both"/>
        <w:rPr>
          <w:rFonts w:ascii="Avenir Book" w:eastAsia="Times New Roman" w:hAnsi="Avenir Book" w:cs="Times New Roman"/>
          <w:sz w:val="22"/>
          <w:szCs w:val="22"/>
        </w:rPr>
      </w:pPr>
    </w:p>
    <w:p w14:paraId="7BCFD564" w14:textId="77777777" w:rsidR="00A324C8" w:rsidRPr="00A746F2" w:rsidRDefault="00A324C8" w:rsidP="000B21F4">
      <w:pPr>
        <w:jc w:val="both"/>
        <w:rPr>
          <w:rFonts w:ascii="Avenir Book" w:eastAsia="Times New Roman" w:hAnsi="Avenir Book" w:cs="Times New Roman"/>
          <w:sz w:val="22"/>
          <w:szCs w:val="22"/>
        </w:rPr>
      </w:pPr>
    </w:p>
    <w:p w14:paraId="6EB20731" w14:textId="77777777" w:rsidR="008C69E6" w:rsidRPr="00A746F2" w:rsidRDefault="008C69E6" w:rsidP="000B21F4">
      <w:pPr>
        <w:pStyle w:val="Heading1"/>
        <w:pBdr>
          <w:bottom w:val="single" w:sz="4" w:space="1" w:color="auto"/>
        </w:pBdr>
        <w:spacing w:before="0"/>
        <w:rPr>
          <w:rFonts w:ascii="Avenir Book" w:hAnsi="Avenir Book"/>
          <w:color w:val="auto"/>
          <w:sz w:val="22"/>
          <w:szCs w:val="22"/>
        </w:rPr>
      </w:pPr>
      <w:bookmarkStart w:id="12" w:name="_Toc361053691"/>
      <w:r w:rsidRPr="00A746F2">
        <w:rPr>
          <w:rFonts w:ascii="Avenir Book" w:hAnsi="Avenir Book"/>
          <w:color w:val="auto"/>
          <w:sz w:val="22"/>
          <w:szCs w:val="22"/>
        </w:rPr>
        <w:t>Findings</w:t>
      </w:r>
      <w:bookmarkEnd w:id="12"/>
    </w:p>
    <w:p w14:paraId="362F3E66" w14:textId="77777777" w:rsidR="00BD15F6" w:rsidRPr="00A746F2" w:rsidRDefault="00BD15F6" w:rsidP="000B21F4">
      <w:pPr>
        <w:jc w:val="both"/>
        <w:rPr>
          <w:rFonts w:ascii="Avenir Book" w:hAnsi="Avenir Book" w:cs="Times New Roman"/>
          <w:b/>
          <w:sz w:val="22"/>
          <w:szCs w:val="22"/>
        </w:rPr>
      </w:pPr>
    </w:p>
    <w:p w14:paraId="4A30B74D" w14:textId="3E20F0FE" w:rsidR="004405F8" w:rsidRPr="00A746F2" w:rsidRDefault="001F2C38" w:rsidP="000B21F4">
      <w:pPr>
        <w:jc w:val="both"/>
        <w:rPr>
          <w:rFonts w:ascii="Avenir Book" w:hAnsi="Avenir Book" w:cs="Times New Roman"/>
          <w:sz w:val="22"/>
          <w:szCs w:val="22"/>
        </w:rPr>
      </w:pPr>
      <w:r w:rsidRPr="00A746F2">
        <w:rPr>
          <w:rFonts w:ascii="Avenir Book" w:hAnsi="Avenir Book" w:cs="Times New Roman"/>
          <w:sz w:val="22"/>
          <w:szCs w:val="22"/>
        </w:rPr>
        <w:t xml:space="preserve">With its </w:t>
      </w:r>
      <w:r w:rsidRPr="00A746F2">
        <w:rPr>
          <w:rFonts w:ascii="Avenir Book" w:hAnsi="Avenir Book" w:cs="Times New Roman"/>
          <w:i/>
          <w:sz w:val="22"/>
          <w:szCs w:val="22"/>
        </w:rPr>
        <w:t>Pirate Bay</w:t>
      </w:r>
      <w:r w:rsidRPr="00A746F2">
        <w:rPr>
          <w:rFonts w:ascii="Avenir Book" w:hAnsi="Avenir Book" w:cs="Times New Roman"/>
          <w:sz w:val="22"/>
          <w:szCs w:val="22"/>
        </w:rPr>
        <w:t xml:space="preserve"> decision the CJEU has not only clarified further </w:t>
      </w:r>
      <w:r w:rsidRPr="00A746F2">
        <w:rPr>
          <w:rFonts w:ascii="Avenir Book" w:hAnsi="Avenir Book" w:cs="Times New Roman"/>
          <w:i/>
          <w:sz w:val="22"/>
          <w:szCs w:val="22"/>
        </w:rPr>
        <w:t>what</w:t>
      </w:r>
      <w:r w:rsidRPr="00A746F2">
        <w:rPr>
          <w:rFonts w:ascii="Avenir Book" w:hAnsi="Avenir Book" w:cs="Times New Roman"/>
          <w:sz w:val="22"/>
          <w:szCs w:val="22"/>
        </w:rPr>
        <w:t xml:space="preserve"> amounts to an act of communication to the public within Article 3(1) of the InfoSoc Directive, but also </w:t>
      </w:r>
      <w:r w:rsidRPr="00A746F2">
        <w:rPr>
          <w:rFonts w:ascii="Avenir Book" w:hAnsi="Avenir Book" w:cs="Times New Roman"/>
          <w:i/>
          <w:sz w:val="22"/>
          <w:szCs w:val="22"/>
        </w:rPr>
        <w:t>who</w:t>
      </w:r>
      <w:r w:rsidRPr="00A746F2">
        <w:rPr>
          <w:rFonts w:ascii="Avenir Book" w:hAnsi="Avenir Book" w:cs="Times New Roman"/>
          <w:sz w:val="22"/>
          <w:szCs w:val="22"/>
        </w:rPr>
        <w:t xml:space="preserve"> is responsible for it. To</w:t>
      </w:r>
      <w:r w:rsidR="004405F8" w:rsidRPr="00A746F2">
        <w:rPr>
          <w:rFonts w:ascii="Avenir Book" w:hAnsi="Avenir Book" w:cs="Times New Roman"/>
          <w:sz w:val="22"/>
          <w:szCs w:val="22"/>
        </w:rPr>
        <w:t xml:space="preserve"> achieve this result, the Court: first, excluded that activities consisting of indexing, categorizing, filtering and deleting relevant files containing copyright content could be regarded as aki</w:t>
      </w:r>
      <w:r w:rsidR="0071072D" w:rsidRPr="00A746F2">
        <w:rPr>
          <w:rFonts w:ascii="Avenir Book" w:hAnsi="Avenir Book" w:cs="Times New Roman"/>
          <w:sz w:val="22"/>
          <w:szCs w:val="22"/>
        </w:rPr>
        <w:t>n to the mere provision</w:t>
      </w:r>
      <w:r w:rsidR="004405F8" w:rsidRPr="00A746F2">
        <w:rPr>
          <w:rFonts w:ascii="Avenir Book" w:hAnsi="Avenir Book" w:cs="Times New Roman"/>
          <w:sz w:val="22"/>
          <w:szCs w:val="22"/>
        </w:rPr>
        <w:t xml:space="preserve"> of physical facilities; and, secondly, relied on the </w:t>
      </w:r>
      <w:r w:rsidRPr="00A746F2">
        <w:rPr>
          <w:rFonts w:ascii="Avenir Book" w:hAnsi="Avenir Book" w:cs="Times New Roman"/>
          <w:sz w:val="22"/>
          <w:szCs w:val="22"/>
        </w:rPr>
        <w:t>notion of ‘indispe</w:t>
      </w:r>
      <w:r w:rsidR="004405F8" w:rsidRPr="00A746F2">
        <w:rPr>
          <w:rFonts w:ascii="Avenir Book" w:hAnsi="Avenir Book" w:cs="Times New Roman"/>
          <w:sz w:val="22"/>
          <w:szCs w:val="22"/>
        </w:rPr>
        <w:t xml:space="preserve">nsable intervention’ to conclude that operators of an online platform </w:t>
      </w:r>
      <w:r w:rsidR="006248DC">
        <w:rPr>
          <w:rFonts w:ascii="Avenir Book" w:hAnsi="Avenir Book" w:cs="Times New Roman"/>
          <w:sz w:val="22"/>
          <w:szCs w:val="22"/>
        </w:rPr>
        <w:t>with</w:t>
      </w:r>
      <w:r w:rsidR="004405F8" w:rsidRPr="00A746F2">
        <w:rPr>
          <w:rFonts w:ascii="Avenir Book" w:hAnsi="Avenir Book" w:cs="Times New Roman"/>
          <w:sz w:val="22"/>
          <w:szCs w:val="22"/>
        </w:rPr>
        <w:t xml:space="preserve"> full knowledge of the consequences of their action could be regarded as primarily liable for unauthorized acts of communication to the public.</w:t>
      </w:r>
    </w:p>
    <w:p w14:paraId="7DD6BB93" w14:textId="77777777" w:rsidR="001F2C38" w:rsidRPr="00A746F2" w:rsidRDefault="001F2C38" w:rsidP="000B21F4">
      <w:pPr>
        <w:jc w:val="both"/>
        <w:rPr>
          <w:rFonts w:ascii="Avenir Book" w:hAnsi="Avenir Book" w:cs="Times New Roman"/>
          <w:sz w:val="22"/>
          <w:szCs w:val="22"/>
        </w:rPr>
      </w:pPr>
    </w:p>
    <w:p w14:paraId="35354C55" w14:textId="5EE100E5" w:rsidR="004405F8" w:rsidRPr="00A746F2" w:rsidRDefault="00AB49D1" w:rsidP="000B21F4">
      <w:pPr>
        <w:jc w:val="both"/>
        <w:rPr>
          <w:rFonts w:ascii="Avenir Book" w:hAnsi="Avenir Book" w:cs="Times New Roman"/>
          <w:sz w:val="22"/>
          <w:szCs w:val="22"/>
        </w:rPr>
      </w:pPr>
      <w:r w:rsidRPr="00A746F2">
        <w:rPr>
          <w:rFonts w:ascii="Avenir Book" w:hAnsi="Avenir Book" w:cs="Times New Roman"/>
          <w:sz w:val="22"/>
          <w:szCs w:val="22"/>
        </w:rPr>
        <w:t>Partly d</w:t>
      </w:r>
      <w:r w:rsidR="001F2C38" w:rsidRPr="00A746F2">
        <w:rPr>
          <w:rFonts w:ascii="Avenir Book" w:hAnsi="Avenir Book" w:cs="Times New Roman"/>
          <w:sz w:val="22"/>
          <w:szCs w:val="22"/>
        </w:rPr>
        <w:t>istancing itself from the Opinion of AG Szpunar, the Court also dismissed the idea that potential liability under Article 3(1) would be limited to situations in which the operators of an online platform are actually aware of third-party infringements, e.g. because notified to this end by relevant rightholders. The decision</w:t>
      </w:r>
      <w:r w:rsidR="004405F8" w:rsidRPr="00A746F2">
        <w:rPr>
          <w:rFonts w:ascii="Avenir Book" w:hAnsi="Avenir Book" w:cs="Times New Roman"/>
          <w:sz w:val="22"/>
          <w:szCs w:val="22"/>
        </w:rPr>
        <w:t>, instead,</w:t>
      </w:r>
      <w:r w:rsidR="001F2C38" w:rsidRPr="00A746F2">
        <w:rPr>
          <w:rFonts w:ascii="Avenir Book" w:hAnsi="Avenir Book" w:cs="Times New Roman"/>
          <w:sz w:val="22"/>
          <w:szCs w:val="22"/>
        </w:rPr>
        <w:t xml:space="preserve"> includes </w:t>
      </w:r>
      <w:r w:rsidR="004405F8" w:rsidRPr="00A746F2">
        <w:rPr>
          <w:rFonts w:ascii="Avenir Book" w:hAnsi="Avenir Book" w:cs="Times New Roman"/>
          <w:sz w:val="22"/>
          <w:szCs w:val="22"/>
        </w:rPr>
        <w:t>among</w:t>
      </w:r>
      <w:r w:rsidR="001F2C38" w:rsidRPr="00A746F2">
        <w:rPr>
          <w:rFonts w:ascii="Avenir Book" w:hAnsi="Avenir Book" w:cs="Times New Roman"/>
          <w:sz w:val="22"/>
          <w:szCs w:val="22"/>
        </w:rPr>
        <w:t xml:space="preserve"> the hypotheses of responsibility also situations in which the platform operators </w:t>
      </w:r>
      <w:r w:rsidR="00732D66">
        <w:rPr>
          <w:rFonts w:ascii="Avenir Book" w:hAnsi="Avenir Book" w:cs="Times New Roman"/>
          <w:sz w:val="22"/>
          <w:szCs w:val="22"/>
        </w:rPr>
        <w:t>have</w:t>
      </w:r>
      <w:r w:rsidR="001F2C38" w:rsidRPr="00A746F2">
        <w:rPr>
          <w:rFonts w:ascii="Avenir Book" w:hAnsi="Avenir Book" w:cs="Times New Roman"/>
          <w:sz w:val="22"/>
          <w:szCs w:val="22"/>
        </w:rPr>
        <w:t xml:space="preserve"> constructive knowledge of third-party infringements. </w:t>
      </w:r>
    </w:p>
    <w:p w14:paraId="100378AE" w14:textId="77777777" w:rsidR="004405F8" w:rsidRPr="00A746F2" w:rsidRDefault="004405F8" w:rsidP="000B21F4">
      <w:pPr>
        <w:jc w:val="both"/>
        <w:rPr>
          <w:rFonts w:ascii="Avenir Book" w:hAnsi="Avenir Book" w:cs="Times New Roman"/>
          <w:sz w:val="22"/>
          <w:szCs w:val="22"/>
        </w:rPr>
      </w:pPr>
    </w:p>
    <w:p w14:paraId="3CF70DA4" w14:textId="603AFB6F" w:rsidR="001F2C38" w:rsidRPr="00A746F2" w:rsidRDefault="001F2C38" w:rsidP="000B21F4">
      <w:pPr>
        <w:jc w:val="both"/>
        <w:rPr>
          <w:rFonts w:ascii="Avenir Book" w:hAnsi="Avenir Book" w:cs="Times New Roman"/>
          <w:sz w:val="22"/>
          <w:szCs w:val="22"/>
        </w:rPr>
      </w:pPr>
      <w:r w:rsidRPr="00A746F2">
        <w:rPr>
          <w:rFonts w:ascii="Avenir Book" w:hAnsi="Avenir Book" w:cs="Times New Roman"/>
          <w:sz w:val="22"/>
          <w:szCs w:val="22"/>
        </w:rPr>
        <w:t xml:space="preserve">In addition, unlike the AG Opinion, the CJEU did not mark a departure from its earlier decisions in </w:t>
      </w:r>
      <w:r w:rsidRPr="00A746F2">
        <w:rPr>
          <w:rFonts w:ascii="Avenir Book" w:hAnsi="Avenir Book" w:cs="Times New Roman"/>
          <w:i/>
          <w:sz w:val="22"/>
          <w:szCs w:val="22"/>
        </w:rPr>
        <w:t>GS Media</w:t>
      </w:r>
      <w:r w:rsidRPr="00A746F2">
        <w:rPr>
          <w:rFonts w:ascii="Avenir Book" w:hAnsi="Avenir Book" w:cs="Times New Roman"/>
          <w:sz w:val="22"/>
          <w:szCs w:val="22"/>
        </w:rPr>
        <w:t xml:space="preserve"> and </w:t>
      </w:r>
      <w:r w:rsidRPr="00A746F2">
        <w:rPr>
          <w:rFonts w:ascii="Avenir Book" w:hAnsi="Avenir Book" w:cs="Times New Roman"/>
          <w:i/>
          <w:sz w:val="22"/>
          <w:szCs w:val="22"/>
        </w:rPr>
        <w:t>Filmspeler</w:t>
      </w:r>
      <w:r w:rsidR="004405F8" w:rsidRPr="00A746F2">
        <w:rPr>
          <w:rFonts w:ascii="Avenir Book" w:hAnsi="Avenir Book" w:cs="Times New Roman"/>
          <w:sz w:val="22"/>
          <w:szCs w:val="22"/>
        </w:rPr>
        <w:t>. This may suggest</w:t>
      </w:r>
      <w:r w:rsidRPr="00A746F2">
        <w:rPr>
          <w:rFonts w:ascii="Avenir Book" w:hAnsi="Avenir Book" w:cs="Times New Roman"/>
          <w:sz w:val="22"/>
          <w:szCs w:val="22"/>
        </w:rPr>
        <w:t xml:space="preserve"> that the rebut</w:t>
      </w:r>
      <w:r w:rsidR="004405F8" w:rsidRPr="00A746F2">
        <w:rPr>
          <w:rFonts w:ascii="Avenir Book" w:hAnsi="Avenir Book" w:cs="Times New Roman"/>
          <w:sz w:val="22"/>
          <w:szCs w:val="22"/>
        </w:rPr>
        <w:t xml:space="preserve">table presumption of knowledge that in </w:t>
      </w:r>
      <w:r w:rsidR="004405F8" w:rsidRPr="00A746F2">
        <w:rPr>
          <w:rFonts w:ascii="Avenir Book" w:hAnsi="Avenir Book" w:cs="Times New Roman"/>
          <w:i/>
          <w:sz w:val="22"/>
          <w:szCs w:val="22"/>
        </w:rPr>
        <w:t>GS Media</w:t>
      </w:r>
      <w:r w:rsidR="004405F8" w:rsidRPr="00A746F2">
        <w:rPr>
          <w:rFonts w:ascii="Avenir Book" w:hAnsi="Avenir Book" w:cs="Times New Roman"/>
          <w:sz w:val="22"/>
          <w:szCs w:val="22"/>
        </w:rPr>
        <w:t xml:space="preserve"> the Court deemed applicable to a user/defendant that pursues a profit would also apply in the case of online platforms operated for profit. </w:t>
      </w:r>
    </w:p>
    <w:p w14:paraId="156F7116" w14:textId="77777777" w:rsidR="004405F8" w:rsidRPr="00A746F2" w:rsidRDefault="004405F8" w:rsidP="000B21F4">
      <w:pPr>
        <w:jc w:val="both"/>
        <w:rPr>
          <w:rFonts w:ascii="Avenir Book" w:hAnsi="Avenir Book" w:cs="Times New Roman"/>
          <w:sz w:val="22"/>
          <w:szCs w:val="22"/>
        </w:rPr>
      </w:pPr>
    </w:p>
    <w:p w14:paraId="397AB705" w14:textId="4FEAE130" w:rsidR="0017480C" w:rsidRPr="00A746F2" w:rsidRDefault="0017480C" w:rsidP="000B21F4">
      <w:pPr>
        <w:jc w:val="both"/>
        <w:rPr>
          <w:rFonts w:ascii="Avenir Book" w:hAnsi="Avenir Book" w:cs="Times New Roman"/>
          <w:sz w:val="22"/>
          <w:szCs w:val="22"/>
        </w:rPr>
      </w:pPr>
      <w:r w:rsidRPr="00A746F2">
        <w:rPr>
          <w:rFonts w:ascii="Avenir Book" w:hAnsi="Avenir Book" w:cs="Times New Roman"/>
          <w:sz w:val="22"/>
          <w:szCs w:val="22"/>
        </w:rPr>
        <w:t xml:space="preserve">Overall the </w:t>
      </w:r>
      <w:r w:rsidRPr="00A746F2">
        <w:rPr>
          <w:rFonts w:ascii="Avenir Book" w:hAnsi="Avenir Book" w:cs="Times New Roman"/>
          <w:i/>
          <w:sz w:val="22"/>
          <w:szCs w:val="22"/>
        </w:rPr>
        <w:t>Pirate Bay</w:t>
      </w:r>
      <w:r w:rsidRPr="00A746F2">
        <w:rPr>
          <w:rFonts w:ascii="Avenir Book" w:hAnsi="Avenir Book" w:cs="Times New Roman"/>
          <w:sz w:val="22"/>
          <w:szCs w:val="22"/>
        </w:rPr>
        <w:t xml:space="preserve"> decision </w:t>
      </w:r>
      <w:r w:rsidR="005019C5" w:rsidRPr="00A746F2">
        <w:rPr>
          <w:rFonts w:ascii="Avenir Book" w:hAnsi="Avenir Book" w:cs="Times New Roman"/>
          <w:sz w:val="22"/>
          <w:szCs w:val="22"/>
        </w:rPr>
        <w:t xml:space="preserve">encompasses </w:t>
      </w:r>
      <w:r w:rsidRPr="00A746F2">
        <w:rPr>
          <w:rFonts w:ascii="Avenir Book" w:hAnsi="Avenir Book" w:cs="Times New Roman"/>
          <w:sz w:val="22"/>
          <w:szCs w:val="22"/>
        </w:rPr>
        <w:t>different types of platforms and operators with different degree</w:t>
      </w:r>
      <w:r w:rsidR="00A05C3B">
        <w:rPr>
          <w:rFonts w:ascii="Avenir Book" w:hAnsi="Avenir Book" w:cs="Times New Roman"/>
          <w:sz w:val="22"/>
          <w:szCs w:val="22"/>
        </w:rPr>
        <w:t>s</w:t>
      </w:r>
      <w:r w:rsidRPr="00A746F2">
        <w:rPr>
          <w:rFonts w:ascii="Avenir Book" w:hAnsi="Avenir Book" w:cs="Times New Roman"/>
          <w:sz w:val="22"/>
          <w:szCs w:val="22"/>
        </w:rPr>
        <w:t xml:space="preserve"> of knowledge of the character – lawful or unlawful – of the content made available therein. In this sense, for the applicability of Article 3(1) of the InfoSoc Directive knowledge must be intended, not as a su</w:t>
      </w:r>
      <w:r w:rsidR="00851185">
        <w:rPr>
          <w:rFonts w:ascii="Avenir Book" w:hAnsi="Avenir Book" w:cs="Times New Roman"/>
          <w:sz w:val="22"/>
          <w:szCs w:val="22"/>
        </w:rPr>
        <w:t>bjective state of the defendant</w:t>
      </w:r>
      <w:r w:rsidRPr="00A746F2">
        <w:rPr>
          <w:rFonts w:ascii="Avenir Book" w:hAnsi="Avenir Book" w:cs="Times New Roman"/>
          <w:sz w:val="22"/>
          <w:szCs w:val="22"/>
        </w:rPr>
        <w:t xml:space="preserve"> but rather as acceptance </w:t>
      </w:r>
      <w:r w:rsidR="004405F8" w:rsidRPr="00A746F2">
        <w:rPr>
          <w:rFonts w:ascii="Avenir Book" w:hAnsi="Avenir Book" w:cs="Times New Roman"/>
          <w:sz w:val="22"/>
          <w:szCs w:val="22"/>
        </w:rPr>
        <w:t>by the user/defendant</w:t>
      </w:r>
      <w:r w:rsidRPr="00A746F2">
        <w:rPr>
          <w:rFonts w:ascii="Avenir Book" w:hAnsi="Avenir Book" w:cs="Times New Roman"/>
          <w:sz w:val="22"/>
          <w:szCs w:val="22"/>
        </w:rPr>
        <w:t xml:space="preserve"> of the possible consequences of </w:t>
      </w:r>
      <w:r w:rsidR="00AB49D1" w:rsidRPr="00A746F2">
        <w:rPr>
          <w:rFonts w:ascii="Avenir Book" w:hAnsi="Avenir Book" w:cs="Times New Roman"/>
          <w:sz w:val="22"/>
          <w:szCs w:val="22"/>
        </w:rPr>
        <w:t>its</w:t>
      </w:r>
      <w:r w:rsidRPr="00A746F2">
        <w:rPr>
          <w:rFonts w:ascii="Avenir Book" w:hAnsi="Avenir Book" w:cs="Times New Roman"/>
          <w:sz w:val="22"/>
          <w:szCs w:val="22"/>
        </w:rPr>
        <w:t xml:space="preserve"> conduct. </w:t>
      </w:r>
    </w:p>
    <w:p w14:paraId="3EAEFD63" w14:textId="77777777" w:rsidR="0017480C" w:rsidRPr="00A746F2" w:rsidRDefault="0017480C" w:rsidP="000B21F4">
      <w:pPr>
        <w:jc w:val="both"/>
        <w:rPr>
          <w:rFonts w:ascii="Avenir Book" w:hAnsi="Avenir Book" w:cs="Times New Roman"/>
          <w:sz w:val="22"/>
          <w:szCs w:val="22"/>
        </w:rPr>
      </w:pPr>
    </w:p>
    <w:p w14:paraId="3A427571" w14:textId="0495E703" w:rsidR="0017480C" w:rsidRPr="00A746F2" w:rsidRDefault="0017480C" w:rsidP="000B21F4">
      <w:pPr>
        <w:jc w:val="both"/>
        <w:rPr>
          <w:rFonts w:ascii="Avenir Book" w:hAnsi="Avenir Book" w:cs="Times New Roman"/>
          <w:sz w:val="22"/>
          <w:szCs w:val="22"/>
        </w:rPr>
      </w:pPr>
      <w:r w:rsidRPr="00A746F2">
        <w:rPr>
          <w:rFonts w:ascii="Avenir Book" w:hAnsi="Avenir Book" w:cs="Times New Roman"/>
          <w:sz w:val="22"/>
          <w:szCs w:val="22"/>
        </w:rPr>
        <w:t xml:space="preserve">The </w:t>
      </w:r>
      <w:r w:rsidRPr="00A746F2">
        <w:rPr>
          <w:rFonts w:ascii="Avenir Book" w:hAnsi="Avenir Book" w:cs="Times New Roman"/>
          <w:i/>
          <w:sz w:val="22"/>
          <w:szCs w:val="22"/>
        </w:rPr>
        <w:t>Pirate Bay</w:t>
      </w:r>
      <w:r w:rsidRPr="00A746F2">
        <w:rPr>
          <w:rFonts w:ascii="Avenir Book" w:hAnsi="Avenir Book" w:cs="Times New Roman"/>
          <w:sz w:val="22"/>
          <w:szCs w:val="22"/>
        </w:rPr>
        <w:t xml:space="preserve"> decision also prompts a deeper reflection on the relationship between </w:t>
      </w:r>
      <w:r w:rsidR="005019C5" w:rsidRPr="00A746F2">
        <w:rPr>
          <w:rFonts w:ascii="Avenir Book" w:hAnsi="Avenir Book" w:cs="Times New Roman"/>
          <w:sz w:val="22"/>
          <w:szCs w:val="22"/>
        </w:rPr>
        <w:t xml:space="preserve">primary and secondary liability, as well as between </w:t>
      </w:r>
      <w:r w:rsidRPr="00A746F2">
        <w:rPr>
          <w:rFonts w:ascii="Avenir Book" w:hAnsi="Avenir Book" w:cs="Times New Roman"/>
          <w:sz w:val="22"/>
          <w:szCs w:val="22"/>
        </w:rPr>
        <w:t xml:space="preserve">the InfoSoc Directive and the safe harbour regime within the E-Commerce Directive. In particular, it </w:t>
      </w:r>
      <w:r w:rsidR="00AB49D1" w:rsidRPr="00A746F2">
        <w:rPr>
          <w:rFonts w:ascii="Avenir Book" w:hAnsi="Avenir Book" w:cs="Times New Roman"/>
          <w:sz w:val="22"/>
          <w:szCs w:val="22"/>
        </w:rPr>
        <w:t>may be questioned whether</w:t>
      </w:r>
      <w:r w:rsidRPr="00A746F2">
        <w:rPr>
          <w:rFonts w:ascii="Avenir Book" w:hAnsi="Avenir Book" w:cs="Times New Roman"/>
          <w:sz w:val="22"/>
          <w:szCs w:val="22"/>
        </w:rPr>
        <w:t xml:space="preserve"> the operators of an online platform that were deemed primarily responsible, jointly with users of their service, for unauthorized acts of communication to the public </w:t>
      </w:r>
      <w:r w:rsidR="00AB49D1" w:rsidRPr="00A746F2">
        <w:rPr>
          <w:rFonts w:ascii="Avenir Book" w:hAnsi="Avenir Book" w:cs="Times New Roman"/>
          <w:sz w:val="22"/>
          <w:szCs w:val="22"/>
        </w:rPr>
        <w:t>could</w:t>
      </w:r>
      <w:r w:rsidRPr="00A746F2">
        <w:rPr>
          <w:rFonts w:ascii="Avenir Book" w:hAnsi="Avenir Book" w:cs="Times New Roman"/>
          <w:sz w:val="22"/>
          <w:szCs w:val="22"/>
        </w:rPr>
        <w:t xml:space="preserve"> invoke the </w:t>
      </w:r>
      <w:r w:rsidR="006436A0" w:rsidRPr="00A746F2">
        <w:rPr>
          <w:rFonts w:ascii="Avenir Book" w:hAnsi="Avenir Book" w:cs="Times New Roman"/>
          <w:sz w:val="22"/>
          <w:szCs w:val="22"/>
        </w:rPr>
        <w:t xml:space="preserve">protections </w:t>
      </w:r>
      <w:r w:rsidRPr="00A746F2">
        <w:rPr>
          <w:rFonts w:ascii="Avenir Book" w:hAnsi="Avenir Book" w:cs="Times New Roman"/>
          <w:sz w:val="22"/>
          <w:szCs w:val="22"/>
        </w:rPr>
        <w:t>within Articles 12 to 14 of the E-commerce Directive.</w:t>
      </w:r>
      <w:r w:rsidR="004405F8" w:rsidRPr="00A746F2">
        <w:rPr>
          <w:rFonts w:ascii="Avenir Book" w:hAnsi="Avenir Book" w:cs="Times New Roman"/>
          <w:sz w:val="22"/>
          <w:szCs w:val="22"/>
        </w:rPr>
        <w:t xml:space="preserve"> </w:t>
      </w:r>
    </w:p>
    <w:p w14:paraId="6C68D6FD" w14:textId="77777777" w:rsidR="0017480C" w:rsidRPr="00A746F2" w:rsidRDefault="0017480C" w:rsidP="000B21F4">
      <w:pPr>
        <w:jc w:val="both"/>
        <w:rPr>
          <w:rFonts w:ascii="Avenir Book" w:hAnsi="Avenir Book" w:cs="Times New Roman"/>
          <w:sz w:val="22"/>
          <w:szCs w:val="22"/>
        </w:rPr>
      </w:pPr>
    </w:p>
    <w:p w14:paraId="14336487" w14:textId="15AC398B" w:rsidR="005019C5" w:rsidRPr="00A746F2" w:rsidRDefault="00D62136" w:rsidP="000B21F4">
      <w:pPr>
        <w:jc w:val="both"/>
        <w:rPr>
          <w:rFonts w:ascii="Avenir Book" w:hAnsi="Avenir Book" w:cs="Times New Roman"/>
          <w:sz w:val="22"/>
          <w:szCs w:val="22"/>
        </w:rPr>
      </w:pPr>
      <w:r w:rsidRPr="00A746F2">
        <w:rPr>
          <w:rFonts w:ascii="Avenir Book" w:hAnsi="Avenir Book" w:cs="Times New Roman"/>
          <w:sz w:val="22"/>
          <w:szCs w:val="22"/>
        </w:rPr>
        <w:t>With regard</w:t>
      </w:r>
      <w:r w:rsidR="0017480C" w:rsidRPr="00A746F2">
        <w:rPr>
          <w:rFonts w:ascii="Avenir Book" w:hAnsi="Avenir Book" w:cs="Times New Roman"/>
          <w:sz w:val="22"/>
          <w:szCs w:val="22"/>
        </w:rPr>
        <w:t xml:space="preserve"> to the current policy discussion, notably the ‘value gap proposal’ within Article 13 of the proposed DSM Directive, </w:t>
      </w:r>
      <w:r w:rsidR="00D43E14" w:rsidRPr="00A746F2">
        <w:rPr>
          <w:rFonts w:ascii="Avenir Book" w:hAnsi="Avenir Book" w:cs="Times New Roman"/>
          <w:sz w:val="22"/>
          <w:szCs w:val="22"/>
        </w:rPr>
        <w:t xml:space="preserve">the </w:t>
      </w:r>
      <w:r w:rsidR="00D43E14" w:rsidRPr="00A746F2">
        <w:rPr>
          <w:rFonts w:ascii="Avenir Book" w:hAnsi="Avenir Book" w:cs="Times New Roman"/>
          <w:i/>
          <w:sz w:val="22"/>
          <w:szCs w:val="22"/>
        </w:rPr>
        <w:t>Pirate Bay</w:t>
      </w:r>
      <w:r w:rsidR="00D43E14" w:rsidRPr="00A746F2">
        <w:rPr>
          <w:rFonts w:ascii="Avenir Book" w:hAnsi="Avenir Book" w:cs="Times New Roman"/>
          <w:sz w:val="22"/>
          <w:szCs w:val="22"/>
        </w:rPr>
        <w:t xml:space="preserve"> decision</w:t>
      </w:r>
      <w:r w:rsidR="0037552E" w:rsidRPr="00A746F2">
        <w:rPr>
          <w:rFonts w:ascii="Avenir Book" w:hAnsi="Avenir Book" w:cs="Times New Roman"/>
          <w:sz w:val="22"/>
          <w:szCs w:val="22"/>
        </w:rPr>
        <w:t xml:space="preserve"> </w:t>
      </w:r>
      <w:r w:rsidRPr="00A746F2">
        <w:rPr>
          <w:rFonts w:ascii="Avenir Book" w:hAnsi="Avenir Book" w:cs="Times New Roman"/>
          <w:sz w:val="22"/>
          <w:szCs w:val="22"/>
        </w:rPr>
        <w:t>demonstrates</w:t>
      </w:r>
      <w:r w:rsidR="00851185">
        <w:rPr>
          <w:rFonts w:ascii="Avenir Book" w:hAnsi="Avenir Book" w:cs="Times New Roman"/>
          <w:sz w:val="22"/>
          <w:szCs w:val="22"/>
        </w:rPr>
        <w:t xml:space="preserve"> the</w:t>
      </w:r>
      <w:r w:rsidR="00D43E14" w:rsidRPr="00A746F2">
        <w:rPr>
          <w:rFonts w:ascii="Avenir Book" w:hAnsi="Avenir Book" w:cs="Times New Roman"/>
          <w:sz w:val="22"/>
          <w:szCs w:val="22"/>
        </w:rPr>
        <w:t xml:space="preserve"> alignment between </w:t>
      </w:r>
      <w:r w:rsidR="0037552E" w:rsidRPr="00A746F2">
        <w:rPr>
          <w:rFonts w:ascii="Avenir Book" w:hAnsi="Avenir Book" w:cs="Times New Roman"/>
          <w:sz w:val="22"/>
          <w:szCs w:val="22"/>
        </w:rPr>
        <w:t xml:space="preserve">CJEU case law and policy action on the side of the </w:t>
      </w:r>
      <w:r w:rsidR="005517DC" w:rsidRPr="00A746F2">
        <w:rPr>
          <w:rFonts w:ascii="Avenir Book" w:hAnsi="Avenir Book" w:cs="Times New Roman"/>
          <w:sz w:val="22"/>
          <w:szCs w:val="22"/>
        </w:rPr>
        <w:t>European</w:t>
      </w:r>
      <w:r w:rsidR="0037552E" w:rsidRPr="00A746F2">
        <w:rPr>
          <w:rFonts w:ascii="Avenir Book" w:hAnsi="Avenir Book" w:cs="Times New Roman"/>
          <w:sz w:val="22"/>
          <w:szCs w:val="22"/>
        </w:rPr>
        <w:t xml:space="preserve"> Commission, </w:t>
      </w:r>
      <w:r w:rsidR="005019C5" w:rsidRPr="00A746F2">
        <w:rPr>
          <w:rFonts w:ascii="Avenir Book" w:hAnsi="Avenir Book" w:cs="Times New Roman"/>
          <w:sz w:val="22"/>
          <w:szCs w:val="22"/>
        </w:rPr>
        <w:t>especially</w:t>
      </w:r>
      <w:r w:rsidR="0037552E" w:rsidRPr="00A746F2">
        <w:rPr>
          <w:rFonts w:ascii="Avenir Book" w:hAnsi="Avenir Book" w:cs="Times New Roman"/>
          <w:sz w:val="22"/>
          <w:szCs w:val="22"/>
        </w:rPr>
        <w:t xml:space="preserve"> with regard to the basic idea that the making available, by a hosting provider, of third-party uploaded copyright content, </w:t>
      </w:r>
      <w:r w:rsidRPr="00A746F2">
        <w:rPr>
          <w:rFonts w:ascii="Avenir Book" w:hAnsi="Avenir Book" w:cs="Times New Roman"/>
          <w:sz w:val="22"/>
          <w:szCs w:val="22"/>
        </w:rPr>
        <w:t>may fall</w:t>
      </w:r>
      <w:r w:rsidR="0037552E" w:rsidRPr="00A746F2">
        <w:rPr>
          <w:rFonts w:ascii="Avenir Book" w:hAnsi="Avenir Book" w:cs="Times New Roman"/>
          <w:sz w:val="22"/>
          <w:szCs w:val="22"/>
        </w:rPr>
        <w:t xml:space="preserve"> within the scope of Article 3(1) of the InfoSoc Directive. </w:t>
      </w:r>
    </w:p>
    <w:p w14:paraId="4436A75E" w14:textId="77777777" w:rsidR="005019C5" w:rsidRPr="00A746F2" w:rsidRDefault="005019C5" w:rsidP="000B21F4">
      <w:pPr>
        <w:jc w:val="both"/>
        <w:rPr>
          <w:rFonts w:ascii="Avenir Book" w:hAnsi="Avenir Book" w:cs="Times New Roman"/>
          <w:sz w:val="22"/>
          <w:szCs w:val="22"/>
        </w:rPr>
      </w:pPr>
    </w:p>
    <w:p w14:paraId="1A7ADA8E" w14:textId="7C7CDA5C" w:rsidR="008B103B" w:rsidRDefault="0037552E" w:rsidP="000B21F4">
      <w:pPr>
        <w:jc w:val="both"/>
        <w:rPr>
          <w:rFonts w:ascii="Avenir Book" w:hAnsi="Avenir Book" w:cs="Times New Roman"/>
          <w:sz w:val="22"/>
          <w:szCs w:val="22"/>
        </w:rPr>
      </w:pPr>
      <w:r w:rsidRPr="00A746F2">
        <w:rPr>
          <w:rFonts w:ascii="Avenir Book" w:hAnsi="Avenir Book" w:cs="Times New Roman"/>
          <w:sz w:val="22"/>
          <w:szCs w:val="22"/>
        </w:rPr>
        <w:t xml:space="preserve">Unlike the </w:t>
      </w:r>
      <w:r w:rsidRPr="00A746F2">
        <w:rPr>
          <w:rFonts w:ascii="Avenir Book" w:hAnsi="Avenir Book" w:cs="Times New Roman"/>
          <w:i/>
          <w:sz w:val="22"/>
          <w:szCs w:val="22"/>
        </w:rPr>
        <w:t>Pirate Bay</w:t>
      </w:r>
      <w:r w:rsidRPr="00A746F2">
        <w:rPr>
          <w:rFonts w:ascii="Avenir Book" w:hAnsi="Avenir Book" w:cs="Times New Roman"/>
          <w:sz w:val="22"/>
          <w:szCs w:val="22"/>
        </w:rPr>
        <w:t xml:space="preserve"> decision, however, Article 13 in the draft DSM Directive contains express references to Article 14 of the E-commerce Directive. </w:t>
      </w:r>
      <w:r w:rsidR="005019C5" w:rsidRPr="00A746F2">
        <w:rPr>
          <w:rFonts w:ascii="Avenir Book" w:hAnsi="Avenir Book" w:cs="Times New Roman"/>
          <w:sz w:val="22"/>
          <w:szCs w:val="22"/>
        </w:rPr>
        <w:t xml:space="preserve">Among other things, </w:t>
      </w:r>
      <w:r w:rsidR="0053777A">
        <w:rPr>
          <w:rFonts w:ascii="Avenir Book" w:hAnsi="Avenir Book" w:cs="Times New Roman"/>
          <w:sz w:val="22"/>
          <w:szCs w:val="22"/>
        </w:rPr>
        <w:t xml:space="preserve">Recital 38 and </w:t>
      </w:r>
      <w:r w:rsidR="00D62136" w:rsidRPr="00A746F2">
        <w:rPr>
          <w:rFonts w:ascii="Avenir Book" w:hAnsi="Avenir Book" w:cs="Times New Roman"/>
          <w:sz w:val="22"/>
          <w:szCs w:val="22"/>
        </w:rPr>
        <w:t>Article 13</w:t>
      </w:r>
      <w:r w:rsidRPr="00A746F2">
        <w:rPr>
          <w:rFonts w:ascii="Avenir Book" w:hAnsi="Avenir Book" w:cs="Times New Roman"/>
          <w:sz w:val="22"/>
          <w:szCs w:val="22"/>
        </w:rPr>
        <w:t xml:space="preserve"> </w:t>
      </w:r>
      <w:r w:rsidR="00D62136" w:rsidRPr="00A746F2">
        <w:rPr>
          <w:rFonts w:ascii="Avenir Book" w:hAnsi="Avenir Book" w:cs="Times New Roman"/>
          <w:sz w:val="22"/>
          <w:szCs w:val="22"/>
        </w:rPr>
        <w:t xml:space="preserve">of the draft DSM Directive </w:t>
      </w:r>
      <w:r w:rsidR="0053777A">
        <w:rPr>
          <w:rFonts w:ascii="Avenir Book" w:hAnsi="Avenir Book" w:cs="Times New Roman"/>
          <w:sz w:val="22"/>
          <w:szCs w:val="22"/>
        </w:rPr>
        <w:t>exclude</w:t>
      </w:r>
      <w:r w:rsidRPr="00A746F2">
        <w:rPr>
          <w:rFonts w:ascii="Avenir Book" w:hAnsi="Avenir Book" w:cs="Times New Roman"/>
          <w:sz w:val="22"/>
          <w:szCs w:val="22"/>
        </w:rPr>
        <w:t xml:space="preserve"> </w:t>
      </w:r>
      <w:r w:rsidR="00D62136" w:rsidRPr="00A746F2">
        <w:rPr>
          <w:rFonts w:ascii="Avenir Book" w:hAnsi="Avenir Book" w:cs="Times New Roman"/>
          <w:sz w:val="22"/>
          <w:szCs w:val="22"/>
        </w:rPr>
        <w:t>that</w:t>
      </w:r>
      <w:r w:rsidRPr="00A746F2">
        <w:rPr>
          <w:rFonts w:ascii="Avenir Book" w:hAnsi="Avenir Book" w:cs="Times New Roman"/>
          <w:sz w:val="22"/>
          <w:szCs w:val="22"/>
        </w:rPr>
        <w:t xml:space="preserve"> hosting providers that fall within </w:t>
      </w:r>
      <w:r w:rsidR="00D62136" w:rsidRPr="00A746F2">
        <w:rPr>
          <w:rFonts w:ascii="Avenir Book" w:hAnsi="Avenir Book" w:cs="Times New Roman"/>
          <w:sz w:val="22"/>
          <w:szCs w:val="22"/>
        </w:rPr>
        <w:t>the</w:t>
      </w:r>
      <w:r w:rsidRPr="00A746F2">
        <w:rPr>
          <w:rFonts w:ascii="Avenir Book" w:hAnsi="Avenir Book" w:cs="Times New Roman"/>
          <w:sz w:val="22"/>
          <w:szCs w:val="22"/>
        </w:rPr>
        <w:t xml:space="preserve"> scope of application</w:t>
      </w:r>
      <w:r w:rsidR="00D62136" w:rsidRPr="00A746F2">
        <w:rPr>
          <w:rFonts w:ascii="Avenir Book" w:hAnsi="Avenir Book" w:cs="Times New Roman"/>
          <w:sz w:val="22"/>
          <w:szCs w:val="22"/>
        </w:rPr>
        <w:t xml:space="preserve"> of Article 14 of the E-Commerce Directive would need to conclude </w:t>
      </w:r>
      <w:r w:rsidRPr="00A746F2">
        <w:rPr>
          <w:rFonts w:ascii="Avenir Book" w:hAnsi="Avenir Book" w:cs="Times New Roman"/>
          <w:sz w:val="22"/>
          <w:szCs w:val="22"/>
        </w:rPr>
        <w:t>licensing agreements with relevant rightholders. However, if one accepts that – at certain conditions – a hosting provider may be regarded as primarily responsible for unauthorized acts of communication to the public, then th</w:t>
      </w:r>
      <w:r w:rsidR="00AB49D1" w:rsidRPr="00A746F2">
        <w:rPr>
          <w:rFonts w:ascii="Avenir Book" w:hAnsi="Avenir Book" w:cs="Times New Roman"/>
          <w:sz w:val="22"/>
          <w:szCs w:val="22"/>
        </w:rPr>
        <w:t xml:space="preserve">e obligation to conclude </w:t>
      </w:r>
      <w:r w:rsidRPr="00A746F2">
        <w:rPr>
          <w:rFonts w:ascii="Avenir Book" w:hAnsi="Avenir Book" w:cs="Times New Roman"/>
          <w:sz w:val="22"/>
          <w:szCs w:val="22"/>
        </w:rPr>
        <w:t>licensing agreement</w:t>
      </w:r>
      <w:r w:rsidR="00AB49D1" w:rsidRPr="00A746F2">
        <w:rPr>
          <w:rFonts w:ascii="Avenir Book" w:hAnsi="Avenir Book" w:cs="Times New Roman"/>
          <w:sz w:val="22"/>
          <w:szCs w:val="22"/>
        </w:rPr>
        <w:t>s</w:t>
      </w:r>
      <w:r w:rsidRPr="00A746F2">
        <w:rPr>
          <w:rFonts w:ascii="Avenir Book" w:hAnsi="Avenir Book" w:cs="Times New Roman"/>
          <w:sz w:val="22"/>
          <w:szCs w:val="22"/>
        </w:rPr>
        <w:t xml:space="preserve"> would arise as a natural consequence</w:t>
      </w:r>
      <w:r w:rsidR="00D62136" w:rsidRPr="00A746F2">
        <w:rPr>
          <w:rFonts w:ascii="Avenir Book" w:hAnsi="Avenir Book" w:cs="Times New Roman"/>
          <w:sz w:val="22"/>
          <w:szCs w:val="22"/>
        </w:rPr>
        <w:t xml:space="preserve"> thereof</w:t>
      </w:r>
      <w:r w:rsidRPr="00A746F2">
        <w:rPr>
          <w:rFonts w:ascii="Avenir Book" w:hAnsi="Avenir Book" w:cs="Times New Roman"/>
          <w:sz w:val="22"/>
          <w:szCs w:val="22"/>
        </w:rPr>
        <w:t>, being</w:t>
      </w:r>
      <w:r w:rsidR="00D62136" w:rsidRPr="00A746F2">
        <w:rPr>
          <w:rFonts w:ascii="Avenir Book" w:hAnsi="Avenir Book" w:cs="Times New Roman"/>
          <w:sz w:val="22"/>
          <w:szCs w:val="22"/>
        </w:rPr>
        <w:t xml:space="preserve"> in this </w:t>
      </w:r>
      <w:r w:rsidR="00AB49D1" w:rsidRPr="00A746F2">
        <w:rPr>
          <w:rFonts w:ascii="Avenir Book" w:hAnsi="Avenir Book" w:cs="Times New Roman"/>
          <w:sz w:val="22"/>
          <w:szCs w:val="22"/>
        </w:rPr>
        <w:t>respect</w:t>
      </w:r>
      <w:r w:rsidRPr="00A746F2">
        <w:rPr>
          <w:rFonts w:ascii="Avenir Book" w:hAnsi="Avenir Book" w:cs="Times New Roman"/>
          <w:sz w:val="22"/>
          <w:szCs w:val="22"/>
        </w:rPr>
        <w:t xml:space="preserve"> irrelevant </w:t>
      </w:r>
      <w:r w:rsidR="007F754F" w:rsidRPr="00A746F2">
        <w:rPr>
          <w:rFonts w:ascii="Avenir Book" w:hAnsi="Avenir Book" w:cs="Times New Roman"/>
          <w:sz w:val="22"/>
          <w:szCs w:val="22"/>
        </w:rPr>
        <w:t>any reference</w:t>
      </w:r>
      <w:r w:rsidRPr="00A746F2">
        <w:rPr>
          <w:rFonts w:ascii="Avenir Book" w:hAnsi="Avenir Book" w:cs="Times New Roman"/>
          <w:sz w:val="22"/>
          <w:szCs w:val="22"/>
        </w:rPr>
        <w:t xml:space="preserve"> to the safe harbour regime.</w:t>
      </w:r>
    </w:p>
    <w:p w14:paraId="45D6D8AD" w14:textId="77777777" w:rsidR="000B21F4" w:rsidRDefault="000B21F4" w:rsidP="00A746F2">
      <w:pPr>
        <w:jc w:val="both"/>
        <w:rPr>
          <w:rFonts w:ascii="Avenir Book" w:hAnsi="Avenir Book" w:cs="Times New Roman"/>
          <w:sz w:val="22"/>
          <w:szCs w:val="22"/>
        </w:rPr>
      </w:pPr>
    </w:p>
    <w:p w14:paraId="4BDC32A5" w14:textId="77777777" w:rsidR="0010289B" w:rsidRDefault="0010289B" w:rsidP="00A746F2">
      <w:pPr>
        <w:jc w:val="both"/>
        <w:rPr>
          <w:rFonts w:ascii="Avenir Book" w:hAnsi="Avenir Book" w:cs="Times New Roman"/>
          <w:sz w:val="22"/>
          <w:szCs w:val="22"/>
        </w:rPr>
      </w:pPr>
    </w:p>
    <w:p w14:paraId="056DAA18" w14:textId="77777777" w:rsidR="00433A31" w:rsidRDefault="00433A31">
      <w:pPr>
        <w:rPr>
          <w:rFonts w:ascii="Avenir Book" w:hAnsi="Avenir Book" w:cs="Times New Roman"/>
          <w:sz w:val="22"/>
          <w:szCs w:val="22"/>
        </w:rPr>
      </w:pPr>
      <w:bookmarkStart w:id="13" w:name="_Toc361053692"/>
      <w:r>
        <w:rPr>
          <w:rFonts w:ascii="Avenir Book" w:hAnsi="Avenir Book" w:cs="Times New Roman"/>
          <w:sz w:val="22"/>
          <w:szCs w:val="22"/>
        </w:rPr>
        <w:br w:type="page"/>
      </w:r>
    </w:p>
    <w:p w14:paraId="27F2E28B" w14:textId="4F4AD8D8" w:rsidR="006C6073" w:rsidRPr="00993666" w:rsidRDefault="008B103B" w:rsidP="00993666">
      <w:pPr>
        <w:jc w:val="both"/>
        <w:rPr>
          <w:rFonts w:ascii="Avenir Book" w:hAnsi="Avenir Book" w:cs="Times New Roman"/>
          <w:b/>
          <w:sz w:val="22"/>
          <w:szCs w:val="22"/>
        </w:rPr>
      </w:pPr>
      <w:r w:rsidRPr="00993666">
        <w:rPr>
          <w:rFonts w:ascii="Avenir Book" w:hAnsi="Avenir Book" w:cs="Times New Roman"/>
          <w:b/>
          <w:sz w:val="22"/>
          <w:szCs w:val="22"/>
        </w:rPr>
        <w:t>Notes</w:t>
      </w:r>
      <w:bookmarkEnd w:id="13"/>
    </w:p>
    <w:sectPr w:rsidR="006C6073" w:rsidRPr="00993666" w:rsidSect="00993666">
      <w:endnotePr>
        <w:numFmt w:val="decimal"/>
      </w:endnotePr>
      <w:type w:val="continuous"/>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FF6A" w14:textId="77777777" w:rsidR="000D0EC5" w:rsidRDefault="000D0EC5" w:rsidP="0056614F">
      <w:r>
        <w:separator/>
      </w:r>
    </w:p>
  </w:endnote>
  <w:endnote w:type="continuationSeparator" w:id="0">
    <w:p w14:paraId="2377D6FA" w14:textId="77777777" w:rsidR="000D0EC5" w:rsidRDefault="000D0EC5" w:rsidP="0056614F">
      <w:r>
        <w:continuationSeparator/>
      </w:r>
    </w:p>
  </w:endnote>
  <w:endnote w:id="1">
    <w:p w14:paraId="0B153C93" w14:textId="6A4B5091" w:rsidR="000D0EC5" w:rsidRPr="002B4F63" w:rsidRDefault="000D0EC5" w:rsidP="00301FC9">
      <w:pPr>
        <w:spacing w:after="200"/>
        <w:jc w:val="both"/>
        <w:rPr>
          <w:rFonts w:ascii="Avenir Book" w:eastAsia="Times New Roman" w:hAnsi="Avenir Book" w:cs="Times New Roman"/>
          <w:sz w:val="22"/>
          <w:szCs w:val="22"/>
        </w:rPr>
      </w:pPr>
      <w:r w:rsidRPr="002B4F63">
        <w:rPr>
          <w:rStyle w:val="EndnoteReference"/>
          <w:rFonts w:ascii="Avenir Book" w:hAnsi="Avenir Book"/>
          <w:sz w:val="22"/>
          <w:szCs w:val="22"/>
        </w:rPr>
        <w:endnoteRef/>
      </w:r>
      <w:r w:rsidRPr="002B4F63">
        <w:rPr>
          <w:rFonts w:ascii="Avenir Book" w:hAnsi="Avenir Book"/>
          <w:sz w:val="22"/>
          <w:szCs w:val="22"/>
        </w:rPr>
        <w:t xml:space="preserve"> </w:t>
      </w:r>
      <w:r w:rsidRPr="002B4F63">
        <w:rPr>
          <w:rFonts w:ascii="Avenir Book" w:hAnsi="Avenir Book"/>
          <w:bCs/>
          <w:i/>
          <w:sz w:val="22"/>
          <w:szCs w:val="22"/>
        </w:rPr>
        <w:t>Stichting Brein v Ziggo BV and XS4All Internet BV</w:t>
      </w:r>
      <w:r w:rsidRPr="002B4F63">
        <w:rPr>
          <w:rFonts w:ascii="Avenir Book" w:hAnsi="Avenir Book"/>
          <w:bCs/>
          <w:sz w:val="22"/>
          <w:szCs w:val="22"/>
        </w:rPr>
        <w:t xml:space="preserve">, C-610/15, </w:t>
      </w:r>
      <w:r w:rsidRPr="002B4F63">
        <w:rPr>
          <w:rFonts w:ascii="Avenir Book" w:eastAsia="Times New Roman" w:hAnsi="Avenir Book" w:cs="Times New Roman"/>
          <w:bCs/>
          <w:sz w:val="22"/>
          <w:szCs w:val="22"/>
          <w:shd w:val="clear" w:color="auto" w:fill="FFFFFF"/>
        </w:rPr>
        <w:t>EU:C:2017:456</w:t>
      </w:r>
      <w:r>
        <w:rPr>
          <w:rFonts w:ascii="Avenir Book" w:eastAsia="Times New Roman" w:hAnsi="Avenir Book" w:cs="Times New Roman"/>
          <w:bCs/>
          <w:sz w:val="22"/>
          <w:szCs w:val="22"/>
          <w:shd w:val="clear" w:color="auto" w:fill="FFFFFF"/>
        </w:rPr>
        <w:t xml:space="preserve"> (‘</w:t>
      </w:r>
      <w:r w:rsidRPr="00354BFB">
        <w:rPr>
          <w:rFonts w:ascii="Avenir Book" w:eastAsia="Times New Roman" w:hAnsi="Avenir Book" w:cs="Times New Roman"/>
          <w:bCs/>
          <w:i/>
          <w:sz w:val="22"/>
          <w:szCs w:val="22"/>
          <w:shd w:val="clear" w:color="auto" w:fill="FFFFFF"/>
        </w:rPr>
        <w:t>The Pirate Bay</w:t>
      </w:r>
      <w:r>
        <w:rPr>
          <w:rFonts w:ascii="Avenir Book" w:eastAsia="Times New Roman" w:hAnsi="Avenir Book" w:cs="Times New Roman"/>
          <w:bCs/>
          <w:sz w:val="22"/>
          <w:szCs w:val="22"/>
          <w:shd w:val="clear" w:color="auto" w:fill="FFFFFF"/>
        </w:rPr>
        <w:t>’, or ‘</w:t>
      </w:r>
      <w:r w:rsidRPr="00354BFB">
        <w:rPr>
          <w:rFonts w:ascii="Avenir Book" w:eastAsia="Times New Roman" w:hAnsi="Avenir Book" w:cs="Times New Roman"/>
          <w:bCs/>
          <w:i/>
          <w:sz w:val="22"/>
          <w:szCs w:val="22"/>
          <w:shd w:val="clear" w:color="auto" w:fill="FFFFFF"/>
        </w:rPr>
        <w:t>Pirate Bay</w:t>
      </w:r>
      <w:r>
        <w:rPr>
          <w:rFonts w:ascii="Avenir Book" w:eastAsia="Times New Roman" w:hAnsi="Avenir Book" w:cs="Times New Roman"/>
          <w:bCs/>
          <w:sz w:val="22"/>
          <w:szCs w:val="22"/>
          <w:shd w:val="clear" w:color="auto" w:fill="FFFFFF"/>
        </w:rPr>
        <w:t>’)</w:t>
      </w:r>
    </w:p>
  </w:endnote>
  <w:endnote w:id="2">
    <w:p w14:paraId="659F8F41" w14:textId="11EECD59" w:rsidR="000D0EC5" w:rsidRPr="002B4F63" w:rsidRDefault="000D0EC5" w:rsidP="00301FC9">
      <w:pPr>
        <w:spacing w:after="200"/>
        <w:jc w:val="both"/>
        <w:rPr>
          <w:rFonts w:ascii="Avenir Book" w:eastAsia="Times New Roman"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w:t>
      </w:r>
      <w:r w:rsidRPr="002B4F63">
        <w:rPr>
          <w:rFonts w:ascii="Avenir Book" w:eastAsia="Times New Roman" w:hAnsi="Avenir Book" w:cs="Times New Roman"/>
          <w:sz w:val="22"/>
          <w:szCs w:val="22"/>
          <w:lang w:val="en-GB"/>
        </w:rPr>
        <w:t>Directive 2001/29/EC of the European Parliament and of the Council of 22 May 2001 on the harmonisation of certain aspects of copyright and related rights in the information society, OJ, L 167, pp 10-19.</w:t>
      </w:r>
    </w:p>
  </w:endnote>
  <w:endnote w:id="3">
    <w:p w14:paraId="2798B4D5" w14:textId="3F4EEE38" w:rsidR="000D0EC5" w:rsidRPr="002B4F63" w:rsidRDefault="000D0EC5" w:rsidP="00301FC9">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Opinion</w:t>
      </w:r>
      <w:r w:rsidRPr="002B4F63">
        <w:rPr>
          <w:rFonts w:ascii="Avenir Book" w:hAnsi="Avenir Book" w:cs="Times New Roman"/>
          <w:color w:val="000000" w:themeColor="text1"/>
          <w:sz w:val="22"/>
          <w:szCs w:val="22"/>
          <w:lang w:val="en-GB"/>
        </w:rPr>
        <w:t xml:space="preserve"> of Advocate General Maciej Szpunar in </w:t>
      </w:r>
      <w:r w:rsidRPr="002B4F63">
        <w:rPr>
          <w:rFonts w:ascii="Avenir Book" w:hAnsi="Avenir Book" w:cs="Times New Roman"/>
          <w:bCs/>
          <w:i/>
          <w:color w:val="000000" w:themeColor="text1"/>
          <w:sz w:val="22"/>
          <w:szCs w:val="22"/>
          <w:lang w:val="en-GB"/>
        </w:rPr>
        <w:t>Stichting Brein v Ziggo BV and XS4All Internet BV</w:t>
      </w:r>
      <w:r w:rsidRPr="002B4F63">
        <w:rPr>
          <w:rFonts w:ascii="Avenir Book" w:hAnsi="Avenir Book" w:cs="Times New Roman"/>
          <w:bCs/>
          <w:color w:val="000000" w:themeColor="text1"/>
          <w:sz w:val="22"/>
          <w:szCs w:val="22"/>
          <w:lang w:val="en-GB"/>
        </w:rPr>
        <w:t xml:space="preserve">, C-610/15, </w:t>
      </w:r>
      <w:r w:rsidRPr="002B4F63">
        <w:rPr>
          <w:rFonts w:ascii="Avenir Book" w:eastAsia="Times New Roman" w:hAnsi="Avenir Book" w:cs="Times New Roman"/>
          <w:bCs/>
          <w:color w:val="000000" w:themeColor="text1"/>
          <w:sz w:val="22"/>
          <w:szCs w:val="22"/>
          <w:shd w:val="clear" w:color="auto" w:fill="FFFFFF"/>
          <w:lang w:val="en-GB"/>
        </w:rPr>
        <w:t>EU:C:2017:99 (</w:t>
      </w:r>
      <w:r w:rsidRPr="002B4F63">
        <w:rPr>
          <w:rFonts w:ascii="Avenir Book" w:eastAsia="Times New Roman" w:hAnsi="Avenir Book" w:cs="Times New Roman"/>
          <w:bCs/>
          <w:i/>
          <w:color w:val="000000" w:themeColor="text1"/>
          <w:sz w:val="22"/>
          <w:szCs w:val="22"/>
          <w:shd w:val="clear" w:color="auto" w:fill="FFFFFF"/>
          <w:lang w:val="en-GB"/>
        </w:rPr>
        <w:t>The Pirate Bay</w:t>
      </w:r>
      <w:r w:rsidRPr="002B4F63">
        <w:rPr>
          <w:rFonts w:ascii="Avenir Book" w:eastAsia="Times New Roman" w:hAnsi="Avenir Book" w:cs="Times New Roman"/>
          <w:bCs/>
          <w:color w:val="000000" w:themeColor="text1"/>
          <w:sz w:val="22"/>
          <w:szCs w:val="22"/>
          <w:shd w:val="clear" w:color="auto" w:fill="FFFFFF"/>
          <w:lang w:val="en-GB"/>
        </w:rPr>
        <w:t xml:space="preserve"> AG Opinion).</w:t>
      </w:r>
    </w:p>
  </w:endnote>
  <w:endnote w:id="4">
    <w:p w14:paraId="7C067310" w14:textId="0B03020A" w:rsidR="000D0EC5" w:rsidRPr="002B4F63" w:rsidRDefault="000D0EC5" w:rsidP="002B4F63">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As the High Court of England and Wales (Arnold J) noted in its decision in </w:t>
      </w:r>
      <w:r w:rsidRPr="002B4F63">
        <w:rPr>
          <w:rFonts w:ascii="Avenir Book" w:eastAsia="Times New Roman" w:hAnsi="Avenir Book" w:cs="Times New Roman"/>
          <w:i/>
          <w:color w:val="000000" w:themeColor="text1"/>
          <w:sz w:val="22"/>
          <w:szCs w:val="22"/>
          <w:shd w:val="clear" w:color="auto" w:fill="FFFFFF"/>
          <w:lang w:val="en-GB"/>
        </w:rPr>
        <w:t>Dramatico Entertainment Ltd and Others v British Sky Broadcasting Ltd and Others</w:t>
      </w:r>
      <w:r w:rsidRPr="002B4F63">
        <w:rPr>
          <w:rFonts w:ascii="Avenir Book" w:eastAsia="Times New Roman" w:hAnsi="Avenir Book" w:cs="Times New Roman"/>
          <w:color w:val="000000" w:themeColor="text1"/>
          <w:sz w:val="22"/>
          <w:szCs w:val="22"/>
          <w:shd w:val="clear" w:color="auto" w:fill="FFFFFF"/>
          <w:lang w:val="en-GB"/>
        </w:rPr>
        <w:t xml:space="preserve"> [2012] EWHC 268 (Ch) (20 February 2012)</w:t>
      </w:r>
      <w:r>
        <w:rPr>
          <w:rFonts w:ascii="Avenir Book" w:eastAsia="Times New Roman" w:hAnsi="Avenir Book" w:cs="Times New Roman"/>
          <w:color w:val="000000" w:themeColor="text1"/>
          <w:sz w:val="22"/>
          <w:szCs w:val="22"/>
          <w:shd w:val="clear" w:color="auto" w:fill="FFFFFF"/>
          <w:lang w:val="en-GB"/>
        </w:rPr>
        <w:t xml:space="preserve"> (‘</w:t>
      </w:r>
      <w:r w:rsidRPr="00851185">
        <w:rPr>
          <w:rFonts w:ascii="Avenir Book" w:eastAsia="Times New Roman" w:hAnsi="Avenir Book" w:cs="Times New Roman"/>
          <w:i/>
          <w:color w:val="000000" w:themeColor="text1"/>
          <w:sz w:val="22"/>
          <w:szCs w:val="22"/>
          <w:shd w:val="clear" w:color="auto" w:fill="FFFFFF"/>
          <w:lang w:val="en-GB"/>
        </w:rPr>
        <w:t>Dramatico</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w:t>
      </w:r>
      <w:r w:rsidRPr="002B4F63">
        <w:rPr>
          <w:rFonts w:ascii="Avenir Book" w:hAnsi="Avenir Book" w:cs="Times New Roman"/>
          <w:color w:val="000000" w:themeColor="text1"/>
          <w:sz w:val="22"/>
          <w:szCs w:val="22"/>
          <w:lang w:val="en-GB"/>
        </w:rPr>
        <w:t xml:space="preserve"> para 78, the “name – The Pirate Bay – and associated pirate ship logo are clearly a reference to the popular terminology applied to online copyright infringement: online piracy.”</w:t>
      </w:r>
    </w:p>
  </w:endnote>
  <w:endnote w:id="5">
    <w:p w14:paraId="4A7FF0FB" w14:textId="2D16AF21" w:rsidR="000D0EC5" w:rsidRPr="002B4F63" w:rsidRDefault="000D0EC5" w:rsidP="002B4F63">
      <w:pPr>
        <w:spacing w:after="200"/>
        <w:jc w:val="both"/>
        <w:rPr>
          <w:rFonts w:ascii="Avenir Book" w:eastAsia="Times New Roman" w:hAnsi="Avenir Book" w:cs="Times New Roman"/>
          <w:sz w:val="22"/>
          <w:szCs w:val="22"/>
        </w:rPr>
      </w:pPr>
      <w:r w:rsidRPr="002B4F63">
        <w:rPr>
          <w:rStyle w:val="EndnoteReference"/>
          <w:rFonts w:ascii="Avenir Book" w:hAnsi="Avenir Book"/>
          <w:sz w:val="22"/>
          <w:szCs w:val="22"/>
        </w:rPr>
        <w:endnoteRef/>
      </w:r>
      <w:r w:rsidRPr="002B4F63">
        <w:rPr>
          <w:rFonts w:ascii="Avenir Book" w:hAnsi="Avenir Book"/>
          <w:sz w:val="22"/>
          <w:szCs w:val="22"/>
        </w:rPr>
        <w:t xml:space="preserve"> </w:t>
      </w:r>
      <w:r w:rsidRPr="002B4F63">
        <w:rPr>
          <w:rFonts w:ascii="Avenir Book" w:eastAsia="Times New Roman" w:hAnsi="Avenir Book" w:cs="Times New Roman"/>
          <w:color w:val="000000"/>
          <w:sz w:val="22"/>
          <w:szCs w:val="22"/>
          <w:shd w:val="clear" w:color="auto" w:fill="FFFFFF"/>
          <w:lang w:val="en-GB"/>
        </w:rPr>
        <w:t xml:space="preserve">Courts in different Member States have generally refrained from holding that providers like hosting platforms could be primarily liable for third-party copyright infringements, although liability has been </w:t>
      </w:r>
      <w:r>
        <w:rPr>
          <w:rFonts w:ascii="Avenir Book" w:eastAsia="Times New Roman" w:hAnsi="Avenir Book" w:cs="Times New Roman"/>
          <w:color w:val="000000"/>
          <w:sz w:val="22"/>
          <w:szCs w:val="22"/>
          <w:shd w:val="clear" w:color="auto" w:fill="FFFFFF"/>
          <w:lang w:val="en-GB"/>
        </w:rPr>
        <w:t>established</w:t>
      </w:r>
      <w:r w:rsidRPr="002B4F63">
        <w:rPr>
          <w:rFonts w:ascii="Avenir Book" w:eastAsia="Times New Roman" w:hAnsi="Avenir Book" w:cs="Times New Roman"/>
          <w:color w:val="000000"/>
          <w:sz w:val="22"/>
          <w:szCs w:val="22"/>
          <w:shd w:val="clear" w:color="auto" w:fill="FFFFFF"/>
          <w:lang w:val="en-GB"/>
        </w:rPr>
        <w:t xml:space="preserve"> on different grounds: see, </w:t>
      </w:r>
      <w:r w:rsidRPr="002B4F63">
        <w:rPr>
          <w:rFonts w:ascii="Avenir Book" w:eastAsia="Times New Roman" w:hAnsi="Avenir Book" w:cs="Times New Roman"/>
          <w:i/>
          <w:iCs/>
          <w:color w:val="000000"/>
          <w:sz w:val="22"/>
          <w:szCs w:val="22"/>
          <w:shd w:val="clear" w:color="auto" w:fill="FFFFFF"/>
          <w:lang w:val="en-GB"/>
        </w:rPr>
        <w:t>ex multis</w:t>
      </w:r>
      <w:r w:rsidRPr="002B4F63">
        <w:rPr>
          <w:rFonts w:ascii="Avenir Book" w:eastAsia="Times New Roman" w:hAnsi="Avenir Book" w:cs="Times New Roman"/>
          <w:color w:val="000000"/>
          <w:sz w:val="22"/>
          <w:szCs w:val="22"/>
          <w:shd w:val="clear" w:color="auto" w:fill="FFFFFF"/>
          <w:lang w:val="en-GB"/>
        </w:rPr>
        <w:t>, the recent decisions of: District Court of Turin, </w:t>
      </w:r>
      <w:r>
        <w:rPr>
          <w:rFonts w:ascii="Avenir Book" w:eastAsia="Times New Roman" w:hAnsi="Avenir Book" w:cs="Times New Roman"/>
          <w:i/>
          <w:iCs/>
          <w:color w:val="000000"/>
          <w:sz w:val="22"/>
          <w:szCs w:val="22"/>
          <w:shd w:val="clear" w:color="auto" w:fill="FFFFFF"/>
          <w:lang w:val="en-GB"/>
        </w:rPr>
        <w:t>Delta TV Programs srl v Google Inc</w:t>
      </w:r>
      <w:r w:rsidRPr="002B4F63">
        <w:rPr>
          <w:rFonts w:ascii="Avenir Book" w:eastAsia="Times New Roman" w:hAnsi="Avenir Book" w:cs="Times New Roman"/>
          <w:i/>
          <w:iCs/>
          <w:color w:val="000000"/>
          <w:sz w:val="22"/>
          <w:szCs w:val="22"/>
          <w:shd w:val="clear" w:color="auto" w:fill="FFFFFF"/>
          <w:lang w:val="en-GB"/>
        </w:rPr>
        <w:t xml:space="preserve"> and YouTube</w:t>
      </w:r>
      <w:r w:rsidRPr="002B4F63">
        <w:rPr>
          <w:rFonts w:ascii="Avenir Book" w:eastAsia="Times New Roman" w:hAnsi="Avenir Book" w:cs="Times New Roman"/>
          <w:color w:val="000000"/>
          <w:sz w:val="22"/>
          <w:szCs w:val="22"/>
          <w:shd w:val="clear" w:color="auto" w:fill="FFFFFF"/>
          <w:lang w:val="en-GB"/>
        </w:rPr>
        <w:t> </w:t>
      </w:r>
      <w:r w:rsidRPr="00B5560B">
        <w:rPr>
          <w:rFonts w:ascii="Avenir Book" w:eastAsia="Times New Roman" w:hAnsi="Avenir Book" w:cs="Times New Roman"/>
          <w:i/>
          <w:color w:val="000000"/>
          <w:sz w:val="22"/>
          <w:szCs w:val="22"/>
          <w:shd w:val="clear" w:color="auto" w:fill="FFFFFF"/>
          <w:lang w:val="en-GB"/>
        </w:rPr>
        <w:t>LLC</w:t>
      </w:r>
      <w:r w:rsidRPr="002B4F63">
        <w:rPr>
          <w:rFonts w:ascii="Avenir Book" w:eastAsia="Times New Roman" w:hAnsi="Avenir Book" w:cs="Times New Roman"/>
          <w:color w:val="000000"/>
          <w:sz w:val="22"/>
          <w:szCs w:val="22"/>
          <w:shd w:val="clear" w:color="auto" w:fill="FFFFFF"/>
          <w:lang w:val="en-GB"/>
        </w:rPr>
        <w:t xml:space="preserve">, 7 April 2017, 1928/2017 (Italy); Court of Appeal of Hamburg, 1 July 2015, 5 U 87/12, and District Court of Munich I, 30 June 2015, 33 O 9639/14 (Germany). See further S Stalla-Bourdillon and Others, </w:t>
      </w:r>
      <w:r w:rsidRPr="002B4F63">
        <w:rPr>
          <w:rFonts w:ascii="Avenir Book" w:eastAsia="Times New Roman" w:hAnsi="Avenir Book" w:cs="Times New Roman"/>
          <w:b/>
          <w:bCs/>
          <w:color w:val="000000"/>
          <w:sz w:val="22"/>
          <w:szCs w:val="22"/>
          <w:shd w:val="clear" w:color="auto" w:fill="FFFFFF"/>
          <w:lang w:val="en-GB"/>
        </w:rPr>
        <w:t>‘</w:t>
      </w:r>
      <w:r w:rsidRPr="002B4F63">
        <w:rPr>
          <w:rFonts w:ascii="Avenir Book" w:eastAsia="Times New Roman" w:hAnsi="Avenir Book" w:cs="Times New Roman"/>
          <w:color w:val="000000"/>
          <w:sz w:val="22"/>
          <w:szCs w:val="22"/>
          <w:shd w:val="clear" w:color="auto" w:fill="FFFFFF"/>
          <w:lang w:val="en-GB"/>
        </w:rPr>
        <w:t>An academic perspective on the copyright reform</w:t>
      </w:r>
      <w:r w:rsidRPr="002B4F63">
        <w:rPr>
          <w:rFonts w:ascii="Avenir Book" w:eastAsia="Times New Roman" w:hAnsi="Avenir Book" w:cs="Times New Roman"/>
          <w:b/>
          <w:bCs/>
          <w:color w:val="000000"/>
          <w:sz w:val="22"/>
          <w:szCs w:val="22"/>
          <w:shd w:val="clear" w:color="auto" w:fill="FFFFFF"/>
          <w:lang w:val="en-GB"/>
        </w:rPr>
        <w:t>’</w:t>
      </w:r>
      <w:r w:rsidRPr="002B4F63">
        <w:rPr>
          <w:rFonts w:ascii="Avenir Book" w:eastAsia="Times New Roman" w:hAnsi="Avenir Book" w:cs="Times New Roman"/>
          <w:color w:val="000000"/>
          <w:sz w:val="22"/>
          <w:szCs w:val="22"/>
          <w:shd w:val="clear" w:color="auto" w:fill="FFFFFF"/>
          <w:lang w:val="en-GB"/>
        </w:rPr>
        <w:t> (2017) 33(13) </w:t>
      </w:r>
      <w:r w:rsidRPr="002B4F63">
        <w:rPr>
          <w:rFonts w:ascii="Avenir Book" w:eastAsia="Times New Roman" w:hAnsi="Avenir Book" w:cs="Times New Roman"/>
          <w:i/>
          <w:iCs/>
          <w:color w:val="000000"/>
          <w:sz w:val="22"/>
          <w:szCs w:val="22"/>
          <w:shd w:val="clear" w:color="auto" w:fill="FFFFFF"/>
          <w:lang w:val="en-GB"/>
        </w:rPr>
        <w:t>CSLR</w:t>
      </w:r>
      <w:r>
        <w:rPr>
          <w:rFonts w:ascii="Avenir Book" w:eastAsia="Times New Roman" w:hAnsi="Avenir Book" w:cs="Times New Roman"/>
          <w:color w:val="000000"/>
          <w:sz w:val="22"/>
          <w:szCs w:val="22"/>
          <w:shd w:val="clear" w:color="auto" w:fill="FFFFFF"/>
          <w:lang w:val="en-GB"/>
        </w:rPr>
        <w:t> 3</w:t>
      </w:r>
      <w:r w:rsidRPr="002B4F63">
        <w:rPr>
          <w:rFonts w:ascii="Avenir Book" w:eastAsia="Times New Roman" w:hAnsi="Avenir Book" w:cs="Times New Roman"/>
          <w:color w:val="000000"/>
          <w:sz w:val="22"/>
          <w:szCs w:val="22"/>
          <w:shd w:val="clear" w:color="auto" w:fill="FFFFFF"/>
          <w:lang w:val="en-GB"/>
        </w:rPr>
        <w:t>.</w:t>
      </w:r>
    </w:p>
  </w:endnote>
  <w:endnote w:id="6">
    <w:p w14:paraId="68F29FB1" w14:textId="11488057" w:rsidR="000D0EC5" w:rsidRPr="002B4F63" w:rsidRDefault="000D0EC5" w:rsidP="002B4F63">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bCs/>
          <w:color w:val="000000" w:themeColor="text1"/>
          <w:sz w:val="22"/>
          <w:szCs w:val="22"/>
          <w:lang w:val="en-GB"/>
        </w:rPr>
        <w:t>Directive 2000/31/EC of the European Parliament and of the Council of 8 June 2000 on certain legal aspects of information society services, in particular electronic commerce, in the Internal Market</w:t>
      </w:r>
      <w:r w:rsidRPr="002B4F63">
        <w:rPr>
          <w:rFonts w:ascii="Avenir Book" w:hAnsi="Avenir Book" w:cs="Times New Roman"/>
          <w:color w:val="000000" w:themeColor="text1"/>
          <w:sz w:val="22"/>
          <w:szCs w:val="22"/>
          <w:lang w:val="en-GB"/>
        </w:rPr>
        <w:t>, OJ 2000, L 178, pp 1-16.</w:t>
      </w:r>
    </w:p>
  </w:endnote>
  <w:endnote w:id="7">
    <w:p w14:paraId="01277FAA" w14:textId="2B257AF2"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Proposal for a Directive of the European Parliament and of the Council on copyright in the Digital Single Market, COM(2016)593.</w:t>
      </w:r>
    </w:p>
  </w:endnote>
  <w:endnote w:id="8">
    <w:p w14:paraId="7496C2CE" w14:textId="7E1DCA4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See World Intellectual Property Organization,</w:t>
      </w:r>
      <w:r w:rsidRPr="002B4F63">
        <w:rPr>
          <w:rFonts w:ascii="Avenir Book" w:hAnsi="Avenir Book" w:cs="Times New Roman"/>
          <w:i/>
          <w:color w:val="000000" w:themeColor="text1"/>
          <w:sz w:val="22"/>
          <w:szCs w:val="22"/>
          <w:lang w:val="en-GB"/>
        </w:rPr>
        <w:t xml:space="preserve"> Guide to copyright and related rights treaties administered by WIPO and glossary of copyright and related rights terms</w:t>
      </w:r>
      <w:r w:rsidRPr="002B4F63">
        <w:rPr>
          <w:rFonts w:ascii="Avenir Book" w:hAnsi="Avenir Book" w:cs="Times New Roman"/>
          <w:color w:val="000000" w:themeColor="text1"/>
          <w:sz w:val="22"/>
          <w:szCs w:val="22"/>
          <w:lang w:val="en-GB"/>
        </w:rPr>
        <w:t xml:space="preserve"> (2003), BC-11</w:t>
      </w:r>
      <w:r w:rsidRPr="002B4F63">
        <w:rPr>
          <w:rFonts w:ascii="Avenir Book" w:hAnsi="Avenir Book" w:cs="Times New Roman"/>
          <w:i/>
          <w:color w:val="000000" w:themeColor="text1"/>
          <w:sz w:val="22"/>
          <w:szCs w:val="22"/>
          <w:lang w:val="en-GB"/>
        </w:rPr>
        <w:t>bis</w:t>
      </w:r>
      <w:r w:rsidRPr="002B4F63">
        <w:rPr>
          <w:rFonts w:ascii="Avenir Book" w:hAnsi="Avenir Book" w:cs="Times New Roman"/>
          <w:color w:val="000000" w:themeColor="text1"/>
          <w:sz w:val="22"/>
          <w:szCs w:val="22"/>
          <w:lang w:val="en-GB"/>
        </w:rPr>
        <w:t>.1.</w:t>
      </w:r>
    </w:p>
  </w:endnote>
  <w:endnote w:id="9">
    <w:p w14:paraId="5F5DA020" w14:textId="72CC314F"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Article 1(4) WCT mandates compliance with Articles 1 to 21 of and the Appendix to the Berne Convention.</w:t>
      </w:r>
    </w:p>
  </w:endnote>
  <w:endnote w:id="10">
    <w:p w14:paraId="75AB92A4" w14:textId="1E8C91D9"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On the concept of making available within Article 8 WCT, see MM Walter, ‘Article 3 Right of communication to the public of works and right of making available to the public of other subject-matter’, in MM Walter – S von Lewinski, </w:t>
      </w:r>
      <w:r w:rsidRPr="002B4F63">
        <w:rPr>
          <w:rFonts w:ascii="Avenir Book" w:hAnsi="Avenir Book" w:cs="Times New Roman"/>
          <w:i/>
          <w:color w:val="000000" w:themeColor="text1"/>
          <w:sz w:val="22"/>
          <w:szCs w:val="22"/>
          <w:lang w:val="en-GB"/>
        </w:rPr>
        <w:t xml:space="preserve">European copyright law – A commentary </w:t>
      </w:r>
      <w:r w:rsidRPr="002B4F63">
        <w:rPr>
          <w:rFonts w:ascii="Avenir Book" w:hAnsi="Avenir Book" w:cs="Times New Roman"/>
          <w:color w:val="000000" w:themeColor="text1"/>
          <w:sz w:val="22"/>
          <w:szCs w:val="22"/>
          <w:lang w:val="en-GB"/>
        </w:rPr>
        <w:t>(2010:OUP), 975-980.</w:t>
      </w:r>
    </w:p>
  </w:endnote>
  <w:endnote w:id="11">
    <w:p w14:paraId="31B059B3" w14:textId="05383AC0"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EU legislature transposed the WIPO Internet Treaties 1996 (WCT and WIPO Performances and Phonograms Treaty into the EU legal order by adopting the InfoSoc Directive: see Recital 15 in the preamble thereof.</w:t>
      </w:r>
    </w:p>
  </w:endnote>
  <w:endnote w:id="12">
    <w:p w14:paraId="3AAEF82F" w14:textId="38BF736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Specifically referring to the need to ensure a high level of protection for authors, see: </w:t>
      </w:r>
      <w:r w:rsidRPr="002B4F63">
        <w:rPr>
          <w:rFonts w:ascii="Avenir Book" w:eastAsia="Times New Roman" w:hAnsi="Avenir Book" w:cs="Times New Roman"/>
          <w:bCs/>
          <w:i/>
          <w:color w:val="000000" w:themeColor="text1"/>
          <w:sz w:val="22"/>
          <w:szCs w:val="22"/>
          <w:bdr w:val="none" w:sz="0" w:space="0" w:color="auto" w:frame="1"/>
          <w:shd w:val="clear" w:color="auto" w:fill="FFFFFF"/>
          <w:lang w:val="en-GB"/>
        </w:rPr>
        <w:t>Sociedad General de Autores y Editores de España (SGAE) v Rafael Hoteles SA</w:t>
      </w:r>
      <w:r w:rsidRPr="002B4F63">
        <w:rPr>
          <w:rFonts w:ascii="Avenir Book" w:eastAsia="Times New Roman" w:hAnsi="Avenir Book" w:cs="Times New Roman"/>
          <w:bCs/>
          <w:color w:val="000000" w:themeColor="text1"/>
          <w:sz w:val="22"/>
          <w:szCs w:val="22"/>
          <w:bdr w:val="none" w:sz="0" w:space="0" w:color="auto" w:frame="1"/>
          <w:shd w:val="clear" w:color="auto" w:fill="FFFFFF"/>
          <w:lang w:val="en-GB"/>
        </w:rPr>
        <w:t xml:space="preserve">, C-306/05, </w:t>
      </w:r>
      <w:r w:rsidRPr="002B4F63">
        <w:rPr>
          <w:rFonts w:ascii="Avenir Book" w:eastAsia="Times New Roman" w:hAnsi="Avenir Book" w:cs="Times New Roman"/>
          <w:color w:val="000000" w:themeColor="text1"/>
          <w:sz w:val="22"/>
          <w:szCs w:val="22"/>
          <w:shd w:val="clear" w:color="auto" w:fill="FFFFFF"/>
          <w:lang w:val="en-GB"/>
        </w:rPr>
        <w:t>EU:C:2006:479 (</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i/>
          <w:color w:val="000000" w:themeColor="text1"/>
          <w:sz w:val="22"/>
          <w:szCs w:val="22"/>
          <w:shd w:val="clear" w:color="auto" w:fill="FFFFFF"/>
          <w:lang w:val="en-GB"/>
        </w:rPr>
        <w:t>SGAE</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w:t>
      </w:r>
      <w:r w:rsidRPr="002B4F63">
        <w:rPr>
          <w:rFonts w:ascii="Avenir Book" w:hAnsi="Avenir Book" w:cs="Times New Roman"/>
          <w:color w:val="000000" w:themeColor="text1"/>
          <w:sz w:val="22"/>
          <w:szCs w:val="22"/>
          <w:lang w:val="en-GB"/>
        </w:rPr>
        <w:t xml:space="preserve">, para 36; </w:t>
      </w:r>
      <w:r w:rsidRPr="002B4F63">
        <w:rPr>
          <w:rFonts w:ascii="Avenir Book" w:eastAsia="Times New Roman" w:hAnsi="Avenir Book" w:cs="Times New Roman"/>
          <w:bCs/>
          <w:i/>
          <w:color w:val="000000" w:themeColor="text1"/>
          <w:sz w:val="22"/>
          <w:szCs w:val="22"/>
          <w:shd w:val="clear" w:color="auto" w:fill="FFFFFF"/>
          <w:lang w:val="en-GB"/>
        </w:rPr>
        <w:t>Football Association Premier League Ltd and Others v QC Leisure and Others</w:t>
      </w:r>
      <w:r w:rsidRPr="002B4F63">
        <w:rPr>
          <w:rFonts w:ascii="Avenir Book" w:eastAsia="Times New Roman" w:hAnsi="Avenir Book" w:cs="Times New Roman"/>
          <w:bCs/>
          <w:color w:val="000000" w:themeColor="text1"/>
          <w:sz w:val="22"/>
          <w:szCs w:val="22"/>
          <w:shd w:val="clear" w:color="auto" w:fill="FFFFFF"/>
          <w:lang w:val="en-GB"/>
        </w:rPr>
        <w:t xml:space="preserve"> (C-403/08) and </w:t>
      </w:r>
      <w:r w:rsidRPr="002B4F63">
        <w:rPr>
          <w:rFonts w:ascii="Avenir Book" w:eastAsia="Times New Roman" w:hAnsi="Avenir Book" w:cs="Times New Roman"/>
          <w:bCs/>
          <w:i/>
          <w:color w:val="000000" w:themeColor="text1"/>
          <w:sz w:val="22"/>
          <w:szCs w:val="22"/>
          <w:shd w:val="clear" w:color="auto" w:fill="FFFFFF"/>
          <w:lang w:val="en-GB"/>
        </w:rPr>
        <w:t>Karen Murphy v Media Protection Services Ltd</w:t>
      </w:r>
      <w:r w:rsidRPr="002B4F63">
        <w:rPr>
          <w:rFonts w:ascii="Avenir Book" w:eastAsia="Times New Roman" w:hAnsi="Avenir Book" w:cs="Times New Roman"/>
          <w:bCs/>
          <w:color w:val="000000" w:themeColor="text1"/>
          <w:sz w:val="22"/>
          <w:szCs w:val="22"/>
          <w:shd w:val="clear" w:color="auto" w:fill="FFFFFF"/>
          <w:lang w:val="en-GB"/>
        </w:rPr>
        <w:t xml:space="preserve"> (C-429/08), EU:C:2011:631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FAPL</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hAnsi="Avenir Book" w:cs="Times New Roman"/>
          <w:color w:val="000000" w:themeColor="text1"/>
          <w:sz w:val="22"/>
          <w:szCs w:val="22"/>
          <w:lang w:val="en-GB"/>
        </w:rPr>
        <w:t xml:space="preserve">, para 186; </w:t>
      </w:r>
      <w:r w:rsidRPr="002B4F63">
        <w:rPr>
          <w:rFonts w:ascii="Avenir Book" w:hAnsi="Avenir Book" w:cs="Times New Roman"/>
          <w:bCs/>
          <w:i/>
          <w:color w:val="000000" w:themeColor="text1"/>
          <w:sz w:val="22"/>
          <w:szCs w:val="22"/>
          <w:lang w:val="en-GB"/>
        </w:rPr>
        <w:t>ITV Broadcasting Ltd and Others v TV Catch Up Ltd</w:t>
      </w:r>
      <w:r w:rsidRPr="002B4F63">
        <w:rPr>
          <w:rFonts w:ascii="Avenir Book" w:hAnsi="Avenir Book" w:cs="Times New Roman"/>
          <w:bCs/>
          <w:color w:val="000000" w:themeColor="text1"/>
          <w:sz w:val="22"/>
          <w:szCs w:val="22"/>
          <w:lang w:val="en-GB"/>
        </w:rPr>
        <w:t xml:space="preserve">, C-607/11, </w:t>
      </w:r>
      <w:r w:rsidRPr="002B4F63">
        <w:rPr>
          <w:rFonts w:ascii="Avenir Book" w:eastAsia="Times New Roman" w:hAnsi="Avenir Book" w:cs="Times New Roman"/>
          <w:bCs/>
          <w:color w:val="000000" w:themeColor="text1"/>
          <w:sz w:val="22"/>
          <w:szCs w:val="22"/>
          <w:shd w:val="clear" w:color="auto" w:fill="FFFFFF"/>
          <w:lang w:val="en-GB"/>
        </w:rPr>
        <w:t>EU:C:2013:147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TV Catch Up</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hAnsi="Avenir Book" w:cs="Times New Roman"/>
          <w:color w:val="000000" w:themeColor="text1"/>
          <w:sz w:val="22"/>
          <w:szCs w:val="22"/>
          <w:lang w:val="en-GB"/>
        </w:rPr>
        <w:t xml:space="preserve">, para 20; </w:t>
      </w:r>
      <w:r w:rsidRPr="002B4F63">
        <w:rPr>
          <w:rFonts w:ascii="Avenir Book" w:eastAsia="Times New Roman" w:hAnsi="Avenir Book" w:cs="Times New Roman"/>
          <w:bCs/>
          <w:i/>
          <w:color w:val="000000" w:themeColor="text1"/>
          <w:sz w:val="22"/>
          <w:szCs w:val="22"/>
          <w:shd w:val="clear" w:color="auto" w:fill="FFFFFF"/>
          <w:lang w:val="en-GB"/>
        </w:rPr>
        <w:t>OSA - Ochranný svaz autorský pro práva k dílům hudebním os v Léčebné lázně Mariánské Lázně as</w:t>
      </w:r>
      <w:r w:rsidRPr="002B4F63">
        <w:rPr>
          <w:rFonts w:ascii="Avenir Book" w:eastAsia="Times New Roman" w:hAnsi="Avenir Book" w:cs="Times New Roman"/>
          <w:bCs/>
          <w:color w:val="000000" w:themeColor="text1"/>
          <w:sz w:val="22"/>
          <w:szCs w:val="22"/>
          <w:shd w:val="clear" w:color="auto" w:fill="FFFFFF"/>
          <w:lang w:val="en-GB"/>
        </w:rPr>
        <w:t>, C-351/12, EU:C:2014:110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OSA</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hAnsi="Avenir Book" w:cs="Times New Roman"/>
          <w:color w:val="000000" w:themeColor="text1"/>
          <w:sz w:val="22"/>
          <w:szCs w:val="22"/>
          <w:lang w:val="en-GB"/>
        </w:rPr>
        <w:t xml:space="preserve">, para 23; </w:t>
      </w:r>
      <w:r w:rsidRPr="002B4F63">
        <w:rPr>
          <w:rFonts w:ascii="Avenir Book" w:eastAsia="Times New Roman" w:hAnsi="Avenir Book" w:cs="Times New Roman"/>
          <w:bCs/>
          <w:i/>
          <w:color w:val="000000" w:themeColor="text1"/>
          <w:sz w:val="22"/>
          <w:szCs w:val="22"/>
          <w:shd w:val="clear" w:color="auto" w:fill="FFFFFF"/>
          <w:lang w:val="en-GB"/>
        </w:rPr>
        <w:t>Sociedade Portuguesa de Autores CRL v Ministério Público and Others</w:t>
      </w:r>
      <w:r w:rsidRPr="002B4F63">
        <w:rPr>
          <w:rFonts w:ascii="Avenir Book" w:eastAsia="Times New Roman" w:hAnsi="Avenir Book" w:cs="Times New Roman"/>
          <w:color w:val="000000" w:themeColor="text1"/>
          <w:sz w:val="22"/>
          <w:szCs w:val="22"/>
          <w:lang w:val="en-GB"/>
        </w:rPr>
        <w:t xml:space="preserve">, C-151/15, </w:t>
      </w:r>
      <w:r w:rsidRPr="002B4F63">
        <w:rPr>
          <w:rFonts w:ascii="Avenir Book" w:eastAsia="Times New Roman" w:hAnsi="Avenir Book" w:cs="Times New Roman"/>
          <w:bCs/>
          <w:color w:val="000000" w:themeColor="text1"/>
          <w:sz w:val="22"/>
          <w:szCs w:val="22"/>
          <w:shd w:val="clear" w:color="auto" w:fill="FFFFFF"/>
          <w:lang w:val="en-GB"/>
        </w:rPr>
        <w:t>EU:C:2015:468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Sociedade Portuguesa de Autores</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 xml:space="preserve"> </w:t>
      </w:r>
      <w:r w:rsidRPr="002B4F63">
        <w:rPr>
          <w:rFonts w:ascii="Avenir Book" w:hAnsi="Avenir Book" w:cs="Times New Roman"/>
          <w:color w:val="000000" w:themeColor="text1"/>
          <w:sz w:val="22"/>
          <w:szCs w:val="22"/>
          <w:lang w:val="en-GB"/>
        </w:rPr>
        <w:t xml:space="preserve">para 12; </w:t>
      </w:r>
      <w:r w:rsidRPr="002B4F63">
        <w:rPr>
          <w:rFonts w:ascii="Avenir Book" w:hAnsi="Avenir Book" w:cs="Times New Roman"/>
          <w:bCs/>
          <w:i/>
          <w:color w:val="000000" w:themeColor="text1"/>
          <w:sz w:val="22"/>
          <w:szCs w:val="22"/>
          <w:lang w:val="en-GB"/>
        </w:rPr>
        <w:t>SBS Belgium NV v Belgische Vereniging van Auteurs, Componisten en Uitgevers (SABAM)</w:t>
      </w:r>
      <w:r w:rsidRPr="002B4F63">
        <w:rPr>
          <w:rFonts w:ascii="Avenir Book" w:eastAsia="Times New Roman" w:hAnsi="Avenir Book" w:cs="Times New Roman"/>
          <w:color w:val="000000" w:themeColor="text1"/>
          <w:sz w:val="22"/>
          <w:szCs w:val="22"/>
          <w:shd w:val="clear" w:color="auto" w:fill="FFFFFF"/>
          <w:lang w:val="en-GB"/>
        </w:rPr>
        <w:t>, C</w:t>
      </w:r>
      <w:r w:rsidRPr="002B4F63">
        <w:rPr>
          <w:rFonts w:ascii="Avenir Book" w:eastAsia="Times New Roman" w:hAnsi="Avenir Book" w:cs="Times New Roman"/>
          <w:color w:val="000000" w:themeColor="text1"/>
          <w:sz w:val="22"/>
          <w:szCs w:val="22"/>
          <w:shd w:val="clear" w:color="auto" w:fill="FFFFFF"/>
          <w:lang w:val="en-GB"/>
        </w:rPr>
        <w:noBreakHyphen/>
        <w:t>325/14, EU:C:2015:764 (</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i/>
          <w:color w:val="000000" w:themeColor="text1"/>
          <w:sz w:val="22"/>
          <w:szCs w:val="22"/>
          <w:shd w:val="clear" w:color="auto" w:fill="FFFFFF"/>
          <w:lang w:val="en-GB"/>
        </w:rPr>
        <w:t>SBS Belgium</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 xml:space="preserve">), </w:t>
      </w:r>
      <w:r w:rsidRPr="002B4F63">
        <w:rPr>
          <w:rFonts w:ascii="Avenir Book" w:hAnsi="Avenir Book" w:cs="Times New Roman"/>
          <w:color w:val="000000" w:themeColor="text1"/>
          <w:sz w:val="22"/>
          <w:szCs w:val="22"/>
          <w:lang w:val="en-GB"/>
        </w:rPr>
        <w:t xml:space="preserve">para 14; </w:t>
      </w:r>
      <w:r w:rsidRPr="002B4F63">
        <w:rPr>
          <w:rFonts w:ascii="Avenir Book" w:hAnsi="Avenir Book" w:cs="Times New Roman"/>
          <w:bCs/>
          <w:i/>
          <w:color w:val="000000" w:themeColor="text1"/>
          <w:sz w:val="22"/>
          <w:szCs w:val="22"/>
          <w:lang w:val="en-GB"/>
        </w:rPr>
        <w:t>GS Media BV v Sanoma Media Netherlands BV and Others</w:t>
      </w:r>
      <w:r w:rsidRPr="002B4F63">
        <w:rPr>
          <w:rFonts w:ascii="Avenir Book" w:hAnsi="Avenir Book" w:cs="Times New Roman"/>
          <w:bCs/>
          <w:color w:val="000000" w:themeColor="text1"/>
          <w:sz w:val="22"/>
          <w:szCs w:val="22"/>
          <w:lang w:val="en-GB"/>
        </w:rPr>
        <w:t xml:space="preserve">, C-160/15, </w:t>
      </w:r>
      <w:r w:rsidRPr="002B4F63">
        <w:rPr>
          <w:rFonts w:ascii="Avenir Book" w:eastAsia="Times New Roman" w:hAnsi="Avenir Book" w:cs="Times New Roman"/>
          <w:bCs/>
          <w:color w:val="000000" w:themeColor="text1"/>
          <w:sz w:val="22"/>
          <w:szCs w:val="22"/>
          <w:shd w:val="clear" w:color="auto" w:fill="FFFFFF"/>
          <w:lang w:val="en-GB"/>
        </w:rPr>
        <w:t>EU:C:2016:644</w:t>
      </w:r>
      <w:r w:rsidRPr="002B4F63">
        <w:rPr>
          <w:rFonts w:ascii="Avenir Book" w:hAnsi="Avenir Book" w:cs="Times New Roman"/>
          <w:color w:val="000000" w:themeColor="text1"/>
          <w:sz w:val="22"/>
          <w:szCs w:val="22"/>
          <w:lang w:val="en-GB"/>
        </w:rPr>
        <w:t xml:space="preserve"> (</w:t>
      </w:r>
      <w:r>
        <w:rPr>
          <w:rFonts w:ascii="Avenir Book" w:hAnsi="Avenir Book" w:cs="Times New Roman"/>
          <w:color w:val="000000" w:themeColor="text1"/>
          <w:sz w:val="22"/>
          <w:szCs w:val="22"/>
          <w:lang w:val="en-GB"/>
        </w:rPr>
        <w:t>‘</w:t>
      </w:r>
      <w:r w:rsidRPr="002B4F63">
        <w:rPr>
          <w:rFonts w:ascii="Avenir Book" w:hAnsi="Avenir Book" w:cs="Times New Roman"/>
          <w:i/>
          <w:color w:val="000000" w:themeColor="text1"/>
          <w:sz w:val="22"/>
          <w:szCs w:val="22"/>
          <w:lang w:val="en-GB"/>
        </w:rPr>
        <w:t>GS Media</w:t>
      </w:r>
      <w:r>
        <w:rPr>
          <w:rFonts w:ascii="Avenir Book" w:hAnsi="Avenir Book" w:cs="Times New Roman"/>
          <w:color w:val="000000" w:themeColor="text1"/>
          <w:sz w:val="22"/>
          <w:szCs w:val="22"/>
          <w:lang w:val="en-GB"/>
        </w:rPr>
        <w:t>’</w:t>
      </w:r>
      <w:r w:rsidRPr="002B4F63">
        <w:rPr>
          <w:rFonts w:ascii="Avenir Book" w:hAnsi="Avenir Book" w:cs="Times New Roman"/>
          <w:color w:val="000000" w:themeColor="text1"/>
          <w:sz w:val="22"/>
          <w:szCs w:val="22"/>
          <w:lang w:val="en-GB"/>
        </w:rPr>
        <w:t>)</w:t>
      </w:r>
      <w:r w:rsidRPr="002B4F63">
        <w:rPr>
          <w:rFonts w:ascii="Avenir Book" w:hAnsi="Avenir Book" w:cs="Times New Roman"/>
          <w:bCs/>
          <w:color w:val="000000" w:themeColor="text1"/>
          <w:sz w:val="22"/>
          <w:szCs w:val="22"/>
          <w:lang w:val="en-GB"/>
        </w:rPr>
        <w:t xml:space="preserve">, </w:t>
      </w:r>
      <w:r w:rsidRPr="002B4F63">
        <w:rPr>
          <w:rFonts w:ascii="Avenir Book" w:hAnsi="Avenir Book" w:cs="Times New Roman"/>
          <w:color w:val="000000" w:themeColor="text1"/>
          <w:sz w:val="22"/>
          <w:szCs w:val="22"/>
          <w:lang w:val="en-GB"/>
        </w:rPr>
        <w:t xml:space="preserve">para 30; </w:t>
      </w:r>
      <w:r w:rsidRPr="002B4F63">
        <w:rPr>
          <w:rFonts w:ascii="Avenir Book" w:hAnsi="Avenir Book" w:cs="Times New Roman"/>
          <w:bCs/>
          <w:i/>
          <w:color w:val="000000" w:themeColor="text1"/>
          <w:sz w:val="22"/>
          <w:szCs w:val="22"/>
          <w:lang w:val="en-GB"/>
        </w:rPr>
        <w:t xml:space="preserve">Stichting Brein </w:t>
      </w:r>
      <w:r w:rsidRPr="002B4F63">
        <w:rPr>
          <w:rFonts w:ascii="Avenir Book" w:hAnsi="Avenir Book" w:cs="Times New Roman"/>
          <w:i/>
          <w:color w:val="000000" w:themeColor="text1"/>
          <w:sz w:val="22"/>
          <w:szCs w:val="22"/>
          <w:lang w:val="en-GB"/>
        </w:rPr>
        <w:t xml:space="preserve">v </w:t>
      </w:r>
      <w:r w:rsidRPr="002B4F63">
        <w:rPr>
          <w:rFonts w:ascii="Avenir Book" w:hAnsi="Avenir Book" w:cs="Times New Roman"/>
          <w:bCs/>
          <w:i/>
          <w:color w:val="000000" w:themeColor="text1"/>
          <w:sz w:val="22"/>
          <w:szCs w:val="22"/>
          <w:lang w:val="en-GB"/>
        </w:rPr>
        <w:t>Jack Frederik Wullems,</w:t>
      </w:r>
      <w:r w:rsidRPr="002B4F63">
        <w:rPr>
          <w:rStyle w:val="apple-converted-space"/>
          <w:rFonts w:ascii="Avenir Book" w:hAnsi="Avenir Book" w:cs="Times New Roman"/>
          <w:i/>
          <w:color w:val="000000" w:themeColor="text1"/>
          <w:sz w:val="22"/>
          <w:szCs w:val="22"/>
          <w:lang w:val="en-GB"/>
        </w:rPr>
        <w:t> </w:t>
      </w:r>
      <w:r w:rsidRPr="002B4F63">
        <w:rPr>
          <w:rFonts w:ascii="Avenir Book" w:hAnsi="Avenir Book" w:cs="Times New Roman"/>
          <w:i/>
          <w:color w:val="000000" w:themeColor="text1"/>
          <w:sz w:val="22"/>
          <w:szCs w:val="22"/>
          <w:lang w:val="en-GB"/>
        </w:rPr>
        <w:t>also trading under the name Filmspeler</w:t>
      </w:r>
      <w:r w:rsidRPr="002B4F63">
        <w:rPr>
          <w:rFonts w:ascii="Avenir Book" w:hAnsi="Avenir Book" w:cs="Times New Roman"/>
          <w:color w:val="000000" w:themeColor="text1"/>
          <w:sz w:val="22"/>
          <w:szCs w:val="22"/>
          <w:lang w:val="en-GB"/>
        </w:rPr>
        <w:t>, C-527/15, EU:C:2017:300 (</w:t>
      </w:r>
      <w:r>
        <w:rPr>
          <w:rFonts w:ascii="Avenir Book" w:hAnsi="Avenir Book" w:cs="Times New Roman"/>
          <w:color w:val="000000" w:themeColor="text1"/>
          <w:sz w:val="22"/>
          <w:szCs w:val="22"/>
          <w:lang w:val="en-GB"/>
        </w:rPr>
        <w:t>‘</w:t>
      </w:r>
      <w:r w:rsidRPr="002B4F63">
        <w:rPr>
          <w:rFonts w:ascii="Avenir Book" w:hAnsi="Avenir Book" w:cs="Times New Roman"/>
          <w:i/>
          <w:color w:val="000000" w:themeColor="text1"/>
          <w:sz w:val="22"/>
          <w:szCs w:val="22"/>
          <w:lang w:val="en-GB"/>
        </w:rPr>
        <w:t>Filmspeler</w:t>
      </w:r>
      <w:r>
        <w:rPr>
          <w:rFonts w:ascii="Avenir Book" w:hAnsi="Avenir Book" w:cs="Times New Roman"/>
          <w:color w:val="000000" w:themeColor="text1"/>
          <w:sz w:val="22"/>
          <w:szCs w:val="22"/>
          <w:lang w:val="en-GB"/>
        </w:rPr>
        <w:t>’</w:t>
      </w:r>
      <w:r w:rsidRPr="002B4F63">
        <w:rPr>
          <w:rFonts w:ascii="Avenir Book" w:hAnsi="Avenir Book" w:cs="Times New Roman"/>
          <w:color w:val="000000" w:themeColor="text1"/>
          <w:sz w:val="22"/>
          <w:szCs w:val="22"/>
          <w:lang w:val="en-GB"/>
        </w:rPr>
        <w:t xml:space="preserve">), para 27;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22.</w:t>
      </w:r>
    </w:p>
  </w:endnote>
  <w:endnote w:id="13">
    <w:p w14:paraId="139E5055" w14:textId="49EE6D28" w:rsidR="000D0EC5" w:rsidRPr="002B4F63" w:rsidRDefault="000D0EC5" w:rsidP="005D465F">
      <w:pPr>
        <w:spacing w:after="200"/>
        <w:jc w:val="both"/>
        <w:rPr>
          <w:rFonts w:ascii="Avenir Book" w:eastAsia="Times New Roman" w:hAnsi="Avenir Book" w:cs="Times New Roman"/>
          <w:bCs/>
          <w:color w:val="000000" w:themeColor="text1"/>
          <w:sz w:val="22"/>
          <w:szCs w:val="22"/>
          <w:shd w:val="clear" w:color="auto" w:fill="FFFFFF"/>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They are (in chronological order): </w:t>
      </w:r>
      <w:r w:rsidRPr="002B4F63">
        <w:rPr>
          <w:rFonts w:ascii="Avenir Book" w:eastAsia="Times New Roman" w:hAnsi="Avenir Book" w:cs="Times New Roman"/>
          <w:bCs/>
          <w:i/>
          <w:color w:val="000000" w:themeColor="text1"/>
          <w:sz w:val="22"/>
          <w:szCs w:val="22"/>
          <w:bdr w:val="none" w:sz="0" w:space="0" w:color="auto" w:frame="1"/>
          <w:shd w:val="clear" w:color="auto" w:fill="FFFFFF"/>
          <w:lang w:val="en-GB"/>
        </w:rPr>
        <w:t>SGAE</w:t>
      </w:r>
      <w:r w:rsidRPr="002B4F63">
        <w:rPr>
          <w:rFonts w:ascii="Avenir Book" w:eastAsia="Times New Roman" w:hAnsi="Avenir Book" w:cs="Times New Roman"/>
          <w:color w:val="000000" w:themeColor="text1"/>
          <w:sz w:val="22"/>
          <w:szCs w:val="22"/>
          <w:lang w:val="en-GB"/>
        </w:rPr>
        <w:t xml:space="preserve">; </w:t>
      </w:r>
      <w:r w:rsidRPr="002B4F63">
        <w:rPr>
          <w:rFonts w:ascii="Avenir Book" w:eastAsia="Times New Roman" w:hAnsi="Avenir Book" w:cs="Times New Roman"/>
          <w:i/>
          <w:iCs/>
          <w:color w:val="000000" w:themeColor="text1"/>
          <w:sz w:val="22"/>
          <w:szCs w:val="22"/>
          <w:shd w:val="clear" w:color="auto" w:fill="FFFFFF"/>
          <w:lang w:val="en-GB"/>
        </w:rPr>
        <w:t xml:space="preserve">Organismos Sillogikis Diacheirisis Dimiourgon Theatrikon kai Optikoakoustikon Ergon v </w:t>
      </w:r>
      <w:r w:rsidRPr="002B4F63">
        <w:rPr>
          <w:rFonts w:ascii="Avenir Book" w:eastAsia="Times New Roman" w:hAnsi="Avenir Book" w:cs="Times New Roman"/>
          <w:bCs/>
          <w:i/>
          <w:color w:val="000000" w:themeColor="text1"/>
          <w:sz w:val="22"/>
          <w:szCs w:val="22"/>
          <w:shd w:val="clear" w:color="auto" w:fill="FFFFFF"/>
          <w:lang w:val="en-GB"/>
        </w:rPr>
        <w:t>Divani Akropolis Anonimi Xenodocheiaki kai Touristiki Etaireia</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 xml:space="preserve"> C-136/09, </w:t>
      </w:r>
      <w:r w:rsidRPr="002B4F63">
        <w:rPr>
          <w:rFonts w:ascii="Avenir Book" w:eastAsia="Times New Roman" w:hAnsi="Avenir Book" w:cs="Times New Roman"/>
          <w:bCs/>
          <w:color w:val="000000" w:themeColor="text1"/>
          <w:sz w:val="22"/>
          <w:szCs w:val="22"/>
          <w:shd w:val="clear" w:color="auto" w:fill="FFFFFF"/>
          <w:lang w:val="en-GB"/>
        </w:rPr>
        <w:t>EU:C:2010:151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i/>
          <w:iCs/>
          <w:color w:val="000000" w:themeColor="text1"/>
          <w:sz w:val="22"/>
          <w:szCs w:val="22"/>
          <w:shd w:val="clear" w:color="auto" w:fill="FFFFFF"/>
          <w:lang w:val="en-GB"/>
        </w:rPr>
        <w:t>Organismos Sillogikis Diacheirisis</w:t>
      </w:r>
      <w:r>
        <w:rPr>
          <w:rFonts w:ascii="Avenir Book" w:eastAsia="Times New Roman" w:hAnsi="Avenir Book" w:cs="Times New Roman"/>
          <w:iCs/>
          <w:color w:val="000000" w:themeColor="text1"/>
          <w:sz w:val="22"/>
          <w:szCs w:val="22"/>
          <w:shd w:val="clear" w:color="auto" w:fill="FFFFFF"/>
          <w:lang w:val="en-GB"/>
        </w:rPr>
        <w:t>’</w:t>
      </w:r>
      <w:r w:rsidRPr="002B4F63">
        <w:rPr>
          <w:rFonts w:ascii="Avenir Book" w:eastAsia="Times New Roman" w:hAnsi="Avenir Book" w:cs="Times New Roman"/>
          <w:i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Circul Globus Bucureşti (Circ &amp; Variete Globus Bucureşti) v Uniunea Compozitorilor şi Muzicologilor din România - Asociaţia pentru Drepturi de Autor (UCMR - ADA)</w:t>
      </w:r>
      <w:r w:rsidRPr="002B4F63">
        <w:rPr>
          <w:rFonts w:ascii="Avenir Book" w:eastAsia="Times New Roman" w:hAnsi="Avenir Book" w:cs="Times New Roman"/>
          <w:bCs/>
          <w:color w:val="000000" w:themeColor="text1"/>
          <w:sz w:val="22"/>
          <w:szCs w:val="22"/>
          <w:shd w:val="clear" w:color="auto" w:fill="FFFFFF"/>
          <w:lang w:val="en-GB"/>
        </w:rPr>
        <w:t>, C-283/10, EU:C:2011:772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Circul Globus Bucureşti</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FAPL</w:t>
      </w:r>
      <w:r w:rsidRPr="002B4F63">
        <w:rPr>
          <w:rFonts w:ascii="Avenir Book" w:eastAsia="Times New Roman" w:hAnsi="Avenir Book" w:cs="Times New Roman"/>
          <w:color w:val="000000" w:themeColor="text1"/>
          <w:sz w:val="22"/>
          <w:szCs w:val="22"/>
          <w:lang w:val="en-GB"/>
        </w:rPr>
        <w:t>;</w:t>
      </w:r>
      <w:r w:rsidRPr="002B4F63">
        <w:rPr>
          <w:rFonts w:ascii="Avenir Book" w:hAnsi="Avenir Book" w:cs="Times New Roman"/>
          <w:bCs/>
          <w:color w:val="000000" w:themeColor="text1"/>
          <w:sz w:val="22"/>
          <w:szCs w:val="22"/>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Airfield NV and Canal Digitaal BV v Belgische Vereniging van Auteurs, Componisten en Uitgevers CVBA (Sabam)</w:t>
      </w:r>
      <w:r w:rsidRPr="002B4F63">
        <w:rPr>
          <w:rFonts w:ascii="Avenir Book" w:eastAsia="Times New Roman" w:hAnsi="Avenir Book" w:cs="Times New Roman"/>
          <w:bCs/>
          <w:color w:val="000000" w:themeColor="text1"/>
          <w:sz w:val="22"/>
          <w:szCs w:val="22"/>
          <w:shd w:val="clear" w:color="auto" w:fill="FFFFFF"/>
          <w:lang w:val="en-GB"/>
        </w:rPr>
        <w:t xml:space="preserve"> (C-431/09) </w:t>
      </w:r>
      <w:r w:rsidRPr="002B4F63">
        <w:rPr>
          <w:rFonts w:ascii="Avenir Book" w:eastAsia="Times New Roman" w:hAnsi="Avenir Book" w:cs="Times New Roman"/>
          <w:bCs/>
          <w:i/>
          <w:color w:val="000000" w:themeColor="text1"/>
          <w:sz w:val="22"/>
          <w:szCs w:val="22"/>
          <w:shd w:val="clear" w:color="auto" w:fill="FFFFFF"/>
          <w:lang w:val="en-GB"/>
        </w:rPr>
        <w:t xml:space="preserve">and Airfield NV v Agicoa Belgium BVBA </w:t>
      </w:r>
      <w:r w:rsidRPr="002B4F63">
        <w:rPr>
          <w:rFonts w:ascii="Avenir Book" w:eastAsia="Times New Roman" w:hAnsi="Avenir Book" w:cs="Times New Roman"/>
          <w:bCs/>
          <w:color w:val="000000" w:themeColor="text1"/>
          <w:sz w:val="22"/>
          <w:szCs w:val="22"/>
          <w:shd w:val="clear" w:color="auto" w:fill="FFFFFF"/>
          <w:lang w:val="en-GB"/>
        </w:rPr>
        <w:t>(C-432/09), EU:C:2011:648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Airfield</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Società Consortile Fonografici (SCF) v Marco Del Corso</w:t>
      </w:r>
      <w:r w:rsidRPr="002B4F63">
        <w:rPr>
          <w:rFonts w:ascii="Avenir Book" w:eastAsia="Times New Roman" w:hAnsi="Avenir Book" w:cs="Times New Roman"/>
          <w:color w:val="000000" w:themeColor="text1"/>
          <w:sz w:val="22"/>
          <w:szCs w:val="22"/>
          <w:shd w:val="clear" w:color="auto" w:fill="FFFFFF"/>
          <w:lang w:val="en-GB"/>
        </w:rPr>
        <w:t>, C</w:t>
      </w:r>
      <w:r w:rsidRPr="002B4F63">
        <w:rPr>
          <w:rFonts w:ascii="Avenir Book" w:eastAsia="Times New Roman" w:hAnsi="Avenir Book" w:cs="Times New Roman"/>
          <w:color w:val="000000" w:themeColor="text1"/>
          <w:sz w:val="22"/>
          <w:szCs w:val="22"/>
          <w:shd w:val="clear" w:color="auto" w:fill="FFFFFF"/>
          <w:lang w:val="en-GB"/>
        </w:rPr>
        <w:noBreakHyphen/>
        <w:t>135/10, EU:C:2012:140 (</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i/>
          <w:color w:val="000000" w:themeColor="text1"/>
          <w:sz w:val="22"/>
          <w:szCs w:val="22"/>
          <w:shd w:val="clear" w:color="auto" w:fill="FFFFFF"/>
          <w:lang w:val="en-GB"/>
        </w:rPr>
        <w:t>SCF</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lang w:val="en-GB"/>
        </w:rPr>
        <w:t xml:space="preserve">; </w:t>
      </w:r>
      <w:r w:rsidRPr="002B4F63">
        <w:rPr>
          <w:rFonts w:ascii="Avenir Book" w:hAnsi="Avenir Book" w:cs="Times New Roman"/>
          <w:bCs/>
          <w:i/>
          <w:color w:val="000000" w:themeColor="text1"/>
          <w:sz w:val="22"/>
          <w:szCs w:val="22"/>
          <w:lang w:val="en-GB"/>
        </w:rPr>
        <w:t>Phonographic Performance (Ireland) Limited v Ireland and Attorney General</w:t>
      </w:r>
      <w:r w:rsidRPr="002B4F63">
        <w:rPr>
          <w:rFonts w:ascii="Avenir Book" w:hAnsi="Avenir Book" w:cs="Times New Roman"/>
          <w:bCs/>
          <w:color w:val="000000" w:themeColor="text1"/>
          <w:sz w:val="22"/>
          <w:szCs w:val="22"/>
          <w:lang w:val="en-GB"/>
        </w:rPr>
        <w:t xml:space="preserve">, C-162/10, </w:t>
      </w:r>
      <w:r w:rsidRPr="002B4F63">
        <w:rPr>
          <w:rFonts w:ascii="Avenir Book" w:eastAsia="Times New Roman" w:hAnsi="Avenir Book" w:cs="Times New Roman"/>
          <w:bCs/>
          <w:color w:val="000000" w:themeColor="text1"/>
          <w:sz w:val="22"/>
          <w:szCs w:val="22"/>
          <w:shd w:val="clear" w:color="auto" w:fill="FFFFFF"/>
          <w:lang w:val="en-GB"/>
        </w:rPr>
        <w:t>EU:C:2012:141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PPI</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lang w:val="en-GB"/>
        </w:rPr>
        <w:t xml:space="preserve"> </w:t>
      </w:r>
      <w:r w:rsidRPr="002B4F63">
        <w:rPr>
          <w:rFonts w:ascii="Avenir Book" w:hAnsi="Avenir Book" w:cs="Times New Roman"/>
          <w:bCs/>
          <w:i/>
          <w:color w:val="000000" w:themeColor="text1"/>
          <w:sz w:val="22"/>
          <w:szCs w:val="22"/>
          <w:lang w:val="en-GB"/>
        </w:rPr>
        <w:t>TV Catch Up</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lang w:val="en-GB"/>
        </w:rPr>
        <w:t xml:space="preserve"> </w:t>
      </w:r>
      <w:r w:rsidRPr="002B4F63">
        <w:rPr>
          <w:rFonts w:ascii="Avenir Book" w:hAnsi="Avenir Book" w:cs="Times New Roman"/>
          <w:bCs/>
          <w:i/>
          <w:color w:val="000000" w:themeColor="text1"/>
          <w:sz w:val="22"/>
          <w:szCs w:val="22"/>
          <w:lang w:val="en-GB"/>
        </w:rPr>
        <w:t>Nils Svensson and Others v Retriever Sverige AB</w:t>
      </w:r>
      <w:r w:rsidRPr="002B4F63">
        <w:rPr>
          <w:rFonts w:ascii="Avenir Book" w:hAnsi="Avenir Book" w:cs="Times New Roman"/>
          <w:bCs/>
          <w:color w:val="000000" w:themeColor="text1"/>
          <w:sz w:val="22"/>
          <w:szCs w:val="22"/>
          <w:lang w:val="en-GB"/>
        </w:rPr>
        <w:t>, C-466/12 (</w:t>
      </w:r>
      <w:r>
        <w:rPr>
          <w:rFonts w:ascii="Avenir Book" w:hAnsi="Avenir Book" w:cs="Times New Roman"/>
          <w:bCs/>
          <w:color w:val="000000" w:themeColor="text1"/>
          <w:sz w:val="22"/>
          <w:szCs w:val="22"/>
          <w:lang w:val="en-GB"/>
        </w:rPr>
        <w:t>‘</w:t>
      </w:r>
      <w:r w:rsidRPr="002B4F63">
        <w:rPr>
          <w:rFonts w:ascii="Avenir Book" w:hAnsi="Avenir Book" w:cs="Times New Roman"/>
          <w:bCs/>
          <w:i/>
          <w:color w:val="000000" w:themeColor="text1"/>
          <w:sz w:val="22"/>
          <w:szCs w:val="22"/>
          <w:lang w:val="en-GB"/>
        </w:rPr>
        <w:t>Svensson</w:t>
      </w:r>
      <w:r>
        <w:rPr>
          <w:rFonts w:ascii="Avenir Book" w:hAnsi="Avenir Book" w:cs="Times New Roman"/>
          <w:bCs/>
          <w:color w:val="000000" w:themeColor="text1"/>
          <w:sz w:val="22"/>
          <w:szCs w:val="22"/>
          <w:lang w:val="en-GB"/>
        </w:rPr>
        <w:t>’</w:t>
      </w:r>
      <w:r w:rsidRPr="002B4F63">
        <w:rPr>
          <w:rFonts w:ascii="Avenir Book" w:hAnsi="Avenir Book" w:cs="Times New Roman"/>
          <w:bCs/>
          <w:color w:val="000000" w:themeColor="text1"/>
          <w:sz w:val="22"/>
          <w:szCs w:val="22"/>
          <w:lang w:val="en-GB"/>
        </w:rPr>
        <w:t xml:space="preserve">), </w:t>
      </w:r>
      <w:r w:rsidRPr="002B4F63">
        <w:rPr>
          <w:rFonts w:ascii="Avenir Book" w:eastAsia="Times New Roman" w:hAnsi="Avenir Book" w:cs="Times New Roman"/>
          <w:bCs/>
          <w:color w:val="000000" w:themeColor="text1"/>
          <w:sz w:val="22"/>
          <w:szCs w:val="22"/>
          <w:shd w:val="clear" w:color="auto" w:fill="FFFFFF"/>
          <w:lang w:val="en-GB"/>
        </w:rPr>
        <w:t>EU:C:2014:76</w:t>
      </w:r>
      <w:r w:rsidRPr="002B4F63">
        <w:rPr>
          <w:rFonts w:ascii="Avenir Book" w:eastAsia="Times New Roman" w:hAnsi="Avenir Book" w:cs="Times New Roman"/>
          <w:color w:val="000000" w:themeColor="text1"/>
          <w:sz w:val="22"/>
          <w:szCs w:val="22"/>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OSA</w:t>
      </w:r>
      <w:r w:rsidRPr="002B4F63">
        <w:rPr>
          <w:rFonts w:ascii="Avenir Book" w:eastAsia="Times New Roman" w:hAnsi="Avenir Book" w:cs="Times New Roman"/>
          <w:color w:val="000000" w:themeColor="text1"/>
          <w:sz w:val="22"/>
          <w:szCs w:val="22"/>
          <w:lang w:val="en-GB"/>
        </w:rPr>
        <w:t xml:space="preserve">; </w:t>
      </w:r>
      <w:r w:rsidRPr="002B4F63">
        <w:rPr>
          <w:rFonts w:ascii="Avenir Book" w:eastAsia="Times New Roman" w:hAnsi="Avenir Book" w:cs="Times New Roman"/>
          <w:i/>
          <w:color w:val="000000" w:themeColor="text1"/>
          <w:sz w:val="22"/>
          <w:szCs w:val="22"/>
          <w:lang w:val="en-GB"/>
        </w:rPr>
        <w:t>BestWater International v Mebes and Potsch</w:t>
      </w:r>
      <w:r w:rsidRPr="002B4F63">
        <w:rPr>
          <w:rFonts w:ascii="Avenir Book" w:eastAsia="Times New Roman" w:hAnsi="Avenir Book" w:cs="Times New Roman"/>
          <w:color w:val="000000" w:themeColor="text1"/>
          <w:sz w:val="22"/>
          <w:szCs w:val="22"/>
          <w:lang w:val="en-GB"/>
        </w:rPr>
        <w:t xml:space="preserve">, C-348/13, </w:t>
      </w:r>
      <w:r w:rsidRPr="002B4F63">
        <w:rPr>
          <w:rFonts w:ascii="Avenir Book" w:eastAsia="Times New Roman" w:hAnsi="Avenir Book" w:cs="Times New Roman"/>
          <w:bCs/>
          <w:color w:val="000000" w:themeColor="text1"/>
          <w:sz w:val="22"/>
          <w:szCs w:val="22"/>
          <w:shd w:val="clear" w:color="auto" w:fill="FFFFFF"/>
          <w:lang w:val="en-GB"/>
        </w:rPr>
        <w:t>EU:C:2014:2315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BestWater</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lang w:val="en-GB"/>
        </w:rPr>
        <w:t xml:space="preserve">; </w:t>
      </w:r>
      <w:r w:rsidRPr="002B4F63">
        <w:rPr>
          <w:rFonts w:ascii="Avenir Book" w:hAnsi="Avenir Book" w:cs="Times New Roman"/>
          <w:bCs/>
          <w:i/>
          <w:color w:val="000000" w:themeColor="text1"/>
          <w:sz w:val="22"/>
          <w:szCs w:val="22"/>
          <w:lang w:val="en-GB"/>
        </w:rPr>
        <w:t>C More Entertainment AB v Linus Sandberg</w:t>
      </w:r>
      <w:r w:rsidRPr="002B4F63">
        <w:rPr>
          <w:rFonts w:ascii="Avenir Book" w:hAnsi="Avenir Book" w:cs="Times New Roman"/>
          <w:bCs/>
          <w:color w:val="000000" w:themeColor="text1"/>
          <w:sz w:val="22"/>
          <w:szCs w:val="22"/>
          <w:lang w:val="en-GB"/>
        </w:rPr>
        <w:t xml:space="preserve">, C-279/13, </w:t>
      </w:r>
      <w:r w:rsidRPr="002B4F63">
        <w:rPr>
          <w:rFonts w:ascii="Avenir Book" w:eastAsia="Times New Roman" w:hAnsi="Avenir Book" w:cs="Times New Roman"/>
          <w:bCs/>
          <w:color w:val="000000" w:themeColor="text1"/>
          <w:sz w:val="22"/>
          <w:szCs w:val="22"/>
          <w:shd w:val="clear" w:color="auto" w:fill="FFFFFF"/>
          <w:lang w:val="en-GB"/>
        </w:rPr>
        <w:t xml:space="preserve">EU:C:2015:199; </w:t>
      </w:r>
      <w:r w:rsidRPr="002B4F63">
        <w:rPr>
          <w:rFonts w:ascii="Avenir Book" w:eastAsia="Times New Roman" w:hAnsi="Avenir Book" w:cs="Times New Roman"/>
          <w:bCs/>
          <w:i/>
          <w:color w:val="000000" w:themeColor="text1"/>
          <w:sz w:val="22"/>
          <w:szCs w:val="22"/>
          <w:shd w:val="clear" w:color="auto" w:fill="FFFFFF"/>
          <w:lang w:val="en-GB"/>
        </w:rPr>
        <w:t>Sociedade Portuguesa de Autores</w:t>
      </w:r>
      <w:r w:rsidRPr="002B4F63">
        <w:rPr>
          <w:rFonts w:ascii="Avenir Book" w:eastAsia="Times New Roman" w:hAnsi="Avenir Book" w:cs="Times New Roman"/>
          <w:color w:val="000000" w:themeColor="text1"/>
          <w:sz w:val="22"/>
          <w:szCs w:val="22"/>
          <w:lang w:val="en-GB"/>
        </w:rPr>
        <w:t xml:space="preserve">; </w:t>
      </w:r>
      <w:r w:rsidRPr="002B4F63">
        <w:rPr>
          <w:rFonts w:ascii="Avenir Book" w:hAnsi="Avenir Book" w:cs="Times New Roman"/>
          <w:bCs/>
          <w:i/>
          <w:color w:val="000000" w:themeColor="text1"/>
          <w:sz w:val="22"/>
          <w:szCs w:val="22"/>
          <w:lang w:val="en-GB"/>
        </w:rPr>
        <w:t>SBS Belgium</w:t>
      </w:r>
      <w:r w:rsidRPr="002B4F63">
        <w:rPr>
          <w:rFonts w:ascii="Avenir Book" w:hAnsi="Avenir Book" w:cs="Times New Roman"/>
          <w:bCs/>
          <w:color w:val="000000" w:themeColor="text1"/>
          <w:sz w:val="22"/>
          <w:szCs w:val="22"/>
          <w:lang w:val="en-GB"/>
        </w:rPr>
        <w:t>;</w:t>
      </w:r>
      <w:r w:rsidRPr="002B4F63">
        <w:rPr>
          <w:rFonts w:ascii="Avenir Book" w:hAnsi="Avenir Book" w:cs="Times New Roman"/>
          <w:bCs/>
          <w:i/>
          <w:color w:val="000000" w:themeColor="text1"/>
          <w:sz w:val="22"/>
          <w:szCs w:val="22"/>
          <w:lang w:val="en-GB"/>
        </w:rPr>
        <w:t xml:space="preserve"> Reha Training Gesellschaft für Sport- und Unfallrehabilitation mbH v Gesellschaft für musikalische Aufführungs- und mechanische Vervielfältigungsrechte (GEMA)</w:t>
      </w:r>
      <w:r w:rsidRPr="002B4F63">
        <w:rPr>
          <w:rFonts w:ascii="Avenir Book" w:eastAsia="Times New Roman" w:hAnsi="Avenir Book" w:cs="Times New Roman"/>
          <w:color w:val="000000" w:themeColor="text1"/>
          <w:sz w:val="22"/>
          <w:szCs w:val="22"/>
          <w:shd w:val="clear" w:color="auto" w:fill="FFFFFF"/>
          <w:lang w:val="en-GB"/>
        </w:rPr>
        <w:t>, C</w:t>
      </w:r>
      <w:r w:rsidRPr="002B4F63">
        <w:rPr>
          <w:rFonts w:ascii="Avenir Book" w:eastAsia="Times New Roman" w:hAnsi="Avenir Book" w:cs="Times New Roman"/>
          <w:color w:val="000000" w:themeColor="text1"/>
          <w:sz w:val="22"/>
          <w:szCs w:val="22"/>
          <w:shd w:val="clear" w:color="auto" w:fill="FFFFFF"/>
          <w:lang w:val="en-GB"/>
        </w:rPr>
        <w:noBreakHyphen/>
        <w:t>117/15, EU:C:2016:379 (</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i/>
          <w:color w:val="000000" w:themeColor="text1"/>
          <w:sz w:val="22"/>
          <w:szCs w:val="22"/>
          <w:shd w:val="clear" w:color="auto" w:fill="FFFFFF"/>
          <w:lang w:val="en-GB"/>
        </w:rPr>
        <w:t>Reha Training</w:t>
      </w:r>
      <w:r>
        <w:rPr>
          <w:rFonts w:ascii="Avenir Book" w:eastAsia="Times New Roman" w:hAnsi="Avenir Book" w:cs="Times New Roman"/>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 xml:space="preserve">); </w:t>
      </w:r>
      <w:r w:rsidRPr="002B4F63">
        <w:rPr>
          <w:rFonts w:ascii="Avenir Book" w:hAnsi="Avenir Book" w:cs="Times New Roman"/>
          <w:bCs/>
          <w:i/>
          <w:color w:val="000000" w:themeColor="text1"/>
          <w:sz w:val="22"/>
          <w:szCs w:val="22"/>
          <w:lang w:val="en-GB"/>
        </w:rPr>
        <w:t>GS Media</w:t>
      </w:r>
      <w:r w:rsidRPr="002B4F63">
        <w:rPr>
          <w:rFonts w:ascii="Avenir Book" w:eastAsia="Times New Roman" w:hAnsi="Avenir Book" w:cs="Times New Roman"/>
          <w:bCs/>
          <w:color w:val="000000" w:themeColor="text1"/>
          <w:sz w:val="22"/>
          <w:szCs w:val="22"/>
          <w:shd w:val="clear" w:color="auto" w:fill="FFFFFF"/>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Filmspeler</w:t>
      </w:r>
      <w:r w:rsidRPr="002B4F63">
        <w:rPr>
          <w:rFonts w:ascii="Avenir Book" w:eastAsia="Times New Roman" w:hAnsi="Avenir Book" w:cs="Times New Roman"/>
          <w:bCs/>
          <w:color w:val="000000" w:themeColor="text1"/>
          <w:sz w:val="22"/>
          <w:szCs w:val="22"/>
          <w:shd w:val="clear" w:color="auto" w:fill="FFFFFF"/>
          <w:lang w:val="en-GB"/>
        </w:rPr>
        <w:t xml:space="preserve">; </w:t>
      </w:r>
      <w:r w:rsidRPr="002B4F63">
        <w:rPr>
          <w:rFonts w:ascii="Avenir Book" w:eastAsia="Times New Roman" w:hAnsi="Avenir Book" w:cs="Times New Roman"/>
          <w:bCs/>
          <w:i/>
          <w:color w:val="000000" w:themeColor="text1"/>
          <w:sz w:val="22"/>
          <w:szCs w:val="22"/>
          <w:shd w:val="clear" w:color="auto" w:fill="FFFFFF"/>
          <w:lang w:val="en-GB"/>
        </w:rPr>
        <w:t>Zürs.net Staatlich genehmigte Gesellschaft der Autoren,Komponisten und Musikverlegerregistrierte Genossenschaft mbH (AKM)</w:t>
      </w:r>
      <w:r w:rsidRPr="002B4F63">
        <w:rPr>
          <w:rFonts w:ascii="Avenir Book" w:eastAsia="Times New Roman" w:hAnsi="Avenir Book" w:cs="Times New Roman"/>
          <w:i/>
          <w:color w:val="000000" w:themeColor="text1"/>
          <w:sz w:val="22"/>
          <w:szCs w:val="22"/>
          <w:shd w:val="clear" w:color="auto" w:fill="FFFFFF"/>
          <w:lang w:val="en-GB"/>
        </w:rPr>
        <w:t xml:space="preserve"> v </w:t>
      </w:r>
      <w:r w:rsidRPr="002B4F63">
        <w:rPr>
          <w:rFonts w:ascii="Avenir Book" w:eastAsia="Times New Roman" w:hAnsi="Avenir Book" w:cs="Times New Roman"/>
          <w:bCs/>
          <w:i/>
          <w:color w:val="000000" w:themeColor="text1"/>
          <w:sz w:val="22"/>
          <w:szCs w:val="22"/>
          <w:shd w:val="clear" w:color="auto" w:fill="FFFFFF"/>
          <w:lang w:val="en-GB"/>
        </w:rPr>
        <w:t>Zürs.net Betriebs GmbH</w:t>
      </w:r>
      <w:r w:rsidRPr="002B4F63">
        <w:rPr>
          <w:rFonts w:ascii="Avenir Book" w:eastAsia="Times New Roman" w:hAnsi="Avenir Book" w:cs="Times New Roman"/>
          <w:bCs/>
          <w:color w:val="000000" w:themeColor="text1"/>
          <w:sz w:val="22"/>
          <w:szCs w:val="22"/>
          <w:shd w:val="clear" w:color="auto" w:fill="FFFFFF"/>
          <w:lang w:val="en-GB"/>
        </w:rPr>
        <w:t>, C-138/16, EU:C:2017:218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i/>
          <w:color w:val="000000" w:themeColor="text1"/>
          <w:sz w:val="22"/>
          <w:szCs w:val="22"/>
          <w:shd w:val="clear" w:color="auto" w:fill="FFFFFF"/>
          <w:lang w:val="en-GB"/>
        </w:rPr>
        <w:t>Zürs.net</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bCs/>
          <w:color w:val="000000" w:themeColor="text1"/>
          <w:sz w:val="22"/>
          <w:szCs w:val="22"/>
          <w:shd w:val="clear" w:color="auto" w:fill="FFFFFF"/>
          <w:lang w:val="en-GB"/>
        </w:rPr>
        <w:t xml:space="preserve">); and </w:t>
      </w:r>
      <w:r w:rsidRPr="002B4F63">
        <w:rPr>
          <w:rFonts w:ascii="Avenir Book" w:eastAsia="Times New Roman" w:hAnsi="Avenir Book" w:cs="Times New Roman"/>
          <w:bCs/>
          <w:i/>
          <w:color w:val="000000" w:themeColor="text1"/>
          <w:sz w:val="22"/>
          <w:szCs w:val="22"/>
          <w:shd w:val="clear" w:color="auto" w:fill="FFFFFF"/>
          <w:lang w:val="en-GB"/>
        </w:rPr>
        <w:t>The Pirate Bay</w:t>
      </w:r>
      <w:r w:rsidRPr="002B4F63">
        <w:rPr>
          <w:rFonts w:ascii="Avenir Book" w:eastAsia="Times New Roman" w:hAnsi="Avenir Book" w:cs="Times New Roman"/>
          <w:bCs/>
          <w:color w:val="000000" w:themeColor="text1"/>
          <w:sz w:val="22"/>
          <w:szCs w:val="22"/>
          <w:shd w:val="clear" w:color="auto" w:fill="FFFFFF"/>
          <w:lang w:val="en-GB"/>
        </w:rPr>
        <w:t>.</w:t>
      </w:r>
    </w:p>
  </w:endnote>
  <w:endnote w:id="14">
    <w:p w14:paraId="0301B6B5" w14:textId="352597DC" w:rsidR="000D0EC5" w:rsidRPr="002B4F63" w:rsidRDefault="000D0EC5" w:rsidP="005D465F">
      <w:pPr>
        <w:pStyle w:val="NormalWeb"/>
        <w:shd w:val="clear" w:color="auto" w:fill="FFFFFF"/>
        <w:spacing w:after="200"/>
        <w:jc w:val="both"/>
        <w:rPr>
          <w:rFonts w:ascii="Avenir Book" w:hAnsi="Avenir Book"/>
          <w:bCs/>
          <w:color w:val="000000" w:themeColor="text1"/>
          <w:sz w:val="22"/>
          <w:szCs w:val="22"/>
          <w:lang w:val="en-GB"/>
        </w:rPr>
      </w:pPr>
      <w:r w:rsidRPr="002B4F63">
        <w:rPr>
          <w:rStyle w:val="EndnoteReference"/>
          <w:rFonts w:ascii="Avenir Book" w:hAnsi="Avenir Book"/>
          <w:color w:val="000000" w:themeColor="text1"/>
          <w:sz w:val="22"/>
          <w:szCs w:val="22"/>
          <w:lang w:val="en-GB"/>
        </w:rPr>
        <w:endnoteRef/>
      </w:r>
      <w:r w:rsidRPr="002B4F63">
        <w:rPr>
          <w:rFonts w:ascii="Avenir Book" w:hAnsi="Avenir Book"/>
          <w:color w:val="000000" w:themeColor="text1"/>
          <w:sz w:val="22"/>
          <w:szCs w:val="22"/>
          <w:lang w:val="en-GB"/>
        </w:rPr>
        <w:t xml:space="preserve"> </w:t>
      </w:r>
      <w:r w:rsidRPr="002B4F63">
        <w:rPr>
          <w:rFonts w:ascii="Avenir Book" w:eastAsia="Times New Roman" w:hAnsi="Avenir Book"/>
          <w:bCs/>
          <w:i/>
          <w:color w:val="000000" w:themeColor="text1"/>
          <w:sz w:val="22"/>
          <w:szCs w:val="22"/>
          <w:shd w:val="clear" w:color="auto" w:fill="FFFFFF"/>
          <w:lang w:val="en-GB"/>
        </w:rPr>
        <w:t xml:space="preserve">SCF, </w:t>
      </w:r>
      <w:r w:rsidRPr="002B4F63">
        <w:rPr>
          <w:rFonts w:ascii="Avenir Book" w:eastAsia="Times New Roman" w:hAnsi="Avenir Book"/>
          <w:bCs/>
          <w:color w:val="000000" w:themeColor="text1"/>
          <w:sz w:val="22"/>
          <w:szCs w:val="22"/>
          <w:shd w:val="clear" w:color="auto" w:fill="FFFFFF"/>
          <w:lang w:val="en-GB"/>
        </w:rPr>
        <w:t>para</w:t>
      </w:r>
      <w:r w:rsidRPr="002B4F63">
        <w:rPr>
          <w:rFonts w:ascii="Avenir Book" w:eastAsia="Times New Roman" w:hAnsi="Avenir Book"/>
          <w:color w:val="000000" w:themeColor="text1"/>
          <w:sz w:val="22"/>
          <w:szCs w:val="22"/>
          <w:shd w:val="clear" w:color="auto" w:fill="FFFFFF"/>
          <w:lang w:val="en-GB"/>
        </w:rPr>
        <w:t xml:space="preserve"> 79; </w:t>
      </w:r>
      <w:r w:rsidRPr="002B4F63">
        <w:rPr>
          <w:rFonts w:ascii="Avenir Book" w:hAnsi="Avenir Book"/>
          <w:bCs/>
          <w:i/>
          <w:color w:val="000000" w:themeColor="text1"/>
          <w:sz w:val="22"/>
          <w:szCs w:val="22"/>
          <w:lang w:val="en-GB"/>
        </w:rPr>
        <w:t>PPI</w:t>
      </w:r>
      <w:r w:rsidRPr="002B4F63">
        <w:rPr>
          <w:rFonts w:ascii="Avenir Book" w:eastAsia="Times New Roman" w:hAnsi="Avenir Book"/>
          <w:color w:val="000000" w:themeColor="text1"/>
          <w:sz w:val="22"/>
          <w:szCs w:val="22"/>
          <w:shd w:val="clear" w:color="auto" w:fill="FFFFFF"/>
          <w:lang w:val="en-GB"/>
        </w:rPr>
        <w:t xml:space="preserve">, para 30; and </w:t>
      </w:r>
      <w:r w:rsidRPr="002B4F63">
        <w:rPr>
          <w:rFonts w:ascii="Avenir Book" w:eastAsia="Times New Roman" w:hAnsi="Avenir Book"/>
          <w:i/>
          <w:iCs/>
          <w:color w:val="000000" w:themeColor="text1"/>
          <w:sz w:val="22"/>
          <w:szCs w:val="22"/>
          <w:shd w:val="clear" w:color="auto" w:fill="FFFFFF"/>
          <w:lang w:val="en-GB"/>
        </w:rPr>
        <w:t>Reha Training</w:t>
      </w:r>
      <w:r w:rsidRPr="002B4F63">
        <w:rPr>
          <w:rFonts w:ascii="Avenir Book" w:eastAsia="Times New Roman" w:hAnsi="Avenir Book"/>
          <w:color w:val="000000" w:themeColor="text1"/>
          <w:sz w:val="22"/>
          <w:szCs w:val="22"/>
          <w:shd w:val="clear" w:color="auto" w:fill="FFFFFF"/>
          <w:lang w:val="en-GB"/>
        </w:rPr>
        <w:t>, para 35;</w:t>
      </w:r>
      <w:r w:rsidRPr="002B4F63">
        <w:rPr>
          <w:rFonts w:ascii="Avenir Book" w:hAnsi="Avenir Book"/>
          <w:i/>
          <w:color w:val="000000" w:themeColor="text1"/>
          <w:sz w:val="22"/>
          <w:szCs w:val="22"/>
          <w:lang w:val="en-GB"/>
        </w:rPr>
        <w:t xml:space="preserve"> GS Media</w:t>
      </w:r>
      <w:r w:rsidRPr="002B4F63">
        <w:rPr>
          <w:rFonts w:ascii="Avenir Book" w:hAnsi="Avenir Book"/>
          <w:color w:val="000000" w:themeColor="text1"/>
          <w:sz w:val="22"/>
          <w:szCs w:val="22"/>
          <w:lang w:val="en-GB"/>
        </w:rPr>
        <w:t xml:space="preserve">, para 34; </w:t>
      </w:r>
      <w:r w:rsidRPr="002B4F63">
        <w:rPr>
          <w:rFonts w:ascii="Avenir Book" w:hAnsi="Avenir Book"/>
          <w:i/>
          <w:color w:val="000000" w:themeColor="text1"/>
          <w:sz w:val="22"/>
          <w:szCs w:val="22"/>
          <w:lang w:val="en-GB"/>
        </w:rPr>
        <w:t>Filmspeler</w:t>
      </w:r>
      <w:r w:rsidRPr="002B4F63">
        <w:rPr>
          <w:rFonts w:ascii="Avenir Book" w:hAnsi="Avenir Book"/>
          <w:color w:val="000000" w:themeColor="text1"/>
          <w:sz w:val="22"/>
          <w:szCs w:val="22"/>
          <w:lang w:val="en-GB"/>
        </w:rPr>
        <w:t xml:space="preserve">, para 30; </w:t>
      </w:r>
      <w:r w:rsidRPr="002B4F63">
        <w:rPr>
          <w:rFonts w:ascii="Avenir Book" w:hAnsi="Avenir Book"/>
          <w:i/>
          <w:color w:val="000000" w:themeColor="text1"/>
          <w:sz w:val="22"/>
          <w:szCs w:val="22"/>
          <w:lang w:val="en-GB"/>
        </w:rPr>
        <w:t>The Pirate Bay</w:t>
      </w:r>
      <w:r w:rsidRPr="002B4F63">
        <w:rPr>
          <w:rFonts w:ascii="Avenir Book" w:hAnsi="Avenir Book"/>
          <w:color w:val="000000" w:themeColor="text1"/>
          <w:sz w:val="22"/>
          <w:szCs w:val="22"/>
          <w:lang w:val="en-GB"/>
        </w:rPr>
        <w:t>, para 25.</w:t>
      </w:r>
    </w:p>
  </w:endnote>
  <w:endnote w:id="15">
    <w:p w14:paraId="3EDDDA79" w14:textId="5DD4F589" w:rsidR="000D0EC5" w:rsidRPr="002B4F63" w:rsidRDefault="000D0EC5" w:rsidP="005D465F">
      <w:pPr>
        <w:pStyle w:val="EndnoteText"/>
        <w:spacing w:after="200"/>
        <w:jc w:val="both"/>
        <w:rPr>
          <w:rFonts w:ascii="Avenir Book"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This part builds upon </w:t>
      </w:r>
      <w:r w:rsidRPr="002B4F63">
        <w:rPr>
          <w:rFonts w:ascii="Avenir Book" w:hAnsi="Avenir Book" w:cs="Times New Roman"/>
          <w:color w:val="000000" w:themeColor="text1"/>
          <w:sz w:val="22"/>
          <w:szCs w:val="22"/>
          <w:lang w:val="en-GB"/>
        </w:rPr>
        <w:t>E Rosati,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and its implications for the construction of the right of communication to the public within EU copyright architecture’ (</w:t>
      </w:r>
      <w:r w:rsidRPr="00E8165F">
        <w:rPr>
          <w:rFonts w:ascii="Avenir Book" w:hAnsi="Avenir Book" w:cs="Times New Roman"/>
          <w:color w:val="000000" w:themeColor="text1"/>
          <w:sz w:val="22"/>
          <w:szCs w:val="22"/>
          <w:lang w:val="en-GB"/>
        </w:rPr>
        <w:t>forthcoming)</w:t>
      </w:r>
      <w:r w:rsidRPr="002B4F63">
        <w:rPr>
          <w:rFonts w:ascii="Avenir Book" w:hAnsi="Avenir Book" w:cs="Times New Roman"/>
          <w:color w:val="000000" w:themeColor="text1"/>
          <w:sz w:val="22"/>
          <w:szCs w:val="22"/>
          <w:lang w:val="en-GB"/>
        </w:rPr>
        <w:t xml:space="preserve"> CMLRev, §3.2.</w:t>
      </w:r>
    </w:p>
  </w:endnote>
  <w:endnote w:id="16">
    <w:p w14:paraId="6ED67507" w14:textId="70ACBDA8"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SGAE</w:t>
      </w:r>
      <w:r w:rsidRPr="002B4F63">
        <w:rPr>
          <w:rFonts w:ascii="Avenir Book" w:hAnsi="Avenir Book" w:cs="Times New Roman"/>
          <w:color w:val="000000" w:themeColor="text1"/>
          <w:sz w:val="22"/>
          <w:szCs w:val="22"/>
          <w:lang w:val="en-GB"/>
        </w:rPr>
        <w:t xml:space="preserve">, para 38; </w:t>
      </w:r>
      <w:r w:rsidRPr="002B4F63">
        <w:rPr>
          <w:rFonts w:ascii="Avenir Book" w:hAnsi="Avenir Book" w:cs="Times New Roman"/>
          <w:i/>
          <w:color w:val="000000" w:themeColor="text1"/>
          <w:sz w:val="22"/>
          <w:szCs w:val="22"/>
          <w:lang w:val="en-GB"/>
        </w:rPr>
        <w:t>SCF</w:t>
      </w:r>
      <w:r w:rsidRPr="002B4F63">
        <w:rPr>
          <w:rFonts w:ascii="Avenir Book" w:hAnsi="Avenir Book" w:cs="Times New Roman"/>
          <w:color w:val="000000" w:themeColor="text1"/>
          <w:sz w:val="22"/>
          <w:szCs w:val="22"/>
          <w:lang w:val="en-GB"/>
        </w:rPr>
        <w:t xml:space="preserve">, para 84; </w:t>
      </w:r>
      <w:r w:rsidRPr="002B4F63">
        <w:rPr>
          <w:rFonts w:ascii="Avenir Book" w:hAnsi="Avenir Book" w:cs="Times New Roman"/>
          <w:i/>
          <w:color w:val="000000" w:themeColor="text1"/>
          <w:sz w:val="22"/>
          <w:szCs w:val="22"/>
          <w:lang w:val="en-GB"/>
        </w:rPr>
        <w:t>PPI</w:t>
      </w:r>
      <w:r w:rsidRPr="002B4F63">
        <w:rPr>
          <w:rFonts w:ascii="Avenir Book" w:hAnsi="Avenir Book" w:cs="Times New Roman"/>
          <w:color w:val="000000" w:themeColor="text1"/>
          <w:sz w:val="22"/>
          <w:szCs w:val="22"/>
          <w:lang w:val="en-GB"/>
        </w:rPr>
        <w:t xml:space="preserve">, para 33; </w:t>
      </w:r>
      <w:r w:rsidRPr="002B4F63">
        <w:rPr>
          <w:rFonts w:ascii="Avenir Book" w:hAnsi="Avenir Book" w:cs="Times New Roman"/>
          <w:i/>
          <w:color w:val="000000" w:themeColor="text1"/>
          <w:sz w:val="22"/>
          <w:szCs w:val="22"/>
          <w:lang w:val="en-GB"/>
        </w:rPr>
        <w:t>TV Catch Up</w:t>
      </w:r>
      <w:r w:rsidRPr="002B4F63">
        <w:rPr>
          <w:rFonts w:ascii="Avenir Book" w:hAnsi="Avenir Book" w:cs="Times New Roman"/>
          <w:color w:val="000000" w:themeColor="text1"/>
          <w:sz w:val="22"/>
          <w:szCs w:val="22"/>
          <w:lang w:val="en-GB"/>
        </w:rPr>
        <w:t xml:space="preserve">, para 32; </w:t>
      </w:r>
      <w:r w:rsidRPr="002B4F63">
        <w:rPr>
          <w:rFonts w:ascii="Avenir Book" w:hAnsi="Avenir Book" w:cs="Times New Roman"/>
          <w:i/>
          <w:color w:val="000000" w:themeColor="text1"/>
          <w:sz w:val="22"/>
          <w:szCs w:val="22"/>
          <w:lang w:val="en-GB"/>
        </w:rPr>
        <w:t>Svensson</w:t>
      </w:r>
      <w:r w:rsidRPr="002B4F63">
        <w:rPr>
          <w:rFonts w:ascii="Avenir Book" w:hAnsi="Avenir Book" w:cs="Times New Roman"/>
          <w:color w:val="000000" w:themeColor="text1"/>
          <w:sz w:val="22"/>
          <w:szCs w:val="22"/>
          <w:lang w:val="en-GB"/>
        </w:rPr>
        <w:t xml:space="preserve">, para 21; </w:t>
      </w:r>
      <w:r w:rsidRPr="002B4F63">
        <w:rPr>
          <w:rFonts w:ascii="Avenir Book" w:hAnsi="Avenir Book" w:cs="Times New Roman"/>
          <w:i/>
          <w:color w:val="000000" w:themeColor="text1"/>
          <w:sz w:val="22"/>
          <w:szCs w:val="22"/>
          <w:lang w:val="en-GB"/>
        </w:rPr>
        <w:t>OSA</w:t>
      </w:r>
      <w:r w:rsidRPr="002B4F63">
        <w:rPr>
          <w:rFonts w:ascii="Avenir Book" w:hAnsi="Avenir Book" w:cs="Times New Roman"/>
          <w:color w:val="000000" w:themeColor="text1"/>
          <w:sz w:val="22"/>
          <w:szCs w:val="22"/>
          <w:lang w:val="en-GB"/>
        </w:rPr>
        <w:t xml:space="preserve">, para 27; </w:t>
      </w:r>
      <w:r w:rsidRPr="002B4F63">
        <w:rPr>
          <w:rFonts w:ascii="Avenir Book" w:hAnsi="Avenir Book" w:cs="Times New Roman"/>
          <w:i/>
          <w:color w:val="000000" w:themeColor="text1"/>
          <w:sz w:val="22"/>
          <w:szCs w:val="22"/>
          <w:lang w:val="en-GB"/>
        </w:rPr>
        <w:t>Sociedad Portoguesa de Autores</w:t>
      </w:r>
      <w:r w:rsidRPr="002B4F63">
        <w:rPr>
          <w:rFonts w:ascii="Avenir Book" w:hAnsi="Avenir Book" w:cs="Times New Roman"/>
          <w:color w:val="000000" w:themeColor="text1"/>
          <w:sz w:val="22"/>
          <w:szCs w:val="22"/>
          <w:lang w:val="en-GB"/>
        </w:rPr>
        <w:t xml:space="preserve">, para 19; </w:t>
      </w:r>
      <w:r w:rsidRPr="002B4F63">
        <w:rPr>
          <w:rFonts w:ascii="Avenir Book" w:hAnsi="Avenir Book" w:cs="Times New Roman"/>
          <w:i/>
          <w:color w:val="000000" w:themeColor="text1"/>
          <w:sz w:val="22"/>
          <w:szCs w:val="22"/>
          <w:lang w:val="en-GB"/>
        </w:rPr>
        <w:t>SBS Belgium</w:t>
      </w:r>
      <w:r w:rsidRPr="002B4F63">
        <w:rPr>
          <w:rFonts w:ascii="Avenir Book" w:hAnsi="Avenir Book" w:cs="Times New Roman"/>
          <w:color w:val="000000" w:themeColor="text1"/>
          <w:sz w:val="22"/>
          <w:szCs w:val="22"/>
          <w:lang w:val="en-GB"/>
        </w:rPr>
        <w:t xml:space="preserve">, para 21;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para 36; </w:t>
      </w:r>
      <w:r w:rsidRPr="002B4F63">
        <w:rPr>
          <w:rFonts w:ascii="Avenir Book" w:hAnsi="Avenir Book" w:cs="Times New Roman"/>
          <w:i/>
          <w:color w:val="000000" w:themeColor="text1"/>
          <w:sz w:val="22"/>
          <w:szCs w:val="22"/>
          <w:lang w:val="en-GB"/>
        </w:rPr>
        <w:t>Filmspeler</w:t>
      </w:r>
      <w:r w:rsidRPr="002B4F63">
        <w:rPr>
          <w:rFonts w:ascii="Avenir Book" w:hAnsi="Avenir Book" w:cs="Times New Roman"/>
          <w:color w:val="000000" w:themeColor="text1"/>
          <w:sz w:val="22"/>
          <w:szCs w:val="22"/>
          <w:lang w:val="en-GB"/>
        </w:rPr>
        <w:t xml:space="preserve">, para 45; </w:t>
      </w:r>
      <w:r w:rsidRPr="002B4F63">
        <w:rPr>
          <w:rFonts w:ascii="Avenir Book" w:eastAsia="Times New Roman" w:hAnsi="Avenir Book" w:cs="Times New Roman"/>
          <w:bCs/>
          <w:i/>
          <w:color w:val="000000" w:themeColor="text1"/>
          <w:sz w:val="22"/>
          <w:szCs w:val="22"/>
          <w:shd w:val="clear" w:color="auto" w:fill="FFFFFF"/>
          <w:lang w:val="en-GB"/>
        </w:rPr>
        <w:t>Zürs.net</w:t>
      </w:r>
      <w:r w:rsidRPr="002B4F63">
        <w:rPr>
          <w:rFonts w:ascii="Avenir Book" w:hAnsi="Avenir Book" w:cs="Times New Roman"/>
          <w:color w:val="000000" w:themeColor="text1"/>
          <w:sz w:val="22"/>
          <w:szCs w:val="22"/>
          <w:lang w:val="en-GB"/>
        </w:rPr>
        <w:t xml:space="preserve">, para 24;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paras 27 and 42. </w:t>
      </w:r>
    </w:p>
  </w:endnote>
  <w:endnote w:id="17">
    <w:p w14:paraId="2B0DFE38" w14:textId="3A31F7D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eastAsia="Times New Roman" w:hAnsi="Avenir Book" w:cs="Times New Roman"/>
          <w:bCs/>
          <w:i/>
          <w:color w:val="000000" w:themeColor="text1"/>
          <w:sz w:val="22"/>
          <w:szCs w:val="22"/>
          <w:bdr w:val="none" w:sz="0" w:space="0" w:color="auto" w:frame="1"/>
          <w:shd w:val="clear" w:color="auto" w:fill="FFFFFF"/>
          <w:lang w:val="en-GB"/>
        </w:rPr>
        <w:t>SGAE</w:t>
      </w:r>
      <w:r w:rsidRPr="002B4F63">
        <w:rPr>
          <w:rFonts w:ascii="Avenir Book" w:eastAsia="Times New Roman" w:hAnsi="Avenir Book" w:cs="Times New Roman"/>
          <w:bCs/>
          <w:color w:val="000000" w:themeColor="text1"/>
          <w:sz w:val="22"/>
          <w:szCs w:val="22"/>
          <w:bdr w:val="none" w:sz="0" w:space="0" w:color="auto" w:frame="1"/>
          <w:shd w:val="clear" w:color="auto" w:fill="FFFFFF"/>
          <w:lang w:val="en-GB"/>
        </w:rPr>
        <w:t xml:space="preserve"> paras. 40 and 42; </w:t>
      </w:r>
      <w:r w:rsidRPr="002B4F63">
        <w:rPr>
          <w:rFonts w:ascii="Avenir Book" w:eastAsia="Times New Roman" w:hAnsi="Avenir Book" w:cs="Times New Roman"/>
          <w:i/>
          <w:iCs/>
          <w:color w:val="000000" w:themeColor="text1"/>
          <w:sz w:val="22"/>
          <w:szCs w:val="22"/>
          <w:shd w:val="clear" w:color="auto" w:fill="FFFFFF"/>
          <w:lang w:val="en-GB"/>
        </w:rPr>
        <w:t>Organismos Sillogikis</w:t>
      </w:r>
      <w:r w:rsidRPr="002B4F63">
        <w:rPr>
          <w:rFonts w:ascii="Avenir Book" w:hAnsi="Avenir Book" w:cs="Times New Roman"/>
          <w:bCs/>
          <w:color w:val="000000" w:themeColor="text1"/>
          <w:sz w:val="22"/>
          <w:szCs w:val="22"/>
          <w:lang w:val="en-GB"/>
        </w:rPr>
        <w:t xml:space="preserve">, </w:t>
      </w:r>
      <w:r w:rsidRPr="002B4F63">
        <w:rPr>
          <w:rFonts w:ascii="Avenir Book" w:eastAsia="Times New Roman" w:hAnsi="Avenir Book" w:cs="Times New Roman"/>
          <w:color w:val="000000" w:themeColor="text1"/>
          <w:sz w:val="22"/>
          <w:szCs w:val="22"/>
          <w:shd w:val="clear" w:color="auto" w:fill="FFFFFF"/>
          <w:lang w:val="en-GB"/>
        </w:rPr>
        <w:t xml:space="preserve">para 39; </w:t>
      </w:r>
      <w:r w:rsidRPr="002B4F63">
        <w:rPr>
          <w:rFonts w:ascii="Avenir Book" w:eastAsia="Times New Roman" w:hAnsi="Avenir Book" w:cs="Times New Roman"/>
          <w:i/>
          <w:color w:val="000000" w:themeColor="text1"/>
          <w:sz w:val="22"/>
          <w:szCs w:val="22"/>
          <w:shd w:val="clear" w:color="auto" w:fill="FFFFFF"/>
          <w:lang w:val="en-GB"/>
        </w:rPr>
        <w:t>FAPL</w:t>
      </w:r>
      <w:r w:rsidRPr="002B4F63">
        <w:rPr>
          <w:rFonts w:ascii="Avenir Book" w:eastAsia="Times New Roman" w:hAnsi="Avenir Book" w:cs="Times New Roman"/>
          <w:color w:val="000000" w:themeColor="text1"/>
          <w:sz w:val="22"/>
          <w:szCs w:val="22"/>
          <w:shd w:val="clear" w:color="auto" w:fill="FFFFFF"/>
          <w:lang w:val="en-GB"/>
        </w:rPr>
        <w:t xml:space="preserve">, para 197, </w:t>
      </w:r>
      <w:r w:rsidRPr="002B4F63">
        <w:rPr>
          <w:rFonts w:ascii="Avenir Book" w:hAnsi="Avenir Book" w:cs="Times New Roman"/>
          <w:i/>
          <w:color w:val="000000" w:themeColor="text1"/>
          <w:sz w:val="22"/>
          <w:szCs w:val="22"/>
          <w:lang w:val="en-GB"/>
        </w:rPr>
        <w:t>Airfield</w:t>
      </w:r>
      <w:r w:rsidRPr="002B4F63">
        <w:rPr>
          <w:rFonts w:ascii="Avenir Book" w:hAnsi="Avenir Book" w:cs="Times New Roman"/>
          <w:color w:val="000000" w:themeColor="text1"/>
          <w:sz w:val="22"/>
          <w:szCs w:val="22"/>
          <w:lang w:val="en-GB"/>
        </w:rPr>
        <w:t xml:space="preserve">, para 72; </w:t>
      </w:r>
      <w:r w:rsidRPr="002B4F63">
        <w:rPr>
          <w:rFonts w:ascii="Avenir Book" w:hAnsi="Avenir Book" w:cs="Times New Roman"/>
          <w:i/>
          <w:color w:val="000000" w:themeColor="text1"/>
          <w:sz w:val="22"/>
          <w:szCs w:val="22"/>
          <w:lang w:val="en-GB"/>
        </w:rPr>
        <w:t>OSA</w:t>
      </w:r>
      <w:r w:rsidRPr="002B4F63">
        <w:rPr>
          <w:rFonts w:ascii="Avenir Book" w:hAnsi="Avenir Book" w:cs="Times New Roman"/>
          <w:color w:val="000000" w:themeColor="text1"/>
          <w:sz w:val="22"/>
          <w:szCs w:val="22"/>
          <w:lang w:val="en-GB"/>
        </w:rPr>
        <w:t xml:space="preserve">, para 31; </w:t>
      </w:r>
      <w:r w:rsidRPr="002B4F63">
        <w:rPr>
          <w:rFonts w:ascii="Avenir Book" w:hAnsi="Avenir Book" w:cs="Times New Roman"/>
          <w:i/>
          <w:color w:val="000000" w:themeColor="text1"/>
          <w:sz w:val="22"/>
          <w:szCs w:val="22"/>
          <w:lang w:val="en-GB"/>
        </w:rPr>
        <w:t>Svensson</w:t>
      </w:r>
      <w:r w:rsidRPr="002B4F63">
        <w:rPr>
          <w:rFonts w:ascii="Avenir Book" w:hAnsi="Avenir Book" w:cs="Times New Roman"/>
          <w:color w:val="000000" w:themeColor="text1"/>
          <w:sz w:val="22"/>
          <w:szCs w:val="22"/>
          <w:lang w:val="en-GB"/>
        </w:rPr>
        <w:t xml:space="preserve">, para 24; </w:t>
      </w:r>
      <w:r w:rsidRPr="002B4F63">
        <w:rPr>
          <w:rFonts w:ascii="Avenir Book" w:hAnsi="Avenir Book" w:cs="Times New Roman"/>
          <w:i/>
          <w:color w:val="000000" w:themeColor="text1"/>
          <w:sz w:val="22"/>
          <w:szCs w:val="22"/>
          <w:lang w:val="en-GB"/>
        </w:rPr>
        <w:t>Reha Training</w:t>
      </w:r>
      <w:r w:rsidRPr="002B4F63">
        <w:rPr>
          <w:rFonts w:ascii="Avenir Book" w:hAnsi="Avenir Book" w:cs="Times New Roman"/>
          <w:color w:val="000000" w:themeColor="text1"/>
          <w:sz w:val="22"/>
          <w:szCs w:val="22"/>
          <w:lang w:val="en-GB"/>
        </w:rPr>
        <w:t xml:space="preserve">, para 45;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para 37; </w:t>
      </w:r>
      <w:r w:rsidRPr="002B4F63">
        <w:rPr>
          <w:rFonts w:ascii="Avenir Book" w:hAnsi="Avenir Book" w:cs="Times New Roman"/>
          <w:i/>
          <w:color w:val="000000" w:themeColor="text1"/>
          <w:sz w:val="22"/>
          <w:szCs w:val="22"/>
          <w:lang w:val="en-GB"/>
        </w:rPr>
        <w:t>Filmspeler</w:t>
      </w:r>
      <w:r w:rsidRPr="002B4F63">
        <w:rPr>
          <w:rFonts w:ascii="Avenir Book" w:hAnsi="Avenir Book" w:cs="Times New Roman"/>
          <w:color w:val="000000" w:themeColor="text1"/>
          <w:sz w:val="22"/>
          <w:szCs w:val="22"/>
          <w:lang w:val="en-GB"/>
        </w:rPr>
        <w:t xml:space="preserve">, para 47;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para 28. But cf </w:t>
      </w:r>
      <w:r w:rsidRPr="002B4F63">
        <w:rPr>
          <w:rFonts w:ascii="Avenir Book" w:eastAsia="Times New Roman" w:hAnsi="Avenir Book" w:cs="Times New Roman"/>
          <w:bCs/>
          <w:i/>
          <w:color w:val="000000" w:themeColor="text1"/>
          <w:sz w:val="22"/>
          <w:szCs w:val="22"/>
          <w:shd w:val="clear" w:color="auto" w:fill="FFFFFF"/>
          <w:lang w:val="en-GB"/>
        </w:rPr>
        <w:t>Zürs.net</w:t>
      </w:r>
      <w:r w:rsidRPr="002B4F63">
        <w:rPr>
          <w:rFonts w:ascii="Avenir Book" w:eastAsia="Times New Roman" w:hAnsi="Avenir Book" w:cs="Times New Roman"/>
          <w:bCs/>
          <w:color w:val="000000" w:themeColor="text1"/>
          <w:sz w:val="22"/>
          <w:szCs w:val="22"/>
          <w:shd w:val="clear" w:color="auto" w:fill="FFFFFF"/>
          <w:lang w:val="en-GB"/>
        </w:rPr>
        <w:t>, seemingly</w:t>
      </w:r>
      <w:r w:rsidRPr="002B4F63">
        <w:rPr>
          <w:rFonts w:ascii="Avenir Book" w:eastAsia="Times New Roman" w:hAnsi="Avenir Book" w:cs="Times New Roman"/>
          <w:bCs/>
          <w:i/>
          <w:color w:val="000000" w:themeColor="text1"/>
          <w:sz w:val="22"/>
          <w:szCs w:val="22"/>
          <w:shd w:val="clear" w:color="auto" w:fill="FFFFFF"/>
          <w:lang w:val="en-GB"/>
        </w:rPr>
        <w:t xml:space="preserve"> </w:t>
      </w:r>
      <w:r w:rsidRPr="002B4F63">
        <w:rPr>
          <w:rFonts w:ascii="Avenir Book" w:eastAsia="Times New Roman" w:hAnsi="Avenir Book" w:cs="Times New Roman"/>
          <w:bCs/>
          <w:color w:val="000000" w:themeColor="text1"/>
          <w:sz w:val="22"/>
          <w:szCs w:val="22"/>
          <w:shd w:val="clear" w:color="auto" w:fill="FFFFFF"/>
          <w:lang w:val="en-GB"/>
        </w:rPr>
        <w:t xml:space="preserve">suggesting – at paras 26 and 27 – that consideration of whether the communication at hand is addressed to a ‘new public’ is required </w:t>
      </w:r>
      <w:r w:rsidRPr="002B4F63">
        <w:rPr>
          <w:rFonts w:ascii="Avenir Book" w:eastAsia="Times New Roman" w:hAnsi="Avenir Book" w:cs="Times New Roman"/>
          <w:bCs/>
          <w:i/>
          <w:color w:val="000000" w:themeColor="text1"/>
          <w:sz w:val="22"/>
          <w:szCs w:val="22"/>
          <w:shd w:val="clear" w:color="auto" w:fill="FFFFFF"/>
          <w:lang w:val="en-GB"/>
        </w:rPr>
        <w:t>also</w:t>
      </w:r>
      <w:r w:rsidRPr="002B4F63">
        <w:rPr>
          <w:rFonts w:ascii="Avenir Book" w:eastAsia="Times New Roman" w:hAnsi="Avenir Book" w:cs="Times New Roman"/>
          <w:bCs/>
          <w:color w:val="000000" w:themeColor="text1"/>
          <w:sz w:val="22"/>
          <w:szCs w:val="22"/>
          <w:shd w:val="clear" w:color="auto" w:fill="FFFFFF"/>
          <w:lang w:val="en-GB"/>
        </w:rPr>
        <w:t xml:space="preserve"> when the specific technical means used is different.</w:t>
      </w:r>
    </w:p>
  </w:endnote>
  <w:endnote w:id="18">
    <w:p w14:paraId="22C2C74D" w14:textId="06E14C91"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This appeared to be the case in: </w:t>
      </w:r>
      <w:r w:rsidRPr="002B4F63">
        <w:rPr>
          <w:rFonts w:ascii="Avenir Book" w:eastAsia="Times New Roman" w:hAnsi="Avenir Book" w:cs="Times New Roman"/>
          <w:bCs/>
          <w:i/>
          <w:color w:val="000000" w:themeColor="text1"/>
          <w:sz w:val="22"/>
          <w:szCs w:val="22"/>
          <w:shd w:val="clear" w:color="auto" w:fill="FFFFFF"/>
          <w:lang w:val="en-GB"/>
        </w:rPr>
        <w:t>Circul Globus Bucureşti</w:t>
      </w:r>
      <w:r w:rsidRPr="002B4F63">
        <w:rPr>
          <w:rFonts w:ascii="Avenir Book" w:eastAsia="Times New Roman" w:hAnsi="Avenir Book" w:cs="Times New Roman"/>
          <w:bCs/>
          <w:color w:val="000000" w:themeColor="text1"/>
          <w:sz w:val="22"/>
          <w:szCs w:val="22"/>
          <w:shd w:val="clear" w:color="auto" w:fill="FFFFFF"/>
          <w:lang w:val="en-GB"/>
        </w:rPr>
        <w:t xml:space="preserve">, para 40; </w:t>
      </w:r>
      <w:r w:rsidRPr="002B4F63">
        <w:rPr>
          <w:rFonts w:ascii="Avenir Book" w:hAnsi="Avenir Book" w:cs="Times New Roman"/>
          <w:i/>
          <w:color w:val="000000" w:themeColor="text1"/>
          <w:sz w:val="22"/>
          <w:szCs w:val="22"/>
          <w:lang w:val="en-GB"/>
        </w:rPr>
        <w:t>FAPL</w:t>
      </w:r>
      <w:r w:rsidRPr="002B4F63">
        <w:rPr>
          <w:rFonts w:ascii="Avenir Book" w:hAnsi="Avenir Book" w:cs="Times New Roman"/>
          <w:color w:val="000000" w:themeColor="text1"/>
          <w:sz w:val="22"/>
          <w:szCs w:val="22"/>
          <w:lang w:val="en-GB"/>
        </w:rPr>
        <w:t xml:space="preserve">, paras. 190, 193, and 207; </w:t>
      </w:r>
      <w:r w:rsidRPr="002B4F63">
        <w:rPr>
          <w:rFonts w:ascii="Avenir Book" w:hAnsi="Avenir Book" w:cs="Times New Roman"/>
          <w:i/>
          <w:color w:val="000000" w:themeColor="text1"/>
          <w:sz w:val="22"/>
          <w:szCs w:val="22"/>
          <w:lang w:val="en-GB"/>
        </w:rPr>
        <w:t>OSA</w:t>
      </w:r>
      <w:r w:rsidRPr="002B4F63">
        <w:rPr>
          <w:rFonts w:ascii="Avenir Book" w:hAnsi="Avenir Book" w:cs="Times New Roman"/>
          <w:color w:val="000000" w:themeColor="text1"/>
          <w:sz w:val="22"/>
          <w:szCs w:val="22"/>
          <w:lang w:val="en-GB"/>
        </w:rPr>
        <w:t xml:space="preserve">, para 25; </w:t>
      </w:r>
      <w:r w:rsidRPr="002B4F63">
        <w:rPr>
          <w:rFonts w:ascii="Avenir Book" w:hAnsi="Avenir Book" w:cs="Times New Roman"/>
          <w:i/>
          <w:color w:val="000000" w:themeColor="text1"/>
          <w:sz w:val="22"/>
          <w:szCs w:val="22"/>
          <w:lang w:val="en-GB"/>
        </w:rPr>
        <w:t>SBS Belgium</w:t>
      </w:r>
      <w:r w:rsidRPr="002B4F63">
        <w:rPr>
          <w:rFonts w:ascii="Avenir Book" w:hAnsi="Avenir Book" w:cs="Times New Roman"/>
          <w:color w:val="000000" w:themeColor="text1"/>
          <w:sz w:val="22"/>
          <w:szCs w:val="22"/>
          <w:lang w:val="en-GB"/>
        </w:rPr>
        <w:t xml:space="preserve">, para. 16; </w:t>
      </w:r>
      <w:r w:rsidRPr="002B4F63">
        <w:rPr>
          <w:rFonts w:ascii="Avenir Book" w:hAnsi="Avenir Book" w:cs="Times New Roman"/>
          <w:i/>
          <w:color w:val="000000" w:themeColor="text1"/>
          <w:sz w:val="22"/>
          <w:szCs w:val="22"/>
          <w:lang w:val="en-GB"/>
        </w:rPr>
        <w:t>Reha Training</w:t>
      </w:r>
      <w:r w:rsidRPr="002B4F63">
        <w:rPr>
          <w:rFonts w:ascii="Avenir Book" w:hAnsi="Avenir Book" w:cs="Times New Roman"/>
          <w:color w:val="000000" w:themeColor="text1"/>
          <w:sz w:val="22"/>
          <w:szCs w:val="22"/>
          <w:lang w:val="en-GB"/>
        </w:rPr>
        <w:t>, para 38.</w:t>
      </w:r>
    </w:p>
  </w:endnote>
  <w:endnote w:id="19">
    <w:p w14:paraId="4EB0B339" w14:textId="2C11050E"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SGAE</w:t>
      </w:r>
      <w:r w:rsidRPr="002B4F63">
        <w:rPr>
          <w:rFonts w:ascii="Avenir Book" w:hAnsi="Avenir Book" w:cs="Times New Roman"/>
          <w:color w:val="000000" w:themeColor="text1"/>
          <w:sz w:val="22"/>
          <w:szCs w:val="22"/>
          <w:lang w:val="en-GB"/>
        </w:rPr>
        <w:t xml:space="preserve">, para 43; </w:t>
      </w:r>
      <w:r w:rsidRPr="002B4F63">
        <w:rPr>
          <w:rFonts w:ascii="Avenir Book" w:hAnsi="Avenir Book" w:cs="Times New Roman"/>
          <w:i/>
          <w:color w:val="000000" w:themeColor="text1"/>
          <w:sz w:val="22"/>
          <w:szCs w:val="22"/>
          <w:lang w:val="en-GB"/>
        </w:rPr>
        <w:t>Svensson</w:t>
      </w:r>
      <w:r w:rsidRPr="002B4F63">
        <w:rPr>
          <w:rFonts w:ascii="Avenir Book" w:hAnsi="Avenir Book" w:cs="Times New Roman"/>
          <w:color w:val="000000" w:themeColor="text1"/>
          <w:sz w:val="22"/>
          <w:szCs w:val="22"/>
          <w:lang w:val="en-GB"/>
        </w:rPr>
        <w:t xml:space="preserve">, para 19;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para 27; </w:t>
      </w:r>
      <w:r w:rsidRPr="002B4F63">
        <w:rPr>
          <w:rFonts w:ascii="Avenir Book" w:hAnsi="Avenir Book" w:cs="Times New Roman"/>
          <w:i/>
          <w:color w:val="000000" w:themeColor="text1"/>
          <w:sz w:val="22"/>
          <w:szCs w:val="22"/>
          <w:lang w:val="en-GB"/>
        </w:rPr>
        <w:t>Filmspeler</w:t>
      </w:r>
      <w:r w:rsidRPr="002B4F63">
        <w:rPr>
          <w:rFonts w:ascii="Avenir Book" w:hAnsi="Avenir Book" w:cs="Times New Roman"/>
          <w:color w:val="000000" w:themeColor="text1"/>
          <w:sz w:val="22"/>
          <w:szCs w:val="22"/>
          <w:lang w:val="en-GB"/>
        </w:rPr>
        <w:t xml:space="preserve">, para 36, </w:t>
      </w:r>
      <w:r w:rsidRPr="002B4F63">
        <w:rPr>
          <w:rFonts w:ascii="Avenir Book" w:eastAsia="Times New Roman" w:hAnsi="Avenir Book" w:cs="Times New Roman"/>
          <w:bCs/>
          <w:i/>
          <w:color w:val="000000" w:themeColor="text1"/>
          <w:sz w:val="22"/>
          <w:szCs w:val="22"/>
          <w:shd w:val="clear" w:color="auto" w:fill="FFFFFF"/>
          <w:lang w:val="en-GB"/>
        </w:rPr>
        <w:t>Zürs.net</w:t>
      </w:r>
      <w:r w:rsidRPr="002B4F63">
        <w:rPr>
          <w:rFonts w:ascii="Avenir Book" w:hAnsi="Avenir Book" w:cs="Times New Roman"/>
          <w:color w:val="000000" w:themeColor="text1"/>
          <w:sz w:val="22"/>
          <w:szCs w:val="22"/>
          <w:lang w:val="en-GB"/>
        </w:rPr>
        <w:t xml:space="preserve">, para 20;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19.</w:t>
      </w:r>
    </w:p>
  </w:endnote>
  <w:endnote w:id="20">
    <w:p w14:paraId="05EB9CCE" w14:textId="77777777" w:rsidR="000D0EC5" w:rsidRPr="002B4F63" w:rsidRDefault="000D0EC5" w:rsidP="005D465F">
      <w:pPr>
        <w:pStyle w:val="EndnoteText"/>
        <w:spacing w:after="200"/>
        <w:jc w:val="both"/>
        <w:rPr>
          <w:rFonts w:ascii="Avenir Book" w:eastAsia="Times New Roman" w:hAnsi="Avenir Book" w:cs="Times New Roman"/>
          <w:bCs/>
          <w:color w:val="000000" w:themeColor="text1"/>
          <w:sz w:val="22"/>
          <w:szCs w:val="22"/>
          <w:shd w:val="clear" w:color="auto" w:fill="FFFFFF"/>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SGAE</w:t>
      </w:r>
      <w:r w:rsidRPr="002B4F63">
        <w:rPr>
          <w:rFonts w:ascii="Avenir Book" w:hAnsi="Avenir Book" w:cs="Times New Roman"/>
          <w:color w:val="000000" w:themeColor="text1"/>
          <w:sz w:val="22"/>
          <w:szCs w:val="22"/>
          <w:lang w:val="en-GB"/>
        </w:rPr>
        <w:t xml:space="preserve">, para 42; </w:t>
      </w:r>
      <w:r w:rsidRPr="002B4F63">
        <w:rPr>
          <w:rFonts w:ascii="Avenir Book" w:hAnsi="Avenir Book" w:cs="Times New Roman"/>
          <w:i/>
          <w:color w:val="000000" w:themeColor="text1"/>
          <w:sz w:val="22"/>
          <w:szCs w:val="22"/>
          <w:lang w:val="en-GB"/>
        </w:rPr>
        <w:t>FAPL</w:t>
      </w:r>
      <w:r w:rsidRPr="002B4F63">
        <w:rPr>
          <w:rFonts w:ascii="Avenir Book" w:hAnsi="Avenir Book" w:cs="Times New Roman"/>
          <w:color w:val="000000" w:themeColor="text1"/>
          <w:sz w:val="22"/>
          <w:szCs w:val="22"/>
          <w:lang w:val="en-GB"/>
        </w:rPr>
        <w:t xml:space="preserve">, paras. 194 and 195; </w:t>
      </w:r>
      <w:r w:rsidRPr="002B4F63">
        <w:rPr>
          <w:rFonts w:ascii="Avenir Book" w:hAnsi="Avenir Book" w:cs="Times New Roman"/>
          <w:i/>
          <w:color w:val="000000" w:themeColor="text1"/>
          <w:sz w:val="22"/>
          <w:szCs w:val="22"/>
          <w:lang w:val="en-GB"/>
        </w:rPr>
        <w:t>Airfield</w:t>
      </w:r>
      <w:r w:rsidRPr="002B4F63">
        <w:rPr>
          <w:rFonts w:ascii="Avenir Book" w:hAnsi="Avenir Book" w:cs="Times New Roman"/>
          <w:color w:val="000000" w:themeColor="text1"/>
          <w:sz w:val="22"/>
          <w:szCs w:val="22"/>
          <w:lang w:val="en-GB"/>
        </w:rPr>
        <w:t xml:space="preserve">, para 79; </w:t>
      </w:r>
      <w:r w:rsidRPr="002B4F63">
        <w:rPr>
          <w:rFonts w:ascii="Avenir Book" w:hAnsi="Avenir Book" w:cs="Times New Roman"/>
          <w:i/>
          <w:color w:val="000000" w:themeColor="text1"/>
          <w:sz w:val="22"/>
          <w:szCs w:val="22"/>
          <w:lang w:val="en-GB"/>
        </w:rPr>
        <w:t>SCF</w:t>
      </w:r>
      <w:r w:rsidRPr="002B4F63">
        <w:rPr>
          <w:rFonts w:ascii="Avenir Book" w:hAnsi="Avenir Book" w:cs="Times New Roman"/>
          <w:color w:val="000000" w:themeColor="text1"/>
          <w:sz w:val="22"/>
          <w:szCs w:val="22"/>
          <w:lang w:val="en-GB"/>
        </w:rPr>
        <w:t xml:space="preserve">, para 82; </w:t>
      </w:r>
      <w:r w:rsidRPr="002B4F63">
        <w:rPr>
          <w:rFonts w:ascii="Avenir Book" w:hAnsi="Avenir Book" w:cs="Times New Roman"/>
          <w:i/>
          <w:color w:val="000000" w:themeColor="text1"/>
          <w:sz w:val="22"/>
          <w:szCs w:val="22"/>
          <w:lang w:val="en-GB"/>
        </w:rPr>
        <w:t>PPI</w:t>
      </w:r>
      <w:r w:rsidRPr="002B4F63">
        <w:rPr>
          <w:rFonts w:ascii="Avenir Book" w:hAnsi="Avenir Book" w:cs="Times New Roman"/>
          <w:color w:val="000000" w:themeColor="text1"/>
          <w:sz w:val="22"/>
          <w:szCs w:val="22"/>
          <w:lang w:val="en-GB"/>
        </w:rPr>
        <w:t xml:space="preserve">, para 31; </w:t>
      </w:r>
      <w:r w:rsidRPr="002B4F63">
        <w:rPr>
          <w:rFonts w:ascii="Avenir Book" w:hAnsi="Avenir Book" w:cs="Times New Roman"/>
          <w:i/>
          <w:color w:val="000000" w:themeColor="text1"/>
          <w:sz w:val="22"/>
          <w:szCs w:val="22"/>
          <w:lang w:val="en-GB"/>
        </w:rPr>
        <w:t>Reha Training</w:t>
      </w:r>
      <w:r w:rsidRPr="002B4F63">
        <w:rPr>
          <w:rFonts w:ascii="Avenir Book" w:hAnsi="Avenir Book" w:cs="Times New Roman"/>
          <w:color w:val="000000" w:themeColor="text1"/>
          <w:sz w:val="22"/>
          <w:szCs w:val="22"/>
          <w:lang w:val="en-GB"/>
        </w:rPr>
        <w:t xml:space="preserve">, para 46;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para 35; </w:t>
      </w:r>
      <w:r w:rsidRPr="002B4F63">
        <w:rPr>
          <w:rFonts w:ascii="Avenir Book" w:hAnsi="Avenir Book" w:cs="Times New Roman"/>
          <w:i/>
          <w:color w:val="000000" w:themeColor="text1"/>
          <w:sz w:val="22"/>
          <w:szCs w:val="22"/>
          <w:lang w:val="en-GB"/>
        </w:rPr>
        <w:t>Filmspeler</w:t>
      </w:r>
      <w:r w:rsidRPr="002B4F63">
        <w:rPr>
          <w:rFonts w:ascii="Avenir Book" w:hAnsi="Avenir Book" w:cs="Times New Roman"/>
          <w:color w:val="000000" w:themeColor="text1"/>
          <w:sz w:val="22"/>
          <w:szCs w:val="22"/>
          <w:lang w:val="en-GB"/>
        </w:rPr>
        <w:t xml:space="preserve">, para 31;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para 26. </w:t>
      </w:r>
    </w:p>
  </w:endnote>
  <w:endnote w:id="21">
    <w:p w14:paraId="55AEDE73" w14:textId="4D16254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SGAE</w:t>
      </w:r>
      <w:r w:rsidRPr="002B4F63">
        <w:rPr>
          <w:rFonts w:ascii="Avenir Book" w:hAnsi="Avenir Book" w:cs="Times New Roman"/>
          <w:color w:val="000000" w:themeColor="text1"/>
          <w:sz w:val="22"/>
          <w:szCs w:val="22"/>
          <w:lang w:val="en-GB"/>
        </w:rPr>
        <w:t>, paras. 45 to 47.</w:t>
      </w:r>
    </w:p>
  </w:endnote>
  <w:endnote w:id="22">
    <w:p w14:paraId="0D2BFC27" w14:textId="4A1F30F1" w:rsidR="000D0EC5" w:rsidRPr="002B4F63" w:rsidRDefault="000D0EC5" w:rsidP="004D1D48">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para 51. </w:t>
      </w:r>
    </w:p>
  </w:endnote>
  <w:endnote w:id="23">
    <w:p w14:paraId="2BFE7576" w14:textId="29CE0CBE" w:rsidR="000D0EC5" w:rsidRPr="002B4F63" w:rsidRDefault="000D0EC5" w:rsidP="004D1D48">
      <w:pPr>
        <w:pStyle w:val="EndnoteText"/>
        <w:spacing w:after="200"/>
        <w:jc w:val="both"/>
        <w:rPr>
          <w:rFonts w:ascii="Avenir Book"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w:t>
      </w:r>
      <w:r w:rsidRPr="002B4F63">
        <w:rPr>
          <w:rFonts w:ascii="Avenir Book" w:hAnsi="Avenir Book" w:cs="Times New Roman"/>
          <w:i/>
          <w:sz w:val="22"/>
          <w:szCs w:val="22"/>
          <w:lang w:val="en-GB"/>
        </w:rPr>
        <w:t>Filmspeler</w:t>
      </w:r>
      <w:r w:rsidRPr="002B4F63">
        <w:rPr>
          <w:rFonts w:ascii="Avenir Book" w:hAnsi="Avenir Book" w:cs="Times New Roman"/>
          <w:sz w:val="22"/>
          <w:szCs w:val="22"/>
          <w:lang w:val="en-GB"/>
        </w:rPr>
        <w:t>, paras 49 and 51.</w:t>
      </w:r>
    </w:p>
  </w:endnote>
  <w:endnote w:id="24">
    <w:p w14:paraId="1D9C181E" w14:textId="0A8425C9" w:rsidR="000D0EC5" w:rsidRPr="002B4F63" w:rsidRDefault="000D0EC5" w:rsidP="004D1D48">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Opinion of Advocate General Melchior Wathelet in </w:t>
      </w:r>
      <w:r w:rsidRPr="002B4F63">
        <w:rPr>
          <w:rFonts w:ascii="Avenir Book" w:hAnsi="Avenir Book" w:cs="Times New Roman"/>
          <w:bCs/>
          <w:i/>
          <w:color w:val="000000" w:themeColor="text1"/>
          <w:sz w:val="22"/>
          <w:szCs w:val="22"/>
          <w:lang w:val="en-GB"/>
        </w:rPr>
        <w:t>GS Media BV v Sanoma Media Netherlands BV and Others</w:t>
      </w:r>
      <w:r w:rsidRPr="002B4F63">
        <w:rPr>
          <w:rFonts w:ascii="Avenir Book" w:hAnsi="Avenir Book" w:cs="Times New Roman"/>
          <w:color w:val="000000" w:themeColor="text1"/>
          <w:sz w:val="22"/>
          <w:szCs w:val="22"/>
          <w:lang w:val="en-GB"/>
        </w:rPr>
        <w:t xml:space="preserve">, C-160/15, </w:t>
      </w:r>
      <w:r w:rsidRPr="002B4F63">
        <w:rPr>
          <w:rFonts w:ascii="Avenir Book" w:eastAsia="Times New Roman" w:hAnsi="Avenir Book" w:cs="Times New Roman"/>
          <w:bCs/>
          <w:color w:val="000000" w:themeColor="text1"/>
          <w:sz w:val="22"/>
          <w:szCs w:val="22"/>
          <w:shd w:val="clear" w:color="auto" w:fill="FFFFFF"/>
          <w:lang w:val="en-GB"/>
        </w:rPr>
        <w:t>EU:C:2016:221,</w:t>
      </w:r>
      <w:r w:rsidRPr="002B4F63">
        <w:rPr>
          <w:rFonts w:ascii="Avenir Book" w:hAnsi="Avenir Book" w:cs="Times New Roman"/>
          <w:color w:val="000000" w:themeColor="text1"/>
          <w:sz w:val="22"/>
          <w:szCs w:val="22"/>
          <w:lang w:val="en-GB"/>
        </w:rPr>
        <w:t xml:space="preserve"> paras 57 to 60.</w:t>
      </w:r>
    </w:p>
  </w:endnote>
  <w:endnote w:id="25">
    <w:p w14:paraId="0DAD69DE" w14:textId="1E27E425" w:rsidR="000D0EC5" w:rsidRPr="002B4F63" w:rsidRDefault="000D0EC5" w:rsidP="004D1D48">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Opinion of Advocate General Manuel Campos S</w:t>
      </w:r>
      <w:r w:rsidRPr="002B4F63">
        <w:rPr>
          <w:rFonts w:ascii="Avenir Book" w:hAnsi="Avenir Book" w:cs="Times New Roman"/>
          <w:bCs/>
          <w:color w:val="000000" w:themeColor="text1"/>
          <w:sz w:val="22"/>
          <w:szCs w:val="22"/>
          <w:lang w:val="en-GB"/>
        </w:rPr>
        <w:t xml:space="preserve">ánchez-Bordona in </w:t>
      </w:r>
      <w:r w:rsidRPr="002B4F63">
        <w:rPr>
          <w:rFonts w:ascii="Avenir Book" w:eastAsia="Times New Roman" w:hAnsi="Avenir Book" w:cs="Times New Roman"/>
          <w:bCs/>
          <w:i/>
          <w:color w:val="000000" w:themeColor="text1"/>
          <w:sz w:val="22"/>
          <w:szCs w:val="22"/>
          <w:shd w:val="clear" w:color="auto" w:fill="FFFFFF"/>
          <w:lang w:val="en-GB"/>
        </w:rPr>
        <w:t>Stichting Brein v Jack Frederik Wullems, acting under the name of Filmspeler</w:t>
      </w:r>
      <w:r w:rsidRPr="002B4F63">
        <w:rPr>
          <w:rFonts w:ascii="Avenir Book" w:eastAsia="Times New Roman" w:hAnsi="Avenir Book" w:cs="Times New Roman"/>
          <w:bCs/>
          <w:color w:val="000000" w:themeColor="text1"/>
          <w:sz w:val="22"/>
          <w:szCs w:val="22"/>
          <w:shd w:val="clear" w:color="auto" w:fill="FFFFFF"/>
          <w:lang w:val="en-GB"/>
        </w:rPr>
        <w:t xml:space="preserve">, C-527/15, EU:C:2016:938, para </w:t>
      </w:r>
      <w:r w:rsidRPr="002B4F63">
        <w:rPr>
          <w:rFonts w:ascii="Avenir Book" w:hAnsi="Avenir Book" w:cs="Times New Roman"/>
          <w:color w:val="000000" w:themeColor="text1"/>
          <w:sz w:val="22"/>
          <w:szCs w:val="22"/>
          <w:lang w:val="en-GB"/>
        </w:rPr>
        <w:t>49.</w:t>
      </w:r>
    </w:p>
  </w:endnote>
  <w:endnote w:id="26">
    <w:p w14:paraId="4D25D84A" w14:textId="7777777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Filmspeler</w:t>
      </w:r>
      <w:r w:rsidRPr="002B4F63">
        <w:rPr>
          <w:rFonts w:ascii="Avenir Book" w:hAnsi="Avenir Book" w:cs="Times New Roman"/>
          <w:color w:val="000000" w:themeColor="text1"/>
          <w:sz w:val="22"/>
          <w:szCs w:val="22"/>
          <w:lang w:val="en-GB"/>
        </w:rPr>
        <w:t>, para 41.</w:t>
      </w:r>
    </w:p>
  </w:endnote>
  <w:endnote w:id="27">
    <w:p w14:paraId="696A1EBE" w14:textId="29094B6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Ibid</w:t>
      </w:r>
      <w:r w:rsidRPr="002B4F63">
        <w:rPr>
          <w:rFonts w:ascii="Avenir Book" w:hAnsi="Avenir Book" w:cs="Times New Roman"/>
          <w:color w:val="000000" w:themeColor="text1"/>
          <w:sz w:val="22"/>
          <w:szCs w:val="22"/>
          <w:lang w:val="en-GB"/>
        </w:rPr>
        <w:t>.</w:t>
      </w:r>
    </w:p>
  </w:endnote>
  <w:endnote w:id="28">
    <w:p w14:paraId="6B8607C7" w14:textId="1C46BAC2" w:rsidR="000D0EC5" w:rsidRPr="002B4F63" w:rsidRDefault="000D0EC5" w:rsidP="005D465F">
      <w:pPr>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Rosati, </w:t>
      </w:r>
      <w:r w:rsidRPr="002B4F63">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cit</w:t>
      </w:r>
      <w:r w:rsidRPr="002B4F63">
        <w:rPr>
          <w:rFonts w:ascii="Avenir Book" w:hAnsi="Avenir Book" w:cs="Times New Roman"/>
          <w:color w:val="000000" w:themeColor="text1"/>
          <w:sz w:val="22"/>
          <w:szCs w:val="22"/>
          <w:lang w:val="en-GB"/>
        </w:rPr>
        <w:t>, §3.2.3. In a similar sense, see also B Clark – J Dickinson, ‘</w:t>
      </w:r>
      <w:r w:rsidRPr="002B4F63">
        <w:rPr>
          <w:rFonts w:ascii="Avenir Book" w:hAnsi="Avenir Book" w:cs="Times New Roman"/>
          <w:bCs/>
          <w:color w:val="000000" w:themeColor="text1"/>
          <w:sz w:val="22"/>
          <w:szCs w:val="22"/>
          <w:lang w:val="en-GB"/>
        </w:rPr>
        <w:t xml:space="preserve">Theseus and the labyrinth? An overview of "communication to the public" under EU copyright law: after </w:t>
      </w:r>
      <w:r w:rsidRPr="002B4F63">
        <w:rPr>
          <w:rFonts w:ascii="Avenir Book" w:hAnsi="Avenir Book" w:cs="Times New Roman"/>
          <w:bCs/>
          <w:i/>
          <w:color w:val="000000" w:themeColor="text1"/>
          <w:sz w:val="22"/>
          <w:szCs w:val="22"/>
          <w:lang w:val="en-GB"/>
        </w:rPr>
        <w:t>Reha Training</w:t>
      </w:r>
      <w:r w:rsidRPr="002B4F63">
        <w:rPr>
          <w:rFonts w:ascii="Avenir Book" w:hAnsi="Avenir Book" w:cs="Times New Roman"/>
          <w:bCs/>
          <w:color w:val="000000" w:themeColor="text1"/>
          <w:sz w:val="22"/>
          <w:szCs w:val="22"/>
          <w:lang w:val="en-GB"/>
        </w:rPr>
        <w:t xml:space="preserve"> and </w:t>
      </w:r>
      <w:r w:rsidRPr="002B4F63">
        <w:rPr>
          <w:rFonts w:ascii="Avenir Book" w:hAnsi="Avenir Book" w:cs="Times New Roman"/>
          <w:bCs/>
          <w:i/>
          <w:color w:val="000000" w:themeColor="text1"/>
          <w:sz w:val="22"/>
          <w:szCs w:val="22"/>
          <w:lang w:val="en-GB"/>
        </w:rPr>
        <w:t>GS Media </w:t>
      </w:r>
      <w:r w:rsidRPr="002B4F63">
        <w:rPr>
          <w:rFonts w:ascii="Avenir Book" w:hAnsi="Avenir Book" w:cs="Times New Roman"/>
          <w:bCs/>
          <w:color w:val="000000" w:themeColor="text1"/>
          <w:sz w:val="22"/>
          <w:szCs w:val="22"/>
          <w:lang w:val="en-GB"/>
        </w:rPr>
        <w:t>where are we now and where do we go from here?’</w:t>
      </w:r>
      <w:r w:rsidRPr="002B4F63">
        <w:rPr>
          <w:rFonts w:ascii="Avenir Book" w:hAnsi="Avenir Book" w:cs="Times New Roman"/>
          <w:color w:val="000000" w:themeColor="text1"/>
          <w:sz w:val="22"/>
          <w:szCs w:val="22"/>
          <w:lang w:val="en-GB"/>
        </w:rPr>
        <w:t xml:space="preserve"> (2017) </w:t>
      </w:r>
      <w:r w:rsidRPr="002B4F63">
        <w:rPr>
          <w:rFonts w:ascii="Avenir Book" w:eastAsia="Times New Roman" w:hAnsi="Avenir Book" w:cs="Times New Roman"/>
          <w:color w:val="000000" w:themeColor="text1"/>
          <w:sz w:val="22"/>
          <w:szCs w:val="22"/>
          <w:shd w:val="clear" w:color="auto" w:fill="FFFFFF"/>
          <w:lang w:val="en-GB"/>
        </w:rPr>
        <w:t>39(5) EIPR 265</w:t>
      </w:r>
      <w:r w:rsidRPr="002B4F63">
        <w:rPr>
          <w:rFonts w:ascii="Avenir Book" w:eastAsia="Times New Roman" w:hAnsi="Avenir Book" w:cs="Times New Roman"/>
          <w:color w:val="000000" w:themeColor="text1"/>
          <w:sz w:val="22"/>
          <w:szCs w:val="22"/>
          <w:lang w:val="en-GB"/>
        </w:rPr>
        <w:t>,</w:t>
      </w:r>
      <w:r w:rsidRPr="002B4F63">
        <w:rPr>
          <w:rFonts w:ascii="Avenir Book" w:hAnsi="Avenir Book" w:cs="Times New Roman"/>
          <w:color w:val="000000" w:themeColor="text1"/>
          <w:sz w:val="22"/>
          <w:szCs w:val="22"/>
          <w:lang w:val="en-GB"/>
        </w:rPr>
        <w:t xml:space="preserve"> pp 269-270. Submitting instead that the profit-making intention of the ‘hyperlinker’ is to be appreciated with regard to the particular act of hyperlinking, see T Rendas, ‘How Playboy photos compromised EU copyright law: the </w:t>
      </w:r>
      <w:r w:rsidRPr="00851185">
        <w:rPr>
          <w:rFonts w:ascii="Avenir Book" w:hAnsi="Avenir Book" w:cs="Times New Roman"/>
          <w:i/>
          <w:color w:val="000000" w:themeColor="text1"/>
          <w:sz w:val="22"/>
          <w:szCs w:val="22"/>
          <w:lang w:val="en-GB"/>
        </w:rPr>
        <w:t>GS Media</w:t>
      </w:r>
      <w:r w:rsidRPr="002B4F63">
        <w:rPr>
          <w:rFonts w:ascii="Avenir Book" w:hAnsi="Avenir Book" w:cs="Times New Roman"/>
          <w:color w:val="000000" w:themeColor="text1"/>
          <w:sz w:val="22"/>
          <w:szCs w:val="22"/>
          <w:lang w:val="en-GB"/>
        </w:rPr>
        <w:t xml:space="preserve"> judgment’ (2017) J Internet L 11, p 14.</w:t>
      </w:r>
    </w:p>
  </w:endnote>
  <w:endnote w:id="29">
    <w:p w14:paraId="7323B937" w14:textId="3B9084CE"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SGAE</w:t>
      </w:r>
      <w:r w:rsidRPr="002B4F63">
        <w:rPr>
          <w:rFonts w:ascii="Avenir Book" w:hAnsi="Avenir Book" w:cs="Times New Roman"/>
          <w:color w:val="000000" w:themeColor="text1"/>
          <w:sz w:val="22"/>
          <w:szCs w:val="22"/>
          <w:lang w:val="en-GB"/>
        </w:rPr>
        <w:t xml:space="preserve">, para 44; </w:t>
      </w:r>
      <w:r w:rsidRPr="002B4F63">
        <w:rPr>
          <w:rFonts w:ascii="Avenir Book" w:hAnsi="Avenir Book" w:cs="Times New Roman"/>
          <w:i/>
          <w:color w:val="000000" w:themeColor="text1"/>
          <w:sz w:val="22"/>
          <w:szCs w:val="22"/>
          <w:lang w:val="en-GB"/>
        </w:rPr>
        <w:t>FAPL</w:t>
      </w:r>
      <w:r w:rsidRPr="002B4F63">
        <w:rPr>
          <w:rFonts w:ascii="Avenir Book" w:hAnsi="Avenir Book" w:cs="Times New Roman"/>
          <w:color w:val="000000" w:themeColor="text1"/>
          <w:sz w:val="22"/>
          <w:szCs w:val="22"/>
          <w:lang w:val="en-GB"/>
        </w:rPr>
        <w:t xml:space="preserve">, paras 205-206; </w:t>
      </w:r>
      <w:r w:rsidRPr="002B4F63">
        <w:rPr>
          <w:rFonts w:ascii="Avenir Book" w:hAnsi="Avenir Book" w:cs="Times New Roman"/>
          <w:i/>
          <w:color w:val="000000" w:themeColor="text1"/>
          <w:sz w:val="22"/>
          <w:szCs w:val="22"/>
          <w:lang w:val="en-GB"/>
        </w:rPr>
        <w:t>Reha Training</w:t>
      </w:r>
      <w:r w:rsidRPr="002B4F63">
        <w:rPr>
          <w:rFonts w:ascii="Avenir Book" w:hAnsi="Avenir Book" w:cs="Times New Roman"/>
          <w:color w:val="000000" w:themeColor="text1"/>
          <w:sz w:val="22"/>
          <w:szCs w:val="22"/>
          <w:lang w:val="en-GB"/>
        </w:rPr>
        <w:t xml:space="preserve"> , paras 63-64.</w:t>
      </w:r>
    </w:p>
  </w:endnote>
  <w:endnote w:id="30">
    <w:p w14:paraId="0FE5490B" w14:textId="7005EFB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Filmspeler</w:t>
      </w:r>
      <w:r w:rsidRPr="002B4F63">
        <w:rPr>
          <w:rFonts w:ascii="Avenir Book" w:hAnsi="Avenir Book" w:cs="Times New Roman"/>
          <w:color w:val="000000" w:themeColor="text1"/>
          <w:sz w:val="22"/>
          <w:szCs w:val="22"/>
          <w:lang w:val="en-GB"/>
        </w:rPr>
        <w:t>, para 51.</w:t>
      </w:r>
    </w:p>
  </w:endnote>
  <w:endnote w:id="31">
    <w:p w14:paraId="47B0520F" w14:textId="348B41B5"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23.</w:t>
      </w:r>
    </w:p>
  </w:endnote>
  <w:endnote w:id="32">
    <w:p w14:paraId="3970ED29" w14:textId="0AEBC244"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3.</w:t>
      </w:r>
    </w:p>
  </w:endnote>
  <w:endnote w:id="33">
    <w:p w14:paraId="372A4221" w14:textId="5FA3A439"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There is no formal system of precedent (</w:t>
      </w:r>
      <w:r w:rsidRPr="002B4F63">
        <w:rPr>
          <w:rFonts w:ascii="Avenir Book" w:hAnsi="Avenir Book" w:cs="Times New Roman"/>
          <w:i/>
          <w:color w:val="000000" w:themeColor="text1"/>
          <w:sz w:val="22"/>
          <w:szCs w:val="22"/>
          <w:lang w:val="en-GB"/>
        </w:rPr>
        <w:t>stare decisis</w:t>
      </w:r>
      <w:r w:rsidRPr="002B4F63">
        <w:rPr>
          <w:rFonts w:ascii="Avenir Book" w:hAnsi="Avenir Book" w:cs="Times New Roman"/>
          <w:color w:val="000000" w:themeColor="text1"/>
          <w:sz w:val="22"/>
          <w:szCs w:val="22"/>
          <w:lang w:val="en-GB"/>
        </w:rPr>
        <w:t xml:space="preserve">) at the level of the CJEU: see </w:t>
      </w:r>
      <w:r w:rsidRPr="002B4F63">
        <w:rPr>
          <w:rFonts w:ascii="Avenir Book" w:eastAsia="Times New Roman" w:hAnsi="Avenir Book" w:cs="Times New Roman"/>
          <w:color w:val="000000" w:themeColor="text1"/>
          <w:sz w:val="22"/>
          <w:szCs w:val="22"/>
          <w:lang w:val="en-GB"/>
        </w:rPr>
        <w:t xml:space="preserve">A Arnull, </w:t>
      </w:r>
      <w:r w:rsidRPr="002B4F63">
        <w:rPr>
          <w:rFonts w:ascii="Avenir Book" w:eastAsia="Times New Roman" w:hAnsi="Avenir Book" w:cs="Times New Roman"/>
          <w:i/>
          <w:color w:val="000000" w:themeColor="text1"/>
          <w:sz w:val="22"/>
          <w:szCs w:val="22"/>
          <w:lang w:val="en-GB"/>
        </w:rPr>
        <w:t>The European Union and its Court of Justice</w:t>
      </w:r>
      <w:r w:rsidRPr="002B4F63">
        <w:rPr>
          <w:rFonts w:ascii="Avenir Book" w:eastAsia="Times New Roman" w:hAnsi="Avenir Book" w:cs="Times New Roman"/>
          <w:color w:val="000000" w:themeColor="text1"/>
          <w:sz w:val="22"/>
          <w:szCs w:val="22"/>
          <w:lang w:val="en-GB"/>
        </w:rPr>
        <w:t xml:space="preserve"> (Oxford University Press:1999), p 529</w:t>
      </w:r>
      <w:r w:rsidRPr="002B4F63">
        <w:rPr>
          <w:rFonts w:ascii="Avenir Book" w:hAnsi="Avenir Book" w:cs="Times New Roman"/>
          <w:color w:val="000000" w:themeColor="text1"/>
          <w:sz w:val="22"/>
          <w:szCs w:val="22"/>
          <w:lang w:val="en-GB"/>
        </w:rPr>
        <w:t xml:space="preserve">, explaining that </w:t>
      </w:r>
      <w:r w:rsidRPr="002B4F63">
        <w:rPr>
          <w:rFonts w:ascii="Avenir Book" w:eastAsia="Times New Roman" w:hAnsi="Avenir Book" w:cs="Times New Roman"/>
          <w:color w:val="000000" w:themeColor="text1"/>
          <w:sz w:val="22"/>
          <w:szCs w:val="22"/>
          <w:lang w:val="en-GB"/>
        </w:rPr>
        <w:t xml:space="preserve">there was the fear that a system of binding precedent would have been inappropriate in what was meant to be a court of first and last resort, many of whose decisions could have been overcome only by amending the treaties, thus implying the agreement of and ratification by all the Member States. See also E Rosati, </w:t>
      </w:r>
      <w:r w:rsidRPr="002B4F63">
        <w:rPr>
          <w:rFonts w:ascii="Avenir Book" w:eastAsia="Times New Roman" w:hAnsi="Avenir Book" w:cs="Times New Roman"/>
          <w:i/>
          <w:color w:val="000000" w:themeColor="text1"/>
          <w:sz w:val="22"/>
          <w:szCs w:val="22"/>
          <w:lang w:val="en-GB"/>
        </w:rPr>
        <w:t>Originality in EU copyright – Full harmonization through case law</w:t>
      </w:r>
      <w:r w:rsidRPr="002B4F63">
        <w:rPr>
          <w:rFonts w:ascii="Avenir Book" w:eastAsia="Times New Roman" w:hAnsi="Avenir Book" w:cs="Times New Roman"/>
          <w:color w:val="000000" w:themeColor="text1"/>
          <w:sz w:val="22"/>
          <w:szCs w:val="22"/>
          <w:lang w:val="en-GB"/>
        </w:rPr>
        <w:t xml:space="preserve"> (Edward Elgar:2013), pp 100-101.</w:t>
      </w:r>
    </w:p>
  </w:endnote>
  <w:endnote w:id="34">
    <w:p w14:paraId="0EE81200" w14:textId="38FEEBF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52.</w:t>
      </w:r>
    </w:p>
  </w:endnote>
  <w:endnote w:id="35">
    <w:p w14:paraId="0D19CE0C" w14:textId="2230CC41"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4.</w:t>
      </w:r>
    </w:p>
  </w:endnote>
  <w:endnote w:id="36">
    <w:p w14:paraId="7157AF39" w14:textId="59C41EB5"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25.</w:t>
      </w:r>
    </w:p>
  </w:endnote>
  <w:endnote w:id="37">
    <w:p w14:paraId="70F6981D" w14:textId="10F6E26B"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paras 44-45.</w:t>
      </w:r>
    </w:p>
  </w:endnote>
  <w:endnote w:id="38">
    <w:p w14:paraId="01D726F9" w14:textId="3AAE9032"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48.</w:t>
      </w:r>
    </w:p>
  </w:endnote>
  <w:endnote w:id="39">
    <w:p w14:paraId="6468AC7C" w14:textId="56DAC2D3"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49.</w:t>
      </w:r>
    </w:p>
  </w:endnote>
  <w:endnote w:id="40">
    <w:p w14:paraId="41C2E5FD" w14:textId="72519040"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37.</w:t>
      </w:r>
    </w:p>
  </w:endnote>
  <w:endnote w:id="41">
    <w:p w14:paraId="1A11DF32" w14:textId="28D53754"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50.</w:t>
      </w:r>
    </w:p>
  </w:endnote>
  <w:endnote w:id="42">
    <w:p w14:paraId="2B7D12B2" w14:textId="3967124F"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51.</w:t>
      </w:r>
    </w:p>
  </w:endnote>
  <w:endnote w:id="43">
    <w:p w14:paraId="0BB0CED2" w14:textId="2A5528EB"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Ibid</w:t>
      </w:r>
      <w:r w:rsidRPr="002B4F63">
        <w:rPr>
          <w:rFonts w:ascii="Avenir Book" w:hAnsi="Avenir Book" w:cs="Times New Roman"/>
          <w:color w:val="000000" w:themeColor="text1"/>
          <w:sz w:val="22"/>
          <w:szCs w:val="22"/>
          <w:lang w:val="en-GB"/>
        </w:rPr>
        <w:t>.</w:t>
      </w:r>
    </w:p>
  </w:endnote>
  <w:endnote w:id="44">
    <w:p w14:paraId="1CE825DF" w14:textId="0EA11EE2"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Ibid</w:t>
      </w:r>
      <w:r w:rsidRPr="002B4F63">
        <w:rPr>
          <w:rFonts w:ascii="Avenir Book" w:hAnsi="Avenir Book" w:cs="Times New Roman"/>
          <w:color w:val="000000" w:themeColor="text1"/>
          <w:sz w:val="22"/>
          <w:szCs w:val="22"/>
          <w:lang w:val="en-GB"/>
        </w:rPr>
        <w:t>.</w:t>
      </w:r>
    </w:p>
  </w:endnote>
  <w:endnote w:id="45">
    <w:p w14:paraId="3282E432" w14:textId="53480FD5"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52.</w:t>
      </w:r>
    </w:p>
  </w:endnote>
  <w:endnote w:id="46">
    <w:p w14:paraId="37B0B10F" w14:textId="395F5058"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in particular paras 67-69.</w:t>
      </w:r>
    </w:p>
  </w:endnote>
  <w:endnote w:id="47">
    <w:p w14:paraId="1A0087C8" w14:textId="35D71CBA"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As explained above sub fn </w:t>
      </w:r>
      <w:r w:rsidRPr="00E104F1">
        <w:rPr>
          <w:rFonts w:ascii="Avenir Book" w:hAnsi="Avenir Book" w:cs="Times New Roman"/>
          <w:color w:val="000000" w:themeColor="text1"/>
          <w:sz w:val="22"/>
          <w:szCs w:val="22"/>
          <w:lang w:val="en-GB"/>
        </w:rPr>
        <w:t>33,</w:t>
      </w:r>
      <w:r w:rsidRPr="002B4F63">
        <w:rPr>
          <w:rFonts w:ascii="Avenir Book" w:hAnsi="Avenir Book" w:cs="Times New Roman"/>
          <w:color w:val="000000" w:themeColor="text1"/>
          <w:sz w:val="22"/>
          <w:szCs w:val="22"/>
          <w:lang w:val="en-GB"/>
        </w:rPr>
        <w:t xml:space="preserve"> at the CJEU level there is no system of binding precedent (</w:t>
      </w:r>
      <w:r w:rsidRPr="002B4F63">
        <w:rPr>
          <w:rFonts w:ascii="Avenir Book" w:hAnsi="Avenir Book" w:cs="Times New Roman"/>
          <w:i/>
          <w:color w:val="000000" w:themeColor="text1"/>
          <w:sz w:val="22"/>
          <w:szCs w:val="22"/>
          <w:lang w:val="en-GB"/>
        </w:rPr>
        <w:t>stare decisis</w:t>
      </w:r>
      <w:r w:rsidRPr="002B4F63">
        <w:rPr>
          <w:rFonts w:ascii="Avenir Book" w:hAnsi="Avenir Book" w:cs="Times New Roman"/>
          <w:color w:val="000000" w:themeColor="text1"/>
          <w:sz w:val="22"/>
          <w:szCs w:val="22"/>
          <w:lang w:val="en-GB"/>
        </w:rPr>
        <w:t>).</w:t>
      </w:r>
    </w:p>
  </w:endnote>
  <w:endnote w:id="48">
    <w:p w14:paraId="5534CA35" w14:textId="582F760F"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20.</w:t>
      </w:r>
    </w:p>
  </w:endnote>
  <w:endnote w:id="49">
    <w:p w14:paraId="59E92E90" w14:textId="2F47F18B"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21.</w:t>
      </w:r>
    </w:p>
  </w:endnote>
  <w:endnote w:id="50">
    <w:p w14:paraId="77B2A60B" w14:textId="6CE6A340"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22.</w:t>
      </w:r>
    </w:p>
  </w:endnote>
  <w:endnote w:id="51">
    <w:p w14:paraId="55738F3A" w14:textId="638B370B"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31.</w:t>
      </w:r>
    </w:p>
  </w:endnote>
  <w:endnote w:id="52">
    <w:p w14:paraId="59D2C145" w14:textId="0FB58F99"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24.</w:t>
      </w:r>
    </w:p>
  </w:endnote>
  <w:endnote w:id="53">
    <w:p w14:paraId="6570F262" w14:textId="43529A0D"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25.</w:t>
      </w:r>
    </w:p>
  </w:endnote>
  <w:endnote w:id="54">
    <w:p w14:paraId="2C744374" w14:textId="52ECCAC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26.</w:t>
      </w:r>
    </w:p>
  </w:endnote>
  <w:endnote w:id="55">
    <w:p w14:paraId="57850202" w14:textId="612BF6E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29.</w:t>
      </w:r>
    </w:p>
  </w:endnote>
  <w:endnote w:id="56">
    <w:p w14:paraId="6EB3A838" w14:textId="53F4857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32.</w:t>
      </w:r>
    </w:p>
  </w:endnote>
  <w:endnote w:id="57">
    <w:p w14:paraId="4064E0B3" w14:textId="2D7999F0"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33.</w:t>
      </w:r>
    </w:p>
  </w:endnote>
  <w:endnote w:id="58">
    <w:p w14:paraId="5491DEB3" w14:textId="5C71A9E3"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34.</w:t>
      </w:r>
    </w:p>
  </w:endnote>
  <w:endnote w:id="59">
    <w:p w14:paraId="4DE6C1BC" w14:textId="06665564"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35.</w:t>
      </w:r>
    </w:p>
  </w:endnote>
  <w:endnote w:id="60">
    <w:p w14:paraId="3CD91D56" w14:textId="0E3141CE"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paras 40-44.</w:t>
      </w:r>
    </w:p>
  </w:endnote>
  <w:endnote w:id="61">
    <w:p w14:paraId="401F5D38" w14:textId="12B631B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36.</w:t>
      </w:r>
    </w:p>
  </w:endnote>
  <w:endnote w:id="62">
    <w:p w14:paraId="6E990F81" w14:textId="729DDD98"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37.</w:t>
      </w:r>
    </w:p>
  </w:endnote>
  <w:endnote w:id="63">
    <w:p w14:paraId="7E377B9F" w14:textId="2D4AFF30"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36.</w:t>
      </w:r>
    </w:p>
  </w:endnote>
  <w:endnote w:id="64">
    <w:p w14:paraId="0E7A87D4" w14:textId="3690768F"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Ibid</w:t>
      </w:r>
      <w:r w:rsidRPr="002B4F63">
        <w:rPr>
          <w:rFonts w:ascii="Avenir Book" w:hAnsi="Avenir Book" w:cs="Times New Roman"/>
          <w:color w:val="000000" w:themeColor="text1"/>
          <w:sz w:val="22"/>
          <w:szCs w:val="22"/>
          <w:lang w:val="en-GB"/>
        </w:rPr>
        <w:t>.</w:t>
      </w:r>
    </w:p>
  </w:endnote>
  <w:endnote w:id="65">
    <w:p w14:paraId="6D13C453" w14:textId="1A37EAB1"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38.</w:t>
      </w:r>
    </w:p>
  </w:endnote>
  <w:endnote w:id="66">
    <w:p w14:paraId="6500D208" w14:textId="6E3348F6"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39</w:t>
      </w:r>
    </w:p>
  </w:endnote>
  <w:endnote w:id="67">
    <w:p w14:paraId="2D0669B6" w14:textId="4082FC34"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para 45.</w:t>
      </w:r>
    </w:p>
  </w:endnote>
  <w:endnote w:id="68">
    <w:p w14:paraId="6338E0A2" w14:textId="145A9794"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Ibid</w:t>
      </w:r>
      <w:r w:rsidRPr="002B4F63">
        <w:rPr>
          <w:rFonts w:ascii="Avenir Book" w:hAnsi="Avenir Book" w:cs="Times New Roman"/>
          <w:color w:val="000000" w:themeColor="text1"/>
          <w:sz w:val="22"/>
          <w:szCs w:val="22"/>
          <w:lang w:val="en-GB"/>
        </w:rPr>
        <w:t>.</w:t>
      </w:r>
    </w:p>
  </w:endnote>
  <w:endnote w:id="69">
    <w:p w14:paraId="2DFE0394" w14:textId="4065F2CF" w:rsidR="000D0EC5" w:rsidRPr="002B4F63" w:rsidRDefault="000D0EC5" w:rsidP="005D465F">
      <w:pPr>
        <w:pStyle w:val="EndnoteText"/>
        <w:spacing w:after="200"/>
        <w:jc w:val="both"/>
        <w:rPr>
          <w:rFonts w:ascii="Avenir Book"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w:t>
      </w:r>
      <w:r w:rsidRPr="002B4F63">
        <w:rPr>
          <w:rFonts w:ascii="Avenir Book" w:hAnsi="Avenir Book" w:cs="Times New Roman"/>
          <w:bCs/>
          <w:i/>
          <w:color w:val="000000" w:themeColor="text1"/>
          <w:sz w:val="22"/>
          <w:szCs w:val="22"/>
          <w:lang w:val="en-GB"/>
        </w:rPr>
        <w:t>L’Oréal SA and Others v eBay International AG and Others</w:t>
      </w:r>
      <w:r w:rsidRPr="002B4F63">
        <w:rPr>
          <w:rFonts w:ascii="Avenir Book" w:hAnsi="Avenir Book" w:cs="Times New Roman"/>
          <w:bCs/>
          <w:color w:val="000000" w:themeColor="text1"/>
          <w:sz w:val="22"/>
          <w:szCs w:val="22"/>
          <w:lang w:val="en-GB"/>
        </w:rPr>
        <w:t xml:space="preserve">, C-324/09, </w:t>
      </w:r>
      <w:r w:rsidRPr="002B4F63">
        <w:rPr>
          <w:rFonts w:ascii="Avenir Book" w:eastAsia="Times New Roman" w:hAnsi="Avenir Book" w:cs="Times New Roman"/>
          <w:bCs/>
          <w:color w:val="000000" w:themeColor="text1"/>
          <w:sz w:val="22"/>
          <w:szCs w:val="22"/>
          <w:shd w:val="clear" w:color="auto" w:fill="FFFFFF"/>
          <w:lang w:val="en-GB"/>
        </w:rPr>
        <w:t>EU:C:2011:474 (</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hAnsi="Avenir Book" w:cs="Times New Roman"/>
          <w:i/>
          <w:color w:val="000000" w:themeColor="text1"/>
          <w:sz w:val="22"/>
          <w:szCs w:val="22"/>
          <w:lang w:val="en-GB"/>
        </w:rPr>
        <w:t>eBay</w:t>
      </w:r>
      <w:r>
        <w:rPr>
          <w:rFonts w:ascii="Avenir Book" w:hAnsi="Avenir Book" w:cs="Times New Roman"/>
          <w:color w:val="000000" w:themeColor="text1"/>
          <w:sz w:val="22"/>
          <w:szCs w:val="22"/>
          <w:lang w:val="en-GB"/>
        </w:rPr>
        <w:t>’</w:t>
      </w:r>
      <w:r w:rsidRPr="002B4F63">
        <w:rPr>
          <w:rFonts w:ascii="Avenir Book" w:hAnsi="Avenir Book" w:cs="Times New Roman"/>
          <w:color w:val="000000" w:themeColor="text1"/>
          <w:sz w:val="22"/>
          <w:szCs w:val="22"/>
          <w:lang w:val="en-GB"/>
        </w:rPr>
        <w:t>), para 120.</w:t>
      </w:r>
    </w:p>
  </w:endnote>
  <w:endnote w:id="70">
    <w:p w14:paraId="22B405F3" w14:textId="6A1D3F55"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European Digital Media Association (EDiMA), ‘</w:t>
      </w:r>
      <w:r w:rsidRPr="002B4F63">
        <w:rPr>
          <w:rFonts w:ascii="Avenir Book" w:eastAsia="Times New Roman" w:hAnsi="Avenir Book" w:cs="Times New Roman"/>
          <w:color w:val="000000" w:themeColor="text1"/>
          <w:sz w:val="22"/>
          <w:szCs w:val="22"/>
          <w:lang w:val="en-GB"/>
        </w:rPr>
        <w:t xml:space="preserve">CJEU reaffirms that knowledge and intention are essential components of an act of communication to the public’ (26 June 2017), available at http://www.europeandigitalmediaassociation.org/pdfs/latest_news/The%20Pirate%20Bay.pdf; </w:t>
      </w:r>
      <w:r w:rsidRPr="002B4F63">
        <w:rPr>
          <w:rFonts w:ascii="Avenir Book" w:hAnsi="Avenir Book" w:cs="Times New Roman"/>
          <w:color w:val="000000" w:themeColor="text1"/>
          <w:sz w:val="22"/>
          <w:szCs w:val="22"/>
          <w:lang w:val="en-GB"/>
        </w:rPr>
        <w:t xml:space="preserve">C de Cock, ‘The CJEU </w:t>
      </w:r>
      <w:r w:rsidRPr="00354BFB">
        <w:rPr>
          <w:rFonts w:ascii="Avenir Book" w:hAnsi="Avenir Book" w:cs="Times New Roman"/>
          <w:i/>
          <w:color w:val="000000" w:themeColor="text1"/>
          <w:sz w:val="22"/>
          <w:szCs w:val="22"/>
          <w:lang w:val="en-GB"/>
        </w:rPr>
        <w:t>Pirate Bay</w:t>
      </w:r>
      <w:r w:rsidRPr="002B4F63">
        <w:rPr>
          <w:rFonts w:ascii="Avenir Book" w:hAnsi="Avenir Book" w:cs="Times New Roman"/>
          <w:color w:val="000000" w:themeColor="text1"/>
          <w:sz w:val="22"/>
          <w:szCs w:val="22"/>
          <w:lang w:val="en-GB"/>
        </w:rPr>
        <w:t xml:space="preserve"> decision and the censorship filter’ (29 June 2017) CopyBuzz, available at http://copybuzz.com/analysis/cjeu-pirate-bay-decision-censorship-filter/; C Angelopoulos, ‘CJEU Decision on </w:t>
      </w:r>
      <w:r w:rsidRPr="002B4F63">
        <w:rPr>
          <w:rFonts w:ascii="Avenir Book" w:hAnsi="Avenir Book" w:cs="Times New Roman"/>
          <w:i/>
          <w:color w:val="000000" w:themeColor="text1"/>
          <w:sz w:val="22"/>
          <w:szCs w:val="22"/>
          <w:lang w:val="en-GB"/>
        </w:rPr>
        <w:t>Ziggo</w:t>
      </w:r>
      <w:r w:rsidRPr="002B4F63">
        <w:rPr>
          <w:rFonts w:ascii="Avenir Book" w:hAnsi="Avenir Book" w:cs="Times New Roman"/>
          <w:color w:val="000000" w:themeColor="text1"/>
          <w:sz w:val="22"/>
          <w:szCs w:val="22"/>
          <w:lang w:val="en-GB"/>
        </w:rPr>
        <w:t xml:space="preserve">: The Pirate Bay communicates works to the public’ (30 June 2017), Kluwer Copyright Blog, available at http://kluwercopyrightblog.com/2017/06/30/cjeu-decision-ziggo-pirate-bay-communicates-works-public/; </w:t>
      </w:r>
    </w:p>
  </w:endnote>
  <w:endnote w:id="71">
    <w:p w14:paraId="7C8F153E" w14:textId="1B7794EF"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During relevant criminal proceedings in the Stockholm District Court, one of the Pirate Bay co-founders, </w:t>
      </w:r>
      <w:r w:rsidRPr="002B4F63">
        <w:rPr>
          <w:rFonts w:ascii="Avenir Book" w:eastAsia="Times New Roman" w:hAnsi="Avenir Book" w:cs="Times New Roman"/>
          <w:color w:val="000000" w:themeColor="text1"/>
          <w:sz w:val="22"/>
          <w:szCs w:val="22"/>
          <w:lang w:val="en-GB"/>
        </w:rPr>
        <w:t>Gottfrid Svartholm Warg, expressly stated that unused torrent files are removed through an automatic process (</w:t>
      </w:r>
      <w:r w:rsidRPr="002B4F63">
        <w:rPr>
          <w:rFonts w:ascii="Avenir Book" w:hAnsi="Avenir Book" w:cs="Times New Roman"/>
          <w:color w:val="000000" w:themeColor="text1"/>
          <w:sz w:val="22"/>
          <w:szCs w:val="22"/>
          <w:lang w:val="en-GB"/>
        </w:rPr>
        <w:t>Stockholm District Court, B 13301-06, 17 April 2009).</w:t>
      </w:r>
    </w:p>
  </w:endnote>
  <w:endnote w:id="72">
    <w:p w14:paraId="34139E53" w14:textId="1CF683EF"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eastAsia="Times New Roman" w:hAnsi="Avenir Book" w:cs="Times New Roman"/>
          <w:color w:val="000000" w:themeColor="text1"/>
          <w:sz w:val="22"/>
          <w:szCs w:val="22"/>
          <w:shd w:val="clear" w:color="auto" w:fill="FFFFFF"/>
          <w:lang w:val="en-GB"/>
        </w:rPr>
        <w:t>As recalled by GF Frosio, ‘</w:t>
      </w:r>
      <w:r w:rsidRPr="002B4F63">
        <w:rPr>
          <w:rFonts w:ascii="Avenir Book" w:eastAsia="Times New Roman" w:hAnsi="Avenir Book" w:cs="Times New Roman"/>
          <w:bCs/>
          <w:color w:val="000000" w:themeColor="text1"/>
          <w:sz w:val="22"/>
          <w:szCs w:val="22"/>
          <w:shd w:val="clear" w:color="auto" w:fill="FFFFFF"/>
          <w:lang w:val="en-GB"/>
        </w:rPr>
        <w:t>From horizontal to vertical: an intermediary liability earthquake in Europe’</w:t>
      </w:r>
      <w:r w:rsidR="00E104F1">
        <w:rPr>
          <w:rFonts w:ascii="Avenir Book" w:eastAsia="Times New Roman" w:hAnsi="Avenir Book" w:cs="Times New Roman"/>
          <w:color w:val="000000" w:themeColor="text1"/>
          <w:sz w:val="22"/>
          <w:szCs w:val="22"/>
          <w:shd w:val="clear" w:color="auto" w:fill="FFFFFF"/>
          <w:lang w:val="en-GB"/>
        </w:rPr>
        <w:t xml:space="preserve"> (</w:t>
      </w:r>
      <w:r w:rsidR="0068279F">
        <w:rPr>
          <w:rFonts w:ascii="Avenir Book" w:eastAsia="Times New Roman" w:hAnsi="Avenir Book" w:cs="Times New Roman"/>
          <w:color w:val="000000" w:themeColor="text1"/>
          <w:sz w:val="22"/>
          <w:szCs w:val="22"/>
          <w:shd w:val="clear" w:color="auto" w:fill="FFFFFF"/>
          <w:lang w:val="en-GB"/>
        </w:rPr>
        <w:t>2017</w:t>
      </w:r>
      <w:r w:rsidR="00E104F1">
        <w:rPr>
          <w:rFonts w:ascii="Avenir Book" w:eastAsia="Times New Roman" w:hAnsi="Avenir Book" w:cs="Times New Roman"/>
          <w:color w:val="000000" w:themeColor="text1"/>
          <w:sz w:val="22"/>
          <w:szCs w:val="22"/>
          <w:shd w:val="clear" w:color="auto" w:fill="FFFFFF"/>
          <w:lang w:val="en-GB"/>
        </w:rPr>
        <w:t>)</w:t>
      </w:r>
      <w:r w:rsidR="0068279F">
        <w:rPr>
          <w:rFonts w:ascii="Avenir Book" w:eastAsia="Times New Roman" w:hAnsi="Avenir Book" w:cs="Times New Roman"/>
          <w:color w:val="000000" w:themeColor="text1"/>
          <w:sz w:val="22"/>
          <w:szCs w:val="22"/>
          <w:shd w:val="clear" w:color="auto" w:fill="FFFFFF"/>
          <w:lang w:val="en-GB"/>
        </w:rPr>
        <w:t xml:space="preserve"> 12(7)</w:t>
      </w:r>
      <w:r w:rsidR="00E104F1">
        <w:rPr>
          <w:rFonts w:ascii="Avenir Book" w:eastAsia="Times New Roman" w:hAnsi="Avenir Book" w:cs="Times New Roman"/>
          <w:color w:val="000000" w:themeColor="text1"/>
          <w:sz w:val="22"/>
          <w:szCs w:val="22"/>
          <w:shd w:val="clear" w:color="auto" w:fill="FFFFFF"/>
          <w:lang w:val="en-GB"/>
        </w:rPr>
        <w:t xml:space="preserve"> JIPLP</w:t>
      </w:r>
      <w:r w:rsidR="0068279F">
        <w:rPr>
          <w:rFonts w:ascii="Avenir Book" w:eastAsia="Times New Roman" w:hAnsi="Avenir Book" w:cs="Times New Roman"/>
          <w:color w:val="000000" w:themeColor="text1"/>
          <w:sz w:val="22"/>
          <w:szCs w:val="22"/>
          <w:shd w:val="clear" w:color="auto" w:fill="FFFFFF"/>
          <w:lang w:val="en-GB"/>
        </w:rPr>
        <w:t xml:space="preserve"> 565</w:t>
      </w:r>
      <w:r w:rsidR="00E104F1">
        <w:rPr>
          <w:rFonts w:ascii="Avenir Book" w:eastAsia="Times New Roman" w:hAnsi="Avenir Book" w:cs="Times New Roman"/>
          <w:color w:val="000000" w:themeColor="text1"/>
          <w:sz w:val="22"/>
          <w:szCs w:val="22"/>
          <w:shd w:val="clear" w:color="auto" w:fill="FFFFFF"/>
          <w:lang w:val="en-GB"/>
        </w:rPr>
        <w:t>,</w:t>
      </w:r>
      <w:r w:rsidR="0068279F">
        <w:rPr>
          <w:rFonts w:ascii="Avenir Book" w:eastAsia="Times New Roman" w:hAnsi="Avenir Book" w:cs="Times New Roman"/>
          <w:color w:val="000000" w:themeColor="text1"/>
          <w:sz w:val="22"/>
          <w:szCs w:val="22"/>
          <w:shd w:val="clear" w:color="auto" w:fill="FFFFFF"/>
          <w:lang w:val="en-GB"/>
        </w:rPr>
        <w:t xml:space="preserve"> 570,</w:t>
      </w:r>
      <w:r w:rsidRPr="002B4F63">
        <w:rPr>
          <w:rFonts w:ascii="Avenir Book" w:eastAsia="Times New Roman" w:hAnsi="Avenir Book" w:cs="Times New Roman"/>
          <w:color w:val="000000" w:themeColor="text1"/>
          <w:sz w:val="22"/>
          <w:szCs w:val="22"/>
          <w:shd w:val="clear" w:color="auto" w:fill="FFFFFF"/>
          <w:lang w:val="en-GB"/>
        </w:rPr>
        <w:t xml:space="preserve"> </w:t>
      </w:r>
      <w:r w:rsidRPr="002B4F63">
        <w:rPr>
          <w:rFonts w:ascii="Avenir Book" w:eastAsia="Times New Roman" w:hAnsi="Avenir Book" w:cs="Times New Roman"/>
          <w:color w:val="000000" w:themeColor="text1"/>
          <w:sz w:val="22"/>
          <w:szCs w:val="22"/>
          <w:lang w:val="en-GB"/>
        </w:rPr>
        <w:t>in the majority of EU jurisdictions, secondary liability is subject to highly demanding conditions that are derived from miscellaneous doctrines of tort law, such as the doctrines of joint tortfeasance, authorization, inducement, common design, contributory liability, vicarious liability or extra-contractual liability.</w:t>
      </w:r>
    </w:p>
  </w:endnote>
  <w:endnote w:id="73">
    <w:p w14:paraId="22AEFB4C" w14:textId="1D36A89E"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Angelopoulos, ‘CJEU Decision on </w:t>
      </w:r>
      <w:r w:rsidRPr="002B4F63">
        <w:rPr>
          <w:rFonts w:ascii="Avenir Book" w:hAnsi="Avenir Book" w:cs="Times New Roman"/>
          <w:i/>
          <w:color w:val="000000" w:themeColor="text1"/>
          <w:sz w:val="22"/>
          <w:szCs w:val="22"/>
          <w:lang w:val="en-GB"/>
        </w:rPr>
        <w:t>Ziggo</w:t>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cit</w:t>
      </w:r>
      <w:r w:rsidRPr="002B4F63">
        <w:rPr>
          <w:rFonts w:ascii="Avenir Book" w:hAnsi="Avenir Book" w:cs="Times New Roman"/>
          <w:color w:val="000000" w:themeColor="text1"/>
          <w:sz w:val="22"/>
          <w:szCs w:val="22"/>
          <w:lang w:val="en-GB"/>
        </w:rPr>
        <w:t xml:space="preserve">. </w:t>
      </w:r>
    </w:p>
  </w:endnote>
  <w:endnote w:id="74">
    <w:p w14:paraId="1E4544B7" w14:textId="23DFFE3E" w:rsidR="000D0EC5" w:rsidRPr="002B4F63" w:rsidRDefault="000D0EC5" w:rsidP="005D465F">
      <w:pPr>
        <w:pStyle w:val="EndnoteText"/>
        <w:spacing w:after="200"/>
        <w:jc w:val="both"/>
        <w:rPr>
          <w:rFonts w:ascii="Avenir Book"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As noted by GB Dinwoodie, ‘A comparative analysis of the secondary liability of online service providers’ in GB Dinwoodie (ed), </w:t>
      </w:r>
      <w:r w:rsidRPr="002B4F63">
        <w:rPr>
          <w:rFonts w:ascii="Avenir Book" w:hAnsi="Avenir Book" w:cs="Times New Roman"/>
          <w:i/>
          <w:sz w:val="22"/>
          <w:szCs w:val="22"/>
          <w:lang w:val="en-GB"/>
        </w:rPr>
        <w:t>Secondary liability of internet service providers</w:t>
      </w:r>
      <w:r w:rsidRPr="002B4F63">
        <w:rPr>
          <w:rFonts w:ascii="Avenir Book" w:hAnsi="Avenir Book" w:cs="Times New Roman"/>
          <w:sz w:val="22"/>
          <w:szCs w:val="22"/>
          <w:lang w:val="en-GB"/>
        </w:rPr>
        <w:t xml:space="preserve"> (Springer:2017), p 8, the concept of ‘authorization’ in this context is such as to establish “an act of </w:t>
      </w:r>
      <w:r w:rsidRPr="002B4F63">
        <w:rPr>
          <w:rFonts w:ascii="Avenir Book" w:hAnsi="Avenir Book" w:cs="Times New Roman"/>
          <w:i/>
          <w:sz w:val="22"/>
          <w:szCs w:val="22"/>
          <w:lang w:val="en-GB"/>
        </w:rPr>
        <w:t>nominally</w:t>
      </w:r>
      <w:r w:rsidRPr="002B4F63">
        <w:rPr>
          <w:rFonts w:ascii="Avenir Book" w:hAnsi="Avenir Book" w:cs="Times New Roman"/>
          <w:sz w:val="22"/>
          <w:szCs w:val="22"/>
          <w:lang w:val="en-GB"/>
        </w:rPr>
        <w:t xml:space="preserve"> primary liability that clearly maps in substance to conventional forms of secondary or joint tortfeasor liability.”</w:t>
      </w:r>
    </w:p>
  </w:endnote>
  <w:endnote w:id="75">
    <w:p w14:paraId="7CBFE2C9" w14:textId="301DCE0F"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eastAsia="Times New Roman" w:hAnsi="Avenir Book" w:cs="Times New Roman"/>
          <w:i/>
          <w:color w:val="000000" w:themeColor="text1"/>
          <w:sz w:val="22"/>
          <w:szCs w:val="22"/>
          <w:shd w:val="clear" w:color="auto" w:fill="FFFFFF"/>
          <w:lang w:val="en-GB"/>
        </w:rPr>
        <w:t>Dramatico</w:t>
      </w:r>
      <w:r w:rsidRPr="002B4F63">
        <w:rPr>
          <w:rFonts w:ascii="Avenir Book" w:eastAsia="Times New Roman" w:hAnsi="Avenir Book" w:cs="Times New Roman"/>
          <w:color w:val="000000" w:themeColor="text1"/>
          <w:sz w:val="22"/>
          <w:szCs w:val="22"/>
          <w:shd w:val="clear" w:color="auto" w:fill="FFFFFF"/>
          <w:lang w:val="en-GB"/>
        </w:rPr>
        <w:t>.</w:t>
      </w:r>
    </w:p>
  </w:endnote>
  <w:endnote w:id="76">
    <w:p w14:paraId="34CE531D" w14:textId="63295AB3"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R Arnold – PS Davies, ‘Accessory liability for intellectual property infringement: the case of authorisation’ (2017) 133(Jul) LQR 442, p 465. </w:t>
      </w:r>
    </w:p>
  </w:endnote>
  <w:endnote w:id="77">
    <w:p w14:paraId="2A4F3F66" w14:textId="44897E7C" w:rsidR="000D0EC5" w:rsidRPr="002B4F63" w:rsidRDefault="000D0EC5" w:rsidP="005D465F">
      <w:pPr>
        <w:pStyle w:val="EndnoteText"/>
        <w:spacing w:after="200"/>
        <w:jc w:val="both"/>
        <w:rPr>
          <w:rFonts w:ascii="Avenir Book" w:hAnsi="Avenir Book" w:cs="Times New Roman"/>
          <w:b/>
          <w:bCs/>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See also C Angelopoulos, </w:t>
      </w:r>
      <w:r w:rsidRPr="002B4F63">
        <w:rPr>
          <w:rFonts w:ascii="Avenir Book" w:hAnsi="Avenir Book" w:cs="Times New Roman"/>
          <w:bCs/>
          <w:i/>
          <w:sz w:val="22"/>
          <w:szCs w:val="22"/>
          <w:lang w:val="en-GB"/>
        </w:rPr>
        <w:t>European intermediary liability in copyright. A tort-based analysis</w:t>
      </w:r>
      <w:r w:rsidRPr="002B4F63">
        <w:rPr>
          <w:rFonts w:ascii="Avenir Book" w:hAnsi="Avenir Book" w:cs="Times New Roman"/>
          <w:b/>
          <w:bCs/>
          <w:sz w:val="22"/>
          <w:szCs w:val="22"/>
          <w:lang w:val="en-GB"/>
        </w:rPr>
        <w:t xml:space="preserve"> </w:t>
      </w:r>
      <w:r w:rsidRPr="002B4F63">
        <w:rPr>
          <w:rFonts w:ascii="Avenir Book" w:hAnsi="Avenir Book" w:cs="Times New Roman"/>
          <w:bCs/>
          <w:sz w:val="22"/>
          <w:szCs w:val="22"/>
          <w:lang w:val="en-GB"/>
        </w:rPr>
        <w:t>(Wolters Kluwer:2016)</w:t>
      </w:r>
      <w:r w:rsidRPr="002B4F63">
        <w:rPr>
          <w:rFonts w:ascii="Avenir Book" w:hAnsi="Avenir Book" w:cs="Times New Roman"/>
          <w:b/>
          <w:bCs/>
          <w:sz w:val="22"/>
          <w:szCs w:val="22"/>
          <w:lang w:val="en-GB"/>
        </w:rPr>
        <w:t xml:space="preserve">, </w:t>
      </w:r>
      <w:r w:rsidRPr="002B4F63">
        <w:rPr>
          <w:rFonts w:ascii="Avenir Book" w:hAnsi="Avenir Book" w:cs="Times New Roman"/>
          <w:sz w:val="22"/>
          <w:szCs w:val="22"/>
          <w:lang w:val="en-GB"/>
        </w:rPr>
        <w:t xml:space="preserve">§2.1.3, explaining that secondary liability will only come into play where an intermediary is not already primarily liable for the same infringement. In the same sense, see also, Dinwoodie, ‘A comparative analysis’, </w:t>
      </w:r>
      <w:r w:rsidRPr="002B4F63">
        <w:rPr>
          <w:rFonts w:ascii="Avenir Book" w:hAnsi="Avenir Book" w:cs="Times New Roman"/>
          <w:i/>
          <w:sz w:val="22"/>
          <w:szCs w:val="22"/>
          <w:lang w:val="en-GB"/>
        </w:rPr>
        <w:t>cit</w:t>
      </w:r>
      <w:r w:rsidRPr="002B4F63">
        <w:rPr>
          <w:rFonts w:ascii="Avenir Book" w:hAnsi="Avenir Book" w:cs="Times New Roman"/>
          <w:sz w:val="22"/>
          <w:szCs w:val="22"/>
          <w:lang w:val="en-GB"/>
        </w:rPr>
        <w:t>, p 13.</w:t>
      </w:r>
    </w:p>
  </w:endnote>
  <w:endnote w:id="78">
    <w:p w14:paraId="5478BB0E" w14:textId="7388374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SGAE</w:t>
      </w:r>
      <w:r w:rsidRPr="002B4F63">
        <w:rPr>
          <w:rFonts w:ascii="Avenir Book" w:hAnsi="Avenir Book" w:cs="Times New Roman"/>
          <w:color w:val="000000" w:themeColor="text1"/>
          <w:sz w:val="22"/>
          <w:szCs w:val="22"/>
          <w:lang w:val="en-GB"/>
        </w:rPr>
        <w:t>, para 42.</w:t>
      </w:r>
    </w:p>
  </w:endnote>
  <w:endnote w:id="79">
    <w:p w14:paraId="1C93C879" w14:textId="69C645BE" w:rsidR="000D0EC5" w:rsidRPr="002B4F63" w:rsidRDefault="000D0EC5" w:rsidP="000E074E">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K Perset,</w:t>
      </w:r>
      <w:r w:rsidRPr="002B4F63">
        <w:rPr>
          <w:rFonts w:ascii="Avenir Book" w:hAnsi="Avenir Book" w:cs="Times New Roman"/>
          <w:color w:val="000000"/>
          <w:sz w:val="22"/>
          <w:szCs w:val="22"/>
          <w:lang w:val="en-GB"/>
        </w:rPr>
        <w:t xml:space="preserve"> </w:t>
      </w:r>
      <w:r w:rsidRPr="002B4F63">
        <w:rPr>
          <w:rFonts w:ascii="Avenir Book" w:hAnsi="Avenir Book" w:cs="Times New Roman"/>
          <w:i/>
          <w:color w:val="000000"/>
          <w:sz w:val="22"/>
          <w:szCs w:val="22"/>
          <w:lang w:val="en-GB"/>
        </w:rPr>
        <w:t>The economic and social role of intermediaries</w:t>
      </w:r>
      <w:r w:rsidRPr="002B4F63">
        <w:rPr>
          <w:rFonts w:ascii="Avenir Book" w:hAnsi="Avenir Book" w:cs="Times New Roman"/>
          <w:color w:val="000000"/>
          <w:sz w:val="22"/>
          <w:szCs w:val="22"/>
          <w:lang w:val="en-GB"/>
        </w:rPr>
        <w:t xml:space="preserve"> (2010), available at https://www.oecd.org/</w:t>
      </w:r>
      <w:r w:rsidRPr="002B4F63">
        <w:rPr>
          <w:rFonts w:ascii="Avenir Book" w:hAnsi="Avenir Book" w:cs="Times New Roman"/>
          <w:color w:val="000000" w:themeColor="text1"/>
          <w:sz w:val="22"/>
          <w:szCs w:val="22"/>
          <w:lang w:val="en-GB"/>
        </w:rPr>
        <w:t>internet/ieconomy/44949023.pdf, p 9.</w:t>
      </w:r>
    </w:p>
  </w:endnote>
  <w:endnote w:id="80">
    <w:p w14:paraId="09C0258A" w14:textId="07242E44" w:rsidR="000D0EC5" w:rsidRPr="002B4F63" w:rsidRDefault="000D0EC5" w:rsidP="000E074E">
      <w:pPr>
        <w:pStyle w:val="EndnoteText"/>
        <w:spacing w:after="200"/>
        <w:jc w:val="both"/>
        <w:rPr>
          <w:rFonts w:ascii="Avenir Book" w:hAnsi="Avenir Book"/>
          <w:sz w:val="22"/>
          <w:szCs w:val="22"/>
          <w:lang w:val="en-GB"/>
        </w:rPr>
      </w:pPr>
      <w:r w:rsidRPr="002B4F63">
        <w:rPr>
          <w:rStyle w:val="EndnoteReference"/>
          <w:rFonts w:ascii="Avenir Book" w:hAnsi="Avenir Book"/>
          <w:sz w:val="22"/>
          <w:szCs w:val="22"/>
          <w:lang w:val="en-GB"/>
        </w:rPr>
        <w:endnoteRef/>
      </w:r>
      <w:r w:rsidRPr="002B4F63">
        <w:rPr>
          <w:rFonts w:ascii="Avenir Book" w:hAnsi="Avenir Book"/>
          <w:sz w:val="22"/>
          <w:szCs w:val="22"/>
          <w:lang w:val="en-GB"/>
        </w:rPr>
        <w:t xml:space="preserve"> Discussing the nature of the E-Commerce Directive safe harbours and referring to them as “insulat[ing] from the effects of </w:t>
      </w:r>
      <w:r w:rsidRPr="00354BFB">
        <w:rPr>
          <w:rFonts w:ascii="Avenir Book" w:hAnsi="Avenir Book"/>
          <w:i/>
          <w:sz w:val="22"/>
          <w:szCs w:val="22"/>
          <w:lang w:val="en-GB"/>
        </w:rPr>
        <w:t>prima facie</w:t>
      </w:r>
      <w:r w:rsidRPr="002B4F63">
        <w:rPr>
          <w:rFonts w:ascii="Avenir Book" w:hAnsi="Avenir Book"/>
          <w:sz w:val="22"/>
          <w:szCs w:val="22"/>
          <w:lang w:val="en-GB"/>
        </w:rPr>
        <w:t xml:space="preserve"> liability”, see </w:t>
      </w:r>
      <w:r w:rsidRPr="002B4F63">
        <w:rPr>
          <w:rFonts w:ascii="Avenir Book" w:hAnsi="Avenir Book" w:cs="Times New Roman"/>
          <w:sz w:val="22"/>
          <w:szCs w:val="22"/>
          <w:lang w:val="en-GB"/>
        </w:rPr>
        <w:t xml:space="preserve">J Riordan, </w:t>
      </w:r>
      <w:r w:rsidRPr="002B4F63">
        <w:rPr>
          <w:rFonts w:ascii="Avenir Book" w:hAnsi="Avenir Book" w:cs="Times New Roman"/>
          <w:i/>
          <w:sz w:val="22"/>
          <w:szCs w:val="22"/>
          <w:lang w:val="en-GB"/>
        </w:rPr>
        <w:t>The liability of internet intermediaries</w:t>
      </w:r>
      <w:r w:rsidRPr="002B4F63">
        <w:rPr>
          <w:rFonts w:ascii="Avenir Book" w:hAnsi="Avenir Book" w:cs="Times New Roman"/>
          <w:sz w:val="22"/>
          <w:szCs w:val="22"/>
          <w:lang w:val="en-GB"/>
        </w:rPr>
        <w:t xml:space="preserve"> (Oxford University Press:2016), §12.11.</w:t>
      </w:r>
    </w:p>
  </w:endnote>
  <w:endnote w:id="81">
    <w:p w14:paraId="51A8BF60" w14:textId="3187052C" w:rsidR="000D0EC5" w:rsidRPr="002B4F63" w:rsidRDefault="000D0EC5" w:rsidP="00851185">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Although outside the scope of the present contribution, a similar trend towards a greater responsibilization of </w:t>
      </w:r>
      <w:r w:rsidR="00711FBC">
        <w:rPr>
          <w:rFonts w:ascii="Avenir Book" w:hAnsi="Avenir Book" w:cs="Times New Roman"/>
          <w:color w:val="000000" w:themeColor="text1"/>
          <w:sz w:val="22"/>
          <w:szCs w:val="22"/>
          <w:lang w:val="en-GB"/>
        </w:rPr>
        <w:t>providers</w:t>
      </w:r>
      <w:r w:rsidRPr="002B4F63">
        <w:rPr>
          <w:rFonts w:ascii="Avenir Book" w:hAnsi="Avenir Book" w:cs="Times New Roman"/>
          <w:color w:val="000000" w:themeColor="text1"/>
          <w:sz w:val="22"/>
          <w:szCs w:val="22"/>
          <w:lang w:val="en-GB"/>
        </w:rPr>
        <w:t xml:space="preserve"> can be also found in recent decisions of the Euro</w:t>
      </w:r>
      <w:r>
        <w:rPr>
          <w:rFonts w:ascii="Avenir Book" w:hAnsi="Avenir Book" w:cs="Times New Roman"/>
          <w:color w:val="000000" w:themeColor="text1"/>
          <w:sz w:val="22"/>
          <w:szCs w:val="22"/>
          <w:lang w:val="en-GB"/>
        </w:rPr>
        <w:t xml:space="preserve">pean Court of Human Rights. See </w:t>
      </w:r>
      <w:r w:rsidRPr="002B4F63">
        <w:rPr>
          <w:rFonts w:ascii="Avenir Book" w:eastAsia="Times New Roman" w:hAnsi="Avenir Book" w:cs="Times New Roman"/>
          <w:i/>
          <w:color w:val="000000" w:themeColor="text1"/>
          <w:sz w:val="22"/>
          <w:szCs w:val="22"/>
          <w:shd w:val="clear" w:color="auto" w:fill="FFFFFF"/>
          <w:lang w:val="en-GB"/>
        </w:rPr>
        <w:t>Delfi AS v Estonia</w:t>
      </w:r>
      <w:r w:rsidRPr="002B4F63">
        <w:rPr>
          <w:rFonts w:ascii="Avenir Book" w:eastAsia="Times New Roman" w:hAnsi="Avenir Book" w:cs="Times New Roman"/>
          <w:color w:val="000000" w:themeColor="text1"/>
          <w:sz w:val="22"/>
          <w:szCs w:val="22"/>
          <w:shd w:val="clear" w:color="auto" w:fill="FFFFFF"/>
          <w:lang w:val="en-GB"/>
        </w:rPr>
        <w:t xml:space="preserve">, App No 64569/09, 16 June 2015, and </w:t>
      </w:r>
      <w:r w:rsidRPr="002B4F63">
        <w:rPr>
          <w:rFonts w:ascii="Avenir Book" w:eastAsia="Times New Roman" w:hAnsi="Avenir Book" w:cs="Times New Roman"/>
          <w:bCs/>
          <w:i/>
          <w:color w:val="000000" w:themeColor="text1"/>
          <w:sz w:val="22"/>
          <w:szCs w:val="22"/>
          <w:lang w:val="en-GB"/>
        </w:rPr>
        <w:t>Magyar Tartalomszolgáltatók Egyesülete and Index.hu Zrt v Hungary</w:t>
      </w:r>
      <w:r w:rsidRPr="002B4F63">
        <w:rPr>
          <w:rFonts w:ascii="Avenir Book" w:eastAsia="Times New Roman" w:hAnsi="Avenir Book" w:cs="Times New Roman"/>
          <w:color w:val="000000" w:themeColor="text1"/>
          <w:sz w:val="22"/>
          <w:szCs w:val="22"/>
          <w:lang w:val="en-GB"/>
        </w:rPr>
        <w:t xml:space="preserve">, App No 22947/13, 2 February 2016, </w:t>
      </w:r>
      <w:r w:rsidRPr="002B4F63">
        <w:rPr>
          <w:rFonts w:ascii="Avenir Book" w:hAnsi="Avenir Book" w:cs="Times New Roman"/>
          <w:color w:val="000000" w:themeColor="text1"/>
          <w:sz w:val="22"/>
          <w:szCs w:val="22"/>
          <w:lang w:val="en-GB"/>
        </w:rPr>
        <w:t xml:space="preserve">both suggesting that in certain situations the mere provision of a notice-and-takedown system may be insufficient. </w:t>
      </w:r>
    </w:p>
  </w:endnote>
  <w:endnote w:id="82">
    <w:p w14:paraId="017B4C0A" w14:textId="5841709D" w:rsidR="000D0EC5" w:rsidRPr="00283DA7" w:rsidRDefault="000D0EC5" w:rsidP="00851185">
      <w:pPr>
        <w:spacing w:after="200"/>
        <w:jc w:val="both"/>
        <w:rPr>
          <w:rFonts w:ascii="Avenir Book" w:eastAsia="Times New Roman" w:hAnsi="Avenir Book" w:cs="Times New Roman"/>
          <w:color w:val="000000" w:themeColor="text1"/>
          <w:sz w:val="22"/>
          <w:szCs w:val="22"/>
          <w:shd w:val="clear" w:color="auto" w:fill="FFFFFF"/>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eBay</w:t>
      </w:r>
      <w:r w:rsidRPr="002B4F63">
        <w:rPr>
          <w:rFonts w:ascii="Avenir Book" w:hAnsi="Avenir Book" w:cs="Times New Roman"/>
          <w:color w:val="000000" w:themeColor="text1"/>
          <w:sz w:val="22"/>
          <w:szCs w:val="22"/>
          <w:lang w:val="en-GB"/>
        </w:rPr>
        <w:t xml:space="preserve">, para 113, referring to </w:t>
      </w:r>
      <w:r w:rsidRPr="002B4F63">
        <w:rPr>
          <w:rFonts w:ascii="Avenir Book" w:eastAsia="Times New Roman" w:hAnsi="Avenir Book" w:cs="Times New Roman"/>
          <w:bCs/>
          <w:i/>
          <w:iCs/>
          <w:color w:val="000000" w:themeColor="text1"/>
          <w:sz w:val="22"/>
          <w:szCs w:val="22"/>
          <w:shd w:val="clear" w:color="auto" w:fill="FFFFFF"/>
          <w:lang w:val="en-GB"/>
        </w:rPr>
        <w:t xml:space="preserve">Google France SARL and Google Inc. v Louis Vuitton Malletier SA </w:t>
      </w:r>
      <w:r w:rsidRPr="002B4F63">
        <w:rPr>
          <w:rFonts w:ascii="Avenir Book" w:eastAsia="Times New Roman" w:hAnsi="Avenir Book" w:cs="Times New Roman"/>
          <w:bCs/>
          <w:iCs/>
          <w:color w:val="000000" w:themeColor="text1"/>
          <w:sz w:val="22"/>
          <w:szCs w:val="22"/>
          <w:shd w:val="clear" w:color="auto" w:fill="FFFFFF"/>
          <w:lang w:val="en-GB"/>
        </w:rPr>
        <w:t>(C-236/08)</w:t>
      </w:r>
      <w:r w:rsidRPr="002B4F63">
        <w:rPr>
          <w:rFonts w:ascii="Avenir Book" w:eastAsia="Times New Roman" w:hAnsi="Avenir Book" w:cs="Times New Roman"/>
          <w:bCs/>
          <w:i/>
          <w:iCs/>
          <w:color w:val="000000" w:themeColor="text1"/>
          <w:sz w:val="22"/>
          <w:szCs w:val="22"/>
          <w:shd w:val="clear" w:color="auto" w:fill="FFFFFF"/>
          <w:lang w:val="en-GB"/>
        </w:rPr>
        <w:t xml:space="preserve">, Google France SARL v Viaticum SA and Luteciel SARL </w:t>
      </w:r>
      <w:r w:rsidRPr="002B4F63">
        <w:rPr>
          <w:rFonts w:ascii="Avenir Book" w:eastAsia="Times New Roman" w:hAnsi="Avenir Book" w:cs="Times New Roman"/>
          <w:bCs/>
          <w:iCs/>
          <w:color w:val="000000" w:themeColor="text1"/>
          <w:sz w:val="22"/>
          <w:szCs w:val="22"/>
          <w:shd w:val="clear" w:color="auto" w:fill="FFFFFF"/>
          <w:lang w:val="en-GB"/>
        </w:rPr>
        <w:t>(C-237/08)</w:t>
      </w:r>
      <w:r w:rsidRPr="002B4F63">
        <w:rPr>
          <w:rFonts w:ascii="Avenir Book" w:eastAsia="Times New Roman" w:hAnsi="Avenir Book" w:cs="Times New Roman"/>
          <w:bCs/>
          <w:i/>
          <w:iCs/>
          <w:color w:val="000000" w:themeColor="text1"/>
          <w:sz w:val="22"/>
          <w:szCs w:val="22"/>
          <w:shd w:val="clear" w:color="auto" w:fill="FFFFFF"/>
          <w:lang w:val="en-GB"/>
        </w:rPr>
        <w:t xml:space="preserve"> and Google France SARL v Centre national de recherche en relations humaines (CNRRH) SARL and Others</w:t>
      </w:r>
      <w:r w:rsidRPr="002B4F63">
        <w:rPr>
          <w:rFonts w:ascii="Avenir Book" w:eastAsia="Times New Roman" w:hAnsi="Avenir Book" w:cs="Times New Roman"/>
          <w:bCs/>
          <w:iCs/>
          <w:color w:val="000000" w:themeColor="text1"/>
          <w:sz w:val="22"/>
          <w:szCs w:val="22"/>
          <w:shd w:val="clear" w:color="auto" w:fill="FFFFFF"/>
          <w:lang w:val="en-GB"/>
        </w:rPr>
        <w:t xml:space="preserve"> (C-238/08), </w:t>
      </w:r>
      <w:r w:rsidRPr="002B4F63">
        <w:rPr>
          <w:rFonts w:ascii="Avenir Book" w:eastAsia="Times New Roman" w:hAnsi="Avenir Book" w:cs="Times New Roman"/>
          <w:bCs/>
          <w:color w:val="000000" w:themeColor="text1"/>
          <w:sz w:val="22"/>
          <w:szCs w:val="22"/>
          <w:shd w:val="clear" w:color="auto" w:fill="FFFFFF"/>
          <w:lang w:val="en-GB"/>
        </w:rPr>
        <w:t>EU:C:2010:159</w:t>
      </w:r>
      <w:r>
        <w:rPr>
          <w:rFonts w:ascii="Avenir Book" w:eastAsia="Times New Roman" w:hAnsi="Avenir Book" w:cs="Times New Roman"/>
          <w:bCs/>
          <w:color w:val="000000" w:themeColor="text1"/>
          <w:sz w:val="22"/>
          <w:szCs w:val="22"/>
          <w:shd w:val="clear" w:color="auto" w:fill="FFFFFF"/>
          <w:lang w:val="en-GB"/>
        </w:rPr>
        <w:t xml:space="preserve"> (‘</w:t>
      </w:r>
      <w:r w:rsidRPr="00283DA7">
        <w:rPr>
          <w:rFonts w:ascii="Avenir Book" w:eastAsia="Times New Roman" w:hAnsi="Avenir Book" w:cs="Times New Roman"/>
          <w:bCs/>
          <w:i/>
          <w:color w:val="000000" w:themeColor="text1"/>
          <w:sz w:val="22"/>
          <w:szCs w:val="22"/>
          <w:shd w:val="clear" w:color="auto" w:fill="FFFFFF"/>
          <w:lang w:val="en-GB"/>
        </w:rPr>
        <w:t>Google France</w:t>
      </w:r>
      <w:r>
        <w:rPr>
          <w:rFonts w:ascii="Avenir Book" w:eastAsia="Times New Roman" w:hAnsi="Avenir Book" w:cs="Times New Roman"/>
          <w:bCs/>
          <w:color w:val="000000" w:themeColor="text1"/>
          <w:sz w:val="22"/>
          <w:szCs w:val="22"/>
          <w:shd w:val="clear" w:color="auto" w:fill="FFFFFF"/>
          <w:lang w:val="en-GB"/>
        </w:rPr>
        <w:t>’)</w:t>
      </w:r>
      <w:r w:rsidRPr="002B4F63">
        <w:rPr>
          <w:rFonts w:ascii="Avenir Book" w:eastAsia="Times New Roman" w:hAnsi="Avenir Book" w:cs="Times New Roman"/>
          <w:color w:val="000000" w:themeColor="text1"/>
          <w:sz w:val="22"/>
          <w:szCs w:val="22"/>
          <w:shd w:val="clear" w:color="auto" w:fill="FFFFFF"/>
          <w:lang w:val="en-GB"/>
        </w:rPr>
        <w:t>, paras 114 and 120</w:t>
      </w:r>
      <w:r>
        <w:rPr>
          <w:rFonts w:ascii="Avenir Book" w:eastAsia="Times New Roman" w:hAnsi="Avenir Book" w:cs="Times New Roman"/>
          <w:color w:val="000000" w:themeColor="text1"/>
          <w:sz w:val="22"/>
          <w:szCs w:val="22"/>
          <w:shd w:val="clear" w:color="auto" w:fill="FFFFFF"/>
          <w:lang w:val="en-GB"/>
        </w:rPr>
        <w:t xml:space="preserve">. Still in </w:t>
      </w:r>
      <w:r w:rsidRPr="00BB3E87">
        <w:rPr>
          <w:rFonts w:ascii="Avenir Book" w:eastAsia="Times New Roman" w:hAnsi="Avenir Book" w:cs="Times New Roman"/>
          <w:i/>
          <w:color w:val="000000" w:themeColor="text1"/>
          <w:sz w:val="22"/>
          <w:szCs w:val="22"/>
          <w:shd w:val="clear" w:color="auto" w:fill="FFFFFF"/>
          <w:lang w:val="en-GB"/>
        </w:rPr>
        <w:t>Google France</w:t>
      </w:r>
      <w:r>
        <w:rPr>
          <w:rFonts w:ascii="Avenir Book" w:eastAsia="Times New Roman" w:hAnsi="Avenir Book" w:cs="Times New Roman"/>
          <w:color w:val="000000" w:themeColor="text1"/>
          <w:sz w:val="22"/>
          <w:szCs w:val="22"/>
          <w:shd w:val="clear" w:color="auto" w:fill="FFFFFF"/>
          <w:lang w:val="en-GB"/>
        </w:rPr>
        <w:t xml:space="preserve">, the CJEU noted that </w:t>
      </w:r>
      <w:r w:rsidRPr="00283DA7">
        <w:rPr>
          <w:rFonts w:ascii="Avenir Book" w:eastAsia="Times New Roman" w:hAnsi="Avenir Book" w:cs="Times New Roman"/>
          <w:color w:val="000000" w:themeColor="text1"/>
          <w:sz w:val="22"/>
          <w:szCs w:val="22"/>
          <w:shd w:val="clear" w:color="auto" w:fill="FFFFFF"/>
        </w:rPr>
        <w:t xml:space="preserve">In that regard, it follows from recital 42 in the preamble to Directive 2000/31 that </w:t>
      </w:r>
      <w:r>
        <w:rPr>
          <w:rFonts w:ascii="Avenir Book" w:eastAsia="Times New Roman" w:hAnsi="Avenir Book" w:cs="Times New Roman"/>
          <w:color w:val="000000" w:themeColor="text1"/>
          <w:sz w:val="22"/>
          <w:szCs w:val="22"/>
          <w:shd w:val="clear" w:color="auto" w:fill="FFFFFF"/>
        </w:rPr>
        <w:t>“</w:t>
      </w:r>
      <w:r w:rsidRPr="00283DA7">
        <w:rPr>
          <w:rFonts w:ascii="Avenir Book" w:eastAsia="Times New Roman" w:hAnsi="Avenir Book" w:cs="Times New Roman"/>
          <w:color w:val="000000" w:themeColor="text1"/>
          <w:sz w:val="22"/>
          <w:szCs w:val="22"/>
          <w:shd w:val="clear" w:color="auto" w:fill="FFFFFF"/>
        </w:rPr>
        <w:t xml:space="preserve">the exemptions from liability established in </w:t>
      </w:r>
      <w:r>
        <w:rPr>
          <w:rFonts w:ascii="Avenir Book" w:eastAsia="Times New Roman" w:hAnsi="Avenir Book" w:cs="Times New Roman"/>
          <w:color w:val="000000" w:themeColor="text1"/>
          <w:sz w:val="22"/>
          <w:szCs w:val="22"/>
          <w:shd w:val="clear" w:color="auto" w:fill="FFFFFF"/>
        </w:rPr>
        <w:t>[the E-Commerce D]</w:t>
      </w:r>
      <w:r w:rsidRPr="00283DA7">
        <w:rPr>
          <w:rFonts w:ascii="Avenir Book" w:eastAsia="Times New Roman" w:hAnsi="Avenir Book" w:cs="Times New Roman"/>
          <w:color w:val="000000" w:themeColor="text1"/>
          <w:sz w:val="22"/>
          <w:szCs w:val="22"/>
          <w:shd w:val="clear" w:color="auto" w:fill="FFFFFF"/>
        </w:rPr>
        <w:t>irective cover only cases in which the activity of the information society service provider is ‘of a mere technical, automatic and passive nature’, which implies that that service provider ‘has neither knowledge of nor control over the information which is transmitted or stored’.</w:t>
      </w:r>
      <w:r>
        <w:rPr>
          <w:rFonts w:ascii="Avenir Book" w:eastAsia="Times New Roman" w:hAnsi="Avenir Book" w:cs="Times New Roman"/>
          <w:color w:val="000000" w:themeColor="text1"/>
          <w:sz w:val="22"/>
          <w:szCs w:val="22"/>
          <w:shd w:val="clear" w:color="auto" w:fill="FFFFFF"/>
        </w:rPr>
        <w:t>” (para 113).</w:t>
      </w:r>
    </w:p>
  </w:endnote>
  <w:endnote w:id="83">
    <w:p w14:paraId="1628185B" w14:textId="0FE0E34E" w:rsidR="000D0EC5" w:rsidRPr="002B4F63" w:rsidRDefault="000D0EC5" w:rsidP="005D465F">
      <w:pPr>
        <w:spacing w:after="200"/>
        <w:jc w:val="both"/>
        <w:rPr>
          <w:rFonts w:ascii="Avenir Book" w:hAnsi="Avenir Book" w:cs="Times New Roman"/>
          <w:bCs/>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M Husovec, </w:t>
      </w:r>
      <w:r w:rsidRPr="002B4F63">
        <w:rPr>
          <w:rFonts w:ascii="Avenir Book" w:hAnsi="Avenir Book" w:cs="Times New Roman"/>
          <w:i/>
          <w:sz w:val="22"/>
          <w:szCs w:val="22"/>
          <w:lang w:val="en-GB"/>
        </w:rPr>
        <w:t xml:space="preserve">Injunctions against intermediaries in the European Union: accountable but not liable? </w:t>
      </w:r>
      <w:r w:rsidRPr="002B4F63">
        <w:rPr>
          <w:rFonts w:ascii="Avenir Book" w:hAnsi="Avenir Book" w:cs="Times New Roman"/>
          <w:sz w:val="22"/>
          <w:szCs w:val="22"/>
          <w:lang w:val="en-GB"/>
        </w:rPr>
        <w:t xml:space="preserve">(CUP:forthcoming), Chapter 4, para 4.1., also referring for support to </w:t>
      </w:r>
      <w:r w:rsidRPr="002B4F63">
        <w:rPr>
          <w:rFonts w:ascii="Avenir Book" w:hAnsi="Avenir Book" w:cs="Times New Roman"/>
          <w:bCs/>
          <w:i/>
          <w:sz w:val="22"/>
          <w:szCs w:val="22"/>
          <w:lang w:val="en-GB"/>
        </w:rPr>
        <w:t>Sotiris Papasavvas v O Fileleftheros Dimosia Etaireia Ltd and Others</w:t>
      </w:r>
      <w:r w:rsidRPr="002B4F63">
        <w:rPr>
          <w:rFonts w:ascii="Avenir Book" w:hAnsi="Avenir Book" w:cs="Times New Roman"/>
          <w:bCs/>
          <w:sz w:val="22"/>
          <w:szCs w:val="22"/>
          <w:lang w:val="en-GB"/>
        </w:rPr>
        <w:t xml:space="preserve">, C-291/13, EU:C:2014:2209, and </w:t>
      </w:r>
      <w:r w:rsidRPr="002B4F63">
        <w:rPr>
          <w:rFonts w:ascii="Avenir Book" w:hAnsi="Avenir Book" w:cs="Times New Roman"/>
          <w:i/>
          <w:sz w:val="22"/>
          <w:szCs w:val="22"/>
          <w:lang w:val="en-GB"/>
        </w:rPr>
        <w:t>eBay</w:t>
      </w:r>
      <w:r w:rsidRPr="002B4F63">
        <w:rPr>
          <w:rFonts w:ascii="Avenir Book" w:hAnsi="Avenir Book" w:cs="Times New Roman"/>
          <w:sz w:val="22"/>
          <w:szCs w:val="22"/>
          <w:lang w:val="en-GB"/>
        </w:rPr>
        <w:t>.</w:t>
      </w:r>
    </w:p>
  </w:endnote>
  <w:endnote w:id="84">
    <w:p w14:paraId="6AC15E45" w14:textId="40953BEB" w:rsidR="000D0EC5" w:rsidRPr="002B4F63" w:rsidRDefault="000D0EC5" w:rsidP="005D465F">
      <w:pPr>
        <w:pStyle w:val="EndnoteText"/>
        <w:spacing w:after="200"/>
        <w:jc w:val="both"/>
        <w:rPr>
          <w:rFonts w:ascii="Avenir Book"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In this sense, see Riordan, </w:t>
      </w:r>
      <w:r w:rsidRPr="002B4F63">
        <w:rPr>
          <w:rFonts w:ascii="Avenir Book" w:hAnsi="Avenir Book" w:cs="Times New Roman"/>
          <w:i/>
          <w:sz w:val="22"/>
          <w:szCs w:val="22"/>
          <w:lang w:val="en-GB"/>
        </w:rPr>
        <w:t>The liability</w:t>
      </w:r>
      <w:r w:rsidRPr="002B4F63">
        <w:rPr>
          <w:rFonts w:ascii="Avenir Book" w:hAnsi="Avenir Book" w:cs="Times New Roman"/>
          <w:sz w:val="22"/>
          <w:szCs w:val="22"/>
          <w:lang w:val="en-GB"/>
        </w:rPr>
        <w:t xml:space="preserve">, </w:t>
      </w:r>
      <w:r w:rsidRPr="002B4F63">
        <w:rPr>
          <w:rFonts w:ascii="Avenir Book" w:hAnsi="Avenir Book" w:cs="Times New Roman"/>
          <w:i/>
          <w:sz w:val="22"/>
          <w:szCs w:val="22"/>
          <w:lang w:val="en-GB"/>
        </w:rPr>
        <w:t>cit</w:t>
      </w:r>
      <w:r w:rsidRPr="002B4F63">
        <w:rPr>
          <w:rFonts w:ascii="Avenir Book" w:hAnsi="Avenir Book" w:cs="Times New Roman"/>
          <w:sz w:val="22"/>
          <w:szCs w:val="22"/>
          <w:lang w:val="en-GB"/>
        </w:rPr>
        <w:t>, §§12.01 and 12.37.</w:t>
      </w:r>
    </w:p>
  </w:endnote>
  <w:endnote w:id="85">
    <w:p w14:paraId="686D2C2A" w14:textId="48D22484" w:rsidR="000D0EC5" w:rsidRPr="002B4F63" w:rsidRDefault="000D0EC5" w:rsidP="005D465F">
      <w:pPr>
        <w:pStyle w:val="EndnoteText"/>
        <w:spacing w:after="200"/>
        <w:jc w:val="both"/>
        <w:rPr>
          <w:rFonts w:ascii="Avenir Book" w:hAnsi="Avenir Book" w:cs="Times New Roman"/>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In the same sense, see M Husovec, </w:t>
      </w:r>
      <w:r w:rsidRPr="002B4F63">
        <w:rPr>
          <w:rFonts w:ascii="Avenir Book" w:hAnsi="Avenir Book" w:cs="Times New Roman"/>
          <w:i/>
          <w:sz w:val="22"/>
          <w:szCs w:val="22"/>
          <w:lang w:val="en-GB"/>
        </w:rPr>
        <w:t>Injunctions against intermediaries</w:t>
      </w:r>
      <w:r w:rsidRPr="002B4F63">
        <w:rPr>
          <w:rFonts w:ascii="Avenir Book" w:hAnsi="Avenir Book" w:cs="Times New Roman"/>
          <w:sz w:val="22"/>
          <w:szCs w:val="22"/>
          <w:lang w:val="en-GB"/>
        </w:rPr>
        <w:t xml:space="preserve">, </w:t>
      </w:r>
      <w:r w:rsidRPr="002B4F63">
        <w:rPr>
          <w:rFonts w:ascii="Avenir Book" w:hAnsi="Avenir Book" w:cs="Times New Roman"/>
          <w:i/>
          <w:sz w:val="22"/>
          <w:szCs w:val="22"/>
          <w:lang w:val="en-GB"/>
        </w:rPr>
        <w:t>cit</w:t>
      </w:r>
      <w:r w:rsidRPr="002B4F63">
        <w:rPr>
          <w:rFonts w:ascii="Avenir Book" w:hAnsi="Avenir Book" w:cs="Times New Roman"/>
          <w:sz w:val="22"/>
          <w:szCs w:val="22"/>
          <w:lang w:val="en-GB"/>
        </w:rPr>
        <w:t>, Chapter 4, para 4.1.</w:t>
      </w:r>
    </w:p>
  </w:endnote>
  <w:endnote w:id="86">
    <w:p w14:paraId="0521B3B6" w14:textId="11752A3B"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The Pirate Bay</w:t>
      </w:r>
      <w:r w:rsidRPr="002B4F63">
        <w:rPr>
          <w:rFonts w:ascii="Avenir Book" w:hAnsi="Avenir Book" w:cs="Times New Roman"/>
          <w:color w:val="000000" w:themeColor="text1"/>
          <w:sz w:val="22"/>
          <w:szCs w:val="22"/>
          <w:lang w:val="en-GB"/>
        </w:rPr>
        <w:t xml:space="preserve"> AG Opinion, para 52.</w:t>
      </w:r>
    </w:p>
  </w:endnote>
  <w:endnote w:id="87">
    <w:p w14:paraId="5DCEF6E8" w14:textId="38DE14EA"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bCs/>
          <w:i/>
          <w:color w:val="000000" w:themeColor="text1"/>
          <w:sz w:val="22"/>
          <w:szCs w:val="22"/>
          <w:lang w:val="en-GB"/>
        </w:rPr>
        <w:t>Tobias Mc Fadden v Sony Music Entertainment Germany GmbH</w:t>
      </w:r>
      <w:r w:rsidRPr="002B4F63">
        <w:rPr>
          <w:rFonts w:ascii="Avenir Book" w:hAnsi="Avenir Book" w:cs="Times New Roman"/>
          <w:bCs/>
          <w:color w:val="000000" w:themeColor="text1"/>
          <w:sz w:val="22"/>
          <w:szCs w:val="22"/>
          <w:lang w:val="en-GB"/>
        </w:rPr>
        <w:t xml:space="preserve">, C-484/14, </w:t>
      </w:r>
      <w:r w:rsidRPr="002B4F63">
        <w:rPr>
          <w:rFonts w:ascii="Avenir Book" w:eastAsia="Times New Roman" w:hAnsi="Avenir Book" w:cs="Times New Roman"/>
          <w:bCs/>
          <w:color w:val="000000" w:themeColor="text1"/>
          <w:sz w:val="22"/>
          <w:szCs w:val="22"/>
          <w:shd w:val="clear" w:color="auto" w:fill="FFFFFF"/>
          <w:lang w:val="en-GB"/>
        </w:rPr>
        <w:t xml:space="preserve">EU:C:2016:689, para </w:t>
      </w:r>
      <w:r w:rsidRPr="002B4F63">
        <w:rPr>
          <w:rFonts w:ascii="Avenir Book" w:hAnsi="Avenir Book" w:cs="Times New Roman"/>
          <w:color w:val="000000" w:themeColor="text1"/>
          <w:sz w:val="22"/>
          <w:szCs w:val="22"/>
          <w:lang w:val="en-GB"/>
        </w:rPr>
        <w:t>87.</w:t>
      </w:r>
    </w:p>
  </w:endnote>
  <w:endnote w:id="88">
    <w:p w14:paraId="085838D3" w14:textId="77777777"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hAnsi="Avenir Book" w:cs="Times New Roman"/>
          <w:i/>
          <w:color w:val="000000" w:themeColor="text1"/>
          <w:sz w:val="22"/>
          <w:szCs w:val="22"/>
          <w:lang w:val="en-GB"/>
        </w:rPr>
        <w:t>eBay,</w:t>
      </w:r>
      <w:r w:rsidRPr="002B4F63">
        <w:rPr>
          <w:rFonts w:ascii="Avenir Book" w:hAnsi="Avenir Book" w:cs="Times New Roman"/>
          <w:color w:val="000000" w:themeColor="text1"/>
          <w:sz w:val="22"/>
          <w:szCs w:val="22"/>
          <w:lang w:val="en-GB"/>
        </w:rPr>
        <w:t xml:space="preserve"> para 139.</w:t>
      </w:r>
    </w:p>
  </w:endnote>
  <w:endnote w:id="89">
    <w:p w14:paraId="04FB07C9" w14:textId="766E7D09" w:rsidR="000D0EC5" w:rsidRPr="002B4F63" w:rsidRDefault="000D0EC5" w:rsidP="005D465F">
      <w:pPr>
        <w:pStyle w:val="EndnoteText"/>
        <w:spacing w:after="200"/>
        <w:jc w:val="both"/>
        <w:rPr>
          <w:rFonts w:ascii="Avenir Book" w:hAnsi="Avenir Book" w:cs="Times New Roman"/>
          <w:color w:val="000000" w:themeColor="text1"/>
          <w:sz w:val="22"/>
          <w:szCs w:val="22"/>
          <w:lang w:val="en-GB"/>
        </w:rPr>
      </w:pPr>
      <w:r w:rsidRPr="002B4F63">
        <w:rPr>
          <w:rStyle w:val="EndnoteReference"/>
          <w:rFonts w:ascii="Avenir Book" w:hAnsi="Avenir Book" w:cs="Times New Roman"/>
          <w:sz w:val="22"/>
          <w:szCs w:val="22"/>
          <w:lang w:val="en-GB"/>
        </w:rPr>
        <w:endnoteRef/>
      </w:r>
      <w:r w:rsidRPr="002B4F63">
        <w:rPr>
          <w:rFonts w:ascii="Avenir Book" w:hAnsi="Avenir Book" w:cs="Times New Roman"/>
          <w:sz w:val="22"/>
          <w:szCs w:val="22"/>
          <w:lang w:val="en-GB"/>
        </w:rPr>
        <w:t xml:space="preserve"> In this sense, </w:t>
      </w:r>
      <w:r w:rsidRPr="002B4F63">
        <w:rPr>
          <w:rFonts w:ascii="Avenir Book" w:hAnsi="Avenir Book" w:cs="Times New Roman"/>
          <w:color w:val="000000" w:themeColor="text1"/>
          <w:sz w:val="22"/>
          <w:szCs w:val="22"/>
          <w:lang w:val="en-GB"/>
        </w:rPr>
        <w:t>M Leistner, ‘</w:t>
      </w:r>
      <w:r w:rsidRPr="002B4F63">
        <w:rPr>
          <w:rFonts w:ascii="Avenir Book" w:hAnsi="Avenir Book" w:cs="Times New Roman"/>
          <w:bCs/>
          <w:color w:val="000000" w:themeColor="text1"/>
          <w:sz w:val="22"/>
          <w:szCs w:val="22"/>
          <w:lang w:val="en-GB"/>
        </w:rPr>
        <w:t xml:space="preserve">Closing the book on the hyperlinks: brief outline of the CJEU's case law and proposal for European legislative reform’ </w:t>
      </w:r>
      <w:r w:rsidRPr="002B4F63">
        <w:rPr>
          <w:rFonts w:ascii="Avenir Book" w:hAnsi="Avenir Book" w:cs="Times New Roman"/>
          <w:color w:val="000000" w:themeColor="text1"/>
          <w:sz w:val="22"/>
          <w:szCs w:val="22"/>
          <w:lang w:val="en-GB"/>
        </w:rPr>
        <w:t>(</w:t>
      </w:r>
      <w:r w:rsidRPr="002B4F63">
        <w:rPr>
          <w:rFonts w:ascii="Avenir Book" w:eastAsia="Times New Roman" w:hAnsi="Avenir Book" w:cs="Times New Roman"/>
          <w:color w:val="000000" w:themeColor="text1"/>
          <w:sz w:val="22"/>
          <w:szCs w:val="22"/>
          <w:shd w:val="clear" w:color="auto" w:fill="FFFFFF"/>
          <w:lang w:val="en-GB"/>
        </w:rPr>
        <w:t xml:space="preserve">2017) 39(6) EIPR 327, p </w:t>
      </w:r>
      <w:r w:rsidRPr="002B4F63">
        <w:rPr>
          <w:rFonts w:ascii="Avenir Book" w:hAnsi="Avenir Book" w:cs="Times New Roman"/>
          <w:color w:val="000000" w:themeColor="text1"/>
          <w:sz w:val="22"/>
          <w:szCs w:val="22"/>
          <w:lang w:val="en-GB"/>
        </w:rPr>
        <w:t>331.</w:t>
      </w:r>
    </w:p>
  </w:endnote>
  <w:endnote w:id="90">
    <w:p w14:paraId="7AB5B9FB" w14:textId="524B77C9"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Albeit in the different context of intermediary injunctions, the CJEU has already clarified that requirin</w:t>
      </w:r>
      <w:r w:rsidR="00711FBC">
        <w:rPr>
          <w:rFonts w:ascii="Avenir Book" w:hAnsi="Avenir Book" w:cs="Times New Roman"/>
          <w:color w:val="000000" w:themeColor="text1"/>
          <w:sz w:val="22"/>
          <w:szCs w:val="22"/>
          <w:lang w:val="en-GB"/>
        </w:rPr>
        <w:t xml:space="preserve">g a provider </w:t>
      </w:r>
      <w:r w:rsidRPr="002B4F63">
        <w:rPr>
          <w:rFonts w:ascii="Avenir Book" w:hAnsi="Avenir Book" w:cs="Times New Roman"/>
          <w:color w:val="000000" w:themeColor="text1"/>
          <w:sz w:val="22"/>
          <w:szCs w:val="22"/>
          <w:lang w:val="en-GB"/>
        </w:rPr>
        <w:t xml:space="preserve">to take measures </w:t>
      </w:r>
      <w:r w:rsidRPr="002B4F63">
        <w:rPr>
          <w:rFonts w:ascii="Avenir Book" w:eastAsia="Times New Roman" w:hAnsi="Avenir Book" w:cs="Times New Roman"/>
          <w:color w:val="000000" w:themeColor="text1"/>
          <w:sz w:val="22"/>
          <w:szCs w:val="22"/>
          <w:shd w:val="clear" w:color="auto" w:fill="FFFFFF"/>
          <w:lang w:val="en-GB"/>
        </w:rPr>
        <w:t xml:space="preserve">which contribute, not just to bringing to an end existing infringements, but also preventing further infringements of that kind are compatible with Article 15(1) of the E-Commerce Directive as long as the relevant order is effective, proportionate, dissuasive and does not create barriers to legitimate trade: </w:t>
      </w:r>
      <w:r w:rsidRPr="002B4F63">
        <w:rPr>
          <w:rFonts w:ascii="Avenir Book" w:eastAsia="Times New Roman" w:hAnsi="Avenir Book" w:cs="Times New Roman"/>
          <w:i/>
          <w:color w:val="000000" w:themeColor="text1"/>
          <w:sz w:val="22"/>
          <w:szCs w:val="22"/>
          <w:shd w:val="clear" w:color="auto" w:fill="FFFFFF"/>
          <w:lang w:val="en-GB"/>
        </w:rPr>
        <w:t>eBay</w:t>
      </w:r>
      <w:r w:rsidRPr="002B4F63">
        <w:rPr>
          <w:rFonts w:ascii="Avenir Book" w:eastAsia="Times New Roman" w:hAnsi="Avenir Book" w:cs="Times New Roman"/>
          <w:color w:val="000000" w:themeColor="text1"/>
          <w:sz w:val="22"/>
          <w:szCs w:val="22"/>
          <w:shd w:val="clear" w:color="auto" w:fill="FFFFFF"/>
          <w:lang w:val="en-GB"/>
        </w:rPr>
        <w:t>, paras 139 and 144.</w:t>
      </w:r>
    </w:p>
  </w:endnote>
  <w:endnote w:id="91">
    <w:p w14:paraId="21A9D73B" w14:textId="3B880C95"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European Commission, </w:t>
      </w:r>
      <w:r w:rsidRPr="002B4F63">
        <w:rPr>
          <w:rFonts w:ascii="Avenir Book" w:eastAsia="Times New Roman" w:hAnsi="Avenir Book" w:cs="Times New Roman"/>
          <w:color w:val="000000" w:themeColor="text1"/>
          <w:sz w:val="22"/>
          <w:szCs w:val="22"/>
          <w:shd w:val="clear" w:color="auto" w:fill="FFFFFF"/>
          <w:lang w:val="en-GB"/>
        </w:rPr>
        <w:t xml:space="preserve">Communication from the Commission to the European Parliament, the Council, the European Economic and Social Committee and the Committee of the Regions, </w:t>
      </w:r>
      <w:r w:rsidRPr="002B4F63">
        <w:rPr>
          <w:rFonts w:ascii="Avenir Book" w:hAnsi="Avenir Book" w:cs="Times New Roman"/>
          <w:i/>
          <w:color w:val="000000" w:themeColor="text1"/>
          <w:sz w:val="22"/>
          <w:szCs w:val="22"/>
          <w:lang w:val="en-GB"/>
        </w:rPr>
        <w:t>A Digital Single Market Strategy for Europe</w:t>
      </w:r>
      <w:r w:rsidRPr="002B4F63">
        <w:rPr>
          <w:rFonts w:ascii="Avenir Book" w:hAnsi="Avenir Book" w:cs="Times New Roman"/>
          <w:color w:val="000000" w:themeColor="text1"/>
          <w:sz w:val="22"/>
          <w:szCs w:val="22"/>
          <w:lang w:val="en-GB"/>
        </w:rPr>
        <w:t>, COM(2015) 192 final.</w:t>
      </w:r>
    </w:p>
  </w:endnote>
  <w:endnote w:id="92">
    <w:p w14:paraId="7436AB97" w14:textId="04880EBC" w:rsidR="000D0EC5" w:rsidRPr="002B4F63" w:rsidRDefault="000D0EC5" w:rsidP="005D465F">
      <w:pPr>
        <w:spacing w:after="200"/>
        <w:jc w:val="both"/>
        <w:rPr>
          <w:rFonts w:ascii="Avenir Book" w:eastAsia="Times New Roman" w:hAnsi="Avenir Book" w:cs="Times New Roman"/>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See further, amongst others, European Commission, </w:t>
      </w:r>
      <w:r w:rsidRPr="002B4F63">
        <w:rPr>
          <w:rFonts w:ascii="Avenir Book" w:hAnsi="Avenir Book" w:cs="Times New Roman"/>
          <w:i/>
          <w:color w:val="000000" w:themeColor="text1"/>
          <w:sz w:val="22"/>
          <w:szCs w:val="22"/>
          <w:lang w:val="en-GB"/>
        </w:rPr>
        <w:t>Synopsis report on the public consultation on the regulatory environment for platforms</w:t>
      </w:r>
      <w:r w:rsidRPr="002B4F63">
        <w:rPr>
          <w:rFonts w:ascii="Avenir Book" w:eastAsia="Times New Roman" w:hAnsi="Avenir Book" w:cs="Times New Roman"/>
          <w:i/>
          <w:color w:val="000000" w:themeColor="text1"/>
          <w:sz w:val="22"/>
          <w:szCs w:val="22"/>
          <w:lang w:val="en-GB"/>
        </w:rPr>
        <w:t>, online intermediaries and the</w:t>
      </w:r>
      <w:r w:rsidRPr="002B4F63">
        <w:rPr>
          <w:rFonts w:ascii="Avenir Book" w:eastAsia="Times New Roman" w:hAnsi="Avenir Book" w:cs="Times New Roman"/>
          <w:i/>
          <w:sz w:val="22"/>
          <w:szCs w:val="22"/>
          <w:lang w:val="en-GB"/>
        </w:rPr>
        <w:t xml:space="preserve"> collaborative economy</w:t>
      </w:r>
      <w:r w:rsidRPr="002B4F63">
        <w:rPr>
          <w:rFonts w:ascii="Avenir Book" w:eastAsia="Times New Roman" w:hAnsi="Avenir Book" w:cs="Times New Roman"/>
          <w:sz w:val="22"/>
          <w:szCs w:val="22"/>
          <w:lang w:val="en-GB"/>
        </w:rPr>
        <w:t xml:space="preserve"> (25 May 2016), available at https://ec.europa.eu/digital-single-market/en/news/full-report-results-public-consultation-regulatory-environment-platforms-online-intermediaries, </w:t>
      </w:r>
      <w:r w:rsidRPr="002B4F63">
        <w:rPr>
          <w:rFonts w:ascii="Avenir Book" w:hAnsi="Avenir Book" w:cs="Times New Roman"/>
          <w:sz w:val="22"/>
          <w:szCs w:val="22"/>
          <w:lang w:val="en-GB"/>
        </w:rPr>
        <w:t>§3.6.1.</w:t>
      </w:r>
    </w:p>
  </w:endnote>
  <w:endnote w:id="93">
    <w:p w14:paraId="732F5933" w14:textId="544F4470"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Recital 38 states that: </w:t>
      </w:r>
      <w:r w:rsidRPr="002B4F63">
        <w:rPr>
          <w:rFonts w:ascii="Avenir Book" w:eastAsia="Times New Roman" w:hAnsi="Avenir Book" w:cs="Times New Roman"/>
          <w:bCs/>
          <w:color w:val="000000" w:themeColor="text1"/>
          <w:sz w:val="22"/>
          <w:szCs w:val="22"/>
          <w:shd w:val="clear" w:color="auto" w:fill="F8F9FA"/>
          <w:lang w:val="en-GB"/>
        </w:rPr>
        <w:t>“</w:t>
      </w:r>
      <w:r w:rsidRPr="002B4F63">
        <w:rPr>
          <w:rFonts w:ascii="Avenir Book" w:eastAsia="Times New Roman" w:hAnsi="Avenir Book" w:cs="Times New Roman"/>
          <w:color w:val="000000" w:themeColor="text1"/>
          <w:sz w:val="22"/>
          <w:szCs w:val="22"/>
          <w:lang w:val="en-GB"/>
        </w:rPr>
        <w:t>Where information society service providers store and provide access to the public to copyright protected works or other subject-matter uploaded by their users, thereby going beyond the mere provision of physical facilities and performing an act of communication to the public, they are obliged to conclude licensing agreements with rightholders, unless they are eligible for the liability exemption provided in Article 14 of Directive 2000/31/EC of the European Parliament and of the Council. In respect of Article 14, it is necessary to verify whether the service provider plays an active role, including by optimising the presentation of the uploaded works or subject-matter or promoting them, irrespective of the nature of the means used therefor. In order to ensure the functioning of any licensing agreement, information society service providers storing and providing access to the public to large amounts of copyright protected works or other subject-matter uploaded by their users should take appropriate and proportionate measures to ensure protection of works or other subject-matter, such as implementing effective technologies. This obligation should also apply when the information society service providers are eligible for the liability exemption provided in Article 14 of Directive 2000/31/EC.</w:t>
      </w:r>
      <w:r w:rsidRPr="002B4F63">
        <w:rPr>
          <w:rFonts w:ascii="Avenir Book" w:eastAsia="Times New Roman" w:hAnsi="Avenir Book" w:cs="Times New Roman"/>
          <w:bCs/>
          <w:color w:val="000000" w:themeColor="text1"/>
          <w:sz w:val="22"/>
          <w:szCs w:val="22"/>
          <w:shd w:val="clear" w:color="auto" w:fill="F8F9FA"/>
          <w:lang w:val="en-GB"/>
        </w:rPr>
        <w:t>”</w:t>
      </w:r>
    </w:p>
  </w:endnote>
  <w:endnote w:id="94">
    <w:p w14:paraId="69DF49B0" w14:textId="1CE1C9A6"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The draft DSM Directive does not contain a definition of what is to be intended as “</w:t>
      </w:r>
      <w:r w:rsidRPr="002B4F63">
        <w:rPr>
          <w:rFonts w:ascii="Avenir Book" w:eastAsia="Times New Roman" w:hAnsi="Avenir Book" w:cs="Times New Roman"/>
          <w:color w:val="000000" w:themeColor="text1"/>
          <w:sz w:val="22"/>
          <w:szCs w:val="22"/>
          <w:lang w:val="en-GB"/>
        </w:rPr>
        <w:t>large amounts of copyright protected works or other subject-matter” uploaded by users of hosting providers’ services.</w:t>
      </w:r>
    </w:p>
  </w:endnote>
  <w:endnote w:id="95">
    <w:p w14:paraId="0C121909" w14:textId="6004258B" w:rsidR="000D0EC5" w:rsidRPr="002B4F63" w:rsidRDefault="000D0EC5" w:rsidP="005D465F">
      <w:pPr>
        <w:spacing w:after="200"/>
        <w:jc w:val="both"/>
        <w:rPr>
          <w:rFonts w:ascii="Avenir Book" w:eastAsia="Times New Roman" w:hAnsi="Avenir Book" w:cs="Times New Roman"/>
          <w:color w:val="000000" w:themeColor="text1"/>
          <w:sz w:val="22"/>
          <w:szCs w:val="22"/>
          <w:lang w:val="en-GB"/>
        </w:rPr>
      </w:pPr>
      <w:r w:rsidRPr="002B4F63">
        <w:rPr>
          <w:rStyle w:val="EndnoteReference"/>
          <w:rFonts w:ascii="Avenir Book" w:hAnsi="Avenir Book" w:cs="Times New Roman"/>
          <w:color w:val="000000" w:themeColor="text1"/>
          <w:sz w:val="22"/>
          <w:szCs w:val="22"/>
          <w:lang w:val="en-GB"/>
        </w:rPr>
        <w:endnoteRef/>
      </w:r>
      <w:r w:rsidRPr="002B4F63">
        <w:rPr>
          <w:rFonts w:ascii="Avenir Book" w:hAnsi="Avenir Book" w:cs="Times New Roman"/>
          <w:color w:val="000000" w:themeColor="text1"/>
          <w:sz w:val="22"/>
          <w:szCs w:val="22"/>
          <w:lang w:val="en-GB"/>
        </w:rPr>
        <w:t xml:space="preserve"> </w:t>
      </w:r>
      <w:r w:rsidRPr="002B4F63">
        <w:rPr>
          <w:rFonts w:ascii="Avenir Book" w:eastAsia="Times New Roman" w:hAnsi="Avenir Book" w:cs="Times New Roman"/>
          <w:color w:val="000000" w:themeColor="text1"/>
          <w:sz w:val="22"/>
          <w:szCs w:val="22"/>
          <w:shd w:val="clear" w:color="auto" w:fill="FFFFFF"/>
          <w:lang w:val="en-GB"/>
        </w:rPr>
        <w:t>Following the release of the European Commission’s proposal for a DSM Directive, the discussion moved to the European Parliament, where MEP Therese Comodini Cachia was appointed rapporteur on behalf of the Committee on Legal Affairs. On 10 March 2017 a first draft of her report on the proposed DSM Directive was released. The draft report takes a substantially identical position to the European Commission, in the part in which it does not provide a definition of what is to be regarded as an ‘act of communication to the public’ by a hosting provider. In mid-2016 MEP Comodini Cachia announced that she was renouncing her role at the European Parliament, and MEP Axel Voss was appointed new rapporteur on the proposed DSM Directive.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06A3" w14:textId="77777777" w:rsidR="000D0EC5" w:rsidRDefault="000D0EC5" w:rsidP="00460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B2A84" w14:textId="77777777" w:rsidR="000D0EC5" w:rsidRDefault="000D0EC5" w:rsidP="004606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F4DA" w14:textId="77777777" w:rsidR="000D0EC5" w:rsidRPr="003F6CC1" w:rsidRDefault="000D0EC5" w:rsidP="0046067C">
    <w:pPr>
      <w:pStyle w:val="Footer"/>
      <w:framePr w:wrap="around" w:vAnchor="text" w:hAnchor="margin" w:xAlign="right" w:y="1"/>
      <w:rPr>
        <w:rStyle w:val="PageNumber"/>
        <w:rFonts w:ascii="Avenir Book" w:hAnsi="Avenir Book" w:cs="Times New Roman"/>
        <w:sz w:val="22"/>
        <w:szCs w:val="22"/>
      </w:rPr>
    </w:pPr>
    <w:r w:rsidRPr="003F6CC1">
      <w:rPr>
        <w:rStyle w:val="PageNumber"/>
        <w:rFonts w:ascii="Avenir Book" w:hAnsi="Avenir Book" w:cs="Times New Roman"/>
        <w:sz w:val="22"/>
        <w:szCs w:val="22"/>
      </w:rPr>
      <w:fldChar w:fldCharType="begin"/>
    </w:r>
    <w:r w:rsidRPr="003F6CC1">
      <w:rPr>
        <w:rStyle w:val="PageNumber"/>
        <w:rFonts w:ascii="Avenir Book" w:hAnsi="Avenir Book" w:cs="Times New Roman"/>
        <w:sz w:val="22"/>
        <w:szCs w:val="22"/>
      </w:rPr>
      <w:instrText xml:space="preserve">PAGE  </w:instrText>
    </w:r>
    <w:r w:rsidRPr="003F6CC1">
      <w:rPr>
        <w:rStyle w:val="PageNumber"/>
        <w:rFonts w:ascii="Avenir Book" w:hAnsi="Avenir Book" w:cs="Times New Roman"/>
        <w:sz w:val="22"/>
        <w:szCs w:val="22"/>
      </w:rPr>
      <w:fldChar w:fldCharType="separate"/>
    </w:r>
    <w:r w:rsidR="009824D5">
      <w:rPr>
        <w:rStyle w:val="PageNumber"/>
        <w:rFonts w:ascii="Avenir Book" w:hAnsi="Avenir Book" w:cs="Times New Roman"/>
        <w:noProof/>
        <w:sz w:val="22"/>
        <w:szCs w:val="22"/>
      </w:rPr>
      <w:t>4</w:t>
    </w:r>
    <w:r w:rsidRPr="003F6CC1">
      <w:rPr>
        <w:rStyle w:val="PageNumber"/>
        <w:rFonts w:ascii="Avenir Book" w:hAnsi="Avenir Book" w:cs="Times New Roman"/>
        <w:sz w:val="22"/>
        <w:szCs w:val="22"/>
      </w:rPr>
      <w:fldChar w:fldCharType="end"/>
    </w:r>
  </w:p>
  <w:p w14:paraId="4FA99D6B" w14:textId="77777777" w:rsidR="000D0EC5" w:rsidRDefault="000D0EC5" w:rsidP="001C49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E9BB" w14:textId="77777777" w:rsidR="000D0EC5" w:rsidRDefault="000D0EC5" w:rsidP="0056614F">
      <w:r>
        <w:separator/>
      </w:r>
    </w:p>
  </w:footnote>
  <w:footnote w:type="continuationSeparator" w:id="0">
    <w:p w14:paraId="36E20ED3" w14:textId="77777777" w:rsidR="000D0EC5" w:rsidRDefault="000D0EC5" w:rsidP="0056614F">
      <w:r>
        <w:continuationSeparator/>
      </w:r>
    </w:p>
  </w:footnote>
  <w:footnote w:id="1">
    <w:p w14:paraId="749D7B1B" w14:textId="545BA828" w:rsidR="000D0EC5" w:rsidRPr="005D465F" w:rsidRDefault="000D0EC5" w:rsidP="005D465F">
      <w:pPr>
        <w:pStyle w:val="FootnoteText"/>
        <w:spacing w:after="200"/>
        <w:jc w:val="both"/>
        <w:rPr>
          <w:rFonts w:ascii="Avenir Book" w:hAnsi="Avenir Book" w:cs="Times New Roman"/>
          <w:color w:val="000000" w:themeColor="text1"/>
          <w:sz w:val="18"/>
          <w:szCs w:val="18"/>
          <w:lang w:val="en-GB"/>
        </w:rPr>
      </w:pPr>
      <w:r w:rsidRPr="005D465F">
        <w:rPr>
          <w:rStyle w:val="FootnoteReference"/>
          <w:rFonts w:ascii="Avenir Book" w:hAnsi="Avenir Book" w:cs="Times New Roman"/>
          <w:color w:val="000000" w:themeColor="text1"/>
          <w:sz w:val="18"/>
          <w:szCs w:val="18"/>
          <w:lang w:val="en-GB"/>
        </w:rPr>
        <w:t>*</w:t>
      </w:r>
      <w:r w:rsidRPr="005D465F">
        <w:rPr>
          <w:rFonts w:ascii="Avenir Book" w:hAnsi="Avenir Book" w:cs="Times New Roman"/>
          <w:color w:val="000000" w:themeColor="text1"/>
          <w:sz w:val="18"/>
          <w:szCs w:val="18"/>
          <w:lang w:val="en-GB"/>
        </w:rPr>
        <w:t xml:space="preserve"> Associate Professor in Intellectual Property Law (University of Southampton). This study was prepared at the request of the International Federation of the Phonographic Industry (IFPI), but the views and opinions expressed are only </w:t>
      </w:r>
      <w:r>
        <w:rPr>
          <w:rFonts w:ascii="Avenir Book" w:hAnsi="Avenir Book" w:cs="Times New Roman"/>
          <w:color w:val="000000" w:themeColor="text1"/>
          <w:sz w:val="18"/>
          <w:szCs w:val="18"/>
          <w:lang w:val="en-GB"/>
        </w:rPr>
        <w:t>those of the Author</w:t>
      </w:r>
      <w:r w:rsidRPr="005D465F">
        <w:rPr>
          <w:rFonts w:ascii="Avenir Book" w:hAnsi="Avenir Book" w:cs="Times New Roman"/>
          <w:color w:val="000000" w:themeColor="text1"/>
          <w:sz w:val="18"/>
          <w:szCs w:val="18"/>
          <w:lang w:val="en-GB"/>
        </w:rPr>
        <w:t>. Email: eleonora@e-lawnora.com.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2AD9" w14:textId="4196E5C1" w:rsidR="000D0EC5" w:rsidRDefault="000D0EC5" w:rsidP="001C49FC">
    <w:pPr>
      <w:jc w:val="right"/>
      <w:rPr>
        <w:rFonts w:ascii="Avenir Book" w:hAnsi="Avenir Book"/>
        <w:sz w:val="16"/>
        <w:szCs w:val="16"/>
      </w:rPr>
    </w:pPr>
    <w:r>
      <w:rPr>
        <w:rFonts w:ascii="Avenir Book" w:hAnsi="Avenir Book"/>
        <w:sz w:val="16"/>
        <w:szCs w:val="16"/>
      </w:rPr>
      <w:t xml:space="preserve">Rosati  </w:t>
    </w:r>
    <w:r w:rsidRPr="001C49FC">
      <w:rPr>
        <w:rFonts w:ascii="Arial" w:eastAsia="Times New Roman" w:hAnsi="Arial" w:cs="Arial"/>
        <w:color w:val="000000" w:themeColor="text1"/>
        <w:shd w:val="clear" w:color="auto" w:fill="FFFFFF"/>
      </w:rPr>
      <w:t>|</w:t>
    </w:r>
    <w:r>
      <w:rPr>
        <w:rFonts w:ascii="Avenir Book" w:hAnsi="Avenir Book"/>
        <w:sz w:val="16"/>
        <w:szCs w:val="16"/>
      </w:rPr>
      <w:t xml:space="preserve">  </w:t>
    </w:r>
    <w:r w:rsidRPr="001C49FC">
      <w:rPr>
        <w:rFonts w:ascii="Avenir Book" w:hAnsi="Avenir Book"/>
        <w:sz w:val="16"/>
        <w:szCs w:val="16"/>
      </w:rPr>
      <w:t xml:space="preserve">The CJEU </w:t>
    </w:r>
    <w:r w:rsidRPr="001C49FC">
      <w:rPr>
        <w:rFonts w:ascii="Avenir Book" w:hAnsi="Avenir Book"/>
        <w:i/>
        <w:sz w:val="16"/>
        <w:szCs w:val="16"/>
      </w:rPr>
      <w:t>Pirate Bay</w:t>
    </w:r>
    <w:r w:rsidRPr="001C49FC">
      <w:rPr>
        <w:rFonts w:ascii="Avenir Book" w:hAnsi="Avenir Book"/>
        <w:sz w:val="16"/>
        <w:szCs w:val="16"/>
      </w:rPr>
      <w:t xml:space="preserve"> judgment and its impact on the liability of online platforms</w:t>
    </w:r>
  </w:p>
  <w:p w14:paraId="2BD7FAF6" w14:textId="17C38C81" w:rsidR="002068CC" w:rsidRPr="001C49FC" w:rsidRDefault="002068CC" w:rsidP="001C49FC">
    <w:pPr>
      <w:jc w:val="right"/>
      <w:rPr>
        <w:rFonts w:ascii="Times" w:eastAsia="Times New Roman" w:hAnsi="Times" w:cs="Times New Roman"/>
        <w:sz w:val="20"/>
        <w:szCs w:val="20"/>
      </w:rPr>
    </w:pPr>
    <w:r>
      <w:rPr>
        <w:rFonts w:ascii="Avenir Book" w:hAnsi="Avenir Book"/>
        <w:sz w:val="16"/>
        <w:szCs w:val="16"/>
      </w:rPr>
      <w:t xml:space="preserve">(forthcoming in </w:t>
    </w:r>
    <w:r w:rsidRPr="002068CC">
      <w:rPr>
        <w:rFonts w:ascii="Avenir Book" w:hAnsi="Avenir Book"/>
        <w:i/>
        <w:sz w:val="16"/>
        <w:szCs w:val="16"/>
      </w:rPr>
      <w:t>European Intellectual Property Review</w:t>
    </w:r>
    <w:r>
      <w:rPr>
        <w:rFonts w:ascii="Avenir Book" w:hAnsi="Avenir Book"/>
        <w:sz w:val="16"/>
        <w:szCs w:val="16"/>
      </w:rPr>
      <w:t>)</w:t>
    </w:r>
  </w:p>
  <w:p w14:paraId="0353BAFD" w14:textId="77777777" w:rsidR="000D0EC5" w:rsidRDefault="000D0EC5" w:rsidP="001C49FC">
    <w:pPr>
      <w:pStyle w:val="Header"/>
      <w:jc w:val="right"/>
      <w:rPr>
        <w:rFonts w:ascii="Avenir Book" w:hAnsi="Avenir Book"/>
        <w:sz w:val="16"/>
        <w:szCs w:val="16"/>
      </w:rPr>
    </w:pPr>
  </w:p>
  <w:p w14:paraId="3E393382" w14:textId="77777777" w:rsidR="000D0EC5" w:rsidRDefault="000D0EC5" w:rsidP="001C49FC">
    <w:pPr>
      <w:pStyle w:val="Header"/>
      <w:jc w:val="right"/>
      <w:rPr>
        <w:rFonts w:ascii="Avenir Book" w:hAnsi="Avenir Book"/>
        <w:sz w:val="16"/>
        <w:szCs w:val="16"/>
      </w:rPr>
    </w:pPr>
  </w:p>
  <w:p w14:paraId="5AC7F1C7" w14:textId="77777777" w:rsidR="000D0EC5" w:rsidRPr="001C49FC" w:rsidRDefault="000D0EC5" w:rsidP="001C49FC">
    <w:pPr>
      <w:pStyle w:val="Header"/>
      <w:jc w:val="right"/>
      <w:rPr>
        <w:rFonts w:ascii="Avenir Book" w:hAnsi="Avenir Boo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AF9"/>
    <w:multiLevelType w:val="hybridMultilevel"/>
    <w:tmpl w:val="F7B47498"/>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6E4AB7"/>
    <w:multiLevelType w:val="hybridMultilevel"/>
    <w:tmpl w:val="0B900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296CF7"/>
    <w:multiLevelType w:val="hybridMultilevel"/>
    <w:tmpl w:val="32682A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385F4A"/>
    <w:multiLevelType w:val="hybridMultilevel"/>
    <w:tmpl w:val="E24E6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64069"/>
    <w:multiLevelType w:val="hybridMultilevel"/>
    <w:tmpl w:val="60EA4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C7074"/>
    <w:multiLevelType w:val="hybridMultilevel"/>
    <w:tmpl w:val="AFA620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6B0F21"/>
    <w:multiLevelType w:val="hybridMultilevel"/>
    <w:tmpl w:val="39AE34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B80CAE"/>
    <w:multiLevelType w:val="hybridMultilevel"/>
    <w:tmpl w:val="2382782E"/>
    <w:lvl w:ilvl="0" w:tplc="6E726F1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0C055A"/>
    <w:multiLevelType w:val="hybridMultilevel"/>
    <w:tmpl w:val="E4CA95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BF16F6"/>
    <w:multiLevelType w:val="hybridMultilevel"/>
    <w:tmpl w:val="2CDC3F0A"/>
    <w:lvl w:ilvl="0" w:tplc="6E726F1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5D215C"/>
    <w:multiLevelType w:val="hybridMultilevel"/>
    <w:tmpl w:val="B3F65F1A"/>
    <w:lvl w:ilvl="0" w:tplc="03BA46FA">
      <w:start w:val="1"/>
      <w:numFmt w:val="decimal"/>
      <w:pStyle w:val="ListParagraph"/>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351172A"/>
    <w:multiLevelType w:val="hybridMultilevel"/>
    <w:tmpl w:val="94948B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4C27CCE"/>
    <w:multiLevelType w:val="hybridMultilevel"/>
    <w:tmpl w:val="2382782E"/>
    <w:lvl w:ilvl="0" w:tplc="6E726F1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8"/>
  </w:num>
  <w:num w:numId="5">
    <w:abstractNumId w:val="1"/>
  </w:num>
  <w:num w:numId="6">
    <w:abstractNumId w:val="6"/>
  </w:num>
  <w:num w:numId="7">
    <w:abstractNumId w:val="10"/>
  </w:num>
  <w:num w:numId="8">
    <w:abstractNumId w:val="9"/>
  </w:num>
  <w:num w:numId="9">
    <w:abstractNumId w:val="7"/>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CB"/>
    <w:rsid w:val="00001B90"/>
    <w:rsid w:val="000251DE"/>
    <w:rsid w:val="00026FD8"/>
    <w:rsid w:val="00027DAD"/>
    <w:rsid w:val="00052DC0"/>
    <w:rsid w:val="000530E1"/>
    <w:rsid w:val="00056C1B"/>
    <w:rsid w:val="00063C66"/>
    <w:rsid w:val="00073770"/>
    <w:rsid w:val="00075BE8"/>
    <w:rsid w:val="00083817"/>
    <w:rsid w:val="000A0534"/>
    <w:rsid w:val="000A20F4"/>
    <w:rsid w:val="000B21F4"/>
    <w:rsid w:val="000B3084"/>
    <w:rsid w:val="000D0EC5"/>
    <w:rsid w:val="000D4E5A"/>
    <w:rsid w:val="000D71DD"/>
    <w:rsid w:val="000E074E"/>
    <w:rsid w:val="000F16C0"/>
    <w:rsid w:val="000F4703"/>
    <w:rsid w:val="000F4C1F"/>
    <w:rsid w:val="0010289B"/>
    <w:rsid w:val="001034EB"/>
    <w:rsid w:val="001114F0"/>
    <w:rsid w:val="00130A5A"/>
    <w:rsid w:val="00132763"/>
    <w:rsid w:val="00140581"/>
    <w:rsid w:val="001415CE"/>
    <w:rsid w:val="00142F53"/>
    <w:rsid w:val="00145097"/>
    <w:rsid w:val="00151B95"/>
    <w:rsid w:val="0015564C"/>
    <w:rsid w:val="00165805"/>
    <w:rsid w:val="00170F21"/>
    <w:rsid w:val="00171048"/>
    <w:rsid w:val="0017480C"/>
    <w:rsid w:val="00175AAC"/>
    <w:rsid w:val="00182E2D"/>
    <w:rsid w:val="001A1D8C"/>
    <w:rsid w:val="001A26F3"/>
    <w:rsid w:val="001A5705"/>
    <w:rsid w:val="001B2B1A"/>
    <w:rsid w:val="001B4C37"/>
    <w:rsid w:val="001C49FC"/>
    <w:rsid w:val="001C5A24"/>
    <w:rsid w:val="001D7565"/>
    <w:rsid w:val="001E20AB"/>
    <w:rsid w:val="001F2C38"/>
    <w:rsid w:val="001F7BB4"/>
    <w:rsid w:val="002068CC"/>
    <w:rsid w:val="002157F3"/>
    <w:rsid w:val="00225E64"/>
    <w:rsid w:val="00226DA9"/>
    <w:rsid w:val="002442B1"/>
    <w:rsid w:val="00244AED"/>
    <w:rsid w:val="00280B7E"/>
    <w:rsid w:val="002838C9"/>
    <w:rsid w:val="00283DA7"/>
    <w:rsid w:val="00286AAF"/>
    <w:rsid w:val="002922CA"/>
    <w:rsid w:val="002B4F63"/>
    <w:rsid w:val="002B7592"/>
    <w:rsid w:val="002D0552"/>
    <w:rsid w:val="002D475F"/>
    <w:rsid w:val="002E7989"/>
    <w:rsid w:val="00301FC9"/>
    <w:rsid w:val="00311AD3"/>
    <w:rsid w:val="00320318"/>
    <w:rsid w:val="00320B44"/>
    <w:rsid w:val="00321F12"/>
    <w:rsid w:val="00322E8A"/>
    <w:rsid w:val="00336775"/>
    <w:rsid w:val="003420F2"/>
    <w:rsid w:val="0035356E"/>
    <w:rsid w:val="00354BFB"/>
    <w:rsid w:val="00370B12"/>
    <w:rsid w:val="003713E1"/>
    <w:rsid w:val="0037552E"/>
    <w:rsid w:val="003846BD"/>
    <w:rsid w:val="00393EAE"/>
    <w:rsid w:val="003B69C6"/>
    <w:rsid w:val="003D0F10"/>
    <w:rsid w:val="003E3ADB"/>
    <w:rsid w:val="003F2568"/>
    <w:rsid w:val="003F6CC1"/>
    <w:rsid w:val="004030C9"/>
    <w:rsid w:val="004114F2"/>
    <w:rsid w:val="004119A8"/>
    <w:rsid w:val="00413A56"/>
    <w:rsid w:val="0042593D"/>
    <w:rsid w:val="00433A31"/>
    <w:rsid w:val="004405E4"/>
    <w:rsid w:val="004405F8"/>
    <w:rsid w:val="00446EDC"/>
    <w:rsid w:val="00453190"/>
    <w:rsid w:val="00454F37"/>
    <w:rsid w:val="0046067C"/>
    <w:rsid w:val="0046555F"/>
    <w:rsid w:val="004658A6"/>
    <w:rsid w:val="004702E0"/>
    <w:rsid w:val="0047470A"/>
    <w:rsid w:val="00483B19"/>
    <w:rsid w:val="004850BC"/>
    <w:rsid w:val="00487A75"/>
    <w:rsid w:val="004B3220"/>
    <w:rsid w:val="004B5CA3"/>
    <w:rsid w:val="004D06DF"/>
    <w:rsid w:val="004D1D48"/>
    <w:rsid w:val="004D4D7F"/>
    <w:rsid w:val="004E41FF"/>
    <w:rsid w:val="004F0DDF"/>
    <w:rsid w:val="004F3F68"/>
    <w:rsid w:val="004F75BA"/>
    <w:rsid w:val="005019C5"/>
    <w:rsid w:val="00502745"/>
    <w:rsid w:val="005103FD"/>
    <w:rsid w:val="0051630F"/>
    <w:rsid w:val="005244F3"/>
    <w:rsid w:val="00531942"/>
    <w:rsid w:val="0053777A"/>
    <w:rsid w:val="00540BC0"/>
    <w:rsid w:val="005448BA"/>
    <w:rsid w:val="005512B2"/>
    <w:rsid w:val="005517DC"/>
    <w:rsid w:val="005520FB"/>
    <w:rsid w:val="00552ADF"/>
    <w:rsid w:val="00552F7A"/>
    <w:rsid w:val="00562548"/>
    <w:rsid w:val="0056614F"/>
    <w:rsid w:val="005703BE"/>
    <w:rsid w:val="00575E47"/>
    <w:rsid w:val="0057601E"/>
    <w:rsid w:val="00581B06"/>
    <w:rsid w:val="00594BCF"/>
    <w:rsid w:val="005A2BF0"/>
    <w:rsid w:val="005B2FC0"/>
    <w:rsid w:val="005D465F"/>
    <w:rsid w:val="005D6334"/>
    <w:rsid w:val="005E5705"/>
    <w:rsid w:val="005F1E8B"/>
    <w:rsid w:val="005F7E81"/>
    <w:rsid w:val="00601A67"/>
    <w:rsid w:val="00616309"/>
    <w:rsid w:val="006168E9"/>
    <w:rsid w:val="006209BD"/>
    <w:rsid w:val="0062209E"/>
    <w:rsid w:val="006248DC"/>
    <w:rsid w:val="00627EA9"/>
    <w:rsid w:val="00631837"/>
    <w:rsid w:val="006373FB"/>
    <w:rsid w:val="006405C8"/>
    <w:rsid w:val="006436A0"/>
    <w:rsid w:val="006449B5"/>
    <w:rsid w:val="006467E5"/>
    <w:rsid w:val="00646AD8"/>
    <w:rsid w:val="00663402"/>
    <w:rsid w:val="006646A4"/>
    <w:rsid w:val="00673ECF"/>
    <w:rsid w:val="00675932"/>
    <w:rsid w:val="00676756"/>
    <w:rsid w:val="00680193"/>
    <w:rsid w:val="0068279F"/>
    <w:rsid w:val="006835D5"/>
    <w:rsid w:val="00686D15"/>
    <w:rsid w:val="00687F2E"/>
    <w:rsid w:val="006967AE"/>
    <w:rsid w:val="006A79AD"/>
    <w:rsid w:val="006B2074"/>
    <w:rsid w:val="006C37CB"/>
    <w:rsid w:val="006C5923"/>
    <w:rsid w:val="006C6073"/>
    <w:rsid w:val="006C79C2"/>
    <w:rsid w:val="006D4251"/>
    <w:rsid w:val="006D4CF5"/>
    <w:rsid w:val="006E240A"/>
    <w:rsid w:val="006E63E9"/>
    <w:rsid w:val="006F1184"/>
    <w:rsid w:val="00700433"/>
    <w:rsid w:val="007036C1"/>
    <w:rsid w:val="0071072D"/>
    <w:rsid w:val="0071095B"/>
    <w:rsid w:val="00711FBC"/>
    <w:rsid w:val="0071362A"/>
    <w:rsid w:val="0072340E"/>
    <w:rsid w:val="00723C5D"/>
    <w:rsid w:val="00732D66"/>
    <w:rsid w:val="00734842"/>
    <w:rsid w:val="00737B1B"/>
    <w:rsid w:val="00744A92"/>
    <w:rsid w:val="00757E4D"/>
    <w:rsid w:val="00765B5E"/>
    <w:rsid w:val="00765F0D"/>
    <w:rsid w:val="007671E2"/>
    <w:rsid w:val="00771367"/>
    <w:rsid w:val="007803BB"/>
    <w:rsid w:val="00790997"/>
    <w:rsid w:val="00791363"/>
    <w:rsid w:val="00794241"/>
    <w:rsid w:val="007A1656"/>
    <w:rsid w:val="007B56CF"/>
    <w:rsid w:val="007B78EF"/>
    <w:rsid w:val="007D0845"/>
    <w:rsid w:val="007D3AC8"/>
    <w:rsid w:val="007D6657"/>
    <w:rsid w:val="007E3356"/>
    <w:rsid w:val="007F5D5C"/>
    <w:rsid w:val="007F6BD9"/>
    <w:rsid w:val="007F754F"/>
    <w:rsid w:val="008115FB"/>
    <w:rsid w:val="00816B55"/>
    <w:rsid w:val="0082227B"/>
    <w:rsid w:val="00822E3B"/>
    <w:rsid w:val="008241D6"/>
    <w:rsid w:val="008333D3"/>
    <w:rsid w:val="00847C70"/>
    <w:rsid w:val="00851185"/>
    <w:rsid w:val="008578DE"/>
    <w:rsid w:val="00861BAD"/>
    <w:rsid w:val="00873124"/>
    <w:rsid w:val="00891FAA"/>
    <w:rsid w:val="0089376A"/>
    <w:rsid w:val="008962F3"/>
    <w:rsid w:val="00896C01"/>
    <w:rsid w:val="008A6EDE"/>
    <w:rsid w:val="008A7284"/>
    <w:rsid w:val="008B103B"/>
    <w:rsid w:val="008B4F2B"/>
    <w:rsid w:val="008C001A"/>
    <w:rsid w:val="008C038D"/>
    <w:rsid w:val="008C1D8C"/>
    <w:rsid w:val="008C69E6"/>
    <w:rsid w:val="008D0CE2"/>
    <w:rsid w:val="008D2694"/>
    <w:rsid w:val="008D3B8B"/>
    <w:rsid w:val="008E6148"/>
    <w:rsid w:val="008F203C"/>
    <w:rsid w:val="008F2ADF"/>
    <w:rsid w:val="00915E40"/>
    <w:rsid w:val="00934126"/>
    <w:rsid w:val="00954D04"/>
    <w:rsid w:val="00961FAB"/>
    <w:rsid w:val="0096299E"/>
    <w:rsid w:val="009722D7"/>
    <w:rsid w:val="00972B0E"/>
    <w:rsid w:val="00975F8F"/>
    <w:rsid w:val="009761DE"/>
    <w:rsid w:val="00976B6A"/>
    <w:rsid w:val="009775D4"/>
    <w:rsid w:val="009824D5"/>
    <w:rsid w:val="00990885"/>
    <w:rsid w:val="00993666"/>
    <w:rsid w:val="009A35F7"/>
    <w:rsid w:val="009A427B"/>
    <w:rsid w:val="009A7C10"/>
    <w:rsid w:val="009B36C8"/>
    <w:rsid w:val="009B542C"/>
    <w:rsid w:val="009B7D99"/>
    <w:rsid w:val="009C5C05"/>
    <w:rsid w:val="009C719F"/>
    <w:rsid w:val="009F081A"/>
    <w:rsid w:val="009F0BEF"/>
    <w:rsid w:val="009F48EB"/>
    <w:rsid w:val="00A00254"/>
    <w:rsid w:val="00A01F46"/>
    <w:rsid w:val="00A04801"/>
    <w:rsid w:val="00A05C3B"/>
    <w:rsid w:val="00A05D5B"/>
    <w:rsid w:val="00A06AA0"/>
    <w:rsid w:val="00A11811"/>
    <w:rsid w:val="00A16F31"/>
    <w:rsid w:val="00A24C40"/>
    <w:rsid w:val="00A261B1"/>
    <w:rsid w:val="00A301FA"/>
    <w:rsid w:val="00A324C8"/>
    <w:rsid w:val="00A324FE"/>
    <w:rsid w:val="00A43AB0"/>
    <w:rsid w:val="00A560EB"/>
    <w:rsid w:val="00A564B8"/>
    <w:rsid w:val="00A60B76"/>
    <w:rsid w:val="00A7273D"/>
    <w:rsid w:val="00A746F2"/>
    <w:rsid w:val="00A74F7D"/>
    <w:rsid w:val="00A918E9"/>
    <w:rsid w:val="00AA0BC5"/>
    <w:rsid w:val="00AA277A"/>
    <w:rsid w:val="00AA2940"/>
    <w:rsid w:val="00AA7A66"/>
    <w:rsid w:val="00AB49D1"/>
    <w:rsid w:val="00AB7404"/>
    <w:rsid w:val="00AB7FDC"/>
    <w:rsid w:val="00AF117F"/>
    <w:rsid w:val="00AF6466"/>
    <w:rsid w:val="00B107DE"/>
    <w:rsid w:val="00B14887"/>
    <w:rsid w:val="00B17A8A"/>
    <w:rsid w:val="00B43FC3"/>
    <w:rsid w:val="00B472C1"/>
    <w:rsid w:val="00B47DD6"/>
    <w:rsid w:val="00B52504"/>
    <w:rsid w:val="00B5384B"/>
    <w:rsid w:val="00B5560B"/>
    <w:rsid w:val="00B62E6B"/>
    <w:rsid w:val="00B6525D"/>
    <w:rsid w:val="00B74266"/>
    <w:rsid w:val="00B90A95"/>
    <w:rsid w:val="00B92FF2"/>
    <w:rsid w:val="00BB340D"/>
    <w:rsid w:val="00BB3E87"/>
    <w:rsid w:val="00BB5740"/>
    <w:rsid w:val="00BD096F"/>
    <w:rsid w:val="00BD15F6"/>
    <w:rsid w:val="00BD5142"/>
    <w:rsid w:val="00BE65CB"/>
    <w:rsid w:val="00BF2039"/>
    <w:rsid w:val="00BF245B"/>
    <w:rsid w:val="00C02287"/>
    <w:rsid w:val="00C10884"/>
    <w:rsid w:val="00C160CD"/>
    <w:rsid w:val="00C2082A"/>
    <w:rsid w:val="00C31624"/>
    <w:rsid w:val="00C3200D"/>
    <w:rsid w:val="00C3295A"/>
    <w:rsid w:val="00C34C82"/>
    <w:rsid w:val="00C37F6F"/>
    <w:rsid w:val="00C405B2"/>
    <w:rsid w:val="00C444BF"/>
    <w:rsid w:val="00C52868"/>
    <w:rsid w:val="00C703AC"/>
    <w:rsid w:val="00C70559"/>
    <w:rsid w:val="00C74621"/>
    <w:rsid w:val="00C876A3"/>
    <w:rsid w:val="00CA2D0A"/>
    <w:rsid w:val="00CA37A7"/>
    <w:rsid w:val="00CB50C4"/>
    <w:rsid w:val="00CC4D4B"/>
    <w:rsid w:val="00CC5DE1"/>
    <w:rsid w:val="00CE154A"/>
    <w:rsid w:val="00CE1F2F"/>
    <w:rsid w:val="00CF5E7C"/>
    <w:rsid w:val="00CF7D6B"/>
    <w:rsid w:val="00D31D9F"/>
    <w:rsid w:val="00D36F46"/>
    <w:rsid w:val="00D43E14"/>
    <w:rsid w:val="00D46665"/>
    <w:rsid w:val="00D62136"/>
    <w:rsid w:val="00D7410B"/>
    <w:rsid w:val="00D82A99"/>
    <w:rsid w:val="00D96D42"/>
    <w:rsid w:val="00DB38D0"/>
    <w:rsid w:val="00DC2D22"/>
    <w:rsid w:val="00DD5FA9"/>
    <w:rsid w:val="00DE17B7"/>
    <w:rsid w:val="00DE2EF3"/>
    <w:rsid w:val="00DE4B33"/>
    <w:rsid w:val="00DF1133"/>
    <w:rsid w:val="00DF4599"/>
    <w:rsid w:val="00E104F1"/>
    <w:rsid w:val="00E10D3B"/>
    <w:rsid w:val="00E131CC"/>
    <w:rsid w:val="00E13827"/>
    <w:rsid w:val="00E16CC1"/>
    <w:rsid w:val="00E22C25"/>
    <w:rsid w:val="00E678A6"/>
    <w:rsid w:val="00E708E5"/>
    <w:rsid w:val="00E732FE"/>
    <w:rsid w:val="00E7344A"/>
    <w:rsid w:val="00E8165F"/>
    <w:rsid w:val="00E81EC3"/>
    <w:rsid w:val="00E843E3"/>
    <w:rsid w:val="00EA0AE1"/>
    <w:rsid w:val="00EA4366"/>
    <w:rsid w:val="00EB2DF2"/>
    <w:rsid w:val="00EC7A00"/>
    <w:rsid w:val="00EE7BCE"/>
    <w:rsid w:val="00EF5A61"/>
    <w:rsid w:val="00F02B3B"/>
    <w:rsid w:val="00F04B54"/>
    <w:rsid w:val="00F05DB7"/>
    <w:rsid w:val="00F3130D"/>
    <w:rsid w:val="00F33617"/>
    <w:rsid w:val="00F42C13"/>
    <w:rsid w:val="00F447DE"/>
    <w:rsid w:val="00F44BE7"/>
    <w:rsid w:val="00F63A0B"/>
    <w:rsid w:val="00F70D3B"/>
    <w:rsid w:val="00F80671"/>
    <w:rsid w:val="00F80A6F"/>
    <w:rsid w:val="00F87E26"/>
    <w:rsid w:val="00F9329C"/>
    <w:rsid w:val="00F96D0B"/>
    <w:rsid w:val="00F97C2B"/>
    <w:rsid w:val="00FB0343"/>
    <w:rsid w:val="00FC5483"/>
    <w:rsid w:val="00FD6F74"/>
    <w:rsid w:val="00FE416A"/>
    <w:rsid w:val="00FE75C1"/>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05D9B79"/>
  <w14:defaultImageDpi w14:val="300"/>
  <w15:docId w15:val="{282CBDF7-3B0D-4B7A-BB66-4AB01B62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71DD"/>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Heading2">
    <w:name w:val="heading 2"/>
    <w:basedOn w:val="Normal"/>
    <w:next w:val="Normal"/>
    <w:link w:val="Heading2Char"/>
    <w:uiPriority w:val="9"/>
    <w:unhideWhenUsed/>
    <w:qFormat/>
    <w:rsid w:val="008962F3"/>
    <w:pPr>
      <w:keepNext/>
      <w:keepLines/>
      <w:spacing w:before="200"/>
      <w:outlineLvl w:val="1"/>
    </w:pPr>
    <w:rPr>
      <w:rFonts w:asciiTheme="majorHAnsi" w:eastAsiaTheme="majorEastAsia" w:hAnsiTheme="majorHAnsi" w:cstheme="majorBidi"/>
      <w:b/>
      <w:bCs/>
      <w:color w:val="07377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CC1"/>
    <w:pPr>
      <w:numPr>
        <w:numId w:val="7"/>
      </w:numPr>
      <w:pBdr>
        <w:bottom w:val="single" w:sz="4" w:space="1" w:color="auto"/>
      </w:pBdr>
      <w:contextualSpacing/>
      <w:jc w:val="both"/>
    </w:pPr>
    <w:rPr>
      <w:rFonts w:ascii="Avenir Book" w:hAnsi="Avenir Book" w:cs="Times New Roman"/>
      <w:b/>
      <w:color w:val="000000" w:themeColor="text1"/>
      <w:sz w:val="22"/>
      <w:szCs w:val="22"/>
    </w:rPr>
  </w:style>
  <w:style w:type="paragraph" w:styleId="NormalWeb">
    <w:name w:val="Normal (Web)"/>
    <w:basedOn w:val="Normal"/>
    <w:uiPriority w:val="99"/>
    <w:unhideWhenUsed/>
    <w:rsid w:val="0056614F"/>
    <w:rPr>
      <w:rFonts w:ascii="Times New Roman" w:hAnsi="Times New Roman" w:cs="Times New Roman"/>
    </w:rPr>
  </w:style>
  <w:style w:type="paragraph" w:styleId="FootnoteText">
    <w:name w:val="footnote text"/>
    <w:basedOn w:val="Normal"/>
    <w:link w:val="FootnoteTextChar"/>
    <w:uiPriority w:val="99"/>
    <w:unhideWhenUsed/>
    <w:rsid w:val="0056614F"/>
  </w:style>
  <w:style w:type="character" w:customStyle="1" w:styleId="FootnoteTextChar">
    <w:name w:val="Footnote Text Char"/>
    <w:basedOn w:val="DefaultParagraphFont"/>
    <w:link w:val="FootnoteText"/>
    <w:uiPriority w:val="99"/>
    <w:rsid w:val="0056614F"/>
  </w:style>
  <w:style w:type="character" w:styleId="FootnoteReference">
    <w:name w:val="footnote reference"/>
    <w:basedOn w:val="DefaultParagraphFont"/>
    <w:uiPriority w:val="99"/>
    <w:unhideWhenUsed/>
    <w:rsid w:val="0056614F"/>
    <w:rPr>
      <w:vertAlign w:val="superscript"/>
    </w:rPr>
  </w:style>
  <w:style w:type="paragraph" w:customStyle="1" w:styleId="c01pointaltn">
    <w:name w:val="c01pointaltn"/>
    <w:basedOn w:val="Normal"/>
    <w:rsid w:val="00B90A9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90A95"/>
    <w:rPr>
      <w:color w:val="0000FF"/>
      <w:u w:val="single"/>
    </w:rPr>
  </w:style>
  <w:style w:type="paragraph" w:customStyle="1" w:styleId="c15margeretrait0">
    <w:name w:val="c15margeretrait0"/>
    <w:basedOn w:val="Normal"/>
    <w:rsid w:val="00B90A95"/>
    <w:pPr>
      <w:spacing w:before="100" w:beforeAutospacing="1" w:after="100" w:afterAutospacing="1"/>
    </w:pPr>
    <w:rPr>
      <w:rFonts w:ascii="Times" w:hAnsi="Times"/>
      <w:sz w:val="20"/>
      <w:szCs w:val="20"/>
    </w:rPr>
  </w:style>
  <w:style w:type="paragraph" w:customStyle="1" w:styleId="c19marge1">
    <w:name w:val="c19marge1"/>
    <w:basedOn w:val="Normal"/>
    <w:rsid w:val="00B90A9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F7E81"/>
  </w:style>
  <w:style w:type="paragraph" w:styleId="Footer">
    <w:name w:val="footer"/>
    <w:basedOn w:val="Normal"/>
    <w:link w:val="FooterChar"/>
    <w:uiPriority w:val="99"/>
    <w:unhideWhenUsed/>
    <w:rsid w:val="0046067C"/>
    <w:pPr>
      <w:tabs>
        <w:tab w:val="center" w:pos="4986"/>
        <w:tab w:val="right" w:pos="9972"/>
      </w:tabs>
    </w:pPr>
  </w:style>
  <w:style w:type="character" w:customStyle="1" w:styleId="FooterChar">
    <w:name w:val="Footer Char"/>
    <w:basedOn w:val="DefaultParagraphFont"/>
    <w:link w:val="Footer"/>
    <w:uiPriority w:val="99"/>
    <w:rsid w:val="0046067C"/>
  </w:style>
  <w:style w:type="character" w:styleId="PageNumber">
    <w:name w:val="page number"/>
    <w:basedOn w:val="DefaultParagraphFont"/>
    <w:uiPriority w:val="99"/>
    <w:semiHidden/>
    <w:unhideWhenUsed/>
    <w:rsid w:val="0046067C"/>
  </w:style>
  <w:style w:type="paragraph" w:styleId="Header">
    <w:name w:val="header"/>
    <w:basedOn w:val="Normal"/>
    <w:link w:val="HeaderChar"/>
    <w:uiPriority w:val="99"/>
    <w:unhideWhenUsed/>
    <w:rsid w:val="0046067C"/>
    <w:pPr>
      <w:tabs>
        <w:tab w:val="center" w:pos="4986"/>
        <w:tab w:val="right" w:pos="9972"/>
      </w:tabs>
    </w:pPr>
  </w:style>
  <w:style w:type="character" w:customStyle="1" w:styleId="HeaderChar">
    <w:name w:val="Header Char"/>
    <w:basedOn w:val="DefaultParagraphFont"/>
    <w:link w:val="Header"/>
    <w:uiPriority w:val="99"/>
    <w:rsid w:val="0046067C"/>
  </w:style>
  <w:style w:type="paragraph" w:customStyle="1" w:styleId="c01pointnumerotealtn">
    <w:name w:val="c01pointnumerotealtn"/>
    <w:basedOn w:val="Normal"/>
    <w:rsid w:val="00F9329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157F3"/>
    <w:rPr>
      <w:i/>
      <w:iCs/>
    </w:rPr>
  </w:style>
  <w:style w:type="character" w:customStyle="1" w:styleId="Heading2Char">
    <w:name w:val="Heading 2 Char"/>
    <w:basedOn w:val="DefaultParagraphFont"/>
    <w:link w:val="Heading2"/>
    <w:uiPriority w:val="9"/>
    <w:rsid w:val="008962F3"/>
    <w:rPr>
      <w:rFonts w:asciiTheme="majorHAnsi" w:eastAsiaTheme="majorEastAsia" w:hAnsiTheme="majorHAnsi" w:cstheme="majorBidi"/>
      <w:b/>
      <w:bCs/>
      <w:color w:val="073779" w:themeColor="accent1"/>
      <w:sz w:val="26"/>
      <w:szCs w:val="26"/>
    </w:rPr>
  </w:style>
  <w:style w:type="character" w:customStyle="1" w:styleId="Heading1Char">
    <w:name w:val="Heading 1 Char"/>
    <w:basedOn w:val="DefaultParagraphFont"/>
    <w:link w:val="Heading1"/>
    <w:uiPriority w:val="9"/>
    <w:rsid w:val="000D71DD"/>
    <w:rPr>
      <w:rFonts w:asciiTheme="majorHAnsi" w:eastAsiaTheme="majorEastAsia" w:hAnsiTheme="majorHAnsi" w:cstheme="majorBidi"/>
      <w:b/>
      <w:bCs/>
      <w:color w:val="052655" w:themeColor="accent1" w:themeShade="B5"/>
      <w:sz w:val="32"/>
      <w:szCs w:val="32"/>
    </w:rPr>
  </w:style>
  <w:style w:type="paragraph" w:styleId="EndnoteText">
    <w:name w:val="endnote text"/>
    <w:basedOn w:val="Normal"/>
    <w:link w:val="EndnoteTextChar"/>
    <w:uiPriority w:val="99"/>
    <w:unhideWhenUsed/>
    <w:rsid w:val="00686D15"/>
  </w:style>
  <w:style w:type="character" w:customStyle="1" w:styleId="EndnoteTextChar">
    <w:name w:val="Endnote Text Char"/>
    <w:basedOn w:val="DefaultParagraphFont"/>
    <w:link w:val="EndnoteText"/>
    <w:uiPriority w:val="99"/>
    <w:rsid w:val="00686D15"/>
  </w:style>
  <w:style w:type="character" w:styleId="EndnoteReference">
    <w:name w:val="endnote reference"/>
    <w:basedOn w:val="DefaultParagraphFont"/>
    <w:uiPriority w:val="99"/>
    <w:unhideWhenUsed/>
    <w:rsid w:val="00686D15"/>
    <w:rPr>
      <w:vertAlign w:val="superscript"/>
    </w:rPr>
  </w:style>
  <w:style w:type="paragraph" w:styleId="Index1">
    <w:name w:val="index 1"/>
    <w:basedOn w:val="Normal"/>
    <w:next w:val="Normal"/>
    <w:autoRedefine/>
    <w:uiPriority w:val="99"/>
    <w:unhideWhenUsed/>
    <w:rsid w:val="003F6CC1"/>
    <w:pPr>
      <w:ind w:left="240" w:hanging="240"/>
    </w:pPr>
    <w:rPr>
      <w:sz w:val="20"/>
      <w:szCs w:val="20"/>
    </w:rPr>
  </w:style>
  <w:style w:type="paragraph" w:styleId="Index2">
    <w:name w:val="index 2"/>
    <w:basedOn w:val="Normal"/>
    <w:next w:val="Normal"/>
    <w:autoRedefine/>
    <w:uiPriority w:val="99"/>
    <w:unhideWhenUsed/>
    <w:rsid w:val="003F6CC1"/>
    <w:pPr>
      <w:ind w:left="480" w:hanging="240"/>
    </w:pPr>
    <w:rPr>
      <w:sz w:val="20"/>
      <w:szCs w:val="20"/>
    </w:rPr>
  </w:style>
  <w:style w:type="paragraph" w:styleId="Index3">
    <w:name w:val="index 3"/>
    <w:basedOn w:val="Normal"/>
    <w:next w:val="Normal"/>
    <w:autoRedefine/>
    <w:uiPriority w:val="99"/>
    <w:unhideWhenUsed/>
    <w:rsid w:val="003F6CC1"/>
    <w:pPr>
      <w:ind w:left="720" w:hanging="240"/>
    </w:pPr>
    <w:rPr>
      <w:sz w:val="20"/>
      <w:szCs w:val="20"/>
    </w:rPr>
  </w:style>
  <w:style w:type="paragraph" w:styleId="Index4">
    <w:name w:val="index 4"/>
    <w:basedOn w:val="Normal"/>
    <w:next w:val="Normal"/>
    <w:autoRedefine/>
    <w:uiPriority w:val="99"/>
    <w:unhideWhenUsed/>
    <w:rsid w:val="003F6CC1"/>
    <w:pPr>
      <w:ind w:left="960" w:hanging="240"/>
    </w:pPr>
    <w:rPr>
      <w:sz w:val="20"/>
      <w:szCs w:val="20"/>
    </w:rPr>
  </w:style>
  <w:style w:type="paragraph" w:styleId="Index5">
    <w:name w:val="index 5"/>
    <w:basedOn w:val="Normal"/>
    <w:next w:val="Normal"/>
    <w:autoRedefine/>
    <w:uiPriority w:val="99"/>
    <w:unhideWhenUsed/>
    <w:rsid w:val="003F6CC1"/>
    <w:pPr>
      <w:ind w:left="1200" w:hanging="240"/>
    </w:pPr>
    <w:rPr>
      <w:sz w:val="20"/>
      <w:szCs w:val="20"/>
    </w:rPr>
  </w:style>
  <w:style w:type="paragraph" w:styleId="Index6">
    <w:name w:val="index 6"/>
    <w:basedOn w:val="Normal"/>
    <w:next w:val="Normal"/>
    <w:autoRedefine/>
    <w:uiPriority w:val="99"/>
    <w:unhideWhenUsed/>
    <w:rsid w:val="003F6CC1"/>
    <w:pPr>
      <w:ind w:left="1440" w:hanging="240"/>
    </w:pPr>
    <w:rPr>
      <w:sz w:val="20"/>
      <w:szCs w:val="20"/>
    </w:rPr>
  </w:style>
  <w:style w:type="paragraph" w:styleId="Index7">
    <w:name w:val="index 7"/>
    <w:basedOn w:val="Normal"/>
    <w:next w:val="Normal"/>
    <w:autoRedefine/>
    <w:uiPriority w:val="99"/>
    <w:unhideWhenUsed/>
    <w:rsid w:val="003F6CC1"/>
    <w:pPr>
      <w:ind w:left="1680" w:hanging="240"/>
    </w:pPr>
    <w:rPr>
      <w:sz w:val="20"/>
      <w:szCs w:val="20"/>
    </w:rPr>
  </w:style>
  <w:style w:type="paragraph" w:styleId="Index8">
    <w:name w:val="index 8"/>
    <w:basedOn w:val="Normal"/>
    <w:next w:val="Normal"/>
    <w:autoRedefine/>
    <w:uiPriority w:val="99"/>
    <w:unhideWhenUsed/>
    <w:rsid w:val="003F6CC1"/>
    <w:pPr>
      <w:ind w:left="1920" w:hanging="240"/>
    </w:pPr>
    <w:rPr>
      <w:sz w:val="20"/>
      <w:szCs w:val="20"/>
    </w:rPr>
  </w:style>
  <w:style w:type="paragraph" w:styleId="Index9">
    <w:name w:val="index 9"/>
    <w:basedOn w:val="Normal"/>
    <w:next w:val="Normal"/>
    <w:autoRedefine/>
    <w:uiPriority w:val="99"/>
    <w:unhideWhenUsed/>
    <w:rsid w:val="003F6CC1"/>
    <w:pPr>
      <w:ind w:left="2160" w:hanging="240"/>
    </w:pPr>
    <w:rPr>
      <w:sz w:val="20"/>
      <w:szCs w:val="20"/>
    </w:rPr>
  </w:style>
  <w:style w:type="paragraph" w:styleId="IndexHeading">
    <w:name w:val="index heading"/>
    <w:basedOn w:val="Normal"/>
    <w:next w:val="Index1"/>
    <w:uiPriority w:val="99"/>
    <w:unhideWhenUsed/>
    <w:rsid w:val="003F6CC1"/>
    <w:rPr>
      <w:sz w:val="20"/>
      <w:szCs w:val="20"/>
    </w:rPr>
  </w:style>
  <w:style w:type="paragraph" w:styleId="Title">
    <w:name w:val="Title"/>
    <w:basedOn w:val="Normal"/>
    <w:next w:val="Normal"/>
    <w:link w:val="TitleChar"/>
    <w:uiPriority w:val="10"/>
    <w:qFormat/>
    <w:rsid w:val="00700433"/>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leChar">
    <w:name w:val="Title Char"/>
    <w:basedOn w:val="DefaultParagraphFont"/>
    <w:link w:val="Title"/>
    <w:uiPriority w:val="10"/>
    <w:rsid w:val="00700433"/>
    <w:rPr>
      <w:rFonts w:asciiTheme="majorHAnsi" w:eastAsiaTheme="majorEastAsia" w:hAnsiTheme="majorHAnsi" w:cstheme="majorBidi"/>
      <w:color w:val="11608E" w:themeColor="text2" w:themeShade="BF"/>
      <w:spacing w:val="5"/>
      <w:kern w:val="28"/>
      <w:sz w:val="52"/>
      <w:szCs w:val="52"/>
    </w:rPr>
  </w:style>
  <w:style w:type="paragraph" w:styleId="TOC1">
    <w:name w:val="toc 1"/>
    <w:basedOn w:val="Normal"/>
    <w:next w:val="Normal"/>
    <w:autoRedefine/>
    <w:uiPriority w:val="39"/>
    <w:unhideWhenUsed/>
    <w:rsid w:val="00700433"/>
  </w:style>
  <w:style w:type="paragraph" w:styleId="TOC2">
    <w:name w:val="toc 2"/>
    <w:basedOn w:val="Normal"/>
    <w:next w:val="Normal"/>
    <w:autoRedefine/>
    <w:uiPriority w:val="39"/>
    <w:unhideWhenUsed/>
    <w:rsid w:val="00700433"/>
    <w:pPr>
      <w:ind w:left="240"/>
    </w:pPr>
  </w:style>
  <w:style w:type="paragraph" w:styleId="TOC3">
    <w:name w:val="toc 3"/>
    <w:basedOn w:val="Normal"/>
    <w:next w:val="Normal"/>
    <w:autoRedefine/>
    <w:uiPriority w:val="39"/>
    <w:unhideWhenUsed/>
    <w:rsid w:val="00700433"/>
    <w:pPr>
      <w:ind w:left="480"/>
    </w:pPr>
  </w:style>
  <w:style w:type="paragraph" w:styleId="TOC4">
    <w:name w:val="toc 4"/>
    <w:basedOn w:val="Normal"/>
    <w:next w:val="Normal"/>
    <w:autoRedefine/>
    <w:uiPriority w:val="39"/>
    <w:unhideWhenUsed/>
    <w:rsid w:val="00700433"/>
    <w:pPr>
      <w:ind w:left="720"/>
    </w:pPr>
  </w:style>
  <w:style w:type="paragraph" w:styleId="TOC5">
    <w:name w:val="toc 5"/>
    <w:basedOn w:val="Normal"/>
    <w:next w:val="Normal"/>
    <w:autoRedefine/>
    <w:uiPriority w:val="39"/>
    <w:unhideWhenUsed/>
    <w:rsid w:val="00700433"/>
    <w:pPr>
      <w:ind w:left="960"/>
    </w:pPr>
  </w:style>
  <w:style w:type="paragraph" w:styleId="TOC6">
    <w:name w:val="toc 6"/>
    <w:basedOn w:val="Normal"/>
    <w:next w:val="Normal"/>
    <w:autoRedefine/>
    <w:uiPriority w:val="39"/>
    <w:unhideWhenUsed/>
    <w:rsid w:val="00700433"/>
    <w:pPr>
      <w:ind w:left="1200"/>
    </w:pPr>
  </w:style>
  <w:style w:type="paragraph" w:styleId="TOC7">
    <w:name w:val="toc 7"/>
    <w:basedOn w:val="Normal"/>
    <w:next w:val="Normal"/>
    <w:autoRedefine/>
    <w:uiPriority w:val="39"/>
    <w:unhideWhenUsed/>
    <w:rsid w:val="00700433"/>
    <w:pPr>
      <w:ind w:left="1440"/>
    </w:pPr>
  </w:style>
  <w:style w:type="paragraph" w:styleId="TOC8">
    <w:name w:val="toc 8"/>
    <w:basedOn w:val="Normal"/>
    <w:next w:val="Normal"/>
    <w:autoRedefine/>
    <w:uiPriority w:val="39"/>
    <w:unhideWhenUsed/>
    <w:rsid w:val="00700433"/>
    <w:pPr>
      <w:ind w:left="1680"/>
    </w:pPr>
  </w:style>
  <w:style w:type="paragraph" w:styleId="TOC9">
    <w:name w:val="toc 9"/>
    <w:basedOn w:val="Normal"/>
    <w:next w:val="Normal"/>
    <w:autoRedefine/>
    <w:uiPriority w:val="39"/>
    <w:unhideWhenUsed/>
    <w:rsid w:val="00700433"/>
    <w:pPr>
      <w:ind w:left="1920"/>
    </w:pPr>
  </w:style>
  <w:style w:type="paragraph" w:styleId="BalloonText">
    <w:name w:val="Balloon Text"/>
    <w:basedOn w:val="Normal"/>
    <w:link w:val="BalloonTextChar"/>
    <w:uiPriority w:val="99"/>
    <w:semiHidden/>
    <w:unhideWhenUsed/>
    <w:rsid w:val="00540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BC0"/>
    <w:rPr>
      <w:rFonts w:ascii="Lucida Grande" w:hAnsi="Lucida Grande" w:cs="Lucida Grande"/>
      <w:sz w:val="18"/>
      <w:szCs w:val="18"/>
    </w:rPr>
  </w:style>
  <w:style w:type="table" w:styleId="LightShading-Accent1">
    <w:name w:val="Light Shading Accent 1"/>
    <w:basedOn w:val="TableNormal"/>
    <w:uiPriority w:val="60"/>
    <w:rsid w:val="001C49FC"/>
    <w:rPr>
      <w:color w:val="05295A" w:themeColor="accent1" w:themeShade="BF"/>
      <w:sz w:val="22"/>
      <w:szCs w:val="22"/>
    </w:rPr>
    <w:tblPr>
      <w:tblStyleRowBandSize w:val="1"/>
      <w:tblStyleColBandSize w:val="1"/>
      <w:tblBorders>
        <w:top w:val="single" w:sz="8" w:space="0" w:color="073779" w:themeColor="accent1"/>
        <w:bottom w:val="single" w:sz="8" w:space="0" w:color="073779" w:themeColor="accent1"/>
      </w:tblBorders>
    </w:tblPr>
    <w:tblStylePr w:type="firstRow">
      <w:pPr>
        <w:spacing w:before="0" w:after="0" w:line="240" w:lineRule="auto"/>
      </w:pPr>
      <w:rPr>
        <w:b/>
        <w:bCs/>
      </w:rPr>
      <w:tblPr/>
      <w:tcPr>
        <w:tcBorders>
          <w:top w:val="single" w:sz="8" w:space="0" w:color="073779" w:themeColor="accent1"/>
          <w:left w:val="nil"/>
          <w:bottom w:val="single" w:sz="8" w:space="0" w:color="073779" w:themeColor="accent1"/>
          <w:right w:val="nil"/>
          <w:insideH w:val="nil"/>
          <w:insideV w:val="nil"/>
        </w:tcBorders>
      </w:tcPr>
    </w:tblStylePr>
    <w:tblStylePr w:type="lastRow">
      <w:pPr>
        <w:spacing w:before="0" w:after="0" w:line="240" w:lineRule="auto"/>
      </w:pPr>
      <w:rPr>
        <w:b/>
        <w:bCs/>
      </w:rPr>
      <w:tblPr/>
      <w:tcPr>
        <w:tcBorders>
          <w:top w:val="single" w:sz="8" w:space="0" w:color="073779" w:themeColor="accent1"/>
          <w:left w:val="nil"/>
          <w:bottom w:val="single" w:sz="8" w:space="0" w:color="0737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8F9" w:themeFill="accent1" w:themeFillTint="3F"/>
      </w:tcPr>
    </w:tblStylePr>
    <w:tblStylePr w:type="band1Horz">
      <w:tblPr/>
      <w:tcPr>
        <w:tcBorders>
          <w:left w:val="nil"/>
          <w:right w:val="nil"/>
          <w:insideH w:val="nil"/>
          <w:insideV w:val="nil"/>
        </w:tcBorders>
        <w:shd w:val="clear" w:color="auto" w:fill="A5C8F9"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696">
      <w:bodyDiv w:val="1"/>
      <w:marLeft w:val="0"/>
      <w:marRight w:val="0"/>
      <w:marTop w:val="0"/>
      <w:marBottom w:val="0"/>
      <w:divBdr>
        <w:top w:val="none" w:sz="0" w:space="0" w:color="auto"/>
        <w:left w:val="none" w:sz="0" w:space="0" w:color="auto"/>
        <w:bottom w:val="none" w:sz="0" w:space="0" w:color="auto"/>
        <w:right w:val="none" w:sz="0" w:space="0" w:color="auto"/>
      </w:divBdr>
    </w:div>
    <w:div w:id="71895039">
      <w:bodyDiv w:val="1"/>
      <w:marLeft w:val="0"/>
      <w:marRight w:val="0"/>
      <w:marTop w:val="0"/>
      <w:marBottom w:val="0"/>
      <w:divBdr>
        <w:top w:val="none" w:sz="0" w:space="0" w:color="auto"/>
        <w:left w:val="none" w:sz="0" w:space="0" w:color="auto"/>
        <w:bottom w:val="none" w:sz="0" w:space="0" w:color="auto"/>
        <w:right w:val="none" w:sz="0" w:space="0" w:color="auto"/>
      </w:divBdr>
    </w:div>
    <w:div w:id="72825827">
      <w:bodyDiv w:val="1"/>
      <w:marLeft w:val="0"/>
      <w:marRight w:val="0"/>
      <w:marTop w:val="0"/>
      <w:marBottom w:val="0"/>
      <w:divBdr>
        <w:top w:val="none" w:sz="0" w:space="0" w:color="auto"/>
        <w:left w:val="none" w:sz="0" w:space="0" w:color="auto"/>
        <w:bottom w:val="none" w:sz="0" w:space="0" w:color="auto"/>
        <w:right w:val="none" w:sz="0" w:space="0" w:color="auto"/>
      </w:divBdr>
    </w:div>
    <w:div w:id="73168228">
      <w:bodyDiv w:val="1"/>
      <w:marLeft w:val="0"/>
      <w:marRight w:val="0"/>
      <w:marTop w:val="0"/>
      <w:marBottom w:val="0"/>
      <w:divBdr>
        <w:top w:val="none" w:sz="0" w:space="0" w:color="auto"/>
        <w:left w:val="none" w:sz="0" w:space="0" w:color="auto"/>
        <w:bottom w:val="none" w:sz="0" w:space="0" w:color="auto"/>
        <w:right w:val="none" w:sz="0" w:space="0" w:color="auto"/>
      </w:divBdr>
    </w:div>
    <w:div w:id="90707767">
      <w:bodyDiv w:val="1"/>
      <w:marLeft w:val="0"/>
      <w:marRight w:val="0"/>
      <w:marTop w:val="0"/>
      <w:marBottom w:val="0"/>
      <w:divBdr>
        <w:top w:val="none" w:sz="0" w:space="0" w:color="auto"/>
        <w:left w:val="none" w:sz="0" w:space="0" w:color="auto"/>
        <w:bottom w:val="none" w:sz="0" w:space="0" w:color="auto"/>
        <w:right w:val="none" w:sz="0" w:space="0" w:color="auto"/>
      </w:divBdr>
    </w:div>
    <w:div w:id="94133663">
      <w:bodyDiv w:val="1"/>
      <w:marLeft w:val="0"/>
      <w:marRight w:val="0"/>
      <w:marTop w:val="0"/>
      <w:marBottom w:val="0"/>
      <w:divBdr>
        <w:top w:val="none" w:sz="0" w:space="0" w:color="auto"/>
        <w:left w:val="none" w:sz="0" w:space="0" w:color="auto"/>
        <w:bottom w:val="none" w:sz="0" w:space="0" w:color="auto"/>
        <w:right w:val="none" w:sz="0" w:space="0" w:color="auto"/>
      </w:divBdr>
    </w:div>
    <w:div w:id="175582611">
      <w:bodyDiv w:val="1"/>
      <w:marLeft w:val="0"/>
      <w:marRight w:val="0"/>
      <w:marTop w:val="0"/>
      <w:marBottom w:val="0"/>
      <w:divBdr>
        <w:top w:val="none" w:sz="0" w:space="0" w:color="auto"/>
        <w:left w:val="none" w:sz="0" w:space="0" w:color="auto"/>
        <w:bottom w:val="none" w:sz="0" w:space="0" w:color="auto"/>
        <w:right w:val="none" w:sz="0" w:space="0" w:color="auto"/>
      </w:divBdr>
    </w:div>
    <w:div w:id="200897952">
      <w:bodyDiv w:val="1"/>
      <w:marLeft w:val="0"/>
      <w:marRight w:val="0"/>
      <w:marTop w:val="0"/>
      <w:marBottom w:val="0"/>
      <w:divBdr>
        <w:top w:val="none" w:sz="0" w:space="0" w:color="auto"/>
        <w:left w:val="none" w:sz="0" w:space="0" w:color="auto"/>
        <w:bottom w:val="none" w:sz="0" w:space="0" w:color="auto"/>
        <w:right w:val="none" w:sz="0" w:space="0" w:color="auto"/>
      </w:divBdr>
    </w:div>
    <w:div w:id="232936300">
      <w:bodyDiv w:val="1"/>
      <w:marLeft w:val="0"/>
      <w:marRight w:val="0"/>
      <w:marTop w:val="0"/>
      <w:marBottom w:val="0"/>
      <w:divBdr>
        <w:top w:val="none" w:sz="0" w:space="0" w:color="auto"/>
        <w:left w:val="none" w:sz="0" w:space="0" w:color="auto"/>
        <w:bottom w:val="none" w:sz="0" w:space="0" w:color="auto"/>
        <w:right w:val="none" w:sz="0" w:space="0" w:color="auto"/>
      </w:divBdr>
    </w:div>
    <w:div w:id="326596803">
      <w:bodyDiv w:val="1"/>
      <w:marLeft w:val="0"/>
      <w:marRight w:val="0"/>
      <w:marTop w:val="0"/>
      <w:marBottom w:val="0"/>
      <w:divBdr>
        <w:top w:val="none" w:sz="0" w:space="0" w:color="auto"/>
        <w:left w:val="none" w:sz="0" w:space="0" w:color="auto"/>
        <w:bottom w:val="none" w:sz="0" w:space="0" w:color="auto"/>
        <w:right w:val="none" w:sz="0" w:space="0" w:color="auto"/>
      </w:divBdr>
    </w:div>
    <w:div w:id="339309804">
      <w:bodyDiv w:val="1"/>
      <w:marLeft w:val="0"/>
      <w:marRight w:val="0"/>
      <w:marTop w:val="0"/>
      <w:marBottom w:val="0"/>
      <w:divBdr>
        <w:top w:val="none" w:sz="0" w:space="0" w:color="auto"/>
        <w:left w:val="none" w:sz="0" w:space="0" w:color="auto"/>
        <w:bottom w:val="none" w:sz="0" w:space="0" w:color="auto"/>
        <w:right w:val="none" w:sz="0" w:space="0" w:color="auto"/>
      </w:divBdr>
    </w:div>
    <w:div w:id="372004404">
      <w:bodyDiv w:val="1"/>
      <w:marLeft w:val="0"/>
      <w:marRight w:val="0"/>
      <w:marTop w:val="0"/>
      <w:marBottom w:val="0"/>
      <w:divBdr>
        <w:top w:val="none" w:sz="0" w:space="0" w:color="auto"/>
        <w:left w:val="none" w:sz="0" w:space="0" w:color="auto"/>
        <w:bottom w:val="none" w:sz="0" w:space="0" w:color="auto"/>
        <w:right w:val="none" w:sz="0" w:space="0" w:color="auto"/>
      </w:divBdr>
    </w:div>
    <w:div w:id="373892138">
      <w:bodyDiv w:val="1"/>
      <w:marLeft w:val="0"/>
      <w:marRight w:val="0"/>
      <w:marTop w:val="0"/>
      <w:marBottom w:val="0"/>
      <w:divBdr>
        <w:top w:val="none" w:sz="0" w:space="0" w:color="auto"/>
        <w:left w:val="none" w:sz="0" w:space="0" w:color="auto"/>
        <w:bottom w:val="none" w:sz="0" w:space="0" w:color="auto"/>
        <w:right w:val="none" w:sz="0" w:space="0" w:color="auto"/>
      </w:divBdr>
    </w:div>
    <w:div w:id="385296875">
      <w:bodyDiv w:val="1"/>
      <w:marLeft w:val="0"/>
      <w:marRight w:val="0"/>
      <w:marTop w:val="0"/>
      <w:marBottom w:val="0"/>
      <w:divBdr>
        <w:top w:val="none" w:sz="0" w:space="0" w:color="auto"/>
        <w:left w:val="none" w:sz="0" w:space="0" w:color="auto"/>
        <w:bottom w:val="none" w:sz="0" w:space="0" w:color="auto"/>
        <w:right w:val="none" w:sz="0" w:space="0" w:color="auto"/>
      </w:divBdr>
    </w:div>
    <w:div w:id="393509114">
      <w:bodyDiv w:val="1"/>
      <w:marLeft w:val="0"/>
      <w:marRight w:val="0"/>
      <w:marTop w:val="0"/>
      <w:marBottom w:val="0"/>
      <w:divBdr>
        <w:top w:val="none" w:sz="0" w:space="0" w:color="auto"/>
        <w:left w:val="none" w:sz="0" w:space="0" w:color="auto"/>
        <w:bottom w:val="none" w:sz="0" w:space="0" w:color="auto"/>
        <w:right w:val="none" w:sz="0" w:space="0" w:color="auto"/>
      </w:divBdr>
    </w:div>
    <w:div w:id="407188485">
      <w:bodyDiv w:val="1"/>
      <w:marLeft w:val="0"/>
      <w:marRight w:val="0"/>
      <w:marTop w:val="0"/>
      <w:marBottom w:val="0"/>
      <w:divBdr>
        <w:top w:val="none" w:sz="0" w:space="0" w:color="auto"/>
        <w:left w:val="none" w:sz="0" w:space="0" w:color="auto"/>
        <w:bottom w:val="none" w:sz="0" w:space="0" w:color="auto"/>
        <w:right w:val="none" w:sz="0" w:space="0" w:color="auto"/>
      </w:divBdr>
    </w:div>
    <w:div w:id="419330505">
      <w:bodyDiv w:val="1"/>
      <w:marLeft w:val="0"/>
      <w:marRight w:val="0"/>
      <w:marTop w:val="0"/>
      <w:marBottom w:val="0"/>
      <w:divBdr>
        <w:top w:val="none" w:sz="0" w:space="0" w:color="auto"/>
        <w:left w:val="none" w:sz="0" w:space="0" w:color="auto"/>
        <w:bottom w:val="none" w:sz="0" w:space="0" w:color="auto"/>
        <w:right w:val="none" w:sz="0" w:space="0" w:color="auto"/>
      </w:divBdr>
    </w:div>
    <w:div w:id="425033626">
      <w:bodyDiv w:val="1"/>
      <w:marLeft w:val="0"/>
      <w:marRight w:val="0"/>
      <w:marTop w:val="0"/>
      <w:marBottom w:val="0"/>
      <w:divBdr>
        <w:top w:val="none" w:sz="0" w:space="0" w:color="auto"/>
        <w:left w:val="none" w:sz="0" w:space="0" w:color="auto"/>
        <w:bottom w:val="none" w:sz="0" w:space="0" w:color="auto"/>
        <w:right w:val="none" w:sz="0" w:space="0" w:color="auto"/>
      </w:divBdr>
    </w:div>
    <w:div w:id="449394808">
      <w:bodyDiv w:val="1"/>
      <w:marLeft w:val="0"/>
      <w:marRight w:val="0"/>
      <w:marTop w:val="0"/>
      <w:marBottom w:val="0"/>
      <w:divBdr>
        <w:top w:val="none" w:sz="0" w:space="0" w:color="auto"/>
        <w:left w:val="none" w:sz="0" w:space="0" w:color="auto"/>
        <w:bottom w:val="none" w:sz="0" w:space="0" w:color="auto"/>
        <w:right w:val="none" w:sz="0" w:space="0" w:color="auto"/>
      </w:divBdr>
    </w:div>
    <w:div w:id="450713600">
      <w:bodyDiv w:val="1"/>
      <w:marLeft w:val="0"/>
      <w:marRight w:val="0"/>
      <w:marTop w:val="0"/>
      <w:marBottom w:val="0"/>
      <w:divBdr>
        <w:top w:val="none" w:sz="0" w:space="0" w:color="auto"/>
        <w:left w:val="none" w:sz="0" w:space="0" w:color="auto"/>
        <w:bottom w:val="none" w:sz="0" w:space="0" w:color="auto"/>
        <w:right w:val="none" w:sz="0" w:space="0" w:color="auto"/>
      </w:divBdr>
    </w:div>
    <w:div w:id="467479389">
      <w:bodyDiv w:val="1"/>
      <w:marLeft w:val="0"/>
      <w:marRight w:val="0"/>
      <w:marTop w:val="0"/>
      <w:marBottom w:val="0"/>
      <w:divBdr>
        <w:top w:val="none" w:sz="0" w:space="0" w:color="auto"/>
        <w:left w:val="none" w:sz="0" w:space="0" w:color="auto"/>
        <w:bottom w:val="none" w:sz="0" w:space="0" w:color="auto"/>
        <w:right w:val="none" w:sz="0" w:space="0" w:color="auto"/>
      </w:divBdr>
    </w:div>
    <w:div w:id="487941737">
      <w:bodyDiv w:val="1"/>
      <w:marLeft w:val="0"/>
      <w:marRight w:val="0"/>
      <w:marTop w:val="0"/>
      <w:marBottom w:val="0"/>
      <w:divBdr>
        <w:top w:val="none" w:sz="0" w:space="0" w:color="auto"/>
        <w:left w:val="none" w:sz="0" w:space="0" w:color="auto"/>
        <w:bottom w:val="none" w:sz="0" w:space="0" w:color="auto"/>
        <w:right w:val="none" w:sz="0" w:space="0" w:color="auto"/>
      </w:divBdr>
    </w:div>
    <w:div w:id="492574080">
      <w:bodyDiv w:val="1"/>
      <w:marLeft w:val="0"/>
      <w:marRight w:val="0"/>
      <w:marTop w:val="0"/>
      <w:marBottom w:val="0"/>
      <w:divBdr>
        <w:top w:val="none" w:sz="0" w:space="0" w:color="auto"/>
        <w:left w:val="none" w:sz="0" w:space="0" w:color="auto"/>
        <w:bottom w:val="none" w:sz="0" w:space="0" w:color="auto"/>
        <w:right w:val="none" w:sz="0" w:space="0" w:color="auto"/>
      </w:divBdr>
    </w:div>
    <w:div w:id="499194566">
      <w:bodyDiv w:val="1"/>
      <w:marLeft w:val="0"/>
      <w:marRight w:val="0"/>
      <w:marTop w:val="0"/>
      <w:marBottom w:val="0"/>
      <w:divBdr>
        <w:top w:val="none" w:sz="0" w:space="0" w:color="auto"/>
        <w:left w:val="none" w:sz="0" w:space="0" w:color="auto"/>
        <w:bottom w:val="none" w:sz="0" w:space="0" w:color="auto"/>
        <w:right w:val="none" w:sz="0" w:space="0" w:color="auto"/>
      </w:divBdr>
    </w:div>
    <w:div w:id="502479125">
      <w:bodyDiv w:val="1"/>
      <w:marLeft w:val="0"/>
      <w:marRight w:val="0"/>
      <w:marTop w:val="0"/>
      <w:marBottom w:val="0"/>
      <w:divBdr>
        <w:top w:val="none" w:sz="0" w:space="0" w:color="auto"/>
        <w:left w:val="none" w:sz="0" w:space="0" w:color="auto"/>
        <w:bottom w:val="none" w:sz="0" w:space="0" w:color="auto"/>
        <w:right w:val="none" w:sz="0" w:space="0" w:color="auto"/>
      </w:divBdr>
    </w:div>
    <w:div w:id="553203944">
      <w:bodyDiv w:val="1"/>
      <w:marLeft w:val="0"/>
      <w:marRight w:val="0"/>
      <w:marTop w:val="0"/>
      <w:marBottom w:val="0"/>
      <w:divBdr>
        <w:top w:val="none" w:sz="0" w:space="0" w:color="auto"/>
        <w:left w:val="none" w:sz="0" w:space="0" w:color="auto"/>
        <w:bottom w:val="none" w:sz="0" w:space="0" w:color="auto"/>
        <w:right w:val="none" w:sz="0" w:space="0" w:color="auto"/>
      </w:divBdr>
    </w:div>
    <w:div w:id="575827308">
      <w:bodyDiv w:val="1"/>
      <w:marLeft w:val="0"/>
      <w:marRight w:val="0"/>
      <w:marTop w:val="0"/>
      <w:marBottom w:val="0"/>
      <w:divBdr>
        <w:top w:val="none" w:sz="0" w:space="0" w:color="auto"/>
        <w:left w:val="none" w:sz="0" w:space="0" w:color="auto"/>
        <w:bottom w:val="none" w:sz="0" w:space="0" w:color="auto"/>
        <w:right w:val="none" w:sz="0" w:space="0" w:color="auto"/>
      </w:divBdr>
    </w:div>
    <w:div w:id="578709053">
      <w:bodyDiv w:val="1"/>
      <w:marLeft w:val="0"/>
      <w:marRight w:val="0"/>
      <w:marTop w:val="0"/>
      <w:marBottom w:val="0"/>
      <w:divBdr>
        <w:top w:val="none" w:sz="0" w:space="0" w:color="auto"/>
        <w:left w:val="none" w:sz="0" w:space="0" w:color="auto"/>
        <w:bottom w:val="none" w:sz="0" w:space="0" w:color="auto"/>
        <w:right w:val="none" w:sz="0" w:space="0" w:color="auto"/>
      </w:divBdr>
    </w:div>
    <w:div w:id="580453041">
      <w:bodyDiv w:val="1"/>
      <w:marLeft w:val="0"/>
      <w:marRight w:val="0"/>
      <w:marTop w:val="0"/>
      <w:marBottom w:val="0"/>
      <w:divBdr>
        <w:top w:val="none" w:sz="0" w:space="0" w:color="auto"/>
        <w:left w:val="none" w:sz="0" w:space="0" w:color="auto"/>
        <w:bottom w:val="none" w:sz="0" w:space="0" w:color="auto"/>
        <w:right w:val="none" w:sz="0" w:space="0" w:color="auto"/>
      </w:divBdr>
    </w:div>
    <w:div w:id="586888493">
      <w:bodyDiv w:val="1"/>
      <w:marLeft w:val="0"/>
      <w:marRight w:val="0"/>
      <w:marTop w:val="0"/>
      <w:marBottom w:val="0"/>
      <w:divBdr>
        <w:top w:val="none" w:sz="0" w:space="0" w:color="auto"/>
        <w:left w:val="none" w:sz="0" w:space="0" w:color="auto"/>
        <w:bottom w:val="none" w:sz="0" w:space="0" w:color="auto"/>
        <w:right w:val="none" w:sz="0" w:space="0" w:color="auto"/>
      </w:divBdr>
    </w:div>
    <w:div w:id="587232869">
      <w:bodyDiv w:val="1"/>
      <w:marLeft w:val="0"/>
      <w:marRight w:val="0"/>
      <w:marTop w:val="0"/>
      <w:marBottom w:val="0"/>
      <w:divBdr>
        <w:top w:val="none" w:sz="0" w:space="0" w:color="auto"/>
        <w:left w:val="none" w:sz="0" w:space="0" w:color="auto"/>
        <w:bottom w:val="none" w:sz="0" w:space="0" w:color="auto"/>
        <w:right w:val="none" w:sz="0" w:space="0" w:color="auto"/>
      </w:divBdr>
      <w:divsChild>
        <w:div w:id="314145060">
          <w:marLeft w:val="0"/>
          <w:marRight w:val="0"/>
          <w:marTop w:val="0"/>
          <w:marBottom w:val="450"/>
          <w:divBdr>
            <w:top w:val="none" w:sz="0" w:space="0" w:color="auto"/>
            <w:left w:val="none" w:sz="0" w:space="0" w:color="auto"/>
            <w:bottom w:val="single" w:sz="6" w:space="23" w:color="025E91"/>
            <w:right w:val="none" w:sz="0" w:space="0" w:color="auto"/>
          </w:divBdr>
        </w:div>
        <w:div w:id="2127582368">
          <w:marLeft w:val="0"/>
          <w:marRight w:val="0"/>
          <w:marTop w:val="450"/>
          <w:marBottom w:val="0"/>
          <w:divBdr>
            <w:top w:val="none" w:sz="0" w:space="0" w:color="auto"/>
            <w:left w:val="none" w:sz="0" w:space="0" w:color="auto"/>
            <w:bottom w:val="none" w:sz="0" w:space="0" w:color="auto"/>
            <w:right w:val="none" w:sz="0" w:space="0" w:color="auto"/>
          </w:divBdr>
        </w:div>
      </w:divsChild>
    </w:div>
    <w:div w:id="606086797">
      <w:bodyDiv w:val="1"/>
      <w:marLeft w:val="0"/>
      <w:marRight w:val="0"/>
      <w:marTop w:val="0"/>
      <w:marBottom w:val="0"/>
      <w:divBdr>
        <w:top w:val="none" w:sz="0" w:space="0" w:color="auto"/>
        <w:left w:val="none" w:sz="0" w:space="0" w:color="auto"/>
        <w:bottom w:val="none" w:sz="0" w:space="0" w:color="auto"/>
        <w:right w:val="none" w:sz="0" w:space="0" w:color="auto"/>
      </w:divBdr>
    </w:div>
    <w:div w:id="647898058">
      <w:bodyDiv w:val="1"/>
      <w:marLeft w:val="0"/>
      <w:marRight w:val="0"/>
      <w:marTop w:val="0"/>
      <w:marBottom w:val="0"/>
      <w:divBdr>
        <w:top w:val="none" w:sz="0" w:space="0" w:color="auto"/>
        <w:left w:val="none" w:sz="0" w:space="0" w:color="auto"/>
        <w:bottom w:val="none" w:sz="0" w:space="0" w:color="auto"/>
        <w:right w:val="none" w:sz="0" w:space="0" w:color="auto"/>
      </w:divBdr>
    </w:div>
    <w:div w:id="651061929">
      <w:bodyDiv w:val="1"/>
      <w:marLeft w:val="0"/>
      <w:marRight w:val="0"/>
      <w:marTop w:val="0"/>
      <w:marBottom w:val="0"/>
      <w:divBdr>
        <w:top w:val="none" w:sz="0" w:space="0" w:color="auto"/>
        <w:left w:val="none" w:sz="0" w:space="0" w:color="auto"/>
        <w:bottom w:val="none" w:sz="0" w:space="0" w:color="auto"/>
        <w:right w:val="none" w:sz="0" w:space="0" w:color="auto"/>
      </w:divBdr>
    </w:div>
    <w:div w:id="658460929">
      <w:bodyDiv w:val="1"/>
      <w:marLeft w:val="0"/>
      <w:marRight w:val="0"/>
      <w:marTop w:val="0"/>
      <w:marBottom w:val="0"/>
      <w:divBdr>
        <w:top w:val="none" w:sz="0" w:space="0" w:color="auto"/>
        <w:left w:val="none" w:sz="0" w:space="0" w:color="auto"/>
        <w:bottom w:val="none" w:sz="0" w:space="0" w:color="auto"/>
        <w:right w:val="none" w:sz="0" w:space="0" w:color="auto"/>
      </w:divBdr>
    </w:div>
    <w:div w:id="674115775">
      <w:bodyDiv w:val="1"/>
      <w:marLeft w:val="0"/>
      <w:marRight w:val="0"/>
      <w:marTop w:val="0"/>
      <w:marBottom w:val="0"/>
      <w:divBdr>
        <w:top w:val="none" w:sz="0" w:space="0" w:color="auto"/>
        <w:left w:val="none" w:sz="0" w:space="0" w:color="auto"/>
        <w:bottom w:val="none" w:sz="0" w:space="0" w:color="auto"/>
        <w:right w:val="none" w:sz="0" w:space="0" w:color="auto"/>
      </w:divBdr>
    </w:div>
    <w:div w:id="733502108">
      <w:bodyDiv w:val="1"/>
      <w:marLeft w:val="0"/>
      <w:marRight w:val="0"/>
      <w:marTop w:val="0"/>
      <w:marBottom w:val="0"/>
      <w:divBdr>
        <w:top w:val="none" w:sz="0" w:space="0" w:color="auto"/>
        <w:left w:val="none" w:sz="0" w:space="0" w:color="auto"/>
        <w:bottom w:val="none" w:sz="0" w:space="0" w:color="auto"/>
        <w:right w:val="none" w:sz="0" w:space="0" w:color="auto"/>
      </w:divBdr>
    </w:div>
    <w:div w:id="735318135">
      <w:bodyDiv w:val="1"/>
      <w:marLeft w:val="0"/>
      <w:marRight w:val="0"/>
      <w:marTop w:val="0"/>
      <w:marBottom w:val="0"/>
      <w:divBdr>
        <w:top w:val="none" w:sz="0" w:space="0" w:color="auto"/>
        <w:left w:val="none" w:sz="0" w:space="0" w:color="auto"/>
        <w:bottom w:val="none" w:sz="0" w:space="0" w:color="auto"/>
        <w:right w:val="none" w:sz="0" w:space="0" w:color="auto"/>
      </w:divBdr>
    </w:div>
    <w:div w:id="744688654">
      <w:bodyDiv w:val="1"/>
      <w:marLeft w:val="0"/>
      <w:marRight w:val="0"/>
      <w:marTop w:val="0"/>
      <w:marBottom w:val="0"/>
      <w:divBdr>
        <w:top w:val="none" w:sz="0" w:space="0" w:color="auto"/>
        <w:left w:val="none" w:sz="0" w:space="0" w:color="auto"/>
        <w:bottom w:val="none" w:sz="0" w:space="0" w:color="auto"/>
        <w:right w:val="none" w:sz="0" w:space="0" w:color="auto"/>
      </w:divBdr>
    </w:div>
    <w:div w:id="748190080">
      <w:bodyDiv w:val="1"/>
      <w:marLeft w:val="0"/>
      <w:marRight w:val="0"/>
      <w:marTop w:val="0"/>
      <w:marBottom w:val="0"/>
      <w:divBdr>
        <w:top w:val="none" w:sz="0" w:space="0" w:color="auto"/>
        <w:left w:val="none" w:sz="0" w:space="0" w:color="auto"/>
        <w:bottom w:val="none" w:sz="0" w:space="0" w:color="auto"/>
        <w:right w:val="none" w:sz="0" w:space="0" w:color="auto"/>
      </w:divBdr>
    </w:div>
    <w:div w:id="755323546">
      <w:bodyDiv w:val="1"/>
      <w:marLeft w:val="0"/>
      <w:marRight w:val="0"/>
      <w:marTop w:val="0"/>
      <w:marBottom w:val="0"/>
      <w:divBdr>
        <w:top w:val="none" w:sz="0" w:space="0" w:color="auto"/>
        <w:left w:val="none" w:sz="0" w:space="0" w:color="auto"/>
        <w:bottom w:val="none" w:sz="0" w:space="0" w:color="auto"/>
        <w:right w:val="none" w:sz="0" w:space="0" w:color="auto"/>
      </w:divBdr>
    </w:div>
    <w:div w:id="775322294">
      <w:bodyDiv w:val="1"/>
      <w:marLeft w:val="0"/>
      <w:marRight w:val="0"/>
      <w:marTop w:val="0"/>
      <w:marBottom w:val="0"/>
      <w:divBdr>
        <w:top w:val="none" w:sz="0" w:space="0" w:color="auto"/>
        <w:left w:val="none" w:sz="0" w:space="0" w:color="auto"/>
        <w:bottom w:val="none" w:sz="0" w:space="0" w:color="auto"/>
        <w:right w:val="none" w:sz="0" w:space="0" w:color="auto"/>
      </w:divBdr>
    </w:div>
    <w:div w:id="792985991">
      <w:bodyDiv w:val="1"/>
      <w:marLeft w:val="0"/>
      <w:marRight w:val="0"/>
      <w:marTop w:val="0"/>
      <w:marBottom w:val="0"/>
      <w:divBdr>
        <w:top w:val="none" w:sz="0" w:space="0" w:color="auto"/>
        <w:left w:val="none" w:sz="0" w:space="0" w:color="auto"/>
        <w:bottom w:val="none" w:sz="0" w:space="0" w:color="auto"/>
        <w:right w:val="none" w:sz="0" w:space="0" w:color="auto"/>
      </w:divBdr>
    </w:div>
    <w:div w:id="849561272">
      <w:bodyDiv w:val="1"/>
      <w:marLeft w:val="0"/>
      <w:marRight w:val="0"/>
      <w:marTop w:val="0"/>
      <w:marBottom w:val="0"/>
      <w:divBdr>
        <w:top w:val="none" w:sz="0" w:space="0" w:color="auto"/>
        <w:left w:val="none" w:sz="0" w:space="0" w:color="auto"/>
        <w:bottom w:val="none" w:sz="0" w:space="0" w:color="auto"/>
        <w:right w:val="none" w:sz="0" w:space="0" w:color="auto"/>
      </w:divBdr>
    </w:div>
    <w:div w:id="903224371">
      <w:bodyDiv w:val="1"/>
      <w:marLeft w:val="0"/>
      <w:marRight w:val="0"/>
      <w:marTop w:val="0"/>
      <w:marBottom w:val="0"/>
      <w:divBdr>
        <w:top w:val="none" w:sz="0" w:space="0" w:color="auto"/>
        <w:left w:val="none" w:sz="0" w:space="0" w:color="auto"/>
        <w:bottom w:val="none" w:sz="0" w:space="0" w:color="auto"/>
        <w:right w:val="none" w:sz="0" w:space="0" w:color="auto"/>
      </w:divBdr>
    </w:div>
    <w:div w:id="913928864">
      <w:bodyDiv w:val="1"/>
      <w:marLeft w:val="0"/>
      <w:marRight w:val="0"/>
      <w:marTop w:val="0"/>
      <w:marBottom w:val="0"/>
      <w:divBdr>
        <w:top w:val="none" w:sz="0" w:space="0" w:color="auto"/>
        <w:left w:val="none" w:sz="0" w:space="0" w:color="auto"/>
        <w:bottom w:val="none" w:sz="0" w:space="0" w:color="auto"/>
        <w:right w:val="none" w:sz="0" w:space="0" w:color="auto"/>
      </w:divBdr>
    </w:div>
    <w:div w:id="924849705">
      <w:bodyDiv w:val="1"/>
      <w:marLeft w:val="0"/>
      <w:marRight w:val="0"/>
      <w:marTop w:val="0"/>
      <w:marBottom w:val="0"/>
      <w:divBdr>
        <w:top w:val="none" w:sz="0" w:space="0" w:color="auto"/>
        <w:left w:val="none" w:sz="0" w:space="0" w:color="auto"/>
        <w:bottom w:val="none" w:sz="0" w:space="0" w:color="auto"/>
        <w:right w:val="none" w:sz="0" w:space="0" w:color="auto"/>
      </w:divBdr>
    </w:div>
    <w:div w:id="928776482">
      <w:bodyDiv w:val="1"/>
      <w:marLeft w:val="0"/>
      <w:marRight w:val="0"/>
      <w:marTop w:val="0"/>
      <w:marBottom w:val="0"/>
      <w:divBdr>
        <w:top w:val="none" w:sz="0" w:space="0" w:color="auto"/>
        <w:left w:val="none" w:sz="0" w:space="0" w:color="auto"/>
        <w:bottom w:val="none" w:sz="0" w:space="0" w:color="auto"/>
        <w:right w:val="none" w:sz="0" w:space="0" w:color="auto"/>
      </w:divBdr>
    </w:div>
    <w:div w:id="929852436">
      <w:bodyDiv w:val="1"/>
      <w:marLeft w:val="0"/>
      <w:marRight w:val="0"/>
      <w:marTop w:val="0"/>
      <w:marBottom w:val="0"/>
      <w:divBdr>
        <w:top w:val="none" w:sz="0" w:space="0" w:color="auto"/>
        <w:left w:val="none" w:sz="0" w:space="0" w:color="auto"/>
        <w:bottom w:val="none" w:sz="0" w:space="0" w:color="auto"/>
        <w:right w:val="none" w:sz="0" w:space="0" w:color="auto"/>
      </w:divBdr>
    </w:div>
    <w:div w:id="937904321">
      <w:bodyDiv w:val="1"/>
      <w:marLeft w:val="0"/>
      <w:marRight w:val="0"/>
      <w:marTop w:val="0"/>
      <w:marBottom w:val="0"/>
      <w:divBdr>
        <w:top w:val="none" w:sz="0" w:space="0" w:color="auto"/>
        <w:left w:val="none" w:sz="0" w:space="0" w:color="auto"/>
        <w:bottom w:val="none" w:sz="0" w:space="0" w:color="auto"/>
        <w:right w:val="none" w:sz="0" w:space="0" w:color="auto"/>
      </w:divBdr>
    </w:div>
    <w:div w:id="984430956">
      <w:bodyDiv w:val="1"/>
      <w:marLeft w:val="0"/>
      <w:marRight w:val="0"/>
      <w:marTop w:val="0"/>
      <w:marBottom w:val="0"/>
      <w:divBdr>
        <w:top w:val="none" w:sz="0" w:space="0" w:color="auto"/>
        <w:left w:val="none" w:sz="0" w:space="0" w:color="auto"/>
        <w:bottom w:val="none" w:sz="0" w:space="0" w:color="auto"/>
        <w:right w:val="none" w:sz="0" w:space="0" w:color="auto"/>
      </w:divBdr>
    </w:div>
    <w:div w:id="984705338">
      <w:bodyDiv w:val="1"/>
      <w:marLeft w:val="0"/>
      <w:marRight w:val="0"/>
      <w:marTop w:val="0"/>
      <w:marBottom w:val="0"/>
      <w:divBdr>
        <w:top w:val="none" w:sz="0" w:space="0" w:color="auto"/>
        <w:left w:val="none" w:sz="0" w:space="0" w:color="auto"/>
        <w:bottom w:val="none" w:sz="0" w:space="0" w:color="auto"/>
        <w:right w:val="none" w:sz="0" w:space="0" w:color="auto"/>
      </w:divBdr>
    </w:div>
    <w:div w:id="994379366">
      <w:bodyDiv w:val="1"/>
      <w:marLeft w:val="0"/>
      <w:marRight w:val="0"/>
      <w:marTop w:val="0"/>
      <w:marBottom w:val="0"/>
      <w:divBdr>
        <w:top w:val="none" w:sz="0" w:space="0" w:color="auto"/>
        <w:left w:val="none" w:sz="0" w:space="0" w:color="auto"/>
        <w:bottom w:val="none" w:sz="0" w:space="0" w:color="auto"/>
        <w:right w:val="none" w:sz="0" w:space="0" w:color="auto"/>
      </w:divBdr>
    </w:div>
    <w:div w:id="998195154">
      <w:bodyDiv w:val="1"/>
      <w:marLeft w:val="0"/>
      <w:marRight w:val="0"/>
      <w:marTop w:val="0"/>
      <w:marBottom w:val="0"/>
      <w:divBdr>
        <w:top w:val="none" w:sz="0" w:space="0" w:color="auto"/>
        <w:left w:val="none" w:sz="0" w:space="0" w:color="auto"/>
        <w:bottom w:val="none" w:sz="0" w:space="0" w:color="auto"/>
        <w:right w:val="none" w:sz="0" w:space="0" w:color="auto"/>
      </w:divBdr>
    </w:div>
    <w:div w:id="1003241887">
      <w:bodyDiv w:val="1"/>
      <w:marLeft w:val="0"/>
      <w:marRight w:val="0"/>
      <w:marTop w:val="0"/>
      <w:marBottom w:val="0"/>
      <w:divBdr>
        <w:top w:val="none" w:sz="0" w:space="0" w:color="auto"/>
        <w:left w:val="none" w:sz="0" w:space="0" w:color="auto"/>
        <w:bottom w:val="none" w:sz="0" w:space="0" w:color="auto"/>
        <w:right w:val="none" w:sz="0" w:space="0" w:color="auto"/>
      </w:divBdr>
    </w:div>
    <w:div w:id="1015111323">
      <w:bodyDiv w:val="1"/>
      <w:marLeft w:val="0"/>
      <w:marRight w:val="0"/>
      <w:marTop w:val="0"/>
      <w:marBottom w:val="0"/>
      <w:divBdr>
        <w:top w:val="none" w:sz="0" w:space="0" w:color="auto"/>
        <w:left w:val="none" w:sz="0" w:space="0" w:color="auto"/>
        <w:bottom w:val="none" w:sz="0" w:space="0" w:color="auto"/>
        <w:right w:val="none" w:sz="0" w:space="0" w:color="auto"/>
      </w:divBdr>
    </w:div>
    <w:div w:id="1036002997">
      <w:bodyDiv w:val="1"/>
      <w:marLeft w:val="0"/>
      <w:marRight w:val="0"/>
      <w:marTop w:val="0"/>
      <w:marBottom w:val="0"/>
      <w:divBdr>
        <w:top w:val="none" w:sz="0" w:space="0" w:color="auto"/>
        <w:left w:val="none" w:sz="0" w:space="0" w:color="auto"/>
        <w:bottom w:val="none" w:sz="0" w:space="0" w:color="auto"/>
        <w:right w:val="none" w:sz="0" w:space="0" w:color="auto"/>
      </w:divBdr>
    </w:div>
    <w:div w:id="1058935717">
      <w:bodyDiv w:val="1"/>
      <w:marLeft w:val="0"/>
      <w:marRight w:val="0"/>
      <w:marTop w:val="0"/>
      <w:marBottom w:val="0"/>
      <w:divBdr>
        <w:top w:val="none" w:sz="0" w:space="0" w:color="auto"/>
        <w:left w:val="none" w:sz="0" w:space="0" w:color="auto"/>
        <w:bottom w:val="none" w:sz="0" w:space="0" w:color="auto"/>
        <w:right w:val="none" w:sz="0" w:space="0" w:color="auto"/>
      </w:divBdr>
    </w:div>
    <w:div w:id="1065685500">
      <w:bodyDiv w:val="1"/>
      <w:marLeft w:val="0"/>
      <w:marRight w:val="0"/>
      <w:marTop w:val="0"/>
      <w:marBottom w:val="0"/>
      <w:divBdr>
        <w:top w:val="none" w:sz="0" w:space="0" w:color="auto"/>
        <w:left w:val="none" w:sz="0" w:space="0" w:color="auto"/>
        <w:bottom w:val="none" w:sz="0" w:space="0" w:color="auto"/>
        <w:right w:val="none" w:sz="0" w:space="0" w:color="auto"/>
      </w:divBdr>
    </w:div>
    <w:div w:id="1066760449">
      <w:bodyDiv w:val="1"/>
      <w:marLeft w:val="0"/>
      <w:marRight w:val="0"/>
      <w:marTop w:val="0"/>
      <w:marBottom w:val="0"/>
      <w:divBdr>
        <w:top w:val="none" w:sz="0" w:space="0" w:color="auto"/>
        <w:left w:val="none" w:sz="0" w:space="0" w:color="auto"/>
        <w:bottom w:val="none" w:sz="0" w:space="0" w:color="auto"/>
        <w:right w:val="none" w:sz="0" w:space="0" w:color="auto"/>
      </w:divBdr>
    </w:div>
    <w:div w:id="1090077937">
      <w:bodyDiv w:val="1"/>
      <w:marLeft w:val="0"/>
      <w:marRight w:val="0"/>
      <w:marTop w:val="0"/>
      <w:marBottom w:val="0"/>
      <w:divBdr>
        <w:top w:val="none" w:sz="0" w:space="0" w:color="auto"/>
        <w:left w:val="none" w:sz="0" w:space="0" w:color="auto"/>
        <w:bottom w:val="none" w:sz="0" w:space="0" w:color="auto"/>
        <w:right w:val="none" w:sz="0" w:space="0" w:color="auto"/>
      </w:divBdr>
    </w:div>
    <w:div w:id="1102871810">
      <w:bodyDiv w:val="1"/>
      <w:marLeft w:val="0"/>
      <w:marRight w:val="0"/>
      <w:marTop w:val="0"/>
      <w:marBottom w:val="0"/>
      <w:divBdr>
        <w:top w:val="none" w:sz="0" w:space="0" w:color="auto"/>
        <w:left w:val="none" w:sz="0" w:space="0" w:color="auto"/>
        <w:bottom w:val="none" w:sz="0" w:space="0" w:color="auto"/>
        <w:right w:val="none" w:sz="0" w:space="0" w:color="auto"/>
      </w:divBdr>
    </w:div>
    <w:div w:id="1131481802">
      <w:bodyDiv w:val="1"/>
      <w:marLeft w:val="0"/>
      <w:marRight w:val="0"/>
      <w:marTop w:val="0"/>
      <w:marBottom w:val="0"/>
      <w:divBdr>
        <w:top w:val="none" w:sz="0" w:space="0" w:color="auto"/>
        <w:left w:val="none" w:sz="0" w:space="0" w:color="auto"/>
        <w:bottom w:val="none" w:sz="0" w:space="0" w:color="auto"/>
        <w:right w:val="none" w:sz="0" w:space="0" w:color="auto"/>
      </w:divBdr>
    </w:div>
    <w:div w:id="1137720566">
      <w:bodyDiv w:val="1"/>
      <w:marLeft w:val="0"/>
      <w:marRight w:val="0"/>
      <w:marTop w:val="0"/>
      <w:marBottom w:val="0"/>
      <w:divBdr>
        <w:top w:val="none" w:sz="0" w:space="0" w:color="auto"/>
        <w:left w:val="none" w:sz="0" w:space="0" w:color="auto"/>
        <w:bottom w:val="none" w:sz="0" w:space="0" w:color="auto"/>
        <w:right w:val="none" w:sz="0" w:space="0" w:color="auto"/>
      </w:divBdr>
    </w:div>
    <w:div w:id="1142111932">
      <w:bodyDiv w:val="1"/>
      <w:marLeft w:val="0"/>
      <w:marRight w:val="0"/>
      <w:marTop w:val="0"/>
      <w:marBottom w:val="0"/>
      <w:divBdr>
        <w:top w:val="none" w:sz="0" w:space="0" w:color="auto"/>
        <w:left w:val="none" w:sz="0" w:space="0" w:color="auto"/>
        <w:bottom w:val="none" w:sz="0" w:space="0" w:color="auto"/>
        <w:right w:val="none" w:sz="0" w:space="0" w:color="auto"/>
      </w:divBdr>
    </w:div>
    <w:div w:id="1184435363">
      <w:bodyDiv w:val="1"/>
      <w:marLeft w:val="0"/>
      <w:marRight w:val="0"/>
      <w:marTop w:val="0"/>
      <w:marBottom w:val="0"/>
      <w:divBdr>
        <w:top w:val="none" w:sz="0" w:space="0" w:color="auto"/>
        <w:left w:val="none" w:sz="0" w:space="0" w:color="auto"/>
        <w:bottom w:val="none" w:sz="0" w:space="0" w:color="auto"/>
        <w:right w:val="none" w:sz="0" w:space="0" w:color="auto"/>
      </w:divBdr>
    </w:div>
    <w:div w:id="1201434345">
      <w:bodyDiv w:val="1"/>
      <w:marLeft w:val="0"/>
      <w:marRight w:val="0"/>
      <w:marTop w:val="0"/>
      <w:marBottom w:val="0"/>
      <w:divBdr>
        <w:top w:val="none" w:sz="0" w:space="0" w:color="auto"/>
        <w:left w:val="none" w:sz="0" w:space="0" w:color="auto"/>
        <w:bottom w:val="none" w:sz="0" w:space="0" w:color="auto"/>
        <w:right w:val="none" w:sz="0" w:space="0" w:color="auto"/>
      </w:divBdr>
    </w:div>
    <w:div w:id="1205679714">
      <w:bodyDiv w:val="1"/>
      <w:marLeft w:val="0"/>
      <w:marRight w:val="0"/>
      <w:marTop w:val="0"/>
      <w:marBottom w:val="0"/>
      <w:divBdr>
        <w:top w:val="none" w:sz="0" w:space="0" w:color="auto"/>
        <w:left w:val="none" w:sz="0" w:space="0" w:color="auto"/>
        <w:bottom w:val="none" w:sz="0" w:space="0" w:color="auto"/>
        <w:right w:val="none" w:sz="0" w:space="0" w:color="auto"/>
      </w:divBdr>
    </w:div>
    <w:div w:id="1285112743">
      <w:bodyDiv w:val="1"/>
      <w:marLeft w:val="0"/>
      <w:marRight w:val="0"/>
      <w:marTop w:val="0"/>
      <w:marBottom w:val="0"/>
      <w:divBdr>
        <w:top w:val="none" w:sz="0" w:space="0" w:color="auto"/>
        <w:left w:val="none" w:sz="0" w:space="0" w:color="auto"/>
        <w:bottom w:val="none" w:sz="0" w:space="0" w:color="auto"/>
        <w:right w:val="none" w:sz="0" w:space="0" w:color="auto"/>
      </w:divBdr>
    </w:div>
    <w:div w:id="1289623963">
      <w:bodyDiv w:val="1"/>
      <w:marLeft w:val="0"/>
      <w:marRight w:val="0"/>
      <w:marTop w:val="0"/>
      <w:marBottom w:val="0"/>
      <w:divBdr>
        <w:top w:val="none" w:sz="0" w:space="0" w:color="auto"/>
        <w:left w:val="none" w:sz="0" w:space="0" w:color="auto"/>
        <w:bottom w:val="none" w:sz="0" w:space="0" w:color="auto"/>
        <w:right w:val="none" w:sz="0" w:space="0" w:color="auto"/>
      </w:divBdr>
    </w:div>
    <w:div w:id="1297756351">
      <w:bodyDiv w:val="1"/>
      <w:marLeft w:val="0"/>
      <w:marRight w:val="0"/>
      <w:marTop w:val="0"/>
      <w:marBottom w:val="0"/>
      <w:divBdr>
        <w:top w:val="none" w:sz="0" w:space="0" w:color="auto"/>
        <w:left w:val="none" w:sz="0" w:space="0" w:color="auto"/>
        <w:bottom w:val="none" w:sz="0" w:space="0" w:color="auto"/>
        <w:right w:val="none" w:sz="0" w:space="0" w:color="auto"/>
      </w:divBdr>
    </w:div>
    <w:div w:id="1299141374">
      <w:bodyDiv w:val="1"/>
      <w:marLeft w:val="0"/>
      <w:marRight w:val="0"/>
      <w:marTop w:val="0"/>
      <w:marBottom w:val="0"/>
      <w:divBdr>
        <w:top w:val="none" w:sz="0" w:space="0" w:color="auto"/>
        <w:left w:val="none" w:sz="0" w:space="0" w:color="auto"/>
        <w:bottom w:val="none" w:sz="0" w:space="0" w:color="auto"/>
        <w:right w:val="none" w:sz="0" w:space="0" w:color="auto"/>
      </w:divBdr>
    </w:div>
    <w:div w:id="1305088007">
      <w:bodyDiv w:val="1"/>
      <w:marLeft w:val="0"/>
      <w:marRight w:val="0"/>
      <w:marTop w:val="0"/>
      <w:marBottom w:val="0"/>
      <w:divBdr>
        <w:top w:val="none" w:sz="0" w:space="0" w:color="auto"/>
        <w:left w:val="none" w:sz="0" w:space="0" w:color="auto"/>
        <w:bottom w:val="none" w:sz="0" w:space="0" w:color="auto"/>
        <w:right w:val="none" w:sz="0" w:space="0" w:color="auto"/>
      </w:divBdr>
    </w:div>
    <w:div w:id="1310744125">
      <w:bodyDiv w:val="1"/>
      <w:marLeft w:val="0"/>
      <w:marRight w:val="0"/>
      <w:marTop w:val="0"/>
      <w:marBottom w:val="0"/>
      <w:divBdr>
        <w:top w:val="none" w:sz="0" w:space="0" w:color="auto"/>
        <w:left w:val="none" w:sz="0" w:space="0" w:color="auto"/>
        <w:bottom w:val="none" w:sz="0" w:space="0" w:color="auto"/>
        <w:right w:val="none" w:sz="0" w:space="0" w:color="auto"/>
      </w:divBdr>
    </w:div>
    <w:div w:id="1337224497">
      <w:bodyDiv w:val="1"/>
      <w:marLeft w:val="0"/>
      <w:marRight w:val="0"/>
      <w:marTop w:val="0"/>
      <w:marBottom w:val="0"/>
      <w:divBdr>
        <w:top w:val="none" w:sz="0" w:space="0" w:color="auto"/>
        <w:left w:val="none" w:sz="0" w:space="0" w:color="auto"/>
        <w:bottom w:val="none" w:sz="0" w:space="0" w:color="auto"/>
        <w:right w:val="none" w:sz="0" w:space="0" w:color="auto"/>
      </w:divBdr>
    </w:div>
    <w:div w:id="1337727523">
      <w:bodyDiv w:val="1"/>
      <w:marLeft w:val="0"/>
      <w:marRight w:val="0"/>
      <w:marTop w:val="0"/>
      <w:marBottom w:val="0"/>
      <w:divBdr>
        <w:top w:val="none" w:sz="0" w:space="0" w:color="auto"/>
        <w:left w:val="none" w:sz="0" w:space="0" w:color="auto"/>
        <w:bottom w:val="none" w:sz="0" w:space="0" w:color="auto"/>
        <w:right w:val="none" w:sz="0" w:space="0" w:color="auto"/>
      </w:divBdr>
    </w:div>
    <w:div w:id="1338077022">
      <w:bodyDiv w:val="1"/>
      <w:marLeft w:val="0"/>
      <w:marRight w:val="0"/>
      <w:marTop w:val="0"/>
      <w:marBottom w:val="0"/>
      <w:divBdr>
        <w:top w:val="none" w:sz="0" w:space="0" w:color="auto"/>
        <w:left w:val="none" w:sz="0" w:space="0" w:color="auto"/>
        <w:bottom w:val="none" w:sz="0" w:space="0" w:color="auto"/>
        <w:right w:val="none" w:sz="0" w:space="0" w:color="auto"/>
      </w:divBdr>
    </w:div>
    <w:div w:id="1338119645">
      <w:bodyDiv w:val="1"/>
      <w:marLeft w:val="0"/>
      <w:marRight w:val="0"/>
      <w:marTop w:val="0"/>
      <w:marBottom w:val="0"/>
      <w:divBdr>
        <w:top w:val="none" w:sz="0" w:space="0" w:color="auto"/>
        <w:left w:val="none" w:sz="0" w:space="0" w:color="auto"/>
        <w:bottom w:val="none" w:sz="0" w:space="0" w:color="auto"/>
        <w:right w:val="none" w:sz="0" w:space="0" w:color="auto"/>
      </w:divBdr>
    </w:div>
    <w:div w:id="1350763202">
      <w:bodyDiv w:val="1"/>
      <w:marLeft w:val="0"/>
      <w:marRight w:val="0"/>
      <w:marTop w:val="0"/>
      <w:marBottom w:val="0"/>
      <w:divBdr>
        <w:top w:val="none" w:sz="0" w:space="0" w:color="auto"/>
        <w:left w:val="none" w:sz="0" w:space="0" w:color="auto"/>
        <w:bottom w:val="none" w:sz="0" w:space="0" w:color="auto"/>
        <w:right w:val="none" w:sz="0" w:space="0" w:color="auto"/>
      </w:divBdr>
    </w:div>
    <w:div w:id="1366828781">
      <w:bodyDiv w:val="1"/>
      <w:marLeft w:val="0"/>
      <w:marRight w:val="0"/>
      <w:marTop w:val="0"/>
      <w:marBottom w:val="0"/>
      <w:divBdr>
        <w:top w:val="none" w:sz="0" w:space="0" w:color="auto"/>
        <w:left w:val="none" w:sz="0" w:space="0" w:color="auto"/>
        <w:bottom w:val="none" w:sz="0" w:space="0" w:color="auto"/>
        <w:right w:val="none" w:sz="0" w:space="0" w:color="auto"/>
      </w:divBdr>
    </w:div>
    <w:div w:id="1378356797">
      <w:bodyDiv w:val="1"/>
      <w:marLeft w:val="0"/>
      <w:marRight w:val="0"/>
      <w:marTop w:val="0"/>
      <w:marBottom w:val="0"/>
      <w:divBdr>
        <w:top w:val="none" w:sz="0" w:space="0" w:color="auto"/>
        <w:left w:val="none" w:sz="0" w:space="0" w:color="auto"/>
        <w:bottom w:val="none" w:sz="0" w:space="0" w:color="auto"/>
        <w:right w:val="none" w:sz="0" w:space="0" w:color="auto"/>
      </w:divBdr>
    </w:div>
    <w:div w:id="1433234445">
      <w:bodyDiv w:val="1"/>
      <w:marLeft w:val="0"/>
      <w:marRight w:val="0"/>
      <w:marTop w:val="0"/>
      <w:marBottom w:val="0"/>
      <w:divBdr>
        <w:top w:val="none" w:sz="0" w:space="0" w:color="auto"/>
        <w:left w:val="none" w:sz="0" w:space="0" w:color="auto"/>
        <w:bottom w:val="none" w:sz="0" w:space="0" w:color="auto"/>
        <w:right w:val="none" w:sz="0" w:space="0" w:color="auto"/>
      </w:divBdr>
    </w:div>
    <w:div w:id="1458062678">
      <w:bodyDiv w:val="1"/>
      <w:marLeft w:val="0"/>
      <w:marRight w:val="0"/>
      <w:marTop w:val="0"/>
      <w:marBottom w:val="0"/>
      <w:divBdr>
        <w:top w:val="none" w:sz="0" w:space="0" w:color="auto"/>
        <w:left w:val="none" w:sz="0" w:space="0" w:color="auto"/>
        <w:bottom w:val="none" w:sz="0" w:space="0" w:color="auto"/>
        <w:right w:val="none" w:sz="0" w:space="0" w:color="auto"/>
      </w:divBdr>
    </w:div>
    <w:div w:id="1465075116">
      <w:bodyDiv w:val="1"/>
      <w:marLeft w:val="0"/>
      <w:marRight w:val="0"/>
      <w:marTop w:val="0"/>
      <w:marBottom w:val="0"/>
      <w:divBdr>
        <w:top w:val="none" w:sz="0" w:space="0" w:color="auto"/>
        <w:left w:val="none" w:sz="0" w:space="0" w:color="auto"/>
        <w:bottom w:val="none" w:sz="0" w:space="0" w:color="auto"/>
        <w:right w:val="none" w:sz="0" w:space="0" w:color="auto"/>
      </w:divBdr>
    </w:div>
    <w:div w:id="1522208266">
      <w:bodyDiv w:val="1"/>
      <w:marLeft w:val="0"/>
      <w:marRight w:val="0"/>
      <w:marTop w:val="0"/>
      <w:marBottom w:val="0"/>
      <w:divBdr>
        <w:top w:val="none" w:sz="0" w:space="0" w:color="auto"/>
        <w:left w:val="none" w:sz="0" w:space="0" w:color="auto"/>
        <w:bottom w:val="none" w:sz="0" w:space="0" w:color="auto"/>
        <w:right w:val="none" w:sz="0" w:space="0" w:color="auto"/>
      </w:divBdr>
    </w:div>
    <w:div w:id="1550993159">
      <w:bodyDiv w:val="1"/>
      <w:marLeft w:val="0"/>
      <w:marRight w:val="0"/>
      <w:marTop w:val="0"/>
      <w:marBottom w:val="0"/>
      <w:divBdr>
        <w:top w:val="none" w:sz="0" w:space="0" w:color="auto"/>
        <w:left w:val="none" w:sz="0" w:space="0" w:color="auto"/>
        <w:bottom w:val="none" w:sz="0" w:space="0" w:color="auto"/>
        <w:right w:val="none" w:sz="0" w:space="0" w:color="auto"/>
      </w:divBdr>
    </w:div>
    <w:div w:id="1564951063">
      <w:bodyDiv w:val="1"/>
      <w:marLeft w:val="0"/>
      <w:marRight w:val="0"/>
      <w:marTop w:val="0"/>
      <w:marBottom w:val="0"/>
      <w:divBdr>
        <w:top w:val="none" w:sz="0" w:space="0" w:color="auto"/>
        <w:left w:val="none" w:sz="0" w:space="0" w:color="auto"/>
        <w:bottom w:val="none" w:sz="0" w:space="0" w:color="auto"/>
        <w:right w:val="none" w:sz="0" w:space="0" w:color="auto"/>
      </w:divBdr>
    </w:div>
    <w:div w:id="1578902835">
      <w:bodyDiv w:val="1"/>
      <w:marLeft w:val="0"/>
      <w:marRight w:val="0"/>
      <w:marTop w:val="0"/>
      <w:marBottom w:val="0"/>
      <w:divBdr>
        <w:top w:val="none" w:sz="0" w:space="0" w:color="auto"/>
        <w:left w:val="none" w:sz="0" w:space="0" w:color="auto"/>
        <w:bottom w:val="none" w:sz="0" w:space="0" w:color="auto"/>
        <w:right w:val="none" w:sz="0" w:space="0" w:color="auto"/>
      </w:divBdr>
    </w:div>
    <w:div w:id="1602224472">
      <w:bodyDiv w:val="1"/>
      <w:marLeft w:val="0"/>
      <w:marRight w:val="0"/>
      <w:marTop w:val="0"/>
      <w:marBottom w:val="0"/>
      <w:divBdr>
        <w:top w:val="none" w:sz="0" w:space="0" w:color="auto"/>
        <w:left w:val="none" w:sz="0" w:space="0" w:color="auto"/>
        <w:bottom w:val="none" w:sz="0" w:space="0" w:color="auto"/>
        <w:right w:val="none" w:sz="0" w:space="0" w:color="auto"/>
      </w:divBdr>
    </w:div>
    <w:div w:id="1606186568">
      <w:bodyDiv w:val="1"/>
      <w:marLeft w:val="0"/>
      <w:marRight w:val="0"/>
      <w:marTop w:val="0"/>
      <w:marBottom w:val="0"/>
      <w:divBdr>
        <w:top w:val="none" w:sz="0" w:space="0" w:color="auto"/>
        <w:left w:val="none" w:sz="0" w:space="0" w:color="auto"/>
        <w:bottom w:val="none" w:sz="0" w:space="0" w:color="auto"/>
        <w:right w:val="none" w:sz="0" w:space="0" w:color="auto"/>
      </w:divBdr>
    </w:div>
    <w:div w:id="1616206183">
      <w:bodyDiv w:val="1"/>
      <w:marLeft w:val="0"/>
      <w:marRight w:val="0"/>
      <w:marTop w:val="0"/>
      <w:marBottom w:val="0"/>
      <w:divBdr>
        <w:top w:val="none" w:sz="0" w:space="0" w:color="auto"/>
        <w:left w:val="none" w:sz="0" w:space="0" w:color="auto"/>
        <w:bottom w:val="none" w:sz="0" w:space="0" w:color="auto"/>
        <w:right w:val="none" w:sz="0" w:space="0" w:color="auto"/>
      </w:divBdr>
    </w:div>
    <w:div w:id="1632830235">
      <w:bodyDiv w:val="1"/>
      <w:marLeft w:val="0"/>
      <w:marRight w:val="0"/>
      <w:marTop w:val="0"/>
      <w:marBottom w:val="0"/>
      <w:divBdr>
        <w:top w:val="none" w:sz="0" w:space="0" w:color="auto"/>
        <w:left w:val="none" w:sz="0" w:space="0" w:color="auto"/>
        <w:bottom w:val="none" w:sz="0" w:space="0" w:color="auto"/>
        <w:right w:val="none" w:sz="0" w:space="0" w:color="auto"/>
      </w:divBdr>
    </w:div>
    <w:div w:id="1634866486">
      <w:bodyDiv w:val="1"/>
      <w:marLeft w:val="0"/>
      <w:marRight w:val="0"/>
      <w:marTop w:val="0"/>
      <w:marBottom w:val="0"/>
      <w:divBdr>
        <w:top w:val="none" w:sz="0" w:space="0" w:color="auto"/>
        <w:left w:val="none" w:sz="0" w:space="0" w:color="auto"/>
        <w:bottom w:val="none" w:sz="0" w:space="0" w:color="auto"/>
        <w:right w:val="none" w:sz="0" w:space="0" w:color="auto"/>
      </w:divBdr>
    </w:div>
    <w:div w:id="1637485411">
      <w:bodyDiv w:val="1"/>
      <w:marLeft w:val="0"/>
      <w:marRight w:val="0"/>
      <w:marTop w:val="0"/>
      <w:marBottom w:val="0"/>
      <w:divBdr>
        <w:top w:val="none" w:sz="0" w:space="0" w:color="auto"/>
        <w:left w:val="none" w:sz="0" w:space="0" w:color="auto"/>
        <w:bottom w:val="none" w:sz="0" w:space="0" w:color="auto"/>
        <w:right w:val="none" w:sz="0" w:space="0" w:color="auto"/>
      </w:divBdr>
    </w:div>
    <w:div w:id="1655840927">
      <w:bodyDiv w:val="1"/>
      <w:marLeft w:val="0"/>
      <w:marRight w:val="0"/>
      <w:marTop w:val="0"/>
      <w:marBottom w:val="0"/>
      <w:divBdr>
        <w:top w:val="none" w:sz="0" w:space="0" w:color="auto"/>
        <w:left w:val="none" w:sz="0" w:space="0" w:color="auto"/>
        <w:bottom w:val="none" w:sz="0" w:space="0" w:color="auto"/>
        <w:right w:val="none" w:sz="0" w:space="0" w:color="auto"/>
      </w:divBdr>
    </w:div>
    <w:div w:id="1671253201">
      <w:bodyDiv w:val="1"/>
      <w:marLeft w:val="0"/>
      <w:marRight w:val="0"/>
      <w:marTop w:val="0"/>
      <w:marBottom w:val="0"/>
      <w:divBdr>
        <w:top w:val="none" w:sz="0" w:space="0" w:color="auto"/>
        <w:left w:val="none" w:sz="0" w:space="0" w:color="auto"/>
        <w:bottom w:val="none" w:sz="0" w:space="0" w:color="auto"/>
        <w:right w:val="none" w:sz="0" w:space="0" w:color="auto"/>
      </w:divBdr>
    </w:div>
    <w:div w:id="1673097886">
      <w:bodyDiv w:val="1"/>
      <w:marLeft w:val="0"/>
      <w:marRight w:val="0"/>
      <w:marTop w:val="0"/>
      <w:marBottom w:val="0"/>
      <w:divBdr>
        <w:top w:val="none" w:sz="0" w:space="0" w:color="auto"/>
        <w:left w:val="none" w:sz="0" w:space="0" w:color="auto"/>
        <w:bottom w:val="none" w:sz="0" w:space="0" w:color="auto"/>
        <w:right w:val="none" w:sz="0" w:space="0" w:color="auto"/>
      </w:divBdr>
    </w:div>
    <w:div w:id="1704401279">
      <w:bodyDiv w:val="1"/>
      <w:marLeft w:val="0"/>
      <w:marRight w:val="0"/>
      <w:marTop w:val="0"/>
      <w:marBottom w:val="0"/>
      <w:divBdr>
        <w:top w:val="none" w:sz="0" w:space="0" w:color="auto"/>
        <w:left w:val="none" w:sz="0" w:space="0" w:color="auto"/>
        <w:bottom w:val="none" w:sz="0" w:space="0" w:color="auto"/>
        <w:right w:val="none" w:sz="0" w:space="0" w:color="auto"/>
      </w:divBdr>
    </w:div>
    <w:div w:id="1710229481">
      <w:bodyDiv w:val="1"/>
      <w:marLeft w:val="0"/>
      <w:marRight w:val="0"/>
      <w:marTop w:val="0"/>
      <w:marBottom w:val="0"/>
      <w:divBdr>
        <w:top w:val="none" w:sz="0" w:space="0" w:color="auto"/>
        <w:left w:val="none" w:sz="0" w:space="0" w:color="auto"/>
        <w:bottom w:val="none" w:sz="0" w:space="0" w:color="auto"/>
        <w:right w:val="none" w:sz="0" w:space="0" w:color="auto"/>
      </w:divBdr>
    </w:div>
    <w:div w:id="1719815397">
      <w:bodyDiv w:val="1"/>
      <w:marLeft w:val="0"/>
      <w:marRight w:val="0"/>
      <w:marTop w:val="0"/>
      <w:marBottom w:val="0"/>
      <w:divBdr>
        <w:top w:val="none" w:sz="0" w:space="0" w:color="auto"/>
        <w:left w:val="none" w:sz="0" w:space="0" w:color="auto"/>
        <w:bottom w:val="none" w:sz="0" w:space="0" w:color="auto"/>
        <w:right w:val="none" w:sz="0" w:space="0" w:color="auto"/>
      </w:divBdr>
    </w:div>
    <w:div w:id="1797328866">
      <w:bodyDiv w:val="1"/>
      <w:marLeft w:val="0"/>
      <w:marRight w:val="0"/>
      <w:marTop w:val="0"/>
      <w:marBottom w:val="0"/>
      <w:divBdr>
        <w:top w:val="none" w:sz="0" w:space="0" w:color="auto"/>
        <w:left w:val="none" w:sz="0" w:space="0" w:color="auto"/>
        <w:bottom w:val="none" w:sz="0" w:space="0" w:color="auto"/>
        <w:right w:val="none" w:sz="0" w:space="0" w:color="auto"/>
      </w:divBdr>
    </w:div>
    <w:div w:id="1811753242">
      <w:bodyDiv w:val="1"/>
      <w:marLeft w:val="0"/>
      <w:marRight w:val="0"/>
      <w:marTop w:val="0"/>
      <w:marBottom w:val="0"/>
      <w:divBdr>
        <w:top w:val="none" w:sz="0" w:space="0" w:color="auto"/>
        <w:left w:val="none" w:sz="0" w:space="0" w:color="auto"/>
        <w:bottom w:val="none" w:sz="0" w:space="0" w:color="auto"/>
        <w:right w:val="none" w:sz="0" w:space="0" w:color="auto"/>
      </w:divBdr>
    </w:div>
    <w:div w:id="1820918228">
      <w:bodyDiv w:val="1"/>
      <w:marLeft w:val="0"/>
      <w:marRight w:val="0"/>
      <w:marTop w:val="0"/>
      <w:marBottom w:val="0"/>
      <w:divBdr>
        <w:top w:val="none" w:sz="0" w:space="0" w:color="auto"/>
        <w:left w:val="none" w:sz="0" w:space="0" w:color="auto"/>
        <w:bottom w:val="none" w:sz="0" w:space="0" w:color="auto"/>
        <w:right w:val="none" w:sz="0" w:space="0" w:color="auto"/>
      </w:divBdr>
    </w:div>
    <w:div w:id="1851405015">
      <w:bodyDiv w:val="1"/>
      <w:marLeft w:val="0"/>
      <w:marRight w:val="0"/>
      <w:marTop w:val="0"/>
      <w:marBottom w:val="0"/>
      <w:divBdr>
        <w:top w:val="none" w:sz="0" w:space="0" w:color="auto"/>
        <w:left w:val="none" w:sz="0" w:space="0" w:color="auto"/>
        <w:bottom w:val="none" w:sz="0" w:space="0" w:color="auto"/>
        <w:right w:val="none" w:sz="0" w:space="0" w:color="auto"/>
      </w:divBdr>
    </w:div>
    <w:div w:id="1857887088">
      <w:bodyDiv w:val="1"/>
      <w:marLeft w:val="0"/>
      <w:marRight w:val="0"/>
      <w:marTop w:val="0"/>
      <w:marBottom w:val="0"/>
      <w:divBdr>
        <w:top w:val="none" w:sz="0" w:space="0" w:color="auto"/>
        <w:left w:val="none" w:sz="0" w:space="0" w:color="auto"/>
        <w:bottom w:val="none" w:sz="0" w:space="0" w:color="auto"/>
        <w:right w:val="none" w:sz="0" w:space="0" w:color="auto"/>
      </w:divBdr>
      <w:divsChild>
        <w:div w:id="2141602994">
          <w:marLeft w:val="0"/>
          <w:marRight w:val="0"/>
          <w:marTop w:val="0"/>
          <w:marBottom w:val="450"/>
          <w:divBdr>
            <w:top w:val="none" w:sz="0" w:space="0" w:color="auto"/>
            <w:left w:val="none" w:sz="0" w:space="0" w:color="auto"/>
            <w:bottom w:val="single" w:sz="6" w:space="23" w:color="025E91"/>
            <w:right w:val="none" w:sz="0" w:space="0" w:color="auto"/>
          </w:divBdr>
        </w:div>
        <w:div w:id="2025789825">
          <w:marLeft w:val="0"/>
          <w:marRight w:val="0"/>
          <w:marTop w:val="450"/>
          <w:marBottom w:val="0"/>
          <w:divBdr>
            <w:top w:val="none" w:sz="0" w:space="0" w:color="auto"/>
            <w:left w:val="none" w:sz="0" w:space="0" w:color="auto"/>
            <w:bottom w:val="none" w:sz="0" w:space="0" w:color="auto"/>
            <w:right w:val="none" w:sz="0" w:space="0" w:color="auto"/>
          </w:divBdr>
        </w:div>
      </w:divsChild>
    </w:div>
    <w:div w:id="1881898626">
      <w:bodyDiv w:val="1"/>
      <w:marLeft w:val="0"/>
      <w:marRight w:val="0"/>
      <w:marTop w:val="0"/>
      <w:marBottom w:val="0"/>
      <w:divBdr>
        <w:top w:val="none" w:sz="0" w:space="0" w:color="auto"/>
        <w:left w:val="none" w:sz="0" w:space="0" w:color="auto"/>
        <w:bottom w:val="none" w:sz="0" w:space="0" w:color="auto"/>
        <w:right w:val="none" w:sz="0" w:space="0" w:color="auto"/>
      </w:divBdr>
    </w:div>
    <w:div w:id="1895580849">
      <w:bodyDiv w:val="1"/>
      <w:marLeft w:val="0"/>
      <w:marRight w:val="0"/>
      <w:marTop w:val="0"/>
      <w:marBottom w:val="0"/>
      <w:divBdr>
        <w:top w:val="none" w:sz="0" w:space="0" w:color="auto"/>
        <w:left w:val="none" w:sz="0" w:space="0" w:color="auto"/>
        <w:bottom w:val="none" w:sz="0" w:space="0" w:color="auto"/>
        <w:right w:val="none" w:sz="0" w:space="0" w:color="auto"/>
      </w:divBdr>
    </w:div>
    <w:div w:id="1954484065">
      <w:bodyDiv w:val="1"/>
      <w:marLeft w:val="0"/>
      <w:marRight w:val="0"/>
      <w:marTop w:val="0"/>
      <w:marBottom w:val="0"/>
      <w:divBdr>
        <w:top w:val="none" w:sz="0" w:space="0" w:color="auto"/>
        <w:left w:val="none" w:sz="0" w:space="0" w:color="auto"/>
        <w:bottom w:val="none" w:sz="0" w:space="0" w:color="auto"/>
        <w:right w:val="none" w:sz="0" w:space="0" w:color="auto"/>
      </w:divBdr>
    </w:div>
    <w:div w:id="1959067741">
      <w:bodyDiv w:val="1"/>
      <w:marLeft w:val="0"/>
      <w:marRight w:val="0"/>
      <w:marTop w:val="0"/>
      <w:marBottom w:val="0"/>
      <w:divBdr>
        <w:top w:val="none" w:sz="0" w:space="0" w:color="auto"/>
        <w:left w:val="none" w:sz="0" w:space="0" w:color="auto"/>
        <w:bottom w:val="none" w:sz="0" w:space="0" w:color="auto"/>
        <w:right w:val="none" w:sz="0" w:space="0" w:color="auto"/>
      </w:divBdr>
    </w:div>
    <w:div w:id="1978795537">
      <w:bodyDiv w:val="1"/>
      <w:marLeft w:val="0"/>
      <w:marRight w:val="0"/>
      <w:marTop w:val="0"/>
      <w:marBottom w:val="0"/>
      <w:divBdr>
        <w:top w:val="none" w:sz="0" w:space="0" w:color="auto"/>
        <w:left w:val="none" w:sz="0" w:space="0" w:color="auto"/>
        <w:bottom w:val="none" w:sz="0" w:space="0" w:color="auto"/>
        <w:right w:val="none" w:sz="0" w:space="0" w:color="auto"/>
      </w:divBdr>
    </w:div>
    <w:div w:id="1979992718">
      <w:bodyDiv w:val="1"/>
      <w:marLeft w:val="0"/>
      <w:marRight w:val="0"/>
      <w:marTop w:val="0"/>
      <w:marBottom w:val="0"/>
      <w:divBdr>
        <w:top w:val="none" w:sz="0" w:space="0" w:color="auto"/>
        <w:left w:val="none" w:sz="0" w:space="0" w:color="auto"/>
        <w:bottom w:val="none" w:sz="0" w:space="0" w:color="auto"/>
        <w:right w:val="none" w:sz="0" w:space="0" w:color="auto"/>
      </w:divBdr>
    </w:div>
    <w:div w:id="1997804819">
      <w:bodyDiv w:val="1"/>
      <w:marLeft w:val="0"/>
      <w:marRight w:val="0"/>
      <w:marTop w:val="0"/>
      <w:marBottom w:val="0"/>
      <w:divBdr>
        <w:top w:val="none" w:sz="0" w:space="0" w:color="auto"/>
        <w:left w:val="none" w:sz="0" w:space="0" w:color="auto"/>
        <w:bottom w:val="none" w:sz="0" w:space="0" w:color="auto"/>
        <w:right w:val="none" w:sz="0" w:space="0" w:color="auto"/>
      </w:divBdr>
    </w:div>
    <w:div w:id="2014801640">
      <w:bodyDiv w:val="1"/>
      <w:marLeft w:val="0"/>
      <w:marRight w:val="0"/>
      <w:marTop w:val="0"/>
      <w:marBottom w:val="0"/>
      <w:divBdr>
        <w:top w:val="none" w:sz="0" w:space="0" w:color="auto"/>
        <w:left w:val="none" w:sz="0" w:space="0" w:color="auto"/>
        <w:bottom w:val="none" w:sz="0" w:space="0" w:color="auto"/>
        <w:right w:val="none" w:sz="0" w:space="0" w:color="auto"/>
      </w:divBdr>
    </w:div>
    <w:div w:id="2081630184">
      <w:bodyDiv w:val="1"/>
      <w:marLeft w:val="0"/>
      <w:marRight w:val="0"/>
      <w:marTop w:val="0"/>
      <w:marBottom w:val="0"/>
      <w:divBdr>
        <w:top w:val="none" w:sz="0" w:space="0" w:color="auto"/>
        <w:left w:val="none" w:sz="0" w:space="0" w:color="auto"/>
        <w:bottom w:val="none" w:sz="0" w:space="0" w:color="auto"/>
        <w:right w:val="none" w:sz="0" w:space="0" w:color="auto"/>
      </w:divBdr>
    </w:div>
    <w:div w:id="2085640521">
      <w:bodyDiv w:val="1"/>
      <w:marLeft w:val="0"/>
      <w:marRight w:val="0"/>
      <w:marTop w:val="0"/>
      <w:marBottom w:val="0"/>
      <w:divBdr>
        <w:top w:val="none" w:sz="0" w:space="0" w:color="auto"/>
        <w:left w:val="none" w:sz="0" w:space="0" w:color="auto"/>
        <w:bottom w:val="none" w:sz="0" w:space="0" w:color="auto"/>
        <w:right w:val="none" w:sz="0" w:space="0" w:color="auto"/>
      </w:divBdr>
    </w:div>
    <w:div w:id="2138180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ielo">
  <a:themeElements>
    <a:clrScheme name="Cielo">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Cielo">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Cielo">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7735</Words>
  <Characters>44095</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cp:lastPrinted>2017-07-07T11:59:00Z</cp:lastPrinted>
  <dcterms:created xsi:type="dcterms:W3CDTF">2017-07-24T08:26:00Z</dcterms:created>
  <dcterms:modified xsi:type="dcterms:W3CDTF">2017-07-24T08:26:00Z</dcterms:modified>
</cp:coreProperties>
</file>