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FB7" w:rsidRPr="00E976DA" w:rsidRDefault="00004BAF" w:rsidP="00E976DA">
      <w:pPr>
        <w:spacing w:line="480" w:lineRule="auto"/>
        <w:jc w:val="center"/>
        <w:rPr>
          <w:b/>
          <w:sz w:val="24"/>
          <w:szCs w:val="24"/>
        </w:rPr>
      </w:pPr>
      <w:bookmarkStart w:id="0" w:name="_GoBack"/>
      <w:bookmarkEnd w:id="0"/>
      <w:r>
        <w:rPr>
          <w:b/>
          <w:sz w:val="24"/>
          <w:szCs w:val="24"/>
        </w:rPr>
        <w:t>CLASSIFICATION OF</w:t>
      </w:r>
      <w:r w:rsidR="004C455C">
        <w:rPr>
          <w:b/>
          <w:sz w:val="24"/>
          <w:szCs w:val="24"/>
        </w:rPr>
        <w:t xml:space="preserve"> NECK/SHOULDER PAIN </w:t>
      </w:r>
      <w:r>
        <w:rPr>
          <w:b/>
          <w:sz w:val="24"/>
          <w:szCs w:val="24"/>
        </w:rPr>
        <w:t>IN EPIDEMIOLOGICAL RESEARCH:</w:t>
      </w:r>
      <w:r w:rsidR="004C455C">
        <w:rPr>
          <w:b/>
          <w:sz w:val="24"/>
          <w:szCs w:val="24"/>
        </w:rPr>
        <w:t xml:space="preserve">  A COMPARISON OF </w:t>
      </w:r>
      <w:r w:rsidR="007E07C4">
        <w:rPr>
          <w:b/>
          <w:sz w:val="24"/>
          <w:szCs w:val="24"/>
        </w:rPr>
        <w:t>PERSONAL AND OCCUPATIONAL CHARACTERISTICS</w:t>
      </w:r>
      <w:r w:rsidR="004C455C">
        <w:rPr>
          <w:b/>
          <w:sz w:val="24"/>
          <w:szCs w:val="24"/>
        </w:rPr>
        <w:t>, DISABILITY AND PROGNOSIS AMONG 12,195 WORKERS FROM 18 COUNTRIES</w:t>
      </w:r>
    </w:p>
    <w:p w:rsidR="00750C14" w:rsidRPr="00E976DA" w:rsidRDefault="00750C14" w:rsidP="00E976DA">
      <w:pPr>
        <w:jc w:val="center"/>
        <w:rPr>
          <w:b/>
          <w:sz w:val="24"/>
          <w:szCs w:val="24"/>
        </w:rPr>
      </w:pPr>
    </w:p>
    <w:p w:rsidR="003F6F94" w:rsidRPr="009D27C1" w:rsidRDefault="003F6F94" w:rsidP="003F6F94">
      <w:pPr>
        <w:spacing w:line="360" w:lineRule="auto"/>
        <w:jc w:val="center"/>
      </w:pPr>
      <w:r w:rsidRPr="003F6F94">
        <w:rPr>
          <w:szCs w:val="20"/>
          <w:lang w:eastAsia="en-GB"/>
        </w:rPr>
        <w:t>Leila M M Sarquis</w:t>
      </w:r>
      <w:r w:rsidR="001F0165">
        <w:rPr>
          <w:szCs w:val="20"/>
          <w:vertAlign w:val="superscript"/>
          <w:lang w:eastAsia="en-GB"/>
        </w:rPr>
        <w:t>1,2,3</w:t>
      </w:r>
      <w:r w:rsidRPr="003F6F94">
        <w:rPr>
          <w:szCs w:val="20"/>
          <w:lang w:eastAsia="en-GB"/>
        </w:rPr>
        <w:t>,</w:t>
      </w:r>
      <w:r w:rsidRPr="009D27C1">
        <w:t xml:space="preserve"> David Coggon</w:t>
      </w:r>
      <w:r w:rsidR="001F0165">
        <w:rPr>
          <w:vertAlign w:val="superscript"/>
        </w:rPr>
        <w:t>2,3</w:t>
      </w:r>
      <w:r w:rsidRPr="009D27C1">
        <w:t>, Georgia Ntani</w:t>
      </w:r>
      <w:r w:rsidR="001F0165">
        <w:rPr>
          <w:vertAlign w:val="superscript"/>
        </w:rPr>
        <w:t>2,3</w:t>
      </w:r>
      <w:r w:rsidRPr="009D27C1">
        <w:t xml:space="preserve">, </w:t>
      </w:r>
      <w:r>
        <w:t>Karen Walker-Bone</w:t>
      </w:r>
      <w:r w:rsidR="001F0165">
        <w:rPr>
          <w:vertAlign w:val="superscript"/>
        </w:rPr>
        <w:t>2,3</w:t>
      </w:r>
      <w:r>
        <w:t xml:space="preserve">, </w:t>
      </w:r>
      <w:r w:rsidRPr="009D27C1">
        <w:t>Keith T Palmer</w:t>
      </w:r>
      <w:r w:rsidR="001F0165">
        <w:rPr>
          <w:vertAlign w:val="superscript"/>
        </w:rPr>
        <w:t>2,3</w:t>
      </w:r>
      <w:r w:rsidRPr="009D27C1">
        <w:t xml:space="preserve">, </w:t>
      </w:r>
      <w:r w:rsidRPr="009D27C1">
        <w:rPr>
          <w:bCs/>
        </w:rPr>
        <w:t>Vanda E Felli</w:t>
      </w:r>
      <w:r w:rsidR="001F0165">
        <w:rPr>
          <w:bCs/>
          <w:vertAlign w:val="superscript"/>
        </w:rPr>
        <w:t>4</w:t>
      </w:r>
      <w:r w:rsidRPr="009D27C1">
        <w:rPr>
          <w:bCs/>
        </w:rPr>
        <w:t>, Raul Harari</w:t>
      </w:r>
      <w:r w:rsidR="001F0165">
        <w:rPr>
          <w:bCs/>
          <w:vertAlign w:val="superscript"/>
        </w:rPr>
        <w:t>5</w:t>
      </w:r>
      <w:r w:rsidRPr="009D27C1">
        <w:rPr>
          <w:bCs/>
        </w:rPr>
        <w:t>, Lope H Barrero</w:t>
      </w:r>
      <w:r w:rsidR="001F0165">
        <w:rPr>
          <w:bCs/>
          <w:vertAlign w:val="superscript"/>
        </w:rPr>
        <w:t>6</w:t>
      </w:r>
      <w:r w:rsidRPr="009D27C1">
        <w:rPr>
          <w:bCs/>
        </w:rPr>
        <w:t xml:space="preserve">, </w:t>
      </w:r>
      <w:r w:rsidRPr="009D27C1">
        <w:t>Sarah A. Felknor</w:t>
      </w:r>
      <w:r w:rsidR="001F0165">
        <w:rPr>
          <w:vertAlign w:val="superscript"/>
        </w:rPr>
        <w:t>7,8</w:t>
      </w:r>
      <w:r w:rsidRPr="009D27C1">
        <w:t>, David Gimeno</w:t>
      </w:r>
      <w:r w:rsidR="001F0165">
        <w:rPr>
          <w:vertAlign w:val="superscript"/>
        </w:rPr>
        <w:t>7</w:t>
      </w:r>
      <w:r w:rsidRPr="009D27C1">
        <w:t xml:space="preserve">, </w:t>
      </w:r>
      <w:r w:rsidRPr="009D27C1">
        <w:rPr>
          <w:bCs/>
        </w:rPr>
        <w:t>Anna Cattrell</w:t>
      </w:r>
      <w:r w:rsidR="001F0165">
        <w:rPr>
          <w:bCs/>
          <w:vertAlign w:val="superscript"/>
        </w:rPr>
        <w:t>9</w:t>
      </w:r>
      <w:r w:rsidRPr="009D27C1">
        <w:rPr>
          <w:bCs/>
        </w:rPr>
        <w:t>, Sergio Vargas-Prada</w:t>
      </w:r>
      <w:r w:rsidR="001F0165">
        <w:rPr>
          <w:bCs/>
          <w:vertAlign w:val="superscript"/>
        </w:rPr>
        <w:t>10</w:t>
      </w:r>
      <w:r w:rsidR="0082580B">
        <w:rPr>
          <w:bCs/>
          <w:vertAlign w:val="superscript"/>
        </w:rPr>
        <w:t>,11,12</w:t>
      </w:r>
      <w:r w:rsidRPr="009D27C1">
        <w:rPr>
          <w:bCs/>
        </w:rPr>
        <w:t xml:space="preserve">, </w:t>
      </w:r>
      <w:r w:rsidRPr="009D27C1">
        <w:t xml:space="preserve">Matteo </w:t>
      </w:r>
      <w:r w:rsidR="004F75D0" w:rsidRPr="009D27C1">
        <w:t>Bonzini</w:t>
      </w:r>
      <w:r w:rsidR="004F75D0">
        <w:rPr>
          <w:vertAlign w:val="superscript"/>
        </w:rPr>
        <w:t>13</w:t>
      </w:r>
      <w:r w:rsidRPr="009D27C1">
        <w:t xml:space="preserve">, </w:t>
      </w:r>
      <w:r w:rsidRPr="009D27C1">
        <w:rPr>
          <w:bCs/>
          <w:lang w:val="en-US"/>
        </w:rPr>
        <w:t xml:space="preserve">Eleni </w:t>
      </w:r>
      <w:r w:rsidR="004F75D0" w:rsidRPr="009D27C1">
        <w:rPr>
          <w:bCs/>
          <w:lang w:val="en-US"/>
        </w:rPr>
        <w:t>Solidaki</w:t>
      </w:r>
      <w:r w:rsidR="004F75D0" w:rsidRPr="009D27C1">
        <w:rPr>
          <w:bCs/>
          <w:vertAlign w:val="superscript"/>
          <w:lang w:val="en-US"/>
        </w:rPr>
        <w:t>1</w:t>
      </w:r>
      <w:r w:rsidR="004F75D0">
        <w:rPr>
          <w:bCs/>
          <w:vertAlign w:val="superscript"/>
          <w:lang w:val="en-US"/>
        </w:rPr>
        <w:t>4</w:t>
      </w:r>
      <w:r w:rsidRPr="009D27C1">
        <w:rPr>
          <w:bCs/>
          <w:lang w:val="en-US"/>
        </w:rPr>
        <w:t xml:space="preserve">, </w:t>
      </w:r>
      <w:r w:rsidRPr="009D27C1">
        <w:rPr>
          <w:bCs/>
        </w:rPr>
        <w:t xml:space="preserve">Eda </w:t>
      </w:r>
      <w:r w:rsidR="004F75D0" w:rsidRPr="009D27C1">
        <w:rPr>
          <w:bCs/>
        </w:rPr>
        <w:t>Merisalu</w:t>
      </w:r>
      <w:r w:rsidR="004F75D0" w:rsidRPr="009D27C1">
        <w:rPr>
          <w:bCs/>
          <w:vertAlign w:val="superscript"/>
        </w:rPr>
        <w:t>1</w:t>
      </w:r>
      <w:r w:rsidR="004F75D0">
        <w:rPr>
          <w:bCs/>
          <w:vertAlign w:val="superscript"/>
        </w:rPr>
        <w:t>5</w:t>
      </w:r>
      <w:r w:rsidRPr="009D27C1">
        <w:rPr>
          <w:bCs/>
        </w:rPr>
        <w:t xml:space="preserve">, Rima R. </w:t>
      </w:r>
      <w:r w:rsidR="004F75D0" w:rsidRPr="009D27C1">
        <w:rPr>
          <w:bCs/>
        </w:rPr>
        <w:t>Habib</w:t>
      </w:r>
      <w:r w:rsidR="004F75D0" w:rsidRPr="009D27C1">
        <w:rPr>
          <w:bCs/>
          <w:vertAlign w:val="superscript"/>
        </w:rPr>
        <w:t>1</w:t>
      </w:r>
      <w:r w:rsidR="004F75D0">
        <w:rPr>
          <w:bCs/>
          <w:vertAlign w:val="superscript"/>
        </w:rPr>
        <w:t>6</w:t>
      </w:r>
      <w:r w:rsidRPr="009D27C1">
        <w:rPr>
          <w:bCs/>
        </w:rPr>
        <w:t xml:space="preserve">, Farideh </w:t>
      </w:r>
      <w:r w:rsidR="004F75D0" w:rsidRPr="009D27C1">
        <w:rPr>
          <w:bCs/>
        </w:rPr>
        <w:t>Sadeghian</w:t>
      </w:r>
      <w:r w:rsidR="004F75D0" w:rsidRPr="009D27C1">
        <w:rPr>
          <w:bCs/>
          <w:vertAlign w:val="superscript"/>
        </w:rPr>
        <w:t>1</w:t>
      </w:r>
      <w:r w:rsidR="004F75D0">
        <w:rPr>
          <w:bCs/>
          <w:vertAlign w:val="superscript"/>
        </w:rPr>
        <w:t>7</w:t>
      </w:r>
      <w:r w:rsidRPr="009D27C1">
        <w:rPr>
          <w:bCs/>
        </w:rPr>
        <w:t xml:space="preserve">, </w:t>
      </w:r>
      <w:r>
        <w:rPr>
          <w:bCs/>
        </w:rPr>
        <w:t xml:space="preserve">M </w:t>
      </w:r>
      <w:r w:rsidRPr="009D27C1">
        <w:rPr>
          <w:bCs/>
        </w:rPr>
        <w:t xml:space="preserve">Masood </w:t>
      </w:r>
      <w:r w:rsidR="004F75D0" w:rsidRPr="009D27C1">
        <w:rPr>
          <w:bCs/>
        </w:rPr>
        <w:t>Kadir</w:t>
      </w:r>
      <w:r w:rsidR="004F75D0" w:rsidRPr="009D27C1">
        <w:rPr>
          <w:bCs/>
          <w:vertAlign w:val="superscript"/>
        </w:rPr>
        <w:t>1</w:t>
      </w:r>
      <w:r w:rsidR="004F75D0">
        <w:rPr>
          <w:bCs/>
          <w:vertAlign w:val="superscript"/>
        </w:rPr>
        <w:t>8</w:t>
      </w:r>
      <w:r w:rsidRPr="009D27C1">
        <w:rPr>
          <w:bCs/>
        </w:rPr>
        <w:t xml:space="preserve">, Sudath SP </w:t>
      </w:r>
      <w:r w:rsidR="004F75D0" w:rsidRPr="009D27C1">
        <w:rPr>
          <w:bCs/>
        </w:rPr>
        <w:t>Warnakulasuriya</w:t>
      </w:r>
      <w:r w:rsidR="004F75D0" w:rsidRPr="009D27C1">
        <w:rPr>
          <w:bCs/>
          <w:vertAlign w:val="superscript"/>
        </w:rPr>
        <w:t>1</w:t>
      </w:r>
      <w:r w:rsidR="004F75D0">
        <w:rPr>
          <w:bCs/>
          <w:vertAlign w:val="superscript"/>
        </w:rPr>
        <w:t>9</w:t>
      </w:r>
      <w:r w:rsidRPr="009D27C1">
        <w:rPr>
          <w:bCs/>
        </w:rPr>
        <w:t xml:space="preserve">, Ko </w:t>
      </w:r>
      <w:r w:rsidR="004F75D0" w:rsidRPr="009D27C1">
        <w:rPr>
          <w:bCs/>
        </w:rPr>
        <w:t>Matsudaira</w:t>
      </w:r>
      <w:r w:rsidR="004F75D0">
        <w:rPr>
          <w:bCs/>
          <w:vertAlign w:val="superscript"/>
        </w:rPr>
        <w:t>20</w:t>
      </w:r>
      <w:r w:rsidRPr="009D27C1">
        <w:rPr>
          <w:bCs/>
        </w:rPr>
        <w:t xml:space="preserve">, Busisiwe </w:t>
      </w:r>
      <w:r w:rsidR="004F75D0" w:rsidRPr="009D27C1">
        <w:rPr>
          <w:bCs/>
        </w:rPr>
        <w:t>Nyantumbu</w:t>
      </w:r>
      <w:r w:rsidR="004F75D0">
        <w:rPr>
          <w:bCs/>
          <w:vertAlign w:val="superscript"/>
        </w:rPr>
        <w:t>21</w:t>
      </w:r>
      <w:r w:rsidRPr="009D27C1">
        <w:rPr>
          <w:bCs/>
          <w:vertAlign w:val="superscript"/>
        </w:rPr>
        <w:t>,</w:t>
      </w:r>
      <w:r w:rsidR="004F75D0">
        <w:rPr>
          <w:bCs/>
          <w:vertAlign w:val="superscript"/>
        </w:rPr>
        <w:t>22</w:t>
      </w:r>
      <w:r w:rsidRPr="009D27C1">
        <w:rPr>
          <w:bCs/>
        </w:rPr>
        <w:t xml:space="preserve">, Malcolm R </w:t>
      </w:r>
      <w:r w:rsidR="004F75D0" w:rsidRPr="009D27C1">
        <w:rPr>
          <w:bCs/>
        </w:rPr>
        <w:t>Sim</w:t>
      </w:r>
      <w:r w:rsidR="004F75D0">
        <w:rPr>
          <w:bCs/>
          <w:vertAlign w:val="superscript"/>
        </w:rPr>
        <w:t>23</w:t>
      </w:r>
      <w:r w:rsidRPr="009D27C1">
        <w:rPr>
          <w:bCs/>
        </w:rPr>
        <w:t xml:space="preserve">, Helen </w:t>
      </w:r>
      <w:r w:rsidR="004F75D0" w:rsidRPr="009D27C1">
        <w:rPr>
          <w:bCs/>
        </w:rPr>
        <w:t>Harcombe</w:t>
      </w:r>
      <w:r w:rsidR="004F75D0" w:rsidRPr="009D27C1">
        <w:rPr>
          <w:bCs/>
          <w:vertAlign w:val="superscript"/>
        </w:rPr>
        <w:t>2</w:t>
      </w:r>
      <w:r w:rsidR="004F75D0">
        <w:rPr>
          <w:bCs/>
          <w:vertAlign w:val="superscript"/>
        </w:rPr>
        <w:t>4</w:t>
      </w:r>
      <w:r w:rsidRPr="009D27C1">
        <w:rPr>
          <w:bCs/>
        </w:rPr>
        <w:t>, Ken Cox</w:t>
      </w:r>
      <w:r w:rsidR="00610155">
        <w:rPr>
          <w:vertAlign w:val="superscript"/>
        </w:rPr>
        <w:t>2</w:t>
      </w:r>
      <w:r w:rsidRPr="009D27C1">
        <w:rPr>
          <w:bCs/>
        </w:rPr>
        <w:t xml:space="preserve">, Maria H </w:t>
      </w:r>
      <w:r w:rsidR="004F75D0" w:rsidRPr="009D27C1">
        <w:rPr>
          <w:bCs/>
        </w:rPr>
        <w:t>Marziale</w:t>
      </w:r>
      <w:r w:rsidR="004F75D0">
        <w:rPr>
          <w:bCs/>
          <w:vertAlign w:val="superscript"/>
        </w:rPr>
        <w:t>25</w:t>
      </w:r>
      <w:r w:rsidRPr="009D27C1">
        <w:rPr>
          <w:bCs/>
        </w:rPr>
        <w:t>, Florencia Harari</w:t>
      </w:r>
      <w:r w:rsidR="00610155">
        <w:rPr>
          <w:bCs/>
          <w:vertAlign w:val="superscript"/>
        </w:rPr>
        <w:t>5</w:t>
      </w:r>
      <w:r w:rsidRPr="009D27C1">
        <w:rPr>
          <w:bCs/>
        </w:rPr>
        <w:t>, Rocio Freire</w:t>
      </w:r>
      <w:r w:rsidR="00610155">
        <w:rPr>
          <w:bCs/>
          <w:vertAlign w:val="superscript"/>
        </w:rPr>
        <w:t>5</w:t>
      </w:r>
      <w:r w:rsidRPr="009D27C1">
        <w:rPr>
          <w:bCs/>
        </w:rPr>
        <w:t>, Natalia Harari</w:t>
      </w:r>
      <w:r w:rsidR="00610155">
        <w:rPr>
          <w:bCs/>
          <w:vertAlign w:val="superscript"/>
        </w:rPr>
        <w:t>5</w:t>
      </w:r>
      <w:r w:rsidRPr="009D27C1">
        <w:rPr>
          <w:bCs/>
        </w:rPr>
        <w:t>, Magda V Monroy</w:t>
      </w:r>
      <w:r w:rsidR="00610155">
        <w:rPr>
          <w:bCs/>
          <w:vertAlign w:val="superscript"/>
        </w:rPr>
        <w:t>6</w:t>
      </w:r>
      <w:r w:rsidRPr="009D27C1">
        <w:rPr>
          <w:bCs/>
        </w:rPr>
        <w:t>, Leonardo A Quintana</w:t>
      </w:r>
      <w:r w:rsidR="00610155">
        <w:rPr>
          <w:bCs/>
          <w:vertAlign w:val="superscript"/>
        </w:rPr>
        <w:t>6</w:t>
      </w:r>
      <w:r w:rsidRPr="009D27C1">
        <w:rPr>
          <w:bCs/>
        </w:rPr>
        <w:t xml:space="preserve">, Marianela </w:t>
      </w:r>
      <w:r w:rsidR="004F75D0" w:rsidRPr="009D27C1">
        <w:rPr>
          <w:bCs/>
        </w:rPr>
        <w:t>Rojas</w:t>
      </w:r>
      <w:r w:rsidR="004F75D0" w:rsidRPr="009D27C1">
        <w:rPr>
          <w:bCs/>
          <w:vertAlign w:val="superscript"/>
        </w:rPr>
        <w:t>2</w:t>
      </w:r>
      <w:r w:rsidR="004F75D0">
        <w:rPr>
          <w:bCs/>
          <w:vertAlign w:val="superscript"/>
        </w:rPr>
        <w:t>6</w:t>
      </w:r>
      <w:r w:rsidRPr="009D27C1">
        <w:rPr>
          <w:bCs/>
        </w:rPr>
        <w:t>, E Clare Harris</w:t>
      </w:r>
      <w:r w:rsidR="00610155">
        <w:rPr>
          <w:bCs/>
          <w:vertAlign w:val="superscript"/>
        </w:rPr>
        <w:t>2,3</w:t>
      </w:r>
      <w:r w:rsidRPr="009D27C1">
        <w:rPr>
          <w:bCs/>
        </w:rPr>
        <w:t xml:space="preserve">, </w:t>
      </w:r>
      <w:r w:rsidRPr="009D27C1">
        <w:rPr>
          <w:bCs/>
          <w:lang w:val="ca-ES"/>
        </w:rPr>
        <w:t xml:space="preserve">Consol </w:t>
      </w:r>
      <w:r w:rsidRPr="009D27C1">
        <w:rPr>
          <w:bCs/>
        </w:rPr>
        <w:t>Serra</w:t>
      </w:r>
      <w:r w:rsidRPr="009D27C1" w:rsidDel="00B00823">
        <w:rPr>
          <w:bCs/>
        </w:rPr>
        <w:t xml:space="preserve"> </w:t>
      </w:r>
      <w:r w:rsidR="00610155">
        <w:rPr>
          <w:bCs/>
          <w:vertAlign w:val="superscript"/>
        </w:rPr>
        <w:t>10</w:t>
      </w:r>
      <w:r>
        <w:rPr>
          <w:bCs/>
          <w:vertAlign w:val="superscript"/>
        </w:rPr>
        <w:t>,</w:t>
      </w:r>
      <w:r w:rsidR="002D2ECB">
        <w:rPr>
          <w:bCs/>
          <w:vertAlign w:val="superscript"/>
        </w:rPr>
        <w:t>11</w:t>
      </w:r>
      <w:r>
        <w:rPr>
          <w:bCs/>
          <w:vertAlign w:val="superscript"/>
        </w:rPr>
        <w:t>,</w:t>
      </w:r>
      <w:r w:rsidR="0009305B">
        <w:rPr>
          <w:bCs/>
          <w:vertAlign w:val="superscript"/>
        </w:rPr>
        <w:t>12,</w:t>
      </w:r>
      <w:r w:rsidR="002D2ECB">
        <w:rPr>
          <w:bCs/>
          <w:vertAlign w:val="superscript"/>
        </w:rPr>
        <w:t>27</w:t>
      </w:r>
      <w:r w:rsidRPr="009D27C1">
        <w:rPr>
          <w:bCs/>
        </w:rPr>
        <w:t>, J Miguel Martinez</w:t>
      </w:r>
      <w:r>
        <w:rPr>
          <w:bCs/>
          <w:vertAlign w:val="superscript"/>
        </w:rPr>
        <w:t>2</w:t>
      </w:r>
      <w:r w:rsidR="002D2ECB">
        <w:rPr>
          <w:bCs/>
          <w:vertAlign w:val="superscript"/>
        </w:rPr>
        <w:t>8</w:t>
      </w:r>
      <w:r w:rsidRPr="009D27C1">
        <w:rPr>
          <w:bCs/>
        </w:rPr>
        <w:t>, George Delclos</w:t>
      </w:r>
      <w:r w:rsidR="00610155">
        <w:rPr>
          <w:bCs/>
          <w:vertAlign w:val="superscript"/>
        </w:rPr>
        <w:t>7</w:t>
      </w:r>
      <w:r w:rsidRPr="009D27C1">
        <w:rPr>
          <w:bCs/>
          <w:vertAlign w:val="superscript"/>
        </w:rPr>
        <w:t>,</w:t>
      </w:r>
      <w:r w:rsidR="00610155">
        <w:rPr>
          <w:bCs/>
          <w:vertAlign w:val="superscript"/>
        </w:rPr>
        <w:t>10</w:t>
      </w:r>
      <w:r w:rsidRPr="009D27C1">
        <w:rPr>
          <w:bCs/>
          <w:vertAlign w:val="superscript"/>
        </w:rPr>
        <w:t>,</w:t>
      </w:r>
      <w:r w:rsidR="002D2ECB">
        <w:rPr>
          <w:bCs/>
          <w:vertAlign w:val="superscript"/>
        </w:rPr>
        <w:t>11,12</w:t>
      </w:r>
      <w:r w:rsidRPr="009D27C1">
        <w:rPr>
          <w:bCs/>
        </w:rPr>
        <w:t>, Fernando G Benavides</w:t>
      </w:r>
      <w:r w:rsidR="00610155">
        <w:rPr>
          <w:bCs/>
          <w:vertAlign w:val="superscript"/>
        </w:rPr>
        <w:t>10</w:t>
      </w:r>
      <w:r w:rsidRPr="009D27C1">
        <w:rPr>
          <w:bCs/>
          <w:vertAlign w:val="superscript"/>
        </w:rPr>
        <w:t>,</w:t>
      </w:r>
      <w:r w:rsidR="002D2ECB">
        <w:rPr>
          <w:bCs/>
          <w:vertAlign w:val="superscript"/>
        </w:rPr>
        <w:t>11,12</w:t>
      </w:r>
      <w:r w:rsidRPr="009D27C1">
        <w:rPr>
          <w:bCs/>
        </w:rPr>
        <w:t xml:space="preserve">, Michele </w:t>
      </w:r>
      <w:r w:rsidR="002D2ECB" w:rsidRPr="009D27C1">
        <w:rPr>
          <w:bCs/>
        </w:rPr>
        <w:t>Carugno</w:t>
      </w:r>
      <w:r w:rsidR="002D2ECB" w:rsidRPr="009D27C1">
        <w:rPr>
          <w:bCs/>
          <w:vertAlign w:val="superscript"/>
        </w:rPr>
        <w:t>2</w:t>
      </w:r>
      <w:r w:rsidR="002D2ECB">
        <w:rPr>
          <w:bCs/>
          <w:vertAlign w:val="superscript"/>
        </w:rPr>
        <w:t>9</w:t>
      </w:r>
      <w:r w:rsidRPr="009D27C1">
        <w:rPr>
          <w:bCs/>
        </w:rPr>
        <w:t xml:space="preserve">, Marco M </w:t>
      </w:r>
      <w:r w:rsidR="002D2ECB" w:rsidRPr="009D27C1">
        <w:rPr>
          <w:bCs/>
        </w:rPr>
        <w:t>Ferrario</w:t>
      </w:r>
      <w:r w:rsidR="002D2ECB">
        <w:rPr>
          <w:bCs/>
          <w:vertAlign w:val="superscript"/>
        </w:rPr>
        <w:t>13</w:t>
      </w:r>
      <w:r w:rsidRPr="009D27C1">
        <w:rPr>
          <w:bCs/>
        </w:rPr>
        <w:t>, Angela C Pesatori</w:t>
      </w:r>
      <w:r w:rsidR="008D5339">
        <w:rPr>
          <w:bCs/>
          <w:vertAlign w:val="superscript"/>
        </w:rPr>
        <w:t>29</w:t>
      </w:r>
      <w:r w:rsidR="002D2ECB">
        <w:rPr>
          <w:bCs/>
          <w:vertAlign w:val="superscript"/>
        </w:rPr>
        <w:t>,3</w:t>
      </w:r>
      <w:r w:rsidR="008D5339">
        <w:rPr>
          <w:bCs/>
          <w:vertAlign w:val="superscript"/>
        </w:rPr>
        <w:t>0</w:t>
      </w:r>
      <w:r w:rsidRPr="009D27C1">
        <w:rPr>
          <w:bCs/>
        </w:rPr>
        <w:t xml:space="preserve">, Leda </w:t>
      </w:r>
      <w:r w:rsidR="002D2ECB" w:rsidRPr="009D27C1">
        <w:rPr>
          <w:bCs/>
        </w:rPr>
        <w:t>Chatzi</w:t>
      </w:r>
      <w:r w:rsidR="002D2ECB">
        <w:rPr>
          <w:bCs/>
          <w:vertAlign w:val="superscript"/>
        </w:rPr>
        <w:t>14</w:t>
      </w:r>
      <w:r w:rsidRPr="009D27C1">
        <w:rPr>
          <w:bCs/>
        </w:rPr>
        <w:t xml:space="preserve">, Panos </w:t>
      </w:r>
      <w:r w:rsidR="002D2ECB" w:rsidRPr="009D27C1">
        <w:rPr>
          <w:bCs/>
        </w:rPr>
        <w:t>Bitsios</w:t>
      </w:r>
      <w:r w:rsidR="002D2ECB">
        <w:rPr>
          <w:bCs/>
          <w:vertAlign w:val="superscript"/>
        </w:rPr>
        <w:t>3</w:t>
      </w:r>
      <w:r w:rsidR="008D5339">
        <w:rPr>
          <w:bCs/>
          <w:vertAlign w:val="superscript"/>
        </w:rPr>
        <w:t>1</w:t>
      </w:r>
      <w:r w:rsidRPr="009D27C1">
        <w:rPr>
          <w:bCs/>
        </w:rPr>
        <w:t xml:space="preserve">, Manolis </w:t>
      </w:r>
      <w:r w:rsidR="008D5339" w:rsidRPr="009D27C1">
        <w:rPr>
          <w:bCs/>
        </w:rPr>
        <w:t>Kogevinas</w:t>
      </w:r>
      <w:r w:rsidR="008D5339">
        <w:rPr>
          <w:bCs/>
          <w:vertAlign w:val="superscript"/>
        </w:rPr>
        <w:t>11,12</w:t>
      </w:r>
      <w:r w:rsidRPr="00710F8C">
        <w:rPr>
          <w:bCs/>
          <w:vertAlign w:val="superscript"/>
        </w:rPr>
        <w:t>,</w:t>
      </w:r>
      <w:r w:rsidR="00610155">
        <w:rPr>
          <w:bCs/>
          <w:vertAlign w:val="superscript"/>
        </w:rPr>
        <w:t>3</w:t>
      </w:r>
      <w:r w:rsidR="008D5339">
        <w:rPr>
          <w:bCs/>
          <w:vertAlign w:val="superscript"/>
        </w:rPr>
        <w:t>2,</w:t>
      </w:r>
      <w:r w:rsidRPr="009D27C1">
        <w:rPr>
          <w:bCs/>
        </w:rPr>
        <w:t xml:space="preserve">, Kristel </w:t>
      </w:r>
      <w:r w:rsidR="008D5339" w:rsidRPr="009D27C1">
        <w:rPr>
          <w:bCs/>
        </w:rPr>
        <w:t>Oha</w:t>
      </w:r>
      <w:r w:rsidR="008D5339" w:rsidRPr="009D27C1">
        <w:rPr>
          <w:bCs/>
          <w:vertAlign w:val="superscript"/>
        </w:rPr>
        <w:t>3</w:t>
      </w:r>
      <w:r w:rsidR="0008044B">
        <w:rPr>
          <w:bCs/>
          <w:vertAlign w:val="superscript"/>
        </w:rPr>
        <w:t>3</w:t>
      </w:r>
      <w:r w:rsidRPr="009D27C1">
        <w:rPr>
          <w:bCs/>
        </w:rPr>
        <w:t xml:space="preserve">, </w:t>
      </w:r>
      <w:r w:rsidR="00EB5068">
        <w:t>Tiina, Freimann</w:t>
      </w:r>
      <w:r w:rsidRPr="009D27C1">
        <w:rPr>
          <w:bCs/>
          <w:vertAlign w:val="superscript"/>
        </w:rPr>
        <w:t>3</w:t>
      </w:r>
      <w:r w:rsidR="0008044B">
        <w:rPr>
          <w:bCs/>
          <w:vertAlign w:val="superscript"/>
        </w:rPr>
        <w:t>4</w:t>
      </w:r>
      <w:r w:rsidRPr="009D27C1">
        <w:rPr>
          <w:bCs/>
        </w:rPr>
        <w:t xml:space="preserve">, Ali </w:t>
      </w:r>
      <w:r w:rsidR="008D5339" w:rsidRPr="009D27C1">
        <w:rPr>
          <w:bCs/>
        </w:rPr>
        <w:t>Sadeghian</w:t>
      </w:r>
      <w:r w:rsidR="008D5339" w:rsidRPr="009D27C1">
        <w:rPr>
          <w:bCs/>
          <w:vertAlign w:val="superscript"/>
        </w:rPr>
        <w:t>3</w:t>
      </w:r>
      <w:r w:rsidR="0008044B">
        <w:rPr>
          <w:bCs/>
          <w:vertAlign w:val="superscript"/>
        </w:rPr>
        <w:t>5</w:t>
      </w:r>
      <w:r w:rsidRPr="009D27C1">
        <w:rPr>
          <w:bCs/>
        </w:rPr>
        <w:t>, Roshini J Peiris-</w:t>
      </w:r>
      <w:r w:rsidR="008D5339" w:rsidRPr="009D27C1">
        <w:rPr>
          <w:bCs/>
        </w:rPr>
        <w:t>John</w:t>
      </w:r>
      <w:r w:rsidR="008D5339" w:rsidRPr="009D27C1">
        <w:rPr>
          <w:bCs/>
          <w:vertAlign w:val="superscript"/>
        </w:rPr>
        <w:t>3</w:t>
      </w:r>
      <w:r w:rsidR="0008044B">
        <w:rPr>
          <w:bCs/>
          <w:vertAlign w:val="superscript"/>
        </w:rPr>
        <w:t>6</w:t>
      </w:r>
      <w:r w:rsidRPr="009D27C1">
        <w:rPr>
          <w:bCs/>
          <w:vertAlign w:val="superscript"/>
        </w:rPr>
        <w:t>,</w:t>
      </w:r>
      <w:r w:rsidR="008D5339" w:rsidRPr="009D27C1">
        <w:rPr>
          <w:bCs/>
          <w:vertAlign w:val="superscript"/>
        </w:rPr>
        <w:t>3</w:t>
      </w:r>
      <w:r w:rsidR="0008044B">
        <w:rPr>
          <w:bCs/>
          <w:vertAlign w:val="superscript"/>
        </w:rPr>
        <w:t>7</w:t>
      </w:r>
      <w:r w:rsidRPr="009D27C1">
        <w:rPr>
          <w:bCs/>
        </w:rPr>
        <w:t xml:space="preserve">, Nalini </w:t>
      </w:r>
      <w:r w:rsidR="008D5339" w:rsidRPr="009D27C1">
        <w:rPr>
          <w:bCs/>
        </w:rPr>
        <w:t>Sathiakumar</w:t>
      </w:r>
      <w:r w:rsidR="008D5339" w:rsidRPr="009D27C1">
        <w:rPr>
          <w:bCs/>
          <w:vertAlign w:val="superscript"/>
        </w:rPr>
        <w:t>3</w:t>
      </w:r>
      <w:r w:rsidR="0008044B">
        <w:rPr>
          <w:bCs/>
          <w:vertAlign w:val="superscript"/>
        </w:rPr>
        <w:t>8</w:t>
      </w:r>
      <w:r w:rsidRPr="009D27C1">
        <w:rPr>
          <w:bCs/>
        </w:rPr>
        <w:t xml:space="preserve">, A Rajitha </w:t>
      </w:r>
      <w:r w:rsidR="008D5339" w:rsidRPr="009D27C1">
        <w:rPr>
          <w:bCs/>
        </w:rPr>
        <w:t>Wickremasinghe</w:t>
      </w:r>
      <w:r w:rsidR="0008044B">
        <w:rPr>
          <w:bCs/>
          <w:vertAlign w:val="superscript"/>
        </w:rPr>
        <w:t>39</w:t>
      </w:r>
      <w:r w:rsidRPr="009D27C1">
        <w:rPr>
          <w:bCs/>
        </w:rPr>
        <w:t xml:space="preserve">, Noriko </w:t>
      </w:r>
      <w:r w:rsidR="008D5339" w:rsidRPr="009D27C1">
        <w:rPr>
          <w:bCs/>
        </w:rPr>
        <w:t>Yoshimura</w:t>
      </w:r>
      <w:r w:rsidR="008D5339">
        <w:rPr>
          <w:bCs/>
          <w:vertAlign w:val="superscript"/>
        </w:rPr>
        <w:t>4</w:t>
      </w:r>
      <w:r w:rsidR="0008044B">
        <w:rPr>
          <w:bCs/>
          <w:vertAlign w:val="superscript"/>
        </w:rPr>
        <w:t>0</w:t>
      </w:r>
      <w:r w:rsidRPr="009D27C1">
        <w:rPr>
          <w:bCs/>
        </w:rPr>
        <w:t xml:space="preserve">, Helen L </w:t>
      </w:r>
      <w:r w:rsidR="008D5339" w:rsidRPr="009D27C1">
        <w:rPr>
          <w:bCs/>
        </w:rPr>
        <w:t>Kelsall</w:t>
      </w:r>
      <w:r w:rsidR="008D5339">
        <w:rPr>
          <w:bCs/>
          <w:vertAlign w:val="superscript"/>
        </w:rPr>
        <w:t>23</w:t>
      </w:r>
      <w:r w:rsidRPr="009D27C1">
        <w:rPr>
          <w:bCs/>
        </w:rPr>
        <w:t xml:space="preserve">, Victor C W </w:t>
      </w:r>
      <w:r w:rsidR="008D5339" w:rsidRPr="009D27C1">
        <w:rPr>
          <w:bCs/>
        </w:rPr>
        <w:t>Hoe</w:t>
      </w:r>
      <w:r w:rsidR="008D5339" w:rsidRPr="009D27C1">
        <w:rPr>
          <w:bCs/>
          <w:vertAlign w:val="superscript"/>
        </w:rPr>
        <w:t>4</w:t>
      </w:r>
      <w:r w:rsidR="0008044B">
        <w:rPr>
          <w:bCs/>
          <w:vertAlign w:val="superscript"/>
        </w:rPr>
        <w:t>1</w:t>
      </w:r>
      <w:r w:rsidRPr="009D27C1">
        <w:rPr>
          <w:bCs/>
        </w:rPr>
        <w:t xml:space="preserve">, Donna M </w:t>
      </w:r>
      <w:r w:rsidR="008D5339" w:rsidRPr="009D27C1">
        <w:rPr>
          <w:bCs/>
        </w:rPr>
        <w:t>Urquhart</w:t>
      </w:r>
      <w:r w:rsidR="008D5339">
        <w:rPr>
          <w:bCs/>
          <w:vertAlign w:val="superscript"/>
        </w:rPr>
        <w:t>23</w:t>
      </w:r>
      <w:r w:rsidRPr="009D27C1">
        <w:rPr>
          <w:bCs/>
        </w:rPr>
        <w:t xml:space="preserve">, Sarah </w:t>
      </w:r>
      <w:r w:rsidR="008D5339" w:rsidRPr="009D27C1">
        <w:rPr>
          <w:bCs/>
        </w:rPr>
        <w:t>Der</w:t>
      </w:r>
      <w:r w:rsidR="008D5339">
        <w:rPr>
          <w:bCs/>
        </w:rPr>
        <w:t>r</w:t>
      </w:r>
      <w:r w:rsidR="008D5339" w:rsidRPr="009D27C1">
        <w:rPr>
          <w:bCs/>
        </w:rPr>
        <w:t>ett</w:t>
      </w:r>
      <w:r w:rsidR="008D5339" w:rsidRPr="009D27C1">
        <w:rPr>
          <w:bCs/>
          <w:vertAlign w:val="superscript"/>
        </w:rPr>
        <w:t>4</w:t>
      </w:r>
      <w:r w:rsidR="0008044B">
        <w:rPr>
          <w:bCs/>
          <w:vertAlign w:val="superscript"/>
        </w:rPr>
        <w:t>2</w:t>
      </w:r>
      <w:r w:rsidRPr="009D27C1">
        <w:rPr>
          <w:bCs/>
        </w:rPr>
        <w:t xml:space="preserve">, David </w:t>
      </w:r>
      <w:r w:rsidR="008D5339" w:rsidRPr="009D27C1">
        <w:rPr>
          <w:bCs/>
        </w:rPr>
        <w:t>McBride</w:t>
      </w:r>
      <w:r w:rsidR="008D5339" w:rsidRPr="009D27C1">
        <w:rPr>
          <w:bCs/>
          <w:vertAlign w:val="superscript"/>
        </w:rPr>
        <w:t>2</w:t>
      </w:r>
      <w:r w:rsidR="008D5339">
        <w:rPr>
          <w:bCs/>
          <w:vertAlign w:val="superscript"/>
        </w:rPr>
        <w:t>4</w:t>
      </w:r>
      <w:r w:rsidRPr="009D27C1">
        <w:rPr>
          <w:bCs/>
        </w:rPr>
        <w:t xml:space="preserve">, Peter </w:t>
      </w:r>
      <w:r w:rsidR="008D5339" w:rsidRPr="009D27C1">
        <w:rPr>
          <w:bCs/>
        </w:rPr>
        <w:t>Herbison</w:t>
      </w:r>
      <w:r w:rsidR="008D5339">
        <w:rPr>
          <w:bCs/>
          <w:vertAlign w:val="superscript"/>
        </w:rPr>
        <w:t>24</w:t>
      </w:r>
      <w:r>
        <w:rPr>
          <w:bCs/>
        </w:rPr>
        <w:t>,</w:t>
      </w:r>
      <w:r w:rsidRPr="009D27C1">
        <w:rPr>
          <w:bCs/>
        </w:rPr>
        <w:t xml:space="preserve"> Andrew </w:t>
      </w:r>
      <w:r w:rsidR="008D5339" w:rsidRPr="009D27C1">
        <w:rPr>
          <w:bCs/>
        </w:rPr>
        <w:t>Gray</w:t>
      </w:r>
      <w:r w:rsidR="008D5339" w:rsidRPr="009D27C1">
        <w:rPr>
          <w:bCs/>
          <w:vertAlign w:val="superscript"/>
        </w:rPr>
        <w:t>2</w:t>
      </w:r>
      <w:r w:rsidR="008D5339">
        <w:rPr>
          <w:bCs/>
          <w:vertAlign w:val="superscript"/>
        </w:rPr>
        <w:t>4</w:t>
      </w:r>
      <w:r w:rsidR="00C53770">
        <w:rPr>
          <w:bCs/>
          <w:vertAlign w:val="superscript"/>
        </w:rPr>
        <w:t xml:space="preserve">  </w:t>
      </w:r>
      <w:r w:rsidR="00C53770" w:rsidRPr="009D27C1">
        <w:rPr>
          <w:bCs/>
        </w:rPr>
        <w:t>Eduardo J. Salazar Vega</w:t>
      </w:r>
      <w:r w:rsidR="00C53770">
        <w:rPr>
          <w:bCs/>
          <w:vertAlign w:val="superscript"/>
        </w:rPr>
        <w:t>43</w:t>
      </w:r>
    </w:p>
    <w:p w:rsidR="003F6F94" w:rsidRPr="009D27C1" w:rsidRDefault="003F6F94" w:rsidP="003F6F94"/>
    <w:p w:rsidR="001F0165" w:rsidRPr="001F0165" w:rsidRDefault="003F6F94" w:rsidP="003F6F94">
      <w:r w:rsidRPr="009D27C1">
        <w:rPr>
          <w:vertAlign w:val="superscript"/>
        </w:rPr>
        <w:t>1</w:t>
      </w:r>
      <w:r w:rsidR="00610155" w:rsidRPr="009D27C1">
        <w:t>Federal University of Paraná, Curitiba-PR, Brazil</w:t>
      </w:r>
    </w:p>
    <w:p w:rsidR="003F6F94" w:rsidRDefault="001F0165" w:rsidP="003F6F94">
      <w:r>
        <w:rPr>
          <w:vertAlign w:val="superscript"/>
        </w:rPr>
        <w:t>2</w:t>
      </w:r>
      <w:r w:rsidR="003F6F94" w:rsidRPr="009D27C1">
        <w:t>Medical Research Council Lifecourse Epidemiology Unit, University of Southampton, Southampton, UK</w:t>
      </w:r>
    </w:p>
    <w:p w:rsidR="001F0165" w:rsidRPr="001F0165" w:rsidRDefault="001F0165" w:rsidP="003F6F94">
      <w:r>
        <w:rPr>
          <w:vertAlign w:val="superscript"/>
        </w:rPr>
        <w:t>3</w:t>
      </w:r>
      <w:r>
        <w:t>Arthritis Research UK/MRC Centre for Musculoskeletal Health and Work, University of Southampton, Southampton, UK</w:t>
      </w:r>
    </w:p>
    <w:p w:rsidR="003F6F94" w:rsidRPr="009D27C1" w:rsidRDefault="001F0165" w:rsidP="003F6F94">
      <w:r>
        <w:rPr>
          <w:vertAlign w:val="superscript"/>
        </w:rPr>
        <w:t>4</w:t>
      </w:r>
      <w:r w:rsidR="003F6F94" w:rsidRPr="009D27C1">
        <w:t>School of Nursing, University of São Paulo, São Paulo, Brazil</w:t>
      </w:r>
    </w:p>
    <w:p w:rsidR="003F6F94" w:rsidRPr="009D27C1" w:rsidRDefault="001F0165" w:rsidP="003F6F94">
      <w:pPr>
        <w:rPr>
          <w:lang w:val="es-EC"/>
        </w:rPr>
      </w:pPr>
      <w:r>
        <w:rPr>
          <w:vertAlign w:val="superscript"/>
          <w:lang w:val="es-EC"/>
        </w:rPr>
        <w:t>5</w:t>
      </w:r>
      <w:r w:rsidR="003F6F94" w:rsidRPr="009D27C1">
        <w:rPr>
          <w:lang w:val="es-EC"/>
        </w:rPr>
        <w:t>Corporación para el Desarrollo de la Producción y el Medio Ambiente Laboral – IFA (Institute for the Development of Production and the Work Environment), Quito, Ecuador</w:t>
      </w:r>
    </w:p>
    <w:p w:rsidR="003F6F94" w:rsidRPr="009D27C1" w:rsidRDefault="001F0165" w:rsidP="003F6F94">
      <w:pPr>
        <w:rPr>
          <w:lang w:val="en-US"/>
        </w:rPr>
      </w:pPr>
      <w:r>
        <w:rPr>
          <w:vertAlign w:val="superscript"/>
          <w:lang w:val="en-US"/>
        </w:rPr>
        <w:t>6</w:t>
      </w:r>
      <w:r w:rsidR="003F6F94">
        <w:rPr>
          <w:lang w:val="en-US"/>
        </w:rPr>
        <w:t xml:space="preserve">Department of Industrial Engineering, </w:t>
      </w:r>
      <w:r w:rsidR="003F6F94" w:rsidRPr="009D27C1">
        <w:rPr>
          <w:lang w:val="en-US"/>
        </w:rPr>
        <w:t>School of Engineering, Pontificia Universidad Javeriana, Bogotá, Colombia</w:t>
      </w:r>
    </w:p>
    <w:p w:rsidR="003F6F94" w:rsidRPr="009D27C1" w:rsidRDefault="001F0165" w:rsidP="003F6F94">
      <w:r>
        <w:rPr>
          <w:vertAlign w:val="superscript"/>
        </w:rPr>
        <w:t>7</w:t>
      </w:r>
      <w:r w:rsidR="003F6F94" w:rsidRPr="009D27C1">
        <w:t xml:space="preserve">Southwest Center for Occupational and Environmental Health, The University of Texas Health Science Center at Houston School of Public Health, Houston, Texas, USA </w:t>
      </w:r>
    </w:p>
    <w:p w:rsidR="003F6F94" w:rsidRPr="009D27C1" w:rsidRDefault="001F0165" w:rsidP="003F6F94">
      <w:r>
        <w:rPr>
          <w:vertAlign w:val="superscript"/>
        </w:rPr>
        <w:t>8</w:t>
      </w:r>
      <w:r w:rsidR="003F6F94" w:rsidRPr="009D27C1">
        <w:t>Center for Disease Control and Prevention/National Institute for Occupational Safety and Health, Atlanta, USA</w:t>
      </w:r>
    </w:p>
    <w:p w:rsidR="003F6F94" w:rsidRPr="009D27C1" w:rsidRDefault="001F0165" w:rsidP="003F6F94">
      <w:r>
        <w:rPr>
          <w:vertAlign w:val="superscript"/>
        </w:rPr>
        <w:t>9</w:t>
      </w:r>
      <w:r w:rsidR="006D0AB8" w:rsidRPr="009D27C1">
        <w:t>Medical Research Council Social, Genetic and Developmental Psychiatry Centre, Institute of Psychiatry</w:t>
      </w:r>
      <w:r w:rsidR="006D0AB8">
        <w:t xml:space="preserve"> Psychology and Neuroscience</w:t>
      </w:r>
      <w:r w:rsidR="006D0AB8" w:rsidRPr="009D27C1">
        <w:t>, Kings College</w:t>
      </w:r>
      <w:r w:rsidR="006D0AB8">
        <w:t xml:space="preserve"> London</w:t>
      </w:r>
      <w:r w:rsidR="006D0AB8" w:rsidRPr="009D27C1">
        <w:t>, London, UK</w:t>
      </w:r>
    </w:p>
    <w:p w:rsidR="0082580B" w:rsidRDefault="001F0165" w:rsidP="003F6F94">
      <w:pPr>
        <w:rPr>
          <w:bCs/>
        </w:rPr>
      </w:pPr>
      <w:r>
        <w:rPr>
          <w:bCs/>
          <w:vertAlign w:val="superscript"/>
        </w:rPr>
        <w:t>10</w:t>
      </w:r>
      <w:r w:rsidR="003F6F94" w:rsidRPr="009D27C1">
        <w:rPr>
          <w:bCs/>
        </w:rPr>
        <w:t xml:space="preserve">Center for Research in Occupational Health (CiSAL), </w:t>
      </w:r>
      <w:r w:rsidR="003F6F94">
        <w:rPr>
          <w:bCs/>
        </w:rPr>
        <w:t xml:space="preserve">Universitat </w:t>
      </w:r>
      <w:r w:rsidR="003F6F94" w:rsidRPr="009D27C1">
        <w:rPr>
          <w:bCs/>
        </w:rPr>
        <w:t>Pompeu Fabra, Barcelona, Spain</w:t>
      </w:r>
    </w:p>
    <w:p w:rsidR="00C76FF9" w:rsidRDefault="0082580B" w:rsidP="003F6F94">
      <w:pPr>
        <w:rPr>
          <w:bCs/>
        </w:rPr>
      </w:pPr>
      <w:r w:rsidRPr="006A1F8F">
        <w:rPr>
          <w:bCs/>
          <w:vertAlign w:val="superscript"/>
        </w:rPr>
        <w:t>1</w:t>
      </w:r>
      <w:r w:rsidR="00C76FF9">
        <w:rPr>
          <w:bCs/>
          <w:vertAlign w:val="superscript"/>
        </w:rPr>
        <w:t>1</w:t>
      </w:r>
      <w:r w:rsidR="00C76FF9" w:rsidRPr="00C76FF9">
        <w:rPr>
          <w:bCs/>
        </w:rPr>
        <w:t>CIBER of Epidemiology and Public Health, Barcelona, Spain</w:t>
      </w:r>
    </w:p>
    <w:p w:rsidR="00C76FF9" w:rsidRPr="00F22CD5" w:rsidRDefault="00C76FF9" w:rsidP="00C76FF9">
      <w:pPr>
        <w:rPr>
          <w:lang w:val="es-ES"/>
        </w:rPr>
      </w:pPr>
      <w:r w:rsidRPr="006A1F8F">
        <w:rPr>
          <w:bCs/>
          <w:vertAlign w:val="superscript"/>
        </w:rPr>
        <w:t>12</w:t>
      </w:r>
      <w:r w:rsidRPr="009D27C1">
        <w:rPr>
          <w:rFonts w:cstheme="minorBidi"/>
          <w:lang w:val="es-ES"/>
        </w:rPr>
        <w:t>IMIM (Hospital del Mar Research Institute), Barcelona, Spain</w:t>
      </w:r>
    </w:p>
    <w:p w:rsidR="003F6F94" w:rsidRPr="009D27C1" w:rsidRDefault="004F75D0" w:rsidP="003F6F94">
      <w:r>
        <w:rPr>
          <w:bCs/>
          <w:vertAlign w:val="superscript"/>
        </w:rPr>
        <w:lastRenderedPageBreak/>
        <w:t>13</w:t>
      </w:r>
      <w:r w:rsidRPr="009D27C1">
        <w:t xml:space="preserve">Epidemiology </w:t>
      </w:r>
      <w:r w:rsidR="003F6F94" w:rsidRPr="009D27C1">
        <w:t>and Preventive Medicine Research Center, University of Insubria, Varese, Italy</w:t>
      </w:r>
    </w:p>
    <w:p w:rsidR="003F6F94" w:rsidRPr="009D27C1" w:rsidRDefault="004F75D0" w:rsidP="003F6F94">
      <w:pPr>
        <w:rPr>
          <w:lang w:val="en-US"/>
        </w:rPr>
      </w:pPr>
      <w:r>
        <w:rPr>
          <w:vertAlign w:val="superscript"/>
          <w:lang w:val="en-US"/>
        </w:rPr>
        <w:t>14</w:t>
      </w:r>
      <w:r w:rsidRPr="009D27C1">
        <w:rPr>
          <w:lang w:val="en-US"/>
        </w:rPr>
        <w:t xml:space="preserve">Department </w:t>
      </w:r>
      <w:r w:rsidR="003F6F94" w:rsidRPr="009D27C1">
        <w:rPr>
          <w:lang w:val="en-US"/>
        </w:rPr>
        <w:t>of Social Medicine, Medical School, University of Crete, Heraklion, Greece</w:t>
      </w:r>
    </w:p>
    <w:p w:rsidR="003F6F94" w:rsidRPr="009D27C1" w:rsidRDefault="004F75D0" w:rsidP="003F6F94">
      <w:r w:rsidRPr="009D27C1">
        <w:rPr>
          <w:vertAlign w:val="superscript"/>
        </w:rPr>
        <w:t>1</w:t>
      </w:r>
      <w:r>
        <w:rPr>
          <w:vertAlign w:val="superscript"/>
        </w:rPr>
        <w:t>5</w:t>
      </w:r>
      <w:r w:rsidRPr="00EB5068">
        <w:t xml:space="preserve">Institute </w:t>
      </w:r>
      <w:r w:rsidR="00EB5068" w:rsidRPr="00EB5068">
        <w:t>of Technology, Estonian University of Life Sciences</w:t>
      </w:r>
      <w:r w:rsidR="003F6F94" w:rsidRPr="009D27C1">
        <w:t xml:space="preserve">, </w:t>
      </w:r>
      <w:r w:rsidR="00684A66">
        <w:t xml:space="preserve">Tartu, </w:t>
      </w:r>
      <w:r w:rsidR="0008044B">
        <w:t xml:space="preserve"> </w:t>
      </w:r>
      <w:r w:rsidR="003F6F94" w:rsidRPr="009D27C1">
        <w:t>Estonia</w:t>
      </w:r>
    </w:p>
    <w:p w:rsidR="003F6F94" w:rsidRPr="009D27C1" w:rsidRDefault="004F75D0" w:rsidP="003F6F94">
      <w:r w:rsidRPr="009D27C1">
        <w:rPr>
          <w:vertAlign w:val="superscript"/>
        </w:rPr>
        <w:t>1</w:t>
      </w:r>
      <w:r>
        <w:rPr>
          <w:vertAlign w:val="superscript"/>
        </w:rPr>
        <w:t>6</w:t>
      </w:r>
      <w:r w:rsidRPr="009D27C1">
        <w:t xml:space="preserve">Department </w:t>
      </w:r>
      <w:r w:rsidR="003F6F94" w:rsidRPr="009D27C1">
        <w:t>of Environmental Health, Faculty of Health Sciences, American University of Beirut, Beirut, Lebanon</w:t>
      </w:r>
    </w:p>
    <w:p w:rsidR="003F6F94" w:rsidRPr="009D27C1" w:rsidRDefault="004F75D0" w:rsidP="003F6F94">
      <w:r w:rsidRPr="009D27C1">
        <w:rPr>
          <w:vertAlign w:val="superscript"/>
        </w:rPr>
        <w:t>1</w:t>
      </w:r>
      <w:r>
        <w:rPr>
          <w:vertAlign w:val="superscript"/>
        </w:rPr>
        <w:t>7</w:t>
      </w:r>
      <w:r w:rsidRPr="009D27C1">
        <w:t xml:space="preserve">Department </w:t>
      </w:r>
      <w:r w:rsidR="00695DD0" w:rsidRPr="009D27C1">
        <w:t xml:space="preserve">of Occupational Health, </w:t>
      </w:r>
      <w:r w:rsidR="00695DD0">
        <w:t>School</w:t>
      </w:r>
      <w:r w:rsidR="00695DD0" w:rsidRPr="009D27C1">
        <w:t xml:space="preserve"> of </w:t>
      </w:r>
      <w:r w:rsidR="00695DD0">
        <w:t xml:space="preserve">Public </w:t>
      </w:r>
      <w:r w:rsidR="00695DD0" w:rsidRPr="009D27C1">
        <w:t>Health, Shahroud University of Medical Sciences, Shahroud, Iran</w:t>
      </w:r>
    </w:p>
    <w:p w:rsidR="003F6F94" w:rsidRPr="009D27C1" w:rsidRDefault="004F75D0" w:rsidP="003F6F94">
      <w:r w:rsidRPr="009D27C1">
        <w:rPr>
          <w:vertAlign w:val="superscript"/>
        </w:rPr>
        <w:t>1</w:t>
      </w:r>
      <w:r>
        <w:rPr>
          <w:vertAlign w:val="superscript"/>
        </w:rPr>
        <w:t>8</w:t>
      </w:r>
      <w:r w:rsidRPr="009D27C1">
        <w:t xml:space="preserve">Department </w:t>
      </w:r>
      <w:r w:rsidR="003F6F94" w:rsidRPr="009D27C1">
        <w:t>of Community Health Sciences, Aga Khan University, Karachi, Pakistan</w:t>
      </w:r>
    </w:p>
    <w:p w:rsidR="003F6F94" w:rsidRPr="009D27C1" w:rsidRDefault="004F75D0" w:rsidP="003F6F94">
      <w:pPr>
        <w:rPr>
          <w:bCs/>
        </w:rPr>
      </w:pPr>
      <w:r w:rsidRPr="009D27C1">
        <w:rPr>
          <w:bCs/>
          <w:vertAlign w:val="superscript"/>
        </w:rPr>
        <w:t>1</w:t>
      </w:r>
      <w:r>
        <w:rPr>
          <w:bCs/>
          <w:vertAlign w:val="superscript"/>
        </w:rPr>
        <w:t>9</w:t>
      </w:r>
      <w:r w:rsidRPr="009D27C1">
        <w:rPr>
          <w:bCs/>
        </w:rPr>
        <w:t xml:space="preserve">Department </w:t>
      </w:r>
      <w:r w:rsidR="003F6F94" w:rsidRPr="009D27C1">
        <w:rPr>
          <w:bCs/>
        </w:rPr>
        <w:t xml:space="preserve">of Medical Education and Health Sciences, Faculty of Medical Sciences, University of Sri Jayewardenepura, </w:t>
      </w:r>
      <w:r w:rsidR="003F6F94" w:rsidRPr="009D27C1">
        <w:rPr>
          <w:rFonts w:cstheme="minorBidi"/>
        </w:rPr>
        <w:t>Gangodawila, Nugegoda,</w:t>
      </w:r>
      <w:r w:rsidR="003F6F94" w:rsidRPr="009D27C1">
        <w:rPr>
          <w:bCs/>
        </w:rPr>
        <w:t xml:space="preserve"> Sri Lanka</w:t>
      </w:r>
    </w:p>
    <w:p w:rsidR="003F6F94" w:rsidRPr="009D27C1" w:rsidRDefault="004F75D0" w:rsidP="003F6F94">
      <w:pPr>
        <w:rPr>
          <w:bCs/>
        </w:rPr>
      </w:pPr>
      <w:r>
        <w:rPr>
          <w:bCs/>
          <w:vertAlign w:val="superscript"/>
        </w:rPr>
        <w:t>20</w:t>
      </w:r>
      <w:r w:rsidR="00CC43BF">
        <w:rPr>
          <w:bCs/>
        </w:rPr>
        <w:t>Department for Medical Research and Management for Musculoskeletal Pain, 22</w:t>
      </w:r>
      <w:r w:rsidR="00CC43BF" w:rsidRPr="00212A77">
        <w:rPr>
          <w:bCs/>
          <w:vertAlign w:val="superscript"/>
        </w:rPr>
        <w:t>nd</w:t>
      </w:r>
      <w:r w:rsidR="00CC43BF">
        <w:rPr>
          <w:bCs/>
        </w:rPr>
        <w:t xml:space="preserve"> Century Medical and Research Center, Faculty of Medicine</w:t>
      </w:r>
      <w:r w:rsidR="00CC43BF" w:rsidRPr="009D27C1">
        <w:rPr>
          <w:bCs/>
        </w:rPr>
        <w:t>,</w:t>
      </w:r>
      <w:r w:rsidR="00CC43BF">
        <w:rPr>
          <w:bCs/>
        </w:rPr>
        <w:t xml:space="preserve"> The University of Tokyo Hospital, Tokyo,</w:t>
      </w:r>
      <w:r w:rsidR="00CC43BF" w:rsidRPr="009D27C1">
        <w:rPr>
          <w:bCs/>
        </w:rPr>
        <w:t xml:space="preserve"> Japan</w:t>
      </w:r>
    </w:p>
    <w:p w:rsidR="003F6F94" w:rsidRPr="009D27C1" w:rsidRDefault="004F75D0" w:rsidP="003F6F94">
      <w:r>
        <w:rPr>
          <w:vertAlign w:val="superscript"/>
        </w:rPr>
        <w:t>21</w:t>
      </w:r>
      <w:r w:rsidRPr="009D27C1">
        <w:t xml:space="preserve">National </w:t>
      </w:r>
      <w:r w:rsidR="003F6F94" w:rsidRPr="009D27C1">
        <w:t>Institute for Occupational Health, National Health Laboratory Service, Johannesburg, South Africa</w:t>
      </w:r>
    </w:p>
    <w:p w:rsidR="003F6F94" w:rsidRPr="009D27C1" w:rsidRDefault="004F75D0" w:rsidP="003F6F94">
      <w:r>
        <w:rPr>
          <w:vertAlign w:val="superscript"/>
        </w:rPr>
        <w:t>22</w:t>
      </w:r>
      <w:r w:rsidRPr="009D27C1">
        <w:t xml:space="preserve">Faculty </w:t>
      </w:r>
      <w:r w:rsidR="003F6F94" w:rsidRPr="009D27C1">
        <w:t>of Health Sciences, University of Witwatersrand, Johannesburg, South Africa</w:t>
      </w:r>
    </w:p>
    <w:p w:rsidR="003F6F94" w:rsidRPr="009D27C1" w:rsidRDefault="004F75D0" w:rsidP="003F6F94">
      <w:r>
        <w:rPr>
          <w:vertAlign w:val="superscript"/>
        </w:rPr>
        <w:t>23</w:t>
      </w:r>
      <w:r w:rsidRPr="009D27C1">
        <w:t xml:space="preserve">Department </w:t>
      </w:r>
      <w:r w:rsidR="003F6F94" w:rsidRPr="009D27C1">
        <w:t>of Epidemiology and Preventive Medicine, School of Public Health and Preventive Medicine, Monash University, Melbourne, Victoria, Australia</w:t>
      </w:r>
    </w:p>
    <w:p w:rsidR="003F6F94" w:rsidRPr="009D27C1" w:rsidRDefault="004F75D0" w:rsidP="003F6F94">
      <w:r w:rsidRPr="009D27C1">
        <w:rPr>
          <w:vertAlign w:val="superscript"/>
        </w:rPr>
        <w:t>2</w:t>
      </w:r>
      <w:r>
        <w:rPr>
          <w:vertAlign w:val="superscript"/>
        </w:rPr>
        <w:t>4</w:t>
      </w:r>
      <w:r w:rsidRPr="009D27C1">
        <w:t xml:space="preserve">Department </w:t>
      </w:r>
      <w:r w:rsidR="003F6F94" w:rsidRPr="009D27C1">
        <w:t>of Preventive and Social Medicine, University of Otago, Dunedin, New Zealand</w:t>
      </w:r>
    </w:p>
    <w:p w:rsidR="003F6F94" w:rsidRPr="009D27C1" w:rsidRDefault="004F75D0" w:rsidP="003F6F94">
      <w:r w:rsidRPr="009D27C1">
        <w:rPr>
          <w:vertAlign w:val="superscript"/>
        </w:rPr>
        <w:t>2</w:t>
      </w:r>
      <w:r>
        <w:rPr>
          <w:vertAlign w:val="superscript"/>
        </w:rPr>
        <w:t>5</w:t>
      </w:r>
      <w:r w:rsidRPr="009D27C1">
        <w:rPr>
          <w:rFonts w:cstheme="minorBidi"/>
        </w:rPr>
        <w:t xml:space="preserve">School </w:t>
      </w:r>
      <w:r w:rsidR="003F6F94" w:rsidRPr="009D27C1">
        <w:rPr>
          <w:rFonts w:cstheme="minorBidi"/>
        </w:rPr>
        <w:t>of Nursing of Ribeirão Preto, University of São Paulo, São Paulo, Brazil</w:t>
      </w:r>
    </w:p>
    <w:p w:rsidR="003F6F94" w:rsidRDefault="003F6F94" w:rsidP="003F6F94">
      <w:pPr>
        <w:rPr>
          <w:noProof/>
        </w:rPr>
      </w:pPr>
      <w:r w:rsidRPr="009D27C1">
        <w:rPr>
          <w:vertAlign w:val="superscript"/>
        </w:rPr>
        <w:t>2</w:t>
      </w:r>
      <w:r w:rsidR="004F75D0">
        <w:rPr>
          <w:vertAlign w:val="superscript"/>
        </w:rPr>
        <w:t>6</w:t>
      </w:r>
      <w:r w:rsidR="004C7675">
        <w:rPr>
          <w:noProof/>
        </w:rPr>
        <w:t>Program Health, Work and Environment in Central America, Institute for Studies on Toxic Substances (IRET), National University of Costa Rica, Heredia, Costa Rica</w:t>
      </w:r>
    </w:p>
    <w:p w:rsidR="002D2ECB" w:rsidRDefault="002D2ECB" w:rsidP="003F6F94">
      <w:pPr>
        <w:rPr>
          <w:bCs/>
          <w:lang w:val="es-ES"/>
        </w:rPr>
      </w:pPr>
      <w:r>
        <w:rPr>
          <w:bCs/>
          <w:vertAlign w:val="superscript"/>
        </w:rPr>
        <w:t>27</w:t>
      </w:r>
      <w:r w:rsidRPr="002D2ECB">
        <w:rPr>
          <w:bCs/>
          <w:lang w:val="es-ES"/>
        </w:rPr>
        <w:t>Occupational Health Service, Parc de Salut MAR, Barcelona, Spain</w:t>
      </w:r>
    </w:p>
    <w:p w:rsidR="003F6F94" w:rsidRPr="006A1F8F" w:rsidRDefault="002D2ECB" w:rsidP="003F6F94">
      <w:pPr>
        <w:rPr>
          <w:bCs/>
          <w:lang w:val="es-ES"/>
        </w:rPr>
      </w:pPr>
      <w:r w:rsidRPr="002D2ECB">
        <w:rPr>
          <w:bCs/>
          <w:vertAlign w:val="superscript"/>
          <w:lang w:val="es-ES"/>
        </w:rPr>
        <w:t>28</w:t>
      </w:r>
      <w:r w:rsidRPr="002D2ECB">
        <w:rPr>
          <w:bCs/>
          <w:lang w:val="es-PE"/>
        </w:rPr>
        <w:t>Servicio de Investigación y Análisis IT/EP, Departamento de Investigación y Análisis de Prestaciones, MC Mutual, Barcelona, Spain</w:t>
      </w:r>
      <w:r w:rsidRPr="002D2ECB" w:rsidDel="002D2ECB">
        <w:rPr>
          <w:bCs/>
        </w:rPr>
        <w:t xml:space="preserve"> </w:t>
      </w:r>
    </w:p>
    <w:p w:rsidR="003F6F94" w:rsidRPr="009D27C1" w:rsidRDefault="008D5339" w:rsidP="003F6F94">
      <w:r>
        <w:rPr>
          <w:rFonts w:cstheme="minorBidi"/>
          <w:bCs/>
          <w:vertAlign w:val="superscript"/>
        </w:rPr>
        <w:t>29</w:t>
      </w:r>
      <w:r w:rsidR="003F6F94" w:rsidRPr="009D27C1">
        <w:rPr>
          <w:lang w:val="en-US"/>
        </w:rPr>
        <w:t xml:space="preserve">Department of </w:t>
      </w:r>
      <w:r w:rsidR="003F6F94">
        <w:rPr>
          <w:lang w:val="en-US"/>
        </w:rPr>
        <w:t>Clinical Sciences and Community Health, Università degli Studi di Milano, Milan</w:t>
      </w:r>
      <w:r w:rsidR="003F6F94" w:rsidRPr="009D27C1">
        <w:rPr>
          <w:lang w:val="en-US"/>
        </w:rPr>
        <w:t>, Italy</w:t>
      </w:r>
    </w:p>
    <w:p w:rsidR="003F6F94" w:rsidRPr="009D27C1" w:rsidRDefault="002D2ECB" w:rsidP="003F6F94">
      <w:pPr>
        <w:rPr>
          <w:vertAlign w:val="superscript"/>
        </w:rPr>
      </w:pPr>
      <w:r>
        <w:rPr>
          <w:vertAlign w:val="superscript"/>
        </w:rPr>
        <w:t>3</w:t>
      </w:r>
      <w:r w:rsidR="008D5339">
        <w:rPr>
          <w:vertAlign w:val="superscript"/>
        </w:rPr>
        <w:t>0</w:t>
      </w:r>
      <w:r w:rsidRPr="009D27C1">
        <w:t xml:space="preserve">Fondazione </w:t>
      </w:r>
      <w:r w:rsidR="003F6F94" w:rsidRPr="009D27C1">
        <w:t>Ca’ Granda Ospedale Maggiore Policlinico, Milan, Italy</w:t>
      </w:r>
    </w:p>
    <w:p w:rsidR="003F6F94" w:rsidRPr="009D27C1" w:rsidRDefault="002D2ECB" w:rsidP="003F6F94">
      <w:r>
        <w:rPr>
          <w:vertAlign w:val="superscript"/>
          <w:lang w:val="en-US"/>
        </w:rPr>
        <w:t>3</w:t>
      </w:r>
      <w:r w:rsidR="008D5339">
        <w:rPr>
          <w:vertAlign w:val="superscript"/>
          <w:lang w:val="en-US"/>
        </w:rPr>
        <w:t>1</w:t>
      </w:r>
      <w:r w:rsidRPr="009D27C1">
        <w:rPr>
          <w:lang w:val="en-US"/>
        </w:rPr>
        <w:t xml:space="preserve">Department </w:t>
      </w:r>
      <w:r w:rsidR="003F6F94" w:rsidRPr="009D27C1">
        <w:rPr>
          <w:lang w:val="en-US"/>
        </w:rPr>
        <w:t>of Psychiatry, Medical School, University of Crete, Heraklion, Greece</w:t>
      </w:r>
    </w:p>
    <w:p w:rsidR="003F6F94" w:rsidRPr="009D27C1" w:rsidRDefault="008D5339" w:rsidP="003F6F94">
      <w:pPr>
        <w:rPr>
          <w:rFonts w:cstheme="minorBidi"/>
          <w:lang w:val="es-ES"/>
        </w:rPr>
      </w:pPr>
      <w:r>
        <w:rPr>
          <w:vertAlign w:val="superscript"/>
        </w:rPr>
        <w:t>32</w:t>
      </w:r>
      <w:r w:rsidRPr="009D27C1">
        <w:rPr>
          <w:rFonts w:cstheme="minorBidi"/>
          <w:lang w:val="es-ES"/>
        </w:rPr>
        <w:t xml:space="preserve">Centre </w:t>
      </w:r>
      <w:r w:rsidR="003F6F94" w:rsidRPr="009D27C1">
        <w:rPr>
          <w:rFonts w:cstheme="minorBidi"/>
          <w:lang w:val="es-ES"/>
        </w:rPr>
        <w:t xml:space="preserve">for Research in Environmental Epidemiology </w:t>
      </w:r>
      <w:r w:rsidR="003F6F94" w:rsidRPr="009D27C1">
        <w:rPr>
          <w:rFonts w:cstheme="minorBidi"/>
          <w:bCs/>
          <w:iCs/>
        </w:rPr>
        <w:t xml:space="preserve">(CREAL), </w:t>
      </w:r>
      <w:r w:rsidR="003F6F94" w:rsidRPr="009D27C1">
        <w:rPr>
          <w:rFonts w:cstheme="minorBidi"/>
          <w:lang w:val="es-ES"/>
        </w:rPr>
        <w:t>Barcelona, Spain</w:t>
      </w:r>
    </w:p>
    <w:p w:rsidR="003F6F94" w:rsidRPr="009D27C1" w:rsidRDefault="008D5339" w:rsidP="003F6F94">
      <w:pPr>
        <w:rPr>
          <w:rFonts w:cstheme="minorBidi"/>
        </w:rPr>
      </w:pPr>
      <w:r w:rsidRPr="009D27C1">
        <w:rPr>
          <w:rFonts w:cstheme="minorBidi"/>
          <w:vertAlign w:val="superscript"/>
          <w:lang w:val="es-ES"/>
        </w:rPr>
        <w:t>3</w:t>
      </w:r>
      <w:r w:rsidR="0008044B">
        <w:rPr>
          <w:rFonts w:cstheme="minorBidi"/>
          <w:vertAlign w:val="superscript"/>
          <w:lang w:val="es-ES"/>
        </w:rPr>
        <w:t>3</w:t>
      </w:r>
      <w:r w:rsidRPr="009D27C1">
        <w:rPr>
          <w:rFonts w:cstheme="minorBidi"/>
        </w:rPr>
        <w:t xml:space="preserve">North </w:t>
      </w:r>
      <w:r w:rsidR="003F6F94" w:rsidRPr="009D27C1">
        <w:rPr>
          <w:rFonts w:cstheme="minorBidi"/>
        </w:rPr>
        <w:t>Estonia Medical Centre, Tallinn, Estonia</w:t>
      </w:r>
    </w:p>
    <w:p w:rsidR="003F6F94" w:rsidRPr="009D27C1" w:rsidRDefault="008D5339" w:rsidP="003F6F94">
      <w:pPr>
        <w:rPr>
          <w:rFonts w:cstheme="minorBidi"/>
          <w:color w:val="000000"/>
        </w:rPr>
      </w:pPr>
      <w:r w:rsidRPr="009D27C1">
        <w:rPr>
          <w:rFonts w:cstheme="minorBidi"/>
          <w:vertAlign w:val="superscript"/>
        </w:rPr>
        <w:t>3</w:t>
      </w:r>
      <w:r w:rsidR="0008044B">
        <w:rPr>
          <w:rFonts w:cstheme="minorBidi"/>
          <w:vertAlign w:val="superscript"/>
        </w:rPr>
        <w:t>4</w:t>
      </w:r>
      <w:r w:rsidR="00EB5068" w:rsidRPr="00EB5068">
        <w:rPr>
          <w:rFonts w:cstheme="minorBidi"/>
          <w:color w:val="000000"/>
        </w:rPr>
        <w:t>Tartu University Hospital</w:t>
      </w:r>
      <w:r w:rsidR="003F6F94" w:rsidRPr="009D27C1">
        <w:rPr>
          <w:rFonts w:cstheme="minorBidi"/>
          <w:color w:val="000000"/>
        </w:rPr>
        <w:t xml:space="preserve">, </w:t>
      </w:r>
      <w:r w:rsidR="00684A66">
        <w:rPr>
          <w:rFonts w:cstheme="minorBidi"/>
          <w:color w:val="000000"/>
        </w:rPr>
        <w:t xml:space="preserve">Tartu, </w:t>
      </w:r>
      <w:r w:rsidR="003F6F94" w:rsidRPr="009D27C1">
        <w:rPr>
          <w:rFonts w:cstheme="minorBidi"/>
          <w:color w:val="000000"/>
        </w:rPr>
        <w:t>Estonia</w:t>
      </w:r>
    </w:p>
    <w:p w:rsidR="003F6F94" w:rsidRPr="009D27C1" w:rsidRDefault="008D5339" w:rsidP="003F6F94">
      <w:pPr>
        <w:rPr>
          <w:rFonts w:cstheme="minorBidi"/>
          <w:color w:val="000000"/>
        </w:rPr>
      </w:pPr>
      <w:r w:rsidRPr="009D27C1">
        <w:rPr>
          <w:rFonts w:cstheme="minorBidi"/>
          <w:color w:val="000000"/>
          <w:vertAlign w:val="superscript"/>
        </w:rPr>
        <w:t>3</w:t>
      </w:r>
      <w:r w:rsidR="0008044B">
        <w:rPr>
          <w:rFonts w:cstheme="minorBidi"/>
          <w:color w:val="000000"/>
          <w:vertAlign w:val="superscript"/>
        </w:rPr>
        <w:t>5</w:t>
      </w:r>
      <w:r w:rsidRPr="009D27C1">
        <w:rPr>
          <w:rFonts w:cstheme="minorBidi"/>
          <w:color w:val="000000"/>
        </w:rPr>
        <w:t xml:space="preserve">Klinikum </w:t>
      </w:r>
      <w:r w:rsidR="003F6F94" w:rsidRPr="009D27C1">
        <w:rPr>
          <w:rFonts w:cstheme="minorBidi"/>
          <w:color w:val="000000"/>
        </w:rPr>
        <w:t>Leverkusen, Leverkusen, Germany</w:t>
      </w:r>
    </w:p>
    <w:p w:rsidR="003F6F94" w:rsidRPr="009D27C1" w:rsidRDefault="008D5339" w:rsidP="003F6F94">
      <w:pPr>
        <w:ind w:left="34"/>
        <w:rPr>
          <w:bCs/>
        </w:rPr>
      </w:pPr>
      <w:r w:rsidRPr="009D27C1">
        <w:rPr>
          <w:bCs/>
          <w:vertAlign w:val="superscript"/>
        </w:rPr>
        <w:t>3</w:t>
      </w:r>
      <w:r w:rsidR="0008044B">
        <w:rPr>
          <w:bCs/>
          <w:vertAlign w:val="superscript"/>
        </w:rPr>
        <w:t>6</w:t>
      </w:r>
      <w:r w:rsidRPr="009D27C1">
        <w:rPr>
          <w:bCs/>
        </w:rPr>
        <w:t xml:space="preserve">Department </w:t>
      </w:r>
      <w:r w:rsidR="003F6F94" w:rsidRPr="009D27C1">
        <w:rPr>
          <w:bCs/>
        </w:rPr>
        <w:t xml:space="preserve">of Physiology, Faculty of Medical Sciences, University of Sri Jayewardenepura, </w:t>
      </w:r>
      <w:r w:rsidR="003F6F94" w:rsidRPr="009D27C1">
        <w:t xml:space="preserve">Gangodawila, Nugegoda, </w:t>
      </w:r>
      <w:r w:rsidR="003F6F94" w:rsidRPr="009D27C1">
        <w:rPr>
          <w:bCs/>
        </w:rPr>
        <w:t>Sri Lanka</w:t>
      </w:r>
    </w:p>
    <w:p w:rsidR="003F6F94" w:rsidRPr="009D27C1" w:rsidRDefault="008D5339" w:rsidP="003F6F94">
      <w:pPr>
        <w:ind w:left="34"/>
        <w:rPr>
          <w:bCs/>
        </w:rPr>
      </w:pPr>
      <w:r w:rsidRPr="009D27C1">
        <w:rPr>
          <w:bCs/>
          <w:vertAlign w:val="superscript"/>
        </w:rPr>
        <w:t>3</w:t>
      </w:r>
      <w:r w:rsidR="0008044B">
        <w:rPr>
          <w:bCs/>
          <w:vertAlign w:val="superscript"/>
        </w:rPr>
        <w:t>7</w:t>
      </w:r>
      <w:r w:rsidRPr="009D27C1">
        <w:rPr>
          <w:bCs/>
        </w:rPr>
        <w:t xml:space="preserve">Section </w:t>
      </w:r>
      <w:r w:rsidR="003F6F94" w:rsidRPr="009D27C1">
        <w:rPr>
          <w:bCs/>
        </w:rPr>
        <w:t>of Epidemiology and Biostatistics, School of Population Health, Faculty of Medical and Health Sciences, University of Auckland, Auckland, New Zealand</w:t>
      </w:r>
    </w:p>
    <w:p w:rsidR="003F6F94" w:rsidRPr="009D27C1" w:rsidRDefault="008D5339" w:rsidP="003F6F94">
      <w:r w:rsidRPr="009D27C1">
        <w:rPr>
          <w:color w:val="000000"/>
          <w:vertAlign w:val="superscript"/>
        </w:rPr>
        <w:t>3</w:t>
      </w:r>
      <w:r w:rsidR="0008044B">
        <w:rPr>
          <w:color w:val="000000"/>
          <w:vertAlign w:val="superscript"/>
        </w:rPr>
        <w:t>8</w:t>
      </w:r>
      <w:r w:rsidRPr="009D27C1">
        <w:t xml:space="preserve">Department </w:t>
      </w:r>
      <w:r w:rsidR="003F6F94" w:rsidRPr="009D27C1">
        <w:t>of Epidemiology, School of Public Health, University of Alabama at Birmingham, Birmingham, Alabama, USA</w:t>
      </w:r>
    </w:p>
    <w:p w:rsidR="003F6F94" w:rsidRPr="009D27C1" w:rsidRDefault="0008044B" w:rsidP="003F6F94">
      <w:r>
        <w:rPr>
          <w:color w:val="000000"/>
          <w:vertAlign w:val="superscript"/>
        </w:rPr>
        <w:t>39</w:t>
      </w:r>
      <w:r w:rsidR="008D5339" w:rsidRPr="009D27C1">
        <w:t xml:space="preserve">Faculty </w:t>
      </w:r>
      <w:r w:rsidR="003F6F94" w:rsidRPr="009D27C1">
        <w:t>of Medicine, University of Kalaniya, Kelaniya, Sri Lanka</w:t>
      </w:r>
    </w:p>
    <w:p w:rsidR="00E464A2" w:rsidRPr="006A1F8F" w:rsidRDefault="008D5339" w:rsidP="006A1F8F">
      <w:pPr>
        <w:rPr>
          <w:bCs/>
        </w:rPr>
      </w:pPr>
      <w:r w:rsidRPr="006A1F8F">
        <w:rPr>
          <w:vertAlign w:val="superscript"/>
        </w:rPr>
        <w:t>4</w:t>
      </w:r>
      <w:r w:rsidR="0008044B" w:rsidRPr="006A1F8F">
        <w:rPr>
          <w:vertAlign w:val="superscript"/>
        </w:rPr>
        <w:t>0</w:t>
      </w:r>
      <w:r w:rsidR="00E464A2" w:rsidRPr="006A1F8F">
        <w:rPr>
          <w:bCs/>
        </w:rPr>
        <w:t>Department of Joint Disease Research, 22</w:t>
      </w:r>
      <w:r w:rsidR="00E464A2" w:rsidRPr="006A1F8F">
        <w:rPr>
          <w:bCs/>
          <w:vertAlign w:val="superscript"/>
        </w:rPr>
        <w:t>nd</w:t>
      </w:r>
      <w:r w:rsidR="00E464A2" w:rsidRPr="006A1F8F">
        <w:rPr>
          <w:bCs/>
        </w:rPr>
        <w:t xml:space="preserve"> Century Medical and Research Center, University of Tokyo, Tokyo, Japan</w:t>
      </w:r>
      <w:r w:rsidR="00E464A2" w:rsidRPr="006A1F8F" w:rsidDel="00E464A2">
        <w:rPr>
          <w:bCs/>
        </w:rPr>
        <w:t xml:space="preserve"> </w:t>
      </w:r>
    </w:p>
    <w:p w:rsidR="003F6F94" w:rsidRPr="009D27C1" w:rsidRDefault="008D5339" w:rsidP="003F6F94">
      <w:pPr>
        <w:ind w:left="34"/>
      </w:pPr>
      <w:r w:rsidRPr="009D27C1">
        <w:rPr>
          <w:vertAlign w:val="superscript"/>
        </w:rPr>
        <w:t>4</w:t>
      </w:r>
      <w:r w:rsidR="0008044B">
        <w:rPr>
          <w:vertAlign w:val="superscript"/>
        </w:rPr>
        <w:t>1</w:t>
      </w:r>
      <w:r w:rsidRPr="009D27C1">
        <w:t xml:space="preserve">Centre </w:t>
      </w:r>
      <w:r w:rsidR="003F6F94" w:rsidRPr="009D27C1">
        <w:t>for Occupational and Environmental Health, Department of Social and Preventive Medicine, Faculty of Medicine, University of Malaya, Kuala Lumpur, Malaysia</w:t>
      </w:r>
    </w:p>
    <w:p w:rsidR="00E976DA" w:rsidRDefault="008D5339" w:rsidP="00610155">
      <w:pPr>
        <w:spacing w:line="240" w:lineRule="auto"/>
      </w:pPr>
      <w:r w:rsidRPr="009D27C1">
        <w:rPr>
          <w:vertAlign w:val="superscript"/>
        </w:rPr>
        <w:t>4</w:t>
      </w:r>
      <w:r w:rsidR="0008044B">
        <w:rPr>
          <w:vertAlign w:val="superscript"/>
        </w:rPr>
        <w:t>2</w:t>
      </w:r>
      <w:r w:rsidRPr="009D27C1">
        <w:t xml:space="preserve">Injury </w:t>
      </w:r>
      <w:r w:rsidR="003F6F94" w:rsidRPr="009D27C1">
        <w:t>Prevention Research Unit, Department of Preventive and Social Medicine, University of Otago, Dunedin, New Zealand</w:t>
      </w:r>
    </w:p>
    <w:p w:rsidR="00C53770" w:rsidRDefault="00C53770" w:rsidP="00610155">
      <w:pPr>
        <w:spacing w:line="240" w:lineRule="auto"/>
        <w:rPr>
          <w:sz w:val="20"/>
          <w:szCs w:val="20"/>
          <w:lang w:val="en-US" w:eastAsia="en-GB"/>
        </w:rPr>
      </w:pPr>
      <w:r w:rsidRPr="00C53770">
        <w:rPr>
          <w:vertAlign w:val="superscript"/>
        </w:rPr>
        <w:lastRenderedPageBreak/>
        <w:t>43</w:t>
      </w:r>
      <w:r>
        <w:t>Health Safety and Environment Department, AkzoNobel, USA</w:t>
      </w:r>
    </w:p>
    <w:p w:rsidR="00E976DA" w:rsidRDefault="00E976DA" w:rsidP="00750C14">
      <w:pPr>
        <w:spacing w:line="240" w:lineRule="auto"/>
        <w:ind w:left="-567"/>
        <w:jc w:val="right"/>
        <w:rPr>
          <w:sz w:val="20"/>
          <w:szCs w:val="20"/>
          <w:lang w:val="en-US" w:eastAsia="en-GB"/>
        </w:rPr>
      </w:pPr>
    </w:p>
    <w:p w:rsidR="00E976DA" w:rsidRDefault="00E976DA" w:rsidP="00750C14">
      <w:pPr>
        <w:spacing w:line="240" w:lineRule="auto"/>
        <w:ind w:left="-567"/>
        <w:jc w:val="right"/>
        <w:rPr>
          <w:sz w:val="20"/>
          <w:szCs w:val="20"/>
          <w:lang w:val="en-US" w:eastAsia="en-GB"/>
        </w:rPr>
      </w:pPr>
    </w:p>
    <w:p w:rsidR="00750C14" w:rsidRPr="002C611B" w:rsidRDefault="00750C14" w:rsidP="002C611B">
      <w:pPr>
        <w:jc w:val="center"/>
        <w:rPr>
          <w:b/>
          <w:sz w:val="20"/>
          <w:szCs w:val="20"/>
        </w:rPr>
      </w:pPr>
    </w:p>
    <w:p w:rsidR="002C611B" w:rsidRDefault="002C611B" w:rsidP="002C611B">
      <w:pPr>
        <w:spacing w:after="200" w:line="240" w:lineRule="auto"/>
        <w:rPr>
          <w:rFonts w:eastAsia="Times New Roman"/>
          <w:b/>
          <w:i/>
          <w:sz w:val="24"/>
          <w:szCs w:val="20"/>
        </w:rPr>
      </w:pPr>
    </w:p>
    <w:p w:rsidR="003F6F94" w:rsidRPr="009D27C1" w:rsidRDefault="003F6F94" w:rsidP="003F6F94">
      <w:r w:rsidRPr="009D27C1">
        <w:rPr>
          <w:b/>
        </w:rPr>
        <w:t>Correspondence to:</w:t>
      </w:r>
    </w:p>
    <w:p w:rsidR="003F6F94" w:rsidRPr="009D27C1" w:rsidRDefault="003F6F94" w:rsidP="003F6F94">
      <w:r w:rsidRPr="009D27C1">
        <w:t>Professor David Coggon</w:t>
      </w:r>
    </w:p>
    <w:p w:rsidR="003F6F94" w:rsidRPr="009D27C1" w:rsidRDefault="003F6F94" w:rsidP="003F6F94">
      <w:r w:rsidRPr="009D27C1">
        <w:t>MRC Lifecourse Epidemiology Unit</w:t>
      </w:r>
    </w:p>
    <w:p w:rsidR="003F6F94" w:rsidRPr="009D27C1" w:rsidRDefault="003F6F94" w:rsidP="003F6F94">
      <w:r w:rsidRPr="009D27C1">
        <w:t>Southampton General Hospital</w:t>
      </w:r>
    </w:p>
    <w:p w:rsidR="003F6F94" w:rsidRPr="009D27C1" w:rsidRDefault="003F6F94" w:rsidP="003F6F94">
      <w:r w:rsidRPr="009D27C1">
        <w:t>Southampton</w:t>
      </w:r>
    </w:p>
    <w:p w:rsidR="003F6F94" w:rsidRPr="009D27C1" w:rsidRDefault="003F6F94" w:rsidP="003F6F94">
      <w:r w:rsidRPr="009D27C1">
        <w:t>SO16 6YD</w:t>
      </w:r>
    </w:p>
    <w:p w:rsidR="003F6F94" w:rsidRPr="009D27C1" w:rsidRDefault="003F6F94" w:rsidP="003F6F94">
      <w:r w:rsidRPr="009D27C1">
        <w:t>UK</w:t>
      </w:r>
    </w:p>
    <w:p w:rsidR="003F6F94" w:rsidRPr="009D27C1" w:rsidRDefault="003F6F94" w:rsidP="003F6F94"/>
    <w:p w:rsidR="003F6F94" w:rsidRPr="009D27C1" w:rsidRDefault="003F6F94" w:rsidP="003F6F94">
      <w:r w:rsidRPr="009D27C1">
        <w:t>Tel:</w:t>
      </w:r>
      <w:r w:rsidRPr="009D27C1">
        <w:tab/>
        <w:t>#44 2380 777624</w:t>
      </w:r>
    </w:p>
    <w:p w:rsidR="003F6F94" w:rsidRPr="009D27C1" w:rsidRDefault="003F6F94" w:rsidP="003F6F94">
      <w:r w:rsidRPr="009D27C1">
        <w:t>Fax:</w:t>
      </w:r>
      <w:r w:rsidRPr="009D27C1">
        <w:tab/>
        <w:t>#44 2380 704021</w:t>
      </w:r>
    </w:p>
    <w:p w:rsidR="001F6599" w:rsidRDefault="001F6599" w:rsidP="002C611B">
      <w:pPr>
        <w:spacing w:after="200"/>
        <w:rPr>
          <w:b/>
          <w:sz w:val="24"/>
          <w:szCs w:val="24"/>
        </w:rPr>
      </w:pPr>
    </w:p>
    <w:p w:rsidR="001F6599" w:rsidRDefault="001F6599" w:rsidP="002C611B">
      <w:pPr>
        <w:spacing w:after="200"/>
        <w:rPr>
          <w:b/>
          <w:sz w:val="24"/>
          <w:szCs w:val="24"/>
        </w:rPr>
      </w:pPr>
    </w:p>
    <w:p w:rsidR="00172969" w:rsidRDefault="001F6599" w:rsidP="00172969">
      <w:r w:rsidRPr="00172969">
        <w:rPr>
          <w:b/>
        </w:rPr>
        <w:t>Pages:</w:t>
      </w:r>
      <w:r w:rsidRPr="00172969">
        <w:t xml:space="preserve">  </w:t>
      </w:r>
      <w:r w:rsidR="00172969" w:rsidRPr="00172969">
        <w:t>2</w:t>
      </w:r>
      <w:r w:rsidR="005F0B36">
        <w:t>1</w:t>
      </w:r>
    </w:p>
    <w:p w:rsidR="00172969" w:rsidRDefault="00172969" w:rsidP="00172969">
      <w:r>
        <w:rPr>
          <w:b/>
        </w:rPr>
        <w:t>Tables:</w:t>
      </w:r>
      <w:r>
        <w:t xml:space="preserve">  4</w:t>
      </w:r>
    </w:p>
    <w:p w:rsidR="00172969" w:rsidRDefault="00172969" w:rsidP="00172969"/>
    <w:p w:rsidR="002C611B" w:rsidRPr="00172969" w:rsidRDefault="00172969" w:rsidP="00172969">
      <w:r>
        <w:rPr>
          <w:b/>
        </w:rPr>
        <w:t xml:space="preserve">Figures:  </w:t>
      </w:r>
      <w:r>
        <w:t>2</w:t>
      </w:r>
      <w:r w:rsidR="002C611B" w:rsidRPr="00172969">
        <w:br w:type="page"/>
      </w:r>
    </w:p>
    <w:p w:rsidR="00004BAF" w:rsidRDefault="00004BAF" w:rsidP="00004BAF">
      <w:pPr>
        <w:pStyle w:val="Heading4"/>
        <w:spacing w:line="360" w:lineRule="auto"/>
        <w:rPr>
          <w:rFonts w:eastAsia="Times New Roman"/>
          <w:lang w:eastAsia="en-GB"/>
        </w:rPr>
      </w:pPr>
      <w:r>
        <w:rPr>
          <w:rFonts w:eastAsia="Times New Roman"/>
          <w:lang w:eastAsia="en-GB"/>
        </w:rPr>
        <w:lastRenderedPageBreak/>
        <w:t>Abstract</w:t>
      </w:r>
    </w:p>
    <w:p w:rsidR="004B2ACC" w:rsidRDefault="004B2ACC" w:rsidP="00004BAF">
      <w:pPr>
        <w:shd w:val="clear" w:color="auto" w:fill="FFFFFF"/>
        <w:spacing w:after="240" w:line="360" w:lineRule="auto"/>
        <w:jc w:val="both"/>
        <w:textAlignment w:val="baseline"/>
      </w:pPr>
      <w:r>
        <w:rPr>
          <w:rFonts w:eastAsia="Times New Roman"/>
          <w:lang w:eastAsia="en-GB"/>
        </w:rPr>
        <w:t xml:space="preserve">To inform case-definition for neck/shoulder pain in epidemiological research, we compared levels of disability, </w:t>
      </w:r>
      <w:r w:rsidR="005A4453">
        <w:rPr>
          <w:rFonts w:eastAsia="Times New Roman"/>
          <w:lang w:eastAsia="en-GB"/>
        </w:rPr>
        <w:t>patterns</w:t>
      </w:r>
      <w:r>
        <w:rPr>
          <w:rFonts w:eastAsia="Times New Roman"/>
          <w:lang w:eastAsia="en-GB"/>
        </w:rPr>
        <w:t xml:space="preserve"> </w:t>
      </w:r>
      <w:r w:rsidR="007E07C4">
        <w:rPr>
          <w:rFonts w:eastAsia="Times New Roman"/>
          <w:lang w:eastAsia="en-GB"/>
        </w:rPr>
        <w:t xml:space="preserve">of association </w:t>
      </w:r>
      <w:r>
        <w:rPr>
          <w:rFonts w:eastAsia="Times New Roman"/>
          <w:lang w:eastAsia="en-GB"/>
        </w:rPr>
        <w:t xml:space="preserve">and prognosis for pain that was limited to the neck or shoulders (LNSP) and </w:t>
      </w:r>
      <w:r w:rsidR="00FC18DF">
        <w:rPr>
          <w:rFonts w:eastAsia="Times New Roman"/>
          <w:lang w:eastAsia="en-GB"/>
        </w:rPr>
        <w:t xml:space="preserve">more </w:t>
      </w:r>
      <w:r w:rsidR="00393734">
        <w:rPr>
          <w:rFonts w:eastAsia="Times New Roman"/>
          <w:lang w:eastAsia="en-GB"/>
        </w:rPr>
        <w:t>generalised</w:t>
      </w:r>
      <w:r w:rsidR="00FC18DF">
        <w:rPr>
          <w:rFonts w:eastAsia="Times New Roman"/>
          <w:lang w:eastAsia="en-GB"/>
        </w:rPr>
        <w:t xml:space="preserve"> musculoskeletal pain that involved the neck or shoulder(s)</w:t>
      </w:r>
      <w:r>
        <w:rPr>
          <w:rFonts w:eastAsia="Times New Roman"/>
          <w:lang w:eastAsia="en-GB"/>
        </w:rPr>
        <w:t xml:space="preserve"> (GPNS). </w:t>
      </w:r>
      <w:r w:rsidR="00004BAF">
        <w:rPr>
          <w:rFonts w:eastAsia="Times New Roman"/>
          <w:lang w:eastAsia="en-GB"/>
        </w:rPr>
        <w:t xml:space="preserve"> </w:t>
      </w:r>
      <w:r>
        <w:rPr>
          <w:bCs/>
          <w:lang w:val="en-US" w:eastAsia="en-GB"/>
        </w:rPr>
        <w:t xml:space="preserve">Baseline data on musculoskeletal pain, disability and </w:t>
      </w:r>
      <w:r w:rsidR="007E07C4">
        <w:rPr>
          <w:bCs/>
          <w:lang w:val="en-US" w:eastAsia="en-GB"/>
        </w:rPr>
        <w:t>potential</w:t>
      </w:r>
      <w:r w:rsidR="005A4453">
        <w:rPr>
          <w:bCs/>
          <w:lang w:val="en-US" w:eastAsia="en-GB"/>
        </w:rPr>
        <w:t xml:space="preserve"> correlates</w:t>
      </w:r>
      <w:r>
        <w:rPr>
          <w:bCs/>
          <w:lang w:val="en-US" w:eastAsia="en-GB"/>
        </w:rPr>
        <w:t xml:space="preserve"> were collected by questionnaire from 12,195 workers in 47 </w:t>
      </w:r>
      <w:r w:rsidR="000035E5">
        <w:rPr>
          <w:bCs/>
          <w:lang w:val="en-US" w:eastAsia="en-GB"/>
        </w:rPr>
        <w:t xml:space="preserve">occupational </w:t>
      </w:r>
      <w:r>
        <w:rPr>
          <w:bCs/>
          <w:lang w:val="en-US" w:eastAsia="en-GB"/>
        </w:rPr>
        <w:t>groups (mostly office workers, nurses, and manual workers) in 18 countries (response rate = 70%).  Continuing pain after a mean interval of 14 months was ascertained through a follow-up questionnaire in 9</w:t>
      </w:r>
      <w:r w:rsidR="006345BE">
        <w:rPr>
          <w:bCs/>
          <w:lang w:val="en-US" w:eastAsia="en-GB"/>
        </w:rPr>
        <w:t>,</w:t>
      </w:r>
      <w:r>
        <w:rPr>
          <w:bCs/>
          <w:lang w:val="en-US" w:eastAsia="en-GB"/>
        </w:rPr>
        <w:t xml:space="preserve">150 workers from 45 </w:t>
      </w:r>
      <w:r w:rsidR="00AB13FF">
        <w:rPr>
          <w:bCs/>
          <w:lang w:val="en-US" w:eastAsia="en-GB"/>
        </w:rPr>
        <w:t xml:space="preserve">occupational </w:t>
      </w:r>
      <w:r>
        <w:rPr>
          <w:bCs/>
          <w:lang w:val="en-US" w:eastAsia="en-GB"/>
        </w:rPr>
        <w:t xml:space="preserve">groups.  Associations with </w:t>
      </w:r>
      <w:r w:rsidR="007E07C4">
        <w:rPr>
          <w:bCs/>
          <w:lang w:val="en-US" w:eastAsia="en-GB"/>
        </w:rPr>
        <w:t xml:space="preserve">personal and occupational </w:t>
      </w:r>
      <w:r>
        <w:rPr>
          <w:bCs/>
          <w:lang w:val="en-US" w:eastAsia="en-GB"/>
        </w:rPr>
        <w:t xml:space="preserve">factors were assessed by Poisson regression and </w:t>
      </w:r>
      <w:r w:rsidR="008A07AA" w:rsidRPr="009D2273">
        <w:rPr>
          <w:bCs/>
          <w:lang w:eastAsia="en-GB"/>
        </w:rPr>
        <w:t>summarised</w:t>
      </w:r>
      <w:r w:rsidR="008A07AA">
        <w:rPr>
          <w:bCs/>
          <w:lang w:val="en-US" w:eastAsia="en-GB"/>
        </w:rPr>
        <w:t xml:space="preserve"> </w:t>
      </w:r>
      <w:r>
        <w:rPr>
          <w:bCs/>
          <w:lang w:val="en-US" w:eastAsia="en-GB"/>
        </w:rPr>
        <w:t>by prevalence rate ratios (PRRs).</w:t>
      </w:r>
      <w:r w:rsidR="00004BAF">
        <w:rPr>
          <w:bCs/>
          <w:lang w:val="en-US" w:eastAsia="en-GB"/>
        </w:rPr>
        <w:t xml:space="preserve">  </w:t>
      </w:r>
      <w:r>
        <w:t>The one-month prevalence of GPNS at baseline was much greater than that of LNSP (35.1% vs. 5.6%), and it tended to be more troublesome and disabling.  Unlike LNSP, the prevalence of GPNS increased with age.  Moreover, it</w:t>
      </w:r>
      <w:r w:rsidRPr="00174A92">
        <w:t xml:space="preserve"> showed </w:t>
      </w:r>
      <w:r w:rsidR="006345BE">
        <w:t xml:space="preserve">significantly </w:t>
      </w:r>
      <w:r w:rsidRPr="00174A92">
        <w:t>stronger associations with somatising tendency</w:t>
      </w:r>
      <w:r>
        <w:t xml:space="preserve"> (PRR 1.6 vs. 1.3) and </w:t>
      </w:r>
      <w:r w:rsidRPr="00174A92">
        <w:t xml:space="preserve">poor mental health </w:t>
      </w:r>
      <w:r>
        <w:t xml:space="preserve">(PRR 1.3 vs. 1.1); </w:t>
      </w:r>
      <w:r w:rsidRPr="00174A92">
        <w:t>greater variation between the occupational groups studied (</w:t>
      </w:r>
      <w:r w:rsidR="001A467C">
        <w:t xml:space="preserve">prevalence ranging from </w:t>
      </w:r>
      <w:r>
        <w:t>0% to 67.6%) that</w:t>
      </w:r>
      <w:r w:rsidRPr="00174A92">
        <w:t xml:space="preserve"> correlate</w:t>
      </w:r>
      <w:r>
        <w:t>d poorly</w:t>
      </w:r>
      <w:r w:rsidRPr="00174A92">
        <w:t xml:space="preserve"> with the variation in LNSP</w:t>
      </w:r>
      <w:r>
        <w:t>;</w:t>
      </w:r>
      <w:r w:rsidRPr="00174A92">
        <w:t xml:space="preserve"> and </w:t>
      </w:r>
      <w:r w:rsidR="001A467C">
        <w:t>was</w:t>
      </w:r>
      <w:r w:rsidRPr="00174A92">
        <w:t xml:space="preserve"> more persistent</w:t>
      </w:r>
      <w:r>
        <w:t xml:space="preserve"> at follow-up (72.1% vs. 61.7%)</w:t>
      </w:r>
      <w:r w:rsidRPr="00174A92">
        <w:t xml:space="preserve">. </w:t>
      </w:r>
      <w:r w:rsidR="00004BAF">
        <w:t xml:space="preserve"> </w:t>
      </w:r>
      <w:r>
        <w:t>O</w:t>
      </w:r>
      <w:r w:rsidRPr="008E6E3E">
        <w:t xml:space="preserve">ur findings </w:t>
      </w:r>
      <w:r>
        <w:t>highlight</w:t>
      </w:r>
      <w:r w:rsidRPr="008E6E3E">
        <w:t xml:space="preserve"> </w:t>
      </w:r>
      <w:r>
        <w:t>important epidemiological</w:t>
      </w:r>
      <w:r w:rsidRPr="008E6E3E">
        <w:t xml:space="preserve"> distinctions between sub-categories of neck/shoulder pain. </w:t>
      </w:r>
      <w:r>
        <w:t xml:space="preserve"> </w:t>
      </w:r>
      <w:r w:rsidRPr="008E6E3E">
        <w:t xml:space="preserve">In future </w:t>
      </w:r>
      <w:r w:rsidR="00004BAF">
        <w:t xml:space="preserve">epidemiological </w:t>
      </w:r>
      <w:r w:rsidRPr="008E6E3E">
        <w:t xml:space="preserve">research that bases case definitions on symptoms, it </w:t>
      </w:r>
      <w:r>
        <w:t>would</w:t>
      </w:r>
      <w:r w:rsidRPr="008E6E3E">
        <w:t xml:space="preserve"> be useful to distinguish pain </w:t>
      </w:r>
      <w:r>
        <w:t>which</w:t>
      </w:r>
      <w:r w:rsidRPr="008E6E3E">
        <w:t xml:space="preserve"> is localised to the neck or shoulder from more generalised pain that happens to involve </w:t>
      </w:r>
      <w:r>
        <w:t>the neck/shoulder region</w:t>
      </w:r>
      <w:r w:rsidRPr="008E6E3E">
        <w:t xml:space="preserve">.  </w:t>
      </w:r>
    </w:p>
    <w:p w:rsidR="004B2ACC" w:rsidRDefault="004B2ACC" w:rsidP="004B2ACC"/>
    <w:p w:rsidR="00061FB7" w:rsidRPr="00750C14" w:rsidRDefault="00061FB7" w:rsidP="00750C14">
      <w:pPr>
        <w:shd w:val="clear" w:color="auto" w:fill="FFFFFF"/>
        <w:spacing w:after="240" w:line="360" w:lineRule="auto"/>
        <w:jc w:val="both"/>
        <w:textAlignment w:val="baseline"/>
        <w:rPr>
          <w:rFonts w:eastAsia="Times New Roman"/>
          <w:lang w:eastAsia="en-GB"/>
        </w:rPr>
      </w:pPr>
    </w:p>
    <w:p w:rsidR="00613438" w:rsidRPr="002C611B" w:rsidRDefault="002C611B" w:rsidP="00613438">
      <w:pPr>
        <w:shd w:val="clear" w:color="auto" w:fill="FFFFFF"/>
        <w:spacing w:after="240" w:line="312" w:lineRule="atLeast"/>
        <w:jc w:val="both"/>
        <w:textAlignment w:val="baseline"/>
        <w:rPr>
          <w:rFonts w:eastAsia="Times New Roman"/>
          <w:b/>
          <w:color w:val="000000" w:themeColor="text1"/>
          <w:lang w:eastAsia="en-GB"/>
        </w:rPr>
      </w:pPr>
      <w:r w:rsidRPr="002C611B">
        <w:rPr>
          <w:rFonts w:eastAsia="Times New Roman"/>
          <w:b/>
          <w:color w:val="000000" w:themeColor="text1"/>
          <w:lang w:eastAsia="en-GB"/>
        </w:rPr>
        <w:t xml:space="preserve">Key words: </w:t>
      </w:r>
      <w:r w:rsidRPr="003B6076">
        <w:rPr>
          <w:rFonts w:eastAsia="Times New Roman"/>
          <w:color w:val="000000" w:themeColor="text1"/>
          <w:lang w:eastAsia="en-GB"/>
        </w:rPr>
        <w:t>Neck</w:t>
      </w:r>
      <w:r w:rsidR="00C40365">
        <w:rPr>
          <w:rFonts w:eastAsia="Times New Roman"/>
          <w:color w:val="000000" w:themeColor="text1"/>
          <w:lang w:eastAsia="en-GB"/>
        </w:rPr>
        <w:t xml:space="preserve"> pain, </w:t>
      </w:r>
      <w:r w:rsidRPr="003B6076">
        <w:rPr>
          <w:rFonts w:eastAsia="Times New Roman"/>
          <w:color w:val="000000" w:themeColor="text1"/>
          <w:lang w:eastAsia="en-GB"/>
        </w:rPr>
        <w:t xml:space="preserve">shoulder pain, </w:t>
      </w:r>
      <w:r w:rsidR="004B2ACC" w:rsidRPr="003B6076">
        <w:rPr>
          <w:rFonts w:eastAsia="Times New Roman"/>
          <w:color w:val="000000" w:themeColor="text1"/>
          <w:lang w:eastAsia="en-GB"/>
        </w:rPr>
        <w:t>diagnostic classification</w:t>
      </w:r>
      <w:r w:rsidRPr="003B6076">
        <w:rPr>
          <w:rFonts w:eastAsia="Times New Roman"/>
          <w:color w:val="000000" w:themeColor="text1"/>
          <w:lang w:eastAsia="en-GB"/>
        </w:rPr>
        <w:t xml:space="preserve">, </w:t>
      </w:r>
      <w:r w:rsidR="004B2ACC" w:rsidRPr="003B6076">
        <w:rPr>
          <w:rFonts w:eastAsia="Times New Roman"/>
          <w:color w:val="000000" w:themeColor="text1"/>
          <w:lang w:eastAsia="en-GB"/>
        </w:rPr>
        <w:t xml:space="preserve">case definition, disability, </w:t>
      </w:r>
      <w:r w:rsidR="007E07C4">
        <w:rPr>
          <w:rFonts w:eastAsia="Times New Roman"/>
          <w:color w:val="000000" w:themeColor="text1"/>
          <w:lang w:eastAsia="en-GB"/>
        </w:rPr>
        <w:t>association</w:t>
      </w:r>
      <w:r w:rsidR="004B2ACC" w:rsidRPr="003B6076">
        <w:rPr>
          <w:rFonts w:eastAsia="Times New Roman"/>
          <w:color w:val="000000" w:themeColor="text1"/>
          <w:lang w:eastAsia="en-GB"/>
        </w:rPr>
        <w:t>s, prognosi</w:t>
      </w:r>
      <w:r w:rsidR="003B6076" w:rsidRPr="003B6076">
        <w:rPr>
          <w:rFonts w:eastAsia="Times New Roman"/>
          <w:color w:val="000000" w:themeColor="text1"/>
          <w:lang w:eastAsia="en-GB"/>
        </w:rPr>
        <w:t>s</w:t>
      </w:r>
    </w:p>
    <w:p w:rsidR="00613438" w:rsidRPr="00613438" w:rsidRDefault="00613438" w:rsidP="00613438">
      <w:pPr>
        <w:shd w:val="clear" w:color="auto" w:fill="FFFFFF"/>
        <w:spacing w:line="0" w:lineRule="auto"/>
        <w:rPr>
          <w:rFonts w:ascii="ff3" w:eastAsia="Times New Roman" w:hAnsi="ff3" w:cs="Times New Roman"/>
          <w:color w:val="231F20"/>
          <w:sz w:val="120"/>
          <w:szCs w:val="120"/>
          <w:lang w:eastAsia="en-GB"/>
        </w:rPr>
      </w:pPr>
      <w:r w:rsidRPr="00613438">
        <w:rPr>
          <w:rFonts w:ascii="ff3" w:eastAsia="Times New Roman" w:hAnsi="ff3" w:cs="Times New Roman"/>
          <w:color w:val="231F20"/>
          <w:sz w:val="120"/>
          <w:szCs w:val="120"/>
          <w:lang w:eastAsia="en-GB"/>
        </w:rPr>
        <w:t xml:space="preserve">Objective. </w:t>
      </w:r>
      <w:r w:rsidRPr="00613438">
        <w:rPr>
          <w:rFonts w:ascii="ff4" w:eastAsia="Times New Roman" w:hAnsi="ff4" w:cs="Times New Roman"/>
          <w:color w:val="231F20"/>
          <w:sz w:val="120"/>
          <w:szCs w:val="120"/>
          <w:lang w:eastAsia="en-GB"/>
        </w:rPr>
        <w:t>To examine the epidemiology of serious</w:t>
      </w:r>
    </w:p>
    <w:p w:rsidR="00613438" w:rsidRPr="00613438" w:rsidRDefault="00613438" w:rsidP="00613438">
      <w:pPr>
        <w:shd w:val="clear" w:color="auto" w:fill="FFFFFF"/>
        <w:spacing w:line="0" w:lineRule="auto"/>
        <w:rPr>
          <w:rFonts w:ascii="ff4" w:eastAsia="Times New Roman" w:hAnsi="ff4" w:cs="Times New Roman"/>
          <w:color w:val="231F20"/>
          <w:sz w:val="120"/>
          <w:szCs w:val="120"/>
          <w:lang w:eastAsia="en-GB"/>
        </w:rPr>
      </w:pPr>
      <w:r w:rsidRPr="00613438">
        <w:rPr>
          <w:rFonts w:ascii="ff4" w:eastAsia="Times New Roman" w:hAnsi="ff4" w:cs="Times New Roman"/>
          <w:color w:val="231F20"/>
          <w:sz w:val="120"/>
          <w:szCs w:val="120"/>
          <w:lang w:eastAsia="en-GB"/>
        </w:rPr>
        <w:t>infections, a significant cause of morbidity and mortality</w:t>
      </w:r>
    </w:p>
    <w:p w:rsidR="00613438" w:rsidRPr="00613438" w:rsidRDefault="00613438" w:rsidP="00613438">
      <w:pPr>
        <w:shd w:val="clear" w:color="auto" w:fill="FFFFFF"/>
        <w:spacing w:line="0" w:lineRule="auto"/>
        <w:rPr>
          <w:rFonts w:ascii="ff4" w:eastAsia="Times New Roman" w:hAnsi="ff4" w:cs="Times New Roman"/>
          <w:color w:val="231F20"/>
          <w:sz w:val="120"/>
          <w:szCs w:val="120"/>
          <w:lang w:eastAsia="en-GB"/>
        </w:rPr>
      </w:pPr>
      <w:r w:rsidRPr="00613438">
        <w:rPr>
          <w:rFonts w:ascii="ff4" w:eastAsia="Times New Roman" w:hAnsi="ff4" w:cs="Times New Roman"/>
          <w:color w:val="231F20"/>
          <w:sz w:val="120"/>
          <w:szCs w:val="120"/>
          <w:lang w:eastAsia="en-GB"/>
        </w:rPr>
        <w:t>in systemic lupus erythematosus (SLE), in a nationwide</w:t>
      </w:r>
    </w:p>
    <w:p w:rsidR="00613438" w:rsidRPr="00613438" w:rsidRDefault="00613438" w:rsidP="00613438">
      <w:pPr>
        <w:shd w:val="clear" w:color="auto" w:fill="FFFFFF"/>
        <w:spacing w:line="0" w:lineRule="auto"/>
        <w:rPr>
          <w:rFonts w:ascii="ff4" w:eastAsia="Times New Roman" w:hAnsi="ff4" w:cs="Times New Roman"/>
          <w:color w:val="231F20"/>
          <w:sz w:val="120"/>
          <w:szCs w:val="120"/>
          <w:lang w:eastAsia="en-GB"/>
        </w:rPr>
      </w:pPr>
      <w:r w:rsidRPr="00613438">
        <w:rPr>
          <w:rFonts w:ascii="ff4" w:eastAsia="Times New Roman" w:hAnsi="ff4" w:cs="Times New Roman"/>
          <w:color w:val="231F20"/>
          <w:sz w:val="120"/>
          <w:szCs w:val="120"/>
          <w:lang w:eastAsia="en-GB"/>
        </w:rPr>
        <w:t>cohort of SLE and lupus nephritis (LN) patients.</w:t>
      </w:r>
    </w:p>
    <w:p w:rsidR="00613438" w:rsidRPr="00613438" w:rsidRDefault="00613438" w:rsidP="00613438">
      <w:pPr>
        <w:shd w:val="clear" w:color="auto" w:fill="FFFFFF"/>
        <w:spacing w:line="0" w:lineRule="auto"/>
        <w:rPr>
          <w:rFonts w:ascii="ff3" w:eastAsia="Times New Roman" w:hAnsi="ff3" w:cs="Times New Roman"/>
          <w:color w:val="231F20"/>
          <w:sz w:val="120"/>
          <w:szCs w:val="120"/>
          <w:lang w:eastAsia="en-GB"/>
        </w:rPr>
      </w:pPr>
      <w:r w:rsidRPr="00613438">
        <w:rPr>
          <w:rFonts w:ascii="ff3" w:eastAsia="Times New Roman" w:hAnsi="ff3" w:cs="Times New Roman"/>
          <w:color w:val="231F20"/>
          <w:sz w:val="120"/>
          <w:szCs w:val="120"/>
          <w:lang w:eastAsia="en-GB"/>
        </w:rPr>
        <w:t xml:space="preserve">Methods. </w:t>
      </w:r>
      <w:r w:rsidRPr="00613438">
        <w:rPr>
          <w:rFonts w:ascii="ff4" w:eastAsia="Times New Roman" w:hAnsi="ff4" w:cs="Times New Roman"/>
          <w:color w:val="231F20"/>
          <w:spacing w:val="-21"/>
          <w:sz w:val="120"/>
          <w:szCs w:val="120"/>
          <w:lang w:eastAsia="en-GB"/>
        </w:rPr>
        <w:t>Using the Medicaid Analytic eXtract</w:t>
      </w:r>
    </w:p>
    <w:p w:rsidR="00613438" w:rsidRPr="00613438" w:rsidRDefault="00613438" w:rsidP="00613438">
      <w:pPr>
        <w:shd w:val="clear" w:color="auto" w:fill="FFFFFF"/>
        <w:spacing w:line="0" w:lineRule="auto"/>
        <w:rPr>
          <w:rFonts w:ascii="ff4" w:eastAsia="Times New Roman" w:hAnsi="ff4" w:cs="Times New Roman"/>
          <w:color w:val="231F20"/>
          <w:spacing w:val="-21"/>
          <w:sz w:val="120"/>
          <w:szCs w:val="120"/>
          <w:lang w:eastAsia="en-GB"/>
        </w:rPr>
      </w:pPr>
      <w:r w:rsidRPr="00613438">
        <w:rPr>
          <w:rFonts w:ascii="ff4" w:eastAsia="Times New Roman" w:hAnsi="ff4" w:cs="Times New Roman"/>
          <w:color w:val="231F20"/>
          <w:spacing w:val="-21"/>
          <w:sz w:val="120"/>
          <w:szCs w:val="120"/>
          <w:lang w:eastAsia="en-GB"/>
        </w:rPr>
        <w:t>database for the years 2000–2006, we identified patients</w:t>
      </w:r>
    </w:p>
    <w:p w:rsidR="00613438" w:rsidRPr="00613438" w:rsidRDefault="00613438" w:rsidP="00613438">
      <w:pPr>
        <w:shd w:val="clear" w:color="auto" w:fill="FFFFFF"/>
        <w:spacing w:line="0" w:lineRule="auto"/>
        <w:rPr>
          <w:rFonts w:ascii="ff4" w:eastAsia="Times New Roman" w:hAnsi="ff4" w:cs="Times New Roman"/>
          <w:color w:val="231F20"/>
          <w:spacing w:val="-21"/>
          <w:sz w:val="120"/>
          <w:szCs w:val="120"/>
          <w:lang w:eastAsia="en-GB"/>
        </w:rPr>
      </w:pPr>
      <w:r w:rsidRPr="00613438">
        <w:rPr>
          <w:rFonts w:ascii="ff4" w:eastAsia="Times New Roman" w:hAnsi="ff4" w:cs="Times New Roman"/>
          <w:color w:val="231F20"/>
          <w:spacing w:val="-21"/>
          <w:sz w:val="120"/>
          <w:szCs w:val="120"/>
          <w:lang w:eastAsia="en-GB"/>
        </w:rPr>
        <w:t>ages 18–6 4 years who had SLE and the subset who</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had LN. We ascertained cases of serious hospitalized</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infections using validated algorithms, and we determined</w:t>
      </w:r>
    </w:p>
    <w:p w:rsidR="00613438" w:rsidRPr="00613438" w:rsidRDefault="00613438" w:rsidP="00613438">
      <w:pPr>
        <w:shd w:val="clear" w:color="auto" w:fill="FFFFFF"/>
        <w:spacing w:line="0" w:lineRule="auto"/>
        <w:rPr>
          <w:rFonts w:ascii="ff4" w:eastAsia="Times New Roman" w:hAnsi="ff4" w:cs="Times New Roman"/>
          <w:color w:val="231F20"/>
          <w:spacing w:val="-23"/>
          <w:sz w:val="120"/>
          <w:szCs w:val="120"/>
          <w:lang w:eastAsia="en-GB"/>
        </w:rPr>
      </w:pPr>
      <w:r w:rsidRPr="00613438">
        <w:rPr>
          <w:rFonts w:ascii="ff4" w:eastAsia="Times New Roman" w:hAnsi="ff4" w:cs="Times New Roman"/>
          <w:color w:val="231F20"/>
          <w:spacing w:val="-23"/>
          <w:sz w:val="120"/>
          <w:szCs w:val="120"/>
          <w:lang w:eastAsia="en-GB"/>
        </w:rPr>
        <w:t>30-day mortality rates. Poisson regression was used to</w:t>
      </w:r>
    </w:p>
    <w:p w:rsidR="00613438" w:rsidRPr="00613438" w:rsidRDefault="00613438" w:rsidP="00613438">
      <w:pPr>
        <w:shd w:val="clear" w:color="auto" w:fill="FFFFFF"/>
        <w:spacing w:line="0" w:lineRule="auto"/>
        <w:rPr>
          <w:rFonts w:ascii="ff4" w:eastAsia="Times New Roman" w:hAnsi="ff4" w:cs="Times New Roman"/>
          <w:color w:val="231F20"/>
          <w:spacing w:val="-21"/>
          <w:sz w:val="120"/>
          <w:szCs w:val="120"/>
          <w:lang w:eastAsia="en-GB"/>
        </w:rPr>
      </w:pPr>
      <w:r w:rsidRPr="00613438">
        <w:rPr>
          <w:rFonts w:ascii="ff4" w:eastAsia="Times New Roman" w:hAnsi="ff4" w:cs="Times New Roman"/>
          <w:color w:val="231F20"/>
          <w:spacing w:val="-21"/>
          <w:sz w:val="120"/>
          <w:szCs w:val="120"/>
          <w:lang w:eastAsia="en-GB"/>
        </w:rPr>
        <w:t>calculate infection incidence rates and multivariable Cox</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proportional hazards models were used to calculate</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hazard ratios (HRs) for the first infection, adjusted for</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sociodemographic variables, medication use, and an SLE-</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specific risk adjustment index.</w:t>
      </w:r>
    </w:p>
    <w:p w:rsidR="00613438" w:rsidRPr="00613438" w:rsidRDefault="00613438" w:rsidP="00613438">
      <w:pPr>
        <w:shd w:val="clear" w:color="auto" w:fill="FFFFFF"/>
        <w:spacing w:line="0" w:lineRule="auto"/>
        <w:rPr>
          <w:rFonts w:ascii="ff3" w:eastAsia="Times New Roman" w:hAnsi="ff3" w:cs="Times New Roman"/>
          <w:color w:val="231F20"/>
          <w:sz w:val="120"/>
          <w:szCs w:val="120"/>
          <w:lang w:eastAsia="en-GB"/>
        </w:rPr>
      </w:pPr>
      <w:r w:rsidRPr="00613438">
        <w:rPr>
          <w:rFonts w:ascii="ff3" w:eastAsia="Times New Roman" w:hAnsi="ff3" w:cs="Times New Roman"/>
          <w:color w:val="231F20"/>
          <w:sz w:val="120"/>
          <w:szCs w:val="120"/>
          <w:lang w:eastAsia="en-GB"/>
        </w:rPr>
        <w:t xml:space="preserve">Results. </w:t>
      </w:r>
      <w:r w:rsidRPr="00613438">
        <w:rPr>
          <w:rFonts w:ascii="ff4" w:eastAsia="Times New Roman" w:hAnsi="ff4" w:cs="Times New Roman"/>
          <w:color w:val="231F20"/>
          <w:spacing w:val="-22"/>
          <w:sz w:val="120"/>
          <w:szCs w:val="120"/>
          <w:lang w:eastAsia="en-GB"/>
        </w:rPr>
        <w:t>We identified 33,565 patients with SLE,</w:t>
      </w:r>
    </w:p>
    <w:p w:rsidR="00613438" w:rsidRPr="00613438" w:rsidRDefault="00613438" w:rsidP="00613438">
      <w:pPr>
        <w:shd w:val="clear" w:color="auto" w:fill="FFFFFF"/>
        <w:spacing w:line="0" w:lineRule="auto"/>
        <w:rPr>
          <w:rFonts w:ascii="ff4" w:eastAsia="Times New Roman" w:hAnsi="ff4" w:cs="Times New Roman"/>
          <w:color w:val="231F20"/>
          <w:spacing w:val="-23"/>
          <w:sz w:val="120"/>
          <w:szCs w:val="120"/>
          <w:lang w:eastAsia="en-GB"/>
        </w:rPr>
      </w:pPr>
      <w:r w:rsidRPr="00613438">
        <w:rPr>
          <w:rFonts w:ascii="ff4" w:eastAsia="Times New Roman" w:hAnsi="ff4" w:cs="Times New Roman"/>
          <w:color w:val="231F20"/>
          <w:spacing w:val="-23"/>
          <w:sz w:val="120"/>
          <w:szCs w:val="120"/>
          <w:lang w:eastAsia="en-GB"/>
        </w:rPr>
        <w:t>7,113 of whom had LN. There were 9,078 serious</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infections in 5,078 SLE patients and 3,494 infections in</w:t>
      </w:r>
    </w:p>
    <w:p w:rsidR="00613438" w:rsidRPr="00613438" w:rsidRDefault="00613438" w:rsidP="00613438">
      <w:pPr>
        <w:shd w:val="clear" w:color="auto" w:fill="FFFFFF"/>
        <w:spacing w:line="0" w:lineRule="auto"/>
        <w:rPr>
          <w:rFonts w:ascii="ff4" w:eastAsia="Times New Roman" w:hAnsi="ff4" w:cs="Times New Roman"/>
          <w:color w:val="231F20"/>
          <w:spacing w:val="-23"/>
          <w:sz w:val="120"/>
          <w:szCs w:val="120"/>
          <w:lang w:eastAsia="en-GB"/>
        </w:rPr>
      </w:pPr>
      <w:r w:rsidRPr="00613438">
        <w:rPr>
          <w:rFonts w:ascii="ff4" w:eastAsia="Times New Roman" w:hAnsi="ff4" w:cs="Times New Roman"/>
          <w:color w:val="231F20"/>
          <w:spacing w:val="-23"/>
          <w:sz w:val="120"/>
          <w:szCs w:val="120"/>
          <w:lang w:eastAsia="en-GB"/>
        </w:rPr>
        <w:t>1,825 LN patients. The infection incidence rate per 100</w:t>
      </w:r>
    </w:p>
    <w:p w:rsidR="00613438" w:rsidRPr="00613438" w:rsidRDefault="00613438" w:rsidP="00613438">
      <w:pPr>
        <w:shd w:val="clear" w:color="auto" w:fill="FFFFFF"/>
        <w:spacing w:line="0" w:lineRule="auto"/>
        <w:rPr>
          <w:rFonts w:ascii="ff4" w:eastAsia="Times New Roman" w:hAnsi="ff4" w:cs="Times New Roman"/>
          <w:color w:val="231F20"/>
          <w:spacing w:val="-24"/>
          <w:sz w:val="120"/>
          <w:szCs w:val="120"/>
          <w:lang w:eastAsia="en-GB"/>
        </w:rPr>
      </w:pPr>
      <w:r w:rsidRPr="00613438">
        <w:rPr>
          <w:rFonts w:ascii="ff4" w:eastAsia="Times New Roman" w:hAnsi="ff4" w:cs="Times New Roman"/>
          <w:color w:val="231F20"/>
          <w:spacing w:val="-24"/>
          <w:sz w:val="120"/>
          <w:szCs w:val="120"/>
          <w:lang w:eastAsia="en-GB"/>
        </w:rPr>
        <w:t>person-years was 10.8 in the SLE cohort and 23.9 in the</w:t>
      </w:r>
    </w:p>
    <w:p w:rsidR="00613438" w:rsidRPr="00613438" w:rsidRDefault="00613438" w:rsidP="00613438">
      <w:pPr>
        <w:shd w:val="clear" w:color="auto" w:fill="FFFFFF"/>
        <w:spacing w:line="0" w:lineRule="auto"/>
        <w:rPr>
          <w:rFonts w:ascii="ff4" w:eastAsia="Times New Roman" w:hAnsi="ff4" w:cs="Times New Roman"/>
          <w:color w:val="231F20"/>
          <w:spacing w:val="-21"/>
          <w:sz w:val="120"/>
          <w:szCs w:val="120"/>
          <w:lang w:eastAsia="en-GB"/>
        </w:rPr>
      </w:pPr>
      <w:r w:rsidRPr="00613438">
        <w:rPr>
          <w:rFonts w:ascii="ff4" w:eastAsia="Times New Roman" w:hAnsi="ff4" w:cs="Times New Roman"/>
          <w:color w:val="231F20"/>
          <w:spacing w:val="-21"/>
          <w:sz w:val="120"/>
          <w:szCs w:val="120"/>
          <w:lang w:eastAsia="en-GB"/>
        </w:rPr>
        <w:t>LN subcohor t. In adjusted models for the SLE cohort, we</w:t>
      </w:r>
    </w:p>
    <w:p w:rsidR="00613438" w:rsidRPr="00613438" w:rsidRDefault="00613438" w:rsidP="00613438">
      <w:pPr>
        <w:shd w:val="clear" w:color="auto" w:fill="FFFFFF"/>
        <w:spacing w:line="0" w:lineRule="auto"/>
        <w:rPr>
          <w:rFonts w:ascii="ff4" w:eastAsia="Times New Roman" w:hAnsi="ff4" w:cs="Times New Roman"/>
          <w:color w:val="231F20"/>
          <w:spacing w:val="-23"/>
          <w:sz w:val="120"/>
          <w:szCs w:val="120"/>
          <w:lang w:eastAsia="en-GB"/>
        </w:rPr>
      </w:pPr>
      <w:r w:rsidRPr="00613438">
        <w:rPr>
          <w:rFonts w:ascii="ff4" w:eastAsia="Times New Roman" w:hAnsi="ff4" w:cs="Times New Roman"/>
          <w:color w:val="231F20"/>
          <w:spacing w:val="-23"/>
          <w:sz w:val="120"/>
          <w:szCs w:val="120"/>
          <w:lang w:eastAsia="en-GB"/>
        </w:rPr>
        <w:t>observed increased risks of infection in men as compared</w:t>
      </w:r>
    </w:p>
    <w:p w:rsidR="00613438" w:rsidRPr="00613438" w:rsidRDefault="00613438" w:rsidP="00613438">
      <w:pPr>
        <w:shd w:val="clear" w:color="auto" w:fill="FFFFFF"/>
        <w:spacing w:line="0" w:lineRule="auto"/>
        <w:rPr>
          <w:rFonts w:ascii="ff4" w:eastAsia="Times New Roman" w:hAnsi="ff4" w:cs="Times New Roman"/>
          <w:color w:val="231F20"/>
          <w:spacing w:val="-23"/>
          <w:sz w:val="120"/>
          <w:szCs w:val="120"/>
          <w:lang w:eastAsia="en-GB"/>
        </w:rPr>
      </w:pPr>
      <w:r w:rsidRPr="00613438">
        <w:rPr>
          <w:rFonts w:ascii="ff4" w:eastAsia="Times New Roman" w:hAnsi="ff4" w:cs="Times New Roman"/>
          <w:color w:val="231F20"/>
          <w:spacing w:val="-23"/>
          <w:sz w:val="120"/>
          <w:szCs w:val="120"/>
          <w:lang w:eastAsia="en-GB"/>
        </w:rPr>
        <w:t>to women (HR 1.33 [95% confidence interval (95% CI)</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1.20–1.47 ]), in blacks as compared to whites (HR 1.14</w:t>
      </w:r>
    </w:p>
    <w:p w:rsidR="00613438" w:rsidRPr="00613438" w:rsidRDefault="00613438" w:rsidP="00613438">
      <w:pPr>
        <w:shd w:val="clear" w:color="auto" w:fill="FFFFFF"/>
        <w:spacing w:line="0" w:lineRule="auto"/>
        <w:rPr>
          <w:rFonts w:ascii="ff4" w:eastAsia="Times New Roman" w:hAnsi="ff4" w:cs="Times New Roman"/>
          <w:color w:val="231F20"/>
          <w:spacing w:val="-23"/>
          <w:sz w:val="120"/>
          <w:szCs w:val="120"/>
          <w:lang w:eastAsia="en-GB"/>
        </w:rPr>
      </w:pPr>
      <w:r w:rsidRPr="00613438">
        <w:rPr>
          <w:rFonts w:ascii="ff4" w:eastAsia="Times New Roman" w:hAnsi="ff4" w:cs="Times New Roman"/>
          <w:color w:val="231F20"/>
          <w:spacing w:val="-23"/>
          <w:sz w:val="120"/>
          <w:szCs w:val="120"/>
          <w:lang w:eastAsia="en-GB"/>
        </w:rPr>
        <w:t>[95% CI 1.06–1. 21]), and in users of glucocorticoids (HR</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1.51 [95% CI 1.43–1.61]) and immunosuppressive drugs</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(HR 1.11 [95 % CI 1.03–1. 20]) as compared to never</w:t>
      </w:r>
    </w:p>
    <w:p w:rsidR="00613438" w:rsidRPr="00613438" w:rsidRDefault="00613438" w:rsidP="00613438">
      <w:pPr>
        <w:shd w:val="clear" w:color="auto" w:fill="FFFFFF"/>
        <w:spacing w:line="0" w:lineRule="auto"/>
        <w:rPr>
          <w:rFonts w:ascii="ff4" w:eastAsia="Times New Roman" w:hAnsi="ff4" w:cs="Times New Roman"/>
          <w:color w:val="231F20"/>
          <w:spacing w:val="-21"/>
          <w:sz w:val="120"/>
          <w:szCs w:val="120"/>
          <w:lang w:eastAsia="en-GB"/>
        </w:rPr>
      </w:pPr>
      <w:r w:rsidRPr="00613438">
        <w:rPr>
          <w:rFonts w:ascii="ff4" w:eastAsia="Times New Roman" w:hAnsi="ff4" w:cs="Times New Roman"/>
          <w:color w:val="231F20"/>
          <w:spacing w:val="-21"/>
          <w:sz w:val="120"/>
          <w:szCs w:val="120"/>
          <w:lang w:eastAsia="en-GB"/>
        </w:rPr>
        <w:t>users. Hydroxychloroquine users had a reduced risk of</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infection as compared to never users (HR 0.73 [95% CI</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0.68–0.77 ]). The 30-day mortality rate per 1,000 person-</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years amon g those hospitalized with infections was 21.4 in</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the SLE cohort and 38.6 in the LN subcohort.</w:t>
      </w:r>
    </w:p>
    <w:p w:rsidR="00613438" w:rsidRPr="00613438" w:rsidRDefault="00613438" w:rsidP="00613438">
      <w:pPr>
        <w:shd w:val="clear" w:color="auto" w:fill="FFFFFF"/>
        <w:spacing w:line="0" w:lineRule="auto"/>
        <w:rPr>
          <w:rFonts w:ascii="ff3" w:eastAsia="Times New Roman" w:hAnsi="ff3" w:cs="Times New Roman"/>
          <w:color w:val="231F20"/>
          <w:sz w:val="120"/>
          <w:szCs w:val="120"/>
          <w:lang w:eastAsia="en-GB"/>
        </w:rPr>
      </w:pPr>
      <w:r w:rsidRPr="00613438">
        <w:rPr>
          <w:rFonts w:ascii="ff3" w:eastAsia="Times New Roman" w:hAnsi="ff3" w:cs="Times New Roman"/>
          <w:color w:val="231F20"/>
          <w:sz w:val="120"/>
          <w:szCs w:val="120"/>
          <w:lang w:eastAsia="en-GB"/>
        </w:rPr>
        <w:t xml:space="preserve">Conclusion. </w:t>
      </w:r>
      <w:r w:rsidRPr="00613438">
        <w:rPr>
          <w:rFonts w:ascii="ff4" w:eastAsia="Times New Roman" w:hAnsi="ff4" w:cs="Times New Roman"/>
          <w:color w:val="231F20"/>
          <w:spacing w:val="-23"/>
          <w:sz w:val="120"/>
          <w:szCs w:val="120"/>
          <w:lang w:eastAsia="en-GB"/>
        </w:rPr>
        <w:t>In this diverse, nationwide cohort of</w:t>
      </w:r>
    </w:p>
    <w:p w:rsidR="00613438" w:rsidRPr="00613438" w:rsidRDefault="00613438" w:rsidP="00613438">
      <w:pPr>
        <w:shd w:val="clear" w:color="auto" w:fill="FFFFFF"/>
        <w:spacing w:line="0" w:lineRule="auto"/>
        <w:rPr>
          <w:rFonts w:ascii="ff4" w:eastAsia="Times New Roman" w:hAnsi="ff4" w:cs="Times New Roman"/>
          <w:color w:val="231F20"/>
          <w:spacing w:val="-23"/>
          <w:sz w:val="120"/>
          <w:szCs w:val="120"/>
          <w:lang w:eastAsia="en-GB"/>
        </w:rPr>
      </w:pPr>
      <w:r w:rsidRPr="00613438">
        <w:rPr>
          <w:rFonts w:ascii="ff4" w:eastAsia="Times New Roman" w:hAnsi="ff4" w:cs="Times New Roman"/>
          <w:color w:val="231F20"/>
          <w:spacing w:val="-23"/>
          <w:sz w:val="120"/>
          <w:szCs w:val="120"/>
          <w:lang w:eastAsia="en-GB"/>
        </w:rPr>
        <w:t>SLE patients, we observed a substantial burden of serious</w:t>
      </w:r>
    </w:p>
    <w:p w:rsidR="00613438" w:rsidRPr="00613438" w:rsidRDefault="00613438" w:rsidP="00613438">
      <w:pPr>
        <w:shd w:val="clear" w:color="auto" w:fill="FFFFFF"/>
        <w:spacing w:line="0" w:lineRule="auto"/>
        <w:rPr>
          <w:rFonts w:ascii="ff4" w:eastAsia="Times New Roman" w:hAnsi="ff4" w:cs="Times New Roman"/>
          <w:color w:val="231F20"/>
          <w:spacing w:val="-23"/>
          <w:sz w:val="120"/>
          <w:szCs w:val="120"/>
          <w:lang w:eastAsia="en-GB"/>
        </w:rPr>
      </w:pPr>
      <w:r w:rsidRPr="00613438">
        <w:rPr>
          <w:rFonts w:ascii="ff4" w:eastAsia="Times New Roman" w:hAnsi="ff4" w:cs="Times New Roman"/>
          <w:color w:val="231F20"/>
          <w:spacing w:val="-23"/>
          <w:sz w:val="120"/>
          <w:szCs w:val="120"/>
          <w:lang w:eastAsia="en-GB"/>
        </w:rPr>
        <w:t>infections with many subsequent deaths, particularly</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among those with LN.</w:t>
      </w:r>
    </w:p>
    <w:p w:rsidR="00613438" w:rsidRPr="00613438" w:rsidRDefault="00613438" w:rsidP="00613438">
      <w:pPr>
        <w:shd w:val="clear" w:color="auto" w:fill="FFFFFF"/>
        <w:spacing w:line="0" w:lineRule="auto"/>
        <w:rPr>
          <w:rFonts w:ascii="ff3" w:eastAsia="Times New Roman" w:hAnsi="ff3" w:cs="Times New Roman"/>
          <w:color w:val="231F20"/>
          <w:sz w:val="120"/>
          <w:szCs w:val="120"/>
          <w:lang w:eastAsia="en-GB"/>
        </w:rPr>
      </w:pPr>
      <w:r w:rsidRPr="00613438">
        <w:rPr>
          <w:rFonts w:ascii="ff3" w:eastAsia="Times New Roman" w:hAnsi="ff3" w:cs="Times New Roman"/>
          <w:color w:val="231F20"/>
          <w:sz w:val="120"/>
          <w:szCs w:val="120"/>
          <w:lang w:eastAsia="en-GB"/>
        </w:rPr>
        <w:t xml:space="preserve">Objective. </w:t>
      </w:r>
      <w:r w:rsidRPr="00613438">
        <w:rPr>
          <w:rFonts w:ascii="ff4" w:eastAsia="Times New Roman" w:hAnsi="ff4" w:cs="Times New Roman"/>
          <w:color w:val="231F20"/>
          <w:sz w:val="120"/>
          <w:szCs w:val="120"/>
          <w:lang w:eastAsia="en-GB"/>
        </w:rPr>
        <w:t>To examine the epidemiology of serious</w:t>
      </w:r>
    </w:p>
    <w:p w:rsidR="00613438" w:rsidRPr="00613438" w:rsidRDefault="00613438" w:rsidP="00613438">
      <w:pPr>
        <w:shd w:val="clear" w:color="auto" w:fill="FFFFFF"/>
        <w:spacing w:line="0" w:lineRule="auto"/>
        <w:rPr>
          <w:rFonts w:ascii="ff4" w:eastAsia="Times New Roman" w:hAnsi="ff4" w:cs="Times New Roman"/>
          <w:color w:val="231F20"/>
          <w:sz w:val="120"/>
          <w:szCs w:val="120"/>
          <w:lang w:eastAsia="en-GB"/>
        </w:rPr>
      </w:pPr>
      <w:r w:rsidRPr="00613438">
        <w:rPr>
          <w:rFonts w:ascii="ff4" w:eastAsia="Times New Roman" w:hAnsi="ff4" w:cs="Times New Roman"/>
          <w:color w:val="231F20"/>
          <w:sz w:val="120"/>
          <w:szCs w:val="120"/>
          <w:lang w:eastAsia="en-GB"/>
        </w:rPr>
        <w:t>infections, a significant cause of morbidity and mortality</w:t>
      </w:r>
    </w:p>
    <w:p w:rsidR="00613438" w:rsidRPr="00613438" w:rsidRDefault="00613438" w:rsidP="00613438">
      <w:pPr>
        <w:shd w:val="clear" w:color="auto" w:fill="FFFFFF"/>
        <w:spacing w:line="0" w:lineRule="auto"/>
        <w:rPr>
          <w:rFonts w:ascii="ff4" w:eastAsia="Times New Roman" w:hAnsi="ff4" w:cs="Times New Roman"/>
          <w:color w:val="231F20"/>
          <w:sz w:val="120"/>
          <w:szCs w:val="120"/>
          <w:lang w:eastAsia="en-GB"/>
        </w:rPr>
      </w:pPr>
      <w:r w:rsidRPr="00613438">
        <w:rPr>
          <w:rFonts w:ascii="ff4" w:eastAsia="Times New Roman" w:hAnsi="ff4" w:cs="Times New Roman"/>
          <w:color w:val="231F20"/>
          <w:sz w:val="120"/>
          <w:szCs w:val="120"/>
          <w:lang w:eastAsia="en-GB"/>
        </w:rPr>
        <w:t>in systemic lupus erythematosus (SLE), in a nationwide</w:t>
      </w:r>
    </w:p>
    <w:p w:rsidR="00613438" w:rsidRPr="00613438" w:rsidRDefault="00613438" w:rsidP="00613438">
      <w:pPr>
        <w:shd w:val="clear" w:color="auto" w:fill="FFFFFF"/>
        <w:spacing w:line="0" w:lineRule="auto"/>
        <w:rPr>
          <w:rFonts w:ascii="ff4" w:eastAsia="Times New Roman" w:hAnsi="ff4" w:cs="Times New Roman"/>
          <w:color w:val="231F20"/>
          <w:sz w:val="120"/>
          <w:szCs w:val="120"/>
          <w:lang w:eastAsia="en-GB"/>
        </w:rPr>
      </w:pPr>
      <w:r w:rsidRPr="00613438">
        <w:rPr>
          <w:rFonts w:ascii="ff4" w:eastAsia="Times New Roman" w:hAnsi="ff4" w:cs="Times New Roman"/>
          <w:color w:val="231F20"/>
          <w:sz w:val="120"/>
          <w:szCs w:val="120"/>
          <w:lang w:eastAsia="en-GB"/>
        </w:rPr>
        <w:t>cohort of SLE and lupus nephritis (LN) patients.</w:t>
      </w:r>
    </w:p>
    <w:p w:rsidR="00613438" w:rsidRPr="00613438" w:rsidRDefault="00613438" w:rsidP="00613438">
      <w:pPr>
        <w:shd w:val="clear" w:color="auto" w:fill="FFFFFF"/>
        <w:spacing w:line="0" w:lineRule="auto"/>
        <w:rPr>
          <w:rFonts w:ascii="ff3" w:eastAsia="Times New Roman" w:hAnsi="ff3" w:cs="Times New Roman"/>
          <w:color w:val="231F20"/>
          <w:sz w:val="120"/>
          <w:szCs w:val="120"/>
          <w:lang w:eastAsia="en-GB"/>
        </w:rPr>
      </w:pPr>
      <w:r w:rsidRPr="00613438">
        <w:rPr>
          <w:rFonts w:ascii="ff3" w:eastAsia="Times New Roman" w:hAnsi="ff3" w:cs="Times New Roman"/>
          <w:color w:val="231F20"/>
          <w:sz w:val="120"/>
          <w:szCs w:val="120"/>
          <w:lang w:eastAsia="en-GB"/>
        </w:rPr>
        <w:t xml:space="preserve">Methods. </w:t>
      </w:r>
      <w:r w:rsidRPr="00613438">
        <w:rPr>
          <w:rFonts w:ascii="ff4" w:eastAsia="Times New Roman" w:hAnsi="ff4" w:cs="Times New Roman"/>
          <w:color w:val="231F20"/>
          <w:spacing w:val="-21"/>
          <w:sz w:val="120"/>
          <w:szCs w:val="120"/>
          <w:lang w:eastAsia="en-GB"/>
        </w:rPr>
        <w:t>Using the Medicaid Analytic eXtract</w:t>
      </w:r>
    </w:p>
    <w:p w:rsidR="00613438" w:rsidRPr="00613438" w:rsidRDefault="00613438" w:rsidP="00613438">
      <w:pPr>
        <w:shd w:val="clear" w:color="auto" w:fill="FFFFFF"/>
        <w:spacing w:line="0" w:lineRule="auto"/>
        <w:rPr>
          <w:rFonts w:ascii="ff4" w:eastAsia="Times New Roman" w:hAnsi="ff4" w:cs="Times New Roman"/>
          <w:color w:val="231F20"/>
          <w:spacing w:val="-21"/>
          <w:sz w:val="120"/>
          <w:szCs w:val="120"/>
          <w:lang w:eastAsia="en-GB"/>
        </w:rPr>
      </w:pPr>
      <w:r w:rsidRPr="00613438">
        <w:rPr>
          <w:rFonts w:ascii="ff4" w:eastAsia="Times New Roman" w:hAnsi="ff4" w:cs="Times New Roman"/>
          <w:color w:val="231F20"/>
          <w:spacing w:val="-21"/>
          <w:sz w:val="120"/>
          <w:szCs w:val="120"/>
          <w:lang w:eastAsia="en-GB"/>
        </w:rPr>
        <w:t>database for the years 2000–2006, we identified patients</w:t>
      </w:r>
    </w:p>
    <w:p w:rsidR="00613438" w:rsidRPr="00613438" w:rsidRDefault="00613438" w:rsidP="00613438">
      <w:pPr>
        <w:shd w:val="clear" w:color="auto" w:fill="FFFFFF"/>
        <w:spacing w:line="0" w:lineRule="auto"/>
        <w:rPr>
          <w:rFonts w:ascii="ff4" w:eastAsia="Times New Roman" w:hAnsi="ff4" w:cs="Times New Roman"/>
          <w:color w:val="231F20"/>
          <w:spacing w:val="-21"/>
          <w:sz w:val="120"/>
          <w:szCs w:val="120"/>
          <w:lang w:eastAsia="en-GB"/>
        </w:rPr>
      </w:pPr>
      <w:r w:rsidRPr="00613438">
        <w:rPr>
          <w:rFonts w:ascii="ff4" w:eastAsia="Times New Roman" w:hAnsi="ff4" w:cs="Times New Roman"/>
          <w:color w:val="231F20"/>
          <w:spacing w:val="-21"/>
          <w:sz w:val="120"/>
          <w:szCs w:val="120"/>
          <w:lang w:eastAsia="en-GB"/>
        </w:rPr>
        <w:t>ages 18–6 4 years who had SLE and the subset who</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had LN. We ascertained cases of serious hospitalized</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infections using validated algorithms, and we determined</w:t>
      </w:r>
    </w:p>
    <w:p w:rsidR="00613438" w:rsidRPr="00613438" w:rsidRDefault="00613438" w:rsidP="00613438">
      <w:pPr>
        <w:shd w:val="clear" w:color="auto" w:fill="FFFFFF"/>
        <w:spacing w:line="0" w:lineRule="auto"/>
        <w:rPr>
          <w:rFonts w:ascii="ff4" w:eastAsia="Times New Roman" w:hAnsi="ff4" w:cs="Times New Roman"/>
          <w:color w:val="231F20"/>
          <w:spacing w:val="-23"/>
          <w:sz w:val="120"/>
          <w:szCs w:val="120"/>
          <w:lang w:eastAsia="en-GB"/>
        </w:rPr>
      </w:pPr>
      <w:r w:rsidRPr="00613438">
        <w:rPr>
          <w:rFonts w:ascii="ff4" w:eastAsia="Times New Roman" w:hAnsi="ff4" w:cs="Times New Roman"/>
          <w:color w:val="231F20"/>
          <w:spacing w:val="-23"/>
          <w:sz w:val="120"/>
          <w:szCs w:val="120"/>
          <w:lang w:eastAsia="en-GB"/>
        </w:rPr>
        <w:t>30-day mortality rates. Poisson regression was used to</w:t>
      </w:r>
    </w:p>
    <w:p w:rsidR="00613438" w:rsidRPr="00613438" w:rsidRDefault="00613438" w:rsidP="00613438">
      <w:pPr>
        <w:shd w:val="clear" w:color="auto" w:fill="FFFFFF"/>
        <w:spacing w:line="0" w:lineRule="auto"/>
        <w:rPr>
          <w:rFonts w:ascii="ff4" w:eastAsia="Times New Roman" w:hAnsi="ff4" w:cs="Times New Roman"/>
          <w:color w:val="231F20"/>
          <w:spacing w:val="-21"/>
          <w:sz w:val="120"/>
          <w:szCs w:val="120"/>
          <w:lang w:eastAsia="en-GB"/>
        </w:rPr>
      </w:pPr>
      <w:r w:rsidRPr="00613438">
        <w:rPr>
          <w:rFonts w:ascii="ff4" w:eastAsia="Times New Roman" w:hAnsi="ff4" w:cs="Times New Roman"/>
          <w:color w:val="231F20"/>
          <w:spacing w:val="-21"/>
          <w:sz w:val="120"/>
          <w:szCs w:val="120"/>
          <w:lang w:eastAsia="en-GB"/>
        </w:rPr>
        <w:t>calculate infection incidence rates and multivariable Cox</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proportional hazards models were used to calculate</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hazard ratios (HRs) for the first infection, adjusted for</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sociodemographic variables, medication use, and an SLE-</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specific risk adjustment index.</w:t>
      </w:r>
    </w:p>
    <w:p w:rsidR="00613438" w:rsidRPr="00613438" w:rsidRDefault="00613438" w:rsidP="00613438">
      <w:pPr>
        <w:shd w:val="clear" w:color="auto" w:fill="FFFFFF"/>
        <w:spacing w:line="0" w:lineRule="auto"/>
        <w:rPr>
          <w:rFonts w:ascii="ff3" w:eastAsia="Times New Roman" w:hAnsi="ff3" w:cs="Times New Roman"/>
          <w:color w:val="231F20"/>
          <w:sz w:val="120"/>
          <w:szCs w:val="120"/>
          <w:lang w:eastAsia="en-GB"/>
        </w:rPr>
      </w:pPr>
      <w:r w:rsidRPr="00613438">
        <w:rPr>
          <w:rFonts w:ascii="ff3" w:eastAsia="Times New Roman" w:hAnsi="ff3" w:cs="Times New Roman"/>
          <w:color w:val="231F20"/>
          <w:sz w:val="120"/>
          <w:szCs w:val="120"/>
          <w:lang w:eastAsia="en-GB"/>
        </w:rPr>
        <w:t xml:space="preserve">Results. </w:t>
      </w:r>
      <w:r w:rsidRPr="00613438">
        <w:rPr>
          <w:rFonts w:ascii="ff4" w:eastAsia="Times New Roman" w:hAnsi="ff4" w:cs="Times New Roman"/>
          <w:color w:val="231F20"/>
          <w:spacing w:val="-22"/>
          <w:sz w:val="120"/>
          <w:szCs w:val="120"/>
          <w:lang w:eastAsia="en-GB"/>
        </w:rPr>
        <w:t>We identified 33,565 patients with SLE,</w:t>
      </w:r>
    </w:p>
    <w:p w:rsidR="00613438" w:rsidRPr="00613438" w:rsidRDefault="00613438" w:rsidP="00613438">
      <w:pPr>
        <w:shd w:val="clear" w:color="auto" w:fill="FFFFFF"/>
        <w:spacing w:line="0" w:lineRule="auto"/>
        <w:rPr>
          <w:rFonts w:ascii="ff4" w:eastAsia="Times New Roman" w:hAnsi="ff4" w:cs="Times New Roman"/>
          <w:color w:val="231F20"/>
          <w:spacing w:val="-23"/>
          <w:sz w:val="120"/>
          <w:szCs w:val="120"/>
          <w:lang w:eastAsia="en-GB"/>
        </w:rPr>
      </w:pPr>
      <w:r w:rsidRPr="00613438">
        <w:rPr>
          <w:rFonts w:ascii="ff4" w:eastAsia="Times New Roman" w:hAnsi="ff4" w:cs="Times New Roman"/>
          <w:color w:val="231F20"/>
          <w:spacing w:val="-23"/>
          <w:sz w:val="120"/>
          <w:szCs w:val="120"/>
          <w:lang w:eastAsia="en-GB"/>
        </w:rPr>
        <w:t>7,113 of whom had LN. There were 9,078 serious</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infections in 5,078 SLE patients and 3,494 infections in</w:t>
      </w:r>
    </w:p>
    <w:p w:rsidR="00613438" w:rsidRPr="00613438" w:rsidRDefault="00613438" w:rsidP="00613438">
      <w:pPr>
        <w:shd w:val="clear" w:color="auto" w:fill="FFFFFF"/>
        <w:spacing w:line="0" w:lineRule="auto"/>
        <w:rPr>
          <w:rFonts w:ascii="ff4" w:eastAsia="Times New Roman" w:hAnsi="ff4" w:cs="Times New Roman"/>
          <w:color w:val="231F20"/>
          <w:spacing w:val="-23"/>
          <w:sz w:val="120"/>
          <w:szCs w:val="120"/>
          <w:lang w:eastAsia="en-GB"/>
        </w:rPr>
      </w:pPr>
      <w:r w:rsidRPr="00613438">
        <w:rPr>
          <w:rFonts w:ascii="ff4" w:eastAsia="Times New Roman" w:hAnsi="ff4" w:cs="Times New Roman"/>
          <w:color w:val="231F20"/>
          <w:spacing w:val="-23"/>
          <w:sz w:val="120"/>
          <w:szCs w:val="120"/>
          <w:lang w:eastAsia="en-GB"/>
        </w:rPr>
        <w:t>1,825 LN patients. The infection incidence rate per 100</w:t>
      </w:r>
    </w:p>
    <w:p w:rsidR="00613438" w:rsidRPr="00613438" w:rsidRDefault="00613438" w:rsidP="00613438">
      <w:pPr>
        <w:shd w:val="clear" w:color="auto" w:fill="FFFFFF"/>
        <w:spacing w:line="0" w:lineRule="auto"/>
        <w:rPr>
          <w:rFonts w:ascii="ff4" w:eastAsia="Times New Roman" w:hAnsi="ff4" w:cs="Times New Roman"/>
          <w:color w:val="231F20"/>
          <w:spacing w:val="-24"/>
          <w:sz w:val="120"/>
          <w:szCs w:val="120"/>
          <w:lang w:eastAsia="en-GB"/>
        </w:rPr>
      </w:pPr>
      <w:r w:rsidRPr="00613438">
        <w:rPr>
          <w:rFonts w:ascii="ff4" w:eastAsia="Times New Roman" w:hAnsi="ff4" w:cs="Times New Roman"/>
          <w:color w:val="231F20"/>
          <w:spacing w:val="-24"/>
          <w:sz w:val="120"/>
          <w:szCs w:val="120"/>
          <w:lang w:eastAsia="en-GB"/>
        </w:rPr>
        <w:t>person-years was 10.8 in the SLE cohort and 23.9 in the</w:t>
      </w:r>
    </w:p>
    <w:p w:rsidR="00613438" w:rsidRPr="00613438" w:rsidRDefault="00613438" w:rsidP="00613438">
      <w:pPr>
        <w:shd w:val="clear" w:color="auto" w:fill="FFFFFF"/>
        <w:spacing w:line="0" w:lineRule="auto"/>
        <w:rPr>
          <w:rFonts w:ascii="ff4" w:eastAsia="Times New Roman" w:hAnsi="ff4" w:cs="Times New Roman"/>
          <w:color w:val="231F20"/>
          <w:spacing w:val="-21"/>
          <w:sz w:val="120"/>
          <w:szCs w:val="120"/>
          <w:lang w:eastAsia="en-GB"/>
        </w:rPr>
      </w:pPr>
      <w:r w:rsidRPr="00613438">
        <w:rPr>
          <w:rFonts w:ascii="ff4" w:eastAsia="Times New Roman" w:hAnsi="ff4" w:cs="Times New Roman"/>
          <w:color w:val="231F20"/>
          <w:spacing w:val="-21"/>
          <w:sz w:val="120"/>
          <w:szCs w:val="120"/>
          <w:lang w:eastAsia="en-GB"/>
        </w:rPr>
        <w:t>LN subcohor t. In adjusted models for the SLE cohort, we</w:t>
      </w:r>
    </w:p>
    <w:p w:rsidR="00613438" w:rsidRPr="00613438" w:rsidRDefault="00613438" w:rsidP="00613438">
      <w:pPr>
        <w:shd w:val="clear" w:color="auto" w:fill="FFFFFF"/>
        <w:spacing w:line="0" w:lineRule="auto"/>
        <w:rPr>
          <w:rFonts w:ascii="ff4" w:eastAsia="Times New Roman" w:hAnsi="ff4" w:cs="Times New Roman"/>
          <w:color w:val="231F20"/>
          <w:spacing w:val="-23"/>
          <w:sz w:val="120"/>
          <w:szCs w:val="120"/>
          <w:lang w:eastAsia="en-GB"/>
        </w:rPr>
      </w:pPr>
      <w:r w:rsidRPr="00613438">
        <w:rPr>
          <w:rFonts w:ascii="ff4" w:eastAsia="Times New Roman" w:hAnsi="ff4" w:cs="Times New Roman"/>
          <w:color w:val="231F20"/>
          <w:spacing w:val="-23"/>
          <w:sz w:val="120"/>
          <w:szCs w:val="120"/>
          <w:lang w:eastAsia="en-GB"/>
        </w:rPr>
        <w:t>observed increased risks of infection in men as compared</w:t>
      </w:r>
    </w:p>
    <w:p w:rsidR="00613438" w:rsidRPr="00613438" w:rsidRDefault="00613438" w:rsidP="00613438">
      <w:pPr>
        <w:shd w:val="clear" w:color="auto" w:fill="FFFFFF"/>
        <w:spacing w:line="0" w:lineRule="auto"/>
        <w:rPr>
          <w:rFonts w:ascii="ff4" w:eastAsia="Times New Roman" w:hAnsi="ff4" w:cs="Times New Roman"/>
          <w:color w:val="231F20"/>
          <w:spacing w:val="-23"/>
          <w:sz w:val="120"/>
          <w:szCs w:val="120"/>
          <w:lang w:eastAsia="en-GB"/>
        </w:rPr>
      </w:pPr>
      <w:r w:rsidRPr="00613438">
        <w:rPr>
          <w:rFonts w:ascii="ff4" w:eastAsia="Times New Roman" w:hAnsi="ff4" w:cs="Times New Roman"/>
          <w:color w:val="231F20"/>
          <w:spacing w:val="-23"/>
          <w:sz w:val="120"/>
          <w:szCs w:val="120"/>
          <w:lang w:eastAsia="en-GB"/>
        </w:rPr>
        <w:t>to women (HR 1.33 [95% confidence interval (95% CI)</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1.20–1.47 ]), in blacks as compared to whites (HR 1.14</w:t>
      </w:r>
    </w:p>
    <w:p w:rsidR="00613438" w:rsidRPr="00613438" w:rsidRDefault="00613438" w:rsidP="00613438">
      <w:pPr>
        <w:shd w:val="clear" w:color="auto" w:fill="FFFFFF"/>
        <w:spacing w:line="0" w:lineRule="auto"/>
        <w:rPr>
          <w:rFonts w:ascii="ff4" w:eastAsia="Times New Roman" w:hAnsi="ff4" w:cs="Times New Roman"/>
          <w:color w:val="231F20"/>
          <w:spacing w:val="-23"/>
          <w:sz w:val="120"/>
          <w:szCs w:val="120"/>
          <w:lang w:eastAsia="en-GB"/>
        </w:rPr>
      </w:pPr>
      <w:r w:rsidRPr="00613438">
        <w:rPr>
          <w:rFonts w:ascii="ff4" w:eastAsia="Times New Roman" w:hAnsi="ff4" w:cs="Times New Roman"/>
          <w:color w:val="231F20"/>
          <w:spacing w:val="-23"/>
          <w:sz w:val="120"/>
          <w:szCs w:val="120"/>
          <w:lang w:eastAsia="en-GB"/>
        </w:rPr>
        <w:t>[95% CI 1.06–1. 21]), and in users of glucocorticoids (HR</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1.51 [95% CI 1.43–1.61]) and immunosuppressive drugs</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(HR 1.11 [95 % CI 1.03–1. 20]) as compared to never</w:t>
      </w:r>
    </w:p>
    <w:p w:rsidR="00613438" w:rsidRPr="00613438" w:rsidRDefault="00613438" w:rsidP="00613438">
      <w:pPr>
        <w:shd w:val="clear" w:color="auto" w:fill="FFFFFF"/>
        <w:spacing w:line="0" w:lineRule="auto"/>
        <w:rPr>
          <w:rFonts w:ascii="ff4" w:eastAsia="Times New Roman" w:hAnsi="ff4" w:cs="Times New Roman"/>
          <w:color w:val="231F20"/>
          <w:spacing w:val="-21"/>
          <w:sz w:val="120"/>
          <w:szCs w:val="120"/>
          <w:lang w:eastAsia="en-GB"/>
        </w:rPr>
      </w:pPr>
      <w:r w:rsidRPr="00613438">
        <w:rPr>
          <w:rFonts w:ascii="ff4" w:eastAsia="Times New Roman" w:hAnsi="ff4" w:cs="Times New Roman"/>
          <w:color w:val="231F20"/>
          <w:spacing w:val="-21"/>
          <w:sz w:val="120"/>
          <w:szCs w:val="120"/>
          <w:lang w:eastAsia="en-GB"/>
        </w:rPr>
        <w:t>users. Hydroxychloroquine users had a reduced risk of</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infection as compared to never users (HR 0.73 [95% CI</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0.68–0.77 ]). The 30-day mortality rate per 1,000 person-</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years amon g those hospitalized with infections was 21.4 in</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the SLE cohort and 38.6 in the LN subcohort.</w:t>
      </w:r>
    </w:p>
    <w:p w:rsidR="00613438" w:rsidRPr="00613438" w:rsidRDefault="00613438" w:rsidP="00613438">
      <w:pPr>
        <w:shd w:val="clear" w:color="auto" w:fill="FFFFFF"/>
        <w:spacing w:line="0" w:lineRule="auto"/>
        <w:rPr>
          <w:rFonts w:ascii="ff3" w:eastAsia="Times New Roman" w:hAnsi="ff3" w:cs="Times New Roman"/>
          <w:color w:val="231F20"/>
          <w:sz w:val="120"/>
          <w:szCs w:val="120"/>
          <w:lang w:eastAsia="en-GB"/>
        </w:rPr>
      </w:pPr>
      <w:r w:rsidRPr="00613438">
        <w:rPr>
          <w:rFonts w:ascii="ff3" w:eastAsia="Times New Roman" w:hAnsi="ff3" w:cs="Times New Roman"/>
          <w:color w:val="231F20"/>
          <w:sz w:val="120"/>
          <w:szCs w:val="120"/>
          <w:lang w:eastAsia="en-GB"/>
        </w:rPr>
        <w:t xml:space="preserve">Conclusion. </w:t>
      </w:r>
      <w:r w:rsidRPr="00613438">
        <w:rPr>
          <w:rFonts w:ascii="ff4" w:eastAsia="Times New Roman" w:hAnsi="ff4" w:cs="Times New Roman"/>
          <w:color w:val="231F20"/>
          <w:spacing w:val="-23"/>
          <w:sz w:val="120"/>
          <w:szCs w:val="120"/>
          <w:lang w:eastAsia="en-GB"/>
        </w:rPr>
        <w:t>In this diverse, nationwide cohort of</w:t>
      </w:r>
    </w:p>
    <w:p w:rsidR="00613438" w:rsidRPr="00613438" w:rsidRDefault="00613438" w:rsidP="00613438">
      <w:pPr>
        <w:shd w:val="clear" w:color="auto" w:fill="FFFFFF"/>
        <w:spacing w:line="0" w:lineRule="auto"/>
        <w:rPr>
          <w:rFonts w:ascii="ff4" w:eastAsia="Times New Roman" w:hAnsi="ff4" w:cs="Times New Roman"/>
          <w:color w:val="231F20"/>
          <w:spacing w:val="-23"/>
          <w:sz w:val="120"/>
          <w:szCs w:val="120"/>
          <w:lang w:eastAsia="en-GB"/>
        </w:rPr>
      </w:pPr>
      <w:r w:rsidRPr="00613438">
        <w:rPr>
          <w:rFonts w:ascii="ff4" w:eastAsia="Times New Roman" w:hAnsi="ff4" w:cs="Times New Roman"/>
          <w:color w:val="231F20"/>
          <w:spacing w:val="-23"/>
          <w:sz w:val="120"/>
          <w:szCs w:val="120"/>
          <w:lang w:eastAsia="en-GB"/>
        </w:rPr>
        <w:t>SLE patients, we observed a substantial burden of serious</w:t>
      </w:r>
    </w:p>
    <w:p w:rsidR="00613438" w:rsidRPr="00613438" w:rsidRDefault="00613438" w:rsidP="00613438">
      <w:pPr>
        <w:shd w:val="clear" w:color="auto" w:fill="FFFFFF"/>
        <w:spacing w:line="0" w:lineRule="auto"/>
        <w:rPr>
          <w:rFonts w:ascii="ff4" w:eastAsia="Times New Roman" w:hAnsi="ff4" w:cs="Times New Roman"/>
          <w:color w:val="231F20"/>
          <w:spacing w:val="-23"/>
          <w:sz w:val="120"/>
          <w:szCs w:val="120"/>
          <w:lang w:eastAsia="en-GB"/>
        </w:rPr>
      </w:pPr>
      <w:r w:rsidRPr="00613438">
        <w:rPr>
          <w:rFonts w:ascii="ff4" w:eastAsia="Times New Roman" w:hAnsi="ff4" w:cs="Times New Roman"/>
          <w:color w:val="231F20"/>
          <w:spacing w:val="-23"/>
          <w:sz w:val="120"/>
          <w:szCs w:val="120"/>
          <w:lang w:eastAsia="en-GB"/>
        </w:rPr>
        <w:t>infections with many subsequent deaths, particularly</w:t>
      </w:r>
    </w:p>
    <w:p w:rsidR="00613438" w:rsidRPr="00613438" w:rsidRDefault="00613438" w:rsidP="00613438">
      <w:pPr>
        <w:shd w:val="clear" w:color="auto" w:fill="FFFFFF"/>
        <w:spacing w:line="0" w:lineRule="auto"/>
        <w:rPr>
          <w:rFonts w:ascii="ff4" w:eastAsia="Times New Roman" w:hAnsi="ff4" w:cs="Times New Roman"/>
          <w:color w:val="231F20"/>
          <w:spacing w:val="-22"/>
          <w:sz w:val="120"/>
          <w:szCs w:val="120"/>
          <w:lang w:eastAsia="en-GB"/>
        </w:rPr>
      </w:pPr>
      <w:r w:rsidRPr="00613438">
        <w:rPr>
          <w:rFonts w:ascii="ff4" w:eastAsia="Times New Roman" w:hAnsi="ff4" w:cs="Times New Roman"/>
          <w:color w:val="231F20"/>
          <w:spacing w:val="-22"/>
          <w:sz w:val="120"/>
          <w:szCs w:val="120"/>
          <w:lang w:eastAsia="en-GB"/>
        </w:rPr>
        <w:t>among those with LN.</w:t>
      </w:r>
    </w:p>
    <w:p w:rsidR="002F07C7" w:rsidRDefault="002F07C7" w:rsidP="002F07C7"/>
    <w:p w:rsidR="002F07C7" w:rsidRPr="002F07C7" w:rsidRDefault="002F07C7" w:rsidP="002F07C7"/>
    <w:p w:rsidR="0025169F" w:rsidRDefault="0025169F">
      <w:pPr>
        <w:spacing w:after="200"/>
        <w:rPr>
          <w:rFonts w:eastAsiaTheme="majorEastAsia"/>
          <w:b/>
          <w:bCs/>
          <w:iCs/>
          <w:sz w:val="24"/>
        </w:rPr>
      </w:pPr>
      <w:r>
        <w:br w:type="page"/>
      </w:r>
    </w:p>
    <w:p w:rsidR="009C487B" w:rsidRPr="00A73BE5" w:rsidRDefault="009C487B" w:rsidP="00895E2E">
      <w:pPr>
        <w:pStyle w:val="Heading4"/>
        <w:spacing w:line="360" w:lineRule="auto"/>
        <w:jc w:val="both"/>
        <w:rPr>
          <w:rFonts w:ascii="Arial" w:hAnsi="Arial" w:cs="Arial"/>
        </w:rPr>
      </w:pPr>
      <w:r w:rsidRPr="00A73BE5">
        <w:rPr>
          <w:rFonts w:ascii="Arial" w:hAnsi="Arial" w:cs="Arial"/>
        </w:rPr>
        <w:lastRenderedPageBreak/>
        <w:t>Introduction</w:t>
      </w:r>
    </w:p>
    <w:p w:rsidR="00EF5862" w:rsidRPr="00391618" w:rsidRDefault="00096E1D" w:rsidP="00463D40">
      <w:pPr>
        <w:spacing w:line="360" w:lineRule="auto"/>
        <w:jc w:val="both"/>
        <w:rPr>
          <w:highlight w:val="yellow"/>
        </w:rPr>
      </w:pPr>
      <w:r>
        <w:t>Pain in the neck and/or shoulder(s) is a common problem in people of working age</w:t>
      </w:r>
      <w:r w:rsidR="00B93624">
        <w:t>, and an important cause of disability</w:t>
      </w:r>
      <w:r>
        <w:t xml:space="preserve">.  Like other regional pain, it may arise from identifiable musculoskeletal pathology – for example, cervical </w:t>
      </w:r>
      <w:r w:rsidR="00A73BE5">
        <w:t>spondylitis</w:t>
      </w:r>
      <w:r>
        <w:t xml:space="preserve"> or </w:t>
      </w:r>
      <w:r w:rsidR="00D22D50">
        <w:t>sub-acromial bursitis</w:t>
      </w:r>
      <w:r>
        <w:t xml:space="preserve">.  However, </w:t>
      </w:r>
      <w:r w:rsidR="003A407E">
        <w:t>the relationship of such abnormalities to symptoms is imperfect [</w:t>
      </w:r>
      <w:r w:rsidR="00172626">
        <w:t>17</w:t>
      </w:r>
      <w:r w:rsidR="003A407E">
        <w:t>], and their occurrence in association with pain</w:t>
      </w:r>
      <w:r w:rsidR="00764976">
        <w:t xml:space="preserve"> </w:t>
      </w:r>
      <w:r w:rsidR="003A407E">
        <w:t>does</w:t>
      </w:r>
      <w:r w:rsidR="00361F12">
        <w:t xml:space="preserve"> not necessarily </w:t>
      </w:r>
      <w:r w:rsidR="003A407E">
        <w:t>imply that they are responsible for it</w:t>
      </w:r>
      <w:r w:rsidR="006C5A16">
        <w:t xml:space="preserve">.  </w:t>
      </w:r>
      <w:r w:rsidR="008E760B">
        <w:t>Furthermore</w:t>
      </w:r>
      <w:r w:rsidR="006C5A16">
        <w:t xml:space="preserve">, </w:t>
      </w:r>
      <w:r w:rsidR="003A407E">
        <w:t>some</w:t>
      </w:r>
      <w:r w:rsidR="006C5A16">
        <w:t xml:space="preserve"> modes</w:t>
      </w:r>
      <w:r w:rsidR="00D22D50">
        <w:t xml:space="preserve"> </w:t>
      </w:r>
      <w:r w:rsidR="003A407E">
        <w:t xml:space="preserve">of investigation that might be used to detect </w:t>
      </w:r>
      <w:r w:rsidR="008E760B">
        <w:t xml:space="preserve">relevant </w:t>
      </w:r>
      <w:r w:rsidR="003A407E">
        <w:t xml:space="preserve">pathology, </w:t>
      </w:r>
      <w:r w:rsidR="008E760B">
        <w:t>in particular</w:t>
      </w:r>
      <w:r w:rsidR="003A407E">
        <w:t xml:space="preserve"> </w:t>
      </w:r>
      <w:r w:rsidR="00B8480C">
        <w:t xml:space="preserve">magnetic resonance imaging </w:t>
      </w:r>
      <w:r w:rsidR="003A407E">
        <w:t>(MRI), are relatively expensive and not readily applicable in large surveys.</w:t>
      </w:r>
      <w:r w:rsidR="005F79D7">
        <w:t xml:space="preserve"> </w:t>
      </w:r>
      <w:r w:rsidR="003A407E">
        <w:t xml:space="preserve"> </w:t>
      </w:r>
      <w:r w:rsidR="006C5A16">
        <w:t>Most</w:t>
      </w:r>
      <w:r w:rsidR="005F79D7">
        <w:t xml:space="preserve"> </w:t>
      </w:r>
      <w:r w:rsidR="00536244">
        <w:t xml:space="preserve">epidemiological studies </w:t>
      </w:r>
      <w:r w:rsidR="006C5A16">
        <w:t xml:space="preserve">of neck and shoulder pain have therefore </w:t>
      </w:r>
      <w:r w:rsidR="00536244">
        <w:t>define</w:t>
      </w:r>
      <w:r w:rsidR="006C5A16">
        <w:t>d</w:t>
      </w:r>
      <w:r w:rsidR="00536244">
        <w:t xml:space="preserve"> cases by the </w:t>
      </w:r>
      <w:r w:rsidR="008E760B">
        <w:t>occurrence</w:t>
      </w:r>
      <w:r w:rsidR="00536244">
        <w:t xml:space="preserve"> and </w:t>
      </w:r>
      <w:r w:rsidR="005F79D7">
        <w:t>characteristics</w:t>
      </w:r>
      <w:r w:rsidR="00536244">
        <w:t xml:space="preserve"> of </w:t>
      </w:r>
      <w:r w:rsidR="005F79D7">
        <w:t>symptoms</w:t>
      </w:r>
      <w:r w:rsidR="00536244">
        <w:t xml:space="preserve">.  </w:t>
      </w:r>
      <w:r w:rsidR="003A407E">
        <w:t>Moreover</w:t>
      </w:r>
      <w:r w:rsidR="00536244">
        <w:t xml:space="preserve">, because </w:t>
      </w:r>
      <w:r w:rsidR="008E760B">
        <w:t xml:space="preserve">neck/shoulder </w:t>
      </w:r>
      <w:r w:rsidR="00E039FC">
        <w:t xml:space="preserve">pain </w:t>
      </w:r>
      <w:r w:rsidR="000D65B9">
        <w:t>can be</w:t>
      </w:r>
      <w:r w:rsidR="007F1AD6">
        <w:t xml:space="preserve"> </w:t>
      </w:r>
      <w:r w:rsidR="00764976">
        <w:t xml:space="preserve">difficult for patients to localise precisely and </w:t>
      </w:r>
      <w:r w:rsidR="000D65B9">
        <w:t>commonly</w:t>
      </w:r>
      <w:r w:rsidR="00764976">
        <w:t xml:space="preserve"> </w:t>
      </w:r>
      <w:r w:rsidR="000D65B9">
        <w:t>extend</w:t>
      </w:r>
      <w:r w:rsidR="00764976">
        <w:t xml:space="preserve">s </w:t>
      </w:r>
      <w:r w:rsidR="000D65B9">
        <w:t xml:space="preserve">across </w:t>
      </w:r>
      <w:r w:rsidR="00764976">
        <w:t xml:space="preserve">both </w:t>
      </w:r>
      <w:r w:rsidR="000D65B9">
        <w:t>the neck and shoulders</w:t>
      </w:r>
      <w:r w:rsidR="007F1AD6">
        <w:t xml:space="preserve">, </w:t>
      </w:r>
      <w:r w:rsidR="000C7982">
        <w:t xml:space="preserve">it has </w:t>
      </w:r>
      <w:r w:rsidR="00764976">
        <w:t xml:space="preserve">often </w:t>
      </w:r>
      <w:r w:rsidR="000C7982">
        <w:t xml:space="preserve">been </w:t>
      </w:r>
      <w:r w:rsidR="00764976">
        <w:t>treat</w:t>
      </w:r>
      <w:r w:rsidR="000C7982">
        <w:t>ed</w:t>
      </w:r>
      <w:r w:rsidR="00764976">
        <w:t xml:space="preserve"> </w:t>
      </w:r>
      <w:r w:rsidR="007B75F3">
        <w:t>as a single diagnostic entity.</w:t>
      </w:r>
      <w:r w:rsidR="00984D59">
        <w:t xml:space="preserve">  </w:t>
      </w:r>
      <w:r w:rsidR="00764976">
        <w:t xml:space="preserve">Using </w:t>
      </w:r>
      <w:r w:rsidR="00984D59">
        <w:t xml:space="preserve">this </w:t>
      </w:r>
      <w:r w:rsidR="00984D59" w:rsidRPr="00391618">
        <w:t xml:space="preserve">approach, </w:t>
      </w:r>
      <w:r w:rsidR="008E760B">
        <w:t>it</w:t>
      </w:r>
      <w:r w:rsidR="00984D59" w:rsidRPr="00391618">
        <w:t xml:space="preserve"> ha</w:t>
      </w:r>
      <w:r w:rsidR="000D65B9">
        <w:t>s</w:t>
      </w:r>
      <w:r w:rsidR="00984D59" w:rsidRPr="00391618">
        <w:t xml:space="preserve"> been linked with occupational physical activities </w:t>
      </w:r>
      <w:r w:rsidR="00984D59" w:rsidRPr="005A330B">
        <w:t>such as</w:t>
      </w:r>
      <w:r w:rsidR="00391618" w:rsidRPr="005A330B">
        <w:t xml:space="preserve"> </w:t>
      </w:r>
      <w:r w:rsidR="000D65B9">
        <w:t>manual materials handling [</w:t>
      </w:r>
      <w:r w:rsidR="00172626">
        <w:t>20</w:t>
      </w:r>
      <w:r w:rsidR="000D65B9">
        <w:t>],</w:t>
      </w:r>
      <w:r w:rsidR="00EF5862" w:rsidRPr="00391618">
        <w:t xml:space="preserve"> </w:t>
      </w:r>
      <w:r w:rsidR="000D65B9">
        <w:t>awkward postures [</w:t>
      </w:r>
      <w:r w:rsidR="00172626">
        <w:t>2</w:t>
      </w:r>
      <w:r w:rsidR="000F0F4E">
        <w:t>,</w:t>
      </w:r>
      <w:r w:rsidR="00172626">
        <w:t>20</w:t>
      </w:r>
      <w:r w:rsidR="000F0F4E">
        <w:t>,</w:t>
      </w:r>
      <w:r w:rsidR="00172626">
        <w:t>24</w:t>
      </w:r>
      <w:r w:rsidR="000D65B9">
        <w:t>],</w:t>
      </w:r>
      <w:r w:rsidR="00391618">
        <w:t xml:space="preserve"> and</w:t>
      </w:r>
      <w:r w:rsidR="00EF5862" w:rsidRPr="00391618">
        <w:t xml:space="preserve"> </w:t>
      </w:r>
      <w:r w:rsidR="00391618">
        <w:t>u</w:t>
      </w:r>
      <w:r w:rsidR="00EF5862" w:rsidRPr="00391618">
        <w:t>se of</w:t>
      </w:r>
      <w:r w:rsidR="00764976">
        <w:t xml:space="preserve"> </w:t>
      </w:r>
      <w:r w:rsidR="000D65B9">
        <w:t>computers [</w:t>
      </w:r>
      <w:r w:rsidR="00172626">
        <w:t>28</w:t>
      </w:r>
      <w:r w:rsidR="000D65B9">
        <w:t xml:space="preserve">]; </w:t>
      </w:r>
      <w:r w:rsidR="00764976">
        <w:t>psychological factors such as low mood</w:t>
      </w:r>
      <w:r w:rsidR="000D65B9">
        <w:t xml:space="preserve"> [</w:t>
      </w:r>
      <w:r w:rsidR="00172626">
        <w:t>8</w:t>
      </w:r>
      <w:r w:rsidR="000D65B9">
        <w:t>]</w:t>
      </w:r>
      <w:r w:rsidR="00764976">
        <w:t xml:space="preserve"> and tendency to somatise</w:t>
      </w:r>
      <w:r w:rsidR="000D65B9">
        <w:t xml:space="preserve"> [</w:t>
      </w:r>
      <w:r w:rsidR="00172626">
        <w:t>15</w:t>
      </w:r>
      <w:r w:rsidR="000369A0">
        <w:t>]</w:t>
      </w:r>
      <w:r w:rsidR="000D65B9">
        <w:t xml:space="preserve">; </w:t>
      </w:r>
      <w:r w:rsidR="00764976">
        <w:t xml:space="preserve">and </w:t>
      </w:r>
      <w:r w:rsidR="00463D40">
        <w:t xml:space="preserve">various </w:t>
      </w:r>
      <w:r w:rsidR="00764976">
        <w:t>p</w:t>
      </w:r>
      <w:r w:rsidR="00984D59" w:rsidRPr="00391618">
        <w:t>sychosocial aspects of work</w:t>
      </w:r>
      <w:r w:rsidR="00463D40">
        <w:t xml:space="preserve"> [</w:t>
      </w:r>
      <w:r w:rsidR="004F2208">
        <w:t>16</w:t>
      </w:r>
      <w:r w:rsidR="0090371A">
        <w:t>,</w:t>
      </w:r>
      <w:r w:rsidR="004F2208">
        <w:t>21</w:t>
      </w:r>
      <w:r w:rsidR="0090371A">
        <w:t>,</w:t>
      </w:r>
      <w:r w:rsidR="004F2208">
        <w:t>24</w:t>
      </w:r>
      <w:r w:rsidR="00463D40">
        <w:t>].</w:t>
      </w:r>
    </w:p>
    <w:p w:rsidR="00391618" w:rsidRPr="00391618" w:rsidRDefault="00391618" w:rsidP="00CF72F7">
      <w:pPr>
        <w:spacing w:line="360" w:lineRule="auto"/>
        <w:ind w:firstLine="567"/>
        <w:jc w:val="both"/>
      </w:pPr>
    </w:p>
    <w:p w:rsidR="00D24B7E" w:rsidRDefault="00E039FC" w:rsidP="00463D40">
      <w:pPr>
        <w:spacing w:line="360" w:lineRule="auto"/>
        <w:jc w:val="both"/>
      </w:pPr>
      <w:r>
        <w:t xml:space="preserve">The merits of </w:t>
      </w:r>
      <w:r w:rsidR="005F79D7">
        <w:t>aggregating all pain in the neck and shoulder region</w:t>
      </w:r>
      <w:r>
        <w:t xml:space="preserve"> will depend on whether there are identifiable subsets of </w:t>
      </w:r>
      <w:r w:rsidR="005F79D7">
        <w:t>cases</w:t>
      </w:r>
      <w:r w:rsidR="008D5D78">
        <w:t xml:space="preserve"> </w:t>
      </w:r>
      <w:r w:rsidR="005F79D7">
        <w:t>that</w:t>
      </w:r>
      <w:r w:rsidR="008D5D78">
        <w:t xml:space="preserve"> differ importantly in their causes, prognosis or response to </w:t>
      </w:r>
      <w:r w:rsidR="008D5D78" w:rsidRPr="00E07334">
        <w:t>treatment</w:t>
      </w:r>
      <w:r w:rsidR="00903A6B">
        <w:t xml:space="preserve"> </w:t>
      </w:r>
      <w:r w:rsidR="00463D40">
        <w:t>[</w:t>
      </w:r>
      <w:r w:rsidR="004F2208">
        <w:t>4</w:t>
      </w:r>
      <w:r w:rsidR="00463D40">
        <w:t>]</w:t>
      </w:r>
      <w:r w:rsidR="00903A6B">
        <w:t>.</w:t>
      </w:r>
      <w:r w:rsidR="005F79D7" w:rsidRPr="00E07334">
        <w:t xml:space="preserve"> </w:t>
      </w:r>
      <w:r w:rsidR="00C40365">
        <w:t xml:space="preserve"> For example, </w:t>
      </w:r>
      <w:r w:rsidR="000E3846">
        <w:t>pain in the neck</w:t>
      </w:r>
      <w:r w:rsidR="00ED192A">
        <w:t>/</w:t>
      </w:r>
      <w:r w:rsidR="000E3846">
        <w:t>shoulder</w:t>
      </w:r>
      <w:r w:rsidR="00ED192A">
        <w:t xml:space="preserve"> is often accompanied by pain at other anatomical sites [</w:t>
      </w:r>
      <w:r w:rsidR="004F2208">
        <w:t>1,13,14,25</w:t>
      </w:r>
      <w:r w:rsidR="00ED192A">
        <w:t xml:space="preserve">].  Pain </w:t>
      </w:r>
      <w:r w:rsidR="003729EA">
        <w:t xml:space="preserve">that is localised only to the neck or shoulder might be more reflective of local pathology, while </w:t>
      </w:r>
      <w:r w:rsidR="00C40365">
        <w:t xml:space="preserve">some psychological factors might show stronger associations with pain which, although involving the neck or shoulder, is more widespread.  </w:t>
      </w:r>
      <w:r w:rsidR="005F79D7">
        <w:t xml:space="preserve">If such distinctions occur then associations with </w:t>
      </w:r>
      <w:r w:rsidR="007E07C4">
        <w:t>cause</w:t>
      </w:r>
      <w:r w:rsidR="005F79D7">
        <w:t xml:space="preserve">s </w:t>
      </w:r>
      <w:r w:rsidR="00D24B7E">
        <w:t xml:space="preserve">and effects of treatment </w:t>
      </w:r>
      <w:r w:rsidR="005F79D7">
        <w:t xml:space="preserve">may be diluted </w:t>
      </w:r>
      <w:r w:rsidR="00D24B7E">
        <w:t xml:space="preserve">when all cases are </w:t>
      </w:r>
      <w:r w:rsidR="006D0AB8">
        <w:t>aggregated</w:t>
      </w:r>
      <w:r w:rsidR="00D24B7E">
        <w:t>.</w:t>
      </w:r>
    </w:p>
    <w:p w:rsidR="00D24B7E" w:rsidRDefault="00D24B7E" w:rsidP="00CF72F7">
      <w:pPr>
        <w:spacing w:line="360" w:lineRule="auto"/>
        <w:ind w:firstLine="567"/>
        <w:jc w:val="both"/>
      </w:pPr>
    </w:p>
    <w:p w:rsidR="008E6E3E" w:rsidRDefault="009430CF" w:rsidP="00463D40">
      <w:pPr>
        <w:spacing w:line="360" w:lineRule="auto"/>
        <w:jc w:val="both"/>
      </w:pPr>
      <w:r>
        <w:t>The CUPID (Cultural and Psychological Influences on Disability) study is a large international investigation in which information about musculoskeletal pain, associated disability, and potential risk factors was collected from workers employed in 47 occupational groups distributed across 18 countries [</w:t>
      </w:r>
      <w:r w:rsidR="004F2208">
        <w:t>5</w:t>
      </w:r>
      <w:r>
        <w:t xml:space="preserve">].  </w:t>
      </w:r>
      <w:r w:rsidR="00D24B7E">
        <w:t xml:space="preserve">To explore whether there are differences between sub-categories of neck/shoulder pain in </w:t>
      </w:r>
      <w:r w:rsidR="007E07C4">
        <w:t>association</w:t>
      </w:r>
      <w:r w:rsidR="00D24B7E">
        <w:t>s and/or prognosis, we analysed data from the CUPID study</w:t>
      </w:r>
      <w:r w:rsidR="003E0EFF">
        <w:t>,</w:t>
      </w:r>
      <w:r w:rsidR="00D24B7E">
        <w:t xml:space="preserve"> </w:t>
      </w:r>
      <w:r w:rsidR="003E0EFF">
        <w:t xml:space="preserve">focusing </w:t>
      </w:r>
      <w:r w:rsidR="00D24B7E">
        <w:t xml:space="preserve">in particular on pain that </w:t>
      </w:r>
      <w:r w:rsidR="00C46D67">
        <w:t>wa</w:t>
      </w:r>
      <w:r w:rsidR="00D24B7E">
        <w:t>s limited to the neck or shoulder</w:t>
      </w:r>
      <w:r w:rsidR="00C46D67">
        <w:t xml:space="preserve"> as compared with more generalised musculoskeletal pain that involved the neck or shoulder but </w:t>
      </w:r>
      <w:r w:rsidR="000C7982">
        <w:t>also</w:t>
      </w:r>
      <w:r w:rsidR="00B73E27">
        <w:t xml:space="preserve"> </w:t>
      </w:r>
      <w:r w:rsidR="00463D40">
        <w:t>affected</w:t>
      </w:r>
      <w:r w:rsidR="00B73E27">
        <w:t xml:space="preserve"> </w:t>
      </w:r>
      <w:r w:rsidR="00C46D67">
        <w:t>other anatomical sites.</w:t>
      </w:r>
      <w:r w:rsidR="003E0EFF">
        <w:t xml:space="preserve">  As well as </w:t>
      </w:r>
      <w:r w:rsidR="000369A0">
        <w:t xml:space="preserve">comparing associations with </w:t>
      </w:r>
      <w:r w:rsidR="003E0EFF">
        <w:t xml:space="preserve">demographic, physical, psychological and psychosocial factors, we examined differences between the sub-categories of pain in their </w:t>
      </w:r>
      <w:r w:rsidR="000369A0">
        <w:t>relative prevalence by</w:t>
      </w:r>
      <w:r w:rsidR="003E0EFF">
        <w:t xml:space="preserve"> occupational group. </w:t>
      </w:r>
      <w:r w:rsidR="00E039FC">
        <w:t xml:space="preserve"> </w:t>
      </w:r>
      <w:r w:rsidR="007F1AD6">
        <w:t xml:space="preserve"> </w:t>
      </w:r>
    </w:p>
    <w:p w:rsidR="008E6E3E" w:rsidRDefault="008E6E3E" w:rsidP="00895E2E">
      <w:pPr>
        <w:spacing w:line="360" w:lineRule="auto"/>
        <w:jc w:val="both"/>
      </w:pPr>
    </w:p>
    <w:p w:rsidR="00D53DC8" w:rsidRDefault="00D53DC8" w:rsidP="00895E2E">
      <w:pPr>
        <w:pStyle w:val="Heading4"/>
        <w:spacing w:line="360" w:lineRule="auto"/>
        <w:jc w:val="both"/>
      </w:pPr>
      <w:r>
        <w:t>Methods</w:t>
      </w:r>
    </w:p>
    <w:p w:rsidR="009F277B" w:rsidRDefault="00D53DC8" w:rsidP="00463D40">
      <w:pPr>
        <w:spacing w:line="360" w:lineRule="auto"/>
        <w:jc w:val="both"/>
      </w:pPr>
      <w:r>
        <w:t xml:space="preserve">During 2006-11, baseline information was collected by questionnaire from 47 occupational groups in 18 countries.  </w:t>
      </w:r>
      <w:r w:rsidR="009F277B">
        <w:t xml:space="preserve">Participants were aged 20-59 years, and had been employed in their </w:t>
      </w:r>
      <w:r w:rsidR="00766359">
        <w:t xml:space="preserve">current </w:t>
      </w:r>
      <w:r w:rsidR="009F277B">
        <w:t>job for at least 12 months.  The occupational groups fell into three broad categories – nurses, office workers and other workers</w:t>
      </w:r>
      <w:r w:rsidR="00463D40">
        <w:t xml:space="preserve"> (mostly carrying out manual tasks with their arms</w:t>
      </w:r>
      <w:r w:rsidR="007E45F4">
        <w:t xml:space="preserve">). In most </w:t>
      </w:r>
      <w:r w:rsidR="000369A0">
        <w:t>groups</w:t>
      </w:r>
      <w:r w:rsidR="007E45F4">
        <w:t xml:space="preserve">, potentially eligible subjects were identified from employers’ records, </w:t>
      </w:r>
      <w:r w:rsidR="003056F3">
        <w:t>in some cases</w:t>
      </w:r>
      <w:r w:rsidR="007E45F4">
        <w:t xml:space="preserve"> with random sampling to achieve the desired sample size (at least 200 per group if possible).  T</w:t>
      </w:r>
      <w:r w:rsidR="00766359">
        <w:t xml:space="preserve">he number of </w:t>
      </w:r>
      <w:r w:rsidR="00A4280F">
        <w:t>participants</w:t>
      </w:r>
      <w:r w:rsidR="00766359">
        <w:t xml:space="preserve"> by group (mean response rate = 70%</w:t>
      </w:r>
      <w:r w:rsidR="00F948D5">
        <w:t xml:space="preserve">, </w:t>
      </w:r>
      <w:r w:rsidR="007E45F4">
        <w:t>response rate &gt;80% in 33 of the 47 groups</w:t>
      </w:r>
      <w:r w:rsidR="00766359">
        <w:t xml:space="preserve">) </w:t>
      </w:r>
      <w:r w:rsidR="009F277B">
        <w:t xml:space="preserve">varied from </w:t>
      </w:r>
      <w:r w:rsidR="00766359">
        <w:t>92</w:t>
      </w:r>
      <w:r w:rsidR="009F277B">
        <w:t xml:space="preserve"> to </w:t>
      </w:r>
      <w:r w:rsidR="00766359">
        <w:t>1018</w:t>
      </w:r>
      <w:r w:rsidR="00A4280F">
        <w:t>, giving a total sample size of 12,426</w:t>
      </w:r>
      <w:r w:rsidR="009F277B">
        <w:t>.</w:t>
      </w:r>
      <w:r w:rsidR="00F948D5">
        <w:t xml:space="preserve"> </w:t>
      </w:r>
    </w:p>
    <w:p w:rsidR="009F277B" w:rsidRDefault="009F277B" w:rsidP="00895E2E">
      <w:pPr>
        <w:spacing w:line="360" w:lineRule="auto"/>
        <w:jc w:val="both"/>
      </w:pPr>
    </w:p>
    <w:p w:rsidR="00035A2B" w:rsidRDefault="009F277B" w:rsidP="00463D40">
      <w:pPr>
        <w:spacing w:line="360" w:lineRule="auto"/>
        <w:jc w:val="both"/>
      </w:pPr>
      <w:r>
        <w:t xml:space="preserve">The questionnaire, which was </w:t>
      </w:r>
      <w:r w:rsidR="006D0AB8">
        <w:t xml:space="preserve">completed either by </w:t>
      </w:r>
      <w:r>
        <w:t>self-</w:t>
      </w:r>
      <w:r w:rsidR="006D0AB8">
        <w:t>administration or</w:t>
      </w:r>
      <w:r>
        <w:t xml:space="preserve"> at interview</w:t>
      </w:r>
      <w:r w:rsidR="006D0AB8">
        <w:t>,</w:t>
      </w:r>
      <w:r>
        <w:t xml:space="preserve"> was </w:t>
      </w:r>
      <w:r w:rsidR="00463D40">
        <w:t xml:space="preserve">originally </w:t>
      </w:r>
      <w:r>
        <w:t xml:space="preserve">drafted in English and then translated into local languages where necessary, with independent back-translation to ensure accuracy.  </w:t>
      </w:r>
      <w:r w:rsidR="00035A2B">
        <w:t xml:space="preserve">Among other things, it covered demographic characteristics (sex and age), occupational activities (in an average working day), psychosocial aspects of work, somatising tendency, mental health, beliefs about arm pain, </w:t>
      </w:r>
      <w:r w:rsidR="003D4D6F">
        <w:t xml:space="preserve">and </w:t>
      </w:r>
      <w:r w:rsidR="00A4280F">
        <w:t xml:space="preserve">experience of </w:t>
      </w:r>
      <w:r w:rsidR="00035A2B">
        <w:t>musculoskeletal pain and associated disability.</w:t>
      </w:r>
    </w:p>
    <w:p w:rsidR="00035A2B" w:rsidRDefault="00035A2B" w:rsidP="00CF72F7">
      <w:pPr>
        <w:spacing w:line="360" w:lineRule="auto"/>
        <w:ind w:firstLine="567"/>
        <w:jc w:val="both"/>
      </w:pPr>
    </w:p>
    <w:p w:rsidR="00A52B38" w:rsidRDefault="00035A2B" w:rsidP="00463D40">
      <w:pPr>
        <w:spacing w:line="360" w:lineRule="auto"/>
        <w:jc w:val="both"/>
      </w:pPr>
      <w:r>
        <w:t xml:space="preserve">Somatising tendency was assessed through questions taken from the Brief Symptom Inventory </w:t>
      </w:r>
      <w:r w:rsidR="0094479E">
        <w:t>[</w:t>
      </w:r>
      <w:r w:rsidR="004F2208">
        <w:t>9</w:t>
      </w:r>
      <w:r w:rsidR="0094479E">
        <w:t>],</w:t>
      </w:r>
      <w:r w:rsidRPr="00155007">
        <w:t xml:space="preserve"> </w:t>
      </w:r>
      <w:r>
        <w:t xml:space="preserve">and was classified according to the number of symptoms from a total of </w:t>
      </w:r>
      <w:r w:rsidR="00A4280F">
        <w:t>five</w:t>
      </w:r>
      <w:r>
        <w:t xml:space="preserve"> (</w:t>
      </w:r>
      <w:r w:rsidR="00A4280F">
        <w:t>faintness or dizziness, pains in the heart or chest, nausea or upset stomach, trouble getting breath and hot or cold spells</w:t>
      </w:r>
      <w:r>
        <w:t xml:space="preserve">) that had been at least moderately distressing during the past week.  Mental health was ascertained using </w:t>
      </w:r>
      <w:r w:rsidR="00A52B38">
        <w:t>element</w:t>
      </w:r>
      <w:r>
        <w:t xml:space="preserve">s from the Short Form-36 (SF-36) </w:t>
      </w:r>
      <w:r w:rsidR="00A52B38">
        <w:t>questionnaire</w:t>
      </w:r>
      <w:r w:rsidR="0028211D">
        <w:t xml:space="preserve"> [</w:t>
      </w:r>
      <w:r w:rsidR="004F2208">
        <w:t>29</w:t>
      </w:r>
      <w:r w:rsidR="0028211D">
        <w:t>]</w:t>
      </w:r>
      <w:r w:rsidR="00A52B38">
        <w:t xml:space="preserve">, and was graded to three levels (good, intermediate and poor) representing approximate thirds of the distribution of scores in the full study sample.  </w:t>
      </w:r>
      <w:r w:rsidR="003C0298">
        <w:t>Questions on beliefs about arm pain were adapted from the Fear Avoidance Beliefs Questionnaire [</w:t>
      </w:r>
      <w:r w:rsidR="004F2208">
        <w:t>27</w:t>
      </w:r>
      <w:r w:rsidR="003C0298">
        <w:t xml:space="preserve">].  </w:t>
      </w:r>
      <w:r w:rsidR="00A52B38">
        <w:t xml:space="preserve">Participants were classed as having adverse beliefs about the work-relatedness of arm pain if </w:t>
      </w:r>
      <w:r w:rsidR="00A4280F">
        <w:t>they completely agreed that such pain is commonly caused by work</w:t>
      </w:r>
      <w:r w:rsidR="00A52B38">
        <w:t xml:space="preserve">; about the impact of physical activity if </w:t>
      </w:r>
      <w:r w:rsidR="00A4280F">
        <w:t xml:space="preserve">they completely agreed that for someone with such pain, physical activity should be avoided as it might cause harm, and </w:t>
      </w:r>
      <w:r w:rsidR="00463D40">
        <w:t xml:space="preserve">that </w:t>
      </w:r>
      <w:r w:rsidR="00A4280F">
        <w:t>rest is needed to get better</w:t>
      </w:r>
      <w:r w:rsidR="00A52B38">
        <w:t xml:space="preserve">; and about its prognosis if </w:t>
      </w:r>
      <w:r w:rsidR="00A4280F">
        <w:t>the</w:t>
      </w:r>
      <w:r w:rsidR="00B73E27">
        <w:t>y</w:t>
      </w:r>
      <w:r w:rsidR="00A4280F">
        <w:t xml:space="preserve"> completely agreed that neglecting such problems can cause serious harm, and completely disagreed that such problems usually get better within three months</w:t>
      </w:r>
      <w:r w:rsidR="00A52B38">
        <w:t>.</w:t>
      </w:r>
    </w:p>
    <w:p w:rsidR="00A52B38" w:rsidRDefault="00A52B38" w:rsidP="00895E2E">
      <w:pPr>
        <w:spacing w:line="360" w:lineRule="auto"/>
        <w:jc w:val="both"/>
      </w:pPr>
    </w:p>
    <w:p w:rsidR="000D746F" w:rsidRDefault="00A52B38" w:rsidP="00463D40">
      <w:pPr>
        <w:spacing w:line="360" w:lineRule="auto"/>
        <w:jc w:val="both"/>
      </w:pPr>
      <w:r>
        <w:t>The questions about musculoskeletal pain concerned 10 anatomical sites (low back</w:t>
      </w:r>
      <w:r w:rsidR="00C40365">
        <w:t xml:space="preserve">; </w:t>
      </w:r>
      <w:r>
        <w:t>neck</w:t>
      </w:r>
      <w:r w:rsidR="00C40365">
        <w:t xml:space="preserve">; </w:t>
      </w:r>
      <w:r>
        <w:t xml:space="preserve">and left and right shoulder, elbow, wrist/hand and knee), which were illustrated </w:t>
      </w:r>
      <w:r w:rsidR="00463D40">
        <w:t>with</w:t>
      </w:r>
      <w:r>
        <w:t xml:space="preserve"> </w:t>
      </w:r>
      <w:r w:rsidR="00B73E27">
        <w:t xml:space="preserve">body </w:t>
      </w:r>
      <w:r w:rsidR="00B73E27">
        <w:lastRenderedPageBreak/>
        <w:t>mannequins</w:t>
      </w:r>
      <w:r>
        <w:t>.</w:t>
      </w:r>
      <w:r w:rsidR="00DC1DD6">
        <w:t xml:space="preserve">  </w:t>
      </w:r>
      <w:r w:rsidR="00463D40">
        <w:t>For each site, p</w:t>
      </w:r>
      <w:r w:rsidR="00DC1DD6">
        <w:t xml:space="preserve">articipants were asked whether they had experienced pain </w:t>
      </w:r>
      <w:r w:rsidR="00C00196">
        <w:t xml:space="preserve">that had lasted for longer than a day </w:t>
      </w:r>
      <w:r w:rsidR="00B73E27">
        <w:t xml:space="preserve">(a) </w:t>
      </w:r>
      <w:r w:rsidR="00DC1DD6">
        <w:t xml:space="preserve">during the past 12 months and </w:t>
      </w:r>
      <w:r w:rsidR="00B73E27">
        <w:t xml:space="preserve">(b) during the </w:t>
      </w:r>
      <w:r w:rsidR="00DC1DD6">
        <w:t>past month.</w:t>
      </w:r>
      <w:r>
        <w:t xml:space="preserve">  </w:t>
      </w:r>
      <w:r w:rsidR="000D746F">
        <w:t xml:space="preserve">Pain in the neck or shoulder was classed as disabling if it had made it difficult or impossible to </w:t>
      </w:r>
      <w:r w:rsidR="00DC1DD6">
        <w:t>get dressed, do normal jobs around the house, or (for shoulder only) comb/brush hair or bath/shower</w:t>
      </w:r>
      <w:r w:rsidR="000D746F">
        <w:t>.</w:t>
      </w:r>
    </w:p>
    <w:p w:rsidR="000D746F" w:rsidRDefault="000D746F" w:rsidP="00CF72F7">
      <w:pPr>
        <w:spacing w:line="360" w:lineRule="auto"/>
        <w:ind w:firstLine="567"/>
        <w:jc w:val="both"/>
      </w:pPr>
    </w:p>
    <w:p w:rsidR="00CC38A7" w:rsidRDefault="000D746F" w:rsidP="00F97DD8">
      <w:pPr>
        <w:spacing w:line="360" w:lineRule="auto"/>
        <w:jc w:val="both"/>
      </w:pPr>
      <w:r>
        <w:t xml:space="preserve">Approximately </w:t>
      </w:r>
      <w:r w:rsidR="00B8480C">
        <w:t xml:space="preserve">14 </w:t>
      </w:r>
      <w:r>
        <w:t>months after baseline, partic</w:t>
      </w:r>
      <w:r w:rsidR="009E6113">
        <w:t>i</w:t>
      </w:r>
      <w:r>
        <w:t>pants from</w:t>
      </w:r>
      <w:r w:rsidR="009E6113">
        <w:t xml:space="preserve"> </w:t>
      </w:r>
      <w:r w:rsidR="00B8480C">
        <w:t xml:space="preserve">45 </w:t>
      </w:r>
      <w:r w:rsidR="009E6113">
        <w:t>occupational groups who had given consent, were</w:t>
      </w:r>
      <w:r>
        <w:t xml:space="preserve"> </w:t>
      </w:r>
      <w:r w:rsidR="009E6113">
        <w:t>asked to complete a shorter follow-up questionnaire, which used identical questions to ascertain experience of musculoskeletal pain in the past month.</w:t>
      </w:r>
      <w:r w:rsidR="004F02CE">
        <w:t xml:space="preserve">  Follow-up was not possible for office workers in </w:t>
      </w:r>
      <w:r w:rsidR="007B5B3D">
        <w:t>South Africa</w:t>
      </w:r>
      <w:r w:rsidR="00F97DD8">
        <w:t xml:space="preserve"> </w:t>
      </w:r>
      <w:r w:rsidR="00B73E27">
        <w:t>or</w:t>
      </w:r>
      <w:r w:rsidR="004F02CE">
        <w:t xml:space="preserve"> </w:t>
      </w:r>
      <w:r w:rsidR="00F97DD8">
        <w:t xml:space="preserve">for </w:t>
      </w:r>
      <w:r w:rsidR="007B5B3D">
        <w:t>manual workers in Costa Rica</w:t>
      </w:r>
      <w:r w:rsidR="004F02CE">
        <w:t>.</w:t>
      </w:r>
      <w:r w:rsidR="00CF72F7">
        <w:t xml:space="preserve"> </w:t>
      </w:r>
      <w:r w:rsidR="00CC38A7">
        <w:t>Further details of the methods of data collection in the CUPID stud</w:t>
      </w:r>
      <w:r w:rsidR="00155007">
        <w:t xml:space="preserve">y have been reported elsewhere </w:t>
      </w:r>
      <w:r w:rsidR="00C00196">
        <w:t>[</w:t>
      </w:r>
      <w:r w:rsidR="004F2208">
        <w:t>5</w:t>
      </w:r>
      <w:r w:rsidR="00C00196">
        <w:t>].</w:t>
      </w:r>
    </w:p>
    <w:p w:rsidR="00CC38A7" w:rsidRDefault="00CC38A7" w:rsidP="00895E2E">
      <w:pPr>
        <w:spacing w:line="360" w:lineRule="auto"/>
        <w:jc w:val="both"/>
      </w:pPr>
    </w:p>
    <w:p w:rsidR="005825D8" w:rsidRDefault="009E6113" w:rsidP="00F97DD8">
      <w:pPr>
        <w:spacing w:line="360" w:lineRule="auto"/>
        <w:jc w:val="both"/>
      </w:pPr>
      <w:r>
        <w:t xml:space="preserve">Statistical analysis was carried out with Stata version </w:t>
      </w:r>
      <w:r w:rsidRPr="00B957C8">
        <w:t>12.1</w:t>
      </w:r>
      <w:r>
        <w:t xml:space="preserve"> software (Stata Corp LP, College Station TX, USA), and focused on the one-month prevalence at baseline of two main categories of pain: localised neck/shoulder pain (LNSP) and generalised pain involving the neck or shoulder</w:t>
      </w:r>
      <w:r w:rsidR="002004AC">
        <w:t>(</w:t>
      </w:r>
      <w:r>
        <w:t>s</w:t>
      </w:r>
      <w:r w:rsidR="002004AC">
        <w:t>)</w:t>
      </w:r>
      <w:r>
        <w:t xml:space="preserve"> (GPNS).  The former was defined as pain in the neck and/or shoulder(s) with no pain at any of the other seven anatomical sites during the past 12 months.  </w:t>
      </w:r>
      <w:r w:rsidR="004A25E5">
        <w:t xml:space="preserve">Neck or shoulder pain </w:t>
      </w:r>
      <w:r w:rsidR="00B73E27">
        <w:t xml:space="preserve">during </w:t>
      </w:r>
      <w:r w:rsidR="00DC1DD6">
        <w:t xml:space="preserve">the past month </w:t>
      </w:r>
      <w:r w:rsidR="004A25E5">
        <w:t xml:space="preserve">that occurred in </w:t>
      </w:r>
      <w:r w:rsidR="00F97DD8">
        <w:t>a</w:t>
      </w:r>
      <w:r w:rsidR="004A25E5">
        <w:t xml:space="preserve"> context of pain at </w:t>
      </w:r>
      <w:r w:rsidR="00665ED5">
        <w:t xml:space="preserve">one or more </w:t>
      </w:r>
      <w:r w:rsidR="004A25E5">
        <w:t xml:space="preserve">other anatomical sites during the past </w:t>
      </w:r>
      <w:r w:rsidR="00F97DD8">
        <w:t>12 months</w:t>
      </w:r>
      <w:r w:rsidR="004A25E5">
        <w:t xml:space="preserve"> was classed as </w:t>
      </w:r>
      <w:r>
        <w:t>GPNS</w:t>
      </w:r>
      <w:r w:rsidR="004A25E5">
        <w:t xml:space="preserve">.  Within the category of LNSP, we further distinguished two subsets of cases – those in </w:t>
      </w:r>
      <w:r w:rsidR="00C00196">
        <w:t>whom</w:t>
      </w:r>
      <w:r w:rsidR="004A25E5">
        <w:t xml:space="preserve"> all pain in the past 12 months was restricted to the neck</w:t>
      </w:r>
      <w:r w:rsidR="0064029C">
        <w:t xml:space="preserve"> (localised neck pain)</w:t>
      </w:r>
      <w:r w:rsidR="004A25E5">
        <w:t xml:space="preserve">, and those in </w:t>
      </w:r>
      <w:r w:rsidR="00C00196">
        <w:t>whom</w:t>
      </w:r>
      <w:r w:rsidR="004A25E5">
        <w:t xml:space="preserve"> all pain in the past 12 months was limited to </w:t>
      </w:r>
      <w:r w:rsidR="00F97DD8">
        <w:t>one or both</w:t>
      </w:r>
      <w:r w:rsidR="004A25E5">
        <w:t xml:space="preserve"> shoulder</w:t>
      </w:r>
      <w:r w:rsidR="00F97DD8">
        <w:t>s</w:t>
      </w:r>
      <w:r w:rsidR="0064029C">
        <w:t xml:space="preserve"> (localised shoulder pain)</w:t>
      </w:r>
      <w:r w:rsidR="004A25E5">
        <w:t>.</w:t>
      </w:r>
      <w:r w:rsidR="00366E84">
        <w:t xml:space="preserve"> </w:t>
      </w:r>
    </w:p>
    <w:p w:rsidR="00366E84" w:rsidRDefault="00366E84" w:rsidP="00CF72F7">
      <w:pPr>
        <w:spacing w:line="360" w:lineRule="auto"/>
        <w:ind w:firstLine="567"/>
        <w:jc w:val="both"/>
      </w:pPr>
    </w:p>
    <w:p w:rsidR="002F1C9B" w:rsidRDefault="00366E84" w:rsidP="00F97DD8">
      <w:pPr>
        <w:spacing w:line="360" w:lineRule="auto"/>
        <w:jc w:val="both"/>
      </w:pPr>
      <w:r>
        <w:t>We first used simple descriptive statistics to describe the frequency and severity of different pain outcomes</w:t>
      </w:r>
      <w:r w:rsidR="00DD5020">
        <w:t xml:space="preserve"> at baseline</w:t>
      </w:r>
      <w:r>
        <w:t xml:space="preserve">.  Next, we </w:t>
      </w:r>
      <w:r w:rsidR="00DC1DD6">
        <w:t>applied</w:t>
      </w:r>
      <w:r>
        <w:t xml:space="preserve"> Poisson regression </w:t>
      </w:r>
      <w:r w:rsidR="00CC38A7">
        <w:t xml:space="preserve">with confidence intervals (CIs) </w:t>
      </w:r>
      <w:r w:rsidR="00626938">
        <w:t xml:space="preserve">based on robust standard errors </w:t>
      </w:r>
      <w:r>
        <w:t xml:space="preserve">to assess the </w:t>
      </w:r>
      <w:r w:rsidR="00C40365">
        <w:t xml:space="preserve">cross-sectional </w:t>
      </w:r>
      <w:r w:rsidR="0064029C">
        <w:t xml:space="preserve">association </w:t>
      </w:r>
      <w:r>
        <w:t xml:space="preserve">of </w:t>
      </w:r>
      <w:r w:rsidR="0064029C">
        <w:t xml:space="preserve">various personal and occupational factors with each of LNSP, GPNS, localised neck pain and localised shoulder pain.  In each analysis, the measure of pain was taken as the outcome variable, and the </w:t>
      </w:r>
      <w:r w:rsidR="002F1C9B">
        <w:t>comparison</w:t>
      </w:r>
      <w:r w:rsidR="0064029C">
        <w:t xml:space="preserve"> group was people with no pain in either the neck or shoulders in the past 12 months</w:t>
      </w:r>
      <w:r w:rsidR="00CC38A7">
        <w:t xml:space="preserve">.  </w:t>
      </w:r>
      <w:r w:rsidR="00F97DD8">
        <w:t>T</w:t>
      </w:r>
      <w:r w:rsidR="00CC38A7">
        <w:t xml:space="preserve">o account for possible clustering by occupational group, we </w:t>
      </w:r>
      <w:r w:rsidR="00DC1DD6">
        <w:t>used</w:t>
      </w:r>
      <w:r w:rsidR="00CC38A7">
        <w:t xml:space="preserve"> hierarchical, random intercept modelling</w:t>
      </w:r>
      <w:r w:rsidR="00F97DD8">
        <w:t>, associations being summarised by prevalence rate ratios (PRRs)</w:t>
      </w:r>
      <w:r w:rsidR="00CC38A7">
        <w:t xml:space="preserve">.  </w:t>
      </w:r>
      <w:r w:rsidR="0064029C">
        <w:t xml:space="preserve">To assess the significance of differences in </w:t>
      </w:r>
      <w:r w:rsidR="00FE164A">
        <w:t>association</w:t>
      </w:r>
      <w:r w:rsidR="0064029C">
        <w:t>s for LNSP and GPNS</w:t>
      </w:r>
      <w:r w:rsidR="002F1C9B">
        <w:t>, we carried out a further Poisson regression analysis with GPNS</w:t>
      </w:r>
      <w:r w:rsidR="002F1C9B" w:rsidRPr="003E6352">
        <w:t xml:space="preserve"> as </w:t>
      </w:r>
      <w:r w:rsidR="002F1C9B">
        <w:t>the outcome</w:t>
      </w:r>
      <w:r w:rsidR="002F1C9B" w:rsidRPr="003E6352">
        <w:t xml:space="preserve"> and </w:t>
      </w:r>
      <w:r w:rsidR="002F1C9B">
        <w:t>LNSP</w:t>
      </w:r>
      <w:r w:rsidR="002F1C9B" w:rsidRPr="003E6352">
        <w:t xml:space="preserve"> as </w:t>
      </w:r>
      <w:r w:rsidR="002F1C9B">
        <w:t>the comparator.  Similarly, the significance of differences in associations with localised neck as compared with localised shoulder pain was assessed through a model with localised neck pain as the outcome and localised shoulder pain as the comparator.</w:t>
      </w:r>
    </w:p>
    <w:p w:rsidR="002F1C9B" w:rsidRDefault="002F1C9B" w:rsidP="00F97DD8">
      <w:pPr>
        <w:spacing w:line="360" w:lineRule="auto"/>
        <w:jc w:val="both"/>
      </w:pPr>
    </w:p>
    <w:p w:rsidR="00FB1520" w:rsidRDefault="00CC38A7" w:rsidP="00F97DD8">
      <w:pPr>
        <w:spacing w:line="360" w:lineRule="auto"/>
        <w:jc w:val="both"/>
      </w:pPr>
      <w:r>
        <w:t>We then examined the prevalence of LNSP and GPNS</w:t>
      </w:r>
      <w:r w:rsidR="00366E84">
        <w:t xml:space="preserve"> </w:t>
      </w:r>
      <w:r>
        <w:t xml:space="preserve">by occupational group, </w:t>
      </w:r>
      <w:r w:rsidR="00C00196">
        <w:t>and their correlation after</w:t>
      </w:r>
      <w:r>
        <w:t xml:space="preserve"> adjustment for other factors.  </w:t>
      </w:r>
      <w:r w:rsidR="00FB1520" w:rsidRPr="00FB1520">
        <w:t xml:space="preserve">To derive adjusted prevalence rates, we </w:t>
      </w:r>
      <w:r w:rsidR="0090371A">
        <w:t xml:space="preserve">first </w:t>
      </w:r>
      <w:r w:rsidR="00FB1520" w:rsidRPr="00FB1520">
        <w:t xml:space="preserve">took no </w:t>
      </w:r>
      <w:r w:rsidR="00FB1520">
        <w:t>neck/shoulder pain</w:t>
      </w:r>
      <w:r w:rsidR="00FB1520" w:rsidRPr="00FB1520">
        <w:t xml:space="preserve"> in the past 12 months as a comparator, and estimated PRRs for </w:t>
      </w:r>
      <w:r w:rsidR="00FB1520">
        <w:t>LNSP and GPNS</w:t>
      </w:r>
      <w:r w:rsidR="00FB1520" w:rsidRPr="00FB1520">
        <w:t xml:space="preserve"> in each occupational group relative to a reference (office workers in the UK), using Poisson regression models that included the other factors.  </w:t>
      </w:r>
      <w:r w:rsidR="00FB1520">
        <w:t>Next, we</w:t>
      </w:r>
      <w:r w:rsidR="00FB1520" w:rsidRPr="00FB1520">
        <w:t xml:space="preserve"> calculated the “adjusted numbers” of participants in each occupational group with the two pain outcomes that would give crude PRRs equal to those estimated from the regression model.  </w:t>
      </w:r>
      <w:r w:rsidR="00FB1520">
        <w:t>We then</w:t>
      </w:r>
      <w:r w:rsidR="00FB1520" w:rsidRPr="00FB1520">
        <w:t xml:space="preserve"> used these adjusted numbers to calculate adjusted prevalence rates.</w:t>
      </w:r>
      <w:r>
        <w:t xml:space="preserve">  </w:t>
      </w:r>
    </w:p>
    <w:p w:rsidR="00FB1520" w:rsidRDefault="00FB1520" w:rsidP="00F97DD8">
      <w:pPr>
        <w:spacing w:line="360" w:lineRule="auto"/>
        <w:jc w:val="both"/>
      </w:pPr>
    </w:p>
    <w:p w:rsidR="00F97DD8" w:rsidRDefault="00CC38A7" w:rsidP="00F97DD8">
      <w:pPr>
        <w:spacing w:line="360" w:lineRule="auto"/>
        <w:jc w:val="both"/>
      </w:pPr>
      <w:r>
        <w:t xml:space="preserve">Finally, we explored the prevalence of continuing pain </w:t>
      </w:r>
      <w:r w:rsidR="00695DD0">
        <w:t xml:space="preserve">in the month preceding </w:t>
      </w:r>
      <w:r>
        <w:t>follow-up for different categories</w:t>
      </w:r>
      <w:r w:rsidR="00366E84">
        <w:t xml:space="preserve"> </w:t>
      </w:r>
      <w:r w:rsidR="00CF72F7">
        <w:t xml:space="preserve">neck/shoulder pain at baseline. </w:t>
      </w:r>
    </w:p>
    <w:p w:rsidR="00F97DD8" w:rsidRDefault="00F97DD8" w:rsidP="00F97DD8">
      <w:pPr>
        <w:spacing w:line="360" w:lineRule="auto"/>
        <w:jc w:val="both"/>
      </w:pPr>
    </w:p>
    <w:p w:rsidR="00766359" w:rsidRDefault="00995BA9" w:rsidP="00F97DD8">
      <w:pPr>
        <w:spacing w:line="360" w:lineRule="auto"/>
        <w:jc w:val="both"/>
      </w:pPr>
      <w:r>
        <w:t>Ethical a</w:t>
      </w:r>
      <w:r w:rsidR="00766359">
        <w:t>pproval for the study was provided by the relevant research ethics committee in each participating country</w:t>
      </w:r>
      <w:r w:rsidR="00155007">
        <w:t xml:space="preserve"> </w:t>
      </w:r>
      <w:r w:rsidR="00C00196">
        <w:t>[</w:t>
      </w:r>
      <w:r w:rsidR="004F2208">
        <w:t>5</w:t>
      </w:r>
      <w:r w:rsidR="00C00196">
        <w:t>].</w:t>
      </w:r>
    </w:p>
    <w:p w:rsidR="008E6E3E" w:rsidRDefault="008E6E3E" w:rsidP="00895E2E">
      <w:pPr>
        <w:spacing w:line="360" w:lineRule="auto"/>
        <w:jc w:val="both"/>
      </w:pPr>
    </w:p>
    <w:p w:rsidR="007B3646" w:rsidRDefault="0009078B" w:rsidP="00895E2E">
      <w:pPr>
        <w:pStyle w:val="Heading4"/>
        <w:spacing w:line="360" w:lineRule="auto"/>
        <w:jc w:val="both"/>
      </w:pPr>
      <w:r>
        <w:t>Results</w:t>
      </w:r>
    </w:p>
    <w:p w:rsidR="000D0CE5" w:rsidRPr="00174A92" w:rsidRDefault="00EE4092" w:rsidP="00F97DD8">
      <w:pPr>
        <w:spacing w:line="360" w:lineRule="auto"/>
        <w:jc w:val="both"/>
      </w:pPr>
      <w:r w:rsidRPr="00174A92">
        <w:t>One hundred and ninety of the</w:t>
      </w:r>
      <w:r w:rsidR="0009078B" w:rsidRPr="00174A92">
        <w:t xml:space="preserve"> 12,426 participants were excluded from the analysis because of missing information about </w:t>
      </w:r>
      <w:r w:rsidR="000D0CE5" w:rsidRPr="00174A92">
        <w:t xml:space="preserve">pain in the </w:t>
      </w:r>
      <w:r w:rsidR="0009078B" w:rsidRPr="00174A92">
        <w:t xml:space="preserve">neck </w:t>
      </w:r>
      <w:r w:rsidR="000D0CE5" w:rsidRPr="00174A92">
        <w:t>or shoulders</w:t>
      </w:r>
      <w:r w:rsidR="0009078B" w:rsidRPr="00174A92">
        <w:t xml:space="preserve"> in the past month </w:t>
      </w:r>
      <w:r w:rsidR="006C3F61" w:rsidRPr="00174A92">
        <w:t>and/</w:t>
      </w:r>
      <w:r w:rsidR="0009078B" w:rsidRPr="00174A92">
        <w:t xml:space="preserve">or </w:t>
      </w:r>
      <w:r w:rsidR="00F1146A">
        <w:t>12 months</w:t>
      </w:r>
      <w:r w:rsidR="0009078B" w:rsidRPr="00174A92">
        <w:t xml:space="preserve">, </w:t>
      </w:r>
      <w:r w:rsidRPr="00174A92">
        <w:t>together with</w:t>
      </w:r>
      <w:r w:rsidR="000D0CE5" w:rsidRPr="00174A92">
        <w:t xml:space="preserve"> </w:t>
      </w:r>
      <w:r w:rsidR="0009078B" w:rsidRPr="00174A92">
        <w:t xml:space="preserve">a further </w:t>
      </w:r>
      <w:r w:rsidR="000D0CE5" w:rsidRPr="00174A92">
        <w:t>41</w:t>
      </w:r>
      <w:r w:rsidR="0009078B" w:rsidRPr="00174A92">
        <w:t xml:space="preserve"> </w:t>
      </w:r>
      <w:r w:rsidR="000D0CE5" w:rsidRPr="00174A92">
        <w:t xml:space="preserve">who provided incomplete data on pain at other anatomical sites in the past </w:t>
      </w:r>
      <w:r w:rsidR="00F1146A">
        <w:t>12 months</w:t>
      </w:r>
      <w:r w:rsidR="000D0CE5" w:rsidRPr="00174A92">
        <w:t>.</w:t>
      </w:r>
      <w:r w:rsidR="0009078B" w:rsidRPr="00174A92">
        <w:t xml:space="preserve"> </w:t>
      </w:r>
      <w:r w:rsidR="000D0CE5" w:rsidRPr="00174A92">
        <w:t xml:space="preserve"> Among the </w:t>
      </w:r>
      <w:r w:rsidR="009563EB" w:rsidRPr="00174A92">
        <w:t xml:space="preserve">remaining </w:t>
      </w:r>
      <w:r w:rsidR="000D0CE5" w:rsidRPr="00174A92">
        <w:t xml:space="preserve">12,195 </w:t>
      </w:r>
      <w:r w:rsidR="009563EB" w:rsidRPr="00174A92">
        <w:t>subjects</w:t>
      </w:r>
      <w:r w:rsidR="000D0CE5" w:rsidRPr="00174A92">
        <w:t xml:space="preserve">, </w:t>
      </w:r>
      <w:r w:rsidR="00CE18F3" w:rsidRPr="00174A92">
        <w:t>4,241</w:t>
      </w:r>
      <w:r w:rsidR="000D0CE5" w:rsidRPr="00174A92">
        <w:t xml:space="preserve"> (</w:t>
      </w:r>
      <w:r w:rsidR="00CE18F3" w:rsidRPr="00174A92">
        <w:t>35</w:t>
      </w:r>
      <w:r w:rsidR="000D0CE5" w:rsidRPr="00174A92">
        <w:t>%) were men.</w:t>
      </w:r>
    </w:p>
    <w:p w:rsidR="000D0CE5" w:rsidRPr="00174A92" w:rsidRDefault="000D0CE5" w:rsidP="00CF72F7">
      <w:pPr>
        <w:spacing w:line="360" w:lineRule="auto"/>
        <w:ind w:firstLine="567"/>
        <w:jc w:val="both"/>
      </w:pPr>
    </w:p>
    <w:p w:rsidR="009563EB" w:rsidRPr="00174A92" w:rsidRDefault="000D0CE5" w:rsidP="00F1146A">
      <w:pPr>
        <w:tabs>
          <w:tab w:val="left" w:pos="5954"/>
        </w:tabs>
        <w:spacing w:line="360" w:lineRule="auto"/>
        <w:jc w:val="both"/>
      </w:pPr>
      <w:r w:rsidRPr="00174A92">
        <w:t>Table 1 s</w:t>
      </w:r>
      <w:r w:rsidR="00EA6702" w:rsidRPr="00174A92">
        <w:t>how</w:t>
      </w:r>
      <w:r w:rsidRPr="00174A92">
        <w:t xml:space="preserve">s the one-month prevalence </w:t>
      </w:r>
      <w:r w:rsidR="00EA6702" w:rsidRPr="00174A92">
        <w:t xml:space="preserve">and severity </w:t>
      </w:r>
      <w:r w:rsidRPr="00174A92">
        <w:t xml:space="preserve">of different categories of neck/shoulder pain </w:t>
      </w:r>
      <w:r w:rsidR="00724AB5" w:rsidRPr="00174A92">
        <w:t>at baseline</w:t>
      </w:r>
      <w:r w:rsidRPr="00174A92">
        <w:t>.</w:t>
      </w:r>
      <w:r w:rsidR="006C3F61" w:rsidRPr="00174A92">
        <w:t xml:space="preserve">  Overall, neck/shoulder pain </w:t>
      </w:r>
      <w:r w:rsidR="00724AB5" w:rsidRPr="00174A92">
        <w:t>i</w:t>
      </w:r>
      <w:r w:rsidR="006C3F61" w:rsidRPr="00174A92">
        <w:t>n the past month was common (</w:t>
      </w:r>
      <w:r w:rsidR="00CE18F3" w:rsidRPr="00174A92">
        <w:t>40.7</w:t>
      </w:r>
      <w:r w:rsidR="006C3F61" w:rsidRPr="00174A92">
        <w:t xml:space="preserve">%), and occurred </w:t>
      </w:r>
      <w:r w:rsidR="009563EB" w:rsidRPr="00174A92">
        <w:t xml:space="preserve">mostly </w:t>
      </w:r>
      <w:r w:rsidR="006C3F61" w:rsidRPr="00174A92">
        <w:t xml:space="preserve">in a context of more </w:t>
      </w:r>
      <w:r w:rsidR="00C64461" w:rsidRPr="00174A92">
        <w:t>widespread</w:t>
      </w:r>
      <w:r w:rsidR="006C3F61" w:rsidRPr="00174A92">
        <w:t xml:space="preserve"> pain in the past </w:t>
      </w:r>
      <w:r w:rsidR="00F1146A">
        <w:t>12 months</w:t>
      </w:r>
      <w:r w:rsidR="006C3F61" w:rsidRPr="00174A92">
        <w:t xml:space="preserve"> (</w:t>
      </w:r>
      <w:r w:rsidR="00863A5F" w:rsidRPr="00174A92">
        <w:t xml:space="preserve">prevalence </w:t>
      </w:r>
      <w:r w:rsidR="006C3F61" w:rsidRPr="00174A92">
        <w:t xml:space="preserve">= </w:t>
      </w:r>
      <w:r w:rsidR="00CE18F3" w:rsidRPr="00174A92">
        <w:t>35.1</w:t>
      </w:r>
      <w:r w:rsidR="006C3F61" w:rsidRPr="00174A92">
        <w:t xml:space="preserve">%).  </w:t>
      </w:r>
      <w:r w:rsidR="00B8436B" w:rsidRPr="00174A92">
        <w:t xml:space="preserve">In contrast, </w:t>
      </w:r>
      <w:r w:rsidR="00724AB5" w:rsidRPr="00174A92">
        <w:t xml:space="preserve">the prevalence of </w:t>
      </w:r>
      <w:r w:rsidR="00B8436B" w:rsidRPr="00174A92">
        <w:t xml:space="preserve">pain that was localised to the neck and/or shoulders was </w:t>
      </w:r>
      <w:r w:rsidR="00724AB5" w:rsidRPr="00174A92">
        <w:t>lower</w:t>
      </w:r>
      <w:r w:rsidR="00B8436B" w:rsidRPr="00174A92">
        <w:t xml:space="preserve"> (</w:t>
      </w:r>
      <w:r w:rsidR="00CE18F3" w:rsidRPr="00174A92">
        <w:t>5.6</w:t>
      </w:r>
      <w:r w:rsidR="00B8436B" w:rsidRPr="00174A92">
        <w:t xml:space="preserve">%), and particularly </w:t>
      </w:r>
      <w:r w:rsidR="00863A5F" w:rsidRPr="00174A92">
        <w:t xml:space="preserve">that </w:t>
      </w:r>
      <w:r w:rsidR="00724AB5" w:rsidRPr="00174A92">
        <w:t xml:space="preserve">of </w:t>
      </w:r>
      <w:r w:rsidR="00B8436B" w:rsidRPr="00174A92">
        <w:t xml:space="preserve">pain </w:t>
      </w:r>
      <w:r w:rsidR="00863A5F" w:rsidRPr="00174A92">
        <w:t>which</w:t>
      </w:r>
      <w:r w:rsidR="00B8436B" w:rsidRPr="00174A92">
        <w:t xml:space="preserve"> was </w:t>
      </w:r>
      <w:r w:rsidR="00C64461" w:rsidRPr="00174A92">
        <w:t>limi</w:t>
      </w:r>
      <w:r w:rsidR="00B8436B" w:rsidRPr="00174A92">
        <w:t xml:space="preserve">ted </w:t>
      </w:r>
      <w:r w:rsidR="00F1146A">
        <w:t xml:space="preserve">entirely </w:t>
      </w:r>
      <w:r w:rsidR="00B8436B" w:rsidRPr="00174A92">
        <w:t xml:space="preserve">to </w:t>
      </w:r>
      <w:r w:rsidR="00F1146A">
        <w:t>the</w:t>
      </w:r>
      <w:r w:rsidR="00B8436B" w:rsidRPr="00174A92">
        <w:t xml:space="preserve"> shoulder</w:t>
      </w:r>
      <w:r w:rsidR="00F1146A">
        <w:t>s</w:t>
      </w:r>
      <w:r w:rsidR="00B8436B" w:rsidRPr="00174A92">
        <w:t xml:space="preserve"> (</w:t>
      </w:r>
      <w:r w:rsidR="00AF4F4C">
        <w:t>1.2</w:t>
      </w:r>
      <w:r w:rsidR="00B8436B" w:rsidRPr="00174A92">
        <w:t xml:space="preserve">%).  </w:t>
      </w:r>
      <w:r w:rsidR="00F1146A">
        <w:t>Most of the latter was restricted to a single shoulder (</w:t>
      </w:r>
      <w:r w:rsidR="00AF4F4C">
        <w:t>122</w:t>
      </w:r>
      <w:r w:rsidR="00F1146A">
        <w:t xml:space="preserve"> of the </w:t>
      </w:r>
      <w:r w:rsidR="00AF4F4C">
        <w:t>152</w:t>
      </w:r>
      <w:r w:rsidR="00F1146A">
        <w:t xml:space="preserve"> cases).  </w:t>
      </w:r>
      <w:r w:rsidR="00857962">
        <w:t xml:space="preserve">Most participants with GPNS (93%) reported pain in the past 12 months in the low back and/or knees as well as any pain in the upper limb. </w:t>
      </w:r>
      <w:r w:rsidR="00863A5F" w:rsidRPr="00174A92">
        <w:t>GPNS</w:t>
      </w:r>
      <w:r w:rsidR="00B8436B" w:rsidRPr="00174A92">
        <w:t xml:space="preserve"> tended to be more troublesome</w:t>
      </w:r>
      <w:r w:rsidR="009563EB" w:rsidRPr="00174A92">
        <w:t xml:space="preserve"> and disabling</w:t>
      </w:r>
      <w:r w:rsidR="00857962">
        <w:t xml:space="preserve"> than LNSP</w:t>
      </w:r>
      <w:r w:rsidR="00B8436B" w:rsidRPr="00174A92">
        <w:t xml:space="preserve">.  For example, it had </w:t>
      </w:r>
      <w:r w:rsidR="009563EB" w:rsidRPr="00174A92">
        <w:t xml:space="preserve">made everyday activities difficult or impossible during the past month in 56.9% of cases as compared with 35.6% of those with </w:t>
      </w:r>
      <w:r w:rsidR="00863A5F" w:rsidRPr="00174A92">
        <w:t>LNSP</w:t>
      </w:r>
      <w:r w:rsidR="00F1146A">
        <w:t>;</w:t>
      </w:r>
      <w:r w:rsidR="009563EB" w:rsidRPr="00174A92">
        <w:t xml:space="preserve"> and it had caused absence from work during the past year in 20.3% of cases as compared with 11.3% of those in whom the pain was localised.</w:t>
      </w:r>
      <w:r w:rsidR="00810C45">
        <w:t xml:space="preserve">  When the analysis was repeated separately for eight strata of sex and age, </w:t>
      </w:r>
      <w:r w:rsidR="00E7659A">
        <w:t>the patterns were similar across each stratum</w:t>
      </w:r>
      <w:r w:rsidR="00810C45">
        <w:t xml:space="preserve">. </w:t>
      </w:r>
    </w:p>
    <w:p w:rsidR="009563EB" w:rsidRPr="00174A92" w:rsidRDefault="009563EB" w:rsidP="00CF72F7">
      <w:pPr>
        <w:spacing w:line="360" w:lineRule="auto"/>
        <w:ind w:firstLine="567"/>
        <w:jc w:val="both"/>
      </w:pPr>
    </w:p>
    <w:p w:rsidR="00941F2E" w:rsidRDefault="009563EB" w:rsidP="00F1146A">
      <w:pPr>
        <w:spacing w:line="360" w:lineRule="auto"/>
        <w:jc w:val="both"/>
      </w:pPr>
      <w:r w:rsidRPr="00174A92">
        <w:t xml:space="preserve">Table 2 shows baseline associations with </w:t>
      </w:r>
      <w:r w:rsidR="007E07C4">
        <w:t>personal and occupational</w:t>
      </w:r>
      <w:r w:rsidR="007E07C4" w:rsidRPr="00174A92">
        <w:t xml:space="preserve"> </w:t>
      </w:r>
      <w:r w:rsidRPr="00174A92">
        <w:t xml:space="preserve">factors separately for </w:t>
      </w:r>
      <w:r w:rsidR="00D23410" w:rsidRPr="00174A92">
        <w:t xml:space="preserve">LNSP </w:t>
      </w:r>
      <w:r w:rsidRPr="00174A92">
        <w:t xml:space="preserve">and </w:t>
      </w:r>
      <w:r w:rsidR="00D23410" w:rsidRPr="00174A92">
        <w:t>GPNS</w:t>
      </w:r>
      <w:r w:rsidR="006B4D4C">
        <w:t xml:space="preserve">, in comparison with no pain </w:t>
      </w:r>
      <w:r w:rsidR="00C3769A">
        <w:t>in the neck or shoulders</w:t>
      </w:r>
      <w:r w:rsidR="006B4D4C">
        <w:t xml:space="preserve"> in the past 12 months</w:t>
      </w:r>
      <w:r w:rsidRPr="00174A92">
        <w:t xml:space="preserve">.  </w:t>
      </w:r>
      <w:r w:rsidR="00D23410" w:rsidRPr="00174A92">
        <w:t xml:space="preserve">Both </w:t>
      </w:r>
      <w:r w:rsidR="00863A5F" w:rsidRPr="00174A92">
        <w:t xml:space="preserve">categories of pain </w:t>
      </w:r>
      <w:r w:rsidR="00D23410" w:rsidRPr="00174A92">
        <w:t xml:space="preserve">were significantly more frequent in women than men (PRRs of 1.4 and 1.3 respectively), and both were associated with </w:t>
      </w:r>
      <w:r w:rsidR="00941F2E" w:rsidRPr="00174A92">
        <w:t>tendency to somatise</w:t>
      </w:r>
      <w:r w:rsidR="00D23410" w:rsidRPr="00174A92">
        <w:t xml:space="preserve">.  However, the relationship to somatising tendency was stronger for GPNS (PRR 1.6, 95%CI 1.5-1.8, for report of distress from two or more </w:t>
      </w:r>
      <w:r w:rsidR="00941F2E" w:rsidRPr="00174A92">
        <w:t>somatic symptoms</w:t>
      </w:r>
      <w:r w:rsidR="00993EE4">
        <w:t xml:space="preserve"> compared to none</w:t>
      </w:r>
      <w:r w:rsidR="00747D13">
        <w:t xml:space="preserve">, p for trend </w:t>
      </w:r>
      <w:r w:rsidR="00E7659A">
        <w:t>&lt;0.001</w:t>
      </w:r>
      <w:r w:rsidR="00941F2E" w:rsidRPr="00174A92">
        <w:t>) than for LNSP (</w:t>
      </w:r>
      <w:r w:rsidR="004B5B9F" w:rsidRPr="00174A92">
        <w:t xml:space="preserve">PRR </w:t>
      </w:r>
      <w:r w:rsidR="00941F2E" w:rsidRPr="00174A92">
        <w:t>1.3, 95%CI 1.1-1.5</w:t>
      </w:r>
      <w:r w:rsidR="00993EE4" w:rsidRPr="00993EE4">
        <w:t xml:space="preserve"> </w:t>
      </w:r>
      <w:r w:rsidR="00993EE4" w:rsidRPr="00174A92">
        <w:t>for report of distress from two or more somatic symptoms</w:t>
      </w:r>
      <w:r w:rsidR="00993EE4">
        <w:t xml:space="preserve"> compared to none</w:t>
      </w:r>
      <w:r w:rsidR="00747D13">
        <w:t xml:space="preserve">, p for trend </w:t>
      </w:r>
      <w:r w:rsidR="00E7659A">
        <w:t>&lt;0.001</w:t>
      </w:r>
      <w:r w:rsidR="00941F2E" w:rsidRPr="00174A92">
        <w:t>).</w:t>
      </w:r>
      <w:r w:rsidR="00D23410" w:rsidRPr="00174A92">
        <w:t xml:space="preserve"> </w:t>
      </w:r>
      <w:r w:rsidR="00941F2E" w:rsidRPr="00174A92">
        <w:t xml:space="preserve"> GPNS also showed a stronger association with poor mental health, and unlike LNSP, its </w:t>
      </w:r>
      <w:r w:rsidR="00D23410" w:rsidRPr="00174A92">
        <w:t xml:space="preserve">prevalence </w:t>
      </w:r>
      <w:r w:rsidR="00941F2E" w:rsidRPr="00174A92">
        <w:t>i</w:t>
      </w:r>
      <w:r w:rsidR="00D23410" w:rsidRPr="00174A92">
        <w:t xml:space="preserve">ncreased </w:t>
      </w:r>
      <w:r w:rsidR="00941F2E" w:rsidRPr="00174A92">
        <w:t xml:space="preserve">significantly with age.  Direct comparison of the two pain outcomes </w:t>
      </w:r>
      <w:r w:rsidR="00AB13FF">
        <w:t>(</w:t>
      </w:r>
      <w:r w:rsidR="00BE0138">
        <w:t xml:space="preserve">in a single Poisson regression model that </w:t>
      </w:r>
      <w:r w:rsidR="00AB13FF" w:rsidRPr="003E6352">
        <w:t>effectively t</w:t>
      </w:r>
      <w:r w:rsidR="00BE0138">
        <w:t>ook</w:t>
      </w:r>
      <w:r w:rsidR="00AB13FF" w:rsidRPr="003E6352">
        <w:t xml:space="preserve"> those with </w:t>
      </w:r>
      <w:r w:rsidR="00AB13FF">
        <w:t>GPNS</w:t>
      </w:r>
      <w:r w:rsidR="00AB13FF" w:rsidRPr="003E6352">
        <w:t xml:space="preserve"> as cases and those with </w:t>
      </w:r>
      <w:r w:rsidR="00AB13FF">
        <w:t>LNSP</w:t>
      </w:r>
      <w:r w:rsidR="00AB13FF" w:rsidRPr="003E6352">
        <w:t xml:space="preserve"> as controls</w:t>
      </w:r>
      <w:r w:rsidR="00AB13FF">
        <w:t xml:space="preserve">) </w:t>
      </w:r>
      <w:r w:rsidR="00941F2E" w:rsidRPr="00174A92">
        <w:t xml:space="preserve">indicated that the differences in associations with </w:t>
      </w:r>
      <w:r w:rsidR="005E3A27" w:rsidRPr="00174A92">
        <w:t>age, somatising tendency and mental health</w:t>
      </w:r>
      <w:r w:rsidR="00941F2E" w:rsidRPr="00174A92">
        <w:t xml:space="preserve"> were statistically significant</w:t>
      </w:r>
      <w:r w:rsidR="00626938">
        <w:t xml:space="preserve"> (p &lt;0.05)</w:t>
      </w:r>
      <w:r w:rsidR="00941F2E" w:rsidRPr="00F1146A">
        <w:t xml:space="preserve">.  </w:t>
      </w:r>
      <w:r w:rsidR="006E61DE" w:rsidRPr="00F1146A">
        <w:t xml:space="preserve">In addition, </w:t>
      </w:r>
      <w:r w:rsidR="004D4BCC">
        <w:t>both</w:t>
      </w:r>
      <w:r w:rsidR="006E61DE" w:rsidRPr="00F1146A">
        <w:t xml:space="preserve"> categories of neck/shoulder pain were more weakly linked with prolonged use of keyboards at work (PRR 1.3 for LNSP and 1.1 for GPNS) and adverse beliefs about the prognosis of arm pain (PRRs 1.3 and 1.1 respectively)</w:t>
      </w:r>
      <w:r w:rsidR="006F1A5E" w:rsidRPr="00F1146A">
        <w:t>;</w:t>
      </w:r>
      <w:r w:rsidR="006E61DE" w:rsidRPr="00F1146A">
        <w:t xml:space="preserve"> and GPNS with occupational lifting, work with the hands above shoulder height and adverse beliefs about the </w:t>
      </w:r>
      <w:r w:rsidR="001B5017">
        <w:t>work-relatedness</w:t>
      </w:r>
      <w:r w:rsidR="001B5017" w:rsidRPr="00F1146A">
        <w:t xml:space="preserve"> </w:t>
      </w:r>
      <w:r w:rsidR="006E61DE" w:rsidRPr="00F1146A">
        <w:t>of arm pain.</w:t>
      </w:r>
    </w:p>
    <w:p w:rsidR="00941F2E" w:rsidRDefault="00941F2E" w:rsidP="00CF72F7">
      <w:pPr>
        <w:spacing w:line="360" w:lineRule="auto"/>
        <w:ind w:firstLine="567"/>
        <w:jc w:val="both"/>
      </w:pPr>
    </w:p>
    <w:p w:rsidR="00111A0D" w:rsidRDefault="0074589A" w:rsidP="006C1BD6">
      <w:pPr>
        <w:spacing w:line="360" w:lineRule="auto"/>
        <w:jc w:val="both"/>
      </w:pPr>
      <w:r>
        <w:t>Table 3 presents corresponding risk estimates for localised neck pain and localised shoulder pain, defined as in Table 1</w:t>
      </w:r>
      <w:r w:rsidR="00C3769A">
        <w:t xml:space="preserve"> (again the comparator was no pain in the neck or shoulders in the past 12 months</w:t>
      </w:r>
      <w:r w:rsidR="00C15E60">
        <w:t>)</w:t>
      </w:r>
      <w:r>
        <w:t xml:space="preserve">.  </w:t>
      </w:r>
      <w:r w:rsidR="00E612EE">
        <w:t>There were clear differences in the pattern</w:t>
      </w:r>
      <w:r w:rsidR="006C1BD6">
        <w:t>s</w:t>
      </w:r>
      <w:r w:rsidR="00E612EE">
        <w:t xml:space="preserve"> of </w:t>
      </w:r>
      <w:r w:rsidR="007E07C4">
        <w:t>association</w:t>
      </w:r>
      <w:r w:rsidR="00E612EE">
        <w:t xml:space="preserve">, such that </w:t>
      </w:r>
      <w:r w:rsidRPr="00174A92">
        <w:t>the prevalence of localised neck pain was markedly higher in women than men (PRR 1.7, 95%CI 1.</w:t>
      </w:r>
      <w:r w:rsidR="009C1F30">
        <w:t>2</w:t>
      </w:r>
      <w:r w:rsidRPr="00174A92">
        <w:t>-2.</w:t>
      </w:r>
      <w:r w:rsidR="009C1F30">
        <w:t>3</w:t>
      </w:r>
      <w:r w:rsidRPr="00174A92">
        <w:t xml:space="preserve">), lower at older ages (p for </w:t>
      </w:r>
      <w:r w:rsidR="00993EE4">
        <w:t xml:space="preserve">linear </w:t>
      </w:r>
      <w:r w:rsidRPr="00174A92">
        <w:t xml:space="preserve">trend </w:t>
      </w:r>
      <w:r w:rsidR="00EB5068">
        <w:t xml:space="preserve">across age categories </w:t>
      </w:r>
      <w:r w:rsidRPr="00174A92">
        <w:t xml:space="preserve">= </w:t>
      </w:r>
      <w:r w:rsidR="004F02CE" w:rsidRPr="00174A92">
        <w:t>0.04</w:t>
      </w:r>
      <w:r w:rsidRPr="00174A92">
        <w:t>), and significantly associated with somatising tendency</w:t>
      </w:r>
      <w:r w:rsidR="00111A0D" w:rsidRPr="00174A92">
        <w:t xml:space="preserve">, lack of support at work, </w:t>
      </w:r>
      <w:r w:rsidR="001B5017">
        <w:t xml:space="preserve">job insecurity, </w:t>
      </w:r>
      <w:r w:rsidR="00111A0D" w:rsidRPr="00174A92">
        <w:t xml:space="preserve">and </w:t>
      </w:r>
      <w:r w:rsidR="00863A5F" w:rsidRPr="00174A92">
        <w:t xml:space="preserve">particularly with </w:t>
      </w:r>
      <w:r w:rsidR="00111A0D" w:rsidRPr="00174A92">
        <w:t>use of a keyboard for &gt;4 hours in an average working day (PRR 1.9, 95%CI 1.5-2.</w:t>
      </w:r>
      <w:r w:rsidR="009C1F30">
        <w:t>4</w:t>
      </w:r>
      <w:r w:rsidR="00111A0D" w:rsidRPr="00174A92">
        <w:t>).</w:t>
      </w:r>
      <w:r w:rsidR="00E612EE">
        <w:t xml:space="preserve"> </w:t>
      </w:r>
      <w:r w:rsidR="006C1BD6">
        <w:t xml:space="preserve"> </w:t>
      </w:r>
      <w:r w:rsidR="00E612EE" w:rsidRPr="009C1F30">
        <w:t xml:space="preserve">In contrast, localised shoulder pain was associated with </w:t>
      </w:r>
      <w:r w:rsidR="009C1F30" w:rsidRPr="009C1F30">
        <w:t>work with the hands above shoulder height (PRR 1.3, 95%CI 1.0-1.8) and</w:t>
      </w:r>
      <w:r w:rsidR="00E612EE" w:rsidRPr="009C1F30">
        <w:t xml:space="preserve"> belief that arm pain has a poor prognosis (PRR 1.</w:t>
      </w:r>
      <w:r w:rsidR="009C1F30" w:rsidRPr="009C1F30">
        <w:t>4</w:t>
      </w:r>
      <w:r w:rsidR="00E612EE" w:rsidRPr="009C1F30">
        <w:t>, 95% CI 1.0-2.</w:t>
      </w:r>
      <w:r w:rsidR="009C1F30" w:rsidRPr="009C1F30">
        <w:t>1</w:t>
      </w:r>
      <w:r w:rsidR="00E612EE" w:rsidRPr="009C1F30">
        <w:t>).</w:t>
      </w:r>
      <w:r w:rsidR="000B66DA">
        <w:t xml:space="preserve">  Direct comparison of localised neck pain with localised shoulder pain </w:t>
      </w:r>
      <w:r w:rsidR="0013292E">
        <w:t>indicated</w:t>
      </w:r>
      <w:r w:rsidR="000B66DA">
        <w:t xml:space="preserve"> that the differences in association</w:t>
      </w:r>
      <w:r w:rsidR="00F41A4D">
        <w:t>s</w:t>
      </w:r>
      <w:r w:rsidR="000B66DA">
        <w:t xml:space="preserve"> with </w:t>
      </w:r>
      <w:r w:rsidR="00B008DF">
        <w:t>age, use of a keyboard and lack of support at work</w:t>
      </w:r>
      <w:r w:rsidR="000B66DA">
        <w:t xml:space="preserve"> were statistically significant (p &lt;0.05).</w:t>
      </w:r>
    </w:p>
    <w:p w:rsidR="00111A0D" w:rsidRDefault="00111A0D" w:rsidP="00CF72F7">
      <w:pPr>
        <w:spacing w:line="360" w:lineRule="auto"/>
        <w:ind w:firstLine="567"/>
        <w:jc w:val="both"/>
      </w:pPr>
    </w:p>
    <w:p w:rsidR="006C1BD6" w:rsidRDefault="00111A0D" w:rsidP="006C1BD6">
      <w:pPr>
        <w:spacing w:line="360" w:lineRule="auto"/>
        <w:jc w:val="both"/>
      </w:pPr>
      <w:r>
        <w:t xml:space="preserve">Figure 1 </w:t>
      </w:r>
      <w:r w:rsidR="00AA1A37">
        <w:t>summarises</w:t>
      </w:r>
      <w:r w:rsidR="005A7571">
        <w:t xml:space="preserve"> the</w:t>
      </w:r>
      <w:r>
        <w:t xml:space="preserve"> </w:t>
      </w:r>
      <w:r w:rsidR="006C1BD6">
        <w:t xml:space="preserve">crude </w:t>
      </w:r>
      <w:r>
        <w:t xml:space="preserve">prevalence of </w:t>
      </w:r>
      <w:r w:rsidR="005A7571">
        <w:t>LNSP and GPNS</w:t>
      </w:r>
      <w:r>
        <w:t xml:space="preserve"> across the 47 </w:t>
      </w:r>
      <w:r w:rsidR="00AB13FF">
        <w:t xml:space="preserve">occupational </w:t>
      </w:r>
      <w:r>
        <w:t>groups</w:t>
      </w:r>
      <w:r w:rsidR="006C1BD6">
        <w:t xml:space="preserve">.  </w:t>
      </w:r>
      <w:r w:rsidR="00AA1A37">
        <w:t>In almost all groups, GPNS predominated.  Rates for</w:t>
      </w:r>
      <w:r w:rsidR="005A7571" w:rsidRPr="00174A92">
        <w:t xml:space="preserve"> LNSP ranged from </w:t>
      </w:r>
      <w:r w:rsidR="006F1A5E" w:rsidRPr="00174A92">
        <w:t>0.5</w:t>
      </w:r>
      <w:r w:rsidR="005A7571" w:rsidRPr="00174A92">
        <w:t xml:space="preserve">% among </w:t>
      </w:r>
      <w:r w:rsidR="006F1A5E" w:rsidRPr="00174A92">
        <w:t>flower plantation workers</w:t>
      </w:r>
      <w:r w:rsidR="005A7571" w:rsidRPr="00174A92">
        <w:t xml:space="preserve"> in Ecuador </w:t>
      </w:r>
      <w:r w:rsidR="00355178" w:rsidRPr="00174A92">
        <w:t xml:space="preserve">and </w:t>
      </w:r>
      <w:r w:rsidR="006F1A5E" w:rsidRPr="00174A92">
        <w:t>1.1</w:t>
      </w:r>
      <w:r w:rsidR="00355178" w:rsidRPr="00174A92">
        <w:t xml:space="preserve">% in Colombian office workers </w:t>
      </w:r>
      <w:r w:rsidR="005A7571" w:rsidRPr="00174A92">
        <w:t xml:space="preserve">to </w:t>
      </w:r>
      <w:r w:rsidR="006F1A5E" w:rsidRPr="00174A92">
        <w:t>11.2</w:t>
      </w:r>
      <w:r w:rsidR="005A7571" w:rsidRPr="00174A92">
        <w:t xml:space="preserve">% </w:t>
      </w:r>
      <w:r w:rsidR="00355178" w:rsidRPr="00174A92">
        <w:t xml:space="preserve">and </w:t>
      </w:r>
      <w:r w:rsidR="006F1A5E" w:rsidRPr="00174A92">
        <w:t>11.8</w:t>
      </w:r>
      <w:r w:rsidR="00355178" w:rsidRPr="00174A92">
        <w:t xml:space="preserve">% </w:t>
      </w:r>
      <w:r w:rsidR="005A7571" w:rsidRPr="00174A92">
        <w:t xml:space="preserve">in </w:t>
      </w:r>
      <w:r w:rsidR="004C455C">
        <w:t>office workers</w:t>
      </w:r>
      <w:r w:rsidR="004C455C" w:rsidRPr="00174A92">
        <w:t xml:space="preserve"> </w:t>
      </w:r>
      <w:r w:rsidR="00355178" w:rsidRPr="00174A92">
        <w:t xml:space="preserve">from </w:t>
      </w:r>
      <w:r w:rsidR="00162DA0" w:rsidRPr="00174A92">
        <w:t>Spain and Sri Lanka respectively</w:t>
      </w:r>
      <w:r w:rsidR="005A7571" w:rsidRPr="00174A92">
        <w:t xml:space="preserve">.  For GPNS the variation between occupational groups was even greater with zero prevalence among sugar cane </w:t>
      </w:r>
      <w:r w:rsidR="005A7571" w:rsidRPr="00174A92">
        <w:lastRenderedPageBreak/>
        <w:t xml:space="preserve">cutters in Brazil and a rate </w:t>
      </w:r>
      <w:r w:rsidR="004F02CE" w:rsidRPr="00174A92">
        <w:t>as high as</w:t>
      </w:r>
      <w:r w:rsidR="005A7571" w:rsidRPr="00174A92">
        <w:t xml:space="preserve"> </w:t>
      </w:r>
      <w:r w:rsidR="004F02CE" w:rsidRPr="00174A92">
        <w:t>67.6%</w:t>
      </w:r>
      <w:r w:rsidR="005A7571" w:rsidRPr="00174A92">
        <w:t xml:space="preserve"> in </w:t>
      </w:r>
      <w:r w:rsidR="004F02CE" w:rsidRPr="00174A92">
        <w:t>Costa Rican telephone call centre workers</w:t>
      </w:r>
      <w:r w:rsidR="00355178" w:rsidRPr="00174A92">
        <w:t>.  Office workers tended to have higher prevalence of LNSP than nurses, but there were no consistent differences in GPNS by type of occupation</w:t>
      </w:r>
      <w:r w:rsidR="006C1BD6">
        <w:t>. T</w:t>
      </w:r>
      <w:r w:rsidR="00355178" w:rsidRPr="00174A92">
        <w:t>he</w:t>
      </w:r>
      <w:r w:rsidR="006C1BD6">
        <w:t xml:space="preserve"> proportion of neck/shoulder pain that was localised did not relate consistently to its overall prevalence</w:t>
      </w:r>
      <w:r w:rsidR="00162DA0" w:rsidRPr="00174A92">
        <w:t xml:space="preserve">.  </w:t>
      </w:r>
    </w:p>
    <w:p w:rsidR="006C1BD6" w:rsidRDefault="006C1BD6" w:rsidP="006C1BD6">
      <w:pPr>
        <w:spacing w:line="360" w:lineRule="auto"/>
        <w:jc w:val="both"/>
      </w:pPr>
    </w:p>
    <w:p w:rsidR="00111A0D" w:rsidRDefault="006C1BD6" w:rsidP="006C1BD6">
      <w:pPr>
        <w:spacing w:line="360" w:lineRule="auto"/>
        <w:jc w:val="both"/>
      </w:pPr>
      <w:r>
        <w:t>Figure 2 plots the prevalence of LNSP by occupational group against that for GPNS, a</w:t>
      </w:r>
      <w:r w:rsidR="00162DA0" w:rsidRPr="00174A92">
        <w:t xml:space="preserve">fter adjustment for </w:t>
      </w:r>
      <w:r>
        <w:t>the</w:t>
      </w:r>
      <w:r w:rsidR="006E2789" w:rsidRPr="00174A92">
        <w:t xml:space="preserve"> factors </w:t>
      </w:r>
      <w:r>
        <w:t>listed in Table 2.  Following such adjustment, t</w:t>
      </w:r>
      <w:r w:rsidR="004D65D1" w:rsidRPr="00174A92">
        <w:t xml:space="preserve">he variation in GPNS was a little reduced, </w:t>
      </w:r>
      <w:r w:rsidR="007A55C6">
        <w:t>and</w:t>
      </w:r>
      <w:r>
        <w:t xml:space="preserve"> </w:t>
      </w:r>
      <w:r w:rsidR="00E612EE">
        <w:t xml:space="preserve">there </w:t>
      </w:r>
      <w:r>
        <w:t>was</w:t>
      </w:r>
      <w:r w:rsidR="00E612EE">
        <w:t xml:space="preserve"> </w:t>
      </w:r>
      <w:r w:rsidR="00D15F48">
        <w:t>little</w:t>
      </w:r>
      <w:r w:rsidR="004D65D1" w:rsidRPr="00174A92">
        <w:t xml:space="preserve"> correlation between</w:t>
      </w:r>
      <w:r w:rsidR="004D65D1">
        <w:t xml:space="preserve"> the two types of pain</w:t>
      </w:r>
      <w:r w:rsidR="007A55C6">
        <w:t xml:space="preserve"> (</w:t>
      </w:r>
      <w:r w:rsidR="00D15F48">
        <w:t xml:space="preserve">Spearman </w:t>
      </w:r>
      <w:r w:rsidR="007A55C6">
        <w:t>correlation coefficient</w:t>
      </w:r>
      <w:r w:rsidR="007A55C6" w:rsidRPr="00AD0E57">
        <w:t xml:space="preserve"> </w:t>
      </w:r>
      <w:r w:rsidR="00AD0E57" w:rsidRPr="00AD0E57">
        <w:t>= 0.22</w:t>
      </w:r>
      <w:r w:rsidR="006F0242">
        <w:t xml:space="preserve"> overall, </w:t>
      </w:r>
      <w:r w:rsidR="00FE164A">
        <w:t>0.46</w:t>
      </w:r>
      <w:r w:rsidR="006F0242">
        <w:t xml:space="preserve"> in nurses, </w:t>
      </w:r>
      <w:r w:rsidR="00FE164A">
        <w:t>-0.47</w:t>
      </w:r>
      <w:r w:rsidR="006F0242">
        <w:t xml:space="preserve"> in office workers and </w:t>
      </w:r>
      <w:r w:rsidR="00FE164A">
        <w:t>0.45</w:t>
      </w:r>
      <w:r w:rsidR="006F0242">
        <w:t xml:space="preserve"> in other workers</w:t>
      </w:r>
      <w:r w:rsidR="00AD0E57" w:rsidRPr="00AD0E57">
        <w:t>)</w:t>
      </w:r>
      <w:r w:rsidR="004D65D1" w:rsidRPr="002F2C84">
        <w:rPr>
          <w:color w:val="FF0000"/>
        </w:rPr>
        <w:t>.</w:t>
      </w:r>
      <w:r w:rsidR="00355178" w:rsidRPr="002F2C84">
        <w:rPr>
          <w:color w:val="FF0000"/>
        </w:rPr>
        <w:t xml:space="preserve"> </w:t>
      </w:r>
      <w:r w:rsidR="005A7571" w:rsidRPr="002F2C84">
        <w:rPr>
          <w:color w:val="FF0000"/>
        </w:rPr>
        <w:t xml:space="preserve">  </w:t>
      </w:r>
    </w:p>
    <w:p w:rsidR="00111A0D" w:rsidRDefault="00111A0D" w:rsidP="00CF72F7">
      <w:pPr>
        <w:spacing w:line="360" w:lineRule="auto"/>
        <w:ind w:firstLine="567"/>
        <w:jc w:val="both"/>
      </w:pPr>
    </w:p>
    <w:p w:rsidR="008E6E3E" w:rsidRPr="00363724" w:rsidRDefault="00111A0D" w:rsidP="007A55C6">
      <w:pPr>
        <w:spacing w:line="360" w:lineRule="auto"/>
        <w:jc w:val="both"/>
        <w:rPr>
          <w:color w:val="FF0000"/>
        </w:rPr>
      </w:pPr>
      <w:r>
        <w:t xml:space="preserve">Follow-up </w:t>
      </w:r>
      <w:r w:rsidR="00F5790C">
        <w:t>data</w:t>
      </w:r>
      <w:r>
        <w:t xml:space="preserve"> were </w:t>
      </w:r>
      <w:r w:rsidR="00F5790C">
        <w:t>sought</w:t>
      </w:r>
      <w:r>
        <w:t xml:space="preserve"> for </w:t>
      </w:r>
      <w:r w:rsidR="004F02CE">
        <w:t>4</w:t>
      </w:r>
      <w:r w:rsidR="006A3C16">
        <w:t>5</w:t>
      </w:r>
      <w:r>
        <w:t xml:space="preserve"> of the 47 occupational groups, and among </w:t>
      </w:r>
      <w:r w:rsidR="00F5790C">
        <w:t xml:space="preserve">the </w:t>
      </w:r>
      <w:r w:rsidR="006A3C16" w:rsidRPr="006A3C16">
        <w:t>11,764</w:t>
      </w:r>
      <w:r w:rsidR="006E2789" w:rsidRPr="002F2C84">
        <w:rPr>
          <w:color w:val="FF0000"/>
        </w:rPr>
        <w:t xml:space="preserve"> </w:t>
      </w:r>
      <w:r w:rsidR="00F5790C">
        <w:t xml:space="preserve">participants in these </w:t>
      </w:r>
      <w:r w:rsidR="00F5790C" w:rsidRPr="00363724">
        <w:t xml:space="preserve">groups, </w:t>
      </w:r>
      <w:r w:rsidR="002F2C84" w:rsidRPr="006A3C16">
        <w:t>9,150</w:t>
      </w:r>
      <w:r w:rsidR="00F5790C" w:rsidRPr="006A3C16">
        <w:t xml:space="preserve"> (</w:t>
      </w:r>
      <w:r w:rsidR="002F2C84" w:rsidRPr="006A3C16">
        <w:t>7</w:t>
      </w:r>
      <w:r w:rsidR="006A3C16" w:rsidRPr="006A3C16">
        <w:t>8</w:t>
      </w:r>
      <w:r w:rsidR="00F5790C" w:rsidRPr="006A3C16">
        <w:t xml:space="preserve">%) </w:t>
      </w:r>
      <w:r w:rsidR="00F5790C">
        <w:t>provided satisfactory information about neck and shoulder pain after a mean interval of</w:t>
      </w:r>
      <w:r w:rsidR="00F5790C" w:rsidRPr="006A3C16">
        <w:t xml:space="preserve"> </w:t>
      </w:r>
      <w:r w:rsidR="006A3C16" w:rsidRPr="006A3C16">
        <w:t>14</w:t>
      </w:r>
      <w:r w:rsidR="008D1D8B" w:rsidRPr="006A3C16">
        <w:t xml:space="preserve"> </w:t>
      </w:r>
      <w:r w:rsidR="008D1D8B">
        <w:t>months</w:t>
      </w:r>
      <w:r w:rsidR="007B5B3D">
        <w:t xml:space="preserve"> </w:t>
      </w:r>
      <w:r w:rsidR="007A55C6">
        <w:t>(</w:t>
      </w:r>
      <w:r w:rsidR="007B5B3D" w:rsidRPr="007A55C6">
        <w:t xml:space="preserve">range </w:t>
      </w:r>
      <w:r w:rsidR="006A3C16">
        <w:t>3-35</w:t>
      </w:r>
      <w:r w:rsidR="007B5B3D" w:rsidRPr="007A55C6">
        <w:t xml:space="preserve"> months</w:t>
      </w:r>
      <w:r w:rsidR="006A3C16">
        <w:t>, 84% within 11-19 months</w:t>
      </w:r>
      <w:r w:rsidR="007A55C6">
        <w:t>)</w:t>
      </w:r>
      <w:r w:rsidR="00F5790C">
        <w:t xml:space="preserve"> from baseline.</w:t>
      </w:r>
      <w:r w:rsidR="00941F2E">
        <w:t xml:space="preserve"> </w:t>
      </w:r>
      <w:r w:rsidR="00F5790C">
        <w:t xml:space="preserve"> Table 4 shows the prevalence of continuing pain at follow-up for different categories of neck/shoulder pain at baseline. </w:t>
      </w:r>
      <w:r w:rsidR="00941F2E">
        <w:t xml:space="preserve"> </w:t>
      </w:r>
      <w:r w:rsidR="00F5790C">
        <w:t xml:space="preserve">The persistence of </w:t>
      </w:r>
      <w:r w:rsidR="006C5777">
        <w:t xml:space="preserve">neck/shoulder pain was </w:t>
      </w:r>
      <w:r w:rsidR="005E42CD">
        <w:t>significantly</w:t>
      </w:r>
      <w:r w:rsidR="006C5777" w:rsidRPr="00174A92">
        <w:t xml:space="preserve"> higher </w:t>
      </w:r>
      <w:r w:rsidR="005E42CD">
        <w:t xml:space="preserve">(p = 0.003) </w:t>
      </w:r>
      <w:r w:rsidR="006C5777" w:rsidRPr="00174A92">
        <w:t xml:space="preserve">when it was associated with pain at other anatomical sites in the past year </w:t>
      </w:r>
      <w:r w:rsidR="00F5790C" w:rsidRPr="00174A92">
        <w:t>(72.</w:t>
      </w:r>
      <w:r w:rsidR="00AA1A37">
        <w:t>1</w:t>
      </w:r>
      <w:r w:rsidR="00F5790C" w:rsidRPr="00174A92">
        <w:t>%)</w:t>
      </w:r>
      <w:r w:rsidR="006C5777" w:rsidRPr="00174A92">
        <w:t xml:space="preserve"> than when it was localised (61.</w:t>
      </w:r>
      <w:r w:rsidR="00AA1A37">
        <w:t>7</w:t>
      </w:r>
      <w:r w:rsidR="006C5777" w:rsidRPr="00174A92">
        <w:t>%)</w:t>
      </w:r>
      <w:r w:rsidR="00F5790C" w:rsidRPr="00174A92">
        <w:t xml:space="preserve">.  </w:t>
      </w:r>
      <w:r w:rsidR="00EA6702" w:rsidRPr="00174A92">
        <w:t xml:space="preserve">Persistence was lowest for pain that was localised to </w:t>
      </w:r>
      <w:r w:rsidR="007A55C6">
        <w:t>the shoulders</w:t>
      </w:r>
      <w:r w:rsidR="00EA6702" w:rsidRPr="00174A92">
        <w:t xml:space="preserve">, with a prevalence of </w:t>
      </w:r>
      <w:r w:rsidR="00AA1A37">
        <w:t>31.9</w:t>
      </w:r>
      <w:r w:rsidR="00EA6702" w:rsidRPr="00174A92">
        <w:t>% for pain in the shoulder</w:t>
      </w:r>
      <w:r w:rsidR="007A55C6">
        <w:t>(s)</w:t>
      </w:r>
      <w:r w:rsidR="00EA6702" w:rsidRPr="00174A92">
        <w:t xml:space="preserve"> during</w:t>
      </w:r>
      <w:r w:rsidR="00EA6702">
        <w:t xml:space="preserve"> the month before follow-up, and </w:t>
      </w:r>
      <w:r w:rsidR="00AA1A37">
        <w:t>41.6</w:t>
      </w:r>
      <w:r w:rsidR="00EA6702">
        <w:t>% for pain in the neck or shoulders.</w:t>
      </w:r>
      <w:r w:rsidR="009563EB">
        <w:t xml:space="preserve">  </w:t>
      </w:r>
    </w:p>
    <w:p w:rsidR="008E6E3E" w:rsidRDefault="008E6E3E" w:rsidP="00895E2E">
      <w:pPr>
        <w:spacing w:line="360" w:lineRule="auto"/>
        <w:jc w:val="both"/>
      </w:pPr>
    </w:p>
    <w:p w:rsidR="008E6E3E" w:rsidRPr="008E6E3E" w:rsidRDefault="008E6E3E" w:rsidP="00895E2E">
      <w:pPr>
        <w:spacing w:line="360" w:lineRule="auto"/>
        <w:jc w:val="both"/>
        <w:rPr>
          <w:b/>
          <w:bCs/>
          <w:iCs/>
        </w:rPr>
      </w:pPr>
      <w:r w:rsidRPr="008E6E3E">
        <w:rPr>
          <w:b/>
          <w:bCs/>
          <w:iCs/>
        </w:rPr>
        <w:t>Discussion</w:t>
      </w:r>
    </w:p>
    <w:p w:rsidR="006A29CA" w:rsidRDefault="008E6E3E" w:rsidP="006A29CA">
      <w:pPr>
        <w:spacing w:line="360" w:lineRule="auto"/>
        <w:jc w:val="both"/>
      </w:pPr>
      <w:r w:rsidRPr="008E6E3E">
        <w:t xml:space="preserve">Our findings indicate that most neck and shoulder pain occurs in a context of current or recent pain at other anatomical sites, and that </w:t>
      </w:r>
      <w:r>
        <w:t xml:space="preserve">in these </w:t>
      </w:r>
      <w:r w:rsidR="006E2789">
        <w:t>circumstances</w:t>
      </w:r>
      <w:r w:rsidRPr="008E6E3E">
        <w:t xml:space="preserve">, it tends to be more </w:t>
      </w:r>
      <w:r w:rsidRPr="00174A92">
        <w:t xml:space="preserve">troublesome and disabling than pain which is localised </w:t>
      </w:r>
      <w:r w:rsidR="00FC18DF">
        <w:t xml:space="preserve">entirely </w:t>
      </w:r>
      <w:r w:rsidRPr="00174A92">
        <w:t>to the neck/shoulder area.</w:t>
      </w:r>
      <w:r w:rsidRPr="008E6E3E">
        <w:t xml:space="preserve">  Furthermore, it appears that these two sub-categories of neck/shoulder pain differ importantly in their epidemiology</w:t>
      </w:r>
      <w:r w:rsidRPr="00174A92">
        <w:t>.  Thus, GPNS showed stronger associations with somatising tendency, poor mental health and older age, greater variation between the occupational groups studied (which correlate</w:t>
      </w:r>
      <w:r w:rsidR="008B3364">
        <w:t>d poorly</w:t>
      </w:r>
      <w:r w:rsidRPr="00174A92">
        <w:t xml:space="preserve"> with the variation in LNSP), and tended to be more persistent.  There were also differences between pain that was localised to the neck </w:t>
      </w:r>
      <w:r w:rsidR="006A29CA">
        <w:t>and that</w:t>
      </w:r>
      <w:r w:rsidRPr="00174A92">
        <w:t xml:space="preserve"> which was l</w:t>
      </w:r>
      <w:r w:rsidR="00CA68A3">
        <w:t>ocalised</w:t>
      </w:r>
      <w:r w:rsidRPr="00174A92">
        <w:t xml:space="preserve"> to </w:t>
      </w:r>
      <w:r w:rsidR="006A29CA">
        <w:t>one or both</w:t>
      </w:r>
      <w:r w:rsidRPr="00174A92">
        <w:t xml:space="preserve"> shoulder</w:t>
      </w:r>
      <w:r w:rsidR="006A29CA">
        <w:t>s</w:t>
      </w:r>
      <w:r w:rsidRPr="00174A92">
        <w:t>, the former being less frequent at older ages,</w:t>
      </w:r>
      <w:r w:rsidRPr="008E6E3E">
        <w:t xml:space="preserve"> and strongly associated with prolonged use of keyboards at work.</w:t>
      </w:r>
    </w:p>
    <w:p w:rsidR="006A29CA" w:rsidRDefault="006A29CA" w:rsidP="006A29CA">
      <w:pPr>
        <w:spacing w:line="360" w:lineRule="auto"/>
        <w:jc w:val="both"/>
      </w:pPr>
    </w:p>
    <w:p w:rsidR="00513323" w:rsidRDefault="006A29CA" w:rsidP="006A29CA">
      <w:pPr>
        <w:spacing w:line="360" w:lineRule="auto"/>
        <w:jc w:val="both"/>
      </w:pPr>
      <w:r>
        <w:t xml:space="preserve">Several earlier reports have described the occurrence and determinants of neck/shoulder pain in specific occupational groups from the CUPID study in </w:t>
      </w:r>
      <w:r w:rsidR="00513323">
        <w:t xml:space="preserve">Australia </w:t>
      </w:r>
      <w:r w:rsidR="007F3BC4">
        <w:t>[</w:t>
      </w:r>
      <w:r w:rsidR="004F2208">
        <w:t>15</w:t>
      </w:r>
      <w:r w:rsidR="007F3BC4">
        <w:t>],</w:t>
      </w:r>
      <w:r w:rsidR="00513323">
        <w:t xml:space="preserve"> Brazil and Italy </w:t>
      </w:r>
      <w:r w:rsidR="007F3BC4">
        <w:t>[</w:t>
      </w:r>
      <w:r w:rsidR="004F2208">
        <w:t>3</w:t>
      </w:r>
      <w:r w:rsidR="007F3BC4">
        <w:t>],</w:t>
      </w:r>
      <w:r w:rsidR="00513323">
        <w:t xml:space="preserve"> Estonia </w:t>
      </w:r>
      <w:r w:rsidR="007F3BC4">
        <w:t>[</w:t>
      </w:r>
      <w:r w:rsidR="004F2208">
        <w:t>10</w:t>
      </w:r>
      <w:r w:rsidR="00EC0C91">
        <w:t>,</w:t>
      </w:r>
      <w:r w:rsidR="004F2208">
        <w:t>22</w:t>
      </w:r>
      <w:r w:rsidR="007F3BC4">
        <w:t>],</w:t>
      </w:r>
      <w:r w:rsidR="00513323">
        <w:t xml:space="preserve"> Iran </w:t>
      </w:r>
      <w:r w:rsidR="007F3BC4">
        <w:t>[</w:t>
      </w:r>
      <w:r w:rsidR="004F2208">
        <w:t>26</w:t>
      </w:r>
      <w:r w:rsidR="007F3BC4">
        <w:t>],</w:t>
      </w:r>
      <w:r w:rsidR="00513323">
        <w:t xml:space="preserve"> Japan </w:t>
      </w:r>
      <w:r w:rsidR="007F3BC4">
        <w:t>[</w:t>
      </w:r>
      <w:r w:rsidR="004F2208">
        <w:t>19</w:t>
      </w:r>
      <w:r w:rsidR="007F3BC4">
        <w:t>],</w:t>
      </w:r>
      <w:r w:rsidR="00513323">
        <w:t xml:space="preserve"> New Zealand </w:t>
      </w:r>
      <w:r w:rsidR="007F3BC4">
        <w:t>[</w:t>
      </w:r>
      <w:r w:rsidR="004F2208">
        <w:t>11</w:t>
      </w:r>
      <w:r w:rsidR="00EC0C91">
        <w:t>,</w:t>
      </w:r>
      <w:r w:rsidR="004F2208">
        <w:t>12</w:t>
      </w:r>
      <w:r w:rsidR="007F3BC4">
        <w:t>]</w:t>
      </w:r>
      <w:r w:rsidR="00513323">
        <w:t xml:space="preserve"> and Sri Lanka </w:t>
      </w:r>
      <w:r w:rsidR="007F3BC4">
        <w:t>[</w:t>
      </w:r>
      <w:r w:rsidR="004F2208">
        <w:t>30</w:t>
      </w:r>
      <w:r w:rsidR="007F3BC4">
        <w:t>].</w:t>
      </w:r>
      <w:r w:rsidR="00513323">
        <w:t xml:space="preserve">  However,</w:t>
      </w:r>
      <w:r w:rsidR="00513323" w:rsidRPr="008E6E3E">
        <w:t xml:space="preserve"> </w:t>
      </w:r>
      <w:r w:rsidR="00513323" w:rsidRPr="008E6E3E">
        <w:lastRenderedPageBreak/>
        <w:t xml:space="preserve">the much larger size of the current analysis made it possible to examine diagnostic sub-groups in a way that could not be done meaningfully with smaller datasets.  It also enabled comparison of prevalence rates across a large number of </w:t>
      </w:r>
      <w:r w:rsidR="00AB13FF">
        <w:t>occupational</w:t>
      </w:r>
      <w:r w:rsidR="00AB13FF" w:rsidRPr="008E6E3E">
        <w:t xml:space="preserve"> </w:t>
      </w:r>
      <w:r w:rsidR="00513323" w:rsidRPr="008E6E3E">
        <w:t>groups in a diversity of countries.</w:t>
      </w:r>
    </w:p>
    <w:p w:rsidR="00513323" w:rsidRDefault="00513323" w:rsidP="006A29CA">
      <w:pPr>
        <w:spacing w:line="360" w:lineRule="auto"/>
        <w:jc w:val="both"/>
      </w:pPr>
    </w:p>
    <w:p w:rsidR="00513323" w:rsidRDefault="00513323" w:rsidP="006A29CA">
      <w:pPr>
        <w:spacing w:line="360" w:lineRule="auto"/>
        <w:jc w:val="both"/>
      </w:pPr>
      <w:r>
        <w:t>I</w:t>
      </w:r>
      <w:r w:rsidRPr="008E6E3E">
        <w:t xml:space="preserve">nformation was collected through a standardised questionnaire, and while in some occupational groups, interviews were used as an alternative to self-administration, there is no reason to expect that this would have differentially affected the reporting of localised neck/shoulder pain as compared with pain that was more generalised.  Translation of the questionnaire into local languages was checked by independent back-translation, and errors in reporting should have been further reduced by the use of </w:t>
      </w:r>
      <w:r>
        <w:t>picture</w:t>
      </w:r>
      <w:r w:rsidRPr="008E6E3E">
        <w:t xml:space="preserve">s to define the anatomical areas </w:t>
      </w:r>
      <w:r>
        <w:t>of interest</w:t>
      </w:r>
      <w:r w:rsidRPr="008E6E3E">
        <w:t xml:space="preserve">.  In the cross-sectional analyses for Tables 2 and 3, there was a possibility of bias </w:t>
      </w:r>
      <w:r w:rsidR="00D53969">
        <w:t>if</w:t>
      </w:r>
      <w:r w:rsidRPr="008E6E3E">
        <w:t xml:space="preserve"> experience of pain modified recall of occupational exposures</w:t>
      </w:r>
      <w:r>
        <w:t>;</w:t>
      </w:r>
      <w:r w:rsidRPr="008E6E3E">
        <w:t xml:space="preserve"> and also of reverse causation if, for example, neck/shoulder pain led to greater awareness of somatic symptoms.  </w:t>
      </w:r>
      <w:r w:rsidR="00B22E1C">
        <w:t>Moreover</w:t>
      </w:r>
      <w:r w:rsidR="008B3364">
        <w:t xml:space="preserve">, the prevalence of pain may have been reduced through healthy worker selection.  </w:t>
      </w:r>
      <w:r w:rsidRPr="008E6E3E">
        <w:t>Again, however, there is no reason to expect major differences in such effects according to whether pain was localised to the neck and shoulder or more generalised.</w:t>
      </w:r>
    </w:p>
    <w:p w:rsidR="00513323" w:rsidRDefault="00513323" w:rsidP="006A29CA">
      <w:pPr>
        <w:spacing w:line="360" w:lineRule="auto"/>
        <w:jc w:val="both"/>
      </w:pPr>
    </w:p>
    <w:p w:rsidR="00513323" w:rsidRDefault="00513323" w:rsidP="006A29CA">
      <w:pPr>
        <w:spacing w:line="360" w:lineRule="auto"/>
        <w:jc w:val="both"/>
      </w:pPr>
      <w:r>
        <w:t xml:space="preserve">The criteria by which we distinguished between LNSP and GPNS were to some extent arbitrary.  Subject to the limits of participants’ recall, they ensured that those with LNSP had not suffered from pain at other anatomical sites in the 12 months before baseline.  </w:t>
      </w:r>
      <w:r w:rsidR="00857962">
        <w:t xml:space="preserve">However, it </w:t>
      </w:r>
      <w:r>
        <w:t xml:space="preserve">remains possible that this group included some people with a predisposition to pain at multiple sites </w:t>
      </w:r>
      <w:r w:rsidR="00D53969">
        <w:t>which</w:t>
      </w:r>
      <w:r>
        <w:t xml:space="preserve"> would have be</w:t>
      </w:r>
      <w:r w:rsidR="00D53969">
        <w:t>come</w:t>
      </w:r>
      <w:r>
        <w:t xml:space="preserve"> manifest had they been studied over a longer period.</w:t>
      </w:r>
      <w:r w:rsidR="00AC3129">
        <w:t xml:space="preserve">  Nevertheless, the case definitions were adequate to reveal important differences in epidemiological features.</w:t>
      </w:r>
      <w:r w:rsidR="000035E5">
        <w:t xml:space="preserve">  Some GPNS may have reflected radiation to the distal arm of pain that arose from primary pathology in the neck, but most participants with GPNS (93%) reported pain in the past 12 months in the low back and/or knees as well as any pain in the upper limb.  </w:t>
      </w:r>
    </w:p>
    <w:p w:rsidR="00AC3129" w:rsidRDefault="00AC3129" w:rsidP="006A29CA">
      <w:pPr>
        <w:spacing w:line="360" w:lineRule="auto"/>
        <w:jc w:val="both"/>
      </w:pPr>
    </w:p>
    <w:p w:rsidR="00AC3129" w:rsidRDefault="00AC3129" w:rsidP="006A29CA">
      <w:pPr>
        <w:spacing w:line="360" w:lineRule="auto"/>
        <w:jc w:val="both"/>
      </w:pPr>
      <w:r>
        <w:t>Several previous studies have documented the frequent co-occurrence of neck and shoulder pain [</w:t>
      </w:r>
      <w:r w:rsidR="004F2208">
        <w:t>24</w:t>
      </w:r>
      <w:r>
        <w:t>], and also their association with pain in the lower back and at other anatomical sites [</w:t>
      </w:r>
      <w:r w:rsidR="004F2208">
        <w:t>8</w:t>
      </w:r>
      <w:r w:rsidR="00D53969">
        <w:t>,</w:t>
      </w:r>
      <w:r w:rsidR="004F2208">
        <w:t>18</w:t>
      </w:r>
      <w:r w:rsidR="00EC0C91">
        <w:t>,</w:t>
      </w:r>
      <w:r w:rsidR="004F2208">
        <w:t>21</w:t>
      </w:r>
      <w:r w:rsidR="00D53969">
        <w:t>]</w:t>
      </w:r>
      <w:r>
        <w:t xml:space="preserve">.  However, we have been unable to identify any investigations that focused on pain </w:t>
      </w:r>
      <w:r w:rsidR="00D53969">
        <w:t xml:space="preserve">limited </w:t>
      </w:r>
      <w:r w:rsidR="00F36014">
        <w:t xml:space="preserve">only </w:t>
      </w:r>
      <w:r w:rsidR="00D53969">
        <w:t>to</w:t>
      </w:r>
      <w:r>
        <w:t xml:space="preserve"> the neck or shoulders</w:t>
      </w:r>
      <w:r w:rsidR="00BA6849">
        <w:t xml:space="preserve">.  </w:t>
      </w:r>
    </w:p>
    <w:p w:rsidR="00BA6849" w:rsidRDefault="00BA6849" w:rsidP="006A29CA">
      <w:pPr>
        <w:spacing w:line="360" w:lineRule="auto"/>
        <w:jc w:val="both"/>
      </w:pPr>
    </w:p>
    <w:p w:rsidR="00BA6849" w:rsidRDefault="007612B5" w:rsidP="006A29CA">
      <w:pPr>
        <w:spacing w:line="360" w:lineRule="auto"/>
        <w:jc w:val="both"/>
      </w:pPr>
      <w:r>
        <w:t>Studies that have examined neck pain overall have found higher rates in women than men [</w:t>
      </w:r>
      <w:r w:rsidR="004F2208">
        <w:t>21</w:t>
      </w:r>
      <w:r w:rsidR="00D53969">
        <w:t>,</w:t>
      </w:r>
      <w:r w:rsidR="004F2208">
        <w:t>23</w:t>
      </w:r>
      <w:r>
        <w:t>], and at older ages [</w:t>
      </w:r>
      <w:r w:rsidR="004F2208">
        <w:t>21</w:t>
      </w:r>
      <w:r>
        <w:t xml:space="preserve">].  This is consistent with our findings for GPNS (which included most of the participants with neck pain in the past month at baseline).  Moreover, pain that </w:t>
      </w:r>
      <w:r>
        <w:lastRenderedPageBreak/>
        <w:t xml:space="preserve">was localised entirely to the neck showed an even </w:t>
      </w:r>
      <w:r w:rsidR="00D53969">
        <w:t>greater difference</w:t>
      </w:r>
      <w:r>
        <w:t xml:space="preserve"> by sex (PRR 1.7, 95%CI 1.</w:t>
      </w:r>
      <w:r w:rsidR="00D53969">
        <w:t>2</w:t>
      </w:r>
      <w:r>
        <w:t>-2.</w:t>
      </w:r>
      <w:r w:rsidR="00D53969">
        <w:t>3</w:t>
      </w:r>
      <w:r>
        <w:t xml:space="preserve">).  However, in contrast to GPNS, </w:t>
      </w:r>
      <w:r w:rsidR="00967BB6">
        <w:t xml:space="preserve">localised neck pain was less prevalent at older ages.  </w:t>
      </w:r>
    </w:p>
    <w:p w:rsidR="008E6E3E" w:rsidRDefault="00513323" w:rsidP="006A29CA">
      <w:pPr>
        <w:spacing w:line="360" w:lineRule="auto"/>
        <w:jc w:val="both"/>
      </w:pPr>
      <w:r>
        <w:t xml:space="preserve"> </w:t>
      </w:r>
      <w:r w:rsidR="008E6E3E" w:rsidRPr="008E6E3E">
        <w:t xml:space="preserve">  </w:t>
      </w:r>
    </w:p>
    <w:p w:rsidR="00547377" w:rsidRDefault="00967BB6" w:rsidP="00895E2E">
      <w:pPr>
        <w:spacing w:line="360" w:lineRule="auto"/>
        <w:jc w:val="both"/>
      </w:pPr>
      <w:r>
        <w:t>Many studies have examined the relationship of neck and/or shoulder pain to physical activities at work, associations being found most consistently with manual material handling [</w:t>
      </w:r>
      <w:r w:rsidR="004F2208">
        <w:t>20</w:t>
      </w:r>
      <w:r>
        <w:t>]</w:t>
      </w:r>
      <w:r w:rsidR="00202006">
        <w:t xml:space="preserve"> and</w:t>
      </w:r>
      <w:r>
        <w:t xml:space="preserve"> awkward postures [</w:t>
      </w:r>
      <w:r w:rsidR="004F2208">
        <w:t>2</w:t>
      </w:r>
      <w:r w:rsidR="00EC0C91">
        <w:t>,</w:t>
      </w:r>
      <w:r w:rsidR="004F2208">
        <w:t>20</w:t>
      </w:r>
      <w:r w:rsidR="00EC0C91">
        <w:t>,</w:t>
      </w:r>
      <w:r w:rsidR="004F2208">
        <w:t>24</w:t>
      </w:r>
      <w:r w:rsidR="00202006">
        <w:t>], including work with the hands above shoulder height [</w:t>
      </w:r>
      <w:r w:rsidR="004F2208">
        <w:t>20</w:t>
      </w:r>
      <w:r w:rsidR="00202006">
        <w:t>]; and to a lesser extent with computer work [</w:t>
      </w:r>
      <w:r w:rsidR="004F2208">
        <w:t>28</w:t>
      </w:r>
      <w:r w:rsidR="00202006">
        <w:t>].  We found that localised neck pain was more prevalent among participants who reported prolonged use of computer keyboards (PRR 1.9, 95%CI 1.5-2.</w:t>
      </w:r>
      <w:r w:rsidR="0093688F">
        <w:t>4</w:t>
      </w:r>
      <w:r w:rsidR="00202006">
        <w:t xml:space="preserve">), </w:t>
      </w:r>
      <w:r w:rsidR="0093688F">
        <w:t xml:space="preserve">and a borderline association of localised shoulder pain with prolonged elevation of the arms at work, </w:t>
      </w:r>
      <w:r w:rsidR="00202006">
        <w:t xml:space="preserve">but otherwise there were no clear </w:t>
      </w:r>
      <w:r w:rsidR="0093688F">
        <w:t>relationship</w:t>
      </w:r>
      <w:r w:rsidR="00202006">
        <w:t xml:space="preserve">s with physical activities for any of the pain outcomes examined.  This may have been because within each </w:t>
      </w:r>
      <w:r w:rsidR="00AB13FF">
        <w:t xml:space="preserve">occupational </w:t>
      </w:r>
      <w:r w:rsidR="00202006">
        <w:t>group, exposure</w:t>
      </w:r>
      <w:r w:rsidR="0093688F">
        <w:t>s</w:t>
      </w:r>
      <w:r w:rsidR="00202006">
        <w:t xml:space="preserve"> to </w:t>
      </w:r>
      <w:r w:rsidR="00647DE3">
        <w:t xml:space="preserve">physical </w:t>
      </w:r>
      <w:r w:rsidR="00202006">
        <w:t>activities w</w:t>
      </w:r>
      <w:r w:rsidR="0093688F">
        <w:t>ere</w:t>
      </w:r>
      <w:r w:rsidR="00202006">
        <w:t xml:space="preserve"> fairly homogeneous, making it difficult to detect effects in analyses that adjusted for </w:t>
      </w:r>
      <w:r w:rsidR="00AB13FF">
        <w:t xml:space="preserve">occupational </w:t>
      </w:r>
      <w:r w:rsidR="00202006">
        <w:t>group.</w:t>
      </w:r>
    </w:p>
    <w:p w:rsidR="00202006" w:rsidRDefault="00202006" w:rsidP="00895E2E">
      <w:pPr>
        <w:spacing w:line="360" w:lineRule="auto"/>
        <w:jc w:val="both"/>
      </w:pPr>
    </w:p>
    <w:p w:rsidR="00EA23F9" w:rsidRDefault="005B68B2" w:rsidP="00895E2E">
      <w:pPr>
        <w:spacing w:line="360" w:lineRule="auto"/>
        <w:jc w:val="both"/>
      </w:pPr>
      <w:r>
        <w:t xml:space="preserve">Homogeneity of exposures within </w:t>
      </w:r>
      <w:r w:rsidR="00AB13FF">
        <w:t xml:space="preserve">occupational </w:t>
      </w:r>
      <w:r>
        <w:t>groups may also have lim</w:t>
      </w:r>
      <w:r w:rsidR="003665DC">
        <w:t>i</w:t>
      </w:r>
      <w:r>
        <w:t xml:space="preserve">ted our ability to discriminate </w:t>
      </w:r>
      <w:r w:rsidR="003665DC">
        <w:t>associations with</w:t>
      </w:r>
      <w:r>
        <w:t xml:space="preserve"> </w:t>
      </w:r>
      <w:r w:rsidR="003665DC">
        <w:t>psychosocial aspects of work, which again have been implicated previously in the occurrence of neck and shoulder pain [</w:t>
      </w:r>
      <w:r w:rsidR="006D5B5F">
        <w:t>16</w:t>
      </w:r>
      <w:r w:rsidR="00EC0C91">
        <w:t>,</w:t>
      </w:r>
      <w:r w:rsidR="006D5B5F">
        <w:t>21</w:t>
      </w:r>
      <w:r w:rsidR="00EC0C91">
        <w:t>,</w:t>
      </w:r>
      <w:r w:rsidR="006D5B5F">
        <w:t>24</w:t>
      </w:r>
      <w:r w:rsidR="003665DC">
        <w:t>], although mostly with estimates of relative risk less than two [</w:t>
      </w:r>
      <w:r w:rsidR="006D5B5F">
        <w:t>16</w:t>
      </w:r>
      <w:r w:rsidR="003665DC">
        <w:t>].  It was not possible to identify any clear differences between LNSP and GPNS, and although lack of support at work carried a higher risk of localised neck pain</w:t>
      </w:r>
      <w:r w:rsidR="00EA23F9">
        <w:t xml:space="preserve"> (PRR 1.5, 95%CI 1.</w:t>
      </w:r>
      <w:r w:rsidR="0093688F">
        <w:t>1</w:t>
      </w:r>
      <w:r w:rsidR="00EA23F9">
        <w:t>-</w:t>
      </w:r>
      <w:r w:rsidR="0093688F">
        <w:t>2.0</w:t>
      </w:r>
      <w:r w:rsidR="00EA23F9">
        <w:t>), this may have been a chance observation in the context of multiple testing.</w:t>
      </w:r>
    </w:p>
    <w:p w:rsidR="00EA23F9" w:rsidRDefault="00EA23F9" w:rsidP="00895E2E">
      <w:pPr>
        <w:spacing w:line="360" w:lineRule="auto"/>
        <w:jc w:val="both"/>
      </w:pPr>
    </w:p>
    <w:p w:rsidR="001305AF" w:rsidRDefault="00B90230" w:rsidP="00895E2E">
      <w:pPr>
        <w:spacing w:line="360" w:lineRule="auto"/>
        <w:jc w:val="both"/>
      </w:pPr>
      <w:r>
        <w:t>I</w:t>
      </w:r>
      <w:r w:rsidR="008342F2">
        <w:t>n contrast, stronger associations were observed with somatising tendency and poor mental health.  For poor mental health, which has been linked previously with neck pain [</w:t>
      </w:r>
      <w:r w:rsidR="006D5B5F">
        <w:t>28</w:t>
      </w:r>
      <w:r w:rsidR="008342F2">
        <w:t xml:space="preserve">], the relationship was limited to GPNS, while for somatising tendency it extended to localised pain, but was </w:t>
      </w:r>
      <w:r w:rsidR="00647DE3">
        <w:t xml:space="preserve">stronger </w:t>
      </w:r>
      <w:r w:rsidR="008342F2">
        <w:t xml:space="preserve">for GPNS (PRR for </w:t>
      </w:r>
      <w:r w:rsidR="00647DE3">
        <w:t>≥</w:t>
      </w:r>
      <w:r w:rsidR="008342F2">
        <w:t>2 vs. 0 distressing somatic symptoms 1.6, 95%CI 1.5-1.8).  The last finding is consistent with the earlier observation that with</w:t>
      </w:r>
      <w:r w:rsidR="004D0D74">
        <w:t>in</w:t>
      </w:r>
      <w:r w:rsidR="008342F2">
        <w:t xml:space="preserve"> the CUPID study, somatising tendency is a</w:t>
      </w:r>
      <w:r w:rsidR="005A4453">
        <w:t>ssociated</w:t>
      </w:r>
      <w:r w:rsidR="008342F2">
        <w:t xml:space="preserve"> particularly </w:t>
      </w:r>
      <w:r w:rsidR="005A4453">
        <w:t>with</w:t>
      </w:r>
      <w:r w:rsidR="008342F2">
        <w:t xml:space="preserve"> multi-site musculoskeletal pain [</w:t>
      </w:r>
      <w:r w:rsidR="006D5B5F">
        <w:t>7</w:t>
      </w:r>
      <w:r w:rsidR="008342F2">
        <w:t xml:space="preserve">].  It </w:t>
      </w:r>
      <w:r w:rsidR="004D0D74">
        <w:t>might</w:t>
      </w:r>
      <w:r w:rsidR="008342F2">
        <w:t xml:space="preserve"> be expected that people who are prone </w:t>
      </w:r>
      <w:r w:rsidR="004E45E1">
        <w:t xml:space="preserve">to </w:t>
      </w:r>
      <w:r w:rsidR="008342F2">
        <w:t xml:space="preserve">worry about </w:t>
      </w:r>
      <w:r w:rsidR="001305AF">
        <w:t xml:space="preserve">other </w:t>
      </w:r>
      <w:r w:rsidR="008342F2">
        <w:t>common somatic symptoms</w:t>
      </w:r>
      <w:r w:rsidR="001305AF">
        <w:t>, w</w:t>
      </w:r>
      <w:r w:rsidR="004D0D74">
        <w:t>ould</w:t>
      </w:r>
      <w:r w:rsidR="001305AF">
        <w:t xml:space="preserve"> also be more aware of musculoskeletal pain</w:t>
      </w:r>
      <w:r w:rsidR="00B22E1C">
        <w:t xml:space="preserve"> and more likely to report it</w:t>
      </w:r>
      <w:r w:rsidR="001305AF">
        <w:t>.  The weaker relationship to localised pain in the shoulder</w:t>
      </w:r>
      <w:r w:rsidR="00B22E1C">
        <w:t>(s)</w:t>
      </w:r>
      <w:r w:rsidR="001305AF">
        <w:t>, suggests that the latter may be determined more by localised factors</w:t>
      </w:r>
      <w:r w:rsidR="00647DE3">
        <w:t xml:space="preserve"> (e.g. pathology in the shoulder or health beliefs relating specifically to the shoulder)</w:t>
      </w:r>
      <w:r w:rsidR="001305AF">
        <w:t>.</w:t>
      </w:r>
    </w:p>
    <w:p w:rsidR="001305AF" w:rsidRDefault="001305AF" w:rsidP="00895E2E">
      <w:pPr>
        <w:spacing w:line="360" w:lineRule="auto"/>
        <w:jc w:val="both"/>
      </w:pPr>
    </w:p>
    <w:p w:rsidR="00C1234E" w:rsidRDefault="001305AF" w:rsidP="00895E2E">
      <w:pPr>
        <w:spacing w:line="360" w:lineRule="auto"/>
        <w:jc w:val="both"/>
      </w:pPr>
      <w:r>
        <w:t xml:space="preserve">The association that we observed between localised shoulder pain and adverse beliefs about the prognosis of arm pain (PRR </w:t>
      </w:r>
      <w:r w:rsidR="004D0D74">
        <w:t>1.4</w:t>
      </w:r>
      <w:r>
        <w:t xml:space="preserve"> 95%CI </w:t>
      </w:r>
      <w:r w:rsidR="004D0D74">
        <w:t>1.0-2.1</w:t>
      </w:r>
      <w:r>
        <w:t xml:space="preserve">) may reflect a relationship more to </w:t>
      </w:r>
      <w:r>
        <w:lastRenderedPageBreak/>
        <w:t>the persistence than the incidence of symptoms.  Prevalence depends upon both incidence and persistence, and our cross-sectional analysis could not distinguish between effects on one as compared with the other.</w:t>
      </w:r>
    </w:p>
    <w:p w:rsidR="00C1234E" w:rsidRDefault="00C1234E" w:rsidP="00895E2E">
      <w:pPr>
        <w:spacing w:line="360" w:lineRule="auto"/>
        <w:jc w:val="both"/>
      </w:pPr>
    </w:p>
    <w:p w:rsidR="00F51D3F" w:rsidRDefault="007F6AE9" w:rsidP="00895E2E">
      <w:pPr>
        <w:spacing w:line="360" w:lineRule="auto"/>
        <w:jc w:val="both"/>
      </w:pPr>
      <w:r>
        <w:t xml:space="preserve">We also found marked differences in the prevalence of neck/shoulder pain by </w:t>
      </w:r>
      <w:r w:rsidR="00AB13FF">
        <w:t xml:space="preserve">occupational </w:t>
      </w:r>
      <w:r>
        <w:t>group, and in the proportion of such pain that was localised to the neck/shoulder region (</w:t>
      </w:r>
      <w:r w:rsidR="00E07C25">
        <w:t xml:space="preserve">evidenced by the absence of </w:t>
      </w:r>
      <w:r w:rsidR="00E51CC1">
        <w:t xml:space="preserve">clear </w:t>
      </w:r>
      <w:r w:rsidR="00E07C25">
        <w:t xml:space="preserve">positive correlation between the two categories of pain in </w:t>
      </w:r>
      <w:r>
        <w:t>Figure 1).</w:t>
      </w:r>
      <w:r w:rsidR="004D0D74">
        <w:t xml:space="preserve">  The larger variation was for GPNS and tended to parallel that reported previously for disabling pain in the low back and wrist/hand regions [</w:t>
      </w:r>
      <w:r w:rsidR="006D5B5F">
        <w:t>6</w:t>
      </w:r>
      <w:r w:rsidR="004D0D74">
        <w:t>].  This may be because, like neck/shoulder pain, most low back and wri</w:t>
      </w:r>
      <w:r w:rsidR="00514965">
        <w:t>s</w:t>
      </w:r>
      <w:r w:rsidR="004D0D74">
        <w:t xml:space="preserve">t/hand pain occurs in people with a high </w:t>
      </w:r>
      <w:r w:rsidR="004C455C">
        <w:t>susceptibility</w:t>
      </w:r>
      <w:r w:rsidR="004D0D74">
        <w:t xml:space="preserve"> to musculoskeletal pain in general.  The differences were somewhat reduced after control for known and suspected risk factors, but remained large.  They might in part reflect differences in understanding of pain, across different cultures and especially between populations speaking different languages.  However, such differences could not explain the variation between </w:t>
      </w:r>
      <w:r w:rsidR="00AB13FF">
        <w:t xml:space="preserve">occupational </w:t>
      </w:r>
      <w:r w:rsidR="00F51D3F">
        <w:t>groups in the proportion of neck/shoulder pain that was localised, which again was marked.  The lack of correlation between the prevalence of LNSP and GPNS suggests differences in general predisposition to complain of musculoskeletal pain, perhaps culturally determined, that are not explained by differences in somatising tendency or other known or suspected risk factors for such pain.  Whatever the explanation, the differential variation adds to the case for treating LNSP and GPNS as separate entities.</w:t>
      </w:r>
    </w:p>
    <w:p w:rsidR="00F51D3F" w:rsidRDefault="00F51D3F" w:rsidP="00895E2E">
      <w:pPr>
        <w:spacing w:line="360" w:lineRule="auto"/>
        <w:jc w:val="both"/>
      </w:pPr>
    </w:p>
    <w:p w:rsidR="00397F0D" w:rsidRDefault="00F51D3F" w:rsidP="00895E2E">
      <w:pPr>
        <w:spacing w:line="360" w:lineRule="auto"/>
        <w:jc w:val="both"/>
      </w:pPr>
      <w:r>
        <w:t>Th</w:t>
      </w:r>
      <w:r w:rsidR="00514965">
        <w:t>at</w:t>
      </w:r>
      <w:r>
        <w:t xml:space="preserve"> case is further supported by the observation that in comparison with LNSP, GPNS tended to be more persistent at follow-up.  This pattern would be expected if the general predisposition to pain</w:t>
      </w:r>
      <w:r w:rsidR="00514965">
        <w:t xml:space="preserve"> </w:t>
      </w:r>
      <w:r>
        <w:t>that appears to drive rates of GPNS were a fairly unchanging personal characteristic, whereas LNSP w</w:t>
      </w:r>
      <w:r w:rsidR="001F6599">
        <w:t>as</w:t>
      </w:r>
      <w:r>
        <w:t xml:space="preserve"> more influenced by transient factors such as reversible injuries to local tissues in the neck and shoulders.</w:t>
      </w:r>
    </w:p>
    <w:p w:rsidR="00397F0D" w:rsidRDefault="00397F0D" w:rsidP="00895E2E">
      <w:pPr>
        <w:spacing w:line="360" w:lineRule="auto"/>
        <w:jc w:val="both"/>
      </w:pPr>
    </w:p>
    <w:p w:rsidR="008E6E3E" w:rsidRDefault="005E1B68" w:rsidP="006B56F4">
      <w:pPr>
        <w:spacing w:line="360" w:lineRule="auto"/>
        <w:jc w:val="both"/>
      </w:pPr>
      <w:r>
        <w:t xml:space="preserve">In conclusion, </w:t>
      </w:r>
      <w:r w:rsidR="008E6E3E" w:rsidRPr="008E6E3E">
        <w:t xml:space="preserve">our findings point to important distinctions between sub-categories of neck/shoulder pain.  </w:t>
      </w:r>
      <w:r w:rsidR="00E07C25">
        <w:t>I</w:t>
      </w:r>
      <w:r w:rsidR="00E07C25" w:rsidRPr="00E07C25">
        <w:t>t is uncommon for people with neck</w:t>
      </w:r>
      <w:r w:rsidR="00E07C25">
        <w:t>/shoulder</w:t>
      </w:r>
      <w:r w:rsidR="00E07C25" w:rsidRPr="00E07C25">
        <w:t xml:space="preserve"> pain not </w:t>
      </w:r>
      <w:r w:rsidR="00E07C25">
        <w:t xml:space="preserve">to have </w:t>
      </w:r>
      <w:r w:rsidR="00E07C25" w:rsidRPr="00E07C25">
        <w:t>experience</w:t>
      </w:r>
      <w:r w:rsidR="00E07C25">
        <w:t>d</w:t>
      </w:r>
      <w:r w:rsidR="00E07C25" w:rsidRPr="00E07C25">
        <w:t xml:space="preserve"> pain </w:t>
      </w:r>
      <w:r w:rsidR="00E07C25">
        <w:t>also at</w:t>
      </w:r>
      <w:r w:rsidR="00E07C25" w:rsidRPr="00E07C25">
        <w:t xml:space="preserve"> other </w:t>
      </w:r>
      <w:r w:rsidR="00E07C25">
        <w:t xml:space="preserve">anatomical </w:t>
      </w:r>
      <w:r w:rsidR="00E07C25" w:rsidRPr="00E07C25">
        <w:t xml:space="preserve">sites during </w:t>
      </w:r>
      <w:r w:rsidR="00E07C25">
        <w:t>the past</w:t>
      </w:r>
      <w:r w:rsidR="00E07C25" w:rsidRPr="00E07C25">
        <w:t xml:space="preserve"> year</w:t>
      </w:r>
      <w:r w:rsidR="00E07C25">
        <w:t>, and those whose pain is limited to the neck and/or shoulders</w:t>
      </w:r>
      <w:r w:rsidR="00E07C25" w:rsidRPr="00E07C25">
        <w:t xml:space="preserve"> </w:t>
      </w:r>
      <w:r w:rsidR="00E07C25">
        <w:t>tend to be</w:t>
      </w:r>
      <w:r w:rsidR="00E07C25" w:rsidRPr="00E07C25">
        <w:t xml:space="preserve"> younger, to somatise less, and </w:t>
      </w:r>
      <w:r w:rsidR="00E07C25">
        <w:t>to be</w:t>
      </w:r>
      <w:r w:rsidR="00E07C25" w:rsidRPr="00E07C25">
        <w:t xml:space="preserve"> less disabl</w:t>
      </w:r>
      <w:r w:rsidR="00E07C25">
        <w:t>ed</w:t>
      </w:r>
      <w:r w:rsidR="00E07C25" w:rsidRPr="00E07C25">
        <w:t xml:space="preserve"> </w:t>
      </w:r>
      <w:r w:rsidR="00E07C25">
        <w:t xml:space="preserve">by their </w:t>
      </w:r>
      <w:r w:rsidR="00E07C25" w:rsidRPr="00E07C25">
        <w:t>pain</w:t>
      </w:r>
      <w:r w:rsidR="00E07C25">
        <w:t xml:space="preserve">.  Localised neck/shoulder pain </w:t>
      </w:r>
      <w:r w:rsidR="00BE32A0">
        <w:t>is</w:t>
      </w:r>
      <w:r w:rsidR="00E07C25">
        <w:t xml:space="preserve"> also less </w:t>
      </w:r>
      <w:r w:rsidR="008E6E3E" w:rsidRPr="008E6E3E">
        <w:t xml:space="preserve">persistent than that </w:t>
      </w:r>
      <w:r w:rsidR="00397F0D">
        <w:t xml:space="preserve">which </w:t>
      </w:r>
      <w:r w:rsidR="008E6E3E" w:rsidRPr="008E6E3E">
        <w:t xml:space="preserve">is </w:t>
      </w:r>
      <w:r w:rsidR="00E07C25">
        <w:t>associated with pain elsewhere, and</w:t>
      </w:r>
      <w:r w:rsidR="008E6E3E" w:rsidRPr="008E6E3E">
        <w:t xml:space="preserve"> shows stronger associations with occupational physical activities, </w:t>
      </w:r>
      <w:r w:rsidR="00244103">
        <w:t>perhaps</w:t>
      </w:r>
      <w:r w:rsidR="008E6E3E" w:rsidRPr="008E6E3E">
        <w:t xml:space="preserve"> reflect</w:t>
      </w:r>
      <w:r w:rsidR="00244103">
        <w:t>ing</w:t>
      </w:r>
      <w:r w:rsidR="008E6E3E" w:rsidRPr="008E6E3E">
        <w:t xml:space="preserve"> specific effects on local tissues (e.g. muscle fatigue from postures associated with prolonged use of keyboards).  In future research on neck/shoulder pain that bases case definitions only on symptoms, it </w:t>
      </w:r>
      <w:r w:rsidR="006B56F4">
        <w:t>would</w:t>
      </w:r>
      <w:r w:rsidR="008E6E3E" w:rsidRPr="008E6E3E">
        <w:t xml:space="preserve"> be useful to distinguish pain that </w:t>
      </w:r>
      <w:r w:rsidR="008E6E3E" w:rsidRPr="008E6E3E">
        <w:lastRenderedPageBreak/>
        <w:t xml:space="preserve">is localised to the neck or shoulder from more generalised pain that happens to involve </w:t>
      </w:r>
      <w:r w:rsidR="006B56F4">
        <w:t>the neck/shoulder region</w:t>
      </w:r>
      <w:r w:rsidR="008F6031">
        <w:t xml:space="preserve"> as well as other parts of the body</w:t>
      </w:r>
      <w:r w:rsidR="008E6E3E" w:rsidRPr="008E6E3E">
        <w:t xml:space="preserve">.  </w:t>
      </w:r>
    </w:p>
    <w:p w:rsidR="005E1B68" w:rsidRDefault="005E1B68">
      <w:pPr>
        <w:spacing w:after="200"/>
        <w:rPr>
          <w:b/>
          <w:bCs/>
        </w:rPr>
      </w:pPr>
      <w:r>
        <w:rPr>
          <w:b/>
          <w:bCs/>
        </w:rPr>
        <w:br w:type="page"/>
      </w:r>
    </w:p>
    <w:p w:rsidR="007D45C9" w:rsidRPr="000A7AA3" w:rsidRDefault="007D45C9" w:rsidP="007D45C9">
      <w:pPr>
        <w:autoSpaceDE w:val="0"/>
        <w:autoSpaceDN w:val="0"/>
        <w:adjustRightInd w:val="0"/>
        <w:spacing w:line="360" w:lineRule="auto"/>
        <w:rPr>
          <w:b/>
          <w:bCs/>
        </w:rPr>
      </w:pPr>
      <w:r w:rsidRPr="000A7AA3">
        <w:rPr>
          <w:b/>
          <w:bCs/>
        </w:rPr>
        <w:lastRenderedPageBreak/>
        <w:t>Acknowledgements</w:t>
      </w:r>
    </w:p>
    <w:p w:rsidR="00FC5ABB" w:rsidRPr="00FC5ABB" w:rsidRDefault="00FC5ABB" w:rsidP="00FC5ABB">
      <w:pPr>
        <w:spacing w:line="360" w:lineRule="auto"/>
        <w:jc w:val="both"/>
        <w:rPr>
          <w:rFonts w:eastAsia="Times New Roman" w:cs="Times New Roman"/>
          <w:bCs/>
          <w:szCs w:val="20"/>
        </w:rPr>
      </w:pPr>
      <w:r w:rsidRPr="00FC5ABB">
        <w:rPr>
          <w:rFonts w:eastAsia="Times New Roman" w:cs="Times New Roman"/>
          <w:szCs w:val="20"/>
        </w:rPr>
        <w:t xml:space="preserve">We thank: </w:t>
      </w:r>
      <w:r w:rsidRPr="00FC5ABB">
        <w:rPr>
          <w:rFonts w:eastAsia="Times New Roman" w:cs="Times New Roman"/>
          <w:bCs/>
          <w:szCs w:val="20"/>
        </w:rPr>
        <w:t>Pietro Muñoz, Patricio Oyos, Gonzalo Albuja, María Belduma and Francisco Lara for their assistance with data collection in Ecuador; Patrica Monge, Melania Chaverrri and Freddy Brenes, who helped with data collection in Costa Rica; Aurora Aragón, Alberto Berríos, Samaria Balladares</w:t>
      </w:r>
      <w:r w:rsidRPr="00FC5ABB">
        <w:rPr>
          <w:rFonts w:eastAsia="Times New Roman" w:cs="Times New Roman"/>
          <w:bCs/>
          <w:i/>
          <w:szCs w:val="20"/>
        </w:rPr>
        <w:t xml:space="preserve"> </w:t>
      </w:r>
      <w:r w:rsidRPr="00FC5ABB">
        <w:rPr>
          <w:rFonts w:eastAsia="Times New Roman" w:cs="Times New Roman"/>
          <w:bCs/>
          <w:szCs w:val="20"/>
        </w:rPr>
        <w:t xml:space="preserve">and Martha Martínez who helped with data collection in Nicaragua; Alfredo José Jirón who assisted with data entry in Nicaragua; </w:t>
      </w:r>
      <w:r w:rsidRPr="00FC5ABB">
        <w:rPr>
          <w:rFonts w:eastAsia="Times New Roman" w:cs="Times New Roman"/>
          <w:bCs/>
          <w:szCs w:val="20"/>
          <w:lang w:val="es-ES"/>
        </w:rPr>
        <w:t>Catalina Torres</w:t>
      </w:r>
      <w:r w:rsidRPr="00FC5ABB">
        <w:rPr>
          <w:rFonts w:eastAsia="Times New Roman" w:cs="Times New Roman"/>
          <w:bCs/>
          <w:szCs w:val="20"/>
        </w:rPr>
        <w:t xml:space="preserve"> for translation and piloting of the questionnaire in Spain; Ben and Marie Carmen Coggon for back translation of the Spanish questionnaire; Cynthia Alcantara, Xavier Orpella, Josep Anton Gonzalez, Joan Bas, Pilar Peña, Elena Brunat, Vicente San José, Anna Sala March, Anna Marquez, Josefina Lorente, Cristina Oliva, Montse Vergara and Eduard Gaynés for their assistance with data collection in Spain; Natale Battevi,</w:t>
      </w:r>
      <w:r w:rsidRPr="00FC5ABB">
        <w:rPr>
          <w:rFonts w:eastAsia="Times New Roman" w:cs="Times New Roman"/>
          <w:szCs w:val="20"/>
        </w:rPr>
        <w:t xml:space="preserve"> </w:t>
      </w:r>
      <w:r w:rsidRPr="00FC5ABB">
        <w:rPr>
          <w:rFonts w:eastAsia="Times New Roman" w:cs="Times New Roman"/>
          <w:bCs/>
          <w:szCs w:val="20"/>
        </w:rPr>
        <w:t xml:space="preserve">Lorenzo Bordini, Marco Conti and Luciano Riboldi who carried out data collection in Italy; Paul Maurice Conway for back translation of the Italian questionnaire; </w:t>
      </w:r>
      <w:r w:rsidR="00EB5068" w:rsidRPr="00EB5068">
        <w:rPr>
          <w:rFonts w:eastAsia="Times New Roman" w:cs="Times New Roman"/>
          <w:bCs/>
          <w:szCs w:val="20"/>
        </w:rPr>
        <w:t>Tuuli Sirk</w:t>
      </w:r>
      <w:r w:rsidRPr="00FC5ABB">
        <w:rPr>
          <w:rFonts w:eastAsia="Times New Roman" w:cs="Times New Roman"/>
          <w:bCs/>
          <w:szCs w:val="20"/>
        </w:rPr>
        <w:t>, who helped with data collection in Estonia; the Deputy for Training and Research, Shahroud University of Medical Sciences for financial support of data collection in Iran; Asad Ali Khan for supervision of data collection and checking in Pakistan; Khalil Qureshi for training of field workers and supervision of data collection and checking in Pakistan; and Masami Hirai , Tatsuya Isomura, Norimasa Kikuchi, Akiko Ishizuka and Takayuki Sawada for their help with data collection and management in Japan; Monash University which funded data collection in Australia through its grant schemes; NHMRC which supported Helen Kelsall and Donna Urquhart in Australia through fellowships; the Ministry of Higher Education in Malaysia which supported Victor Hoe in Australia; and the Health Research Council of New Zealand which funded data collection in New Zealand.  Data collection in Central America and Colombia was supported by the Southwest Center for Occupational and Environmental Health at the University of Texas Health Science Center research training grant from the NIH Fogarty International Center</w:t>
      </w:r>
    </w:p>
    <w:p w:rsidR="00FC5ABB" w:rsidRPr="00FC5ABB" w:rsidRDefault="00FC5ABB" w:rsidP="00FC5ABB">
      <w:pPr>
        <w:spacing w:line="360" w:lineRule="auto"/>
        <w:jc w:val="both"/>
        <w:rPr>
          <w:rFonts w:eastAsia="Times New Roman" w:cs="Times New Roman"/>
          <w:bCs/>
          <w:szCs w:val="20"/>
        </w:rPr>
      </w:pPr>
    </w:p>
    <w:p w:rsidR="00A85F1E" w:rsidRDefault="007D45C9" w:rsidP="00FC5ABB">
      <w:pPr>
        <w:autoSpaceDE w:val="0"/>
        <w:autoSpaceDN w:val="0"/>
        <w:adjustRightInd w:val="0"/>
        <w:spacing w:line="360" w:lineRule="auto"/>
        <w:ind w:right="-286"/>
        <w:jc w:val="both"/>
      </w:pPr>
      <w:r w:rsidRPr="00FC5ABB">
        <w:rPr>
          <w:rFonts w:eastAsia="Times-Roman"/>
        </w:rPr>
        <w:t>Coordenação de Aperfeiçoamento de Pessoal de nível Superior (CAPES), Brasilia, DF,</w:t>
      </w:r>
      <w:r w:rsidR="00FC5ABB">
        <w:rPr>
          <w:rFonts w:eastAsia="Times-Roman"/>
        </w:rPr>
        <w:t xml:space="preserve"> </w:t>
      </w:r>
      <w:r w:rsidRPr="00FC5ABB">
        <w:rPr>
          <w:rFonts w:eastAsia="Times-Roman"/>
        </w:rPr>
        <w:t xml:space="preserve">Brazil </w:t>
      </w:r>
      <w:r w:rsidR="00FC5ABB">
        <w:rPr>
          <w:rFonts w:eastAsia="Times-Roman"/>
        </w:rPr>
        <w:t xml:space="preserve">supported </w:t>
      </w:r>
      <w:r w:rsidR="00FC5ABB">
        <w:rPr>
          <w:bCs/>
        </w:rPr>
        <w:t>Leila Mansano Sarquis</w:t>
      </w:r>
      <w:r w:rsidR="00FC5ABB">
        <w:rPr>
          <w:rStyle w:val="A0"/>
          <w:sz w:val="22"/>
          <w:szCs w:val="22"/>
        </w:rPr>
        <w:t xml:space="preserve"> through a</w:t>
      </w:r>
      <w:r w:rsidRPr="00FC5ABB">
        <w:rPr>
          <w:rStyle w:val="A0"/>
          <w:sz w:val="22"/>
          <w:szCs w:val="22"/>
        </w:rPr>
        <w:t xml:space="preserve"> </w:t>
      </w:r>
      <w:r w:rsidR="00FC5ABB">
        <w:rPr>
          <w:rStyle w:val="A0"/>
          <w:sz w:val="22"/>
          <w:szCs w:val="22"/>
        </w:rPr>
        <w:t>p</w:t>
      </w:r>
      <w:r w:rsidRPr="00FC5ABB">
        <w:rPr>
          <w:rStyle w:val="A0"/>
          <w:sz w:val="22"/>
          <w:szCs w:val="22"/>
        </w:rPr>
        <w:t xml:space="preserve">ost-doctoral </w:t>
      </w:r>
      <w:r w:rsidR="00FC5ABB">
        <w:rPr>
          <w:rStyle w:val="A0"/>
          <w:sz w:val="22"/>
          <w:szCs w:val="22"/>
        </w:rPr>
        <w:t xml:space="preserve">fellowship </w:t>
      </w:r>
      <w:r w:rsidRPr="00FC5ABB">
        <w:rPr>
          <w:rStyle w:val="A0"/>
          <w:sz w:val="22"/>
          <w:szCs w:val="22"/>
        </w:rPr>
        <w:t>(</w:t>
      </w:r>
      <w:r w:rsidRPr="00FC5ABB">
        <w:t>BEX n</w:t>
      </w:r>
      <w:r w:rsidRPr="00FC5ABB">
        <w:rPr>
          <w:vertAlign w:val="superscript"/>
        </w:rPr>
        <w:t>o</w:t>
      </w:r>
      <w:r w:rsidRPr="00FC5ABB">
        <w:t xml:space="preserve"> </w:t>
      </w:r>
      <w:r w:rsidRPr="00FC5ABB">
        <w:rPr>
          <w:bCs/>
        </w:rPr>
        <w:t>6841/14-7</w:t>
      </w:r>
      <w:r w:rsidR="00FC5ABB">
        <w:rPr>
          <w:bCs/>
        </w:rPr>
        <w:t>), enabling her to work on this paper during an attachment at</w:t>
      </w:r>
      <w:r w:rsidRPr="00FC5ABB">
        <w:rPr>
          <w:bCs/>
        </w:rPr>
        <w:t xml:space="preserve"> University of Southampton, </w:t>
      </w:r>
      <w:r w:rsidR="00FC5ABB">
        <w:rPr>
          <w:bCs/>
        </w:rPr>
        <w:t>UK</w:t>
      </w:r>
      <w:r w:rsidRPr="00FC5ABB">
        <w:t>.</w:t>
      </w:r>
      <w:r w:rsidR="001F6599">
        <w:t xml:space="preserve">  </w:t>
      </w:r>
    </w:p>
    <w:p w:rsidR="00EF3AB9" w:rsidRDefault="00EF3AB9" w:rsidP="006A1F8F">
      <w:pPr>
        <w:autoSpaceDE w:val="0"/>
        <w:autoSpaceDN w:val="0"/>
        <w:adjustRightInd w:val="0"/>
        <w:ind w:right="-286"/>
        <w:jc w:val="both"/>
      </w:pPr>
    </w:p>
    <w:p w:rsidR="001F6599" w:rsidRDefault="00A85F1E" w:rsidP="006A1F8F">
      <w:pPr>
        <w:autoSpaceDE w:val="0"/>
        <w:autoSpaceDN w:val="0"/>
        <w:adjustRightInd w:val="0"/>
        <w:ind w:right="-286"/>
        <w:jc w:val="both"/>
      </w:pPr>
      <w:r>
        <w:t>Sergio Vargas-Prada was supported by the program Rio-Hortega, Institute of Health Carlos III (ISCIII), Spain</w:t>
      </w:r>
      <w:r w:rsidR="001F6599">
        <w:t>.</w:t>
      </w:r>
    </w:p>
    <w:p w:rsidR="001F6599" w:rsidRDefault="001F6599" w:rsidP="006A1F8F">
      <w:pPr>
        <w:autoSpaceDE w:val="0"/>
        <w:autoSpaceDN w:val="0"/>
        <w:adjustRightInd w:val="0"/>
        <w:ind w:right="-286"/>
        <w:jc w:val="both"/>
      </w:pPr>
    </w:p>
    <w:p w:rsidR="001F6599" w:rsidRDefault="001F6599" w:rsidP="006A1F8F">
      <w:pPr>
        <w:autoSpaceDE w:val="0"/>
        <w:autoSpaceDN w:val="0"/>
        <w:adjustRightInd w:val="0"/>
        <w:ind w:right="-286"/>
        <w:jc w:val="both"/>
      </w:pPr>
      <w:r w:rsidRPr="009D27C1">
        <w:rPr>
          <w:bCs/>
        </w:rPr>
        <w:t>Eduardo J. Salazar Vega</w:t>
      </w:r>
      <w:r w:rsidRPr="001F6599">
        <w:rPr>
          <w:bCs/>
          <w:lang w:val="en-US"/>
        </w:rPr>
        <w:t xml:space="preserve"> is now employed by </w:t>
      </w:r>
      <w:r>
        <w:t>AkzoNobel, USA.</w:t>
      </w:r>
    </w:p>
    <w:p w:rsidR="001F6599" w:rsidRDefault="001F6599" w:rsidP="006A1F8F">
      <w:pPr>
        <w:autoSpaceDE w:val="0"/>
        <w:autoSpaceDN w:val="0"/>
        <w:adjustRightInd w:val="0"/>
        <w:ind w:right="-286"/>
        <w:jc w:val="both"/>
      </w:pPr>
    </w:p>
    <w:p w:rsidR="00EF3AB9" w:rsidRDefault="001F6599" w:rsidP="001F6599">
      <w:pPr>
        <w:spacing w:line="360" w:lineRule="auto"/>
        <w:jc w:val="both"/>
        <w:rPr>
          <w:b/>
          <w:bCs/>
          <w:lang w:val="en-US"/>
        </w:rPr>
      </w:pPr>
      <w:r w:rsidRPr="00FC5ABB">
        <w:rPr>
          <w:rFonts w:eastAsia="Times New Roman" w:cs="Times New Roman"/>
          <w:bCs/>
          <w:szCs w:val="20"/>
        </w:rPr>
        <w:t xml:space="preserve">We are particularly grateful to the Colt Foundation, which funded data collection in Brazil, Ecuador, Costa Rica, Nicaragua, UK, Greece, Estonia, Lebanon, Pakistan and South Africa; </w:t>
      </w:r>
      <w:r w:rsidRPr="00FC5ABB">
        <w:rPr>
          <w:rFonts w:eastAsia="Times New Roman" w:cs="Times New Roman"/>
          <w:bCs/>
          <w:szCs w:val="20"/>
        </w:rPr>
        <w:lastRenderedPageBreak/>
        <w:t>all of the organisations that allowed us to approach their employees; and all of the workers who kindly participated in the study.</w:t>
      </w:r>
      <w:r>
        <w:rPr>
          <w:b/>
          <w:bCs/>
          <w:lang w:val="en-US"/>
        </w:rPr>
        <w:t xml:space="preserve"> </w:t>
      </w:r>
    </w:p>
    <w:p w:rsidR="00EF3AB9" w:rsidRPr="00EF3AB9" w:rsidRDefault="00EF3AB9" w:rsidP="001F6599">
      <w:pPr>
        <w:spacing w:line="360" w:lineRule="auto"/>
        <w:jc w:val="both"/>
        <w:rPr>
          <w:bCs/>
          <w:lang w:val="en-US"/>
        </w:rPr>
      </w:pPr>
    </w:p>
    <w:p w:rsidR="009C1089" w:rsidRDefault="00EF3AB9" w:rsidP="001F6599">
      <w:pPr>
        <w:spacing w:line="360" w:lineRule="auto"/>
        <w:jc w:val="both"/>
        <w:rPr>
          <w:b/>
          <w:bCs/>
          <w:lang w:val="en-US"/>
        </w:rPr>
      </w:pPr>
      <w:r w:rsidRPr="00EF3AB9">
        <w:rPr>
          <w:bCs/>
          <w:lang w:val="en-US"/>
        </w:rPr>
        <w:t>The authors have no conflicts of interest</w:t>
      </w:r>
      <w:r>
        <w:rPr>
          <w:bCs/>
          <w:lang w:val="en-US"/>
        </w:rPr>
        <w:t>.</w:t>
      </w:r>
      <w:r w:rsidR="009C1089">
        <w:rPr>
          <w:b/>
          <w:bCs/>
          <w:lang w:val="en-US"/>
        </w:rPr>
        <w:br w:type="page"/>
      </w:r>
    </w:p>
    <w:p w:rsidR="00D33089" w:rsidRPr="00D33089" w:rsidRDefault="00D33089" w:rsidP="00D33089">
      <w:pPr>
        <w:spacing w:line="360" w:lineRule="auto"/>
        <w:ind w:left="284" w:right="-286" w:hanging="284"/>
        <w:jc w:val="both"/>
        <w:rPr>
          <w:b/>
          <w:bCs/>
          <w:iCs/>
        </w:rPr>
      </w:pPr>
      <w:r w:rsidRPr="00D33089">
        <w:rPr>
          <w:b/>
          <w:bCs/>
          <w:iCs/>
        </w:rPr>
        <w:lastRenderedPageBreak/>
        <w:t>References</w:t>
      </w:r>
    </w:p>
    <w:p w:rsidR="003815BD" w:rsidRDefault="003815BD" w:rsidP="00F12042">
      <w:pPr>
        <w:numPr>
          <w:ilvl w:val="0"/>
          <w:numId w:val="2"/>
        </w:numPr>
        <w:spacing w:line="360" w:lineRule="auto"/>
        <w:ind w:right="-286" w:hanging="502"/>
        <w:jc w:val="both"/>
        <w:rPr>
          <w:bCs/>
        </w:rPr>
      </w:pPr>
      <w:r>
        <w:rPr>
          <w:bCs/>
        </w:rPr>
        <w:t>Andersen LL, Clausen T, Carneiro IG, Holterman A.  Spreading of chronic pain between body regions: prospective cohort study among health care workers.  Eur J Pain 2012;16:1437-43.</w:t>
      </w:r>
    </w:p>
    <w:p w:rsidR="003815BD" w:rsidRDefault="003815BD" w:rsidP="003815BD">
      <w:pPr>
        <w:spacing w:line="360" w:lineRule="auto"/>
        <w:ind w:left="502" w:right="-286"/>
        <w:jc w:val="both"/>
        <w:rPr>
          <w:bCs/>
        </w:rPr>
      </w:pPr>
    </w:p>
    <w:p w:rsidR="00F12042" w:rsidRDefault="00F12042" w:rsidP="00F12042">
      <w:pPr>
        <w:numPr>
          <w:ilvl w:val="0"/>
          <w:numId w:val="2"/>
        </w:numPr>
        <w:spacing w:line="360" w:lineRule="auto"/>
        <w:ind w:right="-286" w:hanging="502"/>
        <w:jc w:val="both"/>
        <w:rPr>
          <w:bCs/>
        </w:rPr>
      </w:pPr>
      <w:r w:rsidRPr="00FC5ABB">
        <w:rPr>
          <w:bCs/>
        </w:rPr>
        <w:t xml:space="preserve">Ariëns GAM, van Mechelen W, Bongers PM, Bouter LM, van der Wal G.  Physical risk factors for neck pain.  Scand </w:t>
      </w:r>
      <w:r>
        <w:rPr>
          <w:bCs/>
        </w:rPr>
        <w:t>J</w:t>
      </w:r>
      <w:r w:rsidRPr="00FC5ABB">
        <w:rPr>
          <w:bCs/>
        </w:rPr>
        <w:t xml:space="preserve"> Work Environ Health 2000;26:7-19.</w:t>
      </w:r>
    </w:p>
    <w:p w:rsidR="00F12042" w:rsidRPr="00FC5ABB" w:rsidRDefault="00F12042" w:rsidP="00F12042">
      <w:pPr>
        <w:spacing w:line="360" w:lineRule="auto"/>
        <w:ind w:left="502" w:right="-286"/>
        <w:jc w:val="both"/>
        <w:rPr>
          <w:bCs/>
        </w:rPr>
      </w:pPr>
    </w:p>
    <w:p w:rsidR="00F12042" w:rsidRPr="00FC5ABB" w:rsidRDefault="00F12042" w:rsidP="00F12042">
      <w:pPr>
        <w:numPr>
          <w:ilvl w:val="0"/>
          <w:numId w:val="2"/>
        </w:numPr>
        <w:spacing w:line="360" w:lineRule="auto"/>
        <w:ind w:right="-286" w:hanging="502"/>
        <w:jc w:val="both"/>
        <w:rPr>
          <w:bCs/>
        </w:rPr>
      </w:pPr>
      <w:r w:rsidRPr="00FC5ABB">
        <w:rPr>
          <w:bCs/>
          <w:lang w:val="en-US"/>
        </w:rPr>
        <w:t>Carugno M, Pesatori AC, Ferrario MM, Ferrari AL, Silva FJ, Martins AC, Felli VE, Coggon D, Bonzini M. Physical and psychosocial risk factors for musculoskeletal disorders in Brazilian and Italian nurses. Cad Saude Publica 2012;28:1632-42.</w:t>
      </w:r>
      <w:r w:rsidRPr="00FC5ABB">
        <w:rPr>
          <w:bCs/>
        </w:rPr>
        <w:t xml:space="preserve"> </w:t>
      </w:r>
    </w:p>
    <w:p w:rsidR="00F12042" w:rsidRPr="00FC5ABB" w:rsidRDefault="00F12042" w:rsidP="00F12042">
      <w:pPr>
        <w:spacing w:line="360" w:lineRule="auto"/>
        <w:ind w:left="284" w:right="-286" w:hanging="502"/>
        <w:jc w:val="both"/>
        <w:rPr>
          <w:bCs/>
        </w:rPr>
      </w:pPr>
    </w:p>
    <w:p w:rsidR="00F12042" w:rsidRPr="00FC5ABB" w:rsidRDefault="00F12042" w:rsidP="00F12042">
      <w:pPr>
        <w:numPr>
          <w:ilvl w:val="0"/>
          <w:numId w:val="2"/>
        </w:numPr>
        <w:spacing w:line="360" w:lineRule="auto"/>
        <w:ind w:right="-286" w:hanging="502"/>
        <w:jc w:val="both"/>
        <w:rPr>
          <w:bCs/>
        </w:rPr>
      </w:pPr>
      <w:r w:rsidRPr="00FC5ABB">
        <w:rPr>
          <w:bCs/>
        </w:rPr>
        <w:t>Coggon D, Martyn C, Palmer KT, Evanoff B.  Assessing case definitions in the absence of a diagnostic gold standard.  Int J Epidemiol 2005;34:949-52.</w:t>
      </w:r>
    </w:p>
    <w:p w:rsidR="00F12042" w:rsidRPr="00FC5ABB" w:rsidRDefault="00F12042" w:rsidP="00F12042">
      <w:pPr>
        <w:spacing w:line="360" w:lineRule="auto"/>
        <w:ind w:left="284" w:right="-286" w:hanging="502"/>
        <w:jc w:val="both"/>
        <w:rPr>
          <w:bCs/>
        </w:rPr>
      </w:pPr>
    </w:p>
    <w:p w:rsidR="00F12042" w:rsidRPr="00FC5ABB" w:rsidRDefault="00F12042" w:rsidP="00F12042">
      <w:pPr>
        <w:numPr>
          <w:ilvl w:val="0"/>
          <w:numId w:val="2"/>
        </w:numPr>
        <w:spacing w:line="360" w:lineRule="auto"/>
        <w:ind w:right="-286" w:hanging="502"/>
        <w:jc w:val="both"/>
        <w:rPr>
          <w:bCs/>
        </w:rPr>
      </w:pPr>
      <w:r w:rsidRPr="00FC5ABB">
        <w:rPr>
          <w:bCs/>
          <w:lang w:val="en-US"/>
        </w:rPr>
        <w:t>Coggon D, Ntani G, Palmer KT</w:t>
      </w:r>
      <w:r w:rsidR="005F0041">
        <w:rPr>
          <w:bCs/>
          <w:lang w:val="en-US"/>
        </w:rPr>
        <w:t xml:space="preserve">, </w:t>
      </w:r>
      <w:r w:rsidR="005F0041" w:rsidRPr="00FC5ABB">
        <w:rPr>
          <w:bCs/>
          <w:lang w:val="en-US"/>
        </w:rPr>
        <w:t>Felli VE,  Harari R, Barrero LH</w:t>
      </w:r>
      <w:r w:rsidR="005F0041">
        <w:rPr>
          <w:bCs/>
          <w:lang w:val="en-US"/>
        </w:rPr>
        <w:t>,</w:t>
      </w:r>
      <w:r w:rsidR="005F0041" w:rsidRPr="00FC5ABB">
        <w:rPr>
          <w:bCs/>
          <w:lang w:val="en-US"/>
        </w:rPr>
        <w:t xml:space="preserve"> </w:t>
      </w:r>
      <w:r w:rsidR="005F0041">
        <w:rPr>
          <w:lang w:eastAsia="en-GB"/>
        </w:rPr>
        <w:t>F</w:t>
      </w:r>
      <w:r w:rsidR="005F0041" w:rsidRPr="003D7617">
        <w:rPr>
          <w:lang w:eastAsia="en-GB"/>
        </w:rPr>
        <w:t>elknor</w:t>
      </w:r>
      <w:r w:rsidR="005F0041">
        <w:rPr>
          <w:lang w:eastAsia="en-GB"/>
        </w:rPr>
        <w:t xml:space="preserve"> SA,</w:t>
      </w:r>
      <w:r w:rsidR="005F0041" w:rsidRPr="003D7617">
        <w:rPr>
          <w:lang w:eastAsia="en-GB"/>
        </w:rPr>
        <w:t xml:space="preserve"> Gimeno</w:t>
      </w:r>
      <w:r w:rsidR="005F0041">
        <w:rPr>
          <w:lang w:eastAsia="en-GB"/>
        </w:rPr>
        <w:t xml:space="preserve"> D,</w:t>
      </w:r>
      <w:r w:rsidR="005F0041" w:rsidRPr="003D7617">
        <w:rPr>
          <w:lang w:eastAsia="en-GB"/>
        </w:rPr>
        <w:t xml:space="preserve"> Cattrell</w:t>
      </w:r>
      <w:r w:rsidR="005F0041">
        <w:rPr>
          <w:lang w:eastAsia="en-GB"/>
        </w:rPr>
        <w:t xml:space="preserve"> A,</w:t>
      </w:r>
      <w:r w:rsidR="005F0041" w:rsidRPr="003D7617">
        <w:rPr>
          <w:lang w:eastAsia="en-GB"/>
        </w:rPr>
        <w:t xml:space="preserve"> Serra</w:t>
      </w:r>
      <w:r w:rsidR="005F0041">
        <w:rPr>
          <w:lang w:eastAsia="en-GB"/>
        </w:rPr>
        <w:t xml:space="preserve"> C,</w:t>
      </w:r>
      <w:r w:rsidR="005F0041" w:rsidRPr="003D7617">
        <w:rPr>
          <w:lang w:eastAsia="en-GB"/>
        </w:rPr>
        <w:t xml:space="preserve"> Bonzini</w:t>
      </w:r>
      <w:r w:rsidR="005F0041">
        <w:rPr>
          <w:lang w:eastAsia="en-GB"/>
        </w:rPr>
        <w:t xml:space="preserve"> M,</w:t>
      </w:r>
      <w:r w:rsidR="005F0041" w:rsidRPr="003D7617">
        <w:rPr>
          <w:lang w:eastAsia="en-GB"/>
        </w:rPr>
        <w:t xml:space="preserve"> Solidaki</w:t>
      </w:r>
      <w:r w:rsidR="005F0041">
        <w:rPr>
          <w:lang w:eastAsia="en-GB"/>
        </w:rPr>
        <w:t xml:space="preserve"> E,</w:t>
      </w:r>
      <w:r w:rsidR="005F0041" w:rsidRPr="003D7617">
        <w:rPr>
          <w:lang w:eastAsia="en-GB"/>
        </w:rPr>
        <w:t xml:space="preserve"> </w:t>
      </w:r>
      <w:r w:rsidR="005F0041">
        <w:rPr>
          <w:lang w:eastAsia="en-GB"/>
        </w:rPr>
        <w:t>M</w:t>
      </w:r>
      <w:r w:rsidR="005F0041" w:rsidRPr="003D7617">
        <w:rPr>
          <w:lang w:eastAsia="en-GB"/>
        </w:rPr>
        <w:t>erisalu</w:t>
      </w:r>
      <w:r w:rsidR="005F0041">
        <w:rPr>
          <w:lang w:eastAsia="en-GB"/>
        </w:rPr>
        <w:t xml:space="preserve"> E,</w:t>
      </w:r>
      <w:r w:rsidR="005F0041" w:rsidRPr="003D7617">
        <w:rPr>
          <w:lang w:eastAsia="en-GB"/>
        </w:rPr>
        <w:t xml:space="preserve"> Habib</w:t>
      </w:r>
      <w:r w:rsidR="005F0041">
        <w:rPr>
          <w:lang w:eastAsia="en-GB"/>
        </w:rPr>
        <w:t xml:space="preserve"> RR,</w:t>
      </w:r>
      <w:r w:rsidR="005F0041" w:rsidRPr="003D7617">
        <w:rPr>
          <w:lang w:eastAsia="en-GB"/>
        </w:rPr>
        <w:t xml:space="preserve"> Sadeghian</w:t>
      </w:r>
      <w:r w:rsidR="005F0041">
        <w:rPr>
          <w:lang w:eastAsia="en-GB"/>
        </w:rPr>
        <w:t xml:space="preserve"> F,</w:t>
      </w:r>
      <w:r w:rsidR="005F0041" w:rsidRPr="003D7617">
        <w:rPr>
          <w:lang w:eastAsia="en-GB"/>
        </w:rPr>
        <w:t xml:space="preserve"> Kadir</w:t>
      </w:r>
      <w:r w:rsidR="005F0041">
        <w:rPr>
          <w:lang w:eastAsia="en-GB"/>
        </w:rPr>
        <w:t xml:space="preserve"> MM,</w:t>
      </w:r>
      <w:r w:rsidR="005F0041" w:rsidRPr="003D7617">
        <w:rPr>
          <w:lang w:eastAsia="en-GB"/>
        </w:rPr>
        <w:t xml:space="preserve"> Warnakulasuriya</w:t>
      </w:r>
      <w:r w:rsidR="005F0041">
        <w:rPr>
          <w:lang w:eastAsia="en-GB"/>
        </w:rPr>
        <w:t xml:space="preserve"> SSP,</w:t>
      </w:r>
      <w:r w:rsidR="005F0041" w:rsidRPr="003D7617">
        <w:rPr>
          <w:lang w:eastAsia="en-GB"/>
        </w:rPr>
        <w:t xml:space="preserve"> Matsudaira</w:t>
      </w:r>
      <w:r w:rsidR="005F0041">
        <w:rPr>
          <w:lang w:eastAsia="en-GB"/>
        </w:rPr>
        <w:t xml:space="preserve"> K,</w:t>
      </w:r>
      <w:r w:rsidR="005F0041" w:rsidRPr="003D7617">
        <w:rPr>
          <w:lang w:eastAsia="en-GB"/>
        </w:rPr>
        <w:t xml:space="preserve"> Nyantumbu</w:t>
      </w:r>
      <w:r w:rsidR="005F0041">
        <w:rPr>
          <w:lang w:eastAsia="en-GB"/>
        </w:rPr>
        <w:t xml:space="preserve"> B</w:t>
      </w:r>
      <w:r w:rsidR="005F0041" w:rsidRPr="003D7617">
        <w:rPr>
          <w:lang w:eastAsia="en-GB"/>
        </w:rPr>
        <w:t xml:space="preserve">; </w:t>
      </w:r>
      <w:r w:rsidR="005F0041">
        <w:rPr>
          <w:lang w:eastAsia="en-GB"/>
        </w:rPr>
        <w:t>S</w:t>
      </w:r>
      <w:r w:rsidR="005F0041" w:rsidRPr="003D7617">
        <w:rPr>
          <w:lang w:eastAsia="en-GB"/>
        </w:rPr>
        <w:t>im</w:t>
      </w:r>
      <w:r w:rsidR="005F0041">
        <w:rPr>
          <w:lang w:eastAsia="en-GB"/>
        </w:rPr>
        <w:t xml:space="preserve"> MR,</w:t>
      </w:r>
      <w:r w:rsidR="005F0041" w:rsidRPr="003D7617">
        <w:rPr>
          <w:lang w:eastAsia="en-GB"/>
        </w:rPr>
        <w:t xml:space="preserve"> Harcombe</w:t>
      </w:r>
      <w:r w:rsidR="005F0041">
        <w:rPr>
          <w:lang w:eastAsia="en-GB"/>
        </w:rPr>
        <w:t xml:space="preserve"> H and other members of the CUPID Collaboration</w:t>
      </w:r>
      <w:r w:rsidRPr="00FC5ABB">
        <w:rPr>
          <w:bCs/>
          <w:lang w:val="en-US"/>
        </w:rPr>
        <w:t>. The CUPID (Cultural and Psychosocial Influences on Disability) Study: Methods of Data Collection and Characteristics of Study Sample. PLoS ONE 2012;7:1-12.</w:t>
      </w:r>
    </w:p>
    <w:p w:rsidR="00F12042" w:rsidRPr="00FC5ABB" w:rsidRDefault="00F12042" w:rsidP="00F12042">
      <w:pPr>
        <w:spacing w:line="360" w:lineRule="auto"/>
        <w:ind w:left="284" w:right="-286" w:hanging="502"/>
        <w:jc w:val="both"/>
        <w:rPr>
          <w:bCs/>
        </w:rPr>
      </w:pPr>
    </w:p>
    <w:p w:rsidR="0065592B" w:rsidRPr="00F12042" w:rsidRDefault="0065592B" w:rsidP="0065592B">
      <w:pPr>
        <w:numPr>
          <w:ilvl w:val="0"/>
          <w:numId w:val="2"/>
        </w:numPr>
        <w:spacing w:line="360" w:lineRule="auto"/>
        <w:ind w:right="-286" w:hanging="502"/>
        <w:jc w:val="both"/>
        <w:rPr>
          <w:bCs/>
        </w:rPr>
      </w:pPr>
      <w:r w:rsidRPr="00FC5ABB">
        <w:rPr>
          <w:bCs/>
          <w:lang w:val="en-US"/>
        </w:rPr>
        <w:t>Coggon D, Ntani G, Palmer KT, Felli VE,  Harari R, Barrero LH</w:t>
      </w:r>
      <w:r>
        <w:rPr>
          <w:bCs/>
          <w:lang w:val="en-US"/>
        </w:rPr>
        <w:t>,</w:t>
      </w:r>
      <w:r w:rsidRPr="00FC5ABB">
        <w:rPr>
          <w:bCs/>
          <w:lang w:val="en-US"/>
        </w:rPr>
        <w:t xml:space="preserve"> </w:t>
      </w:r>
      <w:r>
        <w:rPr>
          <w:lang w:eastAsia="en-GB"/>
        </w:rPr>
        <w:t>F</w:t>
      </w:r>
      <w:r w:rsidRPr="003D7617">
        <w:rPr>
          <w:lang w:eastAsia="en-GB"/>
        </w:rPr>
        <w:t>elknor</w:t>
      </w:r>
      <w:r>
        <w:rPr>
          <w:lang w:eastAsia="en-GB"/>
        </w:rPr>
        <w:t xml:space="preserve"> SA,</w:t>
      </w:r>
      <w:r w:rsidRPr="003D7617">
        <w:rPr>
          <w:lang w:eastAsia="en-GB"/>
        </w:rPr>
        <w:t xml:space="preserve"> Gimeno</w:t>
      </w:r>
      <w:r>
        <w:rPr>
          <w:lang w:eastAsia="en-GB"/>
        </w:rPr>
        <w:t xml:space="preserve"> D,</w:t>
      </w:r>
      <w:r w:rsidRPr="003D7617">
        <w:rPr>
          <w:lang w:eastAsia="en-GB"/>
        </w:rPr>
        <w:t xml:space="preserve"> Cattrell</w:t>
      </w:r>
      <w:r>
        <w:rPr>
          <w:lang w:eastAsia="en-GB"/>
        </w:rPr>
        <w:t xml:space="preserve"> A,</w:t>
      </w:r>
      <w:r w:rsidRPr="003D7617">
        <w:rPr>
          <w:lang w:eastAsia="en-GB"/>
        </w:rPr>
        <w:t xml:space="preserve"> Serra</w:t>
      </w:r>
      <w:r>
        <w:rPr>
          <w:lang w:eastAsia="en-GB"/>
        </w:rPr>
        <w:t xml:space="preserve"> C,</w:t>
      </w:r>
      <w:r w:rsidRPr="003D7617">
        <w:rPr>
          <w:lang w:eastAsia="en-GB"/>
        </w:rPr>
        <w:t xml:space="preserve"> Bonzini</w:t>
      </w:r>
      <w:r>
        <w:rPr>
          <w:lang w:eastAsia="en-GB"/>
        </w:rPr>
        <w:t xml:space="preserve"> M,</w:t>
      </w:r>
      <w:r w:rsidRPr="003D7617">
        <w:rPr>
          <w:lang w:eastAsia="en-GB"/>
        </w:rPr>
        <w:t xml:space="preserve"> Solidaki</w:t>
      </w:r>
      <w:r>
        <w:rPr>
          <w:lang w:eastAsia="en-GB"/>
        </w:rPr>
        <w:t xml:space="preserve"> E,</w:t>
      </w:r>
      <w:r w:rsidRPr="003D7617">
        <w:rPr>
          <w:lang w:eastAsia="en-GB"/>
        </w:rPr>
        <w:t xml:space="preserve"> </w:t>
      </w:r>
      <w:r>
        <w:rPr>
          <w:lang w:eastAsia="en-GB"/>
        </w:rPr>
        <w:t>M</w:t>
      </w:r>
      <w:r w:rsidRPr="003D7617">
        <w:rPr>
          <w:lang w:eastAsia="en-GB"/>
        </w:rPr>
        <w:t>erisalu</w:t>
      </w:r>
      <w:r>
        <w:rPr>
          <w:lang w:eastAsia="en-GB"/>
        </w:rPr>
        <w:t xml:space="preserve"> E,</w:t>
      </w:r>
      <w:r w:rsidRPr="003D7617">
        <w:rPr>
          <w:lang w:eastAsia="en-GB"/>
        </w:rPr>
        <w:t xml:space="preserve"> Habib</w:t>
      </w:r>
      <w:r>
        <w:rPr>
          <w:lang w:eastAsia="en-GB"/>
        </w:rPr>
        <w:t xml:space="preserve"> RR,</w:t>
      </w:r>
      <w:r w:rsidRPr="003D7617">
        <w:rPr>
          <w:lang w:eastAsia="en-GB"/>
        </w:rPr>
        <w:t xml:space="preserve"> Sadeghian</w:t>
      </w:r>
      <w:r>
        <w:rPr>
          <w:lang w:eastAsia="en-GB"/>
        </w:rPr>
        <w:t xml:space="preserve"> F,</w:t>
      </w:r>
      <w:r w:rsidRPr="003D7617">
        <w:rPr>
          <w:lang w:eastAsia="en-GB"/>
        </w:rPr>
        <w:t xml:space="preserve"> Kadir</w:t>
      </w:r>
      <w:r>
        <w:rPr>
          <w:lang w:eastAsia="en-GB"/>
        </w:rPr>
        <w:t xml:space="preserve"> MM,</w:t>
      </w:r>
      <w:r w:rsidRPr="003D7617">
        <w:rPr>
          <w:lang w:eastAsia="en-GB"/>
        </w:rPr>
        <w:t xml:space="preserve"> Warnakulasuriya</w:t>
      </w:r>
      <w:r>
        <w:rPr>
          <w:lang w:eastAsia="en-GB"/>
        </w:rPr>
        <w:t xml:space="preserve"> SSP,</w:t>
      </w:r>
      <w:r w:rsidRPr="003D7617">
        <w:rPr>
          <w:lang w:eastAsia="en-GB"/>
        </w:rPr>
        <w:t xml:space="preserve"> Matsudaira</w:t>
      </w:r>
      <w:r>
        <w:rPr>
          <w:lang w:eastAsia="en-GB"/>
        </w:rPr>
        <w:t xml:space="preserve"> K,</w:t>
      </w:r>
      <w:r w:rsidRPr="003D7617">
        <w:rPr>
          <w:lang w:eastAsia="en-GB"/>
        </w:rPr>
        <w:t xml:space="preserve"> Nyantumbu</w:t>
      </w:r>
      <w:r>
        <w:rPr>
          <w:lang w:eastAsia="en-GB"/>
        </w:rPr>
        <w:t xml:space="preserve"> B</w:t>
      </w:r>
      <w:r w:rsidRPr="003D7617">
        <w:rPr>
          <w:lang w:eastAsia="en-GB"/>
        </w:rPr>
        <w:t xml:space="preserve">; </w:t>
      </w:r>
      <w:r>
        <w:rPr>
          <w:lang w:eastAsia="en-GB"/>
        </w:rPr>
        <w:t>S</w:t>
      </w:r>
      <w:r w:rsidRPr="003D7617">
        <w:rPr>
          <w:lang w:eastAsia="en-GB"/>
        </w:rPr>
        <w:t>im</w:t>
      </w:r>
      <w:r>
        <w:rPr>
          <w:lang w:eastAsia="en-GB"/>
        </w:rPr>
        <w:t xml:space="preserve"> MR,</w:t>
      </w:r>
      <w:r w:rsidRPr="003D7617">
        <w:rPr>
          <w:lang w:eastAsia="en-GB"/>
        </w:rPr>
        <w:t xml:space="preserve"> Harcombe</w:t>
      </w:r>
      <w:r>
        <w:rPr>
          <w:lang w:eastAsia="en-GB"/>
        </w:rPr>
        <w:t xml:space="preserve"> H,</w:t>
      </w:r>
      <w:r w:rsidRPr="003D7617">
        <w:rPr>
          <w:lang w:eastAsia="en-GB"/>
        </w:rPr>
        <w:t xml:space="preserve"> Cox</w:t>
      </w:r>
      <w:r>
        <w:rPr>
          <w:lang w:eastAsia="en-GB"/>
        </w:rPr>
        <w:t xml:space="preserve"> K,</w:t>
      </w:r>
      <w:r w:rsidRPr="003D7617">
        <w:rPr>
          <w:lang w:eastAsia="en-GB"/>
        </w:rPr>
        <w:t xml:space="preserve"> Marziale</w:t>
      </w:r>
      <w:r>
        <w:rPr>
          <w:lang w:eastAsia="en-GB"/>
        </w:rPr>
        <w:t xml:space="preserve"> MH,</w:t>
      </w:r>
      <w:r w:rsidRPr="003D7617">
        <w:rPr>
          <w:lang w:eastAsia="en-GB"/>
        </w:rPr>
        <w:t xml:space="preserve"> Sarquis</w:t>
      </w:r>
      <w:r>
        <w:rPr>
          <w:lang w:eastAsia="en-GB"/>
        </w:rPr>
        <w:t xml:space="preserve"> LM,</w:t>
      </w:r>
      <w:r w:rsidRPr="003D7617">
        <w:rPr>
          <w:lang w:eastAsia="en-GB"/>
        </w:rPr>
        <w:t xml:space="preserve"> Harari</w:t>
      </w:r>
      <w:r>
        <w:rPr>
          <w:lang w:eastAsia="en-GB"/>
        </w:rPr>
        <w:t xml:space="preserve"> F,</w:t>
      </w:r>
      <w:r w:rsidRPr="003D7617">
        <w:rPr>
          <w:lang w:eastAsia="en-GB"/>
        </w:rPr>
        <w:t xml:space="preserve"> Feire</w:t>
      </w:r>
      <w:r>
        <w:rPr>
          <w:lang w:eastAsia="en-GB"/>
        </w:rPr>
        <w:t xml:space="preserve"> R,</w:t>
      </w:r>
      <w:r w:rsidRPr="003D7617">
        <w:rPr>
          <w:lang w:eastAsia="en-GB"/>
        </w:rPr>
        <w:t xml:space="preserve"> </w:t>
      </w:r>
      <w:r>
        <w:rPr>
          <w:lang w:eastAsia="en-GB"/>
        </w:rPr>
        <w:t>H</w:t>
      </w:r>
      <w:r w:rsidRPr="003D7617">
        <w:rPr>
          <w:lang w:eastAsia="en-GB"/>
        </w:rPr>
        <w:t>arari</w:t>
      </w:r>
      <w:r>
        <w:rPr>
          <w:lang w:eastAsia="en-GB"/>
        </w:rPr>
        <w:t xml:space="preserve"> N,</w:t>
      </w:r>
      <w:r w:rsidRPr="003D7617">
        <w:rPr>
          <w:lang w:eastAsia="en-GB"/>
        </w:rPr>
        <w:t xml:space="preserve">; </w:t>
      </w:r>
      <w:r>
        <w:rPr>
          <w:lang w:eastAsia="en-GB"/>
        </w:rPr>
        <w:t>M</w:t>
      </w:r>
      <w:r w:rsidRPr="003D7617">
        <w:rPr>
          <w:lang w:eastAsia="en-GB"/>
        </w:rPr>
        <w:t>onroy</w:t>
      </w:r>
      <w:r>
        <w:rPr>
          <w:lang w:eastAsia="en-GB"/>
        </w:rPr>
        <w:t xml:space="preserve"> MV,</w:t>
      </w:r>
      <w:r w:rsidRPr="003D7617">
        <w:rPr>
          <w:lang w:eastAsia="en-GB"/>
        </w:rPr>
        <w:t xml:space="preserve"> Quintana</w:t>
      </w:r>
      <w:r>
        <w:rPr>
          <w:lang w:eastAsia="en-GB"/>
        </w:rPr>
        <w:t xml:space="preserve"> LA,</w:t>
      </w:r>
      <w:r w:rsidRPr="003D7617">
        <w:rPr>
          <w:lang w:eastAsia="en-GB"/>
        </w:rPr>
        <w:t xml:space="preserve"> Rojas</w:t>
      </w:r>
      <w:r>
        <w:rPr>
          <w:lang w:eastAsia="en-GB"/>
        </w:rPr>
        <w:t xml:space="preserve"> M,</w:t>
      </w:r>
      <w:r w:rsidRPr="003D7617">
        <w:rPr>
          <w:lang w:eastAsia="en-GB"/>
        </w:rPr>
        <w:t xml:space="preserve"> Salazar Vega</w:t>
      </w:r>
      <w:r>
        <w:rPr>
          <w:lang w:eastAsia="en-GB"/>
        </w:rPr>
        <w:t xml:space="preserve"> EJ,</w:t>
      </w:r>
      <w:r w:rsidRPr="003D7617">
        <w:rPr>
          <w:lang w:eastAsia="en-GB"/>
        </w:rPr>
        <w:t xml:space="preserve"> Harris</w:t>
      </w:r>
      <w:r>
        <w:rPr>
          <w:lang w:eastAsia="en-GB"/>
        </w:rPr>
        <w:t xml:space="preserve"> EC,</w:t>
      </w:r>
      <w:r w:rsidRPr="003D7617">
        <w:rPr>
          <w:lang w:eastAsia="en-GB"/>
        </w:rPr>
        <w:t xml:space="preserve"> </w:t>
      </w:r>
      <w:r>
        <w:rPr>
          <w:lang w:eastAsia="en-GB"/>
        </w:rPr>
        <w:t>V</w:t>
      </w:r>
      <w:r w:rsidRPr="003D7617">
        <w:rPr>
          <w:lang w:eastAsia="en-GB"/>
        </w:rPr>
        <w:t>argas-Prada</w:t>
      </w:r>
      <w:r>
        <w:rPr>
          <w:lang w:eastAsia="en-GB"/>
        </w:rPr>
        <w:t xml:space="preserve"> S,</w:t>
      </w:r>
      <w:r w:rsidRPr="003D7617">
        <w:rPr>
          <w:lang w:eastAsia="en-GB"/>
        </w:rPr>
        <w:t xml:space="preserve"> Martinez</w:t>
      </w:r>
      <w:r>
        <w:rPr>
          <w:lang w:eastAsia="en-GB"/>
        </w:rPr>
        <w:t xml:space="preserve"> JM,</w:t>
      </w:r>
      <w:r w:rsidRPr="003D7617">
        <w:rPr>
          <w:lang w:eastAsia="en-GB"/>
        </w:rPr>
        <w:t xml:space="preserve"> Declos</w:t>
      </w:r>
      <w:r>
        <w:rPr>
          <w:lang w:eastAsia="en-GB"/>
        </w:rPr>
        <w:t xml:space="preserve"> G,</w:t>
      </w:r>
      <w:r w:rsidRPr="003D7617">
        <w:rPr>
          <w:lang w:eastAsia="en-GB"/>
        </w:rPr>
        <w:t xml:space="preserve"> Benavides</w:t>
      </w:r>
      <w:r>
        <w:rPr>
          <w:lang w:eastAsia="en-GB"/>
        </w:rPr>
        <w:t xml:space="preserve"> FG,</w:t>
      </w:r>
      <w:r w:rsidRPr="003D7617">
        <w:rPr>
          <w:lang w:eastAsia="en-GB"/>
        </w:rPr>
        <w:t xml:space="preserve"> Carugno</w:t>
      </w:r>
      <w:r>
        <w:rPr>
          <w:lang w:eastAsia="en-GB"/>
        </w:rPr>
        <w:t xml:space="preserve"> M,</w:t>
      </w:r>
      <w:r w:rsidRPr="003D7617">
        <w:rPr>
          <w:lang w:eastAsia="en-GB"/>
        </w:rPr>
        <w:t xml:space="preserve"> Ferrario</w:t>
      </w:r>
      <w:r>
        <w:rPr>
          <w:lang w:eastAsia="en-GB"/>
        </w:rPr>
        <w:t xml:space="preserve"> MM,</w:t>
      </w:r>
      <w:r w:rsidRPr="003D7617">
        <w:rPr>
          <w:lang w:eastAsia="en-GB"/>
        </w:rPr>
        <w:t xml:space="preserve"> Pesatori</w:t>
      </w:r>
      <w:r>
        <w:rPr>
          <w:lang w:eastAsia="en-GB"/>
        </w:rPr>
        <w:t xml:space="preserve"> AC,</w:t>
      </w:r>
      <w:r w:rsidRPr="003D7617">
        <w:rPr>
          <w:lang w:eastAsia="en-GB"/>
        </w:rPr>
        <w:t xml:space="preserve"> </w:t>
      </w:r>
      <w:r>
        <w:rPr>
          <w:lang w:eastAsia="en-GB"/>
        </w:rPr>
        <w:t>C</w:t>
      </w:r>
      <w:r w:rsidRPr="003D7617">
        <w:rPr>
          <w:lang w:eastAsia="en-GB"/>
        </w:rPr>
        <w:t>hatzi</w:t>
      </w:r>
      <w:r>
        <w:rPr>
          <w:lang w:eastAsia="en-GB"/>
        </w:rPr>
        <w:t xml:space="preserve"> L,</w:t>
      </w:r>
      <w:r w:rsidRPr="003D7617">
        <w:rPr>
          <w:lang w:eastAsia="en-GB"/>
        </w:rPr>
        <w:t xml:space="preserve"> Bitsios</w:t>
      </w:r>
      <w:r>
        <w:rPr>
          <w:lang w:eastAsia="en-GB"/>
        </w:rPr>
        <w:t xml:space="preserve"> P,</w:t>
      </w:r>
      <w:r w:rsidRPr="003D7617">
        <w:rPr>
          <w:lang w:eastAsia="en-GB"/>
        </w:rPr>
        <w:t xml:space="preserve"> Kogevinas</w:t>
      </w:r>
      <w:r>
        <w:rPr>
          <w:lang w:eastAsia="en-GB"/>
        </w:rPr>
        <w:t xml:space="preserve"> M,</w:t>
      </w:r>
      <w:r w:rsidRPr="003D7617">
        <w:rPr>
          <w:lang w:eastAsia="en-GB"/>
        </w:rPr>
        <w:t xml:space="preserve"> Oha</w:t>
      </w:r>
      <w:r>
        <w:rPr>
          <w:lang w:eastAsia="en-GB"/>
        </w:rPr>
        <w:t xml:space="preserve"> K,</w:t>
      </w:r>
      <w:r w:rsidRPr="003D7617">
        <w:rPr>
          <w:lang w:eastAsia="en-GB"/>
        </w:rPr>
        <w:t xml:space="preserve"> Sirk</w:t>
      </w:r>
      <w:r>
        <w:rPr>
          <w:lang w:eastAsia="en-GB"/>
        </w:rPr>
        <w:t xml:space="preserve"> T,</w:t>
      </w:r>
      <w:r w:rsidRPr="003D7617">
        <w:rPr>
          <w:lang w:eastAsia="en-GB"/>
        </w:rPr>
        <w:t xml:space="preserve"> Sadeghian</w:t>
      </w:r>
      <w:r>
        <w:rPr>
          <w:lang w:eastAsia="en-GB"/>
        </w:rPr>
        <w:t xml:space="preserve"> A,</w:t>
      </w:r>
      <w:r w:rsidRPr="003D7617">
        <w:rPr>
          <w:lang w:eastAsia="en-GB"/>
        </w:rPr>
        <w:t xml:space="preserve"> Peiris-John</w:t>
      </w:r>
      <w:r>
        <w:rPr>
          <w:lang w:eastAsia="en-GB"/>
        </w:rPr>
        <w:t xml:space="preserve"> RJ,</w:t>
      </w:r>
      <w:r w:rsidRPr="003D7617">
        <w:rPr>
          <w:lang w:eastAsia="en-GB"/>
        </w:rPr>
        <w:t xml:space="preserve"> Sathiakumar</w:t>
      </w:r>
      <w:r>
        <w:rPr>
          <w:lang w:eastAsia="en-GB"/>
        </w:rPr>
        <w:t xml:space="preserve"> N,</w:t>
      </w:r>
      <w:r w:rsidRPr="003D7617">
        <w:rPr>
          <w:lang w:eastAsia="en-GB"/>
        </w:rPr>
        <w:t xml:space="preserve"> Wickremasinghe</w:t>
      </w:r>
      <w:r>
        <w:rPr>
          <w:lang w:eastAsia="en-GB"/>
        </w:rPr>
        <w:t xml:space="preserve"> AR,</w:t>
      </w:r>
      <w:r w:rsidRPr="003D7617">
        <w:rPr>
          <w:lang w:eastAsia="en-GB"/>
        </w:rPr>
        <w:t xml:space="preserve"> </w:t>
      </w:r>
      <w:r>
        <w:rPr>
          <w:lang w:eastAsia="en-GB"/>
        </w:rPr>
        <w:t>Y</w:t>
      </w:r>
      <w:r w:rsidRPr="003D7617">
        <w:rPr>
          <w:lang w:eastAsia="en-GB"/>
        </w:rPr>
        <w:t>oshimura</w:t>
      </w:r>
      <w:r>
        <w:rPr>
          <w:lang w:eastAsia="en-GB"/>
        </w:rPr>
        <w:t xml:space="preserve"> N,</w:t>
      </w:r>
      <w:r w:rsidRPr="003D7617">
        <w:rPr>
          <w:lang w:eastAsia="en-GB"/>
        </w:rPr>
        <w:t xml:space="preserve"> Kelsall</w:t>
      </w:r>
      <w:r>
        <w:rPr>
          <w:lang w:eastAsia="en-GB"/>
        </w:rPr>
        <w:t xml:space="preserve"> HL,</w:t>
      </w:r>
      <w:r w:rsidRPr="003D7617">
        <w:rPr>
          <w:lang w:eastAsia="en-GB"/>
        </w:rPr>
        <w:t xml:space="preserve"> Hoe</w:t>
      </w:r>
      <w:r>
        <w:rPr>
          <w:lang w:eastAsia="en-GB"/>
        </w:rPr>
        <w:t xml:space="preserve"> VCW</w:t>
      </w:r>
      <w:r w:rsidRPr="003D7617">
        <w:rPr>
          <w:lang w:eastAsia="en-GB"/>
        </w:rPr>
        <w:t>; Urquhart</w:t>
      </w:r>
      <w:r>
        <w:rPr>
          <w:lang w:eastAsia="en-GB"/>
        </w:rPr>
        <w:t xml:space="preserve"> DM,</w:t>
      </w:r>
      <w:r w:rsidRPr="003D7617">
        <w:rPr>
          <w:lang w:eastAsia="en-GB"/>
        </w:rPr>
        <w:t xml:space="preserve"> Derrett</w:t>
      </w:r>
      <w:r>
        <w:rPr>
          <w:lang w:eastAsia="en-GB"/>
        </w:rPr>
        <w:t xml:space="preserve"> S,</w:t>
      </w:r>
      <w:r w:rsidRPr="003D7617">
        <w:rPr>
          <w:lang w:eastAsia="en-GB"/>
        </w:rPr>
        <w:t xml:space="preserve"> McBride</w:t>
      </w:r>
      <w:r>
        <w:rPr>
          <w:lang w:eastAsia="en-GB"/>
        </w:rPr>
        <w:t xml:space="preserve"> D,</w:t>
      </w:r>
      <w:r w:rsidRPr="003D7617">
        <w:rPr>
          <w:lang w:eastAsia="en-GB"/>
        </w:rPr>
        <w:t xml:space="preserve"> Herbison</w:t>
      </w:r>
      <w:r>
        <w:rPr>
          <w:lang w:eastAsia="en-GB"/>
        </w:rPr>
        <w:t xml:space="preserve"> P,</w:t>
      </w:r>
      <w:r w:rsidRPr="003D7617">
        <w:rPr>
          <w:lang w:eastAsia="en-GB"/>
        </w:rPr>
        <w:t xml:space="preserve"> Gray</w:t>
      </w:r>
      <w:r>
        <w:rPr>
          <w:lang w:eastAsia="en-GB"/>
        </w:rPr>
        <w:t xml:space="preserve"> A.</w:t>
      </w:r>
      <w:r w:rsidRPr="00FC5ABB">
        <w:rPr>
          <w:bCs/>
          <w:lang w:val="en-US"/>
        </w:rPr>
        <w:t xml:space="preserve"> Disabling musculoskeletal pain in working populations: Is it the job, the person, or the culture?. Pain 2013;154:856-63.</w:t>
      </w:r>
    </w:p>
    <w:p w:rsidR="0065592B" w:rsidRPr="00FC5ABB" w:rsidRDefault="0065592B" w:rsidP="0065592B">
      <w:pPr>
        <w:spacing w:line="360" w:lineRule="auto"/>
        <w:ind w:right="-286"/>
        <w:jc w:val="both"/>
        <w:rPr>
          <w:bCs/>
        </w:rPr>
      </w:pPr>
    </w:p>
    <w:p w:rsidR="00F12042" w:rsidRPr="00FC5ABB" w:rsidRDefault="00F12042" w:rsidP="00F12042">
      <w:pPr>
        <w:numPr>
          <w:ilvl w:val="0"/>
          <w:numId w:val="2"/>
        </w:numPr>
        <w:spacing w:line="360" w:lineRule="auto"/>
        <w:ind w:right="-286" w:hanging="502"/>
        <w:jc w:val="both"/>
        <w:rPr>
          <w:bCs/>
        </w:rPr>
      </w:pPr>
      <w:r w:rsidRPr="00FC5ABB">
        <w:rPr>
          <w:bCs/>
        </w:rPr>
        <w:t>Coggon D, Ntani G, Palmer KT, Felli VE, Harari R, Barrero LH</w:t>
      </w:r>
      <w:r w:rsidR="0065592B">
        <w:rPr>
          <w:bCs/>
        </w:rPr>
        <w:t>,</w:t>
      </w:r>
      <w:r w:rsidRPr="00FC5ABB">
        <w:rPr>
          <w:bCs/>
        </w:rPr>
        <w:t xml:space="preserve"> </w:t>
      </w:r>
      <w:r w:rsidR="0065592B" w:rsidRPr="0065592B">
        <w:rPr>
          <w:bCs/>
        </w:rPr>
        <w:t xml:space="preserve">Felknor SA, Gimeno D, Cattrell A, Serra C, Bonzini M, Solidaki E, Merisalu E, Habib RR, Sadeghian F, Kadir MM, Warnakulasuriya SSP, Matsudaira K, Nyantumbu B; Sim MR, Harcombe H, Cox K, Marziale MH, Sarquis LM, Harari F, Feire R, Harari N,; Monroy MV, Quintana LA, Rojas </w:t>
      </w:r>
      <w:r w:rsidR="0065592B" w:rsidRPr="0065592B">
        <w:rPr>
          <w:bCs/>
        </w:rPr>
        <w:lastRenderedPageBreak/>
        <w:t>M, Salazar Vega EJ, Harris EC, Vargas-Prada S, Martinez JM, Declos G, Benavides FG, Carugno M, Ferrario MM, Pesatori AC, Chatzi L, Bitsios P, Kogevinas M, Oha K, Sirk T, Sadeghian A, Peiris-John RJ, Sathiakumar N, Wickremasinghe AR, Yoshimura N, Kelsall HL, Hoe VCW; Urquhart DM, Derrett S, McBride D, Herbison P, Gray A.</w:t>
      </w:r>
      <w:r w:rsidRPr="00FC5ABB">
        <w:rPr>
          <w:bCs/>
        </w:rPr>
        <w:t>.  Patterns of multi-site pain and associations with risk factors.  Pain 2013;154:1769-77.</w:t>
      </w:r>
    </w:p>
    <w:p w:rsidR="00F12042" w:rsidRPr="00FC5ABB" w:rsidRDefault="00F12042" w:rsidP="00F12042">
      <w:pPr>
        <w:spacing w:line="360" w:lineRule="auto"/>
        <w:ind w:left="284" w:right="-286" w:hanging="502"/>
        <w:jc w:val="both"/>
        <w:rPr>
          <w:bCs/>
        </w:rPr>
      </w:pPr>
    </w:p>
    <w:p w:rsidR="00F12042" w:rsidRPr="00FC5ABB" w:rsidRDefault="00F12042" w:rsidP="00F12042">
      <w:pPr>
        <w:numPr>
          <w:ilvl w:val="0"/>
          <w:numId w:val="2"/>
        </w:numPr>
        <w:spacing w:line="360" w:lineRule="auto"/>
        <w:ind w:right="-286" w:hanging="502"/>
        <w:jc w:val="both"/>
        <w:rPr>
          <w:bCs/>
        </w:rPr>
      </w:pPr>
      <w:r w:rsidRPr="00FC5ABB">
        <w:rPr>
          <w:bCs/>
        </w:rPr>
        <w:t xml:space="preserve">Croft PR, Lewis M, Papageorgiou AC, Thomas E, Jayson MI, Macfarlane GJ, Silman AJ.  </w:t>
      </w:r>
      <w:hyperlink r:id="rId9" w:history="1">
        <w:r w:rsidRPr="00FC5ABB">
          <w:rPr>
            <w:rStyle w:val="Hyperlink"/>
            <w:bCs/>
            <w:color w:val="auto"/>
            <w:u w:val="none"/>
          </w:rPr>
          <w:t>Risk factors for neck pain: a longitudinal study in the general population.</w:t>
        </w:r>
      </w:hyperlink>
      <w:r w:rsidRPr="00FC5ABB">
        <w:rPr>
          <w:bCs/>
        </w:rPr>
        <w:t xml:space="preserve">  Pain 2001;93:317-25.</w:t>
      </w:r>
    </w:p>
    <w:p w:rsidR="00F12042" w:rsidRPr="00FC5ABB" w:rsidRDefault="00F12042" w:rsidP="00F12042">
      <w:pPr>
        <w:spacing w:line="360" w:lineRule="auto"/>
        <w:ind w:left="284" w:right="-286" w:hanging="502"/>
        <w:jc w:val="both"/>
        <w:rPr>
          <w:bCs/>
        </w:rPr>
      </w:pPr>
    </w:p>
    <w:p w:rsidR="00F12042" w:rsidRPr="0028211D" w:rsidRDefault="00F12042" w:rsidP="00F12042">
      <w:pPr>
        <w:numPr>
          <w:ilvl w:val="0"/>
          <w:numId w:val="2"/>
        </w:numPr>
        <w:spacing w:line="360" w:lineRule="auto"/>
        <w:ind w:right="-286" w:hanging="502"/>
        <w:jc w:val="both"/>
        <w:rPr>
          <w:bCs/>
        </w:rPr>
      </w:pPr>
      <w:r w:rsidRPr="00FC5ABB">
        <w:rPr>
          <w:bCs/>
          <w:lang w:val="en-US"/>
        </w:rPr>
        <w:t>Derogatis LR, Melisaratos N. The Brief Symptom Inventory: an introductory report. Psychological Medicine 1983;13:595-605.</w:t>
      </w:r>
    </w:p>
    <w:p w:rsidR="00F12042" w:rsidRDefault="00F12042" w:rsidP="00F12042">
      <w:pPr>
        <w:pStyle w:val="ListParagraph"/>
        <w:rPr>
          <w:bCs/>
        </w:rPr>
      </w:pPr>
    </w:p>
    <w:p w:rsidR="00F12042" w:rsidRPr="00FC5ABB" w:rsidRDefault="00F12042" w:rsidP="00F12042">
      <w:pPr>
        <w:numPr>
          <w:ilvl w:val="0"/>
          <w:numId w:val="2"/>
        </w:numPr>
        <w:spacing w:line="360" w:lineRule="auto"/>
        <w:ind w:right="-286" w:hanging="502"/>
        <w:jc w:val="both"/>
        <w:rPr>
          <w:bCs/>
        </w:rPr>
      </w:pPr>
      <w:r w:rsidRPr="00FC5ABB">
        <w:rPr>
          <w:bCs/>
        </w:rPr>
        <w:t>Freimann T, Coggon D, Merisalu E, Anim</w:t>
      </w:r>
      <w:r>
        <w:rPr>
          <w:bCs/>
        </w:rPr>
        <w:t>ä</w:t>
      </w:r>
      <w:r w:rsidRPr="00FC5ABB">
        <w:rPr>
          <w:bCs/>
        </w:rPr>
        <w:t>gi L, P</w:t>
      </w:r>
      <w:r>
        <w:rPr>
          <w:bCs/>
        </w:rPr>
        <w:t>ää</w:t>
      </w:r>
      <w:r w:rsidRPr="00FC5ABB">
        <w:rPr>
          <w:bCs/>
        </w:rPr>
        <w:t>suke M. Risk factors for musculoskeletal pain amongst nurses in Estonia: a cross-sectional study. BMC Musculoskelet Disord 2013;14:334.</w:t>
      </w:r>
    </w:p>
    <w:p w:rsidR="00F12042" w:rsidRPr="00FC5ABB" w:rsidRDefault="00F12042" w:rsidP="00F12042">
      <w:pPr>
        <w:spacing w:line="360" w:lineRule="auto"/>
        <w:ind w:left="284" w:right="-286" w:hanging="502"/>
        <w:jc w:val="both"/>
        <w:rPr>
          <w:bCs/>
        </w:rPr>
      </w:pPr>
    </w:p>
    <w:p w:rsidR="00F12042" w:rsidRPr="00FC5ABB" w:rsidRDefault="00F12042" w:rsidP="00F12042">
      <w:pPr>
        <w:numPr>
          <w:ilvl w:val="0"/>
          <w:numId w:val="2"/>
        </w:numPr>
        <w:spacing w:line="360" w:lineRule="auto"/>
        <w:ind w:right="-286" w:hanging="502"/>
        <w:jc w:val="both"/>
        <w:rPr>
          <w:bCs/>
        </w:rPr>
      </w:pPr>
      <w:r w:rsidRPr="00FC5ABB">
        <w:rPr>
          <w:bCs/>
        </w:rPr>
        <w:t>Harcombe H, McBride D, Derrett S, Gray A.  Prevalence and impact of musculoskeletal disorders in New Zealand nurses, postal workers and office workers.  Aust New Zealand J Pub Health 2009;33:437</w:t>
      </w:r>
      <w:r>
        <w:rPr>
          <w:bCs/>
        </w:rPr>
        <w:t>-</w:t>
      </w:r>
      <w:r w:rsidRPr="00FC5ABB">
        <w:rPr>
          <w:bCs/>
        </w:rPr>
        <w:t>41.</w:t>
      </w:r>
    </w:p>
    <w:p w:rsidR="00F12042" w:rsidRPr="00FC5ABB" w:rsidRDefault="00F12042" w:rsidP="00F12042">
      <w:pPr>
        <w:spacing w:line="360" w:lineRule="auto"/>
        <w:ind w:left="284" w:right="-286" w:hanging="502"/>
        <w:jc w:val="both"/>
        <w:rPr>
          <w:bCs/>
        </w:rPr>
      </w:pPr>
    </w:p>
    <w:p w:rsidR="00F12042" w:rsidRPr="00C5099D" w:rsidRDefault="00F12042" w:rsidP="00F12042">
      <w:pPr>
        <w:numPr>
          <w:ilvl w:val="0"/>
          <w:numId w:val="2"/>
        </w:numPr>
        <w:spacing w:line="360" w:lineRule="auto"/>
        <w:ind w:right="-286" w:hanging="502"/>
        <w:jc w:val="both"/>
        <w:rPr>
          <w:bCs/>
        </w:rPr>
      </w:pPr>
      <w:r w:rsidRPr="00FC5ABB">
        <w:rPr>
          <w:bCs/>
          <w:lang w:val="en-US"/>
        </w:rPr>
        <w:t>Harcombe H, McBride D, Derrett S, Gray A. Physical and psychosocial risk factors for musculoskeletal disorders in New Zealand nurses, postal workers and office workers. Inj Prev 2010;16:96-100.</w:t>
      </w:r>
    </w:p>
    <w:p w:rsidR="00C5099D" w:rsidRDefault="00C5099D" w:rsidP="00C5099D">
      <w:pPr>
        <w:pStyle w:val="ListParagraph"/>
        <w:rPr>
          <w:bCs/>
        </w:rPr>
      </w:pPr>
    </w:p>
    <w:p w:rsidR="00C5099D" w:rsidRPr="00FC5ABB" w:rsidRDefault="00C5099D" w:rsidP="00F12042">
      <w:pPr>
        <w:numPr>
          <w:ilvl w:val="0"/>
          <w:numId w:val="2"/>
        </w:numPr>
        <w:spacing w:line="360" w:lineRule="auto"/>
        <w:ind w:right="-286" w:hanging="502"/>
        <w:jc w:val="both"/>
        <w:rPr>
          <w:bCs/>
        </w:rPr>
      </w:pPr>
      <w:r>
        <w:rPr>
          <w:bCs/>
        </w:rPr>
        <w:t>Hartvigsen, J, Davidsen M, Hestbaek L, Roos EM.  Patterns of musculoskeletal pain in the population: a latent class analysis using a nationally representative interviewer-based survey of 4817 Danes.  Eur J Pain 2013;17:452-60.</w:t>
      </w:r>
    </w:p>
    <w:p w:rsidR="00F12042" w:rsidRPr="00FC5ABB" w:rsidRDefault="00F12042" w:rsidP="00F12042">
      <w:pPr>
        <w:spacing w:line="360" w:lineRule="auto"/>
        <w:ind w:left="284" w:right="-286" w:hanging="502"/>
        <w:jc w:val="both"/>
        <w:rPr>
          <w:bCs/>
        </w:rPr>
      </w:pPr>
    </w:p>
    <w:p w:rsidR="00C5099D" w:rsidRPr="00C5099D" w:rsidRDefault="00C5099D" w:rsidP="00F12042">
      <w:pPr>
        <w:numPr>
          <w:ilvl w:val="0"/>
          <w:numId w:val="2"/>
        </w:numPr>
        <w:spacing w:line="360" w:lineRule="auto"/>
        <w:ind w:right="-286" w:hanging="502"/>
        <w:jc w:val="both"/>
        <w:rPr>
          <w:bCs/>
        </w:rPr>
      </w:pPr>
      <w:r>
        <w:rPr>
          <w:bCs/>
        </w:rPr>
        <w:t>Haukka E, Leino_Arjas P, Solovieva S, Ranta R, Viikari-Juntura E, Riihimäki H.  Co-occurrence of musculoskeletal pain among female kitchen workers.  Int Arch Occup Environ Health 2006;80:141-8.</w:t>
      </w:r>
    </w:p>
    <w:p w:rsidR="00C5099D" w:rsidRDefault="00C5099D" w:rsidP="00C5099D">
      <w:pPr>
        <w:pStyle w:val="ListParagraph"/>
        <w:rPr>
          <w:bCs/>
          <w:lang w:val="en-US"/>
        </w:rPr>
      </w:pPr>
    </w:p>
    <w:p w:rsidR="00F12042" w:rsidRPr="00FC5ABB" w:rsidRDefault="00F12042" w:rsidP="00F12042">
      <w:pPr>
        <w:numPr>
          <w:ilvl w:val="0"/>
          <w:numId w:val="2"/>
        </w:numPr>
        <w:spacing w:line="360" w:lineRule="auto"/>
        <w:ind w:right="-286" w:hanging="502"/>
        <w:jc w:val="both"/>
        <w:rPr>
          <w:bCs/>
        </w:rPr>
      </w:pPr>
      <w:r w:rsidRPr="00FC5ABB">
        <w:rPr>
          <w:bCs/>
          <w:lang w:val="en-US"/>
        </w:rPr>
        <w:t>Hoe VC, Kelsall HL, Urquhart DM, Sim MR. Risk factors for musculoskeletal symptoms of the neck or shoulder alone or neck and shoulder among hospital nurses. Occup Environ Med 2012;69:198-204.</w:t>
      </w:r>
    </w:p>
    <w:p w:rsidR="00F12042" w:rsidRPr="00FC5ABB" w:rsidRDefault="00F12042" w:rsidP="00F12042">
      <w:pPr>
        <w:spacing w:line="360" w:lineRule="auto"/>
        <w:ind w:left="284" w:right="-286" w:hanging="502"/>
        <w:jc w:val="both"/>
        <w:rPr>
          <w:bCs/>
        </w:rPr>
      </w:pPr>
    </w:p>
    <w:p w:rsidR="00F12042" w:rsidRPr="00FC5ABB" w:rsidRDefault="00F12042" w:rsidP="00F12042">
      <w:pPr>
        <w:numPr>
          <w:ilvl w:val="0"/>
          <w:numId w:val="2"/>
        </w:numPr>
        <w:spacing w:line="360" w:lineRule="auto"/>
        <w:ind w:right="-286" w:hanging="502"/>
        <w:jc w:val="both"/>
        <w:rPr>
          <w:bCs/>
        </w:rPr>
      </w:pPr>
      <w:r w:rsidRPr="00FC5ABB">
        <w:rPr>
          <w:bCs/>
        </w:rPr>
        <w:lastRenderedPageBreak/>
        <w:t>Kraatz S, Lang J, Kraus T, Münster E, Ochsmann E.  The incremental effect of psychosocial workplace factors on the development of neck and shoulder disorders: a systematic review of longitudinal studies.  Int Arch Occup Environ Health 3013;86:375-95.</w:t>
      </w:r>
    </w:p>
    <w:p w:rsidR="00F12042" w:rsidRPr="00FC5ABB" w:rsidRDefault="00F12042" w:rsidP="00F12042">
      <w:pPr>
        <w:spacing w:line="360" w:lineRule="auto"/>
        <w:ind w:left="284" w:right="-286" w:hanging="502"/>
        <w:jc w:val="both"/>
        <w:rPr>
          <w:bCs/>
        </w:rPr>
      </w:pPr>
    </w:p>
    <w:p w:rsidR="007A5CFC" w:rsidRPr="007A5CFC" w:rsidRDefault="007A5CFC" w:rsidP="00FC5ABB">
      <w:pPr>
        <w:numPr>
          <w:ilvl w:val="0"/>
          <w:numId w:val="2"/>
        </w:numPr>
        <w:spacing w:line="360" w:lineRule="auto"/>
        <w:ind w:right="-286" w:hanging="502"/>
        <w:jc w:val="both"/>
        <w:rPr>
          <w:bCs/>
          <w:sz w:val="20"/>
        </w:rPr>
      </w:pPr>
      <w:r w:rsidRPr="007A5CFC">
        <w:rPr>
          <w:snapToGrid w:val="0"/>
          <w:szCs w:val="24"/>
        </w:rPr>
        <w:t>Lawrence JS. Disc degeneration: its frequency and relationship to symptoms. Ann Rheum Dis 1969;28:121-137</w:t>
      </w:r>
    </w:p>
    <w:p w:rsidR="007A5CFC" w:rsidRPr="007A5CFC" w:rsidRDefault="007A5CFC" w:rsidP="007A5CFC">
      <w:pPr>
        <w:spacing w:line="360" w:lineRule="auto"/>
        <w:ind w:left="502" w:right="-286"/>
        <w:jc w:val="both"/>
        <w:rPr>
          <w:bCs/>
          <w:sz w:val="20"/>
        </w:rPr>
      </w:pPr>
    </w:p>
    <w:p w:rsidR="00F12042" w:rsidRPr="00FC5ABB" w:rsidRDefault="00F12042" w:rsidP="00F12042">
      <w:pPr>
        <w:numPr>
          <w:ilvl w:val="0"/>
          <w:numId w:val="2"/>
        </w:numPr>
        <w:spacing w:line="360" w:lineRule="auto"/>
        <w:ind w:right="-286" w:hanging="502"/>
        <w:jc w:val="both"/>
        <w:rPr>
          <w:bCs/>
        </w:rPr>
      </w:pPr>
      <w:r w:rsidRPr="00FC5ABB">
        <w:rPr>
          <w:bCs/>
        </w:rPr>
        <w:t>Mäkelä M, Heliövaara M, Sievers K, Impivaara O, Kne</w:t>
      </w:r>
      <w:r>
        <w:rPr>
          <w:bCs/>
        </w:rPr>
        <w:t>k</w:t>
      </w:r>
      <w:r w:rsidRPr="00FC5ABB">
        <w:rPr>
          <w:bCs/>
        </w:rPr>
        <w:t>t P, Aromaa A.  Prevalence, determinants, and consequences of chronic neck pain in Finland.  Am J Epidemiol 1991;134:1356-67.</w:t>
      </w:r>
    </w:p>
    <w:p w:rsidR="00F12042" w:rsidRPr="00FC5ABB" w:rsidRDefault="00F12042" w:rsidP="00F12042">
      <w:pPr>
        <w:spacing w:line="360" w:lineRule="auto"/>
        <w:ind w:left="284" w:right="-286" w:hanging="502"/>
        <w:jc w:val="both"/>
        <w:rPr>
          <w:bCs/>
        </w:rPr>
      </w:pPr>
    </w:p>
    <w:p w:rsidR="00F12042" w:rsidRPr="00FC5ABB" w:rsidRDefault="00F12042" w:rsidP="00F12042">
      <w:pPr>
        <w:numPr>
          <w:ilvl w:val="0"/>
          <w:numId w:val="2"/>
        </w:numPr>
        <w:spacing w:line="360" w:lineRule="auto"/>
        <w:ind w:right="-286" w:hanging="502"/>
        <w:jc w:val="both"/>
        <w:rPr>
          <w:bCs/>
        </w:rPr>
      </w:pPr>
      <w:r w:rsidRPr="00FC5ABB">
        <w:rPr>
          <w:bCs/>
          <w:lang w:val="en-US"/>
        </w:rPr>
        <w:t>Matsudaira K, Palmer KT, Reading I, Hirai M, Yoshimura N, Coggon D. Prevalence and correlates of regional pain and associated disability in Japanese workers. Occup Environ Med 2011;68:191-6.</w:t>
      </w:r>
    </w:p>
    <w:p w:rsidR="00F12042" w:rsidRPr="00FC5ABB" w:rsidRDefault="00F12042" w:rsidP="00F12042">
      <w:pPr>
        <w:spacing w:line="360" w:lineRule="auto"/>
        <w:ind w:left="284" w:right="-286" w:hanging="502"/>
        <w:jc w:val="both"/>
        <w:rPr>
          <w:bCs/>
        </w:rPr>
      </w:pPr>
    </w:p>
    <w:p w:rsidR="00D33089" w:rsidRPr="00FC5ABB" w:rsidRDefault="00D33089" w:rsidP="00FC5ABB">
      <w:pPr>
        <w:numPr>
          <w:ilvl w:val="0"/>
          <w:numId w:val="2"/>
        </w:numPr>
        <w:spacing w:line="360" w:lineRule="auto"/>
        <w:ind w:right="-286" w:hanging="502"/>
        <w:jc w:val="both"/>
        <w:rPr>
          <w:bCs/>
        </w:rPr>
      </w:pPr>
      <w:r w:rsidRPr="00FC5ABB">
        <w:rPr>
          <w:bCs/>
        </w:rPr>
        <w:t>Mayer J, Kraus T, Ochsmann E.  Longitudinal evidence for the association between work-related physical exposures and neck and/or shoulder complaints: a systematic review.  Int Arch Occup Environ Health 2012;85:587-603.</w:t>
      </w:r>
    </w:p>
    <w:p w:rsidR="00D33089" w:rsidRPr="00FC5ABB" w:rsidRDefault="00D33089" w:rsidP="00FC5ABB">
      <w:pPr>
        <w:spacing w:line="360" w:lineRule="auto"/>
        <w:ind w:left="284" w:right="-286" w:hanging="502"/>
        <w:jc w:val="both"/>
        <w:rPr>
          <w:bCs/>
        </w:rPr>
      </w:pPr>
    </w:p>
    <w:p w:rsidR="00F12042" w:rsidRPr="00FC5ABB" w:rsidRDefault="003D250B" w:rsidP="00F12042">
      <w:pPr>
        <w:numPr>
          <w:ilvl w:val="0"/>
          <w:numId w:val="2"/>
        </w:numPr>
        <w:spacing w:line="360" w:lineRule="auto"/>
        <w:ind w:right="-286" w:hanging="502"/>
        <w:jc w:val="both"/>
        <w:rPr>
          <w:bCs/>
        </w:rPr>
      </w:pPr>
      <w:hyperlink r:id="rId10" w:history="1">
        <w:r w:rsidR="00F12042" w:rsidRPr="00FC5ABB">
          <w:rPr>
            <w:rStyle w:val="Hyperlink"/>
            <w:bCs/>
            <w:color w:val="auto"/>
            <w:u w:val="none"/>
          </w:rPr>
          <w:t>McLean SM</w:t>
        </w:r>
      </w:hyperlink>
      <w:r w:rsidR="00F12042" w:rsidRPr="00FC5ABB">
        <w:rPr>
          <w:bCs/>
        </w:rPr>
        <w:t>, </w:t>
      </w:r>
      <w:hyperlink r:id="rId11" w:history="1">
        <w:r w:rsidR="00F12042" w:rsidRPr="00FC5ABB">
          <w:rPr>
            <w:rStyle w:val="Hyperlink"/>
            <w:bCs/>
            <w:color w:val="auto"/>
            <w:u w:val="none"/>
          </w:rPr>
          <w:t>May S</w:t>
        </w:r>
      </w:hyperlink>
      <w:r w:rsidR="00F12042" w:rsidRPr="00FC5ABB">
        <w:rPr>
          <w:bCs/>
        </w:rPr>
        <w:t>, </w:t>
      </w:r>
      <w:hyperlink r:id="rId12" w:history="1">
        <w:r w:rsidR="00F12042" w:rsidRPr="00FC5ABB">
          <w:rPr>
            <w:rStyle w:val="Hyperlink"/>
            <w:bCs/>
            <w:color w:val="auto"/>
            <w:u w:val="none"/>
          </w:rPr>
          <w:t>Klaber-Moffett J</w:t>
        </w:r>
      </w:hyperlink>
      <w:r w:rsidR="00F12042" w:rsidRPr="00FC5ABB">
        <w:rPr>
          <w:bCs/>
        </w:rPr>
        <w:t>, </w:t>
      </w:r>
      <w:hyperlink r:id="rId13" w:history="1">
        <w:r w:rsidR="00F12042" w:rsidRPr="00FC5ABB">
          <w:rPr>
            <w:rStyle w:val="Hyperlink"/>
            <w:bCs/>
            <w:color w:val="auto"/>
            <w:u w:val="none"/>
          </w:rPr>
          <w:t>Sharp DM</w:t>
        </w:r>
      </w:hyperlink>
      <w:r w:rsidR="00F12042" w:rsidRPr="00FC5ABB">
        <w:rPr>
          <w:bCs/>
        </w:rPr>
        <w:t>, </w:t>
      </w:r>
      <w:hyperlink r:id="rId14" w:history="1">
        <w:r w:rsidR="00F12042" w:rsidRPr="00FC5ABB">
          <w:rPr>
            <w:rStyle w:val="Hyperlink"/>
            <w:bCs/>
            <w:color w:val="auto"/>
            <w:u w:val="none"/>
          </w:rPr>
          <w:t>Gardiner E</w:t>
        </w:r>
      </w:hyperlink>
      <w:r w:rsidR="00F12042" w:rsidRPr="00FC5ABB">
        <w:rPr>
          <w:bCs/>
        </w:rPr>
        <w:t xml:space="preserve">. Risk factors for the onset of non-specific neck pain: a systematic review. </w:t>
      </w:r>
      <w:hyperlink r:id="rId15" w:tooltip="Journal of epidemiology and community health." w:history="1">
        <w:r w:rsidR="00F12042" w:rsidRPr="00FC5ABB">
          <w:rPr>
            <w:rStyle w:val="Hyperlink"/>
            <w:bCs/>
            <w:color w:val="auto"/>
            <w:u w:val="none"/>
          </w:rPr>
          <w:t>J Epidemiol Community Health</w:t>
        </w:r>
      </w:hyperlink>
      <w:r w:rsidR="00F12042" w:rsidRPr="00FC5ABB">
        <w:rPr>
          <w:bCs/>
        </w:rPr>
        <w:t> 2010; 64:565-72.</w:t>
      </w:r>
    </w:p>
    <w:p w:rsidR="00F12042" w:rsidRPr="00FC5ABB" w:rsidRDefault="00F12042" w:rsidP="00F12042">
      <w:pPr>
        <w:spacing w:line="360" w:lineRule="auto"/>
        <w:ind w:left="284" w:right="-286" w:hanging="502"/>
        <w:jc w:val="both"/>
        <w:rPr>
          <w:bCs/>
        </w:rPr>
      </w:pPr>
    </w:p>
    <w:p w:rsidR="00F12042" w:rsidRPr="00FC5ABB" w:rsidRDefault="003D250B" w:rsidP="00F12042">
      <w:pPr>
        <w:numPr>
          <w:ilvl w:val="0"/>
          <w:numId w:val="2"/>
        </w:numPr>
        <w:spacing w:line="360" w:lineRule="auto"/>
        <w:ind w:right="-286" w:hanging="502"/>
        <w:jc w:val="both"/>
        <w:rPr>
          <w:bCs/>
        </w:rPr>
      </w:pPr>
      <w:hyperlink r:id="rId16" w:history="1">
        <w:r w:rsidR="00F12042" w:rsidRPr="00FC5ABB">
          <w:rPr>
            <w:rStyle w:val="Hyperlink"/>
            <w:bCs/>
            <w:color w:val="auto"/>
            <w:u w:val="none"/>
          </w:rPr>
          <w:t>Oha K</w:t>
        </w:r>
      </w:hyperlink>
      <w:r w:rsidR="00F12042" w:rsidRPr="00FC5ABB">
        <w:rPr>
          <w:bCs/>
        </w:rPr>
        <w:t>, </w:t>
      </w:r>
      <w:hyperlink r:id="rId17" w:history="1">
        <w:r w:rsidR="00F12042" w:rsidRPr="00FC5ABB">
          <w:rPr>
            <w:rStyle w:val="Hyperlink"/>
            <w:bCs/>
            <w:color w:val="auto"/>
            <w:u w:val="none"/>
          </w:rPr>
          <w:t>Animägi L</w:t>
        </w:r>
      </w:hyperlink>
      <w:r w:rsidR="00F12042" w:rsidRPr="00FC5ABB">
        <w:rPr>
          <w:bCs/>
        </w:rPr>
        <w:t>, </w:t>
      </w:r>
      <w:hyperlink r:id="rId18" w:history="1">
        <w:r w:rsidR="00F12042" w:rsidRPr="00FC5ABB">
          <w:rPr>
            <w:rStyle w:val="Hyperlink"/>
            <w:bCs/>
            <w:color w:val="auto"/>
            <w:u w:val="none"/>
          </w:rPr>
          <w:t>Pääsuke M</w:t>
        </w:r>
      </w:hyperlink>
      <w:r w:rsidR="00F12042" w:rsidRPr="00FC5ABB">
        <w:rPr>
          <w:bCs/>
        </w:rPr>
        <w:t>, </w:t>
      </w:r>
      <w:hyperlink r:id="rId19" w:history="1">
        <w:r w:rsidR="00F12042" w:rsidRPr="00FC5ABB">
          <w:rPr>
            <w:rStyle w:val="Hyperlink"/>
            <w:bCs/>
            <w:color w:val="auto"/>
            <w:u w:val="none"/>
          </w:rPr>
          <w:t>Coggon D</w:t>
        </w:r>
      </w:hyperlink>
      <w:r w:rsidR="00F12042" w:rsidRPr="00FC5ABB">
        <w:rPr>
          <w:bCs/>
        </w:rPr>
        <w:t>, </w:t>
      </w:r>
      <w:hyperlink r:id="rId20" w:history="1">
        <w:r w:rsidR="00F12042" w:rsidRPr="00FC5ABB">
          <w:rPr>
            <w:rStyle w:val="Hyperlink"/>
            <w:bCs/>
            <w:color w:val="auto"/>
            <w:u w:val="none"/>
          </w:rPr>
          <w:t>Merisalu E</w:t>
        </w:r>
      </w:hyperlink>
      <w:r w:rsidR="00F12042" w:rsidRPr="00FC5ABB">
        <w:rPr>
          <w:bCs/>
        </w:rPr>
        <w:t>.  Individual and work-related risk factors for musculoskeletal pain: a cross-sectional study among Estonian computer users. BMC Musculoskeletal Disorders 2014;15:181.</w:t>
      </w:r>
    </w:p>
    <w:p w:rsidR="00F12042" w:rsidRPr="00FC5ABB" w:rsidRDefault="00F12042" w:rsidP="00F12042">
      <w:pPr>
        <w:spacing w:line="360" w:lineRule="auto"/>
        <w:ind w:left="284" w:right="-286" w:hanging="502"/>
        <w:jc w:val="both"/>
        <w:rPr>
          <w:bCs/>
        </w:rPr>
      </w:pPr>
    </w:p>
    <w:p w:rsidR="00F12042" w:rsidRPr="00FC5ABB" w:rsidRDefault="00F12042" w:rsidP="00F12042">
      <w:pPr>
        <w:numPr>
          <w:ilvl w:val="0"/>
          <w:numId w:val="2"/>
        </w:numPr>
        <w:spacing w:line="360" w:lineRule="auto"/>
        <w:ind w:right="-286" w:hanging="502"/>
        <w:jc w:val="both"/>
        <w:rPr>
          <w:bCs/>
        </w:rPr>
      </w:pPr>
      <w:r w:rsidRPr="00FC5ABB">
        <w:rPr>
          <w:bCs/>
          <w:lang w:val="en-US"/>
        </w:rPr>
        <w:t>Paksai</w:t>
      </w:r>
      <w:r>
        <w:rPr>
          <w:bCs/>
          <w:lang w:val="en-US"/>
        </w:rPr>
        <w:t>ch</w:t>
      </w:r>
      <w:r w:rsidRPr="00FC5ABB">
        <w:rPr>
          <w:bCs/>
          <w:lang w:val="en-US"/>
        </w:rPr>
        <w:t xml:space="preserve">ol A, Janwantanakul P, Purepong N, Pensri P, </w:t>
      </w:r>
      <w:r>
        <w:rPr>
          <w:bCs/>
          <w:lang w:val="en-US"/>
        </w:rPr>
        <w:t>v</w:t>
      </w:r>
      <w:r w:rsidRPr="00FC5ABB">
        <w:rPr>
          <w:bCs/>
          <w:lang w:val="en-US"/>
        </w:rPr>
        <w:t>an der Beek AJ.  Office workers´ risk factors for the development of non-specific neck pain: a systematic review of prospective cohort studies.  Occup Environ Med 2012;69:610-</w:t>
      </w:r>
      <w:r>
        <w:rPr>
          <w:bCs/>
          <w:lang w:val="en-US"/>
        </w:rPr>
        <w:t>1</w:t>
      </w:r>
      <w:r w:rsidRPr="00FC5ABB">
        <w:rPr>
          <w:bCs/>
          <w:lang w:val="en-US"/>
        </w:rPr>
        <w:t>8.</w:t>
      </w:r>
    </w:p>
    <w:p w:rsidR="00F12042" w:rsidRPr="00FC5ABB" w:rsidRDefault="00F12042" w:rsidP="00F12042">
      <w:pPr>
        <w:spacing w:line="360" w:lineRule="auto"/>
        <w:ind w:left="284" w:right="-286" w:hanging="502"/>
        <w:jc w:val="both"/>
        <w:rPr>
          <w:bCs/>
        </w:rPr>
      </w:pPr>
    </w:p>
    <w:p w:rsidR="00D33089" w:rsidRPr="00FC5ABB" w:rsidRDefault="003D250B" w:rsidP="00FC5ABB">
      <w:pPr>
        <w:numPr>
          <w:ilvl w:val="0"/>
          <w:numId w:val="2"/>
        </w:numPr>
        <w:spacing w:line="360" w:lineRule="auto"/>
        <w:ind w:right="-286" w:hanging="502"/>
        <w:jc w:val="both"/>
        <w:rPr>
          <w:bCs/>
        </w:rPr>
      </w:pPr>
      <w:hyperlink r:id="rId21" w:history="1">
        <w:r w:rsidR="00D33089" w:rsidRPr="00FC5ABB">
          <w:rPr>
            <w:rStyle w:val="Hyperlink"/>
            <w:bCs/>
            <w:color w:val="auto"/>
            <w:u w:val="none"/>
          </w:rPr>
          <w:t>Palmer KT</w:t>
        </w:r>
      </w:hyperlink>
      <w:r w:rsidR="00D33089" w:rsidRPr="00FC5ABB">
        <w:rPr>
          <w:bCs/>
        </w:rPr>
        <w:t>, </w:t>
      </w:r>
      <w:hyperlink r:id="rId22" w:history="1">
        <w:r w:rsidR="00D33089" w:rsidRPr="00FC5ABB">
          <w:rPr>
            <w:rStyle w:val="Hyperlink"/>
            <w:bCs/>
            <w:color w:val="auto"/>
            <w:u w:val="none"/>
          </w:rPr>
          <w:t>Smedley J</w:t>
        </w:r>
      </w:hyperlink>
      <w:r w:rsidR="00D33089" w:rsidRPr="00FC5ABB">
        <w:rPr>
          <w:bCs/>
        </w:rPr>
        <w:t xml:space="preserve">. Work relatedness of chronic neck pain with physical findings – a systematic review.  </w:t>
      </w:r>
      <w:hyperlink r:id="rId23" w:tooltip="Scandinavian journal of work, environment &amp; health." w:history="1">
        <w:r w:rsidR="00D33089" w:rsidRPr="00FC5ABB">
          <w:rPr>
            <w:rStyle w:val="Hyperlink"/>
            <w:bCs/>
            <w:color w:val="auto"/>
            <w:u w:val="none"/>
          </w:rPr>
          <w:t>Scand J Work Environ Health</w:t>
        </w:r>
      </w:hyperlink>
      <w:r w:rsidR="00D33089" w:rsidRPr="00FC5ABB">
        <w:rPr>
          <w:bCs/>
        </w:rPr>
        <w:t> 2007;33:165-91.</w:t>
      </w:r>
    </w:p>
    <w:p w:rsidR="00D33089" w:rsidRPr="00FC5ABB" w:rsidRDefault="00D33089" w:rsidP="00FC5ABB">
      <w:pPr>
        <w:spacing w:line="360" w:lineRule="auto"/>
        <w:ind w:left="284" w:right="-286" w:hanging="502"/>
        <w:jc w:val="both"/>
        <w:rPr>
          <w:bCs/>
        </w:rPr>
      </w:pPr>
    </w:p>
    <w:p w:rsidR="00C5099D" w:rsidRPr="00C5099D" w:rsidRDefault="00C5099D" w:rsidP="00F12042">
      <w:pPr>
        <w:numPr>
          <w:ilvl w:val="0"/>
          <w:numId w:val="2"/>
        </w:numPr>
        <w:spacing w:line="360" w:lineRule="auto"/>
        <w:ind w:right="-286" w:hanging="502"/>
        <w:jc w:val="both"/>
        <w:rPr>
          <w:bCs/>
        </w:rPr>
      </w:pPr>
      <w:r>
        <w:rPr>
          <w:bCs/>
        </w:rPr>
        <w:t>Parot-Schinkel E, Descatha A, Ha C, Petit A, Leclerc A, Rocquelaure Y.  Prevalence of multi-site musculoskeletal symptoms: a French cross-sectional working population-based study.  BMC Musculoskeletal Disorders 2012,13:122</w:t>
      </w:r>
    </w:p>
    <w:p w:rsidR="00C5099D" w:rsidRDefault="00C5099D" w:rsidP="00C5099D">
      <w:pPr>
        <w:pStyle w:val="ListParagraph"/>
        <w:rPr>
          <w:bCs/>
          <w:lang w:val="en-US"/>
        </w:rPr>
      </w:pPr>
    </w:p>
    <w:p w:rsidR="00F12042" w:rsidRPr="00FC5ABB" w:rsidRDefault="00F12042" w:rsidP="00F12042">
      <w:pPr>
        <w:numPr>
          <w:ilvl w:val="0"/>
          <w:numId w:val="2"/>
        </w:numPr>
        <w:spacing w:line="360" w:lineRule="auto"/>
        <w:ind w:right="-286" w:hanging="502"/>
        <w:jc w:val="both"/>
        <w:rPr>
          <w:bCs/>
        </w:rPr>
      </w:pPr>
      <w:r w:rsidRPr="00FC5ABB">
        <w:rPr>
          <w:bCs/>
          <w:lang w:val="en-US"/>
        </w:rPr>
        <w:t>Sadeghian F, Raei M, Ntani G, Coggon D.  Predictors of incident and persistent neck/shoulder pain in Iranian workers: a cohort study.  Plos One 2013;8:e57544.</w:t>
      </w:r>
    </w:p>
    <w:p w:rsidR="00F12042" w:rsidRPr="00FC5ABB" w:rsidRDefault="00F12042" w:rsidP="00F12042">
      <w:pPr>
        <w:spacing w:line="360" w:lineRule="auto"/>
        <w:ind w:left="284" w:right="-286" w:hanging="502"/>
        <w:jc w:val="both"/>
        <w:rPr>
          <w:bCs/>
        </w:rPr>
      </w:pPr>
    </w:p>
    <w:p w:rsidR="00172626" w:rsidRPr="00172626" w:rsidRDefault="00172626" w:rsidP="005F0041">
      <w:pPr>
        <w:numPr>
          <w:ilvl w:val="0"/>
          <w:numId w:val="2"/>
        </w:numPr>
        <w:spacing w:line="360" w:lineRule="auto"/>
        <w:ind w:right="-286" w:hanging="502"/>
        <w:jc w:val="both"/>
        <w:rPr>
          <w:bCs/>
        </w:rPr>
      </w:pPr>
      <w:r w:rsidRPr="000001EA">
        <w:t>Waddell G, Newt</w:t>
      </w:r>
      <w:r w:rsidRPr="000001EA">
        <w:rPr>
          <w:lang w:val="en-US"/>
        </w:rPr>
        <w:t xml:space="preserve">on M, Henderson I, </w:t>
      </w:r>
      <w:r>
        <w:rPr>
          <w:lang w:val="en-US"/>
        </w:rPr>
        <w:t>Somerville D, Main CJ.</w:t>
      </w:r>
      <w:r w:rsidRPr="000001EA">
        <w:rPr>
          <w:lang w:val="en-US"/>
        </w:rPr>
        <w:t xml:space="preserve">  A Fear-Avoidance Beliefs Questionnaire (FABQ) and the role of fear-avoidance beliefs in chronic low back pain and disability.  Pain </w:t>
      </w:r>
      <w:r>
        <w:rPr>
          <w:lang w:val="en-US"/>
        </w:rPr>
        <w:t>1993;</w:t>
      </w:r>
      <w:r w:rsidRPr="000001EA">
        <w:rPr>
          <w:lang w:val="en-US"/>
        </w:rPr>
        <w:t>52</w:t>
      </w:r>
      <w:r>
        <w:rPr>
          <w:lang w:val="en-US"/>
        </w:rPr>
        <w:t>:</w:t>
      </w:r>
      <w:r w:rsidRPr="000001EA">
        <w:rPr>
          <w:lang w:val="en-US"/>
        </w:rPr>
        <w:t>157-68.</w:t>
      </w:r>
    </w:p>
    <w:p w:rsidR="00172626" w:rsidRDefault="00172626" w:rsidP="00172626">
      <w:pPr>
        <w:pStyle w:val="ListParagraph"/>
        <w:rPr>
          <w:bCs/>
          <w:lang w:val="en-US"/>
        </w:rPr>
      </w:pPr>
    </w:p>
    <w:p w:rsidR="00D33089" w:rsidRPr="00FC5ABB" w:rsidRDefault="00D33089" w:rsidP="005F0041">
      <w:pPr>
        <w:numPr>
          <w:ilvl w:val="0"/>
          <w:numId w:val="2"/>
        </w:numPr>
        <w:spacing w:line="360" w:lineRule="auto"/>
        <w:ind w:right="-286" w:hanging="502"/>
        <w:jc w:val="both"/>
        <w:rPr>
          <w:bCs/>
        </w:rPr>
      </w:pPr>
      <w:r w:rsidRPr="00FC5ABB">
        <w:rPr>
          <w:bCs/>
          <w:lang w:val="en-US"/>
        </w:rPr>
        <w:t>Waersted M, Hanvold TN, Veiersted KB.  Computer work and musculoskeletal disorders of the neck and upper extremity: a systematic review.  BMC Musculoskelet Disord 2010;11:79.</w:t>
      </w:r>
    </w:p>
    <w:p w:rsidR="00D33089" w:rsidRPr="00FC5ABB" w:rsidRDefault="00D33089" w:rsidP="005F0041">
      <w:pPr>
        <w:spacing w:line="360" w:lineRule="auto"/>
        <w:ind w:left="502" w:right="-286" w:hanging="502"/>
        <w:jc w:val="both"/>
        <w:rPr>
          <w:bCs/>
        </w:rPr>
      </w:pPr>
    </w:p>
    <w:p w:rsidR="0028211D" w:rsidRPr="00FC5ABB" w:rsidRDefault="0028211D" w:rsidP="005F0041">
      <w:pPr>
        <w:numPr>
          <w:ilvl w:val="0"/>
          <w:numId w:val="2"/>
        </w:numPr>
        <w:spacing w:line="360" w:lineRule="auto"/>
        <w:ind w:right="-286" w:hanging="502"/>
        <w:jc w:val="both"/>
        <w:rPr>
          <w:bCs/>
        </w:rPr>
      </w:pPr>
      <w:r w:rsidRPr="00FC518B">
        <w:t>Ware JE, Sherbourne CD.  The MOS 36-item short-form health survey (SF-36).  Med Care 1992</w:t>
      </w:r>
      <w:r>
        <w:t>;30:473-83.</w:t>
      </w:r>
    </w:p>
    <w:p w:rsidR="00D33089" w:rsidRPr="00FC5ABB" w:rsidRDefault="00D33089" w:rsidP="005F0041">
      <w:pPr>
        <w:spacing w:line="360" w:lineRule="auto"/>
        <w:ind w:left="502" w:right="-286" w:hanging="502"/>
        <w:jc w:val="both"/>
        <w:rPr>
          <w:bCs/>
        </w:rPr>
      </w:pPr>
    </w:p>
    <w:p w:rsidR="007D775B" w:rsidRDefault="00D33089" w:rsidP="005F0041">
      <w:pPr>
        <w:numPr>
          <w:ilvl w:val="0"/>
          <w:numId w:val="2"/>
        </w:numPr>
        <w:spacing w:line="360" w:lineRule="auto"/>
        <w:ind w:right="-286" w:hanging="502"/>
        <w:jc w:val="both"/>
        <w:rPr>
          <w:bCs/>
        </w:rPr>
      </w:pPr>
      <w:r w:rsidRPr="005F0041">
        <w:rPr>
          <w:bCs/>
        </w:rPr>
        <w:t xml:space="preserve">Warnakulasuriya SSP, Peiris-John RJ, Coggon D, Ntani G, Sathiakumar N, Wickremasinghe AR. Musculoskeletal pain in four occupational populations in Sri Lanka.  </w:t>
      </w:r>
      <w:r w:rsidRPr="005F0041">
        <w:rPr>
          <w:bCs/>
          <w:iCs/>
        </w:rPr>
        <w:t>Occupational Medicine</w:t>
      </w:r>
      <w:r w:rsidRPr="005F0041">
        <w:rPr>
          <w:bCs/>
          <w:i/>
          <w:iCs/>
        </w:rPr>
        <w:t xml:space="preserve"> </w:t>
      </w:r>
      <w:r w:rsidRPr="005F0041">
        <w:rPr>
          <w:bCs/>
        </w:rPr>
        <w:t>2012;62:269-272.</w:t>
      </w:r>
    </w:p>
    <w:p w:rsidR="007D775B" w:rsidRDefault="007D775B">
      <w:pPr>
        <w:spacing w:after="200"/>
        <w:rPr>
          <w:bCs/>
        </w:rPr>
      </w:pPr>
      <w:r>
        <w:rPr>
          <w:bCs/>
        </w:rPr>
        <w:br w:type="page"/>
      </w:r>
    </w:p>
    <w:p w:rsidR="00F227E3" w:rsidRDefault="007D775B" w:rsidP="007D775B">
      <w:pPr>
        <w:pStyle w:val="Heading4"/>
      </w:pPr>
      <w:r>
        <w:lastRenderedPageBreak/>
        <w:t>Legends for figures</w:t>
      </w:r>
    </w:p>
    <w:p w:rsidR="007D775B" w:rsidRDefault="007D775B" w:rsidP="007D775B"/>
    <w:p w:rsidR="007D775B" w:rsidRDefault="007D775B" w:rsidP="007D775B">
      <w:pPr>
        <w:pStyle w:val="Heading4"/>
        <w:ind w:left="1440" w:hanging="1440"/>
        <w:rPr>
          <w:rFonts w:ascii="Arial" w:hAnsi="Arial" w:cs="Arial"/>
          <w:sz w:val="20"/>
          <w:szCs w:val="20"/>
        </w:rPr>
      </w:pPr>
      <w:r w:rsidRPr="0088719F">
        <w:rPr>
          <w:rFonts w:ascii="Arial" w:hAnsi="Arial" w:cs="Arial"/>
          <w:sz w:val="22"/>
          <w:szCs w:val="20"/>
        </w:rPr>
        <w:t>Figure 1</w:t>
      </w:r>
      <w:r w:rsidRPr="0088719F">
        <w:rPr>
          <w:rFonts w:ascii="Arial" w:hAnsi="Arial" w:cs="Arial"/>
          <w:sz w:val="22"/>
          <w:szCs w:val="20"/>
        </w:rPr>
        <w:tab/>
      </w:r>
      <w:r>
        <w:rPr>
          <w:rFonts w:ascii="Arial" w:hAnsi="Arial" w:cs="Arial"/>
          <w:sz w:val="22"/>
          <w:szCs w:val="20"/>
        </w:rPr>
        <w:t>Crude o</w:t>
      </w:r>
      <w:r w:rsidRPr="0088719F">
        <w:rPr>
          <w:rFonts w:ascii="Arial" w:hAnsi="Arial" w:cs="Arial"/>
          <w:sz w:val="22"/>
          <w:szCs w:val="20"/>
        </w:rPr>
        <w:t>ne-month prevalence of localised neck-shoulder pain and generalised pain involving neck/shoulder by occupational group</w:t>
      </w:r>
    </w:p>
    <w:p w:rsidR="007D775B" w:rsidRDefault="007D775B" w:rsidP="007D775B"/>
    <w:p w:rsidR="007D775B" w:rsidRDefault="007D775B" w:rsidP="007D775B"/>
    <w:p w:rsidR="007D775B" w:rsidRDefault="007D775B" w:rsidP="007D775B"/>
    <w:p w:rsidR="007D775B" w:rsidRDefault="007D775B" w:rsidP="007D775B"/>
    <w:p w:rsidR="007D775B" w:rsidRDefault="007D775B" w:rsidP="007D775B">
      <w:pPr>
        <w:keepNext/>
        <w:keepLines/>
        <w:spacing w:before="200"/>
        <w:outlineLvl w:val="3"/>
        <w:rPr>
          <w:rFonts w:eastAsiaTheme="majorEastAsia"/>
          <w:b/>
          <w:bCs/>
          <w:iCs/>
          <w:szCs w:val="20"/>
        </w:rPr>
      </w:pPr>
      <w:r w:rsidRPr="00F227E3">
        <w:rPr>
          <w:rFonts w:eastAsiaTheme="majorEastAsia"/>
          <w:b/>
          <w:bCs/>
          <w:iCs/>
          <w:szCs w:val="20"/>
        </w:rPr>
        <w:t xml:space="preserve">Figure </w:t>
      </w:r>
      <w:r>
        <w:rPr>
          <w:rFonts w:eastAsiaTheme="majorEastAsia"/>
          <w:b/>
          <w:bCs/>
          <w:iCs/>
          <w:szCs w:val="20"/>
        </w:rPr>
        <w:t>2</w:t>
      </w:r>
      <w:r w:rsidRPr="00F227E3">
        <w:rPr>
          <w:rFonts w:eastAsiaTheme="majorEastAsia"/>
          <w:b/>
          <w:bCs/>
          <w:iCs/>
          <w:szCs w:val="20"/>
        </w:rPr>
        <w:tab/>
      </w:r>
      <w:r>
        <w:rPr>
          <w:rFonts w:eastAsiaTheme="majorEastAsia"/>
          <w:b/>
          <w:bCs/>
          <w:iCs/>
          <w:szCs w:val="20"/>
        </w:rPr>
        <w:t>Adjusted o</w:t>
      </w:r>
      <w:r w:rsidRPr="00F227E3">
        <w:rPr>
          <w:rFonts w:eastAsiaTheme="majorEastAsia"/>
          <w:b/>
          <w:bCs/>
          <w:iCs/>
          <w:szCs w:val="20"/>
        </w:rPr>
        <w:t>ne-month prevalence of localised neck-shoulder pain and generalised pain involving neck/shoulder by occupational group</w:t>
      </w:r>
    </w:p>
    <w:p w:rsidR="007D775B" w:rsidRDefault="007D775B" w:rsidP="007D775B">
      <w:pPr>
        <w:keepNext/>
        <w:keepLines/>
        <w:spacing w:before="200"/>
        <w:outlineLvl w:val="3"/>
        <w:rPr>
          <w:rFonts w:eastAsiaTheme="majorEastAsia"/>
          <w:b/>
          <w:bCs/>
          <w:iCs/>
          <w:szCs w:val="20"/>
        </w:rPr>
      </w:pPr>
    </w:p>
    <w:p w:rsidR="007D775B" w:rsidRPr="0088719F" w:rsidRDefault="007D775B" w:rsidP="007D775B">
      <w:pPr>
        <w:keepNext/>
        <w:keepLines/>
        <w:spacing w:before="200"/>
        <w:outlineLvl w:val="3"/>
        <w:rPr>
          <w:rFonts w:eastAsiaTheme="majorEastAsia"/>
          <w:bCs/>
          <w:iCs/>
          <w:szCs w:val="20"/>
        </w:rPr>
      </w:pPr>
      <w:r>
        <w:rPr>
          <w:rFonts w:eastAsiaTheme="majorEastAsia"/>
          <w:bCs/>
          <w:iCs/>
          <w:szCs w:val="20"/>
        </w:rPr>
        <w:t xml:space="preserve">Prevalence rates are adjusted for all of the </w:t>
      </w:r>
      <w:r w:rsidR="007E07C4">
        <w:rPr>
          <w:rFonts w:eastAsiaTheme="majorEastAsia"/>
          <w:bCs/>
          <w:iCs/>
          <w:szCs w:val="20"/>
        </w:rPr>
        <w:t xml:space="preserve">personal and occupational </w:t>
      </w:r>
      <w:r>
        <w:rPr>
          <w:rFonts w:eastAsiaTheme="majorEastAsia"/>
          <w:bCs/>
          <w:iCs/>
          <w:szCs w:val="20"/>
        </w:rPr>
        <w:t>factors in Table 2 (see text)</w:t>
      </w:r>
    </w:p>
    <w:p w:rsidR="007D775B" w:rsidRDefault="007D775B" w:rsidP="007D775B">
      <w:pPr>
        <w:keepNext/>
        <w:keepLines/>
        <w:spacing w:before="200"/>
        <w:outlineLvl w:val="3"/>
        <w:rPr>
          <w:rFonts w:eastAsiaTheme="majorEastAsia"/>
          <w:b/>
          <w:bCs/>
          <w:iCs/>
          <w:szCs w:val="20"/>
        </w:rPr>
      </w:pPr>
    </w:p>
    <w:p w:rsidR="007D775B" w:rsidRDefault="007D775B" w:rsidP="007D775B"/>
    <w:p w:rsidR="007D775B" w:rsidRPr="007D775B" w:rsidRDefault="007D775B" w:rsidP="007D775B"/>
    <w:p w:rsidR="007D775B" w:rsidRDefault="007D775B" w:rsidP="007D775B">
      <w:pPr>
        <w:spacing w:line="360" w:lineRule="auto"/>
        <w:ind w:left="502" w:right="-286"/>
        <w:jc w:val="both"/>
      </w:pPr>
    </w:p>
    <w:p w:rsidR="007D775B" w:rsidRDefault="007D775B" w:rsidP="007D775B">
      <w:pPr>
        <w:spacing w:line="360" w:lineRule="auto"/>
        <w:ind w:left="502" w:right="-286"/>
        <w:jc w:val="both"/>
      </w:pPr>
    </w:p>
    <w:p w:rsidR="0009078B" w:rsidRDefault="0009078B" w:rsidP="008420E3">
      <w:pPr>
        <w:keepNext/>
        <w:keepLines/>
        <w:spacing w:before="200"/>
        <w:outlineLvl w:val="3"/>
      </w:pPr>
    </w:p>
    <w:sectPr w:rsidR="0009078B" w:rsidSect="008420E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CC4" w:rsidRDefault="00C75CC4" w:rsidP="00895E2E">
      <w:pPr>
        <w:spacing w:line="240" w:lineRule="auto"/>
      </w:pPr>
      <w:r>
        <w:separator/>
      </w:r>
    </w:p>
  </w:endnote>
  <w:endnote w:type="continuationSeparator" w:id="0">
    <w:p w:rsidR="00C75CC4" w:rsidRDefault="00C75CC4" w:rsidP="00895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ff3">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793739"/>
      <w:docPartObj>
        <w:docPartGallery w:val="Page Numbers (Bottom of Page)"/>
        <w:docPartUnique/>
      </w:docPartObj>
    </w:sdtPr>
    <w:sdtEndPr>
      <w:rPr>
        <w:noProof/>
      </w:rPr>
    </w:sdtEndPr>
    <w:sdtContent>
      <w:p w:rsidR="00004BAF" w:rsidRDefault="00004BAF">
        <w:pPr>
          <w:pStyle w:val="Footer"/>
          <w:jc w:val="center"/>
        </w:pPr>
        <w:r>
          <w:fldChar w:fldCharType="begin"/>
        </w:r>
        <w:r>
          <w:instrText xml:space="preserve"> PAGE   \* MERGEFORMAT </w:instrText>
        </w:r>
        <w:r>
          <w:fldChar w:fldCharType="separate"/>
        </w:r>
        <w:r w:rsidR="003D250B">
          <w:rPr>
            <w:noProof/>
          </w:rPr>
          <w:t>1</w:t>
        </w:r>
        <w:r>
          <w:rPr>
            <w:noProof/>
          </w:rPr>
          <w:fldChar w:fldCharType="end"/>
        </w:r>
      </w:p>
    </w:sdtContent>
  </w:sdt>
  <w:p w:rsidR="00004BAF" w:rsidRDefault="00004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CC4" w:rsidRDefault="00C75CC4" w:rsidP="00895E2E">
      <w:pPr>
        <w:spacing w:line="240" w:lineRule="auto"/>
      </w:pPr>
      <w:r>
        <w:separator/>
      </w:r>
    </w:p>
  </w:footnote>
  <w:footnote w:type="continuationSeparator" w:id="0">
    <w:p w:rsidR="00C75CC4" w:rsidRDefault="00C75CC4" w:rsidP="00895E2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1006"/>
    <w:multiLevelType w:val="hybridMultilevel"/>
    <w:tmpl w:val="E188DF4E"/>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
    <w:nsid w:val="14774270"/>
    <w:multiLevelType w:val="hybridMultilevel"/>
    <w:tmpl w:val="C220C0FE"/>
    <w:lvl w:ilvl="0" w:tplc="6BBC68D8">
      <w:start w:val="1"/>
      <w:numFmt w:val="lowerLetter"/>
      <w:lvlText w:val="%1)"/>
      <w:lvlJc w:val="left"/>
      <w:pPr>
        <w:ind w:left="502" w:hanging="360"/>
      </w:pPr>
      <w:rPr>
        <w:rFonts w:hint="default"/>
        <w:b w:val="0"/>
        <w:color w:val="0070C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nsid w:val="2E0C4514"/>
    <w:multiLevelType w:val="hybridMultilevel"/>
    <w:tmpl w:val="9FC0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586925"/>
    <w:multiLevelType w:val="hybridMultilevel"/>
    <w:tmpl w:val="7F78AEE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45B56A65"/>
    <w:multiLevelType w:val="hybridMultilevel"/>
    <w:tmpl w:val="0602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78B"/>
    <w:rsid w:val="000035E5"/>
    <w:rsid w:val="00003BA5"/>
    <w:rsid w:val="00004BAF"/>
    <w:rsid w:val="00010A9A"/>
    <w:rsid w:val="00035A2B"/>
    <w:rsid w:val="000369A0"/>
    <w:rsid w:val="000527AC"/>
    <w:rsid w:val="000557C7"/>
    <w:rsid w:val="00061FB7"/>
    <w:rsid w:val="0008044B"/>
    <w:rsid w:val="0009078B"/>
    <w:rsid w:val="0009305B"/>
    <w:rsid w:val="00093706"/>
    <w:rsid w:val="00096E1D"/>
    <w:rsid w:val="000B66DA"/>
    <w:rsid w:val="000C7982"/>
    <w:rsid w:val="000D0CE5"/>
    <w:rsid w:val="000D30A0"/>
    <w:rsid w:val="000D65B9"/>
    <w:rsid w:val="000D746F"/>
    <w:rsid w:val="000E3846"/>
    <w:rsid w:val="000E4EDD"/>
    <w:rsid w:val="000F0F4E"/>
    <w:rsid w:val="000F4AD9"/>
    <w:rsid w:val="000F5321"/>
    <w:rsid w:val="000F6E3B"/>
    <w:rsid w:val="00111A0D"/>
    <w:rsid w:val="001148DF"/>
    <w:rsid w:val="001217A6"/>
    <w:rsid w:val="00124F42"/>
    <w:rsid w:val="001305AF"/>
    <w:rsid w:val="0013292E"/>
    <w:rsid w:val="00132DB0"/>
    <w:rsid w:val="00133049"/>
    <w:rsid w:val="0014112F"/>
    <w:rsid w:val="0015474D"/>
    <w:rsid w:val="00155007"/>
    <w:rsid w:val="00162DA0"/>
    <w:rsid w:val="00172626"/>
    <w:rsid w:val="00172969"/>
    <w:rsid w:val="00174A92"/>
    <w:rsid w:val="001A3C33"/>
    <w:rsid w:val="001A467C"/>
    <w:rsid w:val="001B0D2D"/>
    <w:rsid w:val="001B110B"/>
    <w:rsid w:val="001B1538"/>
    <w:rsid w:val="001B5017"/>
    <w:rsid w:val="001B6ED2"/>
    <w:rsid w:val="001E14E2"/>
    <w:rsid w:val="001E5B06"/>
    <w:rsid w:val="001F0165"/>
    <w:rsid w:val="001F5E84"/>
    <w:rsid w:val="001F6599"/>
    <w:rsid w:val="002004AC"/>
    <w:rsid w:val="00201773"/>
    <w:rsid w:val="00202006"/>
    <w:rsid w:val="0020548C"/>
    <w:rsid w:val="00227885"/>
    <w:rsid w:val="00233D35"/>
    <w:rsid w:val="00244103"/>
    <w:rsid w:val="0025169F"/>
    <w:rsid w:val="002754E2"/>
    <w:rsid w:val="00277014"/>
    <w:rsid w:val="0028211D"/>
    <w:rsid w:val="00294D74"/>
    <w:rsid w:val="0029729B"/>
    <w:rsid w:val="002A551F"/>
    <w:rsid w:val="002B5B72"/>
    <w:rsid w:val="002C611B"/>
    <w:rsid w:val="002D2ECB"/>
    <w:rsid w:val="002F07C7"/>
    <w:rsid w:val="002F1C9B"/>
    <w:rsid w:val="002F2C84"/>
    <w:rsid w:val="00300988"/>
    <w:rsid w:val="00304A4A"/>
    <w:rsid w:val="003056F3"/>
    <w:rsid w:val="003064B0"/>
    <w:rsid w:val="0031780B"/>
    <w:rsid w:val="003208BF"/>
    <w:rsid w:val="00325ADB"/>
    <w:rsid w:val="00331B87"/>
    <w:rsid w:val="00335926"/>
    <w:rsid w:val="00355178"/>
    <w:rsid w:val="00361F12"/>
    <w:rsid w:val="00363724"/>
    <w:rsid w:val="0036445D"/>
    <w:rsid w:val="003665DC"/>
    <w:rsid w:val="00366E84"/>
    <w:rsid w:val="003729EA"/>
    <w:rsid w:val="003815BD"/>
    <w:rsid w:val="00391618"/>
    <w:rsid w:val="00393734"/>
    <w:rsid w:val="0039574D"/>
    <w:rsid w:val="00397F0D"/>
    <w:rsid w:val="003A18C2"/>
    <w:rsid w:val="003A407E"/>
    <w:rsid w:val="003B0958"/>
    <w:rsid w:val="003B1CCE"/>
    <w:rsid w:val="003B25A7"/>
    <w:rsid w:val="003B6076"/>
    <w:rsid w:val="003C0298"/>
    <w:rsid w:val="003C38D7"/>
    <w:rsid w:val="003C7A0A"/>
    <w:rsid w:val="003D250B"/>
    <w:rsid w:val="003D4D6F"/>
    <w:rsid w:val="003E0EFF"/>
    <w:rsid w:val="003E2C24"/>
    <w:rsid w:val="003F6F94"/>
    <w:rsid w:val="00404F7D"/>
    <w:rsid w:val="00405302"/>
    <w:rsid w:val="00411206"/>
    <w:rsid w:val="004320A9"/>
    <w:rsid w:val="0044265D"/>
    <w:rsid w:val="00444D49"/>
    <w:rsid w:val="00452DB7"/>
    <w:rsid w:val="00463D40"/>
    <w:rsid w:val="004951B7"/>
    <w:rsid w:val="004A25E5"/>
    <w:rsid w:val="004A39F7"/>
    <w:rsid w:val="004B1F42"/>
    <w:rsid w:val="004B2ACC"/>
    <w:rsid w:val="004B5B9F"/>
    <w:rsid w:val="004B5DF6"/>
    <w:rsid w:val="004C2142"/>
    <w:rsid w:val="004C455C"/>
    <w:rsid w:val="004C7675"/>
    <w:rsid w:val="004D0D74"/>
    <w:rsid w:val="004D4BCC"/>
    <w:rsid w:val="004D65D1"/>
    <w:rsid w:val="004E22F2"/>
    <w:rsid w:val="004E45E1"/>
    <w:rsid w:val="004F02CE"/>
    <w:rsid w:val="004F2208"/>
    <w:rsid w:val="004F2E86"/>
    <w:rsid w:val="004F75D0"/>
    <w:rsid w:val="00513323"/>
    <w:rsid w:val="00514965"/>
    <w:rsid w:val="00533CB3"/>
    <w:rsid w:val="00536244"/>
    <w:rsid w:val="0054074C"/>
    <w:rsid w:val="00541683"/>
    <w:rsid w:val="00547377"/>
    <w:rsid w:val="00567474"/>
    <w:rsid w:val="005825D8"/>
    <w:rsid w:val="00584DDE"/>
    <w:rsid w:val="00595549"/>
    <w:rsid w:val="005A330B"/>
    <w:rsid w:val="005A4453"/>
    <w:rsid w:val="005A5C3C"/>
    <w:rsid w:val="005A7571"/>
    <w:rsid w:val="005B68B2"/>
    <w:rsid w:val="005B7F17"/>
    <w:rsid w:val="005C1557"/>
    <w:rsid w:val="005D29E3"/>
    <w:rsid w:val="005D58F4"/>
    <w:rsid w:val="005E1B68"/>
    <w:rsid w:val="005E3A27"/>
    <w:rsid w:val="005E42CD"/>
    <w:rsid w:val="005F0041"/>
    <w:rsid w:val="005F0B36"/>
    <w:rsid w:val="005F79D7"/>
    <w:rsid w:val="00610155"/>
    <w:rsid w:val="00613438"/>
    <w:rsid w:val="00617B61"/>
    <w:rsid w:val="00626938"/>
    <w:rsid w:val="0063367E"/>
    <w:rsid w:val="006345BE"/>
    <w:rsid w:val="0064029C"/>
    <w:rsid w:val="00647DE3"/>
    <w:rsid w:val="0065592B"/>
    <w:rsid w:val="00665ED5"/>
    <w:rsid w:val="00667BB3"/>
    <w:rsid w:val="00684A66"/>
    <w:rsid w:val="00695DD0"/>
    <w:rsid w:val="00696F65"/>
    <w:rsid w:val="00697E04"/>
    <w:rsid w:val="006A0527"/>
    <w:rsid w:val="006A1440"/>
    <w:rsid w:val="006A1F8F"/>
    <w:rsid w:val="006A29CA"/>
    <w:rsid w:val="006A3C16"/>
    <w:rsid w:val="006B4D4C"/>
    <w:rsid w:val="006B56F4"/>
    <w:rsid w:val="006C1BD6"/>
    <w:rsid w:val="006C3F61"/>
    <w:rsid w:val="006C5349"/>
    <w:rsid w:val="006C5777"/>
    <w:rsid w:val="006C5A16"/>
    <w:rsid w:val="006D0AB8"/>
    <w:rsid w:val="006D34B9"/>
    <w:rsid w:val="006D5B5F"/>
    <w:rsid w:val="006E22EE"/>
    <w:rsid w:val="006E2789"/>
    <w:rsid w:val="006E61DE"/>
    <w:rsid w:val="006F0242"/>
    <w:rsid w:val="006F1A5E"/>
    <w:rsid w:val="00702737"/>
    <w:rsid w:val="00711F66"/>
    <w:rsid w:val="00724AB5"/>
    <w:rsid w:val="00727500"/>
    <w:rsid w:val="00732D9F"/>
    <w:rsid w:val="00742E0C"/>
    <w:rsid w:val="0074589A"/>
    <w:rsid w:val="00747D13"/>
    <w:rsid w:val="00750C14"/>
    <w:rsid w:val="007612B5"/>
    <w:rsid w:val="00764976"/>
    <w:rsid w:val="00766359"/>
    <w:rsid w:val="00781280"/>
    <w:rsid w:val="007A3A23"/>
    <w:rsid w:val="007A4C51"/>
    <w:rsid w:val="007A55C6"/>
    <w:rsid w:val="007A5CFC"/>
    <w:rsid w:val="007A758B"/>
    <w:rsid w:val="007B3646"/>
    <w:rsid w:val="007B5B3D"/>
    <w:rsid w:val="007B75F3"/>
    <w:rsid w:val="007C571F"/>
    <w:rsid w:val="007D10D6"/>
    <w:rsid w:val="007D45C9"/>
    <w:rsid w:val="007D775B"/>
    <w:rsid w:val="007E07C4"/>
    <w:rsid w:val="007E45F4"/>
    <w:rsid w:val="007F1AD6"/>
    <w:rsid w:val="007F3BC4"/>
    <w:rsid w:val="007F698B"/>
    <w:rsid w:val="007F6AE9"/>
    <w:rsid w:val="008051B7"/>
    <w:rsid w:val="00806590"/>
    <w:rsid w:val="00810C45"/>
    <w:rsid w:val="0082580B"/>
    <w:rsid w:val="0082684F"/>
    <w:rsid w:val="008337A0"/>
    <w:rsid w:val="008342F2"/>
    <w:rsid w:val="008420E3"/>
    <w:rsid w:val="00857962"/>
    <w:rsid w:val="00863A5F"/>
    <w:rsid w:val="0086667C"/>
    <w:rsid w:val="00874BFB"/>
    <w:rsid w:val="0088719F"/>
    <w:rsid w:val="00895E2E"/>
    <w:rsid w:val="00896384"/>
    <w:rsid w:val="008A07AA"/>
    <w:rsid w:val="008B2A0B"/>
    <w:rsid w:val="008B3364"/>
    <w:rsid w:val="008C1265"/>
    <w:rsid w:val="008D1D8B"/>
    <w:rsid w:val="008D5339"/>
    <w:rsid w:val="008D5D78"/>
    <w:rsid w:val="008E0429"/>
    <w:rsid w:val="008E4ADD"/>
    <w:rsid w:val="008E6E3E"/>
    <w:rsid w:val="008E760B"/>
    <w:rsid w:val="008F6031"/>
    <w:rsid w:val="0090371A"/>
    <w:rsid w:val="00903A6B"/>
    <w:rsid w:val="0090650D"/>
    <w:rsid w:val="00907F63"/>
    <w:rsid w:val="0093448E"/>
    <w:rsid w:val="0093688F"/>
    <w:rsid w:val="00941F2E"/>
    <w:rsid w:val="009430CF"/>
    <w:rsid w:val="00943EEE"/>
    <w:rsid w:val="0094479E"/>
    <w:rsid w:val="009563EB"/>
    <w:rsid w:val="00967BB6"/>
    <w:rsid w:val="00977F5C"/>
    <w:rsid w:val="0098116C"/>
    <w:rsid w:val="009818B0"/>
    <w:rsid w:val="00984D59"/>
    <w:rsid w:val="00991202"/>
    <w:rsid w:val="00993EE4"/>
    <w:rsid w:val="00995BA9"/>
    <w:rsid w:val="009A5CFC"/>
    <w:rsid w:val="009C1089"/>
    <w:rsid w:val="009C1F30"/>
    <w:rsid w:val="009C487B"/>
    <w:rsid w:val="009D2273"/>
    <w:rsid w:val="009D63BB"/>
    <w:rsid w:val="009E3B4F"/>
    <w:rsid w:val="009E6113"/>
    <w:rsid w:val="009F277B"/>
    <w:rsid w:val="00A232FB"/>
    <w:rsid w:val="00A27A96"/>
    <w:rsid w:val="00A4280F"/>
    <w:rsid w:val="00A43328"/>
    <w:rsid w:val="00A44DB8"/>
    <w:rsid w:val="00A52B38"/>
    <w:rsid w:val="00A73BE5"/>
    <w:rsid w:val="00A80D89"/>
    <w:rsid w:val="00A85F1E"/>
    <w:rsid w:val="00A90695"/>
    <w:rsid w:val="00AA1A37"/>
    <w:rsid w:val="00AB13FF"/>
    <w:rsid w:val="00AC3129"/>
    <w:rsid w:val="00AD0E57"/>
    <w:rsid w:val="00AE6E2D"/>
    <w:rsid w:val="00AF4F4C"/>
    <w:rsid w:val="00B008DF"/>
    <w:rsid w:val="00B16211"/>
    <w:rsid w:val="00B22E1C"/>
    <w:rsid w:val="00B31F8E"/>
    <w:rsid w:val="00B32279"/>
    <w:rsid w:val="00B52308"/>
    <w:rsid w:val="00B633AF"/>
    <w:rsid w:val="00B73E27"/>
    <w:rsid w:val="00B74F20"/>
    <w:rsid w:val="00B76B8F"/>
    <w:rsid w:val="00B84218"/>
    <w:rsid w:val="00B84236"/>
    <w:rsid w:val="00B8436B"/>
    <w:rsid w:val="00B8480C"/>
    <w:rsid w:val="00B875BA"/>
    <w:rsid w:val="00B90230"/>
    <w:rsid w:val="00B91D7D"/>
    <w:rsid w:val="00B93624"/>
    <w:rsid w:val="00B957C8"/>
    <w:rsid w:val="00BA6849"/>
    <w:rsid w:val="00BB7127"/>
    <w:rsid w:val="00BC4821"/>
    <w:rsid w:val="00BD0817"/>
    <w:rsid w:val="00BE0138"/>
    <w:rsid w:val="00BE32A0"/>
    <w:rsid w:val="00BE6ACD"/>
    <w:rsid w:val="00C00196"/>
    <w:rsid w:val="00C1097E"/>
    <w:rsid w:val="00C1234E"/>
    <w:rsid w:val="00C15E60"/>
    <w:rsid w:val="00C22D94"/>
    <w:rsid w:val="00C23E16"/>
    <w:rsid w:val="00C2587C"/>
    <w:rsid w:val="00C259E0"/>
    <w:rsid w:val="00C27665"/>
    <w:rsid w:val="00C351D0"/>
    <w:rsid w:val="00C36B1D"/>
    <w:rsid w:val="00C3769A"/>
    <w:rsid w:val="00C40365"/>
    <w:rsid w:val="00C409FD"/>
    <w:rsid w:val="00C46D67"/>
    <w:rsid w:val="00C5099D"/>
    <w:rsid w:val="00C53770"/>
    <w:rsid w:val="00C604A4"/>
    <w:rsid w:val="00C64461"/>
    <w:rsid w:val="00C70787"/>
    <w:rsid w:val="00C75CC4"/>
    <w:rsid w:val="00C763C7"/>
    <w:rsid w:val="00C76FF9"/>
    <w:rsid w:val="00C861F1"/>
    <w:rsid w:val="00C9479E"/>
    <w:rsid w:val="00C97B50"/>
    <w:rsid w:val="00CA68A3"/>
    <w:rsid w:val="00CB7030"/>
    <w:rsid w:val="00CC38A7"/>
    <w:rsid w:val="00CC43BF"/>
    <w:rsid w:val="00CC72E6"/>
    <w:rsid w:val="00CD1979"/>
    <w:rsid w:val="00CE18F3"/>
    <w:rsid w:val="00CE7543"/>
    <w:rsid w:val="00CF72F7"/>
    <w:rsid w:val="00D15F48"/>
    <w:rsid w:val="00D22D50"/>
    <w:rsid w:val="00D23410"/>
    <w:rsid w:val="00D24B7E"/>
    <w:rsid w:val="00D25C38"/>
    <w:rsid w:val="00D2637F"/>
    <w:rsid w:val="00D306DA"/>
    <w:rsid w:val="00D33089"/>
    <w:rsid w:val="00D47FF1"/>
    <w:rsid w:val="00D53969"/>
    <w:rsid w:val="00D53DC8"/>
    <w:rsid w:val="00D57416"/>
    <w:rsid w:val="00D6107B"/>
    <w:rsid w:val="00D73949"/>
    <w:rsid w:val="00D8364F"/>
    <w:rsid w:val="00D91A94"/>
    <w:rsid w:val="00DA1572"/>
    <w:rsid w:val="00DB03E1"/>
    <w:rsid w:val="00DC15DD"/>
    <w:rsid w:val="00DC1DD6"/>
    <w:rsid w:val="00DD5020"/>
    <w:rsid w:val="00DE58A9"/>
    <w:rsid w:val="00DF6371"/>
    <w:rsid w:val="00E039FC"/>
    <w:rsid w:val="00E07334"/>
    <w:rsid w:val="00E07C25"/>
    <w:rsid w:val="00E36B34"/>
    <w:rsid w:val="00E43655"/>
    <w:rsid w:val="00E464A2"/>
    <w:rsid w:val="00E51CC1"/>
    <w:rsid w:val="00E612EE"/>
    <w:rsid w:val="00E7659A"/>
    <w:rsid w:val="00E9162E"/>
    <w:rsid w:val="00E976DA"/>
    <w:rsid w:val="00EA23F9"/>
    <w:rsid w:val="00EA6702"/>
    <w:rsid w:val="00EB2160"/>
    <w:rsid w:val="00EB5068"/>
    <w:rsid w:val="00EC0C91"/>
    <w:rsid w:val="00EC7527"/>
    <w:rsid w:val="00EC7A6C"/>
    <w:rsid w:val="00ED192A"/>
    <w:rsid w:val="00EE28D7"/>
    <w:rsid w:val="00EE4092"/>
    <w:rsid w:val="00EF3AB9"/>
    <w:rsid w:val="00EF45A2"/>
    <w:rsid w:val="00EF5862"/>
    <w:rsid w:val="00F1146A"/>
    <w:rsid w:val="00F12042"/>
    <w:rsid w:val="00F21727"/>
    <w:rsid w:val="00F227E3"/>
    <w:rsid w:val="00F36014"/>
    <w:rsid w:val="00F41A4D"/>
    <w:rsid w:val="00F47AF2"/>
    <w:rsid w:val="00F51D3F"/>
    <w:rsid w:val="00F52745"/>
    <w:rsid w:val="00F5790C"/>
    <w:rsid w:val="00F77920"/>
    <w:rsid w:val="00F948D5"/>
    <w:rsid w:val="00F97DD8"/>
    <w:rsid w:val="00FB08CC"/>
    <w:rsid w:val="00FB1520"/>
    <w:rsid w:val="00FB652E"/>
    <w:rsid w:val="00FC18DF"/>
    <w:rsid w:val="00FC5ABB"/>
    <w:rsid w:val="00FE0263"/>
    <w:rsid w:val="00FE164A"/>
    <w:rsid w:val="00FE4007"/>
    <w:rsid w:val="00FE5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9B"/>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autoRedefine/>
    <w:uiPriority w:val="9"/>
    <w:unhideWhenUsed/>
    <w:qFormat/>
    <w:rsid w:val="008C1265"/>
    <w:pPr>
      <w:keepNext/>
      <w:keepLines/>
      <w:spacing w:before="200"/>
      <w:jc w:val="both"/>
      <w:outlineLvl w:val="1"/>
    </w:pPr>
    <w:rPr>
      <w:rFonts w:eastAsiaTheme="majorEastAsia" w:cstheme="majorBidi"/>
      <w:bCs/>
      <w:i/>
      <w:szCs w:val="26"/>
    </w:rPr>
  </w:style>
  <w:style w:type="paragraph" w:styleId="Heading3">
    <w:name w:val="heading 3"/>
    <w:basedOn w:val="Normal"/>
    <w:next w:val="Normal"/>
    <w:link w:val="Heading3Char"/>
    <w:uiPriority w:val="9"/>
    <w:semiHidden/>
    <w:unhideWhenUsed/>
    <w:qFormat/>
    <w:rsid w:val="008C1265"/>
    <w:pPr>
      <w:keepNext/>
      <w:keepLines/>
      <w:spacing w:before="200"/>
      <w:jc w:val="both"/>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584DDE"/>
    <w:pPr>
      <w:keepNext/>
      <w:keepLines/>
      <w:spacing w:before="200"/>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8C1265"/>
    <w:rPr>
      <w:rFonts w:ascii="Arial" w:eastAsiaTheme="majorEastAsia" w:hAnsi="Arial" w:cstheme="majorBidi"/>
      <w:bCs/>
      <w:i/>
      <w:szCs w:val="26"/>
    </w:rPr>
  </w:style>
  <w:style w:type="paragraph" w:styleId="NoSpacing">
    <w:name w:val="No Spacing"/>
    <w:uiPriority w:val="1"/>
    <w:qFormat/>
    <w:rsid w:val="00404F7D"/>
    <w:pPr>
      <w:spacing w:after="0"/>
    </w:pPr>
    <w:rPr>
      <w:rFonts w:ascii="Arial" w:hAnsi="Arial" w:cs="Arial"/>
      <w:i/>
    </w:rPr>
  </w:style>
  <w:style w:type="character" w:customStyle="1" w:styleId="Heading3Char">
    <w:name w:val="Heading 3 Char"/>
    <w:basedOn w:val="DefaultParagraphFont"/>
    <w:link w:val="Heading3"/>
    <w:uiPriority w:val="9"/>
    <w:semiHidden/>
    <w:rsid w:val="008C1265"/>
    <w:rPr>
      <w:rFonts w:ascii="Arial" w:eastAsiaTheme="majorEastAsia" w:hAnsi="Arial" w:cstheme="majorBidi"/>
      <w:b/>
      <w:bCs/>
      <w:i/>
    </w:rPr>
  </w:style>
  <w:style w:type="character" w:customStyle="1" w:styleId="Heading4Char">
    <w:name w:val="Heading 4 Char"/>
    <w:basedOn w:val="DefaultParagraphFont"/>
    <w:link w:val="Heading4"/>
    <w:uiPriority w:val="9"/>
    <w:rsid w:val="00584DDE"/>
    <w:rPr>
      <w:rFonts w:ascii="Arial Narrow" w:eastAsiaTheme="majorEastAsia" w:hAnsi="Arial Narrow" w:cstheme="majorBidi"/>
      <w:b/>
      <w:bCs/>
      <w:iCs/>
      <w:sz w:val="24"/>
    </w:rPr>
  </w:style>
  <w:style w:type="numbering" w:customStyle="1" w:styleId="NoList1">
    <w:name w:val="No List1"/>
    <w:next w:val="NoList"/>
    <w:uiPriority w:val="99"/>
    <w:semiHidden/>
    <w:unhideWhenUsed/>
    <w:rsid w:val="00F227E3"/>
  </w:style>
  <w:style w:type="paragraph" w:styleId="Title">
    <w:name w:val="Title"/>
    <w:basedOn w:val="Normal"/>
    <w:next w:val="Normal"/>
    <w:link w:val="TitleChar"/>
    <w:uiPriority w:val="10"/>
    <w:qFormat/>
    <w:rsid w:val="00F227E3"/>
    <w:pPr>
      <w:pBdr>
        <w:bottom w:val="single" w:sz="8" w:space="4" w:color="4F81BD" w:themeColor="accent1"/>
      </w:pBdr>
      <w:spacing w:after="300" w:line="240" w:lineRule="auto"/>
      <w:contextualSpacing/>
      <w:jc w:val="center"/>
    </w:pPr>
    <w:rPr>
      <w:rFonts w:ascii="Arial Narrow" w:eastAsiaTheme="majorEastAsia" w:hAnsi="Arial Narrow" w:cstheme="majorBidi"/>
      <w:b/>
      <w:spacing w:val="5"/>
      <w:kern w:val="28"/>
      <w:sz w:val="24"/>
      <w:szCs w:val="52"/>
      <w:lang w:eastAsia="en-GB"/>
    </w:rPr>
  </w:style>
  <w:style w:type="character" w:customStyle="1" w:styleId="TitleChar">
    <w:name w:val="Title Char"/>
    <w:basedOn w:val="DefaultParagraphFont"/>
    <w:link w:val="Title"/>
    <w:uiPriority w:val="10"/>
    <w:rsid w:val="00F227E3"/>
    <w:rPr>
      <w:rFonts w:ascii="Arial Narrow" w:eastAsiaTheme="majorEastAsia" w:hAnsi="Arial Narrow" w:cstheme="majorBidi"/>
      <w:b/>
      <w:spacing w:val="5"/>
      <w:kern w:val="28"/>
      <w:sz w:val="24"/>
      <w:szCs w:val="52"/>
      <w:lang w:eastAsia="en-GB"/>
    </w:rPr>
  </w:style>
  <w:style w:type="table" w:styleId="TableGrid">
    <w:name w:val="Table Grid"/>
    <w:basedOn w:val="TableNormal"/>
    <w:uiPriority w:val="59"/>
    <w:rsid w:val="00F2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27E3"/>
    <w:pPr>
      <w:spacing w:line="240" w:lineRule="auto"/>
      <w:jc w:val="both"/>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F227E3"/>
    <w:rPr>
      <w:rFonts w:ascii="Tahoma" w:hAnsi="Tahoma" w:cs="Tahoma"/>
      <w:sz w:val="16"/>
      <w:szCs w:val="16"/>
      <w:lang w:eastAsia="en-GB"/>
    </w:rPr>
  </w:style>
  <w:style w:type="paragraph" w:styleId="Header">
    <w:name w:val="header"/>
    <w:basedOn w:val="Normal"/>
    <w:link w:val="HeaderChar"/>
    <w:uiPriority w:val="99"/>
    <w:unhideWhenUsed/>
    <w:rsid w:val="00895E2E"/>
    <w:pPr>
      <w:tabs>
        <w:tab w:val="center" w:pos="4513"/>
        <w:tab w:val="right" w:pos="9026"/>
      </w:tabs>
      <w:spacing w:line="240" w:lineRule="auto"/>
    </w:pPr>
  </w:style>
  <w:style w:type="character" w:customStyle="1" w:styleId="HeaderChar">
    <w:name w:val="Header Char"/>
    <w:basedOn w:val="DefaultParagraphFont"/>
    <w:link w:val="Header"/>
    <w:uiPriority w:val="99"/>
    <w:rsid w:val="00895E2E"/>
    <w:rPr>
      <w:rFonts w:ascii="Arial" w:hAnsi="Arial" w:cs="Arial"/>
    </w:rPr>
  </w:style>
  <w:style w:type="paragraph" w:styleId="Footer">
    <w:name w:val="footer"/>
    <w:basedOn w:val="Normal"/>
    <w:link w:val="FooterChar"/>
    <w:uiPriority w:val="99"/>
    <w:unhideWhenUsed/>
    <w:rsid w:val="00895E2E"/>
    <w:pPr>
      <w:tabs>
        <w:tab w:val="center" w:pos="4513"/>
        <w:tab w:val="right" w:pos="9026"/>
      </w:tabs>
      <w:spacing w:line="240" w:lineRule="auto"/>
    </w:pPr>
  </w:style>
  <w:style w:type="character" w:customStyle="1" w:styleId="FooterChar">
    <w:name w:val="Footer Char"/>
    <w:basedOn w:val="DefaultParagraphFont"/>
    <w:link w:val="Footer"/>
    <w:uiPriority w:val="99"/>
    <w:rsid w:val="00895E2E"/>
    <w:rPr>
      <w:rFonts w:ascii="Arial" w:hAnsi="Arial" w:cs="Arial"/>
    </w:rPr>
  </w:style>
  <w:style w:type="paragraph" w:styleId="NormalWeb">
    <w:name w:val="Normal (Web)"/>
    <w:basedOn w:val="Normal"/>
    <w:uiPriority w:val="99"/>
    <w:unhideWhenUsed/>
    <w:rsid w:val="00A73BE5"/>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styleId="Hyperlink">
    <w:name w:val="Hyperlink"/>
    <w:basedOn w:val="DefaultParagraphFont"/>
    <w:uiPriority w:val="99"/>
    <w:unhideWhenUsed/>
    <w:rsid w:val="00A73BE5"/>
    <w:rPr>
      <w:color w:val="0000FF" w:themeColor="hyperlink"/>
      <w:u w:val="single"/>
    </w:rPr>
  </w:style>
  <w:style w:type="character" w:customStyle="1" w:styleId="apple-converted-space">
    <w:name w:val="apple-converted-space"/>
    <w:basedOn w:val="DefaultParagraphFont"/>
    <w:rsid w:val="007A3A23"/>
  </w:style>
  <w:style w:type="character" w:customStyle="1" w:styleId="person">
    <w:name w:val="person"/>
    <w:basedOn w:val="DefaultParagraphFont"/>
    <w:rsid w:val="007A3A23"/>
  </w:style>
  <w:style w:type="character" w:customStyle="1" w:styleId="slug-pub-date">
    <w:name w:val="slug-pub-date"/>
    <w:rsid w:val="007A3A23"/>
  </w:style>
  <w:style w:type="character" w:customStyle="1" w:styleId="slug-vol">
    <w:name w:val="slug-vol"/>
    <w:rsid w:val="007A3A23"/>
  </w:style>
  <w:style w:type="character" w:customStyle="1" w:styleId="cit-sep">
    <w:name w:val="cit-sep"/>
    <w:rsid w:val="007A3A23"/>
  </w:style>
  <w:style w:type="character" w:customStyle="1" w:styleId="slug-pages">
    <w:name w:val="slug-pages"/>
    <w:rsid w:val="007A3A23"/>
  </w:style>
  <w:style w:type="character" w:customStyle="1" w:styleId="slug-issue">
    <w:name w:val="slug-issue"/>
    <w:rsid w:val="007A3A23"/>
  </w:style>
  <w:style w:type="character" w:customStyle="1" w:styleId="A0">
    <w:name w:val="A0"/>
    <w:uiPriority w:val="99"/>
    <w:rsid w:val="007A3A23"/>
    <w:rPr>
      <w:rFonts w:cs="Calisto MT"/>
      <w:color w:val="000000"/>
      <w:sz w:val="20"/>
      <w:szCs w:val="20"/>
    </w:rPr>
  </w:style>
  <w:style w:type="character" w:customStyle="1" w:styleId="ref-journal">
    <w:name w:val="ref-journal"/>
    <w:basedOn w:val="DefaultParagraphFont"/>
    <w:rsid w:val="00201773"/>
  </w:style>
  <w:style w:type="character" w:customStyle="1" w:styleId="ref-vol">
    <w:name w:val="ref-vol"/>
    <w:basedOn w:val="DefaultParagraphFont"/>
    <w:rsid w:val="00201773"/>
  </w:style>
  <w:style w:type="character" w:customStyle="1" w:styleId="element-citation">
    <w:name w:val="element-citation"/>
    <w:basedOn w:val="DefaultParagraphFont"/>
    <w:rsid w:val="00B16211"/>
  </w:style>
  <w:style w:type="character" w:styleId="CommentReference">
    <w:name w:val="annotation reference"/>
    <w:basedOn w:val="DefaultParagraphFont"/>
    <w:uiPriority w:val="99"/>
    <w:semiHidden/>
    <w:unhideWhenUsed/>
    <w:rsid w:val="00E612EE"/>
    <w:rPr>
      <w:sz w:val="16"/>
      <w:szCs w:val="16"/>
    </w:rPr>
  </w:style>
  <w:style w:type="paragraph" w:styleId="CommentText">
    <w:name w:val="annotation text"/>
    <w:basedOn w:val="Normal"/>
    <w:link w:val="CommentTextChar"/>
    <w:uiPriority w:val="99"/>
    <w:semiHidden/>
    <w:unhideWhenUsed/>
    <w:rsid w:val="00E612EE"/>
    <w:pPr>
      <w:spacing w:line="240" w:lineRule="auto"/>
    </w:pPr>
    <w:rPr>
      <w:sz w:val="20"/>
      <w:szCs w:val="20"/>
    </w:rPr>
  </w:style>
  <w:style w:type="character" w:customStyle="1" w:styleId="CommentTextChar">
    <w:name w:val="Comment Text Char"/>
    <w:basedOn w:val="DefaultParagraphFont"/>
    <w:link w:val="CommentText"/>
    <w:uiPriority w:val="99"/>
    <w:semiHidden/>
    <w:rsid w:val="00E612E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612EE"/>
    <w:rPr>
      <w:b/>
      <w:bCs/>
    </w:rPr>
  </w:style>
  <w:style w:type="character" w:customStyle="1" w:styleId="CommentSubjectChar">
    <w:name w:val="Comment Subject Char"/>
    <w:basedOn w:val="CommentTextChar"/>
    <w:link w:val="CommentSubject"/>
    <w:uiPriority w:val="99"/>
    <w:semiHidden/>
    <w:rsid w:val="00E612EE"/>
    <w:rPr>
      <w:rFonts w:ascii="Arial" w:hAnsi="Arial" w:cs="Arial"/>
      <w:b/>
      <w:bCs/>
      <w:sz w:val="20"/>
      <w:szCs w:val="20"/>
    </w:rPr>
  </w:style>
  <w:style w:type="character" w:customStyle="1" w:styleId="current-selection">
    <w:name w:val="current-selection"/>
    <w:basedOn w:val="DefaultParagraphFont"/>
    <w:rsid w:val="00613438"/>
  </w:style>
  <w:style w:type="character" w:customStyle="1" w:styleId="a">
    <w:name w:val="_"/>
    <w:basedOn w:val="DefaultParagraphFont"/>
    <w:rsid w:val="00613438"/>
  </w:style>
  <w:style w:type="paragraph" w:styleId="ListParagraph">
    <w:name w:val="List Paragraph"/>
    <w:basedOn w:val="Normal"/>
    <w:uiPriority w:val="34"/>
    <w:qFormat/>
    <w:rsid w:val="004053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9B"/>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autoRedefine/>
    <w:uiPriority w:val="9"/>
    <w:unhideWhenUsed/>
    <w:qFormat/>
    <w:rsid w:val="008C1265"/>
    <w:pPr>
      <w:keepNext/>
      <w:keepLines/>
      <w:spacing w:before="200"/>
      <w:jc w:val="both"/>
      <w:outlineLvl w:val="1"/>
    </w:pPr>
    <w:rPr>
      <w:rFonts w:eastAsiaTheme="majorEastAsia" w:cstheme="majorBidi"/>
      <w:bCs/>
      <w:i/>
      <w:szCs w:val="26"/>
    </w:rPr>
  </w:style>
  <w:style w:type="paragraph" w:styleId="Heading3">
    <w:name w:val="heading 3"/>
    <w:basedOn w:val="Normal"/>
    <w:next w:val="Normal"/>
    <w:link w:val="Heading3Char"/>
    <w:uiPriority w:val="9"/>
    <w:semiHidden/>
    <w:unhideWhenUsed/>
    <w:qFormat/>
    <w:rsid w:val="008C1265"/>
    <w:pPr>
      <w:keepNext/>
      <w:keepLines/>
      <w:spacing w:before="200"/>
      <w:jc w:val="both"/>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584DDE"/>
    <w:pPr>
      <w:keepNext/>
      <w:keepLines/>
      <w:spacing w:before="200"/>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8C1265"/>
    <w:rPr>
      <w:rFonts w:ascii="Arial" w:eastAsiaTheme="majorEastAsia" w:hAnsi="Arial" w:cstheme="majorBidi"/>
      <w:bCs/>
      <w:i/>
      <w:szCs w:val="26"/>
    </w:rPr>
  </w:style>
  <w:style w:type="paragraph" w:styleId="NoSpacing">
    <w:name w:val="No Spacing"/>
    <w:uiPriority w:val="1"/>
    <w:qFormat/>
    <w:rsid w:val="00404F7D"/>
    <w:pPr>
      <w:spacing w:after="0"/>
    </w:pPr>
    <w:rPr>
      <w:rFonts w:ascii="Arial" w:hAnsi="Arial" w:cs="Arial"/>
      <w:i/>
    </w:rPr>
  </w:style>
  <w:style w:type="character" w:customStyle="1" w:styleId="Heading3Char">
    <w:name w:val="Heading 3 Char"/>
    <w:basedOn w:val="DefaultParagraphFont"/>
    <w:link w:val="Heading3"/>
    <w:uiPriority w:val="9"/>
    <w:semiHidden/>
    <w:rsid w:val="008C1265"/>
    <w:rPr>
      <w:rFonts w:ascii="Arial" w:eastAsiaTheme="majorEastAsia" w:hAnsi="Arial" w:cstheme="majorBidi"/>
      <w:b/>
      <w:bCs/>
      <w:i/>
    </w:rPr>
  </w:style>
  <w:style w:type="character" w:customStyle="1" w:styleId="Heading4Char">
    <w:name w:val="Heading 4 Char"/>
    <w:basedOn w:val="DefaultParagraphFont"/>
    <w:link w:val="Heading4"/>
    <w:uiPriority w:val="9"/>
    <w:rsid w:val="00584DDE"/>
    <w:rPr>
      <w:rFonts w:ascii="Arial Narrow" w:eastAsiaTheme="majorEastAsia" w:hAnsi="Arial Narrow" w:cstheme="majorBidi"/>
      <w:b/>
      <w:bCs/>
      <w:iCs/>
      <w:sz w:val="24"/>
    </w:rPr>
  </w:style>
  <w:style w:type="numbering" w:customStyle="1" w:styleId="NoList1">
    <w:name w:val="No List1"/>
    <w:next w:val="NoList"/>
    <w:uiPriority w:val="99"/>
    <w:semiHidden/>
    <w:unhideWhenUsed/>
    <w:rsid w:val="00F227E3"/>
  </w:style>
  <w:style w:type="paragraph" w:styleId="Title">
    <w:name w:val="Title"/>
    <w:basedOn w:val="Normal"/>
    <w:next w:val="Normal"/>
    <w:link w:val="TitleChar"/>
    <w:uiPriority w:val="10"/>
    <w:qFormat/>
    <w:rsid w:val="00F227E3"/>
    <w:pPr>
      <w:pBdr>
        <w:bottom w:val="single" w:sz="8" w:space="4" w:color="4F81BD" w:themeColor="accent1"/>
      </w:pBdr>
      <w:spacing w:after="300" w:line="240" w:lineRule="auto"/>
      <w:contextualSpacing/>
      <w:jc w:val="center"/>
    </w:pPr>
    <w:rPr>
      <w:rFonts w:ascii="Arial Narrow" w:eastAsiaTheme="majorEastAsia" w:hAnsi="Arial Narrow" w:cstheme="majorBidi"/>
      <w:b/>
      <w:spacing w:val="5"/>
      <w:kern w:val="28"/>
      <w:sz w:val="24"/>
      <w:szCs w:val="52"/>
      <w:lang w:eastAsia="en-GB"/>
    </w:rPr>
  </w:style>
  <w:style w:type="character" w:customStyle="1" w:styleId="TitleChar">
    <w:name w:val="Title Char"/>
    <w:basedOn w:val="DefaultParagraphFont"/>
    <w:link w:val="Title"/>
    <w:uiPriority w:val="10"/>
    <w:rsid w:val="00F227E3"/>
    <w:rPr>
      <w:rFonts w:ascii="Arial Narrow" w:eastAsiaTheme="majorEastAsia" w:hAnsi="Arial Narrow" w:cstheme="majorBidi"/>
      <w:b/>
      <w:spacing w:val="5"/>
      <w:kern w:val="28"/>
      <w:sz w:val="24"/>
      <w:szCs w:val="52"/>
      <w:lang w:eastAsia="en-GB"/>
    </w:rPr>
  </w:style>
  <w:style w:type="table" w:styleId="TableGrid">
    <w:name w:val="Table Grid"/>
    <w:basedOn w:val="TableNormal"/>
    <w:uiPriority w:val="59"/>
    <w:rsid w:val="00F2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27E3"/>
    <w:pPr>
      <w:spacing w:line="240" w:lineRule="auto"/>
      <w:jc w:val="both"/>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F227E3"/>
    <w:rPr>
      <w:rFonts w:ascii="Tahoma" w:hAnsi="Tahoma" w:cs="Tahoma"/>
      <w:sz w:val="16"/>
      <w:szCs w:val="16"/>
      <w:lang w:eastAsia="en-GB"/>
    </w:rPr>
  </w:style>
  <w:style w:type="paragraph" w:styleId="Header">
    <w:name w:val="header"/>
    <w:basedOn w:val="Normal"/>
    <w:link w:val="HeaderChar"/>
    <w:uiPriority w:val="99"/>
    <w:unhideWhenUsed/>
    <w:rsid w:val="00895E2E"/>
    <w:pPr>
      <w:tabs>
        <w:tab w:val="center" w:pos="4513"/>
        <w:tab w:val="right" w:pos="9026"/>
      </w:tabs>
      <w:spacing w:line="240" w:lineRule="auto"/>
    </w:pPr>
  </w:style>
  <w:style w:type="character" w:customStyle="1" w:styleId="HeaderChar">
    <w:name w:val="Header Char"/>
    <w:basedOn w:val="DefaultParagraphFont"/>
    <w:link w:val="Header"/>
    <w:uiPriority w:val="99"/>
    <w:rsid w:val="00895E2E"/>
    <w:rPr>
      <w:rFonts w:ascii="Arial" w:hAnsi="Arial" w:cs="Arial"/>
    </w:rPr>
  </w:style>
  <w:style w:type="paragraph" w:styleId="Footer">
    <w:name w:val="footer"/>
    <w:basedOn w:val="Normal"/>
    <w:link w:val="FooterChar"/>
    <w:uiPriority w:val="99"/>
    <w:unhideWhenUsed/>
    <w:rsid w:val="00895E2E"/>
    <w:pPr>
      <w:tabs>
        <w:tab w:val="center" w:pos="4513"/>
        <w:tab w:val="right" w:pos="9026"/>
      </w:tabs>
      <w:spacing w:line="240" w:lineRule="auto"/>
    </w:pPr>
  </w:style>
  <w:style w:type="character" w:customStyle="1" w:styleId="FooterChar">
    <w:name w:val="Footer Char"/>
    <w:basedOn w:val="DefaultParagraphFont"/>
    <w:link w:val="Footer"/>
    <w:uiPriority w:val="99"/>
    <w:rsid w:val="00895E2E"/>
    <w:rPr>
      <w:rFonts w:ascii="Arial" w:hAnsi="Arial" w:cs="Arial"/>
    </w:rPr>
  </w:style>
  <w:style w:type="paragraph" w:styleId="NormalWeb">
    <w:name w:val="Normal (Web)"/>
    <w:basedOn w:val="Normal"/>
    <w:uiPriority w:val="99"/>
    <w:unhideWhenUsed/>
    <w:rsid w:val="00A73BE5"/>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styleId="Hyperlink">
    <w:name w:val="Hyperlink"/>
    <w:basedOn w:val="DefaultParagraphFont"/>
    <w:uiPriority w:val="99"/>
    <w:unhideWhenUsed/>
    <w:rsid w:val="00A73BE5"/>
    <w:rPr>
      <w:color w:val="0000FF" w:themeColor="hyperlink"/>
      <w:u w:val="single"/>
    </w:rPr>
  </w:style>
  <w:style w:type="character" w:customStyle="1" w:styleId="apple-converted-space">
    <w:name w:val="apple-converted-space"/>
    <w:basedOn w:val="DefaultParagraphFont"/>
    <w:rsid w:val="007A3A23"/>
  </w:style>
  <w:style w:type="character" w:customStyle="1" w:styleId="person">
    <w:name w:val="person"/>
    <w:basedOn w:val="DefaultParagraphFont"/>
    <w:rsid w:val="007A3A23"/>
  </w:style>
  <w:style w:type="character" w:customStyle="1" w:styleId="slug-pub-date">
    <w:name w:val="slug-pub-date"/>
    <w:rsid w:val="007A3A23"/>
  </w:style>
  <w:style w:type="character" w:customStyle="1" w:styleId="slug-vol">
    <w:name w:val="slug-vol"/>
    <w:rsid w:val="007A3A23"/>
  </w:style>
  <w:style w:type="character" w:customStyle="1" w:styleId="cit-sep">
    <w:name w:val="cit-sep"/>
    <w:rsid w:val="007A3A23"/>
  </w:style>
  <w:style w:type="character" w:customStyle="1" w:styleId="slug-pages">
    <w:name w:val="slug-pages"/>
    <w:rsid w:val="007A3A23"/>
  </w:style>
  <w:style w:type="character" w:customStyle="1" w:styleId="slug-issue">
    <w:name w:val="slug-issue"/>
    <w:rsid w:val="007A3A23"/>
  </w:style>
  <w:style w:type="character" w:customStyle="1" w:styleId="A0">
    <w:name w:val="A0"/>
    <w:uiPriority w:val="99"/>
    <w:rsid w:val="007A3A23"/>
    <w:rPr>
      <w:rFonts w:cs="Calisto MT"/>
      <w:color w:val="000000"/>
      <w:sz w:val="20"/>
      <w:szCs w:val="20"/>
    </w:rPr>
  </w:style>
  <w:style w:type="character" w:customStyle="1" w:styleId="ref-journal">
    <w:name w:val="ref-journal"/>
    <w:basedOn w:val="DefaultParagraphFont"/>
    <w:rsid w:val="00201773"/>
  </w:style>
  <w:style w:type="character" w:customStyle="1" w:styleId="ref-vol">
    <w:name w:val="ref-vol"/>
    <w:basedOn w:val="DefaultParagraphFont"/>
    <w:rsid w:val="00201773"/>
  </w:style>
  <w:style w:type="character" w:customStyle="1" w:styleId="element-citation">
    <w:name w:val="element-citation"/>
    <w:basedOn w:val="DefaultParagraphFont"/>
    <w:rsid w:val="00B16211"/>
  </w:style>
  <w:style w:type="character" w:styleId="CommentReference">
    <w:name w:val="annotation reference"/>
    <w:basedOn w:val="DefaultParagraphFont"/>
    <w:uiPriority w:val="99"/>
    <w:semiHidden/>
    <w:unhideWhenUsed/>
    <w:rsid w:val="00E612EE"/>
    <w:rPr>
      <w:sz w:val="16"/>
      <w:szCs w:val="16"/>
    </w:rPr>
  </w:style>
  <w:style w:type="paragraph" w:styleId="CommentText">
    <w:name w:val="annotation text"/>
    <w:basedOn w:val="Normal"/>
    <w:link w:val="CommentTextChar"/>
    <w:uiPriority w:val="99"/>
    <w:semiHidden/>
    <w:unhideWhenUsed/>
    <w:rsid w:val="00E612EE"/>
    <w:pPr>
      <w:spacing w:line="240" w:lineRule="auto"/>
    </w:pPr>
    <w:rPr>
      <w:sz w:val="20"/>
      <w:szCs w:val="20"/>
    </w:rPr>
  </w:style>
  <w:style w:type="character" w:customStyle="1" w:styleId="CommentTextChar">
    <w:name w:val="Comment Text Char"/>
    <w:basedOn w:val="DefaultParagraphFont"/>
    <w:link w:val="CommentText"/>
    <w:uiPriority w:val="99"/>
    <w:semiHidden/>
    <w:rsid w:val="00E612E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612EE"/>
    <w:rPr>
      <w:b/>
      <w:bCs/>
    </w:rPr>
  </w:style>
  <w:style w:type="character" w:customStyle="1" w:styleId="CommentSubjectChar">
    <w:name w:val="Comment Subject Char"/>
    <w:basedOn w:val="CommentTextChar"/>
    <w:link w:val="CommentSubject"/>
    <w:uiPriority w:val="99"/>
    <w:semiHidden/>
    <w:rsid w:val="00E612EE"/>
    <w:rPr>
      <w:rFonts w:ascii="Arial" w:hAnsi="Arial" w:cs="Arial"/>
      <w:b/>
      <w:bCs/>
      <w:sz w:val="20"/>
      <w:szCs w:val="20"/>
    </w:rPr>
  </w:style>
  <w:style w:type="character" w:customStyle="1" w:styleId="current-selection">
    <w:name w:val="current-selection"/>
    <w:basedOn w:val="DefaultParagraphFont"/>
    <w:rsid w:val="00613438"/>
  </w:style>
  <w:style w:type="character" w:customStyle="1" w:styleId="a">
    <w:name w:val="_"/>
    <w:basedOn w:val="DefaultParagraphFont"/>
    <w:rsid w:val="00613438"/>
  </w:style>
  <w:style w:type="paragraph" w:styleId="ListParagraph">
    <w:name w:val="List Paragraph"/>
    <w:basedOn w:val="Normal"/>
    <w:uiPriority w:val="34"/>
    <w:qFormat/>
    <w:rsid w:val="0040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31115">
      <w:bodyDiv w:val="1"/>
      <w:marLeft w:val="0"/>
      <w:marRight w:val="0"/>
      <w:marTop w:val="0"/>
      <w:marBottom w:val="0"/>
      <w:divBdr>
        <w:top w:val="none" w:sz="0" w:space="0" w:color="auto"/>
        <w:left w:val="none" w:sz="0" w:space="0" w:color="auto"/>
        <w:bottom w:val="none" w:sz="0" w:space="0" w:color="auto"/>
        <w:right w:val="none" w:sz="0" w:space="0" w:color="auto"/>
      </w:divBdr>
    </w:div>
    <w:div w:id="342437279">
      <w:bodyDiv w:val="1"/>
      <w:marLeft w:val="0"/>
      <w:marRight w:val="0"/>
      <w:marTop w:val="0"/>
      <w:marBottom w:val="0"/>
      <w:divBdr>
        <w:top w:val="none" w:sz="0" w:space="0" w:color="auto"/>
        <w:left w:val="none" w:sz="0" w:space="0" w:color="auto"/>
        <w:bottom w:val="none" w:sz="0" w:space="0" w:color="auto"/>
        <w:right w:val="none" w:sz="0" w:space="0" w:color="auto"/>
      </w:divBdr>
      <w:divsChild>
        <w:div w:id="1867332593">
          <w:marLeft w:val="0"/>
          <w:marRight w:val="0"/>
          <w:marTop w:val="0"/>
          <w:marBottom w:val="0"/>
          <w:divBdr>
            <w:top w:val="none" w:sz="0" w:space="0" w:color="auto"/>
            <w:left w:val="none" w:sz="0" w:space="0" w:color="auto"/>
            <w:bottom w:val="none" w:sz="0" w:space="0" w:color="auto"/>
            <w:right w:val="none" w:sz="0" w:space="0" w:color="auto"/>
          </w:divBdr>
        </w:div>
        <w:div w:id="2084064569">
          <w:marLeft w:val="0"/>
          <w:marRight w:val="0"/>
          <w:marTop w:val="0"/>
          <w:marBottom w:val="0"/>
          <w:divBdr>
            <w:top w:val="none" w:sz="0" w:space="0" w:color="auto"/>
            <w:left w:val="none" w:sz="0" w:space="0" w:color="auto"/>
            <w:bottom w:val="none" w:sz="0" w:space="0" w:color="auto"/>
            <w:right w:val="none" w:sz="0" w:space="0" w:color="auto"/>
          </w:divBdr>
          <w:divsChild>
            <w:div w:id="6139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5334">
      <w:bodyDiv w:val="1"/>
      <w:marLeft w:val="0"/>
      <w:marRight w:val="0"/>
      <w:marTop w:val="0"/>
      <w:marBottom w:val="0"/>
      <w:divBdr>
        <w:top w:val="none" w:sz="0" w:space="0" w:color="auto"/>
        <w:left w:val="none" w:sz="0" w:space="0" w:color="auto"/>
        <w:bottom w:val="none" w:sz="0" w:space="0" w:color="auto"/>
        <w:right w:val="none" w:sz="0" w:space="0" w:color="auto"/>
      </w:divBdr>
      <w:divsChild>
        <w:div w:id="1236629650">
          <w:marLeft w:val="0"/>
          <w:marRight w:val="0"/>
          <w:marTop w:val="0"/>
          <w:marBottom w:val="0"/>
          <w:divBdr>
            <w:top w:val="none" w:sz="0" w:space="0" w:color="auto"/>
            <w:left w:val="none" w:sz="0" w:space="0" w:color="auto"/>
            <w:bottom w:val="none" w:sz="0" w:space="0" w:color="auto"/>
            <w:right w:val="none" w:sz="0" w:space="0" w:color="auto"/>
          </w:divBdr>
        </w:div>
      </w:divsChild>
    </w:div>
    <w:div w:id="885992715">
      <w:bodyDiv w:val="1"/>
      <w:marLeft w:val="0"/>
      <w:marRight w:val="0"/>
      <w:marTop w:val="0"/>
      <w:marBottom w:val="0"/>
      <w:divBdr>
        <w:top w:val="none" w:sz="0" w:space="0" w:color="auto"/>
        <w:left w:val="none" w:sz="0" w:space="0" w:color="auto"/>
        <w:bottom w:val="none" w:sz="0" w:space="0" w:color="auto"/>
        <w:right w:val="none" w:sz="0" w:space="0" w:color="auto"/>
      </w:divBdr>
      <w:divsChild>
        <w:div w:id="336615852">
          <w:marLeft w:val="0"/>
          <w:marRight w:val="0"/>
          <w:marTop w:val="0"/>
          <w:marBottom w:val="0"/>
          <w:divBdr>
            <w:top w:val="none" w:sz="0" w:space="0" w:color="auto"/>
            <w:left w:val="none" w:sz="0" w:space="0" w:color="auto"/>
            <w:bottom w:val="none" w:sz="0" w:space="0" w:color="auto"/>
            <w:right w:val="none" w:sz="0" w:space="0" w:color="auto"/>
          </w:divBdr>
        </w:div>
      </w:divsChild>
    </w:div>
    <w:div w:id="1361127948">
      <w:bodyDiv w:val="1"/>
      <w:marLeft w:val="0"/>
      <w:marRight w:val="0"/>
      <w:marTop w:val="0"/>
      <w:marBottom w:val="0"/>
      <w:divBdr>
        <w:top w:val="none" w:sz="0" w:space="0" w:color="auto"/>
        <w:left w:val="none" w:sz="0" w:space="0" w:color="auto"/>
        <w:bottom w:val="none" w:sz="0" w:space="0" w:color="auto"/>
        <w:right w:val="none" w:sz="0" w:space="0" w:color="auto"/>
      </w:divBdr>
    </w:div>
    <w:div w:id="1480658049">
      <w:bodyDiv w:val="1"/>
      <w:marLeft w:val="0"/>
      <w:marRight w:val="0"/>
      <w:marTop w:val="0"/>
      <w:marBottom w:val="0"/>
      <w:divBdr>
        <w:top w:val="none" w:sz="0" w:space="0" w:color="auto"/>
        <w:left w:val="none" w:sz="0" w:space="0" w:color="auto"/>
        <w:bottom w:val="none" w:sz="0" w:space="0" w:color="auto"/>
        <w:right w:val="none" w:sz="0" w:space="0" w:color="auto"/>
      </w:divBdr>
      <w:divsChild>
        <w:div w:id="139346417">
          <w:marLeft w:val="0"/>
          <w:marRight w:val="0"/>
          <w:marTop w:val="0"/>
          <w:marBottom w:val="0"/>
          <w:divBdr>
            <w:top w:val="none" w:sz="0" w:space="0" w:color="auto"/>
            <w:left w:val="none" w:sz="0" w:space="0" w:color="auto"/>
            <w:bottom w:val="none" w:sz="0" w:space="0" w:color="auto"/>
            <w:right w:val="none" w:sz="0" w:space="0" w:color="auto"/>
          </w:divBdr>
          <w:divsChild>
            <w:div w:id="824316255">
              <w:marLeft w:val="0"/>
              <w:marRight w:val="0"/>
              <w:marTop w:val="0"/>
              <w:marBottom w:val="0"/>
              <w:divBdr>
                <w:top w:val="none" w:sz="0" w:space="0" w:color="auto"/>
                <w:left w:val="none" w:sz="0" w:space="0" w:color="auto"/>
                <w:bottom w:val="none" w:sz="0" w:space="0" w:color="auto"/>
                <w:right w:val="none" w:sz="0" w:space="0" w:color="auto"/>
              </w:divBdr>
            </w:div>
            <w:div w:id="1785537816">
              <w:marLeft w:val="0"/>
              <w:marRight w:val="0"/>
              <w:marTop w:val="0"/>
              <w:marBottom w:val="0"/>
              <w:divBdr>
                <w:top w:val="none" w:sz="0" w:space="0" w:color="auto"/>
                <w:left w:val="none" w:sz="0" w:space="0" w:color="auto"/>
                <w:bottom w:val="none" w:sz="0" w:space="0" w:color="auto"/>
                <w:right w:val="none" w:sz="0" w:space="0" w:color="auto"/>
              </w:divBdr>
            </w:div>
            <w:div w:id="522280440">
              <w:marLeft w:val="0"/>
              <w:marRight w:val="0"/>
              <w:marTop w:val="0"/>
              <w:marBottom w:val="0"/>
              <w:divBdr>
                <w:top w:val="none" w:sz="0" w:space="0" w:color="auto"/>
                <w:left w:val="none" w:sz="0" w:space="0" w:color="auto"/>
                <w:bottom w:val="none" w:sz="0" w:space="0" w:color="auto"/>
                <w:right w:val="none" w:sz="0" w:space="0" w:color="auto"/>
              </w:divBdr>
            </w:div>
            <w:div w:id="204101506">
              <w:marLeft w:val="0"/>
              <w:marRight w:val="0"/>
              <w:marTop w:val="0"/>
              <w:marBottom w:val="0"/>
              <w:divBdr>
                <w:top w:val="none" w:sz="0" w:space="0" w:color="auto"/>
                <w:left w:val="none" w:sz="0" w:space="0" w:color="auto"/>
                <w:bottom w:val="none" w:sz="0" w:space="0" w:color="auto"/>
                <w:right w:val="none" w:sz="0" w:space="0" w:color="auto"/>
              </w:divBdr>
            </w:div>
            <w:div w:id="899902804">
              <w:marLeft w:val="0"/>
              <w:marRight w:val="0"/>
              <w:marTop w:val="0"/>
              <w:marBottom w:val="0"/>
              <w:divBdr>
                <w:top w:val="none" w:sz="0" w:space="0" w:color="auto"/>
                <w:left w:val="none" w:sz="0" w:space="0" w:color="auto"/>
                <w:bottom w:val="none" w:sz="0" w:space="0" w:color="auto"/>
                <w:right w:val="none" w:sz="0" w:space="0" w:color="auto"/>
              </w:divBdr>
            </w:div>
            <w:div w:id="1189635541">
              <w:marLeft w:val="0"/>
              <w:marRight w:val="0"/>
              <w:marTop w:val="0"/>
              <w:marBottom w:val="0"/>
              <w:divBdr>
                <w:top w:val="none" w:sz="0" w:space="0" w:color="auto"/>
                <w:left w:val="none" w:sz="0" w:space="0" w:color="auto"/>
                <w:bottom w:val="none" w:sz="0" w:space="0" w:color="auto"/>
                <w:right w:val="none" w:sz="0" w:space="0" w:color="auto"/>
              </w:divBdr>
            </w:div>
            <w:div w:id="1343820495">
              <w:marLeft w:val="0"/>
              <w:marRight w:val="0"/>
              <w:marTop w:val="0"/>
              <w:marBottom w:val="0"/>
              <w:divBdr>
                <w:top w:val="none" w:sz="0" w:space="0" w:color="auto"/>
                <w:left w:val="none" w:sz="0" w:space="0" w:color="auto"/>
                <w:bottom w:val="none" w:sz="0" w:space="0" w:color="auto"/>
                <w:right w:val="none" w:sz="0" w:space="0" w:color="auto"/>
              </w:divBdr>
            </w:div>
            <w:div w:id="546262970">
              <w:marLeft w:val="0"/>
              <w:marRight w:val="0"/>
              <w:marTop w:val="0"/>
              <w:marBottom w:val="0"/>
              <w:divBdr>
                <w:top w:val="none" w:sz="0" w:space="0" w:color="auto"/>
                <w:left w:val="none" w:sz="0" w:space="0" w:color="auto"/>
                <w:bottom w:val="none" w:sz="0" w:space="0" w:color="auto"/>
                <w:right w:val="none" w:sz="0" w:space="0" w:color="auto"/>
              </w:divBdr>
            </w:div>
            <w:div w:id="1048453863">
              <w:marLeft w:val="0"/>
              <w:marRight w:val="0"/>
              <w:marTop w:val="0"/>
              <w:marBottom w:val="0"/>
              <w:divBdr>
                <w:top w:val="none" w:sz="0" w:space="0" w:color="auto"/>
                <w:left w:val="none" w:sz="0" w:space="0" w:color="auto"/>
                <w:bottom w:val="none" w:sz="0" w:space="0" w:color="auto"/>
                <w:right w:val="none" w:sz="0" w:space="0" w:color="auto"/>
              </w:divBdr>
            </w:div>
            <w:div w:id="138616694">
              <w:marLeft w:val="0"/>
              <w:marRight w:val="0"/>
              <w:marTop w:val="0"/>
              <w:marBottom w:val="0"/>
              <w:divBdr>
                <w:top w:val="none" w:sz="0" w:space="0" w:color="auto"/>
                <w:left w:val="none" w:sz="0" w:space="0" w:color="auto"/>
                <w:bottom w:val="none" w:sz="0" w:space="0" w:color="auto"/>
                <w:right w:val="none" w:sz="0" w:space="0" w:color="auto"/>
              </w:divBdr>
            </w:div>
            <w:div w:id="2124767248">
              <w:marLeft w:val="0"/>
              <w:marRight w:val="0"/>
              <w:marTop w:val="0"/>
              <w:marBottom w:val="0"/>
              <w:divBdr>
                <w:top w:val="none" w:sz="0" w:space="0" w:color="auto"/>
                <w:left w:val="none" w:sz="0" w:space="0" w:color="auto"/>
                <w:bottom w:val="none" w:sz="0" w:space="0" w:color="auto"/>
                <w:right w:val="none" w:sz="0" w:space="0" w:color="auto"/>
              </w:divBdr>
            </w:div>
            <w:div w:id="1571771779">
              <w:marLeft w:val="0"/>
              <w:marRight w:val="0"/>
              <w:marTop w:val="0"/>
              <w:marBottom w:val="0"/>
              <w:divBdr>
                <w:top w:val="none" w:sz="0" w:space="0" w:color="auto"/>
                <w:left w:val="none" w:sz="0" w:space="0" w:color="auto"/>
                <w:bottom w:val="none" w:sz="0" w:space="0" w:color="auto"/>
                <w:right w:val="none" w:sz="0" w:space="0" w:color="auto"/>
              </w:divBdr>
            </w:div>
            <w:div w:id="695890972">
              <w:marLeft w:val="0"/>
              <w:marRight w:val="0"/>
              <w:marTop w:val="0"/>
              <w:marBottom w:val="0"/>
              <w:divBdr>
                <w:top w:val="none" w:sz="0" w:space="0" w:color="auto"/>
                <w:left w:val="none" w:sz="0" w:space="0" w:color="auto"/>
                <w:bottom w:val="none" w:sz="0" w:space="0" w:color="auto"/>
                <w:right w:val="none" w:sz="0" w:space="0" w:color="auto"/>
              </w:divBdr>
            </w:div>
            <w:div w:id="317851079">
              <w:marLeft w:val="0"/>
              <w:marRight w:val="0"/>
              <w:marTop w:val="0"/>
              <w:marBottom w:val="0"/>
              <w:divBdr>
                <w:top w:val="none" w:sz="0" w:space="0" w:color="auto"/>
                <w:left w:val="none" w:sz="0" w:space="0" w:color="auto"/>
                <w:bottom w:val="none" w:sz="0" w:space="0" w:color="auto"/>
                <w:right w:val="none" w:sz="0" w:space="0" w:color="auto"/>
              </w:divBdr>
            </w:div>
            <w:div w:id="755902454">
              <w:marLeft w:val="0"/>
              <w:marRight w:val="0"/>
              <w:marTop w:val="0"/>
              <w:marBottom w:val="0"/>
              <w:divBdr>
                <w:top w:val="none" w:sz="0" w:space="0" w:color="auto"/>
                <w:left w:val="none" w:sz="0" w:space="0" w:color="auto"/>
                <w:bottom w:val="none" w:sz="0" w:space="0" w:color="auto"/>
                <w:right w:val="none" w:sz="0" w:space="0" w:color="auto"/>
              </w:divBdr>
            </w:div>
            <w:div w:id="295767815">
              <w:marLeft w:val="0"/>
              <w:marRight w:val="0"/>
              <w:marTop w:val="0"/>
              <w:marBottom w:val="0"/>
              <w:divBdr>
                <w:top w:val="none" w:sz="0" w:space="0" w:color="auto"/>
                <w:left w:val="none" w:sz="0" w:space="0" w:color="auto"/>
                <w:bottom w:val="none" w:sz="0" w:space="0" w:color="auto"/>
                <w:right w:val="none" w:sz="0" w:space="0" w:color="auto"/>
              </w:divBdr>
            </w:div>
            <w:div w:id="245964305">
              <w:marLeft w:val="0"/>
              <w:marRight w:val="0"/>
              <w:marTop w:val="0"/>
              <w:marBottom w:val="0"/>
              <w:divBdr>
                <w:top w:val="none" w:sz="0" w:space="0" w:color="auto"/>
                <w:left w:val="none" w:sz="0" w:space="0" w:color="auto"/>
                <w:bottom w:val="none" w:sz="0" w:space="0" w:color="auto"/>
                <w:right w:val="none" w:sz="0" w:space="0" w:color="auto"/>
              </w:divBdr>
            </w:div>
            <w:div w:id="61566603">
              <w:marLeft w:val="0"/>
              <w:marRight w:val="0"/>
              <w:marTop w:val="0"/>
              <w:marBottom w:val="0"/>
              <w:divBdr>
                <w:top w:val="none" w:sz="0" w:space="0" w:color="auto"/>
                <w:left w:val="none" w:sz="0" w:space="0" w:color="auto"/>
                <w:bottom w:val="none" w:sz="0" w:space="0" w:color="auto"/>
                <w:right w:val="none" w:sz="0" w:space="0" w:color="auto"/>
              </w:divBdr>
            </w:div>
            <w:div w:id="1685590345">
              <w:marLeft w:val="0"/>
              <w:marRight w:val="0"/>
              <w:marTop w:val="0"/>
              <w:marBottom w:val="0"/>
              <w:divBdr>
                <w:top w:val="none" w:sz="0" w:space="0" w:color="auto"/>
                <w:left w:val="none" w:sz="0" w:space="0" w:color="auto"/>
                <w:bottom w:val="none" w:sz="0" w:space="0" w:color="auto"/>
                <w:right w:val="none" w:sz="0" w:space="0" w:color="auto"/>
              </w:divBdr>
            </w:div>
            <w:div w:id="1028946762">
              <w:marLeft w:val="0"/>
              <w:marRight w:val="0"/>
              <w:marTop w:val="0"/>
              <w:marBottom w:val="0"/>
              <w:divBdr>
                <w:top w:val="none" w:sz="0" w:space="0" w:color="auto"/>
                <w:left w:val="none" w:sz="0" w:space="0" w:color="auto"/>
                <w:bottom w:val="none" w:sz="0" w:space="0" w:color="auto"/>
                <w:right w:val="none" w:sz="0" w:space="0" w:color="auto"/>
              </w:divBdr>
            </w:div>
            <w:div w:id="1950090012">
              <w:marLeft w:val="0"/>
              <w:marRight w:val="0"/>
              <w:marTop w:val="0"/>
              <w:marBottom w:val="0"/>
              <w:divBdr>
                <w:top w:val="none" w:sz="0" w:space="0" w:color="auto"/>
                <w:left w:val="none" w:sz="0" w:space="0" w:color="auto"/>
                <w:bottom w:val="none" w:sz="0" w:space="0" w:color="auto"/>
                <w:right w:val="none" w:sz="0" w:space="0" w:color="auto"/>
              </w:divBdr>
            </w:div>
            <w:div w:id="1477990675">
              <w:marLeft w:val="0"/>
              <w:marRight w:val="0"/>
              <w:marTop w:val="0"/>
              <w:marBottom w:val="0"/>
              <w:divBdr>
                <w:top w:val="none" w:sz="0" w:space="0" w:color="auto"/>
                <w:left w:val="none" w:sz="0" w:space="0" w:color="auto"/>
                <w:bottom w:val="none" w:sz="0" w:space="0" w:color="auto"/>
                <w:right w:val="none" w:sz="0" w:space="0" w:color="auto"/>
              </w:divBdr>
            </w:div>
            <w:div w:id="1088842108">
              <w:marLeft w:val="0"/>
              <w:marRight w:val="0"/>
              <w:marTop w:val="0"/>
              <w:marBottom w:val="0"/>
              <w:divBdr>
                <w:top w:val="none" w:sz="0" w:space="0" w:color="auto"/>
                <w:left w:val="none" w:sz="0" w:space="0" w:color="auto"/>
                <w:bottom w:val="none" w:sz="0" w:space="0" w:color="auto"/>
                <w:right w:val="none" w:sz="0" w:space="0" w:color="auto"/>
              </w:divBdr>
            </w:div>
            <w:div w:id="1402482848">
              <w:marLeft w:val="0"/>
              <w:marRight w:val="0"/>
              <w:marTop w:val="0"/>
              <w:marBottom w:val="0"/>
              <w:divBdr>
                <w:top w:val="none" w:sz="0" w:space="0" w:color="auto"/>
                <w:left w:val="none" w:sz="0" w:space="0" w:color="auto"/>
                <w:bottom w:val="none" w:sz="0" w:space="0" w:color="auto"/>
                <w:right w:val="none" w:sz="0" w:space="0" w:color="auto"/>
              </w:divBdr>
            </w:div>
            <w:div w:id="1896697638">
              <w:marLeft w:val="0"/>
              <w:marRight w:val="0"/>
              <w:marTop w:val="0"/>
              <w:marBottom w:val="0"/>
              <w:divBdr>
                <w:top w:val="none" w:sz="0" w:space="0" w:color="auto"/>
                <w:left w:val="none" w:sz="0" w:space="0" w:color="auto"/>
                <w:bottom w:val="none" w:sz="0" w:space="0" w:color="auto"/>
                <w:right w:val="none" w:sz="0" w:space="0" w:color="auto"/>
              </w:divBdr>
            </w:div>
            <w:div w:id="293143530">
              <w:marLeft w:val="0"/>
              <w:marRight w:val="0"/>
              <w:marTop w:val="0"/>
              <w:marBottom w:val="0"/>
              <w:divBdr>
                <w:top w:val="none" w:sz="0" w:space="0" w:color="auto"/>
                <w:left w:val="none" w:sz="0" w:space="0" w:color="auto"/>
                <w:bottom w:val="none" w:sz="0" w:space="0" w:color="auto"/>
                <w:right w:val="none" w:sz="0" w:space="0" w:color="auto"/>
              </w:divBdr>
            </w:div>
            <w:div w:id="937441359">
              <w:marLeft w:val="0"/>
              <w:marRight w:val="0"/>
              <w:marTop w:val="0"/>
              <w:marBottom w:val="0"/>
              <w:divBdr>
                <w:top w:val="none" w:sz="0" w:space="0" w:color="auto"/>
                <w:left w:val="none" w:sz="0" w:space="0" w:color="auto"/>
                <w:bottom w:val="none" w:sz="0" w:space="0" w:color="auto"/>
                <w:right w:val="none" w:sz="0" w:space="0" w:color="auto"/>
              </w:divBdr>
            </w:div>
            <w:div w:id="997810401">
              <w:marLeft w:val="0"/>
              <w:marRight w:val="0"/>
              <w:marTop w:val="0"/>
              <w:marBottom w:val="0"/>
              <w:divBdr>
                <w:top w:val="none" w:sz="0" w:space="0" w:color="auto"/>
                <w:left w:val="none" w:sz="0" w:space="0" w:color="auto"/>
                <w:bottom w:val="none" w:sz="0" w:space="0" w:color="auto"/>
                <w:right w:val="none" w:sz="0" w:space="0" w:color="auto"/>
              </w:divBdr>
            </w:div>
            <w:div w:id="1332761651">
              <w:marLeft w:val="0"/>
              <w:marRight w:val="0"/>
              <w:marTop w:val="0"/>
              <w:marBottom w:val="0"/>
              <w:divBdr>
                <w:top w:val="none" w:sz="0" w:space="0" w:color="auto"/>
                <w:left w:val="none" w:sz="0" w:space="0" w:color="auto"/>
                <w:bottom w:val="none" w:sz="0" w:space="0" w:color="auto"/>
                <w:right w:val="none" w:sz="0" w:space="0" w:color="auto"/>
              </w:divBdr>
            </w:div>
            <w:div w:id="1228996874">
              <w:marLeft w:val="0"/>
              <w:marRight w:val="0"/>
              <w:marTop w:val="0"/>
              <w:marBottom w:val="0"/>
              <w:divBdr>
                <w:top w:val="none" w:sz="0" w:space="0" w:color="auto"/>
                <w:left w:val="none" w:sz="0" w:space="0" w:color="auto"/>
                <w:bottom w:val="none" w:sz="0" w:space="0" w:color="auto"/>
                <w:right w:val="none" w:sz="0" w:space="0" w:color="auto"/>
              </w:divBdr>
            </w:div>
            <w:div w:id="1782727506">
              <w:marLeft w:val="0"/>
              <w:marRight w:val="0"/>
              <w:marTop w:val="0"/>
              <w:marBottom w:val="0"/>
              <w:divBdr>
                <w:top w:val="none" w:sz="0" w:space="0" w:color="auto"/>
                <w:left w:val="none" w:sz="0" w:space="0" w:color="auto"/>
                <w:bottom w:val="none" w:sz="0" w:space="0" w:color="auto"/>
                <w:right w:val="none" w:sz="0" w:space="0" w:color="auto"/>
              </w:divBdr>
            </w:div>
            <w:div w:id="1085112182">
              <w:marLeft w:val="0"/>
              <w:marRight w:val="0"/>
              <w:marTop w:val="0"/>
              <w:marBottom w:val="0"/>
              <w:divBdr>
                <w:top w:val="none" w:sz="0" w:space="0" w:color="auto"/>
                <w:left w:val="none" w:sz="0" w:space="0" w:color="auto"/>
                <w:bottom w:val="none" w:sz="0" w:space="0" w:color="auto"/>
                <w:right w:val="none" w:sz="0" w:space="0" w:color="auto"/>
              </w:divBdr>
            </w:div>
            <w:div w:id="1959724410">
              <w:marLeft w:val="0"/>
              <w:marRight w:val="0"/>
              <w:marTop w:val="0"/>
              <w:marBottom w:val="0"/>
              <w:divBdr>
                <w:top w:val="none" w:sz="0" w:space="0" w:color="auto"/>
                <w:left w:val="none" w:sz="0" w:space="0" w:color="auto"/>
                <w:bottom w:val="none" w:sz="0" w:space="0" w:color="auto"/>
                <w:right w:val="none" w:sz="0" w:space="0" w:color="auto"/>
              </w:divBdr>
            </w:div>
            <w:div w:id="745228350">
              <w:marLeft w:val="0"/>
              <w:marRight w:val="0"/>
              <w:marTop w:val="0"/>
              <w:marBottom w:val="0"/>
              <w:divBdr>
                <w:top w:val="none" w:sz="0" w:space="0" w:color="auto"/>
                <w:left w:val="none" w:sz="0" w:space="0" w:color="auto"/>
                <w:bottom w:val="none" w:sz="0" w:space="0" w:color="auto"/>
                <w:right w:val="none" w:sz="0" w:space="0" w:color="auto"/>
              </w:divBdr>
            </w:div>
            <w:div w:id="340546655">
              <w:marLeft w:val="0"/>
              <w:marRight w:val="0"/>
              <w:marTop w:val="0"/>
              <w:marBottom w:val="0"/>
              <w:divBdr>
                <w:top w:val="none" w:sz="0" w:space="0" w:color="auto"/>
                <w:left w:val="none" w:sz="0" w:space="0" w:color="auto"/>
                <w:bottom w:val="none" w:sz="0" w:space="0" w:color="auto"/>
                <w:right w:val="none" w:sz="0" w:space="0" w:color="auto"/>
              </w:divBdr>
            </w:div>
            <w:div w:id="1779443266">
              <w:marLeft w:val="0"/>
              <w:marRight w:val="0"/>
              <w:marTop w:val="0"/>
              <w:marBottom w:val="0"/>
              <w:divBdr>
                <w:top w:val="none" w:sz="0" w:space="0" w:color="auto"/>
                <w:left w:val="none" w:sz="0" w:space="0" w:color="auto"/>
                <w:bottom w:val="none" w:sz="0" w:space="0" w:color="auto"/>
                <w:right w:val="none" w:sz="0" w:space="0" w:color="auto"/>
              </w:divBdr>
            </w:div>
            <w:div w:id="1212379690">
              <w:marLeft w:val="0"/>
              <w:marRight w:val="0"/>
              <w:marTop w:val="0"/>
              <w:marBottom w:val="0"/>
              <w:divBdr>
                <w:top w:val="none" w:sz="0" w:space="0" w:color="auto"/>
                <w:left w:val="none" w:sz="0" w:space="0" w:color="auto"/>
                <w:bottom w:val="none" w:sz="0" w:space="0" w:color="auto"/>
                <w:right w:val="none" w:sz="0" w:space="0" w:color="auto"/>
              </w:divBdr>
            </w:div>
            <w:div w:id="1458448078">
              <w:marLeft w:val="0"/>
              <w:marRight w:val="0"/>
              <w:marTop w:val="0"/>
              <w:marBottom w:val="0"/>
              <w:divBdr>
                <w:top w:val="none" w:sz="0" w:space="0" w:color="auto"/>
                <w:left w:val="none" w:sz="0" w:space="0" w:color="auto"/>
                <w:bottom w:val="none" w:sz="0" w:space="0" w:color="auto"/>
                <w:right w:val="none" w:sz="0" w:space="0" w:color="auto"/>
              </w:divBdr>
            </w:div>
            <w:div w:id="1021541968">
              <w:marLeft w:val="0"/>
              <w:marRight w:val="0"/>
              <w:marTop w:val="0"/>
              <w:marBottom w:val="0"/>
              <w:divBdr>
                <w:top w:val="none" w:sz="0" w:space="0" w:color="auto"/>
                <w:left w:val="none" w:sz="0" w:space="0" w:color="auto"/>
                <w:bottom w:val="none" w:sz="0" w:space="0" w:color="auto"/>
                <w:right w:val="none" w:sz="0" w:space="0" w:color="auto"/>
              </w:divBdr>
            </w:div>
            <w:div w:id="1929582004">
              <w:marLeft w:val="0"/>
              <w:marRight w:val="0"/>
              <w:marTop w:val="0"/>
              <w:marBottom w:val="0"/>
              <w:divBdr>
                <w:top w:val="none" w:sz="0" w:space="0" w:color="auto"/>
                <w:left w:val="none" w:sz="0" w:space="0" w:color="auto"/>
                <w:bottom w:val="none" w:sz="0" w:space="0" w:color="auto"/>
                <w:right w:val="none" w:sz="0" w:space="0" w:color="auto"/>
              </w:divBdr>
            </w:div>
            <w:div w:id="740952529">
              <w:marLeft w:val="0"/>
              <w:marRight w:val="0"/>
              <w:marTop w:val="0"/>
              <w:marBottom w:val="0"/>
              <w:divBdr>
                <w:top w:val="none" w:sz="0" w:space="0" w:color="auto"/>
                <w:left w:val="none" w:sz="0" w:space="0" w:color="auto"/>
                <w:bottom w:val="none" w:sz="0" w:space="0" w:color="auto"/>
                <w:right w:val="none" w:sz="0" w:space="0" w:color="auto"/>
              </w:divBdr>
            </w:div>
            <w:div w:id="725372387">
              <w:marLeft w:val="0"/>
              <w:marRight w:val="0"/>
              <w:marTop w:val="0"/>
              <w:marBottom w:val="0"/>
              <w:divBdr>
                <w:top w:val="none" w:sz="0" w:space="0" w:color="auto"/>
                <w:left w:val="none" w:sz="0" w:space="0" w:color="auto"/>
                <w:bottom w:val="none" w:sz="0" w:space="0" w:color="auto"/>
                <w:right w:val="none" w:sz="0" w:space="0" w:color="auto"/>
              </w:divBdr>
            </w:div>
            <w:div w:id="533075775">
              <w:marLeft w:val="0"/>
              <w:marRight w:val="0"/>
              <w:marTop w:val="0"/>
              <w:marBottom w:val="0"/>
              <w:divBdr>
                <w:top w:val="none" w:sz="0" w:space="0" w:color="auto"/>
                <w:left w:val="none" w:sz="0" w:space="0" w:color="auto"/>
                <w:bottom w:val="none" w:sz="0" w:space="0" w:color="auto"/>
                <w:right w:val="none" w:sz="0" w:space="0" w:color="auto"/>
              </w:divBdr>
            </w:div>
            <w:div w:id="1319458103">
              <w:marLeft w:val="0"/>
              <w:marRight w:val="0"/>
              <w:marTop w:val="0"/>
              <w:marBottom w:val="0"/>
              <w:divBdr>
                <w:top w:val="none" w:sz="0" w:space="0" w:color="auto"/>
                <w:left w:val="none" w:sz="0" w:space="0" w:color="auto"/>
                <w:bottom w:val="none" w:sz="0" w:space="0" w:color="auto"/>
                <w:right w:val="none" w:sz="0" w:space="0" w:color="auto"/>
              </w:divBdr>
            </w:div>
            <w:div w:id="766460208">
              <w:marLeft w:val="0"/>
              <w:marRight w:val="0"/>
              <w:marTop w:val="0"/>
              <w:marBottom w:val="0"/>
              <w:divBdr>
                <w:top w:val="none" w:sz="0" w:space="0" w:color="auto"/>
                <w:left w:val="none" w:sz="0" w:space="0" w:color="auto"/>
                <w:bottom w:val="none" w:sz="0" w:space="0" w:color="auto"/>
                <w:right w:val="none" w:sz="0" w:space="0" w:color="auto"/>
              </w:divBdr>
            </w:div>
            <w:div w:id="1997492888">
              <w:marLeft w:val="0"/>
              <w:marRight w:val="0"/>
              <w:marTop w:val="0"/>
              <w:marBottom w:val="0"/>
              <w:divBdr>
                <w:top w:val="none" w:sz="0" w:space="0" w:color="auto"/>
                <w:left w:val="none" w:sz="0" w:space="0" w:color="auto"/>
                <w:bottom w:val="none" w:sz="0" w:space="0" w:color="auto"/>
                <w:right w:val="none" w:sz="0" w:space="0" w:color="auto"/>
              </w:divBdr>
            </w:div>
            <w:div w:id="907763918">
              <w:marLeft w:val="0"/>
              <w:marRight w:val="0"/>
              <w:marTop w:val="0"/>
              <w:marBottom w:val="0"/>
              <w:divBdr>
                <w:top w:val="none" w:sz="0" w:space="0" w:color="auto"/>
                <w:left w:val="none" w:sz="0" w:space="0" w:color="auto"/>
                <w:bottom w:val="none" w:sz="0" w:space="0" w:color="auto"/>
                <w:right w:val="none" w:sz="0" w:space="0" w:color="auto"/>
              </w:divBdr>
            </w:div>
            <w:div w:id="1861510545">
              <w:marLeft w:val="0"/>
              <w:marRight w:val="0"/>
              <w:marTop w:val="0"/>
              <w:marBottom w:val="0"/>
              <w:divBdr>
                <w:top w:val="none" w:sz="0" w:space="0" w:color="auto"/>
                <w:left w:val="none" w:sz="0" w:space="0" w:color="auto"/>
                <w:bottom w:val="none" w:sz="0" w:space="0" w:color="auto"/>
                <w:right w:val="none" w:sz="0" w:space="0" w:color="auto"/>
              </w:divBdr>
            </w:div>
            <w:div w:id="284240512">
              <w:marLeft w:val="0"/>
              <w:marRight w:val="0"/>
              <w:marTop w:val="0"/>
              <w:marBottom w:val="0"/>
              <w:divBdr>
                <w:top w:val="none" w:sz="0" w:space="0" w:color="auto"/>
                <w:left w:val="none" w:sz="0" w:space="0" w:color="auto"/>
                <w:bottom w:val="none" w:sz="0" w:space="0" w:color="auto"/>
                <w:right w:val="none" w:sz="0" w:space="0" w:color="auto"/>
              </w:divBdr>
            </w:div>
            <w:div w:id="1929381061">
              <w:marLeft w:val="0"/>
              <w:marRight w:val="0"/>
              <w:marTop w:val="0"/>
              <w:marBottom w:val="0"/>
              <w:divBdr>
                <w:top w:val="none" w:sz="0" w:space="0" w:color="auto"/>
                <w:left w:val="none" w:sz="0" w:space="0" w:color="auto"/>
                <w:bottom w:val="none" w:sz="0" w:space="0" w:color="auto"/>
                <w:right w:val="none" w:sz="0" w:space="0" w:color="auto"/>
              </w:divBdr>
            </w:div>
            <w:div w:id="2127456522">
              <w:marLeft w:val="0"/>
              <w:marRight w:val="0"/>
              <w:marTop w:val="0"/>
              <w:marBottom w:val="0"/>
              <w:divBdr>
                <w:top w:val="none" w:sz="0" w:space="0" w:color="auto"/>
                <w:left w:val="none" w:sz="0" w:space="0" w:color="auto"/>
                <w:bottom w:val="none" w:sz="0" w:space="0" w:color="auto"/>
                <w:right w:val="none" w:sz="0" w:space="0" w:color="auto"/>
              </w:divBdr>
            </w:div>
            <w:div w:id="1048607956">
              <w:marLeft w:val="0"/>
              <w:marRight w:val="0"/>
              <w:marTop w:val="0"/>
              <w:marBottom w:val="0"/>
              <w:divBdr>
                <w:top w:val="none" w:sz="0" w:space="0" w:color="auto"/>
                <w:left w:val="none" w:sz="0" w:space="0" w:color="auto"/>
                <w:bottom w:val="none" w:sz="0" w:space="0" w:color="auto"/>
                <w:right w:val="none" w:sz="0" w:space="0" w:color="auto"/>
              </w:divBdr>
            </w:div>
            <w:div w:id="21053474">
              <w:marLeft w:val="0"/>
              <w:marRight w:val="0"/>
              <w:marTop w:val="0"/>
              <w:marBottom w:val="0"/>
              <w:divBdr>
                <w:top w:val="none" w:sz="0" w:space="0" w:color="auto"/>
                <w:left w:val="none" w:sz="0" w:space="0" w:color="auto"/>
                <w:bottom w:val="none" w:sz="0" w:space="0" w:color="auto"/>
                <w:right w:val="none" w:sz="0" w:space="0" w:color="auto"/>
              </w:divBdr>
            </w:div>
            <w:div w:id="1996294817">
              <w:marLeft w:val="0"/>
              <w:marRight w:val="0"/>
              <w:marTop w:val="0"/>
              <w:marBottom w:val="0"/>
              <w:divBdr>
                <w:top w:val="none" w:sz="0" w:space="0" w:color="auto"/>
                <w:left w:val="none" w:sz="0" w:space="0" w:color="auto"/>
                <w:bottom w:val="none" w:sz="0" w:space="0" w:color="auto"/>
                <w:right w:val="none" w:sz="0" w:space="0" w:color="auto"/>
              </w:divBdr>
            </w:div>
            <w:div w:id="1108699717">
              <w:marLeft w:val="0"/>
              <w:marRight w:val="0"/>
              <w:marTop w:val="0"/>
              <w:marBottom w:val="0"/>
              <w:divBdr>
                <w:top w:val="none" w:sz="0" w:space="0" w:color="auto"/>
                <w:left w:val="none" w:sz="0" w:space="0" w:color="auto"/>
                <w:bottom w:val="none" w:sz="0" w:space="0" w:color="auto"/>
                <w:right w:val="none" w:sz="0" w:space="0" w:color="auto"/>
              </w:divBdr>
            </w:div>
            <w:div w:id="117800029">
              <w:marLeft w:val="0"/>
              <w:marRight w:val="0"/>
              <w:marTop w:val="0"/>
              <w:marBottom w:val="0"/>
              <w:divBdr>
                <w:top w:val="none" w:sz="0" w:space="0" w:color="auto"/>
                <w:left w:val="none" w:sz="0" w:space="0" w:color="auto"/>
                <w:bottom w:val="none" w:sz="0" w:space="0" w:color="auto"/>
                <w:right w:val="none" w:sz="0" w:space="0" w:color="auto"/>
              </w:divBdr>
            </w:div>
            <w:div w:id="550071942">
              <w:marLeft w:val="0"/>
              <w:marRight w:val="0"/>
              <w:marTop w:val="0"/>
              <w:marBottom w:val="0"/>
              <w:divBdr>
                <w:top w:val="none" w:sz="0" w:space="0" w:color="auto"/>
                <w:left w:val="none" w:sz="0" w:space="0" w:color="auto"/>
                <w:bottom w:val="none" w:sz="0" w:space="0" w:color="auto"/>
                <w:right w:val="none" w:sz="0" w:space="0" w:color="auto"/>
              </w:divBdr>
            </w:div>
            <w:div w:id="686298053">
              <w:marLeft w:val="0"/>
              <w:marRight w:val="0"/>
              <w:marTop w:val="0"/>
              <w:marBottom w:val="0"/>
              <w:divBdr>
                <w:top w:val="none" w:sz="0" w:space="0" w:color="auto"/>
                <w:left w:val="none" w:sz="0" w:space="0" w:color="auto"/>
                <w:bottom w:val="none" w:sz="0" w:space="0" w:color="auto"/>
                <w:right w:val="none" w:sz="0" w:space="0" w:color="auto"/>
              </w:divBdr>
            </w:div>
            <w:div w:id="130635178">
              <w:marLeft w:val="0"/>
              <w:marRight w:val="0"/>
              <w:marTop w:val="0"/>
              <w:marBottom w:val="0"/>
              <w:divBdr>
                <w:top w:val="none" w:sz="0" w:space="0" w:color="auto"/>
                <w:left w:val="none" w:sz="0" w:space="0" w:color="auto"/>
                <w:bottom w:val="none" w:sz="0" w:space="0" w:color="auto"/>
                <w:right w:val="none" w:sz="0" w:space="0" w:color="auto"/>
              </w:divBdr>
            </w:div>
            <w:div w:id="1991590109">
              <w:marLeft w:val="0"/>
              <w:marRight w:val="0"/>
              <w:marTop w:val="0"/>
              <w:marBottom w:val="0"/>
              <w:divBdr>
                <w:top w:val="none" w:sz="0" w:space="0" w:color="auto"/>
                <w:left w:val="none" w:sz="0" w:space="0" w:color="auto"/>
                <w:bottom w:val="none" w:sz="0" w:space="0" w:color="auto"/>
                <w:right w:val="none" w:sz="0" w:space="0" w:color="auto"/>
              </w:divBdr>
            </w:div>
            <w:div w:id="2007711071">
              <w:marLeft w:val="0"/>
              <w:marRight w:val="0"/>
              <w:marTop w:val="0"/>
              <w:marBottom w:val="0"/>
              <w:divBdr>
                <w:top w:val="none" w:sz="0" w:space="0" w:color="auto"/>
                <w:left w:val="none" w:sz="0" w:space="0" w:color="auto"/>
                <w:bottom w:val="none" w:sz="0" w:space="0" w:color="auto"/>
                <w:right w:val="none" w:sz="0" w:space="0" w:color="auto"/>
              </w:divBdr>
            </w:div>
            <w:div w:id="112067192">
              <w:marLeft w:val="0"/>
              <w:marRight w:val="0"/>
              <w:marTop w:val="0"/>
              <w:marBottom w:val="0"/>
              <w:divBdr>
                <w:top w:val="none" w:sz="0" w:space="0" w:color="auto"/>
                <w:left w:val="none" w:sz="0" w:space="0" w:color="auto"/>
                <w:bottom w:val="none" w:sz="0" w:space="0" w:color="auto"/>
                <w:right w:val="none" w:sz="0" w:space="0" w:color="auto"/>
              </w:divBdr>
            </w:div>
            <w:div w:id="1021736999">
              <w:marLeft w:val="0"/>
              <w:marRight w:val="0"/>
              <w:marTop w:val="0"/>
              <w:marBottom w:val="0"/>
              <w:divBdr>
                <w:top w:val="none" w:sz="0" w:space="0" w:color="auto"/>
                <w:left w:val="none" w:sz="0" w:space="0" w:color="auto"/>
                <w:bottom w:val="none" w:sz="0" w:space="0" w:color="auto"/>
                <w:right w:val="none" w:sz="0" w:space="0" w:color="auto"/>
              </w:divBdr>
            </w:div>
            <w:div w:id="587077749">
              <w:marLeft w:val="0"/>
              <w:marRight w:val="0"/>
              <w:marTop w:val="0"/>
              <w:marBottom w:val="0"/>
              <w:divBdr>
                <w:top w:val="none" w:sz="0" w:space="0" w:color="auto"/>
                <w:left w:val="none" w:sz="0" w:space="0" w:color="auto"/>
                <w:bottom w:val="none" w:sz="0" w:space="0" w:color="auto"/>
                <w:right w:val="none" w:sz="0" w:space="0" w:color="auto"/>
              </w:divBdr>
            </w:div>
            <w:div w:id="1516385747">
              <w:marLeft w:val="0"/>
              <w:marRight w:val="0"/>
              <w:marTop w:val="0"/>
              <w:marBottom w:val="0"/>
              <w:divBdr>
                <w:top w:val="none" w:sz="0" w:space="0" w:color="auto"/>
                <w:left w:val="none" w:sz="0" w:space="0" w:color="auto"/>
                <w:bottom w:val="none" w:sz="0" w:space="0" w:color="auto"/>
                <w:right w:val="none" w:sz="0" w:space="0" w:color="auto"/>
              </w:divBdr>
            </w:div>
            <w:div w:id="49034672">
              <w:marLeft w:val="0"/>
              <w:marRight w:val="0"/>
              <w:marTop w:val="0"/>
              <w:marBottom w:val="0"/>
              <w:divBdr>
                <w:top w:val="none" w:sz="0" w:space="0" w:color="auto"/>
                <w:left w:val="none" w:sz="0" w:space="0" w:color="auto"/>
                <w:bottom w:val="none" w:sz="0" w:space="0" w:color="auto"/>
                <w:right w:val="none" w:sz="0" w:space="0" w:color="auto"/>
              </w:divBdr>
            </w:div>
            <w:div w:id="1079212870">
              <w:marLeft w:val="0"/>
              <w:marRight w:val="0"/>
              <w:marTop w:val="0"/>
              <w:marBottom w:val="0"/>
              <w:divBdr>
                <w:top w:val="none" w:sz="0" w:space="0" w:color="auto"/>
                <w:left w:val="none" w:sz="0" w:space="0" w:color="auto"/>
                <w:bottom w:val="none" w:sz="0" w:space="0" w:color="auto"/>
                <w:right w:val="none" w:sz="0" w:space="0" w:color="auto"/>
              </w:divBdr>
            </w:div>
            <w:div w:id="1559705541">
              <w:marLeft w:val="0"/>
              <w:marRight w:val="0"/>
              <w:marTop w:val="0"/>
              <w:marBottom w:val="0"/>
              <w:divBdr>
                <w:top w:val="none" w:sz="0" w:space="0" w:color="auto"/>
                <w:left w:val="none" w:sz="0" w:space="0" w:color="auto"/>
                <w:bottom w:val="none" w:sz="0" w:space="0" w:color="auto"/>
                <w:right w:val="none" w:sz="0" w:space="0" w:color="auto"/>
              </w:divBdr>
            </w:div>
            <w:div w:id="698090748">
              <w:marLeft w:val="0"/>
              <w:marRight w:val="0"/>
              <w:marTop w:val="0"/>
              <w:marBottom w:val="0"/>
              <w:divBdr>
                <w:top w:val="none" w:sz="0" w:space="0" w:color="auto"/>
                <w:left w:val="none" w:sz="0" w:space="0" w:color="auto"/>
                <w:bottom w:val="none" w:sz="0" w:space="0" w:color="auto"/>
                <w:right w:val="none" w:sz="0" w:space="0" w:color="auto"/>
              </w:divBdr>
            </w:div>
            <w:div w:id="961770349">
              <w:marLeft w:val="0"/>
              <w:marRight w:val="0"/>
              <w:marTop w:val="0"/>
              <w:marBottom w:val="0"/>
              <w:divBdr>
                <w:top w:val="none" w:sz="0" w:space="0" w:color="auto"/>
                <w:left w:val="none" w:sz="0" w:space="0" w:color="auto"/>
                <w:bottom w:val="none" w:sz="0" w:space="0" w:color="auto"/>
                <w:right w:val="none" w:sz="0" w:space="0" w:color="auto"/>
              </w:divBdr>
            </w:div>
            <w:div w:id="1012728800">
              <w:marLeft w:val="0"/>
              <w:marRight w:val="0"/>
              <w:marTop w:val="0"/>
              <w:marBottom w:val="0"/>
              <w:divBdr>
                <w:top w:val="none" w:sz="0" w:space="0" w:color="auto"/>
                <w:left w:val="none" w:sz="0" w:space="0" w:color="auto"/>
                <w:bottom w:val="none" w:sz="0" w:space="0" w:color="auto"/>
                <w:right w:val="none" w:sz="0" w:space="0" w:color="auto"/>
              </w:divBdr>
            </w:div>
            <w:div w:id="928583697">
              <w:marLeft w:val="0"/>
              <w:marRight w:val="0"/>
              <w:marTop w:val="0"/>
              <w:marBottom w:val="0"/>
              <w:divBdr>
                <w:top w:val="none" w:sz="0" w:space="0" w:color="auto"/>
                <w:left w:val="none" w:sz="0" w:space="0" w:color="auto"/>
                <w:bottom w:val="none" w:sz="0" w:space="0" w:color="auto"/>
                <w:right w:val="none" w:sz="0" w:space="0" w:color="auto"/>
              </w:divBdr>
            </w:div>
            <w:div w:id="1942294513">
              <w:marLeft w:val="0"/>
              <w:marRight w:val="0"/>
              <w:marTop w:val="0"/>
              <w:marBottom w:val="0"/>
              <w:divBdr>
                <w:top w:val="none" w:sz="0" w:space="0" w:color="auto"/>
                <w:left w:val="none" w:sz="0" w:space="0" w:color="auto"/>
                <w:bottom w:val="none" w:sz="0" w:space="0" w:color="auto"/>
                <w:right w:val="none" w:sz="0" w:space="0" w:color="auto"/>
              </w:divBdr>
            </w:div>
            <w:div w:id="203521860">
              <w:marLeft w:val="0"/>
              <w:marRight w:val="0"/>
              <w:marTop w:val="0"/>
              <w:marBottom w:val="0"/>
              <w:divBdr>
                <w:top w:val="none" w:sz="0" w:space="0" w:color="auto"/>
                <w:left w:val="none" w:sz="0" w:space="0" w:color="auto"/>
                <w:bottom w:val="none" w:sz="0" w:space="0" w:color="auto"/>
                <w:right w:val="none" w:sz="0" w:space="0" w:color="auto"/>
              </w:divBdr>
            </w:div>
            <w:div w:id="4862797">
              <w:marLeft w:val="0"/>
              <w:marRight w:val="0"/>
              <w:marTop w:val="0"/>
              <w:marBottom w:val="0"/>
              <w:divBdr>
                <w:top w:val="none" w:sz="0" w:space="0" w:color="auto"/>
                <w:left w:val="none" w:sz="0" w:space="0" w:color="auto"/>
                <w:bottom w:val="none" w:sz="0" w:space="0" w:color="auto"/>
                <w:right w:val="none" w:sz="0" w:space="0" w:color="auto"/>
              </w:divBdr>
            </w:div>
            <w:div w:id="615481200">
              <w:marLeft w:val="0"/>
              <w:marRight w:val="0"/>
              <w:marTop w:val="0"/>
              <w:marBottom w:val="0"/>
              <w:divBdr>
                <w:top w:val="none" w:sz="0" w:space="0" w:color="auto"/>
                <w:left w:val="none" w:sz="0" w:space="0" w:color="auto"/>
                <w:bottom w:val="none" w:sz="0" w:space="0" w:color="auto"/>
                <w:right w:val="none" w:sz="0" w:space="0" w:color="auto"/>
              </w:divBdr>
            </w:div>
            <w:div w:id="217866673">
              <w:marLeft w:val="0"/>
              <w:marRight w:val="0"/>
              <w:marTop w:val="0"/>
              <w:marBottom w:val="0"/>
              <w:divBdr>
                <w:top w:val="none" w:sz="0" w:space="0" w:color="auto"/>
                <w:left w:val="none" w:sz="0" w:space="0" w:color="auto"/>
                <w:bottom w:val="none" w:sz="0" w:space="0" w:color="auto"/>
                <w:right w:val="none" w:sz="0" w:space="0" w:color="auto"/>
              </w:divBdr>
            </w:div>
            <w:div w:id="1655329184">
              <w:marLeft w:val="0"/>
              <w:marRight w:val="0"/>
              <w:marTop w:val="0"/>
              <w:marBottom w:val="0"/>
              <w:divBdr>
                <w:top w:val="none" w:sz="0" w:space="0" w:color="auto"/>
                <w:left w:val="none" w:sz="0" w:space="0" w:color="auto"/>
                <w:bottom w:val="none" w:sz="0" w:space="0" w:color="auto"/>
                <w:right w:val="none" w:sz="0" w:space="0" w:color="auto"/>
              </w:divBdr>
            </w:div>
            <w:div w:id="308444765">
              <w:marLeft w:val="0"/>
              <w:marRight w:val="0"/>
              <w:marTop w:val="0"/>
              <w:marBottom w:val="0"/>
              <w:divBdr>
                <w:top w:val="none" w:sz="0" w:space="0" w:color="auto"/>
                <w:left w:val="none" w:sz="0" w:space="0" w:color="auto"/>
                <w:bottom w:val="none" w:sz="0" w:space="0" w:color="auto"/>
                <w:right w:val="none" w:sz="0" w:space="0" w:color="auto"/>
              </w:divBdr>
            </w:div>
            <w:div w:id="1489202089">
              <w:marLeft w:val="0"/>
              <w:marRight w:val="0"/>
              <w:marTop w:val="0"/>
              <w:marBottom w:val="0"/>
              <w:divBdr>
                <w:top w:val="none" w:sz="0" w:space="0" w:color="auto"/>
                <w:left w:val="none" w:sz="0" w:space="0" w:color="auto"/>
                <w:bottom w:val="none" w:sz="0" w:space="0" w:color="auto"/>
                <w:right w:val="none" w:sz="0" w:space="0" w:color="auto"/>
              </w:divBdr>
            </w:div>
            <w:div w:id="1630017543">
              <w:marLeft w:val="0"/>
              <w:marRight w:val="0"/>
              <w:marTop w:val="0"/>
              <w:marBottom w:val="0"/>
              <w:divBdr>
                <w:top w:val="none" w:sz="0" w:space="0" w:color="auto"/>
                <w:left w:val="none" w:sz="0" w:space="0" w:color="auto"/>
                <w:bottom w:val="none" w:sz="0" w:space="0" w:color="auto"/>
                <w:right w:val="none" w:sz="0" w:space="0" w:color="auto"/>
              </w:divBdr>
            </w:div>
            <w:div w:id="1231162008">
              <w:marLeft w:val="0"/>
              <w:marRight w:val="0"/>
              <w:marTop w:val="0"/>
              <w:marBottom w:val="0"/>
              <w:divBdr>
                <w:top w:val="none" w:sz="0" w:space="0" w:color="auto"/>
                <w:left w:val="none" w:sz="0" w:space="0" w:color="auto"/>
                <w:bottom w:val="none" w:sz="0" w:space="0" w:color="auto"/>
                <w:right w:val="none" w:sz="0" w:space="0" w:color="auto"/>
              </w:divBdr>
            </w:div>
            <w:div w:id="2119595918">
              <w:marLeft w:val="0"/>
              <w:marRight w:val="0"/>
              <w:marTop w:val="0"/>
              <w:marBottom w:val="0"/>
              <w:divBdr>
                <w:top w:val="none" w:sz="0" w:space="0" w:color="auto"/>
                <w:left w:val="none" w:sz="0" w:space="0" w:color="auto"/>
                <w:bottom w:val="none" w:sz="0" w:space="0" w:color="auto"/>
                <w:right w:val="none" w:sz="0" w:space="0" w:color="auto"/>
              </w:divBdr>
            </w:div>
            <w:div w:id="959531487">
              <w:marLeft w:val="0"/>
              <w:marRight w:val="0"/>
              <w:marTop w:val="0"/>
              <w:marBottom w:val="0"/>
              <w:divBdr>
                <w:top w:val="none" w:sz="0" w:space="0" w:color="auto"/>
                <w:left w:val="none" w:sz="0" w:space="0" w:color="auto"/>
                <w:bottom w:val="none" w:sz="0" w:space="0" w:color="auto"/>
                <w:right w:val="none" w:sz="0" w:space="0" w:color="auto"/>
              </w:divBdr>
            </w:div>
            <w:div w:id="289628513">
              <w:marLeft w:val="0"/>
              <w:marRight w:val="0"/>
              <w:marTop w:val="0"/>
              <w:marBottom w:val="0"/>
              <w:divBdr>
                <w:top w:val="none" w:sz="0" w:space="0" w:color="auto"/>
                <w:left w:val="none" w:sz="0" w:space="0" w:color="auto"/>
                <w:bottom w:val="none" w:sz="0" w:space="0" w:color="auto"/>
                <w:right w:val="none" w:sz="0" w:space="0" w:color="auto"/>
              </w:divBdr>
            </w:div>
            <w:div w:id="1734501242">
              <w:marLeft w:val="0"/>
              <w:marRight w:val="0"/>
              <w:marTop w:val="0"/>
              <w:marBottom w:val="0"/>
              <w:divBdr>
                <w:top w:val="none" w:sz="0" w:space="0" w:color="auto"/>
                <w:left w:val="none" w:sz="0" w:space="0" w:color="auto"/>
                <w:bottom w:val="none" w:sz="0" w:space="0" w:color="auto"/>
                <w:right w:val="none" w:sz="0" w:space="0" w:color="auto"/>
              </w:divBdr>
            </w:div>
            <w:div w:id="1595625516">
              <w:marLeft w:val="0"/>
              <w:marRight w:val="0"/>
              <w:marTop w:val="0"/>
              <w:marBottom w:val="0"/>
              <w:divBdr>
                <w:top w:val="none" w:sz="0" w:space="0" w:color="auto"/>
                <w:left w:val="none" w:sz="0" w:space="0" w:color="auto"/>
                <w:bottom w:val="none" w:sz="0" w:space="0" w:color="auto"/>
                <w:right w:val="none" w:sz="0" w:space="0" w:color="auto"/>
              </w:divBdr>
            </w:div>
            <w:div w:id="1033118602">
              <w:marLeft w:val="0"/>
              <w:marRight w:val="0"/>
              <w:marTop w:val="0"/>
              <w:marBottom w:val="0"/>
              <w:divBdr>
                <w:top w:val="none" w:sz="0" w:space="0" w:color="auto"/>
                <w:left w:val="none" w:sz="0" w:space="0" w:color="auto"/>
                <w:bottom w:val="none" w:sz="0" w:space="0" w:color="auto"/>
                <w:right w:val="none" w:sz="0" w:space="0" w:color="auto"/>
              </w:divBdr>
            </w:div>
            <w:div w:id="142240225">
              <w:marLeft w:val="0"/>
              <w:marRight w:val="0"/>
              <w:marTop w:val="0"/>
              <w:marBottom w:val="0"/>
              <w:divBdr>
                <w:top w:val="none" w:sz="0" w:space="0" w:color="auto"/>
                <w:left w:val="none" w:sz="0" w:space="0" w:color="auto"/>
                <w:bottom w:val="none" w:sz="0" w:space="0" w:color="auto"/>
                <w:right w:val="none" w:sz="0" w:space="0" w:color="auto"/>
              </w:divBdr>
            </w:div>
            <w:div w:id="72821961">
              <w:marLeft w:val="0"/>
              <w:marRight w:val="0"/>
              <w:marTop w:val="0"/>
              <w:marBottom w:val="0"/>
              <w:divBdr>
                <w:top w:val="none" w:sz="0" w:space="0" w:color="auto"/>
                <w:left w:val="none" w:sz="0" w:space="0" w:color="auto"/>
                <w:bottom w:val="none" w:sz="0" w:space="0" w:color="auto"/>
                <w:right w:val="none" w:sz="0" w:space="0" w:color="auto"/>
              </w:divBdr>
            </w:div>
            <w:div w:id="1041789263">
              <w:marLeft w:val="0"/>
              <w:marRight w:val="0"/>
              <w:marTop w:val="0"/>
              <w:marBottom w:val="0"/>
              <w:divBdr>
                <w:top w:val="none" w:sz="0" w:space="0" w:color="auto"/>
                <w:left w:val="none" w:sz="0" w:space="0" w:color="auto"/>
                <w:bottom w:val="none" w:sz="0" w:space="0" w:color="auto"/>
                <w:right w:val="none" w:sz="0" w:space="0" w:color="auto"/>
              </w:divBdr>
            </w:div>
            <w:div w:id="490414946">
              <w:marLeft w:val="0"/>
              <w:marRight w:val="0"/>
              <w:marTop w:val="0"/>
              <w:marBottom w:val="0"/>
              <w:divBdr>
                <w:top w:val="none" w:sz="0" w:space="0" w:color="auto"/>
                <w:left w:val="none" w:sz="0" w:space="0" w:color="auto"/>
                <w:bottom w:val="none" w:sz="0" w:space="0" w:color="auto"/>
                <w:right w:val="none" w:sz="0" w:space="0" w:color="auto"/>
              </w:divBdr>
            </w:div>
            <w:div w:id="1854294153">
              <w:marLeft w:val="0"/>
              <w:marRight w:val="0"/>
              <w:marTop w:val="0"/>
              <w:marBottom w:val="0"/>
              <w:divBdr>
                <w:top w:val="none" w:sz="0" w:space="0" w:color="auto"/>
                <w:left w:val="none" w:sz="0" w:space="0" w:color="auto"/>
                <w:bottom w:val="none" w:sz="0" w:space="0" w:color="auto"/>
                <w:right w:val="none" w:sz="0" w:space="0" w:color="auto"/>
              </w:divBdr>
            </w:div>
            <w:div w:id="1011375432">
              <w:marLeft w:val="0"/>
              <w:marRight w:val="0"/>
              <w:marTop w:val="0"/>
              <w:marBottom w:val="0"/>
              <w:divBdr>
                <w:top w:val="none" w:sz="0" w:space="0" w:color="auto"/>
                <w:left w:val="none" w:sz="0" w:space="0" w:color="auto"/>
                <w:bottom w:val="none" w:sz="0" w:space="0" w:color="auto"/>
                <w:right w:val="none" w:sz="0" w:space="0" w:color="auto"/>
              </w:divBdr>
            </w:div>
            <w:div w:id="636498291">
              <w:marLeft w:val="0"/>
              <w:marRight w:val="0"/>
              <w:marTop w:val="0"/>
              <w:marBottom w:val="0"/>
              <w:divBdr>
                <w:top w:val="none" w:sz="0" w:space="0" w:color="auto"/>
                <w:left w:val="none" w:sz="0" w:space="0" w:color="auto"/>
                <w:bottom w:val="none" w:sz="0" w:space="0" w:color="auto"/>
                <w:right w:val="none" w:sz="0" w:space="0" w:color="auto"/>
              </w:divBdr>
            </w:div>
            <w:div w:id="739986612">
              <w:marLeft w:val="0"/>
              <w:marRight w:val="0"/>
              <w:marTop w:val="0"/>
              <w:marBottom w:val="0"/>
              <w:divBdr>
                <w:top w:val="none" w:sz="0" w:space="0" w:color="auto"/>
                <w:left w:val="none" w:sz="0" w:space="0" w:color="auto"/>
                <w:bottom w:val="none" w:sz="0" w:space="0" w:color="auto"/>
                <w:right w:val="none" w:sz="0" w:space="0" w:color="auto"/>
              </w:divBdr>
            </w:div>
            <w:div w:id="713701113">
              <w:marLeft w:val="0"/>
              <w:marRight w:val="0"/>
              <w:marTop w:val="0"/>
              <w:marBottom w:val="0"/>
              <w:divBdr>
                <w:top w:val="none" w:sz="0" w:space="0" w:color="auto"/>
                <w:left w:val="none" w:sz="0" w:space="0" w:color="auto"/>
                <w:bottom w:val="none" w:sz="0" w:space="0" w:color="auto"/>
                <w:right w:val="none" w:sz="0" w:space="0" w:color="auto"/>
              </w:divBdr>
            </w:div>
            <w:div w:id="76944671">
              <w:marLeft w:val="0"/>
              <w:marRight w:val="0"/>
              <w:marTop w:val="0"/>
              <w:marBottom w:val="0"/>
              <w:divBdr>
                <w:top w:val="none" w:sz="0" w:space="0" w:color="auto"/>
                <w:left w:val="none" w:sz="0" w:space="0" w:color="auto"/>
                <w:bottom w:val="none" w:sz="0" w:space="0" w:color="auto"/>
                <w:right w:val="none" w:sz="0" w:space="0" w:color="auto"/>
              </w:divBdr>
            </w:div>
            <w:div w:id="153349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1143">
      <w:bodyDiv w:val="1"/>
      <w:marLeft w:val="0"/>
      <w:marRight w:val="0"/>
      <w:marTop w:val="0"/>
      <w:marBottom w:val="0"/>
      <w:divBdr>
        <w:top w:val="none" w:sz="0" w:space="0" w:color="auto"/>
        <w:left w:val="none" w:sz="0" w:space="0" w:color="auto"/>
        <w:bottom w:val="none" w:sz="0" w:space="0" w:color="auto"/>
        <w:right w:val="none" w:sz="0" w:space="0" w:color="auto"/>
      </w:divBdr>
      <w:divsChild>
        <w:div w:id="1819568823">
          <w:marLeft w:val="0"/>
          <w:marRight w:val="0"/>
          <w:marTop w:val="0"/>
          <w:marBottom w:val="0"/>
          <w:divBdr>
            <w:top w:val="none" w:sz="0" w:space="0" w:color="auto"/>
            <w:left w:val="none" w:sz="0" w:space="0" w:color="auto"/>
            <w:bottom w:val="none" w:sz="0" w:space="0" w:color="auto"/>
            <w:right w:val="none" w:sz="0" w:space="0" w:color="auto"/>
          </w:divBdr>
        </w:div>
        <w:div w:id="348337949">
          <w:marLeft w:val="0"/>
          <w:marRight w:val="0"/>
          <w:marTop w:val="0"/>
          <w:marBottom w:val="0"/>
          <w:divBdr>
            <w:top w:val="none" w:sz="0" w:space="0" w:color="auto"/>
            <w:left w:val="none" w:sz="0" w:space="0" w:color="auto"/>
            <w:bottom w:val="none" w:sz="0" w:space="0" w:color="auto"/>
            <w:right w:val="none" w:sz="0" w:space="0" w:color="auto"/>
          </w:divBdr>
        </w:div>
        <w:div w:id="1836993478">
          <w:marLeft w:val="0"/>
          <w:marRight w:val="0"/>
          <w:marTop w:val="0"/>
          <w:marBottom w:val="0"/>
          <w:divBdr>
            <w:top w:val="none" w:sz="0" w:space="0" w:color="auto"/>
            <w:left w:val="none" w:sz="0" w:space="0" w:color="auto"/>
            <w:bottom w:val="none" w:sz="0" w:space="0" w:color="auto"/>
            <w:right w:val="none" w:sz="0" w:space="0" w:color="auto"/>
          </w:divBdr>
        </w:div>
        <w:div w:id="238254074">
          <w:marLeft w:val="0"/>
          <w:marRight w:val="0"/>
          <w:marTop w:val="0"/>
          <w:marBottom w:val="0"/>
          <w:divBdr>
            <w:top w:val="none" w:sz="0" w:space="0" w:color="auto"/>
            <w:left w:val="none" w:sz="0" w:space="0" w:color="auto"/>
            <w:bottom w:val="none" w:sz="0" w:space="0" w:color="auto"/>
            <w:right w:val="none" w:sz="0" w:space="0" w:color="auto"/>
          </w:divBdr>
        </w:div>
        <w:div w:id="1335381716">
          <w:marLeft w:val="0"/>
          <w:marRight w:val="0"/>
          <w:marTop w:val="0"/>
          <w:marBottom w:val="0"/>
          <w:divBdr>
            <w:top w:val="none" w:sz="0" w:space="0" w:color="auto"/>
            <w:left w:val="none" w:sz="0" w:space="0" w:color="auto"/>
            <w:bottom w:val="none" w:sz="0" w:space="0" w:color="auto"/>
            <w:right w:val="none" w:sz="0" w:space="0" w:color="auto"/>
          </w:divBdr>
        </w:div>
        <w:div w:id="1071006929">
          <w:marLeft w:val="0"/>
          <w:marRight w:val="0"/>
          <w:marTop w:val="0"/>
          <w:marBottom w:val="0"/>
          <w:divBdr>
            <w:top w:val="none" w:sz="0" w:space="0" w:color="auto"/>
            <w:left w:val="none" w:sz="0" w:space="0" w:color="auto"/>
            <w:bottom w:val="none" w:sz="0" w:space="0" w:color="auto"/>
            <w:right w:val="none" w:sz="0" w:space="0" w:color="auto"/>
          </w:divBdr>
        </w:div>
        <w:div w:id="481194760">
          <w:marLeft w:val="0"/>
          <w:marRight w:val="0"/>
          <w:marTop w:val="0"/>
          <w:marBottom w:val="0"/>
          <w:divBdr>
            <w:top w:val="none" w:sz="0" w:space="0" w:color="auto"/>
            <w:left w:val="none" w:sz="0" w:space="0" w:color="auto"/>
            <w:bottom w:val="none" w:sz="0" w:space="0" w:color="auto"/>
            <w:right w:val="none" w:sz="0" w:space="0" w:color="auto"/>
          </w:divBdr>
        </w:div>
        <w:div w:id="492068609">
          <w:marLeft w:val="0"/>
          <w:marRight w:val="0"/>
          <w:marTop w:val="0"/>
          <w:marBottom w:val="0"/>
          <w:divBdr>
            <w:top w:val="none" w:sz="0" w:space="0" w:color="auto"/>
            <w:left w:val="none" w:sz="0" w:space="0" w:color="auto"/>
            <w:bottom w:val="none" w:sz="0" w:space="0" w:color="auto"/>
            <w:right w:val="none" w:sz="0" w:space="0" w:color="auto"/>
          </w:divBdr>
        </w:div>
        <w:div w:id="1173841852">
          <w:marLeft w:val="0"/>
          <w:marRight w:val="0"/>
          <w:marTop w:val="0"/>
          <w:marBottom w:val="0"/>
          <w:divBdr>
            <w:top w:val="none" w:sz="0" w:space="0" w:color="auto"/>
            <w:left w:val="none" w:sz="0" w:space="0" w:color="auto"/>
            <w:bottom w:val="none" w:sz="0" w:space="0" w:color="auto"/>
            <w:right w:val="none" w:sz="0" w:space="0" w:color="auto"/>
          </w:divBdr>
        </w:div>
        <w:div w:id="1166632786">
          <w:marLeft w:val="0"/>
          <w:marRight w:val="0"/>
          <w:marTop w:val="0"/>
          <w:marBottom w:val="0"/>
          <w:divBdr>
            <w:top w:val="none" w:sz="0" w:space="0" w:color="auto"/>
            <w:left w:val="none" w:sz="0" w:space="0" w:color="auto"/>
            <w:bottom w:val="none" w:sz="0" w:space="0" w:color="auto"/>
            <w:right w:val="none" w:sz="0" w:space="0" w:color="auto"/>
          </w:divBdr>
        </w:div>
        <w:div w:id="1713847829">
          <w:marLeft w:val="0"/>
          <w:marRight w:val="0"/>
          <w:marTop w:val="0"/>
          <w:marBottom w:val="0"/>
          <w:divBdr>
            <w:top w:val="none" w:sz="0" w:space="0" w:color="auto"/>
            <w:left w:val="none" w:sz="0" w:space="0" w:color="auto"/>
            <w:bottom w:val="none" w:sz="0" w:space="0" w:color="auto"/>
            <w:right w:val="none" w:sz="0" w:space="0" w:color="auto"/>
          </w:divBdr>
        </w:div>
        <w:div w:id="1259365283">
          <w:marLeft w:val="0"/>
          <w:marRight w:val="0"/>
          <w:marTop w:val="0"/>
          <w:marBottom w:val="0"/>
          <w:divBdr>
            <w:top w:val="none" w:sz="0" w:space="0" w:color="auto"/>
            <w:left w:val="none" w:sz="0" w:space="0" w:color="auto"/>
            <w:bottom w:val="none" w:sz="0" w:space="0" w:color="auto"/>
            <w:right w:val="none" w:sz="0" w:space="0" w:color="auto"/>
          </w:divBdr>
        </w:div>
        <w:div w:id="188223007">
          <w:marLeft w:val="0"/>
          <w:marRight w:val="0"/>
          <w:marTop w:val="0"/>
          <w:marBottom w:val="0"/>
          <w:divBdr>
            <w:top w:val="none" w:sz="0" w:space="0" w:color="auto"/>
            <w:left w:val="none" w:sz="0" w:space="0" w:color="auto"/>
            <w:bottom w:val="none" w:sz="0" w:space="0" w:color="auto"/>
            <w:right w:val="none" w:sz="0" w:space="0" w:color="auto"/>
          </w:divBdr>
        </w:div>
        <w:div w:id="1438140845">
          <w:marLeft w:val="0"/>
          <w:marRight w:val="0"/>
          <w:marTop w:val="0"/>
          <w:marBottom w:val="0"/>
          <w:divBdr>
            <w:top w:val="none" w:sz="0" w:space="0" w:color="auto"/>
            <w:left w:val="none" w:sz="0" w:space="0" w:color="auto"/>
            <w:bottom w:val="none" w:sz="0" w:space="0" w:color="auto"/>
            <w:right w:val="none" w:sz="0" w:space="0" w:color="auto"/>
          </w:divBdr>
        </w:div>
        <w:div w:id="19824089">
          <w:marLeft w:val="0"/>
          <w:marRight w:val="0"/>
          <w:marTop w:val="0"/>
          <w:marBottom w:val="0"/>
          <w:divBdr>
            <w:top w:val="none" w:sz="0" w:space="0" w:color="auto"/>
            <w:left w:val="none" w:sz="0" w:space="0" w:color="auto"/>
            <w:bottom w:val="none" w:sz="0" w:space="0" w:color="auto"/>
            <w:right w:val="none" w:sz="0" w:space="0" w:color="auto"/>
          </w:divBdr>
        </w:div>
        <w:div w:id="300422897">
          <w:marLeft w:val="0"/>
          <w:marRight w:val="0"/>
          <w:marTop w:val="0"/>
          <w:marBottom w:val="0"/>
          <w:divBdr>
            <w:top w:val="none" w:sz="0" w:space="0" w:color="auto"/>
            <w:left w:val="none" w:sz="0" w:space="0" w:color="auto"/>
            <w:bottom w:val="none" w:sz="0" w:space="0" w:color="auto"/>
            <w:right w:val="none" w:sz="0" w:space="0" w:color="auto"/>
          </w:divBdr>
        </w:div>
        <w:div w:id="920212204">
          <w:marLeft w:val="0"/>
          <w:marRight w:val="0"/>
          <w:marTop w:val="0"/>
          <w:marBottom w:val="0"/>
          <w:divBdr>
            <w:top w:val="none" w:sz="0" w:space="0" w:color="auto"/>
            <w:left w:val="none" w:sz="0" w:space="0" w:color="auto"/>
            <w:bottom w:val="none" w:sz="0" w:space="0" w:color="auto"/>
            <w:right w:val="none" w:sz="0" w:space="0" w:color="auto"/>
          </w:divBdr>
        </w:div>
        <w:div w:id="1315797892">
          <w:marLeft w:val="0"/>
          <w:marRight w:val="0"/>
          <w:marTop w:val="0"/>
          <w:marBottom w:val="0"/>
          <w:divBdr>
            <w:top w:val="none" w:sz="0" w:space="0" w:color="auto"/>
            <w:left w:val="none" w:sz="0" w:space="0" w:color="auto"/>
            <w:bottom w:val="none" w:sz="0" w:space="0" w:color="auto"/>
            <w:right w:val="none" w:sz="0" w:space="0" w:color="auto"/>
          </w:divBdr>
        </w:div>
        <w:div w:id="876890786">
          <w:marLeft w:val="0"/>
          <w:marRight w:val="0"/>
          <w:marTop w:val="0"/>
          <w:marBottom w:val="0"/>
          <w:divBdr>
            <w:top w:val="none" w:sz="0" w:space="0" w:color="auto"/>
            <w:left w:val="none" w:sz="0" w:space="0" w:color="auto"/>
            <w:bottom w:val="none" w:sz="0" w:space="0" w:color="auto"/>
            <w:right w:val="none" w:sz="0" w:space="0" w:color="auto"/>
          </w:divBdr>
        </w:div>
        <w:div w:id="1508324920">
          <w:marLeft w:val="0"/>
          <w:marRight w:val="0"/>
          <w:marTop w:val="0"/>
          <w:marBottom w:val="0"/>
          <w:divBdr>
            <w:top w:val="none" w:sz="0" w:space="0" w:color="auto"/>
            <w:left w:val="none" w:sz="0" w:space="0" w:color="auto"/>
            <w:bottom w:val="none" w:sz="0" w:space="0" w:color="auto"/>
            <w:right w:val="none" w:sz="0" w:space="0" w:color="auto"/>
          </w:divBdr>
        </w:div>
        <w:div w:id="249506277">
          <w:marLeft w:val="0"/>
          <w:marRight w:val="0"/>
          <w:marTop w:val="0"/>
          <w:marBottom w:val="0"/>
          <w:divBdr>
            <w:top w:val="none" w:sz="0" w:space="0" w:color="auto"/>
            <w:left w:val="none" w:sz="0" w:space="0" w:color="auto"/>
            <w:bottom w:val="none" w:sz="0" w:space="0" w:color="auto"/>
            <w:right w:val="none" w:sz="0" w:space="0" w:color="auto"/>
          </w:divBdr>
        </w:div>
        <w:div w:id="1115948124">
          <w:marLeft w:val="0"/>
          <w:marRight w:val="0"/>
          <w:marTop w:val="0"/>
          <w:marBottom w:val="0"/>
          <w:divBdr>
            <w:top w:val="none" w:sz="0" w:space="0" w:color="auto"/>
            <w:left w:val="none" w:sz="0" w:space="0" w:color="auto"/>
            <w:bottom w:val="none" w:sz="0" w:space="0" w:color="auto"/>
            <w:right w:val="none" w:sz="0" w:space="0" w:color="auto"/>
          </w:divBdr>
        </w:div>
        <w:div w:id="1464695308">
          <w:marLeft w:val="0"/>
          <w:marRight w:val="0"/>
          <w:marTop w:val="0"/>
          <w:marBottom w:val="0"/>
          <w:divBdr>
            <w:top w:val="none" w:sz="0" w:space="0" w:color="auto"/>
            <w:left w:val="none" w:sz="0" w:space="0" w:color="auto"/>
            <w:bottom w:val="none" w:sz="0" w:space="0" w:color="auto"/>
            <w:right w:val="none" w:sz="0" w:space="0" w:color="auto"/>
          </w:divBdr>
        </w:div>
        <w:div w:id="1398094063">
          <w:marLeft w:val="0"/>
          <w:marRight w:val="0"/>
          <w:marTop w:val="0"/>
          <w:marBottom w:val="0"/>
          <w:divBdr>
            <w:top w:val="none" w:sz="0" w:space="0" w:color="auto"/>
            <w:left w:val="none" w:sz="0" w:space="0" w:color="auto"/>
            <w:bottom w:val="none" w:sz="0" w:space="0" w:color="auto"/>
            <w:right w:val="none" w:sz="0" w:space="0" w:color="auto"/>
          </w:divBdr>
        </w:div>
        <w:div w:id="1089352497">
          <w:marLeft w:val="0"/>
          <w:marRight w:val="0"/>
          <w:marTop w:val="0"/>
          <w:marBottom w:val="0"/>
          <w:divBdr>
            <w:top w:val="none" w:sz="0" w:space="0" w:color="auto"/>
            <w:left w:val="none" w:sz="0" w:space="0" w:color="auto"/>
            <w:bottom w:val="none" w:sz="0" w:space="0" w:color="auto"/>
            <w:right w:val="none" w:sz="0" w:space="0" w:color="auto"/>
          </w:divBdr>
        </w:div>
        <w:div w:id="111216195">
          <w:marLeft w:val="0"/>
          <w:marRight w:val="0"/>
          <w:marTop w:val="0"/>
          <w:marBottom w:val="0"/>
          <w:divBdr>
            <w:top w:val="none" w:sz="0" w:space="0" w:color="auto"/>
            <w:left w:val="none" w:sz="0" w:space="0" w:color="auto"/>
            <w:bottom w:val="none" w:sz="0" w:space="0" w:color="auto"/>
            <w:right w:val="none" w:sz="0" w:space="0" w:color="auto"/>
          </w:divBdr>
        </w:div>
        <w:div w:id="1215582162">
          <w:marLeft w:val="0"/>
          <w:marRight w:val="0"/>
          <w:marTop w:val="0"/>
          <w:marBottom w:val="0"/>
          <w:divBdr>
            <w:top w:val="none" w:sz="0" w:space="0" w:color="auto"/>
            <w:left w:val="none" w:sz="0" w:space="0" w:color="auto"/>
            <w:bottom w:val="none" w:sz="0" w:space="0" w:color="auto"/>
            <w:right w:val="none" w:sz="0" w:space="0" w:color="auto"/>
          </w:divBdr>
        </w:div>
        <w:div w:id="1409692584">
          <w:marLeft w:val="0"/>
          <w:marRight w:val="0"/>
          <w:marTop w:val="0"/>
          <w:marBottom w:val="0"/>
          <w:divBdr>
            <w:top w:val="none" w:sz="0" w:space="0" w:color="auto"/>
            <w:left w:val="none" w:sz="0" w:space="0" w:color="auto"/>
            <w:bottom w:val="none" w:sz="0" w:space="0" w:color="auto"/>
            <w:right w:val="none" w:sz="0" w:space="0" w:color="auto"/>
          </w:divBdr>
        </w:div>
        <w:div w:id="1318725805">
          <w:marLeft w:val="0"/>
          <w:marRight w:val="0"/>
          <w:marTop w:val="0"/>
          <w:marBottom w:val="0"/>
          <w:divBdr>
            <w:top w:val="none" w:sz="0" w:space="0" w:color="auto"/>
            <w:left w:val="none" w:sz="0" w:space="0" w:color="auto"/>
            <w:bottom w:val="none" w:sz="0" w:space="0" w:color="auto"/>
            <w:right w:val="none" w:sz="0" w:space="0" w:color="auto"/>
          </w:divBdr>
        </w:div>
        <w:div w:id="60832879">
          <w:marLeft w:val="0"/>
          <w:marRight w:val="0"/>
          <w:marTop w:val="0"/>
          <w:marBottom w:val="0"/>
          <w:divBdr>
            <w:top w:val="none" w:sz="0" w:space="0" w:color="auto"/>
            <w:left w:val="none" w:sz="0" w:space="0" w:color="auto"/>
            <w:bottom w:val="none" w:sz="0" w:space="0" w:color="auto"/>
            <w:right w:val="none" w:sz="0" w:space="0" w:color="auto"/>
          </w:divBdr>
        </w:div>
        <w:div w:id="211187295">
          <w:marLeft w:val="0"/>
          <w:marRight w:val="0"/>
          <w:marTop w:val="0"/>
          <w:marBottom w:val="0"/>
          <w:divBdr>
            <w:top w:val="none" w:sz="0" w:space="0" w:color="auto"/>
            <w:left w:val="none" w:sz="0" w:space="0" w:color="auto"/>
            <w:bottom w:val="none" w:sz="0" w:space="0" w:color="auto"/>
            <w:right w:val="none" w:sz="0" w:space="0" w:color="auto"/>
          </w:divBdr>
        </w:div>
        <w:div w:id="1221944507">
          <w:marLeft w:val="0"/>
          <w:marRight w:val="0"/>
          <w:marTop w:val="0"/>
          <w:marBottom w:val="0"/>
          <w:divBdr>
            <w:top w:val="none" w:sz="0" w:space="0" w:color="auto"/>
            <w:left w:val="none" w:sz="0" w:space="0" w:color="auto"/>
            <w:bottom w:val="none" w:sz="0" w:space="0" w:color="auto"/>
            <w:right w:val="none" w:sz="0" w:space="0" w:color="auto"/>
          </w:divBdr>
        </w:div>
        <w:div w:id="111171244">
          <w:marLeft w:val="0"/>
          <w:marRight w:val="0"/>
          <w:marTop w:val="0"/>
          <w:marBottom w:val="0"/>
          <w:divBdr>
            <w:top w:val="none" w:sz="0" w:space="0" w:color="auto"/>
            <w:left w:val="none" w:sz="0" w:space="0" w:color="auto"/>
            <w:bottom w:val="none" w:sz="0" w:space="0" w:color="auto"/>
            <w:right w:val="none" w:sz="0" w:space="0" w:color="auto"/>
          </w:divBdr>
        </w:div>
        <w:div w:id="861014468">
          <w:marLeft w:val="0"/>
          <w:marRight w:val="0"/>
          <w:marTop w:val="0"/>
          <w:marBottom w:val="0"/>
          <w:divBdr>
            <w:top w:val="none" w:sz="0" w:space="0" w:color="auto"/>
            <w:left w:val="none" w:sz="0" w:space="0" w:color="auto"/>
            <w:bottom w:val="none" w:sz="0" w:space="0" w:color="auto"/>
            <w:right w:val="none" w:sz="0" w:space="0" w:color="auto"/>
          </w:divBdr>
        </w:div>
        <w:div w:id="562638141">
          <w:marLeft w:val="0"/>
          <w:marRight w:val="0"/>
          <w:marTop w:val="0"/>
          <w:marBottom w:val="0"/>
          <w:divBdr>
            <w:top w:val="none" w:sz="0" w:space="0" w:color="auto"/>
            <w:left w:val="none" w:sz="0" w:space="0" w:color="auto"/>
            <w:bottom w:val="none" w:sz="0" w:space="0" w:color="auto"/>
            <w:right w:val="none" w:sz="0" w:space="0" w:color="auto"/>
          </w:divBdr>
        </w:div>
        <w:div w:id="571307572">
          <w:marLeft w:val="0"/>
          <w:marRight w:val="0"/>
          <w:marTop w:val="0"/>
          <w:marBottom w:val="0"/>
          <w:divBdr>
            <w:top w:val="none" w:sz="0" w:space="0" w:color="auto"/>
            <w:left w:val="none" w:sz="0" w:space="0" w:color="auto"/>
            <w:bottom w:val="none" w:sz="0" w:space="0" w:color="auto"/>
            <w:right w:val="none" w:sz="0" w:space="0" w:color="auto"/>
          </w:divBdr>
        </w:div>
      </w:divsChild>
    </w:div>
    <w:div w:id="1747267379">
      <w:bodyDiv w:val="1"/>
      <w:marLeft w:val="0"/>
      <w:marRight w:val="0"/>
      <w:marTop w:val="0"/>
      <w:marBottom w:val="0"/>
      <w:divBdr>
        <w:top w:val="none" w:sz="0" w:space="0" w:color="auto"/>
        <w:left w:val="none" w:sz="0" w:space="0" w:color="auto"/>
        <w:bottom w:val="none" w:sz="0" w:space="0" w:color="auto"/>
        <w:right w:val="none" w:sz="0" w:space="0" w:color="auto"/>
      </w:divBdr>
    </w:div>
    <w:div w:id="1995137513">
      <w:bodyDiv w:val="1"/>
      <w:marLeft w:val="0"/>
      <w:marRight w:val="0"/>
      <w:marTop w:val="0"/>
      <w:marBottom w:val="0"/>
      <w:divBdr>
        <w:top w:val="none" w:sz="0" w:space="0" w:color="auto"/>
        <w:left w:val="none" w:sz="0" w:space="0" w:color="auto"/>
        <w:bottom w:val="none" w:sz="0" w:space="0" w:color="auto"/>
        <w:right w:val="none" w:sz="0" w:space="0" w:color="auto"/>
      </w:divBdr>
      <w:divsChild>
        <w:div w:id="179778431">
          <w:marLeft w:val="0"/>
          <w:marRight w:val="0"/>
          <w:marTop w:val="0"/>
          <w:marBottom w:val="0"/>
          <w:divBdr>
            <w:top w:val="none" w:sz="0" w:space="0" w:color="auto"/>
            <w:left w:val="none" w:sz="0" w:space="0" w:color="auto"/>
            <w:bottom w:val="none" w:sz="0" w:space="0" w:color="auto"/>
            <w:right w:val="none" w:sz="0" w:space="0" w:color="auto"/>
          </w:divBdr>
        </w:div>
        <w:div w:id="751121389">
          <w:marLeft w:val="0"/>
          <w:marRight w:val="0"/>
          <w:marTop w:val="0"/>
          <w:marBottom w:val="0"/>
          <w:divBdr>
            <w:top w:val="none" w:sz="0" w:space="0" w:color="auto"/>
            <w:left w:val="none" w:sz="0" w:space="0" w:color="auto"/>
            <w:bottom w:val="none" w:sz="0" w:space="0" w:color="auto"/>
            <w:right w:val="none" w:sz="0" w:space="0" w:color="auto"/>
          </w:divBdr>
        </w:div>
        <w:div w:id="595790430">
          <w:marLeft w:val="0"/>
          <w:marRight w:val="0"/>
          <w:marTop w:val="0"/>
          <w:marBottom w:val="0"/>
          <w:divBdr>
            <w:top w:val="none" w:sz="0" w:space="0" w:color="auto"/>
            <w:left w:val="none" w:sz="0" w:space="0" w:color="auto"/>
            <w:bottom w:val="none" w:sz="0" w:space="0" w:color="auto"/>
            <w:right w:val="none" w:sz="0" w:space="0" w:color="auto"/>
          </w:divBdr>
        </w:div>
        <w:div w:id="1162354038">
          <w:marLeft w:val="0"/>
          <w:marRight w:val="0"/>
          <w:marTop w:val="0"/>
          <w:marBottom w:val="0"/>
          <w:divBdr>
            <w:top w:val="none" w:sz="0" w:space="0" w:color="auto"/>
            <w:left w:val="none" w:sz="0" w:space="0" w:color="auto"/>
            <w:bottom w:val="none" w:sz="0" w:space="0" w:color="auto"/>
            <w:right w:val="none" w:sz="0" w:space="0" w:color="auto"/>
          </w:divBdr>
        </w:div>
        <w:div w:id="952321114">
          <w:marLeft w:val="0"/>
          <w:marRight w:val="0"/>
          <w:marTop w:val="0"/>
          <w:marBottom w:val="0"/>
          <w:divBdr>
            <w:top w:val="none" w:sz="0" w:space="0" w:color="auto"/>
            <w:left w:val="none" w:sz="0" w:space="0" w:color="auto"/>
            <w:bottom w:val="none" w:sz="0" w:space="0" w:color="auto"/>
            <w:right w:val="none" w:sz="0" w:space="0" w:color="auto"/>
          </w:divBdr>
        </w:div>
        <w:div w:id="1449007238">
          <w:marLeft w:val="0"/>
          <w:marRight w:val="0"/>
          <w:marTop w:val="0"/>
          <w:marBottom w:val="0"/>
          <w:divBdr>
            <w:top w:val="none" w:sz="0" w:space="0" w:color="auto"/>
            <w:left w:val="none" w:sz="0" w:space="0" w:color="auto"/>
            <w:bottom w:val="none" w:sz="0" w:space="0" w:color="auto"/>
            <w:right w:val="none" w:sz="0" w:space="0" w:color="auto"/>
          </w:divBdr>
        </w:div>
        <w:div w:id="1754663286">
          <w:marLeft w:val="0"/>
          <w:marRight w:val="0"/>
          <w:marTop w:val="0"/>
          <w:marBottom w:val="0"/>
          <w:divBdr>
            <w:top w:val="none" w:sz="0" w:space="0" w:color="auto"/>
            <w:left w:val="none" w:sz="0" w:space="0" w:color="auto"/>
            <w:bottom w:val="none" w:sz="0" w:space="0" w:color="auto"/>
            <w:right w:val="none" w:sz="0" w:space="0" w:color="auto"/>
          </w:divBdr>
        </w:div>
        <w:div w:id="21173522">
          <w:marLeft w:val="0"/>
          <w:marRight w:val="0"/>
          <w:marTop w:val="0"/>
          <w:marBottom w:val="0"/>
          <w:divBdr>
            <w:top w:val="none" w:sz="0" w:space="0" w:color="auto"/>
            <w:left w:val="none" w:sz="0" w:space="0" w:color="auto"/>
            <w:bottom w:val="none" w:sz="0" w:space="0" w:color="auto"/>
            <w:right w:val="none" w:sz="0" w:space="0" w:color="auto"/>
          </w:divBdr>
        </w:div>
        <w:div w:id="1599288121">
          <w:marLeft w:val="0"/>
          <w:marRight w:val="0"/>
          <w:marTop w:val="0"/>
          <w:marBottom w:val="0"/>
          <w:divBdr>
            <w:top w:val="none" w:sz="0" w:space="0" w:color="auto"/>
            <w:left w:val="none" w:sz="0" w:space="0" w:color="auto"/>
            <w:bottom w:val="none" w:sz="0" w:space="0" w:color="auto"/>
            <w:right w:val="none" w:sz="0" w:space="0" w:color="auto"/>
          </w:divBdr>
        </w:div>
        <w:div w:id="546256412">
          <w:marLeft w:val="0"/>
          <w:marRight w:val="0"/>
          <w:marTop w:val="0"/>
          <w:marBottom w:val="0"/>
          <w:divBdr>
            <w:top w:val="none" w:sz="0" w:space="0" w:color="auto"/>
            <w:left w:val="none" w:sz="0" w:space="0" w:color="auto"/>
            <w:bottom w:val="none" w:sz="0" w:space="0" w:color="auto"/>
            <w:right w:val="none" w:sz="0" w:space="0" w:color="auto"/>
          </w:divBdr>
        </w:div>
        <w:div w:id="1835146057">
          <w:marLeft w:val="0"/>
          <w:marRight w:val="0"/>
          <w:marTop w:val="0"/>
          <w:marBottom w:val="0"/>
          <w:divBdr>
            <w:top w:val="none" w:sz="0" w:space="0" w:color="auto"/>
            <w:left w:val="none" w:sz="0" w:space="0" w:color="auto"/>
            <w:bottom w:val="none" w:sz="0" w:space="0" w:color="auto"/>
            <w:right w:val="none" w:sz="0" w:space="0" w:color="auto"/>
          </w:divBdr>
        </w:div>
        <w:div w:id="1606033254">
          <w:marLeft w:val="0"/>
          <w:marRight w:val="0"/>
          <w:marTop w:val="0"/>
          <w:marBottom w:val="0"/>
          <w:divBdr>
            <w:top w:val="none" w:sz="0" w:space="0" w:color="auto"/>
            <w:left w:val="none" w:sz="0" w:space="0" w:color="auto"/>
            <w:bottom w:val="none" w:sz="0" w:space="0" w:color="auto"/>
            <w:right w:val="none" w:sz="0" w:space="0" w:color="auto"/>
          </w:divBdr>
        </w:div>
        <w:div w:id="674961274">
          <w:marLeft w:val="0"/>
          <w:marRight w:val="0"/>
          <w:marTop w:val="0"/>
          <w:marBottom w:val="0"/>
          <w:divBdr>
            <w:top w:val="none" w:sz="0" w:space="0" w:color="auto"/>
            <w:left w:val="none" w:sz="0" w:space="0" w:color="auto"/>
            <w:bottom w:val="none" w:sz="0" w:space="0" w:color="auto"/>
            <w:right w:val="none" w:sz="0" w:space="0" w:color="auto"/>
          </w:divBdr>
        </w:div>
        <w:div w:id="545610002">
          <w:marLeft w:val="0"/>
          <w:marRight w:val="0"/>
          <w:marTop w:val="0"/>
          <w:marBottom w:val="0"/>
          <w:divBdr>
            <w:top w:val="none" w:sz="0" w:space="0" w:color="auto"/>
            <w:left w:val="none" w:sz="0" w:space="0" w:color="auto"/>
            <w:bottom w:val="none" w:sz="0" w:space="0" w:color="auto"/>
            <w:right w:val="none" w:sz="0" w:space="0" w:color="auto"/>
          </w:divBdr>
        </w:div>
        <w:div w:id="755902090">
          <w:marLeft w:val="0"/>
          <w:marRight w:val="0"/>
          <w:marTop w:val="0"/>
          <w:marBottom w:val="0"/>
          <w:divBdr>
            <w:top w:val="none" w:sz="0" w:space="0" w:color="auto"/>
            <w:left w:val="none" w:sz="0" w:space="0" w:color="auto"/>
            <w:bottom w:val="none" w:sz="0" w:space="0" w:color="auto"/>
            <w:right w:val="none" w:sz="0" w:space="0" w:color="auto"/>
          </w:divBdr>
        </w:div>
        <w:div w:id="407309210">
          <w:marLeft w:val="0"/>
          <w:marRight w:val="0"/>
          <w:marTop w:val="0"/>
          <w:marBottom w:val="0"/>
          <w:divBdr>
            <w:top w:val="none" w:sz="0" w:space="0" w:color="auto"/>
            <w:left w:val="none" w:sz="0" w:space="0" w:color="auto"/>
            <w:bottom w:val="none" w:sz="0" w:space="0" w:color="auto"/>
            <w:right w:val="none" w:sz="0" w:space="0" w:color="auto"/>
          </w:divBdr>
        </w:div>
        <w:div w:id="546575622">
          <w:marLeft w:val="0"/>
          <w:marRight w:val="0"/>
          <w:marTop w:val="0"/>
          <w:marBottom w:val="0"/>
          <w:divBdr>
            <w:top w:val="none" w:sz="0" w:space="0" w:color="auto"/>
            <w:left w:val="none" w:sz="0" w:space="0" w:color="auto"/>
            <w:bottom w:val="none" w:sz="0" w:space="0" w:color="auto"/>
            <w:right w:val="none" w:sz="0" w:space="0" w:color="auto"/>
          </w:divBdr>
        </w:div>
        <w:div w:id="199704027">
          <w:marLeft w:val="0"/>
          <w:marRight w:val="0"/>
          <w:marTop w:val="0"/>
          <w:marBottom w:val="0"/>
          <w:divBdr>
            <w:top w:val="none" w:sz="0" w:space="0" w:color="auto"/>
            <w:left w:val="none" w:sz="0" w:space="0" w:color="auto"/>
            <w:bottom w:val="none" w:sz="0" w:space="0" w:color="auto"/>
            <w:right w:val="none" w:sz="0" w:space="0" w:color="auto"/>
          </w:divBdr>
        </w:div>
        <w:div w:id="289946802">
          <w:marLeft w:val="0"/>
          <w:marRight w:val="0"/>
          <w:marTop w:val="0"/>
          <w:marBottom w:val="0"/>
          <w:divBdr>
            <w:top w:val="none" w:sz="0" w:space="0" w:color="auto"/>
            <w:left w:val="none" w:sz="0" w:space="0" w:color="auto"/>
            <w:bottom w:val="none" w:sz="0" w:space="0" w:color="auto"/>
            <w:right w:val="none" w:sz="0" w:space="0" w:color="auto"/>
          </w:divBdr>
        </w:div>
        <w:div w:id="75982754">
          <w:marLeft w:val="0"/>
          <w:marRight w:val="0"/>
          <w:marTop w:val="0"/>
          <w:marBottom w:val="0"/>
          <w:divBdr>
            <w:top w:val="none" w:sz="0" w:space="0" w:color="auto"/>
            <w:left w:val="none" w:sz="0" w:space="0" w:color="auto"/>
            <w:bottom w:val="none" w:sz="0" w:space="0" w:color="auto"/>
            <w:right w:val="none" w:sz="0" w:space="0" w:color="auto"/>
          </w:divBdr>
        </w:div>
        <w:div w:id="1421218218">
          <w:marLeft w:val="0"/>
          <w:marRight w:val="0"/>
          <w:marTop w:val="0"/>
          <w:marBottom w:val="0"/>
          <w:divBdr>
            <w:top w:val="none" w:sz="0" w:space="0" w:color="auto"/>
            <w:left w:val="none" w:sz="0" w:space="0" w:color="auto"/>
            <w:bottom w:val="none" w:sz="0" w:space="0" w:color="auto"/>
            <w:right w:val="none" w:sz="0" w:space="0" w:color="auto"/>
          </w:divBdr>
        </w:div>
        <w:div w:id="683435154">
          <w:marLeft w:val="0"/>
          <w:marRight w:val="0"/>
          <w:marTop w:val="0"/>
          <w:marBottom w:val="0"/>
          <w:divBdr>
            <w:top w:val="none" w:sz="0" w:space="0" w:color="auto"/>
            <w:left w:val="none" w:sz="0" w:space="0" w:color="auto"/>
            <w:bottom w:val="none" w:sz="0" w:space="0" w:color="auto"/>
            <w:right w:val="none" w:sz="0" w:space="0" w:color="auto"/>
          </w:divBdr>
        </w:div>
        <w:div w:id="1711689531">
          <w:marLeft w:val="0"/>
          <w:marRight w:val="0"/>
          <w:marTop w:val="0"/>
          <w:marBottom w:val="0"/>
          <w:divBdr>
            <w:top w:val="none" w:sz="0" w:space="0" w:color="auto"/>
            <w:left w:val="none" w:sz="0" w:space="0" w:color="auto"/>
            <w:bottom w:val="none" w:sz="0" w:space="0" w:color="auto"/>
            <w:right w:val="none" w:sz="0" w:space="0" w:color="auto"/>
          </w:divBdr>
        </w:div>
        <w:div w:id="480730658">
          <w:marLeft w:val="0"/>
          <w:marRight w:val="0"/>
          <w:marTop w:val="0"/>
          <w:marBottom w:val="0"/>
          <w:divBdr>
            <w:top w:val="none" w:sz="0" w:space="0" w:color="auto"/>
            <w:left w:val="none" w:sz="0" w:space="0" w:color="auto"/>
            <w:bottom w:val="none" w:sz="0" w:space="0" w:color="auto"/>
            <w:right w:val="none" w:sz="0" w:space="0" w:color="auto"/>
          </w:divBdr>
        </w:div>
        <w:div w:id="1885798479">
          <w:marLeft w:val="0"/>
          <w:marRight w:val="0"/>
          <w:marTop w:val="0"/>
          <w:marBottom w:val="0"/>
          <w:divBdr>
            <w:top w:val="none" w:sz="0" w:space="0" w:color="auto"/>
            <w:left w:val="none" w:sz="0" w:space="0" w:color="auto"/>
            <w:bottom w:val="none" w:sz="0" w:space="0" w:color="auto"/>
            <w:right w:val="none" w:sz="0" w:space="0" w:color="auto"/>
          </w:divBdr>
        </w:div>
        <w:div w:id="1786270207">
          <w:marLeft w:val="0"/>
          <w:marRight w:val="0"/>
          <w:marTop w:val="0"/>
          <w:marBottom w:val="0"/>
          <w:divBdr>
            <w:top w:val="none" w:sz="0" w:space="0" w:color="auto"/>
            <w:left w:val="none" w:sz="0" w:space="0" w:color="auto"/>
            <w:bottom w:val="none" w:sz="0" w:space="0" w:color="auto"/>
            <w:right w:val="none" w:sz="0" w:space="0" w:color="auto"/>
          </w:divBdr>
        </w:div>
        <w:div w:id="1076051171">
          <w:marLeft w:val="0"/>
          <w:marRight w:val="0"/>
          <w:marTop w:val="0"/>
          <w:marBottom w:val="0"/>
          <w:divBdr>
            <w:top w:val="none" w:sz="0" w:space="0" w:color="auto"/>
            <w:left w:val="none" w:sz="0" w:space="0" w:color="auto"/>
            <w:bottom w:val="none" w:sz="0" w:space="0" w:color="auto"/>
            <w:right w:val="none" w:sz="0" w:space="0" w:color="auto"/>
          </w:divBdr>
        </w:div>
        <w:div w:id="1925063681">
          <w:marLeft w:val="0"/>
          <w:marRight w:val="0"/>
          <w:marTop w:val="0"/>
          <w:marBottom w:val="0"/>
          <w:divBdr>
            <w:top w:val="none" w:sz="0" w:space="0" w:color="auto"/>
            <w:left w:val="none" w:sz="0" w:space="0" w:color="auto"/>
            <w:bottom w:val="none" w:sz="0" w:space="0" w:color="auto"/>
            <w:right w:val="none" w:sz="0" w:space="0" w:color="auto"/>
          </w:divBdr>
        </w:div>
        <w:div w:id="1474830132">
          <w:marLeft w:val="0"/>
          <w:marRight w:val="0"/>
          <w:marTop w:val="0"/>
          <w:marBottom w:val="0"/>
          <w:divBdr>
            <w:top w:val="none" w:sz="0" w:space="0" w:color="auto"/>
            <w:left w:val="none" w:sz="0" w:space="0" w:color="auto"/>
            <w:bottom w:val="none" w:sz="0" w:space="0" w:color="auto"/>
            <w:right w:val="none" w:sz="0" w:space="0" w:color="auto"/>
          </w:divBdr>
        </w:div>
        <w:div w:id="538206055">
          <w:marLeft w:val="0"/>
          <w:marRight w:val="0"/>
          <w:marTop w:val="0"/>
          <w:marBottom w:val="0"/>
          <w:divBdr>
            <w:top w:val="none" w:sz="0" w:space="0" w:color="auto"/>
            <w:left w:val="none" w:sz="0" w:space="0" w:color="auto"/>
            <w:bottom w:val="none" w:sz="0" w:space="0" w:color="auto"/>
            <w:right w:val="none" w:sz="0" w:space="0" w:color="auto"/>
          </w:divBdr>
        </w:div>
        <w:div w:id="211619446">
          <w:marLeft w:val="0"/>
          <w:marRight w:val="0"/>
          <w:marTop w:val="0"/>
          <w:marBottom w:val="0"/>
          <w:divBdr>
            <w:top w:val="none" w:sz="0" w:space="0" w:color="auto"/>
            <w:left w:val="none" w:sz="0" w:space="0" w:color="auto"/>
            <w:bottom w:val="none" w:sz="0" w:space="0" w:color="auto"/>
            <w:right w:val="none" w:sz="0" w:space="0" w:color="auto"/>
          </w:divBdr>
        </w:div>
        <w:div w:id="1203178066">
          <w:marLeft w:val="0"/>
          <w:marRight w:val="0"/>
          <w:marTop w:val="0"/>
          <w:marBottom w:val="0"/>
          <w:divBdr>
            <w:top w:val="none" w:sz="0" w:space="0" w:color="auto"/>
            <w:left w:val="none" w:sz="0" w:space="0" w:color="auto"/>
            <w:bottom w:val="none" w:sz="0" w:space="0" w:color="auto"/>
            <w:right w:val="none" w:sz="0" w:space="0" w:color="auto"/>
          </w:divBdr>
        </w:div>
        <w:div w:id="2017536357">
          <w:marLeft w:val="0"/>
          <w:marRight w:val="0"/>
          <w:marTop w:val="0"/>
          <w:marBottom w:val="0"/>
          <w:divBdr>
            <w:top w:val="none" w:sz="0" w:space="0" w:color="auto"/>
            <w:left w:val="none" w:sz="0" w:space="0" w:color="auto"/>
            <w:bottom w:val="none" w:sz="0" w:space="0" w:color="auto"/>
            <w:right w:val="none" w:sz="0" w:space="0" w:color="auto"/>
          </w:divBdr>
        </w:div>
        <w:div w:id="535893953">
          <w:marLeft w:val="0"/>
          <w:marRight w:val="0"/>
          <w:marTop w:val="0"/>
          <w:marBottom w:val="0"/>
          <w:divBdr>
            <w:top w:val="none" w:sz="0" w:space="0" w:color="auto"/>
            <w:left w:val="none" w:sz="0" w:space="0" w:color="auto"/>
            <w:bottom w:val="none" w:sz="0" w:space="0" w:color="auto"/>
            <w:right w:val="none" w:sz="0" w:space="0" w:color="auto"/>
          </w:divBdr>
        </w:div>
        <w:div w:id="1411928608">
          <w:marLeft w:val="0"/>
          <w:marRight w:val="0"/>
          <w:marTop w:val="0"/>
          <w:marBottom w:val="0"/>
          <w:divBdr>
            <w:top w:val="none" w:sz="0" w:space="0" w:color="auto"/>
            <w:left w:val="none" w:sz="0" w:space="0" w:color="auto"/>
            <w:bottom w:val="none" w:sz="0" w:space="0" w:color="auto"/>
            <w:right w:val="none" w:sz="0" w:space="0" w:color="auto"/>
          </w:divBdr>
        </w:div>
        <w:div w:id="924804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Sharp%20DM%5BAuthor%5D&amp;cauthor=true&amp;cauthor_uid=20466711" TargetMode="External"/><Relationship Id="rId18" Type="http://schemas.openxmlformats.org/officeDocument/2006/relationships/hyperlink" Target="http://www.ncbi.nlm.nih.gov/pubmed/?term=P%C3%A4%C3%A4suke%20M%5BAuthor%5D&amp;cauthor=true&amp;cauthor_uid=2488491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cbi.nlm.nih.gov/pubmed/?term=Palmer%20KT%5BAuthor%5D&amp;cauthor=true&amp;cauthor_uid=17572827" TargetMode="External"/><Relationship Id="rId7" Type="http://schemas.openxmlformats.org/officeDocument/2006/relationships/footnotes" Target="footnotes.xml"/><Relationship Id="rId12" Type="http://schemas.openxmlformats.org/officeDocument/2006/relationships/hyperlink" Target="http://www.ncbi.nlm.nih.gov/pubmed/?term=Klaber-Moffett%20J%5BAuthor%5D&amp;cauthor=true&amp;cauthor_uid=20466711" TargetMode="External"/><Relationship Id="rId17" Type="http://schemas.openxmlformats.org/officeDocument/2006/relationships/hyperlink" Target="http://www.ncbi.nlm.nih.gov/pubmed/?term=Anim%C3%A4gi%20L%5BAuthor%5D&amp;cauthor=true&amp;cauthor_uid=2488491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Oha%20K%5BAuthor%5D&amp;cauthor=true&amp;cauthor_uid=24884911" TargetMode="External"/><Relationship Id="rId20" Type="http://schemas.openxmlformats.org/officeDocument/2006/relationships/hyperlink" Target="http://www.ncbi.nlm.nih.gov/pubmed/?term=Merisalu%20E%5BAuthor%5D&amp;cauthor=true&amp;cauthor_uid=248849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May%20S%5BAuthor%5D&amp;cauthor=true&amp;cauthor_uid=20466711"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cbi.nlm.nih.gov/pubmed/20466711" TargetMode="External"/><Relationship Id="rId23" Type="http://schemas.openxmlformats.org/officeDocument/2006/relationships/hyperlink" Target="http://www.ncbi.nlm.nih.gov/pubmed/17572827" TargetMode="External"/><Relationship Id="rId10" Type="http://schemas.openxmlformats.org/officeDocument/2006/relationships/hyperlink" Target="http://www.ncbi.nlm.nih.gov/pubmed/?term=McLean%20SM%5BAuthor%5D&amp;cauthor=true&amp;cauthor_uid=20466711" TargetMode="External"/><Relationship Id="rId19" Type="http://schemas.openxmlformats.org/officeDocument/2006/relationships/hyperlink" Target="http://www.ncbi.nlm.nih.gov/pubmed/?term=Coggon%20D%5BAuthor%5D&amp;cauthor=true&amp;cauthor_uid=24884911" TargetMode="External"/><Relationship Id="rId4" Type="http://schemas.microsoft.com/office/2007/relationships/stylesWithEffects" Target="stylesWithEffects.xml"/><Relationship Id="rId9" Type="http://schemas.openxmlformats.org/officeDocument/2006/relationships/hyperlink" Target="http://www.ncbi.nlm.nih.gov/pubmed/11514090" TargetMode="External"/><Relationship Id="rId14" Type="http://schemas.openxmlformats.org/officeDocument/2006/relationships/hyperlink" Target="http://www.ncbi.nlm.nih.gov/pubmed/?term=Gardiner%20E%5BAuthor%5D&amp;cauthor=true&amp;cauthor_uid=20466711" TargetMode="External"/><Relationship Id="rId22" Type="http://schemas.openxmlformats.org/officeDocument/2006/relationships/hyperlink" Target="http://www.ncbi.nlm.nih.gov/pubmed/?term=Smedley%20J%5BAuthor%5D&amp;cauthor=true&amp;cauthor_uid=17572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3986F-A3D0-4A05-AA11-E56F1C07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7307</Words>
  <Characters>41650</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Coggon</dc:creator>
  <cp:lastModifiedBy>Karen Drake</cp:lastModifiedBy>
  <cp:revision>2</cp:revision>
  <cp:lastPrinted>2015-11-10T17:05:00Z</cp:lastPrinted>
  <dcterms:created xsi:type="dcterms:W3CDTF">2017-07-20T15:03:00Z</dcterms:created>
  <dcterms:modified xsi:type="dcterms:W3CDTF">2017-07-20T15:03:00Z</dcterms:modified>
</cp:coreProperties>
</file>