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8" w:rsidRPr="00F227E3" w:rsidRDefault="00F74DE8" w:rsidP="00F74DE8">
      <w:pPr>
        <w:keepNext/>
        <w:keepLines/>
        <w:spacing w:before="200"/>
        <w:ind w:left="1440" w:hanging="1440"/>
        <w:outlineLvl w:val="3"/>
        <w:rPr>
          <w:rFonts w:eastAsiaTheme="majorEastAsia"/>
          <w:b/>
          <w:bCs/>
          <w:iCs/>
          <w:szCs w:val="20"/>
        </w:rPr>
      </w:pPr>
      <w:bookmarkStart w:id="0" w:name="_GoBack"/>
      <w:bookmarkEnd w:id="0"/>
      <w:r w:rsidRPr="00F227E3">
        <w:rPr>
          <w:rFonts w:eastAsiaTheme="majorEastAsia"/>
          <w:b/>
          <w:bCs/>
          <w:iCs/>
          <w:szCs w:val="20"/>
        </w:rPr>
        <w:t>Table 2</w:t>
      </w:r>
      <w:r w:rsidRPr="00F227E3">
        <w:rPr>
          <w:rFonts w:eastAsiaTheme="majorEastAsia"/>
          <w:b/>
          <w:bCs/>
          <w:iCs/>
          <w:szCs w:val="20"/>
        </w:rPr>
        <w:tab/>
        <w:t>Associations of neck/shoulder pain with personal and occupational factors</w:t>
      </w:r>
    </w:p>
    <w:p w:rsidR="00F74DE8" w:rsidRPr="00F227E3" w:rsidRDefault="00F74DE8" w:rsidP="00F74DE8">
      <w:pPr>
        <w:rPr>
          <w:sz w:val="20"/>
          <w:szCs w:val="20"/>
        </w:rPr>
      </w:pPr>
    </w:p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1349"/>
        <w:gridCol w:w="714"/>
        <w:gridCol w:w="1317"/>
        <w:gridCol w:w="236"/>
        <w:gridCol w:w="1487"/>
        <w:gridCol w:w="851"/>
        <w:gridCol w:w="1134"/>
      </w:tblGrid>
      <w:tr w:rsidR="00F74DE8" w:rsidRPr="00F227E3" w:rsidTr="00051307">
        <w:tc>
          <w:tcPr>
            <w:tcW w:w="3261" w:type="dxa"/>
            <w:tcBorders>
              <w:top w:val="single" w:sz="12" w:space="0" w:color="auto"/>
            </w:tcBorders>
          </w:tcPr>
          <w:p w:rsidR="00F74DE8" w:rsidRPr="00F227E3" w:rsidRDefault="008D7333" w:rsidP="00051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Personal/occupational</w:t>
            </w:r>
            <w:r w:rsidRPr="00F227E3">
              <w:rPr>
                <w:b/>
                <w:sz w:val="20"/>
                <w:szCs w:val="20"/>
              </w:rPr>
              <w:t xml:space="preserve"> </w:t>
            </w:r>
            <w:r w:rsidR="00F74DE8" w:rsidRPr="00F227E3">
              <w:rPr>
                <w:b/>
                <w:sz w:val="20"/>
                <w:szCs w:val="20"/>
              </w:rPr>
              <w:t>factor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Localised neck/shoulder pain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Generalised pain involving neck/shoulder</w:t>
            </w:r>
          </w:p>
        </w:tc>
      </w:tr>
      <w:tr w:rsidR="00F74DE8" w:rsidRPr="00F227E3" w:rsidTr="00051307">
        <w:tc>
          <w:tcPr>
            <w:tcW w:w="3261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Number of cases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right"/>
              <w:rPr>
                <w:b/>
                <w:sz w:val="20"/>
                <w:szCs w:val="20"/>
                <w:vertAlign w:val="superscript"/>
              </w:rPr>
            </w:pPr>
            <w:r w:rsidRPr="00F227E3">
              <w:rPr>
                <w:b/>
                <w:sz w:val="20"/>
                <w:szCs w:val="20"/>
              </w:rPr>
              <w:t>PRR</w:t>
            </w:r>
            <w:r w:rsidRPr="00F227E3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(95%CI)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Number of cases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jc w:val="right"/>
              <w:rPr>
                <w:b/>
                <w:sz w:val="20"/>
                <w:szCs w:val="20"/>
                <w:vertAlign w:val="superscript"/>
              </w:rPr>
            </w:pPr>
            <w:r w:rsidRPr="00F227E3">
              <w:rPr>
                <w:b/>
                <w:sz w:val="20"/>
                <w:szCs w:val="20"/>
              </w:rPr>
              <w:t>PRR</w:t>
            </w:r>
            <w:r w:rsidRPr="00F227E3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(95%CI)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F227E3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F74DE8" w:rsidRPr="00F227E3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F227E3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4DE8" w:rsidRPr="00F227E3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F227E3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F74DE8" w:rsidRPr="00F227E3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F227E3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F227E3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Male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(7.9%)</w:t>
            </w: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 (29.1%)</w:t>
            </w: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Female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(14.0%)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(1.1,1.7)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 (53.1%)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(1.2,1.4)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Age (years)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20-29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(10.6%)</w:t>
            </w: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 (36.0%)</w:t>
            </w: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30-39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(11.8%)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 (43.6%)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(1.1,1.3)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40-49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(12.5%)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 (49.6%)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(1.1,1.4)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50-59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(9.3%)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(50.7%)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(1.2,1.5)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Activity in an average working day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left="175"/>
              <w:rPr>
                <w:sz w:val="20"/>
                <w:szCs w:val="20"/>
                <w:vertAlign w:val="superscript"/>
              </w:rPr>
            </w:pPr>
            <w:r w:rsidRPr="00F227E3">
              <w:rPr>
                <w:sz w:val="20"/>
                <w:szCs w:val="20"/>
              </w:rPr>
              <w:t>Lifting weights ≥25 kg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(9.4%)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 (45.5%)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Working with hands above shoulder height for &gt;1 hour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(10.3%)</w:t>
            </w: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(0.9,1.3)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 (49.4%)</w:t>
            </w: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(1.1,1.2)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left="175"/>
              <w:rPr>
                <w:sz w:val="20"/>
                <w:szCs w:val="20"/>
                <w:vertAlign w:val="superscript"/>
              </w:rPr>
            </w:pPr>
            <w:r w:rsidRPr="00F227E3">
              <w:rPr>
                <w:sz w:val="20"/>
                <w:szCs w:val="20"/>
              </w:rPr>
              <w:t>Use of keyboard for &gt;4 hours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(15.6%)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(1.1,1.6)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 (50.2%)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(1.0,1.2)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Psychosocial aspects of work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Work for &gt;50 hours per week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(8.2%)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(0.7,1.2)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(27.5%)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(0.8,1.0)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Time pressure at work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(10.9%)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(0.9,1.3)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 (45.9%)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(1.1,1.2)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Incentives at work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(10.5%)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(0.9,1.2)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 (41.5%)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(0.9,1.0)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Lack of support at work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(15.4%)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 (58.5%)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Job dissatisfaction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(11.7%)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(43.9%)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  <w:vertAlign w:val="superscript"/>
              </w:rPr>
            </w:pPr>
            <w:r w:rsidRPr="00F227E3">
              <w:rPr>
                <w:sz w:val="20"/>
                <w:szCs w:val="20"/>
              </w:rPr>
              <w:t>Lack of job control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(10.3%)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(0.8,1.2)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(46.0%)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  <w:vertAlign w:val="superscript"/>
              </w:rPr>
            </w:pPr>
            <w:r w:rsidRPr="00F227E3">
              <w:rPr>
                <w:sz w:val="20"/>
                <w:szCs w:val="20"/>
              </w:rPr>
              <w:t>Job insecurity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(10.0%)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(0.9,1.1)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 (43.2%)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 xml:space="preserve">Number of distressing somatic symptoms in past week 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(9.9%)</w:t>
            </w: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 (32.4%)</w:t>
            </w: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(15.1%)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(1.1,1.6)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 (53.6%)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(1.3,1.5)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2+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(14.8%)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(1.1,1.5)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 (72.4%)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(1.5,1.8)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Missing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(9.6%)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(0.3,3.0)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(48.4%)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(1.1,1.6)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Mental health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Good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(10.4%)</w:t>
            </w: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 (36.4%)</w:t>
            </w: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  <w:r w:rsidRPr="00CC43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Intermediate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(12.3%)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 (46.3%)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(1.1,1.3)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Poor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(11.7%)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 (52.5%)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(1.2,1.4)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Missing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(9.3%)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(0.5,2.5)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(30.4%)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(0.5,1.1)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rPr>
                <w:b/>
                <w:sz w:val="20"/>
                <w:szCs w:val="20"/>
                <w:vertAlign w:val="superscript"/>
              </w:rPr>
            </w:pPr>
            <w:r w:rsidRPr="00F227E3">
              <w:rPr>
                <w:b/>
                <w:sz w:val="20"/>
                <w:szCs w:val="20"/>
              </w:rPr>
              <w:t>Adverse beliefs about arm pain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4DE8" w:rsidRPr="00CC43BF" w:rsidRDefault="00F74DE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4DE8" w:rsidRPr="00CC43BF" w:rsidRDefault="00F74DE8" w:rsidP="00051307">
            <w:pPr>
              <w:rPr>
                <w:sz w:val="20"/>
                <w:szCs w:val="20"/>
              </w:rPr>
            </w:pP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Work-relatedness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(11.4%)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(0.9,1.3)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 (56.6%)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(1.2,1.3)</w:t>
            </w:r>
          </w:p>
        </w:tc>
      </w:tr>
      <w:tr w:rsidR="00F74DE8" w:rsidRPr="00F227E3" w:rsidTr="00051307">
        <w:trPr>
          <w:trHeight w:val="174"/>
        </w:trPr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  <w:vertAlign w:val="superscript"/>
              </w:rPr>
            </w:pPr>
            <w:r w:rsidRPr="00F227E3">
              <w:rPr>
                <w:sz w:val="20"/>
                <w:szCs w:val="20"/>
              </w:rPr>
              <w:t>Physical activity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(8.7%)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(0.6,1.0)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(39.5%)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(0.8,0.9)</w:t>
            </w:r>
          </w:p>
        </w:tc>
      </w:tr>
      <w:tr w:rsidR="00F74DE8" w:rsidRPr="00F227E3" w:rsidTr="00051307">
        <w:tc>
          <w:tcPr>
            <w:tcW w:w="3261" w:type="dxa"/>
          </w:tcPr>
          <w:p w:rsidR="00F74DE8" w:rsidRPr="00F227E3" w:rsidRDefault="00F74DE8" w:rsidP="00051307">
            <w:pPr>
              <w:tabs>
                <w:tab w:val="left" w:pos="318"/>
              </w:tabs>
              <w:ind w:firstLine="175"/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Prognosis</w:t>
            </w:r>
          </w:p>
        </w:tc>
        <w:tc>
          <w:tcPr>
            <w:tcW w:w="283" w:type="dxa"/>
          </w:tcPr>
          <w:p w:rsidR="00F74DE8" w:rsidRPr="00F227E3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(15.2%)</w:t>
            </w:r>
          </w:p>
        </w:tc>
        <w:tc>
          <w:tcPr>
            <w:tcW w:w="714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17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(1.0,1.5)</w:t>
            </w:r>
          </w:p>
        </w:tc>
        <w:tc>
          <w:tcPr>
            <w:tcW w:w="236" w:type="dxa"/>
          </w:tcPr>
          <w:p w:rsidR="00F74DE8" w:rsidRPr="007B6205" w:rsidRDefault="00F74DE8" w:rsidP="00051307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74DE8" w:rsidRPr="007B6205" w:rsidRDefault="00F74DE8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(61.0%)</w:t>
            </w:r>
          </w:p>
        </w:tc>
        <w:tc>
          <w:tcPr>
            <w:tcW w:w="851" w:type="dxa"/>
            <w:vAlign w:val="bottom"/>
          </w:tcPr>
          <w:p w:rsidR="00F74DE8" w:rsidRPr="00CC43BF" w:rsidRDefault="00F74DE8" w:rsidP="00051307">
            <w:pPr>
              <w:jc w:val="right"/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bottom"/>
          </w:tcPr>
          <w:p w:rsidR="00F74DE8" w:rsidRPr="00CC43BF" w:rsidRDefault="00F74DE8" w:rsidP="00051307">
            <w:pPr>
              <w:rPr>
                <w:color w:val="000000"/>
                <w:sz w:val="20"/>
                <w:szCs w:val="20"/>
              </w:rPr>
            </w:pPr>
            <w:r w:rsidRPr="00CC43BF">
              <w:rPr>
                <w:color w:val="000000"/>
                <w:sz w:val="20"/>
                <w:szCs w:val="20"/>
              </w:rPr>
              <w:t>(1.1,1.2)</w:t>
            </w:r>
          </w:p>
        </w:tc>
      </w:tr>
    </w:tbl>
    <w:p w:rsidR="00F74DE8" w:rsidRPr="00F227E3" w:rsidRDefault="00F74DE8" w:rsidP="00F74DE8">
      <w:pPr>
        <w:rPr>
          <w:sz w:val="20"/>
          <w:szCs w:val="20"/>
        </w:rPr>
      </w:pPr>
    </w:p>
    <w:p w:rsidR="00F74DE8" w:rsidRPr="00F227E3" w:rsidRDefault="00F74DE8" w:rsidP="00F74DE8">
      <w:pPr>
        <w:rPr>
          <w:sz w:val="20"/>
          <w:szCs w:val="20"/>
        </w:rPr>
      </w:pPr>
      <w:r w:rsidRPr="00F227E3">
        <w:rPr>
          <w:sz w:val="20"/>
          <w:szCs w:val="20"/>
          <w:vertAlign w:val="superscript"/>
        </w:rPr>
        <w:t>a</w:t>
      </w:r>
      <w:r w:rsidRPr="00F227E3">
        <w:rPr>
          <w:sz w:val="20"/>
          <w:szCs w:val="20"/>
        </w:rPr>
        <w:t>Prevalence rate ratios derived from a single Poisson regression model, with random intercept modelling to allow for clustering by occupational group</w:t>
      </w:r>
      <w:r w:rsidR="00885AE1">
        <w:rPr>
          <w:sz w:val="20"/>
          <w:szCs w:val="20"/>
        </w:rPr>
        <w:t xml:space="preserve">.  The reference group was participants with no pain </w:t>
      </w:r>
      <w:r w:rsidR="002608B4">
        <w:rPr>
          <w:sz w:val="20"/>
          <w:szCs w:val="20"/>
        </w:rPr>
        <w:t>in the neck or shoulders</w:t>
      </w:r>
      <w:r w:rsidR="00885AE1">
        <w:rPr>
          <w:sz w:val="20"/>
          <w:szCs w:val="20"/>
        </w:rPr>
        <w:t xml:space="preserve"> in the past 12 months</w:t>
      </w:r>
      <w:r w:rsidR="005E5D41">
        <w:rPr>
          <w:sz w:val="20"/>
          <w:szCs w:val="20"/>
        </w:rPr>
        <w:t xml:space="preserve"> (n =</w:t>
      </w:r>
      <w:r w:rsidR="002E2777">
        <w:rPr>
          <w:sz w:val="20"/>
          <w:szCs w:val="20"/>
        </w:rPr>
        <w:t xml:space="preserve"> </w:t>
      </w:r>
      <w:r w:rsidR="005E5D41">
        <w:rPr>
          <w:sz w:val="20"/>
          <w:szCs w:val="20"/>
        </w:rPr>
        <w:t>5344).</w:t>
      </w:r>
      <w:r w:rsidR="00D55050">
        <w:rPr>
          <w:sz w:val="20"/>
          <w:szCs w:val="20"/>
        </w:rPr>
        <w:t xml:space="preserve">  The denominators for percentages of cases </w:t>
      </w:r>
      <w:r w:rsidR="00277760">
        <w:rPr>
          <w:sz w:val="20"/>
          <w:szCs w:val="20"/>
        </w:rPr>
        <w:t>a</w:t>
      </w:r>
      <w:r w:rsidR="00D55050">
        <w:rPr>
          <w:sz w:val="20"/>
          <w:szCs w:val="20"/>
        </w:rPr>
        <w:t xml:space="preserve">re the total </w:t>
      </w:r>
      <w:r w:rsidR="008D7333">
        <w:rPr>
          <w:sz w:val="20"/>
          <w:szCs w:val="20"/>
        </w:rPr>
        <w:t xml:space="preserve">numbers of cases and referents with the relevant personal/occupational factor. </w:t>
      </w:r>
    </w:p>
    <w:sectPr w:rsidR="00F74DE8" w:rsidRPr="00F227E3" w:rsidSect="00AB173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5A" w:rsidRDefault="00BA605A" w:rsidP="00C043B6">
      <w:pPr>
        <w:spacing w:line="240" w:lineRule="auto"/>
      </w:pPr>
      <w:r>
        <w:separator/>
      </w:r>
    </w:p>
  </w:endnote>
  <w:endnote w:type="continuationSeparator" w:id="0">
    <w:p w:rsidR="00BA605A" w:rsidRDefault="00BA605A" w:rsidP="00C04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5A" w:rsidRDefault="00BA605A" w:rsidP="00C043B6">
      <w:pPr>
        <w:spacing w:line="240" w:lineRule="auto"/>
      </w:pPr>
      <w:r>
        <w:separator/>
      </w:r>
    </w:p>
  </w:footnote>
  <w:footnote w:type="continuationSeparator" w:id="0">
    <w:p w:rsidR="00BA605A" w:rsidRDefault="00BA605A" w:rsidP="00C04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8"/>
    <w:rsid w:val="00051307"/>
    <w:rsid w:val="000D7288"/>
    <w:rsid w:val="000F6829"/>
    <w:rsid w:val="001312CE"/>
    <w:rsid w:val="001639A0"/>
    <w:rsid w:val="001902EE"/>
    <w:rsid w:val="001D70A8"/>
    <w:rsid w:val="002608B4"/>
    <w:rsid w:val="00277760"/>
    <w:rsid w:val="002802F2"/>
    <w:rsid w:val="0029729B"/>
    <w:rsid w:val="002E2777"/>
    <w:rsid w:val="002F55D9"/>
    <w:rsid w:val="00314F03"/>
    <w:rsid w:val="00346FBE"/>
    <w:rsid w:val="00404F7D"/>
    <w:rsid w:val="00584DDE"/>
    <w:rsid w:val="005E5D41"/>
    <w:rsid w:val="006030BF"/>
    <w:rsid w:val="006B58F7"/>
    <w:rsid w:val="00724F9B"/>
    <w:rsid w:val="007A2D26"/>
    <w:rsid w:val="007B3646"/>
    <w:rsid w:val="00884AEA"/>
    <w:rsid w:val="00885AE1"/>
    <w:rsid w:val="008C1265"/>
    <w:rsid w:val="008D7333"/>
    <w:rsid w:val="008E04C1"/>
    <w:rsid w:val="00A309E5"/>
    <w:rsid w:val="00AB1734"/>
    <w:rsid w:val="00AF6B7B"/>
    <w:rsid w:val="00B86B67"/>
    <w:rsid w:val="00BA605A"/>
    <w:rsid w:val="00BD4E7B"/>
    <w:rsid w:val="00C043B6"/>
    <w:rsid w:val="00C323C5"/>
    <w:rsid w:val="00D55050"/>
    <w:rsid w:val="00DB1620"/>
    <w:rsid w:val="00DB7839"/>
    <w:rsid w:val="00EB0820"/>
    <w:rsid w:val="00F52F76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B2E6-04C4-4A00-9FD7-F50007C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2017-07-20T15:08:00Z</dcterms:created>
  <dcterms:modified xsi:type="dcterms:W3CDTF">2017-07-20T15:08:00Z</dcterms:modified>
</cp:coreProperties>
</file>