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CB3A5" w14:textId="76C36D45" w:rsidR="009C48D3" w:rsidRPr="00C02740" w:rsidRDefault="00C02740" w:rsidP="009C48D3">
      <w:pPr>
        <w:spacing w:line="480" w:lineRule="auto"/>
        <w:rPr>
          <w:rFonts w:ascii="Arial" w:hAnsi="Arial" w:cs="Arial"/>
          <w:b/>
          <w:sz w:val="20"/>
          <w:szCs w:val="20"/>
        </w:rPr>
      </w:pPr>
      <w:bookmarkStart w:id="0" w:name="_GoBack"/>
      <w:bookmarkEnd w:id="0"/>
      <w:r w:rsidRPr="009E5B85">
        <w:rPr>
          <w:rFonts w:ascii="Arial" w:hAnsi="Arial" w:cs="Arial"/>
          <w:b/>
          <w:color w:val="000000"/>
          <w:sz w:val="20"/>
          <w:szCs w:val="20"/>
        </w:rPr>
        <w:t xml:space="preserve">Attendance of </w:t>
      </w:r>
      <w:r w:rsidR="00472530">
        <w:rPr>
          <w:rFonts w:ascii="Arial" w:hAnsi="Arial" w:cs="Arial"/>
          <w:b/>
          <w:color w:val="000000"/>
          <w:sz w:val="20"/>
          <w:szCs w:val="20"/>
        </w:rPr>
        <w:t>MSM</w:t>
      </w:r>
      <w:r w:rsidR="00FF0AC8">
        <w:rPr>
          <w:rFonts w:ascii="Arial" w:hAnsi="Arial" w:cs="Arial"/>
          <w:b/>
          <w:color w:val="000000"/>
          <w:sz w:val="20"/>
          <w:szCs w:val="20"/>
        </w:rPr>
        <w:t xml:space="preserve"> </w:t>
      </w:r>
      <w:r w:rsidRPr="009E5B85">
        <w:rPr>
          <w:rFonts w:ascii="Arial" w:hAnsi="Arial" w:cs="Arial"/>
          <w:b/>
          <w:color w:val="000000"/>
          <w:sz w:val="20"/>
          <w:szCs w:val="20"/>
        </w:rPr>
        <w:t xml:space="preserve">at </w:t>
      </w:r>
      <w:r w:rsidR="00966AA6">
        <w:rPr>
          <w:rFonts w:ascii="Arial" w:hAnsi="Arial" w:cs="Arial"/>
          <w:b/>
          <w:color w:val="000000"/>
          <w:sz w:val="20"/>
          <w:szCs w:val="20"/>
        </w:rPr>
        <w:t>Genito-Urinary Medicine</w:t>
      </w:r>
      <w:r w:rsidRPr="009E5B85">
        <w:rPr>
          <w:rFonts w:ascii="Arial" w:hAnsi="Arial" w:cs="Arial"/>
          <w:b/>
          <w:color w:val="000000"/>
          <w:sz w:val="20"/>
          <w:szCs w:val="20"/>
        </w:rPr>
        <w:t xml:space="preserve"> services in England: implications for selective HPV vaccination programme</w:t>
      </w:r>
      <w:r w:rsidRPr="00C02740" w:rsidDel="00C02740">
        <w:rPr>
          <w:rFonts w:ascii="Arial" w:hAnsi="Arial" w:cs="Arial"/>
          <w:b/>
          <w:sz w:val="20"/>
          <w:szCs w:val="20"/>
        </w:rPr>
        <w:t xml:space="preserve"> </w:t>
      </w:r>
      <w:r w:rsidR="00F1594A" w:rsidRPr="00C02740">
        <w:rPr>
          <w:rFonts w:ascii="Arial" w:hAnsi="Arial" w:cs="Arial"/>
          <w:b/>
          <w:sz w:val="20"/>
          <w:szCs w:val="20"/>
        </w:rPr>
        <w:t>[</w:t>
      </w:r>
      <w:r w:rsidR="00B34976" w:rsidRPr="00C02740">
        <w:rPr>
          <w:rFonts w:ascii="Arial" w:hAnsi="Arial" w:cs="Arial"/>
          <w:b/>
          <w:sz w:val="20"/>
          <w:szCs w:val="20"/>
        </w:rPr>
        <w:t>a short communication]</w:t>
      </w:r>
    </w:p>
    <w:p w14:paraId="39B49756" w14:textId="77777777" w:rsidR="009C48D3" w:rsidRPr="00AB21B7" w:rsidRDefault="009C48D3" w:rsidP="009C48D3">
      <w:pPr>
        <w:pStyle w:val="Standard"/>
        <w:spacing w:line="480" w:lineRule="auto"/>
        <w:jc w:val="center"/>
        <w:rPr>
          <w:rFonts w:ascii="Arial" w:hAnsi="Arial" w:cs="Arial"/>
          <w:sz w:val="20"/>
          <w:szCs w:val="20"/>
          <w:lang w:eastAsia="en-GB"/>
        </w:rPr>
      </w:pPr>
    </w:p>
    <w:p w14:paraId="601E8247" w14:textId="77777777" w:rsidR="009C48D3" w:rsidRPr="00AB21B7" w:rsidRDefault="009C48D3" w:rsidP="009C48D3">
      <w:pPr>
        <w:pStyle w:val="Standard"/>
        <w:spacing w:line="480" w:lineRule="auto"/>
        <w:jc w:val="center"/>
        <w:rPr>
          <w:rFonts w:ascii="Arial" w:hAnsi="Arial" w:cs="Arial"/>
          <w:sz w:val="20"/>
          <w:szCs w:val="20"/>
          <w:lang w:eastAsia="en-GB"/>
        </w:rPr>
      </w:pPr>
    </w:p>
    <w:p w14:paraId="0D78B4F0" w14:textId="77777777" w:rsidR="009C48D3" w:rsidRPr="00AB21B7" w:rsidRDefault="00C26A50" w:rsidP="009C48D3">
      <w:pPr>
        <w:pStyle w:val="Standard"/>
        <w:spacing w:line="480" w:lineRule="auto"/>
        <w:rPr>
          <w:rFonts w:ascii="Arial" w:hAnsi="Arial" w:cs="Arial"/>
          <w:sz w:val="20"/>
          <w:szCs w:val="20"/>
          <w:lang w:val="de-DE" w:eastAsia="en-GB"/>
        </w:rPr>
      </w:pPr>
      <w:r w:rsidRPr="00AB21B7">
        <w:rPr>
          <w:rFonts w:ascii="Arial" w:hAnsi="Arial" w:cs="Arial"/>
          <w:sz w:val="20"/>
          <w:szCs w:val="20"/>
          <w:lang w:val="de-DE" w:eastAsia="en-GB"/>
        </w:rPr>
        <w:t xml:space="preserve">Jake </w:t>
      </w:r>
      <w:r w:rsidR="009C48D3" w:rsidRPr="00AB21B7">
        <w:rPr>
          <w:rFonts w:ascii="Arial" w:hAnsi="Arial" w:cs="Arial"/>
          <w:sz w:val="20"/>
          <w:szCs w:val="20"/>
          <w:lang w:val="de-DE" w:eastAsia="en-GB"/>
        </w:rPr>
        <w:t xml:space="preserve">Bayley </w:t>
      </w:r>
      <w:r w:rsidR="009C48D3" w:rsidRPr="00AB21B7">
        <w:rPr>
          <w:rFonts w:ascii="Arial" w:hAnsi="Arial" w:cs="Arial"/>
          <w:sz w:val="20"/>
          <w:szCs w:val="20"/>
          <w:vertAlign w:val="superscript"/>
          <w:lang w:val="de-DE" w:eastAsia="en-GB"/>
        </w:rPr>
        <w:t>1,2</w:t>
      </w:r>
      <w:r w:rsidR="009C48D3" w:rsidRPr="00AB21B7">
        <w:rPr>
          <w:rFonts w:ascii="Arial" w:hAnsi="Arial" w:cs="Arial"/>
          <w:sz w:val="20"/>
          <w:szCs w:val="20"/>
          <w:lang w:val="de-DE" w:eastAsia="en-GB"/>
        </w:rPr>
        <w:t xml:space="preserve">, David Mesher </w:t>
      </w:r>
      <w:r w:rsidR="009C48D3" w:rsidRPr="00AB21B7">
        <w:rPr>
          <w:rFonts w:ascii="Arial" w:hAnsi="Arial" w:cs="Arial"/>
          <w:sz w:val="20"/>
          <w:szCs w:val="20"/>
          <w:vertAlign w:val="superscript"/>
          <w:lang w:val="de-DE" w:eastAsia="en-GB"/>
        </w:rPr>
        <w:t>2</w:t>
      </w:r>
      <w:r w:rsidR="009C48D3" w:rsidRPr="00AB21B7">
        <w:rPr>
          <w:rFonts w:ascii="Arial" w:hAnsi="Arial" w:cs="Arial"/>
          <w:sz w:val="20"/>
          <w:szCs w:val="20"/>
          <w:lang w:val="de-DE" w:eastAsia="en-GB"/>
        </w:rPr>
        <w:t xml:space="preserve">, Tom Nadarzynski </w:t>
      </w:r>
      <w:r w:rsidR="009C48D3" w:rsidRPr="00AB21B7">
        <w:rPr>
          <w:rFonts w:ascii="Arial" w:hAnsi="Arial" w:cs="Arial"/>
          <w:sz w:val="20"/>
          <w:szCs w:val="20"/>
          <w:vertAlign w:val="superscript"/>
          <w:lang w:val="de-DE" w:eastAsia="en-GB"/>
        </w:rPr>
        <w:t>3</w:t>
      </w:r>
      <w:r w:rsidR="00B5146F">
        <w:rPr>
          <w:rFonts w:ascii="Arial" w:hAnsi="Arial" w:cs="Arial"/>
          <w:sz w:val="20"/>
          <w:szCs w:val="20"/>
          <w:vertAlign w:val="superscript"/>
          <w:lang w:val="de-DE" w:eastAsia="en-GB"/>
        </w:rPr>
        <w:t xml:space="preserve"> 4</w:t>
      </w:r>
      <w:r w:rsidR="009C48D3" w:rsidRPr="00AB21B7">
        <w:rPr>
          <w:rFonts w:ascii="Arial" w:hAnsi="Arial" w:cs="Arial"/>
          <w:sz w:val="20"/>
          <w:szCs w:val="20"/>
          <w:lang w:val="de-DE" w:eastAsia="en-GB"/>
        </w:rPr>
        <w:t>,</w:t>
      </w:r>
      <w:r w:rsidR="00C168AB">
        <w:rPr>
          <w:rFonts w:ascii="Arial" w:hAnsi="Arial" w:cs="Arial"/>
          <w:sz w:val="20"/>
          <w:szCs w:val="20"/>
          <w:lang w:val="de-DE" w:eastAsia="en-GB"/>
        </w:rPr>
        <w:t xml:space="preserve"> </w:t>
      </w:r>
      <w:r w:rsidR="009C48D3" w:rsidRPr="00AB21B7">
        <w:rPr>
          <w:rFonts w:ascii="Arial" w:hAnsi="Arial" w:cs="Arial"/>
          <w:sz w:val="20"/>
          <w:szCs w:val="20"/>
          <w:lang w:val="de-DE" w:eastAsia="en-GB"/>
        </w:rPr>
        <w:t>Gwenda Hughes</w:t>
      </w:r>
      <w:r w:rsidR="009C48D3" w:rsidRPr="00AB21B7">
        <w:rPr>
          <w:rFonts w:ascii="Arial" w:hAnsi="Arial" w:cs="Arial"/>
          <w:sz w:val="20"/>
          <w:szCs w:val="20"/>
          <w:vertAlign w:val="superscript"/>
          <w:lang w:val="de-DE" w:eastAsia="en-GB"/>
        </w:rPr>
        <w:t>2</w:t>
      </w:r>
      <w:r w:rsidR="009C48D3" w:rsidRPr="00AB21B7">
        <w:rPr>
          <w:rFonts w:ascii="Arial" w:hAnsi="Arial" w:cs="Arial"/>
          <w:sz w:val="20"/>
          <w:szCs w:val="20"/>
          <w:lang w:val="de-DE" w:eastAsia="en-GB"/>
        </w:rPr>
        <w:t xml:space="preserve">, Kate Soldan </w:t>
      </w:r>
      <w:r w:rsidR="009C48D3" w:rsidRPr="00AB21B7">
        <w:rPr>
          <w:rFonts w:ascii="Arial" w:hAnsi="Arial" w:cs="Arial"/>
          <w:sz w:val="20"/>
          <w:szCs w:val="20"/>
          <w:vertAlign w:val="superscript"/>
          <w:lang w:val="de-DE" w:eastAsia="en-GB"/>
        </w:rPr>
        <w:t>2</w:t>
      </w:r>
    </w:p>
    <w:p w14:paraId="6AC2182D" w14:textId="77777777" w:rsidR="009C48D3" w:rsidRPr="00AB21B7" w:rsidRDefault="009C48D3" w:rsidP="009C48D3">
      <w:pPr>
        <w:pStyle w:val="Standard"/>
        <w:spacing w:line="480" w:lineRule="auto"/>
        <w:jc w:val="center"/>
        <w:rPr>
          <w:rFonts w:ascii="Arial" w:hAnsi="Arial" w:cs="Arial"/>
          <w:sz w:val="20"/>
          <w:szCs w:val="20"/>
          <w:lang w:val="de-DE" w:eastAsia="en-GB"/>
        </w:rPr>
      </w:pPr>
    </w:p>
    <w:p w14:paraId="33267102" w14:textId="77777777" w:rsidR="009C48D3" w:rsidRPr="00AB21B7" w:rsidRDefault="009C48D3" w:rsidP="009C48D3">
      <w:pPr>
        <w:pStyle w:val="Standard"/>
        <w:spacing w:line="480" w:lineRule="auto"/>
        <w:rPr>
          <w:rFonts w:ascii="Arial" w:hAnsi="Arial" w:cs="Arial"/>
          <w:sz w:val="20"/>
          <w:szCs w:val="20"/>
          <w:lang w:eastAsia="en-GB"/>
        </w:rPr>
      </w:pPr>
      <w:r w:rsidRPr="00AB21B7">
        <w:rPr>
          <w:rFonts w:ascii="Arial" w:hAnsi="Arial" w:cs="Arial"/>
          <w:sz w:val="20"/>
          <w:szCs w:val="20"/>
          <w:lang w:eastAsia="en-GB"/>
        </w:rPr>
        <w:t xml:space="preserve">1 </w:t>
      </w:r>
      <w:r w:rsidR="00C248A6" w:rsidRPr="00AB21B7">
        <w:rPr>
          <w:rFonts w:ascii="Arial" w:hAnsi="Arial" w:cs="Arial"/>
          <w:sz w:val="20"/>
          <w:szCs w:val="20"/>
          <w:lang w:eastAsia="en-GB"/>
        </w:rPr>
        <w:t>Barts Healthcare NHS Trust</w:t>
      </w:r>
      <w:r w:rsidRPr="00AB21B7">
        <w:rPr>
          <w:rFonts w:ascii="Arial" w:hAnsi="Arial" w:cs="Arial"/>
          <w:sz w:val="20"/>
          <w:szCs w:val="20"/>
          <w:lang w:eastAsia="en-GB"/>
        </w:rPr>
        <w:t>,</w:t>
      </w:r>
      <w:r w:rsidR="00397300">
        <w:rPr>
          <w:rFonts w:ascii="Arial" w:hAnsi="Arial" w:cs="Arial"/>
          <w:sz w:val="20"/>
          <w:szCs w:val="20"/>
          <w:lang w:eastAsia="en-GB"/>
        </w:rPr>
        <w:t xml:space="preserve"> Department of Sexual Health and HIV,</w:t>
      </w:r>
      <w:r w:rsidRPr="00AB21B7">
        <w:rPr>
          <w:rFonts w:ascii="Arial" w:hAnsi="Arial" w:cs="Arial"/>
          <w:sz w:val="20"/>
          <w:szCs w:val="20"/>
          <w:lang w:eastAsia="en-GB"/>
        </w:rPr>
        <w:t xml:space="preserve"> London</w:t>
      </w:r>
    </w:p>
    <w:p w14:paraId="64CA1A76" w14:textId="77777777" w:rsidR="009C48D3" w:rsidRPr="00AB21B7" w:rsidRDefault="009C48D3" w:rsidP="009C48D3">
      <w:pPr>
        <w:pStyle w:val="Standard"/>
        <w:spacing w:line="480" w:lineRule="auto"/>
        <w:rPr>
          <w:rFonts w:ascii="Arial" w:hAnsi="Arial" w:cs="Arial"/>
          <w:sz w:val="20"/>
          <w:szCs w:val="20"/>
          <w:lang w:eastAsia="en-GB"/>
        </w:rPr>
      </w:pPr>
      <w:r w:rsidRPr="00AB21B7">
        <w:rPr>
          <w:rFonts w:ascii="Arial" w:hAnsi="Arial" w:cs="Arial"/>
          <w:sz w:val="20"/>
          <w:szCs w:val="20"/>
          <w:lang w:eastAsia="en-GB"/>
        </w:rPr>
        <w:t>2 Public Health England, Colindale, London</w:t>
      </w:r>
    </w:p>
    <w:p w14:paraId="38661EAC" w14:textId="77777777" w:rsidR="009C48D3" w:rsidRDefault="009C48D3" w:rsidP="009C48D3">
      <w:pPr>
        <w:pStyle w:val="Standard"/>
        <w:spacing w:line="480" w:lineRule="auto"/>
        <w:rPr>
          <w:rFonts w:ascii="Arial" w:hAnsi="Arial" w:cs="Arial"/>
          <w:sz w:val="20"/>
          <w:szCs w:val="20"/>
          <w:lang w:eastAsia="en-GB"/>
        </w:rPr>
      </w:pPr>
      <w:r w:rsidRPr="00AB21B7">
        <w:rPr>
          <w:rFonts w:ascii="Arial" w:hAnsi="Arial" w:cs="Arial"/>
          <w:sz w:val="20"/>
          <w:szCs w:val="20"/>
          <w:lang w:eastAsia="en-GB"/>
        </w:rPr>
        <w:t xml:space="preserve">3 </w:t>
      </w:r>
      <w:r w:rsidR="00DC6E50">
        <w:rPr>
          <w:rFonts w:ascii="Arial" w:hAnsi="Arial" w:cs="Arial"/>
          <w:sz w:val="20"/>
          <w:szCs w:val="20"/>
          <w:lang w:eastAsia="en-GB"/>
        </w:rPr>
        <w:t>University of Southampton, Department of Psychology, Southampton</w:t>
      </w:r>
    </w:p>
    <w:p w14:paraId="40B3855A" w14:textId="77777777" w:rsidR="00B5146F" w:rsidRPr="00B5146F" w:rsidRDefault="00B5146F" w:rsidP="009C48D3">
      <w:pPr>
        <w:pStyle w:val="Standard"/>
        <w:spacing w:line="480" w:lineRule="auto"/>
        <w:rPr>
          <w:rFonts w:ascii="Arial" w:hAnsi="Arial" w:cs="Arial"/>
          <w:sz w:val="20"/>
          <w:szCs w:val="20"/>
          <w:lang w:eastAsia="en-GB"/>
        </w:rPr>
      </w:pPr>
      <w:r>
        <w:rPr>
          <w:rFonts w:ascii="Arial" w:hAnsi="Arial" w:cs="Arial"/>
          <w:sz w:val="20"/>
          <w:szCs w:val="20"/>
          <w:lang w:eastAsia="en-GB"/>
        </w:rPr>
        <w:t xml:space="preserve">4 </w:t>
      </w:r>
      <w:r w:rsidRPr="00B5146F">
        <w:rPr>
          <w:rFonts w:ascii="Arial" w:hAnsi="Arial" w:cs="Arial"/>
          <w:kern w:val="0"/>
          <w:sz w:val="20"/>
          <w:szCs w:val="20"/>
          <w:lang w:val="en-US"/>
        </w:rPr>
        <w:t>Solent NHS Trust, Royal South Hants Hospital, Southampton</w:t>
      </w:r>
    </w:p>
    <w:p w14:paraId="420F9181" w14:textId="77777777" w:rsidR="009C48D3" w:rsidRPr="00AB21B7" w:rsidRDefault="009C48D3" w:rsidP="009C48D3">
      <w:pPr>
        <w:pStyle w:val="Standard"/>
        <w:spacing w:line="480" w:lineRule="auto"/>
        <w:rPr>
          <w:rFonts w:ascii="Arial" w:hAnsi="Arial" w:cs="Arial"/>
          <w:sz w:val="20"/>
          <w:szCs w:val="20"/>
          <w:lang w:eastAsia="en-GB"/>
        </w:rPr>
      </w:pPr>
    </w:p>
    <w:p w14:paraId="6A4DEA76" w14:textId="77777777" w:rsidR="009C48D3" w:rsidRPr="00AB21B7" w:rsidRDefault="009C48D3" w:rsidP="009C48D3">
      <w:pPr>
        <w:pStyle w:val="Standard"/>
        <w:spacing w:line="480" w:lineRule="auto"/>
        <w:rPr>
          <w:rFonts w:ascii="Arial" w:hAnsi="Arial" w:cs="Arial"/>
          <w:sz w:val="20"/>
          <w:szCs w:val="20"/>
          <w:lang w:eastAsia="en-GB"/>
        </w:rPr>
      </w:pPr>
    </w:p>
    <w:p w14:paraId="4A28A096" w14:textId="77777777" w:rsidR="009C48D3" w:rsidRPr="00AB21B7" w:rsidRDefault="009C48D3" w:rsidP="009C48D3">
      <w:pPr>
        <w:pStyle w:val="Standard"/>
        <w:spacing w:line="480" w:lineRule="auto"/>
        <w:rPr>
          <w:rFonts w:ascii="Arial" w:hAnsi="Arial" w:cs="Arial"/>
          <w:b/>
          <w:bCs/>
          <w:sz w:val="20"/>
          <w:szCs w:val="20"/>
          <w:lang w:eastAsia="en-GB"/>
        </w:rPr>
      </w:pPr>
      <w:r w:rsidRPr="00AB21B7">
        <w:rPr>
          <w:rFonts w:ascii="Arial" w:hAnsi="Arial" w:cs="Arial"/>
          <w:b/>
          <w:bCs/>
          <w:sz w:val="20"/>
          <w:szCs w:val="20"/>
          <w:lang w:eastAsia="en-GB"/>
        </w:rPr>
        <w:t xml:space="preserve">Correspondence to: </w:t>
      </w:r>
    </w:p>
    <w:p w14:paraId="13A56DAA" w14:textId="77777777" w:rsidR="00813B00" w:rsidRPr="00AB21B7" w:rsidRDefault="00813B00" w:rsidP="00813B00">
      <w:pPr>
        <w:pStyle w:val="Standard"/>
        <w:spacing w:line="480" w:lineRule="auto"/>
        <w:rPr>
          <w:rFonts w:ascii="Arial" w:hAnsi="Arial" w:cs="Arial"/>
          <w:bCs/>
          <w:sz w:val="20"/>
          <w:szCs w:val="20"/>
          <w:lang w:eastAsia="en-GB"/>
        </w:rPr>
      </w:pPr>
      <w:r w:rsidRPr="00AB21B7">
        <w:rPr>
          <w:rFonts w:ascii="Arial" w:hAnsi="Arial" w:cs="Arial"/>
          <w:bCs/>
          <w:sz w:val="20"/>
          <w:szCs w:val="20"/>
          <w:lang w:eastAsia="en-GB"/>
        </w:rPr>
        <w:t>Barts Healthcare NHS Trust</w:t>
      </w:r>
    </w:p>
    <w:p w14:paraId="4C6CDE0F" w14:textId="77777777" w:rsidR="009C48D3" w:rsidRPr="00AB21B7" w:rsidRDefault="00C248A6" w:rsidP="009C48D3">
      <w:pPr>
        <w:pStyle w:val="Standard"/>
        <w:spacing w:line="480" w:lineRule="auto"/>
        <w:rPr>
          <w:rFonts w:ascii="Arial" w:hAnsi="Arial" w:cs="Arial"/>
          <w:bCs/>
          <w:sz w:val="20"/>
          <w:szCs w:val="20"/>
          <w:lang w:eastAsia="en-GB"/>
        </w:rPr>
      </w:pPr>
      <w:r w:rsidRPr="00AB21B7">
        <w:rPr>
          <w:rFonts w:ascii="Arial" w:hAnsi="Arial" w:cs="Arial"/>
          <w:bCs/>
          <w:sz w:val="20"/>
          <w:szCs w:val="20"/>
          <w:lang w:eastAsia="en-GB"/>
        </w:rPr>
        <w:t>Newham University Hospital</w:t>
      </w:r>
    </w:p>
    <w:p w14:paraId="078FD459" w14:textId="77777777" w:rsidR="00C248A6" w:rsidRPr="00AB21B7" w:rsidRDefault="00C248A6" w:rsidP="009C48D3">
      <w:pPr>
        <w:pStyle w:val="Standard"/>
        <w:spacing w:line="480" w:lineRule="auto"/>
        <w:rPr>
          <w:rFonts w:ascii="Arial" w:hAnsi="Arial" w:cs="Arial"/>
          <w:bCs/>
          <w:sz w:val="20"/>
          <w:szCs w:val="20"/>
          <w:lang w:eastAsia="en-GB"/>
        </w:rPr>
      </w:pPr>
      <w:r w:rsidRPr="00AB21B7">
        <w:rPr>
          <w:rFonts w:ascii="Arial" w:hAnsi="Arial" w:cs="Arial"/>
          <w:bCs/>
          <w:sz w:val="20"/>
          <w:szCs w:val="20"/>
          <w:lang w:eastAsia="en-GB"/>
        </w:rPr>
        <w:t>Glen Road</w:t>
      </w:r>
    </w:p>
    <w:p w14:paraId="33D20737" w14:textId="77777777" w:rsidR="00C248A6" w:rsidRPr="00AB21B7" w:rsidRDefault="00C248A6" w:rsidP="009C48D3">
      <w:pPr>
        <w:pStyle w:val="Standard"/>
        <w:spacing w:line="480" w:lineRule="auto"/>
        <w:rPr>
          <w:rFonts w:ascii="Arial" w:hAnsi="Arial" w:cs="Arial"/>
          <w:bCs/>
          <w:sz w:val="20"/>
          <w:szCs w:val="20"/>
          <w:lang w:eastAsia="en-GB"/>
        </w:rPr>
      </w:pPr>
      <w:r w:rsidRPr="00AB21B7">
        <w:rPr>
          <w:rFonts w:ascii="Arial" w:hAnsi="Arial" w:cs="Arial"/>
          <w:bCs/>
          <w:sz w:val="20"/>
          <w:szCs w:val="20"/>
          <w:lang w:eastAsia="en-GB"/>
        </w:rPr>
        <w:t>Plaistow, London</w:t>
      </w:r>
    </w:p>
    <w:p w14:paraId="1B6B9B41" w14:textId="77777777" w:rsidR="00C248A6" w:rsidRPr="00AB21B7" w:rsidRDefault="00C248A6" w:rsidP="009C48D3">
      <w:pPr>
        <w:pStyle w:val="Standard"/>
        <w:spacing w:line="480" w:lineRule="auto"/>
        <w:rPr>
          <w:rFonts w:ascii="Arial" w:hAnsi="Arial" w:cs="Arial"/>
          <w:bCs/>
          <w:sz w:val="20"/>
          <w:szCs w:val="20"/>
          <w:lang w:eastAsia="en-GB"/>
        </w:rPr>
      </w:pPr>
      <w:r w:rsidRPr="00AB21B7">
        <w:rPr>
          <w:rFonts w:ascii="Arial" w:hAnsi="Arial" w:cs="Arial"/>
          <w:bCs/>
          <w:sz w:val="20"/>
          <w:szCs w:val="20"/>
          <w:lang w:eastAsia="en-GB"/>
        </w:rPr>
        <w:t>E13 8SL</w:t>
      </w:r>
    </w:p>
    <w:p w14:paraId="0A2FD107" w14:textId="77777777" w:rsidR="009C48D3" w:rsidRDefault="00D25A2B" w:rsidP="009C48D3">
      <w:pPr>
        <w:pStyle w:val="Standard"/>
        <w:spacing w:line="480" w:lineRule="auto"/>
        <w:rPr>
          <w:rFonts w:ascii="Arial" w:hAnsi="Arial" w:cs="Arial"/>
          <w:bCs/>
          <w:sz w:val="20"/>
          <w:szCs w:val="20"/>
          <w:lang w:eastAsia="en-GB"/>
        </w:rPr>
      </w:pPr>
      <w:hyperlink r:id="rId8" w:history="1">
        <w:r w:rsidR="00397300" w:rsidRPr="00E63867">
          <w:rPr>
            <w:rStyle w:val="Hyperlink"/>
            <w:rFonts w:ascii="Arial" w:hAnsi="Arial" w:cs="Arial"/>
            <w:bCs/>
            <w:sz w:val="20"/>
            <w:szCs w:val="20"/>
            <w:lang w:eastAsia="en-GB"/>
          </w:rPr>
          <w:t>jake.bayley@bartshealth.nhs.uk</w:t>
        </w:r>
      </w:hyperlink>
    </w:p>
    <w:p w14:paraId="6772A6CC" w14:textId="77777777" w:rsidR="00397300" w:rsidRDefault="00397300" w:rsidP="009C48D3">
      <w:pPr>
        <w:pStyle w:val="Standard"/>
        <w:spacing w:line="480" w:lineRule="auto"/>
        <w:rPr>
          <w:rFonts w:ascii="Arial" w:hAnsi="Arial" w:cs="Arial"/>
          <w:bCs/>
          <w:sz w:val="20"/>
          <w:szCs w:val="20"/>
          <w:lang w:eastAsia="en-GB"/>
        </w:rPr>
      </w:pPr>
      <w:r>
        <w:rPr>
          <w:rFonts w:ascii="Arial" w:hAnsi="Arial" w:cs="Arial"/>
          <w:bCs/>
          <w:sz w:val="20"/>
          <w:szCs w:val="20"/>
          <w:lang w:eastAsia="en-GB"/>
        </w:rPr>
        <w:t>Mobile: 07970 516841</w:t>
      </w:r>
    </w:p>
    <w:p w14:paraId="3475D539" w14:textId="77777777" w:rsidR="00397300" w:rsidRDefault="00397300" w:rsidP="009C48D3">
      <w:pPr>
        <w:pStyle w:val="Standard"/>
        <w:spacing w:line="480" w:lineRule="auto"/>
        <w:rPr>
          <w:rFonts w:ascii="Arial" w:hAnsi="Arial" w:cs="Arial"/>
          <w:bCs/>
          <w:sz w:val="20"/>
          <w:szCs w:val="20"/>
          <w:lang w:eastAsia="en-GB"/>
        </w:rPr>
      </w:pPr>
    </w:p>
    <w:p w14:paraId="5D1D1196" w14:textId="77777777" w:rsidR="00966AA6" w:rsidRPr="00AB21B7" w:rsidRDefault="00966AA6" w:rsidP="009C48D3">
      <w:pPr>
        <w:pStyle w:val="Standard"/>
        <w:spacing w:line="480" w:lineRule="auto"/>
        <w:rPr>
          <w:rFonts w:ascii="Arial" w:hAnsi="Arial" w:cs="Arial"/>
          <w:sz w:val="20"/>
          <w:szCs w:val="20"/>
          <w:lang w:eastAsia="en-GB"/>
        </w:rPr>
      </w:pPr>
    </w:p>
    <w:p w14:paraId="2D8ABF28" w14:textId="77777777" w:rsidR="009C48D3" w:rsidRPr="00AB21B7" w:rsidRDefault="009C48D3" w:rsidP="009C48D3">
      <w:pPr>
        <w:pStyle w:val="Standard"/>
        <w:spacing w:line="480" w:lineRule="auto"/>
        <w:rPr>
          <w:rFonts w:ascii="Arial" w:hAnsi="Arial" w:cs="Arial"/>
          <w:sz w:val="20"/>
          <w:szCs w:val="20"/>
        </w:rPr>
      </w:pPr>
      <w:r w:rsidRPr="00AB21B7">
        <w:rPr>
          <w:rFonts w:ascii="Arial" w:hAnsi="Arial" w:cs="Arial"/>
          <w:b/>
          <w:bCs/>
          <w:sz w:val="20"/>
          <w:szCs w:val="20"/>
          <w:lang w:eastAsia="en-GB"/>
        </w:rPr>
        <w:t xml:space="preserve">Key words: </w:t>
      </w:r>
      <w:r w:rsidRPr="00AB21B7">
        <w:rPr>
          <w:rFonts w:ascii="Arial" w:hAnsi="Arial" w:cs="Arial"/>
          <w:sz w:val="20"/>
          <w:szCs w:val="20"/>
          <w:lang w:eastAsia="en-GB"/>
        </w:rPr>
        <w:t>Human Papillomavirus, HPV, anal cancer, men who have sex with men, MSM, gay, vaccine,</w:t>
      </w:r>
    </w:p>
    <w:p w14:paraId="3ED41D66" w14:textId="77777777" w:rsidR="009C48D3" w:rsidRPr="00AB21B7" w:rsidRDefault="009C48D3" w:rsidP="009C48D3">
      <w:pPr>
        <w:pStyle w:val="Standard"/>
        <w:spacing w:line="480" w:lineRule="auto"/>
        <w:rPr>
          <w:rFonts w:ascii="Arial" w:hAnsi="Arial" w:cs="Arial"/>
          <w:sz w:val="20"/>
          <w:szCs w:val="20"/>
          <w:lang w:eastAsia="en-GB"/>
        </w:rPr>
      </w:pPr>
    </w:p>
    <w:p w14:paraId="6A78B0E9" w14:textId="77777777" w:rsidR="009C48D3" w:rsidRPr="00AB21B7" w:rsidRDefault="009C48D3" w:rsidP="009C48D3">
      <w:pPr>
        <w:pStyle w:val="Standard"/>
        <w:spacing w:line="480" w:lineRule="auto"/>
        <w:rPr>
          <w:rFonts w:ascii="Arial" w:hAnsi="Arial" w:cs="Arial"/>
          <w:sz w:val="20"/>
          <w:szCs w:val="20"/>
          <w:lang w:eastAsia="en-GB"/>
        </w:rPr>
      </w:pPr>
    </w:p>
    <w:p w14:paraId="3327D933" w14:textId="77777777" w:rsidR="009C48D3" w:rsidRPr="00AB21B7" w:rsidRDefault="009C48D3" w:rsidP="009C48D3">
      <w:pPr>
        <w:pStyle w:val="Standard"/>
        <w:spacing w:line="480" w:lineRule="auto"/>
        <w:rPr>
          <w:rFonts w:ascii="Arial" w:hAnsi="Arial" w:cs="Arial"/>
          <w:sz w:val="20"/>
          <w:szCs w:val="20"/>
          <w:lang w:eastAsia="en-GB"/>
        </w:rPr>
      </w:pPr>
    </w:p>
    <w:p w14:paraId="1AC44B5A" w14:textId="77777777" w:rsidR="009C48D3" w:rsidRPr="00AB21B7" w:rsidRDefault="009C48D3" w:rsidP="009C48D3">
      <w:pPr>
        <w:spacing w:line="480" w:lineRule="auto"/>
        <w:rPr>
          <w:rFonts w:ascii="Arial" w:hAnsi="Arial" w:cs="Arial"/>
          <w:sz w:val="20"/>
          <w:szCs w:val="20"/>
        </w:rPr>
      </w:pPr>
    </w:p>
    <w:p w14:paraId="778B7CA8" w14:textId="77777777" w:rsidR="009C48D3" w:rsidRPr="00AB21B7" w:rsidRDefault="009C48D3" w:rsidP="009C48D3">
      <w:pPr>
        <w:spacing w:line="480" w:lineRule="auto"/>
        <w:rPr>
          <w:rFonts w:ascii="Arial" w:hAnsi="Arial" w:cs="Arial"/>
          <w:sz w:val="20"/>
          <w:szCs w:val="20"/>
        </w:rPr>
      </w:pPr>
    </w:p>
    <w:p w14:paraId="3D3A2561" w14:textId="77777777" w:rsidR="009C48D3" w:rsidRPr="00AB21B7" w:rsidRDefault="009C48D3" w:rsidP="009C48D3">
      <w:pPr>
        <w:spacing w:line="480" w:lineRule="auto"/>
        <w:rPr>
          <w:rFonts w:ascii="Arial" w:hAnsi="Arial" w:cs="Arial"/>
          <w:sz w:val="20"/>
          <w:szCs w:val="20"/>
        </w:rPr>
      </w:pPr>
    </w:p>
    <w:p w14:paraId="7AB8C6E3" w14:textId="77777777" w:rsidR="009C48D3" w:rsidRPr="00AB21B7" w:rsidRDefault="009C48D3" w:rsidP="009C48D3">
      <w:pPr>
        <w:spacing w:line="480" w:lineRule="auto"/>
        <w:rPr>
          <w:rFonts w:ascii="Arial" w:hAnsi="Arial" w:cs="Arial"/>
          <w:sz w:val="20"/>
          <w:szCs w:val="20"/>
        </w:rPr>
      </w:pPr>
    </w:p>
    <w:p w14:paraId="1DB2EBB4" w14:textId="77777777" w:rsidR="009C48D3" w:rsidRPr="00AB21B7" w:rsidRDefault="009C48D3" w:rsidP="009C48D3">
      <w:pPr>
        <w:pageBreakBefore/>
        <w:spacing w:line="480" w:lineRule="auto"/>
        <w:rPr>
          <w:rFonts w:ascii="Arial" w:hAnsi="Arial" w:cs="Arial"/>
          <w:b/>
          <w:bCs/>
          <w:sz w:val="20"/>
          <w:szCs w:val="20"/>
        </w:rPr>
      </w:pPr>
      <w:r w:rsidRPr="00AB21B7">
        <w:rPr>
          <w:rFonts w:ascii="Arial" w:hAnsi="Arial" w:cs="Arial"/>
          <w:b/>
          <w:bCs/>
          <w:sz w:val="20"/>
          <w:szCs w:val="20"/>
        </w:rPr>
        <w:lastRenderedPageBreak/>
        <w:t>ABSTRACT</w:t>
      </w:r>
    </w:p>
    <w:p w14:paraId="5647CD68" w14:textId="77777777" w:rsidR="00966AA6" w:rsidRDefault="009C48D3" w:rsidP="00D30241">
      <w:pPr>
        <w:spacing w:line="480" w:lineRule="auto"/>
        <w:jc w:val="both"/>
        <w:rPr>
          <w:rFonts w:ascii="Arial" w:hAnsi="Arial" w:cs="Arial"/>
          <w:sz w:val="20"/>
          <w:szCs w:val="20"/>
        </w:rPr>
      </w:pPr>
      <w:r w:rsidRPr="00494551">
        <w:rPr>
          <w:rFonts w:ascii="Arial" w:hAnsi="Arial" w:cs="Arial"/>
          <w:b/>
          <w:bCs/>
          <w:sz w:val="20"/>
          <w:szCs w:val="20"/>
        </w:rPr>
        <w:t>Background:</w:t>
      </w:r>
      <w:r w:rsidRPr="00494551">
        <w:rPr>
          <w:rFonts w:ascii="Arial" w:hAnsi="Arial" w:cs="Arial"/>
          <w:sz w:val="20"/>
          <w:szCs w:val="20"/>
        </w:rPr>
        <w:t xml:space="preserve">  HPV immunisation programmes</w:t>
      </w:r>
      <w:r w:rsidR="007E7B66">
        <w:rPr>
          <w:rFonts w:ascii="Arial" w:hAnsi="Arial" w:cs="Arial"/>
          <w:sz w:val="20"/>
          <w:szCs w:val="20"/>
        </w:rPr>
        <w:t xml:space="preserve"> for </w:t>
      </w:r>
      <w:r w:rsidRPr="00494551">
        <w:rPr>
          <w:rFonts w:ascii="Arial" w:hAnsi="Arial" w:cs="Arial"/>
          <w:sz w:val="20"/>
          <w:szCs w:val="20"/>
        </w:rPr>
        <w:t xml:space="preserve">female </w:t>
      </w:r>
      <w:r w:rsidR="007E7B66">
        <w:rPr>
          <w:rFonts w:ascii="Arial" w:hAnsi="Arial" w:cs="Arial"/>
          <w:sz w:val="20"/>
          <w:szCs w:val="20"/>
        </w:rPr>
        <w:t>adolescents</w:t>
      </w:r>
      <w:r w:rsidRPr="00494551">
        <w:rPr>
          <w:rFonts w:ascii="Arial" w:hAnsi="Arial" w:cs="Arial"/>
          <w:sz w:val="20"/>
          <w:szCs w:val="20"/>
        </w:rPr>
        <w:t xml:space="preserve"> in the UK offer relatively little benefit to men who have sex with men (MSM).</w:t>
      </w:r>
      <w:r w:rsidR="007E7B66">
        <w:rPr>
          <w:rFonts w:ascii="Arial" w:hAnsi="Arial" w:cs="Arial"/>
          <w:sz w:val="20"/>
          <w:szCs w:val="20"/>
        </w:rPr>
        <w:t xml:space="preserve"> Targeted </w:t>
      </w:r>
      <w:r w:rsidRPr="00494551">
        <w:rPr>
          <w:rFonts w:ascii="Arial" w:hAnsi="Arial" w:cs="Arial"/>
          <w:sz w:val="20"/>
          <w:szCs w:val="20"/>
        </w:rPr>
        <w:t>HPV vaccination f</w:t>
      </w:r>
      <w:r w:rsidR="007E7B66">
        <w:rPr>
          <w:rFonts w:ascii="Arial" w:hAnsi="Arial" w:cs="Arial"/>
          <w:sz w:val="20"/>
          <w:szCs w:val="20"/>
        </w:rPr>
        <w:t>or MSM</w:t>
      </w:r>
      <w:r w:rsidRPr="00494551">
        <w:rPr>
          <w:rFonts w:ascii="Arial" w:hAnsi="Arial" w:cs="Arial"/>
          <w:sz w:val="20"/>
          <w:szCs w:val="20"/>
        </w:rPr>
        <w:t xml:space="preserve"> </w:t>
      </w:r>
      <w:r w:rsidR="007E7B66">
        <w:rPr>
          <w:rFonts w:ascii="Arial" w:hAnsi="Arial" w:cs="Arial"/>
          <w:sz w:val="20"/>
          <w:szCs w:val="20"/>
        </w:rPr>
        <w:t xml:space="preserve">may </w:t>
      </w:r>
      <w:r w:rsidRPr="00494551">
        <w:rPr>
          <w:rFonts w:ascii="Arial" w:hAnsi="Arial" w:cs="Arial"/>
          <w:sz w:val="20"/>
          <w:szCs w:val="20"/>
        </w:rPr>
        <w:t>reduce the high incidence of HPV-related disease among</w:t>
      </w:r>
      <w:r w:rsidR="007E7B66">
        <w:rPr>
          <w:rFonts w:ascii="Arial" w:hAnsi="Arial" w:cs="Arial"/>
          <w:sz w:val="20"/>
          <w:szCs w:val="20"/>
        </w:rPr>
        <w:t>st</w:t>
      </w:r>
      <w:r w:rsidRPr="00494551">
        <w:rPr>
          <w:rFonts w:ascii="Arial" w:hAnsi="Arial" w:cs="Arial"/>
          <w:sz w:val="20"/>
          <w:szCs w:val="20"/>
        </w:rPr>
        <w:t xml:space="preserve"> MSM.</w:t>
      </w:r>
      <w:r w:rsidR="00877C0B" w:rsidRPr="00494551">
        <w:rPr>
          <w:rFonts w:ascii="Arial" w:hAnsi="Arial" w:cs="Arial"/>
          <w:sz w:val="20"/>
          <w:szCs w:val="20"/>
        </w:rPr>
        <w:t xml:space="preserve"> </w:t>
      </w:r>
      <w:r w:rsidRPr="00494551">
        <w:rPr>
          <w:rFonts w:ascii="Arial" w:hAnsi="Arial" w:cs="Arial"/>
          <w:sz w:val="20"/>
          <w:szCs w:val="20"/>
        </w:rPr>
        <w:t xml:space="preserve">We used national data from sexual health clinics to </w:t>
      </w:r>
      <w:r w:rsidR="00933551">
        <w:rPr>
          <w:rFonts w:ascii="Arial" w:hAnsi="Arial" w:cs="Arial"/>
          <w:sz w:val="20"/>
          <w:szCs w:val="20"/>
        </w:rPr>
        <w:t>calculate</w:t>
      </w:r>
      <w:r w:rsidR="00933551" w:rsidRPr="00494551">
        <w:rPr>
          <w:rFonts w:ascii="Arial" w:hAnsi="Arial" w:cs="Arial"/>
          <w:sz w:val="20"/>
          <w:szCs w:val="20"/>
        </w:rPr>
        <w:t xml:space="preserve"> </w:t>
      </w:r>
      <w:r w:rsidRPr="00494551">
        <w:rPr>
          <w:rFonts w:ascii="Arial" w:hAnsi="Arial" w:cs="Arial"/>
          <w:sz w:val="20"/>
          <w:szCs w:val="20"/>
        </w:rPr>
        <w:t xml:space="preserve">the number </w:t>
      </w:r>
      <w:r w:rsidR="00933551">
        <w:rPr>
          <w:rFonts w:ascii="Arial" w:hAnsi="Arial" w:cs="Arial"/>
          <w:sz w:val="20"/>
          <w:szCs w:val="20"/>
        </w:rPr>
        <w:t xml:space="preserve">of MSM attending these clinics </w:t>
      </w:r>
      <w:r w:rsidR="007E7B66">
        <w:rPr>
          <w:rFonts w:ascii="Arial" w:hAnsi="Arial" w:cs="Arial"/>
          <w:sz w:val="20"/>
          <w:szCs w:val="20"/>
        </w:rPr>
        <w:t>throughout England from 2009 to 2014</w:t>
      </w:r>
      <w:r w:rsidR="00933551">
        <w:rPr>
          <w:rFonts w:ascii="Arial" w:hAnsi="Arial" w:cs="Arial"/>
          <w:sz w:val="20"/>
          <w:szCs w:val="20"/>
        </w:rPr>
        <w:t xml:space="preserve"> and </w:t>
      </w:r>
      <w:r w:rsidR="00E02AA4">
        <w:rPr>
          <w:rFonts w:ascii="Arial" w:hAnsi="Arial" w:cs="Arial"/>
          <w:sz w:val="20"/>
          <w:szCs w:val="20"/>
        </w:rPr>
        <w:t xml:space="preserve">to identify </w:t>
      </w:r>
      <w:r w:rsidR="00933551">
        <w:rPr>
          <w:rFonts w:ascii="Arial" w:hAnsi="Arial" w:cs="Arial"/>
          <w:sz w:val="20"/>
          <w:szCs w:val="20"/>
        </w:rPr>
        <w:t>their characteristics</w:t>
      </w:r>
      <w:r w:rsidR="007E7B66">
        <w:rPr>
          <w:rFonts w:ascii="Arial" w:hAnsi="Arial" w:cs="Arial"/>
          <w:sz w:val="20"/>
          <w:szCs w:val="20"/>
        </w:rPr>
        <w:t xml:space="preserve">, </w:t>
      </w:r>
      <w:r w:rsidRPr="00494551">
        <w:rPr>
          <w:rFonts w:ascii="Arial" w:hAnsi="Arial" w:cs="Arial"/>
          <w:sz w:val="20"/>
          <w:szCs w:val="20"/>
        </w:rPr>
        <w:t xml:space="preserve">to inform </w:t>
      </w:r>
      <w:r w:rsidR="00E02AA4">
        <w:rPr>
          <w:rFonts w:ascii="Arial" w:hAnsi="Arial" w:cs="Arial"/>
          <w:sz w:val="20"/>
          <w:szCs w:val="20"/>
        </w:rPr>
        <w:t xml:space="preserve">the </w:t>
      </w:r>
      <w:r w:rsidR="00392EF4">
        <w:rPr>
          <w:rFonts w:ascii="Arial" w:hAnsi="Arial" w:cs="Arial"/>
          <w:sz w:val="20"/>
          <w:szCs w:val="20"/>
        </w:rPr>
        <w:t>implementation</w:t>
      </w:r>
      <w:r w:rsidR="00E02AA4">
        <w:rPr>
          <w:rFonts w:ascii="Arial" w:hAnsi="Arial" w:cs="Arial"/>
          <w:sz w:val="20"/>
          <w:szCs w:val="20"/>
        </w:rPr>
        <w:t xml:space="preserve"> of </w:t>
      </w:r>
      <w:r w:rsidR="007E7B66">
        <w:rPr>
          <w:rFonts w:ascii="Arial" w:hAnsi="Arial" w:cs="Arial"/>
          <w:sz w:val="20"/>
          <w:szCs w:val="20"/>
        </w:rPr>
        <w:t xml:space="preserve">a </w:t>
      </w:r>
      <w:r w:rsidR="00E02AA4">
        <w:rPr>
          <w:rFonts w:ascii="Arial" w:hAnsi="Arial" w:cs="Arial"/>
          <w:sz w:val="20"/>
          <w:szCs w:val="20"/>
        </w:rPr>
        <w:t>targeted</w:t>
      </w:r>
      <w:r w:rsidR="007E7B66">
        <w:rPr>
          <w:rFonts w:ascii="Arial" w:hAnsi="Arial" w:cs="Arial"/>
          <w:sz w:val="20"/>
          <w:szCs w:val="20"/>
        </w:rPr>
        <w:t xml:space="preserve"> HPV vaccination program</w:t>
      </w:r>
      <w:r w:rsidR="00E02AA4">
        <w:rPr>
          <w:rFonts w:ascii="Arial" w:hAnsi="Arial" w:cs="Arial"/>
          <w:sz w:val="20"/>
          <w:szCs w:val="20"/>
        </w:rPr>
        <w:t>me in MSM</w:t>
      </w:r>
      <w:r w:rsidRPr="00494551">
        <w:rPr>
          <w:rFonts w:ascii="Arial" w:hAnsi="Arial" w:cs="Arial"/>
          <w:sz w:val="20"/>
          <w:szCs w:val="20"/>
        </w:rPr>
        <w:t>.</w:t>
      </w:r>
    </w:p>
    <w:p w14:paraId="740907F8" w14:textId="1B9FF30A" w:rsidR="009F6D13" w:rsidRPr="00494551" w:rsidRDefault="009C48D3" w:rsidP="00D30241">
      <w:pPr>
        <w:spacing w:line="480" w:lineRule="auto"/>
        <w:jc w:val="both"/>
        <w:rPr>
          <w:rFonts w:ascii="Arial" w:hAnsi="Arial" w:cs="Arial"/>
          <w:sz w:val="20"/>
          <w:szCs w:val="20"/>
        </w:rPr>
      </w:pPr>
      <w:r w:rsidRPr="00494551">
        <w:rPr>
          <w:rFonts w:ascii="Arial" w:hAnsi="Arial" w:cs="Arial"/>
          <w:sz w:val="20"/>
          <w:szCs w:val="20"/>
        </w:rPr>
        <w:t xml:space="preserve"> </w:t>
      </w:r>
    </w:p>
    <w:p w14:paraId="19839C0C" w14:textId="28152A5A" w:rsidR="009C48D3" w:rsidRDefault="009C48D3" w:rsidP="00D30241">
      <w:pPr>
        <w:spacing w:line="480" w:lineRule="auto"/>
        <w:jc w:val="both"/>
        <w:rPr>
          <w:rFonts w:ascii="Arial" w:hAnsi="Arial" w:cs="Arial"/>
          <w:sz w:val="20"/>
          <w:szCs w:val="20"/>
        </w:rPr>
      </w:pPr>
      <w:r w:rsidRPr="00494551">
        <w:rPr>
          <w:rFonts w:ascii="Arial" w:hAnsi="Arial" w:cs="Arial"/>
          <w:b/>
          <w:bCs/>
          <w:sz w:val="20"/>
          <w:szCs w:val="20"/>
        </w:rPr>
        <w:t>Methods:</w:t>
      </w:r>
      <w:r w:rsidRPr="00494551">
        <w:rPr>
          <w:rFonts w:ascii="Arial" w:hAnsi="Arial" w:cs="Arial"/>
          <w:sz w:val="20"/>
          <w:szCs w:val="20"/>
        </w:rPr>
        <w:t xml:space="preserve"> </w:t>
      </w:r>
      <w:r w:rsidR="00933551">
        <w:rPr>
          <w:rFonts w:ascii="Arial" w:hAnsi="Arial" w:cs="Arial"/>
          <w:sz w:val="20"/>
          <w:szCs w:val="20"/>
        </w:rPr>
        <w:t>We used the</w:t>
      </w:r>
      <w:r w:rsidR="00933551" w:rsidRPr="00494551">
        <w:rPr>
          <w:rFonts w:ascii="Arial" w:hAnsi="Arial" w:cs="Arial"/>
          <w:sz w:val="20"/>
          <w:szCs w:val="20"/>
        </w:rPr>
        <w:t xml:space="preserve"> </w:t>
      </w:r>
      <w:r w:rsidRPr="00494551">
        <w:rPr>
          <w:rFonts w:ascii="Arial" w:hAnsi="Arial" w:cs="Arial"/>
          <w:sz w:val="20"/>
          <w:szCs w:val="20"/>
        </w:rPr>
        <w:t>Genito-Urinary Medicine Clinic Activity Dataset (GUMCAD</w:t>
      </w:r>
      <w:r w:rsidR="007E7B66">
        <w:rPr>
          <w:rFonts w:ascii="Arial" w:hAnsi="Arial" w:cs="Arial"/>
          <w:sz w:val="20"/>
          <w:szCs w:val="20"/>
        </w:rPr>
        <w:t>v2</w:t>
      </w:r>
      <w:r w:rsidRPr="00494551">
        <w:rPr>
          <w:rFonts w:ascii="Arial" w:hAnsi="Arial" w:cs="Arial"/>
          <w:sz w:val="20"/>
          <w:szCs w:val="20"/>
        </w:rPr>
        <w:t xml:space="preserve">) </w:t>
      </w:r>
      <w:r w:rsidR="00933551">
        <w:rPr>
          <w:rFonts w:ascii="Arial" w:hAnsi="Arial" w:cs="Arial"/>
          <w:sz w:val="20"/>
          <w:szCs w:val="20"/>
        </w:rPr>
        <w:t xml:space="preserve">to obtain data for </w:t>
      </w:r>
      <w:r w:rsidRPr="00494551">
        <w:rPr>
          <w:rFonts w:ascii="Arial" w:hAnsi="Arial" w:cs="Arial"/>
          <w:sz w:val="20"/>
          <w:szCs w:val="20"/>
        </w:rPr>
        <w:t>men aged 15-70 who had attended a GUM clinic i</w:t>
      </w:r>
      <w:r w:rsidR="007E7B66">
        <w:rPr>
          <w:rFonts w:ascii="Arial" w:hAnsi="Arial" w:cs="Arial"/>
          <w:sz w:val="20"/>
          <w:szCs w:val="20"/>
        </w:rPr>
        <w:t xml:space="preserve">n England from 2009 </w:t>
      </w:r>
      <w:r w:rsidRPr="00494551">
        <w:rPr>
          <w:rFonts w:ascii="Arial" w:hAnsi="Arial" w:cs="Arial"/>
          <w:sz w:val="20"/>
          <w:szCs w:val="20"/>
        </w:rPr>
        <w:t xml:space="preserve">to </w:t>
      </w:r>
      <w:r w:rsidR="007E7B66">
        <w:rPr>
          <w:rFonts w:ascii="Arial" w:hAnsi="Arial" w:cs="Arial"/>
          <w:sz w:val="20"/>
          <w:szCs w:val="20"/>
        </w:rPr>
        <w:t>2014</w:t>
      </w:r>
      <w:r w:rsidRPr="00494551">
        <w:rPr>
          <w:rFonts w:ascii="Arial" w:hAnsi="Arial" w:cs="Arial"/>
          <w:sz w:val="20"/>
          <w:szCs w:val="20"/>
        </w:rPr>
        <w:t xml:space="preserve">. </w:t>
      </w:r>
      <w:r w:rsidR="00D22E30">
        <w:rPr>
          <w:rFonts w:ascii="Arial" w:hAnsi="Arial" w:cs="Arial"/>
          <w:sz w:val="20"/>
          <w:szCs w:val="20"/>
        </w:rPr>
        <w:t>W</w:t>
      </w:r>
      <w:r w:rsidRPr="00494551">
        <w:rPr>
          <w:rFonts w:ascii="Arial" w:hAnsi="Arial" w:cs="Arial"/>
          <w:sz w:val="20"/>
          <w:szCs w:val="20"/>
        </w:rPr>
        <w:t xml:space="preserve">e </w:t>
      </w:r>
      <w:r w:rsidR="007E7B66">
        <w:rPr>
          <w:rFonts w:ascii="Arial" w:hAnsi="Arial" w:cs="Arial"/>
          <w:sz w:val="20"/>
          <w:szCs w:val="20"/>
        </w:rPr>
        <w:t>analysed</w:t>
      </w:r>
      <w:r w:rsidRPr="00494551">
        <w:rPr>
          <w:rFonts w:ascii="Arial" w:hAnsi="Arial" w:cs="Arial"/>
          <w:sz w:val="20"/>
          <w:szCs w:val="20"/>
        </w:rPr>
        <w:t xml:space="preserve"> </w:t>
      </w:r>
      <w:r w:rsidR="00C84158">
        <w:rPr>
          <w:rFonts w:ascii="Arial" w:hAnsi="Arial" w:cs="Arial"/>
          <w:sz w:val="20"/>
          <w:szCs w:val="20"/>
        </w:rPr>
        <w:t xml:space="preserve">both numbers of MSM attending and number of </w:t>
      </w:r>
      <w:r w:rsidRPr="00494551">
        <w:rPr>
          <w:rFonts w:ascii="Arial" w:hAnsi="Arial" w:cs="Arial"/>
          <w:sz w:val="20"/>
          <w:szCs w:val="20"/>
        </w:rPr>
        <w:t>GUM attendances, age at first attendance</w:t>
      </w:r>
      <w:r w:rsidR="007E7B66">
        <w:rPr>
          <w:rFonts w:ascii="Arial" w:hAnsi="Arial" w:cs="Arial"/>
          <w:sz w:val="20"/>
          <w:szCs w:val="20"/>
        </w:rPr>
        <w:t xml:space="preserve">, </w:t>
      </w:r>
      <w:r w:rsidRPr="00494551">
        <w:rPr>
          <w:rFonts w:ascii="Arial" w:hAnsi="Arial" w:cs="Arial"/>
          <w:sz w:val="20"/>
          <w:szCs w:val="20"/>
        </w:rPr>
        <w:t>ethnicity and geographical area of the clinic in England.</w:t>
      </w:r>
    </w:p>
    <w:p w14:paraId="623B7B75" w14:textId="77777777" w:rsidR="00966AA6" w:rsidRPr="00494551" w:rsidRDefault="00966AA6" w:rsidP="00D30241">
      <w:pPr>
        <w:spacing w:line="480" w:lineRule="auto"/>
        <w:jc w:val="both"/>
        <w:rPr>
          <w:rFonts w:ascii="Arial" w:hAnsi="Arial" w:cs="Arial"/>
          <w:sz w:val="20"/>
          <w:szCs w:val="20"/>
        </w:rPr>
      </w:pPr>
    </w:p>
    <w:p w14:paraId="69064203" w14:textId="77777777" w:rsidR="007E7B66" w:rsidRDefault="009C48D3" w:rsidP="00D30241">
      <w:pPr>
        <w:spacing w:line="480" w:lineRule="auto"/>
        <w:jc w:val="both"/>
        <w:rPr>
          <w:rFonts w:ascii="Arial" w:hAnsi="Arial" w:cs="Arial"/>
          <w:sz w:val="20"/>
          <w:szCs w:val="20"/>
        </w:rPr>
      </w:pPr>
      <w:r w:rsidRPr="00494551">
        <w:rPr>
          <w:rFonts w:ascii="Arial" w:hAnsi="Arial" w:cs="Arial"/>
          <w:b/>
          <w:sz w:val="20"/>
          <w:szCs w:val="20"/>
        </w:rPr>
        <w:t>Results:</w:t>
      </w:r>
      <w:r w:rsidRPr="00494551">
        <w:rPr>
          <w:rFonts w:ascii="Arial" w:hAnsi="Arial" w:cs="Arial"/>
          <w:sz w:val="20"/>
          <w:szCs w:val="20"/>
        </w:rPr>
        <w:t xml:space="preserve"> </w:t>
      </w:r>
      <w:r w:rsidR="007E7B66">
        <w:rPr>
          <w:rFonts w:ascii="Arial" w:hAnsi="Arial" w:cs="Arial"/>
          <w:sz w:val="20"/>
          <w:szCs w:val="20"/>
        </w:rPr>
        <w:t xml:space="preserve">A total of 374,983 MSM attended sexual health services in England between 2009 and 2014. Median age </w:t>
      </w:r>
      <w:r w:rsidR="0030721B">
        <w:rPr>
          <w:rFonts w:ascii="Arial" w:hAnsi="Arial" w:cs="Arial"/>
          <w:sz w:val="20"/>
          <w:szCs w:val="20"/>
        </w:rPr>
        <w:t>of presentation was 32 years</w:t>
      </w:r>
      <w:r w:rsidR="00E02AA4">
        <w:rPr>
          <w:rFonts w:ascii="Arial" w:hAnsi="Arial" w:cs="Arial"/>
          <w:sz w:val="20"/>
          <w:szCs w:val="20"/>
        </w:rPr>
        <w:t xml:space="preserve"> </w:t>
      </w:r>
      <w:r w:rsidR="00392EF4">
        <w:rPr>
          <w:rFonts w:ascii="Arial" w:hAnsi="Arial" w:cs="Arial"/>
          <w:sz w:val="20"/>
          <w:szCs w:val="20"/>
        </w:rPr>
        <w:t>(IQR 25-41)</w:t>
      </w:r>
      <w:r w:rsidR="0030721B">
        <w:rPr>
          <w:rFonts w:ascii="Arial" w:hAnsi="Arial" w:cs="Arial"/>
          <w:sz w:val="20"/>
          <w:szCs w:val="20"/>
        </w:rPr>
        <w:t xml:space="preserve"> and showed</w:t>
      </w:r>
      <w:r w:rsidR="007E7B66">
        <w:rPr>
          <w:rFonts w:ascii="Arial" w:hAnsi="Arial" w:cs="Arial"/>
          <w:sz w:val="20"/>
          <w:szCs w:val="20"/>
        </w:rPr>
        <w:t xml:space="preserve"> regional geographical variation.</w:t>
      </w:r>
      <w:r w:rsidR="004B5A80">
        <w:rPr>
          <w:rFonts w:ascii="Arial" w:hAnsi="Arial" w:cs="Arial"/>
          <w:sz w:val="20"/>
          <w:szCs w:val="20"/>
        </w:rPr>
        <w:t xml:space="preserve"> Of all men attending sexual health clinics in England, the highest proportion of those identifying as MSM was in London (21%)</w:t>
      </w:r>
      <w:r w:rsidR="009B6AC1">
        <w:rPr>
          <w:rFonts w:ascii="Arial" w:hAnsi="Arial" w:cs="Arial"/>
          <w:sz w:val="20"/>
          <w:szCs w:val="20"/>
        </w:rPr>
        <w:t xml:space="preserve">. </w:t>
      </w:r>
      <w:r w:rsidR="00802C91">
        <w:rPr>
          <w:rFonts w:ascii="Arial" w:hAnsi="Arial" w:cs="Arial"/>
          <w:sz w:val="20"/>
          <w:szCs w:val="20"/>
        </w:rPr>
        <w:t xml:space="preserve"> Excluding visits within one month of an initial attendance, 49% of all MSM re-attended within 12 months and 58% within 24 months.  MSM aged 36 years or above re-attended more frequently than younger MSM.  51% re-attended at least twice within 24 months of initial visit.</w:t>
      </w:r>
      <w:r w:rsidR="0030721B">
        <w:rPr>
          <w:rFonts w:ascii="Arial" w:hAnsi="Arial" w:cs="Arial"/>
          <w:sz w:val="20"/>
          <w:szCs w:val="20"/>
        </w:rPr>
        <w:t xml:space="preserve"> </w:t>
      </w:r>
    </w:p>
    <w:p w14:paraId="1EFC1385" w14:textId="77777777" w:rsidR="00966AA6" w:rsidRDefault="00966AA6" w:rsidP="00D30241">
      <w:pPr>
        <w:spacing w:line="480" w:lineRule="auto"/>
        <w:jc w:val="both"/>
        <w:rPr>
          <w:rFonts w:ascii="Arial" w:hAnsi="Arial" w:cs="Arial"/>
          <w:sz w:val="20"/>
          <w:szCs w:val="20"/>
        </w:rPr>
      </w:pPr>
    </w:p>
    <w:p w14:paraId="301F5C23" w14:textId="77777777" w:rsidR="009C48D3" w:rsidRPr="0030721B" w:rsidRDefault="009C48D3" w:rsidP="00D30241">
      <w:pPr>
        <w:spacing w:line="480" w:lineRule="auto"/>
        <w:jc w:val="both"/>
        <w:rPr>
          <w:rFonts w:ascii="Arial" w:hAnsi="Arial" w:cs="Arial"/>
          <w:bCs/>
          <w:sz w:val="20"/>
          <w:szCs w:val="20"/>
        </w:rPr>
      </w:pPr>
      <w:r w:rsidRPr="00494551">
        <w:rPr>
          <w:rFonts w:ascii="Arial" w:hAnsi="Arial" w:cs="Arial"/>
          <w:b/>
          <w:bCs/>
          <w:sz w:val="20"/>
          <w:szCs w:val="20"/>
        </w:rPr>
        <w:t>Conclusion:</w:t>
      </w:r>
      <w:r w:rsidR="00802C91">
        <w:rPr>
          <w:rFonts w:ascii="Arial" w:hAnsi="Arial" w:cs="Arial"/>
          <w:b/>
          <w:bCs/>
          <w:sz w:val="20"/>
          <w:szCs w:val="20"/>
        </w:rPr>
        <w:t xml:space="preserve">  </w:t>
      </w:r>
      <w:r w:rsidR="00802C91">
        <w:rPr>
          <w:rFonts w:ascii="Arial" w:hAnsi="Arial" w:cs="Arial"/>
          <w:bCs/>
          <w:sz w:val="20"/>
          <w:szCs w:val="20"/>
        </w:rPr>
        <w:t xml:space="preserve">The majority of MSM re-attend clinic at least once within a 24 month period, potentially facilitating the delivery of a three dose HPV vaccination program. This would reduce the burden on sexual health clinics and cost to Local Authorities due to extra visits if HPV vaccination were to be delivered through these services. </w:t>
      </w:r>
      <w:r w:rsidR="002B4D41" w:rsidRPr="00494551">
        <w:rPr>
          <w:rFonts w:ascii="Arial" w:hAnsi="Arial" w:cs="Arial"/>
          <w:b/>
          <w:bCs/>
          <w:sz w:val="20"/>
          <w:szCs w:val="20"/>
        </w:rPr>
        <w:t xml:space="preserve"> </w:t>
      </w:r>
      <w:r w:rsidR="00802C91" w:rsidDel="00802C91">
        <w:rPr>
          <w:rFonts w:ascii="Arial" w:hAnsi="Arial" w:cs="Arial"/>
          <w:bCs/>
          <w:sz w:val="20"/>
          <w:szCs w:val="20"/>
        </w:rPr>
        <w:t xml:space="preserve"> </w:t>
      </w:r>
    </w:p>
    <w:p w14:paraId="3E1E6589" w14:textId="77777777" w:rsidR="00C248A6" w:rsidRPr="00D30241" w:rsidRDefault="00C248A6" w:rsidP="00802C91">
      <w:pPr>
        <w:spacing w:line="480" w:lineRule="auto"/>
        <w:jc w:val="both"/>
        <w:rPr>
          <w:rFonts w:ascii="Arial" w:hAnsi="Arial" w:cs="Arial"/>
          <w:sz w:val="20"/>
          <w:szCs w:val="20"/>
        </w:rPr>
      </w:pPr>
    </w:p>
    <w:p w14:paraId="2F2A02CD" w14:textId="77777777" w:rsidR="00C248A6" w:rsidRPr="006D1AB7" w:rsidRDefault="00C248A6" w:rsidP="009C48D3">
      <w:pPr>
        <w:spacing w:line="480" w:lineRule="auto"/>
        <w:rPr>
          <w:rFonts w:ascii="Arial" w:hAnsi="Arial" w:cs="Arial"/>
          <w:sz w:val="20"/>
          <w:szCs w:val="20"/>
          <w:highlight w:val="red"/>
        </w:rPr>
      </w:pPr>
    </w:p>
    <w:p w14:paraId="79BA37A1" w14:textId="77777777" w:rsidR="009C48D3" w:rsidRPr="006D1AB7" w:rsidRDefault="009C48D3" w:rsidP="009C48D3">
      <w:pPr>
        <w:spacing w:line="480" w:lineRule="auto"/>
        <w:rPr>
          <w:rFonts w:ascii="Arial" w:hAnsi="Arial" w:cs="Arial"/>
          <w:sz w:val="20"/>
          <w:szCs w:val="20"/>
          <w:highlight w:val="red"/>
        </w:rPr>
      </w:pPr>
    </w:p>
    <w:p w14:paraId="77F50E6D" w14:textId="77777777" w:rsidR="009C48D3" w:rsidRDefault="009C48D3" w:rsidP="009C48D3">
      <w:pPr>
        <w:spacing w:line="480" w:lineRule="auto"/>
        <w:rPr>
          <w:rFonts w:ascii="Arial" w:hAnsi="Arial" w:cs="Arial"/>
          <w:sz w:val="20"/>
          <w:szCs w:val="20"/>
          <w:highlight w:val="red"/>
        </w:rPr>
      </w:pPr>
    </w:p>
    <w:p w14:paraId="0F375E04" w14:textId="77777777" w:rsidR="0030721B" w:rsidRDefault="0030721B" w:rsidP="009C48D3">
      <w:pPr>
        <w:spacing w:line="480" w:lineRule="auto"/>
        <w:rPr>
          <w:rFonts w:ascii="Arial" w:hAnsi="Arial" w:cs="Arial"/>
          <w:sz w:val="20"/>
          <w:szCs w:val="20"/>
          <w:highlight w:val="red"/>
        </w:rPr>
      </w:pPr>
    </w:p>
    <w:p w14:paraId="5A1E8104" w14:textId="77777777" w:rsidR="0030721B" w:rsidRDefault="0030721B" w:rsidP="009C48D3">
      <w:pPr>
        <w:spacing w:line="480" w:lineRule="auto"/>
        <w:rPr>
          <w:rFonts w:ascii="Arial" w:hAnsi="Arial" w:cs="Arial"/>
          <w:sz w:val="20"/>
          <w:szCs w:val="20"/>
          <w:highlight w:val="red"/>
        </w:rPr>
      </w:pPr>
    </w:p>
    <w:p w14:paraId="5F484DD1" w14:textId="77777777" w:rsidR="0030721B" w:rsidRDefault="0030721B" w:rsidP="009C48D3">
      <w:pPr>
        <w:spacing w:line="480" w:lineRule="auto"/>
        <w:rPr>
          <w:rFonts w:ascii="Arial" w:hAnsi="Arial" w:cs="Arial"/>
          <w:sz w:val="20"/>
          <w:szCs w:val="20"/>
          <w:highlight w:val="red"/>
        </w:rPr>
      </w:pPr>
    </w:p>
    <w:p w14:paraId="73DE432F" w14:textId="77777777" w:rsidR="0030721B" w:rsidRDefault="0030721B" w:rsidP="009C48D3">
      <w:pPr>
        <w:spacing w:line="480" w:lineRule="auto"/>
        <w:rPr>
          <w:rFonts w:ascii="Arial" w:hAnsi="Arial" w:cs="Arial"/>
          <w:sz w:val="20"/>
          <w:szCs w:val="20"/>
          <w:highlight w:val="red"/>
        </w:rPr>
      </w:pPr>
    </w:p>
    <w:p w14:paraId="30C4505F" w14:textId="77777777" w:rsidR="0030721B" w:rsidRDefault="0030721B" w:rsidP="009C48D3">
      <w:pPr>
        <w:spacing w:line="480" w:lineRule="auto"/>
        <w:rPr>
          <w:rFonts w:ascii="Arial" w:hAnsi="Arial" w:cs="Arial"/>
          <w:sz w:val="20"/>
          <w:szCs w:val="20"/>
          <w:highlight w:val="red"/>
        </w:rPr>
      </w:pPr>
    </w:p>
    <w:p w14:paraId="764C0E5F" w14:textId="77777777" w:rsidR="0030721B" w:rsidRDefault="0030721B" w:rsidP="009C48D3">
      <w:pPr>
        <w:spacing w:line="480" w:lineRule="auto"/>
        <w:rPr>
          <w:rFonts w:ascii="Arial" w:hAnsi="Arial" w:cs="Arial"/>
          <w:sz w:val="20"/>
          <w:szCs w:val="20"/>
          <w:highlight w:val="red"/>
        </w:rPr>
      </w:pPr>
    </w:p>
    <w:p w14:paraId="5ED045C0" w14:textId="77777777" w:rsidR="0030721B" w:rsidRDefault="0030721B" w:rsidP="009C48D3">
      <w:pPr>
        <w:spacing w:line="480" w:lineRule="auto"/>
        <w:rPr>
          <w:rFonts w:ascii="Arial" w:hAnsi="Arial" w:cs="Arial"/>
          <w:sz w:val="20"/>
          <w:szCs w:val="20"/>
          <w:highlight w:val="red"/>
        </w:rPr>
      </w:pPr>
    </w:p>
    <w:p w14:paraId="7710BEAC" w14:textId="77777777" w:rsidR="00125024" w:rsidRPr="006D1AB7" w:rsidRDefault="00125024" w:rsidP="009C48D3">
      <w:pPr>
        <w:spacing w:line="480" w:lineRule="auto"/>
        <w:rPr>
          <w:rFonts w:ascii="Arial" w:hAnsi="Arial" w:cs="Arial"/>
          <w:sz w:val="20"/>
          <w:szCs w:val="20"/>
          <w:highlight w:val="red"/>
        </w:rPr>
      </w:pPr>
    </w:p>
    <w:tbl>
      <w:tblPr>
        <w:tblW w:w="9559" w:type="dxa"/>
        <w:tblLayout w:type="fixed"/>
        <w:tblCellMar>
          <w:left w:w="10" w:type="dxa"/>
          <w:right w:w="10" w:type="dxa"/>
        </w:tblCellMar>
        <w:tblLook w:val="0000" w:firstRow="0" w:lastRow="0" w:firstColumn="0" w:lastColumn="0" w:noHBand="0" w:noVBand="0"/>
      </w:tblPr>
      <w:tblGrid>
        <w:gridCol w:w="9559"/>
      </w:tblGrid>
      <w:tr w:rsidR="009C48D3" w:rsidRPr="006D1AB7" w14:paraId="3FFC4C69" w14:textId="77777777" w:rsidTr="005C5AB8">
        <w:trPr>
          <w:trHeight w:val="521"/>
        </w:trPr>
        <w:tc>
          <w:tcPr>
            <w:tcW w:w="9559" w:type="dxa"/>
            <w:tcBorders>
              <w:top w:val="single" w:sz="4" w:space="0" w:color="000000"/>
              <w:left w:val="single" w:sz="4" w:space="0" w:color="000000"/>
              <w:bottom w:val="single" w:sz="4" w:space="0" w:color="000000"/>
              <w:right w:val="single" w:sz="4" w:space="0" w:color="000000"/>
            </w:tcBorders>
          </w:tcPr>
          <w:p w14:paraId="586FCA37" w14:textId="77777777" w:rsidR="009C48D3" w:rsidRPr="0030721B" w:rsidRDefault="009C48D3" w:rsidP="009C48D3">
            <w:pPr>
              <w:rPr>
                <w:rFonts w:ascii="Arial" w:hAnsi="Arial" w:cs="Arial"/>
                <w:b/>
                <w:bCs/>
                <w:sz w:val="20"/>
                <w:szCs w:val="20"/>
              </w:rPr>
            </w:pPr>
            <w:r w:rsidRPr="0030721B">
              <w:rPr>
                <w:rFonts w:ascii="Arial" w:hAnsi="Arial" w:cs="Arial"/>
                <w:b/>
                <w:bCs/>
                <w:sz w:val="20"/>
                <w:szCs w:val="20"/>
              </w:rPr>
              <w:t>Key message points</w:t>
            </w:r>
          </w:p>
          <w:p w14:paraId="53AD7207" w14:textId="77777777" w:rsidR="009C48D3" w:rsidRPr="0030721B" w:rsidRDefault="009C48D3" w:rsidP="009C48D3">
            <w:pPr>
              <w:rPr>
                <w:rFonts w:ascii="Arial" w:hAnsi="Arial" w:cs="Arial"/>
                <w:b/>
                <w:bCs/>
                <w:sz w:val="20"/>
                <w:szCs w:val="20"/>
              </w:rPr>
            </w:pPr>
          </w:p>
        </w:tc>
      </w:tr>
      <w:tr w:rsidR="009C48D3" w:rsidRPr="00AB21B7" w14:paraId="4C64B9B4" w14:textId="77777777" w:rsidTr="00042925">
        <w:trPr>
          <w:trHeight w:val="1345"/>
        </w:trPr>
        <w:tc>
          <w:tcPr>
            <w:tcW w:w="9559" w:type="dxa"/>
            <w:tcBorders>
              <w:top w:val="single" w:sz="4" w:space="0" w:color="000000"/>
              <w:left w:val="single" w:sz="4" w:space="0" w:color="000000"/>
              <w:bottom w:val="single" w:sz="4" w:space="0" w:color="000000"/>
              <w:right w:val="single" w:sz="4" w:space="0" w:color="000000"/>
            </w:tcBorders>
          </w:tcPr>
          <w:p w14:paraId="4D0C3821" w14:textId="77777777" w:rsidR="00802C91" w:rsidRDefault="00802C91" w:rsidP="00802C91">
            <w:pPr>
              <w:rPr>
                <w:rFonts w:ascii="Arial" w:hAnsi="Arial" w:cs="Arial"/>
                <w:b/>
                <w:bCs/>
                <w:sz w:val="20"/>
                <w:szCs w:val="20"/>
              </w:rPr>
            </w:pPr>
            <w:r>
              <w:rPr>
                <w:rFonts w:ascii="Arial" w:hAnsi="Arial" w:cs="Arial"/>
                <w:b/>
                <w:bCs/>
                <w:sz w:val="20"/>
                <w:szCs w:val="20"/>
              </w:rPr>
              <w:t xml:space="preserve">A large number of MSM attend GUM clinics, half of whom are under 32 years of age. </w:t>
            </w:r>
          </w:p>
          <w:p w14:paraId="68D2179D" w14:textId="77777777" w:rsidR="00802C91" w:rsidRDefault="00802C91" w:rsidP="00802C91">
            <w:pPr>
              <w:rPr>
                <w:rFonts w:ascii="Arial" w:hAnsi="Arial" w:cs="Arial"/>
                <w:b/>
                <w:bCs/>
                <w:sz w:val="20"/>
                <w:szCs w:val="20"/>
              </w:rPr>
            </w:pPr>
          </w:p>
          <w:p w14:paraId="5EE0C2C4" w14:textId="373B0FE5" w:rsidR="00802C91" w:rsidRDefault="00802C91" w:rsidP="00802C91">
            <w:pPr>
              <w:rPr>
                <w:rFonts w:ascii="Arial" w:hAnsi="Arial" w:cs="Arial"/>
                <w:b/>
                <w:bCs/>
                <w:sz w:val="20"/>
                <w:szCs w:val="20"/>
              </w:rPr>
            </w:pPr>
            <w:r>
              <w:rPr>
                <w:rFonts w:ascii="Arial" w:hAnsi="Arial" w:cs="Arial"/>
                <w:b/>
                <w:bCs/>
                <w:sz w:val="20"/>
                <w:szCs w:val="20"/>
              </w:rPr>
              <w:t>58% of all MSM re-attend within 24 months of the initial visit, with older age groups attending more frequently which may facilitate a HPV vaccination program if delivered through these services</w:t>
            </w:r>
            <w:r w:rsidR="001759F7">
              <w:rPr>
                <w:rFonts w:ascii="Arial" w:hAnsi="Arial" w:cs="Arial"/>
                <w:b/>
                <w:bCs/>
                <w:sz w:val="20"/>
                <w:szCs w:val="20"/>
              </w:rPr>
              <w:t>.</w:t>
            </w:r>
          </w:p>
          <w:p w14:paraId="6F9CC625" w14:textId="77777777" w:rsidR="00802C91" w:rsidRDefault="00802C91" w:rsidP="00802C91">
            <w:pPr>
              <w:rPr>
                <w:rFonts w:ascii="Arial" w:hAnsi="Arial" w:cs="Arial"/>
                <w:b/>
                <w:bCs/>
                <w:sz w:val="20"/>
                <w:szCs w:val="20"/>
              </w:rPr>
            </w:pPr>
          </w:p>
          <w:p w14:paraId="6C6A7DB0" w14:textId="4F06953D" w:rsidR="00C93250" w:rsidRPr="0030721B" w:rsidRDefault="00C93250" w:rsidP="00802C91">
            <w:pPr>
              <w:rPr>
                <w:rFonts w:ascii="Arial" w:hAnsi="Arial" w:cs="Arial"/>
                <w:b/>
                <w:bCs/>
                <w:sz w:val="20"/>
                <w:szCs w:val="20"/>
              </w:rPr>
            </w:pPr>
          </w:p>
        </w:tc>
      </w:tr>
    </w:tbl>
    <w:p w14:paraId="4F351677" w14:textId="77777777" w:rsidR="009C48D3" w:rsidRPr="00AB21B7" w:rsidRDefault="009C48D3" w:rsidP="009C48D3">
      <w:pPr>
        <w:pageBreakBefore/>
        <w:spacing w:line="480" w:lineRule="auto"/>
        <w:rPr>
          <w:rFonts w:ascii="Arial" w:hAnsi="Arial" w:cs="Arial"/>
          <w:sz w:val="20"/>
          <w:szCs w:val="20"/>
        </w:rPr>
      </w:pPr>
      <w:r w:rsidRPr="00AB21B7">
        <w:rPr>
          <w:rFonts w:ascii="Arial" w:hAnsi="Arial" w:cs="Arial"/>
          <w:b/>
          <w:bCs/>
          <w:sz w:val="20"/>
          <w:szCs w:val="20"/>
        </w:rPr>
        <w:lastRenderedPageBreak/>
        <w:t>INTRODUCTION</w:t>
      </w:r>
    </w:p>
    <w:p w14:paraId="42ABB889" w14:textId="664D9147" w:rsidR="00510B3F" w:rsidRPr="00AB21B7" w:rsidRDefault="009C48D3" w:rsidP="00532AD4">
      <w:pPr>
        <w:spacing w:line="480" w:lineRule="auto"/>
        <w:jc w:val="both"/>
        <w:rPr>
          <w:rFonts w:ascii="Arial" w:hAnsi="Arial" w:cs="Arial"/>
          <w:sz w:val="20"/>
          <w:szCs w:val="20"/>
        </w:rPr>
      </w:pPr>
      <w:r w:rsidRPr="00AB21B7">
        <w:rPr>
          <w:rFonts w:ascii="Arial" w:hAnsi="Arial" w:cs="Arial"/>
          <w:sz w:val="20"/>
          <w:szCs w:val="20"/>
        </w:rPr>
        <w:tab/>
      </w:r>
      <w:r w:rsidR="00D22E30">
        <w:rPr>
          <w:rFonts w:ascii="Arial" w:hAnsi="Arial" w:cs="Arial"/>
          <w:sz w:val="20"/>
          <w:szCs w:val="20"/>
        </w:rPr>
        <w:t>M</w:t>
      </w:r>
      <w:r w:rsidR="00441BD9">
        <w:rPr>
          <w:rFonts w:ascii="Arial" w:hAnsi="Arial" w:cs="Arial"/>
          <w:sz w:val="20"/>
          <w:szCs w:val="20"/>
        </w:rPr>
        <w:t>en who have sex with men (MSM) are at increased risk of genital warts and anal cancers</w:t>
      </w:r>
      <w:r w:rsidR="000C7215">
        <w:rPr>
          <w:rFonts w:ascii="Arial" w:hAnsi="Arial" w:cs="Arial"/>
          <w:sz w:val="20"/>
          <w:szCs w:val="20"/>
        </w:rPr>
        <w:t xml:space="preserve"> largely caused by persistent</w:t>
      </w:r>
      <w:r w:rsidR="00441BD9">
        <w:rPr>
          <w:rFonts w:ascii="Arial" w:hAnsi="Arial" w:cs="Arial"/>
          <w:sz w:val="20"/>
          <w:szCs w:val="20"/>
        </w:rPr>
        <w:t xml:space="preserve"> </w:t>
      </w:r>
      <w:r w:rsidRPr="00AB21B7">
        <w:rPr>
          <w:rFonts w:ascii="Arial" w:hAnsi="Arial" w:cs="Arial"/>
          <w:sz w:val="20"/>
          <w:szCs w:val="20"/>
        </w:rPr>
        <w:t>Human Papillomavirus</w:t>
      </w:r>
      <w:r w:rsidR="005C618D" w:rsidRPr="00AB21B7">
        <w:rPr>
          <w:rFonts w:ascii="Arial" w:hAnsi="Arial" w:cs="Arial"/>
          <w:sz w:val="20"/>
          <w:szCs w:val="20"/>
        </w:rPr>
        <w:t>es</w:t>
      </w:r>
      <w:r w:rsidRPr="00AB21B7">
        <w:rPr>
          <w:rFonts w:ascii="Arial" w:hAnsi="Arial" w:cs="Arial"/>
          <w:sz w:val="20"/>
          <w:szCs w:val="20"/>
        </w:rPr>
        <w:t xml:space="preserve"> (HPV) </w:t>
      </w:r>
      <w:r w:rsidR="00441BD9">
        <w:rPr>
          <w:rFonts w:ascii="Arial" w:hAnsi="Arial" w:cs="Arial"/>
          <w:sz w:val="20"/>
          <w:szCs w:val="20"/>
        </w:rPr>
        <w:t>infection</w:t>
      </w:r>
      <w:r w:rsidR="00D5744A">
        <w:rPr>
          <w:rFonts w:ascii="Arial" w:hAnsi="Arial" w:cs="Arial"/>
          <w:sz w:val="20"/>
          <w:szCs w:val="20"/>
        </w:rPr>
        <w:t>.</w:t>
      </w:r>
      <w:r w:rsidR="00F1594A">
        <w:rPr>
          <w:rFonts w:ascii="Arial" w:hAnsi="Arial" w:cs="Arial"/>
          <w:sz w:val="20"/>
          <w:szCs w:val="20"/>
        </w:rPr>
        <w:t>[1]</w:t>
      </w:r>
      <w:r w:rsidR="00441BD9">
        <w:rPr>
          <w:rFonts w:ascii="Arial" w:hAnsi="Arial" w:cs="Arial"/>
          <w:sz w:val="20"/>
          <w:szCs w:val="20"/>
        </w:rPr>
        <w:t xml:space="preserve"> </w:t>
      </w:r>
      <w:r w:rsidR="000C7215" w:rsidRPr="004404CE">
        <w:rPr>
          <w:rFonts w:ascii="Arial" w:hAnsi="Arial" w:cs="Arial"/>
          <w:sz w:val="20"/>
          <w:szCs w:val="20"/>
        </w:rPr>
        <w:t xml:space="preserve">HPV </w:t>
      </w:r>
      <w:r w:rsidR="00D71403">
        <w:rPr>
          <w:rFonts w:ascii="Arial" w:hAnsi="Arial" w:cs="Arial"/>
          <w:sz w:val="20"/>
          <w:szCs w:val="20"/>
        </w:rPr>
        <w:t xml:space="preserve">infection </w:t>
      </w:r>
      <w:r w:rsidR="008C379F">
        <w:rPr>
          <w:rFonts w:ascii="Arial" w:hAnsi="Arial" w:cs="Arial"/>
          <w:sz w:val="20"/>
          <w:szCs w:val="20"/>
        </w:rPr>
        <w:t xml:space="preserve">is common </w:t>
      </w:r>
      <w:r w:rsidR="000C7215" w:rsidRPr="004404CE">
        <w:rPr>
          <w:rFonts w:ascii="Arial" w:hAnsi="Arial" w:cs="Arial"/>
          <w:sz w:val="20"/>
          <w:szCs w:val="20"/>
        </w:rPr>
        <w:t xml:space="preserve">in MSM </w:t>
      </w:r>
      <w:r w:rsidR="008C379F">
        <w:rPr>
          <w:rFonts w:ascii="Arial" w:hAnsi="Arial" w:cs="Arial"/>
          <w:sz w:val="20"/>
          <w:szCs w:val="20"/>
        </w:rPr>
        <w:t>across</w:t>
      </w:r>
      <w:r w:rsidR="000C7215" w:rsidRPr="004404CE">
        <w:rPr>
          <w:rFonts w:ascii="Arial" w:hAnsi="Arial" w:cs="Arial"/>
          <w:sz w:val="20"/>
          <w:szCs w:val="20"/>
        </w:rPr>
        <w:t xml:space="preserve"> all age</w:t>
      </w:r>
      <w:r w:rsidR="008C379F">
        <w:rPr>
          <w:rFonts w:ascii="Arial" w:hAnsi="Arial" w:cs="Arial"/>
          <w:sz w:val="20"/>
          <w:szCs w:val="20"/>
        </w:rPr>
        <w:t xml:space="preserve"> groups</w:t>
      </w:r>
      <w:r w:rsidR="000C7215" w:rsidRPr="004404CE">
        <w:rPr>
          <w:rFonts w:ascii="Arial" w:hAnsi="Arial" w:cs="Arial"/>
          <w:sz w:val="20"/>
          <w:szCs w:val="20"/>
        </w:rPr>
        <w:t xml:space="preserve">. </w:t>
      </w:r>
      <w:r w:rsidR="00A3124C">
        <w:rPr>
          <w:rFonts w:ascii="Arial" w:hAnsi="Arial" w:cs="Arial"/>
          <w:sz w:val="20"/>
          <w:szCs w:val="20"/>
        </w:rPr>
        <w:t>A</w:t>
      </w:r>
      <w:r w:rsidR="000C7215">
        <w:rPr>
          <w:rFonts w:ascii="Arial" w:hAnsi="Arial" w:cs="Arial"/>
          <w:sz w:val="20"/>
          <w:szCs w:val="20"/>
        </w:rPr>
        <w:t xml:space="preserve"> </w:t>
      </w:r>
      <w:r w:rsidR="00441BD9">
        <w:rPr>
          <w:rFonts w:ascii="Arial" w:hAnsi="Arial" w:cs="Arial"/>
          <w:sz w:val="20"/>
          <w:szCs w:val="20"/>
        </w:rPr>
        <w:t>study cond</w:t>
      </w:r>
      <w:r w:rsidR="000C7215">
        <w:rPr>
          <w:rFonts w:ascii="Arial" w:hAnsi="Arial" w:cs="Arial"/>
          <w:sz w:val="20"/>
          <w:szCs w:val="20"/>
        </w:rPr>
        <w:t xml:space="preserve">ucted </w:t>
      </w:r>
      <w:r w:rsidR="00A3124C">
        <w:rPr>
          <w:rFonts w:ascii="Arial" w:hAnsi="Arial" w:cs="Arial"/>
          <w:sz w:val="20"/>
          <w:szCs w:val="20"/>
        </w:rPr>
        <w:t>in a London-based clinic showed</w:t>
      </w:r>
      <w:r w:rsidR="00441BD9">
        <w:rPr>
          <w:rFonts w:ascii="Arial" w:hAnsi="Arial" w:cs="Arial"/>
          <w:sz w:val="20"/>
          <w:szCs w:val="20"/>
        </w:rPr>
        <w:t xml:space="preserve"> </w:t>
      </w:r>
      <w:r w:rsidR="000C7215">
        <w:rPr>
          <w:rFonts w:ascii="Arial" w:hAnsi="Arial" w:cs="Arial"/>
          <w:sz w:val="20"/>
          <w:szCs w:val="20"/>
        </w:rPr>
        <w:t xml:space="preserve">a prevalence of </w:t>
      </w:r>
      <w:r w:rsidR="00514008">
        <w:rPr>
          <w:rFonts w:ascii="Arial" w:hAnsi="Arial" w:cs="Arial"/>
          <w:sz w:val="20"/>
          <w:szCs w:val="20"/>
        </w:rPr>
        <w:t xml:space="preserve">any </w:t>
      </w:r>
      <w:r w:rsidR="000C7215">
        <w:rPr>
          <w:rFonts w:ascii="Arial" w:hAnsi="Arial" w:cs="Arial"/>
          <w:sz w:val="20"/>
          <w:szCs w:val="20"/>
        </w:rPr>
        <w:t>HPV infection of</w:t>
      </w:r>
      <w:r w:rsidR="003251D5">
        <w:rPr>
          <w:rFonts w:ascii="Arial" w:hAnsi="Arial" w:cs="Arial"/>
          <w:sz w:val="20"/>
          <w:szCs w:val="20"/>
        </w:rPr>
        <w:t xml:space="preserve"> 72</w:t>
      </w:r>
      <w:r w:rsidR="00514008">
        <w:rPr>
          <w:rFonts w:ascii="Arial" w:hAnsi="Arial" w:cs="Arial"/>
          <w:sz w:val="20"/>
          <w:szCs w:val="20"/>
        </w:rPr>
        <w:t>%</w:t>
      </w:r>
      <w:r w:rsidR="00D5744A">
        <w:rPr>
          <w:rFonts w:ascii="Arial" w:hAnsi="Arial" w:cs="Arial"/>
          <w:sz w:val="20"/>
          <w:szCs w:val="20"/>
        </w:rPr>
        <w:t>.</w:t>
      </w:r>
      <w:r w:rsidR="00514008">
        <w:rPr>
          <w:rFonts w:ascii="Arial" w:hAnsi="Arial" w:cs="Arial"/>
          <w:sz w:val="20"/>
          <w:szCs w:val="20"/>
        </w:rPr>
        <w:fldChar w:fldCharType="begin">
          <w:fldData xml:space="preserve">PEVuZE5vdGU+PENpdGU+PEF1dGhvcj5LaW5nPC9BdXRob3I+PFllYXI+MjAxNTwvWWVhcj48UmVj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</w:fldData>
        </w:fldChar>
      </w:r>
      <w:r w:rsidR="00514008">
        <w:rPr>
          <w:rFonts w:ascii="Arial" w:hAnsi="Arial" w:cs="Arial"/>
          <w:sz w:val="20"/>
          <w:szCs w:val="20"/>
        </w:rPr>
        <w:instrText xml:space="preserve"> ADDIN EN.CITE </w:instrText>
      </w:r>
      <w:r w:rsidR="00514008">
        <w:rPr>
          <w:rFonts w:ascii="Arial" w:hAnsi="Arial" w:cs="Arial"/>
          <w:sz w:val="20"/>
          <w:szCs w:val="20"/>
        </w:rPr>
        <w:fldChar w:fldCharType="begin">
          <w:fldData xml:space="preserve">PEVuZE5vdGU+PENpdGU+PEF1dGhvcj5LaW5nPC9BdXRob3I+PFllYXI+MjAxNTwvWWVhcj48UmVj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</w:fldData>
        </w:fldChar>
      </w:r>
      <w:r w:rsidR="00514008">
        <w:rPr>
          <w:rFonts w:ascii="Arial" w:hAnsi="Arial" w:cs="Arial"/>
          <w:sz w:val="20"/>
          <w:szCs w:val="20"/>
        </w:rPr>
        <w:instrText xml:space="preserve"> ADDIN EN.CITE.DATA </w:instrText>
      </w:r>
      <w:r w:rsidR="00514008">
        <w:rPr>
          <w:rFonts w:ascii="Arial" w:hAnsi="Arial" w:cs="Arial"/>
          <w:sz w:val="20"/>
          <w:szCs w:val="20"/>
        </w:rPr>
      </w:r>
      <w:r w:rsidR="00514008">
        <w:rPr>
          <w:rFonts w:ascii="Arial" w:hAnsi="Arial" w:cs="Arial"/>
          <w:sz w:val="20"/>
          <w:szCs w:val="20"/>
        </w:rPr>
        <w:fldChar w:fldCharType="end"/>
      </w:r>
      <w:r w:rsidR="00514008">
        <w:rPr>
          <w:rFonts w:ascii="Arial" w:hAnsi="Arial" w:cs="Arial"/>
          <w:sz w:val="20"/>
          <w:szCs w:val="20"/>
        </w:rPr>
      </w:r>
      <w:r w:rsidR="00514008">
        <w:rPr>
          <w:rFonts w:ascii="Arial" w:hAnsi="Arial" w:cs="Arial"/>
          <w:sz w:val="20"/>
          <w:szCs w:val="20"/>
        </w:rPr>
        <w:fldChar w:fldCharType="separate"/>
      </w:r>
      <w:r w:rsidR="00514008">
        <w:rPr>
          <w:rFonts w:ascii="Arial" w:hAnsi="Arial" w:cs="Arial"/>
          <w:noProof/>
          <w:sz w:val="20"/>
          <w:szCs w:val="20"/>
        </w:rPr>
        <w:t>[2]</w:t>
      </w:r>
      <w:r w:rsidR="00514008">
        <w:rPr>
          <w:rFonts w:ascii="Arial" w:hAnsi="Arial" w:cs="Arial"/>
          <w:sz w:val="20"/>
          <w:szCs w:val="20"/>
        </w:rPr>
        <w:fldChar w:fldCharType="end"/>
      </w:r>
      <w:r w:rsidR="00BF5742" w:rsidRPr="00AB21B7">
        <w:rPr>
          <w:rFonts w:ascii="Arial" w:hAnsi="Arial" w:cs="Arial"/>
          <w:sz w:val="20"/>
          <w:szCs w:val="20"/>
        </w:rPr>
        <w:t xml:space="preserve"> </w:t>
      </w:r>
    </w:p>
    <w:p w14:paraId="50D3296C" w14:textId="60456D6D" w:rsidR="00C05E22" w:rsidRDefault="00AA74A7" w:rsidP="00AB21B7">
      <w:pPr>
        <w:spacing w:line="480" w:lineRule="auto"/>
        <w:ind w:firstLine="720"/>
        <w:jc w:val="both"/>
        <w:rPr>
          <w:rFonts w:ascii="Arial" w:hAnsi="Arial" w:cs="Arial"/>
          <w:sz w:val="20"/>
          <w:szCs w:val="20"/>
        </w:rPr>
      </w:pPr>
      <w:r>
        <w:rPr>
          <w:rFonts w:ascii="Arial" w:hAnsi="Arial" w:cs="Arial"/>
          <w:sz w:val="20"/>
          <w:szCs w:val="20"/>
        </w:rPr>
        <w:t xml:space="preserve">The </w:t>
      </w:r>
      <w:r w:rsidR="005C618D" w:rsidRPr="00AB21B7">
        <w:rPr>
          <w:rFonts w:ascii="Arial" w:hAnsi="Arial" w:cs="Arial"/>
          <w:sz w:val="20"/>
          <w:szCs w:val="20"/>
        </w:rPr>
        <w:t xml:space="preserve">HPV vaccines </w:t>
      </w:r>
      <w:r>
        <w:rPr>
          <w:rFonts w:ascii="Arial" w:hAnsi="Arial" w:cs="Arial"/>
          <w:sz w:val="20"/>
          <w:szCs w:val="20"/>
        </w:rPr>
        <w:t>have approximately 90% efficacy against the</w:t>
      </w:r>
      <w:r w:rsidR="00F143B9" w:rsidRPr="00AB21B7">
        <w:rPr>
          <w:rFonts w:ascii="Arial" w:hAnsi="Arial" w:cs="Arial"/>
          <w:sz w:val="20"/>
          <w:szCs w:val="20"/>
        </w:rPr>
        <w:t xml:space="preserve"> incidence of </w:t>
      </w:r>
      <w:r>
        <w:rPr>
          <w:rFonts w:ascii="Arial" w:hAnsi="Arial" w:cs="Arial"/>
          <w:sz w:val="20"/>
          <w:szCs w:val="20"/>
        </w:rPr>
        <w:t xml:space="preserve">vaccine-type </w:t>
      </w:r>
      <w:r w:rsidR="00773236" w:rsidRPr="00AB21B7">
        <w:rPr>
          <w:rFonts w:ascii="Arial" w:hAnsi="Arial" w:cs="Arial"/>
          <w:sz w:val="20"/>
          <w:szCs w:val="20"/>
        </w:rPr>
        <w:t>high-grade</w:t>
      </w:r>
      <w:r w:rsidR="00F143B9" w:rsidRPr="00AB21B7">
        <w:rPr>
          <w:rFonts w:ascii="Arial" w:hAnsi="Arial" w:cs="Arial"/>
          <w:sz w:val="20"/>
          <w:szCs w:val="20"/>
        </w:rPr>
        <w:t xml:space="preserve"> anal dysplasia in MSM</w:t>
      </w:r>
      <w:r>
        <w:rPr>
          <w:rFonts w:ascii="Arial" w:hAnsi="Arial" w:cs="Arial"/>
          <w:sz w:val="20"/>
          <w:szCs w:val="20"/>
        </w:rPr>
        <w:t xml:space="preserve"> not already infected with </w:t>
      </w:r>
      <w:r w:rsidR="00FE67E9">
        <w:rPr>
          <w:rFonts w:ascii="Arial" w:hAnsi="Arial" w:cs="Arial"/>
          <w:sz w:val="20"/>
          <w:szCs w:val="20"/>
        </w:rPr>
        <w:t>HPV types 16 and 18</w:t>
      </w:r>
      <w:r w:rsidR="00D5744A">
        <w:rPr>
          <w:rFonts w:ascii="Arial" w:hAnsi="Arial" w:cs="Arial"/>
          <w:sz w:val="20"/>
          <w:szCs w:val="20"/>
        </w:rPr>
        <w:t>.</w:t>
      </w:r>
      <w:r w:rsidR="00DD7EFC" w:rsidRPr="00AB21B7">
        <w:rPr>
          <w:rFonts w:ascii="Arial" w:hAnsi="Arial" w:cs="Arial"/>
          <w:sz w:val="20"/>
          <w:szCs w:val="20"/>
        </w:rPr>
        <w:fldChar w:fldCharType="begin"/>
      </w:r>
      <w:r w:rsidR="00514008">
        <w:rPr>
          <w:rFonts w:ascii="Arial" w:hAnsi="Arial" w:cs="Arial"/>
          <w:sz w:val="20"/>
          <w:szCs w:val="20"/>
        </w:rPr>
        <w:instrText xml:space="preserve"> ADDIN EN.CITE &lt;EndNote&gt;&lt;Cite&gt;&lt;Author&gt;Palefsky&lt;/Author&gt;&lt;Year&gt;2011&lt;/Year&gt;&lt;RecNum&gt;52&lt;/RecNum&gt;&lt;DisplayText&gt;[3]&lt;/DisplayText&gt;&lt;record&gt;&lt;rec-number&gt;52&lt;/rec-number&gt;&lt;foreign-keys&gt;&lt;key app="EN" db-id="22w05xxtlvads8e5x9txr021v55xfx2f5pps" timestamp="1402145471"&gt;52&lt;/key&gt;&lt;/foreign-keys&gt;&lt;ref-type name="Journal Article"&gt;17&lt;/ref-type&gt;&lt;contributors&gt;&lt;authors&gt;&lt;author&gt;Palefsky, Joel M.&lt;/author&gt;&lt;author&gt;Giuliano, Anna R.&lt;/author&gt;&lt;author&gt;Goldstone, Stephen&lt;/author&gt;&lt;author&gt;Moreira, Edson D.&lt;/author&gt;&lt;author&gt;Aranda, Carlos&lt;/author&gt;&lt;author&gt;Jessen, Heiko&lt;/author&gt;&lt;author&gt;Hillman, Richard&lt;/author&gt;&lt;author&gt;Ferris, Daron&lt;/author&gt;&lt;author&gt;Coutlee, Francois&lt;/author&gt;&lt;author&gt;Stoler, Mark H.&lt;/author&gt;&lt;author&gt;Marshall, J. Brooke&lt;/author&gt;&lt;author&gt;Radley, David&lt;/author&gt;&lt;author&gt;Vuocolo, Scott&lt;/author&gt;&lt;author&gt;Haupt, Richard M.&lt;/author&gt;&lt;author&gt;Guris, Dalya&lt;/author&gt;&lt;author&gt;Garner, Elizabeth I.O.&lt;/author&gt;&lt;/authors&gt;&lt;/contributors&gt;&lt;titles&gt;&lt;title&gt;HPV Vaccine against Anal HPV Infection and Anal Intraepithelial Neoplasia&lt;/title&gt;&lt;secondary-title&gt;New England Journal of Medicine&lt;/secondary-title&gt;&lt;/titles&gt;&lt;periodical&gt;&lt;full-title&gt;New England Journal of Medicine&lt;/full-title&gt;&lt;/periodical&gt;&lt;pages&gt;1576-1585&lt;/pages&gt;&lt;volume&gt;365&lt;/volume&gt;&lt;number&gt;17&lt;/number&gt;&lt;dates&gt;&lt;year&gt;2011&lt;/year&gt;&lt;/dates&gt;&lt;accession-num&gt;22029979&lt;/accession-num&gt;&lt;urls&gt;&lt;related-urls&gt;&lt;url&gt;http://www.nejm.org/doi/full/10.1056/NEJMoa1010971&lt;/url&gt;&lt;url&gt;http://www.nejm.org/doi/pdf/10.1056/NEJMoa1010971&lt;/url&gt;&lt;/related-urls&gt;&lt;/urls&gt;&lt;electronic-resource-num&gt;doi:10.1056/NEJMoa1010971&lt;/electronic-resource-num&gt;&lt;/record&gt;&lt;/Cite&gt;&lt;/EndNote&gt;</w:instrText>
      </w:r>
      <w:r w:rsidR="00DD7EFC" w:rsidRPr="00AB21B7">
        <w:rPr>
          <w:rFonts w:ascii="Arial" w:hAnsi="Arial" w:cs="Arial"/>
          <w:sz w:val="20"/>
          <w:szCs w:val="20"/>
        </w:rPr>
        <w:fldChar w:fldCharType="separate"/>
      </w:r>
      <w:r w:rsidR="00514008">
        <w:rPr>
          <w:rFonts w:ascii="Arial" w:hAnsi="Arial" w:cs="Arial"/>
          <w:noProof/>
          <w:sz w:val="20"/>
          <w:szCs w:val="20"/>
        </w:rPr>
        <w:t>[3]</w:t>
      </w:r>
      <w:r w:rsidR="00DD7EFC" w:rsidRPr="00AB21B7">
        <w:rPr>
          <w:rFonts w:ascii="Arial" w:hAnsi="Arial" w:cs="Arial"/>
          <w:sz w:val="20"/>
          <w:szCs w:val="20"/>
        </w:rPr>
        <w:fldChar w:fldCharType="end"/>
      </w:r>
      <w:r w:rsidR="00F143B9" w:rsidRPr="00AB21B7">
        <w:rPr>
          <w:rFonts w:ascii="Arial" w:hAnsi="Arial" w:cs="Arial"/>
          <w:sz w:val="20"/>
          <w:szCs w:val="20"/>
        </w:rPr>
        <w:t xml:space="preserve"> </w:t>
      </w:r>
      <w:r w:rsidR="009C48D3" w:rsidRPr="00AB21B7">
        <w:rPr>
          <w:rFonts w:ascii="Arial" w:hAnsi="Arial" w:cs="Arial"/>
          <w:sz w:val="20"/>
          <w:szCs w:val="20"/>
        </w:rPr>
        <w:t xml:space="preserve">In 2008, the UK introduced </w:t>
      </w:r>
      <w:r>
        <w:rPr>
          <w:rFonts w:ascii="Arial" w:hAnsi="Arial" w:cs="Arial"/>
          <w:sz w:val="20"/>
          <w:szCs w:val="20"/>
        </w:rPr>
        <w:t>a national HPV immunisation programme</w:t>
      </w:r>
      <w:r w:rsidR="009C48D3" w:rsidRPr="00AB21B7">
        <w:rPr>
          <w:rFonts w:ascii="Arial" w:hAnsi="Arial" w:cs="Arial"/>
          <w:sz w:val="20"/>
          <w:szCs w:val="20"/>
        </w:rPr>
        <w:t xml:space="preserve"> </w:t>
      </w:r>
      <w:r>
        <w:rPr>
          <w:rFonts w:ascii="Arial" w:hAnsi="Arial" w:cs="Arial"/>
          <w:sz w:val="20"/>
          <w:szCs w:val="20"/>
        </w:rPr>
        <w:t xml:space="preserve">targeted at 12-13 year old girls. </w:t>
      </w:r>
      <w:r w:rsidR="00C05E22">
        <w:rPr>
          <w:rFonts w:ascii="Arial" w:hAnsi="Arial" w:cs="Arial"/>
          <w:sz w:val="20"/>
          <w:szCs w:val="20"/>
        </w:rPr>
        <w:t xml:space="preserve">Whilst heterosexual males are expected to gain indirect herd protection, </w:t>
      </w:r>
      <w:r w:rsidR="003B28C3" w:rsidRPr="00AB21B7">
        <w:rPr>
          <w:rFonts w:ascii="Arial" w:hAnsi="Arial" w:cs="Arial"/>
          <w:sz w:val="20"/>
          <w:szCs w:val="20"/>
        </w:rPr>
        <w:t>MSM</w:t>
      </w:r>
      <w:r w:rsidR="00042925">
        <w:rPr>
          <w:rFonts w:ascii="Arial" w:hAnsi="Arial" w:cs="Arial"/>
          <w:sz w:val="20"/>
          <w:szCs w:val="20"/>
        </w:rPr>
        <w:t xml:space="preserve"> are unlikely to be protected by the female-only vaccination programme</w:t>
      </w:r>
      <w:r w:rsidR="00C822A2">
        <w:rPr>
          <w:rFonts w:ascii="Arial" w:hAnsi="Arial" w:cs="Arial"/>
          <w:sz w:val="20"/>
          <w:szCs w:val="20"/>
        </w:rPr>
        <w:t>. In 2015, t</w:t>
      </w:r>
      <w:r w:rsidR="00A046D6" w:rsidRPr="00AB21B7">
        <w:rPr>
          <w:rFonts w:ascii="Arial" w:hAnsi="Arial" w:cs="Arial"/>
          <w:sz w:val="20"/>
          <w:szCs w:val="20"/>
        </w:rPr>
        <w:t xml:space="preserve">he Joint Committee of Vaccinations and Immunisations (JCVI) </w:t>
      </w:r>
      <w:r w:rsidR="00786EE0">
        <w:rPr>
          <w:rFonts w:ascii="Arial" w:hAnsi="Arial" w:cs="Arial"/>
          <w:sz w:val="20"/>
          <w:szCs w:val="20"/>
        </w:rPr>
        <w:t>advised</w:t>
      </w:r>
      <w:r w:rsidR="00C822A2">
        <w:rPr>
          <w:rFonts w:ascii="Arial" w:hAnsi="Arial" w:cs="Arial"/>
          <w:sz w:val="20"/>
          <w:szCs w:val="20"/>
        </w:rPr>
        <w:t xml:space="preserve"> vaccinat</w:t>
      </w:r>
      <w:r w:rsidR="00E77B3B">
        <w:rPr>
          <w:rFonts w:ascii="Arial" w:hAnsi="Arial" w:cs="Arial"/>
          <w:sz w:val="20"/>
          <w:szCs w:val="20"/>
        </w:rPr>
        <w:t>ion of</w:t>
      </w:r>
      <w:r w:rsidR="00C822A2">
        <w:rPr>
          <w:rFonts w:ascii="Arial" w:hAnsi="Arial" w:cs="Arial"/>
          <w:sz w:val="20"/>
          <w:szCs w:val="20"/>
        </w:rPr>
        <w:t xml:space="preserve"> </w:t>
      </w:r>
      <w:r w:rsidR="00C05E22" w:rsidRPr="00242D16">
        <w:rPr>
          <w:rFonts w:ascii="Arial" w:hAnsi="Arial" w:cs="Arial"/>
          <w:sz w:val="20"/>
          <w:szCs w:val="20"/>
        </w:rPr>
        <w:t>MSM aged 16-4</w:t>
      </w:r>
      <w:r w:rsidR="00C822A2">
        <w:rPr>
          <w:rFonts w:ascii="Arial" w:hAnsi="Arial" w:cs="Arial"/>
          <w:sz w:val="20"/>
          <w:szCs w:val="20"/>
        </w:rPr>
        <w:t>5</w:t>
      </w:r>
      <w:r w:rsidR="00C05E22" w:rsidRPr="00242D16">
        <w:rPr>
          <w:rFonts w:ascii="Arial" w:hAnsi="Arial" w:cs="Arial"/>
          <w:sz w:val="20"/>
          <w:szCs w:val="20"/>
        </w:rPr>
        <w:t xml:space="preserve"> years attending </w:t>
      </w:r>
      <w:r w:rsidR="002C6D81">
        <w:rPr>
          <w:rFonts w:ascii="Arial" w:hAnsi="Arial" w:cs="Arial"/>
          <w:sz w:val="20"/>
          <w:szCs w:val="20"/>
        </w:rPr>
        <w:t>Genito-Urinary Medicine (</w:t>
      </w:r>
      <w:r w:rsidR="00C05E22" w:rsidRPr="00242D16">
        <w:rPr>
          <w:rFonts w:ascii="Arial" w:hAnsi="Arial" w:cs="Arial"/>
          <w:sz w:val="20"/>
          <w:szCs w:val="20"/>
        </w:rPr>
        <w:t>GUM</w:t>
      </w:r>
      <w:r w:rsidR="002C6D81">
        <w:rPr>
          <w:rFonts w:ascii="Arial" w:hAnsi="Arial" w:cs="Arial"/>
          <w:sz w:val="20"/>
          <w:szCs w:val="20"/>
        </w:rPr>
        <w:t>)</w:t>
      </w:r>
      <w:r w:rsidR="00C05E22" w:rsidRPr="00242D16">
        <w:rPr>
          <w:rFonts w:ascii="Arial" w:hAnsi="Arial" w:cs="Arial"/>
          <w:sz w:val="20"/>
          <w:szCs w:val="20"/>
        </w:rPr>
        <w:t xml:space="preserve"> </w:t>
      </w:r>
      <w:r w:rsidR="00C822A2">
        <w:rPr>
          <w:rFonts w:ascii="Arial" w:hAnsi="Arial" w:cs="Arial"/>
          <w:sz w:val="20"/>
          <w:szCs w:val="20"/>
        </w:rPr>
        <w:t xml:space="preserve">clinics </w:t>
      </w:r>
      <w:r w:rsidR="00C05E22" w:rsidRPr="00242D16">
        <w:rPr>
          <w:rFonts w:ascii="Arial" w:hAnsi="Arial" w:cs="Arial"/>
          <w:sz w:val="20"/>
          <w:szCs w:val="20"/>
        </w:rPr>
        <w:t xml:space="preserve">and </w:t>
      </w:r>
      <w:r w:rsidR="00E77B3B">
        <w:rPr>
          <w:rFonts w:ascii="Arial" w:hAnsi="Arial" w:cs="Arial"/>
          <w:sz w:val="20"/>
          <w:szCs w:val="20"/>
        </w:rPr>
        <w:t xml:space="preserve">HIV clinics </w:t>
      </w:r>
      <w:r w:rsidR="00C05E22" w:rsidRPr="00242D16">
        <w:rPr>
          <w:rFonts w:ascii="Arial" w:hAnsi="Arial" w:cs="Arial"/>
          <w:sz w:val="20"/>
          <w:szCs w:val="20"/>
        </w:rPr>
        <w:t>using the quadrivalent HPV vaccine</w:t>
      </w:r>
      <w:r w:rsidR="00FE67E9">
        <w:rPr>
          <w:rFonts w:ascii="Arial" w:hAnsi="Arial" w:cs="Arial"/>
          <w:sz w:val="20"/>
          <w:szCs w:val="20"/>
        </w:rPr>
        <w:t xml:space="preserve"> (protecting against HPV types 6,11,16 and 18)</w:t>
      </w:r>
      <w:r w:rsidR="00D5744A">
        <w:rPr>
          <w:rFonts w:ascii="Arial" w:hAnsi="Arial" w:cs="Arial"/>
          <w:sz w:val="20"/>
          <w:szCs w:val="20"/>
        </w:rPr>
        <w:t>.[4]</w:t>
      </w:r>
      <w:r w:rsidR="00042925">
        <w:rPr>
          <w:rFonts w:ascii="Arial" w:hAnsi="Arial" w:cs="Arial"/>
          <w:sz w:val="20"/>
          <w:szCs w:val="20"/>
        </w:rPr>
        <w:t xml:space="preserve"> Following this advice, an HPV vaccination pilot has been introduced in selected GUM and HIV clinics across England from 2016 [5]. Three doses of vaccine are recommended for those aged over 15 years, with second and third doses ideally being one and four-six months after the initial vaccination respectively. However, gaps of up to 24 months between doses are clinically acceptable. [5]</w:t>
      </w:r>
      <w:r w:rsidR="00CD2C0B">
        <w:rPr>
          <w:rFonts w:ascii="Arial" w:hAnsi="Arial" w:cs="Arial"/>
          <w:sz w:val="20"/>
          <w:szCs w:val="20"/>
        </w:rPr>
        <w:t xml:space="preserve"> </w:t>
      </w:r>
    </w:p>
    <w:p w14:paraId="4FE90347" w14:textId="77777777" w:rsidR="008D2938" w:rsidRDefault="00E77B3B" w:rsidP="00D83A41">
      <w:pPr>
        <w:spacing w:line="480" w:lineRule="auto"/>
        <w:ind w:firstLine="720"/>
        <w:jc w:val="both"/>
        <w:rPr>
          <w:rFonts w:ascii="Arial" w:hAnsi="Arial" w:cs="Arial"/>
          <w:sz w:val="20"/>
          <w:szCs w:val="20"/>
        </w:rPr>
      </w:pPr>
      <w:r>
        <w:rPr>
          <w:rFonts w:ascii="Arial" w:hAnsi="Arial" w:cs="Arial"/>
          <w:sz w:val="20"/>
          <w:szCs w:val="20"/>
        </w:rPr>
        <w:t xml:space="preserve">The design and implementation of this </w:t>
      </w:r>
      <w:r w:rsidR="008D257A">
        <w:rPr>
          <w:rFonts w:ascii="Arial" w:hAnsi="Arial" w:cs="Arial"/>
          <w:sz w:val="20"/>
          <w:szCs w:val="20"/>
        </w:rPr>
        <w:t>advice</w:t>
      </w:r>
      <w:r>
        <w:rPr>
          <w:rFonts w:ascii="Arial" w:hAnsi="Arial" w:cs="Arial"/>
          <w:sz w:val="20"/>
          <w:szCs w:val="20"/>
        </w:rPr>
        <w:t xml:space="preserve"> is affected by </w:t>
      </w:r>
      <w:r w:rsidR="008D2938">
        <w:rPr>
          <w:rFonts w:ascii="Arial" w:hAnsi="Arial" w:cs="Arial"/>
          <w:sz w:val="20"/>
          <w:szCs w:val="20"/>
        </w:rPr>
        <w:t>the characteristics of MSM attending sexual health clinics and their attendance patterns</w:t>
      </w:r>
      <w:r w:rsidR="00166D0D">
        <w:rPr>
          <w:rFonts w:ascii="Arial" w:hAnsi="Arial" w:cs="Arial"/>
          <w:sz w:val="20"/>
          <w:szCs w:val="20"/>
        </w:rPr>
        <w:t>.</w:t>
      </w:r>
    </w:p>
    <w:p w14:paraId="392F9BFA" w14:textId="77777777" w:rsidR="005D0F40" w:rsidRPr="00AB21B7" w:rsidRDefault="008D2938" w:rsidP="00AB21B7">
      <w:pPr>
        <w:spacing w:line="480" w:lineRule="auto"/>
        <w:jc w:val="both"/>
        <w:rPr>
          <w:rFonts w:ascii="Arial" w:hAnsi="Arial" w:cs="Arial"/>
          <w:sz w:val="20"/>
          <w:szCs w:val="20"/>
        </w:rPr>
      </w:pPr>
      <w:r>
        <w:rPr>
          <w:rFonts w:ascii="Arial" w:hAnsi="Arial" w:cs="Arial"/>
          <w:sz w:val="20"/>
          <w:szCs w:val="20"/>
        </w:rPr>
        <w:tab/>
      </w:r>
      <w:r w:rsidR="00786EE0">
        <w:rPr>
          <w:rFonts w:ascii="Arial" w:hAnsi="Arial" w:cs="Arial"/>
          <w:sz w:val="20"/>
          <w:szCs w:val="20"/>
        </w:rPr>
        <w:t>We use</w:t>
      </w:r>
      <w:r w:rsidR="00BF0677">
        <w:rPr>
          <w:rFonts w:ascii="Arial" w:hAnsi="Arial" w:cs="Arial"/>
          <w:sz w:val="20"/>
          <w:szCs w:val="20"/>
        </w:rPr>
        <w:t>d</w:t>
      </w:r>
      <w:r w:rsidR="00786EE0">
        <w:rPr>
          <w:rFonts w:ascii="Arial" w:hAnsi="Arial" w:cs="Arial"/>
          <w:sz w:val="20"/>
          <w:szCs w:val="20"/>
        </w:rPr>
        <w:t xml:space="preserve"> national surveillance data submitted to Public Health England to describe attendance</w:t>
      </w:r>
      <w:r w:rsidR="00BF0677">
        <w:rPr>
          <w:rFonts w:ascii="Arial" w:hAnsi="Arial" w:cs="Arial"/>
          <w:sz w:val="20"/>
          <w:szCs w:val="20"/>
        </w:rPr>
        <w:t xml:space="preserve"> pattern</w:t>
      </w:r>
      <w:r w:rsidR="00786EE0">
        <w:rPr>
          <w:rFonts w:ascii="Arial" w:hAnsi="Arial" w:cs="Arial"/>
          <w:sz w:val="20"/>
          <w:szCs w:val="20"/>
        </w:rPr>
        <w:t>s at GUM clinics throughout England</w:t>
      </w:r>
      <w:r w:rsidR="00E77B3B">
        <w:rPr>
          <w:rFonts w:ascii="Arial" w:hAnsi="Arial" w:cs="Arial"/>
          <w:sz w:val="20"/>
          <w:szCs w:val="20"/>
        </w:rPr>
        <w:t>, to inform the development of the MSM-HPV vaccination programme</w:t>
      </w:r>
      <w:r w:rsidR="00786EE0">
        <w:rPr>
          <w:rFonts w:ascii="Arial" w:hAnsi="Arial" w:cs="Arial"/>
          <w:sz w:val="20"/>
          <w:szCs w:val="20"/>
        </w:rPr>
        <w:t>.</w:t>
      </w:r>
    </w:p>
    <w:p w14:paraId="727F8FD9" w14:textId="77777777" w:rsidR="00A11B35" w:rsidRPr="00AB21B7" w:rsidRDefault="00A11B35" w:rsidP="009C48D3">
      <w:pPr>
        <w:spacing w:line="480" w:lineRule="auto"/>
        <w:rPr>
          <w:rFonts w:ascii="Arial" w:hAnsi="Arial" w:cs="Arial"/>
          <w:b/>
          <w:sz w:val="20"/>
          <w:szCs w:val="20"/>
        </w:rPr>
      </w:pPr>
    </w:p>
    <w:p w14:paraId="22BE635B" w14:textId="77777777" w:rsidR="00ED6E1A" w:rsidRDefault="009C48D3" w:rsidP="00AB21B7">
      <w:pPr>
        <w:spacing w:line="480" w:lineRule="auto"/>
        <w:rPr>
          <w:rFonts w:ascii="Arial" w:hAnsi="Arial" w:cs="Arial"/>
          <w:b/>
          <w:sz w:val="20"/>
          <w:szCs w:val="20"/>
        </w:rPr>
      </w:pPr>
      <w:r w:rsidRPr="00AB21B7">
        <w:rPr>
          <w:rFonts w:ascii="Arial" w:hAnsi="Arial" w:cs="Arial"/>
          <w:b/>
          <w:sz w:val="20"/>
          <w:szCs w:val="20"/>
        </w:rPr>
        <w:t>ME</w:t>
      </w:r>
      <w:r w:rsidR="00ED6E1A">
        <w:rPr>
          <w:rFonts w:ascii="Arial" w:hAnsi="Arial" w:cs="Arial"/>
          <w:b/>
          <w:sz w:val="20"/>
          <w:szCs w:val="20"/>
        </w:rPr>
        <w:t>THODS</w:t>
      </w:r>
    </w:p>
    <w:p w14:paraId="7CF666B5" w14:textId="6E414342" w:rsidR="00ED6E1A" w:rsidRDefault="00ED6E1A" w:rsidP="00FE461F">
      <w:pPr>
        <w:spacing w:line="480" w:lineRule="auto"/>
        <w:jc w:val="both"/>
        <w:rPr>
          <w:rFonts w:ascii="Arial" w:hAnsi="Arial" w:cs="Arial"/>
          <w:sz w:val="20"/>
          <w:szCs w:val="20"/>
        </w:rPr>
      </w:pPr>
      <w:r>
        <w:rPr>
          <w:rFonts w:ascii="Arial" w:hAnsi="Arial" w:cs="Arial"/>
          <w:b/>
          <w:sz w:val="20"/>
          <w:szCs w:val="20"/>
        </w:rPr>
        <w:tab/>
      </w:r>
      <w:r w:rsidRPr="00AB21B7">
        <w:rPr>
          <w:rFonts w:ascii="Arial" w:hAnsi="Arial" w:cs="Arial"/>
          <w:sz w:val="20"/>
          <w:szCs w:val="20"/>
        </w:rPr>
        <w:t xml:space="preserve">Data </w:t>
      </w:r>
      <w:r w:rsidR="00957962" w:rsidRPr="00AB21B7">
        <w:rPr>
          <w:rFonts w:ascii="Arial" w:hAnsi="Arial" w:cs="Arial"/>
          <w:sz w:val="20"/>
          <w:szCs w:val="20"/>
        </w:rPr>
        <w:t xml:space="preserve">were extracted from </w:t>
      </w:r>
      <w:r w:rsidR="009C48D3" w:rsidRPr="00AB21B7">
        <w:rPr>
          <w:rFonts w:ascii="Arial" w:hAnsi="Arial" w:cs="Arial"/>
          <w:sz w:val="20"/>
          <w:szCs w:val="20"/>
        </w:rPr>
        <w:t>the Genitourinary Medicine Clinic Activity Dataset (GUMCAD</w:t>
      </w:r>
      <w:r w:rsidR="00834F46" w:rsidRPr="00B524A6">
        <w:rPr>
          <w:rFonts w:ascii="Arial" w:hAnsi="Arial" w:cs="Arial"/>
          <w:sz w:val="20"/>
          <w:szCs w:val="20"/>
        </w:rPr>
        <w:t>v2</w:t>
      </w:r>
      <w:r w:rsidR="009C48D3" w:rsidRPr="00AB21B7">
        <w:rPr>
          <w:rFonts w:ascii="Arial" w:hAnsi="Arial" w:cs="Arial"/>
          <w:sz w:val="20"/>
          <w:szCs w:val="20"/>
        </w:rPr>
        <w:t xml:space="preserve">) </w:t>
      </w:r>
      <w:r w:rsidR="003F300D">
        <w:rPr>
          <w:rFonts w:ascii="Arial" w:hAnsi="Arial" w:cs="Arial"/>
          <w:sz w:val="20"/>
          <w:szCs w:val="20"/>
        </w:rPr>
        <w:t>that</w:t>
      </w:r>
      <w:r w:rsidR="003F300D" w:rsidRPr="00AB21B7">
        <w:rPr>
          <w:rFonts w:ascii="Arial" w:hAnsi="Arial" w:cs="Arial"/>
          <w:sz w:val="20"/>
          <w:szCs w:val="20"/>
        </w:rPr>
        <w:t xml:space="preserve"> </w:t>
      </w:r>
      <w:r w:rsidR="009C48D3" w:rsidRPr="00AB21B7">
        <w:rPr>
          <w:rFonts w:ascii="Arial" w:hAnsi="Arial" w:cs="Arial"/>
          <w:sz w:val="20"/>
          <w:szCs w:val="20"/>
        </w:rPr>
        <w:t xml:space="preserve">contains electronic data </w:t>
      </w:r>
      <w:r w:rsidR="00834F46" w:rsidRPr="00B524A6">
        <w:rPr>
          <w:rFonts w:ascii="Arial" w:hAnsi="Arial" w:cs="Arial"/>
          <w:sz w:val="20"/>
          <w:szCs w:val="20"/>
        </w:rPr>
        <w:t xml:space="preserve">on </w:t>
      </w:r>
      <w:r w:rsidR="002028AB" w:rsidRPr="00B524A6">
        <w:rPr>
          <w:rFonts w:ascii="Arial" w:hAnsi="Arial" w:cs="Arial"/>
          <w:sz w:val="20"/>
          <w:szCs w:val="20"/>
        </w:rPr>
        <w:t>attendances</w:t>
      </w:r>
      <w:r w:rsidR="002028AB">
        <w:rPr>
          <w:rFonts w:ascii="Arial" w:hAnsi="Arial" w:cs="Arial"/>
          <w:sz w:val="20"/>
          <w:szCs w:val="20"/>
        </w:rPr>
        <w:t xml:space="preserve"> </w:t>
      </w:r>
      <w:r w:rsidR="00834F46" w:rsidRPr="00B524A6">
        <w:rPr>
          <w:rFonts w:ascii="Arial" w:hAnsi="Arial" w:cs="Arial"/>
          <w:sz w:val="20"/>
          <w:szCs w:val="20"/>
        </w:rPr>
        <w:t>at</w:t>
      </w:r>
      <w:r w:rsidR="00834F46" w:rsidRPr="00AB21B7">
        <w:rPr>
          <w:rFonts w:ascii="Arial" w:hAnsi="Arial" w:cs="Arial"/>
          <w:sz w:val="20"/>
          <w:szCs w:val="20"/>
        </w:rPr>
        <w:t xml:space="preserve"> </w:t>
      </w:r>
      <w:r w:rsidR="009C48D3" w:rsidRPr="00AB21B7">
        <w:rPr>
          <w:rFonts w:ascii="Arial" w:hAnsi="Arial" w:cs="Arial"/>
          <w:sz w:val="20"/>
          <w:szCs w:val="20"/>
        </w:rPr>
        <w:t>GUM clinic</w:t>
      </w:r>
      <w:r w:rsidR="00834F46" w:rsidRPr="00B524A6">
        <w:rPr>
          <w:rFonts w:ascii="Arial" w:hAnsi="Arial" w:cs="Arial"/>
          <w:sz w:val="20"/>
          <w:szCs w:val="20"/>
        </w:rPr>
        <w:t>s</w:t>
      </w:r>
      <w:r w:rsidR="009C48D3" w:rsidRPr="00AB21B7">
        <w:rPr>
          <w:rFonts w:ascii="Arial" w:hAnsi="Arial" w:cs="Arial"/>
          <w:sz w:val="20"/>
          <w:szCs w:val="20"/>
        </w:rPr>
        <w:t xml:space="preserve"> in England</w:t>
      </w:r>
      <w:r w:rsidR="009F6D13" w:rsidRPr="00AB21B7">
        <w:rPr>
          <w:rFonts w:ascii="Arial" w:hAnsi="Arial" w:cs="Arial"/>
          <w:sz w:val="20"/>
          <w:szCs w:val="20"/>
        </w:rPr>
        <w:t>.</w:t>
      </w:r>
      <w:r w:rsidR="009C48D3" w:rsidRPr="00AB21B7">
        <w:rPr>
          <w:rFonts w:ascii="Arial" w:hAnsi="Arial" w:cs="Arial"/>
          <w:sz w:val="20"/>
          <w:szCs w:val="20"/>
        </w:rPr>
        <w:t xml:space="preserve"> This dataset </w:t>
      </w:r>
      <w:r w:rsidR="00F94217">
        <w:rPr>
          <w:rFonts w:ascii="Arial" w:hAnsi="Arial" w:cs="Arial"/>
          <w:sz w:val="20"/>
          <w:szCs w:val="20"/>
        </w:rPr>
        <w:t>contains</w:t>
      </w:r>
      <w:r w:rsidR="00F94217" w:rsidRPr="00AB21B7">
        <w:rPr>
          <w:rFonts w:ascii="Arial" w:hAnsi="Arial" w:cs="Arial"/>
          <w:sz w:val="20"/>
          <w:szCs w:val="20"/>
        </w:rPr>
        <w:t xml:space="preserve"> </w:t>
      </w:r>
      <w:r w:rsidR="009C48D3" w:rsidRPr="00AB21B7">
        <w:rPr>
          <w:rFonts w:ascii="Arial" w:hAnsi="Arial" w:cs="Arial"/>
          <w:sz w:val="20"/>
          <w:szCs w:val="20"/>
        </w:rPr>
        <w:t>patient demographics</w:t>
      </w:r>
      <w:r w:rsidR="00F94217">
        <w:rPr>
          <w:rFonts w:ascii="Arial" w:hAnsi="Arial" w:cs="Arial"/>
          <w:sz w:val="20"/>
          <w:szCs w:val="20"/>
        </w:rPr>
        <w:t xml:space="preserve"> including age, ethnicity and sexual</w:t>
      </w:r>
      <w:r w:rsidR="00042925">
        <w:rPr>
          <w:rFonts w:ascii="Arial" w:hAnsi="Arial" w:cs="Arial"/>
          <w:sz w:val="20"/>
          <w:szCs w:val="20"/>
        </w:rPr>
        <w:t xml:space="preserve"> risk</w:t>
      </w:r>
      <w:r w:rsidR="00D5744A">
        <w:rPr>
          <w:rFonts w:ascii="Arial" w:hAnsi="Arial" w:cs="Arial"/>
          <w:sz w:val="20"/>
          <w:szCs w:val="20"/>
        </w:rPr>
        <w:t>.</w:t>
      </w:r>
      <w:r w:rsidR="00C93250">
        <w:rPr>
          <w:rFonts w:ascii="Arial" w:hAnsi="Arial" w:cs="Arial"/>
          <w:sz w:val="20"/>
          <w:szCs w:val="20"/>
        </w:rPr>
        <w:t>[</w:t>
      </w:r>
      <w:r w:rsidR="001759F7">
        <w:rPr>
          <w:rFonts w:ascii="Arial" w:hAnsi="Arial" w:cs="Arial"/>
          <w:sz w:val="20"/>
          <w:szCs w:val="20"/>
        </w:rPr>
        <w:t>6</w:t>
      </w:r>
      <w:r w:rsidR="00C93250">
        <w:rPr>
          <w:rFonts w:ascii="Arial" w:hAnsi="Arial" w:cs="Arial"/>
          <w:sz w:val="20"/>
          <w:szCs w:val="20"/>
        </w:rPr>
        <w:t>]</w:t>
      </w:r>
      <w:r w:rsidR="00834F46" w:rsidRPr="00B524A6">
        <w:rPr>
          <w:rFonts w:ascii="Arial" w:hAnsi="Arial" w:cs="Arial"/>
          <w:sz w:val="20"/>
          <w:szCs w:val="20"/>
        </w:rPr>
        <w:t xml:space="preserve"> At each attendance, p</w:t>
      </w:r>
      <w:r w:rsidR="009C48D3" w:rsidRPr="00AB21B7">
        <w:rPr>
          <w:rFonts w:ascii="Arial" w:hAnsi="Arial" w:cs="Arial"/>
          <w:sz w:val="20"/>
          <w:szCs w:val="20"/>
        </w:rPr>
        <w:t xml:space="preserve">atients are </w:t>
      </w:r>
      <w:r>
        <w:rPr>
          <w:rFonts w:ascii="Arial" w:hAnsi="Arial" w:cs="Arial"/>
          <w:sz w:val="20"/>
          <w:szCs w:val="20"/>
        </w:rPr>
        <w:t>categorised</w:t>
      </w:r>
      <w:r w:rsidRPr="00AB21B7">
        <w:rPr>
          <w:rFonts w:ascii="Arial" w:hAnsi="Arial" w:cs="Arial"/>
          <w:sz w:val="20"/>
          <w:szCs w:val="20"/>
        </w:rPr>
        <w:t xml:space="preserve"> </w:t>
      </w:r>
      <w:r w:rsidR="009C48D3" w:rsidRPr="00AB21B7">
        <w:rPr>
          <w:rFonts w:ascii="Arial" w:hAnsi="Arial" w:cs="Arial"/>
          <w:sz w:val="20"/>
          <w:szCs w:val="20"/>
        </w:rPr>
        <w:t>as heterosexual, bisexual, homosexual or unknown.</w:t>
      </w:r>
      <w:r w:rsidR="00042925">
        <w:rPr>
          <w:rFonts w:ascii="Arial" w:hAnsi="Arial" w:cs="Arial"/>
          <w:sz w:val="20"/>
          <w:szCs w:val="20"/>
        </w:rPr>
        <w:t xml:space="preserve">  In this analysis, sexual risk was</w:t>
      </w:r>
      <w:r w:rsidR="00042925" w:rsidRPr="00362311">
        <w:rPr>
          <w:rFonts w:ascii="Arial" w:hAnsi="Arial" w:cs="Arial"/>
          <w:sz w:val="20"/>
          <w:szCs w:val="20"/>
        </w:rPr>
        <w:t xml:space="preserve"> classified as </w:t>
      </w:r>
      <w:r w:rsidR="00042925">
        <w:rPr>
          <w:rFonts w:ascii="Arial" w:hAnsi="Arial" w:cs="Arial"/>
          <w:sz w:val="20"/>
          <w:szCs w:val="20"/>
        </w:rPr>
        <w:t>MSM if their GUMCADv2 record showed homosexual or bisexual at any visit.</w:t>
      </w:r>
      <w:r w:rsidR="009C48D3" w:rsidRPr="00AB21B7">
        <w:rPr>
          <w:rFonts w:ascii="Arial" w:hAnsi="Arial" w:cs="Arial"/>
          <w:sz w:val="20"/>
          <w:szCs w:val="20"/>
        </w:rPr>
        <w:t xml:space="preserve"> </w:t>
      </w:r>
    </w:p>
    <w:p w14:paraId="13CF26FE" w14:textId="77777777" w:rsidR="00AB21B7" w:rsidRDefault="00ED6E1A" w:rsidP="00B524A6">
      <w:pPr>
        <w:spacing w:line="480" w:lineRule="auto"/>
        <w:ind w:firstLine="720"/>
        <w:jc w:val="both"/>
        <w:rPr>
          <w:rFonts w:ascii="Arial" w:hAnsi="Arial" w:cs="Arial"/>
          <w:sz w:val="20"/>
          <w:szCs w:val="20"/>
        </w:rPr>
      </w:pPr>
      <w:r>
        <w:rPr>
          <w:rFonts w:ascii="Arial" w:hAnsi="Arial" w:cs="Arial"/>
          <w:sz w:val="20"/>
          <w:szCs w:val="20"/>
        </w:rPr>
        <w:t>We considered the numbers of MSM attending a GUM clinic at least once</w:t>
      </w:r>
      <w:r w:rsidR="00C84158">
        <w:rPr>
          <w:rFonts w:ascii="Arial" w:hAnsi="Arial" w:cs="Arial"/>
          <w:sz w:val="20"/>
          <w:szCs w:val="20"/>
        </w:rPr>
        <w:t xml:space="preserve"> and numbers of attendances for this population</w:t>
      </w:r>
      <w:r>
        <w:rPr>
          <w:rFonts w:ascii="Arial" w:hAnsi="Arial" w:cs="Arial"/>
          <w:sz w:val="20"/>
          <w:szCs w:val="20"/>
        </w:rPr>
        <w:t xml:space="preserve"> from 1</w:t>
      </w:r>
      <w:r w:rsidRPr="00AB21B7">
        <w:rPr>
          <w:rFonts w:ascii="Arial" w:hAnsi="Arial" w:cs="Arial"/>
          <w:sz w:val="20"/>
          <w:szCs w:val="20"/>
          <w:vertAlign w:val="superscript"/>
        </w:rPr>
        <w:t>st</w:t>
      </w:r>
      <w:r>
        <w:rPr>
          <w:rFonts w:ascii="Arial" w:hAnsi="Arial" w:cs="Arial"/>
          <w:sz w:val="20"/>
          <w:szCs w:val="20"/>
        </w:rPr>
        <w:t xml:space="preserve"> January 2009</w:t>
      </w:r>
      <w:r w:rsidR="009B6AC1">
        <w:rPr>
          <w:rFonts w:ascii="Arial" w:hAnsi="Arial" w:cs="Arial"/>
          <w:sz w:val="20"/>
          <w:szCs w:val="20"/>
        </w:rPr>
        <w:t>, when GUMCAD began recording these data,</w:t>
      </w:r>
      <w:r>
        <w:rPr>
          <w:rFonts w:ascii="Arial" w:hAnsi="Arial" w:cs="Arial"/>
          <w:sz w:val="20"/>
          <w:szCs w:val="20"/>
        </w:rPr>
        <w:t xml:space="preserve"> to </w:t>
      </w:r>
      <w:r w:rsidR="00B524A6">
        <w:rPr>
          <w:rFonts w:ascii="Arial" w:hAnsi="Arial" w:cs="Arial"/>
          <w:sz w:val="20"/>
          <w:szCs w:val="20"/>
        </w:rPr>
        <w:t>3</w:t>
      </w:r>
      <w:r>
        <w:rPr>
          <w:rFonts w:ascii="Arial" w:hAnsi="Arial" w:cs="Arial"/>
          <w:sz w:val="20"/>
          <w:szCs w:val="20"/>
        </w:rPr>
        <w:t>1</w:t>
      </w:r>
      <w:r w:rsidRPr="00AB21B7">
        <w:rPr>
          <w:rFonts w:ascii="Arial" w:hAnsi="Arial" w:cs="Arial"/>
          <w:sz w:val="20"/>
          <w:szCs w:val="20"/>
          <w:vertAlign w:val="superscript"/>
        </w:rPr>
        <w:t>st</w:t>
      </w:r>
      <w:r>
        <w:rPr>
          <w:rFonts w:ascii="Arial" w:hAnsi="Arial" w:cs="Arial"/>
          <w:sz w:val="20"/>
          <w:szCs w:val="20"/>
        </w:rPr>
        <w:t xml:space="preserve"> December 2014.</w:t>
      </w:r>
      <w:r w:rsidR="00166D0D">
        <w:rPr>
          <w:rFonts w:ascii="Arial" w:hAnsi="Arial" w:cs="Arial"/>
          <w:sz w:val="20"/>
          <w:szCs w:val="20"/>
        </w:rPr>
        <w:t xml:space="preserve"> </w:t>
      </w:r>
      <w:r w:rsidR="00B524A6">
        <w:rPr>
          <w:rFonts w:ascii="Arial" w:hAnsi="Arial" w:cs="Arial"/>
          <w:sz w:val="20"/>
          <w:szCs w:val="20"/>
        </w:rPr>
        <w:t>Data were presented on the age and clinic location</w:t>
      </w:r>
      <w:r w:rsidR="001113DF">
        <w:rPr>
          <w:rFonts w:ascii="Arial" w:hAnsi="Arial" w:cs="Arial"/>
          <w:sz w:val="20"/>
          <w:szCs w:val="20"/>
        </w:rPr>
        <w:t xml:space="preserve"> (according to PHE centre: East Midlands, East of England, London, North East, North West, South East, South West, West Midlands and </w:t>
      </w:r>
      <w:r w:rsidR="001113DF">
        <w:rPr>
          <w:rFonts w:ascii="Arial" w:hAnsi="Arial" w:cs="Arial"/>
          <w:sz w:val="20"/>
          <w:szCs w:val="20"/>
        </w:rPr>
        <w:lastRenderedPageBreak/>
        <w:t>Yorkshire and Humber)</w:t>
      </w:r>
      <w:r w:rsidR="00B524A6">
        <w:rPr>
          <w:rFonts w:ascii="Arial" w:hAnsi="Arial" w:cs="Arial"/>
          <w:sz w:val="20"/>
          <w:szCs w:val="20"/>
        </w:rPr>
        <w:t xml:space="preserve"> of the first recorded attendance within this time period for each MSM attender.</w:t>
      </w:r>
      <w:r w:rsidR="00C8635D" w:rsidRPr="00AB21B7">
        <w:rPr>
          <w:rFonts w:ascii="Arial" w:hAnsi="Arial" w:cs="Arial"/>
          <w:sz w:val="20"/>
          <w:szCs w:val="20"/>
        </w:rPr>
        <w:t xml:space="preserve"> T</w:t>
      </w:r>
      <w:r w:rsidR="009C48D3" w:rsidRPr="00AB21B7">
        <w:rPr>
          <w:rFonts w:ascii="Arial" w:hAnsi="Arial" w:cs="Arial"/>
          <w:sz w:val="20"/>
          <w:szCs w:val="20"/>
        </w:rPr>
        <w:t>he total number of men attending GUM clinics in England, regardless of sexualit</w:t>
      </w:r>
      <w:r w:rsidR="00B524A6">
        <w:rPr>
          <w:rFonts w:ascii="Arial" w:hAnsi="Arial" w:cs="Arial"/>
          <w:sz w:val="20"/>
          <w:szCs w:val="20"/>
        </w:rPr>
        <w:t>y,</w:t>
      </w:r>
      <w:r w:rsidR="009C48D3" w:rsidRPr="00AB21B7">
        <w:rPr>
          <w:rFonts w:ascii="Arial" w:hAnsi="Arial" w:cs="Arial"/>
          <w:sz w:val="20"/>
          <w:szCs w:val="20"/>
        </w:rPr>
        <w:t xml:space="preserve"> was also captured</w:t>
      </w:r>
      <w:r w:rsidR="00B524A6">
        <w:rPr>
          <w:rFonts w:ascii="Arial" w:hAnsi="Arial" w:cs="Arial"/>
          <w:sz w:val="20"/>
          <w:szCs w:val="20"/>
        </w:rPr>
        <w:t xml:space="preserve"> </w:t>
      </w:r>
      <w:r w:rsidR="009C48D3" w:rsidRPr="00AB21B7">
        <w:rPr>
          <w:rFonts w:ascii="Arial" w:hAnsi="Arial" w:cs="Arial"/>
          <w:sz w:val="20"/>
          <w:szCs w:val="20"/>
        </w:rPr>
        <w:t xml:space="preserve">to compare proportions of MSM </w:t>
      </w:r>
      <w:r w:rsidR="003E23C7" w:rsidRPr="00AB21B7">
        <w:rPr>
          <w:rFonts w:ascii="Arial" w:hAnsi="Arial" w:cs="Arial"/>
          <w:sz w:val="20"/>
          <w:szCs w:val="20"/>
        </w:rPr>
        <w:t>in the</w:t>
      </w:r>
      <w:r w:rsidR="009C48D3" w:rsidRPr="00AB21B7">
        <w:rPr>
          <w:rFonts w:ascii="Arial" w:hAnsi="Arial" w:cs="Arial"/>
          <w:sz w:val="20"/>
          <w:szCs w:val="20"/>
        </w:rPr>
        <w:t xml:space="preserve"> </w:t>
      </w:r>
      <w:r w:rsidR="003E23C7" w:rsidRPr="00AB21B7">
        <w:rPr>
          <w:rFonts w:ascii="Arial" w:hAnsi="Arial" w:cs="Arial"/>
          <w:sz w:val="20"/>
          <w:szCs w:val="20"/>
        </w:rPr>
        <w:t xml:space="preserve">overall </w:t>
      </w:r>
      <w:r w:rsidR="009C48D3" w:rsidRPr="00AB21B7">
        <w:rPr>
          <w:rFonts w:ascii="Arial" w:hAnsi="Arial" w:cs="Arial"/>
          <w:sz w:val="20"/>
          <w:szCs w:val="20"/>
        </w:rPr>
        <w:t xml:space="preserve">male </w:t>
      </w:r>
      <w:r w:rsidR="00B524A6">
        <w:rPr>
          <w:rFonts w:ascii="Arial" w:hAnsi="Arial" w:cs="Arial"/>
          <w:sz w:val="20"/>
          <w:szCs w:val="20"/>
        </w:rPr>
        <w:t>population</w:t>
      </w:r>
      <w:r w:rsidR="00B524A6" w:rsidRPr="00AB21B7">
        <w:rPr>
          <w:rFonts w:ascii="Arial" w:hAnsi="Arial" w:cs="Arial"/>
          <w:sz w:val="20"/>
          <w:szCs w:val="20"/>
        </w:rPr>
        <w:t xml:space="preserve"> </w:t>
      </w:r>
      <w:r w:rsidR="003E23C7" w:rsidRPr="00AB21B7">
        <w:rPr>
          <w:rFonts w:ascii="Arial" w:hAnsi="Arial" w:cs="Arial"/>
          <w:sz w:val="20"/>
          <w:szCs w:val="20"/>
        </w:rPr>
        <w:t>for each</w:t>
      </w:r>
      <w:r w:rsidR="00B524A6">
        <w:rPr>
          <w:rFonts w:ascii="Arial" w:hAnsi="Arial" w:cs="Arial"/>
          <w:sz w:val="20"/>
          <w:szCs w:val="20"/>
        </w:rPr>
        <w:t xml:space="preserve"> </w:t>
      </w:r>
      <w:r w:rsidR="009B1D8F">
        <w:rPr>
          <w:rFonts w:ascii="Arial" w:hAnsi="Arial" w:cs="Arial"/>
          <w:sz w:val="20"/>
          <w:szCs w:val="20"/>
        </w:rPr>
        <w:t>PHE centre</w:t>
      </w:r>
      <w:r w:rsidR="003E23C7" w:rsidRPr="00AB21B7">
        <w:rPr>
          <w:rFonts w:ascii="Arial" w:hAnsi="Arial" w:cs="Arial"/>
          <w:sz w:val="20"/>
          <w:szCs w:val="20"/>
        </w:rPr>
        <w:t xml:space="preserve">. </w:t>
      </w:r>
    </w:p>
    <w:p w14:paraId="0D178DDB" w14:textId="77777777" w:rsidR="009C48D3" w:rsidRPr="00AB21B7" w:rsidRDefault="00675CAF" w:rsidP="00B524A6">
      <w:pPr>
        <w:spacing w:line="480" w:lineRule="auto"/>
        <w:ind w:firstLine="720"/>
        <w:jc w:val="both"/>
        <w:rPr>
          <w:rFonts w:ascii="Arial" w:hAnsi="Arial" w:cs="Arial"/>
          <w:sz w:val="20"/>
          <w:szCs w:val="20"/>
        </w:rPr>
      </w:pPr>
      <w:r>
        <w:rPr>
          <w:rFonts w:ascii="Arial" w:hAnsi="Arial" w:cs="Arial"/>
          <w:sz w:val="20"/>
          <w:szCs w:val="20"/>
        </w:rPr>
        <w:t>W</w:t>
      </w:r>
      <w:r w:rsidR="00AB21B7">
        <w:rPr>
          <w:rFonts w:ascii="Arial" w:hAnsi="Arial" w:cs="Arial"/>
          <w:sz w:val="20"/>
          <w:szCs w:val="20"/>
        </w:rPr>
        <w:t xml:space="preserve">e </w:t>
      </w:r>
      <w:r>
        <w:rPr>
          <w:rFonts w:ascii="Arial" w:hAnsi="Arial" w:cs="Arial"/>
          <w:sz w:val="20"/>
          <w:szCs w:val="20"/>
        </w:rPr>
        <w:t xml:space="preserve">also </w:t>
      </w:r>
      <w:r w:rsidR="00AB21B7">
        <w:rPr>
          <w:rFonts w:ascii="Arial" w:hAnsi="Arial" w:cs="Arial"/>
          <w:sz w:val="20"/>
          <w:szCs w:val="20"/>
        </w:rPr>
        <w:t xml:space="preserve">looked at the </w:t>
      </w:r>
      <w:r w:rsidR="00676A67">
        <w:rPr>
          <w:rFonts w:ascii="Arial" w:hAnsi="Arial" w:cs="Arial"/>
          <w:sz w:val="20"/>
          <w:szCs w:val="20"/>
        </w:rPr>
        <w:t>proportion of MSM re-attending at</w:t>
      </w:r>
      <w:r w:rsidR="00AB21B7">
        <w:rPr>
          <w:rFonts w:ascii="Arial" w:hAnsi="Arial" w:cs="Arial"/>
          <w:sz w:val="20"/>
          <w:szCs w:val="20"/>
        </w:rPr>
        <w:t xml:space="preserve"> the same GUM </w:t>
      </w:r>
      <w:r w:rsidR="00676A67">
        <w:rPr>
          <w:rFonts w:ascii="Arial" w:hAnsi="Arial" w:cs="Arial"/>
          <w:sz w:val="20"/>
          <w:szCs w:val="20"/>
        </w:rPr>
        <w:t>clinic</w:t>
      </w:r>
      <w:r w:rsidR="00AB21B7">
        <w:rPr>
          <w:rFonts w:ascii="Arial" w:hAnsi="Arial" w:cs="Arial"/>
          <w:sz w:val="20"/>
          <w:szCs w:val="20"/>
        </w:rPr>
        <w:t xml:space="preserve"> </w:t>
      </w:r>
      <w:r w:rsidR="00676A67">
        <w:rPr>
          <w:rFonts w:ascii="Arial" w:hAnsi="Arial" w:cs="Arial"/>
          <w:sz w:val="20"/>
          <w:szCs w:val="20"/>
        </w:rPr>
        <w:t>within</w:t>
      </w:r>
      <w:r w:rsidR="00551ECC">
        <w:rPr>
          <w:rFonts w:ascii="Arial" w:hAnsi="Arial" w:cs="Arial"/>
          <w:sz w:val="20"/>
          <w:szCs w:val="20"/>
        </w:rPr>
        <w:t xml:space="preserve"> specific intervals</w:t>
      </w:r>
      <w:r w:rsidR="00676A67">
        <w:rPr>
          <w:rFonts w:ascii="Arial" w:hAnsi="Arial" w:cs="Arial"/>
          <w:sz w:val="20"/>
          <w:szCs w:val="20"/>
        </w:rPr>
        <w:t xml:space="preserve"> </w:t>
      </w:r>
      <w:r w:rsidR="00551ECC">
        <w:rPr>
          <w:rFonts w:ascii="Arial" w:hAnsi="Arial" w:cs="Arial"/>
          <w:sz w:val="20"/>
          <w:szCs w:val="20"/>
        </w:rPr>
        <w:t>(</w:t>
      </w:r>
      <w:r w:rsidR="00676A67">
        <w:rPr>
          <w:rFonts w:ascii="Arial" w:hAnsi="Arial" w:cs="Arial"/>
          <w:sz w:val="20"/>
          <w:szCs w:val="20"/>
        </w:rPr>
        <w:t>1-3, 4-6, 7-12,</w:t>
      </w:r>
      <w:r w:rsidR="00A749D3">
        <w:rPr>
          <w:rFonts w:ascii="Arial" w:hAnsi="Arial" w:cs="Arial"/>
          <w:sz w:val="20"/>
          <w:szCs w:val="20"/>
        </w:rPr>
        <w:t xml:space="preserve"> </w:t>
      </w:r>
      <w:r w:rsidR="00676A67">
        <w:rPr>
          <w:rFonts w:ascii="Arial" w:hAnsi="Arial" w:cs="Arial"/>
          <w:sz w:val="20"/>
          <w:szCs w:val="20"/>
        </w:rPr>
        <w:t>13-18 and 19-24 months</w:t>
      </w:r>
      <w:r w:rsidR="00551ECC">
        <w:rPr>
          <w:rFonts w:ascii="Arial" w:hAnsi="Arial" w:cs="Arial"/>
          <w:sz w:val="20"/>
          <w:szCs w:val="20"/>
        </w:rPr>
        <w:t>)</w:t>
      </w:r>
      <w:r>
        <w:rPr>
          <w:rFonts w:ascii="Arial" w:hAnsi="Arial" w:cs="Arial"/>
          <w:sz w:val="20"/>
          <w:szCs w:val="20"/>
        </w:rPr>
        <w:t xml:space="preserve"> after an initial visit</w:t>
      </w:r>
      <w:r w:rsidR="00676A67">
        <w:rPr>
          <w:rFonts w:ascii="Arial" w:hAnsi="Arial" w:cs="Arial"/>
          <w:sz w:val="20"/>
          <w:szCs w:val="20"/>
        </w:rPr>
        <w:t>.</w:t>
      </w:r>
      <w:r>
        <w:rPr>
          <w:rFonts w:ascii="Arial" w:hAnsi="Arial" w:cs="Arial"/>
          <w:sz w:val="20"/>
          <w:szCs w:val="20"/>
        </w:rPr>
        <w:t xml:space="preserve"> The initial visit was restricted to attendances until the end of 2012</w:t>
      </w:r>
      <w:r>
        <w:rPr>
          <w:rFonts w:ascii="Arial" w:hAnsi="Arial" w:cs="Arial"/>
          <w:sz w:val="20"/>
          <w:szCs w:val="20"/>
          <w:lang w:val="x-none"/>
        </w:rPr>
        <w:t xml:space="preserve"> to allow </w:t>
      </w:r>
      <w:r>
        <w:rPr>
          <w:rFonts w:ascii="Arial" w:hAnsi="Arial" w:cs="Arial"/>
          <w:sz w:val="20"/>
          <w:szCs w:val="20"/>
        </w:rPr>
        <w:t>24 months follow-up time</w:t>
      </w:r>
      <w:r w:rsidR="002A0CB0">
        <w:rPr>
          <w:rFonts w:ascii="Arial" w:hAnsi="Arial" w:cs="Arial"/>
          <w:sz w:val="20"/>
          <w:szCs w:val="20"/>
        </w:rPr>
        <w:t xml:space="preserve"> for re</w:t>
      </w:r>
      <w:r w:rsidR="00CC5101">
        <w:rPr>
          <w:rFonts w:ascii="Arial" w:hAnsi="Arial" w:cs="Arial"/>
          <w:sz w:val="20"/>
          <w:szCs w:val="20"/>
        </w:rPr>
        <w:t>-</w:t>
      </w:r>
      <w:r w:rsidR="002A0CB0">
        <w:rPr>
          <w:rFonts w:ascii="Arial" w:hAnsi="Arial" w:cs="Arial"/>
          <w:sz w:val="20"/>
          <w:szCs w:val="20"/>
        </w:rPr>
        <w:t>attendance</w:t>
      </w:r>
      <w:r>
        <w:rPr>
          <w:rFonts w:ascii="Arial" w:hAnsi="Arial" w:cs="Arial"/>
          <w:sz w:val="20"/>
          <w:szCs w:val="20"/>
        </w:rPr>
        <w:t>.</w:t>
      </w:r>
      <w:r w:rsidR="00676A67">
        <w:rPr>
          <w:rFonts w:ascii="Arial" w:hAnsi="Arial" w:cs="Arial"/>
          <w:sz w:val="20"/>
          <w:szCs w:val="20"/>
        </w:rPr>
        <w:t xml:space="preserve"> These results were stratified by age group (16-25, 26-35, 36-45, over 45 years)</w:t>
      </w:r>
      <w:r w:rsidR="005571DD">
        <w:rPr>
          <w:rFonts w:ascii="Arial" w:hAnsi="Arial" w:cs="Arial"/>
          <w:sz w:val="20"/>
          <w:szCs w:val="20"/>
        </w:rPr>
        <w:t xml:space="preserve"> and clinic location</w:t>
      </w:r>
      <w:r w:rsidR="00551ECC">
        <w:rPr>
          <w:rFonts w:ascii="Arial" w:hAnsi="Arial" w:cs="Arial"/>
          <w:sz w:val="20"/>
          <w:szCs w:val="20"/>
        </w:rPr>
        <w:t>.</w:t>
      </w:r>
    </w:p>
    <w:p w14:paraId="5BA9CB25" w14:textId="77777777" w:rsidR="003E23C7" w:rsidRPr="00AB21B7" w:rsidRDefault="002028AB" w:rsidP="003E23C7">
      <w:pPr>
        <w:spacing w:line="480" w:lineRule="auto"/>
        <w:ind w:firstLine="720"/>
        <w:jc w:val="both"/>
        <w:rPr>
          <w:rFonts w:ascii="Arial" w:hAnsi="Arial" w:cs="Arial"/>
          <w:sz w:val="20"/>
          <w:szCs w:val="20"/>
        </w:rPr>
      </w:pPr>
      <w:r>
        <w:rPr>
          <w:rFonts w:ascii="Arial" w:hAnsi="Arial" w:cs="Arial"/>
          <w:sz w:val="20"/>
          <w:szCs w:val="20"/>
        </w:rPr>
        <w:t>Data</w:t>
      </w:r>
      <w:r w:rsidR="003E23C7" w:rsidRPr="00AB21B7">
        <w:rPr>
          <w:rFonts w:ascii="Arial" w:hAnsi="Arial" w:cs="Arial"/>
          <w:sz w:val="20"/>
          <w:szCs w:val="20"/>
        </w:rPr>
        <w:t xml:space="preserve"> were</w:t>
      </w:r>
      <w:r>
        <w:rPr>
          <w:rFonts w:ascii="Arial" w:hAnsi="Arial" w:cs="Arial"/>
          <w:sz w:val="20"/>
          <w:szCs w:val="20"/>
        </w:rPr>
        <w:t xml:space="preserve"> analysed using STATA version 13</w:t>
      </w:r>
      <w:r w:rsidR="003E23C7" w:rsidRPr="00AB21B7">
        <w:rPr>
          <w:rFonts w:ascii="Arial" w:hAnsi="Arial" w:cs="Arial"/>
          <w:sz w:val="20"/>
          <w:szCs w:val="20"/>
        </w:rPr>
        <w:t xml:space="preserve"> (College Station, TX).</w:t>
      </w:r>
    </w:p>
    <w:p w14:paraId="1BE33A50" w14:textId="77777777" w:rsidR="009C48D3" w:rsidRPr="00AB21B7" w:rsidRDefault="009C48D3" w:rsidP="009C48D3">
      <w:pPr>
        <w:spacing w:line="480" w:lineRule="auto"/>
        <w:rPr>
          <w:rFonts w:ascii="Arial" w:hAnsi="Arial" w:cs="Arial"/>
          <w:sz w:val="20"/>
          <w:szCs w:val="20"/>
        </w:rPr>
      </w:pPr>
    </w:p>
    <w:p w14:paraId="7740C9CE" w14:textId="77777777" w:rsidR="00E035AA" w:rsidRPr="00AB21B7" w:rsidRDefault="009C48D3" w:rsidP="009C48D3">
      <w:pPr>
        <w:spacing w:line="480" w:lineRule="auto"/>
        <w:rPr>
          <w:rFonts w:ascii="Arial" w:hAnsi="Arial" w:cs="Arial"/>
          <w:b/>
          <w:sz w:val="20"/>
          <w:szCs w:val="20"/>
        </w:rPr>
      </w:pPr>
      <w:r w:rsidRPr="00AB21B7">
        <w:rPr>
          <w:rFonts w:ascii="Arial" w:hAnsi="Arial" w:cs="Arial"/>
          <w:b/>
          <w:sz w:val="20"/>
          <w:szCs w:val="20"/>
        </w:rPr>
        <w:t xml:space="preserve">RESULTS </w:t>
      </w:r>
    </w:p>
    <w:p w14:paraId="0B8ACD43" w14:textId="602E14C4" w:rsidR="004F7039" w:rsidRDefault="00551ECC" w:rsidP="004F7039">
      <w:pPr>
        <w:spacing w:line="480" w:lineRule="auto"/>
        <w:ind w:firstLine="720"/>
        <w:jc w:val="both"/>
        <w:rPr>
          <w:rFonts w:ascii="Arial" w:hAnsi="Arial" w:cs="Arial"/>
          <w:sz w:val="20"/>
          <w:szCs w:val="20"/>
        </w:rPr>
      </w:pPr>
      <w:r>
        <w:rPr>
          <w:rFonts w:ascii="Arial" w:hAnsi="Arial" w:cs="Arial"/>
          <w:sz w:val="20"/>
          <w:szCs w:val="20"/>
        </w:rPr>
        <w:t xml:space="preserve">A total </w:t>
      </w:r>
      <w:r w:rsidR="00A749D3">
        <w:rPr>
          <w:rFonts w:ascii="Arial" w:hAnsi="Arial" w:cs="Arial"/>
          <w:sz w:val="20"/>
          <w:szCs w:val="20"/>
        </w:rPr>
        <w:t xml:space="preserve">of </w:t>
      </w:r>
      <w:r w:rsidR="00A749D3" w:rsidRPr="004F7039">
        <w:rPr>
          <w:rFonts w:ascii="Arial" w:hAnsi="Arial" w:cs="Arial"/>
          <w:sz w:val="20"/>
          <w:szCs w:val="20"/>
        </w:rPr>
        <w:t>374,983</w:t>
      </w:r>
      <w:r w:rsidR="001204BF" w:rsidRPr="004F7039">
        <w:rPr>
          <w:rFonts w:ascii="Arial" w:hAnsi="Arial" w:cs="Arial"/>
          <w:sz w:val="20"/>
          <w:szCs w:val="20"/>
        </w:rPr>
        <w:t xml:space="preserve"> MSM attended a GUM </w:t>
      </w:r>
      <w:r w:rsidR="00985AD4" w:rsidRPr="004F7039">
        <w:rPr>
          <w:rFonts w:ascii="Arial" w:hAnsi="Arial" w:cs="Arial"/>
          <w:sz w:val="20"/>
          <w:szCs w:val="20"/>
        </w:rPr>
        <w:t>clinic</w:t>
      </w:r>
      <w:r w:rsidR="00042925">
        <w:rPr>
          <w:rFonts w:ascii="Arial" w:hAnsi="Arial" w:cs="Arial"/>
          <w:sz w:val="20"/>
          <w:szCs w:val="20"/>
        </w:rPr>
        <w:t xml:space="preserve"> and there were 1,787,234 attendances</w:t>
      </w:r>
      <w:r w:rsidR="00C84158">
        <w:rPr>
          <w:rFonts w:ascii="Arial" w:hAnsi="Arial" w:cs="Arial"/>
          <w:sz w:val="20"/>
          <w:szCs w:val="20"/>
        </w:rPr>
        <w:t xml:space="preserve"> </w:t>
      </w:r>
      <w:r w:rsidR="001204BF" w:rsidRPr="004F7039">
        <w:rPr>
          <w:rFonts w:ascii="Arial" w:hAnsi="Arial" w:cs="Arial"/>
          <w:sz w:val="20"/>
          <w:szCs w:val="20"/>
        </w:rPr>
        <w:t xml:space="preserve">between </w:t>
      </w:r>
      <w:r w:rsidR="00ED7C3E">
        <w:rPr>
          <w:rFonts w:ascii="Arial" w:hAnsi="Arial" w:cs="Arial"/>
          <w:sz w:val="20"/>
          <w:szCs w:val="20"/>
        </w:rPr>
        <w:t xml:space="preserve">the start of </w:t>
      </w:r>
      <w:r w:rsidR="001204BF" w:rsidRPr="004F7039">
        <w:rPr>
          <w:rFonts w:ascii="Arial" w:hAnsi="Arial" w:cs="Arial"/>
          <w:sz w:val="20"/>
          <w:szCs w:val="20"/>
        </w:rPr>
        <w:t xml:space="preserve">2009 and </w:t>
      </w:r>
      <w:r w:rsidR="00ED7C3E">
        <w:rPr>
          <w:rFonts w:ascii="Arial" w:hAnsi="Arial" w:cs="Arial"/>
          <w:sz w:val="20"/>
          <w:szCs w:val="20"/>
        </w:rPr>
        <w:t xml:space="preserve">end of </w:t>
      </w:r>
      <w:r w:rsidR="001204BF" w:rsidRPr="004F7039">
        <w:rPr>
          <w:rFonts w:ascii="Arial" w:hAnsi="Arial" w:cs="Arial"/>
          <w:sz w:val="20"/>
          <w:szCs w:val="20"/>
        </w:rPr>
        <w:t>201</w:t>
      </w:r>
      <w:r w:rsidR="001204BF" w:rsidRPr="00BE136E">
        <w:rPr>
          <w:rFonts w:ascii="Arial" w:hAnsi="Arial" w:cs="Arial"/>
          <w:color w:val="000000"/>
          <w:sz w:val="20"/>
          <w:szCs w:val="20"/>
        </w:rPr>
        <w:t xml:space="preserve">4. </w:t>
      </w:r>
      <w:r w:rsidR="00092E1A" w:rsidRPr="00BE136E">
        <w:rPr>
          <w:rFonts w:ascii="Arial" w:hAnsi="Arial" w:cs="Arial"/>
          <w:color w:val="000000"/>
          <w:sz w:val="20"/>
          <w:szCs w:val="20"/>
        </w:rPr>
        <w:t>21</w:t>
      </w:r>
      <w:r w:rsidR="00ED7C3E">
        <w:rPr>
          <w:rFonts w:ascii="Arial" w:hAnsi="Arial" w:cs="Arial"/>
          <w:color w:val="000000"/>
          <w:sz w:val="20"/>
          <w:szCs w:val="20"/>
        </w:rPr>
        <w:t>.3</w:t>
      </w:r>
      <w:r w:rsidR="00092E1A" w:rsidRPr="00BE136E">
        <w:rPr>
          <w:rFonts w:ascii="Arial" w:hAnsi="Arial" w:cs="Arial"/>
          <w:color w:val="000000"/>
          <w:sz w:val="20"/>
          <w:szCs w:val="20"/>
        </w:rPr>
        <w:t xml:space="preserve">% of all men attending in London were identified as MSM. This proportion varied between 7% and 11% in other </w:t>
      </w:r>
      <w:r w:rsidR="00802C91">
        <w:rPr>
          <w:rFonts w:ascii="Arial" w:hAnsi="Arial" w:cs="Arial"/>
          <w:color w:val="000000"/>
          <w:sz w:val="20"/>
          <w:szCs w:val="20"/>
        </w:rPr>
        <w:t>PHE centres ac</w:t>
      </w:r>
      <w:r w:rsidR="00092E1A" w:rsidRPr="00BE136E">
        <w:rPr>
          <w:rFonts w:ascii="Arial" w:hAnsi="Arial" w:cs="Arial"/>
          <w:color w:val="000000"/>
          <w:sz w:val="20"/>
          <w:szCs w:val="20"/>
        </w:rPr>
        <w:t>ross England.</w:t>
      </w:r>
      <w:r w:rsidR="00092E1A">
        <w:rPr>
          <w:rFonts w:ascii="Arial" w:hAnsi="Arial" w:cs="Arial"/>
          <w:color w:val="993300"/>
          <w:sz w:val="20"/>
          <w:szCs w:val="20"/>
        </w:rPr>
        <w:t xml:space="preserve"> </w:t>
      </w:r>
      <w:r w:rsidR="001204BF" w:rsidRPr="001204BF">
        <w:rPr>
          <w:rFonts w:ascii="Arial" w:hAnsi="Arial" w:cs="Arial"/>
          <w:sz w:val="20"/>
          <w:szCs w:val="20"/>
        </w:rPr>
        <w:t xml:space="preserve">The median age </w:t>
      </w:r>
      <w:r w:rsidR="001204BF" w:rsidRPr="00046E9C">
        <w:rPr>
          <w:rFonts w:ascii="Arial" w:hAnsi="Arial" w:cs="Arial"/>
          <w:sz w:val="20"/>
          <w:szCs w:val="20"/>
        </w:rPr>
        <w:t>was 3</w:t>
      </w:r>
      <w:r w:rsidR="00F108C8" w:rsidRPr="00046E9C">
        <w:rPr>
          <w:rFonts w:ascii="Arial" w:hAnsi="Arial" w:cs="Arial"/>
          <w:sz w:val="20"/>
          <w:szCs w:val="20"/>
        </w:rPr>
        <w:t>2</w:t>
      </w:r>
      <w:r w:rsidR="001204BF" w:rsidRPr="00046E9C">
        <w:rPr>
          <w:rFonts w:ascii="Arial" w:hAnsi="Arial" w:cs="Arial"/>
          <w:sz w:val="20"/>
          <w:szCs w:val="20"/>
        </w:rPr>
        <w:t xml:space="preserve"> years</w:t>
      </w:r>
      <w:r w:rsidR="00985AD4" w:rsidRPr="00046E9C">
        <w:rPr>
          <w:rFonts w:ascii="Arial" w:hAnsi="Arial" w:cs="Arial"/>
          <w:sz w:val="20"/>
          <w:szCs w:val="20"/>
        </w:rPr>
        <w:t xml:space="preserve"> old</w:t>
      </w:r>
      <w:r w:rsidR="001204BF" w:rsidRPr="00046E9C">
        <w:rPr>
          <w:rFonts w:ascii="Arial" w:hAnsi="Arial" w:cs="Arial"/>
          <w:sz w:val="20"/>
          <w:szCs w:val="20"/>
        </w:rPr>
        <w:t xml:space="preserve"> (IQR 25-41). This varied across regions with the lowest median age in the North East of England at 27 years (IQR 22-3</w:t>
      </w:r>
      <w:r w:rsidR="00F108C8" w:rsidRPr="00046E9C">
        <w:rPr>
          <w:rFonts w:ascii="Arial" w:hAnsi="Arial" w:cs="Arial"/>
          <w:sz w:val="20"/>
          <w:szCs w:val="20"/>
        </w:rPr>
        <w:t>9</w:t>
      </w:r>
      <w:r w:rsidR="001204BF" w:rsidRPr="00046E9C">
        <w:rPr>
          <w:rFonts w:ascii="Arial" w:hAnsi="Arial" w:cs="Arial"/>
          <w:sz w:val="20"/>
          <w:szCs w:val="20"/>
        </w:rPr>
        <w:t>) and the highest median age in London at 32 years (IQR 26-41)</w:t>
      </w:r>
      <w:r w:rsidR="00046E9C" w:rsidRPr="00046E9C">
        <w:rPr>
          <w:rFonts w:ascii="Arial" w:hAnsi="Arial" w:cs="Arial"/>
          <w:sz w:val="20"/>
          <w:szCs w:val="20"/>
        </w:rPr>
        <w:t xml:space="preserve"> and </w:t>
      </w:r>
      <w:r w:rsidRPr="00046E9C">
        <w:rPr>
          <w:rFonts w:ascii="Arial" w:hAnsi="Arial" w:cs="Arial"/>
          <w:sz w:val="20"/>
          <w:szCs w:val="20"/>
        </w:rPr>
        <w:t xml:space="preserve">the South East </w:t>
      </w:r>
      <w:r w:rsidR="00046E9C" w:rsidRPr="00046E9C">
        <w:rPr>
          <w:rFonts w:ascii="Arial" w:hAnsi="Arial" w:cs="Arial"/>
          <w:sz w:val="20"/>
          <w:szCs w:val="20"/>
        </w:rPr>
        <w:t>32 ye</w:t>
      </w:r>
      <w:r w:rsidR="009B1D8F">
        <w:rPr>
          <w:rFonts w:ascii="Arial" w:hAnsi="Arial" w:cs="Arial"/>
          <w:sz w:val="20"/>
          <w:szCs w:val="20"/>
        </w:rPr>
        <w:t>ars (IQ</w:t>
      </w:r>
      <w:r w:rsidR="00352F86">
        <w:rPr>
          <w:rFonts w:ascii="Arial" w:hAnsi="Arial" w:cs="Arial"/>
          <w:sz w:val="20"/>
          <w:szCs w:val="20"/>
        </w:rPr>
        <w:t>R 24-43)</w:t>
      </w:r>
      <w:r w:rsidR="001204BF" w:rsidRPr="00046E9C">
        <w:rPr>
          <w:rFonts w:ascii="Arial" w:hAnsi="Arial" w:cs="Arial"/>
          <w:sz w:val="20"/>
          <w:szCs w:val="20"/>
        </w:rPr>
        <w:t>.</w:t>
      </w:r>
      <w:r w:rsidR="00985AD4" w:rsidRPr="00046E9C">
        <w:rPr>
          <w:rFonts w:ascii="Arial" w:hAnsi="Arial" w:cs="Arial"/>
          <w:sz w:val="20"/>
          <w:szCs w:val="20"/>
        </w:rPr>
        <w:t xml:space="preserve"> </w:t>
      </w:r>
      <w:r w:rsidR="001204BF" w:rsidRPr="00046E9C">
        <w:rPr>
          <w:rFonts w:ascii="Arial" w:hAnsi="Arial" w:cs="Arial"/>
          <w:sz w:val="20"/>
          <w:szCs w:val="20"/>
        </w:rPr>
        <w:t xml:space="preserve">Approximately 85% of MSM were white, </w:t>
      </w:r>
      <w:r w:rsidR="00046E9C" w:rsidRPr="00046E9C">
        <w:rPr>
          <w:rFonts w:ascii="Arial" w:hAnsi="Arial" w:cs="Arial"/>
          <w:sz w:val="20"/>
          <w:szCs w:val="20"/>
        </w:rPr>
        <w:t>5</w:t>
      </w:r>
      <w:r w:rsidR="001204BF" w:rsidRPr="00046E9C">
        <w:rPr>
          <w:rFonts w:ascii="Arial" w:hAnsi="Arial" w:cs="Arial"/>
          <w:sz w:val="20"/>
          <w:szCs w:val="20"/>
        </w:rPr>
        <w:t xml:space="preserve">% black, 4% Asian, 3% mixed race and 4% reported as other ethnicity. Just </w:t>
      </w:r>
      <w:r w:rsidR="00046E9C" w:rsidRPr="00046E9C">
        <w:rPr>
          <w:rFonts w:ascii="Arial" w:hAnsi="Arial" w:cs="Arial"/>
          <w:sz w:val="20"/>
          <w:szCs w:val="20"/>
        </w:rPr>
        <w:t>under</w:t>
      </w:r>
      <w:r w:rsidR="001204BF" w:rsidRPr="00046E9C">
        <w:rPr>
          <w:rFonts w:ascii="Arial" w:hAnsi="Arial" w:cs="Arial"/>
          <w:sz w:val="20"/>
          <w:szCs w:val="20"/>
        </w:rPr>
        <w:t xml:space="preserve"> 72% of these men were born in the UK.</w:t>
      </w:r>
    </w:p>
    <w:p w14:paraId="66F14CB1" w14:textId="067F1DF8" w:rsidR="00AA3E0F" w:rsidRPr="002A0CB0" w:rsidRDefault="00FC5EC8" w:rsidP="002A0CB0">
      <w:pPr>
        <w:spacing w:line="480" w:lineRule="auto"/>
        <w:ind w:firstLine="720"/>
        <w:jc w:val="both"/>
        <w:rPr>
          <w:rFonts w:ascii="Arial" w:hAnsi="Arial" w:cs="Arial"/>
          <w:sz w:val="20"/>
          <w:szCs w:val="20"/>
        </w:rPr>
      </w:pPr>
      <w:r w:rsidRPr="00E824A6">
        <w:rPr>
          <w:rFonts w:ascii="Arial" w:hAnsi="Arial" w:cs="Arial"/>
          <w:sz w:val="20"/>
          <w:szCs w:val="20"/>
        </w:rPr>
        <w:t xml:space="preserve">There were </w:t>
      </w:r>
      <w:r w:rsidR="00E824A6" w:rsidRPr="00E824A6">
        <w:rPr>
          <w:rFonts w:ascii="Arial" w:hAnsi="Arial" w:cs="Arial"/>
          <w:sz w:val="20"/>
          <w:szCs w:val="20"/>
        </w:rPr>
        <w:t>78,767</w:t>
      </w:r>
      <w:r w:rsidR="006D06F9">
        <w:rPr>
          <w:rFonts w:ascii="Arial" w:hAnsi="Arial" w:cs="Arial"/>
          <w:sz w:val="20"/>
          <w:szCs w:val="20"/>
        </w:rPr>
        <w:t xml:space="preserve"> MSM who attended a GUM service in England in 2009. This increased in subsequent years to </w:t>
      </w:r>
      <w:r w:rsidR="00AD2047" w:rsidRPr="00E824A6">
        <w:rPr>
          <w:rFonts w:ascii="Arial" w:hAnsi="Arial" w:cs="Arial"/>
          <w:sz w:val="20"/>
          <w:szCs w:val="20"/>
        </w:rPr>
        <w:t>8</w:t>
      </w:r>
      <w:r w:rsidR="00E824A6" w:rsidRPr="00E824A6">
        <w:rPr>
          <w:rFonts w:ascii="Arial" w:hAnsi="Arial" w:cs="Arial"/>
          <w:sz w:val="20"/>
          <w:szCs w:val="20"/>
        </w:rPr>
        <w:t>9</w:t>
      </w:r>
      <w:r w:rsidR="00AD2047" w:rsidRPr="00E824A6">
        <w:rPr>
          <w:rFonts w:ascii="Arial" w:hAnsi="Arial" w:cs="Arial"/>
          <w:sz w:val="20"/>
          <w:szCs w:val="20"/>
        </w:rPr>
        <w:t>,</w:t>
      </w:r>
      <w:r w:rsidR="00E824A6" w:rsidRPr="00E824A6">
        <w:rPr>
          <w:rFonts w:ascii="Arial" w:hAnsi="Arial" w:cs="Arial"/>
          <w:sz w:val="20"/>
          <w:szCs w:val="20"/>
        </w:rPr>
        <w:t>916</w:t>
      </w:r>
      <w:r w:rsidR="006D06F9">
        <w:rPr>
          <w:rFonts w:ascii="Arial" w:hAnsi="Arial" w:cs="Arial"/>
          <w:sz w:val="20"/>
          <w:szCs w:val="20"/>
        </w:rPr>
        <w:t xml:space="preserve"> MSM attending in 2010</w:t>
      </w:r>
      <w:r w:rsidR="00AD2047" w:rsidRPr="00E824A6">
        <w:rPr>
          <w:rFonts w:ascii="Arial" w:hAnsi="Arial" w:cs="Arial"/>
          <w:sz w:val="20"/>
          <w:szCs w:val="20"/>
        </w:rPr>
        <w:t xml:space="preserve">, </w:t>
      </w:r>
      <w:r w:rsidR="00E824A6" w:rsidRPr="00E824A6">
        <w:rPr>
          <w:rFonts w:ascii="Arial" w:hAnsi="Arial" w:cs="Arial"/>
          <w:sz w:val="20"/>
          <w:szCs w:val="20"/>
        </w:rPr>
        <w:t>101,766</w:t>
      </w:r>
      <w:r w:rsidR="006D06F9">
        <w:rPr>
          <w:rFonts w:ascii="Arial" w:hAnsi="Arial" w:cs="Arial"/>
          <w:sz w:val="20"/>
          <w:szCs w:val="20"/>
        </w:rPr>
        <w:t xml:space="preserve"> in 2011</w:t>
      </w:r>
      <w:r w:rsidR="00AD2047" w:rsidRPr="00E824A6">
        <w:rPr>
          <w:rFonts w:ascii="Arial" w:hAnsi="Arial" w:cs="Arial"/>
          <w:sz w:val="20"/>
          <w:szCs w:val="20"/>
        </w:rPr>
        <w:t xml:space="preserve">, </w:t>
      </w:r>
      <w:r w:rsidR="00E824A6" w:rsidRPr="00E824A6">
        <w:rPr>
          <w:rFonts w:ascii="Arial" w:hAnsi="Arial" w:cs="Arial"/>
          <w:sz w:val="20"/>
          <w:szCs w:val="20"/>
        </w:rPr>
        <w:t>117,264</w:t>
      </w:r>
      <w:r w:rsidR="006D06F9">
        <w:rPr>
          <w:rFonts w:ascii="Arial" w:hAnsi="Arial" w:cs="Arial"/>
          <w:sz w:val="20"/>
          <w:szCs w:val="20"/>
        </w:rPr>
        <w:t xml:space="preserve"> in 2012</w:t>
      </w:r>
      <w:r w:rsidR="00E824A6" w:rsidRPr="00E824A6">
        <w:rPr>
          <w:rFonts w:ascii="Arial" w:hAnsi="Arial" w:cs="Arial"/>
          <w:sz w:val="20"/>
          <w:szCs w:val="20"/>
        </w:rPr>
        <w:t>, 125,485</w:t>
      </w:r>
      <w:r w:rsidR="006D06F9">
        <w:rPr>
          <w:rFonts w:ascii="Arial" w:hAnsi="Arial" w:cs="Arial"/>
          <w:sz w:val="20"/>
          <w:szCs w:val="20"/>
        </w:rPr>
        <w:t xml:space="preserve"> in 2013</w:t>
      </w:r>
      <w:r w:rsidR="00AD2047" w:rsidRPr="00E824A6">
        <w:rPr>
          <w:rFonts w:ascii="Arial" w:hAnsi="Arial" w:cs="Arial"/>
          <w:sz w:val="20"/>
          <w:szCs w:val="20"/>
        </w:rPr>
        <w:t xml:space="preserve"> and 1</w:t>
      </w:r>
      <w:r w:rsidR="00E824A6" w:rsidRPr="00E824A6">
        <w:rPr>
          <w:rFonts w:ascii="Arial" w:hAnsi="Arial" w:cs="Arial"/>
          <w:sz w:val="20"/>
          <w:szCs w:val="20"/>
        </w:rPr>
        <w:t>4</w:t>
      </w:r>
      <w:r w:rsidR="00AD2047" w:rsidRPr="00E824A6">
        <w:rPr>
          <w:rFonts w:ascii="Arial" w:hAnsi="Arial" w:cs="Arial"/>
          <w:sz w:val="20"/>
          <w:szCs w:val="20"/>
        </w:rPr>
        <w:t>0,</w:t>
      </w:r>
      <w:r w:rsidR="00E824A6" w:rsidRPr="00E824A6">
        <w:rPr>
          <w:rFonts w:ascii="Arial" w:hAnsi="Arial" w:cs="Arial"/>
          <w:sz w:val="20"/>
          <w:szCs w:val="20"/>
        </w:rPr>
        <w:t>0</w:t>
      </w:r>
      <w:r w:rsidR="00E824A6">
        <w:rPr>
          <w:rFonts w:ascii="Arial" w:hAnsi="Arial" w:cs="Arial"/>
          <w:sz w:val="20"/>
          <w:szCs w:val="20"/>
        </w:rPr>
        <w:t>07</w:t>
      </w:r>
      <w:r w:rsidR="006D06F9">
        <w:rPr>
          <w:rFonts w:ascii="Arial" w:hAnsi="Arial" w:cs="Arial"/>
          <w:sz w:val="20"/>
          <w:szCs w:val="20"/>
        </w:rPr>
        <w:t xml:space="preserve"> in 2014</w:t>
      </w:r>
      <w:r w:rsidRPr="00E824A6">
        <w:rPr>
          <w:rFonts w:ascii="Arial" w:hAnsi="Arial" w:cs="Arial"/>
          <w:sz w:val="20"/>
          <w:szCs w:val="20"/>
        </w:rPr>
        <w:t xml:space="preserve">. </w:t>
      </w:r>
      <w:r w:rsidR="002A0CB0">
        <w:rPr>
          <w:rFonts w:ascii="Arial" w:hAnsi="Arial" w:cs="Arial"/>
          <w:sz w:val="20"/>
          <w:szCs w:val="20"/>
        </w:rPr>
        <w:t>Of these, 78,767 (100%), 49,869 (55%), 54,617 (54%), 61,346 (52%), 62,445 (50%) and 67,939 (49%) were the first recorded attendance at that clinic (within the 2009-2014 period) for 2009,</w:t>
      </w:r>
      <w:r w:rsidR="002A0CB0" w:rsidRPr="002A0CB0">
        <w:rPr>
          <w:rFonts w:ascii="Arial" w:hAnsi="Arial" w:cs="Arial"/>
          <w:sz w:val="20"/>
          <w:szCs w:val="20"/>
        </w:rPr>
        <w:t xml:space="preserve"> </w:t>
      </w:r>
      <w:r w:rsidR="002A0CB0">
        <w:rPr>
          <w:rFonts w:ascii="Arial" w:hAnsi="Arial" w:cs="Arial"/>
          <w:sz w:val="20"/>
          <w:szCs w:val="20"/>
        </w:rPr>
        <w:t>2010, 2011, 2012, 2013 and 2014 respectively.</w:t>
      </w:r>
      <w:r w:rsidR="002A0CB0" w:rsidRPr="002A0CB0">
        <w:rPr>
          <w:rFonts w:ascii="Arial" w:hAnsi="Arial" w:cs="Arial"/>
          <w:sz w:val="20"/>
          <w:szCs w:val="20"/>
        </w:rPr>
        <w:t xml:space="preserve"> </w:t>
      </w:r>
    </w:p>
    <w:p w14:paraId="52181BD5" w14:textId="77777777" w:rsidR="00091805" w:rsidRDefault="00DD38C5" w:rsidP="009C48D3">
      <w:pPr>
        <w:spacing w:line="480" w:lineRule="auto"/>
        <w:rPr>
          <w:rFonts w:ascii="Arial" w:hAnsi="Arial" w:cs="Arial"/>
          <w:sz w:val="20"/>
          <w:szCs w:val="20"/>
        </w:rPr>
      </w:pPr>
      <w:r w:rsidRPr="00E824A6">
        <w:rPr>
          <w:rFonts w:ascii="Arial" w:hAnsi="Arial" w:cs="Arial"/>
          <w:sz w:val="20"/>
          <w:szCs w:val="20"/>
        </w:rPr>
        <w:tab/>
      </w:r>
      <w:r w:rsidR="00091805" w:rsidRPr="004A22A6">
        <w:rPr>
          <w:rFonts w:ascii="Arial" w:hAnsi="Arial" w:cs="Arial"/>
          <w:sz w:val="20"/>
          <w:szCs w:val="20"/>
        </w:rPr>
        <w:t xml:space="preserve">The proportions of MSM re-attending at the same GUM clinic are shown in Table 1. </w:t>
      </w:r>
      <w:r w:rsidR="005E43EF" w:rsidRPr="004A22A6">
        <w:rPr>
          <w:rFonts w:ascii="Arial" w:hAnsi="Arial" w:cs="Arial"/>
          <w:sz w:val="20"/>
          <w:szCs w:val="20"/>
        </w:rPr>
        <w:t>Excluding attendances within one month of the initial visit</w:t>
      </w:r>
      <w:r w:rsidR="009B6AC1">
        <w:rPr>
          <w:rFonts w:ascii="Arial" w:hAnsi="Arial" w:cs="Arial"/>
          <w:sz w:val="20"/>
          <w:szCs w:val="20"/>
        </w:rPr>
        <w:t xml:space="preserve"> which would not be useful in the HPV vaccination program</w:t>
      </w:r>
      <w:r w:rsidR="005E43EF" w:rsidRPr="004A22A6">
        <w:rPr>
          <w:rFonts w:ascii="Arial" w:hAnsi="Arial" w:cs="Arial"/>
          <w:sz w:val="20"/>
          <w:szCs w:val="20"/>
        </w:rPr>
        <w:t xml:space="preserve">, </w:t>
      </w:r>
      <w:r w:rsidR="003A57BC">
        <w:rPr>
          <w:rFonts w:ascii="Arial" w:hAnsi="Arial" w:cs="Arial"/>
          <w:sz w:val="20"/>
          <w:szCs w:val="20"/>
        </w:rPr>
        <w:t>58</w:t>
      </w:r>
      <w:r w:rsidR="00141751" w:rsidRPr="004A22A6">
        <w:rPr>
          <w:rFonts w:ascii="Arial" w:hAnsi="Arial" w:cs="Arial"/>
          <w:sz w:val="20"/>
          <w:szCs w:val="20"/>
        </w:rPr>
        <w:t>% of MSM re-attend</w:t>
      </w:r>
      <w:r w:rsidR="00141751">
        <w:rPr>
          <w:rFonts w:ascii="Arial" w:hAnsi="Arial" w:cs="Arial"/>
          <w:sz w:val="20"/>
          <w:szCs w:val="20"/>
        </w:rPr>
        <w:t>ed</w:t>
      </w:r>
      <w:r w:rsidR="00141751" w:rsidRPr="004A22A6">
        <w:rPr>
          <w:rFonts w:ascii="Arial" w:hAnsi="Arial" w:cs="Arial"/>
          <w:sz w:val="20"/>
          <w:szCs w:val="20"/>
        </w:rPr>
        <w:t xml:space="preserve"> the same clinic at least once over the </w:t>
      </w:r>
      <w:r w:rsidR="00141751">
        <w:rPr>
          <w:rFonts w:ascii="Arial" w:hAnsi="Arial" w:cs="Arial"/>
          <w:sz w:val="20"/>
          <w:szCs w:val="20"/>
        </w:rPr>
        <w:t xml:space="preserve">next </w:t>
      </w:r>
      <w:r w:rsidR="00141751" w:rsidRPr="004A22A6">
        <w:rPr>
          <w:rFonts w:ascii="Arial" w:hAnsi="Arial" w:cs="Arial"/>
          <w:sz w:val="20"/>
          <w:szCs w:val="20"/>
        </w:rPr>
        <w:t>24-month period</w:t>
      </w:r>
      <w:r w:rsidR="005E43EF" w:rsidRPr="004A22A6">
        <w:rPr>
          <w:rFonts w:ascii="Arial" w:hAnsi="Arial" w:cs="Arial"/>
          <w:sz w:val="20"/>
          <w:szCs w:val="20"/>
        </w:rPr>
        <w:t xml:space="preserve">. </w:t>
      </w:r>
      <w:r w:rsidR="00035F70" w:rsidRPr="004A22A6">
        <w:rPr>
          <w:rFonts w:ascii="Arial" w:hAnsi="Arial" w:cs="Arial"/>
          <w:sz w:val="20"/>
          <w:szCs w:val="20"/>
        </w:rPr>
        <w:t>The proportion of MSM re-attending was higher in the older age-groups</w:t>
      </w:r>
      <w:r w:rsidR="00474FBC">
        <w:rPr>
          <w:rFonts w:ascii="Arial" w:hAnsi="Arial" w:cs="Arial"/>
          <w:sz w:val="20"/>
          <w:szCs w:val="20"/>
        </w:rPr>
        <w:t xml:space="preserve"> (over 36 years of age)</w:t>
      </w:r>
      <w:r w:rsidR="00035F70" w:rsidRPr="004A22A6">
        <w:rPr>
          <w:rFonts w:ascii="Arial" w:hAnsi="Arial" w:cs="Arial"/>
          <w:sz w:val="20"/>
          <w:szCs w:val="20"/>
        </w:rPr>
        <w:t xml:space="preserve"> </w:t>
      </w:r>
      <w:r w:rsidR="004B7778">
        <w:rPr>
          <w:rFonts w:ascii="Arial" w:hAnsi="Arial" w:cs="Arial"/>
          <w:sz w:val="20"/>
          <w:szCs w:val="20"/>
        </w:rPr>
        <w:t>and in MSM attending clinics outside of London</w:t>
      </w:r>
      <w:r w:rsidR="00035F70" w:rsidRPr="004A22A6">
        <w:rPr>
          <w:rFonts w:ascii="Arial" w:hAnsi="Arial" w:cs="Arial"/>
          <w:sz w:val="20"/>
          <w:szCs w:val="20"/>
        </w:rPr>
        <w:t>.</w:t>
      </w:r>
    </w:p>
    <w:p w14:paraId="01F0AC0D" w14:textId="77777777" w:rsidR="00802C91" w:rsidRDefault="00802C91" w:rsidP="00802C91">
      <w:pPr>
        <w:pStyle w:val="Standard"/>
        <w:spacing w:line="480" w:lineRule="auto"/>
        <w:ind w:firstLine="720"/>
        <w:jc w:val="both"/>
        <w:rPr>
          <w:rFonts w:ascii="Arial" w:hAnsi="Arial" w:cs="Arial"/>
          <w:sz w:val="20"/>
          <w:szCs w:val="20"/>
        </w:rPr>
      </w:pPr>
      <w:r w:rsidRPr="004A22A6">
        <w:rPr>
          <w:rFonts w:ascii="Arial" w:hAnsi="Arial" w:cs="Arial"/>
          <w:sz w:val="20"/>
          <w:szCs w:val="20"/>
        </w:rPr>
        <w:t>Between 2009 and 2014, around 375,000 MSM attended a GUM clinic in England with over half of these attendances at clinics in London (53%).</w:t>
      </w:r>
      <w:r>
        <w:rPr>
          <w:rFonts w:ascii="Arial" w:hAnsi="Arial" w:cs="Arial"/>
          <w:sz w:val="20"/>
          <w:szCs w:val="20"/>
        </w:rPr>
        <w:t xml:space="preserve"> There was significant geographical variation of re-attendance, with MSM outside London re-attending within 6 months, and therefore able to receive HPV vaccination, were higher when compared t</w:t>
      </w:r>
      <w:r w:rsidR="00352F86">
        <w:rPr>
          <w:rFonts w:ascii="Arial" w:hAnsi="Arial" w:cs="Arial"/>
          <w:sz w:val="20"/>
          <w:szCs w:val="20"/>
        </w:rPr>
        <w:t>o MSM in London (see Table 1</w:t>
      </w:r>
      <w:r>
        <w:rPr>
          <w:rFonts w:ascii="Arial" w:hAnsi="Arial" w:cs="Arial"/>
          <w:sz w:val="20"/>
          <w:szCs w:val="20"/>
        </w:rPr>
        <w:t xml:space="preserve">).  Those aged 36-45 years were more likely to re-attend services than those less than aged 36 years, and this was higher still in those MSM living outside </w:t>
      </w:r>
      <w:r>
        <w:rPr>
          <w:rFonts w:ascii="Arial" w:hAnsi="Arial" w:cs="Arial"/>
          <w:sz w:val="20"/>
          <w:szCs w:val="20"/>
        </w:rPr>
        <w:lastRenderedPageBreak/>
        <w:t>London.  The vaccination program may want to focus on younger MSM in London to ensure completion of the HPV course.</w:t>
      </w:r>
    </w:p>
    <w:p w14:paraId="2265CE14" w14:textId="77777777" w:rsidR="00802C91" w:rsidRPr="00AB21B7" w:rsidRDefault="00802C91" w:rsidP="009C48D3">
      <w:pPr>
        <w:spacing w:line="480" w:lineRule="auto"/>
        <w:rPr>
          <w:rFonts w:ascii="Arial" w:hAnsi="Arial" w:cs="Arial"/>
          <w:b/>
          <w:sz w:val="20"/>
          <w:szCs w:val="20"/>
        </w:rPr>
      </w:pPr>
    </w:p>
    <w:p w14:paraId="369F982B" w14:textId="77777777" w:rsidR="009C48D3" w:rsidRDefault="009C48D3" w:rsidP="009C48D3">
      <w:pPr>
        <w:spacing w:line="480" w:lineRule="auto"/>
        <w:rPr>
          <w:rFonts w:ascii="Arial" w:hAnsi="Arial" w:cs="Arial"/>
          <w:b/>
          <w:sz w:val="20"/>
          <w:szCs w:val="20"/>
        </w:rPr>
      </w:pPr>
      <w:r w:rsidRPr="00AB21B7">
        <w:rPr>
          <w:rFonts w:ascii="Arial" w:hAnsi="Arial" w:cs="Arial"/>
          <w:b/>
          <w:sz w:val="20"/>
          <w:szCs w:val="20"/>
        </w:rPr>
        <w:t>DISCUSSION</w:t>
      </w:r>
    </w:p>
    <w:p w14:paraId="239D7C15" w14:textId="6D4FB63E" w:rsidR="00802C91" w:rsidRDefault="00EB081D" w:rsidP="00802C91">
      <w:pPr>
        <w:pStyle w:val="Standard"/>
        <w:spacing w:line="480" w:lineRule="auto"/>
        <w:ind w:firstLine="720"/>
        <w:jc w:val="both"/>
        <w:rPr>
          <w:rFonts w:ascii="Arial" w:hAnsi="Arial" w:cs="Arial"/>
          <w:sz w:val="20"/>
          <w:szCs w:val="20"/>
        </w:rPr>
      </w:pPr>
      <w:r w:rsidRPr="00966AA6">
        <w:rPr>
          <w:rFonts w:ascii="Arial" w:hAnsi="Arial" w:cs="Arial"/>
          <w:sz w:val="20"/>
          <w:szCs w:val="20"/>
        </w:rPr>
        <w:t>These analyses show that high proportions of MSM attend GUM clinics (especially in London)</w:t>
      </w:r>
      <w:r w:rsidR="00D43DF8">
        <w:rPr>
          <w:rFonts w:ascii="Arial" w:hAnsi="Arial" w:cs="Arial"/>
          <w:sz w:val="20"/>
          <w:szCs w:val="20"/>
        </w:rPr>
        <w:t xml:space="preserve"> </w:t>
      </w:r>
      <w:r w:rsidR="00D43DF8" w:rsidRPr="00966AA6">
        <w:rPr>
          <w:rFonts w:ascii="Arial" w:hAnsi="Arial" w:cs="Arial"/>
          <w:sz w:val="20"/>
          <w:szCs w:val="20"/>
        </w:rPr>
        <w:t>which suggests that GUM clinics are an appropriate venue for delivery of an HPV vaccination schedule. Furthermore, over half of MSM re-attend within 2 years hence not all follow-up doses would incur additional clinic visit</w:t>
      </w:r>
      <w:r w:rsidR="00D43DF8">
        <w:rPr>
          <w:rFonts w:ascii="Arial" w:hAnsi="Arial" w:cs="Arial"/>
          <w:sz w:val="20"/>
          <w:szCs w:val="20"/>
        </w:rPr>
        <w:t>s</w:t>
      </w:r>
      <w:r w:rsidR="00D43DF8" w:rsidRPr="00966AA6">
        <w:rPr>
          <w:rFonts w:ascii="Arial" w:hAnsi="Arial" w:cs="Arial"/>
          <w:sz w:val="20"/>
          <w:szCs w:val="20"/>
        </w:rPr>
        <w:t>.</w:t>
      </w:r>
      <w:r w:rsidRPr="00966AA6">
        <w:rPr>
          <w:rFonts w:ascii="Arial" w:hAnsi="Arial" w:cs="Arial"/>
          <w:sz w:val="20"/>
          <w:szCs w:val="20"/>
        </w:rPr>
        <w:t xml:space="preserve"> </w:t>
      </w:r>
    </w:p>
    <w:p w14:paraId="02AF2C8E" w14:textId="77777777" w:rsidR="007734BA" w:rsidRDefault="00802C91" w:rsidP="00966AA6">
      <w:pPr>
        <w:pStyle w:val="Standard"/>
        <w:spacing w:line="480" w:lineRule="auto"/>
        <w:jc w:val="both"/>
        <w:rPr>
          <w:rFonts w:ascii="Arial" w:hAnsi="Arial" w:cs="Arial"/>
          <w:sz w:val="20"/>
          <w:szCs w:val="20"/>
        </w:rPr>
      </w:pPr>
      <w:r>
        <w:rPr>
          <w:rFonts w:ascii="Arial" w:hAnsi="Arial" w:cs="Arial"/>
          <w:sz w:val="20"/>
          <w:szCs w:val="20"/>
        </w:rPr>
        <w:tab/>
      </w:r>
      <w:r w:rsidR="00E12154" w:rsidRPr="004A22A6">
        <w:rPr>
          <w:rFonts w:ascii="Arial" w:hAnsi="Arial" w:cs="Arial"/>
          <w:sz w:val="20"/>
          <w:szCs w:val="20"/>
        </w:rPr>
        <w:t xml:space="preserve">GUMCAD data are unable to identify patients </w:t>
      </w:r>
      <w:r w:rsidR="00F17B95">
        <w:rPr>
          <w:rFonts w:ascii="Arial" w:hAnsi="Arial" w:cs="Arial"/>
          <w:sz w:val="20"/>
          <w:szCs w:val="20"/>
        </w:rPr>
        <w:t>attending different</w:t>
      </w:r>
      <w:r w:rsidR="00F17B95" w:rsidRPr="004A22A6">
        <w:rPr>
          <w:rFonts w:ascii="Arial" w:hAnsi="Arial" w:cs="Arial"/>
          <w:sz w:val="20"/>
          <w:szCs w:val="20"/>
        </w:rPr>
        <w:t xml:space="preserve"> </w:t>
      </w:r>
      <w:r w:rsidR="00E12154" w:rsidRPr="004A22A6">
        <w:rPr>
          <w:rFonts w:ascii="Arial" w:hAnsi="Arial" w:cs="Arial"/>
          <w:sz w:val="20"/>
          <w:szCs w:val="20"/>
        </w:rPr>
        <w:t>clinics</w:t>
      </w:r>
      <w:r w:rsidR="00C96C36" w:rsidRPr="004A22A6">
        <w:rPr>
          <w:rFonts w:ascii="Arial" w:hAnsi="Arial" w:cs="Arial"/>
          <w:sz w:val="20"/>
          <w:szCs w:val="20"/>
        </w:rPr>
        <w:t xml:space="preserve">, </w:t>
      </w:r>
      <w:r w:rsidR="00616AAE">
        <w:rPr>
          <w:rFonts w:ascii="Arial" w:hAnsi="Arial" w:cs="Arial"/>
          <w:sz w:val="20"/>
          <w:szCs w:val="20"/>
        </w:rPr>
        <w:t xml:space="preserve">which complicates the interpretation of these data for two reasons.  </w:t>
      </w:r>
      <w:r>
        <w:rPr>
          <w:rFonts w:ascii="Arial" w:hAnsi="Arial" w:cs="Arial"/>
          <w:sz w:val="20"/>
          <w:szCs w:val="20"/>
        </w:rPr>
        <w:t xml:space="preserve">Firstly, </w:t>
      </w:r>
      <w:r w:rsidRPr="004A22A6">
        <w:rPr>
          <w:rFonts w:ascii="Arial" w:hAnsi="Arial" w:cs="Arial"/>
          <w:sz w:val="20"/>
          <w:szCs w:val="20"/>
        </w:rPr>
        <w:t xml:space="preserve">numbers of MSM attending GUM clinics </w:t>
      </w:r>
      <w:r>
        <w:rPr>
          <w:rFonts w:ascii="Arial" w:hAnsi="Arial" w:cs="Arial"/>
          <w:sz w:val="20"/>
          <w:szCs w:val="20"/>
        </w:rPr>
        <w:t>(and new attendances each year) is likely to be</w:t>
      </w:r>
      <w:r w:rsidRPr="004A22A6">
        <w:rPr>
          <w:rFonts w:ascii="Arial" w:hAnsi="Arial" w:cs="Arial"/>
          <w:sz w:val="20"/>
          <w:szCs w:val="20"/>
        </w:rPr>
        <w:t xml:space="preserve"> overestimated, as MSM attending more than one clinic will be counted on more than one occasion. </w:t>
      </w:r>
      <w:r w:rsidRPr="0075669C">
        <w:rPr>
          <w:rFonts w:ascii="Arial" w:hAnsi="Arial" w:cs="Arial"/>
          <w:sz w:val="20"/>
          <w:szCs w:val="20"/>
        </w:rPr>
        <w:t>London has far more clinics than any other urban area and this will explain the relatively low re-attendance in London clinics than in other parts of England</w:t>
      </w:r>
      <w:r>
        <w:rPr>
          <w:rFonts w:ascii="Arial" w:hAnsi="Arial" w:cs="Arial"/>
          <w:sz w:val="20"/>
          <w:szCs w:val="20"/>
        </w:rPr>
        <w:t>.  Secondly, the</w:t>
      </w:r>
      <w:r w:rsidRPr="0075669C">
        <w:rPr>
          <w:rFonts w:ascii="Arial" w:hAnsi="Arial" w:cs="Arial"/>
          <w:sz w:val="20"/>
          <w:szCs w:val="20"/>
        </w:rPr>
        <w:t xml:space="preserve"> “initial </w:t>
      </w:r>
      <w:r>
        <w:rPr>
          <w:rFonts w:ascii="Arial" w:hAnsi="Arial" w:cs="Arial"/>
          <w:sz w:val="20"/>
          <w:szCs w:val="20"/>
        </w:rPr>
        <w:t>visit</w:t>
      </w:r>
      <w:r w:rsidRPr="0075669C">
        <w:rPr>
          <w:rFonts w:ascii="Arial" w:hAnsi="Arial" w:cs="Arial"/>
          <w:sz w:val="20"/>
          <w:szCs w:val="20"/>
        </w:rPr>
        <w:t>” in GUMCAD is “at that clinic” and cannot trace history between clinics</w:t>
      </w:r>
      <w:r>
        <w:rPr>
          <w:rFonts w:ascii="Arial" w:hAnsi="Arial" w:cs="Arial"/>
          <w:sz w:val="20"/>
          <w:szCs w:val="20"/>
        </w:rPr>
        <w:t xml:space="preserve"> leading to overestimation of attendances overall, but an underestimation of repeat attendances, especially in London given the greater choice of clinics to attend. </w:t>
      </w:r>
    </w:p>
    <w:p w14:paraId="6BADF450" w14:textId="1046EA64" w:rsidR="00D96A8C" w:rsidRDefault="00D43DF8" w:rsidP="00D43DF8">
      <w:pPr>
        <w:pStyle w:val="Standard"/>
        <w:spacing w:line="480" w:lineRule="auto"/>
        <w:ind w:firstLine="720"/>
        <w:jc w:val="both"/>
        <w:rPr>
          <w:rFonts w:ascii="Arial" w:hAnsi="Arial" w:cs="Arial"/>
          <w:sz w:val="20"/>
          <w:szCs w:val="20"/>
        </w:rPr>
      </w:pPr>
      <w:r>
        <w:rPr>
          <w:rFonts w:ascii="Arial" w:hAnsi="Arial" w:cs="Arial"/>
          <w:sz w:val="20"/>
          <w:szCs w:val="20"/>
        </w:rPr>
        <w:t xml:space="preserve">Another potential limitation is that sexual risk is sourced from GUMCADv2 only. MSM includes men recorded as homosexual or bisexual at any visit. </w:t>
      </w:r>
      <w:r w:rsidRPr="007734BA">
        <w:rPr>
          <w:rFonts w:ascii="Arial" w:hAnsi="Arial" w:cs="Arial"/>
          <w:sz w:val="20"/>
          <w:szCs w:val="20"/>
        </w:rPr>
        <w:t xml:space="preserve">In most cases, </w:t>
      </w:r>
      <w:r>
        <w:rPr>
          <w:rFonts w:ascii="Arial" w:hAnsi="Arial" w:cs="Arial"/>
          <w:sz w:val="20"/>
          <w:szCs w:val="20"/>
        </w:rPr>
        <w:t xml:space="preserve">this information </w:t>
      </w:r>
      <w:r w:rsidRPr="007734BA">
        <w:rPr>
          <w:rFonts w:ascii="Arial" w:hAnsi="Arial" w:cs="Arial"/>
          <w:sz w:val="20"/>
          <w:szCs w:val="20"/>
        </w:rPr>
        <w:t>is collected at the sexual health consultation and will reflect a patient’s sexual behaviour rather than their sexual identity.</w:t>
      </w:r>
      <w:r>
        <w:rPr>
          <w:rFonts w:ascii="Arial" w:hAnsi="Arial" w:cs="Arial"/>
          <w:sz w:val="20"/>
          <w:szCs w:val="20"/>
        </w:rPr>
        <w:t xml:space="preserve"> However, it is possible that some men who identify as heterosexual but have same sex behaviour will be missed by this analysis.  </w:t>
      </w:r>
    </w:p>
    <w:p w14:paraId="01EE1B20" w14:textId="77777777" w:rsidR="00D43DF8" w:rsidRPr="004A22A6" w:rsidRDefault="00D43DF8" w:rsidP="00D43DF8">
      <w:pPr>
        <w:pStyle w:val="Standard"/>
        <w:spacing w:line="480" w:lineRule="auto"/>
        <w:ind w:firstLine="720"/>
        <w:jc w:val="both"/>
        <w:rPr>
          <w:rFonts w:ascii="Arial" w:hAnsi="Arial" w:cs="Arial"/>
          <w:sz w:val="20"/>
          <w:szCs w:val="20"/>
        </w:rPr>
      </w:pPr>
      <w:r w:rsidRPr="004A22A6">
        <w:rPr>
          <w:rFonts w:ascii="Arial" w:hAnsi="Arial" w:cs="Arial"/>
          <w:sz w:val="20"/>
          <w:szCs w:val="20"/>
          <w:lang w:eastAsia="en-GB"/>
        </w:rPr>
        <w:t>Using official population estimates from the Office of National Statistics a</w:t>
      </w:r>
      <w:r>
        <w:rPr>
          <w:rFonts w:ascii="Arial" w:hAnsi="Arial" w:cs="Arial"/>
          <w:sz w:val="20"/>
          <w:szCs w:val="20"/>
          <w:lang w:eastAsia="en-GB"/>
        </w:rPr>
        <w:t xml:space="preserve">nd prevalence of MSM from Natsal-3 [7] </w:t>
      </w:r>
      <w:r w:rsidRPr="004822F8">
        <w:rPr>
          <w:rFonts w:ascii="Arial" w:hAnsi="Arial" w:cs="Arial"/>
          <w:sz w:val="20"/>
          <w:szCs w:val="20"/>
          <w:lang w:eastAsia="en-GB"/>
        </w:rPr>
        <w:t>(</w:t>
      </w:r>
      <w:r w:rsidRPr="004822F8">
        <w:rPr>
          <w:rFonts w:ascii="Arial" w:hAnsi="Arial" w:cs="Arial"/>
          <w:kern w:val="0"/>
          <w:sz w:val="20"/>
          <w:szCs w:val="20"/>
          <w:lang w:val="en-US"/>
        </w:rPr>
        <w:t>reporting at least one same sex partner in the last 5 years</w:t>
      </w:r>
      <w:r w:rsidRPr="004822F8">
        <w:rPr>
          <w:rFonts w:ascii="Arial" w:hAnsi="Arial" w:cs="Arial"/>
          <w:sz w:val="20"/>
          <w:szCs w:val="20"/>
          <w:lang w:eastAsia="en-GB"/>
        </w:rPr>
        <w:t>-</w:t>
      </w:r>
      <w:r w:rsidRPr="004822F8">
        <w:rPr>
          <w:rFonts w:ascii="Arial" w:hAnsi="Arial" w:cs="Arial"/>
          <w:sz w:val="18"/>
          <w:szCs w:val="20"/>
          <w:lang w:eastAsia="en-GB"/>
        </w:rPr>
        <w:t xml:space="preserve"> </w:t>
      </w:r>
      <w:r w:rsidRPr="004A22A6">
        <w:rPr>
          <w:rFonts w:ascii="Arial" w:hAnsi="Arial" w:cs="Arial"/>
          <w:sz w:val="20"/>
          <w:szCs w:val="20"/>
          <w:lang w:eastAsia="en-GB"/>
        </w:rPr>
        <w:t>a prevalence of 3.9% (95% CI 2.4-6.0%) in London and 2.3% (95% CI 1.9-2.9%) for the res</w:t>
      </w:r>
      <w:r>
        <w:rPr>
          <w:rFonts w:ascii="Arial" w:hAnsi="Arial" w:cs="Arial"/>
          <w:sz w:val="20"/>
          <w:szCs w:val="20"/>
          <w:lang w:eastAsia="en-GB"/>
        </w:rPr>
        <w:t>t of England (excluding London)</w:t>
      </w:r>
      <w:r w:rsidRPr="004A22A6">
        <w:rPr>
          <w:rFonts w:ascii="Arial" w:hAnsi="Arial" w:cs="Arial"/>
          <w:sz w:val="20"/>
          <w:szCs w:val="20"/>
          <w:lang w:eastAsia="en-GB"/>
        </w:rPr>
        <w:t xml:space="preserve">, we estimate the proportion of MSM attending GUM clinics is much higher in London than the rest of England with </w:t>
      </w:r>
      <w:r>
        <w:rPr>
          <w:rFonts w:ascii="Arial" w:hAnsi="Arial" w:cs="Arial"/>
          <w:sz w:val="20"/>
          <w:szCs w:val="20"/>
          <w:lang w:eastAsia="en-GB"/>
        </w:rPr>
        <w:t xml:space="preserve">between </w:t>
      </w:r>
      <w:r w:rsidRPr="004A22A6">
        <w:rPr>
          <w:rFonts w:ascii="Arial" w:hAnsi="Arial" w:cs="Arial"/>
          <w:sz w:val="20"/>
          <w:szCs w:val="20"/>
          <w:lang w:eastAsia="en-GB"/>
        </w:rPr>
        <w:t>3</w:t>
      </w:r>
      <w:r>
        <w:rPr>
          <w:rFonts w:ascii="Arial" w:hAnsi="Arial" w:cs="Arial"/>
          <w:sz w:val="20"/>
          <w:szCs w:val="20"/>
          <w:lang w:eastAsia="en-GB"/>
        </w:rPr>
        <w:t>4% and 60</w:t>
      </w:r>
      <w:r w:rsidRPr="004A22A6">
        <w:rPr>
          <w:rFonts w:ascii="Arial" w:hAnsi="Arial" w:cs="Arial"/>
          <w:sz w:val="20"/>
          <w:szCs w:val="20"/>
          <w:lang w:eastAsia="en-GB"/>
        </w:rPr>
        <w:t xml:space="preserve">% of all MSM </w:t>
      </w:r>
      <w:r>
        <w:rPr>
          <w:rFonts w:ascii="Arial" w:hAnsi="Arial" w:cs="Arial"/>
          <w:sz w:val="20"/>
          <w:szCs w:val="20"/>
          <w:lang w:eastAsia="en-GB"/>
        </w:rPr>
        <w:t xml:space="preserve">from 2009 to 2014 </w:t>
      </w:r>
      <w:r w:rsidRPr="004A22A6">
        <w:rPr>
          <w:rFonts w:ascii="Arial" w:hAnsi="Arial" w:cs="Arial"/>
          <w:sz w:val="20"/>
          <w:szCs w:val="20"/>
          <w:lang w:eastAsia="en-GB"/>
        </w:rPr>
        <w:t xml:space="preserve">in London attending compared to between </w:t>
      </w:r>
      <w:r>
        <w:rPr>
          <w:rFonts w:ascii="Arial" w:hAnsi="Arial" w:cs="Arial"/>
          <w:sz w:val="20"/>
          <w:szCs w:val="20"/>
          <w:lang w:eastAsia="en-GB"/>
        </w:rPr>
        <w:t>11% and 18</w:t>
      </w:r>
      <w:r w:rsidRPr="004A22A6">
        <w:rPr>
          <w:rFonts w:ascii="Arial" w:hAnsi="Arial" w:cs="Arial"/>
          <w:sz w:val="20"/>
          <w:szCs w:val="20"/>
          <w:lang w:eastAsia="en-GB"/>
        </w:rPr>
        <w:t>% elsewhere in England. These figures are compar</w:t>
      </w:r>
      <w:r>
        <w:rPr>
          <w:rFonts w:ascii="Arial" w:hAnsi="Arial" w:cs="Arial"/>
          <w:sz w:val="20"/>
          <w:szCs w:val="20"/>
          <w:lang w:eastAsia="en-GB"/>
        </w:rPr>
        <w:t xml:space="preserve">able to estimates from self-reported experiences to Natsal- </w:t>
      </w:r>
      <w:r w:rsidRPr="004A22A6">
        <w:rPr>
          <w:rFonts w:ascii="Arial" w:hAnsi="Arial" w:cs="Arial"/>
          <w:sz w:val="20"/>
          <w:szCs w:val="20"/>
          <w:lang w:eastAsia="en-GB"/>
        </w:rPr>
        <w:t>3 with 30.8% (</w:t>
      </w:r>
      <w:r w:rsidRPr="004A22A6">
        <w:rPr>
          <w:rFonts w:ascii="Arial" w:hAnsi="Arial" w:cs="Arial"/>
          <w:kern w:val="0"/>
          <w:sz w:val="20"/>
          <w:szCs w:val="20"/>
          <w:lang w:val="en-US"/>
        </w:rPr>
        <w:t xml:space="preserve">95% CI 15.0%-53.0%) of all MSM </w:t>
      </w:r>
      <w:r>
        <w:rPr>
          <w:rFonts w:ascii="Arial" w:hAnsi="Arial" w:cs="Arial"/>
          <w:kern w:val="0"/>
          <w:sz w:val="20"/>
          <w:szCs w:val="20"/>
          <w:lang w:val="en-US"/>
        </w:rPr>
        <w:t xml:space="preserve">reporting </w:t>
      </w:r>
      <w:r w:rsidRPr="004A22A6">
        <w:rPr>
          <w:rFonts w:ascii="Arial" w:hAnsi="Arial" w:cs="Arial"/>
          <w:kern w:val="0"/>
          <w:sz w:val="20"/>
          <w:szCs w:val="20"/>
          <w:lang w:val="en-US"/>
        </w:rPr>
        <w:t>attending GU services over a one-year period in London, and 15.9% (95% CI 10.1%-24.2%) in the rest of England, excluding London</w:t>
      </w:r>
      <w:r>
        <w:rPr>
          <w:rFonts w:ascii="Arial" w:hAnsi="Arial" w:cs="Arial"/>
          <w:kern w:val="0"/>
          <w:sz w:val="20"/>
          <w:szCs w:val="20"/>
          <w:lang w:val="en-US"/>
        </w:rPr>
        <w:t xml:space="preserve"> [Cath Mercer, personal communication, 2014]</w:t>
      </w:r>
      <w:r w:rsidRPr="004A22A6">
        <w:rPr>
          <w:rFonts w:ascii="Arial" w:hAnsi="Arial" w:cs="Arial"/>
          <w:kern w:val="0"/>
          <w:sz w:val="20"/>
          <w:szCs w:val="20"/>
          <w:lang w:val="en-US"/>
        </w:rPr>
        <w:t xml:space="preserve">.  </w:t>
      </w:r>
    </w:p>
    <w:p w14:paraId="758BFCA0" w14:textId="77777777" w:rsidR="00D43DF8" w:rsidRDefault="00D43DF8" w:rsidP="00D43DF8">
      <w:pPr>
        <w:pStyle w:val="Standard"/>
        <w:spacing w:line="480" w:lineRule="auto"/>
        <w:ind w:firstLine="720"/>
        <w:jc w:val="both"/>
        <w:rPr>
          <w:rFonts w:ascii="Arial" w:hAnsi="Arial" w:cs="Arial"/>
          <w:sz w:val="20"/>
          <w:szCs w:val="20"/>
        </w:rPr>
      </w:pPr>
    </w:p>
    <w:p w14:paraId="0257462A" w14:textId="55518D8A" w:rsidR="00D30A53" w:rsidRPr="004A22A6" w:rsidRDefault="00EB3BE6" w:rsidP="00D43DF8">
      <w:pPr>
        <w:pStyle w:val="Standard"/>
        <w:spacing w:line="480" w:lineRule="auto"/>
        <w:jc w:val="both"/>
        <w:rPr>
          <w:rFonts w:ascii="Arial" w:hAnsi="Arial" w:cs="Arial"/>
          <w:sz w:val="20"/>
          <w:szCs w:val="20"/>
        </w:rPr>
      </w:pPr>
      <w:r>
        <w:rPr>
          <w:rFonts w:ascii="Arial" w:hAnsi="Arial" w:cs="Arial"/>
          <w:sz w:val="20"/>
          <w:szCs w:val="20"/>
        </w:rPr>
        <w:lastRenderedPageBreak/>
        <w:tab/>
      </w:r>
      <w:r w:rsidR="00D459D2" w:rsidRPr="004A22A6">
        <w:rPr>
          <w:rFonts w:ascii="Arial" w:hAnsi="Arial" w:cs="Arial"/>
          <w:sz w:val="20"/>
          <w:szCs w:val="20"/>
        </w:rPr>
        <w:t xml:space="preserve">An important </w:t>
      </w:r>
      <w:r w:rsidR="0088743F">
        <w:rPr>
          <w:rFonts w:ascii="Arial" w:hAnsi="Arial" w:cs="Arial"/>
          <w:sz w:val="20"/>
          <w:szCs w:val="20"/>
        </w:rPr>
        <w:t>outcome</w:t>
      </w:r>
      <w:r w:rsidR="0088743F" w:rsidRPr="004A22A6">
        <w:rPr>
          <w:rFonts w:ascii="Arial" w:hAnsi="Arial" w:cs="Arial"/>
          <w:sz w:val="20"/>
          <w:szCs w:val="20"/>
        </w:rPr>
        <w:t xml:space="preserve"> </w:t>
      </w:r>
      <w:r w:rsidR="00D459D2" w:rsidRPr="004A22A6">
        <w:rPr>
          <w:rFonts w:ascii="Arial" w:hAnsi="Arial" w:cs="Arial"/>
          <w:sz w:val="20"/>
          <w:szCs w:val="20"/>
        </w:rPr>
        <w:t xml:space="preserve">of a targeted HPV vaccination programme is the proportion of MSM who receive a first dose of HPV vaccine </w:t>
      </w:r>
      <w:r w:rsidR="00527618">
        <w:rPr>
          <w:rFonts w:ascii="Arial" w:hAnsi="Arial" w:cs="Arial"/>
          <w:sz w:val="20"/>
          <w:szCs w:val="20"/>
        </w:rPr>
        <w:t>and</w:t>
      </w:r>
      <w:r w:rsidR="00D459D2" w:rsidRPr="004A22A6">
        <w:rPr>
          <w:rFonts w:ascii="Arial" w:hAnsi="Arial" w:cs="Arial"/>
          <w:sz w:val="20"/>
          <w:szCs w:val="20"/>
        </w:rPr>
        <w:t xml:space="preserve"> complete the full course. The </w:t>
      </w:r>
      <w:r w:rsidR="00527618">
        <w:rPr>
          <w:rFonts w:ascii="Arial" w:hAnsi="Arial" w:cs="Arial"/>
          <w:sz w:val="20"/>
          <w:szCs w:val="20"/>
        </w:rPr>
        <w:t>JCVI have advised that</w:t>
      </w:r>
      <w:r w:rsidR="0075669C">
        <w:rPr>
          <w:rFonts w:ascii="Arial" w:hAnsi="Arial" w:cs="Arial"/>
          <w:sz w:val="20"/>
          <w:szCs w:val="20"/>
        </w:rPr>
        <w:t xml:space="preserve"> all</w:t>
      </w:r>
      <w:r w:rsidR="00527618">
        <w:rPr>
          <w:rFonts w:ascii="Arial" w:hAnsi="Arial" w:cs="Arial"/>
          <w:sz w:val="20"/>
          <w:szCs w:val="20"/>
        </w:rPr>
        <w:t xml:space="preserve"> MSM</w:t>
      </w:r>
      <w:r w:rsidR="0075669C">
        <w:rPr>
          <w:rFonts w:ascii="Arial" w:hAnsi="Arial" w:cs="Arial"/>
          <w:sz w:val="20"/>
          <w:szCs w:val="20"/>
        </w:rPr>
        <w:t xml:space="preserve"> aged less than 45 years</w:t>
      </w:r>
      <w:r w:rsidR="00527618">
        <w:rPr>
          <w:rFonts w:ascii="Arial" w:hAnsi="Arial" w:cs="Arial"/>
          <w:sz w:val="20"/>
          <w:szCs w:val="20"/>
        </w:rPr>
        <w:t xml:space="preserve"> should receive </w:t>
      </w:r>
      <w:r w:rsidR="00D459D2" w:rsidRPr="004A22A6">
        <w:rPr>
          <w:rFonts w:ascii="Arial" w:hAnsi="Arial" w:cs="Arial"/>
          <w:sz w:val="20"/>
          <w:szCs w:val="20"/>
        </w:rPr>
        <w:t>three doses</w:t>
      </w:r>
      <w:r w:rsidR="00D5744A">
        <w:rPr>
          <w:rFonts w:ascii="Arial" w:hAnsi="Arial" w:cs="Arial"/>
          <w:sz w:val="20"/>
          <w:szCs w:val="20"/>
        </w:rPr>
        <w:t xml:space="preserve"> of quadrivalent vaccine.</w:t>
      </w:r>
      <w:r w:rsidR="00D459D2" w:rsidRPr="004A22A6">
        <w:rPr>
          <w:rFonts w:ascii="Arial" w:hAnsi="Arial" w:cs="Arial"/>
          <w:sz w:val="20"/>
          <w:szCs w:val="20"/>
        </w:rPr>
        <w:t>[</w:t>
      </w:r>
      <w:r w:rsidR="00527618">
        <w:rPr>
          <w:rFonts w:ascii="Arial" w:hAnsi="Arial" w:cs="Arial"/>
          <w:sz w:val="20"/>
          <w:szCs w:val="20"/>
        </w:rPr>
        <w:t>4</w:t>
      </w:r>
      <w:r w:rsidR="00D5744A">
        <w:rPr>
          <w:rFonts w:ascii="Arial" w:hAnsi="Arial" w:cs="Arial"/>
          <w:sz w:val="20"/>
          <w:szCs w:val="20"/>
        </w:rPr>
        <w:t>]</w:t>
      </w:r>
      <w:r w:rsidR="00D459D2" w:rsidRPr="004A22A6">
        <w:rPr>
          <w:rFonts w:ascii="Arial" w:hAnsi="Arial" w:cs="Arial"/>
          <w:sz w:val="20"/>
          <w:szCs w:val="20"/>
        </w:rPr>
        <w:t xml:space="preserve"> Of MSM attending between </w:t>
      </w:r>
      <w:r w:rsidR="00CF3362">
        <w:rPr>
          <w:rFonts w:ascii="Arial" w:hAnsi="Arial" w:cs="Arial"/>
          <w:sz w:val="20"/>
          <w:szCs w:val="20"/>
        </w:rPr>
        <w:t>by</w:t>
      </w:r>
      <w:r w:rsidR="00D459D2" w:rsidRPr="004A22A6">
        <w:rPr>
          <w:rFonts w:ascii="Arial" w:hAnsi="Arial" w:cs="Arial"/>
          <w:sz w:val="20"/>
          <w:szCs w:val="20"/>
        </w:rPr>
        <w:t xml:space="preserve"> 2012, around one-third attended for a follow-up visit between 1-3 months after their initial visit and around one-third between 6-12 months. </w:t>
      </w:r>
      <w:r w:rsidR="00527618">
        <w:rPr>
          <w:rFonts w:ascii="Arial" w:hAnsi="Arial" w:cs="Arial"/>
          <w:sz w:val="20"/>
          <w:szCs w:val="20"/>
        </w:rPr>
        <w:t xml:space="preserve"> </w:t>
      </w:r>
      <w:r w:rsidR="006D1AB7" w:rsidRPr="004A22A6">
        <w:rPr>
          <w:rFonts w:ascii="Arial" w:hAnsi="Arial" w:cs="Arial"/>
          <w:sz w:val="20"/>
          <w:szCs w:val="20"/>
        </w:rPr>
        <w:t>One way to limit additional follow-up visits would be to provide contemporaneously with Hepatitis B vaccine</w:t>
      </w:r>
      <w:r w:rsidR="00527618">
        <w:rPr>
          <w:rFonts w:ascii="Arial" w:hAnsi="Arial" w:cs="Arial"/>
          <w:sz w:val="20"/>
          <w:szCs w:val="20"/>
        </w:rPr>
        <w:t xml:space="preserve"> which has a similar dosing schedule </w:t>
      </w:r>
      <w:r w:rsidR="004D32C3">
        <w:rPr>
          <w:rFonts w:ascii="Arial" w:hAnsi="Arial" w:cs="Arial"/>
          <w:sz w:val="20"/>
          <w:szCs w:val="20"/>
        </w:rPr>
        <w:t>if not given over a shorter time period for high risk MSM</w:t>
      </w:r>
      <w:r w:rsidR="00527618">
        <w:rPr>
          <w:rFonts w:ascii="Arial" w:hAnsi="Arial" w:cs="Arial"/>
          <w:sz w:val="20"/>
          <w:szCs w:val="20"/>
        </w:rPr>
        <w:t>. Extra visits may be required for those who are already vaccinated against Hepatitis B.</w:t>
      </w:r>
      <w:r w:rsidR="00D2263B">
        <w:rPr>
          <w:rFonts w:ascii="Arial" w:hAnsi="Arial" w:cs="Arial"/>
          <w:sz w:val="20"/>
          <w:szCs w:val="20"/>
        </w:rPr>
        <w:t xml:space="preserve"> Extra visits for HPV </w:t>
      </w:r>
      <w:r w:rsidR="003B0094">
        <w:rPr>
          <w:rFonts w:ascii="Arial" w:hAnsi="Arial" w:cs="Arial"/>
          <w:sz w:val="20"/>
          <w:szCs w:val="20"/>
        </w:rPr>
        <w:t>vaccination</w:t>
      </w:r>
      <w:r w:rsidR="00D2263B">
        <w:rPr>
          <w:rFonts w:ascii="Arial" w:hAnsi="Arial" w:cs="Arial"/>
          <w:sz w:val="20"/>
          <w:szCs w:val="20"/>
        </w:rPr>
        <w:t xml:space="preserve"> would have implications for patients’ compliance/course completion as well as for costs, and needs to be monitored in practice.</w:t>
      </w:r>
    </w:p>
    <w:p w14:paraId="692B6889" w14:textId="35090CC1" w:rsidR="009C48D3" w:rsidRDefault="009C48D3" w:rsidP="009C48D3">
      <w:pPr>
        <w:pStyle w:val="Standard"/>
        <w:spacing w:line="480" w:lineRule="auto"/>
        <w:rPr>
          <w:rFonts w:ascii="Arial" w:hAnsi="Arial" w:cs="Arial"/>
          <w:sz w:val="20"/>
          <w:szCs w:val="20"/>
          <w:lang w:eastAsia="en-GB"/>
        </w:rPr>
      </w:pPr>
      <w:r w:rsidRPr="00AB21B7">
        <w:rPr>
          <w:rFonts w:ascii="Arial" w:hAnsi="Arial" w:cs="Arial"/>
          <w:sz w:val="20"/>
          <w:szCs w:val="20"/>
          <w:lang w:eastAsia="en-GB"/>
        </w:rPr>
        <w:tab/>
      </w:r>
      <w:r w:rsidR="00D2263B">
        <w:rPr>
          <w:rFonts w:ascii="Arial" w:hAnsi="Arial" w:cs="Arial"/>
          <w:sz w:val="20"/>
          <w:szCs w:val="20"/>
          <w:lang w:eastAsia="en-GB"/>
        </w:rPr>
        <w:t>These data have been used to inform the likely cost-effectiveness and the design of the HPV-MSM programme</w:t>
      </w:r>
      <w:r w:rsidR="00D5744A">
        <w:rPr>
          <w:rFonts w:ascii="Arial" w:hAnsi="Arial" w:cs="Arial"/>
          <w:sz w:val="20"/>
          <w:szCs w:val="20"/>
          <w:lang w:eastAsia="en-GB"/>
        </w:rPr>
        <w:t>.</w:t>
      </w:r>
      <w:r w:rsidR="007919AE">
        <w:rPr>
          <w:rFonts w:ascii="Arial" w:hAnsi="Arial" w:cs="Arial"/>
          <w:sz w:val="20"/>
          <w:szCs w:val="20"/>
          <w:lang w:eastAsia="en-GB"/>
        </w:rPr>
        <w:t>[</w:t>
      </w:r>
      <w:r w:rsidR="001759F7">
        <w:rPr>
          <w:rFonts w:ascii="Arial" w:hAnsi="Arial" w:cs="Arial"/>
          <w:sz w:val="20"/>
          <w:szCs w:val="20"/>
          <w:lang w:eastAsia="en-GB"/>
        </w:rPr>
        <w:t>8</w:t>
      </w:r>
      <w:r w:rsidR="007919AE">
        <w:rPr>
          <w:rFonts w:ascii="Arial" w:hAnsi="Arial" w:cs="Arial"/>
          <w:sz w:val="20"/>
          <w:szCs w:val="20"/>
          <w:lang w:eastAsia="en-GB"/>
        </w:rPr>
        <w:t>]</w:t>
      </w:r>
      <w:r w:rsidR="00D2263B">
        <w:rPr>
          <w:rFonts w:ascii="Arial" w:hAnsi="Arial" w:cs="Arial"/>
          <w:sz w:val="20"/>
          <w:szCs w:val="20"/>
          <w:lang w:eastAsia="en-GB"/>
        </w:rPr>
        <w:t xml:space="preserve">  As </w:t>
      </w:r>
      <w:r w:rsidR="00CF3362">
        <w:rPr>
          <w:rFonts w:ascii="Arial" w:hAnsi="Arial" w:cs="Arial"/>
          <w:sz w:val="20"/>
          <w:szCs w:val="20"/>
          <w:lang w:eastAsia="en-GB"/>
        </w:rPr>
        <w:t xml:space="preserve">this </w:t>
      </w:r>
      <w:r w:rsidR="00D2263B">
        <w:rPr>
          <w:rFonts w:ascii="Arial" w:hAnsi="Arial" w:cs="Arial"/>
          <w:sz w:val="20"/>
          <w:szCs w:val="20"/>
          <w:lang w:eastAsia="en-GB"/>
        </w:rPr>
        <w:t xml:space="preserve">programme implementation starts, GUMCAD data will </w:t>
      </w:r>
      <w:r w:rsidR="00CF3362">
        <w:rPr>
          <w:rFonts w:ascii="Arial" w:hAnsi="Arial" w:cs="Arial"/>
          <w:sz w:val="20"/>
          <w:szCs w:val="20"/>
          <w:lang w:eastAsia="en-GB"/>
        </w:rPr>
        <w:t xml:space="preserve">be well placed to </w:t>
      </w:r>
      <w:r w:rsidR="00D2263B">
        <w:rPr>
          <w:rFonts w:ascii="Arial" w:hAnsi="Arial" w:cs="Arial"/>
          <w:sz w:val="20"/>
          <w:szCs w:val="20"/>
          <w:lang w:eastAsia="en-GB"/>
        </w:rPr>
        <w:t xml:space="preserve">monitor attendances (including potential additional attendances attracted by </w:t>
      </w:r>
      <w:r w:rsidR="00CF3362">
        <w:rPr>
          <w:rFonts w:ascii="Arial" w:hAnsi="Arial" w:cs="Arial"/>
          <w:sz w:val="20"/>
          <w:szCs w:val="20"/>
          <w:lang w:eastAsia="en-GB"/>
        </w:rPr>
        <w:t>HPV vaccination</w:t>
      </w:r>
      <w:r w:rsidR="00D2263B">
        <w:rPr>
          <w:rFonts w:ascii="Arial" w:hAnsi="Arial" w:cs="Arial"/>
          <w:sz w:val="20"/>
          <w:szCs w:val="20"/>
          <w:lang w:eastAsia="en-GB"/>
        </w:rPr>
        <w:t xml:space="preserve">), </w:t>
      </w:r>
      <w:r w:rsidR="00CF3362">
        <w:rPr>
          <w:rFonts w:ascii="Arial" w:hAnsi="Arial" w:cs="Arial"/>
          <w:sz w:val="20"/>
          <w:szCs w:val="20"/>
          <w:lang w:eastAsia="en-GB"/>
        </w:rPr>
        <w:t xml:space="preserve">vaccine </w:t>
      </w:r>
      <w:r w:rsidR="00D2263B">
        <w:rPr>
          <w:rFonts w:ascii="Arial" w:hAnsi="Arial" w:cs="Arial"/>
          <w:sz w:val="20"/>
          <w:szCs w:val="20"/>
          <w:lang w:eastAsia="en-GB"/>
        </w:rPr>
        <w:t xml:space="preserve">uptake and course completion. </w:t>
      </w:r>
    </w:p>
    <w:p w14:paraId="41564137" w14:textId="77777777" w:rsidR="00035F70" w:rsidRPr="00AB21B7" w:rsidRDefault="00035F70" w:rsidP="00D459D2">
      <w:pPr>
        <w:spacing w:line="480" w:lineRule="auto"/>
        <w:rPr>
          <w:rFonts w:ascii="Arial" w:hAnsi="Arial" w:cs="Arial"/>
          <w:sz w:val="20"/>
          <w:szCs w:val="20"/>
        </w:rPr>
      </w:pPr>
      <w:r>
        <w:rPr>
          <w:rFonts w:ascii="Arial" w:hAnsi="Arial" w:cs="Arial"/>
          <w:b/>
          <w:sz w:val="20"/>
          <w:szCs w:val="20"/>
        </w:rPr>
        <w:tab/>
      </w:r>
    </w:p>
    <w:p w14:paraId="2510A59C" w14:textId="2A2C2AAB" w:rsidR="001F4654" w:rsidRDefault="009C48D3" w:rsidP="009C48D3">
      <w:pPr>
        <w:pStyle w:val="Standard"/>
        <w:spacing w:line="480" w:lineRule="auto"/>
        <w:rPr>
          <w:rFonts w:ascii="Arial" w:hAnsi="Arial" w:cs="Arial"/>
          <w:sz w:val="20"/>
          <w:szCs w:val="20"/>
          <w:lang w:eastAsia="en-GB"/>
        </w:rPr>
        <w:sectPr w:rsidR="001F4654" w:rsidSect="009C48D3">
          <w:footerReference w:type="default" r:id="rId9"/>
          <w:type w:val="continuous"/>
          <w:pgSz w:w="11906" w:h="16838"/>
          <w:pgMar w:top="1077" w:right="1077" w:bottom="1077" w:left="1259" w:header="720" w:footer="720" w:gutter="0"/>
          <w:cols w:space="720"/>
          <w:docGrid w:linePitch="299"/>
        </w:sectPr>
      </w:pPr>
      <w:r w:rsidRPr="00AB21B7">
        <w:rPr>
          <w:rFonts w:ascii="Arial" w:hAnsi="Arial" w:cs="Arial"/>
          <w:sz w:val="20"/>
          <w:szCs w:val="20"/>
          <w:lang w:eastAsia="en-GB"/>
        </w:rPr>
        <w:t xml:space="preserve">Word count: </w:t>
      </w:r>
      <w:r w:rsidR="00C248A6" w:rsidRPr="00AB21B7">
        <w:rPr>
          <w:rFonts w:ascii="Arial" w:hAnsi="Arial" w:cs="Arial"/>
          <w:sz w:val="20"/>
          <w:szCs w:val="20"/>
          <w:lang w:eastAsia="en-GB"/>
        </w:rPr>
        <w:t>1</w:t>
      </w:r>
      <w:r w:rsidR="00D96A8C">
        <w:rPr>
          <w:rFonts w:ascii="Arial" w:hAnsi="Arial" w:cs="Arial"/>
          <w:sz w:val="20"/>
          <w:szCs w:val="20"/>
          <w:lang w:eastAsia="en-GB"/>
        </w:rPr>
        <w:t>4</w:t>
      </w:r>
      <w:r w:rsidR="00D43DF8">
        <w:rPr>
          <w:rFonts w:ascii="Arial" w:hAnsi="Arial" w:cs="Arial"/>
          <w:sz w:val="20"/>
          <w:szCs w:val="20"/>
          <w:lang w:eastAsia="en-GB"/>
        </w:rPr>
        <w:t>56</w:t>
      </w:r>
    </w:p>
    <w:tbl>
      <w:tblPr>
        <w:tblpPr w:leftFromText="180" w:rightFromText="180" w:vertAnchor="text" w:horzAnchor="page" w:tblpX="1189" w:tblpY="-390"/>
        <w:tblW w:w="4456" w:type="pct"/>
        <w:tblLayout w:type="fixed"/>
        <w:tblLook w:val="04A0" w:firstRow="1" w:lastRow="0" w:firstColumn="1" w:lastColumn="0" w:noHBand="0" w:noVBand="1"/>
      </w:tblPr>
      <w:tblGrid>
        <w:gridCol w:w="2518"/>
        <w:gridCol w:w="2658"/>
        <w:gridCol w:w="1620"/>
        <w:gridCol w:w="1620"/>
        <w:gridCol w:w="1620"/>
        <w:gridCol w:w="1620"/>
        <w:gridCol w:w="1623"/>
      </w:tblGrid>
      <w:tr w:rsidR="00352F86" w:rsidRPr="001F4654" w14:paraId="564997F3" w14:textId="77777777" w:rsidTr="00352F86">
        <w:trPr>
          <w:trHeight w:val="300"/>
        </w:trPr>
        <w:tc>
          <w:tcPr>
            <w:tcW w:w="5000" w:type="pct"/>
            <w:gridSpan w:val="7"/>
            <w:tcBorders>
              <w:top w:val="nil"/>
              <w:left w:val="nil"/>
              <w:bottom w:val="single" w:sz="4" w:space="0" w:color="auto"/>
              <w:right w:val="nil"/>
            </w:tcBorders>
            <w:shd w:val="clear" w:color="auto" w:fill="auto"/>
            <w:noWrap/>
            <w:vAlign w:val="bottom"/>
            <w:hideMark/>
          </w:tcPr>
          <w:p w14:paraId="0AAE2838"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b/>
                <w:bCs/>
                <w:color w:val="000000"/>
                <w:kern w:val="0"/>
              </w:rPr>
              <w:lastRenderedPageBreak/>
              <w:t>Table 1:</w:t>
            </w:r>
            <w:r w:rsidRPr="001F4654">
              <w:rPr>
                <w:rFonts w:ascii="Calibri" w:hAnsi="Calibri"/>
                <w:color w:val="000000"/>
                <w:kern w:val="0"/>
              </w:rPr>
              <w:t xml:space="preserve"> </w:t>
            </w:r>
            <w:r>
              <w:rPr>
                <w:rFonts w:ascii="Calibri" w:hAnsi="Calibri"/>
                <w:color w:val="000000"/>
                <w:kern w:val="0"/>
              </w:rPr>
              <w:t>Cumulative p</w:t>
            </w:r>
            <w:r w:rsidRPr="001F4654">
              <w:rPr>
                <w:rFonts w:ascii="Calibri" w:hAnsi="Calibri"/>
                <w:color w:val="000000"/>
                <w:kern w:val="0"/>
              </w:rPr>
              <w:t>roportion of MSM re</w:t>
            </w:r>
            <w:r>
              <w:rPr>
                <w:rFonts w:ascii="Calibri" w:hAnsi="Calibri"/>
                <w:color w:val="000000"/>
                <w:kern w:val="0"/>
              </w:rPr>
              <w:t>-</w:t>
            </w:r>
            <w:r w:rsidRPr="001F4654">
              <w:rPr>
                <w:rFonts w:ascii="Calibri" w:hAnsi="Calibri"/>
                <w:color w:val="000000"/>
                <w:kern w:val="0"/>
              </w:rPr>
              <w:t>attending at the same GUM clinic by time since first recorded attendance, clinic location and age-group</w:t>
            </w:r>
          </w:p>
        </w:tc>
      </w:tr>
      <w:tr w:rsidR="00352F86" w:rsidRPr="001F4654" w14:paraId="11ADB13F" w14:textId="77777777" w:rsidTr="00352F86">
        <w:trPr>
          <w:trHeight w:val="600"/>
        </w:trPr>
        <w:tc>
          <w:tcPr>
            <w:tcW w:w="948" w:type="pct"/>
            <w:tcBorders>
              <w:top w:val="nil"/>
              <w:left w:val="nil"/>
              <w:bottom w:val="nil"/>
              <w:right w:val="nil"/>
            </w:tcBorders>
            <w:shd w:val="clear" w:color="auto" w:fill="auto"/>
            <w:noWrap/>
            <w:vAlign w:val="bottom"/>
            <w:hideMark/>
          </w:tcPr>
          <w:p w14:paraId="60573A8A" w14:textId="77777777" w:rsidR="00352F86" w:rsidRPr="001F4654" w:rsidRDefault="00352F86" w:rsidP="00352F86">
            <w:pPr>
              <w:widowControl/>
              <w:suppressAutoHyphens w:val="0"/>
              <w:autoSpaceDN/>
              <w:textAlignment w:val="auto"/>
              <w:rPr>
                <w:rFonts w:ascii="Calibri" w:hAnsi="Calibri"/>
                <w:color w:val="000000"/>
                <w:kern w:val="0"/>
              </w:rPr>
            </w:pPr>
          </w:p>
        </w:tc>
        <w:tc>
          <w:tcPr>
            <w:tcW w:w="1001" w:type="pct"/>
            <w:vMerge w:val="restart"/>
            <w:tcBorders>
              <w:top w:val="nil"/>
              <w:left w:val="nil"/>
              <w:bottom w:val="single" w:sz="4" w:space="0" w:color="000000"/>
              <w:right w:val="nil"/>
            </w:tcBorders>
            <w:shd w:val="clear" w:color="auto" w:fill="auto"/>
            <w:vAlign w:val="center"/>
            <w:hideMark/>
          </w:tcPr>
          <w:p w14:paraId="0D6DA43E" w14:textId="77777777" w:rsidR="00352F86"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 xml:space="preserve">Number of MSM attending </w:t>
            </w:r>
          </w:p>
          <w:p w14:paraId="42428569"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between 2009 and 2012</w:t>
            </w:r>
          </w:p>
        </w:tc>
        <w:tc>
          <w:tcPr>
            <w:tcW w:w="3051" w:type="pct"/>
            <w:gridSpan w:val="5"/>
            <w:tcBorders>
              <w:top w:val="nil"/>
              <w:left w:val="nil"/>
              <w:bottom w:val="nil"/>
              <w:right w:val="nil"/>
            </w:tcBorders>
            <w:shd w:val="clear" w:color="auto" w:fill="auto"/>
            <w:noWrap/>
            <w:vAlign w:val="center"/>
            <w:hideMark/>
          </w:tcPr>
          <w:p w14:paraId="0D04F167"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Re-attendance visits between 2009 and 2014 (%)</w:t>
            </w:r>
          </w:p>
        </w:tc>
      </w:tr>
      <w:tr w:rsidR="00352F86" w:rsidRPr="001F4654" w14:paraId="30D4C3CE" w14:textId="77777777" w:rsidTr="00352F86">
        <w:trPr>
          <w:trHeight w:val="300"/>
        </w:trPr>
        <w:tc>
          <w:tcPr>
            <w:tcW w:w="948" w:type="pct"/>
            <w:tcBorders>
              <w:top w:val="nil"/>
              <w:left w:val="nil"/>
              <w:bottom w:val="nil"/>
              <w:right w:val="nil"/>
            </w:tcBorders>
            <w:shd w:val="clear" w:color="auto" w:fill="auto"/>
            <w:noWrap/>
            <w:vAlign w:val="bottom"/>
            <w:hideMark/>
          </w:tcPr>
          <w:p w14:paraId="4F757389" w14:textId="77777777" w:rsidR="00352F86" w:rsidRPr="001F4654" w:rsidRDefault="00352F86" w:rsidP="00352F86">
            <w:pPr>
              <w:widowControl/>
              <w:suppressAutoHyphens w:val="0"/>
              <w:autoSpaceDN/>
              <w:textAlignment w:val="auto"/>
              <w:rPr>
                <w:rFonts w:ascii="Calibri" w:hAnsi="Calibri"/>
                <w:color w:val="000000"/>
                <w:kern w:val="0"/>
              </w:rPr>
            </w:pPr>
          </w:p>
        </w:tc>
        <w:tc>
          <w:tcPr>
            <w:tcW w:w="1001" w:type="pct"/>
            <w:vMerge/>
            <w:tcBorders>
              <w:top w:val="nil"/>
              <w:left w:val="nil"/>
              <w:bottom w:val="single" w:sz="4" w:space="0" w:color="000000"/>
              <w:right w:val="nil"/>
            </w:tcBorders>
            <w:vAlign w:val="center"/>
            <w:hideMark/>
          </w:tcPr>
          <w:p w14:paraId="67DE2AB4"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single" w:sz="4" w:space="0" w:color="auto"/>
              <w:right w:val="nil"/>
            </w:tcBorders>
            <w:shd w:val="clear" w:color="auto" w:fill="auto"/>
            <w:noWrap/>
            <w:vAlign w:val="bottom"/>
            <w:hideMark/>
          </w:tcPr>
          <w:p w14:paraId="511936B9"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1-3 months</w:t>
            </w:r>
          </w:p>
        </w:tc>
        <w:tc>
          <w:tcPr>
            <w:tcW w:w="610" w:type="pct"/>
            <w:tcBorders>
              <w:top w:val="nil"/>
              <w:left w:val="nil"/>
              <w:bottom w:val="single" w:sz="4" w:space="0" w:color="auto"/>
              <w:right w:val="nil"/>
            </w:tcBorders>
            <w:shd w:val="clear" w:color="auto" w:fill="auto"/>
            <w:noWrap/>
            <w:vAlign w:val="bottom"/>
            <w:hideMark/>
          </w:tcPr>
          <w:p w14:paraId="4F55304C"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w:t>
            </w:r>
            <w:r w:rsidRPr="001F4654">
              <w:rPr>
                <w:rFonts w:ascii="Calibri" w:hAnsi="Calibri"/>
                <w:color w:val="000000"/>
                <w:kern w:val="0"/>
              </w:rPr>
              <w:t>-6 months</w:t>
            </w:r>
          </w:p>
        </w:tc>
        <w:tc>
          <w:tcPr>
            <w:tcW w:w="610" w:type="pct"/>
            <w:tcBorders>
              <w:top w:val="nil"/>
              <w:left w:val="nil"/>
              <w:bottom w:val="single" w:sz="4" w:space="0" w:color="auto"/>
              <w:right w:val="nil"/>
            </w:tcBorders>
            <w:shd w:val="clear" w:color="auto" w:fill="auto"/>
            <w:noWrap/>
            <w:vAlign w:val="bottom"/>
            <w:hideMark/>
          </w:tcPr>
          <w:p w14:paraId="122AAC54"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w:t>
            </w:r>
            <w:r w:rsidRPr="001F4654">
              <w:rPr>
                <w:rFonts w:ascii="Calibri" w:hAnsi="Calibri"/>
                <w:color w:val="000000"/>
                <w:kern w:val="0"/>
              </w:rPr>
              <w:t>-12 months</w:t>
            </w:r>
          </w:p>
        </w:tc>
        <w:tc>
          <w:tcPr>
            <w:tcW w:w="610" w:type="pct"/>
            <w:tcBorders>
              <w:top w:val="nil"/>
              <w:left w:val="nil"/>
              <w:bottom w:val="single" w:sz="4" w:space="0" w:color="auto"/>
              <w:right w:val="nil"/>
            </w:tcBorders>
            <w:shd w:val="clear" w:color="auto" w:fill="auto"/>
            <w:noWrap/>
            <w:vAlign w:val="bottom"/>
            <w:hideMark/>
          </w:tcPr>
          <w:p w14:paraId="0A21C865"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1-18 months</w:t>
            </w:r>
          </w:p>
        </w:tc>
        <w:tc>
          <w:tcPr>
            <w:tcW w:w="611" w:type="pct"/>
            <w:tcBorders>
              <w:top w:val="nil"/>
              <w:left w:val="nil"/>
              <w:bottom w:val="single" w:sz="4" w:space="0" w:color="auto"/>
              <w:right w:val="nil"/>
            </w:tcBorders>
            <w:shd w:val="clear" w:color="auto" w:fill="auto"/>
            <w:noWrap/>
            <w:vAlign w:val="bottom"/>
            <w:hideMark/>
          </w:tcPr>
          <w:p w14:paraId="4D116ECE"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1-24 months</w:t>
            </w:r>
          </w:p>
        </w:tc>
      </w:tr>
      <w:tr w:rsidR="00352F86" w:rsidRPr="001F4654" w14:paraId="630EFD31" w14:textId="77777777" w:rsidTr="00352F86">
        <w:trPr>
          <w:trHeight w:val="300"/>
        </w:trPr>
        <w:tc>
          <w:tcPr>
            <w:tcW w:w="948" w:type="pct"/>
            <w:tcBorders>
              <w:top w:val="nil"/>
              <w:left w:val="nil"/>
              <w:bottom w:val="nil"/>
              <w:right w:val="nil"/>
            </w:tcBorders>
            <w:shd w:val="clear" w:color="auto" w:fill="auto"/>
            <w:noWrap/>
            <w:vAlign w:val="bottom"/>
            <w:hideMark/>
          </w:tcPr>
          <w:p w14:paraId="6D68900C" w14:textId="77777777" w:rsidR="00352F86" w:rsidRPr="001F4654" w:rsidRDefault="00352F86" w:rsidP="00352F86">
            <w:pPr>
              <w:widowControl/>
              <w:suppressAutoHyphens w:val="0"/>
              <w:autoSpaceDN/>
              <w:textAlignment w:val="auto"/>
              <w:rPr>
                <w:rFonts w:ascii="Calibri" w:hAnsi="Calibri"/>
                <w:b/>
                <w:bCs/>
                <w:color w:val="000000"/>
                <w:kern w:val="0"/>
              </w:rPr>
            </w:pPr>
            <w:r w:rsidRPr="001F4654">
              <w:rPr>
                <w:rFonts w:ascii="Calibri" w:hAnsi="Calibri"/>
                <w:b/>
                <w:bCs/>
                <w:color w:val="000000"/>
                <w:kern w:val="0"/>
              </w:rPr>
              <w:t>All clinics</w:t>
            </w:r>
          </w:p>
        </w:tc>
        <w:tc>
          <w:tcPr>
            <w:tcW w:w="1001" w:type="pct"/>
            <w:tcBorders>
              <w:top w:val="nil"/>
              <w:left w:val="nil"/>
              <w:bottom w:val="nil"/>
              <w:right w:val="nil"/>
            </w:tcBorders>
            <w:shd w:val="clear" w:color="auto" w:fill="auto"/>
            <w:vAlign w:val="center"/>
            <w:hideMark/>
          </w:tcPr>
          <w:p w14:paraId="5F6B10DF" w14:textId="77777777" w:rsidR="00352F86" w:rsidRPr="001F4654" w:rsidRDefault="00352F86" w:rsidP="00352F86">
            <w:pPr>
              <w:widowControl/>
              <w:suppressAutoHyphens w:val="0"/>
              <w:autoSpaceDN/>
              <w:jc w:val="center"/>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hideMark/>
          </w:tcPr>
          <w:p w14:paraId="2973263C"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hideMark/>
          </w:tcPr>
          <w:p w14:paraId="418EA2DD"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hideMark/>
          </w:tcPr>
          <w:p w14:paraId="180AD4AD"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hideMark/>
          </w:tcPr>
          <w:p w14:paraId="728DA2E6" w14:textId="77777777" w:rsidR="00352F86" w:rsidRPr="001F4654" w:rsidRDefault="00352F86" w:rsidP="00352F86">
            <w:pPr>
              <w:widowControl/>
              <w:suppressAutoHyphens w:val="0"/>
              <w:autoSpaceDN/>
              <w:textAlignment w:val="auto"/>
              <w:rPr>
                <w:rFonts w:ascii="Calibri" w:hAnsi="Calibri"/>
                <w:color w:val="000000"/>
                <w:kern w:val="0"/>
              </w:rPr>
            </w:pPr>
          </w:p>
        </w:tc>
        <w:tc>
          <w:tcPr>
            <w:tcW w:w="611" w:type="pct"/>
            <w:tcBorders>
              <w:top w:val="nil"/>
              <w:left w:val="nil"/>
              <w:bottom w:val="nil"/>
              <w:right w:val="nil"/>
            </w:tcBorders>
            <w:shd w:val="clear" w:color="auto" w:fill="auto"/>
            <w:noWrap/>
            <w:vAlign w:val="bottom"/>
            <w:hideMark/>
          </w:tcPr>
          <w:p w14:paraId="3EAF3848" w14:textId="77777777" w:rsidR="00352F86" w:rsidRPr="001F4654" w:rsidRDefault="00352F86" w:rsidP="00352F86">
            <w:pPr>
              <w:widowControl/>
              <w:suppressAutoHyphens w:val="0"/>
              <w:autoSpaceDN/>
              <w:textAlignment w:val="auto"/>
              <w:rPr>
                <w:rFonts w:ascii="Calibri" w:hAnsi="Calibri"/>
                <w:color w:val="000000"/>
                <w:kern w:val="0"/>
              </w:rPr>
            </w:pPr>
          </w:p>
        </w:tc>
      </w:tr>
      <w:tr w:rsidR="00352F86" w:rsidRPr="001F4654" w14:paraId="618BC48F" w14:textId="77777777" w:rsidTr="00352F86">
        <w:trPr>
          <w:trHeight w:val="300"/>
        </w:trPr>
        <w:tc>
          <w:tcPr>
            <w:tcW w:w="948" w:type="pct"/>
            <w:tcBorders>
              <w:top w:val="nil"/>
              <w:left w:val="nil"/>
              <w:bottom w:val="nil"/>
              <w:right w:val="nil"/>
            </w:tcBorders>
            <w:shd w:val="clear" w:color="auto" w:fill="auto"/>
            <w:noWrap/>
            <w:vAlign w:val="bottom"/>
            <w:hideMark/>
          </w:tcPr>
          <w:p w14:paraId="5114353D"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&lt;25 years old</w:t>
            </w:r>
          </w:p>
        </w:tc>
        <w:tc>
          <w:tcPr>
            <w:tcW w:w="1001" w:type="pct"/>
            <w:tcBorders>
              <w:top w:val="nil"/>
              <w:left w:val="nil"/>
              <w:bottom w:val="nil"/>
              <w:right w:val="nil"/>
            </w:tcBorders>
            <w:shd w:val="clear" w:color="auto" w:fill="auto"/>
            <w:vAlign w:val="center"/>
            <w:hideMark/>
          </w:tcPr>
          <w:p w14:paraId="0F4B4958"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63,978</w:t>
            </w:r>
          </w:p>
        </w:tc>
        <w:tc>
          <w:tcPr>
            <w:tcW w:w="610" w:type="pct"/>
            <w:tcBorders>
              <w:top w:val="nil"/>
              <w:left w:val="nil"/>
              <w:bottom w:val="nil"/>
              <w:right w:val="nil"/>
            </w:tcBorders>
            <w:shd w:val="clear" w:color="auto" w:fill="auto"/>
            <w:noWrap/>
            <w:vAlign w:val="bottom"/>
            <w:hideMark/>
          </w:tcPr>
          <w:p w14:paraId="564962D3"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14646 (22.9)</w:t>
            </w:r>
          </w:p>
        </w:tc>
        <w:tc>
          <w:tcPr>
            <w:tcW w:w="610" w:type="pct"/>
            <w:tcBorders>
              <w:top w:val="nil"/>
              <w:left w:val="nil"/>
              <w:bottom w:val="nil"/>
              <w:right w:val="nil"/>
            </w:tcBorders>
            <w:shd w:val="clear" w:color="auto" w:fill="auto"/>
            <w:noWrap/>
            <w:vAlign w:val="bottom"/>
          </w:tcPr>
          <w:p w14:paraId="586118C9"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21779 (34.0)</w:t>
            </w:r>
          </w:p>
        </w:tc>
        <w:tc>
          <w:tcPr>
            <w:tcW w:w="610" w:type="pct"/>
            <w:tcBorders>
              <w:top w:val="nil"/>
              <w:left w:val="nil"/>
              <w:bottom w:val="nil"/>
              <w:right w:val="nil"/>
            </w:tcBorders>
            <w:shd w:val="clear" w:color="auto" w:fill="auto"/>
            <w:noWrap/>
            <w:vAlign w:val="bottom"/>
          </w:tcPr>
          <w:p w14:paraId="2000B296"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28973 (45.3)</w:t>
            </w:r>
          </w:p>
        </w:tc>
        <w:tc>
          <w:tcPr>
            <w:tcW w:w="610" w:type="pct"/>
            <w:tcBorders>
              <w:top w:val="nil"/>
              <w:left w:val="nil"/>
              <w:bottom w:val="nil"/>
              <w:right w:val="nil"/>
            </w:tcBorders>
            <w:shd w:val="clear" w:color="auto" w:fill="auto"/>
            <w:noWrap/>
            <w:vAlign w:val="bottom"/>
          </w:tcPr>
          <w:p w14:paraId="55CFD69E"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32746 (51.2)</w:t>
            </w:r>
          </w:p>
        </w:tc>
        <w:tc>
          <w:tcPr>
            <w:tcW w:w="611" w:type="pct"/>
            <w:tcBorders>
              <w:top w:val="nil"/>
              <w:left w:val="nil"/>
              <w:bottom w:val="nil"/>
              <w:right w:val="nil"/>
            </w:tcBorders>
            <w:shd w:val="clear" w:color="auto" w:fill="auto"/>
            <w:noWrap/>
            <w:vAlign w:val="bottom"/>
          </w:tcPr>
          <w:p w14:paraId="21695918"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34863 (54.5)</w:t>
            </w:r>
          </w:p>
        </w:tc>
      </w:tr>
      <w:tr w:rsidR="00352F86" w:rsidRPr="001F4654" w14:paraId="1A89E551" w14:textId="77777777" w:rsidTr="00352F86">
        <w:trPr>
          <w:trHeight w:val="300"/>
        </w:trPr>
        <w:tc>
          <w:tcPr>
            <w:tcW w:w="948" w:type="pct"/>
            <w:tcBorders>
              <w:top w:val="nil"/>
              <w:left w:val="nil"/>
              <w:bottom w:val="nil"/>
              <w:right w:val="nil"/>
            </w:tcBorders>
            <w:shd w:val="clear" w:color="auto" w:fill="auto"/>
            <w:noWrap/>
            <w:vAlign w:val="bottom"/>
            <w:hideMark/>
          </w:tcPr>
          <w:p w14:paraId="4A008FCB"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26-35 years old</w:t>
            </w:r>
          </w:p>
        </w:tc>
        <w:tc>
          <w:tcPr>
            <w:tcW w:w="1001" w:type="pct"/>
            <w:tcBorders>
              <w:top w:val="nil"/>
              <w:left w:val="nil"/>
              <w:bottom w:val="nil"/>
              <w:right w:val="nil"/>
            </w:tcBorders>
            <w:shd w:val="clear" w:color="auto" w:fill="auto"/>
            <w:vAlign w:val="center"/>
            <w:hideMark/>
          </w:tcPr>
          <w:p w14:paraId="12994387"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80,836</w:t>
            </w:r>
          </w:p>
        </w:tc>
        <w:tc>
          <w:tcPr>
            <w:tcW w:w="610" w:type="pct"/>
            <w:tcBorders>
              <w:top w:val="nil"/>
              <w:left w:val="nil"/>
              <w:bottom w:val="nil"/>
              <w:right w:val="nil"/>
            </w:tcBorders>
            <w:shd w:val="clear" w:color="auto" w:fill="auto"/>
            <w:noWrap/>
            <w:vAlign w:val="bottom"/>
            <w:hideMark/>
          </w:tcPr>
          <w:p w14:paraId="1CC05149"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23895 (29.6)</w:t>
            </w:r>
          </w:p>
        </w:tc>
        <w:tc>
          <w:tcPr>
            <w:tcW w:w="610" w:type="pct"/>
            <w:tcBorders>
              <w:top w:val="nil"/>
              <w:left w:val="nil"/>
              <w:bottom w:val="nil"/>
              <w:right w:val="nil"/>
            </w:tcBorders>
            <w:shd w:val="clear" w:color="auto" w:fill="auto"/>
            <w:noWrap/>
            <w:vAlign w:val="bottom"/>
          </w:tcPr>
          <w:p w14:paraId="18FB1CB0"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29346 (36.3)</w:t>
            </w:r>
          </w:p>
        </w:tc>
        <w:tc>
          <w:tcPr>
            <w:tcW w:w="610" w:type="pct"/>
            <w:tcBorders>
              <w:top w:val="nil"/>
              <w:left w:val="nil"/>
              <w:bottom w:val="nil"/>
              <w:right w:val="nil"/>
            </w:tcBorders>
            <w:shd w:val="clear" w:color="auto" w:fill="auto"/>
            <w:noWrap/>
            <w:vAlign w:val="bottom"/>
          </w:tcPr>
          <w:p w14:paraId="74884421"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39076 (48.3)</w:t>
            </w:r>
          </w:p>
        </w:tc>
        <w:tc>
          <w:tcPr>
            <w:tcW w:w="610" w:type="pct"/>
            <w:tcBorders>
              <w:top w:val="nil"/>
              <w:left w:val="nil"/>
              <w:bottom w:val="nil"/>
              <w:right w:val="nil"/>
            </w:tcBorders>
            <w:shd w:val="clear" w:color="auto" w:fill="auto"/>
            <w:noWrap/>
            <w:vAlign w:val="bottom"/>
          </w:tcPr>
          <w:p w14:paraId="2AAAAF09"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43552 (53.9)</w:t>
            </w:r>
          </w:p>
        </w:tc>
        <w:tc>
          <w:tcPr>
            <w:tcW w:w="611" w:type="pct"/>
            <w:tcBorders>
              <w:top w:val="nil"/>
              <w:left w:val="nil"/>
              <w:bottom w:val="nil"/>
              <w:right w:val="nil"/>
            </w:tcBorders>
            <w:shd w:val="clear" w:color="auto" w:fill="auto"/>
            <w:noWrap/>
            <w:vAlign w:val="bottom"/>
          </w:tcPr>
          <w:p w14:paraId="7109A849"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46058 (57.0)</w:t>
            </w:r>
          </w:p>
        </w:tc>
      </w:tr>
      <w:tr w:rsidR="00352F86" w:rsidRPr="001F4654" w14:paraId="4200CB36" w14:textId="77777777" w:rsidTr="00352F86">
        <w:trPr>
          <w:trHeight w:val="300"/>
        </w:trPr>
        <w:tc>
          <w:tcPr>
            <w:tcW w:w="948" w:type="pct"/>
            <w:tcBorders>
              <w:top w:val="nil"/>
              <w:left w:val="nil"/>
              <w:bottom w:val="nil"/>
              <w:right w:val="nil"/>
            </w:tcBorders>
            <w:shd w:val="clear" w:color="auto" w:fill="auto"/>
            <w:noWrap/>
            <w:vAlign w:val="bottom"/>
            <w:hideMark/>
          </w:tcPr>
          <w:p w14:paraId="372F2460"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36-45 years old</w:t>
            </w:r>
          </w:p>
        </w:tc>
        <w:tc>
          <w:tcPr>
            <w:tcW w:w="1001" w:type="pct"/>
            <w:tcBorders>
              <w:top w:val="nil"/>
              <w:left w:val="nil"/>
              <w:bottom w:val="nil"/>
              <w:right w:val="nil"/>
            </w:tcBorders>
            <w:shd w:val="clear" w:color="auto" w:fill="auto"/>
            <w:vAlign w:val="center"/>
            <w:hideMark/>
          </w:tcPr>
          <w:p w14:paraId="26934973"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57,688</w:t>
            </w:r>
          </w:p>
        </w:tc>
        <w:tc>
          <w:tcPr>
            <w:tcW w:w="610" w:type="pct"/>
            <w:tcBorders>
              <w:top w:val="nil"/>
              <w:left w:val="nil"/>
              <w:bottom w:val="nil"/>
              <w:right w:val="nil"/>
            </w:tcBorders>
            <w:shd w:val="clear" w:color="auto" w:fill="auto"/>
            <w:noWrap/>
            <w:vAlign w:val="bottom"/>
            <w:hideMark/>
          </w:tcPr>
          <w:p w14:paraId="7B757AB2"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18104 (31.4)</w:t>
            </w:r>
          </w:p>
        </w:tc>
        <w:tc>
          <w:tcPr>
            <w:tcW w:w="610" w:type="pct"/>
            <w:tcBorders>
              <w:top w:val="nil"/>
              <w:left w:val="nil"/>
              <w:bottom w:val="nil"/>
              <w:right w:val="nil"/>
            </w:tcBorders>
            <w:shd w:val="clear" w:color="auto" w:fill="auto"/>
            <w:noWrap/>
            <w:vAlign w:val="bottom"/>
          </w:tcPr>
          <w:p w14:paraId="64F0E829"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23148 (40.1)</w:t>
            </w:r>
          </w:p>
        </w:tc>
        <w:tc>
          <w:tcPr>
            <w:tcW w:w="610" w:type="pct"/>
            <w:tcBorders>
              <w:top w:val="nil"/>
              <w:left w:val="nil"/>
              <w:bottom w:val="nil"/>
              <w:right w:val="nil"/>
            </w:tcBorders>
            <w:shd w:val="clear" w:color="auto" w:fill="auto"/>
            <w:noWrap/>
            <w:vAlign w:val="bottom"/>
          </w:tcPr>
          <w:p w14:paraId="09076382"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29852 (51.7)</w:t>
            </w:r>
          </w:p>
        </w:tc>
        <w:tc>
          <w:tcPr>
            <w:tcW w:w="610" w:type="pct"/>
            <w:tcBorders>
              <w:top w:val="nil"/>
              <w:left w:val="nil"/>
              <w:bottom w:val="nil"/>
              <w:right w:val="nil"/>
            </w:tcBorders>
            <w:shd w:val="clear" w:color="auto" w:fill="auto"/>
            <w:noWrap/>
            <w:vAlign w:val="bottom"/>
          </w:tcPr>
          <w:p w14:paraId="7B813A4E"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33083 (57.3)</w:t>
            </w:r>
          </w:p>
        </w:tc>
        <w:tc>
          <w:tcPr>
            <w:tcW w:w="611" w:type="pct"/>
            <w:tcBorders>
              <w:top w:val="nil"/>
              <w:left w:val="nil"/>
              <w:bottom w:val="nil"/>
              <w:right w:val="nil"/>
            </w:tcBorders>
            <w:shd w:val="clear" w:color="auto" w:fill="auto"/>
            <w:noWrap/>
            <w:vAlign w:val="bottom"/>
          </w:tcPr>
          <w:p w14:paraId="27A6B880"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34830 (60.4)</w:t>
            </w:r>
          </w:p>
        </w:tc>
      </w:tr>
      <w:tr w:rsidR="00352F86" w:rsidRPr="001F4654" w14:paraId="5ECE0005" w14:textId="77777777" w:rsidTr="00352F86">
        <w:trPr>
          <w:trHeight w:val="300"/>
        </w:trPr>
        <w:tc>
          <w:tcPr>
            <w:tcW w:w="948" w:type="pct"/>
            <w:tcBorders>
              <w:top w:val="nil"/>
              <w:left w:val="nil"/>
              <w:bottom w:val="nil"/>
              <w:right w:val="nil"/>
            </w:tcBorders>
            <w:shd w:val="clear" w:color="auto" w:fill="auto"/>
            <w:noWrap/>
            <w:vAlign w:val="bottom"/>
            <w:hideMark/>
          </w:tcPr>
          <w:p w14:paraId="33809FC0"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≥46 years old</w:t>
            </w:r>
          </w:p>
        </w:tc>
        <w:tc>
          <w:tcPr>
            <w:tcW w:w="1001" w:type="pct"/>
            <w:tcBorders>
              <w:top w:val="nil"/>
              <w:left w:val="nil"/>
              <w:bottom w:val="nil"/>
              <w:right w:val="nil"/>
            </w:tcBorders>
            <w:shd w:val="clear" w:color="auto" w:fill="auto"/>
            <w:vAlign w:val="center"/>
            <w:hideMark/>
          </w:tcPr>
          <w:p w14:paraId="687D4703"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42,097</w:t>
            </w:r>
          </w:p>
        </w:tc>
        <w:tc>
          <w:tcPr>
            <w:tcW w:w="610" w:type="pct"/>
            <w:tcBorders>
              <w:top w:val="nil"/>
              <w:left w:val="nil"/>
              <w:bottom w:val="nil"/>
              <w:right w:val="nil"/>
            </w:tcBorders>
            <w:shd w:val="clear" w:color="auto" w:fill="auto"/>
            <w:noWrap/>
            <w:vAlign w:val="bottom"/>
            <w:hideMark/>
          </w:tcPr>
          <w:p w14:paraId="291A3C1F"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14334 (34</w:t>
            </w:r>
            <w:r>
              <w:rPr>
                <w:rFonts w:ascii="Calibri" w:hAnsi="Calibri"/>
                <w:color w:val="000000"/>
                <w:kern w:val="0"/>
              </w:rPr>
              <w:t>.0</w:t>
            </w:r>
            <w:r w:rsidRPr="001F4654">
              <w:rPr>
                <w:rFonts w:ascii="Calibri" w:hAnsi="Calibri"/>
                <w:color w:val="000000"/>
                <w:kern w:val="0"/>
              </w:rPr>
              <w:t>)</w:t>
            </w:r>
          </w:p>
        </w:tc>
        <w:tc>
          <w:tcPr>
            <w:tcW w:w="610" w:type="pct"/>
            <w:tcBorders>
              <w:top w:val="nil"/>
              <w:left w:val="nil"/>
              <w:bottom w:val="nil"/>
              <w:right w:val="nil"/>
            </w:tcBorders>
            <w:shd w:val="clear" w:color="auto" w:fill="auto"/>
            <w:noWrap/>
            <w:vAlign w:val="bottom"/>
          </w:tcPr>
          <w:p w14:paraId="6E8138AA"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17974 (42.7)</w:t>
            </w:r>
          </w:p>
        </w:tc>
        <w:tc>
          <w:tcPr>
            <w:tcW w:w="610" w:type="pct"/>
            <w:tcBorders>
              <w:top w:val="nil"/>
              <w:left w:val="nil"/>
              <w:bottom w:val="nil"/>
              <w:right w:val="nil"/>
            </w:tcBorders>
            <w:shd w:val="clear" w:color="auto" w:fill="auto"/>
            <w:noWrap/>
            <w:vAlign w:val="bottom"/>
          </w:tcPr>
          <w:p w14:paraId="6E67D5EE"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22549 (53.6)</w:t>
            </w:r>
          </w:p>
        </w:tc>
        <w:tc>
          <w:tcPr>
            <w:tcW w:w="610" w:type="pct"/>
            <w:tcBorders>
              <w:top w:val="nil"/>
              <w:left w:val="nil"/>
              <w:bottom w:val="nil"/>
              <w:right w:val="nil"/>
            </w:tcBorders>
            <w:shd w:val="clear" w:color="auto" w:fill="auto"/>
            <w:noWrap/>
            <w:vAlign w:val="bottom"/>
          </w:tcPr>
          <w:p w14:paraId="2086F530"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24921 (59.2)</w:t>
            </w:r>
          </w:p>
        </w:tc>
        <w:tc>
          <w:tcPr>
            <w:tcW w:w="611" w:type="pct"/>
            <w:tcBorders>
              <w:top w:val="nil"/>
              <w:left w:val="nil"/>
              <w:bottom w:val="nil"/>
              <w:right w:val="nil"/>
            </w:tcBorders>
            <w:shd w:val="clear" w:color="auto" w:fill="auto"/>
            <w:noWrap/>
            <w:vAlign w:val="bottom"/>
          </w:tcPr>
          <w:p w14:paraId="7478F14D"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26158 (62.1)</w:t>
            </w:r>
          </w:p>
        </w:tc>
      </w:tr>
      <w:tr w:rsidR="00352F86" w:rsidRPr="001F4654" w14:paraId="2779216A" w14:textId="77777777" w:rsidTr="00352F86">
        <w:trPr>
          <w:trHeight w:val="300"/>
        </w:trPr>
        <w:tc>
          <w:tcPr>
            <w:tcW w:w="948" w:type="pct"/>
            <w:tcBorders>
              <w:top w:val="nil"/>
              <w:left w:val="nil"/>
              <w:bottom w:val="nil"/>
              <w:right w:val="nil"/>
            </w:tcBorders>
            <w:shd w:val="clear" w:color="auto" w:fill="auto"/>
            <w:noWrap/>
            <w:vAlign w:val="bottom"/>
          </w:tcPr>
          <w:p w14:paraId="1FE3B322" w14:textId="77777777" w:rsidR="00352F86" w:rsidRPr="00F430C2" w:rsidRDefault="00352F86" w:rsidP="00352F86">
            <w:pPr>
              <w:widowControl/>
              <w:suppressAutoHyphens w:val="0"/>
              <w:autoSpaceDN/>
              <w:textAlignment w:val="auto"/>
              <w:rPr>
                <w:rFonts w:ascii="Calibri" w:hAnsi="Calibri"/>
                <w:i/>
                <w:color w:val="000000"/>
                <w:kern w:val="0"/>
              </w:rPr>
            </w:pPr>
            <w:r w:rsidRPr="00F430C2">
              <w:rPr>
                <w:rFonts w:ascii="Calibri" w:hAnsi="Calibri"/>
                <w:i/>
                <w:color w:val="000000"/>
                <w:kern w:val="0"/>
              </w:rPr>
              <w:t xml:space="preserve">     All ages</w:t>
            </w:r>
          </w:p>
        </w:tc>
        <w:tc>
          <w:tcPr>
            <w:tcW w:w="1001" w:type="pct"/>
            <w:tcBorders>
              <w:top w:val="nil"/>
              <w:left w:val="nil"/>
              <w:bottom w:val="nil"/>
              <w:right w:val="nil"/>
            </w:tcBorders>
            <w:shd w:val="clear" w:color="auto" w:fill="auto"/>
            <w:vAlign w:val="center"/>
          </w:tcPr>
          <w:p w14:paraId="7D5BE7BB" w14:textId="77777777" w:rsidR="00352F86" w:rsidRPr="00F430C2" w:rsidRDefault="00352F86" w:rsidP="00352F86">
            <w:pPr>
              <w:widowControl/>
              <w:suppressAutoHyphens w:val="0"/>
              <w:autoSpaceDN/>
              <w:jc w:val="center"/>
              <w:textAlignment w:val="auto"/>
              <w:rPr>
                <w:rFonts w:ascii="Calibri" w:hAnsi="Calibri"/>
                <w:i/>
                <w:color w:val="000000"/>
                <w:kern w:val="0"/>
              </w:rPr>
            </w:pPr>
            <w:r>
              <w:rPr>
                <w:rFonts w:ascii="Calibri" w:hAnsi="Calibri"/>
                <w:i/>
                <w:color w:val="000000"/>
                <w:kern w:val="0"/>
              </w:rPr>
              <w:t>244,599</w:t>
            </w:r>
          </w:p>
        </w:tc>
        <w:tc>
          <w:tcPr>
            <w:tcW w:w="610" w:type="pct"/>
            <w:tcBorders>
              <w:top w:val="nil"/>
              <w:left w:val="nil"/>
              <w:bottom w:val="nil"/>
              <w:right w:val="nil"/>
            </w:tcBorders>
            <w:shd w:val="clear" w:color="auto" w:fill="auto"/>
            <w:noWrap/>
            <w:vAlign w:val="bottom"/>
          </w:tcPr>
          <w:p w14:paraId="49D5DC9B"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60834 (24.9)</w:t>
            </w:r>
          </w:p>
        </w:tc>
        <w:tc>
          <w:tcPr>
            <w:tcW w:w="610" w:type="pct"/>
            <w:tcBorders>
              <w:top w:val="nil"/>
              <w:left w:val="nil"/>
              <w:bottom w:val="nil"/>
              <w:right w:val="nil"/>
            </w:tcBorders>
            <w:shd w:val="clear" w:color="auto" w:fill="auto"/>
            <w:noWrap/>
            <w:vAlign w:val="bottom"/>
          </w:tcPr>
          <w:p w14:paraId="2C7D00E6"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92247 (37.7)</w:t>
            </w:r>
          </w:p>
        </w:tc>
        <w:tc>
          <w:tcPr>
            <w:tcW w:w="610" w:type="pct"/>
            <w:tcBorders>
              <w:top w:val="nil"/>
              <w:left w:val="nil"/>
              <w:bottom w:val="nil"/>
              <w:right w:val="nil"/>
            </w:tcBorders>
            <w:shd w:val="clear" w:color="auto" w:fill="auto"/>
            <w:noWrap/>
            <w:vAlign w:val="bottom"/>
          </w:tcPr>
          <w:p w14:paraId="5298422F"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120450 (49.2)</w:t>
            </w:r>
          </w:p>
        </w:tc>
        <w:tc>
          <w:tcPr>
            <w:tcW w:w="610" w:type="pct"/>
            <w:tcBorders>
              <w:top w:val="nil"/>
              <w:left w:val="nil"/>
              <w:bottom w:val="nil"/>
              <w:right w:val="nil"/>
            </w:tcBorders>
            <w:shd w:val="clear" w:color="auto" w:fill="auto"/>
            <w:noWrap/>
            <w:vAlign w:val="bottom"/>
          </w:tcPr>
          <w:p w14:paraId="362FDB9E"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134302 (54.9)</w:t>
            </w:r>
          </w:p>
        </w:tc>
        <w:tc>
          <w:tcPr>
            <w:tcW w:w="611" w:type="pct"/>
            <w:tcBorders>
              <w:top w:val="nil"/>
              <w:left w:val="nil"/>
              <w:bottom w:val="nil"/>
              <w:right w:val="nil"/>
            </w:tcBorders>
            <w:shd w:val="clear" w:color="auto" w:fill="auto"/>
            <w:noWrap/>
            <w:vAlign w:val="bottom"/>
          </w:tcPr>
          <w:p w14:paraId="65090E5E"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141909 (58.0)</w:t>
            </w:r>
          </w:p>
        </w:tc>
      </w:tr>
      <w:tr w:rsidR="00352F86" w:rsidRPr="001F4654" w14:paraId="21A73758" w14:textId="77777777" w:rsidTr="00352F86">
        <w:trPr>
          <w:trHeight w:val="150"/>
        </w:trPr>
        <w:tc>
          <w:tcPr>
            <w:tcW w:w="948" w:type="pct"/>
            <w:tcBorders>
              <w:top w:val="nil"/>
              <w:left w:val="nil"/>
              <w:bottom w:val="nil"/>
              <w:right w:val="nil"/>
            </w:tcBorders>
            <w:shd w:val="clear" w:color="auto" w:fill="auto"/>
            <w:noWrap/>
            <w:vAlign w:val="bottom"/>
            <w:hideMark/>
          </w:tcPr>
          <w:p w14:paraId="6D039D3F" w14:textId="77777777" w:rsidR="00352F86" w:rsidRPr="001F4654" w:rsidRDefault="00352F86" w:rsidP="00352F86">
            <w:pPr>
              <w:widowControl/>
              <w:suppressAutoHyphens w:val="0"/>
              <w:autoSpaceDN/>
              <w:textAlignment w:val="auto"/>
              <w:rPr>
                <w:rFonts w:ascii="Calibri" w:hAnsi="Calibri"/>
                <w:color w:val="000000"/>
                <w:kern w:val="0"/>
              </w:rPr>
            </w:pPr>
          </w:p>
        </w:tc>
        <w:tc>
          <w:tcPr>
            <w:tcW w:w="1001" w:type="pct"/>
            <w:tcBorders>
              <w:top w:val="nil"/>
              <w:left w:val="nil"/>
              <w:bottom w:val="nil"/>
              <w:right w:val="nil"/>
            </w:tcBorders>
            <w:shd w:val="clear" w:color="auto" w:fill="auto"/>
            <w:vAlign w:val="center"/>
            <w:hideMark/>
          </w:tcPr>
          <w:p w14:paraId="3EB46D80" w14:textId="77777777" w:rsidR="00352F86" w:rsidRPr="001F4654" w:rsidRDefault="00352F86" w:rsidP="00352F86">
            <w:pPr>
              <w:widowControl/>
              <w:suppressAutoHyphens w:val="0"/>
              <w:autoSpaceDN/>
              <w:jc w:val="center"/>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hideMark/>
          </w:tcPr>
          <w:p w14:paraId="2AD9ABD5"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tcPr>
          <w:p w14:paraId="7BA1C62B"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tcPr>
          <w:p w14:paraId="083C5DE1"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tcPr>
          <w:p w14:paraId="0EEA36C4" w14:textId="77777777" w:rsidR="00352F86" w:rsidRPr="001F4654" w:rsidRDefault="00352F86" w:rsidP="00352F86">
            <w:pPr>
              <w:widowControl/>
              <w:suppressAutoHyphens w:val="0"/>
              <w:autoSpaceDN/>
              <w:textAlignment w:val="auto"/>
              <w:rPr>
                <w:rFonts w:ascii="Calibri" w:hAnsi="Calibri"/>
                <w:color w:val="000000"/>
                <w:kern w:val="0"/>
              </w:rPr>
            </w:pPr>
          </w:p>
        </w:tc>
        <w:tc>
          <w:tcPr>
            <w:tcW w:w="611" w:type="pct"/>
            <w:tcBorders>
              <w:top w:val="nil"/>
              <w:left w:val="nil"/>
              <w:bottom w:val="nil"/>
              <w:right w:val="nil"/>
            </w:tcBorders>
            <w:shd w:val="clear" w:color="auto" w:fill="auto"/>
            <w:noWrap/>
            <w:vAlign w:val="bottom"/>
          </w:tcPr>
          <w:p w14:paraId="4A43AF41" w14:textId="77777777" w:rsidR="00352F86" w:rsidRPr="001F4654" w:rsidRDefault="00352F86" w:rsidP="00352F86">
            <w:pPr>
              <w:widowControl/>
              <w:suppressAutoHyphens w:val="0"/>
              <w:autoSpaceDN/>
              <w:textAlignment w:val="auto"/>
              <w:rPr>
                <w:rFonts w:ascii="Calibri" w:hAnsi="Calibri"/>
                <w:color w:val="000000"/>
                <w:kern w:val="0"/>
              </w:rPr>
            </w:pPr>
          </w:p>
        </w:tc>
      </w:tr>
      <w:tr w:rsidR="00352F86" w:rsidRPr="001F4654" w14:paraId="50BCBC9A" w14:textId="77777777" w:rsidTr="00352F86">
        <w:trPr>
          <w:trHeight w:val="300"/>
        </w:trPr>
        <w:tc>
          <w:tcPr>
            <w:tcW w:w="948" w:type="pct"/>
            <w:tcBorders>
              <w:top w:val="nil"/>
              <w:left w:val="nil"/>
              <w:bottom w:val="nil"/>
              <w:right w:val="nil"/>
            </w:tcBorders>
            <w:shd w:val="clear" w:color="auto" w:fill="auto"/>
            <w:noWrap/>
            <w:vAlign w:val="bottom"/>
            <w:hideMark/>
          </w:tcPr>
          <w:p w14:paraId="2702DF92" w14:textId="77777777" w:rsidR="00352F86" w:rsidRPr="001F4654" w:rsidRDefault="00352F86" w:rsidP="00352F86">
            <w:pPr>
              <w:widowControl/>
              <w:suppressAutoHyphens w:val="0"/>
              <w:autoSpaceDN/>
              <w:textAlignment w:val="auto"/>
              <w:rPr>
                <w:rFonts w:ascii="Calibri" w:hAnsi="Calibri"/>
                <w:b/>
                <w:bCs/>
                <w:color w:val="000000"/>
                <w:kern w:val="0"/>
              </w:rPr>
            </w:pPr>
            <w:r w:rsidRPr="001F4654">
              <w:rPr>
                <w:rFonts w:ascii="Calibri" w:hAnsi="Calibri"/>
                <w:b/>
                <w:bCs/>
                <w:color w:val="000000"/>
                <w:kern w:val="0"/>
              </w:rPr>
              <w:t>London</w:t>
            </w:r>
          </w:p>
        </w:tc>
        <w:tc>
          <w:tcPr>
            <w:tcW w:w="1001" w:type="pct"/>
            <w:tcBorders>
              <w:top w:val="nil"/>
              <w:left w:val="nil"/>
              <w:bottom w:val="nil"/>
              <w:right w:val="nil"/>
            </w:tcBorders>
            <w:shd w:val="clear" w:color="auto" w:fill="auto"/>
            <w:vAlign w:val="center"/>
            <w:hideMark/>
          </w:tcPr>
          <w:p w14:paraId="3447AB26" w14:textId="77777777" w:rsidR="00352F86" w:rsidRPr="001F4654" w:rsidRDefault="00352F86" w:rsidP="00352F86">
            <w:pPr>
              <w:widowControl/>
              <w:suppressAutoHyphens w:val="0"/>
              <w:autoSpaceDN/>
              <w:jc w:val="center"/>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hideMark/>
          </w:tcPr>
          <w:p w14:paraId="3C7D92BE"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tcPr>
          <w:p w14:paraId="387356DE"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tcPr>
          <w:p w14:paraId="3BD8664E"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tcPr>
          <w:p w14:paraId="77D98823" w14:textId="77777777" w:rsidR="00352F86" w:rsidRPr="001F4654" w:rsidRDefault="00352F86" w:rsidP="00352F86">
            <w:pPr>
              <w:widowControl/>
              <w:suppressAutoHyphens w:val="0"/>
              <w:autoSpaceDN/>
              <w:textAlignment w:val="auto"/>
              <w:rPr>
                <w:rFonts w:ascii="Calibri" w:hAnsi="Calibri"/>
                <w:color w:val="000000"/>
                <w:kern w:val="0"/>
              </w:rPr>
            </w:pPr>
          </w:p>
        </w:tc>
        <w:tc>
          <w:tcPr>
            <w:tcW w:w="611" w:type="pct"/>
            <w:tcBorders>
              <w:top w:val="nil"/>
              <w:left w:val="nil"/>
              <w:bottom w:val="nil"/>
              <w:right w:val="nil"/>
            </w:tcBorders>
            <w:shd w:val="clear" w:color="auto" w:fill="auto"/>
            <w:noWrap/>
            <w:vAlign w:val="bottom"/>
          </w:tcPr>
          <w:p w14:paraId="6F48A3B1" w14:textId="77777777" w:rsidR="00352F86" w:rsidRPr="001F4654" w:rsidRDefault="00352F86" w:rsidP="00352F86">
            <w:pPr>
              <w:widowControl/>
              <w:suppressAutoHyphens w:val="0"/>
              <w:autoSpaceDN/>
              <w:textAlignment w:val="auto"/>
              <w:rPr>
                <w:rFonts w:ascii="Calibri" w:hAnsi="Calibri"/>
                <w:color w:val="000000"/>
                <w:kern w:val="0"/>
              </w:rPr>
            </w:pPr>
          </w:p>
        </w:tc>
      </w:tr>
      <w:tr w:rsidR="00352F86" w:rsidRPr="001F4654" w14:paraId="2CFD37B7" w14:textId="77777777" w:rsidTr="00352F86">
        <w:trPr>
          <w:trHeight w:val="300"/>
        </w:trPr>
        <w:tc>
          <w:tcPr>
            <w:tcW w:w="948" w:type="pct"/>
            <w:tcBorders>
              <w:top w:val="nil"/>
              <w:left w:val="nil"/>
              <w:bottom w:val="nil"/>
              <w:right w:val="nil"/>
            </w:tcBorders>
            <w:shd w:val="clear" w:color="auto" w:fill="auto"/>
            <w:noWrap/>
            <w:vAlign w:val="bottom"/>
            <w:hideMark/>
          </w:tcPr>
          <w:p w14:paraId="739C5129"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&lt;25 years old</w:t>
            </w:r>
          </w:p>
        </w:tc>
        <w:tc>
          <w:tcPr>
            <w:tcW w:w="1001" w:type="pct"/>
            <w:tcBorders>
              <w:top w:val="nil"/>
              <w:left w:val="nil"/>
              <w:bottom w:val="nil"/>
              <w:right w:val="nil"/>
            </w:tcBorders>
            <w:shd w:val="clear" w:color="auto" w:fill="auto"/>
            <w:vAlign w:val="center"/>
            <w:hideMark/>
          </w:tcPr>
          <w:p w14:paraId="4EE27D57"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25,185</w:t>
            </w:r>
          </w:p>
        </w:tc>
        <w:tc>
          <w:tcPr>
            <w:tcW w:w="610" w:type="pct"/>
            <w:tcBorders>
              <w:top w:val="nil"/>
              <w:left w:val="nil"/>
              <w:bottom w:val="nil"/>
              <w:right w:val="nil"/>
            </w:tcBorders>
            <w:shd w:val="clear" w:color="auto" w:fill="auto"/>
            <w:noWrap/>
            <w:vAlign w:val="bottom"/>
            <w:hideMark/>
          </w:tcPr>
          <w:p w14:paraId="61EF5EBA"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5114 (20.3)</w:t>
            </w:r>
          </w:p>
        </w:tc>
        <w:tc>
          <w:tcPr>
            <w:tcW w:w="610" w:type="pct"/>
            <w:tcBorders>
              <w:top w:val="nil"/>
              <w:left w:val="nil"/>
              <w:bottom w:val="nil"/>
              <w:right w:val="nil"/>
            </w:tcBorders>
            <w:shd w:val="clear" w:color="auto" w:fill="auto"/>
            <w:noWrap/>
            <w:vAlign w:val="bottom"/>
          </w:tcPr>
          <w:p w14:paraId="3711E388"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8135 (32.3)</w:t>
            </w:r>
          </w:p>
        </w:tc>
        <w:tc>
          <w:tcPr>
            <w:tcW w:w="610" w:type="pct"/>
            <w:tcBorders>
              <w:top w:val="nil"/>
              <w:left w:val="nil"/>
              <w:bottom w:val="nil"/>
              <w:right w:val="nil"/>
            </w:tcBorders>
            <w:shd w:val="clear" w:color="auto" w:fill="auto"/>
            <w:noWrap/>
            <w:vAlign w:val="bottom"/>
          </w:tcPr>
          <w:p w14:paraId="4452A9B4"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11074 (44.0)</w:t>
            </w:r>
          </w:p>
        </w:tc>
        <w:tc>
          <w:tcPr>
            <w:tcW w:w="610" w:type="pct"/>
            <w:tcBorders>
              <w:top w:val="nil"/>
              <w:left w:val="nil"/>
              <w:bottom w:val="nil"/>
              <w:right w:val="nil"/>
            </w:tcBorders>
            <w:shd w:val="clear" w:color="auto" w:fill="auto"/>
            <w:noWrap/>
            <w:vAlign w:val="bottom"/>
          </w:tcPr>
          <w:p w14:paraId="32453B4E"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12427 (49.3)</w:t>
            </w:r>
          </w:p>
        </w:tc>
        <w:tc>
          <w:tcPr>
            <w:tcW w:w="611" w:type="pct"/>
            <w:tcBorders>
              <w:top w:val="nil"/>
              <w:left w:val="nil"/>
              <w:bottom w:val="nil"/>
              <w:right w:val="nil"/>
            </w:tcBorders>
            <w:shd w:val="clear" w:color="auto" w:fill="auto"/>
            <w:noWrap/>
            <w:vAlign w:val="bottom"/>
          </w:tcPr>
          <w:p w14:paraId="2500DBCE"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13148 (52.2)</w:t>
            </w:r>
          </w:p>
        </w:tc>
      </w:tr>
      <w:tr w:rsidR="00352F86" w:rsidRPr="001F4654" w14:paraId="06A89D4B" w14:textId="77777777" w:rsidTr="00352F86">
        <w:trPr>
          <w:trHeight w:val="300"/>
        </w:trPr>
        <w:tc>
          <w:tcPr>
            <w:tcW w:w="948" w:type="pct"/>
            <w:tcBorders>
              <w:top w:val="nil"/>
              <w:left w:val="nil"/>
              <w:bottom w:val="nil"/>
              <w:right w:val="nil"/>
            </w:tcBorders>
            <w:shd w:val="clear" w:color="auto" w:fill="auto"/>
            <w:noWrap/>
            <w:vAlign w:val="bottom"/>
            <w:hideMark/>
          </w:tcPr>
          <w:p w14:paraId="094F4512"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26-35 years old</w:t>
            </w:r>
          </w:p>
        </w:tc>
        <w:tc>
          <w:tcPr>
            <w:tcW w:w="1001" w:type="pct"/>
            <w:tcBorders>
              <w:top w:val="nil"/>
              <w:left w:val="nil"/>
              <w:bottom w:val="nil"/>
              <w:right w:val="nil"/>
            </w:tcBorders>
            <w:shd w:val="clear" w:color="auto" w:fill="auto"/>
            <w:vAlign w:val="center"/>
            <w:hideMark/>
          </w:tcPr>
          <w:p w14:paraId="411971FF"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49,697</w:t>
            </w:r>
          </w:p>
        </w:tc>
        <w:tc>
          <w:tcPr>
            <w:tcW w:w="610" w:type="pct"/>
            <w:tcBorders>
              <w:top w:val="nil"/>
              <w:left w:val="nil"/>
              <w:bottom w:val="nil"/>
              <w:right w:val="nil"/>
            </w:tcBorders>
            <w:shd w:val="clear" w:color="auto" w:fill="auto"/>
            <w:noWrap/>
            <w:vAlign w:val="bottom"/>
            <w:hideMark/>
          </w:tcPr>
          <w:p w14:paraId="08370ECB"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10511 (21.2)</w:t>
            </w:r>
          </w:p>
        </w:tc>
        <w:tc>
          <w:tcPr>
            <w:tcW w:w="610" w:type="pct"/>
            <w:tcBorders>
              <w:top w:val="nil"/>
              <w:left w:val="nil"/>
              <w:bottom w:val="nil"/>
              <w:right w:val="nil"/>
            </w:tcBorders>
            <w:shd w:val="clear" w:color="auto" w:fill="auto"/>
            <w:noWrap/>
            <w:vAlign w:val="bottom"/>
          </w:tcPr>
          <w:p w14:paraId="433F3C57"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16982 (24.2)</w:t>
            </w:r>
          </w:p>
        </w:tc>
        <w:tc>
          <w:tcPr>
            <w:tcW w:w="610" w:type="pct"/>
            <w:tcBorders>
              <w:top w:val="nil"/>
              <w:left w:val="nil"/>
              <w:bottom w:val="nil"/>
              <w:right w:val="nil"/>
            </w:tcBorders>
            <w:shd w:val="clear" w:color="auto" w:fill="auto"/>
            <w:noWrap/>
            <w:vAlign w:val="bottom"/>
          </w:tcPr>
          <w:p w14:paraId="6BFAB117"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23289 (46.9)</w:t>
            </w:r>
          </w:p>
        </w:tc>
        <w:tc>
          <w:tcPr>
            <w:tcW w:w="610" w:type="pct"/>
            <w:tcBorders>
              <w:top w:val="nil"/>
              <w:left w:val="nil"/>
              <w:bottom w:val="nil"/>
              <w:right w:val="nil"/>
            </w:tcBorders>
            <w:shd w:val="clear" w:color="auto" w:fill="auto"/>
            <w:noWrap/>
            <w:vAlign w:val="bottom"/>
          </w:tcPr>
          <w:p w14:paraId="0B68B73F"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26031 (52.4)</w:t>
            </w:r>
          </w:p>
        </w:tc>
        <w:tc>
          <w:tcPr>
            <w:tcW w:w="611" w:type="pct"/>
            <w:tcBorders>
              <w:top w:val="nil"/>
              <w:left w:val="nil"/>
              <w:bottom w:val="nil"/>
              <w:right w:val="nil"/>
            </w:tcBorders>
            <w:shd w:val="clear" w:color="auto" w:fill="auto"/>
            <w:noWrap/>
            <w:vAlign w:val="bottom"/>
          </w:tcPr>
          <w:p w14:paraId="4B4A90FA"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27500 (55.3)</w:t>
            </w:r>
          </w:p>
        </w:tc>
      </w:tr>
      <w:tr w:rsidR="00352F86" w:rsidRPr="001F4654" w14:paraId="63F20C1A" w14:textId="77777777" w:rsidTr="00352F86">
        <w:trPr>
          <w:trHeight w:val="300"/>
        </w:trPr>
        <w:tc>
          <w:tcPr>
            <w:tcW w:w="948" w:type="pct"/>
            <w:tcBorders>
              <w:top w:val="nil"/>
              <w:left w:val="nil"/>
              <w:bottom w:val="nil"/>
              <w:right w:val="nil"/>
            </w:tcBorders>
            <w:shd w:val="clear" w:color="auto" w:fill="auto"/>
            <w:noWrap/>
            <w:vAlign w:val="bottom"/>
            <w:hideMark/>
          </w:tcPr>
          <w:p w14:paraId="0DA6EAE4"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36-45 years old</w:t>
            </w:r>
          </w:p>
        </w:tc>
        <w:tc>
          <w:tcPr>
            <w:tcW w:w="1001" w:type="pct"/>
            <w:tcBorders>
              <w:top w:val="nil"/>
              <w:left w:val="nil"/>
              <w:bottom w:val="nil"/>
              <w:right w:val="nil"/>
            </w:tcBorders>
            <w:shd w:val="clear" w:color="auto" w:fill="auto"/>
            <w:vAlign w:val="center"/>
            <w:hideMark/>
          </w:tcPr>
          <w:p w14:paraId="578DD97C"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34,044</w:t>
            </w:r>
          </w:p>
        </w:tc>
        <w:tc>
          <w:tcPr>
            <w:tcW w:w="610" w:type="pct"/>
            <w:tcBorders>
              <w:top w:val="nil"/>
              <w:left w:val="nil"/>
              <w:bottom w:val="nil"/>
              <w:right w:val="nil"/>
            </w:tcBorders>
            <w:shd w:val="clear" w:color="auto" w:fill="auto"/>
            <w:noWrap/>
            <w:vAlign w:val="bottom"/>
            <w:hideMark/>
          </w:tcPr>
          <w:p w14:paraId="77DD4DC6"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7674 (22.5)</w:t>
            </w:r>
          </w:p>
        </w:tc>
        <w:tc>
          <w:tcPr>
            <w:tcW w:w="610" w:type="pct"/>
            <w:tcBorders>
              <w:top w:val="nil"/>
              <w:left w:val="nil"/>
              <w:bottom w:val="nil"/>
              <w:right w:val="nil"/>
            </w:tcBorders>
            <w:shd w:val="clear" w:color="auto" w:fill="auto"/>
            <w:noWrap/>
            <w:vAlign w:val="bottom"/>
          </w:tcPr>
          <w:p w14:paraId="7FFD9C10"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12444 (36.6)</w:t>
            </w:r>
          </w:p>
        </w:tc>
        <w:tc>
          <w:tcPr>
            <w:tcW w:w="610" w:type="pct"/>
            <w:tcBorders>
              <w:top w:val="nil"/>
              <w:left w:val="nil"/>
              <w:bottom w:val="nil"/>
              <w:right w:val="nil"/>
            </w:tcBorders>
            <w:shd w:val="clear" w:color="auto" w:fill="auto"/>
            <w:noWrap/>
            <w:vAlign w:val="bottom"/>
          </w:tcPr>
          <w:p w14:paraId="3F590AD2"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16797 (49.3)</w:t>
            </w:r>
          </w:p>
        </w:tc>
        <w:tc>
          <w:tcPr>
            <w:tcW w:w="610" w:type="pct"/>
            <w:tcBorders>
              <w:top w:val="nil"/>
              <w:left w:val="nil"/>
              <w:bottom w:val="nil"/>
              <w:right w:val="nil"/>
            </w:tcBorders>
            <w:shd w:val="clear" w:color="auto" w:fill="auto"/>
            <w:noWrap/>
            <w:vAlign w:val="bottom"/>
          </w:tcPr>
          <w:p w14:paraId="5601019D"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18762 (55.1)</w:t>
            </w:r>
          </w:p>
        </w:tc>
        <w:tc>
          <w:tcPr>
            <w:tcW w:w="611" w:type="pct"/>
            <w:tcBorders>
              <w:top w:val="nil"/>
              <w:left w:val="nil"/>
              <w:bottom w:val="nil"/>
              <w:right w:val="nil"/>
            </w:tcBorders>
            <w:shd w:val="clear" w:color="auto" w:fill="auto"/>
            <w:noWrap/>
            <w:vAlign w:val="bottom"/>
          </w:tcPr>
          <w:p w14:paraId="7FA7D061"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19805 (58.2)</w:t>
            </w:r>
          </w:p>
        </w:tc>
      </w:tr>
      <w:tr w:rsidR="00352F86" w:rsidRPr="001F4654" w14:paraId="70850166" w14:textId="77777777" w:rsidTr="00352F86">
        <w:trPr>
          <w:trHeight w:val="300"/>
        </w:trPr>
        <w:tc>
          <w:tcPr>
            <w:tcW w:w="948" w:type="pct"/>
            <w:tcBorders>
              <w:top w:val="nil"/>
              <w:left w:val="nil"/>
              <w:bottom w:val="nil"/>
              <w:right w:val="nil"/>
            </w:tcBorders>
            <w:shd w:val="clear" w:color="auto" w:fill="auto"/>
            <w:noWrap/>
            <w:vAlign w:val="bottom"/>
            <w:hideMark/>
          </w:tcPr>
          <w:p w14:paraId="57C72CD1"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≥46 years old</w:t>
            </w:r>
          </w:p>
        </w:tc>
        <w:tc>
          <w:tcPr>
            <w:tcW w:w="1001" w:type="pct"/>
            <w:tcBorders>
              <w:top w:val="nil"/>
              <w:left w:val="nil"/>
              <w:bottom w:val="nil"/>
              <w:right w:val="nil"/>
            </w:tcBorders>
            <w:shd w:val="clear" w:color="auto" w:fill="auto"/>
            <w:vAlign w:val="center"/>
            <w:hideMark/>
          </w:tcPr>
          <w:p w14:paraId="0F0F32EF"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20,681</w:t>
            </w:r>
          </w:p>
        </w:tc>
        <w:tc>
          <w:tcPr>
            <w:tcW w:w="610" w:type="pct"/>
            <w:tcBorders>
              <w:top w:val="nil"/>
              <w:left w:val="nil"/>
              <w:bottom w:val="nil"/>
              <w:right w:val="nil"/>
            </w:tcBorders>
            <w:shd w:val="clear" w:color="auto" w:fill="auto"/>
            <w:noWrap/>
            <w:vAlign w:val="bottom"/>
            <w:hideMark/>
          </w:tcPr>
          <w:p w14:paraId="5521A89B"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4796 (23.2)</w:t>
            </w:r>
          </w:p>
        </w:tc>
        <w:tc>
          <w:tcPr>
            <w:tcW w:w="610" w:type="pct"/>
            <w:tcBorders>
              <w:top w:val="nil"/>
              <w:left w:val="nil"/>
              <w:bottom w:val="nil"/>
              <w:right w:val="nil"/>
            </w:tcBorders>
            <w:shd w:val="clear" w:color="auto" w:fill="auto"/>
            <w:noWrap/>
            <w:vAlign w:val="bottom"/>
          </w:tcPr>
          <w:p w14:paraId="074E1B7A"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7911 (38.3)</w:t>
            </w:r>
          </w:p>
        </w:tc>
        <w:tc>
          <w:tcPr>
            <w:tcW w:w="610" w:type="pct"/>
            <w:tcBorders>
              <w:top w:val="nil"/>
              <w:left w:val="nil"/>
              <w:bottom w:val="nil"/>
              <w:right w:val="nil"/>
            </w:tcBorders>
            <w:shd w:val="clear" w:color="auto" w:fill="auto"/>
            <w:noWrap/>
            <w:vAlign w:val="bottom"/>
          </w:tcPr>
          <w:p w14:paraId="5A80D0A4"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10479 (50.7)</w:t>
            </w:r>
          </w:p>
        </w:tc>
        <w:tc>
          <w:tcPr>
            <w:tcW w:w="610" w:type="pct"/>
            <w:tcBorders>
              <w:top w:val="nil"/>
              <w:left w:val="nil"/>
              <w:bottom w:val="nil"/>
              <w:right w:val="nil"/>
            </w:tcBorders>
            <w:shd w:val="clear" w:color="auto" w:fill="auto"/>
            <w:noWrap/>
            <w:vAlign w:val="bottom"/>
          </w:tcPr>
          <w:p w14:paraId="1AD0FBB2"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11695 (56.5)</w:t>
            </w:r>
          </w:p>
        </w:tc>
        <w:tc>
          <w:tcPr>
            <w:tcW w:w="611" w:type="pct"/>
            <w:tcBorders>
              <w:top w:val="nil"/>
              <w:left w:val="nil"/>
              <w:bottom w:val="nil"/>
              <w:right w:val="nil"/>
            </w:tcBorders>
            <w:shd w:val="clear" w:color="auto" w:fill="auto"/>
            <w:noWrap/>
            <w:vAlign w:val="bottom"/>
          </w:tcPr>
          <w:p w14:paraId="5E54A684"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12325 (59.6)</w:t>
            </w:r>
          </w:p>
        </w:tc>
      </w:tr>
      <w:tr w:rsidR="00352F86" w:rsidRPr="001F4654" w14:paraId="26E78DBD" w14:textId="77777777" w:rsidTr="00352F86">
        <w:trPr>
          <w:trHeight w:val="300"/>
        </w:trPr>
        <w:tc>
          <w:tcPr>
            <w:tcW w:w="948" w:type="pct"/>
            <w:tcBorders>
              <w:top w:val="nil"/>
              <w:left w:val="nil"/>
              <w:bottom w:val="nil"/>
              <w:right w:val="nil"/>
            </w:tcBorders>
            <w:shd w:val="clear" w:color="auto" w:fill="auto"/>
            <w:noWrap/>
            <w:vAlign w:val="bottom"/>
          </w:tcPr>
          <w:p w14:paraId="39939207" w14:textId="77777777" w:rsidR="00352F86" w:rsidRPr="001F4654" w:rsidRDefault="00352F86" w:rsidP="00352F86">
            <w:pPr>
              <w:widowControl/>
              <w:suppressAutoHyphens w:val="0"/>
              <w:autoSpaceDN/>
              <w:textAlignment w:val="auto"/>
              <w:rPr>
                <w:rFonts w:ascii="Calibri" w:hAnsi="Calibri"/>
                <w:color w:val="000000"/>
                <w:kern w:val="0"/>
              </w:rPr>
            </w:pPr>
            <w:r w:rsidRPr="00F430C2">
              <w:rPr>
                <w:rFonts w:ascii="Calibri" w:hAnsi="Calibri"/>
                <w:i/>
                <w:color w:val="000000"/>
                <w:kern w:val="0"/>
              </w:rPr>
              <w:t xml:space="preserve">     All ages</w:t>
            </w:r>
          </w:p>
        </w:tc>
        <w:tc>
          <w:tcPr>
            <w:tcW w:w="1001" w:type="pct"/>
            <w:tcBorders>
              <w:top w:val="nil"/>
              <w:left w:val="nil"/>
              <w:bottom w:val="nil"/>
              <w:right w:val="nil"/>
            </w:tcBorders>
            <w:shd w:val="clear" w:color="auto" w:fill="auto"/>
            <w:vAlign w:val="center"/>
          </w:tcPr>
          <w:p w14:paraId="6D55E6A4" w14:textId="77777777" w:rsidR="00352F86" w:rsidRPr="00F430C2" w:rsidRDefault="00352F86" w:rsidP="00352F86">
            <w:pPr>
              <w:widowControl/>
              <w:suppressAutoHyphens w:val="0"/>
              <w:autoSpaceDN/>
              <w:jc w:val="center"/>
              <w:textAlignment w:val="auto"/>
              <w:rPr>
                <w:rFonts w:ascii="Calibri" w:hAnsi="Calibri"/>
                <w:i/>
                <w:color w:val="000000"/>
                <w:kern w:val="0"/>
              </w:rPr>
            </w:pPr>
            <w:r>
              <w:rPr>
                <w:rFonts w:ascii="Calibri" w:hAnsi="Calibri"/>
                <w:i/>
                <w:color w:val="000000"/>
                <w:kern w:val="0"/>
              </w:rPr>
              <w:t>129,607</w:t>
            </w:r>
          </w:p>
        </w:tc>
        <w:tc>
          <w:tcPr>
            <w:tcW w:w="610" w:type="pct"/>
            <w:tcBorders>
              <w:top w:val="nil"/>
              <w:left w:val="nil"/>
              <w:bottom w:val="nil"/>
              <w:right w:val="nil"/>
            </w:tcBorders>
            <w:shd w:val="clear" w:color="auto" w:fill="auto"/>
            <w:noWrap/>
            <w:vAlign w:val="bottom"/>
          </w:tcPr>
          <w:p w14:paraId="137E0217"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28095 (21.7)</w:t>
            </w:r>
          </w:p>
        </w:tc>
        <w:tc>
          <w:tcPr>
            <w:tcW w:w="610" w:type="pct"/>
            <w:tcBorders>
              <w:top w:val="nil"/>
              <w:left w:val="nil"/>
              <w:bottom w:val="nil"/>
              <w:right w:val="nil"/>
            </w:tcBorders>
            <w:shd w:val="clear" w:color="auto" w:fill="auto"/>
            <w:noWrap/>
            <w:vAlign w:val="bottom"/>
          </w:tcPr>
          <w:p w14:paraId="6422DE08"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45472 (35.1)</w:t>
            </w:r>
          </w:p>
        </w:tc>
        <w:tc>
          <w:tcPr>
            <w:tcW w:w="610" w:type="pct"/>
            <w:tcBorders>
              <w:top w:val="nil"/>
              <w:left w:val="nil"/>
              <w:bottom w:val="nil"/>
              <w:right w:val="nil"/>
            </w:tcBorders>
            <w:shd w:val="clear" w:color="auto" w:fill="auto"/>
            <w:noWrap/>
            <w:vAlign w:val="bottom"/>
          </w:tcPr>
          <w:p w14:paraId="28ACC328"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61639 (47.6)</w:t>
            </w:r>
          </w:p>
        </w:tc>
        <w:tc>
          <w:tcPr>
            <w:tcW w:w="610" w:type="pct"/>
            <w:tcBorders>
              <w:top w:val="nil"/>
              <w:left w:val="nil"/>
              <w:bottom w:val="nil"/>
              <w:right w:val="nil"/>
            </w:tcBorders>
            <w:shd w:val="clear" w:color="auto" w:fill="auto"/>
            <w:noWrap/>
            <w:vAlign w:val="bottom"/>
          </w:tcPr>
          <w:p w14:paraId="06C79EBD"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68915 (53.2)</w:t>
            </w:r>
          </w:p>
        </w:tc>
        <w:tc>
          <w:tcPr>
            <w:tcW w:w="611" w:type="pct"/>
            <w:tcBorders>
              <w:top w:val="nil"/>
              <w:left w:val="nil"/>
              <w:bottom w:val="nil"/>
              <w:right w:val="nil"/>
            </w:tcBorders>
            <w:shd w:val="clear" w:color="auto" w:fill="auto"/>
            <w:noWrap/>
            <w:vAlign w:val="bottom"/>
          </w:tcPr>
          <w:p w14:paraId="33217DE5"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72778 (56.2)</w:t>
            </w:r>
          </w:p>
        </w:tc>
      </w:tr>
      <w:tr w:rsidR="00352F86" w:rsidRPr="001F4654" w14:paraId="3AE23670" w14:textId="77777777" w:rsidTr="00352F86">
        <w:trPr>
          <w:trHeight w:val="300"/>
        </w:trPr>
        <w:tc>
          <w:tcPr>
            <w:tcW w:w="948" w:type="pct"/>
            <w:tcBorders>
              <w:top w:val="nil"/>
              <w:left w:val="nil"/>
              <w:bottom w:val="nil"/>
              <w:right w:val="nil"/>
            </w:tcBorders>
            <w:shd w:val="clear" w:color="auto" w:fill="auto"/>
            <w:noWrap/>
            <w:vAlign w:val="bottom"/>
            <w:hideMark/>
          </w:tcPr>
          <w:p w14:paraId="1C355372" w14:textId="77777777" w:rsidR="00352F86" w:rsidRPr="001F4654" w:rsidRDefault="00352F86" w:rsidP="00352F86">
            <w:pPr>
              <w:widowControl/>
              <w:suppressAutoHyphens w:val="0"/>
              <w:autoSpaceDN/>
              <w:textAlignment w:val="auto"/>
              <w:rPr>
                <w:rFonts w:ascii="Calibri" w:hAnsi="Calibri"/>
                <w:b/>
                <w:bCs/>
                <w:color w:val="000000"/>
                <w:kern w:val="0"/>
              </w:rPr>
            </w:pPr>
            <w:r w:rsidRPr="001F4654">
              <w:rPr>
                <w:rFonts w:ascii="Calibri" w:hAnsi="Calibri"/>
                <w:b/>
                <w:bCs/>
                <w:color w:val="000000"/>
                <w:kern w:val="0"/>
              </w:rPr>
              <w:t>Outside of London</w:t>
            </w:r>
          </w:p>
        </w:tc>
        <w:tc>
          <w:tcPr>
            <w:tcW w:w="1001" w:type="pct"/>
            <w:tcBorders>
              <w:top w:val="nil"/>
              <w:left w:val="nil"/>
              <w:bottom w:val="nil"/>
              <w:right w:val="nil"/>
            </w:tcBorders>
            <w:shd w:val="clear" w:color="auto" w:fill="auto"/>
            <w:vAlign w:val="center"/>
            <w:hideMark/>
          </w:tcPr>
          <w:p w14:paraId="44CEF057" w14:textId="77777777" w:rsidR="00352F86" w:rsidRPr="001F4654" w:rsidRDefault="00352F86" w:rsidP="00352F86">
            <w:pPr>
              <w:widowControl/>
              <w:suppressAutoHyphens w:val="0"/>
              <w:autoSpaceDN/>
              <w:jc w:val="center"/>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hideMark/>
          </w:tcPr>
          <w:p w14:paraId="51E70EB9"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tcPr>
          <w:p w14:paraId="282CB63C"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tcPr>
          <w:p w14:paraId="5657EC45" w14:textId="77777777" w:rsidR="00352F86" w:rsidRPr="001F4654" w:rsidRDefault="00352F86" w:rsidP="00352F86">
            <w:pPr>
              <w:widowControl/>
              <w:suppressAutoHyphens w:val="0"/>
              <w:autoSpaceDN/>
              <w:textAlignment w:val="auto"/>
              <w:rPr>
                <w:rFonts w:ascii="Calibri" w:hAnsi="Calibri"/>
                <w:color w:val="000000"/>
                <w:kern w:val="0"/>
              </w:rPr>
            </w:pPr>
          </w:p>
        </w:tc>
        <w:tc>
          <w:tcPr>
            <w:tcW w:w="610" w:type="pct"/>
            <w:tcBorders>
              <w:top w:val="nil"/>
              <w:left w:val="nil"/>
              <w:bottom w:val="nil"/>
              <w:right w:val="nil"/>
            </w:tcBorders>
            <w:shd w:val="clear" w:color="auto" w:fill="auto"/>
            <w:noWrap/>
            <w:vAlign w:val="bottom"/>
          </w:tcPr>
          <w:p w14:paraId="060FF00E" w14:textId="77777777" w:rsidR="00352F86" w:rsidRPr="001F4654" w:rsidRDefault="00352F86" w:rsidP="00352F86">
            <w:pPr>
              <w:widowControl/>
              <w:suppressAutoHyphens w:val="0"/>
              <w:autoSpaceDN/>
              <w:textAlignment w:val="auto"/>
              <w:rPr>
                <w:rFonts w:ascii="Calibri" w:hAnsi="Calibri"/>
                <w:color w:val="000000"/>
                <w:kern w:val="0"/>
              </w:rPr>
            </w:pPr>
          </w:p>
        </w:tc>
        <w:tc>
          <w:tcPr>
            <w:tcW w:w="611" w:type="pct"/>
            <w:tcBorders>
              <w:top w:val="nil"/>
              <w:left w:val="nil"/>
              <w:bottom w:val="nil"/>
              <w:right w:val="nil"/>
            </w:tcBorders>
            <w:shd w:val="clear" w:color="auto" w:fill="auto"/>
            <w:noWrap/>
            <w:vAlign w:val="bottom"/>
          </w:tcPr>
          <w:p w14:paraId="2C790C86" w14:textId="77777777" w:rsidR="00352F86" w:rsidRPr="001F4654" w:rsidRDefault="00352F86" w:rsidP="00352F86">
            <w:pPr>
              <w:widowControl/>
              <w:suppressAutoHyphens w:val="0"/>
              <w:autoSpaceDN/>
              <w:textAlignment w:val="auto"/>
              <w:rPr>
                <w:rFonts w:ascii="Calibri" w:hAnsi="Calibri"/>
                <w:color w:val="000000"/>
                <w:kern w:val="0"/>
              </w:rPr>
            </w:pPr>
          </w:p>
        </w:tc>
      </w:tr>
      <w:tr w:rsidR="00352F86" w:rsidRPr="001F4654" w14:paraId="6A849874" w14:textId="77777777" w:rsidTr="00352F86">
        <w:trPr>
          <w:trHeight w:val="300"/>
        </w:trPr>
        <w:tc>
          <w:tcPr>
            <w:tcW w:w="948" w:type="pct"/>
            <w:tcBorders>
              <w:top w:val="nil"/>
              <w:left w:val="nil"/>
              <w:bottom w:val="nil"/>
              <w:right w:val="nil"/>
            </w:tcBorders>
            <w:shd w:val="clear" w:color="auto" w:fill="auto"/>
            <w:noWrap/>
            <w:vAlign w:val="bottom"/>
            <w:hideMark/>
          </w:tcPr>
          <w:p w14:paraId="134F44A7"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&lt;25 years old</w:t>
            </w:r>
          </w:p>
        </w:tc>
        <w:tc>
          <w:tcPr>
            <w:tcW w:w="1001" w:type="pct"/>
            <w:tcBorders>
              <w:top w:val="nil"/>
              <w:left w:val="nil"/>
              <w:bottom w:val="nil"/>
              <w:right w:val="nil"/>
            </w:tcBorders>
            <w:shd w:val="clear" w:color="auto" w:fill="auto"/>
            <w:vAlign w:val="center"/>
            <w:hideMark/>
          </w:tcPr>
          <w:p w14:paraId="6309659A"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38,793</w:t>
            </w:r>
          </w:p>
        </w:tc>
        <w:tc>
          <w:tcPr>
            <w:tcW w:w="610" w:type="pct"/>
            <w:tcBorders>
              <w:top w:val="nil"/>
              <w:left w:val="nil"/>
              <w:bottom w:val="nil"/>
              <w:right w:val="nil"/>
            </w:tcBorders>
            <w:shd w:val="clear" w:color="auto" w:fill="auto"/>
            <w:noWrap/>
            <w:vAlign w:val="bottom"/>
            <w:hideMark/>
          </w:tcPr>
          <w:p w14:paraId="7A8BA1DA"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9532 (24.6)</w:t>
            </w:r>
          </w:p>
        </w:tc>
        <w:tc>
          <w:tcPr>
            <w:tcW w:w="610" w:type="pct"/>
            <w:tcBorders>
              <w:top w:val="nil"/>
              <w:left w:val="nil"/>
              <w:bottom w:val="nil"/>
              <w:right w:val="nil"/>
            </w:tcBorders>
            <w:shd w:val="clear" w:color="auto" w:fill="auto"/>
            <w:noWrap/>
            <w:vAlign w:val="bottom"/>
          </w:tcPr>
          <w:p w14:paraId="59CD3163"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13644 (35.2)</w:t>
            </w:r>
          </w:p>
        </w:tc>
        <w:tc>
          <w:tcPr>
            <w:tcW w:w="610" w:type="pct"/>
            <w:tcBorders>
              <w:top w:val="nil"/>
              <w:left w:val="nil"/>
              <w:bottom w:val="nil"/>
              <w:right w:val="nil"/>
            </w:tcBorders>
            <w:shd w:val="clear" w:color="auto" w:fill="auto"/>
            <w:noWrap/>
            <w:vAlign w:val="bottom"/>
          </w:tcPr>
          <w:p w14:paraId="2FEC9349"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17899 (46.1)</w:t>
            </w:r>
          </w:p>
        </w:tc>
        <w:tc>
          <w:tcPr>
            <w:tcW w:w="610" w:type="pct"/>
            <w:tcBorders>
              <w:top w:val="nil"/>
              <w:left w:val="nil"/>
              <w:bottom w:val="nil"/>
              <w:right w:val="nil"/>
            </w:tcBorders>
            <w:shd w:val="clear" w:color="auto" w:fill="auto"/>
            <w:noWrap/>
            <w:vAlign w:val="bottom"/>
          </w:tcPr>
          <w:p w14:paraId="21DB15B6"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20319 (52.4)</w:t>
            </w:r>
          </w:p>
        </w:tc>
        <w:tc>
          <w:tcPr>
            <w:tcW w:w="611" w:type="pct"/>
            <w:tcBorders>
              <w:top w:val="nil"/>
              <w:left w:val="nil"/>
              <w:bottom w:val="nil"/>
              <w:right w:val="nil"/>
            </w:tcBorders>
            <w:shd w:val="clear" w:color="auto" w:fill="auto"/>
            <w:noWrap/>
            <w:vAlign w:val="bottom"/>
          </w:tcPr>
          <w:p w14:paraId="6CDCB7D0"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21715 (56.0)</w:t>
            </w:r>
          </w:p>
        </w:tc>
      </w:tr>
      <w:tr w:rsidR="00352F86" w:rsidRPr="001F4654" w14:paraId="71CE181D" w14:textId="77777777" w:rsidTr="00352F86">
        <w:trPr>
          <w:trHeight w:val="300"/>
        </w:trPr>
        <w:tc>
          <w:tcPr>
            <w:tcW w:w="948" w:type="pct"/>
            <w:tcBorders>
              <w:top w:val="nil"/>
              <w:left w:val="nil"/>
              <w:bottom w:val="nil"/>
              <w:right w:val="nil"/>
            </w:tcBorders>
            <w:shd w:val="clear" w:color="auto" w:fill="auto"/>
            <w:noWrap/>
            <w:vAlign w:val="bottom"/>
            <w:hideMark/>
          </w:tcPr>
          <w:p w14:paraId="7BD97793"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26-35 years old</w:t>
            </w:r>
          </w:p>
        </w:tc>
        <w:tc>
          <w:tcPr>
            <w:tcW w:w="1001" w:type="pct"/>
            <w:tcBorders>
              <w:top w:val="nil"/>
              <w:left w:val="nil"/>
              <w:bottom w:val="nil"/>
              <w:right w:val="nil"/>
            </w:tcBorders>
            <w:shd w:val="clear" w:color="auto" w:fill="auto"/>
            <w:vAlign w:val="center"/>
            <w:hideMark/>
          </w:tcPr>
          <w:p w14:paraId="60CD2FA5"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31,139</w:t>
            </w:r>
          </w:p>
        </w:tc>
        <w:tc>
          <w:tcPr>
            <w:tcW w:w="610" w:type="pct"/>
            <w:tcBorders>
              <w:top w:val="nil"/>
              <w:left w:val="nil"/>
              <w:bottom w:val="nil"/>
              <w:right w:val="nil"/>
            </w:tcBorders>
            <w:shd w:val="clear" w:color="auto" w:fill="auto"/>
            <w:noWrap/>
            <w:vAlign w:val="bottom"/>
            <w:hideMark/>
          </w:tcPr>
          <w:p w14:paraId="3AA9C6DA"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13384 (43</w:t>
            </w:r>
            <w:r>
              <w:rPr>
                <w:rFonts w:ascii="Calibri" w:hAnsi="Calibri"/>
                <w:color w:val="000000"/>
                <w:kern w:val="0"/>
              </w:rPr>
              <w:t>.0</w:t>
            </w:r>
            <w:r w:rsidRPr="001F4654">
              <w:rPr>
                <w:rFonts w:ascii="Calibri" w:hAnsi="Calibri"/>
                <w:color w:val="000000"/>
                <w:kern w:val="0"/>
              </w:rPr>
              <w:t>)</w:t>
            </w:r>
          </w:p>
        </w:tc>
        <w:tc>
          <w:tcPr>
            <w:tcW w:w="610" w:type="pct"/>
            <w:tcBorders>
              <w:top w:val="nil"/>
              <w:left w:val="nil"/>
              <w:bottom w:val="nil"/>
              <w:right w:val="nil"/>
            </w:tcBorders>
            <w:shd w:val="clear" w:color="auto" w:fill="auto"/>
            <w:noWrap/>
            <w:vAlign w:val="bottom"/>
          </w:tcPr>
          <w:p w14:paraId="1E3E60FB"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12364 (39.7)</w:t>
            </w:r>
          </w:p>
        </w:tc>
        <w:tc>
          <w:tcPr>
            <w:tcW w:w="610" w:type="pct"/>
            <w:tcBorders>
              <w:top w:val="nil"/>
              <w:left w:val="nil"/>
              <w:bottom w:val="nil"/>
              <w:right w:val="nil"/>
            </w:tcBorders>
            <w:shd w:val="clear" w:color="auto" w:fill="auto"/>
            <w:noWrap/>
            <w:vAlign w:val="bottom"/>
          </w:tcPr>
          <w:p w14:paraId="5A1B311C"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15787 (50.7)</w:t>
            </w:r>
          </w:p>
        </w:tc>
        <w:tc>
          <w:tcPr>
            <w:tcW w:w="610" w:type="pct"/>
            <w:tcBorders>
              <w:top w:val="nil"/>
              <w:left w:val="nil"/>
              <w:bottom w:val="nil"/>
              <w:right w:val="nil"/>
            </w:tcBorders>
            <w:shd w:val="clear" w:color="auto" w:fill="auto"/>
            <w:noWrap/>
            <w:vAlign w:val="bottom"/>
          </w:tcPr>
          <w:p w14:paraId="6037D44A"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17521 (56.3)</w:t>
            </w:r>
          </w:p>
        </w:tc>
        <w:tc>
          <w:tcPr>
            <w:tcW w:w="611" w:type="pct"/>
            <w:tcBorders>
              <w:top w:val="nil"/>
              <w:left w:val="nil"/>
              <w:bottom w:val="nil"/>
              <w:right w:val="nil"/>
            </w:tcBorders>
            <w:shd w:val="clear" w:color="auto" w:fill="auto"/>
            <w:noWrap/>
            <w:vAlign w:val="bottom"/>
          </w:tcPr>
          <w:p w14:paraId="58D801E8"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18558 (59.6)</w:t>
            </w:r>
          </w:p>
        </w:tc>
      </w:tr>
      <w:tr w:rsidR="00352F86" w:rsidRPr="001F4654" w14:paraId="2AC30A4D" w14:textId="77777777" w:rsidTr="00352F86">
        <w:trPr>
          <w:trHeight w:val="300"/>
        </w:trPr>
        <w:tc>
          <w:tcPr>
            <w:tcW w:w="948" w:type="pct"/>
            <w:tcBorders>
              <w:top w:val="nil"/>
              <w:left w:val="nil"/>
              <w:bottom w:val="nil"/>
              <w:right w:val="nil"/>
            </w:tcBorders>
            <w:shd w:val="clear" w:color="auto" w:fill="auto"/>
            <w:noWrap/>
            <w:vAlign w:val="bottom"/>
            <w:hideMark/>
          </w:tcPr>
          <w:p w14:paraId="0A8013E3"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36-45 years old</w:t>
            </w:r>
          </w:p>
        </w:tc>
        <w:tc>
          <w:tcPr>
            <w:tcW w:w="1001" w:type="pct"/>
            <w:tcBorders>
              <w:top w:val="nil"/>
              <w:left w:val="nil"/>
              <w:bottom w:val="nil"/>
              <w:right w:val="nil"/>
            </w:tcBorders>
            <w:shd w:val="clear" w:color="auto" w:fill="auto"/>
            <w:vAlign w:val="center"/>
            <w:hideMark/>
          </w:tcPr>
          <w:p w14:paraId="6E87AEF9"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23,644</w:t>
            </w:r>
          </w:p>
        </w:tc>
        <w:tc>
          <w:tcPr>
            <w:tcW w:w="610" w:type="pct"/>
            <w:tcBorders>
              <w:top w:val="nil"/>
              <w:left w:val="nil"/>
              <w:bottom w:val="nil"/>
              <w:right w:val="nil"/>
            </w:tcBorders>
            <w:shd w:val="clear" w:color="auto" w:fill="auto"/>
            <w:noWrap/>
            <w:vAlign w:val="bottom"/>
            <w:hideMark/>
          </w:tcPr>
          <w:p w14:paraId="6650798B"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10430 (44.1)</w:t>
            </w:r>
          </w:p>
        </w:tc>
        <w:tc>
          <w:tcPr>
            <w:tcW w:w="610" w:type="pct"/>
            <w:tcBorders>
              <w:top w:val="nil"/>
              <w:left w:val="nil"/>
              <w:bottom w:val="nil"/>
              <w:right w:val="nil"/>
            </w:tcBorders>
            <w:shd w:val="clear" w:color="auto" w:fill="auto"/>
            <w:noWrap/>
            <w:vAlign w:val="bottom"/>
          </w:tcPr>
          <w:p w14:paraId="3853C9B3"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10704 (45.3)</w:t>
            </w:r>
          </w:p>
        </w:tc>
        <w:tc>
          <w:tcPr>
            <w:tcW w:w="610" w:type="pct"/>
            <w:tcBorders>
              <w:top w:val="nil"/>
              <w:left w:val="nil"/>
              <w:bottom w:val="nil"/>
              <w:right w:val="nil"/>
            </w:tcBorders>
            <w:shd w:val="clear" w:color="auto" w:fill="auto"/>
            <w:noWrap/>
            <w:vAlign w:val="bottom"/>
          </w:tcPr>
          <w:p w14:paraId="016DA9B4"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13055 (55.2)</w:t>
            </w:r>
          </w:p>
        </w:tc>
        <w:tc>
          <w:tcPr>
            <w:tcW w:w="610" w:type="pct"/>
            <w:tcBorders>
              <w:top w:val="nil"/>
              <w:left w:val="nil"/>
              <w:bottom w:val="nil"/>
              <w:right w:val="nil"/>
            </w:tcBorders>
            <w:shd w:val="clear" w:color="auto" w:fill="auto"/>
            <w:noWrap/>
            <w:vAlign w:val="bottom"/>
          </w:tcPr>
          <w:p w14:paraId="6714116A"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14321 (60.6)</w:t>
            </w:r>
          </w:p>
        </w:tc>
        <w:tc>
          <w:tcPr>
            <w:tcW w:w="611" w:type="pct"/>
            <w:tcBorders>
              <w:top w:val="nil"/>
              <w:left w:val="nil"/>
              <w:bottom w:val="nil"/>
              <w:right w:val="nil"/>
            </w:tcBorders>
            <w:shd w:val="clear" w:color="auto" w:fill="auto"/>
            <w:noWrap/>
            <w:vAlign w:val="bottom"/>
          </w:tcPr>
          <w:p w14:paraId="07ED041A"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15025 (63.5)</w:t>
            </w:r>
          </w:p>
        </w:tc>
      </w:tr>
      <w:tr w:rsidR="00352F86" w:rsidRPr="001F4654" w14:paraId="22FB59AA" w14:textId="77777777" w:rsidTr="00352F86">
        <w:trPr>
          <w:trHeight w:val="300"/>
        </w:trPr>
        <w:tc>
          <w:tcPr>
            <w:tcW w:w="948" w:type="pct"/>
            <w:tcBorders>
              <w:top w:val="nil"/>
              <w:left w:val="nil"/>
              <w:bottom w:val="nil"/>
              <w:right w:val="nil"/>
            </w:tcBorders>
            <w:shd w:val="clear" w:color="auto" w:fill="auto"/>
            <w:noWrap/>
            <w:vAlign w:val="bottom"/>
            <w:hideMark/>
          </w:tcPr>
          <w:p w14:paraId="176EEFEF"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 xml:space="preserve">     ≥46 years old</w:t>
            </w:r>
          </w:p>
        </w:tc>
        <w:tc>
          <w:tcPr>
            <w:tcW w:w="1001" w:type="pct"/>
            <w:tcBorders>
              <w:top w:val="nil"/>
              <w:left w:val="nil"/>
              <w:bottom w:val="nil"/>
              <w:right w:val="nil"/>
            </w:tcBorders>
            <w:shd w:val="clear" w:color="auto" w:fill="auto"/>
            <w:vAlign w:val="center"/>
            <w:hideMark/>
          </w:tcPr>
          <w:p w14:paraId="15F77400" w14:textId="77777777" w:rsidR="00352F86" w:rsidRPr="001F4654" w:rsidRDefault="00352F86" w:rsidP="00352F86">
            <w:pPr>
              <w:widowControl/>
              <w:suppressAutoHyphens w:val="0"/>
              <w:autoSpaceDN/>
              <w:jc w:val="center"/>
              <w:textAlignment w:val="auto"/>
              <w:rPr>
                <w:rFonts w:ascii="Calibri" w:hAnsi="Calibri"/>
                <w:color w:val="000000"/>
                <w:kern w:val="0"/>
              </w:rPr>
            </w:pPr>
            <w:r w:rsidRPr="001F4654">
              <w:rPr>
                <w:rFonts w:ascii="Calibri" w:hAnsi="Calibri"/>
                <w:color w:val="000000"/>
                <w:kern w:val="0"/>
              </w:rPr>
              <w:t>21,416</w:t>
            </w:r>
          </w:p>
        </w:tc>
        <w:tc>
          <w:tcPr>
            <w:tcW w:w="610" w:type="pct"/>
            <w:tcBorders>
              <w:top w:val="nil"/>
              <w:left w:val="nil"/>
              <w:bottom w:val="nil"/>
              <w:right w:val="nil"/>
            </w:tcBorders>
            <w:shd w:val="clear" w:color="auto" w:fill="auto"/>
            <w:noWrap/>
            <w:vAlign w:val="bottom"/>
            <w:hideMark/>
          </w:tcPr>
          <w:p w14:paraId="5129E51D" w14:textId="77777777" w:rsidR="00352F86" w:rsidRPr="001F4654" w:rsidRDefault="00352F86" w:rsidP="00352F86">
            <w:pPr>
              <w:widowControl/>
              <w:suppressAutoHyphens w:val="0"/>
              <w:autoSpaceDN/>
              <w:textAlignment w:val="auto"/>
              <w:rPr>
                <w:rFonts w:ascii="Calibri" w:hAnsi="Calibri"/>
                <w:color w:val="000000"/>
                <w:kern w:val="0"/>
              </w:rPr>
            </w:pPr>
            <w:r w:rsidRPr="001F4654">
              <w:rPr>
                <w:rFonts w:ascii="Calibri" w:hAnsi="Calibri"/>
                <w:color w:val="000000"/>
                <w:kern w:val="0"/>
              </w:rPr>
              <w:t>9538 (44.5)</w:t>
            </w:r>
          </w:p>
        </w:tc>
        <w:tc>
          <w:tcPr>
            <w:tcW w:w="610" w:type="pct"/>
            <w:tcBorders>
              <w:top w:val="nil"/>
              <w:left w:val="nil"/>
              <w:bottom w:val="nil"/>
              <w:right w:val="nil"/>
            </w:tcBorders>
            <w:shd w:val="clear" w:color="auto" w:fill="auto"/>
            <w:noWrap/>
            <w:vAlign w:val="bottom"/>
          </w:tcPr>
          <w:p w14:paraId="4F475D74"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10063 (47.0)</w:t>
            </w:r>
          </w:p>
        </w:tc>
        <w:tc>
          <w:tcPr>
            <w:tcW w:w="610" w:type="pct"/>
            <w:tcBorders>
              <w:top w:val="nil"/>
              <w:left w:val="nil"/>
              <w:bottom w:val="nil"/>
              <w:right w:val="nil"/>
            </w:tcBorders>
            <w:shd w:val="clear" w:color="auto" w:fill="auto"/>
            <w:noWrap/>
            <w:vAlign w:val="bottom"/>
          </w:tcPr>
          <w:p w14:paraId="7FD915C3"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12070 (56.4)</w:t>
            </w:r>
          </w:p>
        </w:tc>
        <w:tc>
          <w:tcPr>
            <w:tcW w:w="610" w:type="pct"/>
            <w:tcBorders>
              <w:top w:val="nil"/>
              <w:left w:val="nil"/>
              <w:bottom w:val="nil"/>
              <w:right w:val="nil"/>
            </w:tcBorders>
            <w:shd w:val="clear" w:color="auto" w:fill="auto"/>
            <w:noWrap/>
            <w:vAlign w:val="bottom"/>
          </w:tcPr>
          <w:p w14:paraId="4624C5E3"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13226 (61.8)</w:t>
            </w:r>
          </w:p>
        </w:tc>
        <w:tc>
          <w:tcPr>
            <w:tcW w:w="611" w:type="pct"/>
            <w:tcBorders>
              <w:top w:val="nil"/>
              <w:left w:val="nil"/>
              <w:bottom w:val="nil"/>
              <w:right w:val="nil"/>
            </w:tcBorders>
            <w:shd w:val="clear" w:color="auto" w:fill="auto"/>
            <w:noWrap/>
            <w:vAlign w:val="bottom"/>
          </w:tcPr>
          <w:p w14:paraId="0BC86C9C" w14:textId="77777777" w:rsidR="00352F86" w:rsidRPr="001F4654" w:rsidRDefault="00352F86" w:rsidP="00352F86">
            <w:pPr>
              <w:widowControl/>
              <w:suppressAutoHyphens w:val="0"/>
              <w:autoSpaceDN/>
              <w:textAlignment w:val="auto"/>
              <w:rPr>
                <w:rFonts w:ascii="Calibri" w:hAnsi="Calibri"/>
                <w:color w:val="000000"/>
                <w:kern w:val="0"/>
              </w:rPr>
            </w:pPr>
            <w:r>
              <w:rPr>
                <w:rFonts w:ascii="Calibri" w:hAnsi="Calibri"/>
                <w:color w:val="000000"/>
                <w:kern w:val="0"/>
              </w:rPr>
              <w:t>13833 (64.6)</w:t>
            </w:r>
          </w:p>
        </w:tc>
      </w:tr>
      <w:tr w:rsidR="00352F86" w:rsidRPr="001F4654" w14:paraId="07043CA7" w14:textId="77777777" w:rsidTr="00352F86">
        <w:trPr>
          <w:trHeight w:val="300"/>
        </w:trPr>
        <w:tc>
          <w:tcPr>
            <w:tcW w:w="948" w:type="pct"/>
            <w:tcBorders>
              <w:top w:val="nil"/>
              <w:left w:val="nil"/>
              <w:bottom w:val="single" w:sz="4" w:space="0" w:color="auto"/>
              <w:right w:val="nil"/>
            </w:tcBorders>
            <w:shd w:val="clear" w:color="auto" w:fill="auto"/>
            <w:noWrap/>
            <w:vAlign w:val="bottom"/>
          </w:tcPr>
          <w:p w14:paraId="1FABA30E" w14:textId="77777777" w:rsidR="00352F86" w:rsidRPr="001F4654" w:rsidRDefault="00352F86" w:rsidP="00352F86">
            <w:pPr>
              <w:widowControl/>
              <w:suppressAutoHyphens w:val="0"/>
              <w:autoSpaceDN/>
              <w:textAlignment w:val="auto"/>
              <w:rPr>
                <w:rFonts w:ascii="Calibri" w:hAnsi="Calibri"/>
                <w:color w:val="000000"/>
                <w:kern w:val="0"/>
              </w:rPr>
            </w:pPr>
            <w:r w:rsidRPr="00F430C2">
              <w:rPr>
                <w:rFonts w:ascii="Calibri" w:hAnsi="Calibri"/>
                <w:i/>
                <w:color w:val="000000"/>
                <w:kern w:val="0"/>
              </w:rPr>
              <w:t xml:space="preserve">     All ages</w:t>
            </w:r>
          </w:p>
        </w:tc>
        <w:tc>
          <w:tcPr>
            <w:tcW w:w="1001" w:type="pct"/>
            <w:tcBorders>
              <w:top w:val="nil"/>
              <w:left w:val="nil"/>
              <w:bottom w:val="single" w:sz="4" w:space="0" w:color="auto"/>
              <w:right w:val="nil"/>
            </w:tcBorders>
            <w:shd w:val="clear" w:color="auto" w:fill="auto"/>
            <w:vAlign w:val="center"/>
          </w:tcPr>
          <w:p w14:paraId="169B10D4" w14:textId="77777777" w:rsidR="00352F86" w:rsidRPr="00F430C2" w:rsidRDefault="00352F86" w:rsidP="00352F86">
            <w:pPr>
              <w:widowControl/>
              <w:suppressAutoHyphens w:val="0"/>
              <w:autoSpaceDN/>
              <w:jc w:val="center"/>
              <w:textAlignment w:val="auto"/>
              <w:rPr>
                <w:rFonts w:ascii="Calibri" w:hAnsi="Calibri"/>
                <w:i/>
                <w:color w:val="000000"/>
                <w:kern w:val="0"/>
              </w:rPr>
            </w:pPr>
            <w:r w:rsidRPr="00F430C2">
              <w:rPr>
                <w:rFonts w:ascii="Calibri" w:hAnsi="Calibri"/>
                <w:i/>
                <w:color w:val="000000"/>
                <w:kern w:val="0"/>
              </w:rPr>
              <w:t>114,992</w:t>
            </w:r>
          </w:p>
        </w:tc>
        <w:tc>
          <w:tcPr>
            <w:tcW w:w="610" w:type="pct"/>
            <w:tcBorders>
              <w:top w:val="nil"/>
              <w:left w:val="nil"/>
              <w:bottom w:val="single" w:sz="4" w:space="0" w:color="auto"/>
              <w:right w:val="nil"/>
            </w:tcBorders>
            <w:shd w:val="clear" w:color="auto" w:fill="auto"/>
            <w:noWrap/>
            <w:vAlign w:val="bottom"/>
          </w:tcPr>
          <w:p w14:paraId="55E14618"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32739 (28.5)</w:t>
            </w:r>
          </w:p>
        </w:tc>
        <w:tc>
          <w:tcPr>
            <w:tcW w:w="610" w:type="pct"/>
            <w:tcBorders>
              <w:top w:val="nil"/>
              <w:left w:val="nil"/>
              <w:bottom w:val="single" w:sz="4" w:space="0" w:color="auto"/>
              <w:right w:val="nil"/>
            </w:tcBorders>
            <w:shd w:val="clear" w:color="auto" w:fill="auto"/>
            <w:noWrap/>
            <w:vAlign w:val="bottom"/>
          </w:tcPr>
          <w:p w14:paraId="3E4ADF96"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46775 (40.7)</w:t>
            </w:r>
          </w:p>
        </w:tc>
        <w:tc>
          <w:tcPr>
            <w:tcW w:w="610" w:type="pct"/>
            <w:tcBorders>
              <w:top w:val="nil"/>
              <w:left w:val="nil"/>
              <w:bottom w:val="single" w:sz="4" w:space="0" w:color="auto"/>
              <w:right w:val="nil"/>
            </w:tcBorders>
            <w:shd w:val="clear" w:color="auto" w:fill="auto"/>
            <w:noWrap/>
            <w:vAlign w:val="bottom"/>
          </w:tcPr>
          <w:p w14:paraId="5970414D"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58811 (51.1)</w:t>
            </w:r>
          </w:p>
        </w:tc>
        <w:tc>
          <w:tcPr>
            <w:tcW w:w="610" w:type="pct"/>
            <w:tcBorders>
              <w:top w:val="nil"/>
              <w:left w:val="nil"/>
              <w:bottom w:val="single" w:sz="4" w:space="0" w:color="auto"/>
              <w:right w:val="nil"/>
            </w:tcBorders>
            <w:shd w:val="clear" w:color="auto" w:fill="auto"/>
            <w:noWrap/>
            <w:vAlign w:val="bottom"/>
          </w:tcPr>
          <w:p w14:paraId="42860F93"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65387 (61.8)</w:t>
            </w:r>
          </w:p>
        </w:tc>
        <w:tc>
          <w:tcPr>
            <w:tcW w:w="611" w:type="pct"/>
            <w:tcBorders>
              <w:top w:val="nil"/>
              <w:left w:val="nil"/>
              <w:bottom w:val="single" w:sz="4" w:space="0" w:color="auto"/>
              <w:right w:val="nil"/>
            </w:tcBorders>
            <w:shd w:val="clear" w:color="auto" w:fill="auto"/>
            <w:noWrap/>
            <w:vAlign w:val="bottom"/>
          </w:tcPr>
          <w:p w14:paraId="2C1043C2" w14:textId="77777777" w:rsidR="00352F86" w:rsidRPr="00F430C2" w:rsidRDefault="00352F86" w:rsidP="00352F86">
            <w:pPr>
              <w:widowControl/>
              <w:suppressAutoHyphens w:val="0"/>
              <w:autoSpaceDN/>
              <w:textAlignment w:val="auto"/>
              <w:rPr>
                <w:rFonts w:ascii="Calibri" w:hAnsi="Calibri"/>
                <w:i/>
                <w:color w:val="000000"/>
                <w:kern w:val="0"/>
              </w:rPr>
            </w:pPr>
            <w:r>
              <w:rPr>
                <w:rFonts w:ascii="Calibri" w:hAnsi="Calibri"/>
                <w:i/>
                <w:color w:val="000000"/>
                <w:kern w:val="0"/>
              </w:rPr>
              <w:t>69131 (60.1)</w:t>
            </w:r>
          </w:p>
        </w:tc>
      </w:tr>
    </w:tbl>
    <w:p w14:paraId="4897779C" w14:textId="77777777" w:rsidR="004A68B7" w:rsidRDefault="004A68B7" w:rsidP="009C48D3">
      <w:pPr>
        <w:pStyle w:val="Standard"/>
        <w:spacing w:line="480" w:lineRule="auto"/>
        <w:rPr>
          <w:sz w:val="20"/>
          <w:szCs w:val="20"/>
          <w:lang w:eastAsia="en-GB"/>
        </w:rPr>
        <w:sectPr w:rsidR="004A68B7" w:rsidSect="001F4654">
          <w:pgSz w:w="16838" w:h="11906" w:orient="landscape"/>
          <w:pgMar w:top="1259" w:right="1077" w:bottom="1077" w:left="1077" w:header="720" w:footer="720" w:gutter="0"/>
          <w:cols w:space="720"/>
          <w:docGrid w:linePitch="299"/>
        </w:sectPr>
      </w:pPr>
    </w:p>
    <w:p w14:paraId="75D46433" w14:textId="77777777" w:rsidR="00DC6E50" w:rsidRDefault="00DC6E50" w:rsidP="009C48D3">
      <w:pPr>
        <w:pStyle w:val="Standard"/>
        <w:spacing w:line="480" w:lineRule="auto"/>
        <w:rPr>
          <w:sz w:val="20"/>
          <w:szCs w:val="20"/>
          <w:lang w:eastAsia="en-GB"/>
        </w:rPr>
      </w:pPr>
    </w:p>
    <w:p w14:paraId="7014F222" w14:textId="77777777" w:rsidR="00DC6E50" w:rsidRPr="00125024" w:rsidRDefault="00DC6E50" w:rsidP="00DC6E50">
      <w:pPr>
        <w:spacing w:line="480" w:lineRule="auto"/>
        <w:jc w:val="both"/>
        <w:rPr>
          <w:rFonts w:ascii="Arial" w:hAnsi="Arial" w:cs="Arial"/>
          <w:b/>
          <w:bCs/>
          <w:sz w:val="20"/>
          <w:szCs w:val="20"/>
        </w:rPr>
      </w:pPr>
      <w:r w:rsidRPr="00125024">
        <w:rPr>
          <w:rFonts w:ascii="Arial" w:hAnsi="Arial" w:cs="Arial"/>
          <w:b/>
          <w:bCs/>
          <w:sz w:val="20"/>
          <w:szCs w:val="20"/>
        </w:rPr>
        <w:t>The corresponding author has the right to grant on behalf of all authors and does grant on behalf of all authors, an exclusive licence (or non-exclusive for government employees) on a worldwide basis to the BMJ Group and co-owners or contracting owning societies (where published by the BMJ Group on their behalf), and its Licensees to permit this article (if accepted) to be published in Sexually Transmitted Infections and any other BMJ Group products and to exploit all subsidiary rights, as set out in our licence.</w:t>
      </w:r>
    </w:p>
    <w:p w14:paraId="6E99FB0F" w14:textId="77777777" w:rsidR="00DC6E50" w:rsidRPr="00125024" w:rsidRDefault="00DC6E50" w:rsidP="00DC6E50">
      <w:pPr>
        <w:spacing w:line="480" w:lineRule="auto"/>
        <w:jc w:val="both"/>
        <w:rPr>
          <w:rFonts w:ascii="Arial" w:hAnsi="Arial" w:cs="Arial"/>
          <w:b/>
          <w:bCs/>
          <w:sz w:val="20"/>
          <w:szCs w:val="20"/>
          <w:highlight w:val="yellow"/>
        </w:rPr>
      </w:pPr>
    </w:p>
    <w:p w14:paraId="24416044" w14:textId="77777777" w:rsidR="00DC6E50" w:rsidRPr="00125024" w:rsidRDefault="00DC6E50" w:rsidP="00DC6E50">
      <w:pPr>
        <w:spacing w:line="480" w:lineRule="auto"/>
        <w:jc w:val="both"/>
        <w:rPr>
          <w:rFonts w:ascii="Arial" w:hAnsi="Arial" w:cs="Arial"/>
          <w:bCs/>
          <w:sz w:val="20"/>
          <w:szCs w:val="20"/>
        </w:rPr>
      </w:pPr>
      <w:r w:rsidRPr="00125024">
        <w:rPr>
          <w:rFonts w:ascii="Arial" w:hAnsi="Arial" w:cs="Arial"/>
          <w:b/>
          <w:bCs/>
          <w:sz w:val="20"/>
          <w:szCs w:val="20"/>
        </w:rPr>
        <w:t>Acknowledgments:</w:t>
      </w:r>
      <w:r w:rsidRPr="00125024">
        <w:rPr>
          <w:rFonts w:ascii="Arial" w:hAnsi="Arial" w:cs="Arial"/>
          <w:bCs/>
          <w:sz w:val="20"/>
          <w:szCs w:val="20"/>
        </w:rPr>
        <w:t xml:space="preserve"> GUMCAD team at Public Health England</w:t>
      </w:r>
    </w:p>
    <w:p w14:paraId="7B16E73E" w14:textId="77777777" w:rsidR="00DC6E50" w:rsidRPr="00125024" w:rsidRDefault="00DC6E50" w:rsidP="00DC6E50">
      <w:pPr>
        <w:spacing w:line="480" w:lineRule="auto"/>
        <w:jc w:val="both"/>
        <w:rPr>
          <w:rFonts w:ascii="Arial" w:hAnsi="Arial" w:cs="Arial"/>
          <w:b/>
          <w:bCs/>
          <w:sz w:val="20"/>
          <w:szCs w:val="20"/>
          <w:highlight w:val="yellow"/>
        </w:rPr>
      </w:pPr>
    </w:p>
    <w:p w14:paraId="38B22DDC" w14:textId="77777777" w:rsidR="00DC6E50" w:rsidRPr="00125024" w:rsidRDefault="00DC6E50" w:rsidP="00DC6E50">
      <w:pPr>
        <w:spacing w:line="480" w:lineRule="auto"/>
        <w:jc w:val="both"/>
        <w:rPr>
          <w:rFonts w:ascii="Arial" w:hAnsi="Arial" w:cs="Arial"/>
          <w:sz w:val="20"/>
          <w:szCs w:val="20"/>
        </w:rPr>
      </w:pPr>
      <w:r w:rsidRPr="00125024">
        <w:rPr>
          <w:rFonts w:ascii="Arial" w:hAnsi="Arial" w:cs="Arial"/>
          <w:b/>
          <w:bCs/>
          <w:sz w:val="20"/>
          <w:szCs w:val="20"/>
        </w:rPr>
        <w:t xml:space="preserve">Competing Interest: </w:t>
      </w:r>
      <w:r>
        <w:rPr>
          <w:rFonts w:ascii="Arial" w:hAnsi="Arial" w:cs="Arial"/>
          <w:bCs/>
          <w:sz w:val="20"/>
          <w:szCs w:val="20"/>
        </w:rPr>
        <w:t xml:space="preserve">No conflict of interest declared. </w:t>
      </w:r>
    </w:p>
    <w:p w14:paraId="26961FF9" w14:textId="77777777" w:rsidR="00DC6E50" w:rsidRPr="00125024" w:rsidRDefault="00DC6E50" w:rsidP="00DC6E50">
      <w:pPr>
        <w:spacing w:line="480" w:lineRule="auto"/>
        <w:jc w:val="both"/>
        <w:rPr>
          <w:rFonts w:ascii="Arial" w:hAnsi="Arial" w:cs="Arial"/>
          <w:b/>
          <w:bCs/>
          <w:sz w:val="20"/>
          <w:szCs w:val="20"/>
        </w:rPr>
      </w:pPr>
      <w:bookmarkStart w:id="1" w:name="ANCHOR_CUSTOM_FIELD282554"/>
    </w:p>
    <w:p w14:paraId="68555F22" w14:textId="77777777" w:rsidR="00DC6E50" w:rsidRPr="00125024" w:rsidRDefault="00DC6E50" w:rsidP="00DC6E50">
      <w:pPr>
        <w:spacing w:line="480" w:lineRule="auto"/>
        <w:jc w:val="both"/>
        <w:rPr>
          <w:rFonts w:ascii="Arial" w:hAnsi="Arial" w:cs="Arial"/>
          <w:sz w:val="20"/>
          <w:szCs w:val="20"/>
        </w:rPr>
      </w:pPr>
      <w:r w:rsidRPr="00125024">
        <w:rPr>
          <w:rFonts w:ascii="Arial" w:hAnsi="Arial" w:cs="Arial"/>
          <w:b/>
          <w:bCs/>
          <w:sz w:val="20"/>
          <w:szCs w:val="20"/>
        </w:rPr>
        <w:t xml:space="preserve">Contributors: </w:t>
      </w:r>
      <w:bookmarkEnd w:id="1"/>
      <w:r w:rsidRPr="00125024">
        <w:rPr>
          <w:rFonts w:ascii="Arial" w:hAnsi="Arial" w:cs="Arial"/>
          <w:bCs/>
          <w:sz w:val="20"/>
          <w:szCs w:val="20"/>
        </w:rPr>
        <w:t xml:space="preserve">Jake Bayley </w:t>
      </w:r>
      <w:r>
        <w:rPr>
          <w:rFonts w:ascii="Arial" w:hAnsi="Arial" w:cs="Arial"/>
          <w:bCs/>
          <w:sz w:val="20"/>
          <w:szCs w:val="20"/>
        </w:rPr>
        <w:t>and David Mesher performed the analyses</w:t>
      </w:r>
      <w:r w:rsidRPr="00125024">
        <w:rPr>
          <w:rFonts w:ascii="Arial" w:hAnsi="Arial" w:cs="Arial"/>
          <w:bCs/>
          <w:sz w:val="20"/>
          <w:szCs w:val="20"/>
        </w:rPr>
        <w:t xml:space="preserve"> of the data</w:t>
      </w:r>
      <w:r>
        <w:rPr>
          <w:rFonts w:ascii="Arial" w:hAnsi="Arial" w:cs="Arial"/>
          <w:bCs/>
          <w:sz w:val="20"/>
          <w:szCs w:val="20"/>
        </w:rPr>
        <w:t>. Jake Bayley, David Mesher and Tom Nadarzynski</w:t>
      </w:r>
      <w:r w:rsidRPr="00125024">
        <w:rPr>
          <w:rFonts w:ascii="Arial" w:hAnsi="Arial" w:cs="Arial"/>
          <w:bCs/>
          <w:sz w:val="20"/>
          <w:szCs w:val="20"/>
        </w:rPr>
        <w:t xml:space="preserve"> wrote the manuscript</w:t>
      </w:r>
      <w:r>
        <w:rPr>
          <w:rFonts w:ascii="Arial" w:hAnsi="Arial" w:cs="Arial"/>
          <w:bCs/>
          <w:sz w:val="20"/>
          <w:szCs w:val="20"/>
        </w:rPr>
        <w:t>.</w:t>
      </w:r>
      <w:r w:rsidRPr="00125024">
        <w:rPr>
          <w:rFonts w:ascii="Arial" w:hAnsi="Arial" w:cs="Arial"/>
          <w:bCs/>
          <w:sz w:val="20"/>
          <w:szCs w:val="20"/>
        </w:rPr>
        <w:t xml:space="preserve"> Kate Soldan and Gwenda Hughes provided expert opinion and editing suggestions.</w:t>
      </w:r>
    </w:p>
    <w:p w14:paraId="2E2F86BA" w14:textId="77777777" w:rsidR="00DC6E50" w:rsidRPr="00125024" w:rsidRDefault="00DC6E50" w:rsidP="00DC6E50">
      <w:pPr>
        <w:pStyle w:val="Standard"/>
        <w:spacing w:line="480" w:lineRule="auto"/>
        <w:jc w:val="both"/>
        <w:rPr>
          <w:rFonts w:ascii="Arial" w:hAnsi="Arial" w:cs="Arial"/>
          <w:b/>
          <w:bCs/>
          <w:sz w:val="20"/>
          <w:szCs w:val="20"/>
          <w:lang w:eastAsia="en-GB"/>
        </w:rPr>
      </w:pPr>
    </w:p>
    <w:p w14:paraId="70504C35" w14:textId="5E101293" w:rsidR="00DC6E50" w:rsidRPr="00125024" w:rsidRDefault="00DC6E50" w:rsidP="00DC6E50">
      <w:pPr>
        <w:pStyle w:val="Standard"/>
        <w:spacing w:line="480" w:lineRule="auto"/>
        <w:jc w:val="both"/>
        <w:rPr>
          <w:rFonts w:ascii="Arial" w:hAnsi="Arial" w:cs="Arial"/>
          <w:sz w:val="20"/>
          <w:szCs w:val="20"/>
          <w:lang w:eastAsia="en-GB"/>
        </w:rPr>
      </w:pPr>
      <w:r w:rsidRPr="00125024">
        <w:rPr>
          <w:rFonts w:ascii="Arial" w:hAnsi="Arial" w:cs="Arial"/>
          <w:b/>
          <w:bCs/>
          <w:sz w:val="20"/>
          <w:szCs w:val="20"/>
          <w:lang w:eastAsia="en-GB"/>
        </w:rPr>
        <w:t xml:space="preserve">Funding: </w:t>
      </w:r>
      <w:r>
        <w:rPr>
          <w:rFonts w:ascii="Arial" w:hAnsi="Arial" w:cs="Arial"/>
          <w:sz w:val="20"/>
          <w:szCs w:val="20"/>
          <w:lang w:eastAsia="en-GB"/>
        </w:rPr>
        <w:t xml:space="preserve">This piece of research was </w:t>
      </w:r>
      <w:r w:rsidR="00966AA6">
        <w:rPr>
          <w:rFonts w:ascii="Arial" w:hAnsi="Arial" w:cs="Arial"/>
          <w:sz w:val="20"/>
          <w:szCs w:val="20"/>
          <w:lang w:eastAsia="en-GB"/>
        </w:rPr>
        <w:t xml:space="preserve">funded </w:t>
      </w:r>
      <w:r>
        <w:rPr>
          <w:rFonts w:ascii="Arial" w:hAnsi="Arial" w:cs="Arial"/>
          <w:sz w:val="20"/>
          <w:szCs w:val="20"/>
          <w:lang w:eastAsia="en-GB"/>
        </w:rPr>
        <w:t xml:space="preserve">from a research fellowship in collaboration with Public Health England and British Association of Sexual Health and HIV (BASHH).  </w:t>
      </w:r>
    </w:p>
    <w:p w14:paraId="538887C3" w14:textId="77777777" w:rsidR="00DC6E50" w:rsidRDefault="00DC6E50" w:rsidP="00DC6E50">
      <w:pPr>
        <w:spacing w:line="480" w:lineRule="auto"/>
        <w:rPr>
          <w:b/>
          <w:bCs/>
          <w:sz w:val="20"/>
          <w:szCs w:val="20"/>
        </w:rPr>
      </w:pPr>
    </w:p>
    <w:p w14:paraId="37CD1D15" w14:textId="77777777" w:rsidR="00DC6E50" w:rsidRPr="00392B9F" w:rsidRDefault="00DC6E50" w:rsidP="00DC6E50">
      <w:pPr>
        <w:spacing w:line="480" w:lineRule="auto"/>
        <w:rPr>
          <w:rFonts w:ascii="Arial" w:hAnsi="Arial" w:cs="Arial"/>
          <w:b/>
          <w:bCs/>
          <w:sz w:val="20"/>
          <w:szCs w:val="20"/>
        </w:rPr>
      </w:pPr>
      <w:r w:rsidRPr="00392B9F">
        <w:rPr>
          <w:rFonts w:ascii="Arial" w:hAnsi="Arial" w:cs="Arial"/>
          <w:b/>
          <w:bCs/>
          <w:sz w:val="20"/>
          <w:szCs w:val="20"/>
        </w:rPr>
        <w:t>References:</w:t>
      </w:r>
    </w:p>
    <w:p w14:paraId="52E16EEB" w14:textId="77777777" w:rsidR="00DC6E50" w:rsidRPr="003F22BA" w:rsidRDefault="00DC6E50" w:rsidP="00DC6E50">
      <w:pPr>
        <w:ind w:left="720" w:hanging="720"/>
        <w:rPr>
          <w:rFonts w:ascii="Arial" w:hAnsi="Arial" w:cs="Arial"/>
          <w:bCs/>
          <w:noProof/>
          <w:sz w:val="20"/>
          <w:szCs w:val="20"/>
        </w:rPr>
      </w:pPr>
      <w:r>
        <w:rPr>
          <w:rFonts w:ascii="Arial" w:hAnsi="Arial" w:cs="Arial"/>
          <w:bCs/>
          <w:noProof/>
          <w:sz w:val="20"/>
          <w:szCs w:val="20"/>
        </w:rPr>
        <w:t>1.</w:t>
      </w:r>
      <w:r>
        <w:rPr>
          <w:rFonts w:ascii="Arial" w:hAnsi="Arial" w:cs="Arial"/>
          <w:bCs/>
          <w:noProof/>
          <w:sz w:val="20"/>
          <w:szCs w:val="20"/>
        </w:rPr>
        <w:tab/>
        <w:t>Chin-Hong P</w:t>
      </w:r>
      <w:r w:rsidRPr="003F22BA">
        <w:rPr>
          <w:rFonts w:ascii="Arial" w:hAnsi="Arial" w:cs="Arial"/>
          <w:bCs/>
          <w:noProof/>
          <w:sz w:val="20"/>
          <w:szCs w:val="20"/>
        </w:rPr>
        <w:t>,</w:t>
      </w:r>
      <w:r>
        <w:rPr>
          <w:rFonts w:ascii="Arial" w:hAnsi="Arial" w:cs="Arial"/>
          <w:bCs/>
          <w:noProof/>
          <w:sz w:val="20"/>
          <w:szCs w:val="20"/>
        </w:rPr>
        <w:t xml:space="preserve"> Vittinghoff E, Cranston R, et al.</w:t>
      </w:r>
      <w:r w:rsidRPr="003F22BA">
        <w:rPr>
          <w:rFonts w:ascii="Arial" w:hAnsi="Arial" w:cs="Arial"/>
          <w:bCs/>
          <w:noProof/>
          <w:sz w:val="20"/>
          <w:szCs w:val="20"/>
        </w:rPr>
        <w:t xml:space="preserve"> </w:t>
      </w:r>
      <w:r w:rsidRPr="00C168AB">
        <w:rPr>
          <w:rFonts w:ascii="Arial" w:hAnsi="Arial" w:cs="Arial"/>
          <w:bCs/>
          <w:noProof/>
          <w:sz w:val="20"/>
          <w:szCs w:val="20"/>
        </w:rPr>
        <w:t>Age-Specific Prevalence of Anal Human Papillomavirus Infection in HIV-Negative Sexually Active Men Who Have Sex with Men: The EXPLORE Study</w:t>
      </w:r>
      <w:r w:rsidRPr="003F22BA">
        <w:rPr>
          <w:rFonts w:ascii="Arial" w:hAnsi="Arial" w:cs="Arial"/>
          <w:bCs/>
          <w:i/>
          <w:noProof/>
          <w:sz w:val="20"/>
          <w:szCs w:val="20"/>
        </w:rPr>
        <w:t>.</w:t>
      </w:r>
      <w:r w:rsidRPr="003F22BA">
        <w:rPr>
          <w:rFonts w:ascii="Arial" w:hAnsi="Arial" w:cs="Arial"/>
          <w:bCs/>
          <w:noProof/>
          <w:sz w:val="20"/>
          <w:szCs w:val="20"/>
        </w:rPr>
        <w:t xml:space="preserve"> </w:t>
      </w:r>
      <w:r>
        <w:rPr>
          <w:rFonts w:ascii="Arial" w:hAnsi="Arial" w:cs="Arial"/>
          <w:bCs/>
          <w:i/>
          <w:noProof/>
          <w:sz w:val="20"/>
          <w:szCs w:val="20"/>
        </w:rPr>
        <w:t>J Infect Dis.</w:t>
      </w:r>
      <w:r>
        <w:rPr>
          <w:rFonts w:ascii="Arial" w:hAnsi="Arial" w:cs="Arial"/>
          <w:bCs/>
          <w:noProof/>
          <w:sz w:val="20"/>
          <w:szCs w:val="20"/>
        </w:rPr>
        <w:t xml:space="preserve"> 2004;190(12):</w:t>
      </w:r>
      <w:r w:rsidRPr="003F22BA">
        <w:rPr>
          <w:rFonts w:ascii="Arial" w:hAnsi="Arial" w:cs="Arial"/>
          <w:bCs/>
          <w:noProof/>
          <w:sz w:val="20"/>
          <w:szCs w:val="20"/>
        </w:rPr>
        <w:t>2070-2076.</w:t>
      </w:r>
    </w:p>
    <w:p w14:paraId="2D69015E" w14:textId="77777777" w:rsidR="00DC6E50" w:rsidRPr="003F22BA" w:rsidRDefault="00DC6E50" w:rsidP="00DC6E50">
      <w:pPr>
        <w:ind w:left="720" w:hanging="720"/>
        <w:rPr>
          <w:rFonts w:ascii="Arial" w:hAnsi="Arial" w:cs="Arial"/>
          <w:bCs/>
          <w:noProof/>
          <w:sz w:val="20"/>
          <w:szCs w:val="20"/>
        </w:rPr>
      </w:pPr>
      <w:r>
        <w:rPr>
          <w:rFonts w:ascii="Arial" w:hAnsi="Arial" w:cs="Arial"/>
          <w:bCs/>
          <w:noProof/>
          <w:sz w:val="20"/>
          <w:szCs w:val="20"/>
        </w:rPr>
        <w:t>2.</w:t>
      </w:r>
      <w:r>
        <w:rPr>
          <w:rFonts w:ascii="Arial" w:hAnsi="Arial" w:cs="Arial"/>
          <w:bCs/>
          <w:noProof/>
          <w:sz w:val="20"/>
          <w:szCs w:val="20"/>
        </w:rPr>
        <w:tab/>
        <w:t>King E</w:t>
      </w:r>
      <w:r w:rsidRPr="003F22BA">
        <w:rPr>
          <w:rFonts w:ascii="Arial" w:hAnsi="Arial" w:cs="Arial"/>
          <w:bCs/>
          <w:noProof/>
          <w:sz w:val="20"/>
          <w:szCs w:val="20"/>
        </w:rPr>
        <w:t>,</w:t>
      </w:r>
      <w:r>
        <w:rPr>
          <w:rFonts w:ascii="Arial" w:hAnsi="Arial" w:cs="Arial"/>
          <w:bCs/>
          <w:noProof/>
          <w:sz w:val="20"/>
          <w:szCs w:val="20"/>
        </w:rPr>
        <w:t xml:space="preserve"> Gilson R, Beddows S, et al.</w:t>
      </w:r>
      <w:r w:rsidRPr="003F22BA">
        <w:rPr>
          <w:rFonts w:ascii="Arial" w:hAnsi="Arial" w:cs="Arial"/>
          <w:bCs/>
          <w:noProof/>
          <w:sz w:val="20"/>
          <w:szCs w:val="20"/>
        </w:rPr>
        <w:t xml:space="preserve"> </w:t>
      </w:r>
      <w:r w:rsidRPr="00C168AB">
        <w:rPr>
          <w:rFonts w:ascii="Arial" w:hAnsi="Arial" w:cs="Arial"/>
          <w:bCs/>
          <w:noProof/>
          <w:sz w:val="20"/>
          <w:szCs w:val="20"/>
        </w:rPr>
        <w:t>Human papillomavirus DNA in men who have sex with men: type-specific prevalence, risk factors and implications for vaccination strategies</w:t>
      </w:r>
      <w:r w:rsidRPr="003F22BA">
        <w:rPr>
          <w:rFonts w:ascii="Arial" w:hAnsi="Arial" w:cs="Arial"/>
          <w:bCs/>
          <w:i/>
          <w:noProof/>
          <w:sz w:val="20"/>
          <w:szCs w:val="20"/>
        </w:rPr>
        <w:t>.</w:t>
      </w:r>
      <w:r w:rsidRPr="003F22BA">
        <w:rPr>
          <w:rFonts w:ascii="Arial" w:hAnsi="Arial" w:cs="Arial"/>
          <w:bCs/>
          <w:noProof/>
          <w:sz w:val="20"/>
          <w:szCs w:val="20"/>
        </w:rPr>
        <w:t xml:space="preserve"> </w:t>
      </w:r>
      <w:r>
        <w:rPr>
          <w:rFonts w:ascii="Arial" w:hAnsi="Arial" w:cs="Arial"/>
          <w:bCs/>
          <w:i/>
          <w:noProof/>
          <w:sz w:val="20"/>
          <w:szCs w:val="20"/>
        </w:rPr>
        <w:t xml:space="preserve">Br J Cancer </w:t>
      </w:r>
      <w:r w:rsidRPr="00DB1902">
        <w:rPr>
          <w:rFonts w:ascii="Arial" w:hAnsi="Arial" w:cs="Arial"/>
          <w:bCs/>
          <w:noProof/>
          <w:sz w:val="20"/>
          <w:szCs w:val="20"/>
        </w:rPr>
        <w:t>2015</w:t>
      </w:r>
      <w:r>
        <w:rPr>
          <w:rFonts w:ascii="Arial" w:hAnsi="Arial" w:cs="Arial"/>
          <w:bCs/>
          <w:noProof/>
          <w:sz w:val="20"/>
          <w:szCs w:val="20"/>
        </w:rPr>
        <w:t>;</w:t>
      </w:r>
      <w:r w:rsidRPr="00DB1902">
        <w:rPr>
          <w:rFonts w:ascii="Arial" w:hAnsi="Arial" w:cs="Arial"/>
          <w:bCs/>
          <w:noProof/>
          <w:sz w:val="20"/>
          <w:szCs w:val="20"/>
        </w:rPr>
        <w:t>112</w:t>
      </w:r>
      <w:r>
        <w:rPr>
          <w:rFonts w:ascii="Arial" w:hAnsi="Arial" w:cs="Arial"/>
          <w:bCs/>
          <w:noProof/>
          <w:sz w:val="20"/>
          <w:szCs w:val="20"/>
        </w:rPr>
        <w:t>(9):</w:t>
      </w:r>
      <w:r w:rsidRPr="003F22BA">
        <w:rPr>
          <w:rFonts w:ascii="Arial" w:hAnsi="Arial" w:cs="Arial"/>
          <w:bCs/>
          <w:noProof/>
          <w:sz w:val="20"/>
          <w:szCs w:val="20"/>
        </w:rPr>
        <w:t>1585-93.</w:t>
      </w:r>
    </w:p>
    <w:p w14:paraId="30663E61" w14:textId="77777777" w:rsidR="00DC6E50" w:rsidRPr="003F22BA" w:rsidRDefault="00DC6E50" w:rsidP="00DC6E50">
      <w:pPr>
        <w:ind w:left="720" w:hanging="720"/>
        <w:rPr>
          <w:rFonts w:ascii="Arial" w:hAnsi="Arial" w:cs="Arial"/>
          <w:bCs/>
          <w:noProof/>
          <w:sz w:val="20"/>
          <w:szCs w:val="20"/>
        </w:rPr>
      </w:pPr>
      <w:r>
        <w:rPr>
          <w:rFonts w:ascii="Arial" w:hAnsi="Arial" w:cs="Arial"/>
          <w:bCs/>
          <w:noProof/>
          <w:sz w:val="20"/>
          <w:szCs w:val="20"/>
        </w:rPr>
        <w:t>3.</w:t>
      </w:r>
      <w:r>
        <w:rPr>
          <w:rFonts w:ascii="Arial" w:hAnsi="Arial" w:cs="Arial"/>
          <w:bCs/>
          <w:noProof/>
          <w:sz w:val="20"/>
          <w:szCs w:val="20"/>
        </w:rPr>
        <w:tab/>
        <w:t>Palefsky J</w:t>
      </w:r>
      <w:r w:rsidRPr="003F22BA">
        <w:rPr>
          <w:rFonts w:ascii="Arial" w:hAnsi="Arial" w:cs="Arial"/>
          <w:bCs/>
          <w:noProof/>
          <w:sz w:val="20"/>
          <w:szCs w:val="20"/>
        </w:rPr>
        <w:t>,</w:t>
      </w:r>
      <w:r>
        <w:rPr>
          <w:rFonts w:ascii="Arial" w:hAnsi="Arial" w:cs="Arial"/>
          <w:bCs/>
          <w:noProof/>
          <w:sz w:val="20"/>
          <w:szCs w:val="20"/>
        </w:rPr>
        <w:t xml:space="preserve"> Giuliano A, Goldstone S, et al.</w:t>
      </w:r>
      <w:r w:rsidRPr="003F22BA">
        <w:rPr>
          <w:rFonts w:ascii="Arial" w:hAnsi="Arial" w:cs="Arial"/>
          <w:bCs/>
          <w:noProof/>
          <w:sz w:val="20"/>
          <w:szCs w:val="20"/>
        </w:rPr>
        <w:t xml:space="preserve"> </w:t>
      </w:r>
      <w:r w:rsidRPr="00C168AB">
        <w:rPr>
          <w:rFonts w:ascii="Arial" w:hAnsi="Arial" w:cs="Arial"/>
          <w:bCs/>
          <w:noProof/>
          <w:sz w:val="20"/>
          <w:szCs w:val="20"/>
        </w:rPr>
        <w:t xml:space="preserve">HPV Vaccine against Anal HPV Infection and Anal Intraepithelial Neoplasia. </w:t>
      </w:r>
      <w:r>
        <w:rPr>
          <w:rFonts w:ascii="Arial" w:hAnsi="Arial" w:cs="Arial"/>
          <w:bCs/>
          <w:i/>
          <w:noProof/>
          <w:sz w:val="20"/>
          <w:szCs w:val="20"/>
        </w:rPr>
        <w:t>N Engl J Med</w:t>
      </w:r>
      <w:r w:rsidRPr="003F22BA">
        <w:rPr>
          <w:rFonts w:ascii="Arial" w:hAnsi="Arial" w:cs="Arial"/>
          <w:bCs/>
          <w:noProof/>
          <w:sz w:val="20"/>
          <w:szCs w:val="20"/>
        </w:rPr>
        <w:t>.</w:t>
      </w:r>
      <w:r>
        <w:rPr>
          <w:rFonts w:ascii="Arial" w:hAnsi="Arial" w:cs="Arial"/>
          <w:bCs/>
          <w:noProof/>
          <w:sz w:val="20"/>
          <w:szCs w:val="20"/>
        </w:rPr>
        <w:t xml:space="preserve"> 2011;365(17):1576-85</w:t>
      </w:r>
    </w:p>
    <w:p w14:paraId="1A4B396E" w14:textId="39A28AA0" w:rsidR="00DE6B5D" w:rsidRDefault="00DC6E50" w:rsidP="006F3DDD">
      <w:pPr>
        <w:ind w:left="720" w:hanging="720"/>
        <w:rPr>
          <w:rFonts w:ascii="Arial" w:hAnsi="Arial" w:cs="Arial"/>
          <w:bCs/>
          <w:noProof/>
          <w:sz w:val="20"/>
          <w:szCs w:val="20"/>
        </w:rPr>
      </w:pPr>
      <w:r w:rsidRPr="003F22BA">
        <w:rPr>
          <w:rFonts w:ascii="Arial" w:hAnsi="Arial" w:cs="Arial"/>
          <w:bCs/>
          <w:noProof/>
          <w:sz w:val="20"/>
          <w:szCs w:val="20"/>
        </w:rPr>
        <w:t>4.</w:t>
      </w:r>
      <w:r w:rsidRPr="003F22BA">
        <w:rPr>
          <w:rFonts w:ascii="Arial" w:hAnsi="Arial" w:cs="Arial"/>
          <w:bCs/>
          <w:noProof/>
          <w:sz w:val="20"/>
          <w:szCs w:val="20"/>
        </w:rPr>
        <w:tab/>
      </w:r>
      <w:r>
        <w:rPr>
          <w:rFonts w:ascii="Arial" w:hAnsi="Arial" w:cs="Arial"/>
          <w:bCs/>
          <w:noProof/>
          <w:sz w:val="20"/>
          <w:szCs w:val="20"/>
        </w:rPr>
        <w:t xml:space="preserve">Department of Health UK. </w:t>
      </w:r>
      <w:r w:rsidRPr="00C168AB">
        <w:rPr>
          <w:rFonts w:ascii="Arial" w:hAnsi="Arial" w:cs="Arial"/>
          <w:bCs/>
          <w:noProof/>
          <w:sz w:val="20"/>
          <w:szCs w:val="20"/>
        </w:rPr>
        <w:t>JCVI statement on HPV vaccination of men who have sex with men</w:t>
      </w:r>
      <w:r>
        <w:rPr>
          <w:rFonts w:ascii="Arial" w:hAnsi="Arial" w:cs="Arial"/>
          <w:bCs/>
          <w:i/>
          <w:noProof/>
          <w:sz w:val="20"/>
          <w:szCs w:val="20"/>
        </w:rPr>
        <w:t xml:space="preserve">. </w:t>
      </w:r>
      <w:r>
        <w:rPr>
          <w:rFonts w:ascii="Arial" w:hAnsi="Arial" w:cs="Arial"/>
          <w:bCs/>
          <w:noProof/>
          <w:sz w:val="20"/>
          <w:szCs w:val="20"/>
        </w:rPr>
        <w:t>November 2015</w:t>
      </w:r>
    </w:p>
    <w:p w14:paraId="2C114D18" w14:textId="2BACFE35" w:rsidR="00DB4E33" w:rsidRDefault="00DB4E33" w:rsidP="006F3DDD">
      <w:pPr>
        <w:ind w:left="720" w:hanging="720"/>
        <w:rPr>
          <w:rFonts w:ascii="Arial" w:hAnsi="Arial" w:cs="Arial"/>
          <w:bCs/>
          <w:noProof/>
          <w:sz w:val="20"/>
          <w:szCs w:val="20"/>
        </w:rPr>
      </w:pPr>
      <w:r>
        <w:rPr>
          <w:rFonts w:ascii="Arial" w:hAnsi="Arial" w:cs="Arial"/>
          <w:bCs/>
          <w:noProof/>
          <w:sz w:val="20"/>
          <w:szCs w:val="20"/>
        </w:rPr>
        <w:t>5.</w:t>
      </w:r>
      <w:r>
        <w:rPr>
          <w:rFonts w:ascii="Arial" w:hAnsi="Arial" w:cs="Arial"/>
          <w:bCs/>
          <w:noProof/>
          <w:sz w:val="20"/>
          <w:szCs w:val="20"/>
        </w:rPr>
        <w:tab/>
        <w:t xml:space="preserve">Public Health England.  HPV vaccination pilot for men who have sex with men: clinical and operational guidance for healthcre professionals. May 2016  </w:t>
      </w:r>
    </w:p>
    <w:p w14:paraId="3F1E1FD7" w14:textId="2D3C1E4C" w:rsidR="00DC6E50" w:rsidRPr="003F22BA" w:rsidRDefault="001759F7" w:rsidP="00DC6E50">
      <w:pPr>
        <w:ind w:left="720" w:hanging="720"/>
        <w:rPr>
          <w:rFonts w:ascii="Arial" w:hAnsi="Arial" w:cs="Arial"/>
          <w:bCs/>
          <w:noProof/>
          <w:sz w:val="20"/>
          <w:szCs w:val="20"/>
        </w:rPr>
      </w:pPr>
      <w:r>
        <w:rPr>
          <w:rFonts w:ascii="Arial" w:hAnsi="Arial" w:cs="Arial"/>
          <w:bCs/>
          <w:noProof/>
          <w:sz w:val="20"/>
          <w:szCs w:val="20"/>
        </w:rPr>
        <w:t>6</w:t>
      </w:r>
      <w:r w:rsidR="00DC6E50">
        <w:rPr>
          <w:rFonts w:ascii="Arial" w:hAnsi="Arial" w:cs="Arial"/>
          <w:bCs/>
          <w:noProof/>
          <w:sz w:val="20"/>
          <w:szCs w:val="20"/>
        </w:rPr>
        <w:t>.</w:t>
      </w:r>
      <w:r w:rsidR="00DC6E50">
        <w:rPr>
          <w:rFonts w:ascii="Arial" w:hAnsi="Arial" w:cs="Arial"/>
          <w:bCs/>
          <w:noProof/>
          <w:sz w:val="20"/>
          <w:szCs w:val="20"/>
        </w:rPr>
        <w:tab/>
      </w:r>
      <w:r w:rsidR="00DC6E50">
        <w:rPr>
          <w:rFonts w:ascii="Arial" w:hAnsi="Arial" w:cs="Arial"/>
          <w:sz w:val="20"/>
        </w:rPr>
        <w:t>Savage E</w:t>
      </w:r>
      <w:r w:rsidR="00DC6E50" w:rsidRPr="00166D0D">
        <w:rPr>
          <w:rFonts w:ascii="Arial" w:hAnsi="Arial" w:cs="Arial"/>
          <w:sz w:val="20"/>
        </w:rPr>
        <w:t>,</w:t>
      </w:r>
      <w:r w:rsidR="00DC6E50">
        <w:rPr>
          <w:rFonts w:ascii="Arial" w:hAnsi="Arial" w:cs="Arial"/>
          <w:sz w:val="20"/>
        </w:rPr>
        <w:t xml:space="preserve"> Mohammed H, Leong G,</w:t>
      </w:r>
      <w:r w:rsidR="00DC6E50" w:rsidRPr="00166D0D">
        <w:rPr>
          <w:rFonts w:ascii="Arial" w:hAnsi="Arial" w:cs="Arial"/>
          <w:sz w:val="20"/>
        </w:rPr>
        <w:t xml:space="preserve"> </w:t>
      </w:r>
      <w:r w:rsidR="00DC6E50">
        <w:rPr>
          <w:rFonts w:ascii="Arial" w:hAnsi="Arial" w:cs="Arial"/>
          <w:sz w:val="20"/>
        </w:rPr>
        <w:t>et al</w:t>
      </w:r>
      <w:r w:rsidR="00DC6E50" w:rsidRPr="00166D0D">
        <w:rPr>
          <w:rFonts w:ascii="Arial" w:hAnsi="Arial" w:cs="Arial"/>
          <w:sz w:val="20"/>
        </w:rPr>
        <w:t xml:space="preserve">. Improving surveillance of sexually transmitted infections using mandatory electronic clinical reporting: the genitourinary medicine clinic activity dataset, England, 2009 to 2013. </w:t>
      </w:r>
      <w:r w:rsidR="00DC6E50" w:rsidRPr="00C168AB">
        <w:rPr>
          <w:rFonts w:ascii="Arial" w:hAnsi="Arial" w:cs="Arial"/>
          <w:i/>
          <w:sz w:val="20"/>
        </w:rPr>
        <w:t>Euro Surveill.</w:t>
      </w:r>
      <w:r w:rsidR="00DC6E50">
        <w:rPr>
          <w:rFonts w:ascii="Arial" w:hAnsi="Arial" w:cs="Arial"/>
          <w:sz w:val="20"/>
        </w:rPr>
        <w:t xml:space="preserve"> 2014</w:t>
      </w:r>
      <w:r w:rsidR="00DC6E50" w:rsidRPr="00166D0D">
        <w:rPr>
          <w:rFonts w:ascii="Arial" w:hAnsi="Arial" w:cs="Arial"/>
          <w:sz w:val="20"/>
        </w:rPr>
        <w:t>;19(48):20981</w:t>
      </w:r>
    </w:p>
    <w:p w14:paraId="01B84D02" w14:textId="76631E33" w:rsidR="00DC6E50" w:rsidRDefault="001759F7" w:rsidP="00DC6E50">
      <w:pPr>
        <w:ind w:left="720" w:hanging="720"/>
        <w:rPr>
          <w:rFonts w:ascii="Arial" w:hAnsi="Arial" w:cs="Arial"/>
          <w:kern w:val="0"/>
          <w:sz w:val="20"/>
          <w:szCs w:val="20"/>
          <w:lang w:val="en-US" w:eastAsia="en-US"/>
        </w:rPr>
      </w:pPr>
      <w:r>
        <w:rPr>
          <w:rFonts w:ascii="Arial" w:hAnsi="Arial" w:cs="Arial"/>
          <w:bCs/>
          <w:noProof/>
          <w:sz w:val="20"/>
          <w:szCs w:val="20"/>
        </w:rPr>
        <w:t>7</w:t>
      </w:r>
      <w:r w:rsidR="00DC6E50" w:rsidRPr="003F22BA">
        <w:rPr>
          <w:rFonts w:ascii="Arial" w:hAnsi="Arial" w:cs="Arial"/>
          <w:bCs/>
          <w:noProof/>
          <w:sz w:val="20"/>
          <w:szCs w:val="20"/>
        </w:rPr>
        <w:t>.</w:t>
      </w:r>
      <w:r w:rsidR="00DC6E50" w:rsidRPr="003F22BA">
        <w:rPr>
          <w:rFonts w:ascii="Arial" w:hAnsi="Arial" w:cs="Arial"/>
          <w:bCs/>
          <w:noProof/>
          <w:sz w:val="20"/>
          <w:szCs w:val="20"/>
        </w:rPr>
        <w:tab/>
      </w:r>
      <w:r w:rsidR="00DC6E50">
        <w:rPr>
          <w:rFonts w:ascii="Arial" w:hAnsi="Arial" w:cs="Arial"/>
          <w:kern w:val="0"/>
          <w:sz w:val="20"/>
          <w:szCs w:val="20"/>
          <w:lang w:val="en-US" w:eastAsia="en-US"/>
        </w:rPr>
        <w:t>Mercer CH, Prah P, Field N, et al</w:t>
      </w:r>
      <w:r w:rsidR="00DC6E50" w:rsidRPr="004822F8">
        <w:rPr>
          <w:rFonts w:ascii="Arial" w:hAnsi="Arial" w:cs="Arial"/>
          <w:kern w:val="0"/>
          <w:sz w:val="20"/>
          <w:szCs w:val="20"/>
          <w:lang w:val="en-US" w:eastAsia="en-US"/>
        </w:rPr>
        <w:t>. The health and well-being of men who have sex with men (MSM) in Britain: Evidence from the third National Survey of Sexual Attitudes and Lifestyle</w:t>
      </w:r>
      <w:r w:rsidR="00DC6E50">
        <w:rPr>
          <w:rFonts w:ascii="Arial" w:hAnsi="Arial" w:cs="Arial"/>
          <w:kern w:val="0"/>
          <w:sz w:val="20"/>
          <w:szCs w:val="20"/>
          <w:lang w:val="en-US" w:eastAsia="en-US"/>
        </w:rPr>
        <w:t xml:space="preserve">s (Natsal-3). </w:t>
      </w:r>
      <w:r w:rsidR="00DC6E50" w:rsidRPr="00BE6B6F">
        <w:rPr>
          <w:rFonts w:ascii="Arial" w:hAnsi="Arial" w:cs="Arial"/>
          <w:i/>
          <w:kern w:val="0"/>
          <w:sz w:val="20"/>
          <w:szCs w:val="20"/>
          <w:lang w:val="en-US" w:eastAsia="en-US"/>
        </w:rPr>
        <w:t>BMC Public Health</w:t>
      </w:r>
      <w:r w:rsidR="00DC6E50">
        <w:rPr>
          <w:rFonts w:ascii="Arial" w:hAnsi="Arial" w:cs="Arial"/>
          <w:kern w:val="0"/>
          <w:sz w:val="20"/>
          <w:szCs w:val="20"/>
          <w:lang w:val="en-US" w:eastAsia="en-US"/>
        </w:rPr>
        <w:t xml:space="preserve"> 2016;</w:t>
      </w:r>
      <w:r w:rsidR="00DC6E50" w:rsidRPr="004822F8">
        <w:rPr>
          <w:rFonts w:ascii="Arial" w:hAnsi="Arial" w:cs="Arial"/>
          <w:kern w:val="0"/>
          <w:sz w:val="20"/>
          <w:szCs w:val="20"/>
          <w:lang w:val="en-US" w:eastAsia="en-US"/>
        </w:rPr>
        <w:t>16:525</w:t>
      </w:r>
    </w:p>
    <w:p w14:paraId="12955439" w14:textId="77777777" w:rsidR="0011062F" w:rsidRDefault="001759F7" w:rsidP="0011062F">
      <w:pPr>
        <w:ind w:left="720" w:hanging="720"/>
        <w:rPr>
          <w:rFonts w:ascii="Arial" w:hAnsi="Arial" w:cs="Arial"/>
          <w:bCs/>
          <w:noProof/>
          <w:sz w:val="20"/>
          <w:szCs w:val="20"/>
        </w:rPr>
      </w:pPr>
      <w:r>
        <w:rPr>
          <w:rFonts w:ascii="Arial" w:hAnsi="Arial" w:cs="Arial"/>
          <w:kern w:val="0"/>
          <w:sz w:val="20"/>
          <w:szCs w:val="20"/>
          <w:lang w:val="en-US" w:eastAsia="en-US"/>
        </w:rPr>
        <w:t>8</w:t>
      </w:r>
      <w:r w:rsidR="00DC6E50">
        <w:rPr>
          <w:rFonts w:ascii="Arial" w:hAnsi="Arial" w:cs="Arial"/>
          <w:kern w:val="0"/>
          <w:sz w:val="20"/>
          <w:szCs w:val="20"/>
          <w:lang w:val="en-US" w:eastAsia="en-US"/>
        </w:rPr>
        <w:t>.</w:t>
      </w:r>
      <w:r w:rsidR="00DC6E50">
        <w:rPr>
          <w:rFonts w:ascii="Arial" w:hAnsi="Arial" w:cs="Arial"/>
          <w:kern w:val="0"/>
          <w:sz w:val="20"/>
          <w:szCs w:val="20"/>
          <w:lang w:val="en-US" w:eastAsia="en-US"/>
        </w:rPr>
        <w:tab/>
      </w:r>
      <w:r w:rsidR="0011062F">
        <w:rPr>
          <w:rFonts w:ascii="Arial" w:hAnsi="Arial" w:cs="Arial"/>
          <w:kern w:val="0"/>
          <w:sz w:val="20"/>
          <w:szCs w:val="20"/>
          <w:lang w:val="en-US" w:eastAsia="en-US"/>
        </w:rPr>
        <w:t xml:space="preserve">Lin A,  Ong K, </w:t>
      </w:r>
      <w:r w:rsidR="0011062F" w:rsidRPr="00AF1A13">
        <w:rPr>
          <w:rFonts w:ascii="Arial" w:hAnsi="Arial" w:cs="Arial"/>
          <w:kern w:val="0"/>
          <w:sz w:val="20"/>
          <w:szCs w:val="20"/>
          <w:lang w:val="en-US" w:eastAsia="en-US"/>
        </w:rPr>
        <w:t>, Hobbelen</w:t>
      </w:r>
      <w:r w:rsidR="0011062F">
        <w:rPr>
          <w:rFonts w:ascii="Arial" w:hAnsi="Arial" w:cs="Arial"/>
          <w:kern w:val="0"/>
          <w:sz w:val="20"/>
          <w:szCs w:val="20"/>
          <w:lang w:val="en-US" w:eastAsia="en-US"/>
        </w:rPr>
        <w:t xml:space="preserve"> P</w:t>
      </w:r>
      <w:r w:rsidR="0011062F" w:rsidRPr="00AF1A13">
        <w:rPr>
          <w:rFonts w:ascii="Arial" w:hAnsi="Arial" w:cs="Arial"/>
          <w:kern w:val="0"/>
          <w:sz w:val="20"/>
          <w:szCs w:val="20"/>
          <w:lang w:val="en-US" w:eastAsia="en-US"/>
        </w:rPr>
        <w:t xml:space="preserve">, </w:t>
      </w:r>
      <w:r w:rsidR="0011062F">
        <w:rPr>
          <w:rFonts w:ascii="Arial" w:hAnsi="Arial" w:cs="Arial"/>
          <w:kern w:val="0"/>
          <w:sz w:val="20"/>
          <w:szCs w:val="20"/>
          <w:lang w:val="en-US" w:eastAsia="en-US"/>
        </w:rPr>
        <w:t xml:space="preserve">et al. Impact and cost-effectiveness of selective human papillomavirus vaccination of men who have sex with men.  Clin Infect Dis 2016 [Online]. Available at </w:t>
      </w:r>
      <w:hyperlink r:id="rId10" w:history="1">
        <w:r w:rsidR="0011062F" w:rsidRPr="00BA2552">
          <w:rPr>
            <w:rStyle w:val="Hyperlink"/>
            <w:rFonts w:ascii="Arial" w:hAnsi="Arial" w:cs="Arial"/>
            <w:kern w:val="0"/>
            <w:sz w:val="20"/>
            <w:szCs w:val="20"/>
            <w:lang w:val="en-US" w:eastAsia="en-US"/>
          </w:rPr>
          <w:t>http://cid.oxfordjournals.org/content/early/2016/12/23/cid.ciw845.abstract</w:t>
        </w:r>
      </w:hyperlink>
      <w:r w:rsidR="0011062F">
        <w:rPr>
          <w:rFonts w:ascii="Arial" w:hAnsi="Arial" w:cs="Arial"/>
          <w:kern w:val="0"/>
          <w:sz w:val="20"/>
          <w:szCs w:val="20"/>
          <w:lang w:val="en-US" w:eastAsia="en-US"/>
        </w:rPr>
        <w:t>. [Accessed 17 January 2016]</w:t>
      </w:r>
    </w:p>
    <w:p w14:paraId="37AC1079" w14:textId="5A4499E1" w:rsidR="001113DF" w:rsidRPr="00DC6E50" w:rsidRDefault="001113DF" w:rsidP="0011062F">
      <w:pPr>
        <w:ind w:left="720" w:hanging="720"/>
        <w:sectPr w:rsidR="001113DF" w:rsidRPr="00DC6E50" w:rsidSect="00DC6E50">
          <w:pgSz w:w="11906" w:h="16838"/>
          <w:pgMar w:top="1077" w:right="1077" w:bottom="1077" w:left="1259" w:header="720" w:footer="720" w:gutter="0"/>
          <w:cols w:space="720"/>
          <w:docGrid w:linePitch="299"/>
        </w:sectPr>
      </w:pPr>
    </w:p>
    <w:p w14:paraId="5F00D5D6" w14:textId="77777777" w:rsidR="004B5A80" w:rsidRPr="003F22BA" w:rsidRDefault="004B5A80" w:rsidP="00032AB7">
      <w:pPr>
        <w:ind w:left="720" w:hanging="720"/>
        <w:rPr>
          <w:rFonts w:ascii="Arial" w:hAnsi="Arial" w:cs="Arial"/>
          <w:bCs/>
          <w:noProof/>
          <w:sz w:val="20"/>
          <w:szCs w:val="20"/>
        </w:rPr>
      </w:pPr>
    </w:p>
    <w:p w14:paraId="3E185174" w14:textId="77777777" w:rsidR="00032AB7" w:rsidRDefault="00032AB7" w:rsidP="009C48D3">
      <w:pPr>
        <w:spacing w:line="480" w:lineRule="auto"/>
        <w:rPr>
          <w:b/>
          <w:bCs/>
          <w:sz w:val="20"/>
          <w:szCs w:val="20"/>
        </w:rPr>
      </w:pPr>
    </w:p>
    <w:p w14:paraId="45F99965" w14:textId="3169529C" w:rsidR="00EF359A" w:rsidRDefault="00EF359A" w:rsidP="009C48D3">
      <w:pPr>
        <w:spacing w:line="480" w:lineRule="auto"/>
        <w:rPr>
          <w:b/>
          <w:bCs/>
          <w:sz w:val="20"/>
          <w:szCs w:val="20"/>
        </w:rPr>
      </w:pPr>
    </w:p>
    <w:sectPr w:rsidR="00EF359A" w:rsidSect="009C48D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124ED" w14:textId="77777777" w:rsidR="00D25A2B" w:rsidRDefault="00D25A2B">
      <w:r>
        <w:separator/>
      </w:r>
    </w:p>
  </w:endnote>
  <w:endnote w:type="continuationSeparator" w:id="0">
    <w:p w14:paraId="3BEBD246" w14:textId="77777777" w:rsidR="00D25A2B" w:rsidRDefault="00D2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auto"/>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030E" w14:textId="77777777" w:rsidR="0030721B" w:rsidRDefault="0030721B">
    <w:pPr>
      <w:pStyle w:val="Footer"/>
    </w:pPr>
    <w:r>
      <w:fldChar w:fldCharType="begin"/>
    </w:r>
    <w:r>
      <w:instrText xml:space="preserve"> PAGE   \* MERGEFORMAT </w:instrText>
    </w:r>
    <w:r>
      <w:fldChar w:fldCharType="separate"/>
    </w:r>
    <w:r w:rsidR="004E3ECF">
      <w:rPr>
        <w:noProof/>
      </w:rPr>
      <w:t>2</w:t>
    </w:r>
    <w:r>
      <w:rPr>
        <w:noProof/>
      </w:rPr>
      <w:fldChar w:fldCharType="end"/>
    </w:r>
  </w:p>
  <w:p w14:paraId="34B410BF" w14:textId="77777777" w:rsidR="0030721B" w:rsidRDefault="003072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57F58" w14:textId="77777777" w:rsidR="00D25A2B" w:rsidRDefault="00D25A2B">
      <w:r>
        <w:rPr>
          <w:color w:val="000000"/>
        </w:rPr>
        <w:separator/>
      </w:r>
    </w:p>
  </w:footnote>
  <w:footnote w:type="continuationSeparator" w:id="0">
    <w:p w14:paraId="18F521F0" w14:textId="77777777" w:rsidR="00D25A2B" w:rsidRDefault="00D25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4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2605B"/>
    <w:multiLevelType w:val="multilevel"/>
    <w:tmpl w:val="79AAF9CE"/>
    <w:styleLink w:val="WWNum6"/>
    <w:lvl w:ilvl="0">
      <w:numFmt w:val="bullet"/>
      <w:lvlText w:val="-"/>
      <w:lvlJc w:val="left"/>
      <w:rPr>
        <w:rFonts w:eastAsia="Times New Roman"/>
        <w:b w:val="0"/>
        <w:bCs w:val="0"/>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 w15:restartNumberingAfterBreak="0">
    <w:nsid w:val="0EEA607F"/>
    <w:multiLevelType w:val="hybridMultilevel"/>
    <w:tmpl w:val="A4943BB8"/>
    <w:lvl w:ilvl="0" w:tplc="026065C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25D4C"/>
    <w:multiLevelType w:val="multilevel"/>
    <w:tmpl w:val="F8CA18C8"/>
    <w:styleLink w:val="WWNum15"/>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3333688"/>
    <w:multiLevelType w:val="hybridMultilevel"/>
    <w:tmpl w:val="F398C308"/>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44E54"/>
    <w:multiLevelType w:val="multilevel"/>
    <w:tmpl w:val="74CADFFE"/>
    <w:styleLink w:val="WWNum16"/>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6F61298"/>
    <w:multiLevelType w:val="hybridMultilevel"/>
    <w:tmpl w:val="088E99BC"/>
    <w:lvl w:ilvl="0" w:tplc="BC14D972">
      <w:start w:val="1"/>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27B86"/>
    <w:multiLevelType w:val="multilevel"/>
    <w:tmpl w:val="29306F66"/>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0175978"/>
    <w:multiLevelType w:val="multilevel"/>
    <w:tmpl w:val="3F587C76"/>
    <w:styleLink w:val="WWNum14"/>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27760AD8"/>
    <w:multiLevelType w:val="multilevel"/>
    <w:tmpl w:val="4420E06E"/>
    <w:styleLink w:val="WWNum21"/>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0" w15:restartNumberingAfterBreak="0">
    <w:nsid w:val="29781066"/>
    <w:multiLevelType w:val="multilevel"/>
    <w:tmpl w:val="BE649EEC"/>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2CC07525"/>
    <w:multiLevelType w:val="hybridMultilevel"/>
    <w:tmpl w:val="B1A22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AF1F79"/>
    <w:multiLevelType w:val="multilevel"/>
    <w:tmpl w:val="3B28B860"/>
    <w:styleLink w:val="WWNum12"/>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3" w15:restartNumberingAfterBreak="0">
    <w:nsid w:val="37A61D76"/>
    <w:multiLevelType w:val="multilevel"/>
    <w:tmpl w:val="D9505616"/>
    <w:styleLink w:val="WWNum2"/>
    <w:lvl w:ilvl="0">
      <w:numFmt w:val="bullet"/>
      <w:lvlText w:val=""/>
      <w:lvlJc w:val="left"/>
      <w:rPr>
        <w:rFonts w:eastAsia="Times New Roman"/>
        <w:b/>
        <w:bCs/>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4" w15:restartNumberingAfterBreak="0">
    <w:nsid w:val="3D0D5F27"/>
    <w:multiLevelType w:val="hybridMultilevel"/>
    <w:tmpl w:val="EFA40150"/>
    <w:lvl w:ilvl="0" w:tplc="D55A668A">
      <w:start w:val="1"/>
      <w:numFmt w:val="decimal"/>
      <w:lvlText w:val="%1."/>
      <w:lvlJc w:val="left"/>
      <w:pPr>
        <w:tabs>
          <w:tab w:val="num" w:pos="720"/>
        </w:tabs>
        <w:ind w:left="720" w:hanging="360"/>
      </w:pPr>
      <w:rPr>
        <w:rFonts w:ascii="Times New Roman" w:hAnsi="Times New Roman"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E8B1821"/>
    <w:multiLevelType w:val="multilevel"/>
    <w:tmpl w:val="9E023004"/>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41FE6576"/>
    <w:multiLevelType w:val="multilevel"/>
    <w:tmpl w:val="6616C116"/>
    <w:styleLink w:val="WWNum22"/>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7" w15:restartNumberingAfterBreak="0">
    <w:nsid w:val="484967BB"/>
    <w:multiLevelType w:val="hybridMultilevel"/>
    <w:tmpl w:val="84567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AD7946"/>
    <w:multiLevelType w:val="hybridMultilevel"/>
    <w:tmpl w:val="AB9CFF9E"/>
    <w:lvl w:ilvl="0" w:tplc="884648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0FD4F6D"/>
    <w:multiLevelType w:val="hybridMultilevel"/>
    <w:tmpl w:val="EFA40150"/>
    <w:lvl w:ilvl="0" w:tplc="D55A668A">
      <w:start w:val="1"/>
      <w:numFmt w:val="decimal"/>
      <w:lvlText w:val="%1."/>
      <w:lvlJc w:val="left"/>
      <w:pPr>
        <w:tabs>
          <w:tab w:val="num" w:pos="720"/>
        </w:tabs>
        <w:ind w:left="720" w:hanging="360"/>
      </w:pPr>
      <w:rPr>
        <w:rFonts w:ascii="Times New Roman" w:hAnsi="Times New Roman"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50A2C5D"/>
    <w:multiLevelType w:val="multilevel"/>
    <w:tmpl w:val="38183E36"/>
    <w:styleLink w:val="WWNum17"/>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5719107E"/>
    <w:multiLevelType w:val="multilevel"/>
    <w:tmpl w:val="DB46C05E"/>
    <w:styleLink w:val="WWNum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627870AA"/>
    <w:multiLevelType w:val="multilevel"/>
    <w:tmpl w:val="E794C4C4"/>
    <w:styleLink w:val="WWNum5"/>
    <w:lvl w:ilvl="0">
      <w:numFmt w:val="bullet"/>
      <w:lvlText w:val="-"/>
      <w:lvlJc w:val="left"/>
      <w:rPr>
        <w:rFonts w:eastAsia="Times New Roman"/>
        <w:b w:val="0"/>
        <w:bCs w:val="0"/>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3" w15:restartNumberingAfterBreak="0">
    <w:nsid w:val="6307448C"/>
    <w:multiLevelType w:val="multilevel"/>
    <w:tmpl w:val="E780B600"/>
    <w:styleLink w:val="WWNum19"/>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63201934"/>
    <w:multiLevelType w:val="multilevel"/>
    <w:tmpl w:val="519C6244"/>
    <w:styleLink w:val="WWNum13"/>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64DF0924"/>
    <w:multiLevelType w:val="hybridMultilevel"/>
    <w:tmpl w:val="BFAA666C"/>
    <w:lvl w:ilvl="0" w:tplc="0809000F">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3824B2"/>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A3D705D"/>
    <w:multiLevelType w:val="multilevel"/>
    <w:tmpl w:val="D0AE2246"/>
    <w:styleLink w:val="WWNum20"/>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6B4744DC"/>
    <w:multiLevelType w:val="multilevel"/>
    <w:tmpl w:val="DC52C0F2"/>
    <w:styleLink w:val="WWNum7"/>
    <w:lvl w:ilvl="0">
      <w:numFmt w:val="bullet"/>
      <w:lvlText w:val=""/>
      <w:lvlJc w:val="left"/>
      <w:rPr>
        <w:sz w:val="20"/>
        <w:szCs w:val="20"/>
      </w:rPr>
    </w:lvl>
    <w:lvl w:ilvl="1">
      <w:numFmt w:val="bullet"/>
      <w:lvlText w:val="o"/>
      <w:lvlJc w:val="left"/>
      <w:rPr>
        <w:sz w:val="20"/>
        <w:szCs w:val="20"/>
      </w:rPr>
    </w:lvl>
    <w:lvl w:ilvl="2">
      <w:numFmt w:val="bullet"/>
      <w:lvlText w:val=""/>
      <w:lvlJc w:val="left"/>
      <w:rPr>
        <w:sz w:val="20"/>
        <w:szCs w:val="20"/>
      </w:rPr>
    </w:lvl>
    <w:lvl w:ilvl="3">
      <w:numFmt w:val="bullet"/>
      <w:lvlText w:val=""/>
      <w:lvlJc w:val="left"/>
      <w:rPr>
        <w:sz w:val="20"/>
        <w:szCs w:val="20"/>
      </w:rPr>
    </w:lvl>
    <w:lvl w:ilvl="4">
      <w:numFmt w:val="bullet"/>
      <w:lvlText w:val=""/>
      <w:lvlJc w:val="left"/>
      <w:rPr>
        <w:sz w:val="20"/>
        <w:szCs w:val="20"/>
      </w:rPr>
    </w:lvl>
    <w:lvl w:ilvl="5">
      <w:numFmt w:val="bullet"/>
      <w:lvlText w:val=""/>
      <w:lvlJc w:val="left"/>
      <w:rPr>
        <w:sz w:val="20"/>
        <w:szCs w:val="20"/>
      </w:rPr>
    </w:lvl>
    <w:lvl w:ilvl="6">
      <w:numFmt w:val="bullet"/>
      <w:lvlText w:val=""/>
      <w:lvlJc w:val="left"/>
      <w:rPr>
        <w:sz w:val="20"/>
        <w:szCs w:val="20"/>
      </w:rPr>
    </w:lvl>
    <w:lvl w:ilvl="7">
      <w:numFmt w:val="bullet"/>
      <w:lvlText w:val=""/>
      <w:lvlJc w:val="left"/>
      <w:rPr>
        <w:sz w:val="20"/>
        <w:szCs w:val="20"/>
      </w:rPr>
    </w:lvl>
    <w:lvl w:ilvl="8">
      <w:numFmt w:val="bullet"/>
      <w:lvlText w:val=""/>
      <w:lvlJc w:val="left"/>
      <w:rPr>
        <w:sz w:val="20"/>
        <w:szCs w:val="20"/>
      </w:rPr>
    </w:lvl>
  </w:abstractNum>
  <w:abstractNum w:abstractNumId="29" w15:restartNumberingAfterBreak="0">
    <w:nsid w:val="6F3B7F84"/>
    <w:multiLevelType w:val="hybridMultilevel"/>
    <w:tmpl w:val="5EC03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752076"/>
    <w:multiLevelType w:val="multilevel"/>
    <w:tmpl w:val="F48090CA"/>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76945874"/>
    <w:multiLevelType w:val="hybridMultilevel"/>
    <w:tmpl w:val="B3DA35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2A3157"/>
    <w:multiLevelType w:val="multilevel"/>
    <w:tmpl w:val="45D46DAC"/>
    <w:styleLink w:val="WWNum4"/>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7F360CDC"/>
    <w:multiLevelType w:val="hybridMultilevel"/>
    <w:tmpl w:val="EFA40150"/>
    <w:lvl w:ilvl="0" w:tplc="D55A668A">
      <w:start w:val="1"/>
      <w:numFmt w:val="decimal"/>
      <w:lvlText w:val="%1."/>
      <w:lvlJc w:val="left"/>
      <w:pPr>
        <w:tabs>
          <w:tab w:val="num" w:pos="720"/>
        </w:tabs>
        <w:ind w:left="720" w:hanging="360"/>
      </w:pPr>
      <w:rPr>
        <w:rFonts w:ascii="Times New Roman" w:hAnsi="Times New Roman"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F390CB7"/>
    <w:multiLevelType w:val="multilevel"/>
    <w:tmpl w:val="EA80C0C4"/>
    <w:styleLink w:val="WWNum18"/>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7F4E1D3F"/>
    <w:multiLevelType w:val="multilevel"/>
    <w:tmpl w:val="872C3706"/>
    <w:styleLink w:val="WWNum11"/>
    <w:lvl w:ilvl="0">
      <w:numFmt w:val="bullet"/>
      <w:lvlText w:val=""/>
      <w:lvlJc w:val="left"/>
      <w:rPr>
        <w:sz w:val="20"/>
        <w:szCs w:val="20"/>
      </w:rPr>
    </w:lvl>
    <w:lvl w:ilvl="1">
      <w:numFmt w:val="bullet"/>
      <w:lvlText w:val="o"/>
      <w:lvlJc w:val="left"/>
      <w:rPr>
        <w:sz w:val="20"/>
        <w:szCs w:val="20"/>
      </w:rPr>
    </w:lvl>
    <w:lvl w:ilvl="2">
      <w:numFmt w:val="bullet"/>
      <w:lvlText w:val=""/>
      <w:lvlJc w:val="left"/>
      <w:rPr>
        <w:sz w:val="20"/>
        <w:szCs w:val="20"/>
      </w:rPr>
    </w:lvl>
    <w:lvl w:ilvl="3">
      <w:numFmt w:val="bullet"/>
      <w:lvlText w:val=""/>
      <w:lvlJc w:val="left"/>
      <w:rPr>
        <w:sz w:val="20"/>
        <w:szCs w:val="20"/>
      </w:rPr>
    </w:lvl>
    <w:lvl w:ilvl="4">
      <w:numFmt w:val="bullet"/>
      <w:lvlText w:val=""/>
      <w:lvlJc w:val="left"/>
      <w:rPr>
        <w:sz w:val="20"/>
        <w:szCs w:val="20"/>
      </w:rPr>
    </w:lvl>
    <w:lvl w:ilvl="5">
      <w:numFmt w:val="bullet"/>
      <w:lvlText w:val=""/>
      <w:lvlJc w:val="left"/>
      <w:rPr>
        <w:sz w:val="20"/>
        <w:szCs w:val="20"/>
      </w:rPr>
    </w:lvl>
    <w:lvl w:ilvl="6">
      <w:numFmt w:val="bullet"/>
      <w:lvlText w:val=""/>
      <w:lvlJc w:val="left"/>
      <w:rPr>
        <w:sz w:val="20"/>
        <w:szCs w:val="20"/>
      </w:rPr>
    </w:lvl>
    <w:lvl w:ilvl="7">
      <w:numFmt w:val="bullet"/>
      <w:lvlText w:val=""/>
      <w:lvlJc w:val="left"/>
      <w:rPr>
        <w:sz w:val="20"/>
        <w:szCs w:val="20"/>
      </w:rPr>
    </w:lvl>
    <w:lvl w:ilvl="8">
      <w:numFmt w:val="bullet"/>
      <w:lvlText w:val=""/>
      <w:lvlJc w:val="left"/>
      <w:rPr>
        <w:sz w:val="20"/>
        <w:szCs w:val="20"/>
      </w:rPr>
    </w:lvl>
  </w:abstractNum>
  <w:num w:numId="1">
    <w:abstractNumId w:val="15"/>
  </w:num>
  <w:num w:numId="2">
    <w:abstractNumId w:val="13"/>
  </w:num>
  <w:num w:numId="3">
    <w:abstractNumId w:val="30"/>
  </w:num>
  <w:num w:numId="4">
    <w:abstractNumId w:val="32"/>
  </w:num>
  <w:num w:numId="5">
    <w:abstractNumId w:val="22"/>
  </w:num>
  <w:num w:numId="6">
    <w:abstractNumId w:val="1"/>
  </w:num>
  <w:num w:numId="7">
    <w:abstractNumId w:val="28"/>
  </w:num>
  <w:num w:numId="8">
    <w:abstractNumId w:val="21"/>
  </w:num>
  <w:num w:numId="9">
    <w:abstractNumId w:val="10"/>
  </w:num>
  <w:num w:numId="10">
    <w:abstractNumId w:val="7"/>
  </w:num>
  <w:num w:numId="11">
    <w:abstractNumId w:val="35"/>
  </w:num>
  <w:num w:numId="12">
    <w:abstractNumId w:val="12"/>
  </w:num>
  <w:num w:numId="13">
    <w:abstractNumId w:val="24"/>
  </w:num>
  <w:num w:numId="14">
    <w:abstractNumId w:val="8"/>
  </w:num>
  <w:num w:numId="15">
    <w:abstractNumId w:val="3"/>
  </w:num>
  <w:num w:numId="16">
    <w:abstractNumId w:val="5"/>
  </w:num>
  <w:num w:numId="17">
    <w:abstractNumId w:val="20"/>
  </w:num>
  <w:num w:numId="18">
    <w:abstractNumId w:val="34"/>
  </w:num>
  <w:num w:numId="19">
    <w:abstractNumId w:val="23"/>
  </w:num>
  <w:num w:numId="20">
    <w:abstractNumId w:val="27"/>
  </w:num>
  <w:num w:numId="21">
    <w:abstractNumId w:val="9"/>
  </w:num>
  <w:num w:numId="22">
    <w:abstractNumId w:val="16"/>
  </w:num>
  <w:num w:numId="23">
    <w:abstractNumId w:val="25"/>
  </w:num>
  <w:num w:numId="24">
    <w:abstractNumId w:val="2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5">
    <w:abstractNumId w:val="2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6">
    <w:abstractNumId w:val="2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7">
    <w:abstractNumId w:val="4"/>
  </w:num>
  <w:num w:numId="28">
    <w:abstractNumId w:val="14"/>
  </w:num>
  <w:num w:numId="29">
    <w:abstractNumId w:val="11"/>
  </w:num>
  <w:num w:numId="30">
    <w:abstractNumId w:val="2"/>
  </w:num>
  <w:num w:numId="31">
    <w:abstractNumId w:val="17"/>
  </w:num>
  <w:num w:numId="32">
    <w:abstractNumId w:val="31"/>
  </w:num>
  <w:num w:numId="33">
    <w:abstractNumId w:val="0"/>
  </w:num>
  <w:num w:numId="34">
    <w:abstractNumId w:val="33"/>
  </w:num>
  <w:num w:numId="35">
    <w:abstractNumId w:val="19"/>
  </w:num>
  <w:num w:numId="36">
    <w:abstractNumId w:val="18"/>
  </w:num>
  <w:num w:numId="37">
    <w:abstractNumId w:val="29"/>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autoHyphenation/>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czMDQzszSwNDYxNDJR0lEKTi0uzszPAykwrAUAMvca/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30D12"/>
    <w:rsid w:val="00012A87"/>
    <w:rsid w:val="00015144"/>
    <w:rsid w:val="00015AE1"/>
    <w:rsid w:val="00030D12"/>
    <w:rsid w:val="00032AB7"/>
    <w:rsid w:val="00035F70"/>
    <w:rsid w:val="00037873"/>
    <w:rsid w:val="00042925"/>
    <w:rsid w:val="00046E9C"/>
    <w:rsid w:val="0006601E"/>
    <w:rsid w:val="000661CA"/>
    <w:rsid w:val="00083ECD"/>
    <w:rsid w:val="00091805"/>
    <w:rsid w:val="00092A8D"/>
    <w:rsid w:val="00092E1A"/>
    <w:rsid w:val="000A4F16"/>
    <w:rsid w:val="000B2A73"/>
    <w:rsid w:val="000B442F"/>
    <w:rsid w:val="000B4F8A"/>
    <w:rsid w:val="000B6961"/>
    <w:rsid w:val="000C036F"/>
    <w:rsid w:val="000C0E71"/>
    <w:rsid w:val="000C7215"/>
    <w:rsid w:val="000E2D4F"/>
    <w:rsid w:val="000E3D35"/>
    <w:rsid w:val="000E49B0"/>
    <w:rsid w:val="000E65D0"/>
    <w:rsid w:val="000E7341"/>
    <w:rsid w:val="000E7E26"/>
    <w:rsid w:val="000F2DEF"/>
    <w:rsid w:val="000F4ED5"/>
    <w:rsid w:val="000F5222"/>
    <w:rsid w:val="0010242C"/>
    <w:rsid w:val="00103FE5"/>
    <w:rsid w:val="0011062F"/>
    <w:rsid w:val="001113DF"/>
    <w:rsid w:val="001164DA"/>
    <w:rsid w:val="001204BF"/>
    <w:rsid w:val="00125024"/>
    <w:rsid w:val="00132012"/>
    <w:rsid w:val="00141751"/>
    <w:rsid w:val="001511BE"/>
    <w:rsid w:val="00151DE3"/>
    <w:rsid w:val="00152A0E"/>
    <w:rsid w:val="00166D0D"/>
    <w:rsid w:val="001759F7"/>
    <w:rsid w:val="001770BD"/>
    <w:rsid w:val="001827D2"/>
    <w:rsid w:val="00183856"/>
    <w:rsid w:val="0018473D"/>
    <w:rsid w:val="00187B9C"/>
    <w:rsid w:val="00193CDB"/>
    <w:rsid w:val="001A0330"/>
    <w:rsid w:val="001A120A"/>
    <w:rsid w:val="001A3453"/>
    <w:rsid w:val="001A438B"/>
    <w:rsid w:val="001A4452"/>
    <w:rsid w:val="001A665D"/>
    <w:rsid w:val="001B65EE"/>
    <w:rsid w:val="001B6666"/>
    <w:rsid w:val="001B73EE"/>
    <w:rsid w:val="001C4A6C"/>
    <w:rsid w:val="001C4FE1"/>
    <w:rsid w:val="001C5B2D"/>
    <w:rsid w:val="001D058F"/>
    <w:rsid w:val="001D4739"/>
    <w:rsid w:val="001D5A52"/>
    <w:rsid w:val="001D62F5"/>
    <w:rsid w:val="001E219F"/>
    <w:rsid w:val="001F444F"/>
    <w:rsid w:val="001F45EF"/>
    <w:rsid w:val="001F4654"/>
    <w:rsid w:val="00200673"/>
    <w:rsid w:val="002028AB"/>
    <w:rsid w:val="00204E25"/>
    <w:rsid w:val="0021019B"/>
    <w:rsid w:val="002155ED"/>
    <w:rsid w:val="00216247"/>
    <w:rsid w:val="00230F5E"/>
    <w:rsid w:val="00234E6B"/>
    <w:rsid w:val="00243937"/>
    <w:rsid w:val="002478DE"/>
    <w:rsid w:val="00250A90"/>
    <w:rsid w:val="002530C3"/>
    <w:rsid w:val="00254CB6"/>
    <w:rsid w:val="00255A98"/>
    <w:rsid w:val="00256723"/>
    <w:rsid w:val="00264762"/>
    <w:rsid w:val="002660A5"/>
    <w:rsid w:val="00266E59"/>
    <w:rsid w:val="002908E2"/>
    <w:rsid w:val="00292695"/>
    <w:rsid w:val="002A0CB0"/>
    <w:rsid w:val="002A2EC3"/>
    <w:rsid w:val="002A5BD3"/>
    <w:rsid w:val="002A69EE"/>
    <w:rsid w:val="002B22AD"/>
    <w:rsid w:val="002B4D41"/>
    <w:rsid w:val="002B51DA"/>
    <w:rsid w:val="002C3706"/>
    <w:rsid w:val="002C5EB6"/>
    <w:rsid w:val="002C63AB"/>
    <w:rsid w:val="002C6D81"/>
    <w:rsid w:val="002C7648"/>
    <w:rsid w:val="002D5C04"/>
    <w:rsid w:val="002E3A2C"/>
    <w:rsid w:val="002E50B0"/>
    <w:rsid w:val="002E7AA3"/>
    <w:rsid w:val="002F3C5E"/>
    <w:rsid w:val="002F575B"/>
    <w:rsid w:val="002F5A7F"/>
    <w:rsid w:val="0030721B"/>
    <w:rsid w:val="003162D8"/>
    <w:rsid w:val="00317586"/>
    <w:rsid w:val="003175DA"/>
    <w:rsid w:val="0032241E"/>
    <w:rsid w:val="00323619"/>
    <w:rsid w:val="003251D5"/>
    <w:rsid w:val="00330E5A"/>
    <w:rsid w:val="0035191F"/>
    <w:rsid w:val="00352F86"/>
    <w:rsid w:val="003719AB"/>
    <w:rsid w:val="003736DF"/>
    <w:rsid w:val="00380F01"/>
    <w:rsid w:val="00383B0E"/>
    <w:rsid w:val="00392B9F"/>
    <w:rsid w:val="00392EF4"/>
    <w:rsid w:val="00397300"/>
    <w:rsid w:val="0039747E"/>
    <w:rsid w:val="00397C05"/>
    <w:rsid w:val="003A2866"/>
    <w:rsid w:val="003A57BC"/>
    <w:rsid w:val="003B0094"/>
    <w:rsid w:val="003B0729"/>
    <w:rsid w:val="003B0CFB"/>
    <w:rsid w:val="003B28C3"/>
    <w:rsid w:val="003B3BD7"/>
    <w:rsid w:val="003C1306"/>
    <w:rsid w:val="003C2963"/>
    <w:rsid w:val="003C32BB"/>
    <w:rsid w:val="003C5631"/>
    <w:rsid w:val="003D2629"/>
    <w:rsid w:val="003D508A"/>
    <w:rsid w:val="003D7B47"/>
    <w:rsid w:val="003E0FCD"/>
    <w:rsid w:val="003E23C7"/>
    <w:rsid w:val="003E273C"/>
    <w:rsid w:val="003E7B71"/>
    <w:rsid w:val="003F300D"/>
    <w:rsid w:val="003F7DD7"/>
    <w:rsid w:val="004003CD"/>
    <w:rsid w:val="00405501"/>
    <w:rsid w:val="00405B6C"/>
    <w:rsid w:val="00417DDF"/>
    <w:rsid w:val="00420FF9"/>
    <w:rsid w:val="00421799"/>
    <w:rsid w:val="00424926"/>
    <w:rsid w:val="00427A33"/>
    <w:rsid w:val="00427A77"/>
    <w:rsid w:val="00431F8A"/>
    <w:rsid w:val="00437881"/>
    <w:rsid w:val="00437933"/>
    <w:rsid w:val="00440DAF"/>
    <w:rsid w:val="00441BD9"/>
    <w:rsid w:val="0044229D"/>
    <w:rsid w:val="004475D7"/>
    <w:rsid w:val="00451269"/>
    <w:rsid w:val="0045395A"/>
    <w:rsid w:val="00454E2C"/>
    <w:rsid w:val="00457C71"/>
    <w:rsid w:val="004721F6"/>
    <w:rsid w:val="00472530"/>
    <w:rsid w:val="004731AE"/>
    <w:rsid w:val="004739CE"/>
    <w:rsid w:val="00474FBC"/>
    <w:rsid w:val="004822F8"/>
    <w:rsid w:val="00484A79"/>
    <w:rsid w:val="00494551"/>
    <w:rsid w:val="00497314"/>
    <w:rsid w:val="004973DB"/>
    <w:rsid w:val="00497AFD"/>
    <w:rsid w:val="004A22A6"/>
    <w:rsid w:val="004A2AC0"/>
    <w:rsid w:val="004A2D44"/>
    <w:rsid w:val="004A538B"/>
    <w:rsid w:val="004A68B7"/>
    <w:rsid w:val="004B5A80"/>
    <w:rsid w:val="004B66F9"/>
    <w:rsid w:val="004B7778"/>
    <w:rsid w:val="004C4672"/>
    <w:rsid w:val="004D0496"/>
    <w:rsid w:val="004D1F5F"/>
    <w:rsid w:val="004D32C3"/>
    <w:rsid w:val="004D4485"/>
    <w:rsid w:val="004D462D"/>
    <w:rsid w:val="004D59C4"/>
    <w:rsid w:val="004E3ECF"/>
    <w:rsid w:val="004E755B"/>
    <w:rsid w:val="004E769F"/>
    <w:rsid w:val="004E7CC4"/>
    <w:rsid w:val="004F20AB"/>
    <w:rsid w:val="004F5E5B"/>
    <w:rsid w:val="004F7039"/>
    <w:rsid w:val="00502496"/>
    <w:rsid w:val="00510B3F"/>
    <w:rsid w:val="0051278A"/>
    <w:rsid w:val="00514008"/>
    <w:rsid w:val="00516FA0"/>
    <w:rsid w:val="005257B7"/>
    <w:rsid w:val="00525ED4"/>
    <w:rsid w:val="005270CE"/>
    <w:rsid w:val="00527618"/>
    <w:rsid w:val="00532AD4"/>
    <w:rsid w:val="00535828"/>
    <w:rsid w:val="00540D5B"/>
    <w:rsid w:val="00544406"/>
    <w:rsid w:val="00551ECC"/>
    <w:rsid w:val="005557BB"/>
    <w:rsid w:val="005571DD"/>
    <w:rsid w:val="00561E2A"/>
    <w:rsid w:val="005644D2"/>
    <w:rsid w:val="00565CB0"/>
    <w:rsid w:val="005749A0"/>
    <w:rsid w:val="00576541"/>
    <w:rsid w:val="005A3192"/>
    <w:rsid w:val="005B64EF"/>
    <w:rsid w:val="005C4F47"/>
    <w:rsid w:val="005C5AB8"/>
    <w:rsid w:val="005C618D"/>
    <w:rsid w:val="005C7D48"/>
    <w:rsid w:val="005D0F40"/>
    <w:rsid w:val="005D212A"/>
    <w:rsid w:val="005D6289"/>
    <w:rsid w:val="005D640D"/>
    <w:rsid w:val="005E43EF"/>
    <w:rsid w:val="005F4590"/>
    <w:rsid w:val="00602088"/>
    <w:rsid w:val="006050EE"/>
    <w:rsid w:val="00611765"/>
    <w:rsid w:val="0061272B"/>
    <w:rsid w:val="00614CDD"/>
    <w:rsid w:val="00616AAE"/>
    <w:rsid w:val="0061727E"/>
    <w:rsid w:val="0062764D"/>
    <w:rsid w:val="00642305"/>
    <w:rsid w:val="0065328C"/>
    <w:rsid w:val="00655399"/>
    <w:rsid w:val="006600AF"/>
    <w:rsid w:val="00661527"/>
    <w:rsid w:val="00663A9C"/>
    <w:rsid w:val="006719EF"/>
    <w:rsid w:val="00675CAF"/>
    <w:rsid w:val="00676A67"/>
    <w:rsid w:val="0068053F"/>
    <w:rsid w:val="00681865"/>
    <w:rsid w:val="00684C1B"/>
    <w:rsid w:val="0068597C"/>
    <w:rsid w:val="00686FBE"/>
    <w:rsid w:val="006A4B03"/>
    <w:rsid w:val="006A71C8"/>
    <w:rsid w:val="006B0340"/>
    <w:rsid w:val="006B2087"/>
    <w:rsid w:val="006B3573"/>
    <w:rsid w:val="006B72CD"/>
    <w:rsid w:val="006C0894"/>
    <w:rsid w:val="006C5946"/>
    <w:rsid w:val="006D06F9"/>
    <w:rsid w:val="006D1AB7"/>
    <w:rsid w:val="006D415A"/>
    <w:rsid w:val="006D4BCE"/>
    <w:rsid w:val="006E0CB9"/>
    <w:rsid w:val="006E553A"/>
    <w:rsid w:val="006F3DDD"/>
    <w:rsid w:val="0070384F"/>
    <w:rsid w:val="0072423E"/>
    <w:rsid w:val="00732397"/>
    <w:rsid w:val="0073348B"/>
    <w:rsid w:val="00753CD5"/>
    <w:rsid w:val="00756523"/>
    <w:rsid w:val="0075669C"/>
    <w:rsid w:val="00757274"/>
    <w:rsid w:val="00760D31"/>
    <w:rsid w:val="0076228F"/>
    <w:rsid w:val="00762F9C"/>
    <w:rsid w:val="007649F3"/>
    <w:rsid w:val="00773236"/>
    <w:rsid w:val="007734BA"/>
    <w:rsid w:val="00777A1C"/>
    <w:rsid w:val="007800E7"/>
    <w:rsid w:val="00781908"/>
    <w:rsid w:val="00786EE0"/>
    <w:rsid w:val="007919AE"/>
    <w:rsid w:val="00792B40"/>
    <w:rsid w:val="007939F6"/>
    <w:rsid w:val="00797272"/>
    <w:rsid w:val="007A1A0F"/>
    <w:rsid w:val="007A23FE"/>
    <w:rsid w:val="007B19F6"/>
    <w:rsid w:val="007B30EA"/>
    <w:rsid w:val="007B36AB"/>
    <w:rsid w:val="007B546F"/>
    <w:rsid w:val="007C0B6B"/>
    <w:rsid w:val="007C544D"/>
    <w:rsid w:val="007D0371"/>
    <w:rsid w:val="007D260B"/>
    <w:rsid w:val="007D5D30"/>
    <w:rsid w:val="007D75F6"/>
    <w:rsid w:val="007E7B66"/>
    <w:rsid w:val="007F11FA"/>
    <w:rsid w:val="007F204C"/>
    <w:rsid w:val="007F578E"/>
    <w:rsid w:val="0080206C"/>
    <w:rsid w:val="00802C91"/>
    <w:rsid w:val="00810934"/>
    <w:rsid w:val="00813B00"/>
    <w:rsid w:val="008219CA"/>
    <w:rsid w:val="00823248"/>
    <w:rsid w:val="0082341A"/>
    <w:rsid w:val="00827188"/>
    <w:rsid w:val="00832F72"/>
    <w:rsid w:val="00833798"/>
    <w:rsid w:val="00834F46"/>
    <w:rsid w:val="00836AC5"/>
    <w:rsid w:val="008464EE"/>
    <w:rsid w:val="00852681"/>
    <w:rsid w:val="00853520"/>
    <w:rsid w:val="00870915"/>
    <w:rsid w:val="00874C4A"/>
    <w:rsid w:val="00877C0B"/>
    <w:rsid w:val="00880076"/>
    <w:rsid w:val="00882CCA"/>
    <w:rsid w:val="00884A65"/>
    <w:rsid w:val="0088743F"/>
    <w:rsid w:val="0089037F"/>
    <w:rsid w:val="00893CC4"/>
    <w:rsid w:val="008A3E91"/>
    <w:rsid w:val="008A50D3"/>
    <w:rsid w:val="008B04FD"/>
    <w:rsid w:val="008C379F"/>
    <w:rsid w:val="008C41ED"/>
    <w:rsid w:val="008D257A"/>
    <w:rsid w:val="008D2938"/>
    <w:rsid w:val="008D2CB6"/>
    <w:rsid w:val="008D3D4C"/>
    <w:rsid w:val="008D7920"/>
    <w:rsid w:val="008E6586"/>
    <w:rsid w:val="008F49C3"/>
    <w:rsid w:val="008F4B92"/>
    <w:rsid w:val="008F6E73"/>
    <w:rsid w:val="009049D0"/>
    <w:rsid w:val="00911D4D"/>
    <w:rsid w:val="0092202C"/>
    <w:rsid w:val="00933551"/>
    <w:rsid w:val="0094003A"/>
    <w:rsid w:val="00955AB2"/>
    <w:rsid w:val="00957962"/>
    <w:rsid w:val="00957DE2"/>
    <w:rsid w:val="00962063"/>
    <w:rsid w:val="00966AA6"/>
    <w:rsid w:val="00971B2E"/>
    <w:rsid w:val="009808BF"/>
    <w:rsid w:val="009813E8"/>
    <w:rsid w:val="00981AA7"/>
    <w:rsid w:val="009841A0"/>
    <w:rsid w:val="00985AD4"/>
    <w:rsid w:val="00992EF9"/>
    <w:rsid w:val="00997F27"/>
    <w:rsid w:val="009A0E34"/>
    <w:rsid w:val="009A1F42"/>
    <w:rsid w:val="009A311E"/>
    <w:rsid w:val="009A5BFA"/>
    <w:rsid w:val="009B1D8F"/>
    <w:rsid w:val="009B6AC1"/>
    <w:rsid w:val="009C48D3"/>
    <w:rsid w:val="009D6711"/>
    <w:rsid w:val="009D7F4A"/>
    <w:rsid w:val="009E0BD2"/>
    <w:rsid w:val="009E2F1D"/>
    <w:rsid w:val="009E3B15"/>
    <w:rsid w:val="009E5B85"/>
    <w:rsid w:val="009F62BC"/>
    <w:rsid w:val="009F6D13"/>
    <w:rsid w:val="00A046D6"/>
    <w:rsid w:val="00A0618C"/>
    <w:rsid w:val="00A114A1"/>
    <w:rsid w:val="00A11B35"/>
    <w:rsid w:val="00A159A5"/>
    <w:rsid w:val="00A1777D"/>
    <w:rsid w:val="00A20385"/>
    <w:rsid w:val="00A269EC"/>
    <w:rsid w:val="00A3124C"/>
    <w:rsid w:val="00A34205"/>
    <w:rsid w:val="00A44F44"/>
    <w:rsid w:val="00A477CC"/>
    <w:rsid w:val="00A52B88"/>
    <w:rsid w:val="00A52BEA"/>
    <w:rsid w:val="00A56EF6"/>
    <w:rsid w:val="00A66A14"/>
    <w:rsid w:val="00A742A7"/>
    <w:rsid w:val="00A748DA"/>
    <w:rsid w:val="00A749D3"/>
    <w:rsid w:val="00A8210A"/>
    <w:rsid w:val="00A84044"/>
    <w:rsid w:val="00A85845"/>
    <w:rsid w:val="00A90DFD"/>
    <w:rsid w:val="00A94DFC"/>
    <w:rsid w:val="00AA10B4"/>
    <w:rsid w:val="00AA1575"/>
    <w:rsid w:val="00AA15A4"/>
    <w:rsid w:val="00AA1B86"/>
    <w:rsid w:val="00AA3E0F"/>
    <w:rsid w:val="00AA5764"/>
    <w:rsid w:val="00AA74A7"/>
    <w:rsid w:val="00AB21B7"/>
    <w:rsid w:val="00AB2E3C"/>
    <w:rsid w:val="00AB6D55"/>
    <w:rsid w:val="00AB7665"/>
    <w:rsid w:val="00AC42A6"/>
    <w:rsid w:val="00AD0638"/>
    <w:rsid w:val="00AD2047"/>
    <w:rsid w:val="00AD2F1B"/>
    <w:rsid w:val="00AD5C22"/>
    <w:rsid w:val="00AE044E"/>
    <w:rsid w:val="00AE191A"/>
    <w:rsid w:val="00AF1A13"/>
    <w:rsid w:val="00AF28DA"/>
    <w:rsid w:val="00AF2FF4"/>
    <w:rsid w:val="00AF4C79"/>
    <w:rsid w:val="00AF6220"/>
    <w:rsid w:val="00AF62AE"/>
    <w:rsid w:val="00AF6995"/>
    <w:rsid w:val="00AF7B75"/>
    <w:rsid w:val="00B1662B"/>
    <w:rsid w:val="00B27A26"/>
    <w:rsid w:val="00B27EE9"/>
    <w:rsid w:val="00B32652"/>
    <w:rsid w:val="00B34976"/>
    <w:rsid w:val="00B5146F"/>
    <w:rsid w:val="00B524A6"/>
    <w:rsid w:val="00B5675C"/>
    <w:rsid w:val="00B60C3F"/>
    <w:rsid w:val="00B63C69"/>
    <w:rsid w:val="00B72995"/>
    <w:rsid w:val="00B75EEF"/>
    <w:rsid w:val="00B7730D"/>
    <w:rsid w:val="00B81A9F"/>
    <w:rsid w:val="00B834C3"/>
    <w:rsid w:val="00B878BF"/>
    <w:rsid w:val="00BA0B78"/>
    <w:rsid w:val="00BA444E"/>
    <w:rsid w:val="00BA5174"/>
    <w:rsid w:val="00BC13D5"/>
    <w:rsid w:val="00BC1AA0"/>
    <w:rsid w:val="00BC3882"/>
    <w:rsid w:val="00BC71D4"/>
    <w:rsid w:val="00BD728B"/>
    <w:rsid w:val="00BE136E"/>
    <w:rsid w:val="00BE3A50"/>
    <w:rsid w:val="00BE6B6F"/>
    <w:rsid w:val="00BF0677"/>
    <w:rsid w:val="00BF4D37"/>
    <w:rsid w:val="00BF5742"/>
    <w:rsid w:val="00C01D7A"/>
    <w:rsid w:val="00C02740"/>
    <w:rsid w:val="00C02789"/>
    <w:rsid w:val="00C029D5"/>
    <w:rsid w:val="00C05E22"/>
    <w:rsid w:val="00C065F3"/>
    <w:rsid w:val="00C10555"/>
    <w:rsid w:val="00C11008"/>
    <w:rsid w:val="00C11A6F"/>
    <w:rsid w:val="00C168AB"/>
    <w:rsid w:val="00C179DF"/>
    <w:rsid w:val="00C20EB2"/>
    <w:rsid w:val="00C248A6"/>
    <w:rsid w:val="00C26A50"/>
    <w:rsid w:val="00C32931"/>
    <w:rsid w:val="00C368E2"/>
    <w:rsid w:val="00C4020F"/>
    <w:rsid w:val="00C462AE"/>
    <w:rsid w:val="00C511FC"/>
    <w:rsid w:val="00C52FB0"/>
    <w:rsid w:val="00C5300A"/>
    <w:rsid w:val="00C53413"/>
    <w:rsid w:val="00C62031"/>
    <w:rsid w:val="00C6583A"/>
    <w:rsid w:val="00C724BB"/>
    <w:rsid w:val="00C754E3"/>
    <w:rsid w:val="00C822A2"/>
    <w:rsid w:val="00C84158"/>
    <w:rsid w:val="00C851F2"/>
    <w:rsid w:val="00C8635D"/>
    <w:rsid w:val="00C93250"/>
    <w:rsid w:val="00C96C36"/>
    <w:rsid w:val="00CA18F2"/>
    <w:rsid w:val="00CA6EFF"/>
    <w:rsid w:val="00CA7A2D"/>
    <w:rsid w:val="00CB2215"/>
    <w:rsid w:val="00CC3065"/>
    <w:rsid w:val="00CC49BB"/>
    <w:rsid w:val="00CC5101"/>
    <w:rsid w:val="00CD2C0B"/>
    <w:rsid w:val="00CD4D34"/>
    <w:rsid w:val="00CE06FD"/>
    <w:rsid w:val="00CE0A1F"/>
    <w:rsid w:val="00CE1125"/>
    <w:rsid w:val="00CE3674"/>
    <w:rsid w:val="00CE4CEE"/>
    <w:rsid w:val="00CF3362"/>
    <w:rsid w:val="00D02DE5"/>
    <w:rsid w:val="00D04D13"/>
    <w:rsid w:val="00D2263B"/>
    <w:rsid w:val="00D22E30"/>
    <w:rsid w:val="00D25A2B"/>
    <w:rsid w:val="00D30241"/>
    <w:rsid w:val="00D30A53"/>
    <w:rsid w:val="00D33E77"/>
    <w:rsid w:val="00D36027"/>
    <w:rsid w:val="00D41562"/>
    <w:rsid w:val="00D42FB0"/>
    <w:rsid w:val="00D43DF8"/>
    <w:rsid w:val="00D459D2"/>
    <w:rsid w:val="00D47708"/>
    <w:rsid w:val="00D5744A"/>
    <w:rsid w:val="00D71403"/>
    <w:rsid w:val="00D725D4"/>
    <w:rsid w:val="00D80904"/>
    <w:rsid w:val="00D80D0B"/>
    <w:rsid w:val="00D81421"/>
    <w:rsid w:val="00D83A41"/>
    <w:rsid w:val="00D912D1"/>
    <w:rsid w:val="00D96A8C"/>
    <w:rsid w:val="00DA009A"/>
    <w:rsid w:val="00DB03B8"/>
    <w:rsid w:val="00DB0684"/>
    <w:rsid w:val="00DB1902"/>
    <w:rsid w:val="00DB4E33"/>
    <w:rsid w:val="00DC2632"/>
    <w:rsid w:val="00DC65F3"/>
    <w:rsid w:val="00DC6E50"/>
    <w:rsid w:val="00DD38C5"/>
    <w:rsid w:val="00DD7EFC"/>
    <w:rsid w:val="00DE4D48"/>
    <w:rsid w:val="00DE6B5D"/>
    <w:rsid w:val="00DE7CDC"/>
    <w:rsid w:val="00DF185B"/>
    <w:rsid w:val="00E007A8"/>
    <w:rsid w:val="00E02AA4"/>
    <w:rsid w:val="00E035AA"/>
    <w:rsid w:val="00E04C3C"/>
    <w:rsid w:val="00E0678A"/>
    <w:rsid w:val="00E102CD"/>
    <w:rsid w:val="00E12154"/>
    <w:rsid w:val="00E277A3"/>
    <w:rsid w:val="00E3555D"/>
    <w:rsid w:val="00E37903"/>
    <w:rsid w:val="00E41C35"/>
    <w:rsid w:val="00E46C69"/>
    <w:rsid w:val="00E46D01"/>
    <w:rsid w:val="00E47A14"/>
    <w:rsid w:val="00E5179B"/>
    <w:rsid w:val="00E52901"/>
    <w:rsid w:val="00E542E5"/>
    <w:rsid w:val="00E63A92"/>
    <w:rsid w:val="00E73152"/>
    <w:rsid w:val="00E74068"/>
    <w:rsid w:val="00E753C3"/>
    <w:rsid w:val="00E778A2"/>
    <w:rsid w:val="00E77B3B"/>
    <w:rsid w:val="00E81E8B"/>
    <w:rsid w:val="00E82425"/>
    <w:rsid w:val="00E824A6"/>
    <w:rsid w:val="00E833DE"/>
    <w:rsid w:val="00E912C6"/>
    <w:rsid w:val="00E92FB1"/>
    <w:rsid w:val="00E93484"/>
    <w:rsid w:val="00EA2DC7"/>
    <w:rsid w:val="00EB081D"/>
    <w:rsid w:val="00EB358D"/>
    <w:rsid w:val="00EB3BE6"/>
    <w:rsid w:val="00EB3FD7"/>
    <w:rsid w:val="00EB57B3"/>
    <w:rsid w:val="00EB61B2"/>
    <w:rsid w:val="00EB7E8B"/>
    <w:rsid w:val="00ED32C2"/>
    <w:rsid w:val="00ED5C72"/>
    <w:rsid w:val="00ED6E1A"/>
    <w:rsid w:val="00ED7C3E"/>
    <w:rsid w:val="00EF0ED5"/>
    <w:rsid w:val="00EF359A"/>
    <w:rsid w:val="00EF59E0"/>
    <w:rsid w:val="00F02868"/>
    <w:rsid w:val="00F041FF"/>
    <w:rsid w:val="00F108C8"/>
    <w:rsid w:val="00F143B9"/>
    <w:rsid w:val="00F1594A"/>
    <w:rsid w:val="00F17B95"/>
    <w:rsid w:val="00F2235B"/>
    <w:rsid w:val="00F25B3B"/>
    <w:rsid w:val="00F25DA9"/>
    <w:rsid w:val="00F26059"/>
    <w:rsid w:val="00F41F98"/>
    <w:rsid w:val="00F565B4"/>
    <w:rsid w:val="00F657B7"/>
    <w:rsid w:val="00F75F2D"/>
    <w:rsid w:val="00F81782"/>
    <w:rsid w:val="00F8270E"/>
    <w:rsid w:val="00F86FC9"/>
    <w:rsid w:val="00F874E2"/>
    <w:rsid w:val="00F92A81"/>
    <w:rsid w:val="00F938BB"/>
    <w:rsid w:val="00F93FF0"/>
    <w:rsid w:val="00F94217"/>
    <w:rsid w:val="00F950C0"/>
    <w:rsid w:val="00F97909"/>
    <w:rsid w:val="00FA7EAC"/>
    <w:rsid w:val="00FB33CE"/>
    <w:rsid w:val="00FB5CA5"/>
    <w:rsid w:val="00FB7A41"/>
    <w:rsid w:val="00FC5EC8"/>
    <w:rsid w:val="00FD13FA"/>
    <w:rsid w:val="00FD1E4D"/>
    <w:rsid w:val="00FD6701"/>
    <w:rsid w:val="00FE1D95"/>
    <w:rsid w:val="00FE461F"/>
    <w:rsid w:val="00FE67E9"/>
    <w:rsid w:val="00FF0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B52C3"/>
  <w15:docId w15:val="{0B59F0EE-4797-466C-B8D3-2A3BF5A5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FA1"/>
    <w:pPr>
      <w:widowControl w:val="0"/>
      <w:suppressAutoHyphens/>
      <w:autoSpaceDN w:val="0"/>
      <w:textAlignment w:val="baseline"/>
    </w:pPr>
    <w:rPr>
      <w:kern w:val="3"/>
      <w:sz w:val="22"/>
      <w:szCs w:val="22"/>
      <w:lang w:val="en-GB" w:eastAsia="en-GB"/>
    </w:rPr>
  </w:style>
  <w:style w:type="paragraph" w:styleId="Heading1">
    <w:name w:val="heading 1"/>
    <w:basedOn w:val="Standard"/>
    <w:next w:val="Textbody"/>
    <w:link w:val="Heading1Char"/>
    <w:uiPriority w:val="99"/>
    <w:qFormat/>
    <w:rsid w:val="003E57B2"/>
    <w:pPr>
      <w:spacing w:before="28" w:after="28"/>
      <w:outlineLvl w:val="0"/>
    </w:pPr>
    <w:rPr>
      <w:b/>
      <w:bCs/>
      <w:sz w:val="48"/>
      <w:szCs w:val="48"/>
      <w:lang w:eastAsia="en-GB"/>
    </w:rPr>
  </w:style>
  <w:style w:type="paragraph" w:styleId="Heading2">
    <w:name w:val="heading 2"/>
    <w:basedOn w:val="Standard"/>
    <w:next w:val="Textbody"/>
    <w:link w:val="Heading2Char"/>
    <w:uiPriority w:val="99"/>
    <w:qFormat/>
    <w:rsid w:val="003E57B2"/>
    <w:pPr>
      <w:keepNext/>
      <w:keepLines/>
      <w:spacing w:before="200"/>
      <w:outlineLvl w:val="1"/>
    </w:pPr>
    <w:rPr>
      <w:rFonts w:ascii="Cambria" w:hAnsi="Cambria"/>
      <w:b/>
      <w:bCs/>
      <w:color w:val="4F81BD"/>
      <w:kern w:val="0"/>
      <w:sz w:val="26"/>
      <w:szCs w:val="26"/>
      <w:lang w:eastAsia="x-none"/>
    </w:rPr>
  </w:style>
  <w:style w:type="paragraph" w:styleId="Heading9">
    <w:name w:val="heading 9"/>
    <w:basedOn w:val="Normal"/>
    <w:next w:val="Normal"/>
    <w:link w:val="Heading9Char"/>
    <w:uiPriority w:val="9"/>
    <w:unhideWhenUsed/>
    <w:qFormat/>
    <w:rsid w:val="000E7E26"/>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57B2"/>
    <w:rPr>
      <w:b/>
      <w:bCs/>
      <w:kern w:val="3"/>
      <w:sz w:val="48"/>
      <w:szCs w:val="48"/>
      <w:lang w:val="en-GB" w:eastAsia="en-GB"/>
    </w:rPr>
  </w:style>
  <w:style w:type="character" w:customStyle="1" w:styleId="Heading2Char">
    <w:name w:val="Heading 2 Char"/>
    <w:link w:val="Heading2"/>
    <w:uiPriority w:val="99"/>
    <w:rsid w:val="003E57B2"/>
    <w:rPr>
      <w:rFonts w:ascii="Cambria" w:hAnsi="Cambria" w:cs="Cambria"/>
      <w:b/>
      <w:bCs/>
      <w:color w:val="4F81BD"/>
      <w:sz w:val="26"/>
      <w:szCs w:val="26"/>
      <w:lang w:val="en-GB"/>
    </w:rPr>
  </w:style>
  <w:style w:type="paragraph" w:customStyle="1" w:styleId="Standard">
    <w:name w:val="Standard"/>
    <w:uiPriority w:val="99"/>
    <w:rsid w:val="003E57B2"/>
    <w:pPr>
      <w:suppressAutoHyphens/>
      <w:autoSpaceDN w:val="0"/>
      <w:textAlignment w:val="baseline"/>
    </w:pPr>
    <w:rPr>
      <w:kern w:val="3"/>
      <w:sz w:val="24"/>
      <w:szCs w:val="24"/>
      <w:lang w:val="en-GB"/>
    </w:rPr>
  </w:style>
  <w:style w:type="paragraph" w:customStyle="1" w:styleId="Heading">
    <w:name w:val="Heading"/>
    <w:basedOn w:val="Standard"/>
    <w:next w:val="Textbody"/>
    <w:uiPriority w:val="99"/>
    <w:rsid w:val="003E57B2"/>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3E57B2"/>
    <w:pPr>
      <w:spacing w:after="120"/>
    </w:pPr>
  </w:style>
  <w:style w:type="paragraph" w:styleId="List">
    <w:name w:val="List"/>
    <w:basedOn w:val="Textbody"/>
    <w:uiPriority w:val="99"/>
    <w:rsid w:val="003E57B2"/>
  </w:style>
  <w:style w:type="paragraph" w:styleId="Caption">
    <w:name w:val="caption"/>
    <w:basedOn w:val="Standard"/>
    <w:uiPriority w:val="99"/>
    <w:qFormat/>
    <w:rsid w:val="003E57B2"/>
    <w:pPr>
      <w:suppressLineNumbers/>
      <w:spacing w:before="120" w:after="120"/>
    </w:pPr>
    <w:rPr>
      <w:i/>
      <w:iCs/>
    </w:rPr>
  </w:style>
  <w:style w:type="paragraph" w:customStyle="1" w:styleId="Index">
    <w:name w:val="Index"/>
    <w:basedOn w:val="Standard"/>
    <w:uiPriority w:val="99"/>
    <w:rsid w:val="003E57B2"/>
    <w:pPr>
      <w:suppressLineNumbers/>
    </w:pPr>
  </w:style>
  <w:style w:type="paragraph" w:styleId="Footer">
    <w:name w:val="footer"/>
    <w:basedOn w:val="Standard"/>
    <w:link w:val="FooterChar"/>
    <w:uiPriority w:val="99"/>
    <w:rsid w:val="003E57B2"/>
    <w:pPr>
      <w:suppressLineNumbers/>
      <w:tabs>
        <w:tab w:val="center" w:pos="4153"/>
        <w:tab w:val="right" w:pos="8306"/>
      </w:tabs>
    </w:pPr>
    <w:rPr>
      <w:kern w:val="0"/>
      <w:lang w:eastAsia="x-none"/>
    </w:rPr>
  </w:style>
  <w:style w:type="character" w:customStyle="1" w:styleId="FooterChar">
    <w:name w:val="Footer Char"/>
    <w:link w:val="Footer"/>
    <w:uiPriority w:val="99"/>
    <w:rsid w:val="003E57B2"/>
    <w:rPr>
      <w:sz w:val="24"/>
      <w:szCs w:val="24"/>
      <w:lang w:val="en-GB"/>
    </w:rPr>
  </w:style>
  <w:style w:type="paragraph" w:styleId="CommentText">
    <w:name w:val="annotation text"/>
    <w:basedOn w:val="Standard"/>
    <w:link w:val="CommentTextChar"/>
    <w:rsid w:val="003E57B2"/>
    <w:rPr>
      <w:kern w:val="0"/>
      <w:sz w:val="20"/>
      <w:szCs w:val="20"/>
      <w:lang w:val="x-none"/>
    </w:rPr>
  </w:style>
  <w:style w:type="character" w:customStyle="1" w:styleId="CommentTextChar">
    <w:name w:val="Comment Text Char"/>
    <w:link w:val="CommentText"/>
    <w:rsid w:val="003E57B2"/>
    <w:rPr>
      <w:lang w:eastAsia="en-US"/>
    </w:rPr>
  </w:style>
  <w:style w:type="paragraph" w:styleId="CommentSubject">
    <w:name w:val="annotation subject"/>
    <w:basedOn w:val="CommentText"/>
    <w:link w:val="CommentSubjectChar"/>
    <w:uiPriority w:val="99"/>
    <w:semiHidden/>
    <w:rsid w:val="003E57B2"/>
    <w:rPr>
      <w:b/>
      <w:bCs/>
      <w:lang w:val="en-GB"/>
    </w:rPr>
  </w:style>
  <w:style w:type="character" w:customStyle="1" w:styleId="CommentSubjectChar">
    <w:name w:val="Comment Subject Char"/>
    <w:link w:val="CommentSubject"/>
    <w:uiPriority w:val="99"/>
    <w:rsid w:val="003E57B2"/>
    <w:rPr>
      <w:b/>
      <w:bCs/>
      <w:sz w:val="20"/>
      <w:szCs w:val="20"/>
      <w:lang w:val="en-GB" w:eastAsia="en-US"/>
    </w:rPr>
  </w:style>
  <w:style w:type="paragraph" w:styleId="BalloonText">
    <w:name w:val="Balloon Text"/>
    <w:basedOn w:val="Standard"/>
    <w:link w:val="BalloonTextChar"/>
    <w:uiPriority w:val="99"/>
    <w:semiHidden/>
    <w:rsid w:val="001E2FA1"/>
    <w:rPr>
      <w:kern w:val="0"/>
      <w:sz w:val="16"/>
      <w:szCs w:val="2"/>
      <w:lang w:val="x-none" w:eastAsia="x-none"/>
    </w:rPr>
  </w:style>
  <w:style w:type="character" w:customStyle="1" w:styleId="BalloonTextChar">
    <w:name w:val="Balloon Text Char"/>
    <w:link w:val="BalloonText"/>
    <w:uiPriority w:val="99"/>
    <w:semiHidden/>
    <w:rsid w:val="001E2FA1"/>
    <w:rPr>
      <w:sz w:val="16"/>
      <w:szCs w:val="2"/>
      <w:lang w:eastAsia="x-none"/>
    </w:rPr>
  </w:style>
  <w:style w:type="paragraph" w:styleId="Header">
    <w:name w:val="header"/>
    <w:basedOn w:val="Standard"/>
    <w:link w:val="HeaderChar"/>
    <w:uiPriority w:val="99"/>
    <w:rsid w:val="003E57B2"/>
    <w:pPr>
      <w:suppressLineNumbers/>
      <w:tabs>
        <w:tab w:val="center" w:pos="4513"/>
        <w:tab w:val="right" w:pos="9026"/>
      </w:tabs>
    </w:pPr>
    <w:rPr>
      <w:kern w:val="0"/>
      <w:lang w:val="x-none"/>
    </w:rPr>
  </w:style>
  <w:style w:type="character" w:customStyle="1" w:styleId="HeaderChar">
    <w:name w:val="Header Char"/>
    <w:link w:val="Header"/>
    <w:uiPriority w:val="99"/>
    <w:rsid w:val="003E57B2"/>
    <w:rPr>
      <w:sz w:val="24"/>
      <w:szCs w:val="24"/>
      <w:lang w:eastAsia="en-US"/>
    </w:rPr>
  </w:style>
  <w:style w:type="paragraph" w:customStyle="1" w:styleId="SubtleEmphasis1">
    <w:name w:val="Subtle Emphasis1"/>
    <w:basedOn w:val="Standard"/>
    <w:uiPriority w:val="99"/>
    <w:qFormat/>
    <w:rsid w:val="003E57B2"/>
    <w:pPr>
      <w:ind w:left="720"/>
    </w:pPr>
  </w:style>
  <w:style w:type="paragraph" w:customStyle="1" w:styleId="affiliation-list-reveal">
    <w:name w:val="affiliation-list-reveal"/>
    <w:basedOn w:val="Standard"/>
    <w:uiPriority w:val="99"/>
    <w:rsid w:val="003E57B2"/>
    <w:pPr>
      <w:spacing w:before="28" w:after="28"/>
    </w:pPr>
    <w:rPr>
      <w:lang w:eastAsia="en-GB"/>
    </w:rPr>
  </w:style>
  <w:style w:type="paragraph" w:styleId="HTMLAddress">
    <w:name w:val="HTML Address"/>
    <w:basedOn w:val="Standard"/>
    <w:link w:val="HTMLAddressChar"/>
    <w:uiPriority w:val="99"/>
    <w:rsid w:val="003E57B2"/>
    <w:rPr>
      <w:i/>
      <w:iCs/>
      <w:kern w:val="0"/>
      <w:lang w:eastAsia="en-GB"/>
    </w:rPr>
  </w:style>
  <w:style w:type="character" w:customStyle="1" w:styleId="HTMLAddressChar">
    <w:name w:val="HTML Address Char"/>
    <w:link w:val="HTMLAddress"/>
    <w:uiPriority w:val="99"/>
    <w:rsid w:val="003E57B2"/>
    <w:rPr>
      <w:i/>
      <w:iCs/>
      <w:sz w:val="24"/>
      <w:szCs w:val="24"/>
      <w:lang w:val="en-GB" w:eastAsia="en-GB"/>
    </w:rPr>
  </w:style>
  <w:style w:type="paragraph" w:styleId="NormalWeb">
    <w:name w:val="Normal (Web)"/>
    <w:basedOn w:val="Standard"/>
    <w:uiPriority w:val="99"/>
    <w:rsid w:val="003E57B2"/>
    <w:pPr>
      <w:spacing w:before="28" w:after="28"/>
    </w:pPr>
    <w:rPr>
      <w:lang w:eastAsia="en-GB"/>
    </w:rPr>
  </w:style>
  <w:style w:type="paragraph" w:customStyle="1" w:styleId="TableContents">
    <w:name w:val="Table Contents"/>
    <w:basedOn w:val="Standard"/>
    <w:uiPriority w:val="99"/>
    <w:rsid w:val="003E57B2"/>
    <w:pPr>
      <w:suppressLineNumbers/>
    </w:pPr>
  </w:style>
  <w:style w:type="character" w:customStyle="1" w:styleId="Internetlink">
    <w:name w:val="Internet link"/>
    <w:uiPriority w:val="99"/>
    <w:rsid w:val="003E57B2"/>
    <w:rPr>
      <w:color w:val="0000FF"/>
      <w:u w:val="single"/>
    </w:rPr>
  </w:style>
  <w:style w:type="character" w:styleId="PageNumber">
    <w:name w:val="page number"/>
    <w:basedOn w:val="DefaultParagraphFont"/>
    <w:uiPriority w:val="99"/>
    <w:rsid w:val="003E57B2"/>
  </w:style>
  <w:style w:type="character" w:styleId="CommentReference">
    <w:name w:val="annotation reference"/>
    <w:rsid w:val="003E57B2"/>
    <w:rPr>
      <w:sz w:val="16"/>
      <w:szCs w:val="16"/>
    </w:rPr>
  </w:style>
  <w:style w:type="character" w:customStyle="1" w:styleId="st1">
    <w:name w:val="st1"/>
    <w:uiPriority w:val="99"/>
    <w:rsid w:val="003E57B2"/>
  </w:style>
  <w:style w:type="character" w:styleId="LineNumber">
    <w:name w:val="line number"/>
    <w:basedOn w:val="DefaultParagraphFont"/>
    <w:uiPriority w:val="99"/>
    <w:rsid w:val="003E57B2"/>
  </w:style>
  <w:style w:type="character" w:customStyle="1" w:styleId="name">
    <w:name w:val="name"/>
    <w:basedOn w:val="DefaultParagraphFont"/>
    <w:uiPriority w:val="99"/>
    <w:rsid w:val="003E57B2"/>
  </w:style>
  <w:style w:type="character" w:customStyle="1" w:styleId="addr-line">
    <w:name w:val="addr-line"/>
    <w:basedOn w:val="DefaultParagraphFont"/>
    <w:uiPriority w:val="99"/>
    <w:rsid w:val="003E57B2"/>
  </w:style>
  <w:style w:type="character" w:customStyle="1" w:styleId="authordegrees">
    <w:name w:val="authordegrees"/>
    <w:basedOn w:val="DefaultParagraphFont"/>
    <w:uiPriority w:val="99"/>
    <w:rsid w:val="003E57B2"/>
  </w:style>
  <w:style w:type="character" w:styleId="Emphasis">
    <w:name w:val="Emphasis"/>
    <w:qFormat/>
    <w:rsid w:val="003E57B2"/>
    <w:rPr>
      <w:i/>
      <w:iCs/>
    </w:rPr>
  </w:style>
  <w:style w:type="character" w:customStyle="1" w:styleId="ListLabel1">
    <w:name w:val="ListLabel 1"/>
    <w:uiPriority w:val="99"/>
    <w:rsid w:val="003E57B2"/>
    <w:rPr>
      <w:rFonts w:eastAsia="Times New Roman"/>
      <w:b/>
      <w:bCs/>
    </w:rPr>
  </w:style>
  <w:style w:type="character" w:customStyle="1" w:styleId="ListLabel2">
    <w:name w:val="ListLabel 2"/>
    <w:uiPriority w:val="99"/>
    <w:rsid w:val="003E57B2"/>
  </w:style>
  <w:style w:type="character" w:customStyle="1" w:styleId="ListLabel3">
    <w:name w:val="ListLabel 3"/>
    <w:uiPriority w:val="99"/>
    <w:rsid w:val="003E57B2"/>
  </w:style>
  <w:style w:type="character" w:customStyle="1" w:styleId="ListLabel4">
    <w:name w:val="ListLabel 4"/>
    <w:uiPriority w:val="99"/>
    <w:rsid w:val="003E57B2"/>
  </w:style>
  <w:style w:type="character" w:customStyle="1" w:styleId="ListLabel5">
    <w:name w:val="ListLabel 5"/>
    <w:uiPriority w:val="99"/>
    <w:rsid w:val="003E57B2"/>
    <w:rPr>
      <w:rFonts w:eastAsia="Times New Roman"/>
    </w:rPr>
  </w:style>
  <w:style w:type="character" w:customStyle="1" w:styleId="ListLabel6">
    <w:name w:val="ListLabel 6"/>
    <w:uiPriority w:val="99"/>
    <w:rsid w:val="003E57B2"/>
    <w:rPr>
      <w:sz w:val="20"/>
      <w:szCs w:val="20"/>
    </w:rPr>
  </w:style>
  <w:style w:type="character" w:customStyle="1" w:styleId="ListLabel7">
    <w:name w:val="ListLabel 7"/>
    <w:uiPriority w:val="99"/>
    <w:rsid w:val="003E57B2"/>
    <w:rPr>
      <w:sz w:val="20"/>
      <w:szCs w:val="20"/>
    </w:rPr>
  </w:style>
  <w:style w:type="character" w:customStyle="1" w:styleId="ListLabel8">
    <w:name w:val="ListLabel 8"/>
    <w:uiPriority w:val="99"/>
    <w:rsid w:val="003E57B2"/>
    <w:rPr>
      <w:sz w:val="20"/>
      <w:szCs w:val="20"/>
    </w:rPr>
  </w:style>
  <w:style w:type="character" w:customStyle="1" w:styleId="ListLabel9">
    <w:name w:val="ListLabel 9"/>
    <w:uiPriority w:val="99"/>
    <w:rsid w:val="003E57B2"/>
    <w:rPr>
      <w:rFonts w:eastAsia="Times New Roman"/>
    </w:rPr>
  </w:style>
  <w:style w:type="character" w:customStyle="1" w:styleId="Linenumbering">
    <w:name w:val="Line numbering"/>
    <w:uiPriority w:val="99"/>
    <w:rsid w:val="003E57B2"/>
  </w:style>
  <w:style w:type="table" w:styleId="TableGrid">
    <w:name w:val="Table Grid"/>
    <w:basedOn w:val="TableNormal"/>
    <w:uiPriority w:val="99"/>
    <w:rsid w:val="009D1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ug-doi-wrapper">
    <w:name w:val="slug-doi-wrapper"/>
    <w:basedOn w:val="DefaultParagraphFont"/>
    <w:uiPriority w:val="99"/>
    <w:rsid w:val="00545146"/>
  </w:style>
  <w:style w:type="character" w:customStyle="1" w:styleId="slug-doi">
    <w:name w:val="slug-doi"/>
    <w:basedOn w:val="DefaultParagraphFont"/>
    <w:rsid w:val="00545146"/>
  </w:style>
  <w:style w:type="character" w:customStyle="1" w:styleId="doi">
    <w:name w:val="doi"/>
    <w:basedOn w:val="DefaultParagraphFont"/>
    <w:uiPriority w:val="99"/>
    <w:rsid w:val="008A758C"/>
  </w:style>
  <w:style w:type="character" w:styleId="Hyperlink">
    <w:name w:val="Hyperlink"/>
    <w:uiPriority w:val="99"/>
    <w:rsid w:val="009310AD"/>
    <w:rPr>
      <w:color w:val="0000FF"/>
      <w:u w:val="single"/>
    </w:rPr>
  </w:style>
  <w:style w:type="paragraph" w:customStyle="1" w:styleId="ColorfulGrid-Accent61">
    <w:name w:val="Colorful Grid - Accent 61"/>
    <w:hidden/>
    <w:uiPriority w:val="99"/>
    <w:semiHidden/>
    <w:rsid w:val="00853EE1"/>
    <w:rPr>
      <w:kern w:val="3"/>
      <w:sz w:val="22"/>
      <w:szCs w:val="22"/>
      <w:lang w:val="en-GB" w:eastAsia="en-GB"/>
    </w:rPr>
  </w:style>
  <w:style w:type="character" w:customStyle="1" w:styleId="ref-journal">
    <w:name w:val="ref-journal"/>
    <w:basedOn w:val="DefaultParagraphFont"/>
    <w:uiPriority w:val="99"/>
    <w:rsid w:val="0042300A"/>
  </w:style>
  <w:style w:type="character" w:customStyle="1" w:styleId="ref-vol">
    <w:name w:val="ref-vol"/>
    <w:basedOn w:val="DefaultParagraphFont"/>
    <w:uiPriority w:val="99"/>
    <w:rsid w:val="0042300A"/>
  </w:style>
  <w:style w:type="character" w:customStyle="1" w:styleId="pagecontents">
    <w:name w:val="pagecontents"/>
    <w:basedOn w:val="DefaultParagraphFont"/>
    <w:uiPriority w:val="99"/>
    <w:rsid w:val="00986AD7"/>
  </w:style>
  <w:style w:type="numbering" w:customStyle="1" w:styleId="WWNum6">
    <w:name w:val="WWNum6"/>
    <w:rsid w:val="00CD54AC"/>
    <w:pPr>
      <w:numPr>
        <w:numId w:val="6"/>
      </w:numPr>
    </w:pPr>
  </w:style>
  <w:style w:type="numbering" w:customStyle="1" w:styleId="WWNum15">
    <w:name w:val="WWNum15"/>
    <w:rsid w:val="00CD54AC"/>
    <w:pPr>
      <w:numPr>
        <w:numId w:val="15"/>
      </w:numPr>
    </w:pPr>
  </w:style>
  <w:style w:type="numbering" w:customStyle="1" w:styleId="WWNum16">
    <w:name w:val="WWNum16"/>
    <w:rsid w:val="00CD54AC"/>
    <w:pPr>
      <w:numPr>
        <w:numId w:val="16"/>
      </w:numPr>
    </w:pPr>
  </w:style>
  <w:style w:type="numbering" w:customStyle="1" w:styleId="WWNum10">
    <w:name w:val="WWNum10"/>
    <w:rsid w:val="00CD54AC"/>
    <w:pPr>
      <w:numPr>
        <w:numId w:val="10"/>
      </w:numPr>
    </w:pPr>
  </w:style>
  <w:style w:type="numbering" w:customStyle="1" w:styleId="WWNum14">
    <w:name w:val="WWNum14"/>
    <w:rsid w:val="00CD54AC"/>
    <w:pPr>
      <w:numPr>
        <w:numId w:val="14"/>
      </w:numPr>
    </w:pPr>
  </w:style>
  <w:style w:type="numbering" w:customStyle="1" w:styleId="WWNum21">
    <w:name w:val="WWNum21"/>
    <w:rsid w:val="00CD54AC"/>
    <w:pPr>
      <w:numPr>
        <w:numId w:val="21"/>
      </w:numPr>
    </w:pPr>
  </w:style>
  <w:style w:type="numbering" w:customStyle="1" w:styleId="WWNum9">
    <w:name w:val="WWNum9"/>
    <w:rsid w:val="00CD54AC"/>
    <w:pPr>
      <w:numPr>
        <w:numId w:val="9"/>
      </w:numPr>
    </w:pPr>
  </w:style>
  <w:style w:type="numbering" w:customStyle="1" w:styleId="WWNum12">
    <w:name w:val="WWNum12"/>
    <w:rsid w:val="00CD54AC"/>
    <w:pPr>
      <w:numPr>
        <w:numId w:val="12"/>
      </w:numPr>
    </w:pPr>
  </w:style>
  <w:style w:type="numbering" w:customStyle="1" w:styleId="WWNum2">
    <w:name w:val="WWNum2"/>
    <w:rsid w:val="00CD54AC"/>
    <w:pPr>
      <w:numPr>
        <w:numId w:val="2"/>
      </w:numPr>
    </w:pPr>
  </w:style>
  <w:style w:type="numbering" w:customStyle="1" w:styleId="WWNum1">
    <w:name w:val="WWNum1"/>
    <w:rsid w:val="00CD54AC"/>
    <w:pPr>
      <w:numPr>
        <w:numId w:val="1"/>
      </w:numPr>
    </w:pPr>
  </w:style>
  <w:style w:type="numbering" w:customStyle="1" w:styleId="WWNum22">
    <w:name w:val="WWNum22"/>
    <w:rsid w:val="00CD54AC"/>
    <w:pPr>
      <w:numPr>
        <w:numId w:val="22"/>
      </w:numPr>
    </w:pPr>
  </w:style>
  <w:style w:type="numbering" w:customStyle="1" w:styleId="WWNum17">
    <w:name w:val="WWNum17"/>
    <w:rsid w:val="00CD54AC"/>
    <w:pPr>
      <w:numPr>
        <w:numId w:val="17"/>
      </w:numPr>
    </w:pPr>
  </w:style>
  <w:style w:type="numbering" w:customStyle="1" w:styleId="WWNum8">
    <w:name w:val="WWNum8"/>
    <w:rsid w:val="00CD54AC"/>
    <w:pPr>
      <w:numPr>
        <w:numId w:val="8"/>
      </w:numPr>
    </w:pPr>
  </w:style>
  <w:style w:type="numbering" w:customStyle="1" w:styleId="WWNum5">
    <w:name w:val="WWNum5"/>
    <w:rsid w:val="00CD54AC"/>
    <w:pPr>
      <w:numPr>
        <w:numId w:val="5"/>
      </w:numPr>
    </w:pPr>
  </w:style>
  <w:style w:type="numbering" w:customStyle="1" w:styleId="WWNum19">
    <w:name w:val="WWNum19"/>
    <w:rsid w:val="00CD54AC"/>
    <w:pPr>
      <w:numPr>
        <w:numId w:val="19"/>
      </w:numPr>
    </w:pPr>
  </w:style>
  <w:style w:type="numbering" w:customStyle="1" w:styleId="WWNum13">
    <w:name w:val="WWNum13"/>
    <w:rsid w:val="00CD54AC"/>
    <w:pPr>
      <w:numPr>
        <w:numId w:val="13"/>
      </w:numPr>
    </w:pPr>
  </w:style>
  <w:style w:type="numbering" w:customStyle="1" w:styleId="WWNum20">
    <w:name w:val="WWNum20"/>
    <w:rsid w:val="00CD54AC"/>
    <w:pPr>
      <w:numPr>
        <w:numId w:val="20"/>
      </w:numPr>
    </w:pPr>
  </w:style>
  <w:style w:type="numbering" w:customStyle="1" w:styleId="WWNum7">
    <w:name w:val="WWNum7"/>
    <w:rsid w:val="00CD54AC"/>
    <w:pPr>
      <w:numPr>
        <w:numId w:val="7"/>
      </w:numPr>
    </w:pPr>
  </w:style>
  <w:style w:type="numbering" w:customStyle="1" w:styleId="WWNum3">
    <w:name w:val="WWNum3"/>
    <w:rsid w:val="00CD54AC"/>
    <w:pPr>
      <w:numPr>
        <w:numId w:val="3"/>
      </w:numPr>
    </w:pPr>
  </w:style>
  <w:style w:type="numbering" w:customStyle="1" w:styleId="WWNum4">
    <w:name w:val="WWNum4"/>
    <w:rsid w:val="00CD54AC"/>
    <w:pPr>
      <w:numPr>
        <w:numId w:val="4"/>
      </w:numPr>
    </w:pPr>
  </w:style>
  <w:style w:type="numbering" w:customStyle="1" w:styleId="WWNum18">
    <w:name w:val="WWNum18"/>
    <w:rsid w:val="00CD54AC"/>
    <w:pPr>
      <w:numPr>
        <w:numId w:val="18"/>
      </w:numPr>
    </w:pPr>
  </w:style>
  <w:style w:type="numbering" w:customStyle="1" w:styleId="WWNum11">
    <w:name w:val="WWNum11"/>
    <w:rsid w:val="00CD54AC"/>
    <w:pPr>
      <w:numPr>
        <w:numId w:val="11"/>
      </w:numPr>
    </w:pPr>
  </w:style>
  <w:style w:type="character" w:customStyle="1" w:styleId="apple-converted-space">
    <w:name w:val="apple-converted-space"/>
    <w:rsid w:val="00107267"/>
  </w:style>
  <w:style w:type="character" w:customStyle="1" w:styleId="cit-authcit-collab">
    <w:name w:val="cit-auth cit-collab"/>
    <w:basedOn w:val="DefaultParagraphFont"/>
    <w:rsid w:val="00D71CAD"/>
  </w:style>
  <w:style w:type="character" w:customStyle="1" w:styleId="cit-article-title">
    <w:name w:val="cit-article-title"/>
    <w:basedOn w:val="DefaultParagraphFont"/>
    <w:rsid w:val="00D71CAD"/>
  </w:style>
  <w:style w:type="character" w:customStyle="1" w:styleId="cit-pub-date">
    <w:name w:val="cit-pub-date"/>
    <w:basedOn w:val="DefaultParagraphFont"/>
    <w:rsid w:val="00D71CAD"/>
  </w:style>
  <w:style w:type="character" w:customStyle="1" w:styleId="cit-fpage">
    <w:name w:val="cit-fpage"/>
    <w:basedOn w:val="DefaultParagraphFont"/>
    <w:rsid w:val="00D71CAD"/>
  </w:style>
  <w:style w:type="character" w:customStyle="1" w:styleId="cit-lpage">
    <w:name w:val="cit-lpage"/>
    <w:basedOn w:val="DefaultParagraphFont"/>
    <w:rsid w:val="00D71CAD"/>
  </w:style>
  <w:style w:type="paragraph" w:customStyle="1" w:styleId="Style1">
    <w:name w:val="Style1"/>
    <w:basedOn w:val="Normal"/>
    <w:qFormat/>
    <w:rsid w:val="007A613D"/>
    <w:pPr>
      <w:spacing w:line="480" w:lineRule="auto"/>
      <w:ind w:firstLine="720"/>
      <w:jc w:val="both"/>
    </w:pPr>
    <w:rPr>
      <w:sz w:val="20"/>
      <w:szCs w:val="20"/>
    </w:rPr>
  </w:style>
  <w:style w:type="character" w:styleId="HTMLCite">
    <w:name w:val="HTML Cite"/>
    <w:uiPriority w:val="99"/>
    <w:semiHidden/>
    <w:unhideWhenUsed/>
    <w:rsid w:val="00280986"/>
    <w:rPr>
      <w:i/>
      <w:iCs/>
    </w:rPr>
  </w:style>
  <w:style w:type="character" w:customStyle="1" w:styleId="slug-pop-date">
    <w:name w:val="slug-pop-date"/>
    <w:rsid w:val="00280986"/>
  </w:style>
  <w:style w:type="character" w:customStyle="1" w:styleId="pop-slug">
    <w:name w:val="pop-slug"/>
    <w:rsid w:val="00280986"/>
  </w:style>
  <w:style w:type="character" w:customStyle="1" w:styleId="slug-pub-date">
    <w:name w:val="slug-pub-date"/>
    <w:rsid w:val="00B8360E"/>
  </w:style>
  <w:style w:type="character" w:customStyle="1" w:styleId="slug-vol">
    <w:name w:val="slug-vol"/>
    <w:rsid w:val="00B8360E"/>
  </w:style>
  <w:style w:type="character" w:customStyle="1" w:styleId="slug-issue">
    <w:name w:val="slug-issue"/>
    <w:rsid w:val="00B8360E"/>
  </w:style>
  <w:style w:type="character" w:customStyle="1" w:styleId="slug-pages">
    <w:name w:val="slug-pages"/>
    <w:rsid w:val="00B8360E"/>
  </w:style>
  <w:style w:type="character" w:customStyle="1" w:styleId="citation">
    <w:name w:val="citation"/>
    <w:rsid w:val="00393FF1"/>
  </w:style>
  <w:style w:type="paragraph" w:customStyle="1" w:styleId="ColorfulGrid-Accent62">
    <w:name w:val="Colorful Grid - Accent 62"/>
    <w:hidden/>
    <w:uiPriority w:val="99"/>
    <w:semiHidden/>
    <w:rsid w:val="00427A33"/>
    <w:rPr>
      <w:kern w:val="3"/>
      <w:sz w:val="22"/>
      <w:szCs w:val="22"/>
      <w:lang w:val="en-GB" w:eastAsia="en-GB"/>
    </w:rPr>
  </w:style>
  <w:style w:type="paragraph" w:customStyle="1" w:styleId="EndNoteBibliographyTitle">
    <w:name w:val="EndNote Bibliography Title"/>
    <w:basedOn w:val="Normal"/>
    <w:rsid w:val="00EF359A"/>
    <w:pPr>
      <w:jc w:val="center"/>
    </w:pPr>
  </w:style>
  <w:style w:type="paragraph" w:customStyle="1" w:styleId="EndNoteBibliography">
    <w:name w:val="EndNote Bibliography"/>
    <w:basedOn w:val="Normal"/>
    <w:rsid w:val="00EF359A"/>
  </w:style>
  <w:style w:type="paragraph" w:customStyle="1" w:styleId="MediumGrid3-Accent51">
    <w:name w:val="Medium Grid 3 - Accent 51"/>
    <w:hidden/>
    <w:uiPriority w:val="71"/>
    <w:rsid w:val="00DD7EFC"/>
    <w:rPr>
      <w:kern w:val="3"/>
      <w:sz w:val="22"/>
      <w:szCs w:val="22"/>
      <w:lang w:val="en-GB" w:eastAsia="en-GB"/>
    </w:rPr>
  </w:style>
  <w:style w:type="paragraph" w:customStyle="1" w:styleId="DarkList-Accent31">
    <w:name w:val="Dark List - Accent 31"/>
    <w:hidden/>
    <w:uiPriority w:val="71"/>
    <w:rsid w:val="00D42FB0"/>
    <w:rPr>
      <w:kern w:val="3"/>
      <w:sz w:val="22"/>
      <w:szCs w:val="22"/>
      <w:lang w:val="en-GB" w:eastAsia="en-GB"/>
    </w:rPr>
  </w:style>
  <w:style w:type="character" w:styleId="FollowedHyperlink">
    <w:name w:val="FollowedHyperlink"/>
    <w:uiPriority w:val="99"/>
    <w:semiHidden/>
    <w:unhideWhenUsed/>
    <w:rsid w:val="00F97909"/>
    <w:rPr>
      <w:color w:val="954F72"/>
      <w:u w:val="single"/>
    </w:rPr>
  </w:style>
  <w:style w:type="character" w:styleId="Strong">
    <w:name w:val="Strong"/>
    <w:qFormat/>
    <w:rsid w:val="002530C3"/>
    <w:rPr>
      <w:b/>
      <w:bCs/>
    </w:rPr>
  </w:style>
  <w:style w:type="paragraph" w:customStyle="1" w:styleId="ColorfulShading-Accent11">
    <w:name w:val="Colorful Shading - Accent 11"/>
    <w:hidden/>
    <w:uiPriority w:val="71"/>
    <w:rsid w:val="00CD2C0B"/>
    <w:rPr>
      <w:kern w:val="3"/>
      <w:sz w:val="22"/>
      <w:szCs w:val="22"/>
      <w:lang w:val="en-GB" w:eastAsia="en-GB"/>
    </w:rPr>
  </w:style>
  <w:style w:type="character" w:customStyle="1" w:styleId="Heading9Char">
    <w:name w:val="Heading 9 Char"/>
    <w:link w:val="Heading9"/>
    <w:uiPriority w:val="9"/>
    <w:rsid w:val="000E7E26"/>
    <w:rPr>
      <w:rFonts w:ascii="Cambria" w:eastAsia="Times New Roman" w:hAnsi="Cambria" w:cs="Times New Roman"/>
      <w:kern w:val="3"/>
      <w:sz w:val="22"/>
      <w:szCs w:val="22"/>
    </w:rPr>
  </w:style>
  <w:style w:type="character" w:customStyle="1" w:styleId="slug-ahead-of-print-date">
    <w:name w:val="slug-ahead-of-print-date"/>
    <w:basedOn w:val="DefaultParagraphFont"/>
    <w:rsid w:val="00832F72"/>
  </w:style>
  <w:style w:type="paragraph" w:styleId="Revision">
    <w:name w:val="Revision"/>
    <w:hidden/>
    <w:uiPriority w:val="99"/>
    <w:semiHidden/>
    <w:rsid w:val="0039747E"/>
    <w:rPr>
      <w:kern w:val="3"/>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183">
      <w:marLeft w:val="0"/>
      <w:marRight w:val="0"/>
      <w:marTop w:val="0"/>
      <w:marBottom w:val="0"/>
      <w:divBdr>
        <w:top w:val="none" w:sz="0" w:space="0" w:color="auto"/>
        <w:left w:val="none" w:sz="0" w:space="0" w:color="auto"/>
        <w:bottom w:val="none" w:sz="0" w:space="0" w:color="auto"/>
        <w:right w:val="none" w:sz="0" w:space="0" w:color="auto"/>
      </w:divBdr>
      <w:divsChild>
        <w:div w:id="1207187">
          <w:marLeft w:val="0"/>
          <w:marRight w:val="0"/>
          <w:marTop w:val="0"/>
          <w:marBottom w:val="0"/>
          <w:divBdr>
            <w:top w:val="none" w:sz="0" w:space="0" w:color="auto"/>
            <w:left w:val="none" w:sz="0" w:space="0" w:color="auto"/>
            <w:bottom w:val="none" w:sz="0" w:space="0" w:color="auto"/>
            <w:right w:val="none" w:sz="0" w:space="0" w:color="auto"/>
          </w:divBdr>
        </w:div>
      </w:divsChild>
    </w:div>
    <w:div w:id="1207184">
      <w:marLeft w:val="0"/>
      <w:marRight w:val="0"/>
      <w:marTop w:val="0"/>
      <w:marBottom w:val="0"/>
      <w:divBdr>
        <w:top w:val="none" w:sz="0" w:space="0" w:color="auto"/>
        <w:left w:val="none" w:sz="0" w:space="0" w:color="auto"/>
        <w:bottom w:val="none" w:sz="0" w:space="0" w:color="auto"/>
        <w:right w:val="none" w:sz="0" w:space="0" w:color="auto"/>
      </w:divBdr>
      <w:divsChild>
        <w:div w:id="1207182">
          <w:marLeft w:val="0"/>
          <w:marRight w:val="0"/>
          <w:marTop w:val="0"/>
          <w:marBottom w:val="0"/>
          <w:divBdr>
            <w:top w:val="none" w:sz="0" w:space="0" w:color="auto"/>
            <w:left w:val="none" w:sz="0" w:space="0" w:color="auto"/>
            <w:bottom w:val="none" w:sz="0" w:space="0" w:color="auto"/>
            <w:right w:val="none" w:sz="0" w:space="0" w:color="auto"/>
          </w:divBdr>
        </w:div>
        <w:div w:id="1207185">
          <w:marLeft w:val="0"/>
          <w:marRight w:val="0"/>
          <w:marTop w:val="0"/>
          <w:marBottom w:val="0"/>
          <w:divBdr>
            <w:top w:val="none" w:sz="0" w:space="0" w:color="auto"/>
            <w:left w:val="none" w:sz="0" w:space="0" w:color="auto"/>
            <w:bottom w:val="none" w:sz="0" w:space="0" w:color="auto"/>
            <w:right w:val="none" w:sz="0" w:space="0" w:color="auto"/>
          </w:divBdr>
        </w:div>
      </w:divsChild>
    </w:div>
    <w:div w:id="1207186">
      <w:marLeft w:val="0"/>
      <w:marRight w:val="0"/>
      <w:marTop w:val="0"/>
      <w:marBottom w:val="0"/>
      <w:divBdr>
        <w:top w:val="none" w:sz="0" w:space="0" w:color="auto"/>
        <w:left w:val="none" w:sz="0" w:space="0" w:color="auto"/>
        <w:bottom w:val="none" w:sz="0" w:space="0" w:color="auto"/>
        <w:right w:val="none" w:sz="0" w:space="0" w:color="auto"/>
      </w:divBdr>
    </w:div>
    <w:div w:id="1207189">
      <w:marLeft w:val="0"/>
      <w:marRight w:val="0"/>
      <w:marTop w:val="0"/>
      <w:marBottom w:val="0"/>
      <w:divBdr>
        <w:top w:val="none" w:sz="0" w:space="0" w:color="auto"/>
        <w:left w:val="none" w:sz="0" w:space="0" w:color="auto"/>
        <w:bottom w:val="none" w:sz="0" w:space="0" w:color="auto"/>
        <w:right w:val="none" w:sz="0" w:space="0" w:color="auto"/>
      </w:divBdr>
      <w:divsChild>
        <w:div w:id="1207188">
          <w:marLeft w:val="0"/>
          <w:marRight w:val="0"/>
          <w:marTop w:val="0"/>
          <w:marBottom w:val="0"/>
          <w:divBdr>
            <w:top w:val="none" w:sz="0" w:space="0" w:color="auto"/>
            <w:left w:val="none" w:sz="0" w:space="0" w:color="auto"/>
            <w:bottom w:val="none" w:sz="0" w:space="0" w:color="auto"/>
            <w:right w:val="none" w:sz="0" w:space="0" w:color="auto"/>
          </w:divBdr>
        </w:div>
      </w:divsChild>
    </w:div>
    <w:div w:id="1207192">
      <w:marLeft w:val="0"/>
      <w:marRight w:val="0"/>
      <w:marTop w:val="0"/>
      <w:marBottom w:val="0"/>
      <w:divBdr>
        <w:top w:val="none" w:sz="0" w:space="0" w:color="auto"/>
        <w:left w:val="none" w:sz="0" w:space="0" w:color="auto"/>
        <w:bottom w:val="none" w:sz="0" w:space="0" w:color="auto"/>
        <w:right w:val="none" w:sz="0" w:space="0" w:color="auto"/>
      </w:divBdr>
      <w:divsChild>
        <w:div w:id="1207191">
          <w:marLeft w:val="0"/>
          <w:marRight w:val="0"/>
          <w:marTop w:val="0"/>
          <w:marBottom w:val="0"/>
          <w:divBdr>
            <w:top w:val="none" w:sz="0" w:space="0" w:color="auto"/>
            <w:left w:val="none" w:sz="0" w:space="0" w:color="auto"/>
            <w:bottom w:val="none" w:sz="0" w:space="0" w:color="auto"/>
            <w:right w:val="none" w:sz="0" w:space="0" w:color="auto"/>
          </w:divBdr>
        </w:div>
      </w:divsChild>
    </w:div>
    <w:div w:id="1207194">
      <w:marLeft w:val="0"/>
      <w:marRight w:val="0"/>
      <w:marTop w:val="0"/>
      <w:marBottom w:val="0"/>
      <w:divBdr>
        <w:top w:val="none" w:sz="0" w:space="0" w:color="auto"/>
        <w:left w:val="none" w:sz="0" w:space="0" w:color="auto"/>
        <w:bottom w:val="none" w:sz="0" w:space="0" w:color="auto"/>
        <w:right w:val="none" w:sz="0" w:space="0" w:color="auto"/>
      </w:divBdr>
      <w:divsChild>
        <w:div w:id="1207190">
          <w:marLeft w:val="0"/>
          <w:marRight w:val="0"/>
          <w:marTop w:val="0"/>
          <w:marBottom w:val="0"/>
          <w:divBdr>
            <w:top w:val="none" w:sz="0" w:space="0" w:color="auto"/>
            <w:left w:val="none" w:sz="0" w:space="0" w:color="auto"/>
            <w:bottom w:val="none" w:sz="0" w:space="0" w:color="auto"/>
            <w:right w:val="none" w:sz="0" w:space="0" w:color="auto"/>
          </w:divBdr>
        </w:div>
      </w:divsChild>
    </w:div>
    <w:div w:id="1207196">
      <w:marLeft w:val="0"/>
      <w:marRight w:val="0"/>
      <w:marTop w:val="0"/>
      <w:marBottom w:val="0"/>
      <w:divBdr>
        <w:top w:val="none" w:sz="0" w:space="0" w:color="auto"/>
        <w:left w:val="none" w:sz="0" w:space="0" w:color="auto"/>
        <w:bottom w:val="none" w:sz="0" w:space="0" w:color="auto"/>
        <w:right w:val="none" w:sz="0" w:space="0" w:color="auto"/>
      </w:divBdr>
      <w:divsChild>
        <w:div w:id="1207193">
          <w:marLeft w:val="0"/>
          <w:marRight w:val="0"/>
          <w:marTop w:val="0"/>
          <w:marBottom w:val="0"/>
          <w:divBdr>
            <w:top w:val="none" w:sz="0" w:space="0" w:color="auto"/>
            <w:left w:val="none" w:sz="0" w:space="0" w:color="auto"/>
            <w:bottom w:val="none" w:sz="0" w:space="0" w:color="auto"/>
            <w:right w:val="none" w:sz="0" w:space="0" w:color="auto"/>
          </w:divBdr>
        </w:div>
      </w:divsChild>
    </w:div>
    <w:div w:id="1207197">
      <w:marLeft w:val="0"/>
      <w:marRight w:val="0"/>
      <w:marTop w:val="0"/>
      <w:marBottom w:val="0"/>
      <w:divBdr>
        <w:top w:val="none" w:sz="0" w:space="0" w:color="auto"/>
        <w:left w:val="none" w:sz="0" w:space="0" w:color="auto"/>
        <w:bottom w:val="none" w:sz="0" w:space="0" w:color="auto"/>
        <w:right w:val="none" w:sz="0" w:space="0" w:color="auto"/>
      </w:divBdr>
      <w:divsChild>
        <w:div w:id="1207195">
          <w:marLeft w:val="0"/>
          <w:marRight w:val="0"/>
          <w:marTop w:val="0"/>
          <w:marBottom w:val="0"/>
          <w:divBdr>
            <w:top w:val="none" w:sz="0" w:space="0" w:color="auto"/>
            <w:left w:val="none" w:sz="0" w:space="0" w:color="auto"/>
            <w:bottom w:val="none" w:sz="0" w:space="0" w:color="auto"/>
            <w:right w:val="none" w:sz="0" w:space="0" w:color="auto"/>
          </w:divBdr>
        </w:div>
      </w:divsChild>
    </w:div>
    <w:div w:id="187107346">
      <w:bodyDiv w:val="1"/>
      <w:marLeft w:val="0"/>
      <w:marRight w:val="0"/>
      <w:marTop w:val="0"/>
      <w:marBottom w:val="0"/>
      <w:divBdr>
        <w:top w:val="none" w:sz="0" w:space="0" w:color="auto"/>
        <w:left w:val="none" w:sz="0" w:space="0" w:color="auto"/>
        <w:bottom w:val="none" w:sz="0" w:space="0" w:color="auto"/>
        <w:right w:val="none" w:sz="0" w:space="0" w:color="auto"/>
      </w:divBdr>
    </w:div>
    <w:div w:id="282350865">
      <w:bodyDiv w:val="1"/>
      <w:marLeft w:val="0"/>
      <w:marRight w:val="0"/>
      <w:marTop w:val="0"/>
      <w:marBottom w:val="0"/>
      <w:divBdr>
        <w:top w:val="none" w:sz="0" w:space="0" w:color="auto"/>
        <w:left w:val="none" w:sz="0" w:space="0" w:color="auto"/>
        <w:bottom w:val="none" w:sz="0" w:space="0" w:color="auto"/>
        <w:right w:val="none" w:sz="0" w:space="0" w:color="auto"/>
      </w:divBdr>
    </w:div>
    <w:div w:id="502283527">
      <w:bodyDiv w:val="1"/>
      <w:marLeft w:val="0"/>
      <w:marRight w:val="0"/>
      <w:marTop w:val="0"/>
      <w:marBottom w:val="0"/>
      <w:divBdr>
        <w:top w:val="none" w:sz="0" w:space="0" w:color="auto"/>
        <w:left w:val="none" w:sz="0" w:space="0" w:color="auto"/>
        <w:bottom w:val="none" w:sz="0" w:space="0" w:color="auto"/>
        <w:right w:val="none" w:sz="0" w:space="0" w:color="auto"/>
      </w:divBdr>
    </w:div>
    <w:div w:id="588150744">
      <w:bodyDiv w:val="1"/>
      <w:marLeft w:val="0"/>
      <w:marRight w:val="0"/>
      <w:marTop w:val="0"/>
      <w:marBottom w:val="0"/>
      <w:divBdr>
        <w:top w:val="none" w:sz="0" w:space="0" w:color="auto"/>
        <w:left w:val="none" w:sz="0" w:space="0" w:color="auto"/>
        <w:bottom w:val="none" w:sz="0" w:space="0" w:color="auto"/>
        <w:right w:val="none" w:sz="0" w:space="0" w:color="auto"/>
      </w:divBdr>
    </w:div>
    <w:div w:id="601423969">
      <w:bodyDiv w:val="1"/>
      <w:marLeft w:val="0"/>
      <w:marRight w:val="0"/>
      <w:marTop w:val="0"/>
      <w:marBottom w:val="0"/>
      <w:divBdr>
        <w:top w:val="none" w:sz="0" w:space="0" w:color="auto"/>
        <w:left w:val="none" w:sz="0" w:space="0" w:color="auto"/>
        <w:bottom w:val="none" w:sz="0" w:space="0" w:color="auto"/>
        <w:right w:val="none" w:sz="0" w:space="0" w:color="auto"/>
      </w:divBdr>
    </w:div>
    <w:div w:id="767889478">
      <w:bodyDiv w:val="1"/>
      <w:marLeft w:val="0"/>
      <w:marRight w:val="0"/>
      <w:marTop w:val="0"/>
      <w:marBottom w:val="0"/>
      <w:divBdr>
        <w:top w:val="none" w:sz="0" w:space="0" w:color="auto"/>
        <w:left w:val="none" w:sz="0" w:space="0" w:color="auto"/>
        <w:bottom w:val="none" w:sz="0" w:space="0" w:color="auto"/>
        <w:right w:val="none" w:sz="0" w:space="0" w:color="auto"/>
      </w:divBdr>
    </w:div>
    <w:div w:id="881597844">
      <w:bodyDiv w:val="1"/>
      <w:marLeft w:val="0"/>
      <w:marRight w:val="0"/>
      <w:marTop w:val="0"/>
      <w:marBottom w:val="0"/>
      <w:divBdr>
        <w:top w:val="none" w:sz="0" w:space="0" w:color="auto"/>
        <w:left w:val="none" w:sz="0" w:space="0" w:color="auto"/>
        <w:bottom w:val="none" w:sz="0" w:space="0" w:color="auto"/>
        <w:right w:val="none" w:sz="0" w:space="0" w:color="auto"/>
      </w:divBdr>
    </w:div>
    <w:div w:id="975833992">
      <w:bodyDiv w:val="1"/>
      <w:marLeft w:val="0"/>
      <w:marRight w:val="0"/>
      <w:marTop w:val="0"/>
      <w:marBottom w:val="0"/>
      <w:divBdr>
        <w:top w:val="none" w:sz="0" w:space="0" w:color="auto"/>
        <w:left w:val="none" w:sz="0" w:space="0" w:color="auto"/>
        <w:bottom w:val="none" w:sz="0" w:space="0" w:color="auto"/>
        <w:right w:val="none" w:sz="0" w:space="0" w:color="auto"/>
      </w:divBdr>
    </w:div>
    <w:div w:id="1033000436">
      <w:bodyDiv w:val="1"/>
      <w:marLeft w:val="0"/>
      <w:marRight w:val="0"/>
      <w:marTop w:val="0"/>
      <w:marBottom w:val="0"/>
      <w:divBdr>
        <w:top w:val="none" w:sz="0" w:space="0" w:color="auto"/>
        <w:left w:val="none" w:sz="0" w:space="0" w:color="auto"/>
        <w:bottom w:val="none" w:sz="0" w:space="0" w:color="auto"/>
        <w:right w:val="none" w:sz="0" w:space="0" w:color="auto"/>
      </w:divBdr>
    </w:div>
    <w:div w:id="1113282679">
      <w:bodyDiv w:val="1"/>
      <w:marLeft w:val="0"/>
      <w:marRight w:val="0"/>
      <w:marTop w:val="0"/>
      <w:marBottom w:val="0"/>
      <w:divBdr>
        <w:top w:val="none" w:sz="0" w:space="0" w:color="auto"/>
        <w:left w:val="none" w:sz="0" w:space="0" w:color="auto"/>
        <w:bottom w:val="none" w:sz="0" w:space="0" w:color="auto"/>
        <w:right w:val="none" w:sz="0" w:space="0" w:color="auto"/>
      </w:divBdr>
    </w:div>
    <w:div w:id="1146749286">
      <w:bodyDiv w:val="1"/>
      <w:marLeft w:val="0"/>
      <w:marRight w:val="0"/>
      <w:marTop w:val="0"/>
      <w:marBottom w:val="0"/>
      <w:divBdr>
        <w:top w:val="none" w:sz="0" w:space="0" w:color="auto"/>
        <w:left w:val="none" w:sz="0" w:space="0" w:color="auto"/>
        <w:bottom w:val="none" w:sz="0" w:space="0" w:color="auto"/>
        <w:right w:val="none" w:sz="0" w:space="0" w:color="auto"/>
      </w:divBdr>
    </w:div>
    <w:div w:id="1227060950">
      <w:bodyDiv w:val="1"/>
      <w:marLeft w:val="0"/>
      <w:marRight w:val="0"/>
      <w:marTop w:val="0"/>
      <w:marBottom w:val="0"/>
      <w:divBdr>
        <w:top w:val="none" w:sz="0" w:space="0" w:color="auto"/>
        <w:left w:val="none" w:sz="0" w:space="0" w:color="auto"/>
        <w:bottom w:val="none" w:sz="0" w:space="0" w:color="auto"/>
        <w:right w:val="none" w:sz="0" w:space="0" w:color="auto"/>
      </w:divBdr>
    </w:div>
    <w:div w:id="1332484123">
      <w:bodyDiv w:val="1"/>
      <w:marLeft w:val="0"/>
      <w:marRight w:val="0"/>
      <w:marTop w:val="0"/>
      <w:marBottom w:val="0"/>
      <w:divBdr>
        <w:top w:val="none" w:sz="0" w:space="0" w:color="auto"/>
        <w:left w:val="none" w:sz="0" w:space="0" w:color="auto"/>
        <w:bottom w:val="none" w:sz="0" w:space="0" w:color="auto"/>
        <w:right w:val="none" w:sz="0" w:space="0" w:color="auto"/>
      </w:divBdr>
    </w:div>
    <w:div w:id="1343782882">
      <w:bodyDiv w:val="1"/>
      <w:marLeft w:val="0"/>
      <w:marRight w:val="0"/>
      <w:marTop w:val="0"/>
      <w:marBottom w:val="0"/>
      <w:divBdr>
        <w:top w:val="none" w:sz="0" w:space="0" w:color="auto"/>
        <w:left w:val="none" w:sz="0" w:space="0" w:color="auto"/>
        <w:bottom w:val="none" w:sz="0" w:space="0" w:color="auto"/>
        <w:right w:val="none" w:sz="0" w:space="0" w:color="auto"/>
      </w:divBdr>
    </w:div>
    <w:div w:id="1395354575">
      <w:bodyDiv w:val="1"/>
      <w:marLeft w:val="0"/>
      <w:marRight w:val="0"/>
      <w:marTop w:val="0"/>
      <w:marBottom w:val="0"/>
      <w:divBdr>
        <w:top w:val="none" w:sz="0" w:space="0" w:color="auto"/>
        <w:left w:val="none" w:sz="0" w:space="0" w:color="auto"/>
        <w:bottom w:val="none" w:sz="0" w:space="0" w:color="auto"/>
        <w:right w:val="none" w:sz="0" w:space="0" w:color="auto"/>
      </w:divBdr>
    </w:div>
    <w:div w:id="1403337035">
      <w:bodyDiv w:val="1"/>
      <w:marLeft w:val="0"/>
      <w:marRight w:val="0"/>
      <w:marTop w:val="0"/>
      <w:marBottom w:val="0"/>
      <w:divBdr>
        <w:top w:val="none" w:sz="0" w:space="0" w:color="auto"/>
        <w:left w:val="none" w:sz="0" w:space="0" w:color="auto"/>
        <w:bottom w:val="none" w:sz="0" w:space="0" w:color="auto"/>
        <w:right w:val="none" w:sz="0" w:space="0" w:color="auto"/>
      </w:divBdr>
    </w:div>
    <w:div w:id="1469080789">
      <w:bodyDiv w:val="1"/>
      <w:marLeft w:val="0"/>
      <w:marRight w:val="0"/>
      <w:marTop w:val="0"/>
      <w:marBottom w:val="0"/>
      <w:divBdr>
        <w:top w:val="none" w:sz="0" w:space="0" w:color="auto"/>
        <w:left w:val="none" w:sz="0" w:space="0" w:color="auto"/>
        <w:bottom w:val="none" w:sz="0" w:space="0" w:color="auto"/>
        <w:right w:val="none" w:sz="0" w:space="0" w:color="auto"/>
      </w:divBdr>
    </w:div>
    <w:div w:id="1630554899">
      <w:bodyDiv w:val="1"/>
      <w:marLeft w:val="0"/>
      <w:marRight w:val="0"/>
      <w:marTop w:val="0"/>
      <w:marBottom w:val="0"/>
      <w:divBdr>
        <w:top w:val="none" w:sz="0" w:space="0" w:color="auto"/>
        <w:left w:val="none" w:sz="0" w:space="0" w:color="auto"/>
        <w:bottom w:val="none" w:sz="0" w:space="0" w:color="auto"/>
        <w:right w:val="none" w:sz="0" w:space="0" w:color="auto"/>
      </w:divBdr>
    </w:div>
    <w:div w:id="1651669325">
      <w:bodyDiv w:val="1"/>
      <w:marLeft w:val="0"/>
      <w:marRight w:val="0"/>
      <w:marTop w:val="0"/>
      <w:marBottom w:val="0"/>
      <w:divBdr>
        <w:top w:val="none" w:sz="0" w:space="0" w:color="auto"/>
        <w:left w:val="none" w:sz="0" w:space="0" w:color="auto"/>
        <w:bottom w:val="none" w:sz="0" w:space="0" w:color="auto"/>
        <w:right w:val="none" w:sz="0" w:space="0" w:color="auto"/>
      </w:divBdr>
    </w:div>
    <w:div w:id="1724600333">
      <w:bodyDiv w:val="1"/>
      <w:marLeft w:val="0"/>
      <w:marRight w:val="0"/>
      <w:marTop w:val="0"/>
      <w:marBottom w:val="0"/>
      <w:divBdr>
        <w:top w:val="none" w:sz="0" w:space="0" w:color="auto"/>
        <w:left w:val="none" w:sz="0" w:space="0" w:color="auto"/>
        <w:bottom w:val="none" w:sz="0" w:space="0" w:color="auto"/>
        <w:right w:val="none" w:sz="0" w:space="0" w:color="auto"/>
      </w:divBdr>
    </w:div>
    <w:div w:id="1804301783">
      <w:bodyDiv w:val="1"/>
      <w:marLeft w:val="0"/>
      <w:marRight w:val="0"/>
      <w:marTop w:val="0"/>
      <w:marBottom w:val="0"/>
      <w:divBdr>
        <w:top w:val="none" w:sz="0" w:space="0" w:color="auto"/>
        <w:left w:val="none" w:sz="0" w:space="0" w:color="auto"/>
        <w:bottom w:val="none" w:sz="0" w:space="0" w:color="auto"/>
        <w:right w:val="none" w:sz="0" w:space="0" w:color="auto"/>
      </w:divBdr>
    </w:div>
    <w:div w:id="186470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ke.bayley@bartshealth.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id.oxfordjournals.org/content/early/2016/12/23/cid.ciw845.abstrac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73CC-63C6-4761-94FE-EA594C1E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Research Article</vt:lpstr>
    </vt:vector>
  </TitlesOfParts>
  <Company>University of Brighton</Company>
  <LinksUpToDate>false</LinksUpToDate>
  <CharactersWithSpaces>18094</CharactersWithSpaces>
  <SharedDoc>false</SharedDoc>
  <HLinks>
    <vt:vector size="12" baseType="variant">
      <vt:variant>
        <vt:i4>5439515</vt:i4>
      </vt:variant>
      <vt:variant>
        <vt:i4>0</vt:i4>
      </vt:variant>
      <vt:variant>
        <vt:i4>0</vt:i4>
      </vt:variant>
      <vt:variant>
        <vt:i4>5</vt:i4>
      </vt:variant>
      <vt:variant>
        <vt:lpwstr>mailto:jake.bayley@bartshealth.nhs.uk</vt:lpwstr>
      </vt:variant>
      <vt:variant>
        <vt:lpwstr/>
      </vt:variant>
      <vt:variant>
        <vt:i4>524292</vt:i4>
      </vt:variant>
      <vt:variant>
        <vt:i4>0</vt:i4>
      </vt:variant>
      <vt:variant>
        <vt:i4>0</vt:i4>
      </vt:variant>
      <vt:variant>
        <vt:i4>5</vt:i4>
      </vt:variant>
      <vt:variant>
        <vt:lpwstr>https://www.gov.uk/government/uploads/system/uploads/attachment_data/file/547397/Clinical_and_operational_guidance_for_HPV_MSM_pilot.pdf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Article</dc:title>
  <dc:creator>Tom</dc:creator>
  <cp:lastModifiedBy>Marker</cp:lastModifiedBy>
  <cp:revision>2</cp:revision>
  <cp:lastPrinted>2015-11-02T12:10:00Z</cp:lastPrinted>
  <dcterms:created xsi:type="dcterms:W3CDTF">2017-07-25T10:31:00Z</dcterms:created>
  <dcterms:modified xsi:type="dcterms:W3CDTF">2017-07-25T10:31:00Z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UCL FBS AISC</vt:lpwstr>
  </property>
  <property fmtid="{D5CDD505-2E9C-101B-9397-08002B2CF9AE}" pid="4" name="DocSecurity">
    <vt:r8>6.0938080510455E-305</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