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98321" w14:textId="18B5ED5D" w:rsidR="005E12A0" w:rsidRDefault="005E12A0" w:rsidP="000665D5">
      <w:pPr>
        <w:pStyle w:val="Title"/>
        <w:spacing w:line="276" w:lineRule="auto"/>
        <w:jc w:val="both"/>
      </w:pPr>
      <w:bookmarkStart w:id="0" w:name="_GoBack"/>
      <w:bookmarkEnd w:id="0"/>
      <w:r>
        <w:t>Editorial: Review of outcomes and measurement</w:t>
      </w:r>
      <w:r w:rsidR="00A21A77">
        <w:t xml:space="preserve"> instruments</w:t>
      </w:r>
      <w:r>
        <w:t xml:space="preserve"> in cochlear implantation</w:t>
      </w:r>
      <w:r w:rsidR="00B66037">
        <w:t xml:space="preserve"> studies</w:t>
      </w:r>
      <w:r>
        <w:t xml:space="preserve">  </w:t>
      </w:r>
    </w:p>
    <w:p w14:paraId="444861C7" w14:textId="77777777" w:rsidR="003B024A" w:rsidRDefault="003B024A" w:rsidP="000665D5">
      <w:pPr>
        <w:spacing w:line="276" w:lineRule="auto"/>
        <w:jc w:val="both"/>
      </w:pPr>
    </w:p>
    <w:p w14:paraId="6F88E692" w14:textId="670ABD57" w:rsidR="008E0E72" w:rsidRDefault="008E0E72" w:rsidP="000665D5">
      <w:pPr>
        <w:spacing w:line="276" w:lineRule="auto"/>
        <w:jc w:val="both"/>
        <w:rPr>
          <w:b/>
        </w:rPr>
      </w:pPr>
      <w:r w:rsidRPr="000665D5">
        <w:rPr>
          <w:b/>
        </w:rPr>
        <w:t>Simone Schaefer, Manchester, UK</w:t>
      </w:r>
    </w:p>
    <w:p w14:paraId="597FC532" w14:textId="15BCF5AB" w:rsidR="00D5071C" w:rsidRPr="000665D5" w:rsidRDefault="00D5071C" w:rsidP="000665D5">
      <w:pPr>
        <w:spacing w:line="276" w:lineRule="auto"/>
        <w:jc w:val="both"/>
        <w:rPr>
          <w:b/>
        </w:rPr>
      </w:pPr>
      <w:r>
        <w:rPr>
          <w:b/>
        </w:rPr>
        <w:t>Lise Henderson, Manchester, UK</w:t>
      </w:r>
    </w:p>
    <w:p w14:paraId="63199234" w14:textId="6F32D359" w:rsidR="008E0E72" w:rsidRPr="000665D5" w:rsidRDefault="008E0E72" w:rsidP="000665D5">
      <w:pPr>
        <w:spacing w:line="276" w:lineRule="auto"/>
        <w:jc w:val="both"/>
        <w:rPr>
          <w:i/>
        </w:rPr>
      </w:pPr>
      <w:r w:rsidRPr="000665D5">
        <w:rPr>
          <w:i/>
        </w:rPr>
        <w:t>with the CIM Editorial team:</w:t>
      </w:r>
    </w:p>
    <w:p w14:paraId="19EC47B7" w14:textId="474AC48C" w:rsidR="00BF5FCB" w:rsidRPr="000665D5" w:rsidRDefault="00BF5FCB" w:rsidP="000665D5">
      <w:pPr>
        <w:spacing w:line="276" w:lineRule="auto"/>
        <w:jc w:val="both"/>
        <w:rPr>
          <w:b/>
        </w:rPr>
      </w:pPr>
      <w:r w:rsidRPr="000665D5">
        <w:rPr>
          <w:b/>
        </w:rPr>
        <w:t>John Graham</w:t>
      </w:r>
    </w:p>
    <w:p w14:paraId="39702F61" w14:textId="1FD65E41" w:rsidR="008E0E72" w:rsidRPr="000665D5" w:rsidRDefault="008E0E72" w:rsidP="000665D5">
      <w:pPr>
        <w:spacing w:line="276" w:lineRule="auto"/>
        <w:jc w:val="both"/>
        <w:rPr>
          <w:b/>
        </w:rPr>
      </w:pPr>
      <w:r w:rsidRPr="000665D5">
        <w:rPr>
          <w:b/>
        </w:rPr>
        <w:t>Stephen Broomfield</w:t>
      </w:r>
    </w:p>
    <w:p w14:paraId="7890D315" w14:textId="77777777" w:rsidR="008E0E72" w:rsidRPr="000665D5" w:rsidRDefault="008E0E72" w:rsidP="000665D5">
      <w:pPr>
        <w:spacing w:line="276" w:lineRule="auto"/>
        <w:jc w:val="both"/>
        <w:rPr>
          <w:b/>
        </w:rPr>
      </w:pPr>
      <w:r w:rsidRPr="000665D5">
        <w:rPr>
          <w:b/>
        </w:rPr>
        <w:t xml:space="preserve">Helen Cullington </w:t>
      </w:r>
    </w:p>
    <w:p w14:paraId="4F15A8B0" w14:textId="2BD87D59" w:rsidR="008E0E72" w:rsidRPr="000665D5" w:rsidRDefault="008E0E72" w:rsidP="000665D5">
      <w:pPr>
        <w:spacing w:line="276" w:lineRule="auto"/>
        <w:jc w:val="both"/>
        <w:rPr>
          <w:b/>
        </w:rPr>
      </w:pPr>
      <w:r w:rsidRPr="000665D5">
        <w:rPr>
          <w:b/>
        </w:rPr>
        <w:t>David Schramm</w:t>
      </w:r>
    </w:p>
    <w:p w14:paraId="3A2708BE" w14:textId="06874668" w:rsidR="008E0E72" w:rsidRPr="000665D5" w:rsidRDefault="008E0E72" w:rsidP="000665D5">
      <w:pPr>
        <w:spacing w:line="276" w:lineRule="auto"/>
        <w:jc w:val="both"/>
        <w:rPr>
          <w:b/>
        </w:rPr>
      </w:pPr>
      <w:r w:rsidRPr="000665D5">
        <w:rPr>
          <w:b/>
        </w:rPr>
        <w:t>Susan Waltzman</w:t>
      </w:r>
    </w:p>
    <w:p w14:paraId="4B3376AC" w14:textId="3F9D85F5" w:rsidR="007113C7" w:rsidRDefault="00BF5FCB" w:rsidP="000665D5">
      <w:pPr>
        <w:spacing w:line="276" w:lineRule="auto"/>
        <w:jc w:val="both"/>
        <w:rPr>
          <w:b/>
        </w:rPr>
      </w:pPr>
      <w:r w:rsidRPr="000665D5">
        <w:rPr>
          <w:b/>
        </w:rPr>
        <w:t>Iain Bruce</w:t>
      </w:r>
    </w:p>
    <w:p w14:paraId="1928D63B" w14:textId="30F5277A" w:rsidR="005438A6" w:rsidRDefault="005438A6" w:rsidP="000665D5">
      <w:pPr>
        <w:spacing w:line="276" w:lineRule="auto"/>
        <w:jc w:val="both"/>
        <w:rPr>
          <w:b/>
        </w:rPr>
      </w:pPr>
      <w:r w:rsidRPr="005438A6">
        <w:rPr>
          <w:b/>
        </w:rPr>
        <w:t>&lt;iain.bruce@manchester.ac.uk&gt;</w:t>
      </w:r>
    </w:p>
    <w:p w14:paraId="016F8F2D" w14:textId="77777777" w:rsidR="00ED3963" w:rsidRPr="000665D5" w:rsidRDefault="00ED3963" w:rsidP="000665D5">
      <w:pPr>
        <w:spacing w:line="276" w:lineRule="auto"/>
        <w:jc w:val="both"/>
        <w:rPr>
          <w:b/>
        </w:rPr>
      </w:pPr>
    </w:p>
    <w:p w14:paraId="27DBF280" w14:textId="373AEA43" w:rsidR="00763EFE" w:rsidRDefault="003B51E6" w:rsidP="000665D5">
      <w:pPr>
        <w:spacing w:line="276" w:lineRule="auto"/>
        <w:jc w:val="both"/>
      </w:pPr>
      <w:r>
        <w:t>The field of C</w:t>
      </w:r>
      <w:r w:rsidR="00C47DB7">
        <w:t xml:space="preserve">ochlear </w:t>
      </w:r>
      <w:r>
        <w:t>I</w:t>
      </w:r>
      <w:r w:rsidR="00C47DB7">
        <w:t>mplantation (CI)</w:t>
      </w:r>
      <w:r>
        <w:t xml:space="preserve"> </w:t>
      </w:r>
      <w:r w:rsidR="00C47DB7">
        <w:t>continues to</w:t>
      </w:r>
      <w:r>
        <w:t xml:space="preserve"> rapidly </w:t>
      </w:r>
      <w:r w:rsidR="00C47DB7">
        <w:t>evolve, with</w:t>
      </w:r>
      <w:r w:rsidR="00D167E8">
        <w:t xml:space="preserve"> professionals</w:t>
      </w:r>
      <w:r w:rsidR="00C47DB7">
        <w:t xml:space="preserve"> and industry</w:t>
      </w:r>
      <w:r w:rsidR="00D167E8">
        <w:t xml:space="preserve"> exploring novel technologies, extended applications</w:t>
      </w:r>
      <w:r w:rsidR="00C47DB7">
        <w:t xml:space="preserve"> of existing technologies</w:t>
      </w:r>
      <w:r w:rsidR="00D167E8">
        <w:t xml:space="preserve"> and </w:t>
      </w:r>
      <w:r w:rsidR="00C47DB7">
        <w:t xml:space="preserve">other </w:t>
      </w:r>
      <w:r w:rsidR="00D167E8">
        <w:t xml:space="preserve">means of optimizing CI outcome. </w:t>
      </w:r>
      <w:r w:rsidR="007F7E7A">
        <w:t xml:space="preserve"> Such developments will have a financial impact upon healthcare systems and providers, and demand the development of </w:t>
      </w:r>
      <w:r w:rsidR="00E279CC">
        <w:t>evidence of efficacy, with</w:t>
      </w:r>
      <w:r w:rsidR="0068128D">
        <w:t xml:space="preserve"> </w:t>
      </w:r>
      <w:r w:rsidR="00E279CC">
        <w:t xml:space="preserve">evidence-based practice remaining the </w:t>
      </w:r>
      <w:r w:rsidR="007113C7">
        <w:t xml:space="preserve">ultimate </w:t>
      </w:r>
      <w:r w:rsidR="00B66037">
        <w:t>goal</w:t>
      </w:r>
      <w:r w:rsidR="00E279CC">
        <w:t>. Currently</w:t>
      </w:r>
      <w:r w:rsidR="00D167E8">
        <w:t>, effective comparis</w:t>
      </w:r>
      <w:r w:rsidR="00E279CC">
        <w:t>on between</w:t>
      </w:r>
      <w:r w:rsidR="00D167E8">
        <w:t xml:space="preserve"> </w:t>
      </w:r>
      <w:r w:rsidR="00E279CC">
        <w:t xml:space="preserve"> </w:t>
      </w:r>
      <w:r w:rsidR="00D167E8">
        <w:t xml:space="preserve">CI </w:t>
      </w:r>
      <w:r w:rsidR="00E279CC">
        <w:t xml:space="preserve">technologies, </w:t>
      </w:r>
      <w:r w:rsidR="00D167E8">
        <w:t xml:space="preserve">populations and evaluation of the added value of novel technologies </w:t>
      </w:r>
      <w:r w:rsidR="00B66037">
        <w:t>is significantly</w:t>
      </w:r>
      <w:r w:rsidR="00712942">
        <w:t xml:space="preserve"> </w:t>
      </w:r>
      <w:r w:rsidR="00D167E8">
        <w:t>hindered by heterogeneity in outcomes used and corres</w:t>
      </w:r>
      <w:r w:rsidR="00B6445D">
        <w:t xml:space="preserve">ponding measurement instruments. </w:t>
      </w:r>
      <w:r w:rsidR="00712942">
        <w:t>U</w:t>
      </w:r>
      <w:r w:rsidR="00B6445D">
        <w:t>ltimately</w:t>
      </w:r>
      <w:r w:rsidR="00712942">
        <w:t xml:space="preserve">, this negatively impacts </w:t>
      </w:r>
      <w:r w:rsidR="00B6445D">
        <w:t>the shared decision-making</w:t>
      </w:r>
      <w:r w:rsidR="00712942">
        <w:t xml:space="preserve"> (SDM)</w:t>
      </w:r>
      <w:r w:rsidR="00B6445D">
        <w:t xml:space="preserve"> process betw</w:t>
      </w:r>
      <w:r w:rsidR="007F1103">
        <w:t>een professionals and patients</w:t>
      </w:r>
      <w:r w:rsidR="00FE256A">
        <w:t>,</w:t>
      </w:r>
      <w:r w:rsidR="007F1103">
        <w:t xml:space="preserve"> </w:t>
      </w:r>
      <w:r w:rsidR="00B66037">
        <w:t>because of</w:t>
      </w:r>
      <w:r w:rsidR="00712942">
        <w:t xml:space="preserve"> the lack of definitive evidence</w:t>
      </w:r>
      <w:r w:rsidR="007F1103">
        <w:t xml:space="preserve">. </w:t>
      </w:r>
    </w:p>
    <w:p w14:paraId="3BF2DEDC" w14:textId="5F980C0A" w:rsidR="00D167E8" w:rsidRDefault="00B6445D" w:rsidP="000665D5">
      <w:pPr>
        <w:spacing w:line="276" w:lineRule="auto"/>
        <w:jc w:val="both"/>
        <w:rPr>
          <w:rFonts w:cstheme="minorHAnsi"/>
        </w:rPr>
      </w:pPr>
      <w:r>
        <w:t xml:space="preserve">A previous </w:t>
      </w:r>
      <w:r w:rsidR="00B66037">
        <w:t>E</w:t>
      </w:r>
      <w:r>
        <w:t xml:space="preserve">ditorial in this </w:t>
      </w:r>
      <w:r>
        <w:rPr>
          <w:rFonts w:cstheme="minorHAnsi"/>
        </w:rPr>
        <w:t xml:space="preserve">journal stressed the importance of developing </w:t>
      </w:r>
      <w:r w:rsidR="00712942">
        <w:rPr>
          <w:rFonts w:cstheme="minorHAnsi"/>
        </w:rPr>
        <w:t>agreed sets of outcomes (</w:t>
      </w:r>
      <w:r w:rsidR="007113C7">
        <w:rPr>
          <w:rFonts w:cstheme="minorHAnsi"/>
        </w:rPr>
        <w:t>e.g.</w:t>
      </w:r>
      <w:r w:rsidR="00712942">
        <w:rPr>
          <w:rFonts w:cstheme="minorHAnsi"/>
        </w:rPr>
        <w:t xml:space="preserve"> </w:t>
      </w:r>
      <w:r>
        <w:rPr>
          <w:rFonts w:cstheme="minorHAnsi"/>
        </w:rPr>
        <w:t>Core Outcome Sets (COS)</w:t>
      </w:r>
      <w:r w:rsidR="0011094A">
        <w:rPr>
          <w:rFonts w:cstheme="minorHAnsi"/>
        </w:rPr>
        <w:t xml:space="preserve">, </w:t>
      </w:r>
      <w:hyperlink r:id="rId5" w:history="1">
        <w:r w:rsidR="0011094A" w:rsidRPr="00E75734">
          <w:rPr>
            <w:rStyle w:val="Hyperlink"/>
            <w:rFonts w:cstheme="minorHAnsi"/>
          </w:rPr>
          <w:t>http://www.comet-initiative.org</w:t>
        </w:r>
      </w:hyperlink>
      <w:r w:rsidR="0011094A">
        <w:rPr>
          <w:rFonts w:cstheme="minorHAnsi"/>
        </w:rPr>
        <w:t xml:space="preserve"> </w:t>
      </w:r>
      <w:r w:rsidR="00712942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B66037">
        <w:rPr>
          <w:rFonts w:cstheme="minorHAnsi"/>
        </w:rPr>
        <w:t>to</w:t>
      </w:r>
      <w:r>
        <w:rPr>
          <w:rFonts w:cstheme="minorHAnsi"/>
        </w:rPr>
        <w:t xml:space="preserve"> standardize </w:t>
      </w:r>
      <w:r w:rsidR="007113C7">
        <w:rPr>
          <w:rFonts w:cstheme="minorHAnsi"/>
        </w:rPr>
        <w:t>reporting of effectiveness,</w:t>
      </w:r>
      <w:r>
        <w:rPr>
          <w:rFonts w:cstheme="minorHAnsi"/>
        </w:rPr>
        <w:t xml:space="preserve"> and enable the </w:t>
      </w:r>
      <w:r w:rsidR="0086049F">
        <w:rPr>
          <w:rFonts w:cstheme="minorHAnsi"/>
        </w:rPr>
        <w:t xml:space="preserve">meaningful </w:t>
      </w:r>
      <w:r>
        <w:rPr>
          <w:rFonts w:cstheme="minorHAnsi"/>
        </w:rPr>
        <w:t>combination</w:t>
      </w:r>
      <w:r w:rsidR="007113C7">
        <w:rPr>
          <w:rFonts w:cstheme="minorHAnsi"/>
        </w:rPr>
        <w:t xml:space="preserve"> and comparison</w:t>
      </w:r>
      <w:r>
        <w:rPr>
          <w:rFonts w:cstheme="minorHAnsi"/>
        </w:rPr>
        <w:t xml:space="preserve"> of data from multiple studies </w:t>
      </w:r>
      <w:sdt>
        <w:sdtPr>
          <w:rPr>
            <w:rFonts w:cstheme="minorHAnsi"/>
          </w:rPr>
          <w:id w:val="907264198"/>
          <w:citation/>
        </w:sdtPr>
        <w:sdtEndPr/>
        <w:sdtContent>
          <w:r>
            <w:rPr>
              <w:rFonts w:cstheme="minorHAnsi"/>
            </w:rPr>
            <w:fldChar w:fldCharType="begin"/>
          </w:r>
          <w:r w:rsidR="00355F37">
            <w:rPr>
              <w:rFonts w:cstheme="minorHAnsi"/>
            </w:rPr>
            <w:instrText xml:space="preserve">CITATION Bru15 \l 2057 </w:instrText>
          </w:r>
          <w:r>
            <w:rPr>
              <w:rFonts w:cstheme="minorHAnsi"/>
            </w:rPr>
            <w:fldChar w:fldCharType="separate"/>
          </w:r>
          <w:r w:rsidR="005D4A01" w:rsidRPr="005D4A01">
            <w:rPr>
              <w:rFonts w:cstheme="minorHAnsi"/>
              <w:noProof/>
            </w:rPr>
            <w:t>(IA Bruce 2015)</w:t>
          </w:r>
          <w:r>
            <w:rPr>
              <w:rFonts w:cstheme="minorHAnsi"/>
            </w:rPr>
            <w:fldChar w:fldCharType="end"/>
          </w:r>
        </w:sdtContent>
      </w:sdt>
      <w:r>
        <w:rPr>
          <w:rFonts w:cstheme="minorHAnsi"/>
        </w:rPr>
        <w:t>.</w:t>
      </w:r>
      <w:r w:rsidR="007F1103">
        <w:rPr>
          <w:rFonts w:cstheme="minorHAnsi"/>
        </w:rPr>
        <w:t xml:space="preserve"> </w:t>
      </w:r>
      <w:r w:rsidR="00166E0F">
        <w:rPr>
          <w:rFonts w:cstheme="minorHAnsi"/>
        </w:rPr>
        <w:t>Other fields</w:t>
      </w:r>
      <w:r w:rsidR="003F0A79">
        <w:rPr>
          <w:rFonts w:cstheme="minorHAnsi"/>
        </w:rPr>
        <w:t xml:space="preserve"> of medicine</w:t>
      </w:r>
      <w:r w:rsidR="00166E0F">
        <w:rPr>
          <w:rFonts w:cstheme="minorHAnsi"/>
        </w:rPr>
        <w:t xml:space="preserve">, such as Rheumatology and Gynaecology, have </w:t>
      </w:r>
      <w:r w:rsidR="003F0A79">
        <w:rPr>
          <w:rFonts w:cstheme="minorHAnsi"/>
        </w:rPr>
        <w:t>embraced this approach to good effect</w:t>
      </w:r>
      <w:r w:rsidR="00166E0F">
        <w:rPr>
          <w:rFonts w:cstheme="minorHAnsi"/>
        </w:rPr>
        <w:t xml:space="preserve"> </w:t>
      </w:r>
      <w:sdt>
        <w:sdtPr>
          <w:rPr>
            <w:rFonts w:cstheme="minorHAnsi"/>
          </w:rPr>
          <w:id w:val="-1530800190"/>
          <w:citation/>
        </w:sdtPr>
        <w:sdtEndPr/>
        <w:sdtContent>
          <w:r w:rsidR="00166E0F">
            <w:rPr>
              <w:rFonts w:cstheme="minorHAnsi"/>
            </w:rPr>
            <w:fldChar w:fldCharType="begin"/>
          </w:r>
          <w:r w:rsidR="005D4A01">
            <w:rPr>
              <w:rFonts w:cstheme="minorHAnsi"/>
            </w:rPr>
            <w:instrText xml:space="preserve">CITATION Maa13 \l 2057 </w:instrText>
          </w:r>
          <w:r w:rsidR="00166E0F">
            <w:rPr>
              <w:rFonts w:cstheme="minorHAnsi"/>
            </w:rPr>
            <w:fldChar w:fldCharType="separate"/>
          </w:r>
          <w:r w:rsidR="005D4A01" w:rsidRPr="005D4A01">
            <w:rPr>
              <w:rFonts w:cstheme="minorHAnsi"/>
              <w:noProof/>
            </w:rPr>
            <w:t>(M Boers 2013)</w:t>
          </w:r>
          <w:r w:rsidR="00166E0F">
            <w:rPr>
              <w:rFonts w:cstheme="minorHAnsi"/>
            </w:rPr>
            <w:fldChar w:fldCharType="end"/>
          </w:r>
        </w:sdtContent>
      </w:sdt>
      <w:r w:rsidR="00355F37">
        <w:rPr>
          <w:rFonts w:cstheme="minorHAnsi"/>
        </w:rPr>
        <w:t xml:space="preserve"> </w:t>
      </w:r>
      <w:sdt>
        <w:sdtPr>
          <w:rPr>
            <w:rFonts w:cstheme="minorHAnsi"/>
          </w:rPr>
          <w:id w:val="-836922665"/>
          <w:citation/>
        </w:sdtPr>
        <w:sdtEndPr/>
        <w:sdtContent>
          <w:r w:rsidR="00355F37">
            <w:rPr>
              <w:rFonts w:cstheme="minorHAnsi"/>
            </w:rPr>
            <w:fldChar w:fldCharType="begin"/>
          </w:r>
          <w:r w:rsidR="005D4A01">
            <w:rPr>
              <w:rFonts w:cstheme="minorHAnsi"/>
            </w:rPr>
            <w:instrText xml:space="preserve">CITATION Chi14 \l 2057 </w:instrText>
          </w:r>
          <w:r w:rsidR="00355F37">
            <w:rPr>
              <w:rFonts w:cstheme="minorHAnsi"/>
            </w:rPr>
            <w:fldChar w:fldCharType="separate"/>
          </w:r>
          <w:r w:rsidR="005D4A01" w:rsidRPr="005D4A01">
            <w:rPr>
              <w:rFonts w:cstheme="minorHAnsi"/>
              <w:noProof/>
            </w:rPr>
            <w:t>(The CROWN Initiative 2014)</w:t>
          </w:r>
          <w:r w:rsidR="00355F37">
            <w:rPr>
              <w:rFonts w:cstheme="minorHAnsi"/>
            </w:rPr>
            <w:fldChar w:fldCharType="end"/>
          </w:r>
        </w:sdtContent>
      </w:sdt>
      <w:r w:rsidR="0077518A">
        <w:rPr>
          <w:rFonts w:cstheme="minorHAnsi"/>
        </w:rPr>
        <w:t xml:space="preserve">. </w:t>
      </w:r>
    </w:p>
    <w:p w14:paraId="46E4829C" w14:textId="1DACC014" w:rsidR="00A56751" w:rsidRDefault="007113C7" w:rsidP="000665D5">
      <w:pPr>
        <w:spacing w:line="276" w:lineRule="auto"/>
        <w:jc w:val="both"/>
      </w:pPr>
      <w:r>
        <w:t>T</w:t>
      </w:r>
      <w:r w:rsidR="00751BE9">
        <w:t xml:space="preserve">o illustrate the extent of unmet need in the field of CI, we have conducted a review of outcome reporting in </w:t>
      </w:r>
      <w:r w:rsidR="00751BE9" w:rsidRPr="000665D5">
        <w:rPr>
          <w:i/>
        </w:rPr>
        <w:t>Cochlear Implants International</w:t>
      </w:r>
      <w:r w:rsidR="00751BE9">
        <w:rPr>
          <w:i/>
        </w:rPr>
        <w:t xml:space="preserve"> </w:t>
      </w:r>
      <w:r w:rsidR="00751BE9">
        <w:t xml:space="preserve">(CIM). </w:t>
      </w:r>
      <w:r w:rsidR="00A56751">
        <w:t>Studies published</w:t>
      </w:r>
      <w:r w:rsidR="00A56751">
        <w:rPr>
          <w:color w:val="000000"/>
          <w:lang w:val="en-US"/>
        </w:rPr>
        <w:t xml:space="preserve"> in this journal in 2015 (Vol16: 1 - 6, S1, S2, S4) were included, with the exclusion of reviews with lack of new patient data, lack of effectiveness evaluation and </w:t>
      </w:r>
      <w:r>
        <w:rPr>
          <w:color w:val="000000"/>
          <w:lang w:val="en-US"/>
        </w:rPr>
        <w:t xml:space="preserve">those </w:t>
      </w:r>
      <w:r w:rsidR="00A56751">
        <w:rPr>
          <w:color w:val="000000"/>
          <w:lang w:val="en-US"/>
        </w:rPr>
        <w:t xml:space="preserve">not involving CI recipients. </w:t>
      </w:r>
      <w:r w:rsidR="00A56751">
        <w:t xml:space="preserve">All articles were reviewed for outcomes, </w:t>
      </w:r>
      <w:r w:rsidR="00A56751">
        <w:lastRenderedPageBreak/>
        <w:t>corresponding choice of measurement instrument, time point of measurement, study design, study description, study sample and age group of participants.</w:t>
      </w:r>
    </w:p>
    <w:p w14:paraId="7BCAA9C3" w14:textId="5C007EB5" w:rsidR="00C121C7" w:rsidRDefault="00A56751" w:rsidP="000665D5">
      <w:pPr>
        <w:spacing w:line="276" w:lineRule="auto"/>
        <w:jc w:val="both"/>
      </w:pPr>
      <w:r>
        <w:t xml:space="preserve">A total of 43 articles were reviewed, in which 17 </w:t>
      </w:r>
      <w:r w:rsidR="00751BE9">
        <w:t xml:space="preserve">different </w:t>
      </w:r>
      <w:r>
        <w:t xml:space="preserve">outcomes were </w:t>
      </w:r>
      <w:r w:rsidR="00751BE9">
        <w:t>used</w:t>
      </w:r>
      <w:r>
        <w:t>. Even greater variability was seen in the corresponding measurement instruments used, with a total of 72 instruments/tools</w:t>
      </w:r>
      <w:r w:rsidR="00751BE9">
        <w:t xml:space="preserve"> recorded</w:t>
      </w:r>
      <w:r>
        <w:t xml:space="preserve"> (Table 1). The most common outcome was speech percep</w:t>
      </w:r>
      <w:r w:rsidR="00C2196C">
        <w:t>tion (24/43 publications)</w:t>
      </w:r>
      <w:r w:rsidR="00751BE9">
        <w:t>, with</w:t>
      </w:r>
      <w:r w:rsidR="00C2196C">
        <w:t xml:space="preserve"> 2</w:t>
      </w:r>
      <w:r w:rsidR="00DF76D0">
        <w:t>5</w:t>
      </w:r>
      <w:r>
        <w:t xml:space="preserve"> measurement instruments </w:t>
      </w:r>
      <w:r w:rsidR="00751BE9">
        <w:t xml:space="preserve">being </w:t>
      </w:r>
      <w:r>
        <w:t xml:space="preserve">used for this outcome (Table </w:t>
      </w:r>
      <w:r w:rsidR="00B01D5A">
        <w:t>1</w:t>
      </w:r>
      <w:r>
        <w:t xml:space="preserve">). Furthermore, </w:t>
      </w:r>
      <w:r w:rsidR="00087863">
        <w:t>there was a</w:t>
      </w:r>
      <w:r>
        <w:t xml:space="preserve"> lack of standardised time points for outcome measure</w:t>
      </w:r>
      <w:r w:rsidR="00751BE9">
        <w:t>ment,</w:t>
      </w:r>
      <w:r>
        <w:t xml:space="preserve"> with </w:t>
      </w:r>
      <w:r w:rsidR="00751BE9">
        <w:t>time points</w:t>
      </w:r>
      <w:r>
        <w:t xml:space="preserve"> varying between 0 - 20 years after CI surgery.</w:t>
      </w:r>
      <w:r w:rsidR="00751BE9">
        <w:t xml:space="preserve"> </w:t>
      </w:r>
      <w:r w:rsidR="00C121C7">
        <w:t>This wide vari</w:t>
      </w:r>
      <w:r w:rsidR="00751BE9">
        <w:t>ation</w:t>
      </w:r>
      <w:r w:rsidR="00C121C7">
        <w:t xml:space="preserve"> in outcome domains and corresponding measurement instruments is in agreement with the findings of the systematic review of adult CI </w:t>
      </w:r>
      <w:r w:rsidR="00751BE9">
        <w:t xml:space="preserve">studies </w:t>
      </w:r>
      <w:r w:rsidR="00C121C7">
        <w:t>by Vila et al.</w:t>
      </w:r>
      <w:r w:rsidR="00763EFE">
        <w:t>,</w:t>
      </w:r>
      <w:r w:rsidR="00C121C7">
        <w:t xml:space="preserve"> who found 11 domains in only 8 studies </w:t>
      </w:r>
      <w:sdt>
        <w:sdtPr>
          <w:id w:val="1681009854"/>
          <w:citation/>
        </w:sdtPr>
        <w:sdtEndPr/>
        <w:sdtContent>
          <w:r w:rsidR="00C121C7">
            <w:fldChar w:fldCharType="begin"/>
          </w:r>
          <w:r w:rsidR="00C121C7">
            <w:instrText xml:space="preserve">CITATION Vil16 \l 2057 </w:instrText>
          </w:r>
          <w:r w:rsidR="00C121C7">
            <w:fldChar w:fldCharType="separate"/>
          </w:r>
          <w:r w:rsidR="005D4A01">
            <w:rPr>
              <w:noProof/>
            </w:rPr>
            <w:t>(PM Vila 2016)</w:t>
          </w:r>
          <w:r w:rsidR="00C121C7">
            <w:fldChar w:fldCharType="end"/>
          </w:r>
        </w:sdtContent>
      </w:sdt>
      <w:r w:rsidR="00C121C7">
        <w:t>.</w:t>
      </w:r>
      <w:r w:rsidR="00751BE9">
        <w:t xml:space="preserve"> </w:t>
      </w:r>
      <w:r w:rsidR="00C121C7">
        <w:t>Although</w:t>
      </w:r>
      <w:r w:rsidR="00751BE9">
        <w:t>,</w:t>
      </w:r>
      <w:r w:rsidR="00C121C7">
        <w:t xml:space="preserve"> only publications in </w:t>
      </w:r>
      <w:r w:rsidR="00C121C7" w:rsidRPr="000665D5">
        <w:rPr>
          <w:i/>
        </w:rPr>
        <w:t>Cochlear Implant</w:t>
      </w:r>
      <w:r w:rsidR="00751BE9">
        <w:rPr>
          <w:i/>
        </w:rPr>
        <w:t>s</w:t>
      </w:r>
      <w:r w:rsidR="00C121C7" w:rsidRPr="000665D5">
        <w:rPr>
          <w:i/>
        </w:rPr>
        <w:t xml:space="preserve"> International</w:t>
      </w:r>
      <w:r w:rsidR="00751BE9">
        <w:t xml:space="preserve"> </w:t>
      </w:r>
      <w:r w:rsidR="00C121C7">
        <w:t>in 2015 were included, th</w:t>
      </w:r>
      <w:r w:rsidR="001D36D4">
        <w:t>e inclusion of more volumes was deemed unlikely</w:t>
      </w:r>
      <w:r w:rsidR="00C121C7">
        <w:t xml:space="preserve"> to lead to any major changes in </w:t>
      </w:r>
      <w:r w:rsidR="00751BE9">
        <w:t>our findings</w:t>
      </w:r>
      <w:r w:rsidR="00C121C7">
        <w:t xml:space="preserve">. </w:t>
      </w:r>
      <w:r w:rsidR="00B66037">
        <w:t>R</w:t>
      </w:r>
      <w:r w:rsidR="00C121C7">
        <w:t>eview of the first three issues of CIM</w:t>
      </w:r>
      <w:r w:rsidR="00751BE9">
        <w:t xml:space="preserve"> in 2015</w:t>
      </w:r>
      <w:r w:rsidR="00C121C7">
        <w:t xml:space="preserve"> resulted in a total number of </w:t>
      </w:r>
      <w:r w:rsidR="00B66037">
        <w:t xml:space="preserve">15 </w:t>
      </w:r>
      <w:r w:rsidR="00C121C7">
        <w:t xml:space="preserve">outcomes, with only </w:t>
      </w:r>
      <w:r w:rsidR="00B66037">
        <w:t xml:space="preserve">2 </w:t>
      </w:r>
      <w:r w:rsidR="00C121C7">
        <w:t xml:space="preserve">outcomes added after analysing the other issues. </w:t>
      </w:r>
    </w:p>
    <w:p w14:paraId="61881A42" w14:textId="64F94050" w:rsidR="001B2586" w:rsidRPr="000665D5" w:rsidRDefault="00A269E6" w:rsidP="000665D5">
      <w:pPr>
        <w:widowControl w:val="0"/>
        <w:autoSpaceDE w:val="0"/>
        <w:autoSpaceDN w:val="0"/>
        <w:adjustRightInd w:val="0"/>
        <w:spacing w:after="240" w:line="276" w:lineRule="auto"/>
        <w:rPr>
          <w:rFonts w:ascii="Times" w:hAnsi="Times" w:cs="Times"/>
          <w:color w:val="000000"/>
          <w:sz w:val="24"/>
          <w:szCs w:val="24"/>
        </w:rPr>
      </w:pPr>
      <w:r>
        <w:t xml:space="preserve">This review also highlighted the </w:t>
      </w:r>
      <w:r w:rsidR="00BF5FCB">
        <w:t xml:space="preserve">significant numbers of different </w:t>
      </w:r>
      <w:r>
        <w:t>measurement instruments used in CI studies.</w:t>
      </w:r>
      <w:r w:rsidR="003A37F9">
        <w:t xml:space="preserve"> </w:t>
      </w:r>
      <w:r w:rsidR="005D1498" w:rsidRPr="005D1498">
        <w:t xml:space="preserve">To an extent, this variation </w:t>
      </w:r>
      <w:r w:rsidR="005D1498">
        <w:t>is inevitable, reflecting</w:t>
      </w:r>
      <w:r w:rsidR="005D1498" w:rsidRPr="005D1498">
        <w:t xml:space="preserve"> the need to use speech and language tests in the patient’s native language. </w:t>
      </w:r>
      <w:r w:rsidR="005D1498" w:rsidRPr="000665D5">
        <w:rPr>
          <w:rFonts w:cs="Arial"/>
          <w:lang w:val="en-US"/>
        </w:rPr>
        <w:t>The nature of some measurement instruments allows for translation into different languages without affecting the validity of the measurement instrument. Whilst other instruments (e</w:t>
      </w:r>
      <w:r w:rsidR="00947E2F">
        <w:rPr>
          <w:rFonts w:cs="Arial"/>
          <w:lang w:val="en-US"/>
        </w:rPr>
        <w:t>.</w:t>
      </w:r>
      <w:r w:rsidR="005D1498" w:rsidRPr="000665D5">
        <w:rPr>
          <w:rFonts w:cs="Arial"/>
          <w:lang w:val="en-US"/>
        </w:rPr>
        <w:t xml:space="preserve">g. speech perception tests) may not be readily translated, as they are specific to the understanding of words and phrases in a particular language. In such circumstances, it may be useful to compare the proportion of CI patients within 1 and 2 standard deviations of the mean for normal hearing </w:t>
      </w:r>
      <w:r w:rsidR="007113C7">
        <w:rPr>
          <w:rFonts w:cs="Arial"/>
          <w:lang w:val="en-US"/>
        </w:rPr>
        <w:t>patients</w:t>
      </w:r>
      <w:r w:rsidR="005D1498" w:rsidRPr="000665D5">
        <w:rPr>
          <w:rFonts w:cs="Arial"/>
          <w:lang w:val="en-US"/>
        </w:rPr>
        <w:t>, when ‘non-translatable’ instruments are being compared.</w:t>
      </w:r>
      <w:r w:rsidR="005D1498">
        <w:rPr>
          <w:rFonts w:cs="Arial"/>
          <w:lang w:val="en-US"/>
        </w:rPr>
        <w:t xml:space="preserve"> </w:t>
      </w:r>
      <w:r w:rsidR="00AB4B12" w:rsidRPr="00FD2501">
        <w:rPr>
          <w:rFonts w:cs="Arial"/>
          <w:lang w:val="en-US"/>
        </w:rPr>
        <w:t>Alternatively, the design and use of novel measurement instruments not reliant upon understanding of language</w:t>
      </w:r>
      <w:r w:rsidR="00947E2F" w:rsidRPr="00FD2501">
        <w:rPr>
          <w:rFonts w:cs="Arial"/>
          <w:lang w:val="en-US"/>
        </w:rPr>
        <w:t xml:space="preserve"> (e.g. </w:t>
      </w:r>
      <w:r w:rsidR="003770A9" w:rsidRPr="00FD2501">
        <w:rPr>
          <w:rFonts w:cs="Arial"/>
          <w:lang w:val="en-US"/>
        </w:rPr>
        <w:t>phoneme tests</w:t>
      </w:r>
      <w:r w:rsidR="007113C7" w:rsidRPr="00FD2501">
        <w:rPr>
          <w:rFonts w:cs="Arial"/>
          <w:lang w:val="en-US"/>
        </w:rPr>
        <w:t>),</w:t>
      </w:r>
      <w:r w:rsidR="00796A71" w:rsidRPr="00FD2501">
        <w:rPr>
          <w:rFonts w:cs="Arial"/>
          <w:lang w:val="en-US"/>
        </w:rPr>
        <w:t xml:space="preserve"> c</w:t>
      </w:r>
      <w:r w:rsidR="00AB4B12" w:rsidRPr="00FD2501">
        <w:rPr>
          <w:rFonts w:cs="Arial"/>
          <w:lang w:val="en-US"/>
        </w:rPr>
        <w:t>ould address some of these difficulties.</w:t>
      </w:r>
      <w:r w:rsidR="00FD2501" w:rsidRPr="00FD2501">
        <w:rPr>
          <w:rFonts w:cs="Arial"/>
          <w:lang w:val="en-US"/>
        </w:rPr>
        <w:t xml:space="preserve"> Similarly, </w:t>
      </w:r>
      <w:r w:rsidR="00FD2501" w:rsidRPr="000665D5">
        <w:rPr>
          <w:rFonts w:cs="Times"/>
          <w:color w:val="000000"/>
        </w:rPr>
        <w:t>speech understanding with digits may be an alternative to ‘traditional’ speech perception tests, with digits representing familiar stimuli known to people with even limited language ability</w:t>
      </w:r>
      <w:r w:rsidR="006B26E0">
        <w:rPr>
          <w:rFonts w:cs="Times"/>
          <w:color w:val="000000"/>
        </w:rPr>
        <w:t>,</w:t>
      </w:r>
      <w:r w:rsidR="00FD2501" w:rsidRPr="000665D5">
        <w:rPr>
          <w:rFonts w:cs="Times"/>
          <w:color w:val="000000"/>
        </w:rPr>
        <w:t xml:space="preserve"> </w:t>
      </w:r>
      <w:r w:rsidR="006B26E0">
        <w:rPr>
          <w:rFonts w:cs="Times"/>
          <w:color w:val="000000"/>
        </w:rPr>
        <w:t>with</w:t>
      </w:r>
      <w:r w:rsidR="00FD2501" w:rsidRPr="000665D5">
        <w:rPr>
          <w:rFonts w:cs="Times"/>
          <w:color w:val="000000"/>
        </w:rPr>
        <w:t xml:space="preserve"> testing </w:t>
      </w:r>
      <w:r w:rsidR="006B26E0">
        <w:rPr>
          <w:rFonts w:cs="Times"/>
          <w:color w:val="000000"/>
        </w:rPr>
        <w:t>having</w:t>
      </w:r>
      <w:r w:rsidR="00FD2501" w:rsidRPr="000665D5">
        <w:rPr>
          <w:rFonts w:cs="Times"/>
          <w:color w:val="000000"/>
        </w:rPr>
        <w:t xml:space="preserve"> a smaller learning effect </w:t>
      </w:r>
      <w:r w:rsidR="00625A88" w:rsidRPr="00625A88">
        <w:rPr>
          <w:rFonts w:cs="Times"/>
          <w:color w:val="000000"/>
        </w:rPr>
        <w:t>(</w:t>
      </w:r>
      <w:r w:rsidR="00625A88" w:rsidRPr="000665D5">
        <w:rPr>
          <w:rFonts w:cs="Times"/>
          <w:bCs/>
          <w:color w:val="000000"/>
        </w:rPr>
        <w:t>H. E. Cullington 2017).</w:t>
      </w:r>
      <w:r w:rsidR="00625A88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D2C9640" w14:textId="2BE68103" w:rsidR="002B3D20" w:rsidRDefault="002B3D20" w:rsidP="000665D5">
      <w:pPr>
        <w:spacing w:line="276" w:lineRule="auto"/>
        <w:jc w:val="both"/>
      </w:pPr>
      <w:r w:rsidRPr="00FD2501">
        <w:t xml:space="preserve">The development and adoption of standardised sets of core outcomes has the potential to reduce the current levels of heterogeneity in outcome reporting </w:t>
      </w:r>
      <w:r w:rsidR="00074C32" w:rsidRPr="00FD2501">
        <w:t>for</w:t>
      </w:r>
      <w:r w:rsidRPr="00FD2501">
        <w:t xml:space="preserve"> evaluations of new technologies and novel applications of existing cochlear implants. It should be noted that the use of a ‘general’ </w:t>
      </w:r>
      <w:r w:rsidR="0062201C" w:rsidRPr="00FD2501">
        <w:t>set of core outcomes</w:t>
      </w:r>
      <w:r w:rsidRPr="00FD2501">
        <w:t xml:space="preserve"> may not be appropriate for all studies, as determined by the primary objective of the evaluation (e.g. music appreciation</w:t>
      </w:r>
      <w:r>
        <w:t>). Likewise,</w:t>
      </w:r>
      <w:r w:rsidR="008A5A8C">
        <w:t xml:space="preserve"> the benefits of CI in</w:t>
      </w:r>
      <w:r>
        <w:t xml:space="preserve"> </w:t>
      </w:r>
      <w:r w:rsidR="008A5A8C">
        <w:t>patients with additional needs (e.g. cognitive impairment) may not be best evaluated using a ‘general’ set of outcomes and measurement instruments</w:t>
      </w:r>
      <w:r w:rsidR="003B4EA4">
        <w:t>.</w:t>
      </w:r>
      <w:r w:rsidR="008A5A8C">
        <w:t xml:space="preserve"> </w:t>
      </w:r>
      <w:r w:rsidR="00174D9E">
        <w:t xml:space="preserve">Benefit in this group of patients can be under-estimated if </w:t>
      </w:r>
      <w:r w:rsidR="003B4EA4">
        <w:t xml:space="preserve">the chosen </w:t>
      </w:r>
      <w:r w:rsidR="00174D9E">
        <w:t xml:space="preserve">outcome domains and </w:t>
      </w:r>
      <w:r w:rsidR="009A62C3">
        <w:t xml:space="preserve">corresponding </w:t>
      </w:r>
      <w:r w:rsidR="003B4EA4">
        <w:t xml:space="preserve">measurement </w:t>
      </w:r>
      <w:r w:rsidR="00174D9E">
        <w:t xml:space="preserve">instruments </w:t>
      </w:r>
      <w:r w:rsidR="003B4EA4">
        <w:t>are inappropriate and/or unrealistic (IA Bruce 2013).</w:t>
      </w:r>
    </w:p>
    <w:p w14:paraId="2941CCC3" w14:textId="78E684BA" w:rsidR="006B26E0" w:rsidRDefault="00536F26" w:rsidP="000665D5">
      <w:pPr>
        <w:spacing w:line="276" w:lineRule="auto"/>
        <w:jc w:val="both"/>
      </w:pPr>
      <w:r>
        <w:t xml:space="preserve">Ultimately, the implementation of </w:t>
      </w:r>
      <w:r w:rsidR="00772F5A">
        <w:t xml:space="preserve">standardised sets of </w:t>
      </w:r>
      <w:r w:rsidR="00CF20A4">
        <w:t xml:space="preserve">core </w:t>
      </w:r>
      <w:r w:rsidR="00772F5A">
        <w:t xml:space="preserve">outcomes and corresponding measurement instruments </w:t>
      </w:r>
      <w:r w:rsidR="0067698D">
        <w:t xml:space="preserve">in effectiveness studies </w:t>
      </w:r>
      <w:r w:rsidR="00772F5A">
        <w:t>for CI in children, young people and adults, would help to</w:t>
      </w:r>
      <w:r w:rsidR="001D36D4">
        <w:t xml:space="preserve"> maximizing patient</w:t>
      </w:r>
      <w:r w:rsidR="00943511">
        <w:t xml:space="preserve"> </w:t>
      </w:r>
      <w:r w:rsidR="0067698D">
        <w:t>access and</w:t>
      </w:r>
      <w:r w:rsidR="001D36D4">
        <w:t xml:space="preserve"> benefit</w:t>
      </w:r>
      <w:r w:rsidR="00943511">
        <w:t xml:space="preserve"> </w:t>
      </w:r>
      <w:r w:rsidR="00AB4B12">
        <w:t>from</w:t>
      </w:r>
      <w:r w:rsidR="00943511">
        <w:t xml:space="preserve"> CI, by optimising the evidence available to professionals and healthcare commissioners.</w:t>
      </w:r>
      <w:r w:rsidR="001D36D4">
        <w:t xml:space="preserve"> </w:t>
      </w:r>
    </w:p>
    <w:p w14:paraId="22DC1F0F" w14:textId="3313DC90" w:rsidR="00A41913" w:rsidRDefault="000665D5" w:rsidP="000665D5">
      <w:pPr>
        <w:spacing w:line="276" w:lineRule="auto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287854424"/>
        <w:docPartObj>
          <w:docPartGallery w:val="Bibliographies"/>
          <w:docPartUnique/>
        </w:docPartObj>
      </w:sdtPr>
      <w:sdtEndPr/>
      <w:sdtContent>
        <w:p w14:paraId="71A03459" w14:textId="77777777" w:rsidR="003B024A" w:rsidRDefault="003B024A" w:rsidP="000665D5">
          <w:pPr>
            <w:pStyle w:val="Heading1"/>
            <w:spacing w:line="276" w:lineRule="auto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14:paraId="2A05397D" w14:textId="77777777" w:rsidR="005D4A01" w:rsidRPr="000665D5" w:rsidRDefault="003B024A" w:rsidP="000665D5">
              <w:pPr>
                <w:pStyle w:val="Bibliography"/>
                <w:spacing w:line="276" w:lineRule="auto"/>
                <w:ind w:left="720" w:hanging="720"/>
                <w:rPr>
                  <w:noProof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5D4A01" w:rsidRPr="00625A88">
                <w:rPr>
                  <w:noProof/>
                  <w:lang w:val="en-US"/>
                </w:rPr>
                <w:t xml:space="preserve">IA Bruce, H Cooper, S Waltzman, D Schramm, J Graham. 2015. "Maximising research value in the field of hearing implantation: A call for 'big data'." </w:t>
              </w:r>
              <w:r w:rsidR="005D4A01" w:rsidRPr="00625A88">
                <w:rPr>
                  <w:i/>
                  <w:iCs/>
                  <w:noProof/>
                  <w:lang w:val="en-US"/>
                </w:rPr>
                <w:t>Cochlear Implants Int.</w:t>
              </w:r>
              <w:r w:rsidR="005D4A01" w:rsidRPr="00625A88">
                <w:rPr>
                  <w:noProof/>
                  <w:lang w:val="en-US"/>
                </w:rPr>
                <w:t xml:space="preserve"> 16 (6): 301.</w:t>
              </w:r>
            </w:p>
            <w:p w14:paraId="257B2D54" w14:textId="1C014D44" w:rsidR="005D4A01" w:rsidRPr="00625A88" w:rsidRDefault="005D4A01" w:rsidP="000665D5">
              <w:pPr>
                <w:pStyle w:val="Bibliography"/>
                <w:spacing w:line="276" w:lineRule="auto"/>
                <w:ind w:left="720" w:hanging="720"/>
                <w:rPr>
                  <w:noProof/>
                  <w:lang w:val="en-US"/>
                </w:rPr>
              </w:pPr>
              <w:r w:rsidRPr="00625A88">
                <w:rPr>
                  <w:noProof/>
                  <w:lang w:val="en-US"/>
                </w:rPr>
                <w:t xml:space="preserve">M Boers, JR Kirwan, G Wells, D Beaton, L Gossec, MA d’Agostino, PG. Conaghan, CO. Bingham III, P Brooks, R Landewe, L Marchk, LS. Simon, JA. Singhn, V Strand, P Tugwell. 2013. "Developing Core Outcome Measurement Sets for Clinical Trials: OMERACT filter 2.0." </w:t>
              </w:r>
              <w:r w:rsidRPr="00625A88">
                <w:rPr>
                  <w:i/>
                  <w:iCs/>
                  <w:noProof/>
                  <w:lang w:val="en-US"/>
                </w:rPr>
                <w:t>Journal of Clinical Epidemiology</w:t>
              </w:r>
              <w:r w:rsidRPr="00625A88">
                <w:rPr>
                  <w:noProof/>
                  <w:lang w:val="en-US"/>
                </w:rPr>
                <w:t xml:space="preserve"> 67 (7): 745-53.</w:t>
              </w:r>
            </w:p>
            <w:p w14:paraId="0186BCD9" w14:textId="77777777" w:rsidR="005D4A01" w:rsidRPr="00625A88" w:rsidRDefault="005D4A01" w:rsidP="000665D5">
              <w:pPr>
                <w:pStyle w:val="Bibliography"/>
                <w:spacing w:line="276" w:lineRule="auto"/>
                <w:ind w:left="720" w:hanging="720"/>
                <w:rPr>
                  <w:noProof/>
                  <w:lang w:val="en-US"/>
                </w:rPr>
              </w:pPr>
              <w:r w:rsidRPr="00625A88">
                <w:rPr>
                  <w:noProof/>
                  <w:lang w:val="en-US"/>
                </w:rPr>
                <w:t xml:space="preserve">PM Vila, TE Hullar, CA Buchman, JE Lieu. 2016. "Analysis of Outcome Domains in Adult Cochlear Implantation: A Systematic Review." </w:t>
              </w:r>
              <w:r w:rsidRPr="00625A88">
                <w:rPr>
                  <w:i/>
                  <w:iCs/>
                  <w:noProof/>
                  <w:lang w:val="en-US"/>
                </w:rPr>
                <w:t>Otolaryngol Head Neck Surg.</w:t>
              </w:r>
              <w:r w:rsidRPr="00625A88">
                <w:rPr>
                  <w:noProof/>
                  <w:lang w:val="en-US"/>
                </w:rPr>
                <w:t xml:space="preserve"> 155 (2): 238-45.</w:t>
              </w:r>
            </w:p>
            <w:p w14:paraId="29076F54" w14:textId="77777777" w:rsidR="005D4A01" w:rsidRPr="00625A88" w:rsidRDefault="005D4A01" w:rsidP="000665D5">
              <w:pPr>
                <w:pStyle w:val="Bibliography"/>
                <w:spacing w:line="276" w:lineRule="auto"/>
                <w:ind w:left="720" w:hanging="720"/>
                <w:rPr>
                  <w:noProof/>
                  <w:lang w:val="en-US"/>
                </w:rPr>
              </w:pPr>
              <w:r w:rsidRPr="00625A88">
                <w:rPr>
                  <w:noProof/>
                  <w:lang w:val="en-US"/>
                </w:rPr>
                <w:t xml:space="preserve">The CROWN Initiative. 2014. "The core outcomes in women's health (CROWN) initiative." </w:t>
              </w:r>
              <w:r w:rsidRPr="00625A88">
                <w:rPr>
                  <w:i/>
                  <w:iCs/>
                  <w:noProof/>
                  <w:lang w:val="en-US"/>
                </w:rPr>
                <w:t>Eur J Obstet Gynecol Reprod Biol.</w:t>
              </w:r>
              <w:r w:rsidRPr="00625A88">
                <w:rPr>
                  <w:noProof/>
                  <w:lang w:val="en-US"/>
                </w:rPr>
                <w:t xml:space="preserve"> 180: A1-2.</w:t>
              </w:r>
            </w:p>
            <w:p w14:paraId="150AD094" w14:textId="33377402" w:rsidR="00625A88" w:rsidRPr="000665D5" w:rsidRDefault="00625A88" w:rsidP="000665D5">
              <w:pPr>
                <w:widowControl w:val="0"/>
                <w:autoSpaceDE w:val="0"/>
                <w:autoSpaceDN w:val="0"/>
                <w:adjustRightInd w:val="0"/>
                <w:spacing w:after="240" w:line="360" w:lineRule="atLeast"/>
                <w:rPr>
                  <w:rFonts w:eastAsia="Arial Unicode MS" w:cs="Times"/>
                  <w:color w:val="000000"/>
                </w:rPr>
              </w:pPr>
              <w:r w:rsidRPr="000665D5">
                <w:rPr>
                  <w:rFonts w:eastAsia="Arial Unicode MS" w:cs="Arial Unicode MS"/>
                  <w:color w:val="000000"/>
                </w:rPr>
                <w:t xml:space="preserve">H. E. Cullington &amp; Talat Aidi (2017) Is the digit triplet test an effective and acceptable way to assess speech recognition in adults using cochlear implants in a home environment?, Cochlear Implants International, 18:2, 97-105 </w:t>
              </w:r>
            </w:p>
            <w:p w14:paraId="218FF17C" w14:textId="7A0AC5B0" w:rsidR="00877636" w:rsidRPr="000665D5" w:rsidRDefault="00877636" w:rsidP="000665D5">
              <w:pPr>
                <w:widowControl w:val="0"/>
                <w:tabs>
                  <w:tab w:val="left" w:pos="240"/>
                </w:tabs>
                <w:autoSpaceDE w:val="0"/>
                <w:autoSpaceDN w:val="0"/>
                <w:adjustRightInd w:val="0"/>
                <w:spacing w:after="0" w:line="276" w:lineRule="auto"/>
                <w:rPr>
                  <w:rFonts w:cs="Helvetica"/>
                  <w:color w:val="000000"/>
                </w:rPr>
              </w:pPr>
              <w:r w:rsidRPr="000665D5">
                <w:rPr>
                  <w:rFonts w:cs="Helvetica"/>
                  <w:bCs/>
                  <w:color w:val="000000"/>
                </w:rPr>
                <w:t>IA Bruce</w:t>
              </w:r>
              <w:r w:rsidRPr="000665D5">
                <w:rPr>
                  <w:rFonts w:cs="Helvetica"/>
                  <w:color w:val="000000"/>
                </w:rPr>
                <w:t>, A Markey, L Henderson, KMJ Green.</w:t>
              </w:r>
              <w:r>
                <w:rPr>
                  <w:rFonts w:cs="Helvetica"/>
                  <w:color w:val="000000"/>
                </w:rPr>
                <w:t xml:space="preserve"> 2013.</w:t>
              </w:r>
              <w:r w:rsidRPr="000665D5">
                <w:rPr>
                  <w:rFonts w:cs="Helvetica"/>
                  <w:color w:val="000000"/>
                </w:rPr>
                <w:t xml:space="preserve"> The need for specific outcome measures when evaluating cochlear implantation in hearing impaired children with cerebral palsy</w:t>
              </w:r>
              <w:r>
                <w:rPr>
                  <w:rFonts w:cs="Helvetica"/>
                  <w:color w:val="000000"/>
                </w:rPr>
                <w:t xml:space="preserve">. </w:t>
              </w:r>
              <w:r w:rsidRPr="000665D5">
                <w:rPr>
                  <w:rFonts w:cs="Helvetica"/>
                  <w:i/>
                  <w:color w:val="000000"/>
                </w:rPr>
                <w:t>Cochlear Implants Int</w:t>
              </w:r>
              <w:r>
                <w:rPr>
                  <w:rFonts w:cs="Helvetica"/>
                  <w:color w:val="000000"/>
                </w:rPr>
                <w:t>.</w:t>
              </w:r>
              <w:r w:rsidRPr="000665D5">
                <w:rPr>
                  <w:rFonts w:cs="Helvetica"/>
                  <w:color w:val="000000"/>
                </w:rPr>
                <w:t xml:space="preserve"> 14 (S3): 35-37</w:t>
              </w:r>
            </w:p>
            <w:p w14:paraId="1D46C096" w14:textId="77777777" w:rsidR="003B024A" w:rsidRDefault="003B024A" w:rsidP="000665D5">
              <w:pPr>
                <w:spacing w:line="276" w:lineRule="auto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3E56FC04" w14:textId="176D3BF5" w:rsidR="003B024A" w:rsidRDefault="00110EB5" w:rsidP="000665D5">
      <w:pPr>
        <w:spacing w:line="276" w:lineRule="auto"/>
        <w:jc w:val="both"/>
      </w:pPr>
      <w:r w:rsidRPr="00110EB5">
        <w:t xml:space="preserve">Table 1: </w:t>
      </w:r>
      <w:r w:rsidRPr="000665D5">
        <w:t xml:space="preserve">Overview of outcomes and measurement instruments, </w:t>
      </w:r>
      <w:r w:rsidRPr="000665D5">
        <w:rPr>
          <w:i/>
        </w:rPr>
        <w:t>CIM</w:t>
      </w:r>
      <w:r w:rsidRPr="000665D5">
        <w:t xml:space="preserve">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925"/>
        <w:gridCol w:w="6182"/>
      </w:tblGrid>
      <w:tr w:rsidR="00ED3963" w:rsidRPr="001C048D" w14:paraId="1E5C5128" w14:textId="77777777" w:rsidTr="00456D3B">
        <w:trPr>
          <w:cantSplit/>
          <w:trHeight w:val="289"/>
          <w:tblHeader/>
        </w:trPr>
        <w:tc>
          <w:tcPr>
            <w:tcW w:w="2086" w:type="dxa"/>
            <w:shd w:val="clear" w:color="auto" w:fill="D9D9D9" w:themeFill="background1" w:themeFillShade="D9"/>
            <w:noWrap/>
            <w:hideMark/>
          </w:tcPr>
          <w:p w14:paraId="1D112D24" w14:textId="77777777" w:rsidR="00ED3963" w:rsidRPr="001C048D" w:rsidRDefault="00ED3963" w:rsidP="000665D5">
            <w:pPr>
              <w:spacing w:line="276" w:lineRule="auto"/>
              <w:rPr>
                <w:b/>
              </w:rPr>
            </w:pPr>
            <w:r w:rsidRPr="001C048D">
              <w:rPr>
                <w:b/>
              </w:rPr>
              <w:t>Outcome</w:t>
            </w:r>
          </w:p>
        </w:tc>
        <w:tc>
          <w:tcPr>
            <w:tcW w:w="999" w:type="dxa"/>
            <w:shd w:val="clear" w:color="auto" w:fill="D9D9D9" w:themeFill="background1" w:themeFillShade="D9"/>
            <w:noWrap/>
            <w:hideMark/>
          </w:tcPr>
          <w:p w14:paraId="36FD7B4C" w14:textId="77777777" w:rsidR="00ED3963" w:rsidRPr="001C048D" w:rsidRDefault="00ED3963" w:rsidP="000665D5">
            <w:pPr>
              <w:spacing w:line="276" w:lineRule="auto"/>
              <w:rPr>
                <w:b/>
              </w:rPr>
            </w:pPr>
            <w:r w:rsidRPr="001C048D">
              <w:rPr>
                <w:b/>
              </w:rPr>
              <w:t>No. of Studies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hideMark/>
          </w:tcPr>
          <w:p w14:paraId="356FD572" w14:textId="77777777" w:rsidR="00ED3963" w:rsidRPr="001C048D" w:rsidRDefault="00ED3963" w:rsidP="000665D5">
            <w:pPr>
              <w:spacing w:line="276" w:lineRule="auto"/>
              <w:rPr>
                <w:b/>
              </w:rPr>
            </w:pPr>
            <w:r w:rsidRPr="001C048D">
              <w:rPr>
                <w:b/>
              </w:rPr>
              <w:t>METHODS OF MEASUREMENT</w:t>
            </w:r>
          </w:p>
        </w:tc>
      </w:tr>
      <w:tr w:rsidR="00ED3963" w:rsidRPr="001C048D" w14:paraId="006F5345" w14:textId="77777777" w:rsidTr="00456D3B">
        <w:trPr>
          <w:trHeight w:val="289"/>
        </w:trPr>
        <w:tc>
          <w:tcPr>
            <w:tcW w:w="2086" w:type="dxa"/>
            <w:noWrap/>
            <w:hideMark/>
          </w:tcPr>
          <w:p w14:paraId="56A21DBB" w14:textId="77777777" w:rsidR="00ED3963" w:rsidRPr="001C048D" w:rsidRDefault="00ED3963" w:rsidP="000665D5">
            <w:pPr>
              <w:spacing w:line="276" w:lineRule="auto"/>
            </w:pPr>
            <w:r w:rsidRPr="001C048D">
              <w:t>Hearing</w:t>
            </w:r>
          </w:p>
        </w:tc>
        <w:tc>
          <w:tcPr>
            <w:tcW w:w="999" w:type="dxa"/>
            <w:noWrap/>
            <w:hideMark/>
          </w:tcPr>
          <w:p w14:paraId="245B8399" w14:textId="77777777" w:rsidR="00ED3963" w:rsidRPr="001C048D" w:rsidRDefault="00ED3963" w:rsidP="000665D5">
            <w:pPr>
              <w:spacing w:line="276" w:lineRule="auto"/>
            </w:pPr>
            <w:commentRangeStart w:id="1"/>
            <w:r w:rsidRPr="001C048D">
              <w:t>18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6804" w:type="dxa"/>
            <w:noWrap/>
            <w:hideMark/>
          </w:tcPr>
          <w:p w14:paraId="65D4574D" w14:textId="77777777" w:rsidR="00ED3963" w:rsidRDefault="00ED3963" w:rsidP="000665D5">
            <w:pPr>
              <w:spacing w:line="276" w:lineRule="auto"/>
            </w:pPr>
            <w:r w:rsidRPr="001C048D">
              <w:t>Aided t</w:t>
            </w:r>
            <w:r>
              <w:t>h</w:t>
            </w:r>
            <w:r w:rsidRPr="001C048D">
              <w:t>resholds</w:t>
            </w:r>
          </w:p>
          <w:p w14:paraId="1E261332" w14:textId="77777777" w:rsidR="00ED3963" w:rsidRDefault="00ED3963" w:rsidP="000665D5">
            <w:pPr>
              <w:spacing w:line="276" w:lineRule="auto"/>
            </w:pPr>
            <w:r w:rsidRPr="001C048D">
              <w:t>Warble tones free field</w:t>
            </w:r>
          </w:p>
          <w:p w14:paraId="35BB200F" w14:textId="77777777" w:rsidR="00ED3963" w:rsidRDefault="00ED3963" w:rsidP="000665D5">
            <w:pPr>
              <w:spacing w:line="276" w:lineRule="auto"/>
            </w:pPr>
            <w:r w:rsidRPr="001C048D">
              <w:t>Electrical Auditory Brainstem response (EABR)</w:t>
            </w:r>
          </w:p>
          <w:p w14:paraId="66C9B072" w14:textId="77777777" w:rsidR="00ED3963" w:rsidRDefault="00ED3963" w:rsidP="000665D5">
            <w:pPr>
              <w:spacing w:line="276" w:lineRule="auto"/>
            </w:pPr>
            <w:r w:rsidRPr="001C048D">
              <w:t>Perceptual t</w:t>
            </w:r>
            <w:r>
              <w:t>h</w:t>
            </w:r>
            <w:r w:rsidRPr="001C048D">
              <w:t>reshold (T-level)</w:t>
            </w:r>
          </w:p>
          <w:p w14:paraId="6282ECD0" w14:textId="77777777" w:rsidR="00ED3963" w:rsidRDefault="00ED3963" w:rsidP="000665D5">
            <w:pPr>
              <w:spacing w:line="276" w:lineRule="auto"/>
            </w:pPr>
            <w:r w:rsidRPr="001C048D">
              <w:t>Loudest comfortable level (C-level)</w:t>
            </w:r>
          </w:p>
          <w:p w14:paraId="53C3DAE0" w14:textId="77777777" w:rsidR="00ED3963" w:rsidRDefault="00ED3963" w:rsidP="000665D5">
            <w:pPr>
              <w:spacing w:line="276" w:lineRule="auto"/>
            </w:pPr>
            <w:r w:rsidRPr="001C048D">
              <w:t>Fitting To Outcomes Expert (FOX)</w:t>
            </w:r>
          </w:p>
          <w:p w14:paraId="1BB0B21F" w14:textId="77777777" w:rsidR="00ED3963" w:rsidRDefault="00ED3963" w:rsidP="000665D5">
            <w:pPr>
              <w:spacing w:line="276" w:lineRule="auto"/>
            </w:pPr>
            <w:r w:rsidRPr="001C048D">
              <w:t>Stimulus recognition</w:t>
            </w:r>
          </w:p>
          <w:p w14:paraId="64AE1492" w14:textId="77777777" w:rsidR="00ED3963" w:rsidRDefault="00ED3963" w:rsidP="000665D5">
            <w:pPr>
              <w:spacing w:line="276" w:lineRule="auto"/>
            </w:pPr>
            <w:r w:rsidRPr="001C048D">
              <w:t>Visual analog scale</w:t>
            </w:r>
            <w:r>
              <w:t xml:space="preserve"> (VAS)</w:t>
            </w:r>
          </w:p>
          <w:p w14:paraId="0557FF8E" w14:textId="77777777" w:rsidR="00ED3963" w:rsidRDefault="00ED3963" w:rsidP="000665D5">
            <w:pPr>
              <w:spacing w:line="276" w:lineRule="auto"/>
            </w:pPr>
            <w:r w:rsidRPr="001C048D">
              <w:t>Pure Tone Audiometry</w:t>
            </w:r>
          </w:p>
          <w:p w14:paraId="1BF3AE40" w14:textId="77777777" w:rsidR="00ED3963" w:rsidRDefault="00ED3963" w:rsidP="000665D5">
            <w:pPr>
              <w:spacing w:line="276" w:lineRule="auto"/>
            </w:pPr>
            <w:r w:rsidRPr="001C048D">
              <w:t>Customized Nucleus 5 and Nucleus 6 questionnaires</w:t>
            </w:r>
          </w:p>
          <w:p w14:paraId="6E70818C" w14:textId="77777777" w:rsidR="00ED3963" w:rsidRDefault="00ED3963" w:rsidP="000665D5">
            <w:pPr>
              <w:spacing w:line="276" w:lineRule="auto"/>
            </w:pPr>
            <w:r w:rsidRPr="001C048D">
              <w:t>APHAB questionnaire</w:t>
            </w:r>
          </w:p>
          <w:p w14:paraId="6D26CFD1" w14:textId="77777777" w:rsidR="00ED3963" w:rsidRDefault="00ED3963" w:rsidP="000665D5">
            <w:pPr>
              <w:spacing w:line="276" w:lineRule="auto"/>
            </w:pPr>
            <w:r w:rsidRPr="001C048D">
              <w:t>Telephone Profile</w:t>
            </w:r>
          </w:p>
          <w:p w14:paraId="04FF7DCA" w14:textId="77777777" w:rsidR="00ED3963" w:rsidRDefault="00ED3963" w:rsidP="000665D5">
            <w:pPr>
              <w:spacing w:line="276" w:lineRule="auto"/>
            </w:pPr>
            <w:r w:rsidRPr="001C048D">
              <w:t>Evoked Compound Action Potentials (ECAP)</w:t>
            </w:r>
          </w:p>
          <w:p w14:paraId="296AC75F" w14:textId="349CDE06" w:rsidR="00ED3963" w:rsidRPr="001C048D" w:rsidRDefault="00ED3963" w:rsidP="000665D5">
            <w:pPr>
              <w:spacing w:line="276" w:lineRule="auto"/>
            </w:pPr>
            <w:r w:rsidRPr="001C048D">
              <w:t>Electrically evoked Stapedius Reflex T</w:t>
            </w:r>
            <w:r>
              <w:t>h</w:t>
            </w:r>
            <w:r w:rsidRPr="001C048D">
              <w:t>reshold (ESRT)</w:t>
            </w:r>
          </w:p>
        </w:tc>
      </w:tr>
      <w:tr w:rsidR="00ED3963" w:rsidRPr="001C048D" w14:paraId="1C2448A8" w14:textId="77777777" w:rsidTr="00456D3B">
        <w:trPr>
          <w:trHeight w:val="289"/>
        </w:trPr>
        <w:tc>
          <w:tcPr>
            <w:tcW w:w="2086" w:type="dxa"/>
            <w:noWrap/>
            <w:hideMark/>
          </w:tcPr>
          <w:p w14:paraId="49DA23AE" w14:textId="77777777" w:rsidR="00ED3963" w:rsidRPr="001C048D" w:rsidRDefault="00ED3963" w:rsidP="000665D5">
            <w:pPr>
              <w:spacing w:line="276" w:lineRule="auto"/>
            </w:pPr>
            <w:r w:rsidRPr="001C048D">
              <w:t>Speech perception</w:t>
            </w:r>
          </w:p>
        </w:tc>
        <w:tc>
          <w:tcPr>
            <w:tcW w:w="999" w:type="dxa"/>
            <w:noWrap/>
            <w:hideMark/>
          </w:tcPr>
          <w:p w14:paraId="5097AB18" w14:textId="77777777" w:rsidR="00ED3963" w:rsidRPr="001C048D" w:rsidRDefault="00ED3963" w:rsidP="000665D5">
            <w:pPr>
              <w:spacing w:line="276" w:lineRule="auto"/>
            </w:pPr>
            <w:commentRangeStart w:id="2"/>
            <w:r w:rsidRPr="001C048D">
              <w:t>24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6804" w:type="dxa"/>
            <w:noWrap/>
            <w:hideMark/>
          </w:tcPr>
          <w:p w14:paraId="658B97B3" w14:textId="77777777" w:rsidR="00ED3963" w:rsidRDefault="00ED3963" w:rsidP="000665D5">
            <w:pPr>
              <w:spacing w:line="276" w:lineRule="auto"/>
            </w:pPr>
            <w:r w:rsidRPr="001C048D">
              <w:t>Soun</w:t>
            </w:r>
            <w:r>
              <w:t>d field speech perception test</w:t>
            </w:r>
          </w:p>
          <w:p w14:paraId="3747A204" w14:textId="77777777" w:rsidR="00ED3963" w:rsidRDefault="00ED3963" w:rsidP="000665D5">
            <w:pPr>
              <w:spacing w:line="276" w:lineRule="auto"/>
            </w:pPr>
            <w:r w:rsidRPr="001C048D">
              <w:t>Hochmair-Schult-Moser (HSM) sentence test</w:t>
            </w:r>
          </w:p>
          <w:p w14:paraId="521F542F" w14:textId="77777777" w:rsidR="00ED3963" w:rsidRDefault="00ED3963" w:rsidP="000665D5">
            <w:pPr>
              <w:spacing w:line="276" w:lineRule="auto"/>
            </w:pPr>
            <w:r w:rsidRPr="001C048D">
              <w:t>Sentence Test with Adaptive Randomized Roving Levels (STARR)</w:t>
            </w:r>
          </w:p>
          <w:p w14:paraId="16ED7C06" w14:textId="77777777" w:rsidR="00ED3963" w:rsidRDefault="00ED3963" w:rsidP="000665D5">
            <w:pPr>
              <w:spacing w:line="276" w:lineRule="auto"/>
            </w:pPr>
            <w:r w:rsidRPr="001C048D">
              <w:t>Fitting To Outcomes Expert (FOX)</w:t>
            </w:r>
          </w:p>
          <w:p w14:paraId="2FBBA9B4" w14:textId="77777777" w:rsidR="00ED3963" w:rsidRDefault="00ED3963" w:rsidP="000665D5">
            <w:pPr>
              <w:spacing w:line="276" w:lineRule="auto"/>
            </w:pPr>
            <w:r w:rsidRPr="001C048D">
              <w:t>Bamford-Kowal-Bench (BKB) sentence test</w:t>
            </w:r>
          </w:p>
          <w:p w14:paraId="4D6A28B8" w14:textId="77777777" w:rsidR="00ED3963" w:rsidRDefault="00ED3963" w:rsidP="000665D5">
            <w:pPr>
              <w:spacing w:line="276" w:lineRule="auto"/>
            </w:pPr>
            <w:r w:rsidRPr="001C048D">
              <w:lastRenderedPageBreak/>
              <w:t>Open-set speech recognition</w:t>
            </w:r>
          </w:p>
          <w:p w14:paraId="7CA8FBDF" w14:textId="77777777" w:rsidR="00ED3963" w:rsidRDefault="00ED3963" w:rsidP="000665D5">
            <w:pPr>
              <w:spacing w:line="276" w:lineRule="auto"/>
            </w:pPr>
            <w:r w:rsidRPr="001C048D">
              <w:t>Oldenburger Satztest (OlSa)</w:t>
            </w:r>
          </w:p>
          <w:p w14:paraId="79D3A2D4" w14:textId="77777777" w:rsidR="00ED3963" w:rsidRDefault="00ED3963" w:rsidP="000665D5">
            <w:pPr>
              <w:spacing w:line="276" w:lineRule="auto"/>
            </w:pPr>
            <w:r w:rsidRPr="001C048D">
              <w:t>list of 50 phonetically balanced French words' (no further details)</w:t>
            </w:r>
          </w:p>
          <w:p w14:paraId="471A92EE" w14:textId="77777777" w:rsidR="00ED3963" w:rsidRDefault="00ED3963" w:rsidP="000665D5">
            <w:pPr>
              <w:spacing w:line="276" w:lineRule="auto"/>
            </w:pPr>
            <w:r w:rsidRPr="001C048D">
              <w:t>Freiburger monosyllables</w:t>
            </w:r>
          </w:p>
          <w:p w14:paraId="61838E4C" w14:textId="77777777" w:rsidR="00ED3963" w:rsidRDefault="00ED3963" w:rsidP="000665D5">
            <w:pPr>
              <w:spacing w:line="276" w:lineRule="auto"/>
            </w:pPr>
            <w:r w:rsidRPr="001C048D">
              <w:t>Arthur Boothroyd words</w:t>
            </w:r>
          </w:p>
          <w:p w14:paraId="0EF6F1A6" w14:textId="77777777" w:rsidR="00ED3963" w:rsidRDefault="00ED3963" w:rsidP="000665D5">
            <w:pPr>
              <w:spacing w:line="276" w:lineRule="auto"/>
            </w:pPr>
            <w:r w:rsidRPr="001C048D">
              <w:t>Lafon words</w:t>
            </w:r>
          </w:p>
          <w:p w14:paraId="32A12055" w14:textId="77777777" w:rsidR="00ED3963" w:rsidRDefault="00ED3963" w:rsidP="000665D5">
            <w:pPr>
              <w:spacing w:line="276" w:lineRule="auto"/>
            </w:pPr>
            <w:r w:rsidRPr="001C048D">
              <w:t>Marginal benefit from acoustic amplification sentences</w:t>
            </w:r>
          </w:p>
          <w:p w14:paraId="6A622B1A" w14:textId="77777777" w:rsidR="00ED3963" w:rsidRDefault="00ED3963" w:rsidP="000665D5">
            <w:pPr>
              <w:spacing w:line="276" w:lineRule="auto"/>
            </w:pPr>
            <w:r w:rsidRPr="001C048D">
              <w:t>List sixteen consonants (no further details)</w:t>
            </w:r>
          </w:p>
          <w:p w14:paraId="531C768F" w14:textId="77777777" w:rsidR="00ED3963" w:rsidRDefault="00ED3963" w:rsidP="000665D5">
            <w:pPr>
              <w:spacing w:line="276" w:lineRule="auto"/>
            </w:pPr>
            <w:r w:rsidRPr="001C048D">
              <w:t>List twelve vowels (no further details)</w:t>
            </w:r>
          </w:p>
          <w:p w14:paraId="05FD3E4B" w14:textId="77777777" w:rsidR="00ED3963" w:rsidRDefault="00ED3963" w:rsidP="000665D5">
            <w:pPr>
              <w:spacing w:line="276" w:lineRule="auto"/>
            </w:pPr>
            <w:r w:rsidRPr="001C048D">
              <w:t>AzBio score</w:t>
            </w:r>
          </w:p>
          <w:p w14:paraId="5F4B7DC3" w14:textId="77777777" w:rsidR="00ED3963" w:rsidRDefault="00ED3963" w:rsidP="000665D5">
            <w:pPr>
              <w:spacing w:line="276" w:lineRule="auto"/>
            </w:pPr>
            <w:r w:rsidRPr="001C048D">
              <w:t>Consonant-nucleus-consonant (CNC)</w:t>
            </w:r>
          </w:p>
          <w:p w14:paraId="6E249CB8" w14:textId="77777777" w:rsidR="00ED3963" w:rsidRDefault="00ED3963" w:rsidP="000665D5">
            <w:pPr>
              <w:spacing w:line="276" w:lineRule="auto"/>
            </w:pPr>
            <w:r w:rsidRPr="001C048D">
              <w:t>Flemish recordings of the Dutch word test (NVA test)</w:t>
            </w:r>
          </w:p>
          <w:p w14:paraId="0D9D3ADA" w14:textId="77777777" w:rsidR="00ED3963" w:rsidRDefault="00ED3963" w:rsidP="000665D5">
            <w:pPr>
              <w:spacing w:line="276" w:lineRule="auto"/>
            </w:pPr>
            <w:r w:rsidRPr="001C048D">
              <w:t>Monosyllabic word scores</w:t>
            </w:r>
          </w:p>
          <w:p w14:paraId="63E78859" w14:textId="77777777" w:rsidR="00ED3963" w:rsidRDefault="00ED3963" w:rsidP="000665D5">
            <w:pPr>
              <w:spacing w:line="276" w:lineRule="auto"/>
            </w:pPr>
            <w:r w:rsidRPr="001C048D">
              <w:t>Bi-syllabic word testing</w:t>
            </w:r>
          </w:p>
          <w:p w14:paraId="44669F4A" w14:textId="77777777" w:rsidR="00ED3963" w:rsidRDefault="00ED3963" w:rsidP="000665D5">
            <w:pPr>
              <w:spacing w:line="276" w:lineRule="auto"/>
            </w:pPr>
            <w:r w:rsidRPr="001C048D">
              <w:t>Three-digit test</w:t>
            </w:r>
          </w:p>
          <w:p w14:paraId="2FF9B55F" w14:textId="77777777" w:rsidR="00ED3963" w:rsidRDefault="00ED3963" w:rsidP="000665D5">
            <w:pPr>
              <w:spacing w:line="276" w:lineRule="auto"/>
            </w:pPr>
            <w:r w:rsidRPr="001C048D">
              <w:t>Telephone Profile</w:t>
            </w:r>
          </w:p>
          <w:p w14:paraId="19AFCF09" w14:textId="77777777" w:rsidR="00ED3963" w:rsidRDefault="00ED3963" w:rsidP="000665D5">
            <w:pPr>
              <w:spacing w:line="276" w:lineRule="auto"/>
            </w:pPr>
            <w:r w:rsidRPr="001C048D">
              <w:t>Iowa closed-set sentence test</w:t>
            </w:r>
          </w:p>
          <w:p w14:paraId="08A657BA" w14:textId="77777777" w:rsidR="00ED3963" w:rsidRDefault="00ED3963" w:rsidP="000665D5">
            <w:pPr>
              <w:spacing w:line="276" w:lineRule="auto"/>
            </w:pPr>
            <w:r w:rsidRPr="001C048D">
              <w:t>Speech, Spatial, and Other Qualities of Hearing Scale for parents (SSQ-P)</w:t>
            </w:r>
          </w:p>
          <w:p w14:paraId="70802AAC" w14:textId="77777777" w:rsidR="00ED3963" w:rsidRDefault="00ED3963" w:rsidP="000665D5">
            <w:pPr>
              <w:spacing w:line="276" w:lineRule="auto"/>
            </w:pPr>
            <w:r w:rsidRPr="001C048D">
              <w:t>Adaptive McCormick Toy Test (MTT)</w:t>
            </w:r>
          </w:p>
          <w:p w14:paraId="010AF34C" w14:textId="00FE5D08" w:rsidR="00ED3963" w:rsidRPr="001C048D" w:rsidRDefault="00ED3963" w:rsidP="000665D5">
            <w:pPr>
              <w:spacing w:line="276" w:lineRule="auto"/>
            </w:pPr>
            <w:r w:rsidRPr="001C048D">
              <w:t>The Chear Auditory Performance Test</w:t>
            </w:r>
          </w:p>
        </w:tc>
      </w:tr>
      <w:tr w:rsidR="00ED3963" w:rsidRPr="001C048D" w14:paraId="694E1F3E" w14:textId="77777777" w:rsidTr="00456D3B">
        <w:trPr>
          <w:cantSplit/>
          <w:trHeight w:val="300"/>
        </w:trPr>
        <w:tc>
          <w:tcPr>
            <w:tcW w:w="2086" w:type="dxa"/>
            <w:noWrap/>
            <w:hideMark/>
          </w:tcPr>
          <w:p w14:paraId="370428A7" w14:textId="77777777" w:rsidR="00ED3963" w:rsidRPr="001C048D" w:rsidRDefault="00ED3963" w:rsidP="000665D5">
            <w:pPr>
              <w:spacing w:line="276" w:lineRule="auto"/>
            </w:pPr>
            <w:r w:rsidRPr="001C048D">
              <w:lastRenderedPageBreak/>
              <w:t>Complications of surgery</w:t>
            </w:r>
          </w:p>
        </w:tc>
        <w:tc>
          <w:tcPr>
            <w:tcW w:w="999" w:type="dxa"/>
            <w:noWrap/>
            <w:hideMark/>
          </w:tcPr>
          <w:p w14:paraId="359868EC" w14:textId="77777777" w:rsidR="00ED3963" w:rsidRPr="001C048D" w:rsidRDefault="00ED3963" w:rsidP="000665D5">
            <w:pPr>
              <w:spacing w:line="276" w:lineRule="auto"/>
            </w:pPr>
            <w:r w:rsidRPr="001C048D">
              <w:t>12</w:t>
            </w:r>
          </w:p>
        </w:tc>
        <w:tc>
          <w:tcPr>
            <w:tcW w:w="6804" w:type="dxa"/>
            <w:noWrap/>
            <w:hideMark/>
          </w:tcPr>
          <w:p w14:paraId="32FDE43A" w14:textId="77777777" w:rsidR="00ED3963" w:rsidRDefault="00ED3963" w:rsidP="000665D5">
            <w:pPr>
              <w:spacing w:line="276" w:lineRule="auto"/>
            </w:pPr>
            <w:r w:rsidRPr="001C048D">
              <w:t>Medical records reviewed</w:t>
            </w:r>
          </w:p>
          <w:p w14:paraId="51294B47" w14:textId="77777777" w:rsidR="00ED3963" w:rsidRDefault="00ED3963" w:rsidP="000665D5">
            <w:pPr>
              <w:spacing w:line="276" w:lineRule="auto"/>
            </w:pPr>
            <w:r w:rsidRPr="001C048D">
              <w:t>Subjective rates of post-operative dizziness</w:t>
            </w:r>
          </w:p>
          <w:p w14:paraId="3839C433" w14:textId="77777777" w:rsidR="00ED3963" w:rsidRDefault="00ED3963" w:rsidP="000665D5">
            <w:pPr>
              <w:spacing w:line="276" w:lineRule="auto"/>
            </w:pPr>
            <w:r w:rsidRPr="001C048D">
              <w:t>Pain score (1-10)</w:t>
            </w:r>
          </w:p>
          <w:p w14:paraId="04130908" w14:textId="3943AF02" w:rsidR="00ED3963" w:rsidRPr="001C048D" w:rsidRDefault="00ED3963" w:rsidP="000665D5">
            <w:pPr>
              <w:spacing w:line="276" w:lineRule="auto"/>
            </w:pPr>
            <w:r w:rsidRPr="001C048D">
              <w:t>Subjective description of pain</w:t>
            </w:r>
          </w:p>
        </w:tc>
      </w:tr>
      <w:tr w:rsidR="00ED3963" w:rsidRPr="001C048D" w14:paraId="3EC229C7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75117539" w14:textId="77777777" w:rsidR="00ED3963" w:rsidRPr="001C048D" w:rsidRDefault="00ED3963" w:rsidP="000665D5">
            <w:pPr>
              <w:spacing w:line="276" w:lineRule="auto"/>
            </w:pPr>
            <w:r w:rsidRPr="001C048D">
              <w:t>Social functioning</w:t>
            </w:r>
          </w:p>
        </w:tc>
        <w:tc>
          <w:tcPr>
            <w:tcW w:w="999" w:type="dxa"/>
            <w:noWrap/>
            <w:hideMark/>
          </w:tcPr>
          <w:p w14:paraId="39CAF488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2814BDCD" w14:textId="749DB4EB" w:rsidR="00ED3963" w:rsidRPr="001C048D" w:rsidRDefault="00ED3963" w:rsidP="000665D5">
            <w:pPr>
              <w:spacing w:line="276" w:lineRule="auto"/>
            </w:pPr>
            <w:r w:rsidRPr="001C048D">
              <w:t>Focus group interviews with professionals</w:t>
            </w:r>
          </w:p>
        </w:tc>
      </w:tr>
      <w:tr w:rsidR="00ED3963" w:rsidRPr="001C048D" w14:paraId="05BF0EAB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39C99BFF" w14:textId="77777777" w:rsidR="00ED3963" w:rsidRPr="001C048D" w:rsidRDefault="00ED3963" w:rsidP="000665D5">
            <w:pPr>
              <w:spacing w:line="276" w:lineRule="auto"/>
            </w:pPr>
            <w:r w:rsidRPr="001C048D">
              <w:t>Academic functioning</w:t>
            </w:r>
          </w:p>
        </w:tc>
        <w:tc>
          <w:tcPr>
            <w:tcW w:w="999" w:type="dxa"/>
            <w:noWrap/>
            <w:hideMark/>
          </w:tcPr>
          <w:p w14:paraId="06726446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6D7D94B6" w14:textId="77777777" w:rsidR="00ED3963" w:rsidRPr="001C048D" w:rsidRDefault="00ED3963" w:rsidP="000665D5">
            <w:pPr>
              <w:spacing w:line="276" w:lineRule="auto"/>
            </w:pPr>
            <w:r w:rsidRPr="001C048D">
              <w:t>Focus group interviews with professionals</w:t>
            </w:r>
          </w:p>
        </w:tc>
      </w:tr>
      <w:tr w:rsidR="00ED3963" w:rsidRPr="001C048D" w14:paraId="3E54BADD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0DA2760A" w14:textId="77777777" w:rsidR="00ED3963" w:rsidRPr="001C048D" w:rsidRDefault="00ED3963" w:rsidP="000665D5">
            <w:pPr>
              <w:spacing w:line="276" w:lineRule="auto"/>
            </w:pPr>
            <w:r w:rsidRPr="001C048D">
              <w:t>Communication</w:t>
            </w:r>
          </w:p>
        </w:tc>
        <w:tc>
          <w:tcPr>
            <w:tcW w:w="999" w:type="dxa"/>
            <w:noWrap/>
            <w:hideMark/>
          </w:tcPr>
          <w:p w14:paraId="2C970ECA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556FD53F" w14:textId="613294D4" w:rsidR="00ED3963" w:rsidRPr="001C048D" w:rsidRDefault="00ED3963" w:rsidP="000665D5">
            <w:pPr>
              <w:spacing w:line="276" w:lineRule="auto"/>
            </w:pPr>
            <w:r w:rsidRPr="001C048D">
              <w:t>Focus group interviews with professionals</w:t>
            </w:r>
          </w:p>
        </w:tc>
      </w:tr>
      <w:tr w:rsidR="00ED3963" w:rsidRPr="001C048D" w14:paraId="1BA08C9D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5391761E" w14:textId="77777777" w:rsidR="00ED3963" w:rsidRPr="001C048D" w:rsidRDefault="00ED3963" w:rsidP="000665D5">
            <w:pPr>
              <w:spacing w:line="276" w:lineRule="auto"/>
            </w:pPr>
            <w:r w:rsidRPr="001C048D">
              <w:t>Expressive language</w:t>
            </w:r>
          </w:p>
        </w:tc>
        <w:tc>
          <w:tcPr>
            <w:tcW w:w="999" w:type="dxa"/>
            <w:noWrap/>
            <w:hideMark/>
          </w:tcPr>
          <w:p w14:paraId="0E6D41D5" w14:textId="77777777" w:rsidR="00ED3963" w:rsidRPr="001C048D" w:rsidRDefault="00ED3963" w:rsidP="000665D5">
            <w:pPr>
              <w:spacing w:line="276" w:lineRule="auto"/>
            </w:pPr>
            <w:r w:rsidRPr="001C048D">
              <w:t>2</w:t>
            </w:r>
          </w:p>
        </w:tc>
        <w:tc>
          <w:tcPr>
            <w:tcW w:w="6804" w:type="dxa"/>
            <w:noWrap/>
            <w:hideMark/>
          </w:tcPr>
          <w:p w14:paraId="10832F32" w14:textId="77777777" w:rsidR="00ED3963" w:rsidRDefault="00ED3963" w:rsidP="000665D5">
            <w:pPr>
              <w:spacing w:line="276" w:lineRule="auto"/>
            </w:pPr>
            <w:r w:rsidRPr="001C048D">
              <w:t>Rosetti Infant Toddler Language scale</w:t>
            </w:r>
          </w:p>
          <w:p w14:paraId="52F8534D" w14:textId="6C8473C9" w:rsidR="00ED3963" w:rsidRPr="001C048D" w:rsidRDefault="00ED3963" w:rsidP="000665D5">
            <w:pPr>
              <w:spacing w:line="276" w:lineRule="auto"/>
            </w:pPr>
            <w:r>
              <w:t>C</w:t>
            </w:r>
            <w:r w:rsidRPr="001C048D">
              <w:t>ounting spoken word use and manual signs from 14m video</w:t>
            </w:r>
          </w:p>
        </w:tc>
      </w:tr>
      <w:tr w:rsidR="00ED3963" w:rsidRPr="001C048D" w14:paraId="3A97EA78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793F1C21" w14:textId="77777777" w:rsidR="00ED3963" w:rsidRPr="001C048D" w:rsidRDefault="00ED3963" w:rsidP="000665D5">
            <w:pPr>
              <w:spacing w:line="276" w:lineRule="auto"/>
            </w:pPr>
            <w:r w:rsidRPr="001C048D">
              <w:t>Receptive language</w:t>
            </w:r>
          </w:p>
        </w:tc>
        <w:tc>
          <w:tcPr>
            <w:tcW w:w="999" w:type="dxa"/>
            <w:noWrap/>
            <w:hideMark/>
          </w:tcPr>
          <w:p w14:paraId="05270791" w14:textId="77777777" w:rsidR="00ED3963" w:rsidRPr="001C048D" w:rsidRDefault="00ED3963" w:rsidP="000665D5">
            <w:pPr>
              <w:spacing w:line="276" w:lineRule="auto"/>
            </w:pPr>
            <w:r w:rsidRPr="001C048D">
              <w:t>2</w:t>
            </w:r>
          </w:p>
        </w:tc>
        <w:tc>
          <w:tcPr>
            <w:tcW w:w="6804" w:type="dxa"/>
            <w:noWrap/>
            <w:hideMark/>
          </w:tcPr>
          <w:p w14:paraId="4559F69B" w14:textId="77777777" w:rsidR="00ED3963" w:rsidRDefault="00ED3963" w:rsidP="000665D5">
            <w:pPr>
              <w:spacing w:line="276" w:lineRule="auto"/>
            </w:pPr>
            <w:r w:rsidRPr="001C048D">
              <w:t>MacArthur-Bates Communication Development Inventory: Words and Sentences</w:t>
            </w:r>
          </w:p>
          <w:p w14:paraId="3829E737" w14:textId="305AE001" w:rsidR="00ED3963" w:rsidRPr="001C048D" w:rsidRDefault="00ED3963" w:rsidP="000665D5">
            <w:pPr>
              <w:spacing w:line="276" w:lineRule="auto"/>
            </w:pPr>
            <w:r w:rsidRPr="001C048D">
              <w:t>Rosetti Infant Toddler Language scale</w:t>
            </w:r>
          </w:p>
        </w:tc>
      </w:tr>
      <w:tr w:rsidR="00ED3963" w:rsidRPr="001C048D" w14:paraId="0482AE95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710ACDFD" w14:textId="77777777" w:rsidR="00ED3963" w:rsidRPr="001C048D" w:rsidRDefault="00ED3963" w:rsidP="000665D5">
            <w:pPr>
              <w:spacing w:line="276" w:lineRule="auto"/>
            </w:pPr>
            <w:r w:rsidRPr="001C048D">
              <w:t>Compliance</w:t>
            </w:r>
          </w:p>
        </w:tc>
        <w:tc>
          <w:tcPr>
            <w:tcW w:w="999" w:type="dxa"/>
            <w:noWrap/>
            <w:hideMark/>
          </w:tcPr>
          <w:p w14:paraId="468D5F4B" w14:textId="77777777" w:rsidR="00ED3963" w:rsidRPr="001C048D" w:rsidRDefault="00ED3963" w:rsidP="000665D5">
            <w:pPr>
              <w:spacing w:line="276" w:lineRule="auto"/>
            </w:pPr>
            <w:r w:rsidRPr="001C048D">
              <w:t>4</w:t>
            </w:r>
          </w:p>
        </w:tc>
        <w:tc>
          <w:tcPr>
            <w:tcW w:w="6804" w:type="dxa"/>
            <w:noWrap/>
            <w:hideMark/>
          </w:tcPr>
          <w:p w14:paraId="388D87CE" w14:textId="77777777" w:rsidR="00ED3963" w:rsidRDefault="00ED3963" w:rsidP="000665D5">
            <w:pPr>
              <w:spacing w:line="276" w:lineRule="auto"/>
            </w:pPr>
            <w:r w:rsidRPr="001C048D">
              <w:t>Scale (poor-average-good)</w:t>
            </w:r>
          </w:p>
          <w:p w14:paraId="289FAF39" w14:textId="77777777" w:rsidR="00ED3963" w:rsidRDefault="00ED3963" w:rsidP="000665D5">
            <w:pPr>
              <w:spacing w:line="276" w:lineRule="auto"/>
            </w:pPr>
            <w:r w:rsidRPr="001C048D">
              <w:t>Medical records reviewed</w:t>
            </w:r>
          </w:p>
          <w:p w14:paraId="1111D8D4" w14:textId="77777777" w:rsidR="00ED3963" w:rsidRDefault="00ED3963" w:rsidP="000665D5">
            <w:pPr>
              <w:spacing w:line="276" w:lineRule="auto"/>
            </w:pPr>
            <w:r w:rsidRPr="001C048D">
              <w:t>Diary</w:t>
            </w:r>
          </w:p>
          <w:p w14:paraId="74B7FC8D" w14:textId="77777777" w:rsidR="00ED3963" w:rsidRDefault="00ED3963" w:rsidP="000665D5">
            <w:pPr>
              <w:spacing w:line="276" w:lineRule="auto"/>
            </w:pPr>
            <w:r w:rsidRPr="001C048D">
              <w:t>Data logging Custom Sound Database</w:t>
            </w:r>
          </w:p>
          <w:p w14:paraId="0517FE47" w14:textId="2950551D" w:rsidR="00ED3963" w:rsidRPr="001C048D" w:rsidRDefault="00ED3963" w:rsidP="000665D5">
            <w:pPr>
              <w:spacing w:line="276" w:lineRule="auto"/>
            </w:pPr>
            <w:r w:rsidRPr="001C048D">
              <w:t>Non</w:t>
            </w:r>
            <w:r>
              <w:t>-</w:t>
            </w:r>
            <w:r w:rsidRPr="001C048D">
              <w:t>validated in house questionnaires</w:t>
            </w:r>
          </w:p>
        </w:tc>
      </w:tr>
      <w:tr w:rsidR="00ED3963" w:rsidRPr="001C048D" w14:paraId="7520B881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247033DE" w14:textId="77777777" w:rsidR="00ED3963" w:rsidRPr="001C048D" w:rsidRDefault="00ED3963" w:rsidP="000665D5">
            <w:pPr>
              <w:spacing w:line="276" w:lineRule="auto"/>
            </w:pPr>
            <w:r w:rsidRPr="001C048D">
              <w:t>Auditory perception</w:t>
            </w:r>
          </w:p>
        </w:tc>
        <w:tc>
          <w:tcPr>
            <w:tcW w:w="999" w:type="dxa"/>
            <w:noWrap/>
            <w:hideMark/>
          </w:tcPr>
          <w:p w14:paraId="7F8285CA" w14:textId="77777777" w:rsidR="00ED3963" w:rsidRPr="001C048D" w:rsidRDefault="00ED3963" w:rsidP="000665D5">
            <w:pPr>
              <w:spacing w:line="276" w:lineRule="auto"/>
            </w:pPr>
            <w:r w:rsidRPr="001C048D">
              <w:t>5</w:t>
            </w:r>
          </w:p>
        </w:tc>
        <w:tc>
          <w:tcPr>
            <w:tcW w:w="6804" w:type="dxa"/>
            <w:noWrap/>
            <w:hideMark/>
          </w:tcPr>
          <w:p w14:paraId="4D5394C9" w14:textId="77777777" w:rsidR="00ED3963" w:rsidRDefault="00ED3963" w:rsidP="000665D5">
            <w:pPr>
              <w:spacing w:line="276" w:lineRule="auto"/>
            </w:pPr>
            <w:r w:rsidRPr="001C048D">
              <w:t>Categories of Auditory Performance (CAP) scores</w:t>
            </w:r>
          </w:p>
          <w:p w14:paraId="1A7FCD58" w14:textId="77777777" w:rsidR="00ED3963" w:rsidRDefault="00ED3963" w:rsidP="000665D5">
            <w:pPr>
              <w:spacing w:line="276" w:lineRule="auto"/>
            </w:pPr>
            <w:r>
              <w:t>A</w:t>
            </w:r>
            <w:r w:rsidRPr="001C048D">
              <w:t>daptive two-alternative forced choice staircase procedure</w:t>
            </w:r>
          </w:p>
          <w:p w14:paraId="6B35418D" w14:textId="09DE0FB5" w:rsidR="00ED3963" w:rsidRPr="001C048D" w:rsidRDefault="00ED3963" w:rsidP="000665D5">
            <w:pPr>
              <w:spacing w:line="276" w:lineRule="auto"/>
            </w:pPr>
            <w:r w:rsidRPr="001C048D">
              <w:t>Categories of Auditory Performance (CAP) - II scores</w:t>
            </w:r>
          </w:p>
        </w:tc>
      </w:tr>
      <w:tr w:rsidR="00ED3963" w:rsidRPr="001C048D" w14:paraId="22CA6ECF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0353177E" w14:textId="77777777" w:rsidR="00ED3963" w:rsidRPr="001C048D" w:rsidRDefault="00ED3963" w:rsidP="000665D5">
            <w:pPr>
              <w:spacing w:line="276" w:lineRule="auto"/>
            </w:pPr>
            <w:r w:rsidRPr="001C048D">
              <w:lastRenderedPageBreak/>
              <w:t>Fitting time</w:t>
            </w:r>
          </w:p>
        </w:tc>
        <w:tc>
          <w:tcPr>
            <w:tcW w:w="999" w:type="dxa"/>
            <w:noWrap/>
            <w:hideMark/>
          </w:tcPr>
          <w:p w14:paraId="25B8DC2C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0B71AB6F" w14:textId="270D41E3" w:rsidR="00ED3963" w:rsidRPr="001C048D" w:rsidRDefault="00ED3963" w:rsidP="000665D5">
            <w:pPr>
              <w:spacing w:line="276" w:lineRule="auto"/>
            </w:pPr>
            <w:r w:rsidRPr="001C048D">
              <w:t>Fitting time noted</w:t>
            </w:r>
          </w:p>
        </w:tc>
      </w:tr>
      <w:tr w:rsidR="00ED3963" w:rsidRPr="001C048D" w14:paraId="2483F3E9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4B09B87D" w14:textId="77777777" w:rsidR="00ED3963" w:rsidRPr="001C048D" w:rsidRDefault="00ED3963" w:rsidP="000665D5">
            <w:pPr>
              <w:spacing w:line="276" w:lineRule="auto"/>
            </w:pPr>
            <w:r w:rsidRPr="001C048D">
              <w:t>Listening effort</w:t>
            </w:r>
          </w:p>
        </w:tc>
        <w:tc>
          <w:tcPr>
            <w:tcW w:w="999" w:type="dxa"/>
            <w:noWrap/>
            <w:hideMark/>
          </w:tcPr>
          <w:p w14:paraId="4EF78394" w14:textId="77777777" w:rsidR="00ED3963" w:rsidRPr="001C048D" w:rsidRDefault="00ED3963" w:rsidP="000665D5">
            <w:pPr>
              <w:spacing w:line="276" w:lineRule="auto"/>
            </w:pPr>
            <w:r w:rsidRPr="001C048D">
              <w:t>2</w:t>
            </w:r>
          </w:p>
        </w:tc>
        <w:tc>
          <w:tcPr>
            <w:tcW w:w="6804" w:type="dxa"/>
            <w:noWrap/>
            <w:hideMark/>
          </w:tcPr>
          <w:p w14:paraId="087F9B63" w14:textId="77777777" w:rsidR="00ED3963" w:rsidRDefault="00ED3963" w:rsidP="000665D5">
            <w:pPr>
              <w:spacing w:line="276" w:lineRule="auto"/>
            </w:pPr>
            <w:r w:rsidRPr="001C048D">
              <w:t>Meaningful Auditory Integration Scale (MAIS)</w:t>
            </w:r>
          </w:p>
          <w:p w14:paraId="10F1BA47" w14:textId="42A55E9B" w:rsidR="00ED3963" w:rsidRPr="001C048D" w:rsidRDefault="00ED3963" w:rsidP="000665D5">
            <w:pPr>
              <w:spacing w:line="276" w:lineRule="auto"/>
            </w:pPr>
            <w:r w:rsidRPr="001C048D">
              <w:t>Speech, Spatial, and Other Qualities of Hearing Scale for parents (SSQ-P)</w:t>
            </w:r>
          </w:p>
        </w:tc>
      </w:tr>
      <w:tr w:rsidR="00ED3963" w:rsidRPr="001C048D" w14:paraId="33B1FC6F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7530FB5F" w14:textId="77777777" w:rsidR="00ED3963" w:rsidRPr="001C048D" w:rsidRDefault="00ED3963" w:rsidP="000665D5">
            <w:pPr>
              <w:spacing w:line="276" w:lineRule="auto"/>
            </w:pPr>
            <w:r w:rsidRPr="001C048D">
              <w:t>Duration of surgery</w:t>
            </w:r>
          </w:p>
        </w:tc>
        <w:tc>
          <w:tcPr>
            <w:tcW w:w="999" w:type="dxa"/>
            <w:noWrap/>
            <w:hideMark/>
          </w:tcPr>
          <w:p w14:paraId="73286185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733AD95F" w14:textId="5D2B428A" w:rsidR="00ED3963" w:rsidRPr="001C048D" w:rsidRDefault="00ED3963" w:rsidP="000665D5">
            <w:pPr>
              <w:spacing w:line="276" w:lineRule="auto"/>
            </w:pPr>
            <w:r w:rsidRPr="001C048D">
              <w:t>Medical records reviewed</w:t>
            </w:r>
          </w:p>
        </w:tc>
      </w:tr>
      <w:tr w:rsidR="00ED3963" w:rsidRPr="001C048D" w14:paraId="4238B1D0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4E2E0FF5" w14:textId="77777777" w:rsidR="00ED3963" w:rsidRPr="001C048D" w:rsidRDefault="00ED3963" w:rsidP="000665D5">
            <w:pPr>
              <w:spacing w:line="276" w:lineRule="auto"/>
            </w:pPr>
            <w:r>
              <w:t>Quality of Life</w:t>
            </w:r>
          </w:p>
        </w:tc>
        <w:tc>
          <w:tcPr>
            <w:tcW w:w="999" w:type="dxa"/>
            <w:noWrap/>
            <w:hideMark/>
          </w:tcPr>
          <w:p w14:paraId="5826F77B" w14:textId="77777777" w:rsidR="00ED3963" w:rsidRPr="001C048D" w:rsidRDefault="00ED3963" w:rsidP="000665D5">
            <w:pPr>
              <w:spacing w:line="276" w:lineRule="auto"/>
            </w:pPr>
            <w:r w:rsidRPr="001C048D">
              <w:t>4</w:t>
            </w:r>
          </w:p>
        </w:tc>
        <w:tc>
          <w:tcPr>
            <w:tcW w:w="6804" w:type="dxa"/>
            <w:noWrap/>
            <w:hideMark/>
          </w:tcPr>
          <w:p w14:paraId="69F0FC7A" w14:textId="77777777" w:rsidR="00ED3963" w:rsidRDefault="00ED3963" w:rsidP="000665D5">
            <w:pPr>
              <w:spacing w:line="276" w:lineRule="auto"/>
            </w:pPr>
            <w:r w:rsidRPr="001C048D">
              <w:t>Un</w:t>
            </w:r>
            <w:r>
              <w:t>-</w:t>
            </w:r>
            <w:r w:rsidRPr="001C048D">
              <w:t xml:space="preserve">validated in house questionnaire </w:t>
            </w:r>
          </w:p>
          <w:p w14:paraId="5D12C982" w14:textId="77777777" w:rsidR="00ED3963" w:rsidRDefault="00ED3963" w:rsidP="000665D5">
            <w:pPr>
              <w:spacing w:line="276" w:lineRule="auto"/>
            </w:pPr>
            <w:r w:rsidRPr="001C048D">
              <w:t>SF-36 quality of life testing</w:t>
            </w:r>
          </w:p>
          <w:p w14:paraId="34C95D5D" w14:textId="77777777" w:rsidR="00ED3963" w:rsidRDefault="00ED3963" w:rsidP="000665D5">
            <w:pPr>
              <w:spacing w:line="276" w:lineRule="auto"/>
            </w:pPr>
            <w:r w:rsidRPr="001C048D">
              <w:t>Hearing Handicap Inventory (HHI) for Adults</w:t>
            </w:r>
          </w:p>
          <w:p w14:paraId="2C0F8A29" w14:textId="77777777" w:rsidR="00ED3963" w:rsidRDefault="00ED3963" w:rsidP="000665D5">
            <w:pPr>
              <w:spacing w:line="276" w:lineRule="auto"/>
            </w:pPr>
            <w:r w:rsidRPr="001C048D">
              <w:t>Semi structured interview technique</w:t>
            </w:r>
          </w:p>
          <w:p w14:paraId="459A0EDB" w14:textId="5FA486FE" w:rsidR="00ED3963" w:rsidRPr="001C048D" w:rsidRDefault="00ED3963" w:rsidP="000665D5">
            <w:pPr>
              <w:spacing w:line="276" w:lineRule="auto"/>
            </w:pPr>
            <w:r w:rsidRPr="001C048D">
              <w:t>Glasgow Benefit Inventory</w:t>
            </w:r>
          </w:p>
        </w:tc>
      </w:tr>
      <w:tr w:rsidR="00ED3963" w:rsidRPr="001C048D" w14:paraId="602B8BF8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140A52A1" w14:textId="77777777" w:rsidR="00ED3963" w:rsidRPr="001C048D" w:rsidRDefault="00ED3963" w:rsidP="000665D5">
            <w:pPr>
              <w:spacing w:line="276" w:lineRule="auto"/>
            </w:pPr>
            <w:r w:rsidRPr="001C048D">
              <w:t>Tinnitus</w:t>
            </w:r>
          </w:p>
        </w:tc>
        <w:tc>
          <w:tcPr>
            <w:tcW w:w="999" w:type="dxa"/>
            <w:noWrap/>
            <w:hideMark/>
          </w:tcPr>
          <w:p w14:paraId="6B10AAB3" w14:textId="77777777" w:rsidR="00ED3963" w:rsidRPr="001C048D" w:rsidRDefault="00ED3963" w:rsidP="000665D5">
            <w:pPr>
              <w:spacing w:line="276" w:lineRule="auto"/>
            </w:pPr>
            <w:r w:rsidRPr="001C048D">
              <w:t>2</w:t>
            </w:r>
          </w:p>
        </w:tc>
        <w:tc>
          <w:tcPr>
            <w:tcW w:w="6804" w:type="dxa"/>
            <w:noWrap/>
            <w:hideMark/>
          </w:tcPr>
          <w:p w14:paraId="138B4039" w14:textId="45DB9677" w:rsidR="00ED3963" w:rsidRPr="001C048D" w:rsidRDefault="00ED3963" w:rsidP="000665D5">
            <w:pPr>
              <w:spacing w:line="276" w:lineRule="auto"/>
            </w:pPr>
            <w:r w:rsidRPr="001C048D">
              <w:t>Medical records reviewed</w:t>
            </w:r>
          </w:p>
        </w:tc>
      </w:tr>
      <w:tr w:rsidR="00ED3963" w:rsidRPr="001C048D" w14:paraId="14742D84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01A58AF4" w14:textId="77777777" w:rsidR="00ED3963" w:rsidRPr="001C048D" w:rsidRDefault="00ED3963" w:rsidP="000665D5">
            <w:pPr>
              <w:spacing w:line="276" w:lineRule="auto"/>
            </w:pPr>
            <w:r w:rsidRPr="001C048D">
              <w:t>Sound localisation</w:t>
            </w:r>
          </w:p>
        </w:tc>
        <w:tc>
          <w:tcPr>
            <w:tcW w:w="999" w:type="dxa"/>
            <w:noWrap/>
            <w:hideMark/>
          </w:tcPr>
          <w:p w14:paraId="46D06EA8" w14:textId="77777777" w:rsidR="00ED3963" w:rsidRPr="001C048D" w:rsidRDefault="00ED3963" w:rsidP="000665D5">
            <w:pPr>
              <w:spacing w:line="276" w:lineRule="auto"/>
            </w:pPr>
            <w:r w:rsidRPr="001C048D">
              <w:t>1</w:t>
            </w:r>
          </w:p>
        </w:tc>
        <w:tc>
          <w:tcPr>
            <w:tcW w:w="6804" w:type="dxa"/>
            <w:noWrap/>
            <w:hideMark/>
          </w:tcPr>
          <w:p w14:paraId="2C96136E" w14:textId="1428250E" w:rsidR="00ED3963" w:rsidRPr="001C048D" w:rsidRDefault="00ED3963" w:rsidP="000665D5">
            <w:pPr>
              <w:spacing w:line="276" w:lineRule="auto"/>
            </w:pPr>
            <w:r w:rsidRPr="001C048D">
              <w:t>Speech, Spatial, and Other Qualities of Hearing Scale for parents (SSQ-P)</w:t>
            </w:r>
          </w:p>
        </w:tc>
      </w:tr>
      <w:tr w:rsidR="00ED3963" w:rsidRPr="001C048D" w14:paraId="7A8B68C1" w14:textId="77777777" w:rsidTr="00456D3B">
        <w:trPr>
          <w:trHeight w:val="300"/>
        </w:trPr>
        <w:tc>
          <w:tcPr>
            <w:tcW w:w="2086" w:type="dxa"/>
            <w:noWrap/>
            <w:hideMark/>
          </w:tcPr>
          <w:p w14:paraId="4802F087" w14:textId="77777777" w:rsidR="00ED3963" w:rsidRPr="001C048D" w:rsidRDefault="00ED3963" w:rsidP="000665D5">
            <w:pPr>
              <w:spacing w:line="276" w:lineRule="auto"/>
            </w:pPr>
            <w:r w:rsidRPr="001C048D">
              <w:t>Hearing in difficult conditions</w:t>
            </w:r>
          </w:p>
        </w:tc>
        <w:tc>
          <w:tcPr>
            <w:tcW w:w="999" w:type="dxa"/>
            <w:noWrap/>
            <w:hideMark/>
          </w:tcPr>
          <w:p w14:paraId="33D24123" w14:textId="77777777" w:rsidR="00ED3963" w:rsidRPr="001C048D" w:rsidRDefault="00ED3963" w:rsidP="000665D5">
            <w:pPr>
              <w:spacing w:line="276" w:lineRule="auto"/>
            </w:pPr>
            <w:r w:rsidRPr="001C048D">
              <w:t>3</w:t>
            </w:r>
          </w:p>
        </w:tc>
        <w:tc>
          <w:tcPr>
            <w:tcW w:w="6804" w:type="dxa"/>
            <w:noWrap/>
            <w:hideMark/>
          </w:tcPr>
          <w:p w14:paraId="2419AA3E" w14:textId="77777777" w:rsidR="00ED3963" w:rsidRDefault="00ED3963" w:rsidP="000665D5">
            <w:pPr>
              <w:spacing w:line="276" w:lineRule="auto"/>
            </w:pPr>
            <w:r w:rsidRPr="001C048D">
              <w:t>Hearing-In-Noise testing (HINT)</w:t>
            </w:r>
          </w:p>
          <w:p w14:paraId="587779E0" w14:textId="63224B0C" w:rsidR="00ED3963" w:rsidRPr="001C048D" w:rsidRDefault="00ED3963" w:rsidP="000665D5">
            <w:pPr>
              <w:spacing w:line="276" w:lineRule="auto"/>
            </w:pPr>
            <w:r w:rsidRPr="001C048D">
              <w:t>Flemish sentences-in-noise test (LIST)</w:t>
            </w:r>
          </w:p>
        </w:tc>
      </w:tr>
    </w:tbl>
    <w:p w14:paraId="1208004D" w14:textId="77777777" w:rsidR="00ED3963" w:rsidRPr="00110EB5" w:rsidRDefault="00ED3963" w:rsidP="000665D5">
      <w:pPr>
        <w:spacing w:line="276" w:lineRule="auto"/>
        <w:jc w:val="both"/>
      </w:pPr>
    </w:p>
    <w:sectPr w:rsidR="00ED3963" w:rsidRPr="00110EB5" w:rsidSect="00763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ain Bruce" w:date="2017-06-20T16:24:00Z" w:initials="IB">
    <w:p w14:paraId="513EA0E9" w14:textId="77777777" w:rsidR="00ED3963" w:rsidRDefault="00ED3963" w:rsidP="00ED3963">
      <w:pPr>
        <w:pStyle w:val="CommentText"/>
      </w:pPr>
      <w:r>
        <w:rPr>
          <w:rStyle w:val="CommentReference"/>
        </w:rPr>
        <w:annotationRef/>
      </w:r>
      <w:r>
        <w:t>SAME AS COMMENT BELOW.</w:t>
      </w:r>
    </w:p>
  </w:comment>
  <w:comment w:id="2" w:author="Iain Bruce" w:date="2017-06-20T16:24:00Z" w:initials="IB">
    <w:p w14:paraId="6AAFDA97" w14:textId="77777777" w:rsidR="00ED3963" w:rsidRDefault="00ED3963" w:rsidP="00ED3963">
      <w:pPr>
        <w:pStyle w:val="CommentText"/>
      </w:pPr>
      <w:r>
        <w:rPr>
          <w:rStyle w:val="CommentReference"/>
        </w:rPr>
        <w:annotationRef/>
      </w:r>
      <w:r>
        <w:t>NEEDS CHANGED TO REFLECT THE RE-ALLOCATION OF WARBLE TONES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3EA0E9" w15:done="0"/>
  <w15:commentEx w15:paraId="6AAFDA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ain Bruce">
    <w15:presenceInfo w15:providerId="Windows Live" w15:userId="aa20212dea0f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6"/>
    <w:rsid w:val="00040A64"/>
    <w:rsid w:val="000665D5"/>
    <w:rsid w:val="00074C32"/>
    <w:rsid w:val="00087863"/>
    <w:rsid w:val="0011094A"/>
    <w:rsid w:val="00110EB5"/>
    <w:rsid w:val="00166E0F"/>
    <w:rsid w:val="00174D9E"/>
    <w:rsid w:val="001B2586"/>
    <w:rsid w:val="001D36D4"/>
    <w:rsid w:val="00206A3D"/>
    <w:rsid w:val="00285A70"/>
    <w:rsid w:val="002B3D20"/>
    <w:rsid w:val="00355F37"/>
    <w:rsid w:val="003770A9"/>
    <w:rsid w:val="00397C6F"/>
    <w:rsid w:val="003A37F9"/>
    <w:rsid w:val="003B024A"/>
    <w:rsid w:val="003B4EA4"/>
    <w:rsid w:val="003B51E6"/>
    <w:rsid w:val="003F0A79"/>
    <w:rsid w:val="00421070"/>
    <w:rsid w:val="00487523"/>
    <w:rsid w:val="004B4C72"/>
    <w:rsid w:val="00536F26"/>
    <w:rsid w:val="005438A6"/>
    <w:rsid w:val="005D1498"/>
    <w:rsid w:val="005D4A01"/>
    <w:rsid w:val="005E12A0"/>
    <w:rsid w:val="0062201C"/>
    <w:rsid w:val="00625A88"/>
    <w:rsid w:val="0067698D"/>
    <w:rsid w:val="0068128D"/>
    <w:rsid w:val="0069065A"/>
    <w:rsid w:val="006B26E0"/>
    <w:rsid w:val="00700B35"/>
    <w:rsid w:val="007113C7"/>
    <w:rsid w:val="00712942"/>
    <w:rsid w:val="00751BE9"/>
    <w:rsid w:val="00763EFE"/>
    <w:rsid w:val="00772F5A"/>
    <w:rsid w:val="0077518A"/>
    <w:rsid w:val="00783C09"/>
    <w:rsid w:val="00796A71"/>
    <w:rsid w:val="007E676B"/>
    <w:rsid w:val="007F1103"/>
    <w:rsid w:val="007F7E7A"/>
    <w:rsid w:val="0081752D"/>
    <w:rsid w:val="0086049F"/>
    <w:rsid w:val="0086323C"/>
    <w:rsid w:val="00876F82"/>
    <w:rsid w:val="00877636"/>
    <w:rsid w:val="008A5A8C"/>
    <w:rsid w:val="008B1BBF"/>
    <w:rsid w:val="008E0E72"/>
    <w:rsid w:val="008F56E5"/>
    <w:rsid w:val="00943511"/>
    <w:rsid w:val="00946DFE"/>
    <w:rsid w:val="00947E2F"/>
    <w:rsid w:val="009A62C3"/>
    <w:rsid w:val="00A21A77"/>
    <w:rsid w:val="00A269E6"/>
    <w:rsid w:val="00A415A9"/>
    <w:rsid w:val="00A56751"/>
    <w:rsid w:val="00AB4B12"/>
    <w:rsid w:val="00B01D5A"/>
    <w:rsid w:val="00B25D4F"/>
    <w:rsid w:val="00B6445D"/>
    <w:rsid w:val="00B66037"/>
    <w:rsid w:val="00BF5FCB"/>
    <w:rsid w:val="00C121C7"/>
    <w:rsid w:val="00C2196C"/>
    <w:rsid w:val="00C47DB7"/>
    <w:rsid w:val="00CF20A4"/>
    <w:rsid w:val="00D167E8"/>
    <w:rsid w:val="00D5071C"/>
    <w:rsid w:val="00DE55CA"/>
    <w:rsid w:val="00DF76D0"/>
    <w:rsid w:val="00E279CC"/>
    <w:rsid w:val="00ED3963"/>
    <w:rsid w:val="00FD2501"/>
    <w:rsid w:val="00FE256A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16BE"/>
  <w15:chartTrackingRefBased/>
  <w15:docId w15:val="{ABDF6C52-9266-4874-B8DA-BD49885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103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F1103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E1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02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B024A"/>
  </w:style>
  <w:style w:type="paragraph" w:styleId="BalloonText">
    <w:name w:val="Balloon Text"/>
    <w:basedOn w:val="Normal"/>
    <w:link w:val="BalloonTextChar"/>
    <w:uiPriority w:val="99"/>
    <w:semiHidden/>
    <w:unhideWhenUsed/>
    <w:rsid w:val="00C47D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B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3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6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hyperlink" Target="http://www.comet-initiativ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Bru15</b:Tag>
    <b:SourceType>JournalArticle</b:SourceType>
    <b:Guid>{F70B1E65-0B21-455D-90CF-CBEA48B9B28E}</b:Guid>
    <b:Author>
      <b:Author>
        <b:NameList>
          <b:Person>
            <b:Last>IA Bruce</b:Last>
            <b:First>H</b:First>
            <b:Middle>Cooper, S Waltzman, D Schramm, J Graham</b:Middle>
          </b:Person>
        </b:NameList>
      </b:Author>
    </b:Author>
    <b:Title>Maximising research value in the field of hearing implantation: A call for 'big data'.</b:Title>
    <b:JournalName>Cochlear Implants Int.</b:JournalName>
    <b:Year>2015</b:Year>
    <b:Pages>301</b:Pages>
    <b:Volume>16</b:Volume>
    <b:Issue>6</b:Issue>
    <b:RefOrder>1</b:RefOrder>
  </b:Source>
  <b:Source>
    <b:Tag>Vil16</b:Tag>
    <b:SourceType>JournalArticle</b:SourceType>
    <b:Guid>{DECC89DD-3492-49E4-9180-080CB3476663}</b:Guid>
    <b:Author>
      <b:Author>
        <b:NameList>
          <b:Person>
            <b:Last>PM Vila</b:Last>
            <b:First>TE</b:First>
            <b:Middle>Hullar, CA Buchman, JE Lieu</b:Middle>
          </b:Person>
        </b:NameList>
      </b:Author>
    </b:Author>
    <b:Title>Analysis of Outcome Domains in Adult Cochlear Implantation: A Systematic Review.</b:Title>
    <b:JournalName>Otolaryngol Head Neck Surg.</b:JournalName>
    <b:Year>2016</b:Year>
    <b:Pages>238-45</b:Pages>
    <b:Volume>155</b:Volume>
    <b:Issue>2</b:Issue>
    <b:RefOrder>4</b:RefOrder>
  </b:Source>
  <b:Source>
    <b:Tag>Maa13</b:Tag>
    <b:SourceType>JournalArticle</b:SourceType>
    <b:Guid>{3E47C702-F498-4135-83D7-7B42A2969AD6}</b:Guid>
    <b:Author>
      <b:Author>
        <b:NameList>
          <b:Person>
            <b:Last>M Boers</b:Last>
            <b:First>JR.</b:First>
            <b:Middle>Kirwan, G Wells, D Beaton, L Gossec, MA d’Agostino, PG. Conaghan, CO. Bingham III, P Brooks, R Landewe, L Marchk, LS. Simon, JA. Singhn, V Strand, P Tugwell</b:Middle>
          </b:Person>
        </b:NameList>
      </b:Author>
    </b:Author>
    <b:Title>Developing Core Outcome Measurement Sets for Clinical Trials: OMERACT filter 2.0</b:Title>
    <b:JournalName>Journal of Clinical Epidemiology</b:JournalName>
    <b:Year>2013</b:Year>
    <b:Pages>745-53</b:Pages>
    <b:Volume>67</b:Volume>
    <b:Issue>7</b:Issue>
    <b:RefOrder>2</b:RefOrder>
  </b:Source>
  <b:Source>
    <b:Tag>Chi14</b:Tag>
    <b:SourceType>JournalArticle</b:SourceType>
    <b:Guid>{7751F6F3-F497-4A72-A409-62476EBD19AE}</b:Guid>
    <b:Author>
      <b:Author>
        <b:Corporate>The CROWN Initiative</b:Corporate>
      </b:Author>
    </b:Author>
    <b:Title>The core outcomes in women's health (CROWN) initiative.</b:Title>
    <b:JournalName>Eur J Obstet Gynecol Reprod Biol.</b:JournalName>
    <b:Year>2014</b:Year>
    <b:Pages>A1-2</b:Pages>
    <b:Volume>180</b:Volume>
    <b:RefOrder>3</b:RefOrder>
  </b:Source>
</b:Sources>
</file>

<file path=customXml/itemProps1.xml><?xml version="1.0" encoding="utf-8"?>
<ds:datastoreItem xmlns:ds="http://schemas.openxmlformats.org/officeDocument/2006/customXml" ds:itemID="{057772C6-7963-4334-BB8E-249E39A4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Schaefer</dc:creator>
  <cp:keywords/>
  <dc:description/>
  <cp:lastModifiedBy>Cullington H.</cp:lastModifiedBy>
  <cp:revision>3</cp:revision>
  <dcterms:created xsi:type="dcterms:W3CDTF">2018-01-08T15:10:00Z</dcterms:created>
  <dcterms:modified xsi:type="dcterms:W3CDTF">2018-01-09T09:28:00Z</dcterms:modified>
</cp:coreProperties>
</file>