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3B161F" w14:textId="77777777" w:rsidR="007B7652" w:rsidRPr="001C55EE" w:rsidRDefault="007B7652" w:rsidP="00CE318F">
      <w:pPr>
        <w:spacing w:line="276" w:lineRule="auto"/>
        <w:jc w:val="center"/>
        <w:rPr>
          <w:b/>
          <w:sz w:val="32"/>
          <w:lang w:val="en-GB"/>
        </w:rPr>
      </w:pPr>
      <w:bookmarkStart w:id="0" w:name="_GoBack"/>
      <w:bookmarkEnd w:id="0"/>
      <w:r w:rsidRPr="001C55EE">
        <w:rPr>
          <w:b/>
          <w:sz w:val="32"/>
          <w:lang w:val="en-GB"/>
        </w:rPr>
        <w:t>How clinical practitioner</w:t>
      </w:r>
      <w:r>
        <w:rPr>
          <w:b/>
          <w:sz w:val="32"/>
          <w:lang w:val="en-GB"/>
        </w:rPr>
        <w:t>s</w:t>
      </w:r>
      <w:r w:rsidRPr="001C55EE">
        <w:rPr>
          <w:b/>
          <w:sz w:val="32"/>
          <w:lang w:val="en-GB"/>
        </w:rPr>
        <w:t xml:space="preserve"> assess frailty in their daily practice: an international survey</w:t>
      </w:r>
    </w:p>
    <w:p w14:paraId="3FCC7742" w14:textId="77777777" w:rsidR="007B7652" w:rsidRDefault="007B7652" w:rsidP="00CE318F">
      <w:pPr>
        <w:spacing w:line="276" w:lineRule="auto"/>
        <w:rPr>
          <w:lang w:val="en-GB"/>
        </w:rPr>
      </w:pPr>
    </w:p>
    <w:p w14:paraId="2207EA35" w14:textId="77777777" w:rsidR="007B7652" w:rsidRPr="001C55EE" w:rsidRDefault="007B7652" w:rsidP="00CE318F">
      <w:pPr>
        <w:spacing w:line="276" w:lineRule="auto"/>
        <w:jc w:val="center"/>
        <w:rPr>
          <w:sz w:val="24"/>
          <w:lang w:val="en-GB"/>
        </w:rPr>
      </w:pPr>
      <w:r w:rsidRPr="001C55EE">
        <w:rPr>
          <w:sz w:val="24"/>
          <w:lang w:val="en-GB"/>
        </w:rPr>
        <w:t xml:space="preserve">Olivier </w:t>
      </w:r>
      <w:proofErr w:type="spellStart"/>
      <w:r w:rsidRPr="001C55EE">
        <w:rPr>
          <w:sz w:val="24"/>
          <w:lang w:val="en-GB"/>
        </w:rPr>
        <w:t>Bruyère</w:t>
      </w:r>
      <w:proofErr w:type="spellEnd"/>
      <w:r>
        <w:rPr>
          <w:sz w:val="24"/>
          <w:lang w:val="en-GB"/>
        </w:rPr>
        <w:t>*</w:t>
      </w:r>
      <w:r w:rsidRPr="0089744A">
        <w:rPr>
          <w:sz w:val="24"/>
          <w:vertAlign w:val="superscript"/>
          <w:lang w:val="en-GB"/>
        </w:rPr>
        <w:t>1</w:t>
      </w:r>
      <w:r w:rsidRPr="001C55EE">
        <w:rPr>
          <w:sz w:val="24"/>
          <w:lang w:val="en-GB"/>
        </w:rPr>
        <w:t xml:space="preserve">, Fanny </w:t>
      </w:r>
      <w:proofErr w:type="spellStart"/>
      <w:r w:rsidRPr="001C55EE">
        <w:rPr>
          <w:sz w:val="24"/>
          <w:lang w:val="en-GB"/>
        </w:rPr>
        <w:t>Buckinx</w:t>
      </w:r>
      <w:proofErr w:type="spellEnd"/>
      <w:r>
        <w:rPr>
          <w:sz w:val="24"/>
          <w:lang w:val="en-GB"/>
        </w:rPr>
        <w:t>*</w:t>
      </w:r>
      <w:r w:rsidRPr="0089744A">
        <w:rPr>
          <w:sz w:val="24"/>
          <w:vertAlign w:val="superscript"/>
          <w:lang w:val="en-GB"/>
        </w:rPr>
        <w:t>1</w:t>
      </w:r>
      <w:r w:rsidRPr="001C55EE">
        <w:rPr>
          <w:sz w:val="24"/>
          <w:lang w:val="en-GB"/>
        </w:rPr>
        <w:t xml:space="preserve">, </w:t>
      </w:r>
      <w:r>
        <w:rPr>
          <w:sz w:val="24"/>
          <w:lang w:val="en-GB"/>
        </w:rPr>
        <w:t>Charlotte Beaudart</w:t>
      </w:r>
      <w:r w:rsidRPr="0089744A">
        <w:rPr>
          <w:sz w:val="24"/>
          <w:vertAlign w:val="superscript"/>
          <w:lang w:val="en-GB"/>
        </w:rPr>
        <w:t>1</w:t>
      </w:r>
      <w:r>
        <w:rPr>
          <w:sz w:val="24"/>
          <w:lang w:val="en-GB"/>
        </w:rPr>
        <w:t xml:space="preserve">, </w:t>
      </w:r>
      <w:r w:rsidRPr="001C55EE">
        <w:rPr>
          <w:sz w:val="24"/>
          <w:lang w:val="en-GB"/>
        </w:rPr>
        <w:t>Jean-Yves Reginster</w:t>
      </w:r>
      <w:r w:rsidRPr="0089744A">
        <w:rPr>
          <w:sz w:val="24"/>
          <w:vertAlign w:val="superscript"/>
          <w:lang w:val="en-GB"/>
        </w:rPr>
        <w:t>1</w:t>
      </w:r>
      <w:r w:rsidRPr="001C55EE">
        <w:rPr>
          <w:sz w:val="24"/>
          <w:lang w:val="en-GB"/>
        </w:rPr>
        <w:t xml:space="preserve">, </w:t>
      </w:r>
      <w:r>
        <w:rPr>
          <w:sz w:val="24"/>
          <w:lang w:val="en-GB"/>
        </w:rPr>
        <w:br/>
      </w:r>
      <w:proofErr w:type="spellStart"/>
      <w:r>
        <w:rPr>
          <w:sz w:val="24"/>
          <w:lang w:val="en-GB"/>
        </w:rPr>
        <w:t>Juergen</w:t>
      </w:r>
      <w:proofErr w:type="spellEnd"/>
      <w:r>
        <w:rPr>
          <w:sz w:val="24"/>
          <w:lang w:val="en-GB"/>
        </w:rPr>
        <w:t xml:space="preserve"> Bauer</w:t>
      </w:r>
      <w:r w:rsidRPr="0089744A">
        <w:rPr>
          <w:sz w:val="24"/>
          <w:vertAlign w:val="superscript"/>
          <w:lang w:val="en-GB"/>
        </w:rPr>
        <w:t>2</w:t>
      </w:r>
      <w:r>
        <w:rPr>
          <w:sz w:val="24"/>
          <w:lang w:val="en-GB"/>
        </w:rPr>
        <w:t>, Tommy Cederholm</w:t>
      </w:r>
      <w:r w:rsidRPr="0089744A">
        <w:rPr>
          <w:sz w:val="24"/>
          <w:vertAlign w:val="superscript"/>
          <w:lang w:val="en-GB"/>
        </w:rPr>
        <w:t>3</w:t>
      </w:r>
      <w:r>
        <w:rPr>
          <w:sz w:val="24"/>
          <w:lang w:val="en-GB"/>
        </w:rPr>
        <w:t>, Antonio Cherubini</w:t>
      </w:r>
      <w:r w:rsidRPr="0089744A">
        <w:rPr>
          <w:sz w:val="24"/>
          <w:vertAlign w:val="superscript"/>
          <w:lang w:val="en-GB"/>
        </w:rPr>
        <w:t>4</w:t>
      </w:r>
      <w:r>
        <w:rPr>
          <w:sz w:val="24"/>
          <w:lang w:val="en-GB"/>
        </w:rPr>
        <w:t>, Cyrus Cooper</w:t>
      </w:r>
      <w:r w:rsidRPr="0089744A">
        <w:rPr>
          <w:sz w:val="24"/>
          <w:vertAlign w:val="superscript"/>
          <w:lang w:val="en-GB"/>
        </w:rPr>
        <w:t>5</w:t>
      </w:r>
      <w:r>
        <w:rPr>
          <w:sz w:val="24"/>
          <w:lang w:val="en-GB"/>
        </w:rPr>
        <w:t xml:space="preserve">, </w:t>
      </w:r>
      <w:r>
        <w:rPr>
          <w:sz w:val="24"/>
          <w:lang w:val="en-GB"/>
        </w:rPr>
        <w:br/>
        <w:t>Alfonso Jose Cruz-Jentoft</w:t>
      </w:r>
      <w:r>
        <w:rPr>
          <w:sz w:val="24"/>
          <w:vertAlign w:val="superscript"/>
          <w:lang w:val="en-GB"/>
        </w:rPr>
        <w:t>6</w:t>
      </w:r>
      <w:r>
        <w:rPr>
          <w:sz w:val="24"/>
          <w:lang w:val="en-GB"/>
        </w:rPr>
        <w:t>, Francesco Landi</w:t>
      </w:r>
      <w:r w:rsidRPr="0089744A">
        <w:rPr>
          <w:sz w:val="24"/>
          <w:vertAlign w:val="superscript"/>
          <w:lang w:val="en-GB"/>
        </w:rPr>
        <w:t>7</w:t>
      </w:r>
      <w:r>
        <w:rPr>
          <w:sz w:val="24"/>
          <w:lang w:val="en-GB"/>
        </w:rPr>
        <w:t>, Stefania Maggi</w:t>
      </w:r>
      <w:r>
        <w:rPr>
          <w:sz w:val="24"/>
          <w:vertAlign w:val="superscript"/>
          <w:lang w:val="en-GB"/>
        </w:rPr>
        <w:t>8</w:t>
      </w:r>
      <w:r>
        <w:rPr>
          <w:sz w:val="24"/>
          <w:lang w:val="en-GB"/>
        </w:rPr>
        <w:t>, René Rizzoli</w:t>
      </w:r>
      <w:r w:rsidRPr="0089744A">
        <w:rPr>
          <w:sz w:val="24"/>
          <w:vertAlign w:val="superscript"/>
          <w:lang w:val="en-GB"/>
        </w:rPr>
        <w:t>9</w:t>
      </w:r>
      <w:r>
        <w:rPr>
          <w:sz w:val="24"/>
          <w:lang w:val="en-GB"/>
        </w:rPr>
        <w:t xml:space="preserve">, </w:t>
      </w:r>
      <w:r>
        <w:rPr>
          <w:sz w:val="24"/>
          <w:lang w:val="en-GB"/>
        </w:rPr>
        <w:br/>
      </w:r>
      <w:proofErr w:type="spellStart"/>
      <w:r>
        <w:rPr>
          <w:sz w:val="24"/>
          <w:lang w:val="en-GB"/>
        </w:rPr>
        <w:t>Avan</w:t>
      </w:r>
      <w:proofErr w:type="spellEnd"/>
      <w:r>
        <w:rPr>
          <w:sz w:val="24"/>
          <w:lang w:val="en-GB"/>
        </w:rPr>
        <w:t xml:space="preserve"> Aihie Sayer</w:t>
      </w:r>
      <w:r w:rsidRPr="0089744A">
        <w:rPr>
          <w:sz w:val="24"/>
          <w:vertAlign w:val="superscript"/>
          <w:lang w:val="en-GB"/>
        </w:rPr>
        <w:t>10</w:t>
      </w:r>
      <w:r>
        <w:rPr>
          <w:sz w:val="24"/>
          <w:lang w:val="en-GB"/>
        </w:rPr>
        <w:t>, Cornel Sieber</w:t>
      </w:r>
      <w:r w:rsidRPr="0089744A">
        <w:rPr>
          <w:sz w:val="24"/>
          <w:vertAlign w:val="superscript"/>
          <w:lang w:val="en-GB"/>
        </w:rPr>
        <w:t>11</w:t>
      </w:r>
      <w:r>
        <w:rPr>
          <w:sz w:val="24"/>
          <w:lang w:val="en-GB"/>
        </w:rPr>
        <w:t>, Bruno Vellas</w:t>
      </w:r>
      <w:r w:rsidRPr="0089744A">
        <w:rPr>
          <w:sz w:val="24"/>
          <w:vertAlign w:val="superscript"/>
          <w:lang w:val="en-GB"/>
        </w:rPr>
        <w:t>12</w:t>
      </w:r>
      <w:r>
        <w:rPr>
          <w:sz w:val="24"/>
          <w:lang w:val="en-GB"/>
        </w:rPr>
        <w:t xml:space="preserve">, </w:t>
      </w:r>
      <w:r w:rsidRPr="001C55EE">
        <w:rPr>
          <w:sz w:val="24"/>
          <w:lang w:val="en-GB"/>
        </w:rPr>
        <w:t>Mat</w:t>
      </w:r>
      <w:r>
        <w:rPr>
          <w:sz w:val="24"/>
          <w:lang w:val="en-GB"/>
        </w:rPr>
        <w:t>t</w:t>
      </w:r>
      <w:r w:rsidRPr="001C55EE">
        <w:rPr>
          <w:sz w:val="24"/>
          <w:lang w:val="en-GB"/>
        </w:rPr>
        <w:t>eo Cesari</w:t>
      </w:r>
      <w:r w:rsidRPr="0089744A">
        <w:rPr>
          <w:sz w:val="24"/>
          <w:vertAlign w:val="superscript"/>
          <w:lang w:val="en-GB"/>
        </w:rPr>
        <w:t>1</w:t>
      </w:r>
      <w:r>
        <w:rPr>
          <w:sz w:val="24"/>
          <w:vertAlign w:val="superscript"/>
          <w:lang w:val="en-GB"/>
        </w:rPr>
        <w:t>2</w:t>
      </w:r>
      <w:r>
        <w:rPr>
          <w:sz w:val="24"/>
          <w:lang w:val="en-GB"/>
        </w:rPr>
        <w:t xml:space="preserve"> </w:t>
      </w:r>
      <w:r>
        <w:rPr>
          <w:sz w:val="24"/>
          <w:lang w:val="en-GB"/>
        </w:rPr>
        <w:br/>
        <w:t>on behalf of ESCEO and the EUGMS frailty working group</w:t>
      </w:r>
    </w:p>
    <w:p w14:paraId="24B0B4D1" w14:textId="77777777" w:rsidR="007B7652" w:rsidRDefault="007B7652" w:rsidP="00CE318F">
      <w:pPr>
        <w:spacing w:line="276" w:lineRule="auto"/>
        <w:rPr>
          <w:lang w:val="en-GB"/>
        </w:rPr>
      </w:pPr>
    </w:p>
    <w:p w14:paraId="2A158D4B" w14:textId="77777777" w:rsidR="007B7652" w:rsidRPr="008D6D9A" w:rsidRDefault="007B7652" w:rsidP="00CE318F">
      <w:pPr>
        <w:spacing w:line="276" w:lineRule="auto"/>
        <w:rPr>
          <w:lang w:val="en-GB"/>
        </w:rPr>
      </w:pPr>
      <w:r>
        <w:rPr>
          <w:lang w:val="en-GB"/>
        </w:rPr>
        <w:t>* These authors contributed equally to this work.</w:t>
      </w:r>
    </w:p>
    <w:p w14:paraId="17DA4825" w14:textId="77777777" w:rsidR="007B7652" w:rsidRPr="0089744A" w:rsidRDefault="007B7652" w:rsidP="0089744A">
      <w:pPr>
        <w:spacing w:line="240" w:lineRule="auto"/>
        <w:rPr>
          <w:sz w:val="20"/>
          <w:lang w:val="en-GB"/>
        </w:rPr>
      </w:pPr>
      <w:r w:rsidRPr="0089744A">
        <w:rPr>
          <w:sz w:val="20"/>
          <w:lang w:val="en-GB"/>
        </w:rPr>
        <w:t>1 Department of Public Health, Epidemiology and Health Economics, University of Liège, Liège, Belgium</w:t>
      </w:r>
    </w:p>
    <w:p w14:paraId="2C0E7B60" w14:textId="77777777" w:rsidR="007B7652" w:rsidRPr="0089744A" w:rsidRDefault="007B7652" w:rsidP="0088448E">
      <w:pPr>
        <w:spacing w:line="240" w:lineRule="auto"/>
        <w:rPr>
          <w:sz w:val="20"/>
          <w:lang w:val="en-GB"/>
        </w:rPr>
      </w:pPr>
      <w:r w:rsidRPr="0089744A">
        <w:rPr>
          <w:sz w:val="20"/>
          <w:lang w:val="en-GB"/>
        </w:rPr>
        <w:t xml:space="preserve">2 </w:t>
      </w:r>
      <w:proofErr w:type="spellStart"/>
      <w:r>
        <w:rPr>
          <w:sz w:val="20"/>
          <w:lang w:val="en-GB"/>
        </w:rPr>
        <w:t>Center</w:t>
      </w:r>
      <w:proofErr w:type="spellEnd"/>
      <w:r>
        <w:rPr>
          <w:sz w:val="20"/>
          <w:lang w:val="en-GB"/>
        </w:rPr>
        <w:t xml:space="preserve"> for Geriatric Medicine, University of Heidelberg; </w:t>
      </w:r>
      <w:proofErr w:type="spellStart"/>
      <w:r>
        <w:rPr>
          <w:sz w:val="20"/>
          <w:lang w:val="en-GB"/>
        </w:rPr>
        <w:t>Agaplesion</w:t>
      </w:r>
      <w:proofErr w:type="spellEnd"/>
      <w:r>
        <w:rPr>
          <w:sz w:val="20"/>
          <w:lang w:val="en-GB"/>
        </w:rPr>
        <w:t xml:space="preserve"> </w:t>
      </w:r>
      <w:proofErr w:type="spellStart"/>
      <w:r>
        <w:rPr>
          <w:sz w:val="20"/>
          <w:lang w:val="en-GB"/>
        </w:rPr>
        <w:t>Bethanien</w:t>
      </w:r>
      <w:proofErr w:type="spellEnd"/>
      <w:r>
        <w:rPr>
          <w:sz w:val="20"/>
          <w:lang w:val="en-GB"/>
        </w:rPr>
        <w:t xml:space="preserve"> Hospital Heidelberg, Germany</w:t>
      </w:r>
    </w:p>
    <w:p w14:paraId="429FD3BD" w14:textId="77777777" w:rsidR="007B7652" w:rsidRPr="0089744A" w:rsidRDefault="007B7652" w:rsidP="0088448E">
      <w:pPr>
        <w:spacing w:line="240" w:lineRule="auto"/>
        <w:rPr>
          <w:sz w:val="20"/>
          <w:lang w:val="en-GB"/>
        </w:rPr>
      </w:pPr>
      <w:r w:rsidRPr="0089744A">
        <w:rPr>
          <w:sz w:val="20"/>
          <w:lang w:val="en-GB"/>
        </w:rPr>
        <w:t>3</w:t>
      </w:r>
      <w:r w:rsidRPr="008039F4">
        <w:rPr>
          <w:lang w:val="en-GB"/>
        </w:rPr>
        <w:t xml:space="preserve"> </w:t>
      </w:r>
      <w:r w:rsidRPr="008039F4">
        <w:rPr>
          <w:sz w:val="20"/>
          <w:lang w:val="en-GB"/>
        </w:rPr>
        <w:t>Department of Public Health and Caring Sciences, Clinical Nutrition and Metabolism, Uppsala University, Uppsala, Sweden</w:t>
      </w:r>
    </w:p>
    <w:p w14:paraId="088AC68A" w14:textId="77777777" w:rsidR="007B7652" w:rsidRPr="0089744A" w:rsidRDefault="007B7652" w:rsidP="0088448E">
      <w:pPr>
        <w:spacing w:line="240" w:lineRule="auto"/>
        <w:rPr>
          <w:sz w:val="20"/>
          <w:lang w:val="en-GB"/>
        </w:rPr>
      </w:pPr>
      <w:proofErr w:type="gramStart"/>
      <w:r w:rsidRPr="0089744A">
        <w:rPr>
          <w:sz w:val="20"/>
          <w:lang w:val="en-GB"/>
        </w:rPr>
        <w:t>4</w:t>
      </w:r>
      <w:r w:rsidRPr="008039F4">
        <w:rPr>
          <w:lang w:val="en-GB"/>
        </w:rPr>
        <w:t xml:space="preserve"> </w:t>
      </w:r>
      <w:r w:rsidRPr="008039F4">
        <w:rPr>
          <w:sz w:val="20"/>
          <w:lang w:val="en-GB"/>
        </w:rPr>
        <w:t>Geriatrics</w:t>
      </w:r>
      <w:proofErr w:type="gramEnd"/>
      <w:r w:rsidRPr="008039F4">
        <w:rPr>
          <w:sz w:val="20"/>
          <w:lang w:val="en-GB"/>
        </w:rPr>
        <w:t xml:space="preserve"> and Geriatric Emergency Care, IRCCS-INRCA, Ancona, Italy.</w:t>
      </w:r>
    </w:p>
    <w:p w14:paraId="4EEF5D8B" w14:textId="77777777" w:rsidR="007B7652" w:rsidRPr="0089744A" w:rsidRDefault="007B7652" w:rsidP="0088448E">
      <w:pPr>
        <w:spacing w:line="240" w:lineRule="auto"/>
        <w:rPr>
          <w:sz w:val="20"/>
          <w:lang w:val="en-GB"/>
        </w:rPr>
      </w:pPr>
      <w:r w:rsidRPr="0089744A">
        <w:rPr>
          <w:sz w:val="20"/>
          <w:lang w:val="en-GB"/>
        </w:rPr>
        <w:t>5</w:t>
      </w:r>
      <w:r w:rsidRPr="008039F4">
        <w:rPr>
          <w:lang w:val="en-GB"/>
        </w:rPr>
        <w:t xml:space="preserve"> </w:t>
      </w:r>
      <w:r w:rsidRPr="008039F4">
        <w:rPr>
          <w:sz w:val="20"/>
          <w:lang w:val="en-GB"/>
        </w:rPr>
        <w:t xml:space="preserve">MRC Lifecourse Epidemiology </w:t>
      </w:r>
      <w:proofErr w:type="gramStart"/>
      <w:r w:rsidRPr="008039F4">
        <w:rPr>
          <w:sz w:val="20"/>
          <w:lang w:val="en-GB"/>
        </w:rPr>
        <w:t>Unit</w:t>
      </w:r>
      <w:proofErr w:type="gramEnd"/>
      <w:r w:rsidRPr="008039F4">
        <w:rPr>
          <w:sz w:val="20"/>
          <w:lang w:val="en-GB"/>
        </w:rPr>
        <w:t>, University of Southampton, Southampton, England, UK</w:t>
      </w:r>
    </w:p>
    <w:p w14:paraId="4FE48D4A" w14:textId="77777777" w:rsidR="007B7652" w:rsidRPr="00EB1BF0" w:rsidRDefault="007B7652" w:rsidP="00070E9A">
      <w:pPr>
        <w:spacing w:line="240" w:lineRule="auto"/>
        <w:rPr>
          <w:sz w:val="20"/>
          <w:lang w:val="en-US"/>
        </w:rPr>
      </w:pPr>
      <w:r w:rsidRPr="00070E9A">
        <w:rPr>
          <w:sz w:val="20"/>
          <w:lang w:val="es-ES_tradnl"/>
        </w:rPr>
        <w:t>6</w:t>
      </w:r>
      <w:r w:rsidRPr="00070E9A">
        <w:rPr>
          <w:lang w:val="es-ES_tradnl"/>
        </w:rPr>
        <w:t xml:space="preserve"> </w:t>
      </w:r>
      <w:r w:rsidRPr="00070E9A">
        <w:rPr>
          <w:sz w:val="20"/>
          <w:lang w:val="es-ES_tradnl"/>
        </w:rPr>
        <w:t xml:space="preserve">Servicio de Geriatría. Hospital Universitario Ramón y Cajal (IRYCIS). </w:t>
      </w:r>
      <w:r w:rsidRPr="00EB1BF0">
        <w:rPr>
          <w:sz w:val="20"/>
          <w:lang w:val="en-US"/>
        </w:rPr>
        <w:t>Madrid. Spain</w:t>
      </w:r>
    </w:p>
    <w:p w14:paraId="0E0D2A06" w14:textId="77777777" w:rsidR="007B7652" w:rsidRPr="0089744A" w:rsidRDefault="007B7652" w:rsidP="0088448E">
      <w:pPr>
        <w:spacing w:line="240" w:lineRule="auto"/>
        <w:rPr>
          <w:sz w:val="20"/>
          <w:lang w:val="en-GB"/>
        </w:rPr>
      </w:pPr>
      <w:r w:rsidRPr="0089744A">
        <w:rPr>
          <w:sz w:val="20"/>
          <w:lang w:val="en-GB"/>
        </w:rPr>
        <w:t>7</w:t>
      </w:r>
      <w:r w:rsidRPr="008039F4">
        <w:rPr>
          <w:lang w:val="en-GB"/>
        </w:rPr>
        <w:t xml:space="preserve"> </w:t>
      </w:r>
      <w:proofErr w:type="gramStart"/>
      <w:r w:rsidRPr="008039F4">
        <w:rPr>
          <w:sz w:val="20"/>
          <w:lang w:val="en-GB"/>
        </w:rPr>
        <w:t>Department</w:t>
      </w:r>
      <w:proofErr w:type="gramEnd"/>
      <w:r w:rsidRPr="008039F4">
        <w:rPr>
          <w:sz w:val="20"/>
          <w:lang w:val="en-GB"/>
        </w:rPr>
        <w:t xml:space="preserve"> of Geriatrics, Neurosciences and </w:t>
      </w:r>
      <w:proofErr w:type="spellStart"/>
      <w:r w:rsidRPr="008039F4">
        <w:rPr>
          <w:sz w:val="20"/>
          <w:lang w:val="en-GB"/>
        </w:rPr>
        <w:t>Orthopedics</w:t>
      </w:r>
      <w:proofErr w:type="spellEnd"/>
      <w:r w:rsidRPr="008039F4">
        <w:rPr>
          <w:sz w:val="20"/>
          <w:lang w:val="en-GB"/>
        </w:rPr>
        <w:t>, Catholic University of the Sacred Heart School of Medicine, Rome, Italy</w:t>
      </w:r>
    </w:p>
    <w:p w14:paraId="2A11EF5D" w14:textId="77777777" w:rsidR="007B7652" w:rsidRPr="0089744A" w:rsidRDefault="007B7652" w:rsidP="0088448E">
      <w:pPr>
        <w:spacing w:line="240" w:lineRule="auto"/>
        <w:rPr>
          <w:sz w:val="20"/>
          <w:lang w:val="en-GB"/>
        </w:rPr>
      </w:pPr>
      <w:r w:rsidRPr="0089744A">
        <w:rPr>
          <w:sz w:val="20"/>
          <w:lang w:val="en-GB"/>
        </w:rPr>
        <w:t>8</w:t>
      </w:r>
      <w:r w:rsidRPr="008039F4">
        <w:rPr>
          <w:lang w:val="en-GB"/>
        </w:rPr>
        <w:t xml:space="preserve"> </w:t>
      </w:r>
      <w:r w:rsidRPr="008039F4">
        <w:rPr>
          <w:sz w:val="20"/>
          <w:lang w:val="en-GB"/>
        </w:rPr>
        <w:t>National Research Council, Neuroscience Institute, Padua, Italy.</w:t>
      </w:r>
    </w:p>
    <w:p w14:paraId="0D188BB2" w14:textId="72B11762" w:rsidR="007B7652" w:rsidRPr="0089744A" w:rsidRDefault="007B7652" w:rsidP="0088448E">
      <w:pPr>
        <w:spacing w:line="240" w:lineRule="auto"/>
        <w:rPr>
          <w:sz w:val="20"/>
          <w:lang w:val="en-GB"/>
        </w:rPr>
      </w:pPr>
      <w:r w:rsidRPr="0089744A">
        <w:rPr>
          <w:sz w:val="20"/>
          <w:lang w:val="en-GB"/>
        </w:rPr>
        <w:t>9</w:t>
      </w:r>
      <w:r w:rsidRPr="008039F4">
        <w:rPr>
          <w:lang w:val="en-GB"/>
        </w:rPr>
        <w:t xml:space="preserve"> </w:t>
      </w:r>
      <w:r w:rsidR="00AF28EF" w:rsidRPr="008039F4">
        <w:rPr>
          <w:sz w:val="20"/>
          <w:lang w:val="en-GB"/>
        </w:rPr>
        <w:t>Geneva University Hospitals</w:t>
      </w:r>
      <w:r w:rsidR="00AF28EF">
        <w:rPr>
          <w:sz w:val="20"/>
          <w:lang w:val="en-GB"/>
        </w:rPr>
        <w:t xml:space="preserve"> and Faculty of Medicine</w:t>
      </w:r>
      <w:r w:rsidR="00AF28EF" w:rsidRPr="008039F4">
        <w:rPr>
          <w:sz w:val="20"/>
          <w:lang w:val="en-GB"/>
        </w:rPr>
        <w:t xml:space="preserve">, Geneva, Switzerland </w:t>
      </w:r>
    </w:p>
    <w:p w14:paraId="01B3D507" w14:textId="77777777" w:rsidR="007B7652" w:rsidRPr="0089744A" w:rsidRDefault="007B7652" w:rsidP="0088448E">
      <w:pPr>
        <w:spacing w:line="240" w:lineRule="auto"/>
        <w:rPr>
          <w:sz w:val="20"/>
          <w:lang w:val="en-GB"/>
        </w:rPr>
      </w:pPr>
      <w:r>
        <w:rPr>
          <w:sz w:val="20"/>
          <w:lang w:val="en-GB"/>
        </w:rPr>
        <w:t>10 NIHR Newcastle Biomedical Research Centre, Newcastle upon Tyne Hospitals NHS Foundation Trust and Faculty of Medical Sciences, Newcastle University, England, UK</w:t>
      </w:r>
    </w:p>
    <w:p w14:paraId="6B002B35" w14:textId="77777777" w:rsidR="007B7652" w:rsidRPr="00EB1BF0" w:rsidRDefault="007B7652" w:rsidP="0088448E">
      <w:pPr>
        <w:spacing w:line="240" w:lineRule="auto"/>
        <w:rPr>
          <w:sz w:val="20"/>
          <w:lang w:val="de-DE"/>
        </w:rPr>
      </w:pPr>
      <w:r w:rsidRPr="00EB1BF0">
        <w:rPr>
          <w:sz w:val="20"/>
          <w:lang w:val="de-DE"/>
        </w:rPr>
        <w:t>11</w:t>
      </w:r>
      <w:r w:rsidRPr="00EB1BF0">
        <w:rPr>
          <w:lang w:val="de-DE"/>
        </w:rPr>
        <w:t xml:space="preserve"> </w:t>
      </w:r>
      <w:r w:rsidRPr="00EB1BF0">
        <w:rPr>
          <w:sz w:val="20"/>
          <w:lang w:val="de-DE"/>
        </w:rPr>
        <w:t>Friedrich-Alexander-Universität Erlangen-Nürnberg, Germany</w:t>
      </w:r>
    </w:p>
    <w:p w14:paraId="00867CE8" w14:textId="77777777" w:rsidR="007B7652" w:rsidRPr="002C377D" w:rsidRDefault="007B7652" w:rsidP="0088448E">
      <w:pPr>
        <w:spacing w:line="240" w:lineRule="auto"/>
        <w:rPr>
          <w:sz w:val="20"/>
        </w:rPr>
      </w:pPr>
      <w:r w:rsidRPr="008039F4">
        <w:rPr>
          <w:sz w:val="20"/>
        </w:rPr>
        <w:t>1</w:t>
      </w:r>
      <w:r>
        <w:rPr>
          <w:sz w:val="20"/>
        </w:rPr>
        <w:t xml:space="preserve">2 </w:t>
      </w:r>
      <w:proofErr w:type="spellStart"/>
      <w:r w:rsidRPr="002C377D">
        <w:rPr>
          <w:sz w:val="20"/>
        </w:rPr>
        <w:t>Gérontopôle</w:t>
      </w:r>
      <w:proofErr w:type="spellEnd"/>
      <w:r w:rsidRPr="002C377D">
        <w:rPr>
          <w:sz w:val="20"/>
        </w:rPr>
        <w:t xml:space="preserve"> de Toulouse, Département de Médecine Interne et Gérontologie Clinique, Centre Hospitalo-Universitaire de Toulouse, Toulouse, Franc</w:t>
      </w:r>
      <w:r>
        <w:rPr>
          <w:sz w:val="20"/>
        </w:rPr>
        <w:t>e</w:t>
      </w:r>
    </w:p>
    <w:p w14:paraId="42728302" w14:textId="77777777" w:rsidR="007B7652" w:rsidRPr="00381267" w:rsidRDefault="007B7652" w:rsidP="00CE318F">
      <w:pPr>
        <w:spacing w:line="276" w:lineRule="auto"/>
      </w:pPr>
    </w:p>
    <w:p w14:paraId="3E18BC71" w14:textId="77777777" w:rsidR="007B7652" w:rsidRDefault="007B7652" w:rsidP="00CE318F">
      <w:pPr>
        <w:spacing w:line="276" w:lineRule="auto"/>
        <w:rPr>
          <w:lang w:val="en-GB"/>
        </w:rPr>
      </w:pPr>
      <w:r>
        <w:rPr>
          <w:lang w:val="en-GB"/>
        </w:rPr>
        <w:t xml:space="preserve">Corresponding author: </w:t>
      </w:r>
    </w:p>
    <w:p w14:paraId="560222C0" w14:textId="77777777" w:rsidR="007B7652" w:rsidRPr="00E30890" w:rsidRDefault="007B7652" w:rsidP="00CE318F">
      <w:pPr>
        <w:spacing w:line="276" w:lineRule="auto"/>
        <w:rPr>
          <w:lang w:val="en-GB"/>
        </w:rPr>
      </w:pPr>
    </w:p>
    <w:p w14:paraId="2AFC0894" w14:textId="77777777" w:rsidR="007B7652" w:rsidRPr="00E30890" w:rsidRDefault="007B7652" w:rsidP="0089744A">
      <w:pPr>
        <w:spacing w:after="0" w:line="240" w:lineRule="auto"/>
        <w:rPr>
          <w:lang w:val="en-GB"/>
        </w:rPr>
      </w:pPr>
      <w:r w:rsidRPr="00E30890">
        <w:rPr>
          <w:lang w:val="en-GB"/>
        </w:rPr>
        <w:t>Professor Olivier Bruyère, PhD</w:t>
      </w:r>
    </w:p>
    <w:p w14:paraId="21E1CDAA" w14:textId="77777777" w:rsidR="007B7652" w:rsidRPr="00E30890" w:rsidRDefault="007B7652" w:rsidP="0089744A">
      <w:pPr>
        <w:spacing w:after="0" w:line="240" w:lineRule="auto"/>
        <w:rPr>
          <w:lang w:val="en-GB"/>
        </w:rPr>
      </w:pPr>
      <w:r w:rsidRPr="00E30890">
        <w:rPr>
          <w:lang w:val="en-GB"/>
        </w:rPr>
        <w:t>University of Liège</w:t>
      </w:r>
    </w:p>
    <w:p w14:paraId="6E9BB990" w14:textId="77777777" w:rsidR="007B7652" w:rsidRPr="00E30890" w:rsidRDefault="007B7652" w:rsidP="0089744A">
      <w:pPr>
        <w:spacing w:after="0" w:line="240" w:lineRule="auto"/>
        <w:rPr>
          <w:lang w:val="en-GB"/>
        </w:rPr>
      </w:pPr>
      <w:r>
        <w:rPr>
          <w:lang w:val="en-GB"/>
        </w:rPr>
        <w:t>Department of</w:t>
      </w:r>
      <w:r w:rsidRPr="00E30890">
        <w:rPr>
          <w:lang w:val="en-GB"/>
        </w:rPr>
        <w:t xml:space="preserve"> Public Health, Epidemiology and Health Economics</w:t>
      </w:r>
    </w:p>
    <w:p w14:paraId="672ABC1A" w14:textId="77777777" w:rsidR="007B7652" w:rsidRPr="006364AB" w:rsidRDefault="007B7652" w:rsidP="0089744A">
      <w:pPr>
        <w:spacing w:after="0" w:line="240" w:lineRule="auto"/>
      </w:pPr>
      <w:r w:rsidRPr="006364AB">
        <w:t>CHU Sart</w:t>
      </w:r>
      <w:r>
        <w:t>-</w:t>
      </w:r>
      <w:proofErr w:type="spellStart"/>
      <w:r w:rsidRPr="006364AB">
        <w:t>Tilman</w:t>
      </w:r>
      <w:proofErr w:type="spellEnd"/>
      <w:r w:rsidRPr="006364AB">
        <w:t>, Bât B23</w:t>
      </w:r>
    </w:p>
    <w:p w14:paraId="6D7F15C6" w14:textId="77777777" w:rsidR="007B7652" w:rsidRPr="006364AB" w:rsidRDefault="007B7652" w:rsidP="0089744A">
      <w:pPr>
        <w:spacing w:after="0" w:line="240" w:lineRule="auto"/>
      </w:pPr>
      <w:r w:rsidRPr="006364AB">
        <w:t>4000 Liège</w:t>
      </w:r>
    </w:p>
    <w:p w14:paraId="3F732F16" w14:textId="77777777" w:rsidR="007B7652" w:rsidRPr="00E30890" w:rsidRDefault="007B7652" w:rsidP="0089744A">
      <w:pPr>
        <w:spacing w:after="0" w:line="240" w:lineRule="auto"/>
        <w:rPr>
          <w:lang w:val="en-GB"/>
        </w:rPr>
      </w:pPr>
      <w:r w:rsidRPr="00E30890">
        <w:rPr>
          <w:lang w:val="en-GB"/>
        </w:rPr>
        <w:t>Belgium</w:t>
      </w:r>
    </w:p>
    <w:p w14:paraId="40E23708" w14:textId="77777777" w:rsidR="007B7652" w:rsidRDefault="007B7652" w:rsidP="0089744A">
      <w:pPr>
        <w:spacing w:after="0" w:line="240" w:lineRule="auto"/>
        <w:rPr>
          <w:lang w:val="en-GB"/>
        </w:rPr>
      </w:pPr>
      <w:r w:rsidRPr="00E30890">
        <w:rPr>
          <w:lang w:val="en-GB"/>
        </w:rPr>
        <w:t>Phone: +32 (0)43 66 25 81</w:t>
      </w:r>
    </w:p>
    <w:p w14:paraId="41661828" w14:textId="77777777" w:rsidR="007B7652" w:rsidRDefault="007B7652" w:rsidP="0089744A">
      <w:pPr>
        <w:spacing w:after="0" w:line="240" w:lineRule="auto"/>
        <w:rPr>
          <w:lang w:val="en-GB"/>
        </w:rPr>
      </w:pPr>
      <w:r>
        <w:rPr>
          <w:lang w:val="en-GB"/>
        </w:rPr>
        <w:t xml:space="preserve">Email: </w:t>
      </w:r>
      <w:hyperlink r:id="rId8" w:history="1">
        <w:r w:rsidRPr="00A2644F">
          <w:rPr>
            <w:rStyle w:val="Hyperlink"/>
            <w:lang w:val="en-GB"/>
          </w:rPr>
          <w:t>olivier.bruyere@ulg.ac.be</w:t>
        </w:r>
      </w:hyperlink>
    </w:p>
    <w:p w14:paraId="04B97FBD" w14:textId="77777777" w:rsidR="007B7652" w:rsidRDefault="007B7652" w:rsidP="00CE318F">
      <w:pPr>
        <w:spacing w:line="276" w:lineRule="auto"/>
        <w:rPr>
          <w:lang w:val="en-GB"/>
        </w:rPr>
      </w:pPr>
      <w:r>
        <w:rPr>
          <w:lang w:val="en-GB"/>
        </w:rPr>
        <w:br w:type="page"/>
      </w:r>
    </w:p>
    <w:p w14:paraId="5B663AE4" w14:textId="77777777" w:rsidR="007B7652" w:rsidRDefault="007B7652" w:rsidP="00CE318F">
      <w:pPr>
        <w:spacing w:line="276" w:lineRule="auto"/>
        <w:jc w:val="both"/>
        <w:rPr>
          <w:lang w:val="en-GB"/>
        </w:rPr>
      </w:pPr>
      <w:r>
        <w:rPr>
          <w:lang w:val="en-GB"/>
        </w:rPr>
        <w:lastRenderedPageBreak/>
        <w:t>Abstract</w:t>
      </w:r>
    </w:p>
    <w:p w14:paraId="7BEE36BC" w14:textId="77777777" w:rsidR="007B7652" w:rsidRDefault="007B7652" w:rsidP="00CE318F">
      <w:pPr>
        <w:spacing w:line="276" w:lineRule="auto"/>
        <w:jc w:val="both"/>
        <w:rPr>
          <w:lang w:val="en-GB"/>
        </w:rPr>
      </w:pPr>
    </w:p>
    <w:p w14:paraId="7CB6B870" w14:textId="77777777" w:rsidR="007B7652" w:rsidRDefault="007B7652" w:rsidP="00CE318F">
      <w:pPr>
        <w:spacing w:line="276" w:lineRule="auto"/>
        <w:jc w:val="both"/>
        <w:rPr>
          <w:lang w:val="en-GB"/>
        </w:rPr>
      </w:pPr>
      <w:r>
        <w:rPr>
          <w:lang w:val="en-GB"/>
        </w:rPr>
        <w:t xml:space="preserve">Introduction: Various operational definitions have been proposed to assess the frailty condition among older individuals. Understanding the strengths and limits of such definitions is important in order to better identify frail individuals in need of specialized care and is thus crucial for the standardization of clinical practice. Our objective was to assess how practitioners measure the geriatric syndrome of frailty in their daily routine.   </w:t>
      </w:r>
    </w:p>
    <w:p w14:paraId="08CEA17E" w14:textId="77777777" w:rsidR="007B7652" w:rsidRDefault="007B7652" w:rsidP="00CE318F">
      <w:pPr>
        <w:spacing w:line="276" w:lineRule="auto"/>
        <w:jc w:val="both"/>
        <w:rPr>
          <w:lang w:val="en-GB"/>
        </w:rPr>
      </w:pPr>
    </w:p>
    <w:p w14:paraId="7A161B89" w14:textId="77777777" w:rsidR="007B7652" w:rsidRDefault="007B7652" w:rsidP="00CE318F">
      <w:pPr>
        <w:spacing w:line="276" w:lineRule="auto"/>
        <w:jc w:val="both"/>
        <w:rPr>
          <w:lang w:val="en-GB"/>
        </w:rPr>
      </w:pPr>
      <w:r>
        <w:rPr>
          <w:lang w:val="en-GB"/>
        </w:rPr>
        <w:t xml:space="preserve">Methods: An online survey was sent to national geriatric societies affiliated to the </w:t>
      </w:r>
      <w:r w:rsidRPr="004708A0">
        <w:rPr>
          <w:lang w:val="en-GB"/>
        </w:rPr>
        <w:t>European Union Geriatric Medicine Society</w:t>
      </w:r>
      <w:r>
        <w:rPr>
          <w:lang w:val="en-GB"/>
        </w:rPr>
        <w:t xml:space="preserve"> (EUGMS) and to members of the </w:t>
      </w:r>
      <w:r w:rsidRPr="004708A0">
        <w:rPr>
          <w:lang w:val="en-GB"/>
        </w:rPr>
        <w:t>European Society for Clinical and Economic Aspects of Osteoporosis, Osteoarthritis and Musculoskeletal Diseases (ESCEO)</w:t>
      </w:r>
      <w:r>
        <w:rPr>
          <w:lang w:val="en-GB"/>
        </w:rPr>
        <w:t>.</w:t>
      </w:r>
    </w:p>
    <w:p w14:paraId="3D2B62E3" w14:textId="77777777" w:rsidR="007B7652" w:rsidRDefault="007B7652" w:rsidP="00CE318F">
      <w:pPr>
        <w:spacing w:line="276" w:lineRule="auto"/>
        <w:jc w:val="both"/>
        <w:rPr>
          <w:lang w:val="en-GB"/>
        </w:rPr>
      </w:pPr>
    </w:p>
    <w:p w14:paraId="447D6BB7" w14:textId="7A05CF24" w:rsidR="007B7652" w:rsidRDefault="007B7652" w:rsidP="00CE318F">
      <w:pPr>
        <w:spacing w:line="276" w:lineRule="auto"/>
        <w:jc w:val="both"/>
        <w:rPr>
          <w:lang w:val="en-GB"/>
        </w:rPr>
      </w:pPr>
      <w:r>
        <w:rPr>
          <w:lang w:val="en-GB"/>
        </w:rPr>
        <w:t xml:space="preserve">Results: A total of </w:t>
      </w:r>
      <w:r w:rsidR="00866F0D">
        <w:rPr>
          <w:lang w:val="en-GB"/>
        </w:rPr>
        <w:t xml:space="preserve">388 </w:t>
      </w:r>
      <w:r>
        <w:rPr>
          <w:lang w:val="en-GB"/>
        </w:rPr>
        <w:t>clinicians from 44 countries answered to the survey. Most of them were medical doctors (93%), and their primary field of practice was geriatrics (83%). Fifty-one clinicians always assessed frailty in their daily practice, and 41.5% reported to "sometimes" measure it. The most widely used tool was the gait speed test, adopted by 43.8% of the clinicians, followed by Clinical Frailty Scale</w:t>
      </w:r>
      <w:r w:rsidDel="002F4FA4">
        <w:rPr>
          <w:lang w:val="en-GB"/>
        </w:rPr>
        <w:t xml:space="preserve"> </w:t>
      </w:r>
      <w:r>
        <w:rPr>
          <w:lang w:val="en-GB"/>
        </w:rPr>
        <w:t xml:space="preserve">(34.3%), </w:t>
      </w:r>
      <w:r w:rsidRPr="00976E75">
        <w:rPr>
          <w:lang w:val="en-GB"/>
        </w:rPr>
        <w:t>the SPPB test (30.2%</w:t>
      </w:r>
      <w:r>
        <w:rPr>
          <w:lang w:val="en-GB"/>
        </w:rPr>
        <w:t>), the frailty phenotype (26.8%) and the Frailty Index (16.8%).</w:t>
      </w:r>
      <w:r w:rsidR="00AF28EF" w:rsidRPr="00E6616C">
        <w:rPr>
          <w:lang w:val="en-GB"/>
        </w:rPr>
        <w:t xml:space="preserve"> </w:t>
      </w:r>
      <w:r w:rsidR="00AF28EF">
        <w:rPr>
          <w:lang w:val="en-GB"/>
        </w:rPr>
        <w:t>It is important to note that t</w:t>
      </w:r>
      <w:r w:rsidR="00AF28EF" w:rsidRPr="00AF28EF">
        <w:rPr>
          <w:lang w:val="en-GB"/>
        </w:rPr>
        <w:t>he gait speed and the SPPB are widely used in combination with another tool to assess frailty</w:t>
      </w:r>
      <w:r w:rsidR="00AF28EF">
        <w:rPr>
          <w:lang w:val="en-GB"/>
        </w:rPr>
        <w:t xml:space="preserve">.  </w:t>
      </w:r>
      <w:r>
        <w:rPr>
          <w:lang w:val="en-GB"/>
        </w:rPr>
        <w:t xml:space="preserve">   </w:t>
      </w:r>
    </w:p>
    <w:p w14:paraId="1A9A2FBD" w14:textId="77777777" w:rsidR="007B7652" w:rsidRDefault="007B7652" w:rsidP="00CE318F">
      <w:pPr>
        <w:spacing w:line="276" w:lineRule="auto"/>
        <w:jc w:val="both"/>
        <w:rPr>
          <w:lang w:val="en-GB"/>
        </w:rPr>
      </w:pPr>
    </w:p>
    <w:p w14:paraId="28261A7D" w14:textId="77777777" w:rsidR="007B7652" w:rsidRDefault="007B7652" w:rsidP="00CE318F">
      <w:pPr>
        <w:spacing w:line="276" w:lineRule="auto"/>
        <w:jc w:val="both"/>
        <w:rPr>
          <w:lang w:val="en-GB"/>
        </w:rPr>
      </w:pPr>
      <w:r>
        <w:rPr>
          <w:lang w:val="en-GB"/>
        </w:rPr>
        <w:t xml:space="preserve">Conclusion: a huge variety of tools is used to assess frailty of older patients in clinical practice highlighting the need for standardisation and guidelines. </w:t>
      </w:r>
    </w:p>
    <w:p w14:paraId="58D2E30F" w14:textId="77777777" w:rsidR="007B7652" w:rsidRDefault="007B7652" w:rsidP="00CE318F">
      <w:pPr>
        <w:spacing w:line="276" w:lineRule="auto"/>
        <w:rPr>
          <w:lang w:val="en-GB"/>
        </w:rPr>
      </w:pPr>
    </w:p>
    <w:p w14:paraId="2D5D9263" w14:textId="77777777" w:rsidR="007B7652" w:rsidRDefault="007B7652" w:rsidP="00CE318F">
      <w:pPr>
        <w:spacing w:line="276" w:lineRule="auto"/>
        <w:rPr>
          <w:lang w:val="en-GB"/>
        </w:rPr>
      </w:pPr>
    </w:p>
    <w:p w14:paraId="79C5B4EE" w14:textId="77777777" w:rsidR="007B7652" w:rsidRDefault="007B7652" w:rsidP="00CE318F">
      <w:pPr>
        <w:spacing w:line="276" w:lineRule="auto"/>
        <w:rPr>
          <w:lang w:val="en-GB"/>
        </w:rPr>
      </w:pPr>
    </w:p>
    <w:p w14:paraId="30BB0DEA" w14:textId="77777777" w:rsidR="007B7652" w:rsidRDefault="007B7652" w:rsidP="00CE318F">
      <w:pPr>
        <w:spacing w:line="276" w:lineRule="auto"/>
        <w:rPr>
          <w:lang w:val="en-GB"/>
        </w:rPr>
      </w:pPr>
    </w:p>
    <w:p w14:paraId="1311A2CD" w14:textId="77777777" w:rsidR="007B7652" w:rsidRDefault="007B7652" w:rsidP="00CE318F">
      <w:pPr>
        <w:spacing w:line="276" w:lineRule="auto"/>
        <w:rPr>
          <w:lang w:val="en-GB"/>
        </w:rPr>
      </w:pPr>
      <w:r>
        <w:rPr>
          <w:lang w:val="en-GB"/>
        </w:rPr>
        <w:br w:type="page"/>
      </w:r>
    </w:p>
    <w:p w14:paraId="269F4F51" w14:textId="77777777" w:rsidR="007B7652" w:rsidRPr="009C62C9" w:rsidRDefault="007B7652" w:rsidP="00CE318F">
      <w:pPr>
        <w:spacing w:line="276" w:lineRule="auto"/>
        <w:jc w:val="both"/>
        <w:rPr>
          <w:b/>
          <w:lang w:val="en-GB"/>
        </w:rPr>
      </w:pPr>
      <w:r w:rsidRPr="009C62C9">
        <w:rPr>
          <w:b/>
          <w:lang w:val="en-GB"/>
        </w:rPr>
        <w:lastRenderedPageBreak/>
        <w:t>Introduction</w:t>
      </w:r>
    </w:p>
    <w:p w14:paraId="48B29CC9" w14:textId="77777777" w:rsidR="007B7652" w:rsidRDefault="007B7652" w:rsidP="00CE318F">
      <w:pPr>
        <w:spacing w:line="276" w:lineRule="auto"/>
        <w:jc w:val="both"/>
        <w:rPr>
          <w:lang w:val="en-GB"/>
        </w:rPr>
      </w:pPr>
    </w:p>
    <w:p w14:paraId="07359401" w14:textId="77777777" w:rsidR="007B7652" w:rsidRDefault="007B7652" w:rsidP="00381267">
      <w:pPr>
        <w:spacing w:line="276" w:lineRule="auto"/>
        <w:jc w:val="both"/>
        <w:rPr>
          <w:lang w:val="en-GB"/>
        </w:rPr>
      </w:pPr>
      <w:r w:rsidRPr="00605DA3">
        <w:rPr>
          <w:lang w:val="en-GB"/>
        </w:rPr>
        <w:t>Frailty is a major health condition associated with ageing</w:t>
      </w:r>
      <w:r>
        <w:rPr>
          <w:lang w:val="en-GB"/>
        </w:rPr>
        <w:t xml:space="preserve"> </w:t>
      </w:r>
      <w:r>
        <w:rPr>
          <w:noProof/>
          <w:lang w:val="en-GB"/>
        </w:rPr>
        <w:t>[1]</w:t>
      </w:r>
      <w:r w:rsidRPr="00605DA3">
        <w:rPr>
          <w:lang w:val="en-GB"/>
        </w:rPr>
        <w:t xml:space="preserve">. </w:t>
      </w:r>
      <w:r>
        <w:rPr>
          <w:lang w:val="en-GB"/>
        </w:rPr>
        <w:t>T</w:t>
      </w:r>
      <w:r w:rsidRPr="00605DA3">
        <w:rPr>
          <w:lang w:val="en-GB"/>
        </w:rPr>
        <w:t xml:space="preserve">his geriatric </w:t>
      </w:r>
      <w:r>
        <w:rPr>
          <w:lang w:val="en-GB"/>
        </w:rPr>
        <w:t>situa</w:t>
      </w:r>
      <w:r w:rsidRPr="00605DA3">
        <w:rPr>
          <w:lang w:val="en-GB"/>
        </w:rPr>
        <w:t xml:space="preserve">tion represents a huge potential public health issue at both the patient and the societal levels because of its multiple clinical, </w:t>
      </w:r>
      <w:r>
        <w:rPr>
          <w:lang w:val="en-GB"/>
        </w:rPr>
        <w:t xml:space="preserve">economic and </w:t>
      </w:r>
      <w:r w:rsidRPr="00605DA3">
        <w:rPr>
          <w:lang w:val="en-GB"/>
        </w:rPr>
        <w:t xml:space="preserve">societal </w:t>
      </w:r>
      <w:r>
        <w:rPr>
          <w:lang w:val="en-GB"/>
        </w:rPr>
        <w:t xml:space="preserve">consequences </w:t>
      </w:r>
      <w:r>
        <w:rPr>
          <w:noProof/>
          <w:lang w:val="en-GB"/>
        </w:rPr>
        <w:t>[2-5]</w:t>
      </w:r>
      <w:r w:rsidRPr="00605DA3">
        <w:rPr>
          <w:lang w:val="en-GB"/>
        </w:rPr>
        <w:t xml:space="preserve">. </w:t>
      </w:r>
      <w:r>
        <w:rPr>
          <w:lang w:val="en-GB"/>
        </w:rPr>
        <w:t xml:space="preserve">From a recent systematic review, it has been shown that frailty was associated with an increased risk of </w:t>
      </w:r>
      <w:r w:rsidRPr="005A5618">
        <w:rPr>
          <w:lang w:val="en-GB"/>
        </w:rPr>
        <w:t>mortality</w:t>
      </w:r>
      <w:r>
        <w:rPr>
          <w:lang w:val="en-GB"/>
        </w:rPr>
        <w:t>,</w:t>
      </w:r>
      <w:r w:rsidRPr="005A5618">
        <w:rPr>
          <w:lang w:val="en-GB"/>
        </w:rPr>
        <w:t xml:space="preserve"> loss of a</w:t>
      </w:r>
      <w:r>
        <w:rPr>
          <w:lang w:val="en-GB"/>
        </w:rPr>
        <w:t xml:space="preserve">ctivities in a normal daily routine, </w:t>
      </w:r>
      <w:r w:rsidRPr="005A5618">
        <w:rPr>
          <w:lang w:val="en-GB"/>
        </w:rPr>
        <w:t>hospitali</w:t>
      </w:r>
      <w:r>
        <w:rPr>
          <w:lang w:val="en-GB"/>
        </w:rPr>
        <w:t>s</w:t>
      </w:r>
      <w:r w:rsidRPr="005A5618">
        <w:rPr>
          <w:lang w:val="en-GB"/>
        </w:rPr>
        <w:t>ation</w:t>
      </w:r>
      <w:r>
        <w:rPr>
          <w:lang w:val="en-GB"/>
        </w:rPr>
        <w:t>,</w:t>
      </w:r>
      <w:r w:rsidRPr="005A5618">
        <w:rPr>
          <w:lang w:val="en-GB"/>
        </w:rPr>
        <w:t xml:space="preserve"> physical </w:t>
      </w:r>
      <w:r>
        <w:rPr>
          <w:lang w:val="en-GB"/>
        </w:rPr>
        <w:t xml:space="preserve">limitations, </w:t>
      </w:r>
      <w:r w:rsidRPr="005A5618">
        <w:rPr>
          <w:lang w:val="en-GB"/>
        </w:rPr>
        <w:t>falls and</w:t>
      </w:r>
      <w:r>
        <w:rPr>
          <w:lang w:val="en-GB"/>
        </w:rPr>
        <w:t xml:space="preserve"> </w:t>
      </w:r>
      <w:r w:rsidRPr="005A5618">
        <w:rPr>
          <w:lang w:val="en-GB"/>
        </w:rPr>
        <w:t>fractures</w:t>
      </w:r>
      <w:r>
        <w:rPr>
          <w:lang w:val="en-GB"/>
        </w:rPr>
        <w:t xml:space="preserve"> </w:t>
      </w:r>
      <w:r>
        <w:rPr>
          <w:noProof/>
          <w:lang w:val="en-GB"/>
        </w:rPr>
        <w:t>[5]</w:t>
      </w:r>
      <w:r w:rsidRPr="005A5618">
        <w:rPr>
          <w:lang w:val="en-GB"/>
        </w:rPr>
        <w:t>.</w:t>
      </w:r>
    </w:p>
    <w:p w14:paraId="2D7B9AB2" w14:textId="77777777" w:rsidR="007B7652" w:rsidRDefault="007B7652" w:rsidP="000F3130">
      <w:pPr>
        <w:spacing w:line="276" w:lineRule="auto"/>
        <w:jc w:val="both"/>
        <w:rPr>
          <w:lang w:val="en-GB"/>
        </w:rPr>
      </w:pPr>
      <w:r w:rsidRPr="00605DA3">
        <w:rPr>
          <w:lang w:val="en-GB"/>
        </w:rPr>
        <w:t xml:space="preserve">Because of the high prevalence and the severity of </w:t>
      </w:r>
      <w:r>
        <w:rPr>
          <w:lang w:val="en-GB"/>
        </w:rPr>
        <w:t xml:space="preserve">such </w:t>
      </w:r>
      <w:r w:rsidRPr="00605DA3">
        <w:rPr>
          <w:lang w:val="en-GB"/>
        </w:rPr>
        <w:t>adverse outcomes</w:t>
      </w:r>
      <w:r>
        <w:rPr>
          <w:lang w:val="en-GB"/>
        </w:rPr>
        <w:t>,</w:t>
      </w:r>
      <w:r w:rsidRPr="00605DA3">
        <w:rPr>
          <w:lang w:val="en-GB"/>
        </w:rPr>
        <w:t xml:space="preserve"> screening should be a priority</w:t>
      </w:r>
      <w:r>
        <w:rPr>
          <w:lang w:val="en-GB"/>
        </w:rPr>
        <w:t>, especially</w:t>
      </w:r>
      <w:r w:rsidRPr="00605DA3">
        <w:rPr>
          <w:lang w:val="en-GB"/>
        </w:rPr>
        <w:t xml:space="preserve"> in </w:t>
      </w:r>
      <w:r>
        <w:rPr>
          <w:lang w:val="en-GB"/>
        </w:rPr>
        <w:t>primary care and taking advantage of any possible contact between the individual and the healthcare system</w:t>
      </w:r>
      <w:r w:rsidRPr="00605DA3">
        <w:rPr>
          <w:lang w:val="en-GB"/>
        </w:rPr>
        <w:t xml:space="preserve"> </w:t>
      </w:r>
      <w:r>
        <w:rPr>
          <w:noProof/>
          <w:lang w:val="en-GB"/>
        </w:rPr>
        <w:t>[6-8]</w:t>
      </w:r>
      <w:r w:rsidRPr="00605DA3">
        <w:rPr>
          <w:lang w:val="en-GB"/>
        </w:rPr>
        <w:t xml:space="preserve">. </w:t>
      </w:r>
      <w:r>
        <w:rPr>
          <w:lang w:val="en-GB"/>
        </w:rPr>
        <w:t>Screening for frailty can</w:t>
      </w:r>
      <w:r w:rsidRPr="005E495B">
        <w:rPr>
          <w:lang w:val="en-GB"/>
        </w:rPr>
        <w:t xml:space="preserve"> </w:t>
      </w:r>
      <w:r>
        <w:rPr>
          <w:lang w:val="en-GB"/>
        </w:rPr>
        <w:t xml:space="preserve">indeed precociously identify persons </w:t>
      </w:r>
      <w:r w:rsidRPr="005E495B">
        <w:rPr>
          <w:lang w:val="en-GB"/>
        </w:rPr>
        <w:t xml:space="preserve">at high risk of </w:t>
      </w:r>
      <w:r>
        <w:rPr>
          <w:lang w:val="en-GB"/>
        </w:rPr>
        <w:t>negative outcomes</w:t>
      </w:r>
      <w:r w:rsidRPr="005E495B">
        <w:rPr>
          <w:lang w:val="en-GB"/>
        </w:rPr>
        <w:t xml:space="preserve">, </w:t>
      </w:r>
      <w:r>
        <w:rPr>
          <w:lang w:val="en-GB"/>
        </w:rPr>
        <w:t>allowing the timely implementation of preventive/therapeutic countermeasures.</w:t>
      </w:r>
      <w:r w:rsidRPr="005E495B">
        <w:rPr>
          <w:lang w:val="en-GB"/>
        </w:rPr>
        <w:t xml:space="preserve"> </w:t>
      </w:r>
    </w:p>
    <w:p w14:paraId="79EA5835" w14:textId="77777777" w:rsidR="007B7652" w:rsidRDefault="007B7652" w:rsidP="000F3130">
      <w:pPr>
        <w:spacing w:line="276" w:lineRule="auto"/>
        <w:jc w:val="both"/>
        <w:rPr>
          <w:lang w:val="en-GB"/>
        </w:rPr>
      </w:pPr>
      <w:r>
        <w:rPr>
          <w:lang w:val="en-GB"/>
        </w:rPr>
        <w:t>O</w:t>
      </w:r>
      <w:r w:rsidRPr="007C0876">
        <w:rPr>
          <w:lang w:val="en-GB"/>
        </w:rPr>
        <w:t>ver the</w:t>
      </w:r>
      <w:r>
        <w:rPr>
          <w:lang w:val="en-GB"/>
        </w:rPr>
        <w:t xml:space="preserve"> </w:t>
      </w:r>
      <w:r w:rsidRPr="007C0876">
        <w:rPr>
          <w:lang w:val="en-GB"/>
        </w:rPr>
        <w:t>years</w:t>
      </w:r>
      <w:r>
        <w:rPr>
          <w:lang w:val="en-GB"/>
        </w:rPr>
        <w:t>, m</w:t>
      </w:r>
      <w:r w:rsidRPr="007C0876">
        <w:rPr>
          <w:lang w:val="en-GB"/>
        </w:rPr>
        <w:t>any models of frailty have been proposed. These models try to define the term frailty and</w:t>
      </w:r>
      <w:r>
        <w:rPr>
          <w:lang w:val="en-GB"/>
        </w:rPr>
        <w:t xml:space="preserve"> </w:t>
      </w:r>
      <w:r w:rsidRPr="007C0876">
        <w:rPr>
          <w:lang w:val="en-GB"/>
        </w:rPr>
        <w:t>construct a number of measurement tools to establish</w:t>
      </w:r>
      <w:r>
        <w:rPr>
          <w:lang w:val="en-GB"/>
        </w:rPr>
        <w:t xml:space="preserve"> </w:t>
      </w:r>
      <w:r w:rsidRPr="007C0876">
        <w:rPr>
          <w:lang w:val="en-GB"/>
        </w:rPr>
        <w:t>the frailty status of an individual.</w:t>
      </w:r>
      <w:r w:rsidRPr="005E495B">
        <w:rPr>
          <w:lang w:val="en-GB"/>
        </w:rPr>
        <w:t xml:space="preserve"> The most widely cited </w:t>
      </w:r>
      <w:r>
        <w:rPr>
          <w:lang w:val="en-GB"/>
        </w:rPr>
        <w:t>items</w:t>
      </w:r>
      <w:r w:rsidRPr="005E495B">
        <w:rPr>
          <w:lang w:val="en-GB"/>
        </w:rPr>
        <w:t xml:space="preserve"> o</w:t>
      </w:r>
      <w:r>
        <w:rPr>
          <w:lang w:val="en-GB"/>
        </w:rPr>
        <w:t>n physical markers of frailty</w:t>
      </w:r>
      <w:r w:rsidRPr="005E495B">
        <w:rPr>
          <w:lang w:val="en-GB"/>
        </w:rPr>
        <w:t xml:space="preserve"> are based on the accumulation of deficits </w:t>
      </w:r>
      <w:r>
        <w:rPr>
          <w:lang w:val="en-GB"/>
        </w:rPr>
        <w:t>in</w:t>
      </w:r>
      <w:r w:rsidRPr="005E495B">
        <w:rPr>
          <w:lang w:val="en-GB"/>
        </w:rPr>
        <w:t xml:space="preserve"> physical, cognitive, mental health</w:t>
      </w:r>
      <w:r>
        <w:rPr>
          <w:lang w:val="en-GB"/>
        </w:rPr>
        <w:t>,</w:t>
      </w:r>
      <w:r w:rsidRPr="005E495B">
        <w:rPr>
          <w:lang w:val="en-GB"/>
        </w:rPr>
        <w:t xml:space="preserve"> and functional domains</w:t>
      </w:r>
      <w:r>
        <w:rPr>
          <w:lang w:val="en-GB"/>
        </w:rPr>
        <w:t xml:space="preserve">. In a recent systematic review, </w:t>
      </w:r>
      <w:r w:rsidRPr="005A5618">
        <w:rPr>
          <w:lang w:val="en-GB"/>
        </w:rPr>
        <w:t>79 original or adapted frailty</w:t>
      </w:r>
      <w:r>
        <w:rPr>
          <w:lang w:val="en-GB"/>
        </w:rPr>
        <w:t xml:space="preserve"> instruments were identified, but only </w:t>
      </w:r>
      <w:r w:rsidRPr="005A5618">
        <w:rPr>
          <w:lang w:val="en-GB"/>
        </w:rPr>
        <w:t>5 were</w:t>
      </w:r>
      <w:r>
        <w:rPr>
          <w:lang w:val="en-GB"/>
        </w:rPr>
        <w:t xml:space="preserve"> </w:t>
      </w:r>
      <w:r w:rsidRPr="005A5618">
        <w:rPr>
          <w:lang w:val="en-GB"/>
        </w:rPr>
        <w:t>linked to all 5</w:t>
      </w:r>
      <w:r>
        <w:rPr>
          <w:lang w:val="en-GB"/>
        </w:rPr>
        <w:t xml:space="preserve"> </w:t>
      </w:r>
      <w:r w:rsidRPr="005A5618">
        <w:rPr>
          <w:lang w:val="en-GB"/>
        </w:rPr>
        <w:t>components</w:t>
      </w:r>
      <w:r>
        <w:rPr>
          <w:lang w:val="en-GB"/>
        </w:rPr>
        <w:t xml:space="preserve"> of the</w:t>
      </w:r>
      <w:r w:rsidRPr="005A5618">
        <w:rPr>
          <w:lang w:val="en-GB"/>
        </w:rPr>
        <w:t xml:space="preserve"> </w:t>
      </w:r>
      <w:r w:rsidRPr="002616B1">
        <w:rPr>
          <w:lang w:val="en-GB"/>
        </w:rPr>
        <w:t>International Classification of Functioning, Disability, and Health</w:t>
      </w:r>
      <w:r w:rsidRPr="005A5618">
        <w:rPr>
          <w:lang w:val="en-GB"/>
        </w:rPr>
        <w:t xml:space="preserve"> </w:t>
      </w:r>
      <w:r>
        <w:rPr>
          <w:noProof/>
          <w:lang w:val="en-GB"/>
        </w:rPr>
        <w:t>[9]</w:t>
      </w:r>
      <w:r w:rsidRPr="005A5618">
        <w:rPr>
          <w:lang w:val="en-GB"/>
        </w:rPr>
        <w:t>.</w:t>
      </w:r>
    </w:p>
    <w:p w14:paraId="2E46D647" w14:textId="77777777" w:rsidR="007B7652" w:rsidRDefault="007B7652" w:rsidP="000F3130">
      <w:pPr>
        <w:spacing w:line="276" w:lineRule="auto"/>
        <w:jc w:val="both"/>
        <w:rPr>
          <w:lang w:val="en-GB"/>
        </w:rPr>
      </w:pPr>
      <w:r>
        <w:rPr>
          <w:lang w:val="en-GB"/>
        </w:rPr>
        <w:t xml:space="preserve">Major differences exist in the clinical practice when taking care of older people </w:t>
      </w:r>
      <w:r>
        <w:rPr>
          <w:noProof/>
          <w:lang w:val="en-GB"/>
        </w:rPr>
        <w:t>[10]</w:t>
      </w:r>
      <w:r>
        <w:rPr>
          <w:lang w:val="en-GB"/>
        </w:rPr>
        <w:t>. Even the use of the same tools could be different, as recently highlighted in a study showing that g</w:t>
      </w:r>
      <w:r w:rsidRPr="002616B1">
        <w:rPr>
          <w:lang w:val="en-GB"/>
        </w:rPr>
        <w:t xml:space="preserve">eriatricians more often judge patients as frail compared </w:t>
      </w:r>
      <w:r>
        <w:rPr>
          <w:lang w:val="en-GB"/>
        </w:rPr>
        <w:t xml:space="preserve">to </w:t>
      </w:r>
      <w:r w:rsidRPr="002616B1">
        <w:rPr>
          <w:lang w:val="en-GB"/>
        </w:rPr>
        <w:t>family physicians</w:t>
      </w:r>
      <w:r>
        <w:rPr>
          <w:lang w:val="en-GB"/>
        </w:rPr>
        <w:t xml:space="preserve"> </w:t>
      </w:r>
      <w:r>
        <w:rPr>
          <w:noProof/>
          <w:lang w:val="en-GB"/>
        </w:rPr>
        <w:t>[11]</w:t>
      </w:r>
      <w:r w:rsidRPr="002616B1">
        <w:rPr>
          <w:lang w:val="en-GB"/>
        </w:rPr>
        <w:t>.</w:t>
      </w:r>
      <w:r>
        <w:rPr>
          <w:lang w:val="en-GB"/>
        </w:rPr>
        <w:t xml:space="preserve"> </w:t>
      </w:r>
    </w:p>
    <w:p w14:paraId="6E97205B" w14:textId="77777777" w:rsidR="007B7652" w:rsidRDefault="007B7652" w:rsidP="000F3130">
      <w:pPr>
        <w:spacing w:line="276" w:lineRule="auto"/>
        <w:jc w:val="both"/>
        <w:rPr>
          <w:lang w:val="en-GB"/>
        </w:rPr>
      </w:pPr>
      <w:r>
        <w:rPr>
          <w:lang w:val="en-GB"/>
        </w:rPr>
        <w:t xml:space="preserve">The variability in the operational definitions might be acceptable from a public health perspective, because the choice of a screening instrument should largely rely on the intervention to put eventually in place, the available resources, and clinical priorities; factors that are extremely variables across settings and regions. At the same time, the identification of a gold standard measure might still be important to obtain because it represents the only way for providing to the construct of a </w:t>
      </w:r>
      <w:proofErr w:type="spellStart"/>
      <w:r>
        <w:rPr>
          <w:lang w:val="en-GB"/>
        </w:rPr>
        <w:t>nosological</w:t>
      </w:r>
      <w:proofErr w:type="spellEnd"/>
      <w:r>
        <w:rPr>
          <w:lang w:val="en-GB"/>
        </w:rPr>
        <w:t xml:space="preserve"> entity to the often ambiguous frailty condition </w:t>
      </w:r>
      <w:r>
        <w:rPr>
          <w:noProof/>
          <w:lang w:val="en-GB"/>
        </w:rPr>
        <w:t>[12]</w:t>
      </w:r>
      <w:r>
        <w:rPr>
          <w:lang w:val="en-GB"/>
        </w:rPr>
        <w:t>.</w:t>
      </w:r>
    </w:p>
    <w:p w14:paraId="36C13699" w14:textId="77777777" w:rsidR="007B7652" w:rsidRDefault="007B7652" w:rsidP="00CE318F">
      <w:pPr>
        <w:spacing w:line="276" w:lineRule="auto"/>
        <w:jc w:val="both"/>
        <w:rPr>
          <w:lang w:val="en-GB"/>
        </w:rPr>
      </w:pPr>
      <w:r>
        <w:rPr>
          <w:lang w:val="en-GB"/>
        </w:rPr>
        <w:t>To our knowledge, the frequency in the use of tools for the assessment of frailty and the components of this geriatric syndrome has never been estimated. Consequently, we designed a</w:t>
      </w:r>
      <w:r w:rsidRPr="006364AB">
        <w:rPr>
          <w:lang w:val="en-GB"/>
        </w:rPr>
        <w:t xml:space="preserve">n online survey with the objective to collect data </w:t>
      </w:r>
      <w:r>
        <w:rPr>
          <w:lang w:val="en-GB"/>
        </w:rPr>
        <w:t>looking at what is currently used in clinical practice</w:t>
      </w:r>
      <w:r w:rsidRPr="006364AB">
        <w:rPr>
          <w:lang w:val="en-GB"/>
        </w:rPr>
        <w:t>.</w:t>
      </w:r>
    </w:p>
    <w:p w14:paraId="2D586905" w14:textId="77777777" w:rsidR="007B7652" w:rsidRDefault="007B7652" w:rsidP="00CE318F">
      <w:pPr>
        <w:spacing w:line="276" w:lineRule="auto"/>
        <w:jc w:val="both"/>
        <w:rPr>
          <w:lang w:val="en-GB"/>
        </w:rPr>
      </w:pPr>
      <w:r w:rsidRPr="006364AB">
        <w:rPr>
          <w:lang w:val="en-GB"/>
        </w:rPr>
        <w:t xml:space="preserve">  </w:t>
      </w:r>
      <w:r>
        <w:rPr>
          <w:lang w:val="en-GB"/>
        </w:rPr>
        <w:br w:type="page"/>
      </w:r>
    </w:p>
    <w:p w14:paraId="33C1ABB3" w14:textId="77777777" w:rsidR="007B7652" w:rsidRDefault="007B7652" w:rsidP="00CE318F">
      <w:pPr>
        <w:spacing w:line="276" w:lineRule="auto"/>
        <w:jc w:val="both"/>
        <w:rPr>
          <w:lang w:val="en-GB"/>
        </w:rPr>
      </w:pPr>
    </w:p>
    <w:p w14:paraId="27E4C56D" w14:textId="77777777" w:rsidR="007B7652" w:rsidRPr="009C62C9" w:rsidRDefault="007B7652" w:rsidP="00CE318F">
      <w:pPr>
        <w:spacing w:line="276" w:lineRule="auto"/>
        <w:jc w:val="both"/>
        <w:rPr>
          <w:b/>
          <w:lang w:val="en-GB"/>
        </w:rPr>
      </w:pPr>
      <w:r w:rsidRPr="009C62C9">
        <w:rPr>
          <w:b/>
          <w:lang w:val="en-GB"/>
        </w:rPr>
        <w:t>Material and Methods</w:t>
      </w:r>
    </w:p>
    <w:p w14:paraId="0E76A072" w14:textId="77777777" w:rsidR="007B7652" w:rsidRDefault="007B7652" w:rsidP="00CE318F">
      <w:pPr>
        <w:spacing w:line="276" w:lineRule="auto"/>
        <w:jc w:val="both"/>
        <w:rPr>
          <w:lang w:val="en-GB"/>
        </w:rPr>
      </w:pPr>
    </w:p>
    <w:p w14:paraId="77F5F194" w14:textId="77777777" w:rsidR="007B7652" w:rsidRDefault="007B7652" w:rsidP="0088448E">
      <w:pPr>
        <w:spacing w:line="276" w:lineRule="auto"/>
        <w:jc w:val="both"/>
        <w:rPr>
          <w:lang w:val="en-GB"/>
        </w:rPr>
      </w:pPr>
      <w:r>
        <w:rPr>
          <w:lang w:val="en-GB"/>
        </w:rPr>
        <w:t>An online survey using a self-administered questionnaire was designed to collect information on the tools used by clinicians for assessing frailty in their clinical practice. The tools commonly used to assess frailty and included in the questionnaire are presented in the table 1.</w:t>
      </w:r>
    </w:p>
    <w:tbl>
      <w:tblPr>
        <w:tblStyle w:val="TableGrid"/>
        <w:tblW w:w="0" w:type="auto"/>
        <w:tblLook w:val="04A0" w:firstRow="1" w:lastRow="0" w:firstColumn="1" w:lastColumn="0" w:noHBand="0" w:noVBand="1"/>
      </w:tblPr>
      <w:tblGrid>
        <w:gridCol w:w="2660"/>
        <w:gridCol w:w="6552"/>
      </w:tblGrid>
      <w:tr w:rsidR="007B7652" w:rsidRPr="00691C4F" w14:paraId="40DCB75B" w14:textId="77777777" w:rsidTr="0088448E">
        <w:tc>
          <w:tcPr>
            <w:tcW w:w="9212" w:type="dxa"/>
            <w:gridSpan w:val="2"/>
          </w:tcPr>
          <w:p w14:paraId="3141B580" w14:textId="77777777" w:rsidR="007B7652" w:rsidRPr="00B43FF4" w:rsidRDefault="007B7652" w:rsidP="0088448E">
            <w:pPr>
              <w:spacing w:line="276" w:lineRule="auto"/>
              <w:jc w:val="both"/>
              <w:rPr>
                <w:b/>
                <w:lang w:val="en-GB"/>
              </w:rPr>
            </w:pPr>
            <w:r w:rsidRPr="00B43FF4">
              <w:rPr>
                <w:b/>
                <w:lang w:val="en-GB"/>
              </w:rPr>
              <w:t>Table1: description of the tools commonly used to assess frailty</w:t>
            </w:r>
          </w:p>
        </w:tc>
      </w:tr>
      <w:tr w:rsidR="007B7652" w14:paraId="06F2F1B7" w14:textId="77777777" w:rsidTr="00FE29A9">
        <w:tc>
          <w:tcPr>
            <w:tcW w:w="2660" w:type="dxa"/>
          </w:tcPr>
          <w:p w14:paraId="6E72FF50" w14:textId="77777777" w:rsidR="007B7652" w:rsidRPr="00BD12E4" w:rsidRDefault="007B7652" w:rsidP="0088448E">
            <w:pPr>
              <w:spacing w:line="276" w:lineRule="auto"/>
              <w:jc w:val="both"/>
              <w:rPr>
                <w:b/>
                <w:i/>
                <w:lang w:val="en-GB"/>
              </w:rPr>
            </w:pPr>
            <w:r w:rsidRPr="00BD12E4">
              <w:rPr>
                <w:b/>
                <w:i/>
                <w:lang w:val="en-GB"/>
              </w:rPr>
              <w:t>Tool used to assess frailty</w:t>
            </w:r>
          </w:p>
        </w:tc>
        <w:tc>
          <w:tcPr>
            <w:tcW w:w="6552" w:type="dxa"/>
          </w:tcPr>
          <w:p w14:paraId="4CB9976C" w14:textId="77777777" w:rsidR="007B7652" w:rsidRPr="00BD12E4" w:rsidRDefault="007B7652" w:rsidP="0088448E">
            <w:pPr>
              <w:spacing w:line="276" w:lineRule="auto"/>
              <w:jc w:val="both"/>
              <w:rPr>
                <w:b/>
                <w:i/>
                <w:lang w:val="en-GB"/>
              </w:rPr>
            </w:pPr>
            <w:r w:rsidRPr="00BD12E4">
              <w:rPr>
                <w:b/>
                <w:i/>
                <w:lang w:val="en-GB"/>
              </w:rPr>
              <w:t>Description of the tools</w:t>
            </w:r>
          </w:p>
        </w:tc>
      </w:tr>
      <w:tr w:rsidR="007B7652" w:rsidRPr="00691C4F" w14:paraId="73048CDF" w14:textId="77777777" w:rsidTr="00FE29A9">
        <w:tc>
          <w:tcPr>
            <w:tcW w:w="2660" w:type="dxa"/>
          </w:tcPr>
          <w:p w14:paraId="312FA70A" w14:textId="77777777" w:rsidR="007B7652" w:rsidRDefault="007B7652" w:rsidP="00760C7B">
            <w:pPr>
              <w:spacing w:line="276" w:lineRule="auto"/>
              <w:jc w:val="both"/>
              <w:rPr>
                <w:lang w:val="en-GB"/>
              </w:rPr>
            </w:pPr>
            <w:r w:rsidRPr="0061297D">
              <w:rPr>
                <w:lang w:val="en-GB"/>
              </w:rPr>
              <w:t>Gait speed</w:t>
            </w:r>
            <w:r>
              <w:rPr>
                <w:lang w:val="en-GB"/>
              </w:rPr>
              <w:t xml:space="preserve"> </w:t>
            </w:r>
            <w:r>
              <w:rPr>
                <w:noProof/>
                <w:lang w:val="en-GB"/>
              </w:rPr>
              <w:t>[13]</w:t>
            </w:r>
          </w:p>
        </w:tc>
        <w:tc>
          <w:tcPr>
            <w:tcW w:w="6552" w:type="dxa"/>
          </w:tcPr>
          <w:p w14:paraId="0C27EEE5" w14:textId="77777777" w:rsidR="007B7652" w:rsidRDefault="007B7652" w:rsidP="0088448E">
            <w:pPr>
              <w:spacing w:line="276" w:lineRule="auto"/>
              <w:jc w:val="both"/>
              <w:rPr>
                <w:lang w:val="en-GB"/>
              </w:rPr>
            </w:pPr>
            <w:r>
              <w:rPr>
                <w:lang w:val="en-US"/>
              </w:rPr>
              <w:t xml:space="preserve">To assess physical performances, gait speed, which is a component of the SPPB test, is also proposed by the </w:t>
            </w:r>
            <w:r w:rsidRPr="00871BF9">
              <w:rPr>
                <w:lang w:val="en-US"/>
              </w:rPr>
              <w:t>EWGSOP</w:t>
            </w:r>
            <w:r>
              <w:rPr>
                <w:lang w:val="en-US"/>
              </w:rPr>
              <w:t xml:space="preserve">. A score &lt;0.8 m/s </w:t>
            </w:r>
            <w:r w:rsidRPr="00871BF9">
              <w:rPr>
                <w:lang w:val="en-US"/>
              </w:rPr>
              <w:t>for walking speed is considered as poor physical performances.</w:t>
            </w:r>
          </w:p>
        </w:tc>
      </w:tr>
      <w:tr w:rsidR="007B7652" w:rsidRPr="00691C4F" w14:paraId="557D3A15" w14:textId="77777777" w:rsidTr="00FE29A9">
        <w:tc>
          <w:tcPr>
            <w:tcW w:w="2660" w:type="dxa"/>
          </w:tcPr>
          <w:p w14:paraId="109D445F" w14:textId="77777777" w:rsidR="007B7652" w:rsidRDefault="007B7652" w:rsidP="00760C7B">
            <w:pPr>
              <w:spacing w:line="276" w:lineRule="auto"/>
              <w:jc w:val="both"/>
              <w:rPr>
                <w:lang w:val="en-GB"/>
              </w:rPr>
            </w:pPr>
            <w:r w:rsidRPr="0061297D">
              <w:rPr>
                <w:lang w:val="en-GB"/>
              </w:rPr>
              <w:t>Clinical Frailty Scale</w:t>
            </w:r>
            <w:r>
              <w:rPr>
                <w:lang w:val="en-GB"/>
              </w:rPr>
              <w:t xml:space="preserve"> </w:t>
            </w:r>
            <w:r>
              <w:rPr>
                <w:noProof/>
                <w:lang w:val="en-GB"/>
              </w:rPr>
              <w:t>[14]</w:t>
            </w:r>
          </w:p>
        </w:tc>
        <w:tc>
          <w:tcPr>
            <w:tcW w:w="6552" w:type="dxa"/>
          </w:tcPr>
          <w:p w14:paraId="7C549FA3" w14:textId="77777777" w:rsidR="007B7652" w:rsidRPr="00B43FF4" w:rsidRDefault="007B7652" w:rsidP="005206D5">
            <w:pPr>
              <w:spacing w:after="120" w:line="240" w:lineRule="auto"/>
              <w:jc w:val="both"/>
              <w:rPr>
                <w:lang w:val="en-US"/>
              </w:rPr>
            </w:pPr>
            <w:r>
              <w:rPr>
                <w:lang w:val="en-US"/>
              </w:rPr>
              <w:t>T</w:t>
            </w:r>
            <w:r w:rsidRPr="00B43FF4">
              <w:rPr>
                <w:lang w:val="en-US"/>
              </w:rPr>
              <w:t>his is based on a clinical evaluation in the domains of mobility, energy, physical activity and function, using descriptors and figures to stratify elderly adults according to their level of vulnerability. The score ranges from 1 (robust health) to 7 (complete functional dependence on others).</w:t>
            </w:r>
          </w:p>
        </w:tc>
      </w:tr>
      <w:tr w:rsidR="007B7652" w:rsidRPr="00691C4F" w14:paraId="65182FD8" w14:textId="77777777" w:rsidTr="00FE29A9">
        <w:tc>
          <w:tcPr>
            <w:tcW w:w="2660" w:type="dxa"/>
          </w:tcPr>
          <w:p w14:paraId="402A19DC" w14:textId="77777777" w:rsidR="007B7652" w:rsidRDefault="007B7652" w:rsidP="00760C7B">
            <w:pPr>
              <w:spacing w:line="276" w:lineRule="auto"/>
              <w:jc w:val="both"/>
              <w:rPr>
                <w:lang w:val="en-GB"/>
              </w:rPr>
            </w:pPr>
            <w:r w:rsidRPr="0061297D">
              <w:rPr>
                <w:lang w:val="en-GB"/>
              </w:rPr>
              <w:t xml:space="preserve">SPPB </w:t>
            </w:r>
            <w:r>
              <w:rPr>
                <w:noProof/>
                <w:lang w:val="en-GB"/>
              </w:rPr>
              <w:t>[13]</w:t>
            </w:r>
          </w:p>
        </w:tc>
        <w:tc>
          <w:tcPr>
            <w:tcW w:w="6552" w:type="dxa"/>
          </w:tcPr>
          <w:p w14:paraId="2A2EEBC8" w14:textId="77777777" w:rsidR="007B7652" w:rsidRPr="00B43FF4" w:rsidRDefault="007B7652" w:rsidP="0088448E">
            <w:pPr>
              <w:spacing w:line="276" w:lineRule="auto"/>
              <w:jc w:val="both"/>
              <w:rPr>
                <w:lang w:val="en-US"/>
              </w:rPr>
            </w:pPr>
            <w:r w:rsidRPr="004915E6">
              <w:rPr>
                <w:rFonts w:eastAsiaTheme="minorEastAsia"/>
                <w:lang w:val="en-US"/>
              </w:rPr>
              <w:t>The Short Physical performance Battery (SPPB) test is composed of three separate tests: balance, 4-metre gait speed and chair stand test.</w:t>
            </w:r>
            <w:r>
              <w:rPr>
                <w:rFonts w:eastAsiaTheme="minorEastAsia"/>
                <w:lang w:val="en-US"/>
              </w:rPr>
              <w:t xml:space="preserve"> A score between 0 and 4 is assigned for each test, and the three tests are weighted equally. Therefore, the maximum score is 12 points. The </w:t>
            </w:r>
            <w:r w:rsidRPr="00E45FD4">
              <w:rPr>
                <w:rFonts w:eastAsiaTheme="minorEastAsia"/>
                <w:lang w:val="en-US"/>
              </w:rPr>
              <w:t>cut-off value used to assess a poor physical performance</w:t>
            </w:r>
            <w:r>
              <w:rPr>
                <w:rFonts w:eastAsiaTheme="minorEastAsia"/>
                <w:lang w:val="en-US"/>
              </w:rPr>
              <w:t xml:space="preserve"> </w:t>
            </w:r>
            <w:r w:rsidRPr="00E45FD4">
              <w:rPr>
                <w:rFonts w:eastAsiaTheme="minorEastAsia"/>
                <w:lang w:val="en-US"/>
              </w:rPr>
              <w:t>is ≤8 points</w:t>
            </w:r>
            <w:r>
              <w:rPr>
                <w:rFonts w:eastAsiaTheme="minorEastAsia"/>
                <w:lang w:val="en-US"/>
              </w:rPr>
              <w:t>, according to the European Working Group on Sarcopenia in Older People (EWGSOP)</w:t>
            </w:r>
          </w:p>
        </w:tc>
      </w:tr>
      <w:tr w:rsidR="007B7652" w:rsidRPr="00691C4F" w14:paraId="2A8F2E23" w14:textId="77777777" w:rsidTr="00FE29A9">
        <w:tc>
          <w:tcPr>
            <w:tcW w:w="2660" w:type="dxa"/>
          </w:tcPr>
          <w:p w14:paraId="6BF069A7" w14:textId="77777777" w:rsidR="007B7652" w:rsidRDefault="007B7652" w:rsidP="00D676EF">
            <w:pPr>
              <w:spacing w:line="276" w:lineRule="auto"/>
              <w:jc w:val="both"/>
              <w:rPr>
                <w:lang w:val="en-GB"/>
              </w:rPr>
            </w:pPr>
            <w:r>
              <w:rPr>
                <w:lang w:val="en-GB"/>
              </w:rPr>
              <w:t xml:space="preserve">Frailty Phenotype </w:t>
            </w:r>
            <w:r>
              <w:rPr>
                <w:noProof/>
                <w:lang w:val="en-GB"/>
              </w:rPr>
              <w:t>[15]</w:t>
            </w:r>
          </w:p>
          <w:p w14:paraId="01121300" w14:textId="77777777" w:rsidR="007B7652" w:rsidRDefault="007B7652" w:rsidP="0088448E">
            <w:pPr>
              <w:spacing w:line="276" w:lineRule="auto"/>
              <w:jc w:val="both"/>
              <w:rPr>
                <w:lang w:val="en-GB"/>
              </w:rPr>
            </w:pPr>
            <w:r>
              <w:rPr>
                <w:lang w:val="en-GB"/>
              </w:rPr>
              <w:t>(i.e. Fried criteria)</w:t>
            </w:r>
          </w:p>
        </w:tc>
        <w:tc>
          <w:tcPr>
            <w:tcW w:w="6552" w:type="dxa"/>
          </w:tcPr>
          <w:p w14:paraId="2D6F86B2" w14:textId="77777777" w:rsidR="007B7652" w:rsidRPr="00B43FF4" w:rsidRDefault="007B7652" w:rsidP="0088448E">
            <w:pPr>
              <w:spacing w:line="276" w:lineRule="auto"/>
              <w:jc w:val="both"/>
              <w:rPr>
                <w:lang w:val="en-US"/>
              </w:rPr>
            </w:pPr>
            <w:r>
              <w:rPr>
                <w:lang w:val="en-US"/>
              </w:rPr>
              <w:t>This is</w:t>
            </w:r>
            <w:r w:rsidRPr="002D5515">
              <w:rPr>
                <w:lang w:val="en-US"/>
              </w:rPr>
              <w:t xml:space="preserve"> a deficit</w:t>
            </w:r>
            <w:r>
              <w:rPr>
                <w:lang w:val="en-US"/>
              </w:rPr>
              <w:t xml:space="preserve"> across</w:t>
            </w:r>
            <w:r w:rsidRPr="002D5515">
              <w:rPr>
                <w:lang w:val="en-US"/>
              </w:rPr>
              <w:t xml:space="preserve"> five domains. Thus, phenotype of frailty was identified by the presence of three or m</w:t>
            </w:r>
            <w:r>
              <w:rPr>
                <w:lang w:val="en-US"/>
              </w:rPr>
              <w:t>ore of the following components</w:t>
            </w:r>
            <w:r w:rsidRPr="002D5515">
              <w:rPr>
                <w:lang w:val="en-US"/>
              </w:rPr>
              <w:t>: shrinking, weakness, poor endurance and energy, slowness</w:t>
            </w:r>
            <w:r>
              <w:rPr>
                <w:lang w:val="en-US"/>
              </w:rPr>
              <w:t xml:space="preserve"> and</w:t>
            </w:r>
            <w:r w:rsidRPr="002D5515">
              <w:rPr>
                <w:lang w:val="en-US"/>
              </w:rPr>
              <w:t xml:space="preserve"> </w:t>
            </w:r>
            <w:r>
              <w:rPr>
                <w:lang w:val="en-US"/>
              </w:rPr>
              <w:t xml:space="preserve">a </w:t>
            </w:r>
            <w:r w:rsidRPr="002D5515">
              <w:rPr>
                <w:lang w:val="en-US"/>
              </w:rPr>
              <w:t xml:space="preserve">low </w:t>
            </w:r>
            <w:r>
              <w:rPr>
                <w:lang w:val="en-US"/>
              </w:rPr>
              <w:t xml:space="preserve">level of </w:t>
            </w:r>
            <w:r w:rsidRPr="002D5515">
              <w:rPr>
                <w:lang w:val="en-US"/>
              </w:rPr>
              <w:t xml:space="preserve">physical activity. </w:t>
            </w:r>
            <w:r>
              <w:rPr>
                <w:lang w:val="en-US"/>
              </w:rPr>
              <w:t>The p</w:t>
            </w:r>
            <w:r w:rsidRPr="002D5515">
              <w:rPr>
                <w:lang w:val="en-US"/>
              </w:rPr>
              <w:t>resence of one or two deficits indicates a pre</w:t>
            </w:r>
            <w:r>
              <w:rPr>
                <w:lang w:val="en-US"/>
              </w:rPr>
              <w:t>-</w:t>
            </w:r>
            <w:r w:rsidRPr="002D5515">
              <w:rPr>
                <w:lang w:val="en-US"/>
              </w:rPr>
              <w:t xml:space="preserve">frail condition, and a total of three or more deficits </w:t>
            </w:r>
            <w:proofErr w:type="gramStart"/>
            <w:r w:rsidRPr="002D5515">
              <w:rPr>
                <w:lang w:val="en-US"/>
              </w:rPr>
              <w:t>indicates</w:t>
            </w:r>
            <w:proofErr w:type="gramEnd"/>
            <w:r w:rsidRPr="002D5515">
              <w:rPr>
                <w:lang w:val="en-US"/>
              </w:rPr>
              <w:t xml:space="preserve"> frailty while the absence of deficits indicates a robust state.</w:t>
            </w:r>
          </w:p>
        </w:tc>
      </w:tr>
      <w:tr w:rsidR="007B7652" w:rsidRPr="00691C4F" w14:paraId="6532E710" w14:textId="77777777" w:rsidTr="00FE29A9">
        <w:tc>
          <w:tcPr>
            <w:tcW w:w="2660" w:type="dxa"/>
          </w:tcPr>
          <w:p w14:paraId="51E9C107" w14:textId="77777777" w:rsidR="007B7652" w:rsidRDefault="007B7652" w:rsidP="00D676EF">
            <w:pPr>
              <w:spacing w:line="276" w:lineRule="auto"/>
              <w:jc w:val="both"/>
              <w:rPr>
                <w:lang w:val="en-GB"/>
              </w:rPr>
            </w:pPr>
            <w:r w:rsidRPr="0061297D">
              <w:rPr>
                <w:lang w:val="en-GB"/>
              </w:rPr>
              <w:t xml:space="preserve">Frailty Index </w:t>
            </w:r>
            <w:r>
              <w:rPr>
                <w:noProof/>
                <w:lang w:val="en-GB"/>
              </w:rPr>
              <w:t>[16]</w:t>
            </w:r>
          </w:p>
        </w:tc>
        <w:tc>
          <w:tcPr>
            <w:tcW w:w="6552" w:type="dxa"/>
          </w:tcPr>
          <w:p w14:paraId="0F9F169B" w14:textId="77777777" w:rsidR="007B7652" w:rsidRPr="00B43FF4" w:rsidRDefault="007B7652" w:rsidP="0088448E">
            <w:pPr>
              <w:spacing w:line="276" w:lineRule="auto"/>
              <w:jc w:val="both"/>
              <w:rPr>
                <w:lang w:val="en-US"/>
              </w:rPr>
            </w:pPr>
            <w:r>
              <w:rPr>
                <w:lang w:val="en-US"/>
              </w:rPr>
              <w:t xml:space="preserve">This </w:t>
            </w:r>
            <w:r w:rsidRPr="002D5515">
              <w:rPr>
                <w:lang w:val="en-US"/>
              </w:rPr>
              <w:t xml:space="preserve">is expressed as a ratio of deficits present to the total number of deficits considered.  Frailty index includes 40 variables and the calculation was performed on the maximum number of deficits </w:t>
            </w:r>
            <w:r>
              <w:rPr>
                <w:lang w:val="en-US"/>
              </w:rPr>
              <w:t>collect</w:t>
            </w:r>
            <w:r w:rsidRPr="002D5515">
              <w:rPr>
                <w:lang w:val="en-US"/>
              </w:rPr>
              <w:t xml:space="preserve">ed. Thus, </w:t>
            </w:r>
            <w:r>
              <w:rPr>
                <w:lang w:val="en-US"/>
              </w:rPr>
              <w:t>participants</w:t>
            </w:r>
            <w:r w:rsidRPr="002D5515">
              <w:rPr>
                <w:lang w:val="en-US"/>
              </w:rPr>
              <w:t xml:space="preserve"> were considered as frail when the ratio of deficits present to the total number of deficits considered </w:t>
            </w:r>
            <w:r>
              <w:rPr>
                <w:lang w:val="en-US"/>
              </w:rPr>
              <w:t>was 0.25 (i.e. lowest quartile) or more</w:t>
            </w:r>
          </w:p>
        </w:tc>
      </w:tr>
      <w:tr w:rsidR="007B7652" w:rsidRPr="00691C4F" w14:paraId="4FD56C4A" w14:textId="77777777" w:rsidTr="00FE29A9">
        <w:tc>
          <w:tcPr>
            <w:tcW w:w="2660" w:type="dxa"/>
          </w:tcPr>
          <w:p w14:paraId="6CD737D6" w14:textId="77777777" w:rsidR="007B7652" w:rsidRDefault="007B7652" w:rsidP="00D676EF">
            <w:pPr>
              <w:spacing w:line="276" w:lineRule="auto"/>
              <w:jc w:val="both"/>
              <w:rPr>
                <w:lang w:val="en-GB"/>
              </w:rPr>
            </w:pPr>
            <w:r w:rsidRPr="0061297D">
              <w:rPr>
                <w:lang w:val="en-GB"/>
              </w:rPr>
              <w:t>Edmonton Frail Scale</w:t>
            </w:r>
            <w:r>
              <w:rPr>
                <w:lang w:val="en-GB"/>
              </w:rPr>
              <w:t xml:space="preserve"> </w:t>
            </w:r>
            <w:r>
              <w:rPr>
                <w:noProof/>
                <w:lang w:val="en-GB"/>
              </w:rPr>
              <w:t>[17]</w:t>
            </w:r>
          </w:p>
        </w:tc>
        <w:tc>
          <w:tcPr>
            <w:tcW w:w="6552" w:type="dxa"/>
          </w:tcPr>
          <w:p w14:paraId="17860395" w14:textId="77777777" w:rsidR="007B7652" w:rsidRDefault="007B7652" w:rsidP="005206D5">
            <w:pPr>
              <w:spacing w:after="120" w:line="240" w:lineRule="auto"/>
              <w:contextualSpacing/>
              <w:jc w:val="both"/>
              <w:rPr>
                <w:lang w:val="en-US"/>
              </w:rPr>
            </w:pPr>
            <w:r>
              <w:rPr>
                <w:lang w:val="en-US"/>
              </w:rPr>
              <w:t>T</w:t>
            </w:r>
            <w:r w:rsidRPr="00B43FF4">
              <w:rPr>
                <w:lang w:val="en-US"/>
              </w:rPr>
              <w:t xml:space="preserve">his samples 8 domains (Cognitive impairment, health attitudes, social support, medication use, nutrition, mood, continence, functional abilities). A score range between 0-3 is a robust state, 4-5 is a slightly frail state, 6-8 is a moderately frail state and 9-17 is a severely frail </w:t>
            </w:r>
            <w:r w:rsidRPr="00B43FF4">
              <w:rPr>
                <w:lang w:val="en-US"/>
              </w:rPr>
              <w:lastRenderedPageBreak/>
              <w:t>state.</w:t>
            </w:r>
          </w:p>
          <w:p w14:paraId="0B4421E8" w14:textId="77777777" w:rsidR="007B7652" w:rsidRPr="00B43FF4" w:rsidRDefault="007B7652" w:rsidP="005206D5">
            <w:pPr>
              <w:spacing w:after="120" w:line="240" w:lineRule="auto"/>
              <w:contextualSpacing/>
              <w:jc w:val="both"/>
              <w:rPr>
                <w:lang w:val="en-US"/>
              </w:rPr>
            </w:pPr>
          </w:p>
        </w:tc>
      </w:tr>
      <w:tr w:rsidR="007B7652" w:rsidRPr="00691C4F" w14:paraId="07C6AC7B" w14:textId="77777777" w:rsidTr="00FE29A9">
        <w:tc>
          <w:tcPr>
            <w:tcW w:w="2660" w:type="dxa"/>
          </w:tcPr>
          <w:p w14:paraId="49A836C3" w14:textId="77777777" w:rsidR="007B7652" w:rsidRDefault="007B7652" w:rsidP="00D676EF">
            <w:pPr>
              <w:spacing w:line="276" w:lineRule="auto"/>
              <w:jc w:val="both"/>
              <w:rPr>
                <w:lang w:val="en-GB"/>
              </w:rPr>
            </w:pPr>
            <w:r w:rsidRPr="0061297D">
              <w:rPr>
                <w:lang w:val="en-GB"/>
              </w:rPr>
              <w:lastRenderedPageBreak/>
              <w:t>Frail Scale status</w:t>
            </w:r>
            <w:r>
              <w:rPr>
                <w:lang w:val="en-GB"/>
              </w:rPr>
              <w:t xml:space="preserve"> </w:t>
            </w:r>
            <w:r>
              <w:rPr>
                <w:noProof/>
                <w:lang w:val="en-GB"/>
              </w:rPr>
              <w:t>[18]</w:t>
            </w:r>
          </w:p>
        </w:tc>
        <w:tc>
          <w:tcPr>
            <w:tcW w:w="6552" w:type="dxa"/>
          </w:tcPr>
          <w:p w14:paraId="5549B58C" w14:textId="77777777" w:rsidR="007B7652" w:rsidRPr="00B43FF4" w:rsidRDefault="007B7652" w:rsidP="0088448E">
            <w:pPr>
              <w:spacing w:line="276" w:lineRule="auto"/>
              <w:jc w:val="both"/>
              <w:rPr>
                <w:lang w:val="en-US"/>
              </w:rPr>
            </w:pPr>
            <w:r>
              <w:rPr>
                <w:lang w:val="en-US"/>
              </w:rPr>
              <w:t>This has</w:t>
            </w:r>
            <w:r w:rsidRPr="002D5515">
              <w:rPr>
                <w:lang w:val="en-US"/>
              </w:rPr>
              <w:t xml:space="preserve"> 5 components: Fatigue, Resistance, Ambulation, Illness, and Loss of weight. </w:t>
            </w:r>
            <w:r>
              <w:rPr>
                <w:lang w:val="en-US"/>
              </w:rPr>
              <w:t xml:space="preserve">Scores </w:t>
            </w:r>
            <w:r w:rsidRPr="002D5515">
              <w:rPr>
                <w:lang w:val="en-US"/>
              </w:rPr>
              <w:t>range from 0-</w:t>
            </w:r>
            <w:r>
              <w:rPr>
                <w:lang w:val="en-US"/>
              </w:rPr>
              <w:t>5</w:t>
            </w:r>
            <w:r w:rsidRPr="002D5515">
              <w:rPr>
                <w:lang w:val="en-US"/>
              </w:rPr>
              <w:t xml:space="preserve"> and represent frail (3-5), pre-frail (1-2), and robust (0) health stat</w:t>
            </w:r>
            <w:r>
              <w:rPr>
                <w:lang w:val="en-US"/>
              </w:rPr>
              <w:t>es</w:t>
            </w:r>
            <w:r w:rsidRPr="002D5515">
              <w:rPr>
                <w:lang w:val="en-US"/>
              </w:rPr>
              <w:t>.</w:t>
            </w:r>
          </w:p>
        </w:tc>
      </w:tr>
      <w:tr w:rsidR="007B7652" w:rsidRPr="00691C4F" w14:paraId="532A3DD0" w14:textId="77777777" w:rsidTr="00FE29A9">
        <w:tc>
          <w:tcPr>
            <w:tcW w:w="2660" w:type="dxa"/>
          </w:tcPr>
          <w:p w14:paraId="6BD39E62" w14:textId="77777777" w:rsidR="007B7652" w:rsidRPr="0061297D" w:rsidRDefault="007B7652" w:rsidP="00D676EF">
            <w:pPr>
              <w:spacing w:line="276" w:lineRule="auto"/>
              <w:rPr>
                <w:lang w:val="en-GB"/>
              </w:rPr>
            </w:pPr>
            <w:proofErr w:type="spellStart"/>
            <w:r w:rsidRPr="0061297D">
              <w:rPr>
                <w:lang w:val="en-GB"/>
              </w:rPr>
              <w:t>Gerontop</w:t>
            </w:r>
            <w:r>
              <w:rPr>
                <w:lang w:val="en-GB"/>
              </w:rPr>
              <w:t>o</w:t>
            </w:r>
            <w:r w:rsidRPr="0061297D">
              <w:rPr>
                <w:lang w:val="en-GB"/>
              </w:rPr>
              <w:t>le</w:t>
            </w:r>
            <w:proofErr w:type="spellEnd"/>
            <w:r w:rsidRPr="0061297D">
              <w:rPr>
                <w:lang w:val="en-GB"/>
              </w:rPr>
              <w:t xml:space="preserve"> Frailty Screening Tool</w:t>
            </w:r>
            <w:r>
              <w:rPr>
                <w:lang w:val="en-GB"/>
              </w:rPr>
              <w:t xml:space="preserve"> </w:t>
            </w:r>
            <w:r>
              <w:rPr>
                <w:noProof/>
                <w:lang w:val="en-GB"/>
              </w:rPr>
              <w:t>[19]</w:t>
            </w:r>
          </w:p>
        </w:tc>
        <w:tc>
          <w:tcPr>
            <w:tcW w:w="6552" w:type="dxa"/>
          </w:tcPr>
          <w:p w14:paraId="306FFC2E" w14:textId="77777777" w:rsidR="007B7652" w:rsidRDefault="007B7652" w:rsidP="0088448E">
            <w:pPr>
              <w:spacing w:line="276" w:lineRule="auto"/>
              <w:jc w:val="both"/>
              <w:rPr>
                <w:lang w:val="en-GB"/>
              </w:rPr>
            </w:pPr>
            <w:r>
              <w:rPr>
                <w:lang w:val="en-US"/>
              </w:rPr>
              <w:t xml:space="preserve">This is </w:t>
            </w:r>
            <w:r w:rsidRPr="00BD12E4">
              <w:rPr>
                <w:lang w:val="en-US"/>
              </w:rPr>
              <w:t>an 8-item questionnaire intended to help general practitioners identify frailty in community-dwelling persons 65 years or older without functional disability or current acute disease. The first 6 questions evaluate the patient’s status (living alone, involuntary weight loss, fatigue, mobility difficulties, memory problems and gait speed), whereas the last two assess the general practitioner’s personal view about the frailty status of the individual and the patient’s willingness to be referred to the Frailty Clinical for further evaluation.</w:t>
            </w:r>
          </w:p>
        </w:tc>
      </w:tr>
      <w:tr w:rsidR="007B7652" w:rsidRPr="00691C4F" w14:paraId="732AE215" w14:textId="77777777" w:rsidTr="00FE29A9">
        <w:tc>
          <w:tcPr>
            <w:tcW w:w="2660" w:type="dxa"/>
          </w:tcPr>
          <w:p w14:paraId="16922AE2" w14:textId="77777777" w:rsidR="007B7652" w:rsidRPr="0061297D" w:rsidRDefault="007B7652" w:rsidP="00D676EF">
            <w:pPr>
              <w:spacing w:line="276" w:lineRule="auto"/>
              <w:jc w:val="both"/>
              <w:rPr>
                <w:lang w:val="en-GB"/>
              </w:rPr>
            </w:pPr>
            <w:r>
              <w:rPr>
                <w:lang w:val="en-GB"/>
              </w:rPr>
              <w:t>SHARE</w:t>
            </w:r>
            <w:r w:rsidRPr="0061297D">
              <w:rPr>
                <w:lang w:val="en-GB"/>
              </w:rPr>
              <w:t xml:space="preserve"> Frailty Instrument</w:t>
            </w:r>
            <w:r>
              <w:rPr>
                <w:lang w:val="en-GB"/>
              </w:rPr>
              <w:t xml:space="preserve"> </w:t>
            </w:r>
            <w:r>
              <w:rPr>
                <w:noProof/>
                <w:lang w:val="en-GB"/>
              </w:rPr>
              <w:t>[20]</w:t>
            </w:r>
          </w:p>
        </w:tc>
        <w:tc>
          <w:tcPr>
            <w:tcW w:w="6552" w:type="dxa"/>
          </w:tcPr>
          <w:p w14:paraId="0083DD2C" w14:textId="77777777" w:rsidR="007B7652" w:rsidRPr="00B43FF4" w:rsidRDefault="007B7652" w:rsidP="00B43FF4">
            <w:pPr>
              <w:spacing w:after="120" w:line="240" w:lineRule="auto"/>
              <w:contextualSpacing/>
              <w:jc w:val="both"/>
              <w:rPr>
                <w:lang w:val="en-US"/>
              </w:rPr>
            </w:pPr>
            <w:r w:rsidRPr="00B43FF4">
              <w:rPr>
                <w:lang w:val="en-US"/>
              </w:rPr>
              <w:t xml:space="preserve">Using the five SHARE frailty variables (fatigue, loss of appetite, grip strength, functional difficulties &amp; physical activity), D-Factor scores (DFS) were determined using the SHARE-FI formula and based on the DFS value, the subject could then be </w:t>
            </w:r>
            <w:proofErr w:type="spellStart"/>
            <w:r w:rsidRPr="00B43FF4">
              <w:rPr>
                <w:lang w:val="en-US"/>
              </w:rPr>
              <w:t>categorised</w:t>
            </w:r>
            <w:proofErr w:type="spellEnd"/>
            <w:r w:rsidRPr="00B43FF4">
              <w:rPr>
                <w:lang w:val="en-US"/>
              </w:rPr>
              <w:t xml:space="preserve"> as non-frail, pre-frail, or frail.</w:t>
            </w:r>
          </w:p>
          <w:p w14:paraId="5DC895E2" w14:textId="77777777" w:rsidR="007B7652" w:rsidRDefault="007B7652" w:rsidP="00B43FF4">
            <w:pPr>
              <w:spacing w:line="240" w:lineRule="auto"/>
              <w:jc w:val="both"/>
              <w:rPr>
                <w:lang w:val="en-GB"/>
              </w:rPr>
            </w:pPr>
          </w:p>
        </w:tc>
      </w:tr>
      <w:tr w:rsidR="007B7652" w:rsidRPr="00691C4F" w14:paraId="21C15E63" w14:textId="77777777" w:rsidTr="00FE29A9">
        <w:tc>
          <w:tcPr>
            <w:tcW w:w="2660" w:type="dxa"/>
          </w:tcPr>
          <w:p w14:paraId="4F3022E9" w14:textId="77777777" w:rsidR="007B7652" w:rsidRDefault="007B7652" w:rsidP="001A518B">
            <w:pPr>
              <w:spacing w:line="276" w:lineRule="auto"/>
              <w:jc w:val="both"/>
              <w:rPr>
                <w:lang w:val="en-GB"/>
              </w:rPr>
            </w:pPr>
            <w:r>
              <w:rPr>
                <w:lang w:val="en-GB"/>
              </w:rPr>
              <w:t>SEGA</w:t>
            </w:r>
            <w:r w:rsidRPr="0061297D">
              <w:rPr>
                <w:lang w:val="en-GB"/>
              </w:rPr>
              <w:t xml:space="preserve"> grid</w:t>
            </w:r>
            <w:r>
              <w:rPr>
                <w:lang w:val="en-GB"/>
              </w:rPr>
              <w:t xml:space="preserve"> </w:t>
            </w:r>
            <w:r>
              <w:rPr>
                <w:noProof/>
                <w:lang w:val="en-GB"/>
              </w:rPr>
              <w:t>[21]</w:t>
            </w:r>
          </w:p>
        </w:tc>
        <w:tc>
          <w:tcPr>
            <w:tcW w:w="6552" w:type="dxa"/>
          </w:tcPr>
          <w:p w14:paraId="04B8120D" w14:textId="77777777" w:rsidR="007B7652" w:rsidRPr="00B43FF4" w:rsidRDefault="007B7652" w:rsidP="00B43FF4">
            <w:pPr>
              <w:autoSpaceDE w:val="0"/>
              <w:autoSpaceDN w:val="0"/>
              <w:adjustRightInd w:val="0"/>
              <w:spacing w:after="0" w:line="240" w:lineRule="auto"/>
              <w:jc w:val="both"/>
              <w:rPr>
                <w:lang w:val="en-US"/>
              </w:rPr>
            </w:pPr>
            <w:r w:rsidRPr="00B43FF4">
              <w:rPr>
                <w:lang w:val="en-US"/>
              </w:rPr>
              <w:t>This establishes a risk profile of frailty and provides reporting of problems and factors that may influence functional decline, including age, provenance, drugs, mood, perceived health, history of falls, nutrition, comorbidities, IADL, mobility, continence, feeding and cognitive functions. A score of 0, 1 or 2 is given for each item and a total over 11 points indicates a “very frail” condition, a score between 8 and 11 points indicates a frail condition while a score below 8 is a slightly frail condition.</w:t>
            </w:r>
          </w:p>
          <w:p w14:paraId="24992230" w14:textId="77777777" w:rsidR="007B7652" w:rsidRDefault="007B7652" w:rsidP="0088448E">
            <w:pPr>
              <w:spacing w:line="276" w:lineRule="auto"/>
              <w:jc w:val="both"/>
              <w:rPr>
                <w:lang w:val="en-GB"/>
              </w:rPr>
            </w:pPr>
          </w:p>
        </w:tc>
      </w:tr>
      <w:tr w:rsidR="007B7652" w:rsidRPr="00691C4F" w14:paraId="342BDB55" w14:textId="77777777" w:rsidTr="00FE29A9">
        <w:tc>
          <w:tcPr>
            <w:tcW w:w="2660" w:type="dxa"/>
          </w:tcPr>
          <w:p w14:paraId="124EB25E" w14:textId="77777777" w:rsidR="007B7652" w:rsidRDefault="007B7652" w:rsidP="001A518B">
            <w:pPr>
              <w:spacing w:line="276" w:lineRule="auto"/>
              <w:jc w:val="both"/>
              <w:rPr>
                <w:lang w:val="en-GB"/>
              </w:rPr>
            </w:pPr>
            <w:r w:rsidRPr="0061297D">
              <w:rPr>
                <w:lang w:val="en-GB"/>
              </w:rPr>
              <w:t>Groningen Frailty Indicator</w:t>
            </w:r>
            <w:r>
              <w:rPr>
                <w:lang w:val="en-GB"/>
              </w:rPr>
              <w:t xml:space="preserve"> </w:t>
            </w:r>
            <w:r>
              <w:rPr>
                <w:noProof/>
                <w:lang w:val="en-GB"/>
              </w:rPr>
              <w:t>[22]</w:t>
            </w:r>
          </w:p>
        </w:tc>
        <w:tc>
          <w:tcPr>
            <w:tcW w:w="6552" w:type="dxa"/>
          </w:tcPr>
          <w:p w14:paraId="701D6EAD" w14:textId="77777777" w:rsidR="007B7652" w:rsidRDefault="007B7652" w:rsidP="0088448E">
            <w:pPr>
              <w:spacing w:line="276" w:lineRule="auto"/>
              <w:jc w:val="both"/>
              <w:rPr>
                <w:lang w:val="en-GB"/>
              </w:rPr>
            </w:pPr>
            <w:r>
              <w:rPr>
                <w:lang w:val="en-US"/>
              </w:rPr>
              <w:t xml:space="preserve">This </w:t>
            </w:r>
            <w:r w:rsidRPr="002D5515">
              <w:rPr>
                <w:lang w:val="en-US"/>
              </w:rPr>
              <w:t xml:space="preserve">consists of 15 self-report items and screens for loss of functions and resources in four domains: physical, cognitive, social, and psychological. Scores range from zero (not frail) to fifteen (very frail). A </w:t>
            </w:r>
            <w:r>
              <w:rPr>
                <w:lang w:val="en-US"/>
              </w:rPr>
              <w:t xml:space="preserve">GFI </w:t>
            </w:r>
            <w:r w:rsidRPr="002D5515">
              <w:rPr>
                <w:lang w:val="en-US"/>
              </w:rPr>
              <w:t>score of 4 or higher was regarded as frail.</w:t>
            </w:r>
          </w:p>
        </w:tc>
      </w:tr>
      <w:tr w:rsidR="007B7652" w:rsidRPr="00691C4F" w14:paraId="106D8DF9" w14:textId="77777777" w:rsidTr="00FE29A9">
        <w:tc>
          <w:tcPr>
            <w:tcW w:w="2660" w:type="dxa"/>
          </w:tcPr>
          <w:p w14:paraId="118A28B8" w14:textId="77777777" w:rsidR="007B7652" w:rsidRPr="0061297D" w:rsidRDefault="007B7652" w:rsidP="001A518B">
            <w:pPr>
              <w:spacing w:line="276" w:lineRule="auto"/>
              <w:jc w:val="both"/>
              <w:rPr>
                <w:lang w:val="en-GB"/>
              </w:rPr>
            </w:pPr>
            <w:r w:rsidRPr="0061297D">
              <w:rPr>
                <w:lang w:val="en-GB"/>
              </w:rPr>
              <w:t>Strawbridge questionnaire</w:t>
            </w:r>
            <w:r>
              <w:rPr>
                <w:lang w:val="en-GB"/>
              </w:rPr>
              <w:t xml:space="preserve"> </w:t>
            </w:r>
            <w:r>
              <w:rPr>
                <w:noProof/>
                <w:lang w:val="en-GB"/>
              </w:rPr>
              <w:t>[23]</w:t>
            </w:r>
          </w:p>
        </w:tc>
        <w:tc>
          <w:tcPr>
            <w:tcW w:w="6552" w:type="dxa"/>
          </w:tcPr>
          <w:p w14:paraId="7C48D057" w14:textId="77777777" w:rsidR="007B7652" w:rsidRPr="00BD12E4" w:rsidRDefault="007B7652" w:rsidP="0088448E">
            <w:pPr>
              <w:spacing w:line="276" w:lineRule="auto"/>
              <w:jc w:val="both"/>
              <w:rPr>
                <w:lang w:val="en-US"/>
              </w:rPr>
            </w:pPr>
            <w:r>
              <w:rPr>
                <w:lang w:val="en-US"/>
              </w:rPr>
              <w:t xml:space="preserve">This </w:t>
            </w:r>
            <w:r w:rsidRPr="002D5515">
              <w:rPr>
                <w:lang w:val="en-US"/>
              </w:rPr>
              <w:t>defines frailty as difficulty in two or more functional domains (physical, cognitive, sensory, and nutritive).</w:t>
            </w:r>
            <w:r w:rsidRPr="005206D5">
              <w:rPr>
                <w:lang w:val="en-GB"/>
              </w:rPr>
              <w:t xml:space="preserve"> </w:t>
            </w:r>
            <w:r w:rsidRPr="002D5515">
              <w:rPr>
                <w:lang w:val="en-US"/>
              </w:rPr>
              <w:t>A score greater than or equal to 3 in more than one domain is considered vulnerable.</w:t>
            </w:r>
          </w:p>
        </w:tc>
      </w:tr>
      <w:tr w:rsidR="007B7652" w:rsidRPr="00691C4F" w14:paraId="2744DE80" w14:textId="77777777" w:rsidTr="00FE29A9">
        <w:tc>
          <w:tcPr>
            <w:tcW w:w="2660" w:type="dxa"/>
          </w:tcPr>
          <w:p w14:paraId="55EC4061" w14:textId="77777777" w:rsidR="007B7652" w:rsidRPr="0061297D" w:rsidRDefault="007B7652" w:rsidP="001A518B">
            <w:pPr>
              <w:spacing w:line="276" w:lineRule="auto"/>
              <w:jc w:val="both"/>
              <w:rPr>
                <w:lang w:val="en-GB"/>
              </w:rPr>
            </w:pPr>
            <w:r w:rsidRPr="0061297D">
              <w:rPr>
                <w:lang w:val="en-GB"/>
              </w:rPr>
              <w:t>Tilburg Frailty Indicator</w:t>
            </w:r>
            <w:r>
              <w:rPr>
                <w:noProof/>
                <w:lang w:val="en-GB"/>
              </w:rPr>
              <w:t>[24]</w:t>
            </w:r>
          </w:p>
        </w:tc>
        <w:tc>
          <w:tcPr>
            <w:tcW w:w="6552" w:type="dxa"/>
          </w:tcPr>
          <w:p w14:paraId="636EA88C" w14:textId="77777777" w:rsidR="007B7652" w:rsidRPr="00BD12E4" w:rsidRDefault="007B7652" w:rsidP="0088448E">
            <w:pPr>
              <w:spacing w:line="276" w:lineRule="auto"/>
              <w:jc w:val="both"/>
              <w:rPr>
                <w:lang w:val="en-US"/>
              </w:rPr>
            </w:pPr>
            <w:r>
              <w:rPr>
                <w:lang w:val="en-US"/>
              </w:rPr>
              <w:t xml:space="preserve">It </w:t>
            </w:r>
            <w:r w:rsidRPr="002D5515">
              <w:rPr>
                <w:lang w:val="en-US"/>
              </w:rPr>
              <w:t>consists of 2 parts. Part A contains 10 questions on determinants of frailty and diseases (</w:t>
            </w:r>
            <w:proofErr w:type="spellStart"/>
            <w:r w:rsidRPr="002D5515">
              <w:rPr>
                <w:lang w:val="en-US"/>
              </w:rPr>
              <w:t>multimorbidity</w:t>
            </w:r>
            <w:proofErr w:type="spellEnd"/>
            <w:r w:rsidRPr="002D5515">
              <w:rPr>
                <w:lang w:val="en-US"/>
              </w:rPr>
              <w:t xml:space="preserve">); part B contains 3 domains of frailty (quality of life, disability, and healthcare </w:t>
            </w:r>
            <w:proofErr w:type="spellStart"/>
            <w:r w:rsidRPr="002D5515">
              <w:rPr>
                <w:lang w:val="en-US"/>
              </w:rPr>
              <w:t>utili</w:t>
            </w:r>
            <w:r>
              <w:rPr>
                <w:lang w:val="en-US"/>
              </w:rPr>
              <w:t>s</w:t>
            </w:r>
            <w:r w:rsidRPr="002D5515">
              <w:rPr>
                <w:lang w:val="en-US"/>
              </w:rPr>
              <w:t>ation</w:t>
            </w:r>
            <w:proofErr w:type="spellEnd"/>
            <w:r w:rsidRPr="002D5515">
              <w:rPr>
                <w:lang w:val="en-US"/>
              </w:rPr>
              <w:t xml:space="preserve">) with a total of 15 questions on components of frailty. The </w:t>
            </w:r>
            <w:r>
              <w:rPr>
                <w:lang w:val="en-US"/>
              </w:rPr>
              <w:t>threshold above</w:t>
            </w:r>
            <w:r w:rsidRPr="002D5515">
              <w:rPr>
                <w:lang w:val="en-US"/>
              </w:rPr>
              <w:t xml:space="preserve"> </w:t>
            </w:r>
            <w:r>
              <w:rPr>
                <w:lang w:val="en-US"/>
              </w:rPr>
              <w:t>which the participant is considered as frail is 5 points.</w:t>
            </w:r>
          </w:p>
        </w:tc>
      </w:tr>
    </w:tbl>
    <w:p w14:paraId="18188D99" w14:textId="77777777" w:rsidR="007B7652" w:rsidRDefault="007B7652" w:rsidP="0088448E">
      <w:pPr>
        <w:spacing w:line="276" w:lineRule="auto"/>
        <w:jc w:val="both"/>
        <w:rPr>
          <w:lang w:val="en-GB"/>
        </w:rPr>
      </w:pPr>
    </w:p>
    <w:p w14:paraId="00FCE9CC" w14:textId="77777777" w:rsidR="007B7652" w:rsidRDefault="007B7652" w:rsidP="0088448E">
      <w:pPr>
        <w:spacing w:line="276" w:lineRule="auto"/>
        <w:jc w:val="both"/>
        <w:rPr>
          <w:lang w:val="en-GB"/>
        </w:rPr>
      </w:pPr>
    </w:p>
    <w:p w14:paraId="01A1E7F7" w14:textId="77777777" w:rsidR="007B7652" w:rsidRDefault="007B7652" w:rsidP="00CE318F">
      <w:pPr>
        <w:spacing w:line="276" w:lineRule="auto"/>
        <w:jc w:val="both"/>
        <w:rPr>
          <w:lang w:val="en-GB"/>
        </w:rPr>
      </w:pPr>
      <w:r>
        <w:rPr>
          <w:lang w:val="en-GB"/>
        </w:rPr>
        <w:lastRenderedPageBreak/>
        <w:t>The reasons why clinicians assessed frailty in their practice were also collected. The clinician was specifically asked to consider</w:t>
      </w:r>
      <w:r w:rsidRPr="006364AB">
        <w:rPr>
          <w:lang w:val="en-GB"/>
        </w:rPr>
        <w:t xml:space="preserve"> </w:t>
      </w:r>
      <w:r>
        <w:rPr>
          <w:lang w:val="en-GB"/>
        </w:rPr>
        <w:t xml:space="preserve">his/her clinical practice directed towards </w:t>
      </w:r>
      <w:r w:rsidRPr="006364AB">
        <w:rPr>
          <w:lang w:val="en-GB"/>
        </w:rPr>
        <w:t xml:space="preserve">subjects aged 60 years and </w:t>
      </w:r>
      <w:r>
        <w:rPr>
          <w:lang w:val="en-GB"/>
        </w:rPr>
        <w:t>older</w:t>
      </w:r>
      <w:r w:rsidRPr="006364AB">
        <w:rPr>
          <w:lang w:val="en-GB"/>
        </w:rPr>
        <w:t>.</w:t>
      </w:r>
      <w:r w:rsidRPr="008232A2">
        <w:rPr>
          <w:lang w:val="en-GB"/>
        </w:rPr>
        <w:t xml:space="preserve"> </w:t>
      </w:r>
      <w:r>
        <w:rPr>
          <w:lang w:val="en-GB"/>
        </w:rPr>
        <w:t>Moreover, questions related to the assessment of domains traditionally considered as constituent of frailty (i.e., physical performance, nutritional status, cognitive status, biological markers, quality of life, depression, sensorial impairment and body composition) were also asked. The socio-demographic information of the clinician was also collected (e.g. country of residence, age, work place, profession).The time to complete the survey was around 5 minutes.</w:t>
      </w:r>
    </w:p>
    <w:p w14:paraId="3B4CB2B1" w14:textId="77777777" w:rsidR="007B7652" w:rsidRDefault="007B7652" w:rsidP="00CE318F">
      <w:pPr>
        <w:spacing w:line="276" w:lineRule="auto"/>
        <w:jc w:val="both"/>
        <w:rPr>
          <w:lang w:val="en-GB"/>
        </w:rPr>
      </w:pPr>
      <w:r>
        <w:rPr>
          <w:lang w:val="en-GB"/>
        </w:rPr>
        <w:t>The</w:t>
      </w:r>
      <w:r w:rsidRPr="006364AB">
        <w:rPr>
          <w:lang w:val="en-GB"/>
        </w:rPr>
        <w:t xml:space="preserve"> survey was </w:t>
      </w:r>
      <w:r>
        <w:rPr>
          <w:lang w:val="en-GB"/>
        </w:rPr>
        <w:t>sent in January 2016</w:t>
      </w:r>
      <w:r w:rsidRPr="006364AB">
        <w:rPr>
          <w:lang w:val="en-GB"/>
        </w:rPr>
        <w:t xml:space="preserve"> through two different channels. The first was the European Union Geriatric Medicine Society (EUGMS) office that forwa</w:t>
      </w:r>
      <w:r>
        <w:rPr>
          <w:lang w:val="en-GB"/>
        </w:rPr>
        <w:t xml:space="preserve">rded the survey to all their </w:t>
      </w:r>
      <w:r w:rsidRPr="006364AB">
        <w:rPr>
          <w:lang w:val="en-GB"/>
        </w:rPr>
        <w:t xml:space="preserve">affiliated societies </w:t>
      </w:r>
      <w:r>
        <w:rPr>
          <w:lang w:val="en-GB"/>
        </w:rPr>
        <w:t>who then</w:t>
      </w:r>
      <w:r w:rsidRPr="006364AB">
        <w:rPr>
          <w:lang w:val="en-GB"/>
        </w:rPr>
        <w:t xml:space="preserve"> forward</w:t>
      </w:r>
      <w:r>
        <w:rPr>
          <w:lang w:val="en-GB"/>
        </w:rPr>
        <w:t>ed</w:t>
      </w:r>
      <w:r w:rsidRPr="006364AB">
        <w:rPr>
          <w:lang w:val="en-GB"/>
        </w:rPr>
        <w:t xml:space="preserve"> it to their individual members. The second was a direct contact, via email, to all members of the European Society for Clinical and Economic Aspects of Osteoporosis, Osteoarthritis and Musculoskeletal Disorders (ESCEO).</w:t>
      </w:r>
    </w:p>
    <w:p w14:paraId="08700BFA" w14:textId="723BA25A" w:rsidR="007B7652" w:rsidRDefault="007B7652" w:rsidP="00CE318F">
      <w:pPr>
        <w:spacing w:line="276" w:lineRule="auto"/>
        <w:jc w:val="both"/>
        <w:rPr>
          <w:lang w:val="en-GB"/>
        </w:rPr>
      </w:pPr>
      <w:r w:rsidRPr="006364AB">
        <w:rPr>
          <w:lang w:val="en-GB"/>
        </w:rPr>
        <w:t>Quantitative variables were expressed as mean</w:t>
      </w:r>
      <w:r>
        <w:rPr>
          <w:lang w:val="en-GB"/>
        </w:rPr>
        <w:t>s</w:t>
      </w:r>
      <w:r w:rsidRPr="006364AB">
        <w:rPr>
          <w:lang w:val="en-GB"/>
        </w:rPr>
        <w:t xml:space="preserve"> and standard deviation</w:t>
      </w:r>
      <w:r>
        <w:rPr>
          <w:lang w:val="en-GB"/>
        </w:rPr>
        <w:t>s</w:t>
      </w:r>
      <w:r w:rsidRPr="006364AB">
        <w:rPr>
          <w:lang w:val="en-GB"/>
        </w:rPr>
        <w:t xml:space="preserve"> (SD) and qualitative variables as number</w:t>
      </w:r>
      <w:r>
        <w:rPr>
          <w:lang w:val="en-GB"/>
        </w:rPr>
        <w:t>s</w:t>
      </w:r>
      <w:r w:rsidRPr="006364AB">
        <w:rPr>
          <w:lang w:val="en-GB"/>
        </w:rPr>
        <w:t xml:space="preserve"> and percentage</w:t>
      </w:r>
      <w:r>
        <w:rPr>
          <w:lang w:val="en-GB"/>
        </w:rPr>
        <w:t>s</w:t>
      </w:r>
      <w:r w:rsidRPr="006364AB">
        <w:rPr>
          <w:lang w:val="en-GB"/>
        </w:rPr>
        <w:t xml:space="preserve">. </w:t>
      </w:r>
      <w:r w:rsidR="00E6616C">
        <w:rPr>
          <w:lang w:val="en-GB"/>
        </w:rPr>
        <w:t xml:space="preserve">Analyses of variances were used to compare the prevalence of frailty assessment among different groups of clinicians.   </w:t>
      </w:r>
      <w:r w:rsidRPr="006364AB">
        <w:rPr>
          <w:lang w:val="en-GB"/>
        </w:rPr>
        <w:t>Results were considered to be statistically significant at the</w:t>
      </w:r>
      <w:r>
        <w:rPr>
          <w:lang w:val="en-GB"/>
        </w:rPr>
        <w:t xml:space="preserve"> 5% critical level (p &lt; 0.05). </w:t>
      </w:r>
      <w:r w:rsidRPr="006364AB">
        <w:rPr>
          <w:lang w:val="en-GB"/>
        </w:rPr>
        <w:t>All calculations were performed using Statistica 10 software.</w:t>
      </w:r>
    </w:p>
    <w:p w14:paraId="4D882E9E" w14:textId="77777777" w:rsidR="007B7652" w:rsidRDefault="007B7652" w:rsidP="00CE318F">
      <w:pPr>
        <w:spacing w:line="276" w:lineRule="auto"/>
        <w:rPr>
          <w:lang w:val="en-GB"/>
        </w:rPr>
      </w:pPr>
    </w:p>
    <w:p w14:paraId="7C713119" w14:textId="77777777" w:rsidR="007B7652" w:rsidRDefault="007B7652" w:rsidP="00CE318F">
      <w:pPr>
        <w:spacing w:line="276" w:lineRule="auto"/>
        <w:rPr>
          <w:lang w:val="en-GB"/>
        </w:rPr>
      </w:pPr>
    </w:p>
    <w:p w14:paraId="1D7573C9" w14:textId="77777777" w:rsidR="007B7652" w:rsidRDefault="007B7652" w:rsidP="00CE318F">
      <w:pPr>
        <w:spacing w:line="276" w:lineRule="auto"/>
        <w:rPr>
          <w:lang w:val="en-GB"/>
        </w:rPr>
      </w:pPr>
    </w:p>
    <w:p w14:paraId="3DE7A87B" w14:textId="77777777" w:rsidR="007B7652" w:rsidRDefault="007B7652" w:rsidP="00CE318F">
      <w:pPr>
        <w:spacing w:line="276" w:lineRule="auto"/>
        <w:rPr>
          <w:lang w:val="en-GB"/>
        </w:rPr>
      </w:pPr>
      <w:r>
        <w:rPr>
          <w:lang w:val="en-GB"/>
        </w:rPr>
        <w:br w:type="page"/>
      </w:r>
    </w:p>
    <w:p w14:paraId="7B3754F1" w14:textId="77777777" w:rsidR="007B7652" w:rsidRPr="009C62C9" w:rsidRDefault="007B7652" w:rsidP="00CE318F">
      <w:pPr>
        <w:spacing w:line="276" w:lineRule="auto"/>
        <w:rPr>
          <w:b/>
          <w:lang w:val="en-GB"/>
        </w:rPr>
      </w:pPr>
      <w:r w:rsidRPr="009C62C9">
        <w:rPr>
          <w:b/>
          <w:lang w:val="en-GB"/>
        </w:rPr>
        <w:lastRenderedPageBreak/>
        <w:t>Results</w:t>
      </w:r>
    </w:p>
    <w:p w14:paraId="14C28EB9" w14:textId="77777777" w:rsidR="007B7652" w:rsidRDefault="007B7652" w:rsidP="00CE318F">
      <w:pPr>
        <w:spacing w:line="276" w:lineRule="auto"/>
        <w:rPr>
          <w:lang w:val="en-GB"/>
        </w:rPr>
      </w:pPr>
    </w:p>
    <w:p w14:paraId="06EA1BB6" w14:textId="77777777" w:rsidR="007B7652" w:rsidRPr="0061297D" w:rsidRDefault="007B7652" w:rsidP="00CE318F">
      <w:pPr>
        <w:spacing w:line="276" w:lineRule="auto"/>
        <w:jc w:val="both"/>
        <w:rPr>
          <w:lang w:val="en-GB"/>
        </w:rPr>
      </w:pPr>
      <w:r w:rsidRPr="0061297D">
        <w:rPr>
          <w:lang w:val="en-GB"/>
        </w:rPr>
        <w:t>Three hundred and eighty eight clinicians from 44 countries answered the survey. Most of the answers were obtained from Italy, Spain, Belgium and the Un</w:t>
      </w:r>
      <w:r>
        <w:rPr>
          <w:lang w:val="en-GB"/>
        </w:rPr>
        <w:t xml:space="preserve">ited Kingdom (72.4% in total). </w:t>
      </w:r>
      <w:r w:rsidRPr="0061297D">
        <w:rPr>
          <w:lang w:val="en-GB"/>
        </w:rPr>
        <w:t>Geriatrics was the most widely cited field of interest (83.6%)</w:t>
      </w:r>
      <w:r>
        <w:rPr>
          <w:lang w:val="en-GB"/>
        </w:rPr>
        <w:t>,</w:t>
      </w:r>
      <w:r w:rsidRPr="0061297D">
        <w:rPr>
          <w:lang w:val="en-GB"/>
        </w:rPr>
        <w:t xml:space="preserve"> followed by rheumatology (6</w:t>
      </w:r>
      <w:r>
        <w:rPr>
          <w:lang w:val="en-GB"/>
        </w:rPr>
        <w:t xml:space="preserve">.6%) and endocrinology (3.4%). </w:t>
      </w:r>
      <w:r w:rsidRPr="0061297D">
        <w:rPr>
          <w:lang w:val="en-GB"/>
        </w:rPr>
        <w:t xml:space="preserve">The </w:t>
      </w:r>
      <w:r>
        <w:rPr>
          <w:lang w:val="en-GB"/>
        </w:rPr>
        <w:t>vast</w:t>
      </w:r>
      <w:r w:rsidRPr="0061297D">
        <w:rPr>
          <w:lang w:val="en-GB"/>
        </w:rPr>
        <w:t xml:space="preserve"> majority of the clinicians were medical doctor</w:t>
      </w:r>
      <w:r>
        <w:rPr>
          <w:lang w:val="en-GB"/>
        </w:rPr>
        <w:t xml:space="preserve">s (88.7%). </w:t>
      </w:r>
      <w:r w:rsidRPr="0061297D">
        <w:rPr>
          <w:lang w:val="en-GB"/>
        </w:rPr>
        <w:t xml:space="preserve">Clinicians were </w:t>
      </w:r>
      <w:r>
        <w:rPr>
          <w:lang w:val="en-GB"/>
        </w:rPr>
        <w:t>on average</w:t>
      </w:r>
      <w:r w:rsidRPr="0061297D">
        <w:rPr>
          <w:lang w:val="en-GB"/>
        </w:rPr>
        <w:t xml:space="preserve"> 48.7+/-12.1 years old</w:t>
      </w:r>
      <w:r>
        <w:rPr>
          <w:lang w:val="en-GB"/>
        </w:rPr>
        <w:t>,</w:t>
      </w:r>
      <w:r w:rsidRPr="0061297D">
        <w:rPr>
          <w:lang w:val="en-GB"/>
        </w:rPr>
        <w:t xml:space="preserve"> and 51.8% of them were men.</w:t>
      </w:r>
    </w:p>
    <w:p w14:paraId="5E35DA0D" w14:textId="79B7D8AB" w:rsidR="007B7652" w:rsidRDefault="007B7652" w:rsidP="00DB3051">
      <w:pPr>
        <w:spacing w:line="276" w:lineRule="auto"/>
        <w:jc w:val="both"/>
        <w:rPr>
          <w:lang w:val="en-GB"/>
        </w:rPr>
      </w:pPr>
      <w:r w:rsidRPr="0061297D">
        <w:rPr>
          <w:lang w:val="en-GB"/>
        </w:rPr>
        <w:t xml:space="preserve">Frailty was assessed </w:t>
      </w:r>
      <w:r>
        <w:rPr>
          <w:lang w:val="en-GB"/>
        </w:rPr>
        <w:t xml:space="preserve">in the routine practice </w:t>
      </w:r>
      <w:r w:rsidRPr="0061297D">
        <w:rPr>
          <w:lang w:val="en-GB"/>
        </w:rPr>
        <w:t>by 90.9% of the respondents</w:t>
      </w:r>
      <w:r>
        <w:rPr>
          <w:lang w:val="en-GB"/>
        </w:rPr>
        <w:t>. A</w:t>
      </w:r>
      <w:r w:rsidRPr="0061297D">
        <w:rPr>
          <w:lang w:val="en-GB"/>
        </w:rPr>
        <w:t>mong them, 54.6% assessed it in all their patients</w:t>
      </w:r>
      <w:r w:rsidR="00E6616C">
        <w:rPr>
          <w:lang w:val="en-GB"/>
        </w:rPr>
        <w:t xml:space="preserve"> aged 60 years and older</w:t>
      </w:r>
      <w:r w:rsidRPr="0061297D">
        <w:rPr>
          <w:lang w:val="en-GB"/>
        </w:rPr>
        <w:t xml:space="preserve">. As expected, the frequency of </w:t>
      </w:r>
      <w:r>
        <w:rPr>
          <w:lang w:val="en-GB"/>
        </w:rPr>
        <w:t xml:space="preserve">the </w:t>
      </w:r>
      <w:r w:rsidRPr="0061297D">
        <w:rPr>
          <w:lang w:val="en-GB"/>
        </w:rPr>
        <w:t>frailty assessment was higher among geriatrician</w:t>
      </w:r>
      <w:r>
        <w:rPr>
          <w:lang w:val="en-GB"/>
        </w:rPr>
        <w:t>s</w:t>
      </w:r>
      <w:r w:rsidRPr="0061297D">
        <w:rPr>
          <w:lang w:val="en-GB"/>
        </w:rPr>
        <w:t xml:space="preserve"> (94.9%) compared </w:t>
      </w:r>
      <w:r>
        <w:rPr>
          <w:lang w:val="en-GB"/>
        </w:rPr>
        <w:t>with</w:t>
      </w:r>
      <w:r w:rsidRPr="0061297D">
        <w:rPr>
          <w:lang w:val="en-GB"/>
        </w:rPr>
        <w:t xml:space="preserve"> other specialities (75.4%</w:t>
      </w:r>
      <w:r>
        <w:rPr>
          <w:lang w:val="en-GB"/>
        </w:rPr>
        <w:t xml:space="preserve">; </w:t>
      </w:r>
      <w:r w:rsidRPr="0061297D">
        <w:rPr>
          <w:lang w:val="en-GB"/>
        </w:rPr>
        <w:t xml:space="preserve">p&lt;0.0001). The most widely </w:t>
      </w:r>
      <w:r>
        <w:rPr>
          <w:lang w:val="en-GB"/>
        </w:rPr>
        <w:t xml:space="preserve">reported </w:t>
      </w:r>
      <w:r w:rsidRPr="0061297D">
        <w:rPr>
          <w:lang w:val="en-GB"/>
        </w:rPr>
        <w:t>tool</w:t>
      </w:r>
      <w:r>
        <w:rPr>
          <w:lang w:val="en-GB"/>
        </w:rPr>
        <w:t xml:space="preserve"> used </w:t>
      </w:r>
      <w:r w:rsidRPr="0061297D">
        <w:rPr>
          <w:lang w:val="en-GB"/>
        </w:rPr>
        <w:t>to assess frailty was the gait speed (43.8%), followed by the Clinical Frailty Scale (34.3%)</w:t>
      </w:r>
      <w:r>
        <w:rPr>
          <w:lang w:val="en-GB"/>
        </w:rPr>
        <w:t>,</w:t>
      </w:r>
      <w:r w:rsidRPr="0061297D">
        <w:rPr>
          <w:lang w:val="en-GB"/>
        </w:rPr>
        <w:t xml:space="preserve"> the SPPB test (30.2</w:t>
      </w:r>
      <w:r w:rsidR="00866F0D" w:rsidRPr="0061297D">
        <w:rPr>
          <w:lang w:val="en-GB"/>
        </w:rPr>
        <w:t>%</w:t>
      </w:r>
      <w:r w:rsidR="00866F0D">
        <w:rPr>
          <w:lang w:val="en-GB"/>
        </w:rPr>
        <w:t xml:space="preserve">) and </w:t>
      </w:r>
      <w:r>
        <w:rPr>
          <w:lang w:val="en-GB"/>
        </w:rPr>
        <w:t>the Frailty Phenotype also known as the Fried Criteria (26.8</w:t>
      </w:r>
      <w:r w:rsidRPr="0061297D">
        <w:rPr>
          <w:lang w:val="en-GB"/>
        </w:rPr>
        <w:t>%</w:t>
      </w:r>
      <w:r>
        <w:rPr>
          <w:lang w:val="en-GB"/>
        </w:rPr>
        <w:t xml:space="preserve">; </w:t>
      </w:r>
      <w:r w:rsidRPr="0061297D">
        <w:rPr>
          <w:lang w:val="en-GB"/>
        </w:rPr>
        <w:t>Table</w:t>
      </w:r>
      <w:r>
        <w:rPr>
          <w:lang w:val="en-GB"/>
        </w:rPr>
        <w:t> </w:t>
      </w:r>
      <w:r w:rsidRPr="0061297D">
        <w:rPr>
          <w:lang w:val="en-GB"/>
        </w:rPr>
        <w:t xml:space="preserve">1). Among clinicians who assessed frailty with the </w:t>
      </w:r>
      <w:r>
        <w:rPr>
          <w:lang w:val="en-GB"/>
        </w:rPr>
        <w:t>f</w:t>
      </w:r>
      <w:r w:rsidRPr="0061297D">
        <w:rPr>
          <w:lang w:val="en-GB"/>
        </w:rPr>
        <w:t>railty phenotype (i.e. 26.8%), 48.2% of them used the original version, 32.1% used an adapted version whereas 19.7% d</w:t>
      </w:r>
      <w:r>
        <w:rPr>
          <w:lang w:val="en-GB"/>
        </w:rPr>
        <w:t>id not</w:t>
      </w:r>
      <w:r w:rsidRPr="0061297D">
        <w:rPr>
          <w:lang w:val="en-GB"/>
        </w:rPr>
        <w:t xml:space="preserve"> know which version they used. It is important to </w:t>
      </w:r>
      <w:proofErr w:type="gramStart"/>
      <w:r w:rsidRPr="0061297D">
        <w:rPr>
          <w:lang w:val="en-GB"/>
        </w:rPr>
        <w:t xml:space="preserve">note </w:t>
      </w:r>
      <w:r>
        <w:rPr>
          <w:lang w:val="en-GB"/>
        </w:rPr>
        <w:t xml:space="preserve"> </w:t>
      </w:r>
      <w:r w:rsidRPr="0061297D">
        <w:rPr>
          <w:lang w:val="en-GB"/>
        </w:rPr>
        <w:t>that</w:t>
      </w:r>
      <w:proofErr w:type="gramEnd"/>
      <w:r w:rsidRPr="0061297D">
        <w:rPr>
          <w:lang w:val="en-GB"/>
        </w:rPr>
        <w:t xml:space="preserve"> 41.2% of clinicians assess frailty with a tool that was not proposed in the survey</w:t>
      </w:r>
      <w:r>
        <w:rPr>
          <w:lang w:val="en-GB"/>
        </w:rPr>
        <w:t>,</w:t>
      </w:r>
      <w:r w:rsidRPr="0061297D">
        <w:rPr>
          <w:lang w:val="en-GB"/>
        </w:rPr>
        <w:t xml:space="preserve"> and that 64.9% diagnose </w:t>
      </w:r>
      <w:r>
        <w:rPr>
          <w:lang w:val="en-GB"/>
        </w:rPr>
        <w:t xml:space="preserve">frailty using </w:t>
      </w:r>
      <w:r w:rsidRPr="0061297D">
        <w:rPr>
          <w:lang w:val="en-GB"/>
        </w:rPr>
        <w:t>more than one</w:t>
      </w:r>
      <w:r>
        <w:rPr>
          <w:lang w:val="en-GB"/>
        </w:rPr>
        <w:t xml:space="preserve"> instrument</w:t>
      </w:r>
      <w:r w:rsidRPr="0061297D">
        <w:rPr>
          <w:lang w:val="en-GB"/>
        </w:rPr>
        <w:t xml:space="preserve">. </w:t>
      </w:r>
      <w:r>
        <w:rPr>
          <w:lang w:val="en-GB"/>
        </w:rPr>
        <w:t>T</w:t>
      </w:r>
      <w:r w:rsidRPr="0061297D">
        <w:rPr>
          <w:lang w:val="en-GB"/>
        </w:rPr>
        <w:t xml:space="preserve">he gait speed test and the SPPB are widely used in combination with another tool to assess frailty (respectively in 89.3% and 73.3% of cases). </w:t>
      </w:r>
      <w:r>
        <w:rPr>
          <w:lang w:val="en-GB"/>
        </w:rPr>
        <w:t xml:space="preserve">These tools included </w:t>
      </w:r>
      <w:r w:rsidRPr="00247D25">
        <w:rPr>
          <w:lang w:val="en-GB"/>
        </w:rPr>
        <w:t>LASA Physical Activity Questionnaire</w:t>
      </w:r>
      <w:r>
        <w:rPr>
          <w:lang w:val="en-GB"/>
        </w:rPr>
        <w:t xml:space="preserve">, the Physical Activity Scale for the Elderly (PASE), the Health Assessment Questionnaire (HAQ), </w:t>
      </w:r>
      <w:proofErr w:type="gramStart"/>
      <w:r>
        <w:rPr>
          <w:lang w:val="en-GB"/>
        </w:rPr>
        <w:t>the</w:t>
      </w:r>
      <w:proofErr w:type="gramEnd"/>
      <w:r>
        <w:rPr>
          <w:lang w:val="en-GB"/>
        </w:rPr>
        <w:t xml:space="preserve"> </w:t>
      </w:r>
      <w:r w:rsidRPr="00247D25">
        <w:rPr>
          <w:lang w:val="en-GB"/>
        </w:rPr>
        <w:t xml:space="preserve">Short </w:t>
      </w:r>
      <w:proofErr w:type="spellStart"/>
      <w:r w:rsidRPr="00247D25">
        <w:rPr>
          <w:lang w:val="en-GB"/>
        </w:rPr>
        <w:t>QUestionnaire</w:t>
      </w:r>
      <w:proofErr w:type="spellEnd"/>
      <w:r w:rsidRPr="00247D25">
        <w:rPr>
          <w:lang w:val="en-GB"/>
        </w:rPr>
        <w:t xml:space="preserve"> to </w:t>
      </w:r>
      <w:proofErr w:type="spellStart"/>
      <w:r w:rsidRPr="00247D25">
        <w:rPr>
          <w:lang w:val="en-GB"/>
        </w:rPr>
        <w:t>ASsess</w:t>
      </w:r>
      <w:proofErr w:type="spellEnd"/>
      <w:r w:rsidRPr="00247D25">
        <w:rPr>
          <w:lang w:val="en-GB"/>
        </w:rPr>
        <w:t xml:space="preserve"> Health enhancing physical activity (SQUASH)</w:t>
      </w:r>
      <w:r>
        <w:rPr>
          <w:lang w:val="en-GB"/>
        </w:rPr>
        <w:t>, clinical history or self made questionnaire.</w:t>
      </w:r>
    </w:p>
    <w:p w14:paraId="52FB02C2" w14:textId="77777777" w:rsidR="007B7652" w:rsidRDefault="007B7652" w:rsidP="00D22971">
      <w:pPr>
        <w:spacing w:line="276" w:lineRule="auto"/>
        <w:jc w:val="both"/>
        <w:rPr>
          <w:lang w:val="en-GB"/>
        </w:rPr>
      </w:pPr>
    </w:p>
    <w:p w14:paraId="02A5A4BF" w14:textId="77777777" w:rsidR="007B7652" w:rsidRPr="0061297D" w:rsidRDefault="007B7652" w:rsidP="00CE318F">
      <w:pPr>
        <w:spacing w:line="276" w:lineRule="auto"/>
        <w:jc w:val="both"/>
        <w:rPr>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7"/>
        <w:gridCol w:w="1550"/>
        <w:gridCol w:w="1168"/>
      </w:tblGrid>
      <w:tr w:rsidR="007B7652" w:rsidRPr="00691C4F" w14:paraId="55563FC5" w14:textId="77777777" w:rsidTr="00F64106">
        <w:trPr>
          <w:jc w:val="center"/>
        </w:trPr>
        <w:tc>
          <w:tcPr>
            <w:tcW w:w="6830" w:type="dxa"/>
            <w:gridSpan w:val="3"/>
            <w:tcBorders>
              <w:bottom w:val="single" w:sz="4" w:space="0" w:color="auto"/>
            </w:tcBorders>
          </w:tcPr>
          <w:p w14:paraId="27ADE5D1" w14:textId="77777777" w:rsidR="007B7652" w:rsidRPr="0061297D" w:rsidRDefault="007B7652" w:rsidP="00CE318F">
            <w:pPr>
              <w:spacing w:after="40" w:line="276" w:lineRule="auto"/>
              <w:rPr>
                <w:b/>
                <w:lang w:val="en-GB"/>
              </w:rPr>
            </w:pPr>
            <w:r w:rsidRPr="0061297D">
              <w:rPr>
                <w:b/>
                <w:lang w:val="en-GB"/>
              </w:rPr>
              <w:t>Table 1: Tool</w:t>
            </w:r>
            <w:r>
              <w:rPr>
                <w:b/>
                <w:lang w:val="en-GB"/>
              </w:rPr>
              <w:t>s</w:t>
            </w:r>
            <w:r w:rsidRPr="0061297D">
              <w:rPr>
                <w:b/>
                <w:lang w:val="en-GB"/>
              </w:rPr>
              <w:t xml:space="preserve"> used to assess frailty in clinical practice</w:t>
            </w:r>
          </w:p>
        </w:tc>
      </w:tr>
      <w:tr w:rsidR="007B7652" w:rsidRPr="0061297D" w14:paraId="55078129" w14:textId="77777777" w:rsidTr="00F64106">
        <w:trPr>
          <w:jc w:val="center"/>
        </w:trPr>
        <w:tc>
          <w:tcPr>
            <w:tcW w:w="4137" w:type="dxa"/>
            <w:tcBorders>
              <w:top w:val="single" w:sz="4" w:space="0" w:color="auto"/>
              <w:bottom w:val="single" w:sz="4" w:space="0" w:color="auto"/>
            </w:tcBorders>
          </w:tcPr>
          <w:p w14:paraId="68D945ED" w14:textId="77777777" w:rsidR="007B7652" w:rsidRPr="0061297D" w:rsidRDefault="007B7652" w:rsidP="00CE318F">
            <w:pPr>
              <w:spacing w:after="40" w:line="276" w:lineRule="auto"/>
              <w:rPr>
                <w:b/>
                <w:lang w:val="en-GB"/>
              </w:rPr>
            </w:pPr>
            <w:r w:rsidRPr="0061297D">
              <w:rPr>
                <w:b/>
                <w:lang w:val="en-GB"/>
              </w:rPr>
              <w:t xml:space="preserve">Tool used </w:t>
            </w:r>
          </w:p>
        </w:tc>
        <w:tc>
          <w:tcPr>
            <w:tcW w:w="1550" w:type="dxa"/>
            <w:tcBorders>
              <w:top w:val="single" w:sz="4" w:space="0" w:color="auto"/>
              <w:bottom w:val="single" w:sz="4" w:space="0" w:color="auto"/>
            </w:tcBorders>
          </w:tcPr>
          <w:p w14:paraId="725C7B5F" w14:textId="77777777" w:rsidR="007B7652" w:rsidRPr="0061297D" w:rsidRDefault="007B7652" w:rsidP="00CE318F">
            <w:pPr>
              <w:spacing w:after="40" w:line="276" w:lineRule="auto"/>
              <w:rPr>
                <w:b/>
                <w:lang w:val="en-GB"/>
              </w:rPr>
            </w:pPr>
            <w:r w:rsidRPr="0061297D">
              <w:rPr>
                <w:b/>
                <w:lang w:val="en-GB"/>
              </w:rPr>
              <w:t>Number</w:t>
            </w:r>
          </w:p>
        </w:tc>
        <w:tc>
          <w:tcPr>
            <w:tcW w:w="1143" w:type="dxa"/>
            <w:tcBorders>
              <w:top w:val="single" w:sz="4" w:space="0" w:color="auto"/>
              <w:bottom w:val="single" w:sz="4" w:space="0" w:color="auto"/>
            </w:tcBorders>
          </w:tcPr>
          <w:p w14:paraId="60F5E964" w14:textId="77777777" w:rsidR="007B7652" w:rsidRPr="0061297D" w:rsidRDefault="007B7652" w:rsidP="00CE318F">
            <w:pPr>
              <w:spacing w:after="40" w:line="276" w:lineRule="auto"/>
              <w:rPr>
                <w:b/>
                <w:lang w:val="en-GB"/>
              </w:rPr>
            </w:pPr>
            <w:r w:rsidRPr="0061297D">
              <w:rPr>
                <w:b/>
                <w:lang w:val="en-GB"/>
              </w:rPr>
              <w:t>Frequency (%)</w:t>
            </w:r>
          </w:p>
        </w:tc>
      </w:tr>
      <w:tr w:rsidR="007B7652" w:rsidRPr="0061297D" w14:paraId="23217753" w14:textId="77777777" w:rsidTr="00F64106">
        <w:trPr>
          <w:jc w:val="center"/>
        </w:trPr>
        <w:tc>
          <w:tcPr>
            <w:tcW w:w="4137" w:type="dxa"/>
            <w:tcBorders>
              <w:top w:val="single" w:sz="4" w:space="0" w:color="auto"/>
            </w:tcBorders>
          </w:tcPr>
          <w:p w14:paraId="1BF2E7F3" w14:textId="77777777" w:rsidR="007B7652" w:rsidRPr="0061297D" w:rsidRDefault="007B7652" w:rsidP="00CE318F">
            <w:pPr>
              <w:spacing w:after="40" w:line="276" w:lineRule="auto"/>
              <w:rPr>
                <w:lang w:val="en-GB"/>
              </w:rPr>
            </w:pPr>
            <w:r w:rsidRPr="0061297D">
              <w:rPr>
                <w:lang w:val="en-GB"/>
              </w:rPr>
              <w:t>Gait speed</w:t>
            </w:r>
          </w:p>
        </w:tc>
        <w:tc>
          <w:tcPr>
            <w:tcW w:w="1550" w:type="dxa"/>
            <w:tcBorders>
              <w:top w:val="single" w:sz="4" w:space="0" w:color="auto"/>
            </w:tcBorders>
          </w:tcPr>
          <w:p w14:paraId="50B917E3" w14:textId="77777777" w:rsidR="007B7652" w:rsidRPr="0061297D" w:rsidRDefault="007B7652" w:rsidP="00CE318F">
            <w:pPr>
              <w:spacing w:after="40" w:line="276" w:lineRule="auto"/>
              <w:rPr>
                <w:lang w:val="en-GB"/>
              </w:rPr>
            </w:pPr>
            <w:r w:rsidRPr="0061297D">
              <w:rPr>
                <w:lang w:val="en-GB"/>
              </w:rPr>
              <w:t>170</w:t>
            </w:r>
          </w:p>
        </w:tc>
        <w:tc>
          <w:tcPr>
            <w:tcW w:w="1143" w:type="dxa"/>
            <w:tcBorders>
              <w:top w:val="single" w:sz="4" w:space="0" w:color="auto"/>
            </w:tcBorders>
          </w:tcPr>
          <w:p w14:paraId="67D64BA9" w14:textId="77777777" w:rsidR="007B7652" w:rsidRPr="0061297D" w:rsidRDefault="007B7652" w:rsidP="00CE318F">
            <w:pPr>
              <w:spacing w:after="40" w:line="276" w:lineRule="auto"/>
              <w:rPr>
                <w:lang w:val="en-GB"/>
              </w:rPr>
            </w:pPr>
            <w:r w:rsidRPr="0061297D">
              <w:rPr>
                <w:lang w:val="en-GB"/>
              </w:rPr>
              <w:t>43.8</w:t>
            </w:r>
          </w:p>
        </w:tc>
      </w:tr>
      <w:tr w:rsidR="007B7652" w:rsidRPr="0061297D" w14:paraId="5BA6524B" w14:textId="77777777" w:rsidTr="00F64106">
        <w:trPr>
          <w:jc w:val="center"/>
        </w:trPr>
        <w:tc>
          <w:tcPr>
            <w:tcW w:w="4137" w:type="dxa"/>
          </w:tcPr>
          <w:p w14:paraId="55EB7854" w14:textId="77777777" w:rsidR="007B7652" w:rsidRPr="0061297D" w:rsidRDefault="007B7652" w:rsidP="00CE318F">
            <w:pPr>
              <w:spacing w:after="40" w:line="276" w:lineRule="auto"/>
              <w:rPr>
                <w:lang w:val="en-GB"/>
              </w:rPr>
            </w:pPr>
            <w:r w:rsidRPr="0061297D">
              <w:rPr>
                <w:lang w:val="en-GB"/>
              </w:rPr>
              <w:t>Clinical Frailty Scale</w:t>
            </w:r>
          </w:p>
        </w:tc>
        <w:tc>
          <w:tcPr>
            <w:tcW w:w="1550" w:type="dxa"/>
          </w:tcPr>
          <w:p w14:paraId="45740BCD" w14:textId="77777777" w:rsidR="007B7652" w:rsidRPr="0061297D" w:rsidRDefault="007B7652" w:rsidP="00CE318F">
            <w:pPr>
              <w:spacing w:after="40" w:line="276" w:lineRule="auto"/>
              <w:rPr>
                <w:lang w:val="en-GB"/>
              </w:rPr>
            </w:pPr>
            <w:r w:rsidRPr="0061297D">
              <w:rPr>
                <w:lang w:val="en-GB"/>
              </w:rPr>
              <w:t>133</w:t>
            </w:r>
          </w:p>
        </w:tc>
        <w:tc>
          <w:tcPr>
            <w:tcW w:w="1143" w:type="dxa"/>
          </w:tcPr>
          <w:p w14:paraId="0FF596C9" w14:textId="77777777" w:rsidR="007B7652" w:rsidRPr="0061297D" w:rsidRDefault="007B7652" w:rsidP="00CE318F">
            <w:pPr>
              <w:spacing w:after="40" w:line="276" w:lineRule="auto"/>
              <w:rPr>
                <w:lang w:val="en-GB"/>
              </w:rPr>
            </w:pPr>
            <w:r w:rsidRPr="0061297D">
              <w:rPr>
                <w:lang w:val="en-GB"/>
              </w:rPr>
              <w:t>34.3</w:t>
            </w:r>
          </w:p>
        </w:tc>
      </w:tr>
      <w:tr w:rsidR="007B7652" w:rsidRPr="0061297D" w14:paraId="33F3503D" w14:textId="77777777" w:rsidTr="00F64106">
        <w:trPr>
          <w:jc w:val="center"/>
        </w:trPr>
        <w:tc>
          <w:tcPr>
            <w:tcW w:w="4137" w:type="dxa"/>
          </w:tcPr>
          <w:p w14:paraId="16AFE6B5" w14:textId="77777777" w:rsidR="007B7652" w:rsidRPr="0061297D" w:rsidRDefault="007B7652" w:rsidP="00AA48D0">
            <w:pPr>
              <w:spacing w:after="40" w:line="276" w:lineRule="auto"/>
              <w:rPr>
                <w:lang w:val="en-GB"/>
              </w:rPr>
            </w:pPr>
            <w:r w:rsidRPr="0061297D">
              <w:rPr>
                <w:lang w:val="en-GB"/>
              </w:rPr>
              <w:t xml:space="preserve">SPPB </w:t>
            </w:r>
          </w:p>
        </w:tc>
        <w:tc>
          <w:tcPr>
            <w:tcW w:w="1550" w:type="dxa"/>
          </w:tcPr>
          <w:p w14:paraId="753270F6" w14:textId="77777777" w:rsidR="007B7652" w:rsidRPr="0061297D" w:rsidRDefault="007B7652" w:rsidP="00CE318F">
            <w:pPr>
              <w:spacing w:after="40" w:line="276" w:lineRule="auto"/>
              <w:rPr>
                <w:lang w:val="en-GB"/>
              </w:rPr>
            </w:pPr>
            <w:r w:rsidRPr="0061297D">
              <w:rPr>
                <w:lang w:val="en-GB"/>
              </w:rPr>
              <w:t>117</w:t>
            </w:r>
          </w:p>
        </w:tc>
        <w:tc>
          <w:tcPr>
            <w:tcW w:w="1143" w:type="dxa"/>
          </w:tcPr>
          <w:p w14:paraId="2B248AF3" w14:textId="77777777" w:rsidR="007B7652" w:rsidRPr="0061297D" w:rsidRDefault="007B7652" w:rsidP="00CE318F">
            <w:pPr>
              <w:spacing w:after="40" w:line="276" w:lineRule="auto"/>
              <w:rPr>
                <w:lang w:val="en-GB"/>
              </w:rPr>
            </w:pPr>
            <w:r w:rsidRPr="0061297D">
              <w:rPr>
                <w:lang w:val="en-GB"/>
              </w:rPr>
              <w:t>30.2</w:t>
            </w:r>
          </w:p>
        </w:tc>
      </w:tr>
      <w:tr w:rsidR="007B7652" w:rsidRPr="0061297D" w14:paraId="0B6B1772" w14:textId="77777777" w:rsidTr="00F64106">
        <w:trPr>
          <w:jc w:val="center"/>
        </w:trPr>
        <w:tc>
          <w:tcPr>
            <w:tcW w:w="4137" w:type="dxa"/>
          </w:tcPr>
          <w:p w14:paraId="185A0456" w14:textId="77777777" w:rsidR="007B7652" w:rsidRPr="0061297D" w:rsidRDefault="007B7652" w:rsidP="00AA48D0">
            <w:pPr>
              <w:spacing w:after="40" w:line="276" w:lineRule="auto"/>
              <w:rPr>
                <w:lang w:val="en-GB"/>
              </w:rPr>
            </w:pPr>
            <w:r w:rsidRPr="0061297D">
              <w:rPr>
                <w:lang w:val="en-GB"/>
              </w:rPr>
              <w:t xml:space="preserve">Frailty Phenotype </w:t>
            </w:r>
            <w:r>
              <w:rPr>
                <w:lang w:val="en-GB"/>
              </w:rPr>
              <w:t>(i.e. Fried criteria)</w:t>
            </w:r>
          </w:p>
        </w:tc>
        <w:tc>
          <w:tcPr>
            <w:tcW w:w="1550" w:type="dxa"/>
          </w:tcPr>
          <w:p w14:paraId="5065185B" w14:textId="77777777" w:rsidR="007B7652" w:rsidRPr="0061297D" w:rsidRDefault="007B7652" w:rsidP="00CE318F">
            <w:pPr>
              <w:spacing w:after="40" w:line="276" w:lineRule="auto"/>
              <w:rPr>
                <w:lang w:val="en-GB"/>
              </w:rPr>
            </w:pPr>
            <w:r w:rsidRPr="0061297D">
              <w:rPr>
                <w:lang w:val="en-GB"/>
              </w:rPr>
              <w:t>104</w:t>
            </w:r>
          </w:p>
        </w:tc>
        <w:tc>
          <w:tcPr>
            <w:tcW w:w="1143" w:type="dxa"/>
          </w:tcPr>
          <w:p w14:paraId="51642EFA" w14:textId="77777777" w:rsidR="007B7652" w:rsidRPr="0061297D" w:rsidRDefault="007B7652" w:rsidP="00CE318F">
            <w:pPr>
              <w:spacing w:after="40" w:line="276" w:lineRule="auto"/>
              <w:rPr>
                <w:lang w:val="en-GB"/>
              </w:rPr>
            </w:pPr>
            <w:r w:rsidRPr="0061297D">
              <w:rPr>
                <w:lang w:val="en-GB"/>
              </w:rPr>
              <w:t>26.8</w:t>
            </w:r>
          </w:p>
        </w:tc>
      </w:tr>
      <w:tr w:rsidR="007B7652" w:rsidRPr="0061297D" w14:paraId="50BF3053" w14:textId="77777777" w:rsidTr="00F64106">
        <w:trPr>
          <w:jc w:val="center"/>
        </w:trPr>
        <w:tc>
          <w:tcPr>
            <w:tcW w:w="4137" w:type="dxa"/>
          </w:tcPr>
          <w:p w14:paraId="266F3619" w14:textId="77777777" w:rsidR="007B7652" w:rsidRPr="0061297D" w:rsidRDefault="007B7652" w:rsidP="00AA48D0">
            <w:pPr>
              <w:spacing w:after="40" w:line="276" w:lineRule="auto"/>
              <w:rPr>
                <w:lang w:val="en-GB"/>
              </w:rPr>
            </w:pPr>
            <w:r w:rsidRPr="0061297D">
              <w:rPr>
                <w:lang w:val="en-GB"/>
              </w:rPr>
              <w:t xml:space="preserve">Frailty Index </w:t>
            </w:r>
          </w:p>
        </w:tc>
        <w:tc>
          <w:tcPr>
            <w:tcW w:w="1550" w:type="dxa"/>
          </w:tcPr>
          <w:p w14:paraId="137B3414" w14:textId="77777777" w:rsidR="007B7652" w:rsidRPr="0061297D" w:rsidRDefault="007B7652" w:rsidP="00CE318F">
            <w:pPr>
              <w:spacing w:after="40" w:line="276" w:lineRule="auto"/>
              <w:rPr>
                <w:lang w:val="en-GB"/>
              </w:rPr>
            </w:pPr>
            <w:r w:rsidRPr="0061297D">
              <w:rPr>
                <w:lang w:val="en-GB"/>
              </w:rPr>
              <w:t>65</w:t>
            </w:r>
          </w:p>
        </w:tc>
        <w:tc>
          <w:tcPr>
            <w:tcW w:w="1143" w:type="dxa"/>
          </w:tcPr>
          <w:p w14:paraId="78899251" w14:textId="77777777" w:rsidR="007B7652" w:rsidRPr="0061297D" w:rsidRDefault="007B7652" w:rsidP="00CE318F">
            <w:pPr>
              <w:spacing w:after="40" w:line="276" w:lineRule="auto"/>
              <w:rPr>
                <w:lang w:val="en-GB"/>
              </w:rPr>
            </w:pPr>
            <w:r w:rsidRPr="0061297D">
              <w:rPr>
                <w:lang w:val="en-GB"/>
              </w:rPr>
              <w:t>16.8</w:t>
            </w:r>
          </w:p>
        </w:tc>
      </w:tr>
      <w:tr w:rsidR="007B7652" w:rsidRPr="000D4E48" w14:paraId="064EEFA1" w14:textId="77777777" w:rsidTr="00FE29A9">
        <w:trPr>
          <w:jc w:val="center"/>
        </w:trPr>
        <w:tc>
          <w:tcPr>
            <w:tcW w:w="4137" w:type="dxa"/>
          </w:tcPr>
          <w:p w14:paraId="51ADC694" w14:textId="77777777" w:rsidR="007B7652" w:rsidRPr="0061297D" w:rsidRDefault="007B7652" w:rsidP="0088448E">
            <w:pPr>
              <w:spacing w:after="40" w:line="276" w:lineRule="auto"/>
              <w:rPr>
                <w:lang w:val="en-GB"/>
              </w:rPr>
            </w:pPr>
            <w:r>
              <w:rPr>
                <w:lang w:val="en-GB"/>
              </w:rPr>
              <w:t>Frail scale status</w:t>
            </w:r>
          </w:p>
        </w:tc>
        <w:tc>
          <w:tcPr>
            <w:tcW w:w="1550" w:type="dxa"/>
          </w:tcPr>
          <w:p w14:paraId="12A80139" w14:textId="77777777" w:rsidR="007B7652" w:rsidRPr="0061297D" w:rsidRDefault="007B7652" w:rsidP="0088448E">
            <w:pPr>
              <w:spacing w:after="40" w:line="276" w:lineRule="auto"/>
              <w:rPr>
                <w:lang w:val="en-GB"/>
              </w:rPr>
            </w:pPr>
            <w:r>
              <w:rPr>
                <w:lang w:val="en-GB"/>
              </w:rPr>
              <w:t>47</w:t>
            </w:r>
          </w:p>
        </w:tc>
        <w:tc>
          <w:tcPr>
            <w:tcW w:w="1168" w:type="dxa"/>
          </w:tcPr>
          <w:p w14:paraId="524398EF" w14:textId="77777777" w:rsidR="007B7652" w:rsidRPr="0061297D" w:rsidRDefault="007B7652" w:rsidP="0088448E">
            <w:pPr>
              <w:spacing w:after="40" w:line="276" w:lineRule="auto"/>
              <w:rPr>
                <w:lang w:val="en-GB"/>
              </w:rPr>
            </w:pPr>
            <w:r>
              <w:rPr>
                <w:lang w:val="en-GB"/>
              </w:rPr>
              <w:t>12.1</w:t>
            </w:r>
          </w:p>
        </w:tc>
      </w:tr>
      <w:tr w:rsidR="007B7652" w:rsidRPr="0061297D" w14:paraId="18DF4C67" w14:textId="77777777" w:rsidTr="00F64106">
        <w:trPr>
          <w:jc w:val="center"/>
        </w:trPr>
        <w:tc>
          <w:tcPr>
            <w:tcW w:w="4137" w:type="dxa"/>
          </w:tcPr>
          <w:p w14:paraId="1D4BAF0F" w14:textId="77777777" w:rsidR="007B7652" w:rsidRPr="0061297D" w:rsidRDefault="007B7652" w:rsidP="00CE318F">
            <w:pPr>
              <w:spacing w:after="40" w:line="276" w:lineRule="auto"/>
              <w:rPr>
                <w:lang w:val="en-GB"/>
              </w:rPr>
            </w:pPr>
            <w:r w:rsidRPr="0061297D">
              <w:rPr>
                <w:lang w:val="en-GB"/>
              </w:rPr>
              <w:t>Edmonton Frail Scale</w:t>
            </w:r>
          </w:p>
        </w:tc>
        <w:tc>
          <w:tcPr>
            <w:tcW w:w="1550" w:type="dxa"/>
          </w:tcPr>
          <w:p w14:paraId="7B87956F" w14:textId="77777777" w:rsidR="007B7652" w:rsidRPr="0061297D" w:rsidRDefault="007B7652" w:rsidP="00CE318F">
            <w:pPr>
              <w:spacing w:after="40" w:line="276" w:lineRule="auto"/>
              <w:rPr>
                <w:lang w:val="en-GB"/>
              </w:rPr>
            </w:pPr>
            <w:r w:rsidRPr="0061297D">
              <w:rPr>
                <w:lang w:val="en-GB"/>
              </w:rPr>
              <w:t>36</w:t>
            </w:r>
          </w:p>
        </w:tc>
        <w:tc>
          <w:tcPr>
            <w:tcW w:w="1143" w:type="dxa"/>
          </w:tcPr>
          <w:p w14:paraId="1B7CAC00" w14:textId="77777777" w:rsidR="007B7652" w:rsidRPr="0061297D" w:rsidRDefault="007B7652" w:rsidP="00CE318F">
            <w:pPr>
              <w:spacing w:after="40" w:line="276" w:lineRule="auto"/>
              <w:rPr>
                <w:lang w:val="en-GB"/>
              </w:rPr>
            </w:pPr>
            <w:r w:rsidRPr="0061297D">
              <w:rPr>
                <w:lang w:val="en-GB"/>
              </w:rPr>
              <w:t>9.28</w:t>
            </w:r>
          </w:p>
        </w:tc>
      </w:tr>
      <w:tr w:rsidR="007B7652" w:rsidRPr="0061297D" w14:paraId="5568E3BB" w14:textId="77777777" w:rsidTr="00F64106">
        <w:trPr>
          <w:jc w:val="center"/>
        </w:trPr>
        <w:tc>
          <w:tcPr>
            <w:tcW w:w="4137" w:type="dxa"/>
          </w:tcPr>
          <w:p w14:paraId="4982BB12" w14:textId="77777777" w:rsidR="007B7652" w:rsidRPr="0061297D" w:rsidRDefault="007B7652" w:rsidP="00CE318F">
            <w:pPr>
              <w:spacing w:after="40" w:line="276" w:lineRule="auto"/>
              <w:rPr>
                <w:lang w:val="en-GB"/>
              </w:rPr>
            </w:pPr>
            <w:proofErr w:type="spellStart"/>
            <w:r w:rsidRPr="0061297D">
              <w:rPr>
                <w:lang w:val="en-GB"/>
              </w:rPr>
              <w:t>Gerontop</w:t>
            </w:r>
            <w:r>
              <w:rPr>
                <w:lang w:val="en-GB"/>
              </w:rPr>
              <w:t>o</w:t>
            </w:r>
            <w:r w:rsidRPr="0061297D">
              <w:rPr>
                <w:lang w:val="en-GB"/>
              </w:rPr>
              <w:t>le</w:t>
            </w:r>
            <w:proofErr w:type="spellEnd"/>
            <w:r w:rsidRPr="0061297D">
              <w:rPr>
                <w:lang w:val="en-GB"/>
              </w:rPr>
              <w:t xml:space="preserve"> Frailty Screening Tool</w:t>
            </w:r>
          </w:p>
        </w:tc>
        <w:tc>
          <w:tcPr>
            <w:tcW w:w="1550" w:type="dxa"/>
          </w:tcPr>
          <w:p w14:paraId="374F8F76" w14:textId="77777777" w:rsidR="007B7652" w:rsidRPr="0061297D" w:rsidRDefault="007B7652" w:rsidP="00CE318F">
            <w:pPr>
              <w:spacing w:after="40" w:line="276" w:lineRule="auto"/>
              <w:rPr>
                <w:lang w:val="en-GB"/>
              </w:rPr>
            </w:pPr>
            <w:r w:rsidRPr="0061297D">
              <w:rPr>
                <w:lang w:val="en-GB"/>
              </w:rPr>
              <w:t>28</w:t>
            </w:r>
          </w:p>
        </w:tc>
        <w:tc>
          <w:tcPr>
            <w:tcW w:w="1143" w:type="dxa"/>
          </w:tcPr>
          <w:p w14:paraId="023F6741" w14:textId="77777777" w:rsidR="007B7652" w:rsidRPr="0061297D" w:rsidRDefault="007B7652" w:rsidP="00CE318F">
            <w:pPr>
              <w:spacing w:after="40" w:line="276" w:lineRule="auto"/>
              <w:rPr>
                <w:lang w:val="en-GB"/>
              </w:rPr>
            </w:pPr>
            <w:r w:rsidRPr="0061297D">
              <w:rPr>
                <w:lang w:val="en-GB"/>
              </w:rPr>
              <w:t>7.22</w:t>
            </w:r>
          </w:p>
        </w:tc>
      </w:tr>
      <w:tr w:rsidR="007B7652" w:rsidRPr="0061297D" w14:paraId="24640A8C" w14:textId="77777777" w:rsidTr="00F64106">
        <w:trPr>
          <w:jc w:val="center"/>
        </w:trPr>
        <w:tc>
          <w:tcPr>
            <w:tcW w:w="4137" w:type="dxa"/>
          </w:tcPr>
          <w:p w14:paraId="33F562D7" w14:textId="77777777" w:rsidR="007B7652" w:rsidRPr="0061297D" w:rsidRDefault="007B7652" w:rsidP="00CE318F">
            <w:pPr>
              <w:spacing w:after="40" w:line="276" w:lineRule="auto"/>
              <w:rPr>
                <w:lang w:val="en-GB"/>
              </w:rPr>
            </w:pPr>
            <w:r>
              <w:rPr>
                <w:lang w:val="en-GB"/>
              </w:rPr>
              <w:t>SHARE</w:t>
            </w:r>
            <w:r w:rsidRPr="0061297D">
              <w:rPr>
                <w:lang w:val="en-GB"/>
              </w:rPr>
              <w:t xml:space="preserve"> Frailty Instrument</w:t>
            </w:r>
          </w:p>
        </w:tc>
        <w:tc>
          <w:tcPr>
            <w:tcW w:w="1550" w:type="dxa"/>
          </w:tcPr>
          <w:p w14:paraId="67DD9DC8" w14:textId="77777777" w:rsidR="007B7652" w:rsidRPr="0061297D" w:rsidRDefault="007B7652" w:rsidP="00CE318F">
            <w:pPr>
              <w:spacing w:after="40" w:line="276" w:lineRule="auto"/>
              <w:rPr>
                <w:lang w:val="en-GB"/>
              </w:rPr>
            </w:pPr>
            <w:r w:rsidRPr="0061297D">
              <w:rPr>
                <w:lang w:val="en-GB"/>
              </w:rPr>
              <w:t>16</w:t>
            </w:r>
          </w:p>
        </w:tc>
        <w:tc>
          <w:tcPr>
            <w:tcW w:w="1143" w:type="dxa"/>
          </w:tcPr>
          <w:p w14:paraId="3BFAED07" w14:textId="77777777" w:rsidR="007B7652" w:rsidRPr="0061297D" w:rsidRDefault="007B7652" w:rsidP="00CE318F">
            <w:pPr>
              <w:spacing w:after="40" w:line="276" w:lineRule="auto"/>
              <w:rPr>
                <w:lang w:val="en-GB"/>
              </w:rPr>
            </w:pPr>
            <w:r w:rsidRPr="0061297D">
              <w:rPr>
                <w:lang w:val="en-GB"/>
              </w:rPr>
              <w:t>4.12</w:t>
            </w:r>
          </w:p>
        </w:tc>
      </w:tr>
      <w:tr w:rsidR="007B7652" w:rsidRPr="0061297D" w14:paraId="3A9595B0" w14:textId="77777777" w:rsidTr="00F64106">
        <w:trPr>
          <w:jc w:val="center"/>
        </w:trPr>
        <w:tc>
          <w:tcPr>
            <w:tcW w:w="4137" w:type="dxa"/>
          </w:tcPr>
          <w:p w14:paraId="2CF57101" w14:textId="77777777" w:rsidR="007B7652" w:rsidRPr="0061297D" w:rsidRDefault="007B7652" w:rsidP="00CE318F">
            <w:pPr>
              <w:spacing w:after="40" w:line="276" w:lineRule="auto"/>
              <w:rPr>
                <w:lang w:val="en-GB"/>
              </w:rPr>
            </w:pPr>
            <w:r>
              <w:rPr>
                <w:lang w:val="en-GB"/>
              </w:rPr>
              <w:t>SEGA</w:t>
            </w:r>
            <w:r w:rsidRPr="0061297D">
              <w:rPr>
                <w:lang w:val="en-GB"/>
              </w:rPr>
              <w:t xml:space="preserve"> grid</w:t>
            </w:r>
          </w:p>
        </w:tc>
        <w:tc>
          <w:tcPr>
            <w:tcW w:w="1550" w:type="dxa"/>
          </w:tcPr>
          <w:p w14:paraId="5EFD0C87" w14:textId="77777777" w:rsidR="007B7652" w:rsidRPr="0061297D" w:rsidRDefault="007B7652" w:rsidP="00CE318F">
            <w:pPr>
              <w:spacing w:after="40" w:line="276" w:lineRule="auto"/>
              <w:rPr>
                <w:lang w:val="en-GB"/>
              </w:rPr>
            </w:pPr>
            <w:r w:rsidRPr="0061297D">
              <w:rPr>
                <w:lang w:val="en-GB"/>
              </w:rPr>
              <w:t>15</w:t>
            </w:r>
          </w:p>
        </w:tc>
        <w:tc>
          <w:tcPr>
            <w:tcW w:w="1143" w:type="dxa"/>
          </w:tcPr>
          <w:p w14:paraId="2CD676BA" w14:textId="77777777" w:rsidR="007B7652" w:rsidRPr="0061297D" w:rsidRDefault="007B7652" w:rsidP="00CE318F">
            <w:pPr>
              <w:spacing w:after="40" w:line="276" w:lineRule="auto"/>
              <w:rPr>
                <w:lang w:val="en-GB"/>
              </w:rPr>
            </w:pPr>
            <w:r w:rsidRPr="0061297D">
              <w:rPr>
                <w:lang w:val="en-GB"/>
              </w:rPr>
              <w:t>3.87</w:t>
            </w:r>
          </w:p>
        </w:tc>
      </w:tr>
      <w:tr w:rsidR="007B7652" w:rsidRPr="0061297D" w14:paraId="058CD0F0" w14:textId="77777777" w:rsidTr="00F64106">
        <w:trPr>
          <w:jc w:val="center"/>
        </w:trPr>
        <w:tc>
          <w:tcPr>
            <w:tcW w:w="4137" w:type="dxa"/>
          </w:tcPr>
          <w:p w14:paraId="179C4BCB" w14:textId="77777777" w:rsidR="007B7652" w:rsidRPr="0061297D" w:rsidRDefault="007B7652" w:rsidP="00CE318F">
            <w:pPr>
              <w:spacing w:after="40" w:line="276" w:lineRule="auto"/>
              <w:rPr>
                <w:lang w:val="en-GB"/>
              </w:rPr>
            </w:pPr>
            <w:r w:rsidRPr="0061297D">
              <w:rPr>
                <w:lang w:val="en-GB"/>
              </w:rPr>
              <w:t>Groningen Frailty Indicator</w:t>
            </w:r>
          </w:p>
        </w:tc>
        <w:tc>
          <w:tcPr>
            <w:tcW w:w="1550" w:type="dxa"/>
          </w:tcPr>
          <w:p w14:paraId="62146FD4" w14:textId="77777777" w:rsidR="007B7652" w:rsidRPr="0061297D" w:rsidRDefault="007B7652" w:rsidP="00CE318F">
            <w:pPr>
              <w:spacing w:after="40" w:line="276" w:lineRule="auto"/>
              <w:rPr>
                <w:lang w:val="en-GB"/>
              </w:rPr>
            </w:pPr>
            <w:r w:rsidRPr="0061297D">
              <w:rPr>
                <w:lang w:val="en-GB"/>
              </w:rPr>
              <w:t>10</w:t>
            </w:r>
          </w:p>
        </w:tc>
        <w:tc>
          <w:tcPr>
            <w:tcW w:w="1143" w:type="dxa"/>
          </w:tcPr>
          <w:p w14:paraId="451303FD" w14:textId="77777777" w:rsidR="007B7652" w:rsidRPr="0061297D" w:rsidRDefault="007B7652" w:rsidP="00CE318F">
            <w:pPr>
              <w:spacing w:after="40" w:line="276" w:lineRule="auto"/>
              <w:rPr>
                <w:lang w:val="en-GB"/>
              </w:rPr>
            </w:pPr>
            <w:r w:rsidRPr="0061297D">
              <w:rPr>
                <w:lang w:val="en-GB"/>
              </w:rPr>
              <w:t>2.55</w:t>
            </w:r>
          </w:p>
        </w:tc>
      </w:tr>
      <w:tr w:rsidR="007B7652" w:rsidRPr="0061297D" w14:paraId="2807F01C" w14:textId="77777777" w:rsidTr="00F64106">
        <w:trPr>
          <w:jc w:val="center"/>
        </w:trPr>
        <w:tc>
          <w:tcPr>
            <w:tcW w:w="4137" w:type="dxa"/>
          </w:tcPr>
          <w:p w14:paraId="06383A5E" w14:textId="77777777" w:rsidR="007B7652" w:rsidRPr="0061297D" w:rsidRDefault="007B7652" w:rsidP="00CE318F">
            <w:pPr>
              <w:spacing w:after="40" w:line="276" w:lineRule="auto"/>
              <w:rPr>
                <w:lang w:val="en-GB"/>
              </w:rPr>
            </w:pPr>
            <w:r w:rsidRPr="0061297D">
              <w:rPr>
                <w:lang w:val="en-GB"/>
              </w:rPr>
              <w:t>Strawbridge questionnaire</w:t>
            </w:r>
          </w:p>
        </w:tc>
        <w:tc>
          <w:tcPr>
            <w:tcW w:w="1550" w:type="dxa"/>
          </w:tcPr>
          <w:p w14:paraId="3623DDF3" w14:textId="77777777" w:rsidR="007B7652" w:rsidRPr="0061297D" w:rsidRDefault="007B7652" w:rsidP="00CE318F">
            <w:pPr>
              <w:spacing w:after="40" w:line="276" w:lineRule="auto"/>
              <w:rPr>
                <w:lang w:val="en-GB"/>
              </w:rPr>
            </w:pPr>
            <w:r w:rsidRPr="0061297D">
              <w:rPr>
                <w:lang w:val="en-GB"/>
              </w:rPr>
              <w:t>8</w:t>
            </w:r>
          </w:p>
        </w:tc>
        <w:tc>
          <w:tcPr>
            <w:tcW w:w="1143" w:type="dxa"/>
          </w:tcPr>
          <w:p w14:paraId="190676CA" w14:textId="77777777" w:rsidR="007B7652" w:rsidRPr="0061297D" w:rsidRDefault="007B7652" w:rsidP="00CE318F">
            <w:pPr>
              <w:spacing w:after="40" w:line="276" w:lineRule="auto"/>
              <w:rPr>
                <w:lang w:val="en-GB"/>
              </w:rPr>
            </w:pPr>
            <w:r w:rsidRPr="0061297D">
              <w:rPr>
                <w:lang w:val="en-GB"/>
              </w:rPr>
              <w:t>2.06</w:t>
            </w:r>
          </w:p>
        </w:tc>
      </w:tr>
      <w:tr w:rsidR="007B7652" w:rsidRPr="0061297D" w14:paraId="1968BFA9" w14:textId="77777777" w:rsidTr="00F64106">
        <w:trPr>
          <w:jc w:val="center"/>
        </w:trPr>
        <w:tc>
          <w:tcPr>
            <w:tcW w:w="4137" w:type="dxa"/>
          </w:tcPr>
          <w:p w14:paraId="53933C03" w14:textId="77777777" w:rsidR="007B7652" w:rsidRPr="0061297D" w:rsidRDefault="007B7652" w:rsidP="00CE318F">
            <w:pPr>
              <w:spacing w:after="40" w:line="276" w:lineRule="auto"/>
              <w:rPr>
                <w:lang w:val="en-GB"/>
              </w:rPr>
            </w:pPr>
            <w:r w:rsidRPr="0061297D">
              <w:rPr>
                <w:lang w:val="en-GB"/>
              </w:rPr>
              <w:t>Tilburg Frailty Indicator</w:t>
            </w:r>
          </w:p>
        </w:tc>
        <w:tc>
          <w:tcPr>
            <w:tcW w:w="1550" w:type="dxa"/>
          </w:tcPr>
          <w:p w14:paraId="527210C3" w14:textId="77777777" w:rsidR="007B7652" w:rsidRPr="0061297D" w:rsidRDefault="007B7652" w:rsidP="00CE318F">
            <w:pPr>
              <w:spacing w:after="40" w:line="276" w:lineRule="auto"/>
              <w:rPr>
                <w:lang w:val="en-GB"/>
              </w:rPr>
            </w:pPr>
            <w:r w:rsidRPr="0061297D">
              <w:rPr>
                <w:lang w:val="en-GB"/>
              </w:rPr>
              <w:t>5</w:t>
            </w:r>
          </w:p>
        </w:tc>
        <w:tc>
          <w:tcPr>
            <w:tcW w:w="1143" w:type="dxa"/>
          </w:tcPr>
          <w:p w14:paraId="7CF9E23A" w14:textId="77777777" w:rsidR="007B7652" w:rsidRPr="0061297D" w:rsidRDefault="007B7652" w:rsidP="00CE318F">
            <w:pPr>
              <w:spacing w:after="40" w:line="276" w:lineRule="auto"/>
              <w:rPr>
                <w:lang w:val="en-GB"/>
              </w:rPr>
            </w:pPr>
            <w:r w:rsidRPr="0061297D">
              <w:rPr>
                <w:lang w:val="en-GB"/>
              </w:rPr>
              <w:t>1.29</w:t>
            </w:r>
          </w:p>
        </w:tc>
      </w:tr>
      <w:tr w:rsidR="007B7652" w:rsidRPr="0061297D" w14:paraId="210906A7" w14:textId="77777777" w:rsidTr="00F64106">
        <w:trPr>
          <w:jc w:val="center"/>
        </w:trPr>
        <w:tc>
          <w:tcPr>
            <w:tcW w:w="4137" w:type="dxa"/>
            <w:tcBorders>
              <w:bottom w:val="single" w:sz="4" w:space="0" w:color="auto"/>
            </w:tcBorders>
          </w:tcPr>
          <w:p w14:paraId="628D8225" w14:textId="77777777" w:rsidR="007B7652" w:rsidRPr="0061297D" w:rsidRDefault="007B7652" w:rsidP="00CE318F">
            <w:pPr>
              <w:spacing w:after="40" w:line="276" w:lineRule="auto"/>
              <w:rPr>
                <w:lang w:val="en-GB"/>
              </w:rPr>
            </w:pPr>
            <w:r w:rsidRPr="0061297D">
              <w:rPr>
                <w:lang w:val="en-GB"/>
              </w:rPr>
              <w:t>Other</w:t>
            </w:r>
          </w:p>
        </w:tc>
        <w:tc>
          <w:tcPr>
            <w:tcW w:w="1550" w:type="dxa"/>
            <w:tcBorders>
              <w:bottom w:val="single" w:sz="4" w:space="0" w:color="auto"/>
            </w:tcBorders>
          </w:tcPr>
          <w:p w14:paraId="69C6B7C8" w14:textId="77777777" w:rsidR="007B7652" w:rsidRPr="0061297D" w:rsidRDefault="007B7652" w:rsidP="00CE318F">
            <w:pPr>
              <w:spacing w:after="40" w:line="276" w:lineRule="auto"/>
              <w:rPr>
                <w:lang w:val="en-GB"/>
              </w:rPr>
            </w:pPr>
            <w:r w:rsidRPr="0061297D">
              <w:rPr>
                <w:lang w:val="en-GB"/>
              </w:rPr>
              <w:t>160</w:t>
            </w:r>
          </w:p>
        </w:tc>
        <w:tc>
          <w:tcPr>
            <w:tcW w:w="1143" w:type="dxa"/>
            <w:tcBorders>
              <w:bottom w:val="single" w:sz="4" w:space="0" w:color="auto"/>
            </w:tcBorders>
          </w:tcPr>
          <w:p w14:paraId="0785548B" w14:textId="77777777" w:rsidR="007B7652" w:rsidRPr="0061297D" w:rsidRDefault="007B7652" w:rsidP="00CE318F">
            <w:pPr>
              <w:spacing w:after="40" w:line="276" w:lineRule="auto"/>
              <w:rPr>
                <w:lang w:val="en-GB"/>
              </w:rPr>
            </w:pPr>
            <w:r w:rsidRPr="0061297D">
              <w:rPr>
                <w:lang w:val="en-GB"/>
              </w:rPr>
              <w:t>41.2</w:t>
            </w:r>
          </w:p>
        </w:tc>
      </w:tr>
    </w:tbl>
    <w:p w14:paraId="72510A4F" w14:textId="77777777" w:rsidR="007B7652" w:rsidRPr="0061297D" w:rsidRDefault="007B7652" w:rsidP="00CE318F">
      <w:pPr>
        <w:spacing w:line="276" w:lineRule="auto"/>
        <w:rPr>
          <w:lang w:val="en-GB"/>
        </w:rPr>
      </w:pPr>
    </w:p>
    <w:p w14:paraId="2A056A24" w14:textId="77777777" w:rsidR="007B7652" w:rsidRDefault="007B7652" w:rsidP="0088448E">
      <w:pPr>
        <w:spacing w:line="276" w:lineRule="auto"/>
        <w:jc w:val="both"/>
        <w:rPr>
          <w:lang w:val="en-GB"/>
        </w:rPr>
      </w:pPr>
      <w:r w:rsidRPr="000D4E48">
        <w:rPr>
          <w:lang w:val="en-GB"/>
        </w:rPr>
        <w:t>It is interesting to note that a similar pattern is observed in European countries and non-European ones. The most used tool was is both cases the gait speed (42.9% in Europe and 54.8% in the rest of the world).  The Clinical Frailty Scale was used by 34.4% of the clinicians in Europe and by 33.3% out of Europe. The SPPB test was used by respectively 30.6% and 26.2% of the clinicians in Europe and out of Europe. Our survey also highlighted that clinicians working in a University or a University Hospital were not more likely to use frailty assessment tools than their counterparts working in general hospitals.</w:t>
      </w:r>
    </w:p>
    <w:p w14:paraId="2CC5C138" w14:textId="1D0016C1" w:rsidR="007B7652" w:rsidRPr="0061297D" w:rsidRDefault="007B7652" w:rsidP="00CE318F">
      <w:pPr>
        <w:spacing w:line="276" w:lineRule="auto"/>
        <w:jc w:val="both"/>
        <w:rPr>
          <w:lang w:val="en-GB"/>
        </w:rPr>
      </w:pPr>
      <w:r w:rsidRPr="0061297D">
        <w:rPr>
          <w:lang w:val="en-GB"/>
        </w:rPr>
        <w:t xml:space="preserve">Among the most widely </w:t>
      </w:r>
      <w:r>
        <w:rPr>
          <w:lang w:val="en-GB"/>
        </w:rPr>
        <w:t>adopted</w:t>
      </w:r>
      <w:r w:rsidRPr="0061297D">
        <w:rPr>
          <w:lang w:val="en-GB"/>
        </w:rPr>
        <w:t xml:space="preserve"> tool</w:t>
      </w:r>
      <w:r>
        <w:rPr>
          <w:lang w:val="en-GB"/>
        </w:rPr>
        <w:t>s</w:t>
      </w:r>
      <w:r w:rsidRPr="0061297D">
        <w:rPr>
          <w:lang w:val="en-GB"/>
        </w:rPr>
        <w:t xml:space="preserve">, a specific cut-off was used by 35.3% of the clinicians for gait speed and by 24.8% of the clinicians for the SPPB. Almost half of the clinicians </w:t>
      </w:r>
      <w:r w:rsidR="00E6616C">
        <w:rPr>
          <w:lang w:val="en-GB"/>
        </w:rPr>
        <w:t xml:space="preserve">using the SPPB in their clinical practice </w:t>
      </w:r>
      <w:r w:rsidRPr="0061297D">
        <w:rPr>
          <w:lang w:val="en-GB"/>
        </w:rPr>
        <w:t xml:space="preserve">(44.8%) used the </w:t>
      </w:r>
      <w:r>
        <w:rPr>
          <w:lang w:val="en-GB"/>
        </w:rPr>
        <w:t>8</w:t>
      </w:r>
      <w:r w:rsidRPr="0061297D">
        <w:rPr>
          <w:lang w:val="en-GB"/>
        </w:rPr>
        <w:t>-point cut-off. Among those who assess</w:t>
      </w:r>
      <w:r>
        <w:rPr>
          <w:lang w:val="en-GB"/>
        </w:rPr>
        <w:t>ed</w:t>
      </w:r>
      <w:r w:rsidRPr="0061297D">
        <w:rPr>
          <w:lang w:val="en-GB"/>
        </w:rPr>
        <w:t xml:space="preserve"> gait speed in their clinical practice, 64.9% used the cut-off of 0.8m/s to diagnose frailty. </w:t>
      </w:r>
    </w:p>
    <w:p w14:paraId="39924887" w14:textId="77777777" w:rsidR="007B7652" w:rsidRDefault="007B7652" w:rsidP="00CE318F">
      <w:pPr>
        <w:spacing w:line="276" w:lineRule="auto"/>
        <w:jc w:val="both"/>
        <w:rPr>
          <w:lang w:val="en-GB"/>
        </w:rPr>
      </w:pPr>
      <w:r w:rsidRPr="0061297D">
        <w:rPr>
          <w:lang w:val="en-GB"/>
        </w:rPr>
        <w:t xml:space="preserve">The most frequently cited reasons why clinicians always assess frailty in their clinical practice </w:t>
      </w:r>
      <w:r>
        <w:rPr>
          <w:lang w:val="en-GB"/>
        </w:rPr>
        <w:t>we</w:t>
      </w:r>
      <w:r w:rsidRPr="0061297D">
        <w:rPr>
          <w:lang w:val="en-GB"/>
        </w:rPr>
        <w:t>re</w:t>
      </w:r>
      <w:r>
        <w:rPr>
          <w:lang w:val="en-GB"/>
        </w:rPr>
        <w:t>:</w:t>
      </w:r>
      <w:r w:rsidRPr="0061297D">
        <w:rPr>
          <w:lang w:val="en-GB"/>
        </w:rPr>
        <w:t xml:space="preserve"> (1) frail </w:t>
      </w:r>
      <w:r>
        <w:rPr>
          <w:lang w:val="en-GB"/>
        </w:rPr>
        <w:t>o</w:t>
      </w:r>
      <w:r w:rsidRPr="0061297D">
        <w:rPr>
          <w:lang w:val="en-GB"/>
        </w:rPr>
        <w:t xml:space="preserve">lder </w:t>
      </w:r>
      <w:r>
        <w:rPr>
          <w:lang w:val="en-GB"/>
        </w:rPr>
        <w:t xml:space="preserve">people </w:t>
      </w:r>
      <w:r w:rsidRPr="0061297D">
        <w:rPr>
          <w:lang w:val="en-GB"/>
        </w:rPr>
        <w:t>are at high risk of adverse outcomes (i.e. falls, hospitali</w:t>
      </w:r>
      <w:r>
        <w:rPr>
          <w:lang w:val="en-GB"/>
        </w:rPr>
        <w:t>s</w:t>
      </w:r>
      <w:r w:rsidRPr="0061297D">
        <w:rPr>
          <w:lang w:val="en-GB"/>
        </w:rPr>
        <w:t>ations and death)</w:t>
      </w:r>
      <w:r>
        <w:rPr>
          <w:lang w:val="en-GB"/>
        </w:rPr>
        <w:t>,</w:t>
      </w:r>
      <w:r w:rsidRPr="0061297D">
        <w:rPr>
          <w:lang w:val="en-GB"/>
        </w:rPr>
        <w:t xml:space="preserve"> and (2) its presence may affect the clinical decision. </w:t>
      </w:r>
      <w:r>
        <w:rPr>
          <w:lang w:val="en-GB"/>
        </w:rPr>
        <w:t xml:space="preserve">It is noteworthy </w:t>
      </w:r>
      <w:r w:rsidRPr="0061297D">
        <w:rPr>
          <w:lang w:val="en-GB"/>
        </w:rPr>
        <w:t>that 71.</w:t>
      </w:r>
      <w:r>
        <w:rPr>
          <w:lang w:val="en-GB"/>
        </w:rPr>
        <w:t>6</w:t>
      </w:r>
      <w:r w:rsidRPr="0061297D">
        <w:rPr>
          <w:lang w:val="en-GB"/>
        </w:rPr>
        <w:t>% of the clinicians always assess frail</w:t>
      </w:r>
      <w:r>
        <w:rPr>
          <w:lang w:val="en-GB"/>
        </w:rPr>
        <w:t>t</w:t>
      </w:r>
      <w:r w:rsidRPr="0061297D">
        <w:rPr>
          <w:lang w:val="en-GB"/>
        </w:rPr>
        <w:t>y because</w:t>
      </w:r>
      <w:r>
        <w:rPr>
          <w:lang w:val="en-GB"/>
        </w:rPr>
        <w:t xml:space="preserve"> of a combination of several</w:t>
      </w:r>
      <w:r w:rsidRPr="0061297D">
        <w:rPr>
          <w:lang w:val="en-GB"/>
        </w:rPr>
        <w:t xml:space="preserve"> factors. The combination “Because it is recommended to measure frailty among </w:t>
      </w:r>
      <w:r>
        <w:rPr>
          <w:lang w:val="en-GB"/>
        </w:rPr>
        <w:t>older people"</w:t>
      </w:r>
      <w:r w:rsidRPr="0061297D">
        <w:rPr>
          <w:lang w:val="en-GB"/>
        </w:rPr>
        <w:t xml:space="preserve"> AND </w:t>
      </w:r>
      <w:r>
        <w:rPr>
          <w:lang w:val="en-GB"/>
        </w:rPr>
        <w:t>"</w:t>
      </w:r>
      <w:r w:rsidRPr="0061297D">
        <w:rPr>
          <w:lang w:val="en-GB"/>
        </w:rPr>
        <w:t>because the prevalence of frailty is high</w:t>
      </w:r>
      <w:r>
        <w:rPr>
          <w:lang w:val="en-GB"/>
        </w:rPr>
        <w:t>"</w:t>
      </w:r>
      <w:r w:rsidRPr="0061297D">
        <w:rPr>
          <w:lang w:val="en-GB"/>
        </w:rPr>
        <w:t xml:space="preserve"> AND </w:t>
      </w:r>
      <w:r>
        <w:rPr>
          <w:lang w:val="en-GB"/>
        </w:rPr>
        <w:t>"</w:t>
      </w:r>
      <w:r w:rsidRPr="0061297D">
        <w:rPr>
          <w:lang w:val="en-GB"/>
        </w:rPr>
        <w:t xml:space="preserve">because frail </w:t>
      </w:r>
      <w:r>
        <w:rPr>
          <w:lang w:val="en-GB"/>
        </w:rPr>
        <w:t>o</w:t>
      </w:r>
      <w:r w:rsidRPr="0061297D">
        <w:rPr>
          <w:lang w:val="en-GB"/>
        </w:rPr>
        <w:t xml:space="preserve">lder </w:t>
      </w:r>
      <w:r>
        <w:rPr>
          <w:lang w:val="en-GB"/>
        </w:rPr>
        <w:t xml:space="preserve">people </w:t>
      </w:r>
      <w:r w:rsidRPr="0061297D">
        <w:rPr>
          <w:lang w:val="en-GB"/>
        </w:rPr>
        <w:t>are at high risk of falls, hospitali</w:t>
      </w:r>
      <w:r>
        <w:rPr>
          <w:lang w:val="en-GB"/>
        </w:rPr>
        <w:t>s</w:t>
      </w:r>
      <w:r w:rsidRPr="0061297D">
        <w:rPr>
          <w:lang w:val="en-GB"/>
        </w:rPr>
        <w:t>ations</w:t>
      </w:r>
      <w:r>
        <w:rPr>
          <w:lang w:val="en-GB"/>
        </w:rPr>
        <w:t xml:space="preserve"> and </w:t>
      </w:r>
      <w:r w:rsidRPr="0061297D">
        <w:rPr>
          <w:lang w:val="en-GB"/>
        </w:rPr>
        <w:t>death</w:t>
      </w:r>
      <w:r>
        <w:rPr>
          <w:lang w:val="en-GB"/>
        </w:rPr>
        <w:t>"</w:t>
      </w:r>
      <w:r w:rsidRPr="0061297D">
        <w:rPr>
          <w:lang w:val="en-GB"/>
        </w:rPr>
        <w:t xml:space="preserve"> AND </w:t>
      </w:r>
      <w:r>
        <w:rPr>
          <w:lang w:val="en-GB"/>
        </w:rPr>
        <w:t>"</w:t>
      </w:r>
      <w:r w:rsidRPr="0061297D">
        <w:rPr>
          <w:lang w:val="en-GB"/>
        </w:rPr>
        <w:t>because its presence may affect the clinical decision” was the most frequently reported combination</w:t>
      </w:r>
      <w:r>
        <w:rPr>
          <w:lang w:val="en-GB"/>
        </w:rPr>
        <w:t xml:space="preserve">, </w:t>
      </w:r>
      <w:r w:rsidRPr="0061297D">
        <w:rPr>
          <w:lang w:val="en-GB"/>
        </w:rPr>
        <w:t>reported by 13 clinicians (6.84%)</w:t>
      </w:r>
      <w:r>
        <w:rPr>
          <w:lang w:val="en-GB"/>
        </w:rPr>
        <w:t xml:space="preserve"> </w:t>
      </w:r>
      <w:proofErr w:type="gramStart"/>
      <w:r>
        <w:rPr>
          <w:lang w:val="en-GB"/>
        </w:rPr>
        <w:t>(Table 2)</w:t>
      </w:r>
      <w:r w:rsidRPr="0061297D">
        <w:rPr>
          <w:lang w:val="en-GB"/>
        </w:rPr>
        <w:t>.</w:t>
      </w:r>
      <w:proofErr w:type="gramEnd"/>
    </w:p>
    <w:p w14:paraId="3BF52BF3" w14:textId="77777777" w:rsidR="007B7652" w:rsidRPr="0061297D" w:rsidRDefault="007B7652" w:rsidP="00CE318F">
      <w:pPr>
        <w:spacing w:line="276" w:lineRule="auto"/>
        <w:jc w:val="both"/>
        <w:rPr>
          <w:lang w:val="en-GB"/>
        </w:rPr>
      </w:pPr>
    </w:p>
    <w:tbl>
      <w:tblPr>
        <w:tblStyle w:val="TableGrid"/>
        <w:tblW w:w="9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7"/>
        <w:gridCol w:w="1134"/>
        <w:gridCol w:w="1827"/>
      </w:tblGrid>
      <w:tr w:rsidR="007B7652" w:rsidRPr="00691C4F" w14:paraId="73C8B907" w14:textId="77777777" w:rsidTr="00CE318F">
        <w:tc>
          <w:tcPr>
            <w:tcW w:w="9448" w:type="dxa"/>
            <w:gridSpan w:val="3"/>
            <w:tcBorders>
              <w:bottom w:val="single" w:sz="4" w:space="0" w:color="auto"/>
            </w:tcBorders>
          </w:tcPr>
          <w:p w14:paraId="47A3D900" w14:textId="01E1CCC0" w:rsidR="007B7652" w:rsidRPr="000B1A17" w:rsidRDefault="007B7652" w:rsidP="00CE318F">
            <w:pPr>
              <w:spacing w:after="40" w:line="276" w:lineRule="auto"/>
              <w:rPr>
                <w:b/>
                <w:bCs/>
                <w:lang w:val="en-GB"/>
              </w:rPr>
            </w:pPr>
            <w:r w:rsidRPr="000B1A17">
              <w:rPr>
                <w:b/>
                <w:bCs/>
                <w:lang w:val="en-GB"/>
              </w:rPr>
              <w:t xml:space="preserve">Table 2 : </w:t>
            </w:r>
            <w:r>
              <w:rPr>
                <w:b/>
                <w:bCs/>
                <w:lang w:val="en-GB"/>
              </w:rPr>
              <w:t xml:space="preserve">Main </w:t>
            </w:r>
            <w:r w:rsidRPr="000B1A17">
              <w:rPr>
                <w:b/>
                <w:bCs/>
                <w:lang w:val="en-GB"/>
              </w:rPr>
              <w:t>Reasons given by clinicians for always assessing frailty</w:t>
            </w:r>
            <w:r>
              <w:rPr>
                <w:b/>
                <w:bCs/>
                <w:lang w:val="en-GB"/>
              </w:rPr>
              <w:t xml:space="preserve"> (n=</w:t>
            </w:r>
            <w:r w:rsidR="00E6616C">
              <w:rPr>
                <w:b/>
                <w:bCs/>
                <w:lang w:val="en-GB"/>
              </w:rPr>
              <w:t>212</w:t>
            </w:r>
            <w:r>
              <w:rPr>
                <w:b/>
                <w:bCs/>
                <w:lang w:val="en-GB"/>
              </w:rPr>
              <w:t>)</w:t>
            </w:r>
          </w:p>
        </w:tc>
      </w:tr>
      <w:tr w:rsidR="007B7652" w:rsidRPr="000B1A17" w14:paraId="35E5AB10" w14:textId="77777777" w:rsidTr="00CE318F">
        <w:tc>
          <w:tcPr>
            <w:tcW w:w="6487" w:type="dxa"/>
            <w:tcBorders>
              <w:top w:val="single" w:sz="4" w:space="0" w:color="auto"/>
              <w:bottom w:val="single" w:sz="4" w:space="0" w:color="auto"/>
            </w:tcBorders>
          </w:tcPr>
          <w:p w14:paraId="766F2E30" w14:textId="77777777" w:rsidR="007B7652" w:rsidRPr="000B1A17" w:rsidRDefault="007B7652" w:rsidP="00CE318F">
            <w:pPr>
              <w:spacing w:after="40" w:line="276" w:lineRule="auto"/>
              <w:rPr>
                <w:lang w:val="en-GB"/>
              </w:rPr>
            </w:pPr>
            <w:r w:rsidRPr="000B1A17">
              <w:rPr>
                <w:b/>
                <w:bCs/>
                <w:lang w:val="en-GB"/>
              </w:rPr>
              <w:t xml:space="preserve">Reasons </w:t>
            </w:r>
          </w:p>
        </w:tc>
        <w:tc>
          <w:tcPr>
            <w:tcW w:w="1134" w:type="dxa"/>
            <w:tcBorders>
              <w:top w:val="single" w:sz="4" w:space="0" w:color="auto"/>
              <w:bottom w:val="single" w:sz="4" w:space="0" w:color="auto"/>
            </w:tcBorders>
          </w:tcPr>
          <w:p w14:paraId="224BCFF7" w14:textId="77777777" w:rsidR="007B7652" w:rsidRPr="000B1A17" w:rsidRDefault="007B7652" w:rsidP="00CE318F">
            <w:pPr>
              <w:spacing w:after="40" w:line="276" w:lineRule="auto"/>
              <w:rPr>
                <w:b/>
                <w:bCs/>
                <w:lang w:val="en-GB"/>
              </w:rPr>
            </w:pPr>
            <w:r w:rsidRPr="000B1A17">
              <w:rPr>
                <w:b/>
                <w:bCs/>
                <w:lang w:val="en-GB"/>
              </w:rPr>
              <w:t>Number</w:t>
            </w:r>
          </w:p>
        </w:tc>
        <w:tc>
          <w:tcPr>
            <w:tcW w:w="1827" w:type="dxa"/>
            <w:tcBorders>
              <w:top w:val="single" w:sz="4" w:space="0" w:color="auto"/>
              <w:bottom w:val="single" w:sz="4" w:space="0" w:color="auto"/>
            </w:tcBorders>
          </w:tcPr>
          <w:p w14:paraId="5175F931" w14:textId="77777777" w:rsidR="007B7652" w:rsidRPr="000B1A17" w:rsidRDefault="007B7652" w:rsidP="00CE318F">
            <w:pPr>
              <w:spacing w:after="40" w:line="276" w:lineRule="auto"/>
              <w:rPr>
                <w:b/>
                <w:bCs/>
                <w:lang w:val="en-GB"/>
              </w:rPr>
            </w:pPr>
            <w:r w:rsidRPr="000B1A17">
              <w:rPr>
                <w:b/>
                <w:bCs/>
                <w:lang w:val="en-GB"/>
              </w:rPr>
              <w:t>Frequency (%)</w:t>
            </w:r>
          </w:p>
        </w:tc>
      </w:tr>
      <w:tr w:rsidR="007B7652" w:rsidRPr="000B1A17" w14:paraId="146EF95D" w14:textId="77777777" w:rsidTr="00CE318F">
        <w:tc>
          <w:tcPr>
            <w:tcW w:w="6487" w:type="dxa"/>
            <w:tcBorders>
              <w:top w:val="single" w:sz="4" w:space="0" w:color="auto"/>
            </w:tcBorders>
          </w:tcPr>
          <w:p w14:paraId="46E04B9F" w14:textId="77777777" w:rsidR="007B7652" w:rsidRPr="000B1A17" w:rsidRDefault="007B7652" w:rsidP="00CE318F">
            <w:pPr>
              <w:spacing w:after="40" w:line="276" w:lineRule="auto"/>
              <w:rPr>
                <w:lang w:val="en-GB"/>
              </w:rPr>
            </w:pPr>
            <w:r w:rsidRPr="000B1A17">
              <w:rPr>
                <w:lang w:val="en-GB"/>
              </w:rPr>
              <w:t xml:space="preserve">Because frail </w:t>
            </w:r>
            <w:r>
              <w:rPr>
                <w:lang w:val="en-GB"/>
              </w:rPr>
              <w:t>older people</w:t>
            </w:r>
            <w:r w:rsidRPr="000B1A17">
              <w:rPr>
                <w:lang w:val="en-GB"/>
              </w:rPr>
              <w:t xml:space="preserve"> are at high risk of falls, hospitalisations, death</w:t>
            </w:r>
          </w:p>
        </w:tc>
        <w:tc>
          <w:tcPr>
            <w:tcW w:w="1134" w:type="dxa"/>
            <w:tcBorders>
              <w:top w:val="single" w:sz="4" w:space="0" w:color="auto"/>
            </w:tcBorders>
          </w:tcPr>
          <w:p w14:paraId="25C1DF31" w14:textId="77777777" w:rsidR="007B7652" w:rsidRPr="000B1A17" w:rsidRDefault="007B7652" w:rsidP="00CE318F">
            <w:pPr>
              <w:spacing w:after="40" w:line="276" w:lineRule="auto"/>
              <w:rPr>
                <w:lang w:val="en-GB"/>
              </w:rPr>
            </w:pPr>
            <w:r w:rsidRPr="000B1A17">
              <w:rPr>
                <w:lang w:val="en-GB"/>
              </w:rPr>
              <w:t>21</w:t>
            </w:r>
          </w:p>
        </w:tc>
        <w:tc>
          <w:tcPr>
            <w:tcW w:w="1827" w:type="dxa"/>
            <w:tcBorders>
              <w:top w:val="single" w:sz="4" w:space="0" w:color="auto"/>
            </w:tcBorders>
          </w:tcPr>
          <w:p w14:paraId="199C18C5" w14:textId="77777777" w:rsidR="007B7652" w:rsidRPr="000B1A17" w:rsidRDefault="007B7652" w:rsidP="00CE318F">
            <w:pPr>
              <w:spacing w:after="40" w:line="276" w:lineRule="auto"/>
              <w:rPr>
                <w:lang w:val="en-GB"/>
              </w:rPr>
            </w:pPr>
            <w:r w:rsidRPr="000B1A17">
              <w:rPr>
                <w:lang w:val="en-GB"/>
              </w:rPr>
              <w:t>11.05</w:t>
            </w:r>
          </w:p>
        </w:tc>
      </w:tr>
      <w:tr w:rsidR="007B7652" w:rsidRPr="000B1A17" w14:paraId="007FF607" w14:textId="77777777" w:rsidTr="00CE318F">
        <w:tc>
          <w:tcPr>
            <w:tcW w:w="6487" w:type="dxa"/>
          </w:tcPr>
          <w:p w14:paraId="00611651" w14:textId="77777777" w:rsidR="007B7652" w:rsidRPr="000B1A17" w:rsidRDefault="007B7652" w:rsidP="00CE318F">
            <w:pPr>
              <w:spacing w:after="40" w:line="276" w:lineRule="auto"/>
              <w:rPr>
                <w:lang w:val="en-GB"/>
              </w:rPr>
            </w:pPr>
            <w:r w:rsidRPr="000B1A17">
              <w:rPr>
                <w:lang w:val="en-GB"/>
              </w:rPr>
              <w:t>Because its presence may affect my clinical decision</w:t>
            </w:r>
          </w:p>
        </w:tc>
        <w:tc>
          <w:tcPr>
            <w:tcW w:w="1134" w:type="dxa"/>
          </w:tcPr>
          <w:p w14:paraId="27A1D760" w14:textId="77777777" w:rsidR="007B7652" w:rsidRPr="000B1A17" w:rsidRDefault="007B7652" w:rsidP="00CE318F">
            <w:pPr>
              <w:spacing w:after="40" w:line="276" w:lineRule="auto"/>
              <w:rPr>
                <w:lang w:val="en-GB"/>
              </w:rPr>
            </w:pPr>
            <w:r w:rsidRPr="000B1A17">
              <w:rPr>
                <w:lang w:val="en-GB"/>
              </w:rPr>
              <w:t>19</w:t>
            </w:r>
          </w:p>
        </w:tc>
        <w:tc>
          <w:tcPr>
            <w:tcW w:w="1827" w:type="dxa"/>
          </w:tcPr>
          <w:p w14:paraId="06D04F54" w14:textId="77777777" w:rsidR="007B7652" w:rsidRPr="000B1A17" w:rsidRDefault="007B7652" w:rsidP="00CE318F">
            <w:pPr>
              <w:spacing w:after="40" w:line="276" w:lineRule="auto"/>
              <w:rPr>
                <w:lang w:val="en-GB"/>
              </w:rPr>
            </w:pPr>
            <w:r w:rsidRPr="000B1A17">
              <w:rPr>
                <w:lang w:val="en-GB"/>
              </w:rPr>
              <w:t>10</w:t>
            </w:r>
          </w:p>
        </w:tc>
      </w:tr>
      <w:tr w:rsidR="007B7652" w:rsidRPr="000B1A17" w14:paraId="0FA59AF7" w14:textId="77777777" w:rsidTr="00CE318F">
        <w:tc>
          <w:tcPr>
            <w:tcW w:w="6487" w:type="dxa"/>
          </w:tcPr>
          <w:p w14:paraId="480E19F9" w14:textId="77777777" w:rsidR="007B7652" w:rsidRPr="000B1A17" w:rsidRDefault="007B7652" w:rsidP="00CE318F">
            <w:pPr>
              <w:spacing w:after="40" w:line="276" w:lineRule="auto"/>
              <w:rPr>
                <w:lang w:val="en-GB"/>
              </w:rPr>
            </w:pPr>
            <w:r w:rsidRPr="000B1A17">
              <w:rPr>
                <w:lang w:val="en-GB"/>
              </w:rPr>
              <w:t>Because the prevalence of frailty is high</w:t>
            </w:r>
          </w:p>
        </w:tc>
        <w:tc>
          <w:tcPr>
            <w:tcW w:w="1134" w:type="dxa"/>
          </w:tcPr>
          <w:p w14:paraId="60073E79" w14:textId="77777777" w:rsidR="007B7652" w:rsidRPr="000B1A17" w:rsidRDefault="007B7652" w:rsidP="00CE318F">
            <w:pPr>
              <w:spacing w:after="40" w:line="276" w:lineRule="auto"/>
              <w:rPr>
                <w:lang w:val="en-GB"/>
              </w:rPr>
            </w:pPr>
            <w:r w:rsidRPr="000B1A17">
              <w:rPr>
                <w:lang w:val="en-GB"/>
              </w:rPr>
              <w:t>8</w:t>
            </w:r>
          </w:p>
        </w:tc>
        <w:tc>
          <w:tcPr>
            <w:tcW w:w="1827" w:type="dxa"/>
          </w:tcPr>
          <w:p w14:paraId="10F4852C" w14:textId="77777777" w:rsidR="007B7652" w:rsidRPr="000B1A17" w:rsidRDefault="007B7652" w:rsidP="00CE318F">
            <w:pPr>
              <w:spacing w:after="40" w:line="276" w:lineRule="auto"/>
              <w:rPr>
                <w:lang w:val="en-GB"/>
              </w:rPr>
            </w:pPr>
            <w:r w:rsidRPr="000B1A17">
              <w:rPr>
                <w:lang w:val="en-GB"/>
              </w:rPr>
              <w:t>4.21</w:t>
            </w:r>
          </w:p>
        </w:tc>
      </w:tr>
      <w:tr w:rsidR="007B7652" w:rsidRPr="000B1A17" w14:paraId="5DABB1A7" w14:textId="77777777" w:rsidTr="00CE318F">
        <w:tc>
          <w:tcPr>
            <w:tcW w:w="6487" w:type="dxa"/>
          </w:tcPr>
          <w:p w14:paraId="5F36AF20" w14:textId="77777777" w:rsidR="007B7652" w:rsidRPr="000B1A17" w:rsidRDefault="007B7652" w:rsidP="00CE318F">
            <w:pPr>
              <w:spacing w:after="40" w:line="276" w:lineRule="auto"/>
              <w:rPr>
                <w:lang w:val="en-GB"/>
              </w:rPr>
            </w:pPr>
            <w:r w:rsidRPr="000B1A17">
              <w:rPr>
                <w:lang w:val="en-GB"/>
              </w:rPr>
              <w:t xml:space="preserve">Because it is recommended to measure frailty among </w:t>
            </w:r>
            <w:r>
              <w:rPr>
                <w:lang w:val="en-GB"/>
              </w:rPr>
              <w:t>older people</w:t>
            </w:r>
          </w:p>
        </w:tc>
        <w:tc>
          <w:tcPr>
            <w:tcW w:w="1134" w:type="dxa"/>
          </w:tcPr>
          <w:p w14:paraId="4FE93DB5" w14:textId="77777777" w:rsidR="007B7652" w:rsidRPr="000B1A17" w:rsidRDefault="007B7652" w:rsidP="00CE318F">
            <w:pPr>
              <w:spacing w:after="40" w:line="276" w:lineRule="auto"/>
              <w:rPr>
                <w:lang w:val="en-GB"/>
              </w:rPr>
            </w:pPr>
            <w:r w:rsidRPr="000B1A17">
              <w:rPr>
                <w:lang w:val="en-GB"/>
              </w:rPr>
              <w:t>6</w:t>
            </w:r>
          </w:p>
        </w:tc>
        <w:tc>
          <w:tcPr>
            <w:tcW w:w="1827" w:type="dxa"/>
          </w:tcPr>
          <w:p w14:paraId="41F135DA" w14:textId="77777777" w:rsidR="007B7652" w:rsidRPr="000B1A17" w:rsidRDefault="007B7652" w:rsidP="00CE318F">
            <w:pPr>
              <w:spacing w:after="40" w:line="276" w:lineRule="auto"/>
              <w:rPr>
                <w:lang w:val="en-GB"/>
              </w:rPr>
            </w:pPr>
            <w:r w:rsidRPr="000B1A17">
              <w:rPr>
                <w:lang w:val="en-GB"/>
              </w:rPr>
              <w:t>3.16</w:t>
            </w:r>
          </w:p>
        </w:tc>
      </w:tr>
      <w:tr w:rsidR="007B7652" w:rsidRPr="000B1A17" w14:paraId="48F9C6AE" w14:textId="77777777" w:rsidTr="00CE318F">
        <w:tc>
          <w:tcPr>
            <w:tcW w:w="6487" w:type="dxa"/>
            <w:tcBorders>
              <w:bottom w:val="single" w:sz="4" w:space="0" w:color="auto"/>
            </w:tcBorders>
          </w:tcPr>
          <w:p w14:paraId="1ECB3C1F" w14:textId="77777777" w:rsidR="007B7652" w:rsidRPr="000B1A17" w:rsidRDefault="007B7652" w:rsidP="00CE318F">
            <w:pPr>
              <w:spacing w:after="40" w:line="276" w:lineRule="auto"/>
              <w:rPr>
                <w:lang w:val="en-GB"/>
              </w:rPr>
            </w:pPr>
            <w:r w:rsidRPr="000B1A17">
              <w:rPr>
                <w:lang w:val="en-GB"/>
              </w:rPr>
              <w:t>Combination of several factors</w:t>
            </w:r>
          </w:p>
        </w:tc>
        <w:tc>
          <w:tcPr>
            <w:tcW w:w="1134" w:type="dxa"/>
            <w:tcBorders>
              <w:bottom w:val="single" w:sz="4" w:space="0" w:color="auto"/>
            </w:tcBorders>
          </w:tcPr>
          <w:p w14:paraId="75CE2CAD" w14:textId="77777777" w:rsidR="007B7652" w:rsidRPr="000B1A17" w:rsidRDefault="007B7652" w:rsidP="00CE318F">
            <w:pPr>
              <w:spacing w:after="40" w:line="276" w:lineRule="auto"/>
              <w:rPr>
                <w:lang w:val="en-GB"/>
              </w:rPr>
            </w:pPr>
            <w:r w:rsidRPr="000B1A17">
              <w:rPr>
                <w:lang w:val="en-GB"/>
              </w:rPr>
              <w:t>136</w:t>
            </w:r>
          </w:p>
        </w:tc>
        <w:tc>
          <w:tcPr>
            <w:tcW w:w="1827" w:type="dxa"/>
            <w:tcBorders>
              <w:bottom w:val="single" w:sz="4" w:space="0" w:color="auto"/>
            </w:tcBorders>
          </w:tcPr>
          <w:p w14:paraId="0194EAA1" w14:textId="77777777" w:rsidR="007B7652" w:rsidRPr="000B1A17" w:rsidRDefault="007B7652" w:rsidP="00CE318F">
            <w:pPr>
              <w:spacing w:after="40" w:line="276" w:lineRule="auto"/>
              <w:rPr>
                <w:lang w:val="en-GB"/>
              </w:rPr>
            </w:pPr>
            <w:r w:rsidRPr="000B1A17">
              <w:rPr>
                <w:lang w:val="en-GB"/>
              </w:rPr>
              <w:t>71.</w:t>
            </w:r>
            <w:r>
              <w:rPr>
                <w:lang w:val="en-GB"/>
              </w:rPr>
              <w:t>6</w:t>
            </w:r>
          </w:p>
        </w:tc>
      </w:tr>
    </w:tbl>
    <w:p w14:paraId="3147D0CA" w14:textId="77777777" w:rsidR="007B7652" w:rsidRPr="0061297D" w:rsidRDefault="007B7652" w:rsidP="00CE318F">
      <w:pPr>
        <w:spacing w:line="276" w:lineRule="auto"/>
        <w:rPr>
          <w:lang w:val="en-GB"/>
        </w:rPr>
      </w:pPr>
    </w:p>
    <w:p w14:paraId="2B219094" w14:textId="77777777" w:rsidR="007B7652" w:rsidRPr="0061297D" w:rsidRDefault="007B7652" w:rsidP="00CE318F">
      <w:pPr>
        <w:spacing w:line="276" w:lineRule="auto"/>
        <w:jc w:val="both"/>
        <w:rPr>
          <w:lang w:val="en-GB"/>
        </w:rPr>
      </w:pPr>
      <w:r w:rsidRPr="0061297D">
        <w:rPr>
          <w:lang w:val="en-GB"/>
        </w:rPr>
        <w:t xml:space="preserve">Among those who </w:t>
      </w:r>
      <w:r>
        <w:rPr>
          <w:lang w:val="en-GB"/>
        </w:rPr>
        <w:t>"</w:t>
      </w:r>
      <w:r w:rsidRPr="0061297D">
        <w:rPr>
          <w:lang w:val="en-GB"/>
        </w:rPr>
        <w:t>sometimes</w:t>
      </w:r>
      <w:r>
        <w:rPr>
          <w:lang w:val="en-GB"/>
        </w:rPr>
        <w:t>"</w:t>
      </w:r>
      <w:r w:rsidRPr="0061297D">
        <w:rPr>
          <w:lang w:val="en-GB"/>
        </w:rPr>
        <w:t xml:space="preserve"> assess frailty, the most frequent reasons </w:t>
      </w:r>
      <w:r>
        <w:rPr>
          <w:lang w:val="en-GB"/>
        </w:rPr>
        <w:t xml:space="preserve">for conducting the evaluation </w:t>
      </w:r>
      <w:r w:rsidRPr="0061297D">
        <w:rPr>
          <w:lang w:val="en-GB"/>
        </w:rPr>
        <w:t xml:space="preserve">are </w:t>
      </w:r>
      <w:r>
        <w:rPr>
          <w:lang w:val="en-GB"/>
        </w:rPr>
        <w:t xml:space="preserve">that </w:t>
      </w:r>
      <w:r w:rsidRPr="0061297D">
        <w:rPr>
          <w:lang w:val="en-GB"/>
        </w:rPr>
        <w:t>(1)</w:t>
      </w:r>
      <w:r>
        <w:rPr>
          <w:lang w:val="en-GB"/>
        </w:rPr>
        <w:t xml:space="preserve"> </w:t>
      </w:r>
      <w:r w:rsidRPr="0061297D">
        <w:rPr>
          <w:lang w:val="en-GB"/>
        </w:rPr>
        <w:t xml:space="preserve">the patient seems frail (12.2%) and (2) the clinician may change </w:t>
      </w:r>
      <w:r>
        <w:rPr>
          <w:lang w:val="en-GB"/>
        </w:rPr>
        <w:t xml:space="preserve">his clinical decision according to the results of the test (7.43%). </w:t>
      </w:r>
      <w:r w:rsidRPr="0061297D">
        <w:rPr>
          <w:lang w:val="en-GB"/>
        </w:rPr>
        <w:t>Around 63% of the clinicians assess frailty when several combined factors are observed</w:t>
      </w:r>
      <w:r>
        <w:rPr>
          <w:lang w:val="en-GB"/>
        </w:rPr>
        <w:t>,</w:t>
      </w:r>
      <w:r w:rsidRPr="0061297D">
        <w:rPr>
          <w:lang w:val="en-GB"/>
        </w:rPr>
        <w:t xml:space="preserve"> mainly when </w:t>
      </w:r>
      <w:r>
        <w:rPr>
          <w:lang w:val="en-GB"/>
        </w:rPr>
        <w:t>"</w:t>
      </w:r>
      <w:r w:rsidRPr="0061297D">
        <w:rPr>
          <w:lang w:val="en-GB"/>
        </w:rPr>
        <w:t>the patient seems frail</w:t>
      </w:r>
      <w:r>
        <w:rPr>
          <w:lang w:val="en-GB"/>
        </w:rPr>
        <w:t>"</w:t>
      </w:r>
      <w:r w:rsidRPr="0061297D">
        <w:rPr>
          <w:lang w:val="en-GB"/>
        </w:rPr>
        <w:t xml:space="preserve"> AND </w:t>
      </w:r>
      <w:r>
        <w:rPr>
          <w:lang w:val="en-GB"/>
        </w:rPr>
        <w:t>"</w:t>
      </w:r>
      <w:r w:rsidRPr="0061297D">
        <w:rPr>
          <w:lang w:val="en-GB"/>
        </w:rPr>
        <w:t>the patient has a low BMI (&lt;21kg/m²)</w:t>
      </w:r>
      <w:r>
        <w:rPr>
          <w:lang w:val="en-GB"/>
        </w:rPr>
        <w:t>"</w:t>
      </w:r>
      <w:r w:rsidRPr="0061297D">
        <w:rPr>
          <w:lang w:val="en-GB"/>
        </w:rPr>
        <w:t xml:space="preserve"> AND </w:t>
      </w:r>
      <w:r>
        <w:rPr>
          <w:lang w:val="en-GB"/>
        </w:rPr>
        <w:t>"</w:t>
      </w:r>
      <w:r w:rsidRPr="0061297D">
        <w:rPr>
          <w:lang w:val="en-GB"/>
        </w:rPr>
        <w:t xml:space="preserve">the patient </w:t>
      </w:r>
      <w:r>
        <w:rPr>
          <w:lang w:val="en-GB"/>
        </w:rPr>
        <w:t>seems</w:t>
      </w:r>
      <w:r w:rsidRPr="0061297D">
        <w:rPr>
          <w:lang w:val="en-GB"/>
        </w:rPr>
        <w:t xml:space="preserve"> </w:t>
      </w:r>
      <w:r>
        <w:rPr>
          <w:lang w:val="en-GB"/>
        </w:rPr>
        <w:t>under-</w:t>
      </w:r>
      <w:r w:rsidRPr="0061297D">
        <w:rPr>
          <w:lang w:val="en-GB"/>
        </w:rPr>
        <w:t>nourished</w:t>
      </w:r>
      <w:r>
        <w:rPr>
          <w:lang w:val="en-GB"/>
        </w:rPr>
        <w:t>"</w:t>
      </w:r>
      <w:r w:rsidRPr="0061297D">
        <w:rPr>
          <w:lang w:val="en-GB"/>
        </w:rPr>
        <w:t xml:space="preserve"> (2.03%)</w:t>
      </w:r>
      <w:r>
        <w:rPr>
          <w:lang w:val="en-GB"/>
        </w:rPr>
        <w:t xml:space="preserve"> </w:t>
      </w:r>
      <w:proofErr w:type="gramStart"/>
      <w:r>
        <w:rPr>
          <w:lang w:val="en-GB"/>
        </w:rPr>
        <w:t>(Table 3)</w:t>
      </w:r>
      <w:r w:rsidRPr="0061297D">
        <w:rPr>
          <w:lang w:val="en-GB"/>
        </w:rPr>
        <w:t>.</w:t>
      </w:r>
      <w:proofErr w:type="gramEnd"/>
    </w:p>
    <w:p w14:paraId="41B44446" w14:textId="77777777" w:rsidR="007B7652" w:rsidRPr="0061297D" w:rsidRDefault="007B7652" w:rsidP="00CE318F">
      <w:pPr>
        <w:spacing w:line="276" w:lineRule="auto"/>
        <w:rPr>
          <w:lang w:val="en-GB"/>
        </w:rPr>
      </w:pPr>
    </w:p>
    <w:p w14:paraId="3BAC0859" w14:textId="77777777" w:rsidR="007B7652" w:rsidRDefault="007B7652" w:rsidP="0088448E">
      <w:pPr>
        <w:spacing w:line="276" w:lineRule="auto"/>
        <w:rPr>
          <w:lang w:val="en-GB"/>
        </w:rPr>
      </w:pPr>
    </w:p>
    <w:p w14:paraId="51C90CC8" w14:textId="77777777" w:rsidR="007B7652" w:rsidRPr="0061297D" w:rsidRDefault="007B7652" w:rsidP="0088448E">
      <w:pPr>
        <w:spacing w:line="276" w:lineRule="auto"/>
        <w:rPr>
          <w:lang w:val="en-GB"/>
        </w:rPr>
      </w:pPr>
    </w:p>
    <w:tbl>
      <w:tblPr>
        <w:tblStyle w:val="TableGrid"/>
        <w:tblW w:w="9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7"/>
        <w:gridCol w:w="1134"/>
        <w:gridCol w:w="1827"/>
      </w:tblGrid>
      <w:tr w:rsidR="007B7652" w:rsidRPr="00691C4F" w14:paraId="6E96240A" w14:textId="77777777" w:rsidTr="00CE318F">
        <w:tc>
          <w:tcPr>
            <w:tcW w:w="9448" w:type="dxa"/>
            <w:gridSpan w:val="3"/>
            <w:tcBorders>
              <w:bottom w:val="single" w:sz="4" w:space="0" w:color="auto"/>
            </w:tcBorders>
          </w:tcPr>
          <w:p w14:paraId="28FC3551" w14:textId="77777777" w:rsidR="007B7652" w:rsidRPr="000B1A17" w:rsidRDefault="007B7652" w:rsidP="00CE318F">
            <w:pPr>
              <w:spacing w:after="40" w:line="276" w:lineRule="auto"/>
              <w:rPr>
                <w:b/>
                <w:bCs/>
                <w:lang w:val="en-GB"/>
              </w:rPr>
            </w:pPr>
            <w:r w:rsidRPr="000B1A17">
              <w:rPr>
                <w:b/>
                <w:bCs/>
                <w:lang w:val="en-GB"/>
              </w:rPr>
              <w:lastRenderedPageBreak/>
              <w:t>Table 3 : Reasons given by clinicians for sometimes assessing frailty</w:t>
            </w:r>
            <w:r>
              <w:rPr>
                <w:b/>
                <w:bCs/>
                <w:lang w:val="en-GB"/>
              </w:rPr>
              <w:t xml:space="preserve"> (n=148)</w:t>
            </w:r>
          </w:p>
        </w:tc>
      </w:tr>
      <w:tr w:rsidR="007B7652" w:rsidRPr="000B1A17" w14:paraId="16A40D11" w14:textId="77777777" w:rsidTr="00CE318F">
        <w:tc>
          <w:tcPr>
            <w:tcW w:w="6487" w:type="dxa"/>
            <w:tcBorders>
              <w:top w:val="single" w:sz="4" w:space="0" w:color="auto"/>
              <w:bottom w:val="single" w:sz="4" w:space="0" w:color="auto"/>
            </w:tcBorders>
          </w:tcPr>
          <w:p w14:paraId="10F175A4" w14:textId="77777777" w:rsidR="007B7652" w:rsidRPr="000B1A17" w:rsidRDefault="007B7652" w:rsidP="00CE318F">
            <w:pPr>
              <w:spacing w:after="40" w:line="276" w:lineRule="auto"/>
              <w:rPr>
                <w:lang w:val="en-GB"/>
              </w:rPr>
            </w:pPr>
            <w:r w:rsidRPr="000B1A17">
              <w:rPr>
                <w:b/>
                <w:bCs/>
                <w:lang w:val="en-GB"/>
              </w:rPr>
              <w:t xml:space="preserve">Reasons </w:t>
            </w:r>
          </w:p>
        </w:tc>
        <w:tc>
          <w:tcPr>
            <w:tcW w:w="1134" w:type="dxa"/>
            <w:tcBorders>
              <w:top w:val="single" w:sz="4" w:space="0" w:color="auto"/>
              <w:bottom w:val="single" w:sz="4" w:space="0" w:color="auto"/>
            </w:tcBorders>
          </w:tcPr>
          <w:p w14:paraId="1A3ADE89" w14:textId="77777777" w:rsidR="007B7652" w:rsidRPr="000B1A17" w:rsidRDefault="007B7652" w:rsidP="00CE318F">
            <w:pPr>
              <w:spacing w:after="40" w:line="276" w:lineRule="auto"/>
              <w:rPr>
                <w:b/>
                <w:bCs/>
                <w:lang w:val="en-GB"/>
              </w:rPr>
            </w:pPr>
            <w:r w:rsidRPr="000B1A17">
              <w:rPr>
                <w:b/>
                <w:bCs/>
                <w:lang w:val="en-GB"/>
              </w:rPr>
              <w:t>Number</w:t>
            </w:r>
          </w:p>
        </w:tc>
        <w:tc>
          <w:tcPr>
            <w:tcW w:w="1827" w:type="dxa"/>
            <w:tcBorders>
              <w:top w:val="single" w:sz="4" w:space="0" w:color="auto"/>
              <w:bottom w:val="single" w:sz="4" w:space="0" w:color="auto"/>
            </w:tcBorders>
          </w:tcPr>
          <w:p w14:paraId="5F77EBF5" w14:textId="77777777" w:rsidR="007B7652" w:rsidRPr="000B1A17" w:rsidRDefault="007B7652" w:rsidP="00CE318F">
            <w:pPr>
              <w:spacing w:after="40" w:line="276" w:lineRule="auto"/>
              <w:rPr>
                <w:b/>
                <w:bCs/>
                <w:lang w:val="en-GB"/>
              </w:rPr>
            </w:pPr>
            <w:r w:rsidRPr="000B1A17">
              <w:rPr>
                <w:b/>
                <w:bCs/>
                <w:lang w:val="en-GB"/>
              </w:rPr>
              <w:t>Frequency (%)</w:t>
            </w:r>
          </w:p>
        </w:tc>
      </w:tr>
      <w:tr w:rsidR="007B7652" w:rsidRPr="000B1A17" w14:paraId="51B31FF3" w14:textId="77777777" w:rsidTr="00CE318F">
        <w:tc>
          <w:tcPr>
            <w:tcW w:w="6487" w:type="dxa"/>
            <w:tcBorders>
              <w:top w:val="single" w:sz="4" w:space="0" w:color="auto"/>
            </w:tcBorders>
          </w:tcPr>
          <w:p w14:paraId="2E9610B4" w14:textId="77777777" w:rsidR="007B7652" w:rsidRPr="000B1A17" w:rsidRDefault="007B7652" w:rsidP="00CE318F">
            <w:pPr>
              <w:spacing w:after="40" w:line="276" w:lineRule="auto"/>
              <w:rPr>
                <w:lang w:val="en-GB"/>
              </w:rPr>
            </w:pPr>
            <w:r w:rsidRPr="000B1A17">
              <w:rPr>
                <w:lang w:val="en-GB"/>
              </w:rPr>
              <w:t>When the patient seems frail</w:t>
            </w:r>
          </w:p>
        </w:tc>
        <w:tc>
          <w:tcPr>
            <w:tcW w:w="1134" w:type="dxa"/>
            <w:tcBorders>
              <w:top w:val="single" w:sz="4" w:space="0" w:color="auto"/>
            </w:tcBorders>
          </w:tcPr>
          <w:p w14:paraId="4E0BA6D3" w14:textId="77777777" w:rsidR="007B7652" w:rsidRPr="000B1A17" w:rsidRDefault="007B7652" w:rsidP="00CE318F">
            <w:pPr>
              <w:spacing w:after="40" w:line="276" w:lineRule="auto"/>
              <w:rPr>
                <w:lang w:val="en-GB"/>
              </w:rPr>
            </w:pPr>
            <w:r w:rsidRPr="000B1A17">
              <w:rPr>
                <w:lang w:val="en-GB"/>
              </w:rPr>
              <w:t>18</w:t>
            </w:r>
          </w:p>
        </w:tc>
        <w:tc>
          <w:tcPr>
            <w:tcW w:w="1827" w:type="dxa"/>
            <w:tcBorders>
              <w:top w:val="single" w:sz="4" w:space="0" w:color="auto"/>
            </w:tcBorders>
          </w:tcPr>
          <w:p w14:paraId="300BD9E6" w14:textId="77777777" w:rsidR="007B7652" w:rsidRPr="000B1A17" w:rsidRDefault="007B7652" w:rsidP="00CE318F">
            <w:pPr>
              <w:spacing w:after="40" w:line="276" w:lineRule="auto"/>
              <w:rPr>
                <w:lang w:val="en-GB"/>
              </w:rPr>
            </w:pPr>
            <w:r w:rsidRPr="000B1A17">
              <w:rPr>
                <w:lang w:val="en-GB"/>
              </w:rPr>
              <w:t>12.2</w:t>
            </w:r>
          </w:p>
        </w:tc>
      </w:tr>
      <w:tr w:rsidR="007B7652" w:rsidRPr="000B1A17" w14:paraId="2520F06C" w14:textId="77777777" w:rsidTr="00CE318F">
        <w:tc>
          <w:tcPr>
            <w:tcW w:w="6487" w:type="dxa"/>
          </w:tcPr>
          <w:p w14:paraId="5FDD8D7C" w14:textId="77777777" w:rsidR="007B7652" w:rsidRPr="000B1A17" w:rsidRDefault="007B7652" w:rsidP="00CE318F">
            <w:pPr>
              <w:spacing w:after="40" w:line="276" w:lineRule="auto"/>
              <w:rPr>
                <w:lang w:val="en-GB"/>
              </w:rPr>
            </w:pPr>
            <w:r w:rsidRPr="000B1A17">
              <w:rPr>
                <w:lang w:val="en-GB"/>
              </w:rPr>
              <w:t>When I may change my clinical decision</w:t>
            </w:r>
            <w:r>
              <w:rPr>
                <w:lang w:val="en-GB"/>
              </w:rPr>
              <w:t xml:space="preserve"> according to the result of the test</w:t>
            </w:r>
          </w:p>
        </w:tc>
        <w:tc>
          <w:tcPr>
            <w:tcW w:w="1134" w:type="dxa"/>
          </w:tcPr>
          <w:p w14:paraId="5189B094" w14:textId="77777777" w:rsidR="007B7652" w:rsidRPr="000B1A17" w:rsidRDefault="007B7652" w:rsidP="00CE318F">
            <w:pPr>
              <w:spacing w:after="40" w:line="276" w:lineRule="auto"/>
              <w:rPr>
                <w:lang w:val="en-GB"/>
              </w:rPr>
            </w:pPr>
            <w:r w:rsidRPr="000B1A17">
              <w:rPr>
                <w:lang w:val="en-GB"/>
              </w:rPr>
              <w:t>11</w:t>
            </w:r>
          </w:p>
        </w:tc>
        <w:tc>
          <w:tcPr>
            <w:tcW w:w="1827" w:type="dxa"/>
          </w:tcPr>
          <w:p w14:paraId="2A47F223" w14:textId="77777777" w:rsidR="007B7652" w:rsidRPr="000B1A17" w:rsidRDefault="007B7652" w:rsidP="00CE318F">
            <w:pPr>
              <w:spacing w:after="40" w:line="276" w:lineRule="auto"/>
              <w:rPr>
                <w:lang w:val="en-GB"/>
              </w:rPr>
            </w:pPr>
            <w:r w:rsidRPr="000B1A17">
              <w:rPr>
                <w:lang w:val="en-GB"/>
              </w:rPr>
              <w:t>7.43</w:t>
            </w:r>
          </w:p>
        </w:tc>
      </w:tr>
      <w:tr w:rsidR="007B7652" w:rsidRPr="000B1A17" w14:paraId="5D05CF33" w14:textId="77777777" w:rsidTr="00CE318F">
        <w:tc>
          <w:tcPr>
            <w:tcW w:w="6487" w:type="dxa"/>
          </w:tcPr>
          <w:p w14:paraId="7BB4328D" w14:textId="77777777" w:rsidR="007B7652" w:rsidRPr="000B1A17" w:rsidRDefault="007B7652" w:rsidP="00CE318F">
            <w:pPr>
              <w:spacing w:after="40" w:line="276" w:lineRule="auto"/>
              <w:rPr>
                <w:lang w:val="en-GB"/>
              </w:rPr>
            </w:pPr>
            <w:r w:rsidRPr="000B1A17">
              <w:rPr>
                <w:lang w:val="en-GB"/>
              </w:rPr>
              <w:t>When I have time</w:t>
            </w:r>
          </w:p>
        </w:tc>
        <w:tc>
          <w:tcPr>
            <w:tcW w:w="1134" w:type="dxa"/>
          </w:tcPr>
          <w:p w14:paraId="4B044AD3" w14:textId="77777777" w:rsidR="007B7652" w:rsidRPr="000B1A17" w:rsidRDefault="007B7652" w:rsidP="00CE318F">
            <w:pPr>
              <w:spacing w:after="40" w:line="276" w:lineRule="auto"/>
              <w:rPr>
                <w:lang w:val="en-GB"/>
              </w:rPr>
            </w:pPr>
            <w:r w:rsidRPr="000B1A17">
              <w:rPr>
                <w:lang w:val="en-GB"/>
              </w:rPr>
              <w:t>10</w:t>
            </w:r>
          </w:p>
        </w:tc>
        <w:tc>
          <w:tcPr>
            <w:tcW w:w="1827" w:type="dxa"/>
          </w:tcPr>
          <w:p w14:paraId="7EB76760" w14:textId="77777777" w:rsidR="007B7652" w:rsidRPr="000B1A17" w:rsidRDefault="007B7652" w:rsidP="00CE318F">
            <w:pPr>
              <w:spacing w:after="40" w:line="276" w:lineRule="auto"/>
              <w:rPr>
                <w:lang w:val="en-GB"/>
              </w:rPr>
            </w:pPr>
            <w:r w:rsidRPr="000B1A17">
              <w:rPr>
                <w:lang w:val="en-GB"/>
              </w:rPr>
              <w:t>6.76</w:t>
            </w:r>
          </w:p>
        </w:tc>
      </w:tr>
      <w:tr w:rsidR="007B7652" w:rsidRPr="000B1A17" w14:paraId="7E80D7F7" w14:textId="77777777" w:rsidTr="00CE318F">
        <w:tc>
          <w:tcPr>
            <w:tcW w:w="6487" w:type="dxa"/>
          </w:tcPr>
          <w:p w14:paraId="42EAC526" w14:textId="77777777" w:rsidR="007B7652" w:rsidRPr="000B1A17" w:rsidRDefault="007B7652" w:rsidP="00CE318F">
            <w:pPr>
              <w:spacing w:after="40" w:line="276" w:lineRule="auto"/>
              <w:rPr>
                <w:lang w:val="en-GB"/>
              </w:rPr>
            </w:pPr>
            <w:r w:rsidRPr="000B1A17">
              <w:rPr>
                <w:lang w:val="en-GB"/>
              </w:rPr>
              <w:t>When I think about it</w:t>
            </w:r>
          </w:p>
        </w:tc>
        <w:tc>
          <w:tcPr>
            <w:tcW w:w="1134" w:type="dxa"/>
          </w:tcPr>
          <w:p w14:paraId="439A12AE" w14:textId="77777777" w:rsidR="007B7652" w:rsidRPr="000B1A17" w:rsidRDefault="007B7652" w:rsidP="00CE318F">
            <w:pPr>
              <w:spacing w:after="40" w:line="276" w:lineRule="auto"/>
              <w:rPr>
                <w:lang w:val="en-GB"/>
              </w:rPr>
            </w:pPr>
            <w:r w:rsidRPr="000B1A17">
              <w:rPr>
                <w:lang w:val="en-GB"/>
              </w:rPr>
              <w:t>4</w:t>
            </w:r>
          </w:p>
        </w:tc>
        <w:tc>
          <w:tcPr>
            <w:tcW w:w="1827" w:type="dxa"/>
          </w:tcPr>
          <w:p w14:paraId="08CB68D1" w14:textId="77777777" w:rsidR="007B7652" w:rsidRPr="000B1A17" w:rsidRDefault="007B7652" w:rsidP="00CE318F">
            <w:pPr>
              <w:spacing w:after="40" w:line="276" w:lineRule="auto"/>
              <w:rPr>
                <w:lang w:val="en-GB"/>
              </w:rPr>
            </w:pPr>
            <w:r w:rsidRPr="000B1A17">
              <w:rPr>
                <w:lang w:val="en-GB"/>
              </w:rPr>
              <w:t>2.70</w:t>
            </w:r>
          </w:p>
        </w:tc>
      </w:tr>
      <w:tr w:rsidR="007B7652" w:rsidRPr="000B1A17" w14:paraId="575D79B5" w14:textId="77777777" w:rsidTr="00CE318F">
        <w:tc>
          <w:tcPr>
            <w:tcW w:w="6487" w:type="dxa"/>
          </w:tcPr>
          <w:p w14:paraId="2FEA07DB" w14:textId="77777777" w:rsidR="007B7652" w:rsidRPr="000B1A17" w:rsidRDefault="007B7652" w:rsidP="00CE318F">
            <w:pPr>
              <w:spacing w:after="40" w:line="276" w:lineRule="auto"/>
              <w:rPr>
                <w:lang w:val="en-GB"/>
              </w:rPr>
            </w:pPr>
            <w:r w:rsidRPr="000B1A17">
              <w:rPr>
                <w:lang w:val="en-GB"/>
              </w:rPr>
              <w:t xml:space="preserve">Other </w:t>
            </w:r>
          </w:p>
        </w:tc>
        <w:tc>
          <w:tcPr>
            <w:tcW w:w="1134" w:type="dxa"/>
          </w:tcPr>
          <w:p w14:paraId="403C3067" w14:textId="77777777" w:rsidR="007B7652" w:rsidRPr="000B1A17" w:rsidRDefault="007B7652" w:rsidP="00CE318F">
            <w:pPr>
              <w:spacing w:after="40" w:line="276" w:lineRule="auto"/>
              <w:rPr>
                <w:lang w:val="en-GB"/>
              </w:rPr>
            </w:pPr>
            <w:r w:rsidRPr="000B1A17">
              <w:rPr>
                <w:lang w:val="en-GB"/>
              </w:rPr>
              <w:t>11</w:t>
            </w:r>
          </w:p>
        </w:tc>
        <w:tc>
          <w:tcPr>
            <w:tcW w:w="1827" w:type="dxa"/>
          </w:tcPr>
          <w:p w14:paraId="6019C312" w14:textId="77777777" w:rsidR="007B7652" w:rsidRPr="000B1A17" w:rsidRDefault="007B7652" w:rsidP="00CE318F">
            <w:pPr>
              <w:spacing w:after="40" w:line="276" w:lineRule="auto"/>
              <w:rPr>
                <w:lang w:val="en-GB"/>
              </w:rPr>
            </w:pPr>
            <w:r w:rsidRPr="000B1A17">
              <w:rPr>
                <w:lang w:val="en-GB"/>
              </w:rPr>
              <w:t>7.43</w:t>
            </w:r>
          </w:p>
        </w:tc>
      </w:tr>
      <w:tr w:rsidR="007B7652" w:rsidRPr="000B1A17" w14:paraId="72692BD9" w14:textId="77777777" w:rsidTr="00CE318F">
        <w:tc>
          <w:tcPr>
            <w:tcW w:w="6487" w:type="dxa"/>
            <w:tcBorders>
              <w:bottom w:val="single" w:sz="4" w:space="0" w:color="auto"/>
            </w:tcBorders>
          </w:tcPr>
          <w:p w14:paraId="3812EB5F" w14:textId="77777777" w:rsidR="007B7652" w:rsidRPr="000B1A17" w:rsidRDefault="007B7652" w:rsidP="00CE318F">
            <w:pPr>
              <w:spacing w:after="40" w:line="276" w:lineRule="auto"/>
              <w:rPr>
                <w:lang w:val="en-GB"/>
              </w:rPr>
            </w:pPr>
            <w:r w:rsidRPr="000B1A17">
              <w:rPr>
                <w:lang w:val="en-GB"/>
              </w:rPr>
              <w:t>Combination of several factors</w:t>
            </w:r>
          </w:p>
        </w:tc>
        <w:tc>
          <w:tcPr>
            <w:tcW w:w="1134" w:type="dxa"/>
            <w:tcBorders>
              <w:bottom w:val="single" w:sz="4" w:space="0" w:color="auto"/>
            </w:tcBorders>
          </w:tcPr>
          <w:p w14:paraId="48DC7474" w14:textId="77777777" w:rsidR="007B7652" w:rsidRPr="000B1A17" w:rsidRDefault="007B7652" w:rsidP="00CE318F">
            <w:pPr>
              <w:spacing w:after="40" w:line="276" w:lineRule="auto"/>
              <w:rPr>
                <w:lang w:val="en-GB"/>
              </w:rPr>
            </w:pPr>
            <w:r w:rsidRPr="000B1A17">
              <w:rPr>
                <w:lang w:val="en-GB"/>
              </w:rPr>
              <w:t>94</w:t>
            </w:r>
          </w:p>
        </w:tc>
        <w:tc>
          <w:tcPr>
            <w:tcW w:w="1827" w:type="dxa"/>
            <w:tcBorders>
              <w:bottom w:val="single" w:sz="4" w:space="0" w:color="auto"/>
            </w:tcBorders>
          </w:tcPr>
          <w:p w14:paraId="4C6C50EB" w14:textId="77777777" w:rsidR="007B7652" w:rsidRPr="000B1A17" w:rsidRDefault="007B7652" w:rsidP="00CE318F">
            <w:pPr>
              <w:spacing w:after="40" w:line="276" w:lineRule="auto"/>
              <w:rPr>
                <w:lang w:val="en-GB"/>
              </w:rPr>
            </w:pPr>
            <w:r w:rsidRPr="000B1A17">
              <w:rPr>
                <w:lang w:val="en-GB"/>
              </w:rPr>
              <w:t>63.51</w:t>
            </w:r>
          </w:p>
        </w:tc>
      </w:tr>
    </w:tbl>
    <w:p w14:paraId="47C413ED" w14:textId="77777777" w:rsidR="007B7652" w:rsidRPr="0061297D" w:rsidRDefault="007B7652" w:rsidP="00CE318F">
      <w:pPr>
        <w:spacing w:line="276" w:lineRule="auto"/>
        <w:rPr>
          <w:lang w:val="en-GB"/>
        </w:rPr>
      </w:pPr>
    </w:p>
    <w:p w14:paraId="483D3ABF" w14:textId="77777777" w:rsidR="007B7652" w:rsidRPr="0061297D" w:rsidRDefault="007B7652" w:rsidP="00CE318F">
      <w:pPr>
        <w:spacing w:line="276" w:lineRule="auto"/>
        <w:jc w:val="both"/>
        <w:rPr>
          <w:lang w:val="en-GB"/>
        </w:rPr>
      </w:pPr>
      <w:r>
        <w:rPr>
          <w:lang w:val="en-GB"/>
        </w:rPr>
        <w:t>Lastly</w:t>
      </w:r>
      <w:r w:rsidRPr="0061297D">
        <w:rPr>
          <w:lang w:val="en-GB"/>
        </w:rPr>
        <w:t xml:space="preserve">, the main reasons </w:t>
      </w:r>
      <w:r>
        <w:rPr>
          <w:lang w:val="en-GB"/>
        </w:rPr>
        <w:t>for</w:t>
      </w:r>
      <w:r w:rsidRPr="0061297D">
        <w:rPr>
          <w:lang w:val="en-GB"/>
        </w:rPr>
        <w:t xml:space="preserve"> never evaluat</w:t>
      </w:r>
      <w:r>
        <w:rPr>
          <w:lang w:val="en-GB"/>
        </w:rPr>
        <w:t>ing</w:t>
      </w:r>
      <w:r w:rsidRPr="0061297D">
        <w:rPr>
          <w:lang w:val="en-GB"/>
        </w:rPr>
        <w:t xml:space="preserve"> frailty </w:t>
      </w:r>
      <w:r>
        <w:rPr>
          <w:lang w:val="en-GB"/>
        </w:rPr>
        <w:t xml:space="preserve">(n=35) </w:t>
      </w:r>
      <w:r w:rsidRPr="0061297D">
        <w:rPr>
          <w:lang w:val="en-GB"/>
        </w:rPr>
        <w:t>are because clinicians have no time (12.5%), they think that there are no appropriate tools to assess frailty in clinical practice (9.38%), the results of such assessment do not substantially change the clinical decision (9.38</w:t>
      </w:r>
      <w:r>
        <w:rPr>
          <w:lang w:val="en-GB"/>
        </w:rPr>
        <w:t>%),</w:t>
      </w:r>
      <w:r w:rsidRPr="0061297D">
        <w:rPr>
          <w:lang w:val="en-GB"/>
        </w:rPr>
        <w:t xml:space="preserve"> clinicians do not feel competent </w:t>
      </w:r>
      <w:r>
        <w:rPr>
          <w:lang w:val="en-GB"/>
        </w:rPr>
        <w:t>to</w:t>
      </w:r>
      <w:r w:rsidRPr="0061297D">
        <w:rPr>
          <w:lang w:val="en-GB"/>
        </w:rPr>
        <w:t xml:space="preserve"> diagnose frailty (9.38</w:t>
      </w:r>
      <w:r>
        <w:rPr>
          <w:lang w:val="en-GB"/>
        </w:rPr>
        <w:t>%) and for a combination of several factors (n=59.36%)</w:t>
      </w:r>
    </w:p>
    <w:p w14:paraId="70038E72" w14:textId="77777777" w:rsidR="007B7652" w:rsidRPr="0061297D" w:rsidRDefault="007B7652" w:rsidP="00CE318F">
      <w:pPr>
        <w:spacing w:line="276" w:lineRule="auto"/>
        <w:jc w:val="both"/>
        <w:rPr>
          <w:lang w:val="en-GB"/>
        </w:rPr>
      </w:pPr>
      <w:r w:rsidRPr="0061297D">
        <w:rPr>
          <w:lang w:val="en-GB"/>
        </w:rPr>
        <w:t>Besides the specific tools used in the diagnosis</w:t>
      </w:r>
      <w:r>
        <w:rPr>
          <w:lang w:val="en-GB"/>
        </w:rPr>
        <w:t xml:space="preserve"> of frailty</w:t>
      </w:r>
      <w:r w:rsidRPr="0061297D">
        <w:rPr>
          <w:lang w:val="en-GB"/>
        </w:rPr>
        <w:t>, other assessments that help to have a better view of the frailty status of the patient were performed by the clinicians (Table 4). Physical performance was measured by 79.4% of the clinicians, autonomy by 82.7%, nutritional status by 79.9%, cognitive status by 90.9%, sensorial impairment by 40.5%, biological markers by 60.1%, body composition by 40.5%, quality of life by 37.1%. However, among clinicians assessing at least on</w:t>
      </w:r>
      <w:r>
        <w:rPr>
          <w:lang w:val="en-GB"/>
        </w:rPr>
        <w:t>e</w:t>
      </w:r>
      <w:r w:rsidRPr="0061297D">
        <w:rPr>
          <w:lang w:val="en-GB"/>
        </w:rPr>
        <w:t xml:space="preserve"> of these components of frailty, the tools used are different even if some particular tools are more widely used</w:t>
      </w:r>
      <w:r>
        <w:rPr>
          <w:lang w:val="en-GB"/>
        </w:rPr>
        <w:t xml:space="preserve"> than others</w:t>
      </w:r>
      <w:r w:rsidRPr="0061297D">
        <w:rPr>
          <w:lang w:val="en-GB"/>
        </w:rPr>
        <w:t xml:space="preserve"> (e.g. MMSE and MNA).</w:t>
      </w:r>
    </w:p>
    <w:p w14:paraId="537C9C2E" w14:textId="77777777" w:rsidR="007B7652" w:rsidRDefault="007B7652" w:rsidP="00CE318F">
      <w:pPr>
        <w:spacing w:line="276" w:lineRule="auto"/>
        <w:rPr>
          <w:lang w:val="en-GB"/>
        </w:rPr>
      </w:pPr>
    </w:p>
    <w:p w14:paraId="6E8078C9" w14:textId="77777777" w:rsidR="007B7652" w:rsidRDefault="007B7652">
      <w:pPr>
        <w:spacing w:after="200" w:line="276" w:lineRule="auto"/>
        <w:rPr>
          <w:lang w:val="en-GB"/>
        </w:rPr>
      </w:pPr>
      <w:r>
        <w:rPr>
          <w:lang w:val="en-G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72"/>
        <w:gridCol w:w="4582"/>
        <w:gridCol w:w="992"/>
        <w:gridCol w:w="1242"/>
      </w:tblGrid>
      <w:tr w:rsidR="007B7652" w:rsidRPr="00691C4F" w14:paraId="7FC7E5CE" w14:textId="77777777" w:rsidTr="000B1A17">
        <w:tc>
          <w:tcPr>
            <w:tcW w:w="9288" w:type="dxa"/>
            <w:gridSpan w:val="4"/>
            <w:tcBorders>
              <w:bottom w:val="single" w:sz="4" w:space="0" w:color="auto"/>
            </w:tcBorders>
          </w:tcPr>
          <w:p w14:paraId="51A69C52" w14:textId="77777777" w:rsidR="007B7652" w:rsidRPr="00282325" w:rsidRDefault="007B7652" w:rsidP="00282325">
            <w:pPr>
              <w:spacing w:after="0" w:line="276" w:lineRule="auto"/>
              <w:rPr>
                <w:b/>
                <w:sz w:val="20"/>
                <w:lang w:val="en-GB"/>
              </w:rPr>
            </w:pPr>
            <w:r w:rsidRPr="00282325">
              <w:rPr>
                <w:b/>
                <w:sz w:val="20"/>
                <w:lang w:val="en-GB"/>
              </w:rPr>
              <w:lastRenderedPageBreak/>
              <w:t>Table 4: Assessment of frailty components</w:t>
            </w:r>
          </w:p>
        </w:tc>
      </w:tr>
      <w:tr w:rsidR="007B7652" w:rsidRPr="00282325" w14:paraId="231565D8" w14:textId="77777777" w:rsidTr="00282325">
        <w:tc>
          <w:tcPr>
            <w:tcW w:w="2472" w:type="dxa"/>
            <w:tcBorders>
              <w:top w:val="single" w:sz="4" w:space="0" w:color="auto"/>
              <w:bottom w:val="single" w:sz="4" w:space="0" w:color="auto"/>
            </w:tcBorders>
            <w:vAlign w:val="center"/>
          </w:tcPr>
          <w:p w14:paraId="32C7FEE1" w14:textId="77777777" w:rsidR="007B7652" w:rsidRPr="00282325" w:rsidRDefault="007B7652" w:rsidP="00282325">
            <w:pPr>
              <w:spacing w:after="0" w:line="276" w:lineRule="auto"/>
              <w:rPr>
                <w:b/>
                <w:sz w:val="20"/>
                <w:lang w:val="en-GB"/>
              </w:rPr>
            </w:pPr>
            <w:r w:rsidRPr="00282325">
              <w:rPr>
                <w:b/>
                <w:sz w:val="20"/>
                <w:lang w:val="en-GB"/>
              </w:rPr>
              <w:t>Frailty component</w:t>
            </w:r>
          </w:p>
        </w:tc>
        <w:tc>
          <w:tcPr>
            <w:tcW w:w="4582" w:type="dxa"/>
            <w:tcBorders>
              <w:top w:val="single" w:sz="4" w:space="0" w:color="auto"/>
              <w:bottom w:val="single" w:sz="4" w:space="0" w:color="auto"/>
            </w:tcBorders>
            <w:vAlign w:val="center"/>
          </w:tcPr>
          <w:p w14:paraId="3D89DF12" w14:textId="77777777" w:rsidR="007B7652" w:rsidRPr="00282325" w:rsidRDefault="007B7652" w:rsidP="00282325">
            <w:pPr>
              <w:spacing w:after="0" w:line="276" w:lineRule="auto"/>
              <w:rPr>
                <w:b/>
                <w:sz w:val="20"/>
                <w:lang w:val="en-GB"/>
              </w:rPr>
            </w:pPr>
            <w:r w:rsidRPr="00282325">
              <w:rPr>
                <w:b/>
                <w:sz w:val="20"/>
                <w:lang w:val="en-GB"/>
              </w:rPr>
              <w:t>Specific tool</w:t>
            </w:r>
          </w:p>
        </w:tc>
        <w:tc>
          <w:tcPr>
            <w:tcW w:w="992" w:type="dxa"/>
            <w:tcBorders>
              <w:top w:val="single" w:sz="4" w:space="0" w:color="auto"/>
              <w:bottom w:val="single" w:sz="4" w:space="0" w:color="auto"/>
            </w:tcBorders>
            <w:vAlign w:val="center"/>
          </w:tcPr>
          <w:p w14:paraId="6D3F8D81" w14:textId="77777777" w:rsidR="007B7652" w:rsidRPr="00282325" w:rsidRDefault="007B7652" w:rsidP="00282325">
            <w:pPr>
              <w:spacing w:after="0" w:line="276" w:lineRule="auto"/>
              <w:jc w:val="right"/>
              <w:rPr>
                <w:b/>
                <w:sz w:val="20"/>
                <w:lang w:val="en-GB"/>
              </w:rPr>
            </w:pPr>
            <w:r w:rsidRPr="00282325">
              <w:rPr>
                <w:b/>
                <w:sz w:val="20"/>
                <w:lang w:val="en-GB"/>
              </w:rPr>
              <w:t>Number</w:t>
            </w:r>
          </w:p>
        </w:tc>
        <w:tc>
          <w:tcPr>
            <w:tcW w:w="1242" w:type="dxa"/>
            <w:tcBorders>
              <w:top w:val="single" w:sz="4" w:space="0" w:color="auto"/>
              <w:bottom w:val="single" w:sz="4" w:space="0" w:color="auto"/>
            </w:tcBorders>
            <w:vAlign w:val="center"/>
          </w:tcPr>
          <w:p w14:paraId="3A247125" w14:textId="77777777" w:rsidR="007B7652" w:rsidRPr="00282325" w:rsidRDefault="007B7652" w:rsidP="00282325">
            <w:pPr>
              <w:spacing w:after="0" w:line="276" w:lineRule="auto"/>
              <w:jc w:val="right"/>
              <w:rPr>
                <w:b/>
                <w:sz w:val="20"/>
                <w:lang w:val="en-GB"/>
              </w:rPr>
            </w:pPr>
            <w:r w:rsidRPr="00282325">
              <w:rPr>
                <w:b/>
                <w:sz w:val="20"/>
                <w:lang w:val="en-GB"/>
              </w:rPr>
              <w:t>Frequency (%)</w:t>
            </w:r>
          </w:p>
        </w:tc>
      </w:tr>
      <w:tr w:rsidR="007B7652" w:rsidRPr="00282325" w14:paraId="1AC43F32" w14:textId="77777777" w:rsidTr="00282325">
        <w:tc>
          <w:tcPr>
            <w:tcW w:w="2472" w:type="dxa"/>
          </w:tcPr>
          <w:p w14:paraId="06F0DB4D" w14:textId="77777777" w:rsidR="007B7652" w:rsidRPr="00282325" w:rsidRDefault="007B7652" w:rsidP="00282325">
            <w:pPr>
              <w:spacing w:after="0" w:line="276" w:lineRule="auto"/>
              <w:rPr>
                <w:sz w:val="20"/>
                <w:lang w:val="en-GB"/>
              </w:rPr>
            </w:pPr>
            <w:r>
              <w:rPr>
                <w:sz w:val="20"/>
                <w:u w:val="single"/>
                <w:lang w:val="en-GB"/>
              </w:rPr>
              <w:t>Functional status</w:t>
            </w:r>
          </w:p>
        </w:tc>
        <w:tc>
          <w:tcPr>
            <w:tcW w:w="4582" w:type="dxa"/>
          </w:tcPr>
          <w:p w14:paraId="6119C58E" w14:textId="77777777" w:rsidR="007B7652" w:rsidRPr="00282325" w:rsidRDefault="007B7652" w:rsidP="00282325">
            <w:pPr>
              <w:spacing w:after="0" w:line="276" w:lineRule="auto"/>
              <w:rPr>
                <w:sz w:val="20"/>
                <w:lang w:val="en-GB"/>
              </w:rPr>
            </w:pPr>
          </w:p>
        </w:tc>
        <w:tc>
          <w:tcPr>
            <w:tcW w:w="992" w:type="dxa"/>
            <w:vAlign w:val="center"/>
          </w:tcPr>
          <w:p w14:paraId="34BCB559" w14:textId="77777777" w:rsidR="007B7652" w:rsidRPr="00282325" w:rsidRDefault="007B7652" w:rsidP="00282325">
            <w:pPr>
              <w:spacing w:after="0" w:line="276" w:lineRule="auto"/>
              <w:jc w:val="right"/>
              <w:rPr>
                <w:sz w:val="20"/>
                <w:lang w:val="en-GB"/>
              </w:rPr>
            </w:pPr>
          </w:p>
        </w:tc>
        <w:tc>
          <w:tcPr>
            <w:tcW w:w="1242" w:type="dxa"/>
            <w:vAlign w:val="center"/>
          </w:tcPr>
          <w:p w14:paraId="4685EC3A" w14:textId="77777777" w:rsidR="007B7652" w:rsidRPr="00282325" w:rsidRDefault="007B7652" w:rsidP="00282325">
            <w:pPr>
              <w:spacing w:after="0" w:line="276" w:lineRule="auto"/>
              <w:jc w:val="right"/>
              <w:rPr>
                <w:sz w:val="20"/>
                <w:lang w:val="en-GB"/>
              </w:rPr>
            </w:pPr>
          </w:p>
        </w:tc>
      </w:tr>
      <w:tr w:rsidR="007B7652" w:rsidRPr="00282325" w14:paraId="5FEA9F21" w14:textId="77777777" w:rsidTr="00282325">
        <w:tc>
          <w:tcPr>
            <w:tcW w:w="2472" w:type="dxa"/>
          </w:tcPr>
          <w:p w14:paraId="75B917A2" w14:textId="77777777" w:rsidR="007B7652" w:rsidRPr="00282325" w:rsidRDefault="007B7652" w:rsidP="00282325">
            <w:pPr>
              <w:spacing w:after="0" w:line="276" w:lineRule="auto"/>
              <w:rPr>
                <w:sz w:val="20"/>
                <w:lang w:val="en-GB"/>
              </w:rPr>
            </w:pPr>
          </w:p>
        </w:tc>
        <w:tc>
          <w:tcPr>
            <w:tcW w:w="4582" w:type="dxa"/>
          </w:tcPr>
          <w:p w14:paraId="58CCA413" w14:textId="77777777" w:rsidR="007B7652" w:rsidRPr="00282325" w:rsidRDefault="007B7652" w:rsidP="00282325">
            <w:pPr>
              <w:spacing w:after="0" w:line="276" w:lineRule="auto"/>
              <w:rPr>
                <w:sz w:val="20"/>
                <w:lang w:val="en-GB"/>
              </w:rPr>
            </w:pPr>
            <w:r w:rsidRPr="00282325">
              <w:rPr>
                <w:sz w:val="20"/>
                <w:lang w:val="en-GB"/>
              </w:rPr>
              <w:t>SPPB test</w:t>
            </w:r>
          </w:p>
        </w:tc>
        <w:tc>
          <w:tcPr>
            <w:tcW w:w="992" w:type="dxa"/>
            <w:vAlign w:val="center"/>
          </w:tcPr>
          <w:p w14:paraId="3DBF616B" w14:textId="77777777" w:rsidR="007B7652" w:rsidRPr="00282325" w:rsidRDefault="007B7652" w:rsidP="00282325">
            <w:pPr>
              <w:spacing w:after="0" w:line="276" w:lineRule="auto"/>
              <w:jc w:val="right"/>
              <w:rPr>
                <w:sz w:val="20"/>
                <w:lang w:val="en-GB"/>
              </w:rPr>
            </w:pPr>
            <w:r w:rsidRPr="00282325">
              <w:rPr>
                <w:sz w:val="20"/>
                <w:lang w:val="en-GB"/>
              </w:rPr>
              <w:t>158</w:t>
            </w:r>
          </w:p>
        </w:tc>
        <w:tc>
          <w:tcPr>
            <w:tcW w:w="1242" w:type="dxa"/>
            <w:vAlign w:val="center"/>
          </w:tcPr>
          <w:p w14:paraId="72090AA7" w14:textId="77777777" w:rsidR="007B7652" w:rsidRPr="00282325" w:rsidRDefault="007B7652" w:rsidP="00282325">
            <w:pPr>
              <w:spacing w:after="0" w:line="276" w:lineRule="auto"/>
              <w:jc w:val="right"/>
              <w:rPr>
                <w:sz w:val="20"/>
                <w:lang w:val="en-GB"/>
              </w:rPr>
            </w:pPr>
            <w:r>
              <w:rPr>
                <w:sz w:val="20"/>
                <w:lang w:val="en-GB"/>
              </w:rPr>
              <w:t>40.7</w:t>
            </w:r>
          </w:p>
        </w:tc>
      </w:tr>
      <w:tr w:rsidR="007B7652" w:rsidRPr="00282325" w14:paraId="26E2ED23" w14:textId="77777777" w:rsidTr="00282325">
        <w:tc>
          <w:tcPr>
            <w:tcW w:w="2472" w:type="dxa"/>
          </w:tcPr>
          <w:p w14:paraId="46E79592" w14:textId="77777777" w:rsidR="007B7652" w:rsidRPr="00282325" w:rsidRDefault="007B7652" w:rsidP="00282325">
            <w:pPr>
              <w:spacing w:after="0" w:line="276" w:lineRule="auto"/>
              <w:rPr>
                <w:sz w:val="20"/>
                <w:lang w:val="en-GB"/>
              </w:rPr>
            </w:pPr>
          </w:p>
        </w:tc>
        <w:tc>
          <w:tcPr>
            <w:tcW w:w="4582" w:type="dxa"/>
          </w:tcPr>
          <w:p w14:paraId="3D61E10C" w14:textId="77777777" w:rsidR="007B7652" w:rsidRPr="00282325" w:rsidRDefault="007B7652" w:rsidP="00282325">
            <w:pPr>
              <w:spacing w:after="0" w:line="276" w:lineRule="auto"/>
              <w:rPr>
                <w:sz w:val="20"/>
                <w:lang w:val="en-GB"/>
              </w:rPr>
            </w:pPr>
            <w:r w:rsidRPr="00282325">
              <w:rPr>
                <w:sz w:val="20"/>
                <w:lang w:val="en-GB"/>
              </w:rPr>
              <w:t>Gait speed</w:t>
            </w:r>
          </w:p>
        </w:tc>
        <w:tc>
          <w:tcPr>
            <w:tcW w:w="992" w:type="dxa"/>
            <w:vAlign w:val="center"/>
          </w:tcPr>
          <w:p w14:paraId="6F036F7C" w14:textId="77777777" w:rsidR="007B7652" w:rsidRPr="00282325" w:rsidRDefault="007B7652" w:rsidP="00282325">
            <w:pPr>
              <w:spacing w:after="0" w:line="276" w:lineRule="auto"/>
              <w:jc w:val="right"/>
              <w:rPr>
                <w:sz w:val="20"/>
                <w:lang w:val="en-GB"/>
              </w:rPr>
            </w:pPr>
            <w:r w:rsidRPr="00282325">
              <w:rPr>
                <w:sz w:val="20"/>
                <w:lang w:val="en-GB"/>
              </w:rPr>
              <w:t>217</w:t>
            </w:r>
          </w:p>
        </w:tc>
        <w:tc>
          <w:tcPr>
            <w:tcW w:w="1242" w:type="dxa"/>
            <w:vAlign w:val="center"/>
          </w:tcPr>
          <w:p w14:paraId="71D8D7FD" w14:textId="77777777" w:rsidR="007B7652" w:rsidRPr="00282325" w:rsidRDefault="007B7652" w:rsidP="00282325">
            <w:pPr>
              <w:spacing w:after="0" w:line="276" w:lineRule="auto"/>
              <w:jc w:val="right"/>
              <w:rPr>
                <w:sz w:val="20"/>
                <w:lang w:val="en-GB"/>
              </w:rPr>
            </w:pPr>
            <w:r w:rsidRPr="00282325">
              <w:rPr>
                <w:sz w:val="20"/>
                <w:lang w:val="en-GB"/>
              </w:rPr>
              <w:t>55.9</w:t>
            </w:r>
          </w:p>
        </w:tc>
      </w:tr>
      <w:tr w:rsidR="007B7652" w:rsidRPr="00282325" w14:paraId="72CC4929" w14:textId="77777777" w:rsidTr="00282325">
        <w:tc>
          <w:tcPr>
            <w:tcW w:w="2472" w:type="dxa"/>
          </w:tcPr>
          <w:p w14:paraId="6AB024AA" w14:textId="77777777" w:rsidR="007B7652" w:rsidRPr="00282325" w:rsidRDefault="007B7652" w:rsidP="00282325">
            <w:pPr>
              <w:spacing w:after="0" w:line="276" w:lineRule="auto"/>
              <w:rPr>
                <w:sz w:val="20"/>
                <w:lang w:val="en-GB"/>
              </w:rPr>
            </w:pPr>
          </w:p>
        </w:tc>
        <w:tc>
          <w:tcPr>
            <w:tcW w:w="4582" w:type="dxa"/>
          </w:tcPr>
          <w:p w14:paraId="027B7C82" w14:textId="77777777" w:rsidR="007B7652" w:rsidRPr="00282325" w:rsidRDefault="007B7652" w:rsidP="00282325">
            <w:pPr>
              <w:spacing w:after="0" w:line="276" w:lineRule="auto"/>
              <w:rPr>
                <w:sz w:val="20"/>
                <w:lang w:val="en-GB"/>
              </w:rPr>
            </w:pPr>
            <w:r w:rsidRPr="00282325">
              <w:rPr>
                <w:sz w:val="20"/>
                <w:lang w:val="en-GB"/>
              </w:rPr>
              <w:t>Grip strength</w:t>
            </w:r>
          </w:p>
        </w:tc>
        <w:tc>
          <w:tcPr>
            <w:tcW w:w="992" w:type="dxa"/>
            <w:vAlign w:val="center"/>
          </w:tcPr>
          <w:p w14:paraId="5664262C" w14:textId="77777777" w:rsidR="007B7652" w:rsidRPr="00282325" w:rsidRDefault="007B7652" w:rsidP="00282325">
            <w:pPr>
              <w:spacing w:after="0" w:line="276" w:lineRule="auto"/>
              <w:jc w:val="right"/>
              <w:rPr>
                <w:sz w:val="20"/>
                <w:lang w:val="en-GB"/>
              </w:rPr>
            </w:pPr>
            <w:r w:rsidRPr="00282325">
              <w:rPr>
                <w:sz w:val="20"/>
                <w:lang w:val="en-GB"/>
              </w:rPr>
              <w:t>158</w:t>
            </w:r>
          </w:p>
        </w:tc>
        <w:tc>
          <w:tcPr>
            <w:tcW w:w="1242" w:type="dxa"/>
            <w:vAlign w:val="center"/>
          </w:tcPr>
          <w:p w14:paraId="5B194080" w14:textId="77777777" w:rsidR="007B7652" w:rsidRPr="00282325" w:rsidRDefault="007B7652" w:rsidP="00282325">
            <w:pPr>
              <w:spacing w:after="0" w:line="276" w:lineRule="auto"/>
              <w:jc w:val="right"/>
              <w:rPr>
                <w:sz w:val="20"/>
                <w:lang w:val="en-GB"/>
              </w:rPr>
            </w:pPr>
            <w:r w:rsidRPr="00282325">
              <w:rPr>
                <w:sz w:val="20"/>
                <w:lang w:val="en-GB"/>
              </w:rPr>
              <w:t>40.7</w:t>
            </w:r>
          </w:p>
        </w:tc>
      </w:tr>
      <w:tr w:rsidR="007B7652" w:rsidRPr="00282325" w14:paraId="0B6E01BA" w14:textId="77777777" w:rsidTr="00282325">
        <w:tc>
          <w:tcPr>
            <w:tcW w:w="2472" w:type="dxa"/>
          </w:tcPr>
          <w:p w14:paraId="221FA1DB" w14:textId="77777777" w:rsidR="007B7652" w:rsidRPr="00282325" w:rsidRDefault="007B7652" w:rsidP="00282325">
            <w:pPr>
              <w:spacing w:after="0" w:line="276" w:lineRule="auto"/>
              <w:rPr>
                <w:sz w:val="20"/>
                <w:lang w:val="en-GB"/>
              </w:rPr>
            </w:pPr>
          </w:p>
        </w:tc>
        <w:tc>
          <w:tcPr>
            <w:tcW w:w="4582" w:type="dxa"/>
          </w:tcPr>
          <w:p w14:paraId="3291210E" w14:textId="77777777" w:rsidR="007B7652" w:rsidRPr="00282325" w:rsidRDefault="007B7652" w:rsidP="00282325">
            <w:pPr>
              <w:spacing w:after="0" w:line="276" w:lineRule="auto"/>
              <w:rPr>
                <w:sz w:val="20"/>
                <w:lang w:val="en-GB"/>
              </w:rPr>
            </w:pPr>
            <w:r w:rsidRPr="00282325">
              <w:rPr>
                <w:sz w:val="20"/>
                <w:lang w:val="en-GB"/>
              </w:rPr>
              <w:t>Other</w:t>
            </w:r>
          </w:p>
        </w:tc>
        <w:tc>
          <w:tcPr>
            <w:tcW w:w="992" w:type="dxa"/>
            <w:vAlign w:val="center"/>
          </w:tcPr>
          <w:p w14:paraId="04ADEF68" w14:textId="77777777" w:rsidR="007B7652" w:rsidRPr="00282325" w:rsidRDefault="007B7652" w:rsidP="00282325">
            <w:pPr>
              <w:spacing w:after="0" w:line="276" w:lineRule="auto"/>
              <w:jc w:val="right"/>
              <w:rPr>
                <w:sz w:val="20"/>
                <w:lang w:val="en-GB"/>
              </w:rPr>
            </w:pPr>
            <w:r w:rsidRPr="00282325">
              <w:rPr>
                <w:sz w:val="20"/>
                <w:lang w:val="en-GB"/>
              </w:rPr>
              <w:t>39</w:t>
            </w:r>
          </w:p>
        </w:tc>
        <w:tc>
          <w:tcPr>
            <w:tcW w:w="1242" w:type="dxa"/>
            <w:vAlign w:val="center"/>
          </w:tcPr>
          <w:p w14:paraId="1FC609AD" w14:textId="77777777" w:rsidR="007B7652" w:rsidRPr="00282325" w:rsidRDefault="007B7652" w:rsidP="00282325">
            <w:pPr>
              <w:spacing w:after="0" w:line="276" w:lineRule="auto"/>
              <w:jc w:val="right"/>
              <w:rPr>
                <w:sz w:val="20"/>
                <w:lang w:val="en-GB"/>
              </w:rPr>
            </w:pPr>
            <w:r w:rsidRPr="00282325">
              <w:rPr>
                <w:sz w:val="20"/>
                <w:lang w:val="en-GB"/>
              </w:rPr>
              <w:t>10.1</w:t>
            </w:r>
          </w:p>
        </w:tc>
      </w:tr>
      <w:tr w:rsidR="007B7652" w:rsidRPr="00282325" w14:paraId="47542442" w14:textId="77777777" w:rsidTr="00282325">
        <w:tc>
          <w:tcPr>
            <w:tcW w:w="2472" w:type="dxa"/>
          </w:tcPr>
          <w:p w14:paraId="1644E1D0" w14:textId="77777777" w:rsidR="007B7652" w:rsidRPr="00282325" w:rsidRDefault="007B7652" w:rsidP="00282325">
            <w:pPr>
              <w:spacing w:after="0" w:line="276" w:lineRule="auto"/>
              <w:rPr>
                <w:sz w:val="20"/>
                <w:u w:val="single"/>
                <w:lang w:val="en-GB"/>
              </w:rPr>
            </w:pPr>
            <w:r w:rsidRPr="00282325">
              <w:rPr>
                <w:sz w:val="20"/>
                <w:u w:val="single"/>
                <w:lang w:val="en-GB"/>
              </w:rPr>
              <w:t>Nutritional status</w:t>
            </w:r>
          </w:p>
        </w:tc>
        <w:tc>
          <w:tcPr>
            <w:tcW w:w="4582" w:type="dxa"/>
          </w:tcPr>
          <w:p w14:paraId="6B97A69A" w14:textId="77777777" w:rsidR="007B7652" w:rsidRPr="00282325" w:rsidRDefault="007B7652" w:rsidP="00282325">
            <w:pPr>
              <w:spacing w:after="0" w:line="276" w:lineRule="auto"/>
              <w:rPr>
                <w:sz w:val="20"/>
                <w:lang w:val="en-GB"/>
              </w:rPr>
            </w:pPr>
          </w:p>
        </w:tc>
        <w:tc>
          <w:tcPr>
            <w:tcW w:w="992" w:type="dxa"/>
            <w:vAlign w:val="center"/>
          </w:tcPr>
          <w:p w14:paraId="33DF4B12" w14:textId="77777777" w:rsidR="007B7652" w:rsidRPr="00282325" w:rsidRDefault="007B7652" w:rsidP="00282325">
            <w:pPr>
              <w:spacing w:after="0" w:line="276" w:lineRule="auto"/>
              <w:jc w:val="right"/>
              <w:rPr>
                <w:sz w:val="20"/>
                <w:lang w:val="en-GB"/>
              </w:rPr>
            </w:pPr>
          </w:p>
        </w:tc>
        <w:tc>
          <w:tcPr>
            <w:tcW w:w="1242" w:type="dxa"/>
            <w:vAlign w:val="center"/>
          </w:tcPr>
          <w:p w14:paraId="184FC563" w14:textId="77777777" w:rsidR="007B7652" w:rsidRPr="00282325" w:rsidRDefault="007B7652" w:rsidP="00282325">
            <w:pPr>
              <w:spacing w:after="0" w:line="276" w:lineRule="auto"/>
              <w:jc w:val="right"/>
              <w:rPr>
                <w:sz w:val="20"/>
                <w:lang w:val="en-GB"/>
              </w:rPr>
            </w:pPr>
          </w:p>
        </w:tc>
      </w:tr>
      <w:tr w:rsidR="007B7652" w:rsidRPr="00282325" w14:paraId="633820A8" w14:textId="77777777" w:rsidTr="00282325">
        <w:tc>
          <w:tcPr>
            <w:tcW w:w="2472" w:type="dxa"/>
          </w:tcPr>
          <w:p w14:paraId="01FFC1C9" w14:textId="77777777" w:rsidR="007B7652" w:rsidRPr="00282325" w:rsidRDefault="007B7652" w:rsidP="00282325">
            <w:pPr>
              <w:spacing w:after="0" w:line="276" w:lineRule="auto"/>
              <w:rPr>
                <w:sz w:val="20"/>
                <w:lang w:val="en-GB"/>
              </w:rPr>
            </w:pPr>
          </w:p>
        </w:tc>
        <w:tc>
          <w:tcPr>
            <w:tcW w:w="4582" w:type="dxa"/>
          </w:tcPr>
          <w:p w14:paraId="4BB9EC46" w14:textId="77777777" w:rsidR="007B7652" w:rsidRPr="00282325" w:rsidRDefault="007B7652" w:rsidP="00282325">
            <w:pPr>
              <w:spacing w:after="0" w:line="276" w:lineRule="auto"/>
              <w:rPr>
                <w:sz w:val="20"/>
                <w:lang w:val="en-GB"/>
              </w:rPr>
            </w:pPr>
            <w:r w:rsidRPr="00282325">
              <w:rPr>
                <w:sz w:val="20"/>
                <w:lang w:val="en-GB"/>
              </w:rPr>
              <w:t>MNA (Mini Nutritional Assessment)</w:t>
            </w:r>
          </w:p>
        </w:tc>
        <w:tc>
          <w:tcPr>
            <w:tcW w:w="992" w:type="dxa"/>
            <w:vAlign w:val="center"/>
          </w:tcPr>
          <w:p w14:paraId="36AA125F" w14:textId="77777777" w:rsidR="007B7652" w:rsidRPr="00282325" w:rsidRDefault="007B7652" w:rsidP="00282325">
            <w:pPr>
              <w:spacing w:after="0" w:line="276" w:lineRule="auto"/>
              <w:jc w:val="right"/>
              <w:rPr>
                <w:sz w:val="20"/>
                <w:lang w:val="en-GB"/>
              </w:rPr>
            </w:pPr>
            <w:r w:rsidRPr="00282325">
              <w:rPr>
                <w:sz w:val="20"/>
                <w:lang w:val="en-GB"/>
              </w:rPr>
              <w:t>221</w:t>
            </w:r>
          </w:p>
        </w:tc>
        <w:tc>
          <w:tcPr>
            <w:tcW w:w="1242" w:type="dxa"/>
            <w:vAlign w:val="center"/>
          </w:tcPr>
          <w:p w14:paraId="358FA84B" w14:textId="77777777" w:rsidR="007B7652" w:rsidRPr="00282325" w:rsidRDefault="007B7652" w:rsidP="00282325">
            <w:pPr>
              <w:spacing w:after="0" w:line="276" w:lineRule="auto"/>
              <w:jc w:val="right"/>
              <w:rPr>
                <w:sz w:val="20"/>
                <w:lang w:val="en-GB"/>
              </w:rPr>
            </w:pPr>
            <w:r w:rsidRPr="00282325">
              <w:rPr>
                <w:sz w:val="20"/>
                <w:lang w:val="en-GB"/>
              </w:rPr>
              <w:t>56.9</w:t>
            </w:r>
          </w:p>
        </w:tc>
      </w:tr>
      <w:tr w:rsidR="007B7652" w:rsidRPr="00282325" w14:paraId="73093530" w14:textId="77777777" w:rsidTr="00282325">
        <w:tc>
          <w:tcPr>
            <w:tcW w:w="2472" w:type="dxa"/>
          </w:tcPr>
          <w:p w14:paraId="7B49BDF2" w14:textId="77777777" w:rsidR="007B7652" w:rsidRPr="00282325" w:rsidRDefault="007B7652" w:rsidP="00282325">
            <w:pPr>
              <w:spacing w:after="0" w:line="276" w:lineRule="auto"/>
              <w:rPr>
                <w:sz w:val="20"/>
                <w:lang w:val="en-GB"/>
              </w:rPr>
            </w:pPr>
          </w:p>
        </w:tc>
        <w:tc>
          <w:tcPr>
            <w:tcW w:w="4582" w:type="dxa"/>
          </w:tcPr>
          <w:p w14:paraId="5708E2DA" w14:textId="77777777" w:rsidR="007B7652" w:rsidRPr="00282325" w:rsidRDefault="007B7652" w:rsidP="00282325">
            <w:pPr>
              <w:spacing w:after="0" w:line="276" w:lineRule="auto"/>
              <w:rPr>
                <w:sz w:val="20"/>
                <w:lang w:val="en-GB"/>
              </w:rPr>
            </w:pPr>
            <w:r w:rsidRPr="00282325">
              <w:rPr>
                <w:sz w:val="20"/>
                <w:lang w:val="en-GB"/>
              </w:rPr>
              <w:t>MUST (malnutrition Universal Screening Tool)</w:t>
            </w:r>
          </w:p>
        </w:tc>
        <w:tc>
          <w:tcPr>
            <w:tcW w:w="992" w:type="dxa"/>
            <w:vAlign w:val="center"/>
          </w:tcPr>
          <w:p w14:paraId="0AF39B71" w14:textId="77777777" w:rsidR="007B7652" w:rsidRPr="00282325" w:rsidRDefault="007B7652" w:rsidP="00282325">
            <w:pPr>
              <w:spacing w:after="0" w:line="276" w:lineRule="auto"/>
              <w:jc w:val="right"/>
              <w:rPr>
                <w:sz w:val="20"/>
                <w:lang w:val="en-GB"/>
              </w:rPr>
            </w:pPr>
            <w:r w:rsidRPr="00282325">
              <w:rPr>
                <w:sz w:val="20"/>
                <w:lang w:val="en-GB"/>
              </w:rPr>
              <w:t>42</w:t>
            </w:r>
          </w:p>
        </w:tc>
        <w:tc>
          <w:tcPr>
            <w:tcW w:w="1242" w:type="dxa"/>
            <w:vAlign w:val="center"/>
          </w:tcPr>
          <w:p w14:paraId="3E9EF426" w14:textId="77777777" w:rsidR="007B7652" w:rsidRPr="00282325" w:rsidRDefault="007B7652" w:rsidP="00282325">
            <w:pPr>
              <w:spacing w:after="0" w:line="276" w:lineRule="auto"/>
              <w:jc w:val="right"/>
              <w:rPr>
                <w:sz w:val="20"/>
                <w:lang w:val="en-GB"/>
              </w:rPr>
            </w:pPr>
            <w:r w:rsidRPr="00282325">
              <w:rPr>
                <w:sz w:val="20"/>
                <w:lang w:val="en-GB"/>
              </w:rPr>
              <w:t>10.8</w:t>
            </w:r>
          </w:p>
        </w:tc>
      </w:tr>
      <w:tr w:rsidR="007B7652" w:rsidRPr="00282325" w14:paraId="508F93D6" w14:textId="77777777" w:rsidTr="00282325">
        <w:tc>
          <w:tcPr>
            <w:tcW w:w="2472" w:type="dxa"/>
          </w:tcPr>
          <w:p w14:paraId="434A550B" w14:textId="77777777" w:rsidR="007B7652" w:rsidRPr="00282325" w:rsidRDefault="007B7652" w:rsidP="00282325">
            <w:pPr>
              <w:spacing w:after="0" w:line="276" w:lineRule="auto"/>
              <w:rPr>
                <w:sz w:val="20"/>
                <w:lang w:val="en-GB"/>
              </w:rPr>
            </w:pPr>
          </w:p>
        </w:tc>
        <w:tc>
          <w:tcPr>
            <w:tcW w:w="4582" w:type="dxa"/>
          </w:tcPr>
          <w:p w14:paraId="15AD6256" w14:textId="77777777" w:rsidR="007B7652" w:rsidRPr="00282325" w:rsidRDefault="007B7652" w:rsidP="00282325">
            <w:pPr>
              <w:spacing w:after="0" w:line="276" w:lineRule="auto"/>
              <w:rPr>
                <w:sz w:val="20"/>
                <w:lang w:val="en-GB"/>
              </w:rPr>
            </w:pPr>
            <w:r w:rsidRPr="00282325">
              <w:rPr>
                <w:sz w:val="20"/>
                <w:lang w:val="en-GB"/>
              </w:rPr>
              <w:t>NRS (Nutrition Risk Screening)</w:t>
            </w:r>
          </w:p>
        </w:tc>
        <w:tc>
          <w:tcPr>
            <w:tcW w:w="992" w:type="dxa"/>
            <w:vAlign w:val="center"/>
          </w:tcPr>
          <w:p w14:paraId="37A240D4" w14:textId="77777777" w:rsidR="007B7652" w:rsidRPr="00282325" w:rsidRDefault="007B7652" w:rsidP="00282325">
            <w:pPr>
              <w:spacing w:after="0" w:line="276" w:lineRule="auto"/>
              <w:jc w:val="right"/>
              <w:rPr>
                <w:sz w:val="20"/>
                <w:lang w:val="en-GB"/>
              </w:rPr>
            </w:pPr>
            <w:r w:rsidRPr="00282325">
              <w:rPr>
                <w:sz w:val="20"/>
                <w:lang w:val="en-GB"/>
              </w:rPr>
              <w:t>20</w:t>
            </w:r>
          </w:p>
        </w:tc>
        <w:tc>
          <w:tcPr>
            <w:tcW w:w="1242" w:type="dxa"/>
            <w:vAlign w:val="center"/>
          </w:tcPr>
          <w:p w14:paraId="669DD8B5" w14:textId="77777777" w:rsidR="007B7652" w:rsidRPr="00282325" w:rsidRDefault="007B7652" w:rsidP="00282325">
            <w:pPr>
              <w:spacing w:after="0" w:line="276" w:lineRule="auto"/>
              <w:jc w:val="right"/>
              <w:rPr>
                <w:sz w:val="20"/>
                <w:lang w:val="en-GB"/>
              </w:rPr>
            </w:pPr>
            <w:r>
              <w:rPr>
                <w:sz w:val="20"/>
                <w:lang w:val="en-GB"/>
              </w:rPr>
              <w:t>5.</w:t>
            </w:r>
            <w:r w:rsidRPr="00282325">
              <w:rPr>
                <w:sz w:val="20"/>
                <w:lang w:val="en-GB"/>
              </w:rPr>
              <w:t>15</w:t>
            </w:r>
          </w:p>
        </w:tc>
      </w:tr>
      <w:tr w:rsidR="007B7652" w:rsidRPr="00282325" w14:paraId="55712EF7" w14:textId="77777777" w:rsidTr="00282325">
        <w:tc>
          <w:tcPr>
            <w:tcW w:w="2472" w:type="dxa"/>
          </w:tcPr>
          <w:p w14:paraId="2F274ACA" w14:textId="77777777" w:rsidR="007B7652" w:rsidRPr="00282325" w:rsidRDefault="007B7652" w:rsidP="00282325">
            <w:pPr>
              <w:spacing w:after="0" w:line="276" w:lineRule="auto"/>
              <w:rPr>
                <w:sz w:val="20"/>
                <w:u w:val="single"/>
                <w:lang w:val="en-GB"/>
              </w:rPr>
            </w:pPr>
            <w:r w:rsidRPr="00282325">
              <w:rPr>
                <w:sz w:val="20"/>
                <w:u w:val="single"/>
                <w:lang w:val="en-GB"/>
              </w:rPr>
              <w:t>Cognitive status</w:t>
            </w:r>
          </w:p>
        </w:tc>
        <w:tc>
          <w:tcPr>
            <w:tcW w:w="4582" w:type="dxa"/>
          </w:tcPr>
          <w:p w14:paraId="116CFD41" w14:textId="77777777" w:rsidR="007B7652" w:rsidRPr="00282325" w:rsidRDefault="007B7652" w:rsidP="00282325">
            <w:pPr>
              <w:spacing w:after="0" w:line="276" w:lineRule="auto"/>
              <w:rPr>
                <w:sz w:val="20"/>
                <w:lang w:val="en-GB"/>
              </w:rPr>
            </w:pPr>
          </w:p>
        </w:tc>
        <w:tc>
          <w:tcPr>
            <w:tcW w:w="992" w:type="dxa"/>
            <w:vAlign w:val="center"/>
          </w:tcPr>
          <w:p w14:paraId="1D3C603C" w14:textId="77777777" w:rsidR="007B7652" w:rsidRPr="00282325" w:rsidRDefault="007B7652" w:rsidP="00282325">
            <w:pPr>
              <w:spacing w:after="0" w:line="276" w:lineRule="auto"/>
              <w:jc w:val="right"/>
              <w:rPr>
                <w:sz w:val="20"/>
                <w:lang w:val="en-GB"/>
              </w:rPr>
            </w:pPr>
          </w:p>
        </w:tc>
        <w:tc>
          <w:tcPr>
            <w:tcW w:w="1242" w:type="dxa"/>
            <w:vAlign w:val="center"/>
          </w:tcPr>
          <w:p w14:paraId="3044AB6D" w14:textId="77777777" w:rsidR="007B7652" w:rsidRPr="00282325" w:rsidRDefault="007B7652" w:rsidP="00282325">
            <w:pPr>
              <w:spacing w:after="0" w:line="276" w:lineRule="auto"/>
              <w:jc w:val="right"/>
              <w:rPr>
                <w:sz w:val="20"/>
                <w:lang w:val="en-GB"/>
              </w:rPr>
            </w:pPr>
          </w:p>
        </w:tc>
      </w:tr>
      <w:tr w:rsidR="007B7652" w:rsidRPr="00282325" w14:paraId="137C77E1" w14:textId="77777777" w:rsidTr="00282325">
        <w:tc>
          <w:tcPr>
            <w:tcW w:w="2472" w:type="dxa"/>
          </w:tcPr>
          <w:p w14:paraId="7223A6AC" w14:textId="77777777" w:rsidR="007B7652" w:rsidRPr="00282325" w:rsidRDefault="007B7652" w:rsidP="00282325">
            <w:pPr>
              <w:spacing w:after="0" w:line="276" w:lineRule="auto"/>
              <w:rPr>
                <w:sz w:val="20"/>
                <w:lang w:val="en-GB"/>
              </w:rPr>
            </w:pPr>
          </w:p>
        </w:tc>
        <w:tc>
          <w:tcPr>
            <w:tcW w:w="4582" w:type="dxa"/>
          </w:tcPr>
          <w:p w14:paraId="5CBE18BB" w14:textId="77777777" w:rsidR="007B7652" w:rsidRPr="00282325" w:rsidRDefault="007B7652" w:rsidP="00282325">
            <w:pPr>
              <w:spacing w:after="0" w:line="276" w:lineRule="auto"/>
              <w:rPr>
                <w:sz w:val="20"/>
                <w:lang w:val="en-GB"/>
              </w:rPr>
            </w:pPr>
            <w:r w:rsidRPr="00282325">
              <w:rPr>
                <w:sz w:val="20"/>
                <w:lang w:val="en-GB"/>
              </w:rPr>
              <w:t>MMSE  (Mini Mental State Examination)</w:t>
            </w:r>
          </w:p>
        </w:tc>
        <w:tc>
          <w:tcPr>
            <w:tcW w:w="992" w:type="dxa"/>
            <w:vAlign w:val="center"/>
          </w:tcPr>
          <w:p w14:paraId="03C7AEB4" w14:textId="77777777" w:rsidR="007B7652" w:rsidRPr="00282325" w:rsidRDefault="007B7652" w:rsidP="00282325">
            <w:pPr>
              <w:spacing w:after="0" w:line="276" w:lineRule="auto"/>
              <w:jc w:val="right"/>
              <w:rPr>
                <w:sz w:val="20"/>
                <w:lang w:val="en-GB"/>
              </w:rPr>
            </w:pPr>
            <w:r w:rsidRPr="00282325">
              <w:rPr>
                <w:sz w:val="20"/>
                <w:lang w:val="en-GB"/>
              </w:rPr>
              <w:t>297</w:t>
            </w:r>
          </w:p>
        </w:tc>
        <w:tc>
          <w:tcPr>
            <w:tcW w:w="1242" w:type="dxa"/>
            <w:vAlign w:val="center"/>
          </w:tcPr>
          <w:p w14:paraId="1E85F108" w14:textId="77777777" w:rsidR="007B7652" w:rsidRPr="00282325" w:rsidRDefault="007B7652" w:rsidP="00282325">
            <w:pPr>
              <w:spacing w:after="0" w:line="276" w:lineRule="auto"/>
              <w:jc w:val="right"/>
              <w:rPr>
                <w:sz w:val="20"/>
                <w:lang w:val="en-GB"/>
              </w:rPr>
            </w:pPr>
            <w:r w:rsidRPr="00282325">
              <w:rPr>
                <w:sz w:val="20"/>
                <w:lang w:val="en-GB"/>
              </w:rPr>
              <w:t>76.5</w:t>
            </w:r>
          </w:p>
        </w:tc>
      </w:tr>
      <w:tr w:rsidR="007B7652" w:rsidRPr="00282325" w14:paraId="12E26D1F" w14:textId="77777777" w:rsidTr="00282325">
        <w:tc>
          <w:tcPr>
            <w:tcW w:w="2472" w:type="dxa"/>
          </w:tcPr>
          <w:p w14:paraId="290FC084" w14:textId="77777777" w:rsidR="007B7652" w:rsidRPr="00282325" w:rsidRDefault="007B7652" w:rsidP="00282325">
            <w:pPr>
              <w:spacing w:after="0" w:line="276" w:lineRule="auto"/>
              <w:rPr>
                <w:sz w:val="20"/>
                <w:lang w:val="en-GB"/>
              </w:rPr>
            </w:pPr>
          </w:p>
        </w:tc>
        <w:tc>
          <w:tcPr>
            <w:tcW w:w="4582" w:type="dxa"/>
          </w:tcPr>
          <w:p w14:paraId="5C595042" w14:textId="77777777" w:rsidR="007B7652" w:rsidRPr="00282325" w:rsidRDefault="007B7652" w:rsidP="00282325">
            <w:pPr>
              <w:spacing w:after="0" w:line="276" w:lineRule="auto"/>
              <w:rPr>
                <w:sz w:val="20"/>
                <w:lang w:val="en-GB"/>
              </w:rPr>
            </w:pPr>
            <w:r w:rsidRPr="00282325">
              <w:rPr>
                <w:sz w:val="20"/>
                <w:lang w:val="en-GB"/>
              </w:rPr>
              <w:t>CRD (Clinical dementia Rating Scale)</w:t>
            </w:r>
          </w:p>
        </w:tc>
        <w:tc>
          <w:tcPr>
            <w:tcW w:w="992" w:type="dxa"/>
            <w:vAlign w:val="center"/>
          </w:tcPr>
          <w:p w14:paraId="6968D8AE" w14:textId="77777777" w:rsidR="007B7652" w:rsidRPr="00282325" w:rsidRDefault="007B7652" w:rsidP="00282325">
            <w:pPr>
              <w:spacing w:after="0" w:line="276" w:lineRule="auto"/>
              <w:jc w:val="right"/>
              <w:rPr>
                <w:sz w:val="20"/>
                <w:lang w:val="en-GB"/>
              </w:rPr>
            </w:pPr>
            <w:r w:rsidRPr="00282325">
              <w:rPr>
                <w:sz w:val="20"/>
                <w:lang w:val="en-GB"/>
              </w:rPr>
              <w:t>105</w:t>
            </w:r>
          </w:p>
        </w:tc>
        <w:tc>
          <w:tcPr>
            <w:tcW w:w="1242" w:type="dxa"/>
            <w:vAlign w:val="center"/>
          </w:tcPr>
          <w:p w14:paraId="764D69D8" w14:textId="77777777" w:rsidR="007B7652" w:rsidRPr="00282325" w:rsidRDefault="007B7652" w:rsidP="00282325">
            <w:pPr>
              <w:spacing w:after="0" w:line="276" w:lineRule="auto"/>
              <w:jc w:val="right"/>
              <w:rPr>
                <w:sz w:val="20"/>
                <w:lang w:val="en-GB"/>
              </w:rPr>
            </w:pPr>
            <w:r w:rsidRPr="00282325">
              <w:rPr>
                <w:sz w:val="20"/>
                <w:lang w:val="en-GB"/>
              </w:rPr>
              <w:t>27.1</w:t>
            </w:r>
          </w:p>
        </w:tc>
      </w:tr>
      <w:tr w:rsidR="007B7652" w:rsidRPr="00282325" w14:paraId="49AF2F23" w14:textId="77777777" w:rsidTr="00282325">
        <w:tc>
          <w:tcPr>
            <w:tcW w:w="2472" w:type="dxa"/>
          </w:tcPr>
          <w:p w14:paraId="1380F63C" w14:textId="77777777" w:rsidR="007B7652" w:rsidRPr="00282325" w:rsidRDefault="007B7652" w:rsidP="00282325">
            <w:pPr>
              <w:spacing w:after="0" w:line="276" w:lineRule="auto"/>
              <w:rPr>
                <w:sz w:val="20"/>
                <w:lang w:val="en-GB"/>
              </w:rPr>
            </w:pPr>
          </w:p>
        </w:tc>
        <w:tc>
          <w:tcPr>
            <w:tcW w:w="4582" w:type="dxa"/>
          </w:tcPr>
          <w:p w14:paraId="55732992" w14:textId="77777777" w:rsidR="007B7652" w:rsidRPr="00282325" w:rsidRDefault="007B7652" w:rsidP="00282325">
            <w:pPr>
              <w:spacing w:after="0" w:line="276" w:lineRule="auto"/>
              <w:rPr>
                <w:sz w:val="20"/>
                <w:lang w:val="en-GB"/>
              </w:rPr>
            </w:pPr>
            <w:r w:rsidRPr="00282325">
              <w:rPr>
                <w:sz w:val="20"/>
                <w:lang w:val="en-GB"/>
              </w:rPr>
              <w:t>FCSRT (Free and Cued Selective Reminding test)</w:t>
            </w:r>
          </w:p>
        </w:tc>
        <w:tc>
          <w:tcPr>
            <w:tcW w:w="992" w:type="dxa"/>
            <w:vAlign w:val="center"/>
          </w:tcPr>
          <w:p w14:paraId="3E0EB4B5" w14:textId="77777777" w:rsidR="007B7652" w:rsidRPr="00282325" w:rsidRDefault="007B7652" w:rsidP="00282325">
            <w:pPr>
              <w:spacing w:after="0" w:line="276" w:lineRule="auto"/>
              <w:jc w:val="right"/>
              <w:rPr>
                <w:sz w:val="20"/>
                <w:lang w:val="en-GB"/>
              </w:rPr>
            </w:pPr>
            <w:r w:rsidRPr="00282325">
              <w:rPr>
                <w:sz w:val="20"/>
                <w:lang w:val="en-GB"/>
              </w:rPr>
              <w:t>7</w:t>
            </w:r>
          </w:p>
        </w:tc>
        <w:tc>
          <w:tcPr>
            <w:tcW w:w="1242" w:type="dxa"/>
            <w:vAlign w:val="center"/>
          </w:tcPr>
          <w:p w14:paraId="55376875" w14:textId="77777777" w:rsidR="007B7652" w:rsidRPr="00282325" w:rsidRDefault="007B7652" w:rsidP="00282325">
            <w:pPr>
              <w:spacing w:after="0" w:line="276" w:lineRule="auto"/>
              <w:jc w:val="right"/>
              <w:rPr>
                <w:sz w:val="20"/>
                <w:lang w:val="en-GB"/>
              </w:rPr>
            </w:pPr>
            <w:r w:rsidRPr="00282325">
              <w:rPr>
                <w:sz w:val="20"/>
                <w:lang w:val="en-GB"/>
              </w:rPr>
              <w:t>1.8</w:t>
            </w:r>
          </w:p>
        </w:tc>
      </w:tr>
      <w:tr w:rsidR="007B7652" w:rsidRPr="00282325" w14:paraId="70FF828F" w14:textId="77777777" w:rsidTr="00282325">
        <w:tc>
          <w:tcPr>
            <w:tcW w:w="2472" w:type="dxa"/>
          </w:tcPr>
          <w:p w14:paraId="60B03B5D" w14:textId="77777777" w:rsidR="007B7652" w:rsidRPr="00282325" w:rsidRDefault="007B7652" w:rsidP="00282325">
            <w:pPr>
              <w:spacing w:after="0" w:line="276" w:lineRule="auto"/>
              <w:rPr>
                <w:sz w:val="20"/>
                <w:lang w:val="en-GB"/>
              </w:rPr>
            </w:pPr>
          </w:p>
        </w:tc>
        <w:tc>
          <w:tcPr>
            <w:tcW w:w="4582" w:type="dxa"/>
          </w:tcPr>
          <w:p w14:paraId="63E23CF8" w14:textId="77777777" w:rsidR="007B7652" w:rsidRPr="00282325" w:rsidRDefault="007B7652" w:rsidP="00282325">
            <w:pPr>
              <w:spacing w:after="0" w:line="276" w:lineRule="auto"/>
              <w:rPr>
                <w:sz w:val="20"/>
                <w:lang w:val="en-GB"/>
              </w:rPr>
            </w:pPr>
            <w:r w:rsidRPr="00282325">
              <w:rPr>
                <w:sz w:val="20"/>
                <w:lang w:val="en-GB"/>
              </w:rPr>
              <w:t>Executive function (i.e. memory, anxiety, attention)</w:t>
            </w:r>
          </w:p>
        </w:tc>
        <w:tc>
          <w:tcPr>
            <w:tcW w:w="992" w:type="dxa"/>
            <w:vAlign w:val="center"/>
          </w:tcPr>
          <w:p w14:paraId="7949DC4B" w14:textId="77777777" w:rsidR="007B7652" w:rsidRPr="00282325" w:rsidRDefault="007B7652" w:rsidP="00282325">
            <w:pPr>
              <w:spacing w:after="0" w:line="276" w:lineRule="auto"/>
              <w:jc w:val="right"/>
              <w:rPr>
                <w:sz w:val="20"/>
                <w:lang w:val="en-GB"/>
              </w:rPr>
            </w:pPr>
            <w:r w:rsidRPr="00282325">
              <w:rPr>
                <w:sz w:val="20"/>
                <w:lang w:val="en-GB"/>
              </w:rPr>
              <w:t>84</w:t>
            </w:r>
          </w:p>
        </w:tc>
        <w:tc>
          <w:tcPr>
            <w:tcW w:w="1242" w:type="dxa"/>
            <w:vAlign w:val="center"/>
          </w:tcPr>
          <w:p w14:paraId="21952029" w14:textId="77777777" w:rsidR="007B7652" w:rsidRPr="00282325" w:rsidRDefault="007B7652" w:rsidP="00282325">
            <w:pPr>
              <w:spacing w:after="0" w:line="276" w:lineRule="auto"/>
              <w:jc w:val="right"/>
              <w:rPr>
                <w:sz w:val="20"/>
                <w:lang w:val="en-GB"/>
              </w:rPr>
            </w:pPr>
            <w:r w:rsidRPr="00282325">
              <w:rPr>
                <w:sz w:val="20"/>
                <w:lang w:val="en-GB"/>
              </w:rPr>
              <w:t>21.6</w:t>
            </w:r>
          </w:p>
        </w:tc>
      </w:tr>
      <w:tr w:rsidR="007B7652" w:rsidRPr="00282325" w14:paraId="02C254A4" w14:textId="77777777" w:rsidTr="00282325">
        <w:tc>
          <w:tcPr>
            <w:tcW w:w="2472" w:type="dxa"/>
          </w:tcPr>
          <w:p w14:paraId="15409499" w14:textId="77777777" w:rsidR="007B7652" w:rsidRPr="00282325" w:rsidRDefault="007B7652" w:rsidP="00282325">
            <w:pPr>
              <w:spacing w:after="0" w:line="276" w:lineRule="auto"/>
              <w:rPr>
                <w:sz w:val="20"/>
                <w:lang w:val="en-GB"/>
              </w:rPr>
            </w:pPr>
          </w:p>
        </w:tc>
        <w:tc>
          <w:tcPr>
            <w:tcW w:w="4582" w:type="dxa"/>
          </w:tcPr>
          <w:p w14:paraId="699173BE" w14:textId="77777777" w:rsidR="007B7652" w:rsidRPr="00282325" w:rsidRDefault="007B7652" w:rsidP="00282325">
            <w:pPr>
              <w:spacing w:after="0" w:line="276" w:lineRule="auto"/>
              <w:rPr>
                <w:sz w:val="20"/>
                <w:lang w:val="en-GB"/>
              </w:rPr>
            </w:pPr>
            <w:r w:rsidRPr="00282325">
              <w:rPr>
                <w:sz w:val="20"/>
                <w:lang w:val="en-GB"/>
              </w:rPr>
              <w:t>GDS  (Geriatric Depression Scale)</w:t>
            </w:r>
          </w:p>
        </w:tc>
        <w:tc>
          <w:tcPr>
            <w:tcW w:w="992" w:type="dxa"/>
            <w:vAlign w:val="center"/>
          </w:tcPr>
          <w:p w14:paraId="0C1228C7" w14:textId="77777777" w:rsidR="007B7652" w:rsidRPr="00282325" w:rsidRDefault="007B7652" w:rsidP="00282325">
            <w:pPr>
              <w:spacing w:after="0" w:line="276" w:lineRule="auto"/>
              <w:jc w:val="right"/>
              <w:rPr>
                <w:sz w:val="20"/>
                <w:lang w:val="en-GB"/>
              </w:rPr>
            </w:pPr>
            <w:r w:rsidRPr="00282325">
              <w:rPr>
                <w:sz w:val="20"/>
                <w:lang w:val="en-GB"/>
              </w:rPr>
              <w:t>257</w:t>
            </w:r>
          </w:p>
        </w:tc>
        <w:tc>
          <w:tcPr>
            <w:tcW w:w="1242" w:type="dxa"/>
            <w:vAlign w:val="center"/>
          </w:tcPr>
          <w:p w14:paraId="2FB30B39" w14:textId="77777777" w:rsidR="007B7652" w:rsidRPr="00282325" w:rsidRDefault="007B7652" w:rsidP="00282325">
            <w:pPr>
              <w:spacing w:after="0" w:line="276" w:lineRule="auto"/>
              <w:jc w:val="right"/>
              <w:rPr>
                <w:sz w:val="20"/>
                <w:lang w:val="en-GB"/>
              </w:rPr>
            </w:pPr>
            <w:r w:rsidRPr="00282325">
              <w:rPr>
                <w:sz w:val="20"/>
                <w:lang w:val="en-GB"/>
              </w:rPr>
              <w:t>66.2</w:t>
            </w:r>
          </w:p>
        </w:tc>
      </w:tr>
      <w:tr w:rsidR="007B7652" w:rsidRPr="00282325" w14:paraId="46CE518E" w14:textId="77777777" w:rsidTr="00282325">
        <w:tc>
          <w:tcPr>
            <w:tcW w:w="2472" w:type="dxa"/>
          </w:tcPr>
          <w:p w14:paraId="7435BD44" w14:textId="77777777" w:rsidR="007B7652" w:rsidRPr="00282325" w:rsidRDefault="007B7652" w:rsidP="00282325">
            <w:pPr>
              <w:spacing w:after="0" w:line="276" w:lineRule="auto"/>
              <w:rPr>
                <w:sz w:val="20"/>
                <w:lang w:val="en-GB"/>
              </w:rPr>
            </w:pPr>
          </w:p>
        </w:tc>
        <w:tc>
          <w:tcPr>
            <w:tcW w:w="4582" w:type="dxa"/>
          </w:tcPr>
          <w:p w14:paraId="4CAAC18E" w14:textId="77777777" w:rsidR="007B7652" w:rsidRPr="00282325" w:rsidRDefault="007B7652" w:rsidP="00282325">
            <w:pPr>
              <w:spacing w:after="0" w:line="276" w:lineRule="auto"/>
              <w:rPr>
                <w:sz w:val="20"/>
                <w:lang w:val="en-GB"/>
              </w:rPr>
            </w:pPr>
            <w:proofErr w:type="spellStart"/>
            <w:r w:rsidRPr="00282325">
              <w:rPr>
                <w:sz w:val="20"/>
                <w:lang w:val="en-GB"/>
              </w:rPr>
              <w:t>Raskin</w:t>
            </w:r>
            <w:proofErr w:type="spellEnd"/>
            <w:r w:rsidRPr="00282325">
              <w:rPr>
                <w:sz w:val="20"/>
                <w:lang w:val="en-GB"/>
              </w:rPr>
              <w:t xml:space="preserve"> Depression Scale</w:t>
            </w:r>
          </w:p>
        </w:tc>
        <w:tc>
          <w:tcPr>
            <w:tcW w:w="992" w:type="dxa"/>
            <w:vAlign w:val="center"/>
          </w:tcPr>
          <w:p w14:paraId="4DD04C10" w14:textId="77777777" w:rsidR="007B7652" w:rsidRPr="00282325" w:rsidRDefault="007B7652" w:rsidP="00282325">
            <w:pPr>
              <w:spacing w:after="0" w:line="276" w:lineRule="auto"/>
              <w:jc w:val="right"/>
              <w:rPr>
                <w:sz w:val="20"/>
                <w:lang w:val="en-GB"/>
              </w:rPr>
            </w:pPr>
            <w:r w:rsidRPr="00282325">
              <w:rPr>
                <w:sz w:val="20"/>
                <w:lang w:val="en-GB"/>
              </w:rPr>
              <w:t>7</w:t>
            </w:r>
          </w:p>
        </w:tc>
        <w:tc>
          <w:tcPr>
            <w:tcW w:w="1242" w:type="dxa"/>
            <w:vAlign w:val="center"/>
          </w:tcPr>
          <w:p w14:paraId="4B02D5BB" w14:textId="77777777" w:rsidR="007B7652" w:rsidRPr="00282325" w:rsidRDefault="007B7652" w:rsidP="00282325">
            <w:pPr>
              <w:spacing w:after="0" w:line="276" w:lineRule="auto"/>
              <w:jc w:val="right"/>
              <w:rPr>
                <w:sz w:val="20"/>
                <w:lang w:val="en-GB"/>
              </w:rPr>
            </w:pPr>
            <w:r w:rsidRPr="00282325">
              <w:rPr>
                <w:sz w:val="20"/>
                <w:lang w:val="en-GB"/>
              </w:rPr>
              <w:t>1.8</w:t>
            </w:r>
          </w:p>
        </w:tc>
      </w:tr>
      <w:tr w:rsidR="007B7652" w:rsidRPr="00282325" w14:paraId="7634493D" w14:textId="77777777" w:rsidTr="00282325">
        <w:tc>
          <w:tcPr>
            <w:tcW w:w="2472" w:type="dxa"/>
          </w:tcPr>
          <w:p w14:paraId="741BA0A1" w14:textId="77777777" w:rsidR="007B7652" w:rsidRPr="00282325" w:rsidRDefault="007B7652" w:rsidP="00282325">
            <w:pPr>
              <w:spacing w:after="0" w:line="276" w:lineRule="auto"/>
              <w:rPr>
                <w:sz w:val="20"/>
                <w:lang w:val="en-GB"/>
              </w:rPr>
            </w:pPr>
          </w:p>
        </w:tc>
        <w:tc>
          <w:tcPr>
            <w:tcW w:w="4582" w:type="dxa"/>
          </w:tcPr>
          <w:p w14:paraId="62EE3DD7" w14:textId="77777777" w:rsidR="007B7652" w:rsidRPr="00282325" w:rsidRDefault="007B7652" w:rsidP="00282325">
            <w:pPr>
              <w:spacing w:after="0" w:line="276" w:lineRule="auto"/>
              <w:rPr>
                <w:sz w:val="20"/>
                <w:lang w:val="en-GB"/>
              </w:rPr>
            </w:pPr>
            <w:proofErr w:type="spellStart"/>
            <w:r w:rsidRPr="00282325">
              <w:rPr>
                <w:sz w:val="20"/>
                <w:lang w:val="en-GB"/>
              </w:rPr>
              <w:t>Covi</w:t>
            </w:r>
            <w:proofErr w:type="spellEnd"/>
            <w:r w:rsidRPr="00282325">
              <w:rPr>
                <w:sz w:val="20"/>
                <w:lang w:val="en-GB"/>
              </w:rPr>
              <w:t xml:space="preserve"> Anxiety Scale</w:t>
            </w:r>
          </w:p>
        </w:tc>
        <w:tc>
          <w:tcPr>
            <w:tcW w:w="992" w:type="dxa"/>
            <w:vAlign w:val="center"/>
          </w:tcPr>
          <w:p w14:paraId="68C75CF6" w14:textId="77777777" w:rsidR="007B7652" w:rsidRPr="00282325" w:rsidRDefault="007B7652" w:rsidP="00282325">
            <w:pPr>
              <w:spacing w:after="0" w:line="276" w:lineRule="auto"/>
              <w:jc w:val="right"/>
              <w:rPr>
                <w:sz w:val="20"/>
                <w:lang w:val="en-GB"/>
              </w:rPr>
            </w:pPr>
            <w:r w:rsidRPr="00282325">
              <w:rPr>
                <w:sz w:val="20"/>
                <w:lang w:val="en-GB"/>
              </w:rPr>
              <w:t>5</w:t>
            </w:r>
          </w:p>
        </w:tc>
        <w:tc>
          <w:tcPr>
            <w:tcW w:w="1242" w:type="dxa"/>
            <w:vAlign w:val="center"/>
          </w:tcPr>
          <w:p w14:paraId="43462CDF" w14:textId="77777777" w:rsidR="007B7652" w:rsidRPr="00282325" w:rsidRDefault="007B7652" w:rsidP="00282325">
            <w:pPr>
              <w:spacing w:after="0" w:line="276" w:lineRule="auto"/>
              <w:jc w:val="right"/>
              <w:rPr>
                <w:sz w:val="20"/>
                <w:lang w:val="en-GB"/>
              </w:rPr>
            </w:pPr>
            <w:r w:rsidRPr="00282325">
              <w:rPr>
                <w:sz w:val="20"/>
                <w:lang w:val="en-GB"/>
              </w:rPr>
              <w:t>1.29</w:t>
            </w:r>
          </w:p>
        </w:tc>
      </w:tr>
      <w:tr w:rsidR="007B7652" w:rsidRPr="00282325" w14:paraId="4CDDFCC0" w14:textId="77777777" w:rsidTr="00282325">
        <w:tc>
          <w:tcPr>
            <w:tcW w:w="2472" w:type="dxa"/>
          </w:tcPr>
          <w:p w14:paraId="4EEAAE62" w14:textId="77777777" w:rsidR="007B7652" w:rsidRPr="00282325" w:rsidRDefault="007B7652" w:rsidP="00282325">
            <w:pPr>
              <w:spacing w:after="0" w:line="276" w:lineRule="auto"/>
              <w:rPr>
                <w:sz w:val="20"/>
                <w:lang w:val="en-GB"/>
              </w:rPr>
            </w:pPr>
          </w:p>
        </w:tc>
        <w:tc>
          <w:tcPr>
            <w:tcW w:w="4582" w:type="dxa"/>
          </w:tcPr>
          <w:p w14:paraId="1C30BDF2" w14:textId="77777777" w:rsidR="007B7652" w:rsidRPr="00282325" w:rsidRDefault="007B7652" w:rsidP="00282325">
            <w:pPr>
              <w:spacing w:after="0" w:line="276" w:lineRule="auto"/>
              <w:rPr>
                <w:sz w:val="20"/>
                <w:lang w:val="en-GB"/>
              </w:rPr>
            </w:pPr>
            <w:r w:rsidRPr="00282325">
              <w:rPr>
                <w:sz w:val="20"/>
                <w:lang w:val="en-GB"/>
              </w:rPr>
              <w:t>NPI scale</w:t>
            </w:r>
          </w:p>
        </w:tc>
        <w:tc>
          <w:tcPr>
            <w:tcW w:w="992" w:type="dxa"/>
            <w:vAlign w:val="center"/>
          </w:tcPr>
          <w:p w14:paraId="14F3A650" w14:textId="77777777" w:rsidR="007B7652" w:rsidRPr="00282325" w:rsidRDefault="007B7652" w:rsidP="00282325">
            <w:pPr>
              <w:spacing w:after="0" w:line="276" w:lineRule="auto"/>
              <w:jc w:val="right"/>
              <w:rPr>
                <w:sz w:val="20"/>
                <w:lang w:val="en-GB"/>
              </w:rPr>
            </w:pPr>
            <w:r w:rsidRPr="00282325">
              <w:rPr>
                <w:sz w:val="20"/>
                <w:lang w:val="en-GB"/>
              </w:rPr>
              <w:t>114</w:t>
            </w:r>
          </w:p>
        </w:tc>
        <w:tc>
          <w:tcPr>
            <w:tcW w:w="1242" w:type="dxa"/>
            <w:vAlign w:val="center"/>
          </w:tcPr>
          <w:p w14:paraId="624003C8" w14:textId="77777777" w:rsidR="007B7652" w:rsidRPr="00282325" w:rsidRDefault="007B7652" w:rsidP="00282325">
            <w:pPr>
              <w:spacing w:after="0" w:line="276" w:lineRule="auto"/>
              <w:jc w:val="right"/>
              <w:rPr>
                <w:sz w:val="20"/>
                <w:lang w:val="en-GB"/>
              </w:rPr>
            </w:pPr>
            <w:r w:rsidRPr="00282325">
              <w:rPr>
                <w:sz w:val="20"/>
                <w:lang w:val="en-GB"/>
              </w:rPr>
              <w:t>29.</w:t>
            </w:r>
            <w:r>
              <w:rPr>
                <w:sz w:val="20"/>
                <w:lang w:val="en-GB"/>
              </w:rPr>
              <w:t>4</w:t>
            </w:r>
          </w:p>
        </w:tc>
      </w:tr>
      <w:tr w:rsidR="007B7652" w:rsidRPr="00282325" w14:paraId="7CD14242" w14:textId="77777777" w:rsidTr="00282325">
        <w:tc>
          <w:tcPr>
            <w:tcW w:w="2472" w:type="dxa"/>
          </w:tcPr>
          <w:p w14:paraId="7B363D92" w14:textId="77777777" w:rsidR="007B7652" w:rsidRPr="00282325" w:rsidRDefault="007B7652" w:rsidP="00282325">
            <w:pPr>
              <w:spacing w:after="0" w:line="276" w:lineRule="auto"/>
              <w:rPr>
                <w:sz w:val="20"/>
                <w:u w:val="single"/>
                <w:lang w:val="en-GB"/>
              </w:rPr>
            </w:pPr>
            <w:r w:rsidRPr="00282325">
              <w:rPr>
                <w:sz w:val="20"/>
                <w:u w:val="single"/>
                <w:lang w:val="en-GB"/>
              </w:rPr>
              <w:t>Autonomy</w:t>
            </w:r>
          </w:p>
        </w:tc>
        <w:tc>
          <w:tcPr>
            <w:tcW w:w="4582" w:type="dxa"/>
          </w:tcPr>
          <w:p w14:paraId="6AE4F27D" w14:textId="77777777" w:rsidR="007B7652" w:rsidRPr="00282325" w:rsidRDefault="007B7652" w:rsidP="00282325">
            <w:pPr>
              <w:spacing w:after="0" w:line="276" w:lineRule="auto"/>
              <w:rPr>
                <w:sz w:val="20"/>
                <w:lang w:val="en-GB"/>
              </w:rPr>
            </w:pPr>
          </w:p>
        </w:tc>
        <w:tc>
          <w:tcPr>
            <w:tcW w:w="992" w:type="dxa"/>
            <w:vAlign w:val="center"/>
          </w:tcPr>
          <w:p w14:paraId="6C378757" w14:textId="77777777" w:rsidR="007B7652" w:rsidRPr="00282325" w:rsidRDefault="007B7652" w:rsidP="00282325">
            <w:pPr>
              <w:spacing w:after="0" w:line="276" w:lineRule="auto"/>
              <w:jc w:val="right"/>
              <w:rPr>
                <w:sz w:val="20"/>
                <w:lang w:val="en-GB"/>
              </w:rPr>
            </w:pPr>
          </w:p>
        </w:tc>
        <w:tc>
          <w:tcPr>
            <w:tcW w:w="1242" w:type="dxa"/>
            <w:vAlign w:val="center"/>
          </w:tcPr>
          <w:p w14:paraId="294FFE08" w14:textId="77777777" w:rsidR="007B7652" w:rsidRPr="00282325" w:rsidRDefault="007B7652" w:rsidP="00282325">
            <w:pPr>
              <w:spacing w:after="0" w:line="276" w:lineRule="auto"/>
              <w:jc w:val="right"/>
              <w:rPr>
                <w:sz w:val="20"/>
                <w:lang w:val="en-GB"/>
              </w:rPr>
            </w:pPr>
          </w:p>
        </w:tc>
      </w:tr>
      <w:tr w:rsidR="007B7652" w:rsidRPr="00282325" w14:paraId="32E56D1E" w14:textId="77777777" w:rsidTr="00282325">
        <w:tc>
          <w:tcPr>
            <w:tcW w:w="2472" w:type="dxa"/>
          </w:tcPr>
          <w:p w14:paraId="02E7D784" w14:textId="77777777" w:rsidR="007B7652" w:rsidRPr="00282325" w:rsidRDefault="007B7652" w:rsidP="00282325">
            <w:pPr>
              <w:spacing w:after="0" w:line="276" w:lineRule="auto"/>
              <w:rPr>
                <w:sz w:val="20"/>
                <w:lang w:val="en-GB"/>
              </w:rPr>
            </w:pPr>
          </w:p>
        </w:tc>
        <w:tc>
          <w:tcPr>
            <w:tcW w:w="4582" w:type="dxa"/>
          </w:tcPr>
          <w:p w14:paraId="1343880C" w14:textId="77777777" w:rsidR="007B7652" w:rsidRPr="00282325" w:rsidRDefault="007B7652" w:rsidP="00282325">
            <w:pPr>
              <w:spacing w:after="0" w:line="276" w:lineRule="auto"/>
              <w:rPr>
                <w:sz w:val="20"/>
                <w:lang w:val="en-GB"/>
              </w:rPr>
            </w:pPr>
            <w:r w:rsidRPr="00282325">
              <w:rPr>
                <w:sz w:val="20"/>
                <w:lang w:val="en-GB"/>
              </w:rPr>
              <w:t>ADL (Activity daily Living)</w:t>
            </w:r>
          </w:p>
        </w:tc>
        <w:tc>
          <w:tcPr>
            <w:tcW w:w="992" w:type="dxa"/>
            <w:vAlign w:val="center"/>
          </w:tcPr>
          <w:p w14:paraId="20C6E478" w14:textId="77777777" w:rsidR="007B7652" w:rsidRPr="00282325" w:rsidRDefault="007B7652" w:rsidP="00282325">
            <w:pPr>
              <w:spacing w:after="0" w:line="276" w:lineRule="auto"/>
              <w:jc w:val="right"/>
              <w:rPr>
                <w:sz w:val="20"/>
                <w:lang w:val="en-GB"/>
              </w:rPr>
            </w:pPr>
            <w:r w:rsidRPr="00282325">
              <w:rPr>
                <w:sz w:val="20"/>
                <w:lang w:val="en-GB"/>
              </w:rPr>
              <w:t>261</w:t>
            </w:r>
          </w:p>
        </w:tc>
        <w:tc>
          <w:tcPr>
            <w:tcW w:w="1242" w:type="dxa"/>
            <w:vAlign w:val="center"/>
          </w:tcPr>
          <w:p w14:paraId="09378B3E" w14:textId="77777777" w:rsidR="007B7652" w:rsidRPr="00282325" w:rsidRDefault="007B7652" w:rsidP="00282325">
            <w:pPr>
              <w:spacing w:after="0" w:line="276" w:lineRule="auto"/>
              <w:jc w:val="right"/>
              <w:rPr>
                <w:sz w:val="20"/>
                <w:lang w:val="en-GB"/>
              </w:rPr>
            </w:pPr>
            <w:r w:rsidRPr="00282325">
              <w:rPr>
                <w:sz w:val="20"/>
                <w:lang w:val="en-GB"/>
              </w:rPr>
              <w:t>67.3</w:t>
            </w:r>
          </w:p>
        </w:tc>
      </w:tr>
      <w:tr w:rsidR="007B7652" w:rsidRPr="00282325" w14:paraId="04ED45D8" w14:textId="77777777" w:rsidTr="00282325">
        <w:tc>
          <w:tcPr>
            <w:tcW w:w="2472" w:type="dxa"/>
          </w:tcPr>
          <w:p w14:paraId="2697D617" w14:textId="77777777" w:rsidR="007B7652" w:rsidRPr="00282325" w:rsidRDefault="007B7652" w:rsidP="00282325">
            <w:pPr>
              <w:spacing w:after="0" w:line="276" w:lineRule="auto"/>
              <w:rPr>
                <w:sz w:val="20"/>
                <w:lang w:val="en-GB"/>
              </w:rPr>
            </w:pPr>
          </w:p>
        </w:tc>
        <w:tc>
          <w:tcPr>
            <w:tcW w:w="4582" w:type="dxa"/>
          </w:tcPr>
          <w:p w14:paraId="29FD010E" w14:textId="77777777" w:rsidR="007B7652" w:rsidRPr="00282325" w:rsidRDefault="007B7652" w:rsidP="00282325">
            <w:pPr>
              <w:spacing w:after="0" w:line="276" w:lineRule="auto"/>
              <w:rPr>
                <w:sz w:val="20"/>
                <w:lang w:val="en-GB"/>
              </w:rPr>
            </w:pPr>
            <w:r w:rsidRPr="00282325">
              <w:rPr>
                <w:sz w:val="20"/>
                <w:lang w:val="en-GB"/>
              </w:rPr>
              <w:t>IADL (Instrumental Activity daily Living)</w:t>
            </w:r>
          </w:p>
        </w:tc>
        <w:tc>
          <w:tcPr>
            <w:tcW w:w="992" w:type="dxa"/>
            <w:vAlign w:val="center"/>
          </w:tcPr>
          <w:p w14:paraId="6A1E419D" w14:textId="77777777" w:rsidR="007B7652" w:rsidRPr="00282325" w:rsidRDefault="007B7652" w:rsidP="00282325">
            <w:pPr>
              <w:spacing w:after="0" w:line="276" w:lineRule="auto"/>
              <w:jc w:val="right"/>
              <w:rPr>
                <w:sz w:val="20"/>
                <w:lang w:val="en-GB"/>
              </w:rPr>
            </w:pPr>
            <w:r w:rsidRPr="00282325">
              <w:rPr>
                <w:sz w:val="20"/>
                <w:lang w:val="en-GB"/>
              </w:rPr>
              <w:t>246</w:t>
            </w:r>
          </w:p>
        </w:tc>
        <w:tc>
          <w:tcPr>
            <w:tcW w:w="1242" w:type="dxa"/>
            <w:vAlign w:val="center"/>
          </w:tcPr>
          <w:p w14:paraId="25C80179" w14:textId="77777777" w:rsidR="007B7652" w:rsidRPr="00282325" w:rsidRDefault="007B7652" w:rsidP="00282325">
            <w:pPr>
              <w:spacing w:after="0" w:line="276" w:lineRule="auto"/>
              <w:jc w:val="right"/>
              <w:rPr>
                <w:sz w:val="20"/>
                <w:lang w:val="en-GB"/>
              </w:rPr>
            </w:pPr>
            <w:r w:rsidRPr="00282325">
              <w:rPr>
                <w:sz w:val="20"/>
                <w:lang w:val="en-GB"/>
              </w:rPr>
              <w:t>63.4</w:t>
            </w:r>
          </w:p>
        </w:tc>
      </w:tr>
      <w:tr w:rsidR="007B7652" w:rsidRPr="00282325" w14:paraId="53E4DA89" w14:textId="77777777" w:rsidTr="00282325">
        <w:tc>
          <w:tcPr>
            <w:tcW w:w="2472" w:type="dxa"/>
          </w:tcPr>
          <w:p w14:paraId="1D9D1C81" w14:textId="77777777" w:rsidR="007B7652" w:rsidRPr="00282325" w:rsidRDefault="007B7652" w:rsidP="00282325">
            <w:pPr>
              <w:spacing w:after="0" w:line="276" w:lineRule="auto"/>
              <w:rPr>
                <w:sz w:val="20"/>
                <w:lang w:val="en-GB"/>
              </w:rPr>
            </w:pPr>
          </w:p>
        </w:tc>
        <w:tc>
          <w:tcPr>
            <w:tcW w:w="4582" w:type="dxa"/>
          </w:tcPr>
          <w:p w14:paraId="2F5B3AB6" w14:textId="77777777" w:rsidR="007B7652" w:rsidRPr="00282325" w:rsidRDefault="007B7652" w:rsidP="00282325">
            <w:pPr>
              <w:spacing w:after="0" w:line="276" w:lineRule="auto"/>
              <w:rPr>
                <w:sz w:val="20"/>
                <w:lang w:val="en-GB"/>
              </w:rPr>
            </w:pPr>
            <w:r w:rsidRPr="00282325">
              <w:rPr>
                <w:sz w:val="20"/>
                <w:lang w:val="en-GB"/>
              </w:rPr>
              <w:t>Other</w:t>
            </w:r>
          </w:p>
        </w:tc>
        <w:tc>
          <w:tcPr>
            <w:tcW w:w="992" w:type="dxa"/>
            <w:vAlign w:val="center"/>
          </w:tcPr>
          <w:p w14:paraId="59E81449" w14:textId="77777777" w:rsidR="007B7652" w:rsidRPr="00282325" w:rsidRDefault="007B7652" w:rsidP="00282325">
            <w:pPr>
              <w:spacing w:after="0" w:line="276" w:lineRule="auto"/>
              <w:jc w:val="right"/>
              <w:rPr>
                <w:sz w:val="20"/>
                <w:lang w:val="en-GB"/>
              </w:rPr>
            </w:pPr>
            <w:r w:rsidRPr="00282325">
              <w:rPr>
                <w:sz w:val="20"/>
                <w:lang w:val="en-GB"/>
              </w:rPr>
              <w:t>43</w:t>
            </w:r>
          </w:p>
        </w:tc>
        <w:tc>
          <w:tcPr>
            <w:tcW w:w="1242" w:type="dxa"/>
            <w:vAlign w:val="center"/>
          </w:tcPr>
          <w:p w14:paraId="375F08E4" w14:textId="77777777" w:rsidR="007B7652" w:rsidRPr="00282325" w:rsidRDefault="007B7652" w:rsidP="00282325">
            <w:pPr>
              <w:spacing w:after="0" w:line="276" w:lineRule="auto"/>
              <w:jc w:val="right"/>
              <w:rPr>
                <w:sz w:val="20"/>
                <w:lang w:val="en-GB"/>
              </w:rPr>
            </w:pPr>
            <w:r>
              <w:rPr>
                <w:sz w:val="20"/>
                <w:lang w:val="en-GB"/>
              </w:rPr>
              <w:t>11.1</w:t>
            </w:r>
          </w:p>
        </w:tc>
      </w:tr>
      <w:tr w:rsidR="007B7652" w:rsidRPr="00282325" w14:paraId="7CA763F4" w14:textId="77777777" w:rsidTr="00282325">
        <w:tc>
          <w:tcPr>
            <w:tcW w:w="2472" w:type="dxa"/>
          </w:tcPr>
          <w:p w14:paraId="0DA08D18" w14:textId="77777777" w:rsidR="007B7652" w:rsidRPr="00282325" w:rsidRDefault="007B7652" w:rsidP="00282325">
            <w:pPr>
              <w:spacing w:after="0" w:line="276" w:lineRule="auto"/>
              <w:rPr>
                <w:sz w:val="20"/>
                <w:u w:val="single"/>
                <w:lang w:val="en-GB"/>
              </w:rPr>
            </w:pPr>
            <w:r w:rsidRPr="00282325">
              <w:rPr>
                <w:sz w:val="20"/>
                <w:u w:val="single"/>
                <w:lang w:val="en-GB"/>
              </w:rPr>
              <w:t>Sensorial impairment</w:t>
            </w:r>
          </w:p>
        </w:tc>
        <w:tc>
          <w:tcPr>
            <w:tcW w:w="4582" w:type="dxa"/>
          </w:tcPr>
          <w:p w14:paraId="63518498" w14:textId="77777777" w:rsidR="007B7652" w:rsidRPr="00282325" w:rsidRDefault="007B7652" w:rsidP="00282325">
            <w:pPr>
              <w:spacing w:after="0" w:line="276" w:lineRule="auto"/>
              <w:rPr>
                <w:sz w:val="20"/>
                <w:lang w:val="en-GB"/>
              </w:rPr>
            </w:pPr>
          </w:p>
        </w:tc>
        <w:tc>
          <w:tcPr>
            <w:tcW w:w="992" w:type="dxa"/>
            <w:vAlign w:val="center"/>
          </w:tcPr>
          <w:p w14:paraId="4958A1DF" w14:textId="77777777" w:rsidR="007B7652" w:rsidRPr="00282325" w:rsidRDefault="007B7652" w:rsidP="00282325">
            <w:pPr>
              <w:spacing w:after="0" w:line="276" w:lineRule="auto"/>
              <w:jc w:val="right"/>
              <w:rPr>
                <w:sz w:val="20"/>
                <w:lang w:val="en-GB"/>
              </w:rPr>
            </w:pPr>
          </w:p>
        </w:tc>
        <w:tc>
          <w:tcPr>
            <w:tcW w:w="1242" w:type="dxa"/>
            <w:vAlign w:val="center"/>
          </w:tcPr>
          <w:p w14:paraId="6846BC01" w14:textId="77777777" w:rsidR="007B7652" w:rsidRPr="00282325" w:rsidRDefault="007B7652" w:rsidP="00282325">
            <w:pPr>
              <w:spacing w:after="0" w:line="276" w:lineRule="auto"/>
              <w:jc w:val="right"/>
              <w:rPr>
                <w:sz w:val="20"/>
                <w:lang w:val="en-GB"/>
              </w:rPr>
            </w:pPr>
          </w:p>
        </w:tc>
      </w:tr>
      <w:tr w:rsidR="007B7652" w:rsidRPr="00282325" w14:paraId="4978DAB1" w14:textId="77777777" w:rsidTr="00282325">
        <w:tc>
          <w:tcPr>
            <w:tcW w:w="2472" w:type="dxa"/>
          </w:tcPr>
          <w:p w14:paraId="3CB26F91" w14:textId="77777777" w:rsidR="007B7652" w:rsidRPr="00282325" w:rsidRDefault="007B7652" w:rsidP="00282325">
            <w:pPr>
              <w:spacing w:after="0" w:line="276" w:lineRule="auto"/>
              <w:rPr>
                <w:sz w:val="20"/>
                <w:lang w:val="en-GB"/>
              </w:rPr>
            </w:pPr>
          </w:p>
        </w:tc>
        <w:tc>
          <w:tcPr>
            <w:tcW w:w="4582" w:type="dxa"/>
          </w:tcPr>
          <w:p w14:paraId="246EE51E" w14:textId="77777777" w:rsidR="007B7652" w:rsidRPr="00282325" w:rsidRDefault="007B7652" w:rsidP="00282325">
            <w:pPr>
              <w:spacing w:after="0" w:line="276" w:lineRule="auto"/>
              <w:rPr>
                <w:sz w:val="20"/>
                <w:lang w:val="en-GB"/>
              </w:rPr>
            </w:pPr>
            <w:r w:rsidRPr="00282325">
              <w:rPr>
                <w:sz w:val="20"/>
                <w:lang w:val="en-GB"/>
              </w:rPr>
              <w:t>Sensorial</w:t>
            </w:r>
          </w:p>
        </w:tc>
        <w:tc>
          <w:tcPr>
            <w:tcW w:w="992" w:type="dxa"/>
            <w:vAlign w:val="center"/>
          </w:tcPr>
          <w:p w14:paraId="4D5888C3" w14:textId="77777777" w:rsidR="007B7652" w:rsidRPr="00282325" w:rsidRDefault="007B7652" w:rsidP="00282325">
            <w:pPr>
              <w:spacing w:after="0" w:line="276" w:lineRule="auto"/>
              <w:jc w:val="right"/>
              <w:rPr>
                <w:sz w:val="20"/>
                <w:lang w:val="en-GB"/>
              </w:rPr>
            </w:pPr>
            <w:r w:rsidRPr="00282325">
              <w:rPr>
                <w:sz w:val="20"/>
                <w:lang w:val="en-GB"/>
              </w:rPr>
              <w:t>114</w:t>
            </w:r>
          </w:p>
        </w:tc>
        <w:tc>
          <w:tcPr>
            <w:tcW w:w="1242" w:type="dxa"/>
            <w:vAlign w:val="center"/>
          </w:tcPr>
          <w:p w14:paraId="58838B03" w14:textId="77777777" w:rsidR="007B7652" w:rsidRPr="00282325" w:rsidRDefault="007B7652" w:rsidP="00282325">
            <w:pPr>
              <w:spacing w:after="0" w:line="276" w:lineRule="auto"/>
              <w:jc w:val="right"/>
              <w:rPr>
                <w:sz w:val="20"/>
                <w:lang w:val="en-GB"/>
              </w:rPr>
            </w:pPr>
            <w:r>
              <w:rPr>
                <w:sz w:val="20"/>
                <w:lang w:val="en-GB"/>
              </w:rPr>
              <w:t>29.4</w:t>
            </w:r>
          </w:p>
        </w:tc>
      </w:tr>
      <w:tr w:rsidR="007B7652" w:rsidRPr="00282325" w14:paraId="586904E9" w14:textId="77777777" w:rsidTr="00282325">
        <w:tc>
          <w:tcPr>
            <w:tcW w:w="2472" w:type="dxa"/>
          </w:tcPr>
          <w:p w14:paraId="3C6A81A8" w14:textId="77777777" w:rsidR="007B7652" w:rsidRPr="00282325" w:rsidRDefault="007B7652" w:rsidP="00282325">
            <w:pPr>
              <w:spacing w:after="0" w:line="276" w:lineRule="auto"/>
              <w:rPr>
                <w:sz w:val="20"/>
                <w:lang w:val="en-GB"/>
              </w:rPr>
            </w:pPr>
          </w:p>
        </w:tc>
        <w:tc>
          <w:tcPr>
            <w:tcW w:w="4582" w:type="dxa"/>
          </w:tcPr>
          <w:p w14:paraId="5CFCDD33" w14:textId="77777777" w:rsidR="007B7652" w:rsidRPr="00282325" w:rsidRDefault="007B7652" w:rsidP="00282325">
            <w:pPr>
              <w:spacing w:after="0" w:line="276" w:lineRule="auto"/>
              <w:rPr>
                <w:sz w:val="20"/>
                <w:lang w:val="en-GB"/>
              </w:rPr>
            </w:pPr>
            <w:r w:rsidRPr="00282325">
              <w:rPr>
                <w:sz w:val="20"/>
                <w:lang w:val="en-GB"/>
              </w:rPr>
              <w:t>Vision</w:t>
            </w:r>
          </w:p>
        </w:tc>
        <w:tc>
          <w:tcPr>
            <w:tcW w:w="992" w:type="dxa"/>
            <w:vAlign w:val="center"/>
          </w:tcPr>
          <w:p w14:paraId="6BBEDF31" w14:textId="77777777" w:rsidR="007B7652" w:rsidRPr="00282325" w:rsidRDefault="007B7652" w:rsidP="00282325">
            <w:pPr>
              <w:spacing w:after="0" w:line="276" w:lineRule="auto"/>
              <w:jc w:val="right"/>
              <w:rPr>
                <w:sz w:val="20"/>
                <w:lang w:val="en-GB"/>
              </w:rPr>
            </w:pPr>
            <w:r w:rsidRPr="00282325">
              <w:rPr>
                <w:sz w:val="20"/>
                <w:lang w:val="en-GB"/>
              </w:rPr>
              <w:t>157</w:t>
            </w:r>
          </w:p>
        </w:tc>
        <w:tc>
          <w:tcPr>
            <w:tcW w:w="1242" w:type="dxa"/>
            <w:vAlign w:val="center"/>
          </w:tcPr>
          <w:p w14:paraId="148549B3" w14:textId="77777777" w:rsidR="007B7652" w:rsidRPr="00282325" w:rsidRDefault="007B7652" w:rsidP="00282325">
            <w:pPr>
              <w:spacing w:after="0" w:line="276" w:lineRule="auto"/>
              <w:jc w:val="right"/>
              <w:rPr>
                <w:sz w:val="20"/>
                <w:lang w:val="en-GB"/>
              </w:rPr>
            </w:pPr>
            <w:r>
              <w:rPr>
                <w:sz w:val="20"/>
                <w:lang w:val="en-GB"/>
              </w:rPr>
              <w:t>40.5</w:t>
            </w:r>
          </w:p>
        </w:tc>
      </w:tr>
      <w:tr w:rsidR="007B7652" w:rsidRPr="00282325" w14:paraId="0A9557AB" w14:textId="77777777" w:rsidTr="00282325">
        <w:tc>
          <w:tcPr>
            <w:tcW w:w="2472" w:type="dxa"/>
          </w:tcPr>
          <w:p w14:paraId="4FEE30EA" w14:textId="77777777" w:rsidR="007B7652" w:rsidRPr="00282325" w:rsidRDefault="007B7652" w:rsidP="00282325">
            <w:pPr>
              <w:spacing w:after="0" w:line="276" w:lineRule="auto"/>
              <w:rPr>
                <w:sz w:val="20"/>
                <w:lang w:val="en-GB"/>
              </w:rPr>
            </w:pPr>
          </w:p>
        </w:tc>
        <w:tc>
          <w:tcPr>
            <w:tcW w:w="4582" w:type="dxa"/>
          </w:tcPr>
          <w:p w14:paraId="7FD76BC7" w14:textId="77777777" w:rsidR="007B7652" w:rsidRPr="00282325" w:rsidRDefault="007B7652" w:rsidP="00282325">
            <w:pPr>
              <w:spacing w:after="0" w:line="276" w:lineRule="auto"/>
              <w:rPr>
                <w:i/>
                <w:sz w:val="20"/>
                <w:lang w:val="en-GB"/>
              </w:rPr>
            </w:pPr>
            <w:proofErr w:type="spellStart"/>
            <w:r w:rsidRPr="00282325">
              <w:rPr>
                <w:i/>
                <w:sz w:val="20"/>
                <w:lang w:val="en-GB"/>
              </w:rPr>
              <w:t>Monoyer</w:t>
            </w:r>
            <w:proofErr w:type="spellEnd"/>
            <w:r w:rsidRPr="00282325">
              <w:rPr>
                <w:i/>
                <w:sz w:val="20"/>
                <w:lang w:val="en-GB"/>
              </w:rPr>
              <w:t>-   Parinaud Scale</w:t>
            </w:r>
          </w:p>
        </w:tc>
        <w:tc>
          <w:tcPr>
            <w:tcW w:w="992" w:type="dxa"/>
            <w:vAlign w:val="center"/>
          </w:tcPr>
          <w:p w14:paraId="064EAB48" w14:textId="77777777" w:rsidR="007B7652" w:rsidRPr="00282325" w:rsidRDefault="007B7652" w:rsidP="00282325">
            <w:pPr>
              <w:spacing w:after="0" w:line="276" w:lineRule="auto"/>
              <w:jc w:val="right"/>
              <w:rPr>
                <w:sz w:val="20"/>
                <w:lang w:val="en-GB"/>
              </w:rPr>
            </w:pPr>
            <w:r w:rsidRPr="00282325">
              <w:rPr>
                <w:sz w:val="20"/>
                <w:lang w:val="en-GB"/>
              </w:rPr>
              <w:t>26</w:t>
            </w:r>
          </w:p>
        </w:tc>
        <w:tc>
          <w:tcPr>
            <w:tcW w:w="1242" w:type="dxa"/>
            <w:vAlign w:val="center"/>
          </w:tcPr>
          <w:p w14:paraId="130D918C" w14:textId="77777777" w:rsidR="007B7652" w:rsidRPr="00282325" w:rsidRDefault="007B7652" w:rsidP="00282325">
            <w:pPr>
              <w:spacing w:after="0" w:line="276" w:lineRule="auto"/>
              <w:jc w:val="right"/>
              <w:rPr>
                <w:sz w:val="20"/>
                <w:lang w:val="en-GB"/>
              </w:rPr>
            </w:pPr>
            <w:r w:rsidRPr="00282325">
              <w:rPr>
                <w:sz w:val="20"/>
                <w:lang w:val="en-GB"/>
              </w:rPr>
              <w:t>6.7</w:t>
            </w:r>
          </w:p>
        </w:tc>
      </w:tr>
      <w:tr w:rsidR="007B7652" w:rsidRPr="00282325" w14:paraId="6795DD34" w14:textId="77777777" w:rsidTr="00282325">
        <w:tc>
          <w:tcPr>
            <w:tcW w:w="2472" w:type="dxa"/>
          </w:tcPr>
          <w:p w14:paraId="1E50EA41" w14:textId="77777777" w:rsidR="007B7652" w:rsidRPr="00282325" w:rsidRDefault="007B7652" w:rsidP="00282325">
            <w:pPr>
              <w:spacing w:after="0" w:line="276" w:lineRule="auto"/>
              <w:rPr>
                <w:sz w:val="20"/>
                <w:lang w:val="en-GB"/>
              </w:rPr>
            </w:pPr>
          </w:p>
        </w:tc>
        <w:tc>
          <w:tcPr>
            <w:tcW w:w="4582" w:type="dxa"/>
          </w:tcPr>
          <w:p w14:paraId="21377CC2" w14:textId="77777777" w:rsidR="007B7652" w:rsidRPr="00282325" w:rsidRDefault="007B7652" w:rsidP="00282325">
            <w:pPr>
              <w:spacing w:after="0" w:line="276" w:lineRule="auto"/>
              <w:rPr>
                <w:i/>
                <w:sz w:val="20"/>
                <w:lang w:val="en-GB"/>
              </w:rPr>
            </w:pPr>
            <w:proofErr w:type="spellStart"/>
            <w:r w:rsidRPr="00282325">
              <w:rPr>
                <w:i/>
                <w:sz w:val="20"/>
                <w:lang w:val="en-GB"/>
              </w:rPr>
              <w:t>Amsler</w:t>
            </w:r>
            <w:proofErr w:type="spellEnd"/>
            <w:r w:rsidRPr="00282325">
              <w:rPr>
                <w:i/>
                <w:sz w:val="20"/>
                <w:lang w:val="en-GB"/>
              </w:rPr>
              <w:t xml:space="preserve"> scale</w:t>
            </w:r>
          </w:p>
        </w:tc>
        <w:tc>
          <w:tcPr>
            <w:tcW w:w="992" w:type="dxa"/>
            <w:vAlign w:val="center"/>
          </w:tcPr>
          <w:p w14:paraId="68B9DA58" w14:textId="77777777" w:rsidR="007B7652" w:rsidRPr="00282325" w:rsidRDefault="007B7652" w:rsidP="00282325">
            <w:pPr>
              <w:spacing w:after="0" w:line="276" w:lineRule="auto"/>
              <w:jc w:val="right"/>
              <w:rPr>
                <w:sz w:val="20"/>
                <w:lang w:val="en-GB"/>
              </w:rPr>
            </w:pPr>
            <w:r w:rsidRPr="00282325">
              <w:rPr>
                <w:sz w:val="20"/>
                <w:lang w:val="en-GB"/>
              </w:rPr>
              <w:t>25</w:t>
            </w:r>
          </w:p>
        </w:tc>
        <w:tc>
          <w:tcPr>
            <w:tcW w:w="1242" w:type="dxa"/>
            <w:vAlign w:val="center"/>
          </w:tcPr>
          <w:p w14:paraId="3CFA40D4" w14:textId="77777777" w:rsidR="007B7652" w:rsidRPr="00282325" w:rsidRDefault="007B7652" w:rsidP="00282325">
            <w:pPr>
              <w:spacing w:after="0" w:line="276" w:lineRule="auto"/>
              <w:jc w:val="right"/>
              <w:rPr>
                <w:sz w:val="20"/>
                <w:lang w:val="en-GB"/>
              </w:rPr>
            </w:pPr>
            <w:r w:rsidRPr="00282325">
              <w:rPr>
                <w:sz w:val="20"/>
                <w:lang w:val="en-GB"/>
              </w:rPr>
              <w:t>6.4</w:t>
            </w:r>
          </w:p>
        </w:tc>
      </w:tr>
      <w:tr w:rsidR="007B7652" w:rsidRPr="00282325" w14:paraId="1C1AC3B4" w14:textId="77777777" w:rsidTr="00282325">
        <w:tc>
          <w:tcPr>
            <w:tcW w:w="2472" w:type="dxa"/>
          </w:tcPr>
          <w:p w14:paraId="7B540C13" w14:textId="77777777" w:rsidR="007B7652" w:rsidRPr="00282325" w:rsidRDefault="007B7652" w:rsidP="00282325">
            <w:pPr>
              <w:spacing w:after="0" w:line="276" w:lineRule="auto"/>
              <w:rPr>
                <w:sz w:val="20"/>
                <w:lang w:val="en-GB"/>
              </w:rPr>
            </w:pPr>
          </w:p>
        </w:tc>
        <w:tc>
          <w:tcPr>
            <w:tcW w:w="4582" w:type="dxa"/>
          </w:tcPr>
          <w:p w14:paraId="62601C3A" w14:textId="77777777" w:rsidR="007B7652" w:rsidRPr="00282325" w:rsidRDefault="007B7652" w:rsidP="00282325">
            <w:pPr>
              <w:spacing w:after="0" w:line="276" w:lineRule="auto"/>
              <w:rPr>
                <w:sz w:val="20"/>
                <w:lang w:val="en-GB"/>
              </w:rPr>
            </w:pPr>
            <w:r w:rsidRPr="00282325">
              <w:rPr>
                <w:sz w:val="20"/>
                <w:lang w:val="en-GB"/>
              </w:rPr>
              <w:t>Audition</w:t>
            </w:r>
          </w:p>
        </w:tc>
        <w:tc>
          <w:tcPr>
            <w:tcW w:w="992" w:type="dxa"/>
            <w:vAlign w:val="center"/>
          </w:tcPr>
          <w:p w14:paraId="1C27C97E" w14:textId="77777777" w:rsidR="007B7652" w:rsidRPr="00282325" w:rsidRDefault="007B7652" w:rsidP="00282325">
            <w:pPr>
              <w:spacing w:after="0" w:line="276" w:lineRule="auto"/>
              <w:jc w:val="right"/>
              <w:rPr>
                <w:sz w:val="20"/>
                <w:lang w:val="en-GB"/>
              </w:rPr>
            </w:pPr>
            <w:r w:rsidRPr="00282325">
              <w:rPr>
                <w:sz w:val="20"/>
                <w:lang w:val="en-GB"/>
              </w:rPr>
              <w:t>109</w:t>
            </w:r>
          </w:p>
        </w:tc>
        <w:tc>
          <w:tcPr>
            <w:tcW w:w="1242" w:type="dxa"/>
            <w:vAlign w:val="center"/>
          </w:tcPr>
          <w:p w14:paraId="3D69BA3E" w14:textId="77777777" w:rsidR="007B7652" w:rsidRPr="00282325" w:rsidRDefault="007B7652" w:rsidP="00282325">
            <w:pPr>
              <w:spacing w:after="0" w:line="276" w:lineRule="auto"/>
              <w:jc w:val="right"/>
              <w:rPr>
                <w:sz w:val="20"/>
                <w:lang w:val="en-GB"/>
              </w:rPr>
            </w:pPr>
            <w:r>
              <w:rPr>
                <w:sz w:val="20"/>
                <w:lang w:val="en-GB"/>
              </w:rPr>
              <w:t>28.1</w:t>
            </w:r>
          </w:p>
        </w:tc>
      </w:tr>
      <w:tr w:rsidR="007B7652" w:rsidRPr="00282325" w14:paraId="67539A72" w14:textId="77777777" w:rsidTr="00282325">
        <w:tc>
          <w:tcPr>
            <w:tcW w:w="2472" w:type="dxa"/>
          </w:tcPr>
          <w:p w14:paraId="49D28870" w14:textId="77777777" w:rsidR="007B7652" w:rsidRPr="00282325" w:rsidRDefault="007B7652" w:rsidP="00282325">
            <w:pPr>
              <w:spacing w:after="0" w:line="276" w:lineRule="auto"/>
              <w:rPr>
                <w:sz w:val="20"/>
                <w:lang w:val="en-GB"/>
              </w:rPr>
            </w:pPr>
          </w:p>
        </w:tc>
        <w:tc>
          <w:tcPr>
            <w:tcW w:w="4582" w:type="dxa"/>
          </w:tcPr>
          <w:p w14:paraId="2CC9056F" w14:textId="77777777" w:rsidR="007B7652" w:rsidRPr="00282325" w:rsidRDefault="007B7652" w:rsidP="00282325">
            <w:pPr>
              <w:spacing w:after="0" w:line="276" w:lineRule="auto"/>
              <w:rPr>
                <w:sz w:val="20"/>
                <w:lang w:val="en-GB"/>
              </w:rPr>
            </w:pPr>
            <w:r w:rsidRPr="00282325">
              <w:rPr>
                <w:sz w:val="20"/>
                <w:lang w:val="en-GB"/>
              </w:rPr>
              <w:t>HHIES (Hearing Handicap Inventory for the Elderly)</w:t>
            </w:r>
          </w:p>
        </w:tc>
        <w:tc>
          <w:tcPr>
            <w:tcW w:w="992" w:type="dxa"/>
            <w:vAlign w:val="center"/>
          </w:tcPr>
          <w:p w14:paraId="36E23783" w14:textId="77777777" w:rsidR="007B7652" w:rsidRPr="00282325" w:rsidRDefault="007B7652" w:rsidP="00282325">
            <w:pPr>
              <w:spacing w:after="0" w:line="276" w:lineRule="auto"/>
              <w:jc w:val="right"/>
              <w:rPr>
                <w:sz w:val="20"/>
                <w:lang w:val="en-GB"/>
              </w:rPr>
            </w:pPr>
            <w:r w:rsidRPr="00282325">
              <w:rPr>
                <w:sz w:val="20"/>
                <w:lang w:val="en-GB"/>
              </w:rPr>
              <w:t>27</w:t>
            </w:r>
          </w:p>
        </w:tc>
        <w:tc>
          <w:tcPr>
            <w:tcW w:w="1242" w:type="dxa"/>
            <w:vAlign w:val="center"/>
          </w:tcPr>
          <w:p w14:paraId="1F785B4F" w14:textId="77777777" w:rsidR="007B7652" w:rsidRPr="00282325" w:rsidRDefault="007B7652" w:rsidP="00282325">
            <w:pPr>
              <w:spacing w:after="0" w:line="276" w:lineRule="auto"/>
              <w:jc w:val="right"/>
              <w:rPr>
                <w:sz w:val="20"/>
                <w:lang w:val="en-GB"/>
              </w:rPr>
            </w:pPr>
            <w:r w:rsidRPr="00282325">
              <w:rPr>
                <w:sz w:val="20"/>
                <w:lang w:val="en-GB"/>
              </w:rPr>
              <w:t>6.9</w:t>
            </w:r>
          </w:p>
        </w:tc>
      </w:tr>
      <w:tr w:rsidR="007B7652" w:rsidRPr="00282325" w14:paraId="429E4113" w14:textId="77777777" w:rsidTr="00282325">
        <w:tc>
          <w:tcPr>
            <w:tcW w:w="2472" w:type="dxa"/>
          </w:tcPr>
          <w:p w14:paraId="0D5902D3" w14:textId="77777777" w:rsidR="007B7652" w:rsidRPr="00282325" w:rsidRDefault="007B7652" w:rsidP="00282325">
            <w:pPr>
              <w:spacing w:after="0" w:line="276" w:lineRule="auto"/>
              <w:rPr>
                <w:sz w:val="20"/>
                <w:u w:val="single"/>
                <w:lang w:val="en-GB"/>
              </w:rPr>
            </w:pPr>
            <w:r w:rsidRPr="00282325">
              <w:rPr>
                <w:sz w:val="20"/>
                <w:u w:val="single"/>
                <w:lang w:val="en-GB"/>
              </w:rPr>
              <w:t>Biological markers</w:t>
            </w:r>
          </w:p>
        </w:tc>
        <w:tc>
          <w:tcPr>
            <w:tcW w:w="4582" w:type="dxa"/>
          </w:tcPr>
          <w:p w14:paraId="2ACE1259" w14:textId="77777777" w:rsidR="007B7652" w:rsidRPr="00282325" w:rsidRDefault="007B7652" w:rsidP="00282325">
            <w:pPr>
              <w:spacing w:after="0" w:line="276" w:lineRule="auto"/>
              <w:rPr>
                <w:sz w:val="20"/>
                <w:lang w:val="en-GB"/>
              </w:rPr>
            </w:pPr>
          </w:p>
        </w:tc>
        <w:tc>
          <w:tcPr>
            <w:tcW w:w="992" w:type="dxa"/>
            <w:vAlign w:val="center"/>
          </w:tcPr>
          <w:p w14:paraId="3EA2B4ED" w14:textId="77777777" w:rsidR="007B7652" w:rsidRPr="00282325" w:rsidRDefault="007B7652" w:rsidP="00282325">
            <w:pPr>
              <w:spacing w:after="0" w:line="276" w:lineRule="auto"/>
              <w:jc w:val="right"/>
              <w:rPr>
                <w:sz w:val="20"/>
                <w:lang w:val="en-GB"/>
              </w:rPr>
            </w:pPr>
          </w:p>
        </w:tc>
        <w:tc>
          <w:tcPr>
            <w:tcW w:w="1242" w:type="dxa"/>
            <w:vAlign w:val="center"/>
          </w:tcPr>
          <w:p w14:paraId="0303C4B7" w14:textId="77777777" w:rsidR="007B7652" w:rsidRPr="00282325" w:rsidRDefault="007B7652" w:rsidP="00282325">
            <w:pPr>
              <w:spacing w:after="0" w:line="276" w:lineRule="auto"/>
              <w:jc w:val="right"/>
              <w:rPr>
                <w:sz w:val="20"/>
                <w:lang w:val="en-GB"/>
              </w:rPr>
            </w:pPr>
          </w:p>
        </w:tc>
      </w:tr>
      <w:tr w:rsidR="007B7652" w:rsidRPr="00282325" w14:paraId="44F7ECA6" w14:textId="77777777" w:rsidTr="00282325">
        <w:tc>
          <w:tcPr>
            <w:tcW w:w="2472" w:type="dxa"/>
          </w:tcPr>
          <w:p w14:paraId="4C335045" w14:textId="77777777" w:rsidR="007B7652" w:rsidRPr="00282325" w:rsidRDefault="007B7652" w:rsidP="00282325">
            <w:pPr>
              <w:spacing w:after="0" w:line="276" w:lineRule="auto"/>
              <w:rPr>
                <w:sz w:val="20"/>
                <w:lang w:val="en-GB"/>
              </w:rPr>
            </w:pPr>
          </w:p>
        </w:tc>
        <w:tc>
          <w:tcPr>
            <w:tcW w:w="4582" w:type="dxa"/>
          </w:tcPr>
          <w:p w14:paraId="679B33CA" w14:textId="77777777" w:rsidR="007B7652" w:rsidRPr="00282325" w:rsidRDefault="007B7652" w:rsidP="00282325">
            <w:pPr>
              <w:spacing w:after="0" w:line="276" w:lineRule="auto"/>
              <w:rPr>
                <w:sz w:val="20"/>
                <w:lang w:val="en-GB"/>
              </w:rPr>
            </w:pPr>
            <w:r w:rsidRPr="00282325">
              <w:rPr>
                <w:sz w:val="20"/>
                <w:lang w:val="en-GB"/>
              </w:rPr>
              <w:t>IL-6</w:t>
            </w:r>
          </w:p>
        </w:tc>
        <w:tc>
          <w:tcPr>
            <w:tcW w:w="992" w:type="dxa"/>
            <w:vAlign w:val="center"/>
          </w:tcPr>
          <w:p w14:paraId="481ECC96" w14:textId="77777777" w:rsidR="007B7652" w:rsidRPr="00282325" w:rsidRDefault="007B7652" w:rsidP="00282325">
            <w:pPr>
              <w:spacing w:after="0" w:line="276" w:lineRule="auto"/>
              <w:jc w:val="right"/>
              <w:rPr>
                <w:sz w:val="20"/>
                <w:lang w:val="en-GB"/>
              </w:rPr>
            </w:pPr>
            <w:r w:rsidRPr="00282325">
              <w:rPr>
                <w:sz w:val="20"/>
                <w:lang w:val="en-GB"/>
              </w:rPr>
              <w:t>20</w:t>
            </w:r>
          </w:p>
        </w:tc>
        <w:tc>
          <w:tcPr>
            <w:tcW w:w="1242" w:type="dxa"/>
            <w:vAlign w:val="center"/>
          </w:tcPr>
          <w:p w14:paraId="609B682A" w14:textId="77777777" w:rsidR="007B7652" w:rsidRPr="00282325" w:rsidRDefault="007B7652" w:rsidP="00282325">
            <w:pPr>
              <w:spacing w:after="0" w:line="276" w:lineRule="auto"/>
              <w:jc w:val="right"/>
              <w:rPr>
                <w:sz w:val="20"/>
                <w:lang w:val="en-GB"/>
              </w:rPr>
            </w:pPr>
            <w:r w:rsidRPr="00282325">
              <w:rPr>
                <w:sz w:val="20"/>
                <w:lang w:val="en-GB"/>
              </w:rPr>
              <w:t>5.15</w:t>
            </w:r>
          </w:p>
        </w:tc>
      </w:tr>
      <w:tr w:rsidR="007B7652" w:rsidRPr="00282325" w14:paraId="04DFA99B" w14:textId="77777777" w:rsidTr="00282325">
        <w:tc>
          <w:tcPr>
            <w:tcW w:w="2472" w:type="dxa"/>
          </w:tcPr>
          <w:p w14:paraId="763E6A87" w14:textId="77777777" w:rsidR="007B7652" w:rsidRPr="00282325" w:rsidRDefault="007B7652" w:rsidP="00282325">
            <w:pPr>
              <w:spacing w:after="0" w:line="276" w:lineRule="auto"/>
              <w:rPr>
                <w:sz w:val="20"/>
                <w:lang w:val="en-GB"/>
              </w:rPr>
            </w:pPr>
          </w:p>
        </w:tc>
        <w:tc>
          <w:tcPr>
            <w:tcW w:w="4582" w:type="dxa"/>
          </w:tcPr>
          <w:p w14:paraId="5389AF28" w14:textId="77777777" w:rsidR="007B7652" w:rsidRPr="00282325" w:rsidRDefault="007B7652" w:rsidP="00282325">
            <w:pPr>
              <w:spacing w:after="0" w:line="276" w:lineRule="auto"/>
              <w:rPr>
                <w:sz w:val="20"/>
                <w:lang w:val="en-GB"/>
              </w:rPr>
            </w:pPr>
            <w:r w:rsidRPr="00282325">
              <w:rPr>
                <w:sz w:val="20"/>
                <w:lang w:val="en-GB"/>
              </w:rPr>
              <w:t>IGF-1</w:t>
            </w:r>
          </w:p>
        </w:tc>
        <w:tc>
          <w:tcPr>
            <w:tcW w:w="992" w:type="dxa"/>
            <w:vAlign w:val="center"/>
          </w:tcPr>
          <w:p w14:paraId="641183F2" w14:textId="77777777" w:rsidR="007B7652" w:rsidRPr="00282325" w:rsidRDefault="007B7652" w:rsidP="00282325">
            <w:pPr>
              <w:spacing w:after="0" w:line="276" w:lineRule="auto"/>
              <w:jc w:val="right"/>
              <w:rPr>
                <w:sz w:val="20"/>
                <w:lang w:val="en-GB"/>
              </w:rPr>
            </w:pPr>
            <w:r w:rsidRPr="00282325">
              <w:rPr>
                <w:sz w:val="20"/>
                <w:lang w:val="en-GB"/>
              </w:rPr>
              <w:t>21</w:t>
            </w:r>
          </w:p>
        </w:tc>
        <w:tc>
          <w:tcPr>
            <w:tcW w:w="1242" w:type="dxa"/>
            <w:vAlign w:val="center"/>
          </w:tcPr>
          <w:p w14:paraId="0EFFC2C5" w14:textId="77777777" w:rsidR="007B7652" w:rsidRPr="00282325" w:rsidRDefault="007B7652" w:rsidP="00282325">
            <w:pPr>
              <w:spacing w:after="0" w:line="276" w:lineRule="auto"/>
              <w:jc w:val="right"/>
              <w:rPr>
                <w:sz w:val="20"/>
                <w:lang w:val="en-GB"/>
              </w:rPr>
            </w:pPr>
            <w:r w:rsidRPr="00282325">
              <w:rPr>
                <w:sz w:val="20"/>
                <w:lang w:val="en-GB"/>
              </w:rPr>
              <w:t>5.41</w:t>
            </w:r>
          </w:p>
        </w:tc>
      </w:tr>
      <w:tr w:rsidR="007B7652" w:rsidRPr="00282325" w14:paraId="0215DBFB" w14:textId="77777777" w:rsidTr="00282325">
        <w:tc>
          <w:tcPr>
            <w:tcW w:w="2472" w:type="dxa"/>
          </w:tcPr>
          <w:p w14:paraId="137A4EF7" w14:textId="77777777" w:rsidR="007B7652" w:rsidRPr="00282325" w:rsidRDefault="007B7652" w:rsidP="00282325">
            <w:pPr>
              <w:spacing w:after="0" w:line="276" w:lineRule="auto"/>
              <w:rPr>
                <w:sz w:val="20"/>
                <w:lang w:val="en-GB"/>
              </w:rPr>
            </w:pPr>
          </w:p>
        </w:tc>
        <w:tc>
          <w:tcPr>
            <w:tcW w:w="4582" w:type="dxa"/>
          </w:tcPr>
          <w:p w14:paraId="56342149" w14:textId="77777777" w:rsidR="007B7652" w:rsidRPr="00282325" w:rsidRDefault="007B7652" w:rsidP="00282325">
            <w:pPr>
              <w:spacing w:after="0" w:line="276" w:lineRule="auto"/>
              <w:rPr>
                <w:sz w:val="20"/>
                <w:lang w:val="en-GB"/>
              </w:rPr>
            </w:pPr>
            <w:r w:rsidRPr="00282325">
              <w:rPr>
                <w:sz w:val="20"/>
                <w:lang w:val="en-GB"/>
              </w:rPr>
              <w:t>Vitamin D</w:t>
            </w:r>
          </w:p>
        </w:tc>
        <w:tc>
          <w:tcPr>
            <w:tcW w:w="992" w:type="dxa"/>
            <w:vAlign w:val="center"/>
          </w:tcPr>
          <w:p w14:paraId="28EDD945" w14:textId="77777777" w:rsidR="007B7652" w:rsidRPr="00282325" w:rsidRDefault="007B7652" w:rsidP="00282325">
            <w:pPr>
              <w:spacing w:after="0" w:line="276" w:lineRule="auto"/>
              <w:jc w:val="right"/>
              <w:rPr>
                <w:sz w:val="20"/>
                <w:lang w:val="en-GB"/>
              </w:rPr>
            </w:pPr>
            <w:r w:rsidRPr="00282325">
              <w:rPr>
                <w:sz w:val="20"/>
                <w:lang w:val="en-GB"/>
              </w:rPr>
              <w:t>213</w:t>
            </w:r>
          </w:p>
        </w:tc>
        <w:tc>
          <w:tcPr>
            <w:tcW w:w="1242" w:type="dxa"/>
            <w:vAlign w:val="center"/>
          </w:tcPr>
          <w:p w14:paraId="47B4E72F" w14:textId="77777777" w:rsidR="007B7652" w:rsidRPr="00282325" w:rsidRDefault="007B7652" w:rsidP="00282325">
            <w:pPr>
              <w:spacing w:after="0" w:line="276" w:lineRule="auto"/>
              <w:jc w:val="right"/>
              <w:rPr>
                <w:sz w:val="20"/>
                <w:lang w:val="en-GB"/>
              </w:rPr>
            </w:pPr>
            <w:r w:rsidRPr="00282325">
              <w:rPr>
                <w:sz w:val="20"/>
                <w:lang w:val="en-GB"/>
              </w:rPr>
              <w:t>54.9</w:t>
            </w:r>
          </w:p>
        </w:tc>
      </w:tr>
      <w:tr w:rsidR="007B7652" w:rsidRPr="00282325" w14:paraId="520A5902" w14:textId="77777777" w:rsidTr="00282325">
        <w:tc>
          <w:tcPr>
            <w:tcW w:w="2472" w:type="dxa"/>
          </w:tcPr>
          <w:p w14:paraId="1BA4E0DC" w14:textId="77777777" w:rsidR="007B7652" w:rsidRPr="00282325" w:rsidRDefault="007B7652" w:rsidP="00282325">
            <w:pPr>
              <w:spacing w:after="0" w:line="276" w:lineRule="auto"/>
              <w:rPr>
                <w:sz w:val="20"/>
                <w:u w:val="single"/>
                <w:lang w:val="en-GB"/>
              </w:rPr>
            </w:pPr>
            <w:r w:rsidRPr="00282325">
              <w:rPr>
                <w:sz w:val="20"/>
                <w:u w:val="single"/>
                <w:lang w:val="en-GB"/>
              </w:rPr>
              <w:t>Body Composition</w:t>
            </w:r>
          </w:p>
        </w:tc>
        <w:tc>
          <w:tcPr>
            <w:tcW w:w="4582" w:type="dxa"/>
          </w:tcPr>
          <w:p w14:paraId="1F532600" w14:textId="77777777" w:rsidR="007B7652" w:rsidRPr="00282325" w:rsidRDefault="007B7652" w:rsidP="00282325">
            <w:pPr>
              <w:spacing w:after="0" w:line="276" w:lineRule="auto"/>
              <w:rPr>
                <w:sz w:val="20"/>
                <w:lang w:val="en-GB"/>
              </w:rPr>
            </w:pPr>
          </w:p>
        </w:tc>
        <w:tc>
          <w:tcPr>
            <w:tcW w:w="992" w:type="dxa"/>
            <w:vAlign w:val="center"/>
          </w:tcPr>
          <w:p w14:paraId="53E5A2D1" w14:textId="77777777" w:rsidR="007B7652" w:rsidRPr="00282325" w:rsidRDefault="007B7652" w:rsidP="00282325">
            <w:pPr>
              <w:spacing w:after="0" w:line="276" w:lineRule="auto"/>
              <w:jc w:val="right"/>
              <w:rPr>
                <w:sz w:val="20"/>
                <w:lang w:val="en-GB"/>
              </w:rPr>
            </w:pPr>
          </w:p>
        </w:tc>
        <w:tc>
          <w:tcPr>
            <w:tcW w:w="1242" w:type="dxa"/>
            <w:vAlign w:val="center"/>
          </w:tcPr>
          <w:p w14:paraId="2BA41D72" w14:textId="77777777" w:rsidR="007B7652" w:rsidRPr="00282325" w:rsidRDefault="007B7652" w:rsidP="00282325">
            <w:pPr>
              <w:spacing w:after="0" w:line="276" w:lineRule="auto"/>
              <w:jc w:val="right"/>
              <w:rPr>
                <w:sz w:val="20"/>
                <w:lang w:val="en-GB"/>
              </w:rPr>
            </w:pPr>
          </w:p>
        </w:tc>
      </w:tr>
      <w:tr w:rsidR="007B7652" w:rsidRPr="00282325" w14:paraId="4FF80932" w14:textId="77777777" w:rsidTr="00282325">
        <w:tc>
          <w:tcPr>
            <w:tcW w:w="2472" w:type="dxa"/>
          </w:tcPr>
          <w:p w14:paraId="72057D36" w14:textId="77777777" w:rsidR="007B7652" w:rsidRPr="00282325" w:rsidRDefault="007B7652" w:rsidP="00282325">
            <w:pPr>
              <w:spacing w:after="0" w:line="276" w:lineRule="auto"/>
              <w:rPr>
                <w:sz w:val="20"/>
                <w:lang w:val="en-GB"/>
              </w:rPr>
            </w:pPr>
          </w:p>
        </w:tc>
        <w:tc>
          <w:tcPr>
            <w:tcW w:w="4582" w:type="dxa"/>
          </w:tcPr>
          <w:p w14:paraId="57A17880" w14:textId="77777777" w:rsidR="007B7652" w:rsidRPr="00282325" w:rsidRDefault="007B7652" w:rsidP="00282325">
            <w:pPr>
              <w:spacing w:after="0" w:line="276" w:lineRule="auto"/>
              <w:rPr>
                <w:sz w:val="20"/>
                <w:lang w:val="en-GB"/>
              </w:rPr>
            </w:pPr>
            <w:r w:rsidRPr="00282325">
              <w:rPr>
                <w:sz w:val="20"/>
                <w:lang w:val="en-GB"/>
              </w:rPr>
              <w:t>BIA (Bioelectrical Impedance Analysis)</w:t>
            </w:r>
          </w:p>
        </w:tc>
        <w:tc>
          <w:tcPr>
            <w:tcW w:w="992" w:type="dxa"/>
            <w:vAlign w:val="center"/>
          </w:tcPr>
          <w:p w14:paraId="6898B850" w14:textId="77777777" w:rsidR="007B7652" w:rsidRPr="00282325" w:rsidRDefault="007B7652" w:rsidP="00282325">
            <w:pPr>
              <w:spacing w:after="0" w:line="276" w:lineRule="auto"/>
              <w:jc w:val="right"/>
              <w:rPr>
                <w:sz w:val="20"/>
                <w:lang w:val="en-GB"/>
              </w:rPr>
            </w:pPr>
            <w:r w:rsidRPr="00282325">
              <w:rPr>
                <w:sz w:val="20"/>
                <w:lang w:val="en-GB"/>
              </w:rPr>
              <w:t>72</w:t>
            </w:r>
          </w:p>
        </w:tc>
        <w:tc>
          <w:tcPr>
            <w:tcW w:w="1242" w:type="dxa"/>
            <w:vAlign w:val="center"/>
          </w:tcPr>
          <w:p w14:paraId="45E3D1E5" w14:textId="77777777" w:rsidR="007B7652" w:rsidRPr="00282325" w:rsidRDefault="007B7652" w:rsidP="00282325">
            <w:pPr>
              <w:spacing w:after="0" w:line="276" w:lineRule="auto"/>
              <w:jc w:val="right"/>
              <w:rPr>
                <w:sz w:val="20"/>
                <w:lang w:val="en-GB"/>
              </w:rPr>
            </w:pPr>
            <w:r w:rsidRPr="00282325">
              <w:rPr>
                <w:sz w:val="20"/>
                <w:lang w:val="en-GB"/>
              </w:rPr>
              <w:t>18.6</w:t>
            </w:r>
          </w:p>
        </w:tc>
      </w:tr>
      <w:tr w:rsidR="007B7652" w:rsidRPr="00282325" w14:paraId="644EBED3" w14:textId="77777777" w:rsidTr="00282325">
        <w:tc>
          <w:tcPr>
            <w:tcW w:w="2472" w:type="dxa"/>
          </w:tcPr>
          <w:p w14:paraId="7985962E" w14:textId="77777777" w:rsidR="007B7652" w:rsidRPr="00282325" w:rsidRDefault="007B7652" w:rsidP="00282325">
            <w:pPr>
              <w:spacing w:after="0" w:line="276" w:lineRule="auto"/>
              <w:rPr>
                <w:sz w:val="20"/>
                <w:lang w:val="en-GB"/>
              </w:rPr>
            </w:pPr>
          </w:p>
        </w:tc>
        <w:tc>
          <w:tcPr>
            <w:tcW w:w="4582" w:type="dxa"/>
          </w:tcPr>
          <w:p w14:paraId="14DF6CCF" w14:textId="77777777" w:rsidR="007B7652" w:rsidRPr="00282325" w:rsidRDefault="007B7652" w:rsidP="00282325">
            <w:pPr>
              <w:spacing w:after="0" w:line="276" w:lineRule="auto"/>
              <w:rPr>
                <w:sz w:val="20"/>
                <w:lang w:val="en-GB"/>
              </w:rPr>
            </w:pPr>
            <w:r w:rsidRPr="00282325">
              <w:rPr>
                <w:sz w:val="20"/>
                <w:lang w:val="en-GB"/>
              </w:rPr>
              <w:t>DXA (Dual Energy X-rays Absorptiometry)</w:t>
            </w:r>
          </w:p>
        </w:tc>
        <w:tc>
          <w:tcPr>
            <w:tcW w:w="992" w:type="dxa"/>
            <w:vAlign w:val="center"/>
          </w:tcPr>
          <w:p w14:paraId="5A5DEBAF" w14:textId="77777777" w:rsidR="007B7652" w:rsidRPr="00282325" w:rsidRDefault="007B7652" w:rsidP="00282325">
            <w:pPr>
              <w:spacing w:after="0" w:line="276" w:lineRule="auto"/>
              <w:jc w:val="right"/>
              <w:rPr>
                <w:sz w:val="20"/>
                <w:lang w:val="en-GB"/>
              </w:rPr>
            </w:pPr>
            <w:r w:rsidRPr="00282325">
              <w:rPr>
                <w:sz w:val="20"/>
                <w:lang w:val="en-GB"/>
              </w:rPr>
              <w:t>64</w:t>
            </w:r>
          </w:p>
        </w:tc>
        <w:tc>
          <w:tcPr>
            <w:tcW w:w="1242" w:type="dxa"/>
            <w:vAlign w:val="center"/>
          </w:tcPr>
          <w:p w14:paraId="60277209" w14:textId="77777777" w:rsidR="007B7652" w:rsidRPr="00282325" w:rsidRDefault="007B7652" w:rsidP="00282325">
            <w:pPr>
              <w:spacing w:after="0" w:line="276" w:lineRule="auto"/>
              <w:jc w:val="right"/>
              <w:rPr>
                <w:sz w:val="20"/>
                <w:lang w:val="en-GB"/>
              </w:rPr>
            </w:pPr>
            <w:r w:rsidRPr="00282325">
              <w:rPr>
                <w:sz w:val="20"/>
                <w:lang w:val="en-GB"/>
              </w:rPr>
              <w:t>16.5</w:t>
            </w:r>
          </w:p>
        </w:tc>
      </w:tr>
      <w:tr w:rsidR="007B7652" w:rsidRPr="00282325" w14:paraId="1E4D93D4" w14:textId="77777777" w:rsidTr="00282325">
        <w:tc>
          <w:tcPr>
            <w:tcW w:w="2472" w:type="dxa"/>
          </w:tcPr>
          <w:p w14:paraId="3BFB92A6" w14:textId="77777777" w:rsidR="007B7652" w:rsidRPr="00282325" w:rsidRDefault="007B7652" w:rsidP="00282325">
            <w:pPr>
              <w:spacing w:after="0" w:line="276" w:lineRule="auto"/>
              <w:rPr>
                <w:sz w:val="20"/>
                <w:lang w:val="en-GB"/>
              </w:rPr>
            </w:pPr>
          </w:p>
        </w:tc>
        <w:tc>
          <w:tcPr>
            <w:tcW w:w="4582" w:type="dxa"/>
          </w:tcPr>
          <w:p w14:paraId="3D35B6A8" w14:textId="77777777" w:rsidR="007B7652" w:rsidRPr="00282325" w:rsidRDefault="007B7652" w:rsidP="00282325">
            <w:pPr>
              <w:spacing w:after="0" w:line="276" w:lineRule="auto"/>
              <w:rPr>
                <w:sz w:val="20"/>
                <w:lang w:val="en-GB"/>
              </w:rPr>
            </w:pPr>
            <w:r w:rsidRPr="00282325">
              <w:rPr>
                <w:sz w:val="20"/>
                <w:lang w:val="en-GB"/>
              </w:rPr>
              <w:t>CT-scan</w:t>
            </w:r>
          </w:p>
        </w:tc>
        <w:tc>
          <w:tcPr>
            <w:tcW w:w="992" w:type="dxa"/>
            <w:vAlign w:val="center"/>
          </w:tcPr>
          <w:p w14:paraId="50AD2864" w14:textId="77777777" w:rsidR="007B7652" w:rsidRPr="00282325" w:rsidRDefault="007B7652" w:rsidP="00282325">
            <w:pPr>
              <w:spacing w:after="0" w:line="276" w:lineRule="auto"/>
              <w:jc w:val="right"/>
              <w:rPr>
                <w:sz w:val="20"/>
                <w:lang w:val="en-GB"/>
              </w:rPr>
            </w:pPr>
            <w:r w:rsidRPr="00282325">
              <w:rPr>
                <w:sz w:val="20"/>
                <w:lang w:val="en-GB"/>
              </w:rPr>
              <w:t>19</w:t>
            </w:r>
          </w:p>
        </w:tc>
        <w:tc>
          <w:tcPr>
            <w:tcW w:w="1242" w:type="dxa"/>
            <w:vAlign w:val="center"/>
          </w:tcPr>
          <w:p w14:paraId="1DF36A9C" w14:textId="77777777" w:rsidR="007B7652" w:rsidRPr="00282325" w:rsidRDefault="007B7652" w:rsidP="00282325">
            <w:pPr>
              <w:spacing w:after="0" w:line="276" w:lineRule="auto"/>
              <w:jc w:val="right"/>
              <w:rPr>
                <w:sz w:val="20"/>
                <w:lang w:val="en-GB"/>
              </w:rPr>
            </w:pPr>
            <w:r w:rsidRPr="00282325">
              <w:rPr>
                <w:sz w:val="20"/>
                <w:lang w:val="en-GB"/>
              </w:rPr>
              <w:t>4.89</w:t>
            </w:r>
          </w:p>
        </w:tc>
      </w:tr>
      <w:tr w:rsidR="007B7652" w:rsidRPr="00282325" w14:paraId="54E5C415" w14:textId="77777777" w:rsidTr="00282325">
        <w:tc>
          <w:tcPr>
            <w:tcW w:w="2472" w:type="dxa"/>
          </w:tcPr>
          <w:p w14:paraId="212CE57D" w14:textId="77777777" w:rsidR="007B7652" w:rsidRPr="00282325" w:rsidRDefault="007B7652" w:rsidP="00282325">
            <w:pPr>
              <w:spacing w:after="0" w:line="276" w:lineRule="auto"/>
              <w:rPr>
                <w:sz w:val="20"/>
                <w:lang w:val="en-GB"/>
              </w:rPr>
            </w:pPr>
          </w:p>
        </w:tc>
        <w:tc>
          <w:tcPr>
            <w:tcW w:w="4582" w:type="dxa"/>
          </w:tcPr>
          <w:p w14:paraId="526CAC19" w14:textId="77777777" w:rsidR="007B7652" w:rsidRPr="00282325" w:rsidRDefault="007B7652" w:rsidP="00282325">
            <w:pPr>
              <w:spacing w:after="0" w:line="276" w:lineRule="auto"/>
              <w:rPr>
                <w:sz w:val="20"/>
                <w:lang w:val="en-GB"/>
              </w:rPr>
            </w:pPr>
            <w:r w:rsidRPr="00282325">
              <w:rPr>
                <w:sz w:val="20"/>
                <w:lang w:val="en-GB"/>
              </w:rPr>
              <w:t>MRI (Magnetic resonance Imaging)</w:t>
            </w:r>
          </w:p>
        </w:tc>
        <w:tc>
          <w:tcPr>
            <w:tcW w:w="992" w:type="dxa"/>
            <w:vAlign w:val="center"/>
          </w:tcPr>
          <w:p w14:paraId="2E13240F" w14:textId="77777777" w:rsidR="007B7652" w:rsidRPr="00282325" w:rsidRDefault="007B7652" w:rsidP="00282325">
            <w:pPr>
              <w:spacing w:after="0" w:line="276" w:lineRule="auto"/>
              <w:jc w:val="right"/>
              <w:rPr>
                <w:sz w:val="20"/>
                <w:lang w:val="en-GB"/>
              </w:rPr>
            </w:pPr>
            <w:r w:rsidRPr="00282325">
              <w:rPr>
                <w:sz w:val="20"/>
                <w:lang w:val="en-GB"/>
              </w:rPr>
              <w:t>15</w:t>
            </w:r>
          </w:p>
        </w:tc>
        <w:tc>
          <w:tcPr>
            <w:tcW w:w="1242" w:type="dxa"/>
            <w:vAlign w:val="center"/>
          </w:tcPr>
          <w:p w14:paraId="2F5B1949" w14:textId="77777777" w:rsidR="007B7652" w:rsidRPr="00282325" w:rsidRDefault="007B7652" w:rsidP="00282325">
            <w:pPr>
              <w:spacing w:after="0" w:line="276" w:lineRule="auto"/>
              <w:jc w:val="right"/>
              <w:rPr>
                <w:sz w:val="20"/>
                <w:lang w:val="en-GB"/>
              </w:rPr>
            </w:pPr>
            <w:r w:rsidRPr="00282325">
              <w:rPr>
                <w:sz w:val="20"/>
                <w:lang w:val="en-GB"/>
              </w:rPr>
              <w:t>3.87</w:t>
            </w:r>
          </w:p>
        </w:tc>
      </w:tr>
      <w:tr w:rsidR="007B7652" w:rsidRPr="00282325" w14:paraId="01542B3C" w14:textId="77777777" w:rsidTr="00282325">
        <w:tc>
          <w:tcPr>
            <w:tcW w:w="2472" w:type="dxa"/>
          </w:tcPr>
          <w:p w14:paraId="0DA04D2C" w14:textId="77777777" w:rsidR="007B7652" w:rsidRPr="00282325" w:rsidRDefault="007B7652" w:rsidP="00282325">
            <w:pPr>
              <w:spacing w:after="0" w:line="276" w:lineRule="auto"/>
              <w:rPr>
                <w:sz w:val="20"/>
                <w:lang w:val="en-GB"/>
              </w:rPr>
            </w:pPr>
          </w:p>
        </w:tc>
        <w:tc>
          <w:tcPr>
            <w:tcW w:w="4582" w:type="dxa"/>
          </w:tcPr>
          <w:p w14:paraId="59BD47E8" w14:textId="77777777" w:rsidR="007B7652" w:rsidRPr="00282325" w:rsidRDefault="007B7652" w:rsidP="00282325">
            <w:pPr>
              <w:spacing w:after="0" w:line="276" w:lineRule="auto"/>
              <w:rPr>
                <w:sz w:val="20"/>
                <w:lang w:val="en-GB"/>
              </w:rPr>
            </w:pPr>
            <w:r w:rsidRPr="00282325">
              <w:rPr>
                <w:sz w:val="20"/>
                <w:lang w:val="en-GB"/>
              </w:rPr>
              <w:t>Anthropometric values</w:t>
            </w:r>
          </w:p>
        </w:tc>
        <w:tc>
          <w:tcPr>
            <w:tcW w:w="992" w:type="dxa"/>
            <w:vAlign w:val="center"/>
          </w:tcPr>
          <w:p w14:paraId="4D7C6E97" w14:textId="77777777" w:rsidR="007B7652" w:rsidRPr="00282325" w:rsidRDefault="007B7652" w:rsidP="00282325">
            <w:pPr>
              <w:spacing w:after="0" w:line="276" w:lineRule="auto"/>
              <w:jc w:val="right"/>
              <w:rPr>
                <w:sz w:val="20"/>
                <w:lang w:val="en-GB"/>
              </w:rPr>
            </w:pPr>
            <w:r w:rsidRPr="00282325">
              <w:rPr>
                <w:sz w:val="20"/>
                <w:lang w:val="en-GB"/>
              </w:rPr>
              <w:t>75</w:t>
            </w:r>
          </w:p>
        </w:tc>
        <w:tc>
          <w:tcPr>
            <w:tcW w:w="1242" w:type="dxa"/>
            <w:vAlign w:val="center"/>
          </w:tcPr>
          <w:p w14:paraId="39AB727E" w14:textId="77777777" w:rsidR="007B7652" w:rsidRPr="00282325" w:rsidRDefault="007B7652" w:rsidP="00282325">
            <w:pPr>
              <w:spacing w:after="0" w:line="276" w:lineRule="auto"/>
              <w:jc w:val="right"/>
              <w:rPr>
                <w:sz w:val="20"/>
                <w:lang w:val="en-GB"/>
              </w:rPr>
            </w:pPr>
            <w:r w:rsidRPr="00282325">
              <w:rPr>
                <w:sz w:val="20"/>
                <w:lang w:val="en-GB"/>
              </w:rPr>
              <w:t>19.3</w:t>
            </w:r>
          </w:p>
        </w:tc>
      </w:tr>
      <w:tr w:rsidR="007B7652" w:rsidRPr="00282325" w14:paraId="26CA7B6F" w14:textId="77777777" w:rsidTr="00282325">
        <w:tc>
          <w:tcPr>
            <w:tcW w:w="2472" w:type="dxa"/>
          </w:tcPr>
          <w:p w14:paraId="150B6003" w14:textId="77777777" w:rsidR="007B7652" w:rsidRPr="00282325" w:rsidRDefault="007B7652" w:rsidP="00282325">
            <w:pPr>
              <w:spacing w:after="0" w:line="276" w:lineRule="auto"/>
              <w:rPr>
                <w:sz w:val="20"/>
                <w:u w:val="single"/>
                <w:lang w:val="en-GB"/>
              </w:rPr>
            </w:pPr>
            <w:r w:rsidRPr="00282325">
              <w:rPr>
                <w:sz w:val="20"/>
                <w:u w:val="single"/>
                <w:lang w:val="en-GB"/>
              </w:rPr>
              <w:t>Level of Physical Activity</w:t>
            </w:r>
          </w:p>
        </w:tc>
        <w:tc>
          <w:tcPr>
            <w:tcW w:w="4582" w:type="dxa"/>
          </w:tcPr>
          <w:p w14:paraId="706F03F1" w14:textId="77777777" w:rsidR="007B7652" w:rsidRPr="00282325" w:rsidRDefault="007B7652" w:rsidP="00282325">
            <w:pPr>
              <w:spacing w:after="0" w:line="276" w:lineRule="auto"/>
              <w:rPr>
                <w:sz w:val="20"/>
                <w:lang w:val="en-GB"/>
              </w:rPr>
            </w:pPr>
          </w:p>
        </w:tc>
        <w:tc>
          <w:tcPr>
            <w:tcW w:w="992" w:type="dxa"/>
            <w:vAlign w:val="center"/>
          </w:tcPr>
          <w:p w14:paraId="6DF72A60" w14:textId="77777777" w:rsidR="007B7652" w:rsidRPr="00282325" w:rsidRDefault="007B7652" w:rsidP="00282325">
            <w:pPr>
              <w:spacing w:after="0" w:line="276" w:lineRule="auto"/>
              <w:jc w:val="right"/>
              <w:rPr>
                <w:sz w:val="20"/>
                <w:lang w:val="en-GB"/>
              </w:rPr>
            </w:pPr>
          </w:p>
        </w:tc>
        <w:tc>
          <w:tcPr>
            <w:tcW w:w="1242" w:type="dxa"/>
            <w:vAlign w:val="center"/>
          </w:tcPr>
          <w:p w14:paraId="3E2183CF" w14:textId="77777777" w:rsidR="007B7652" w:rsidRPr="00282325" w:rsidRDefault="007B7652" w:rsidP="00282325">
            <w:pPr>
              <w:spacing w:after="0" w:line="276" w:lineRule="auto"/>
              <w:jc w:val="right"/>
              <w:rPr>
                <w:sz w:val="20"/>
                <w:lang w:val="en-GB"/>
              </w:rPr>
            </w:pPr>
          </w:p>
        </w:tc>
      </w:tr>
      <w:tr w:rsidR="007B7652" w:rsidRPr="00282325" w14:paraId="1709659B" w14:textId="77777777" w:rsidTr="00282325">
        <w:tc>
          <w:tcPr>
            <w:tcW w:w="2472" w:type="dxa"/>
          </w:tcPr>
          <w:p w14:paraId="40EE25FE" w14:textId="77777777" w:rsidR="007B7652" w:rsidRPr="00282325" w:rsidRDefault="007B7652" w:rsidP="00282325">
            <w:pPr>
              <w:spacing w:after="0" w:line="276" w:lineRule="auto"/>
              <w:rPr>
                <w:sz w:val="20"/>
                <w:lang w:val="en-GB"/>
              </w:rPr>
            </w:pPr>
          </w:p>
        </w:tc>
        <w:tc>
          <w:tcPr>
            <w:tcW w:w="4582" w:type="dxa"/>
          </w:tcPr>
          <w:p w14:paraId="0B3464DB" w14:textId="77777777" w:rsidR="007B7652" w:rsidRPr="00282325" w:rsidRDefault="007B7652" w:rsidP="00282325">
            <w:pPr>
              <w:spacing w:after="0" w:line="276" w:lineRule="auto"/>
              <w:rPr>
                <w:sz w:val="20"/>
                <w:lang w:val="en-GB"/>
              </w:rPr>
            </w:pPr>
            <w:r w:rsidRPr="00282325">
              <w:rPr>
                <w:sz w:val="20"/>
                <w:lang w:val="en-GB"/>
              </w:rPr>
              <w:t>Questionnaire</w:t>
            </w:r>
          </w:p>
        </w:tc>
        <w:tc>
          <w:tcPr>
            <w:tcW w:w="992" w:type="dxa"/>
            <w:vAlign w:val="center"/>
          </w:tcPr>
          <w:p w14:paraId="740DE864" w14:textId="77777777" w:rsidR="007B7652" w:rsidRPr="00282325" w:rsidRDefault="007B7652" w:rsidP="00282325">
            <w:pPr>
              <w:spacing w:after="0" w:line="276" w:lineRule="auto"/>
              <w:jc w:val="right"/>
              <w:rPr>
                <w:sz w:val="20"/>
                <w:lang w:val="en-GB"/>
              </w:rPr>
            </w:pPr>
            <w:r w:rsidRPr="00282325">
              <w:rPr>
                <w:sz w:val="20"/>
                <w:lang w:val="en-GB"/>
              </w:rPr>
              <w:t>62</w:t>
            </w:r>
          </w:p>
        </w:tc>
        <w:tc>
          <w:tcPr>
            <w:tcW w:w="1242" w:type="dxa"/>
            <w:vAlign w:val="center"/>
          </w:tcPr>
          <w:p w14:paraId="5499456E" w14:textId="77777777" w:rsidR="007B7652" w:rsidRPr="00282325" w:rsidRDefault="007B7652" w:rsidP="00282325">
            <w:pPr>
              <w:spacing w:after="0" w:line="276" w:lineRule="auto"/>
              <w:jc w:val="right"/>
              <w:rPr>
                <w:sz w:val="20"/>
                <w:lang w:val="en-GB"/>
              </w:rPr>
            </w:pPr>
            <w:r w:rsidRPr="00282325">
              <w:rPr>
                <w:sz w:val="20"/>
                <w:lang w:val="en-GB"/>
              </w:rPr>
              <w:t>15.9</w:t>
            </w:r>
          </w:p>
        </w:tc>
      </w:tr>
      <w:tr w:rsidR="007B7652" w:rsidRPr="00282325" w14:paraId="7E807E49" w14:textId="77777777" w:rsidTr="00282325">
        <w:tc>
          <w:tcPr>
            <w:tcW w:w="2472" w:type="dxa"/>
          </w:tcPr>
          <w:p w14:paraId="5E8B9A36" w14:textId="77777777" w:rsidR="007B7652" w:rsidRPr="00282325" w:rsidRDefault="007B7652" w:rsidP="00282325">
            <w:pPr>
              <w:spacing w:after="0" w:line="276" w:lineRule="auto"/>
              <w:rPr>
                <w:sz w:val="20"/>
                <w:lang w:val="en-GB"/>
              </w:rPr>
            </w:pPr>
          </w:p>
        </w:tc>
        <w:tc>
          <w:tcPr>
            <w:tcW w:w="4582" w:type="dxa"/>
          </w:tcPr>
          <w:p w14:paraId="2CA7FE95" w14:textId="77777777" w:rsidR="007B7652" w:rsidRPr="00282325" w:rsidRDefault="007B7652" w:rsidP="00282325">
            <w:pPr>
              <w:spacing w:after="0" w:line="276" w:lineRule="auto"/>
              <w:rPr>
                <w:sz w:val="20"/>
                <w:lang w:val="en-GB"/>
              </w:rPr>
            </w:pPr>
            <w:r w:rsidRPr="00282325">
              <w:rPr>
                <w:sz w:val="20"/>
                <w:lang w:val="en-GB"/>
              </w:rPr>
              <w:t>Physical exhaustion or early fatigability</w:t>
            </w:r>
          </w:p>
        </w:tc>
        <w:tc>
          <w:tcPr>
            <w:tcW w:w="992" w:type="dxa"/>
            <w:vAlign w:val="center"/>
          </w:tcPr>
          <w:p w14:paraId="43DE625C" w14:textId="77777777" w:rsidR="007B7652" w:rsidRPr="00282325" w:rsidRDefault="007B7652" w:rsidP="00282325">
            <w:pPr>
              <w:spacing w:after="0" w:line="276" w:lineRule="auto"/>
              <w:jc w:val="right"/>
              <w:rPr>
                <w:sz w:val="20"/>
                <w:lang w:val="en-GB"/>
              </w:rPr>
            </w:pPr>
            <w:r w:rsidRPr="00282325">
              <w:rPr>
                <w:sz w:val="20"/>
                <w:lang w:val="en-GB"/>
              </w:rPr>
              <w:t>157</w:t>
            </w:r>
          </w:p>
        </w:tc>
        <w:tc>
          <w:tcPr>
            <w:tcW w:w="1242" w:type="dxa"/>
            <w:vAlign w:val="center"/>
          </w:tcPr>
          <w:p w14:paraId="45704128" w14:textId="77777777" w:rsidR="007B7652" w:rsidRPr="00282325" w:rsidRDefault="007B7652" w:rsidP="00282325">
            <w:pPr>
              <w:spacing w:after="0" w:line="276" w:lineRule="auto"/>
              <w:jc w:val="right"/>
              <w:rPr>
                <w:sz w:val="20"/>
                <w:lang w:val="en-GB"/>
              </w:rPr>
            </w:pPr>
            <w:r w:rsidRPr="00282325">
              <w:rPr>
                <w:sz w:val="20"/>
                <w:lang w:val="en-GB"/>
              </w:rPr>
              <w:t>40.</w:t>
            </w:r>
            <w:r>
              <w:rPr>
                <w:sz w:val="20"/>
                <w:lang w:val="en-GB"/>
              </w:rPr>
              <w:t>5</w:t>
            </w:r>
          </w:p>
        </w:tc>
      </w:tr>
      <w:tr w:rsidR="007B7652" w:rsidRPr="00282325" w14:paraId="60E1CC05" w14:textId="77777777" w:rsidTr="00282325">
        <w:tc>
          <w:tcPr>
            <w:tcW w:w="2472" w:type="dxa"/>
          </w:tcPr>
          <w:p w14:paraId="22799FCC" w14:textId="77777777" w:rsidR="007B7652" w:rsidRPr="00282325" w:rsidRDefault="007B7652" w:rsidP="00282325">
            <w:pPr>
              <w:spacing w:after="0" w:line="276" w:lineRule="auto"/>
              <w:rPr>
                <w:sz w:val="20"/>
                <w:lang w:val="en-GB"/>
              </w:rPr>
            </w:pPr>
          </w:p>
        </w:tc>
        <w:tc>
          <w:tcPr>
            <w:tcW w:w="4582" w:type="dxa"/>
          </w:tcPr>
          <w:p w14:paraId="2EF41087" w14:textId="77777777" w:rsidR="007B7652" w:rsidRPr="00282325" w:rsidRDefault="007B7652" w:rsidP="00282325">
            <w:pPr>
              <w:spacing w:after="0" w:line="276" w:lineRule="auto"/>
              <w:rPr>
                <w:sz w:val="20"/>
                <w:lang w:val="en-GB"/>
              </w:rPr>
            </w:pPr>
            <w:r w:rsidRPr="00282325">
              <w:rPr>
                <w:sz w:val="20"/>
                <w:lang w:val="en-GB"/>
              </w:rPr>
              <w:t>Objective measurement</w:t>
            </w:r>
          </w:p>
        </w:tc>
        <w:tc>
          <w:tcPr>
            <w:tcW w:w="992" w:type="dxa"/>
            <w:vAlign w:val="center"/>
          </w:tcPr>
          <w:p w14:paraId="642AE674" w14:textId="77777777" w:rsidR="007B7652" w:rsidRPr="00282325" w:rsidRDefault="007B7652" w:rsidP="00282325">
            <w:pPr>
              <w:spacing w:after="0" w:line="276" w:lineRule="auto"/>
              <w:jc w:val="right"/>
              <w:rPr>
                <w:sz w:val="20"/>
                <w:lang w:val="en-GB"/>
              </w:rPr>
            </w:pPr>
            <w:r w:rsidRPr="00282325">
              <w:rPr>
                <w:sz w:val="20"/>
                <w:lang w:val="en-GB"/>
              </w:rPr>
              <w:t>73</w:t>
            </w:r>
          </w:p>
        </w:tc>
        <w:tc>
          <w:tcPr>
            <w:tcW w:w="1242" w:type="dxa"/>
            <w:vAlign w:val="center"/>
          </w:tcPr>
          <w:p w14:paraId="5CD7E10E" w14:textId="77777777" w:rsidR="007B7652" w:rsidRPr="00282325" w:rsidRDefault="007B7652" w:rsidP="00282325">
            <w:pPr>
              <w:spacing w:after="0" w:line="276" w:lineRule="auto"/>
              <w:jc w:val="right"/>
              <w:rPr>
                <w:sz w:val="20"/>
                <w:lang w:val="en-GB"/>
              </w:rPr>
            </w:pPr>
            <w:r w:rsidRPr="00282325">
              <w:rPr>
                <w:sz w:val="20"/>
                <w:lang w:val="en-GB"/>
              </w:rPr>
              <w:t>18.</w:t>
            </w:r>
            <w:r>
              <w:rPr>
                <w:sz w:val="20"/>
                <w:lang w:val="en-GB"/>
              </w:rPr>
              <w:t>8</w:t>
            </w:r>
          </w:p>
        </w:tc>
      </w:tr>
      <w:tr w:rsidR="007B7652" w:rsidRPr="00282325" w14:paraId="1962C147" w14:textId="77777777" w:rsidTr="00282325">
        <w:tc>
          <w:tcPr>
            <w:tcW w:w="2472" w:type="dxa"/>
          </w:tcPr>
          <w:p w14:paraId="515CD846" w14:textId="77777777" w:rsidR="007B7652" w:rsidRPr="00282325" w:rsidRDefault="007B7652" w:rsidP="00282325">
            <w:pPr>
              <w:spacing w:after="0" w:line="276" w:lineRule="auto"/>
              <w:rPr>
                <w:sz w:val="20"/>
                <w:u w:val="single"/>
                <w:lang w:val="en-GB"/>
              </w:rPr>
            </w:pPr>
            <w:r w:rsidRPr="00282325">
              <w:rPr>
                <w:sz w:val="20"/>
                <w:u w:val="single"/>
                <w:lang w:val="en-GB"/>
              </w:rPr>
              <w:t xml:space="preserve">Quality of life </w:t>
            </w:r>
          </w:p>
        </w:tc>
        <w:tc>
          <w:tcPr>
            <w:tcW w:w="4582" w:type="dxa"/>
          </w:tcPr>
          <w:p w14:paraId="71E1C3F4" w14:textId="77777777" w:rsidR="007B7652" w:rsidRPr="00282325" w:rsidRDefault="007B7652" w:rsidP="00282325">
            <w:pPr>
              <w:spacing w:after="0" w:line="276" w:lineRule="auto"/>
              <w:rPr>
                <w:sz w:val="20"/>
                <w:lang w:val="en-GB"/>
              </w:rPr>
            </w:pPr>
          </w:p>
        </w:tc>
        <w:tc>
          <w:tcPr>
            <w:tcW w:w="992" w:type="dxa"/>
            <w:vAlign w:val="center"/>
          </w:tcPr>
          <w:p w14:paraId="7D274F43" w14:textId="77777777" w:rsidR="007B7652" w:rsidRPr="00282325" w:rsidRDefault="007B7652" w:rsidP="00282325">
            <w:pPr>
              <w:spacing w:after="0" w:line="276" w:lineRule="auto"/>
              <w:jc w:val="right"/>
              <w:rPr>
                <w:sz w:val="20"/>
                <w:lang w:val="en-GB"/>
              </w:rPr>
            </w:pPr>
            <w:r w:rsidRPr="00282325">
              <w:rPr>
                <w:sz w:val="20"/>
                <w:lang w:val="en-GB"/>
              </w:rPr>
              <w:t>144</w:t>
            </w:r>
          </w:p>
        </w:tc>
        <w:tc>
          <w:tcPr>
            <w:tcW w:w="1242" w:type="dxa"/>
            <w:vAlign w:val="center"/>
          </w:tcPr>
          <w:p w14:paraId="6818C5A2" w14:textId="77777777" w:rsidR="007B7652" w:rsidRPr="00282325" w:rsidRDefault="007B7652" w:rsidP="00282325">
            <w:pPr>
              <w:spacing w:after="0" w:line="276" w:lineRule="auto"/>
              <w:jc w:val="right"/>
              <w:rPr>
                <w:sz w:val="20"/>
                <w:lang w:val="en-GB"/>
              </w:rPr>
            </w:pPr>
            <w:r w:rsidRPr="00282325">
              <w:rPr>
                <w:sz w:val="20"/>
                <w:lang w:val="en-GB"/>
              </w:rPr>
              <w:t>37.1</w:t>
            </w:r>
          </w:p>
        </w:tc>
      </w:tr>
      <w:tr w:rsidR="007B7652" w:rsidRPr="00282325" w14:paraId="50E3384C" w14:textId="77777777" w:rsidTr="00282325">
        <w:tc>
          <w:tcPr>
            <w:tcW w:w="2472" w:type="dxa"/>
            <w:tcBorders>
              <w:bottom w:val="single" w:sz="4" w:space="0" w:color="auto"/>
            </w:tcBorders>
          </w:tcPr>
          <w:p w14:paraId="7C9D8A12" w14:textId="77777777" w:rsidR="007B7652" w:rsidRPr="00282325" w:rsidRDefault="007B7652" w:rsidP="00282325">
            <w:pPr>
              <w:spacing w:after="0" w:line="276" w:lineRule="auto"/>
              <w:rPr>
                <w:sz w:val="20"/>
                <w:u w:val="single"/>
                <w:lang w:val="en-GB"/>
              </w:rPr>
            </w:pPr>
            <w:r w:rsidRPr="00282325">
              <w:rPr>
                <w:sz w:val="20"/>
                <w:u w:val="single"/>
                <w:lang w:val="en-GB"/>
              </w:rPr>
              <w:t>Socio-demographic data</w:t>
            </w:r>
          </w:p>
        </w:tc>
        <w:tc>
          <w:tcPr>
            <w:tcW w:w="4582" w:type="dxa"/>
            <w:tcBorders>
              <w:bottom w:val="single" w:sz="4" w:space="0" w:color="auto"/>
            </w:tcBorders>
          </w:tcPr>
          <w:p w14:paraId="42C6C71B" w14:textId="77777777" w:rsidR="007B7652" w:rsidRPr="00282325" w:rsidRDefault="007B7652" w:rsidP="00282325">
            <w:pPr>
              <w:spacing w:after="0" w:line="276" w:lineRule="auto"/>
              <w:rPr>
                <w:sz w:val="20"/>
                <w:lang w:val="en-GB"/>
              </w:rPr>
            </w:pPr>
          </w:p>
        </w:tc>
        <w:tc>
          <w:tcPr>
            <w:tcW w:w="992" w:type="dxa"/>
            <w:tcBorders>
              <w:bottom w:val="single" w:sz="4" w:space="0" w:color="auto"/>
            </w:tcBorders>
            <w:vAlign w:val="center"/>
          </w:tcPr>
          <w:p w14:paraId="5ED1264E" w14:textId="77777777" w:rsidR="007B7652" w:rsidRPr="00282325" w:rsidRDefault="007B7652" w:rsidP="00282325">
            <w:pPr>
              <w:spacing w:after="0" w:line="276" w:lineRule="auto"/>
              <w:jc w:val="right"/>
              <w:rPr>
                <w:sz w:val="20"/>
                <w:lang w:val="en-GB"/>
              </w:rPr>
            </w:pPr>
            <w:r w:rsidRPr="00282325">
              <w:rPr>
                <w:sz w:val="20"/>
                <w:lang w:val="en-GB"/>
              </w:rPr>
              <w:t>292</w:t>
            </w:r>
          </w:p>
        </w:tc>
        <w:tc>
          <w:tcPr>
            <w:tcW w:w="1242" w:type="dxa"/>
            <w:tcBorders>
              <w:bottom w:val="single" w:sz="4" w:space="0" w:color="auto"/>
            </w:tcBorders>
            <w:vAlign w:val="center"/>
          </w:tcPr>
          <w:p w14:paraId="18B773D4" w14:textId="77777777" w:rsidR="007B7652" w:rsidRPr="00282325" w:rsidRDefault="007B7652" w:rsidP="00282325">
            <w:pPr>
              <w:spacing w:after="0" w:line="276" w:lineRule="auto"/>
              <w:jc w:val="right"/>
              <w:rPr>
                <w:sz w:val="20"/>
                <w:lang w:val="en-GB"/>
              </w:rPr>
            </w:pPr>
            <w:r w:rsidRPr="00282325">
              <w:rPr>
                <w:sz w:val="20"/>
                <w:lang w:val="en-GB"/>
              </w:rPr>
              <w:t>75.3</w:t>
            </w:r>
          </w:p>
        </w:tc>
      </w:tr>
    </w:tbl>
    <w:p w14:paraId="37F3A2DD" w14:textId="77777777" w:rsidR="007B7652" w:rsidRPr="0061297D" w:rsidRDefault="007B7652" w:rsidP="00CE318F">
      <w:pPr>
        <w:spacing w:line="276" w:lineRule="auto"/>
        <w:rPr>
          <w:lang w:val="en-GB"/>
        </w:rPr>
      </w:pPr>
    </w:p>
    <w:p w14:paraId="18BBB74D" w14:textId="77777777" w:rsidR="007B7652" w:rsidRPr="009C62C9" w:rsidRDefault="007B7652" w:rsidP="00CE318F">
      <w:pPr>
        <w:spacing w:line="276" w:lineRule="auto"/>
        <w:jc w:val="both"/>
        <w:rPr>
          <w:b/>
          <w:lang w:val="en-GB"/>
        </w:rPr>
      </w:pPr>
      <w:r w:rsidRPr="009C62C9">
        <w:rPr>
          <w:b/>
          <w:lang w:val="en-GB"/>
        </w:rPr>
        <w:lastRenderedPageBreak/>
        <w:t>Discussion</w:t>
      </w:r>
    </w:p>
    <w:p w14:paraId="7473D598" w14:textId="77777777" w:rsidR="007B7652" w:rsidRDefault="007B7652" w:rsidP="00CE318F">
      <w:pPr>
        <w:spacing w:line="276" w:lineRule="auto"/>
        <w:jc w:val="both"/>
        <w:rPr>
          <w:lang w:val="en-GB"/>
        </w:rPr>
      </w:pPr>
    </w:p>
    <w:p w14:paraId="1AD61325" w14:textId="77777777" w:rsidR="007B7652" w:rsidRDefault="007B7652" w:rsidP="001A518B">
      <w:pPr>
        <w:spacing w:line="276" w:lineRule="auto"/>
        <w:jc w:val="both"/>
        <w:rPr>
          <w:lang w:val="en-GB"/>
        </w:rPr>
      </w:pPr>
      <w:r>
        <w:rPr>
          <w:lang w:val="en-GB"/>
        </w:rPr>
        <w:t xml:space="preserve">The results of this survey highlight that multiple tools are used by clinicians to assess frailty. Moreover, even if the same tool might be </w:t>
      </w:r>
      <w:r w:rsidRPr="005E02B1">
        <w:rPr>
          <w:lang w:val="en-GB"/>
        </w:rPr>
        <w:t>used</w:t>
      </w:r>
      <w:r>
        <w:rPr>
          <w:lang w:val="en-GB"/>
        </w:rPr>
        <w:t xml:space="preserve">, </w:t>
      </w:r>
      <w:proofErr w:type="gramStart"/>
      <w:r>
        <w:rPr>
          <w:lang w:val="en-GB"/>
        </w:rPr>
        <w:t>a</w:t>
      </w:r>
      <w:r w:rsidRPr="005E02B1">
        <w:rPr>
          <w:lang w:val="en-GB"/>
        </w:rPr>
        <w:t xml:space="preserve"> heterogeneity</w:t>
      </w:r>
      <w:proofErr w:type="gramEnd"/>
      <w:r>
        <w:rPr>
          <w:lang w:val="en-GB"/>
        </w:rPr>
        <w:t xml:space="preserve"> about the choice of the thresholds of risk also exists, as shown for the gait speed and the SPPB test.</w:t>
      </w:r>
      <w:r w:rsidRPr="002C21B0">
        <w:rPr>
          <w:lang w:val="en-GB"/>
        </w:rPr>
        <w:t xml:space="preserve"> </w:t>
      </w:r>
      <w:r>
        <w:rPr>
          <w:lang w:val="en-GB"/>
        </w:rPr>
        <w:t xml:space="preserve">However, our survey was international, with of course different settings and we have to acknowledge that the </w:t>
      </w:r>
      <w:r w:rsidRPr="000972A0">
        <w:rPr>
          <w:lang w:val="en-GB"/>
        </w:rPr>
        <w:t xml:space="preserve">scoring system should be used in screening </w:t>
      </w:r>
      <w:r>
        <w:rPr>
          <w:lang w:val="en-GB"/>
        </w:rPr>
        <w:t>but that</w:t>
      </w:r>
      <w:r w:rsidRPr="000972A0">
        <w:rPr>
          <w:lang w:val="en-GB"/>
        </w:rPr>
        <w:t xml:space="preserve"> diagnosing frailty syndrome would depend on </w:t>
      </w:r>
      <w:r>
        <w:rPr>
          <w:lang w:val="en-GB"/>
        </w:rPr>
        <w:t>the</w:t>
      </w:r>
      <w:r w:rsidRPr="000972A0">
        <w:rPr>
          <w:lang w:val="en-GB"/>
        </w:rPr>
        <w:t xml:space="preserve"> purpose, practicability and applicability </w:t>
      </w:r>
      <w:r>
        <w:rPr>
          <w:lang w:val="en-GB"/>
        </w:rPr>
        <w:t>of using such a diagnosis</w:t>
      </w:r>
      <w:r w:rsidRPr="000972A0">
        <w:rPr>
          <w:lang w:val="en-GB"/>
        </w:rPr>
        <w:t xml:space="preserve"> </w:t>
      </w:r>
      <w:r>
        <w:rPr>
          <w:noProof/>
          <w:lang w:val="en-GB"/>
        </w:rPr>
        <w:t>[25].</w:t>
      </w:r>
      <w:r>
        <w:rPr>
          <w:lang w:val="en-GB"/>
        </w:rPr>
        <w:t xml:space="preserve"> </w:t>
      </w:r>
    </w:p>
    <w:p w14:paraId="21A92DB6" w14:textId="77777777" w:rsidR="007B7652" w:rsidRDefault="007B7652" w:rsidP="001A518B">
      <w:pPr>
        <w:spacing w:line="276" w:lineRule="auto"/>
        <w:jc w:val="both"/>
        <w:rPr>
          <w:lang w:val="en-GB"/>
        </w:rPr>
      </w:pPr>
      <w:r>
        <w:rPr>
          <w:lang w:val="en-GB"/>
        </w:rPr>
        <w:t xml:space="preserve">Interestingly, several </w:t>
      </w:r>
      <w:r w:rsidRPr="002C21B0">
        <w:rPr>
          <w:lang w:val="en-GB"/>
        </w:rPr>
        <w:t xml:space="preserve">frailty measurements </w:t>
      </w:r>
      <w:r>
        <w:rPr>
          <w:lang w:val="en-GB"/>
        </w:rPr>
        <w:t xml:space="preserve">used </w:t>
      </w:r>
      <w:r w:rsidRPr="002C21B0">
        <w:rPr>
          <w:lang w:val="en-GB"/>
        </w:rPr>
        <w:t xml:space="preserve">had not been robustly validated in the literature, and their prognostic ability was rarely determined. Moreover, many were modified from their original, validated version, </w:t>
      </w:r>
      <w:r>
        <w:rPr>
          <w:lang w:val="en-GB"/>
        </w:rPr>
        <w:t>potentially impacting on the replicability and comparability of the findings</w:t>
      </w:r>
      <w:r w:rsidRPr="002C21B0">
        <w:rPr>
          <w:lang w:val="en-GB"/>
        </w:rPr>
        <w:t xml:space="preserve">. </w:t>
      </w:r>
      <w:r>
        <w:rPr>
          <w:lang w:val="en-GB"/>
        </w:rPr>
        <w:t xml:space="preserve">Consistently with </w:t>
      </w:r>
      <w:proofErr w:type="spellStart"/>
      <w:r w:rsidRPr="002C21B0">
        <w:rPr>
          <w:lang w:val="en-GB"/>
        </w:rPr>
        <w:t>Theou</w:t>
      </w:r>
      <w:proofErr w:type="spellEnd"/>
      <w:r w:rsidRPr="002C21B0">
        <w:rPr>
          <w:lang w:val="en-GB"/>
        </w:rPr>
        <w:t xml:space="preserve"> and colleagues </w:t>
      </w:r>
      <w:r>
        <w:rPr>
          <w:lang w:val="en-GB"/>
        </w:rPr>
        <w:t xml:space="preserve">who reported the existence of </w:t>
      </w:r>
      <w:r w:rsidRPr="002C21B0">
        <w:rPr>
          <w:lang w:val="en-GB"/>
        </w:rPr>
        <w:t xml:space="preserve">262 different versions of </w:t>
      </w:r>
      <w:r>
        <w:rPr>
          <w:lang w:val="en-GB"/>
        </w:rPr>
        <w:t>f</w:t>
      </w:r>
      <w:r w:rsidRPr="002C21B0">
        <w:rPr>
          <w:lang w:val="en-GB"/>
        </w:rPr>
        <w:t xml:space="preserve">railty </w:t>
      </w:r>
      <w:r>
        <w:rPr>
          <w:lang w:val="en-GB"/>
        </w:rPr>
        <w:t>p</w:t>
      </w:r>
      <w:r w:rsidRPr="002C21B0">
        <w:rPr>
          <w:lang w:val="en-GB"/>
        </w:rPr>
        <w:t xml:space="preserve">henotype </w:t>
      </w:r>
      <w:r>
        <w:rPr>
          <w:noProof/>
          <w:lang w:val="en-GB"/>
        </w:rPr>
        <w:t>[26],</w:t>
      </w:r>
      <w:r>
        <w:rPr>
          <w:lang w:val="en-GB"/>
        </w:rPr>
        <w:t xml:space="preserve"> 32.1% of the respondents to our survey declared using a modified version of this operational definition</w:t>
      </w:r>
      <w:r w:rsidRPr="002C21B0">
        <w:rPr>
          <w:lang w:val="en-GB"/>
        </w:rPr>
        <w:t>.</w:t>
      </w:r>
      <w:r>
        <w:rPr>
          <w:lang w:val="en-GB"/>
        </w:rPr>
        <w:t xml:space="preserve"> </w:t>
      </w:r>
    </w:p>
    <w:p w14:paraId="724B6C97" w14:textId="77777777" w:rsidR="007B7652" w:rsidRDefault="007B7652" w:rsidP="001A518B">
      <w:pPr>
        <w:spacing w:line="276" w:lineRule="auto"/>
        <w:jc w:val="both"/>
        <w:rPr>
          <w:lang w:val="en-GB"/>
        </w:rPr>
      </w:pPr>
      <w:r>
        <w:rPr>
          <w:lang w:val="en-GB"/>
        </w:rPr>
        <w:t>It has been suggested, in the literature, that s</w:t>
      </w:r>
      <w:r w:rsidRPr="000972A0">
        <w:rPr>
          <w:lang w:val="en-GB"/>
        </w:rPr>
        <w:t>ome</w:t>
      </w:r>
      <w:r>
        <w:rPr>
          <w:lang w:val="en-GB"/>
        </w:rPr>
        <w:t xml:space="preserve"> of the tools used by clinicians</w:t>
      </w:r>
      <w:r w:rsidRPr="000972A0">
        <w:rPr>
          <w:lang w:val="en-GB"/>
        </w:rPr>
        <w:t xml:space="preserve"> are better for population-level frailty screening, whereas others are best suited for clinical screening, or for clinical assessment. </w:t>
      </w:r>
      <w:r>
        <w:rPr>
          <w:lang w:val="en-GB"/>
        </w:rPr>
        <w:t xml:space="preserve">We believe it is also important to underline the difference between the concept of screening and the concept of diagnosis. </w:t>
      </w:r>
      <w:r w:rsidRPr="00583422">
        <w:rPr>
          <w:lang w:val="en-GB"/>
        </w:rPr>
        <w:t>The primary purpose of screening tests is to detect risk factors for disease in large numbers of apparently healthy individuals.</w:t>
      </w:r>
      <w:r>
        <w:rPr>
          <w:lang w:val="en-GB"/>
        </w:rPr>
        <w:t xml:space="preserve"> </w:t>
      </w:r>
      <w:r w:rsidRPr="00583422">
        <w:rPr>
          <w:lang w:val="en-GB"/>
        </w:rPr>
        <w:t xml:space="preserve">The purpose of a diagnostic test is to establish the presence of disease in symptomatic </w:t>
      </w:r>
      <w:r>
        <w:rPr>
          <w:lang w:val="en-GB"/>
        </w:rPr>
        <w:t xml:space="preserve">or screening-positive individuals. Only the latter point is </w:t>
      </w:r>
      <w:r w:rsidRPr="00583422">
        <w:rPr>
          <w:lang w:val="en-GB"/>
        </w:rPr>
        <w:t>a basis for treatment decisions</w:t>
      </w:r>
      <w:r>
        <w:rPr>
          <w:lang w:val="en-GB"/>
        </w:rPr>
        <w:t xml:space="preserve">. Consequently, the tools to be used should be differentiated according to the purpose of the assessment </w:t>
      </w:r>
      <w:r>
        <w:rPr>
          <w:noProof/>
          <w:lang w:val="en-GB"/>
        </w:rPr>
        <w:t>[27]</w:t>
      </w:r>
      <w:r>
        <w:rPr>
          <w:lang w:val="en-GB"/>
        </w:rPr>
        <w:t>. This is probably a limitation of the present survey since we did not specifically ask whether the assessment of frailty was conducted for screening or diagnosing.</w:t>
      </w:r>
    </w:p>
    <w:p w14:paraId="5291D604" w14:textId="77777777" w:rsidR="007B7652" w:rsidRDefault="007B7652" w:rsidP="00286FFC">
      <w:pPr>
        <w:spacing w:line="276" w:lineRule="auto"/>
        <w:jc w:val="both"/>
        <w:rPr>
          <w:lang w:val="en-GB"/>
        </w:rPr>
      </w:pPr>
      <w:r>
        <w:rPr>
          <w:lang w:val="en-GB"/>
        </w:rPr>
        <w:t xml:space="preserve">Currently, various tools are proposed to assess frailty but none has been able to prevail as superior to the others. </w:t>
      </w:r>
      <w:r w:rsidRPr="004D3A44">
        <w:rPr>
          <w:lang w:val="en-GB"/>
        </w:rPr>
        <w:t xml:space="preserve">The ideal scoring system </w:t>
      </w:r>
      <w:r>
        <w:rPr>
          <w:lang w:val="en-GB"/>
        </w:rPr>
        <w:t>for</w:t>
      </w:r>
      <w:r w:rsidRPr="004D3A44">
        <w:rPr>
          <w:lang w:val="en-GB"/>
        </w:rPr>
        <w:t xml:space="preserve"> defin</w:t>
      </w:r>
      <w:r>
        <w:rPr>
          <w:lang w:val="en-GB"/>
        </w:rPr>
        <w:t>ing</w:t>
      </w:r>
      <w:r w:rsidRPr="004D3A44">
        <w:rPr>
          <w:lang w:val="en-GB"/>
        </w:rPr>
        <w:t xml:space="preserve"> frailty</w:t>
      </w:r>
      <w:r>
        <w:rPr>
          <w:lang w:val="en-GB"/>
        </w:rPr>
        <w:t xml:space="preserve"> </w:t>
      </w:r>
      <w:r w:rsidRPr="004D3A44">
        <w:rPr>
          <w:lang w:val="en-GB"/>
        </w:rPr>
        <w:t>should be able to assess all domains of frailty</w:t>
      </w:r>
      <w:r>
        <w:rPr>
          <w:lang w:val="en-GB"/>
        </w:rPr>
        <w:t xml:space="preserve"> </w:t>
      </w:r>
      <w:r w:rsidRPr="004D3A44">
        <w:rPr>
          <w:lang w:val="en-GB"/>
        </w:rPr>
        <w:t xml:space="preserve">and </w:t>
      </w:r>
      <w:r>
        <w:rPr>
          <w:lang w:val="en-GB"/>
        </w:rPr>
        <w:t>their</w:t>
      </w:r>
      <w:r w:rsidRPr="004D3A44">
        <w:rPr>
          <w:lang w:val="en-GB"/>
        </w:rPr>
        <w:t xml:space="preserve"> severity, as well as to</w:t>
      </w:r>
      <w:r>
        <w:rPr>
          <w:lang w:val="en-GB"/>
        </w:rPr>
        <w:t xml:space="preserve"> </w:t>
      </w:r>
      <w:r w:rsidRPr="004D3A44">
        <w:rPr>
          <w:lang w:val="en-GB"/>
        </w:rPr>
        <w:t xml:space="preserve">be </w:t>
      </w:r>
      <w:r>
        <w:rPr>
          <w:lang w:val="en-GB"/>
        </w:rPr>
        <w:t xml:space="preserve">easily applicable to the </w:t>
      </w:r>
      <w:r w:rsidRPr="004D3A44">
        <w:rPr>
          <w:lang w:val="en-GB"/>
        </w:rPr>
        <w:t>daily clinical practice</w:t>
      </w:r>
      <w:r>
        <w:rPr>
          <w:lang w:val="en-GB"/>
        </w:rPr>
        <w:t xml:space="preserve"> in order </w:t>
      </w:r>
      <w:r w:rsidRPr="004D3A44">
        <w:rPr>
          <w:lang w:val="en-GB"/>
        </w:rPr>
        <w:t xml:space="preserve">to measure changes </w:t>
      </w:r>
      <w:r>
        <w:rPr>
          <w:lang w:val="en-GB"/>
        </w:rPr>
        <w:t xml:space="preserve">occurring </w:t>
      </w:r>
      <w:r w:rsidRPr="004D3A44">
        <w:rPr>
          <w:lang w:val="en-GB"/>
        </w:rPr>
        <w:t xml:space="preserve">over time </w:t>
      </w:r>
      <w:r>
        <w:rPr>
          <w:lang w:val="en-GB"/>
        </w:rPr>
        <w:t xml:space="preserve">(especially </w:t>
      </w:r>
      <w:r w:rsidRPr="004D3A44">
        <w:rPr>
          <w:lang w:val="en-GB"/>
        </w:rPr>
        <w:t>after</w:t>
      </w:r>
      <w:r>
        <w:rPr>
          <w:lang w:val="en-GB"/>
        </w:rPr>
        <w:t xml:space="preserve"> significant medical or surgical </w:t>
      </w:r>
      <w:r w:rsidRPr="004D3A44">
        <w:rPr>
          <w:lang w:val="en-GB"/>
        </w:rPr>
        <w:t>interventions)</w:t>
      </w:r>
      <w:r>
        <w:rPr>
          <w:lang w:val="en-GB"/>
        </w:rPr>
        <w:t xml:space="preserve"> </w:t>
      </w:r>
      <w:r>
        <w:rPr>
          <w:noProof/>
          <w:lang w:val="en-GB"/>
        </w:rPr>
        <w:t>[25]</w:t>
      </w:r>
      <w:r>
        <w:rPr>
          <w:lang w:val="en-GB"/>
        </w:rPr>
        <w:t>.</w:t>
      </w:r>
      <w:r w:rsidRPr="00611D99">
        <w:rPr>
          <w:lang w:val="en-GB"/>
        </w:rPr>
        <w:t xml:space="preserve"> </w:t>
      </w:r>
      <w:r>
        <w:rPr>
          <w:lang w:val="en-GB"/>
        </w:rPr>
        <w:t>However, b</w:t>
      </w:r>
      <w:r w:rsidRPr="007C0876">
        <w:rPr>
          <w:lang w:val="en-GB"/>
        </w:rPr>
        <w:t>ecause of the multifactorial nature of frailty</w:t>
      </w:r>
      <w:r>
        <w:rPr>
          <w:lang w:val="en-GB"/>
        </w:rPr>
        <w:t>,</w:t>
      </w:r>
      <w:r w:rsidRPr="007C0876">
        <w:rPr>
          <w:lang w:val="en-GB"/>
        </w:rPr>
        <w:t xml:space="preserve"> it is difficult to</w:t>
      </w:r>
      <w:r>
        <w:rPr>
          <w:lang w:val="en-GB"/>
        </w:rPr>
        <w:t xml:space="preserve"> </w:t>
      </w:r>
      <w:r w:rsidRPr="007C0876">
        <w:rPr>
          <w:lang w:val="en-GB"/>
        </w:rPr>
        <w:t>construct a model that is both highly accurate and</w:t>
      </w:r>
      <w:r>
        <w:rPr>
          <w:lang w:val="en-GB"/>
        </w:rPr>
        <w:t xml:space="preserve"> </w:t>
      </w:r>
      <w:r w:rsidRPr="007C0876">
        <w:rPr>
          <w:lang w:val="en-GB"/>
        </w:rPr>
        <w:t xml:space="preserve">easy to use. </w:t>
      </w:r>
    </w:p>
    <w:p w14:paraId="3FCC265A" w14:textId="77777777" w:rsidR="007B7652" w:rsidRDefault="007B7652" w:rsidP="00B70154">
      <w:pPr>
        <w:spacing w:line="276" w:lineRule="auto"/>
        <w:jc w:val="both"/>
        <w:rPr>
          <w:lang w:val="en-GB"/>
        </w:rPr>
      </w:pPr>
      <w:r>
        <w:rPr>
          <w:lang w:val="en-GB"/>
        </w:rPr>
        <w:t>According to a systematic review, t</w:t>
      </w:r>
      <w:r w:rsidRPr="007C0876">
        <w:rPr>
          <w:lang w:val="en-GB"/>
        </w:rPr>
        <w:t>he main factors</w:t>
      </w:r>
      <w:r>
        <w:rPr>
          <w:lang w:val="en-GB"/>
        </w:rPr>
        <w:t xml:space="preserve"> </w:t>
      </w:r>
      <w:r w:rsidRPr="007C0876">
        <w:rPr>
          <w:lang w:val="en-GB"/>
        </w:rPr>
        <w:t xml:space="preserve">associated with frailty </w:t>
      </w:r>
      <w:r>
        <w:rPr>
          <w:lang w:val="en-GB"/>
        </w:rPr>
        <w:t>a</w:t>
      </w:r>
      <w:r w:rsidRPr="007C0876">
        <w:rPr>
          <w:lang w:val="en-GB"/>
        </w:rPr>
        <w:t>re: age, female gender,</w:t>
      </w:r>
      <w:r>
        <w:rPr>
          <w:lang w:val="en-GB"/>
        </w:rPr>
        <w:t xml:space="preserve"> ethnic group</w:t>
      </w:r>
      <w:r w:rsidRPr="007C0876">
        <w:rPr>
          <w:lang w:val="en-GB"/>
        </w:rPr>
        <w:t xml:space="preserve">, </w:t>
      </w:r>
      <w:r>
        <w:rPr>
          <w:lang w:val="en-GB"/>
        </w:rPr>
        <w:t>education</w:t>
      </w:r>
      <w:r w:rsidRPr="007C0876">
        <w:rPr>
          <w:lang w:val="en-GB"/>
        </w:rPr>
        <w:t>, income, cardiovascular</w:t>
      </w:r>
      <w:r>
        <w:rPr>
          <w:lang w:val="en-GB"/>
        </w:rPr>
        <w:t xml:space="preserve"> </w:t>
      </w:r>
      <w:r w:rsidRPr="007C0876">
        <w:rPr>
          <w:lang w:val="en-GB"/>
        </w:rPr>
        <w:t>diseases, number of comorbidities,</w:t>
      </w:r>
      <w:r>
        <w:rPr>
          <w:lang w:val="en-GB"/>
        </w:rPr>
        <w:t xml:space="preserve"> </w:t>
      </w:r>
      <w:r w:rsidRPr="007C0876">
        <w:rPr>
          <w:lang w:val="en-GB"/>
        </w:rPr>
        <w:t>functional incapacity, poor self-rated health,</w:t>
      </w:r>
      <w:r>
        <w:rPr>
          <w:lang w:val="en-GB"/>
        </w:rPr>
        <w:t xml:space="preserve"> </w:t>
      </w:r>
      <w:r w:rsidRPr="007C0876">
        <w:rPr>
          <w:lang w:val="en-GB"/>
        </w:rPr>
        <w:t xml:space="preserve">depressive symptoms, cognitive function, </w:t>
      </w:r>
      <w:proofErr w:type="gramStart"/>
      <w:r w:rsidRPr="007C0876">
        <w:rPr>
          <w:lang w:val="en-GB"/>
        </w:rPr>
        <w:t>body</w:t>
      </w:r>
      <w:proofErr w:type="gramEnd"/>
      <w:r>
        <w:rPr>
          <w:lang w:val="en-GB"/>
        </w:rPr>
        <w:t xml:space="preserve"> </w:t>
      </w:r>
      <w:r w:rsidRPr="007C0876">
        <w:rPr>
          <w:lang w:val="en-GB"/>
        </w:rPr>
        <w:t>mass index, smoking, and alcohol use</w:t>
      </w:r>
      <w:r>
        <w:rPr>
          <w:lang w:val="en-GB"/>
        </w:rPr>
        <w:t xml:space="preserve"> </w:t>
      </w:r>
      <w:r>
        <w:rPr>
          <w:noProof/>
          <w:lang w:val="en-GB"/>
        </w:rPr>
        <w:t xml:space="preserve">[28]. </w:t>
      </w:r>
      <w:r>
        <w:rPr>
          <w:lang w:val="en-GB"/>
        </w:rPr>
        <w:t xml:space="preserve">Most of this information is routinely collected by clinicians. Interestingly, the cognitive domain of frailty is largely assessed with more than 90% of clinicians taking it into account. This is important because </w:t>
      </w:r>
      <w:r w:rsidRPr="007C0876">
        <w:rPr>
          <w:lang w:val="en-GB"/>
        </w:rPr>
        <w:t>there is increasing</w:t>
      </w:r>
      <w:r>
        <w:rPr>
          <w:lang w:val="en-GB"/>
        </w:rPr>
        <w:t xml:space="preserve"> </w:t>
      </w:r>
      <w:r w:rsidRPr="007C0876">
        <w:rPr>
          <w:lang w:val="en-GB"/>
        </w:rPr>
        <w:t>evidence that cognitive decline synergistically acts with</w:t>
      </w:r>
      <w:r>
        <w:rPr>
          <w:lang w:val="en-GB"/>
        </w:rPr>
        <w:t xml:space="preserve"> </w:t>
      </w:r>
      <w:r w:rsidRPr="007C0876">
        <w:rPr>
          <w:lang w:val="en-GB"/>
        </w:rPr>
        <w:t>physical frailty to accelerate the trajectory to</w:t>
      </w:r>
      <w:r>
        <w:rPr>
          <w:lang w:val="en-GB"/>
        </w:rPr>
        <w:t>wards</w:t>
      </w:r>
      <w:r w:rsidRPr="007C0876">
        <w:rPr>
          <w:lang w:val="en-GB"/>
        </w:rPr>
        <w:t xml:space="preserve"> disability </w:t>
      </w:r>
      <w:r>
        <w:rPr>
          <w:noProof/>
          <w:lang w:val="en-GB"/>
        </w:rPr>
        <w:t>[29-33]</w:t>
      </w:r>
      <w:r>
        <w:rPr>
          <w:lang w:val="en-GB"/>
        </w:rPr>
        <w:t xml:space="preserve">. However, the tools used by the clinicians to assess cognitive function are quite heterogeneous as well. </w:t>
      </w:r>
    </w:p>
    <w:p w14:paraId="15E82ECD" w14:textId="77777777" w:rsidR="007B7652" w:rsidRDefault="007B7652" w:rsidP="00B70154">
      <w:pPr>
        <w:spacing w:line="276" w:lineRule="auto"/>
        <w:jc w:val="both"/>
        <w:rPr>
          <w:lang w:val="en-GB"/>
        </w:rPr>
      </w:pPr>
      <w:r>
        <w:rPr>
          <w:lang w:val="en-GB"/>
        </w:rPr>
        <w:t xml:space="preserve">Even if this study had primarily a European perspective, we received some information from clinicians living outside Europe. Because of the few responses received, comparative analysis could </w:t>
      </w:r>
      <w:r>
        <w:rPr>
          <w:lang w:val="en-GB"/>
        </w:rPr>
        <w:lastRenderedPageBreak/>
        <w:t>not be performed. However, looking at the literature from developing countries, the frailty phenotype is</w:t>
      </w:r>
      <w:r w:rsidRPr="007C0876">
        <w:rPr>
          <w:lang w:val="en-GB"/>
        </w:rPr>
        <w:t xml:space="preserve"> </w:t>
      </w:r>
      <w:r>
        <w:rPr>
          <w:lang w:val="en-GB"/>
        </w:rPr>
        <w:t xml:space="preserve">widely diffused although the </w:t>
      </w:r>
      <w:r w:rsidRPr="00354767">
        <w:rPr>
          <w:lang w:val="en-GB"/>
        </w:rPr>
        <w:t>Frailty Index and the Edmonton Frailty Scale</w:t>
      </w:r>
      <w:r>
        <w:rPr>
          <w:lang w:val="en-GB"/>
        </w:rPr>
        <w:t xml:space="preserve"> are also commonly used </w:t>
      </w:r>
      <w:r>
        <w:rPr>
          <w:noProof/>
          <w:lang w:val="en-GB"/>
        </w:rPr>
        <w:t>[34, 35].</w:t>
      </w:r>
      <w:r w:rsidRPr="007C0876">
        <w:rPr>
          <w:lang w:val="en-GB"/>
        </w:rPr>
        <w:t xml:space="preserve"> </w:t>
      </w:r>
      <w:r w:rsidRPr="005E495B">
        <w:rPr>
          <w:lang w:val="en-GB"/>
        </w:rPr>
        <w:t>In</w:t>
      </w:r>
      <w:r>
        <w:rPr>
          <w:lang w:val="en-GB"/>
        </w:rPr>
        <w:t xml:space="preserve"> </w:t>
      </w:r>
      <w:r w:rsidRPr="005E495B">
        <w:rPr>
          <w:lang w:val="en-GB"/>
        </w:rPr>
        <w:t>regions where health</w:t>
      </w:r>
      <w:r>
        <w:rPr>
          <w:lang w:val="en-GB"/>
        </w:rPr>
        <w:t>care</w:t>
      </w:r>
      <w:r w:rsidRPr="005E495B">
        <w:rPr>
          <w:lang w:val="en-GB"/>
        </w:rPr>
        <w:t xml:space="preserve"> resources are scarce, many</w:t>
      </w:r>
      <w:r>
        <w:rPr>
          <w:lang w:val="en-GB"/>
        </w:rPr>
        <w:t xml:space="preserve"> </w:t>
      </w:r>
      <w:r w:rsidRPr="005E495B">
        <w:rPr>
          <w:lang w:val="en-GB"/>
        </w:rPr>
        <w:t>health conditi</w:t>
      </w:r>
      <w:r>
        <w:rPr>
          <w:lang w:val="en-GB"/>
        </w:rPr>
        <w:t xml:space="preserve">ons frequently remain </w:t>
      </w:r>
      <w:r w:rsidRPr="005E495B">
        <w:rPr>
          <w:lang w:val="en-GB"/>
        </w:rPr>
        <w:t>undiagnosed</w:t>
      </w:r>
      <w:r>
        <w:rPr>
          <w:lang w:val="en-GB"/>
        </w:rPr>
        <w:t xml:space="preserve"> or are overlooked. Moreover, the</w:t>
      </w:r>
      <w:r w:rsidRPr="005E495B">
        <w:rPr>
          <w:lang w:val="en-GB"/>
        </w:rPr>
        <w:t xml:space="preserve"> lack of equipment</w:t>
      </w:r>
      <w:r>
        <w:rPr>
          <w:lang w:val="en-GB"/>
        </w:rPr>
        <w:t xml:space="preserve"> and/or </w:t>
      </w:r>
      <w:r w:rsidRPr="005E495B">
        <w:rPr>
          <w:lang w:val="en-GB"/>
        </w:rPr>
        <w:t>trained staff</w:t>
      </w:r>
      <w:r>
        <w:rPr>
          <w:lang w:val="en-GB"/>
        </w:rPr>
        <w:t xml:space="preserve"> is another possible issue affecting the frailty assessment </w:t>
      </w:r>
      <w:r>
        <w:rPr>
          <w:noProof/>
          <w:lang w:val="en-GB"/>
        </w:rPr>
        <w:t>[34].</w:t>
      </w:r>
      <w:r>
        <w:rPr>
          <w:lang w:val="en-GB"/>
        </w:rPr>
        <w:t xml:space="preserve"> Moreover, it should be acknowledged that very few </w:t>
      </w:r>
      <w:r w:rsidRPr="005E495B">
        <w:rPr>
          <w:lang w:val="en-GB"/>
        </w:rPr>
        <w:t>assessment</w:t>
      </w:r>
      <w:r>
        <w:rPr>
          <w:lang w:val="en-GB"/>
        </w:rPr>
        <w:t xml:space="preserve"> tools have</w:t>
      </w:r>
      <w:r w:rsidRPr="005E495B">
        <w:rPr>
          <w:lang w:val="en-GB"/>
        </w:rPr>
        <w:t xml:space="preserve"> been fully validated in </w:t>
      </w:r>
      <w:r>
        <w:rPr>
          <w:lang w:val="en-GB"/>
        </w:rPr>
        <w:t>low and medium income countries</w:t>
      </w:r>
      <w:r w:rsidRPr="005E495B">
        <w:rPr>
          <w:lang w:val="en-GB"/>
        </w:rPr>
        <w:t>.</w:t>
      </w:r>
      <w:r w:rsidRPr="000972A0">
        <w:rPr>
          <w:lang w:val="en-GB"/>
        </w:rPr>
        <w:t xml:space="preserve"> </w:t>
      </w:r>
    </w:p>
    <w:p w14:paraId="07583BBA" w14:textId="77777777" w:rsidR="007B7652" w:rsidRDefault="007B7652" w:rsidP="00B70154">
      <w:pPr>
        <w:spacing w:line="276" w:lineRule="auto"/>
        <w:jc w:val="both"/>
        <w:rPr>
          <w:lang w:val="en-GB"/>
        </w:rPr>
      </w:pPr>
      <w:r>
        <w:rPr>
          <w:lang w:val="en-GB"/>
        </w:rPr>
        <w:t xml:space="preserve">Even in developed countries, </w:t>
      </w:r>
      <w:r w:rsidRPr="000972A0">
        <w:rPr>
          <w:lang w:val="en-GB"/>
        </w:rPr>
        <w:t xml:space="preserve">different strategies and tools to assess frailty </w:t>
      </w:r>
      <w:r>
        <w:rPr>
          <w:lang w:val="en-GB"/>
        </w:rPr>
        <w:t xml:space="preserve">might be needed according to the clinical setting </w:t>
      </w:r>
      <w:r>
        <w:rPr>
          <w:noProof/>
          <w:lang w:val="en-GB"/>
        </w:rPr>
        <w:t>[36].</w:t>
      </w:r>
      <w:r w:rsidRPr="000972A0">
        <w:rPr>
          <w:lang w:val="en-GB"/>
        </w:rPr>
        <w:t xml:space="preserve"> Given the magnitude of </w:t>
      </w:r>
      <w:r>
        <w:rPr>
          <w:lang w:val="en-GB"/>
        </w:rPr>
        <w:t xml:space="preserve">the </w:t>
      </w:r>
      <w:r w:rsidRPr="000972A0">
        <w:rPr>
          <w:lang w:val="en-GB"/>
        </w:rPr>
        <w:t xml:space="preserve">challenges </w:t>
      </w:r>
      <w:r>
        <w:rPr>
          <w:lang w:val="en-GB"/>
        </w:rPr>
        <w:t xml:space="preserve">that </w:t>
      </w:r>
      <w:r w:rsidRPr="000972A0">
        <w:rPr>
          <w:lang w:val="en-GB"/>
        </w:rPr>
        <w:t>frailty poses for the health care system</w:t>
      </w:r>
      <w:r>
        <w:rPr>
          <w:lang w:val="en-GB"/>
        </w:rPr>
        <w:t>s</w:t>
      </w:r>
      <w:r w:rsidRPr="000972A0">
        <w:rPr>
          <w:lang w:val="en-GB"/>
        </w:rPr>
        <w:t xml:space="preserve"> as currently organi</w:t>
      </w:r>
      <w:r>
        <w:rPr>
          <w:lang w:val="en-GB"/>
        </w:rPr>
        <w:t>s</w:t>
      </w:r>
      <w:r w:rsidRPr="000972A0">
        <w:rPr>
          <w:lang w:val="en-GB"/>
        </w:rPr>
        <w:t>ed, policy changes wi</w:t>
      </w:r>
      <w:r>
        <w:rPr>
          <w:lang w:val="en-GB"/>
        </w:rPr>
        <w:t xml:space="preserve">ll be essential. </w:t>
      </w:r>
      <w:r w:rsidRPr="000972A0">
        <w:rPr>
          <w:lang w:val="en-GB"/>
        </w:rPr>
        <w:t>To systematically implement</w:t>
      </w:r>
      <w:r>
        <w:rPr>
          <w:lang w:val="en-GB"/>
        </w:rPr>
        <w:t xml:space="preserve"> the</w:t>
      </w:r>
      <w:r w:rsidRPr="000972A0">
        <w:rPr>
          <w:lang w:val="en-GB"/>
        </w:rPr>
        <w:t xml:space="preserve"> frailty screening, a number of policy changes are required</w:t>
      </w:r>
      <w:r>
        <w:rPr>
          <w:lang w:val="en-GB"/>
        </w:rPr>
        <w:t xml:space="preserve">, as proposed by the Canadian Frailty Network </w:t>
      </w:r>
      <w:r>
        <w:rPr>
          <w:noProof/>
          <w:lang w:val="en-GB"/>
        </w:rPr>
        <w:t xml:space="preserve">[36]. </w:t>
      </w:r>
      <w:r w:rsidRPr="000972A0">
        <w:rPr>
          <w:lang w:val="en-GB"/>
        </w:rPr>
        <w:t xml:space="preserve">A common language needs </w:t>
      </w:r>
      <w:r>
        <w:rPr>
          <w:lang w:val="en-GB"/>
        </w:rPr>
        <w:t xml:space="preserve">to </w:t>
      </w:r>
      <w:r w:rsidRPr="000972A0">
        <w:rPr>
          <w:lang w:val="en-GB"/>
        </w:rPr>
        <w:t xml:space="preserve">be used among researchers, health care providers, administrators, policy makers, and the public, particularly in </w:t>
      </w:r>
      <w:r>
        <w:rPr>
          <w:lang w:val="en-GB"/>
        </w:rPr>
        <w:t xml:space="preserve">the definition of </w:t>
      </w:r>
      <w:r w:rsidRPr="000972A0">
        <w:rPr>
          <w:lang w:val="en-GB"/>
        </w:rPr>
        <w:t xml:space="preserve">frailty. Researchers and clinicians need to identify and agree on which validated frailty tools to use in which setting. Consensus is needed on whom to screen. Possible approaches include screening all individuals over a certain age who come into contact with the health care system, or screening on the basis of selected criteria such as age, selected medical conditions, psychosocial disorders, falls or functional disability, high use of the health care system, and change in living situation such as moving from independent to assisted </w:t>
      </w:r>
      <w:r>
        <w:rPr>
          <w:lang w:val="en-GB"/>
        </w:rPr>
        <w:t>accommodation</w:t>
      </w:r>
      <w:r w:rsidRPr="000972A0">
        <w:rPr>
          <w:lang w:val="en-GB"/>
        </w:rPr>
        <w:t>.</w:t>
      </w:r>
    </w:p>
    <w:p w14:paraId="5EF80C76" w14:textId="77777777" w:rsidR="007B7652" w:rsidRDefault="007B7652" w:rsidP="00CE318F">
      <w:pPr>
        <w:spacing w:line="276" w:lineRule="auto"/>
        <w:jc w:val="both"/>
        <w:rPr>
          <w:lang w:val="en-GB"/>
        </w:rPr>
      </w:pPr>
      <w:r>
        <w:rPr>
          <w:lang w:val="en-GB"/>
        </w:rPr>
        <w:t xml:space="preserve">In conclusion, frailty (in its physical and cognitive components) is regularly assessed by clinicians working with older subjects, using different standardized tools. A better understanding of the prognostic characteristics of such tools is needed to inform clinicians about these choices. </w:t>
      </w:r>
    </w:p>
    <w:p w14:paraId="6D02E60D" w14:textId="77777777" w:rsidR="007B7652" w:rsidRDefault="007B7652" w:rsidP="00CE318F">
      <w:pPr>
        <w:spacing w:line="276" w:lineRule="auto"/>
        <w:rPr>
          <w:lang w:val="en-GB"/>
        </w:rPr>
      </w:pPr>
    </w:p>
    <w:p w14:paraId="2340831A" w14:textId="77777777" w:rsidR="007B7652" w:rsidRDefault="007B7652" w:rsidP="00CE318F">
      <w:pPr>
        <w:spacing w:line="276" w:lineRule="auto"/>
        <w:rPr>
          <w:lang w:val="en-GB"/>
        </w:rPr>
      </w:pPr>
    </w:p>
    <w:p w14:paraId="7CF23204" w14:textId="77777777" w:rsidR="007B7652" w:rsidRDefault="007B7652" w:rsidP="00CE318F">
      <w:pPr>
        <w:spacing w:line="276" w:lineRule="auto"/>
        <w:rPr>
          <w:lang w:val="en-GB"/>
        </w:rPr>
      </w:pPr>
    </w:p>
    <w:p w14:paraId="7275BEC8" w14:textId="77777777" w:rsidR="007B7652" w:rsidRDefault="007B7652" w:rsidP="00CE318F">
      <w:pPr>
        <w:spacing w:line="276" w:lineRule="auto"/>
        <w:rPr>
          <w:lang w:val="en-GB"/>
        </w:rPr>
      </w:pPr>
      <w:r>
        <w:rPr>
          <w:lang w:val="en-GB"/>
        </w:rPr>
        <w:br w:type="page"/>
      </w:r>
    </w:p>
    <w:p w14:paraId="13FE0A39" w14:textId="77777777" w:rsidR="00691C4F" w:rsidRPr="00691C4F" w:rsidRDefault="00691C4F" w:rsidP="00691C4F">
      <w:pPr>
        <w:rPr>
          <w:b/>
          <w:lang w:val="en-US"/>
        </w:rPr>
      </w:pPr>
      <w:r w:rsidRPr="00691C4F">
        <w:rPr>
          <w:b/>
          <w:lang w:val="en-US"/>
        </w:rPr>
        <w:lastRenderedPageBreak/>
        <w:t>Conflict of interest</w:t>
      </w:r>
    </w:p>
    <w:p w14:paraId="13DAF5B1" w14:textId="77777777" w:rsidR="00691C4F" w:rsidRDefault="00691C4F" w:rsidP="00691C4F">
      <w:pPr>
        <w:spacing w:line="276" w:lineRule="auto"/>
        <w:rPr>
          <w:lang w:val="en-GB"/>
        </w:rPr>
      </w:pPr>
      <w:r w:rsidRPr="00C86845">
        <w:rPr>
          <w:lang w:val="en-GB"/>
        </w:rPr>
        <w:t>On behalf of all authors, the corresponding author states that there is no conflict of interest.</w:t>
      </w:r>
    </w:p>
    <w:p w14:paraId="521037A1" w14:textId="77777777" w:rsidR="00691C4F" w:rsidRDefault="00691C4F" w:rsidP="00691C4F">
      <w:pPr>
        <w:spacing w:line="276" w:lineRule="auto"/>
        <w:rPr>
          <w:lang w:val="en-GB"/>
        </w:rPr>
      </w:pPr>
    </w:p>
    <w:p w14:paraId="52B8BB80" w14:textId="77777777" w:rsidR="00691C4F" w:rsidRDefault="00691C4F" w:rsidP="00CE318F">
      <w:pPr>
        <w:spacing w:line="276" w:lineRule="auto"/>
        <w:rPr>
          <w:lang w:val="en-GB"/>
        </w:rPr>
      </w:pPr>
    </w:p>
    <w:p w14:paraId="2A24FE43" w14:textId="77777777" w:rsidR="007B7652" w:rsidRPr="00DB3051" w:rsidRDefault="007B7652" w:rsidP="00CE318F">
      <w:pPr>
        <w:rPr>
          <w:b/>
          <w:lang w:val="it-IT"/>
        </w:rPr>
      </w:pPr>
      <w:r w:rsidRPr="00DB3051">
        <w:rPr>
          <w:b/>
          <w:lang w:val="it-IT"/>
        </w:rPr>
        <w:t>References</w:t>
      </w:r>
    </w:p>
    <w:p w14:paraId="683B10B3" w14:textId="77777777" w:rsidR="007B7652" w:rsidRPr="00DB3051" w:rsidRDefault="007B7652">
      <w:pPr>
        <w:rPr>
          <w:lang w:val="it-IT"/>
        </w:rPr>
      </w:pPr>
    </w:p>
    <w:p w14:paraId="3CFCA45B" w14:textId="77777777" w:rsidR="007B7652" w:rsidRPr="001A518B" w:rsidRDefault="007B7652" w:rsidP="001A518B">
      <w:pPr>
        <w:pStyle w:val="EndNoteBibliography"/>
        <w:spacing w:after="0"/>
      </w:pPr>
      <w:r w:rsidRPr="00CC3BAE">
        <w:rPr>
          <w:lang w:val="it-IT"/>
        </w:rPr>
        <w:t>1.</w:t>
      </w:r>
      <w:r w:rsidRPr="00CC3BAE">
        <w:rPr>
          <w:lang w:val="it-IT"/>
        </w:rPr>
        <w:tab/>
        <w:t xml:space="preserve">Cesari M, Marzetti E, Calvani R, et al. </w:t>
      </w:r>
      <w:r w:rsidRPr="001A518B">
        <w:t>The need of operational paradigms for frailty in older persons: the SPRINTT project. Aging Clin Exp Res 2017 Feb;29(1):3-10.</w:t>
      </w:r>
    </w:p>
    <w:p w14:paraId="4339FE2A" w14:textId="77777777" w:rsidR="007B7652" w:rsidRPr="001A518B" w:rsidRDefault="007B7652" w:rsidP="001A518B">
      <w:pPr>
        <w:pStyle w:val="EndNoteBibliography"/>
        <w:spacing w:after="0"/>
      </w:pPr>
      <w:r w:rsidRPr="001A518B">
        <w:t>2.</w:t>
      </w:r>
      <w:r w:rsidRPr="001A518B">
        <w:tab/>
        <w:t>Buckinx F, Rolland Y, Reginster JY, et al. Burden of frailty in the elderly population: perspectives for a public health challenge. Arch Public Health 2015;73(1):19.</w:t>
      </w:r>
    </w:p>
    <w:p w14:paraId="22D8798F" w14:textId="77777777" w:rsidR="007B7652" w:rsidRPr="00CC3BAE" w:rsidRDefault="007B7652" w:rsidP="001A518B">
      <w:pPr>
        <w:pStyle w:val="EndNoteBibliography"/>
        <w:spacing w:after="0"/>
        <w:rPr>
          <w:lang w:val="it-IT"/>
        </w:rPr>
      </w:pPr>
      <w:r w:rsidRPr="001A518B">
        <w:t>3.</w:t>
      </w:r>
      <w:r w:rsidRPr="001A518B">
        <w:tab/>
        <w:t xml:space="preserve">Kojima G. Frailty as a predictor of disabilities among community-dwelling older people: a systematic review and meta-analysis. </w:t>
      </w:r>
      <w:r w:rsidRPr="00CC3BAE">
        <w:rPr>
          <w:lang w:val="it-IT"/>
        </w:rPr>
        <w:t>Disabil Rehabil 2016 Aug 24:1-12.</w:t>
      </w:r>
    </w:p>
    <w:p w14:paraId="65BC36CB" w14:textId="77777777" w:rsidR="007B7652" w:rsidRPr="00691C4F" w:rsidRDefault="007B7652" w:rsidP="001A518B">
      <w:pPr>
        <w:pStyle w:val="EndNoteBibliography"/>
        <w:spacing w:after="0"/>
      </w:pPr>
      <w:r w:rsidRPr="00CC3BAE">
        <w:rPr>
          <w:lang w:val="it-IT"/>
        </w:rPr>
        <w:t>4.</w:t>
      </w:r>
      <w:r w:rsidRPr="00CC3BAE">
        <w:rPr>
          <w:lang w:val="it-IT"/>
        </w:rPr>
        <w:tab/>
        <w:t xml:space="preserve">Garcia-Nogueras I, Aranda-Reneo I, Pena-Longobardo LM, et al. </w:t>
      </w:r>
      <w:r w:rsidRPr="001A518B">
        <w:t xml:space="preserve">Use of Health Resources and Healthcare Costs associated with Frailty: The FRADEA Study. </w:t>
      </w:r>
      <w:r w:rsidRPr="00691C4F">
        <w:t>J Nutr Health Aging 2017;21(2):207-14.</w:t>
      </w:r>
    </w:p>
    <w:p w14:paraId="008EED68" w14:textId="77777777" w:rsidR="007B7652" w:rsidRPr="001A518B" w:rsidRDefault="007B7652" w:rsidP="001A518B">
      <w:pPr>
        <w:pStyle w:val="EndNoteBibliography"/>
        <w:spacing w:after="0"/>
      </w:pPr>
      <w:r w:rsidRPr="00691C4F">
        <w:t>5.</w:t>
      </w:r>
      <w:r w:rsidRPr="00691C4F">
        <w:tab/>
        <w:t xml:space="preserve">Vermeiren S, Vella-Azzopardi R, Beckwee D, et al. </w:t>
      </w:r>
      <w:r w:rsidRPr="001A518B">
        <w:t>Frailty and the Prediction of Negative Health Outcomes: A Meta-Analysis. J Am Med Dir Assoc 2016 Dec 01;17(12):1163 e1-63 e17.</w:t>
      </w:r>
    </w:p>
    <w:p w14:paraId="0636523A" w14:textId="77777777" w:rsidR="007B7652" w:rsidRPr="001A518B" w:rsidRDefault="007B7652" w:rsidP="001A518B">
      <w:pPr>
        <w:pStyle w:val="EndNoteBibliography"/>
        <w:spacing w:after="0"/>
      </w:pPr>
      <w:r w:rsidRPr="001A518B">
        <w:t>6.</w:t>
      </w:r>
      <w:r w:rsidRPr="001A518B">
        <w:tab/>
        <w:t>Apostolo J, Cooke R, Bobrowicz-Campos E, et al. Predicting risk and outcomes for frail older adults: a protocol for an umbrella review of available frailty screening tools. JBI Database System Rev Implement Rep 2016 Jan 15;13(12):14-24.</w:t>
      </w:r>
    </w:p>
    <w:p w14:paraId="6CFD2B53" w14:textId="77777777" w:rsidR="007B7652" w:rsidRPr="00CC3BAE" w:rsidRDefault="007B7652" w:rsidP="001A518B">
      <w:pPr>
        <w:pStyle w:val="EndNoteBibliography"/>
        <w:spacing w:after="0"/>
        <w:rPr>
          <w:lang w:val="it-IT"/>
        </w:rPr>
      </w:pPr>
      <w:r w:rsidRPr="001A518B">
        <w:t>7.</w:t>
      </w:r>
      <w:r w:rsidRPr="001A518B">
        <w:tab/>
        <w:t xml:space="preserve">Fried LP, Ferrucci L, Darer J, et al. Untangling the concepts of disability, frailty, and comorbidity: implications for improved targeting and care. </w:t>
      </w:r>
      <w:r w:rsidRPr="00CC3BAE">
        <w:rPr>
          <w:lang w:val="it-IT"/>
        </w:rPr>
        <w:t>J Gerontol A Biol Sci Med Sci 2004 Mar;59(3):255-63.</w:t>
      </w:r>
    </w:p>
    <w:p w14:paraId="4773F397" w14:textId="77777777" w:rsidR="007B7652" w:rsidRPr="00CC3BAE" w:rsidRDefault="007B7652" w:rsidP="007B7652">
      <w:pPr>
        <w:pStyle w:val="EndNoteBibliography"/>
        <w:spacing w:after="0"/>
        <w:rPr>
          <w:lang w:val="it-IT"/>
        </w:rPr>
      </w:pPr>
      <w:r w:rsidRPr="00CC3BAE">
        <w:rPr>
          <w:lang w:val="it-IT"/>
        </w:rPr>
        <w:t>8.</w:t>
      </w:r>
      <w:r w:rsidRPr="00CC3BAE">
        <w:rPr>
          <w:lang w:val="it-IT"/>
        </w:rPr>
        <w:tab/>
        <w:t xml:space="preserve">Cherubini A, Demougeot L, Cruz Jentoft A, et al. </w:t>
      </w:r>
      <w:r w:rsidRPr="001A518B">
        <w:t>Relationship between the G</w:t>
      </w:r>
      <w:r>
        <w:t>érontopôle</w:t>
      </w:r>
      <w:r w:rsidRPr="001A518B">
        <w:t xml:space="preserve"> Frailty Screening Tool and the frailty phenotype in primary care. </w:t>
      </w:r>
      <w:r w:rsidRPr="00CC3BAE">
        <w:rPr>
          <w:lang w:val="it-IT"/>
        </w:rPr>
        <w:t>European Geriatric Medicine;6(6):518-22.</w:t>
      </w:r>
    </w:p>
    <w:p w14:paraId="4654B9C1" w14:textId="77777777" w:rsidR="007B7652" w:rsidRPr="001A518B" w:rsidRDefault="007B7652" w:rsidP="001A518B">
      <w:pPr>
        <w:pStyle w:val="EndNoteBibliography"/>
        <w:spacing w:after="0"/>
      </w:pPr>
      <w:r w:rsidRPr="00CC3BAE">
        <w:rPr>
          <w:lang w:val="it-IT"/>
        </w:rPr>
        <w:t>9.</w:t>
      </w:r>
      <w:r w:rsidRPr="00CC3BAE">
        <w:rPr>
          <w:lang w:val="it-IT"/>
        </w:rPr>
        <w:tab/>
        <w:t xml:space="preserve">Azzopardi RV, Vermeiren S, Gorus E, et al. </w:t>
      </w:r>
      <w:r w:rsidRPr="001A518B">
        <w:t>Linking Frailty Instruments to the International Classification of Functioning, Disability, and Health: A Systematic Review. J Am Med Dir Assoc 2016 Nov 01;17(11):1066 e1-66 e11.</w:t>
      </w:r>
    </w:p>
    <w:p w14:paraId="3B66E90C" w14:textId="77777777" w:rsidR="007B7652" w:rsidRPr="00CC3BAE" w:rsidRDefault="007B7652" w:rsidP="001A518B">
      <w:pPr>
        <w:pStyle w:val="EndNoteBibliography"/>
        <w:spacing w:after="0"/>
        <w:rPr>
          <w:lang w:val="nl-BE"/>
        </w:rPr>
      </w:pPr>
      <w:r w:rsidRPr="001A518B">
        <w:t>10.</w:t>
      </w:r>
      <w:r w:rsidRPr="001A518B">
        <w:tab/>
        <w:t xml:space="preserve">Satake S, Arai H. Implications of frailty screening in clinical practice. </w:t>
      </w:r>
      <w:r w:rsidRPr="00CC3BAE">
        <w:rPr>
          <w:lang w:val="nl-BE"/>
        </w:rPr>
        <w:t>Curr Opin Clin Nutr Metab Care 2017 Jan;20(1):4-10.</w:t>
      </w:r>
    </w:p>
    <w:p w14:paraId="76073338" w14:textId="77777777" w:rsidR="007B7652" w:rsidRPr="001A518B" w:rsidRDefault="007B7652" w:rsidP="001A518B">
      <w:pPr>
        <w:pStyle w:val="EndNoteBibliography"/>
        <w:spacing w:after="0"/>
      </w:pPr>
      <w:r w:rsidRPr="00CC3BAE">
        <w:rPr>
          <w:lang w:val="nl-BE"/>
        </w:rPr>
        <w:t>11.</w:t>
      </w:r>
      <w:r w:rsidRPr="00CC3BAE">
        <w:rPr>
          <w:lang w:val="nl-BE"/>
        </w:rPr>
        <w:tab/>
        <w:t xml:space="preserve">van Kempen JA, Melis RJ, Perry M, et al. </w:t>
      </w:r>
      <w:r w:rsidRPr="001A518B">
        <w:t>Diagnosis of frailty after a Comprehensive Geriatric Assessment: differences between family physicians and geriatricians. J Am Board Fam Med 2015 Mar-Apr;28(2):240-8.</w:t>
      </w:r>
    </w:p>
    <w:p w14:paraId="0D44DE96" w14:textId="77777777" w:rsidR="007B7652" w:rsidRPr="00691C4F" w:rsidRDefault="007B7652" w:rsidP="001A518B">
      <w:pPr>
        <w:pStyle w:val="EndNoteBibliography"/>
        <w:spacing w:after="0"/>
      </w:pPr>
      <w:r w:rsidRPr="001A518B">
        <w:t>12.</w:t>
      </w:r>
      <w:r w:rsidRPr="001A518B">
        <w:tab/>
        <w:t xml:space="preserve">Cesari M, Nobili A, Vitale G. Frailty and sarcopenia: From theory to clinical implementation and public health relevance. </w:t>
      </w:r>
      <w:r w:rsidRPr="00691C4F">
        <w:t>Eur J Intern Med 2016 Nov;35:1-9.</w:t>
      </w:r>
    </w:p>
    <w:p w14:paraId="261BE20E" w14:textId="77777777" w:rsidR="007B7652" w:rsidRPr="001A518B" w:rsidRDefault="007B7652" w:rsidP="001A518B">
      <w:pPr>
        <w:pStyle w:val="EndNoteBibliography"/>
        <w:spacing w:after="0"/>
      </w:pPr>
      <w:r w:rsidRPr="00691C4F">
        <w:t>13.</w:t>
      </w:r>
      <w:r w:rsidRPr="00691C4F">
        <w:tab/>
        <w:t xml:space="preserve">Cruz-Jentoft AJ, Baeyens JP, Bauer JM, et al. </w:t>
      </w:r>
      <w:r w:rsidRPr="001A518B">
        <w:t>Sarcopenia: European consensus on definition and diagnosis: Report of the European Working Group on Sarcopenia in Older People. Age Ageing 2010 Jul;39(4):412-23.</w:t>
      </w:r>
    </w:p>
    <w:p w14:paraId="16BC0A75" w14:textId="77777777" w:rsidR="007B7652" w:rsidRPr="001A518B" w:rsidRDefault="007B7652" w:rsidP="001A518B">
      <w:pPr>
        <w:pStyle w:val="EndNoteBibliography"/>
        <w:spacing w:after="0"/>
      </w:pPr>
      <w:r w:rsidRPr="001A518B">
        <w:t>14.</w:t>
      </w:r>
      <w:r w:rsidRPr="001A518B">
        <w:tab/>
        <w:t>Rockwood K, Song X, MacKnight C, et al. A global clinical measure of fitness and frailty in elderly people. CMAJ 2005 Aug 30;173(5):489-95.</w:t>
      </w:r>
    </w:p>
    <w:p w14:paraId="46E9D60A" w14:textId="77777777" w:rsidR="007B7652" w:rsidRPr="001A518B" w:rsidRDefault="007B7652" w:rsidP="001A518B">
      <w:pPr>
        <w:pStyle w:val="EndNoteBibliography"/>
        <w:spacing w:after="0"/>
      </w:pPr>
      <w:r w:rsidRPr="001A518B">
        <w:t>15.</w:t>
      </w:r>
      <w:r w:rsidRPr="001A518B">
        <w:tab/>
        <w:t>Fried LP, Tangen CM, Walston J, et al. Frailty in older adults: evidence for a phenotype. J Gerontol A Biol Sci Med Sci 2001 Mar;56(3):M146-56.</w:t>
      </w:r>
    </w:p>
    <w:p w14:paraId="13C50591" w14:textId="77777777" w:rsidR="007B7652" w:rsidRPr="001A518B" w:rsidRDefault="007B7652" w:rsidP="001A518B">
      <w:pPr>
        <w:pStyle w:val="EndNoteBibliography"/>
        <w:spacing w:after="0"/>
      </w:pPr>
      <w:r w:rsidRPr="001A518B">
        <w:t>16.</w:t>
      </w:r>
      <w:r w:rsidRPr="001A518B">
        <w:tab/>
        <w:t>Rockwood K, Mitnitski A. How Might Deficit Accumulation Give Rise to Frailty? J Frailty Aging 2012;1(1):8-12.</w:t>
      </w:r>
    </w:p>
    <w:p w14:paraId="08734D8B" w14:textId="77777777" w:rsidR="007B7652" w:rsidRPr="001A518B" w:rsidRDefault="007B7652" w:rsidP="001A518B">
      <w:pPr>
        <w:pStyle w:val="EndNoteBibliography"/>
        <w:spacing w:after="0"/>
      </w:pPr>
      <w:r w:rsidRPr="001A518B">
        <w:t>17.</w:t>
      </w:r>
      <w:r w:rsidRPr="001A518B">
        <w:tab/>
        <w:t>Rolfson DB, Majumdar SR, Tsuyuki RT, et al. Validity and reliability of the Edmonton Frail Scale. Age Ageing 2006 Sep;35(5):526-9.</w:t>
      </w:r>
    </w:p>
    <w:p w14:paraId="4A727402" w14:textId="77777777" w:rsidR="007B7652" w:rsidRPr="001A518B" w:rsidRDefault="007B7652" w:rsidP="001A518B">
      <w:pPr>
        <w:pStyle w:val="EndNoteBibliography"/>
        <w:spacing w:after="0"/>
      </w:pPr>
      <w:r w:rsidRPr="001A518B">
        <w:lastRenderedPageBreak/>
        <w:t>18.</w:t>
      </w:r>
      <w:r w:rsidRPr="001A518B">
        <w:tab/>
        <w:t>Morley JE, Malmstrom TK, Miller DK. A simple frailty questionnaire (FRAIL) predicts outcomes in middle aged African Americans. J Nutr Health Aging 2012 Jul;16(7):601-8.</w:t>
      </w:r>
    </w:p>
    <w:p w14:paraId="23D95881" w14:textId="77777777" w:rsidR="007B7652" w:rsidRPr="001A518B" w:rsidRDefault="007B7652" w:rsidP="001A518B">
      <w:pPr>
        <w:pStyle w:val="EndNoteBibliography"/>
        <w:spacing w:after="0"/>
      </w:pPr>
      <w:r w:rsidRPr="001A518B">
        <w:t>19.</w:t>
      </w:r>
      <w:r w:rsidRPr="001A518B">
        <w:tab/>
        <w:t>Demougeot L, van Kan GA, Vellas B, de Souto Barreto P. Frailty Detection with the Gerontopole Frailty Screening Tool (GFST). J Frailty Aging 2013;2(3):150-2.</w:t>
      </w:r>
    </w:p>
    <w:p w14:paraId="6425164B" w14:textId="77777777" w:rsidR="007B7652" w:rsidRPr="00691C4F" w:rsidRDefault="007B7652" w:rsidP="001A518B">
      <w:pPr>
        <w:pStyle w:val="EndNoteBibliography"/>
        <w:spacing w:after="0"/>
      </w:pPr>
      <w:r w:rsidRPr="001A518B">
        <w:t>20.</w:t>
      </w:r>
      <w:r w:rsidRPr="001A518B">
        <w:tab/>
        <w:t xml:space="preserve">Romero-Ortuno R, Walsh CD, Lawlor BA, Kenny RA. A frailty instrument for primary care: findings from the Survey of Health, Ageing and Retirement in Europe (SHARE). </w:t>
      </w:r>
      <w:r w:rsidRPr="00691C4F">
        <w:t>BMC Geriatr 2010 Aug 24;10:57.</w:t>
      </w:r>
    </w:p>
    <w:p w14:paraId="7DD51562" w14:textId="77777777" w:rsidR="007B7652" w:rsidRPr="00691C4F" w:rsidRDefault="007B7652" w:rsidP="001A518B">
      <w:pPr>
        <w:pStyle w:val="EndNoteBibliography"/>
        <w:spacing w:after="0"/>
        <w:rPr>
          <w:lang w:val="fr-BE"/>
        </w:rPr>
      </w:pPr>
      <w:r w:rsidRPr="00691C4F">
        <w:t>21.</w:t>
      </w:r>
      <w:r w:rsidRPr="00691C4F">
        <w:tab/>
        <w:t xml:space="preserve">Schoevaerdts D, Biettlot S, Malhomme B, et al. </w:t>
      </w:r>
      <w:r w:rsidRPr="00CC3BAE">
        <w:rPr>
          <w:lang w:val="fr-BE"/>
        </w:rPr>
        <w:t xml:space="preserve">Identification précoce du profil gériatrique en salle d'urgences: Présentation de la grille SEGA. </w:t>
      </w:r>
      <w:r w:rsidRPr="00691C4F">
        <w:rPr>
          <w:lang w:val="fr-BE"/>
        </w:rPr>
        <w:t>Revue de Geriatrie 2004;29(3):169-78.</w:t>
      </w:r>
    </w:p>
    <w:p w14:paraId="72A23E25" w14:textId="77777777" w:rsidR="007B7652" w:rsidRPr="00691C4F" w:rsidRDefault="007B7652" w:rsidP="001A518B">
      <w:pPr>
        <w:pStyle w:val="EndNoteBibliography"/>
        <w:spacing w:after="0"/>
      </w:pPr>
      <w:r w:rsidRPr="00691C4F">
        <w:rPr>
          <w:lang w:val="fr-BE"/>
        </w:rPr>
        <w:t>22.</w:t>
      </w:r>
      <w:r w:rsidRPr="00691C4F">
        <w:rPr>
          <w:lang w:val="fr-BE"/>
        </w:rPr>
        <w:tab/>
        <w:t xml:space="preserve">Baitar A, Van Fraeyenhove F, Vandebroek A, et al. </w:t>
      </w:r>
      <w:r w:rsidRPr="001A518B">
        <w:t xml:space="preserve">Evaluation of the Groningen Frailty Indicator and the G8 questionnaire as screening tools for frailty in older patients with cancer. </w:t>
      </w:r>
      <w:r w:rsidRPr="00691C4F">
        <w:t>J Geriatr Oncol 2013 Jan;4(1):32-8.</w:t>
      </w:r>
    </w:p>
    <w:p w14:paraId="553700DC" w14:textId="77777777" w:rsidR="007B7652" w:rsidRPr="00CC3BAE" w:rsidRDefault="007B7652" w:rsidP="001A518B">
      <w:pPr>
        <w:pStyle w:val="EndNoteBibliography"/>
        <w:spacing w:after="0"/>
        <w:rPr>
          <w:lang w:val="nl-BE"/>
        </w:rPr>
      </w:pPr>
      <w:r w:rsidRPr="00691C4F">
        <w:t>23.</w:t>
      </w:r>
      <w:r w:rsidRPr="00691C4F">
        <w:tab/>
        <w:t xml:space="preserve">Strawbridge WJ, Shema SJ, Balfour JL, et al. </w:t>
      </w:r>
      <w:r w:rsidRPr="001A518B">
        <w:t xml:space="preserve">Antecedents of frailty over three decades in an older cohort. </w:t>
      </w:r>
      <w:r w:rsidRPr="00CC3BAE">
        <w:rPr>
          <w:lang w:val="nl-BE"/>
        </w:rPr>
        <w:t>J Gerontol B Psychol Sci Soc Sci 1998 Jan;53(1):S9-16.</w:t>
      </w:r>
    </w:p>
    <w:p w14:paraId="3A28D5A8" w14:textId="77777777" w:rsidR="007B7652" w:rsidRPr="001A518B" w:rsidRDefault="007B7652" w:rsidP="001A518B">
      <w:pPr>
        <w:pStyle w:val="EndNoteBibliography"/>
        <w:spacing w:after="0"/>
      </w:pPr>
      <w:r w:rsidRPr="00CC3BAE">
        <w:rPr>
          <w:lang w:val="nl-BE"/>
        </w:rPr>
        <w:t>24.</w:t>
      </w:r>
      <w:r w:rsidRPr="00CC3BAE">
        <w:rPr>
          <w:lang w:val="nl-BE"/>
        </w:rPr>
        <w:tab/>
        <w:t xml:space="preserve">Gobbens RJ, van Assen MA, Luijkx KG, et al. </w:t>
      </w:r>
      <w:r w:rsidRPr="001A518B">
        <w:t>The Tilburg Frailty Indicator: psychometric properties. J Am Med Dir Assoc 2010 Jun;11(5):344-55.</w:t>
      </w:r>
    </w:p>
    <w:p w14:paraId="4B9970C9" w14:textId="77777777" w:rsidR="007B7652" w:rsidRPr="001A518B" w:rsidRDefault="007B7652" w:rsidP="001A518B">
      <w:pPr>
        <w:pStyle w:val="EndNoteBibliography"/>
        <w:spacing w:after="0"/>
      </w:pPr>
      <w:r w:rsidRPr="001A518B">
        <w:t>25.</w:t>
      </w:r>
      <w:r w:rsidRPr="001A518B">
        <w:tab/>
        <w:t>Laksmi PW. Challenges in Screening and Diagnosing Frailty Syndrome: Which Tool to be used? Acta Med Indones 2015 Jul;47(3):181-2.</w:t>
      </w:r>
    </w:p>
    <w:p w14:paraId="5888B84B" w14:textId="77777777" w:rsidR="007B7652" w:rsidRPr="001A518B" w:rsidRDefault="007B7652" w:rsidP="001A518B">
      <w:pPr>
        <w:pStyle w:val="EndNoteBibliography"/>
        <w:spacing w:after="0"/>
      </w:pPr>
      <w:r w:rsidRPr="001A518B">
        <w:t>26.</w:t>
      </w:r>
      <w:r w:rsidRPr="001A518B">
        <w:tab/>
        <w:t>Theou O, Cann L, Blodgett J, et al. Modifications to the frailty phenotype criteria: Systematic review of the current literature and investigation of 262 frailty phenotypes in the Survey of Health, Ageing, and Retirement in Europe. Ageing Res Rev 2015 May;21:78-94.</w:t>
      </w:r>
    </w:p>
    <w:p w14:paraId="1012F6F5" w14:textId="77777777" w:rsidR="007B7652" w:rsidRPr="001A518B" w:rsidRDefault="007B7652" w:rsidP="001A518B">
      <w:pPr>
        <w:pStyle w:val="EndNoteBibliography"/>
        <w:spacing w:after="0"/>
      </w:pPr>
      <w:r w:rsidRPr="001A518B">
        <w:t>27.</w:t>
      </w:r>
      <w:r w:rsidRPr="001A518B">
        <w:tab/>
        <w:t>Cesari M, Gambassi G, van Kan GA, Vellas B. The frailty phenotype and the frailty index: different instruments for different purposes. Age Ageing 2014 Jan;43(1):10-2.</w:t>
      </w:r>
    </w:p>
    <w:p w14:paraId="4298C316" w14:textId="77777777" w:rsidR="007B7652" w:rsidRPr="001A518B" w:rsidRDefault="007B7652" w:rsidP="001A518B">
      <w:pPr>
        <w:pStyle w:val="EndNoteBibliography"/>
        <w:spacing w:after="0"/>
      </w:pPr>
      <w:r w:rsidRPr="001A518B">
        <w:t>28.</w:t>
      </w:r>
      <w:r w:rsidRPr="001A518B">
        <w:tab/>
        <w:t>Mello Ade C, Engstrom EM, Alves LC. Health-related and socio-demographic factors associated with frailty in the elderly: a systematic literature review. Cad Saude Publica 2014 Jun;30(6):1143-68.</w:t>
      </w:r>
    </w:p>
    <w:p w14:paraId="7980F1AA" w14:textId="77777777" w:rsidR="007B7652" w:rsidRPr="00CC3BAE" w:rsidRDefault="007B7652" w:rsidP="001A518B">
      <w:pPr>
        <w:pStyle w:val="EndNoteBibliography"/>
        <w:spacing w:after="0"/>
        <w:rPr>
          <w:lang w:val="it-IT"/>
        </w:rPr>
      </w:pPr>
      <w:r w:rsidRPr="001A518B">
        <w:t>29.</w:t>
      </w:r>
      <w:r w:rsidRPr="001A518B">
        <w:tab/>
        <w:t xml:space="preserve">Dartigues JF, Amieva H. Cognitive frailty: rational and definition from an (I.a.N.a./i.a.g.g.) international consensus group. </w:t>
      </w:r>
      <w:r w:rsidRPr="00CC3BAE">
        <w:rPr>
          <w:lang w:val="it-IT"/>
        </w:rPr>
        <w:t>J Nutr Health Aging 2014 Jan;18(1):95.</w:t>
      </w:r>
    </w:p>
    <w:p w14:paraId="62C3FC52" w14:textId="77777777" w:rsidR="007B7652" w:rsidRPr="001A518B" w:rsidRDefault="007B7652" w:rsidP="001A518B">
      <w:pPr>
        <w:pStyle w:val="EndNoteBibliography"/>
        <w:spacing w:after="0"/>
      </w:pPr>
      <w:r w:rsidRPr="00CC3BAE">
        <w:rPr>
          <w:lang w:val="it-IT"/>
        </w:rPr>
        <w:t>30.</w:t>
      </w:r>
      <w:r w:rsidRPr="00CC3BAE">
        <w:rPr>
          <w:lang w:val="it-IT"/>
        </w:rPr>
        <w:tab/>
        <w:t xml:space="preserve">Kelaiditi E, Cesari M, Canevelli M, et al. </w:t>
      </w:r>
      <w:r w:rsidRPr="001A518B">
        <w:t>Cognitive frailty: rational and definition from an (I.A.N.A./I.A.G.G.) international consensus group. J Nutr Health Aging 2013 Sep;17(9):726-34.</w:t>
      </w:r>
    </w:p>
    <w:p w14:paraId="13B3AF7B" w14:textId="77777777" w:rsidR="007B7652" w:rsidRPr="001A518B" w:rsidRDefault="007B7652" w:rsidP="001A518B">
      <w:pPr>
        <w:pStyle w:val="EndNoteBibliography"/>
        <w:spacing w:after="0"/>
      </w:pPr>
      <w:r w:rsidRPr="001A518B">
        <w:t>31.</w:t>
      </w:r>
      <w:r w:rsidRPr="001A518B">
        <w:tab/>
        <w:t>Malmstrom TK, Morley JE. Frailty and cognition: linking two common syndromes in older persons. J Nutr Health Aging 2013 Sep;17(9):723-5.</w:t>
      </w:r>
    </w:p>
    <w:p w14:paraId="6F5FC56B" w14:textId="77777777" w:rsidR="007B7652" w:rsidRPr="001A518B" w:rsidRDefault="007B7652" w:rsidP="001A518B">
      <w:pPr>
        <w:pStyle w:val="EndNoteBibliography"/>
        <w:spacing w:after="0"/>
      </w:pPr>
      <w:r w:rsidRPr="001A518B">
        <w:t>32.</w:t>
      </w:r>
      <w:r w:rsidRPr="001A518B">
        <w:tab/>
        <w:t>Shimada H, Makizako H, Doi T, et al. Combined prevalence of frailty and mild cognitive impairment in a population of elderly Japanese people. J Am Med Dir Assoc 2013 Jul;14(7):518-24.</w:t>
      </w:r>
    </w:p>
    <w:p w14:paraId="48257B81" w14:textId="77777777" w:rsidR="007B7652" w:rsidRPr="001A518B" w:rsidRDefault="007B7652" w:rsidP="001A518B">
      <w:pPr>
        <w:pStyle w:val="EndNoteBibliography"/>
        <w:spacing w:after="0"/>
      </w:pPr>
      <w:r w:rsidRPr="001A518B">
        <w:t>33.</w:t>
      </w:r>
      <w:r w:rsidRPr="001A518B">
        <w:tab/>
        <w:t>Malmstrom TK, Morley JE. The frail brain. J Am Med Dir Assoc 2013 Jul;14(7):453-5.</w:t>
      </w:r>
    </w:p>
    <w:p w14:paraId="60FFD16A" w14:textId="77777777" w:rsidR="007B7652" w:rsidRPr="001A518B" w:rsidRDefault="007B7652" w:rsidP="001A518B">
      <w:pPr>
        <w:pStyle w:val="EndNoteBibliography"/>
        <w:spacing w:after="0"/>
      </w:pPr>
      <w:r w:rsidRPr="00691C4F">
        <w:rPr>
          <w:lang w:val="fr-BE"/>
        </w:rPr>
        <w:t>34.</w:t>
      </w:r>
      <w:r w:rsidRPr="00691C4F">
        <w:rPr>
          <w:lang w:val="fr-BE"/>
        </w:rPr>
        <w:tab/>
        <w:t xml:space="preserve">Gray WK, Richardson J, McGuire J, et al. </w:t>
      </w:r>
      <w:r w:rsidRPr="001A518B">
        <w:t>Frailty Screening in Low- and Middle-Income Countries: A Systematic Review. J Am Geriatr Soc 2016 Apr;64(4):806-23.</w:t>
      </w:r>
    </w:p>
    <w:p w14:paraId="5111A945" w14:textId="77777777" w:rsidR="007B7652" w:rsidRPr="001A518B" w:rsidRDefault="007B7652" w:rsidP="001A518B">
      <w:pPr>
        <w:pStyle w:val="EndNoteBibliography"/>
        <w:spacing w:after="0"/>
      </w:pPr>
      <w:r w:rsidRPr="001A518B">
        <w:t>35.</w:t>
      </w:r>
      <w:r w:rsidRPr="001A518B">
        <w:tab/>
        <w:t>Nguyen TN, Cumming RG, Hilmer SN. A Review of Frailty in Developing Countries. J Nutr Health Aging 2015 Nov;19(9):941-6.</w:t>
      </w:r>
    </w:p>
    <w:p w14:paraId="2D97AD22" w14:textId="77777777" w:rsidR="007B7652" w:rsidRPr="001A518B" w:rsidRDefault="007B7652" w:rsidP="001A518B">
      <w:pPr>
        <w:pStyle w:val="EndNoteBibliography"/>
      </w:pPr>
      <w:r w:rsidRPr="001A518B">
        <w:t>36.</w:t>
      </w:r>
      <w:r w:rsidRPr="001A518B">
        <w:tab/>
        <w:t>Muscedere J, Andrew MK, Bagshaw SM, et al. Screening for Frailty in Canada's Health Care System: A Time for Action. Can J Aging 2016 Sep;35(3):281-97.</w:t>
      </w:r>
    </w:p>
    <w:p w14:paraId="2ED9CEDD" w14:textId="77777777" w:rsidR="007B7652" w:rsidRDefault="007B7652" w:rsidP="00B70154">
      <w:pPr>
        <w:pStyle w:val="EndNoteBibliography"/>
        <w:spacing w:after="0"/>
        <w:rPr>
          <w:lang w:val="en-GB"/>
        </w:rPr>
      </w:pPr>
    </w:p>
    <w:p w14:paraId="74E1C222" w14:textId="77777777" w:rsidR="007B7652" w:rsidRPr="00B123F7" w:rsidRDefault="007B7652" w:rsidP="00B70154">
      <w:pPr>
        <w:pStyle w:val="EndNoteBibliography"/>
        <w:spacing w:after="0"/>
        <w:rPr>
          <w:lang w:val="en-GB"/>
        </w:rPr>
      </w:pPr>
    </w:p>
    <w:p w14:paraId="13E187FE" w14:textId="77777777" w:rsidR="00E34475" w:rsidRPr="00C73B8E" w:rsidRDefault="006A2879">
      <w:pPr>
        <w:rPr>
          <w:lang w:val="en-GB"/>
        </w:rPr>
      </w:pPr>
    </w:p>
    <w:sectPr w:rsidR="00E34475" w:rsidRPr="00C73B8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0E5FA" w14:textId="77777777" w:rsidR="00926268" w:rsidRDefault="00926268">
      <w:pPr>
        <w:spacing w:after="0" w:line="240" w:lineRule="auto"/>
      </w:pPr>
      <w:r>
        <w:separator/>
      </w:r>
    </w:p>
  </w:endnote>
  <w:endnote w:type="continuationSeparator" w:id="0">
    <w:p w14:paraId="17CB031B" w14:textId="77777777" w:rsidR="00926268" w:rsidRDefault="00926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0483480"/>
      <w:docPartObj>
        <w:docPartGallery w:val="Page Numbers (Bottom of Page)"/>
        <w:docPartUnique/>
      </w:docPartObj>
    </w:sdtPr>
    <w:sdtEndPr/>
    <w:sdtContent>
      <w:p w14:paraId="2245156A" w14:textId="77777777" w:rsidR="00CC3BAE" w:rsidRDefault="007B7652">
        <w:pPr>
          <w:pStyle w:val="Footer"/>
          <w:jc w:val="right"/>
        </w:pPr>
        <w:r>
          <w:fldChar w:fldCharType="begin"/>
        </w:r>
        <w:r>
          <w:instrText>PAGE   \* MERGEFORMAT</w:instrText>
        </w:r>
        <w:r>
          <w:fldChar w:fldCharType="separate"/>
        </w:r>
        <w:r w:rsidR="006A2879" w:rsidRPr="006A2879">
          <w:rPr>
            <w:noProof/>
            <w:lang w:val="fr-FR"/>
          </w:rPr>
          <w:t>1</w:t>
        </w:r>
        <w:r>
          <w:fldChar w:fldCharType="end"/>
        </w:r>
      </w:p>
    </w:sdtContent>
  </w:sdt>
  <w:p w14:paraId="4F533808" w14:textId="77777777" w:rsidR="00CC3BAE" w:rsidRDefault="006A28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46BDC" w14:textId="77777777" w:rsidR="00926268" w:rsidRDefault="00926268">
      <w:pPr>
        <w:spacing w:after="0" w:line="240" w:lineRule="auto"/>
      </w:pPr>
      <w:r>
        <w:separator/>
      </w:r>
    </w:p>
  </w:footnote>
  <w:footnote w:type="continuationSeparator" w:id="0">
    <w:p w14:paraId="6C00E0DA" w14:textId="77777777" w:rsidR="00926268" w:rsidRDefault="009262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137CE" w14:textId="77777777" w:rsidR="00CC3BAE" w:rsidRDefault="006A28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53855"/>
    <w:multiLevelType w:val="hybridMultilevel"/>
    <w:tmpl w:val="DB9CA628"/>
    <w:lvl w:ilvl="0" w:tplc="1520E88C">
      <w:start w:val="7"/>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22A717DB"/>
    <w:multiLevelType w:val="hybridMultilevel"/>
    <w:tmpl w:val="0BE81006"/>
    <w:lvl w:ilvl="0" w:tplc="AB7639CE">
      <w:start w:val="7"/>
      <w:numFmt w:val="bullet"/>
      <w:lvlText w:val=""/>
      <w:lvlJc w:val="left"/>
      <w:pPr>
        <w:ind w:left="1080" w:hanging="360"/>
      </w:pPr>
      <w:rPr>
        <w:rFonts w:ascii="Symbol" w:eastAsiaTheme="minorHAnsi" w:hAnsi="Symbol"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nsid w:val="253B6FF8"/>
    <w:multiLevelType w:val="hybridMultilevel"/>
    <w:tmpl w:val="40D8272C"/>
    <w:lvl w:ilvl="0" w:tplc="0182404E">
      <w:start w:val="7"/>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38014ABF"/>
    <w:multiLevelType w:val="multilevel"/>
    <w:tmpl w:val="1004DA42"/>
    <w:lvl w:ilvl="0">
      <w:start w:val="1"/>
      <w:numFmt w:val="decimal"/>
      <w:pStyle w:val="Style1"/>
      <w:lvlText w:val="%1."/>
      <w:lvlJc w:val="left"/>
      <w:pPr>
        <w:tabs>
          <w:tab w:val="num" w:pos="360"/>
        </w:tabs>
        <w:ind w:left="360" w:hanging="360"/>
      </w:pPr>
    </w:lvl>
    <w:lvl w:ilvl="1">
      <w:start w:val="1"/>
      <w:numFmt w:val="decimal"/>
      <w:pStyle w:val="Style6"/>
      <w:lvlText w:val="%1.%2."/>
      <w:lvlJc w:val="left"/>
      <w:pPr>
        <w:tabs>
          <w:tab w:val="num" w:pos="1080"/>
        </w:tabs>
        <w:ind w:left="792" w:hanging="432"/>
      </w:pPr>
    </w:lvl>
    <w:lvl w:ilvl="2">
      <w:start w:val="1"/>
      <w:numFmt w:val="decimal"/>
      <w:pStyle w:val="Style7"/>
      <w:lvlText w:val="%1.%2.%3."/>
      <w:lvlJc w:val="left"/>
      <w:pPr>
        <w:tabs>
          <w:tab w:val="num" w:pos="1440"/>
        </w:tabs>
        <w:ind w:left="1224" w:hanging="504"/>
      </w:pPr>
    </w:lvl>
    <w:lvl w:ilvl="3">
      <w:start w:val="1"/>
      <w:numFmt w:val="decimal"/>
      <w:pStyle w:val="Style9"/>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4DB434C9"/>
    <w:multiLevelType w:val="hybridMultilevel"/>
    <w:tmpl w:val="2CAE95D8"/>
    <w:lvl w:ilvl="0" w:tplc="7DF804EC">
      <w:start w:val="7"/>
      <w:numFmt w:val="bullet"/>
      <w:lvlText w:val=""/>
      <w:lvlJc w:val="left"/>
      <w:pPr>
        <w:ind w:left="1440" w:hanging="360"/>
      </w:pPr>
      <w:rPr>
        <w:rFonts w:ascii="Symbol" w:eastAsiaTheme="minorHAnsi" w:hAnsi="Symbol" w:cstheme="minorBid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
    <w:nsid w:val="5BAE5F5C"/>
    <w:multiLevelType w:val="hybridMultilevel"/>
    <w:tmpl w:val="D4B4BDD6"/>
    <w:lvl w:ilvl="0" w:tplc="2D2662C6">
      <w:start w:val="7"/>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5DEF5CFB"/>
    <w:multiLevelType w:val="multilevel"/>
    <w:tmpl w:val="8AA0838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nsid w:val="600609D3"/>
    <w:multiLevelType w:val="singleLevel"/>
    <w:tmpl w:val="945AC238"/>
    <w:lvl w:ilvl="0">
      <w:start w:val="1"/>
      <w:numFmt w:val="bullet"/>
      <w:pStyle w:val="Style10"/>
      <w:lvlText w:val=""/>
      <w:lvlJc w:val="left"/>
      <w:pPr>
        <w:tabs>
          <w:tab w:val="num" w:pos="360"/>
        </w:tabs>
        <w:ind w:left="360" w:hanging="360"/>
      </w:pPr>
      <w:rPr>
        <w:rFonts w:ascii="Symbol" w:hAnsi="Symbol" w:hint="default"/>
      </w:rPr>
    </w:lvl>
  </w:abstractNum>
  <w:num w:numId="1">
    <w:abstractNumId w:val="3"/>
  </w:num>
  <w:num w:numId="2">
    <w:abstractNumId w:val="7"/>
  </w:num>
  <w:num w:numId="3">
    <w:abstractNumId w:val="3"/>
  </w:num>
  <w:num w:numId="4">
    <w:abstractNumId w:val="3"/>
  </w:num>
  <w:num w:numId="5">
    <w:abstractNumId w:val="3"/>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2"/>
  </w:num>
  <w:num w:numId="16">
    <w:abstractNumId w:val="1"/>
  </w:num>
  <w:num w:numId="17">
    <w:abstractNumId w:val="4"/>
  </w:num>
  <w:num w:numId="18">
    <w:abstractNumId w:val="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B7652"/>
    <w:rsid w:val="002746CE"/>
    <w:rsid w:val="00375188"/>
    <w:rsid w:val="00544EA5"/>
    <w:rsid w:val="005E5D27"/>
    <w:rsid w:val="00633247"/>
    <w:rsid w:val="00691C4F"/>
    <w:rsid w:val="006978CC"/>
    <w:rsid w:val="006A2879"/>
    <w:rsid w:val="006C08EC"/>
    <w:rsid w:val="006D014C"/>
    <w:rsid w:val="007B7652"/>
    <w:rsid w:val="00866F0D"/>
    <w:rsid w:val="008D2C50"/>
    <w:rsid w:val="00926268"/>
    <w:rsid w:val="00983BE9"/>
    <w:rsid w:val="00AF28EF"/>
    <w:rsid w:val="00C73B8E"/>
    <w:rsid w:val="00D8314F"/>
    <w:rsid w:val="00E465EF"/>
    <w:rsid w:val="00E6616C"/>
    <w:rsid w:val="00F101E9"/>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F5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652"/>
    <w:pPr>
      <w:spacing w:after="160" w:line="259" w:lineRule="auto"/>
    </w:pPr>
    <w:rPr>
      <w:rFonts w:eastAsiaTheme="minorHAnsi"/>
    </w:rPr>
  </w:style>
  <w:style w:type="paragraph" w:styleId="Heading1">
    <w:name w:val="heading 1"/>
    <w:basedOn w:val="Normal"/>
    <w:next w:val="Normal"/>
    <w:link w:val="Heading1Char"/>
    <w:qFormat/>
    <w:rsid w:val="007B7652"/>
    <w:pPr>
      <w:keepNext/>
      <w:pageBreakBefore/>
      <w:numPr>
        <w:numId w:val="6"/>
      </w:numPr>
      <w:spacing w:before="240" w:after="60"/>
      <w:outlineLvl w:val="0"/>
    </w:pPr>
    <w:rPr>
      <w:rFonts w:cs="Arial"/>
      <w:b/>
      <w:bCs/>
      <w:kern w:val="32"/>
      <w:sz w:val="36"/>
      <w:szCs w:val="36"/>
      <w:u w:val="single"/>
    </w:rPr>
  </w:style>
  <w:style w:type="paragraph" w:styleId="Heading2">
    <w:name w:val="heading 2"/>
    <w:basedOn w:val="Normal"/>
    <w:next w:val="Normal"/>
    <w:link w:val="Heading2Char"/>
    <w:uiPriority w:val="9"/>
    <w:unhideWhenUsed/>
    <w:qFormat/>
    <w:rsid w:val="007B7652"/>
    <w:pPr>
      <w:keepNext/>
      <w:keepLines/>
      <w:numPr>
        <w:ilvl w:val="1"/>
        <w:numId w:val="6"/>
      </w:numPr>
      <w:spacing w:before="200"/>
      <w:outlineLvl w:val="1"/>
    </w:pPr>
    <w:rPr>
      <w:rFonts w:eastAsiaTheme="majorEastAsia" w:cstheme="majorBidi"/>
      <w:b/>
      <w:bCs/>
      <w:sz w:val="28"/>
      <w:szCs w:val="26"/>
      <w:u w:val="single"/>
    </w:rPr>
  </w:style>
  <w:style w:type="paragraph" w:styleId="Heading3">
    <w:name w:val="heading 3"/>
    <w:basedOn w:val="Normal"/>
    <w:next w:val="Normal"/>
    <w:link w:val="Heading3Char"/>
    <w:uiPriority w:val="9"/>
    <w:unhideWhenUsed/>
    <w:qFormat/>
    <w:rsid w:val="007B7652"/>
    <w:pPr>
      <w:keepNext/>
      <w:keepLines/>
      <w:numPr>
        <w:ilvl w:val="2"/>
        <w:numId w:val="6"/>
      </w:numPr>
      <w:spacing w:before="20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7B7652"/>
    <w:pPr>
      <w:keepNext/>
      <w:keepLines/>
      <w:numPr>
        <w:ilvl w:val="3"/>
        <w:numId w:val="6"/>
      </w:num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7B7652"/>
    <w:pPr>
      <w:keepNext/>
      <w:keepLines/>
      <w:numPr>
        <w:ilvl w:val="4"/>
        <w:numId w:val="6"/>
      </w:numPr>
      <w:spacing w:before="200"/>
      <w:outlineLvl w:val="4"/>
    </w:pPr>
    <w:rPr>
      <w:rFonts w:eastAsiaTheme="majorEastAsia" w:cs="Arial"/>
    </w:rPr>
  </w:style>
  <w:style w:type="paragraph" w:styleId="Heading6">
    <w:name w:val="heading 6"/>
    <w:basedOn w:val="Normal"/>
    <w:next w:val="Normal"/>
    <w:link w:val="Heading6Char"/>
    <w:uiPriority w:val="9"/>
    <w:unhideWhenUsed/>
    <w:qFormat/>
    <w:rsid w:val="007B7652"/>
    <w:pPr>
      <w:keepNext/>
      <w:keepLines/>
      <w:numPr>
        <w:ilvl w:val="5"/>
        <w:numId w:val="6"/>
      </w:numPr>
      <w:spacing w:before="200" w:line="240" w:lineRule="auto"/>
      <w:outlineLvl w:val="5"/>
    </w:pPr>
    <w:rPr>
      <w:rFonts w:eastAsiaTheme="majorEastAsia" w:cstheme="majorBidi"/>
      <w:i/>
      <w:iCs/>
      <w:u w:val="single"/>
    </w:rPr>
  </w:style>
  <w:style w:type="paragraph" w:styleId="Heading7">
    <w:name w:val="heading 7"/>
    <w:basedOn w:val="Normal"/>
    <w:next w:val="Normal"/>
    <w:link w:val="Heading7Char"/>
    <w:uiPriority w:val="9"/>
    <w:unhideWhenUsed/>
    <w:qFormat/>
    <w:rsid w:val="007B7652"/>
    <w:pPr>
      <w:keepNext/>
      <w:keepLines/>
      <w:numPr>
        <w:ilvl w:val="6"/>
        <w:numId w:val="6"/>
      </w:numPr>
      <w:spacing w:before="200" w:line="240" w:lineRule="auto"/>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7B7652"/>
    <w:pPr>
      <w:keepNext/>
      <w:keepLines/>
      <w:numPr>
        <w:ilvl w:val="7"/>
        <w:numId w:val="6"/>
      </w:numPr>
      <w:spacing w:before="200" w:line="240" w:lineRule="auto"/>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7B7652"/>
    <w:pPr>
      <w:keepNext/>
      <w:keepLines/>
      <w:numPr>
        <w:ilvl w:val="8"/>
        <w:numId w:val="6"/>
      </w:numPr>
      <w:spacing w:before="200" w:line="240" w:lineRule="auto"/>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7B7652"/>
    <w:pPr>
      <w:spacing w:line="240" w:lineRule="auto"/>
    </w:pPr>
    <w:rPr>
      <w:sz w:val="20"/>
      <w:szCs w:val="20"/>
    </w:rPr>
  </w:style>
  <w:style w:type="character" w:customStyle="1" w:styleId="CommentTextChar">
    <w:name w:val="Comment Text Char"/>
    <w:basedOn w:val="DefaultParagraphFont"/>
    <w:link w:val="CommentText"/>
    <w:uiPriority w:val="99"/>
    <w:rsid w:val="007B7652"/>
    <w:rPr>
      <w:rFonts w:eastAsiaTheme="minorHAnsi"/>
      <w:sz w:val="20"/>
      <w:szCs w:val="20"/>
    </w:rPr>
  </w:style>
  <w:style w:type="paragraph" w:styleId="BodyText">
    <w:name w:val="Body Text"/>
    <w:basedOn w:val="Normal"/>
    <w:link w:val="BodyTextChar"/>
    <w:rsid w:val="007B7652"/>
    <w:pPr>
      <w:spacing w:line="480" w:lineRule="auto"/>
    </w:pPr>
    <w:rPr>
      <w:rFonts w:ascii="Comic Sans MS" w:hAnsi="Comic Sans MS"/>
      <w:sz w:val="24"/>
      <w:lang w:eastAsia="fr-BE"/>
    </w:rPr>
  </w:style>
  <w:style w:type="character" w:customStyle="1" w:styleId="BodyTextChar">
    <w:name w:val="Body Text Char"/>
    <w:basedOn w:val="DefaultParagraphFont"/>
    <w:link w:val="BodyText"/>
    <w:rsid w:val="007B7652"/>
    <w:rPr>
      <w:rFonts w:ascii="Comic Sans MS" w:eastAsiaTheme="minorHAnsi" w:hAnsi="Comic Sans MS"/>
      <w:sz w:val="24"/>
      <w:lang w:eastAsia="fr-BE"/>
    </w:rPr>
  </w:style>
  <w:style w:type="paragraph" w:styleId="Header">
    <w:name w:val="header"/>
    <w:basedOn w:val="Normal"/>
    <w:link w:val="HeaderChar"/>
    <w:uiPriority w:val="99"/>
    <w:unhideWhenUsed/>
    <w:rsid w:val="007B765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B7652"/>
    <w:rPr>
      <w:rFonts w:eastAsiaTheme="minorHAnsi"/>
    </w:rPr>
  </w:style>
  <w:style w:type="table" w:styleId="TableGrid">
    <w:name w:val="Table Grid"/>
    <w:basedOn w:val="TableNormal"/>
    <w:uiPriority w:val="39"/>
    <w:rsid w:val="007B765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652"/>
    <w:rPr>
      <w:color w:val="0000FF" w:themeColor="hyperlink"/>
      <w:u w:val="single"/>
    </w:rPr>
  </w:style>
  <w:style w:type="character" w:styleId="FollowedHyperlink">
    <w:name w:val="FollowedHyperlink"/>
    <w:basedOn w:val="DefaultParagraphFont"/>
    <w:rsid w:val="007B7652"/>
    <w:rPr>
      <w:color w:val="800080" w:themeColor="followedHyperlink"/>
      <w:u w:val="single"/>
    </w:rPr>
  </w:style>
  <w:style w:type="character" w:styleId="CommentReference">
    <w:name w:val="annotation reference"/>
    <w:basedOn w:val="DefaultParagraphFont"/>
    <w:uiPriority w:val="99"/>
    <w:unhideWhenUsed/>
    <w:rsid w:val="007B7652"/>
    <w:rPr>
      <w:sz w:val="16"/>
      <w:szCs w:val="16"/>
    </w:rPr>
  </w:style>
  <w:style w:type="paragraph" w:styleId="CommentSubject">
    <w:name w:val="annotation subject"/>
    <w:basedOn w:val="CommentText"/>
    <w:next w:val="CommentText"/>
    <w:link w:val="CommentSubjectChar"/>
    <w:uiPriority w:val="99"/>
    <w:unhideWhenUsed/>
    <w:rsid w:val="007B7652"/>
    <w:rPr>
      <w:b/>
      <w:bCs/>
    </w:rPr>
  </w:style>
  <w:style w:type="character" w:customStyle="1" w:styleId="CommentSubjectChar">
    <w:name w:val="Comment Subject Char"/>
    <w:basedOn w:val="CommentTextChar"/>
    <w:link w:val="CommentSubject"/>
    <w:uiPriority w:val="99"/>
    <w:rsid w:val="007B7652"/>
    <w:rPr>
      <w:rFonts w:eastAsiaTheme="minorHAnsi"/>
      <w:b/>
      <w:bCs/>
      <w:sz w:val="20"/>
      <w:szCs w:val="20"/>
    </w:rPr>
  </w:style>
  <w:style w:type="paragraph" w:styleId="ListParagraph">
    <w:name w:val="List Paragraph"/>
    <w:basedOn w:val="Normal"/>
    <w:uiPriority w:val="34"/>
    <w:qFormat/>
    <w:rsid w:val="007B7652"/>
    <w:pPr>
      <w:ind w:left="720"/>
      <w:contextualSpacing/>
    </w:pPr>
  </w:style>
  <w:style w:type="paragraph" w:styleId="Footer">
    <w:name w:val="footer"/>
    <w:basedOn w:val="Normal"/>
    <w:link w:val="FooterChar"/>
    <w:uiPriority w:val="99"/>
    <w:unhideWhenUsed/>
    <w:rsid w:val="007B76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7652"/>
    <w:rPr>
      <w:rFonts w:eastAsiaTheme="minorHAnsi"/>
    </w:rPr>
  </w:style>
  <w:style w:type="paragraph" w:styleId="BodyTextIndent">
    <w:name w:val="Body Text Indent"/>
    <w:basedOn w:val="Normal"/>
    <w:link w:val="BodyTextIndentChar"/>
    <w:rsid w:val="007B7652"/>
    <w:pPr>
      <w:spacing w:after="120"/>
      <w:ind w:left="283"/>
    </w:pPr>
  </w:style>
  <w:style w:type="character" w:customStyle="1" w:styleId="BodyTextIndentChar">
    <w:name w:val="Body Text Indent Char"/>
    <w:link w:val="BodyTextIndent"/>
    <w:rsid w:val="007B7652"/>
    <w:rPr>
      <w:rFonts w:eastAsiaTheme="minorHAnsi"/>
    </w:rPr>
  </w:style>
  <w:style w:type="paragraph" w:styleId="BodyTextIndent2">
    <w:name w:val="Body Text Indent 2"/>
    <w:basedOn w:val="Normal"/>
    <w:link w:val="BodyTextIndent2Char"/>
    <w:rsid w:val="007B7652"/>
    <w:pPr>
      <w:spacing w:line="480" w:lineRule="auto"/>
      <w:ind w:left="1134"/>
    </w:pPr>
    <w:rPr>
      <w:rFonts w:ascii="Comic Sans MS" w:hAnsi="Comic Sans MS"/>
      <w:sz w:val="24"/>
      <w:lang w:eastAsia="fr-BE"/>
    </w:rPr>
  </w:style>
  <w:style w:type="character" w:customStyle="1" w:styleId="BodyTextIndent2Char">
    <w:name w:val="Body Text Indent 2 Char"/>
    <w:basedOn w:val="DefaultParagraphFont"/>
    <w:link w:val="BodyTextIndent2"/>
    <w:rsid w:val="007B7652"/>
    <w:rPr>
      <w:rFonts w:ascii="Comic Sans MS" w:eastAsiaTheme="minorHAnsi" w:hAnsi="Comic Sans MS"/>
      <w:sz w:val="24"/>
      <w:lang w:eastAsia="fr-BE"/>
    </w:rPr>
  </w:style>
  <w:style w:type="paragraph" w:styleId="BodyTextIndent3">
    <w:name w:val="Body Text Indent 3"/>
    <w:basedOn w:val="Normal"/>
    <w:link w:val="BodyTextIndent3Char"/>
    <w:rsid w:val="007B7652"/>
    <w:pPr>
      <w:spacing w:after="120"/>
      <w:ind w:left="283"/>
    </w:pPr>
    <w:rPr>
      <w:sz w:val="16"/>
      <w:szCs w:val="16"/>
    </w:rPr>
  </w:style>
  <w:style w:type="character" w:customStyle="1" w:styleId="BodyTextIndent3Char">
    <w:name w:val="Body Text Indent 3 Char"/>
    <w:link w:val="BodyTextIndent3"/>
    <w:rsid w:val="007B7652"/>
    <w:rPr>
      <w:rFonts w:eastAsiaTheme="minorHAnsi"/>
      <w:sz w:val="16"/>
      <w:szCs w:val="16"/>
    </w:rPr>
  </w:style>
  <w:style w:type="paragraph" w:customStyle="1" w:styleId="StyleArial11ptGrasJustifiInterligne15ligne">
    <w:name w:val="Style Arial 11 pt Gras Justifié Interligne : 15 ligne"/>
    <w:basedOn w:val="Normal"/>
    <w:rsid w:val="007B7652"/>
    <w:rPr>
      <w:bCs/>
      <w:szCs w:val="20"/>
    </w:rPr>
  </w:style>
  <w:style w:type="paragraph" w:customStyle="1" w:styleId="Style1">
    <w:name w:val="Style1"/>
    <w:basedOn w:val="Normal"/>
    <w:rsid w:val="007B7652"/>
    <w:pPr>
      <w:numPr>
        <w:numId w:val="1"/>
      </w:numPr>
      <w:spacing w:line="240" w:lineRule="auto"/>
    </w:pPr>
    <w:rPr>
      <w:rFonts w:ascii="Comic Sans MS" w:hAnsi="Comic Sans MS"/>
      <w:b/>
      <w:bCs/>
      <w:sz w:val="28"/>
      <w:szCs w:val="28"/>
      <w:lang w:eastAsia="fr-BE"/>
    </w:rPr>
  </w:style>
  <w:style w:type="paragraph" w:customStyle="1" w:styleId="Style10">
    <w:name w:val="Style10"/>
    <w:basedOn w:val="Normal"/>
    <w:rsid w:val="007B7652"/>
    <w:pPr>
      <w:numPr>
        <w:numId w:val="2"/>
      </w:numPr>
    </w:pPr>
    <w:rPr>
      <w:rFonts w:ascii="Comic Sans MS" w:hAnsi="Comic Sans MS"/>
      <w:sz w:val="24"/>
      <w:lang w:eastAsia="fr-BE"/>
    </w:rPr>
  </w:style>
  <w:style w:type="paragraph" w:customStyle="1" w:styleId="Style6">
    <w:name w:val="Style6"/>
    <w:basedOn w:val="Normal"/>
    <w:rsid w:val="007B7652"/>
    <w:pPr>
      <w:numPr>
        <w:ilvl w:val="1"/>
        <w:numId w:val="1"/>
      </w:numPr>
    </w:pPr>
    <w:rPr>
      <w:rFonts w:ascii="Comic Sans MS" w:hAnsi="Comic Sans MS"/>
      <w:b/>
      <w:bCs/>
      <w:i/>
      <w:iCs/>
      <w:sz w:val="24"/>
      <w:u w:val="single"/>
      <w:lang w:eastAsia="fr-BE"/>
    </w:rPr>
  </w:style>
  <w:style w:type="paragraph" w:customStyle="1" w:styleId="Style7">
    <w:name w:val="Style7"/>
    <w:basedOn w:val="Normal"/>
    <w:rsid w:val="007B7652"/>
    <w:pPr>
      <w:numPr>
        <w:ilvl w:val="2"/>
        <w:numId w:val="1"/>
      </w:numPr>
    </w:pPr>
    <w:rPr>
      <w:rFonts w:ascii="Comic Sans MS" w:hAnsi="Comic Sans MS"/>
      <w:b/>
      <w:bCs/>
      <w:i/>
      <w:iCs/>
      <w:sz w:val="24"/>
      <w:lang w:eastAsia="fr-BE"/>
    </w:rPr>
  </w:style>
  <w:style w:type="paragraph" w:customStyle="1" w:styleId="Style9">
    <w:name w:val="Style9"/>
    <w:basedOn w:val="Normal"/>
    <w:rsid w:val="007B7652"/>
    <w:pPr>
      <w:numPr>
        <w:ilvl w:val="3"/>
        <w:numId w:val="1"/>
      </w:numPr>
    </w:pPr>
    <w:rPr>
      <w:rFonts w:ascii="Comic Sans MS" w:hAnsi="Comic Sans MS"/>
      <w:i/>
      <w:iCs/>
      <w:sz w:val="24"/>
      <w:lang w:eastAsia="fr-BE"/>
    </w:rPr>
  </w:style>
  <w:style w:type="paragraph" w:styleId="BalloonText">
    <w:name w:val="Balloon Text"/>
    <w:basedOn w:val="Normal"/>
    <w:link w:val="BalloonTextChar"/>
    <w:uiPriority w:val="99"/>
    <w:semiHidden/>
    <w:unhideWhenUsed/>
    <w:rsid w:val="007B7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652"/>
    <w:rPr>
      <w:rFonts w:ascii="Segoe UI" w:eastAsiaTheme="minorHAnsi" w:hAnsi="Segoe UI" w:cs="Segoe UI"/>
      <w:sz w:val="18"/>
      <w:szCs w:val="18"/>
    </w:rPr>
  </w:style>
  <w:style w:type="character" w:styleId="PlaceholderText">
    <w:name w:val="Placeholder Text"/>
    <w:basedOn w:val="DefaultParagraphFont"/>
    <w:uiPriority w:val="99"/>
    <w:semiHidden/>
    <w:rsid w:val="007B7652"/>
    <w:rPr>
      <w:color w:val="808080"/>
    </w:rPr>
  </w:style>
  <w:style w:type="character" w:customStyle="1" w:styleId="Titre1Car">
    <w:name w:val="Titre 1 Car"/>
    <w:rsid w:val="007B7652"/>
    <w:rPr>
      <w:rFonts w:ascii="Arial" w:hAnsi="Arial" w:cs="Arial"/>
      <w:b/>
      <w:bCs/>
      <w:kern w:val="32"/>
      <w:sz w:val="36"/>
      <w:szCs w:val="32"/>
      <w:u w:val="single"/>
      <w:lang w:val="fr-FR" w:eastAsia="fr-FR"/>
    </w:rPr>
  </w:style>
  <w:style w:type="character" w:customStyle="1" w:styleId="Heading1Char">
    <w:name w:val="Heading 1 Char"/>
    <w:basedOn w:val="DefaultParagraphFont"/>
    <w:link w:val="Heading1"/>
    <w:rsid w:val="007B7652"/>
    <w:rPr>
      <w:rFonts w:eastAsiaTheme="minorHAnsi" w:cs="Arial"/>
      <w:b/>
      <w:bCs/>
      <w:kern w:val="32"/>
      <w:sz w:val="36"/>
      <w:szCs w:val="36"/>
      <w:u w:val="single"/>
    </w:rPr>
  </w:style>
  <w:style w:type="character" w:customStyle="1" w:styleId="Heading2Char">
    <w:name w:val="Heading 2 Char"/>
    <w:basedOn w:val="DefaultParagraphFont"/>
    <w:link w:val="Heading2"/>
    <w:uiPriority w:val="9"/>
    <w:rsid w:val="007B7652"/>
    <w:rPr>
      <w:rFonts w:eastAsiaTheme="majorEastAsia" w:cstheme="majorBidi"/>
      <w:b/>
      <w:bCs/>
      <w:sz w:val="28"/>
      <w:szCs w:val="26"/>
      <w:u w:val="single"/>
    </w:rPr>
  </w:style>
  <w:style w:type="character" w:customStyle="1" w:styleId="Heading3Char">
    <w:name w:val="Heading 3 Char"/>
    <w:basedOn w:val="DefaultParagraphFont"/>
    <w:link w:val="Heading3"/>
    <w:uiPriority w:val="9"/>
    <w:rsid w:val="007B7652"/>
    <w:rPr>
      <w:rFonts w:eastAsiaTheme="majorEastAsia" w:cstheme="majorBidi"/>
      <w:b/>
      <w:bCs/>
      <w:sz w:val="28"/>
      <w:szCs w:val="28"/>
    </w:rPr>
  </w:style>
  <w:style w:type="character" w:customStyle="1" w:styleId="Heading4Char">
    <w:name w:val="Heading 4 Char"/>
    <w:basedOn w:val="DefaultParagraphFont"/>
    <w:link w:val="Heading4"/>
    <w:uiPriority w:val="9"/>
    <w:rsid w:val="007B7652"/>
    <w:rPr>
      <w:rFonts w:eastAsiaTheme="majorEastAsia" w:cstheme="majorBidi"/>
      <w:b/>
      <w:bCs/>
      <w:i/>
      <w:iCs/>
    </w:rPr>
  </w:style>
  <w:style w:type="character" w:customStyle="1" w:styleId="Heading5Char">
    <w:name w:val="Heading 5 Char"/>
    <w:basedOn w:val="DefaultParagraphFont"/>
    <w:link w:val="Heading5"/>
    <w:uiPriority w:val="9"/>
    <w:rsid w:val="007B7652"/>
    <w:rPr>
      <w:rFonts w:eastAsiaTheme="majorEastAsia" w:cs="Arial"/>
    </w:rPr>
  </w:style>
  <w:style w:type="character" w:customStyle="1" w:styleId="Heading6Char">
    <w:name w:val="Heading 6 Char"/>
    <w:basedOn w:val="DefaultParagraphFont"/>
    <w:link w:val="Heading6"/>
    <w:uiPriority w:val="9"/>
    <w:rsid w:val="007B7652"/>
    <w:rPr>
      <w:rFonts w:eastAsiaTheme="majorEastAsia" w:cstheme="majorBidi"/>
      <w:i/>
      <w:iCs/>
      <w:u w:val="single"/>
    </w:rPr>
  </w:style>
  <w:style w:type="character" w:customStyle="1" w:styleId="Heading7Char">
    <w:name w:val="Heading 7 Char"/>
    <w:basedOn w:val="DefaultParagraphFont"/>
    <w:link w:val="Heading7"/>
    <w:uiPriority w:val="9"/>
    <w:rsid w:val="007B7652"/>
    <w:rPr>
      <w:rFonts w:eastAsiaTheme="majorEastAsia" w:cstheme="majorBidi"/>
      <w:i/>
      <w:iCs/>
      <w:color w:val="404040" w:themeColor="text1" w:themeTint="BF"/>
    </w:rPr>
  </w:style>
  <w:style w:type="character" w:customStyle="1" w:styleId="Heading8Char">
    <w:name w:val="Heading 8 Char"/>
    <w:basedOn w:val="DefaultParagraphFont"/>
    <w:link w:val="Heading8"/>
    <w:uiPriority w:val="9"/>
    <w:rsid w:val="007B7652"/>
    <w:rPr>
      <w:rFonts w:eastAsiaTheme="majorEastAsia" w:cstheme="majorBidi"/>
      <w:color w:val="404040" w:themeColor="text1" w:themeTint="BF"/>
      <w:sz w:val="20"/>
      <w:szCs w:val="20"/>
    </w:rPr>
  </w:style>
  <w:style w:type="character" w:customStyle="1" w:styleId="Heading9Char">
    <w:name w:val="Heading 9 Char"/>
    <w:basedOn w:val="DefaultParagraphFont"/>
    <w:link w:val="Heading9"/>
    <w:uiPriority w:val="9"/>
    <w:rsid w:val="007B7652"/>
    <w:rPr>
      <w:rFonts w:eastAsiaTheme="majorEastAsia" w:cstheme="majorBidi"/>
      <w:i/>
      <w:iCs/>
      <w:color w:val="404040" w:themeColor="text1" w:themeTint="BF"/>
      <w:sz w:val="20"/>
      <w:szCs w:val="20"/>
    </w:rPr>
  </w:style>
  <w:style w:type="paragraph" w:styleId="TOC1">
    <w:name w:val="toc 1"/>
    <w:basedOn w:val="Normal"/>
    <w:next w:val="Normal"/>
    <w:autoRedefine/>
    <w:uiPriority w:val="39"/>
    <w:rsid w:val="007B7652"/>
    <w:pPr>
      <w:spacing w:before="120" w:after="120"/>
    </w:pPr>
    <w:rPr>
      <w:rFonts w:ascii="Times New Roman" w:hAnsi="Times New Roman"/>
      <w:b/>
      <w:bCs/>
      <w:caps/>
      <w:sz w:val="20"/>
      <w:szCs w:val="20"/>
    </w:rPr>
  </w:style>
  <w:style w:type="paragraph" w:styleId="TOC2">
    <w:name w:val="toc 2"/>
    <w:basedOn w:val="Normal"/>
    <w:next w:val="Normal"/>
    <w:autoRedefine/>
    <w:uiPriority w:val="39"/>
    <w:rsid w:val="007B7652"/>
    <w:pPr>
      <w:ind w:left="220"/>
    </w:pPr>
    <w:rPr>
      <w:rFonts w:ascii="Times New Roman" w:hAnsi="Times New Roman"/>
      <w:smallCaps/>
      <w:sz w:val="20"/>
      <w:szCs w:val="20"/>
    </w:rPr>
  </w:style>
  <w:style w:type="paragraph" w:styleId="TOC3">
    <w:name w:val="toc 3"/>
    <w:basedOn w:val="Normal"/>
    <w:next w:val="Normal"/>
    <w:autoRedefine/>
    <w:uiPriority w:val="39"/>
    <w:rsid w:val="007B7652"/>
    <w:pPr>
      <w:ind w:left="440"/>
    </w:pPr>
    <w:rPr>
      <w:rFonts w:ascii="Times New Roman" w:hAnsi="Times New Roman"/>
      <w:i/>
      <w:iCs/>
      <w:sz w:val="20"/>
      <w:szCs w:val="20"/>
    </w:rPr>
  </w:style>
  <w:style w:type="paragraph" w:styleId="TOC4">
    <w:name w:val="toc 4"/>
    <w:basedOn w:val="Normal"/>
    <w:next w:val="Normal"/>
    <w:autoRedefine/>
    <w:uiPriority w:val="39"/>
    <w:rsid w:val="007B7652"/>
    <w:pPr>
      <w:ind w:left="660"/>
    </w:pPr>
    <w:rPr>
      <w:rFonts w:ascii="Times New Roman" w:hAnsi="Times New Roman"/>
      <w:sz w:val="18"/>
      <w:szCs w:val="18"/>
    </w:rPr>
  </w:style>
  <w:style w:type="paragraph" w:styleId="TOC5">
    <w:name w:val="toc 5"/>
    <w:basedOn w:val="Normal"/>
    <w:next w:val="Normal"/>
    <w:autoRedefine/>
    <w:uiPriority w:val="39"/>
    <w:rsid w:val="007B7652"/>
    <w:pPr>
      <w:ind w:left="880"/>
    </w:pPr>
    <w:rPr>
      <w:rFonts w:ascii="Times New Roman" w:hAnsi="Times New Roman"/>
      <w:sz w:val="18"/>
      <w:szCs w:val="18"/>
    </w:rPr>
  </w:style>
  <w:style w:type="paragraph" w:styleId="TOC6">
    <w:name w:val="toc 6"/>
    <w:basedOn w:val="Normal"/>
    <w:next w:val="Normal"/>
    <w:autoRedefine/>
    <w:uiPriority w:val="39"/>
    <w:rsid w:val="007B7652"/>
    <w:pPr>
      <w:ind w:left="1100"/>
    </w:pPr>
    <w:rPr>
      <w:rFonts w:ascii="Times New Roman" w:hAnsi="Times New Roman"/>
      <w:sz w:val="18"/>
      <w:szCs w:val="18"/>
    </w:rPr>
  </w:style>
  <w:style w:type="paragraph" w:styleId="TOC7">
    <w:name w:val="toc 7"/>
    <w:basedOn w:val="Normal"/>
    <w:next w:val="Normal"/>
    <w:autoRedefine/>
    <w:uiPriority w:val="39"/>
    <w:rsid w:val="007B7652"/>
    <w:pPr>
      <w:ind w:left="1320"/>
    </w:pPr>
    <w:rPr>
      <w:rFonts w:ascii="Times New Roman" w:hAnsi="Times New Roman"/>
      <w:sz w:val="18"/>
      <w:szCs w:val="18"/>
    </w:rPr>
  </w:style>
  <w:style w:type="paragraph" w:styleId="TOC8">
    <w:name w:val="toc 8"/>
    <w:basedOn w:val="Normal"/>
    <w:next w:val="Normal"/>
    <w:autoRedefine/>
    <w:uiPriority w:val="39"/>
    <w:rsid w:val="007B7652"/>
    <w:pPr>
      <w:ind w:left="1540"/>
    </w:pPr>
    <w:rPr>
      <w:rFonts w:ascii="Times New Roman" w:hAnsi="Times New Roman"/>
      <w:sz w:val="18"/>
      <w:szCs w:val="18"/>
    </w:rPr>
  </w:style>
  <w:style w:type="paragraph" w:styleId="TOC9">
    <w:name w:val="toc 9"/>
    <w:basedOn w:val="Normal"/>
    <w:next w:val="Normal"/>
    <w:autoRedefine/>
    <w:uiPriority w:val="39"/>
    <w:rsid w:val="007B7652"/>
    <w:pPr>
      <w:ind w:left="1760"/>
    </w:pPr>
    <w:rPr>
      <w:rFonts w:ascii="Times New Roman" w:hAnsi="Times New Roman"/>
      <w:sz w:val="18"/>
      <w:szCs w:val="18"/>
    </w:rPr>
  </w:style>
  <w:style w:type="paragraph" w:customStyle="1" w:styleId="EndNoteBibliographyTitle">
    <w:name w:val="EndNote Bibliography Title"/>
    <w:basedOn w:val="Normal"/>
    <w:link w:val="EndNoteBibliographyTitleCar"/>
    <w:rsid w:val="007B7652"/>
    <w:pPr>
      <w:spacing w:after="0"/>
      <w:jc w:val="center"/>
    </w:pPr>
    <w:rPr>
      <w:rFonts w:ascii="Calibri" w:hAnsi="Calibri"/>
      <w:noProof/>
      <w:lang w:val="en-US"/>
    </w:rPr>
  </w:style>
  <w:style w:type="character" w:customStyle="1" w:styleId="EndNoteBibliographyTitleCar">
    <w:name w:val="EndNote Bibliography Title Car"/>
    <w:basedOn w:val="DefaultParagraphFont"/>
    <w:link w:val="EndNoteBibliographyTitle"/>
    <w:rsid w:val="007B7652"/>
    <w:rPr>
      <w:rFonts w:ascii="Calibri" w:eastAsiaTheme="minorHAnsi" w:hAnsi="Calibri"/>
      <w:noProof/>
      <w:lang w:val="en-US"/>
    </w:rPr>
  </w:style>
  <w:style w:type="paragraph" w:customStyle="1" w:styleId="EndNoteBibliography">
    <w:name w:val="EndNote Bibliography"/>
    <w:basedOn w:val="Normal"/>
    <w:link w:val="EndNoteBibliographyCar"/>
    <w:rsid w:val="007B7652"/>
    <w:pPr>
      <w:spacing w:line="240" w:lineRule="auto"/>
    </w:pPr>
    <w:rPr>
      <w:rFonts w:ascii="Calibri" w:hAnsi="Calibri"/>
      <w:noProof/>
      <w:lang w:val="en-US"/>
    </w:rPr>
  </w:style>
  <w:style w:type="character" w:customStyle="1" w:styleId="EndNoteBibliographyCar">
    <w:name w:val="EndNote Bibliography Car"/>
    <w:basedOn w:val="DefaultParagraphFont"/>
    <w:link w:val="EndNoteBibliography"/>
    <w:rsid w:val="007B7652"/>
    <w:rPr>
      <w:rFonts w:ascii="Calibri" w:eastAsiaTheme="minorHAnsi" w:hAnsi="Calibri"/>
      <w:noProof/>
      <w:lang w:val="en-US"/>
    </w:rPr>
  </w:style>
  <w:style w:type="character" w:customStyle="1" w:styleId="apple-converted-space">
    <w:name w:val="apple-converted-space"/>
    <w:basedOn w:val="DefaultParagraphFont"/>
    <w:rsid w:val="007B7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652"/>
    <w:pPr>
      <w:spacing w:after="160" w:line="259" w:lineRule="auto"/>
    </w:pPr>
    <w:rPr>
      <w:rFonts w:eastAsiaTheme="minorHAnsi"/>
    </w:rPr>
  </w:style>
  <w:style w:type="paragraph" w:styleId="Heading1">
    <w:name w:val="heading 1"/>
    <w:basedOn w:val="Normal"/>
    <w:next w:val="Normal"/>
    <w:link w:val="Heading1Char"/>
    <w:qFormat/>
    <w:rsid w:val="007B7652"/>
    <w:pPr>
      <w:keepNext/>
      <w:pageBreakBefore/>
      <w:numPr>
        <w:numId w:val="6"/>
      </w:numPr>
      <w:spacing w:before="240" w:after="60"/>
      <w:outlineLvl w:val="0"/>
    </w:pPr>
    <w:rPr>
      <w:rFonts w:cs="Arial"/>
      <w:b/>
      <w:bCs/>
      <w:kern w:val="32"/>
      <w:sz w:val="36"/>
      <w:szCs w:val="36"/>
      <w:u w:val="single"/>
    </w:rPr>
  </w:style>
  <w:style w:type="paragraph" w:styleId="Heading2">
    <w:name w:val="heading 2"/>
    <w:basedOn w:val="Normal"/>
    <w:next w:val="Normal"/>
    <w:link w:val="Heading2Char"/>
    <w:uiPriority w:val="9"/>
    <w:unhideWhenUsed/>
    <w:qFormat/>
    <w:rsid w:val="007B7652"/>
    <w:pPr>
      <w:keepNext/>
      <w:keepLines/>
      <w:numPr>
        <w:ilvl w:val="1"/>
        <w:numId w:val="6"/>
      </w:numPr>
      <w:spacing w:before="200"/>
      <w:outlineLvl w:val="1"/>
    </w:pPr>
    <w:rPr>
      <w:rFonts w:eastAsiaTheme="majorEastAsia" w:cstheme="majorBidi"/>
      <w:b/>
      <w:bCs/>
      <w:sz w:val="28"/>
      <w:szCs w:val="26"/>
      <w:u w:val="single"/>
    </w:rPr>
  </w:style>
  <w:style w:type="paragraph" w:styleId="Heading3">
    <w:name w:val="heading 3"/>
    <w:basedOn w:val="Normal"/>
    <w:next w:val="Normal"/>
    <w:link w:val="Heading3Char"/>
    <w:uiPriority w:val="9"/>
    <w:unhideWhenUsed/>
    <w:qFormat/>
    <w:rsid w:val="007B7652"/>
    <w:pPr>
      <w:keepNext/>
      <w:keepLines/>
      <w:numPr>
        <w:ilvl w:val="2"/>
        <w:numId w:val="6"/>
      </w:numPr>
      <w:spacing w:before="20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7B7652"/>
    <w:pPr>
      <w:keepNext/>
      <w:keepLines/>
      <w:numPr>
        <w:ilvl w:val="3"/>
        <w:numId w:val="6"/>
      </w:num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7B7652"/>
    <w:pPr>
      <w:keepNext/>
      <w:keepLines/>
      <w:numPr>
        <w:ilvl w:val="4"/>
        <w:numId w:val="6"/>
      </w:numPr>
      <w:spacing w:before="200"/>
      <w:outlineLvl w:val="4"/>
    </w:pPr>
    <w:rPr>
      <w:rFonts w:eastAsiaTheme="majorEastAsia" w:cs="Arial"/>
    </w:rPr>
  </w:style>
  <w:style w:type="paragraph" w:styleId="Heading6">
    <w:name w:val="heading 6"/>
    <w:basedOn w:val="Normal"/>
    <w:next w:val="Normal"/>
    <w:link w:val="Heading6Char"/>
    <w:uiPriority w:val="9"/>
    <w:unhideWhenUsed/>
    <w:qFormat/>
    <w:rsid w:val="007B7652"/>
    <w:pPr>
      <w:keepNext/>
      <w:keepLines/>
      <w:numPr>
        <w:ilvl w:val="5"/>
        <w:numId w:val="6"/>
      </w:numPr>
      <w:spacing w:before="200" w:line="240" w:lineRule="auto"/>
      <w:outlineLvl w:val="5"/>
    </w:pPr>
    <w:rPr>
      <w:rFonts w:eastAsiaTheme="majorEastAsia" w:cstheme="majorBidi"/>
      <w:i/>
      <w:iCs/>
      <w:u w:val="single"/>
    </w:rPr>
  </w:style>
  <w:style w:type="paragraph" w:styleId="Heading7">
    <w:name w:val="heading 7"/>
    <w:basedOn w:val="Normal"/>
    <w:next w:val="Normal"/>
    <w:link w:val="Heading7Char"/>
    <w:uiPriority w:val="9"/>
    <w:unhideWhenUsed/>
    <w:qFormat/>
    <w:rsid w:val="007B7652"/>
    <w:pPr>
      <w:keepNext/>
      <w:keepLines/>
      <w:numPr>
        <w:ilvl w:val="6"/>
        <w:numId w:val="6"/>
      </w:numPr>
      <w:spacing w:before="200" w:line="240" w:lineRule="auto"/>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7B7652"/>
    <w:pPr>
      <w:keepNext/>
      <w:keepLines/>
      <w:numPr>
        <w:ilvl w:val="7"/>
        <w:numId w:val="6"/>
      </w:numPr>
      <w:spacing w:before="200" w:line="240" w:lineRule="auto"/>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7B7652"/>
    <w:pPr>
      <w:keepNext/>
      <w:keepLines/>
      <w:numPr>
        <w:ilvl w:val="8"/>
        <w:numId w:val="6"/>
      </w:numPr>
      <w:spacing w:before="200" w:line="240" w:lineRule="auto"/>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7B7652"/>
    <w:pPr>
      <w:spacing w:line="240" w:lineRule="auto"/>
    </w:pPr>
    <w:rPr>
      <w:sz w:val="20"/>
      <w:szCs w:val="20"/>
    </w:rPr>
  </w:style>
  <w:style w:type="character" w:customStyle="1" w:styleId="CommentTextChar">
    <w:name w:val="Comment Text Char"/>
    <w:basedOn w:val="DefaultParagraphFont"/>
    <w:link w:val="CommentText"/>
    <w:uiPriority w:val="99"/>
    <w:rsid w:val="007B7652"/>
    <w:rPr>
      <w:rFonts w:eastAsiaTheme="minorHAnsi"/>
      <w:sz w:val="20"/>
      <w:szCs w:val="20"/>
    </w:rPr>
  </w:style>
  <w:style w:type="paragraph" w:styleId="BodyText">
    <w:name w:val="Body Text"/>
    <w:basedOn w:val="Normal"/>
    <w:link w:val="BodyTextChar"/>
    <w:rsid w:val="007B7652"/>
    <w:pPr>
      <w:spacing w:line="480" w:lineRule="auto"/>
    </w:pPr>
    <w:rPr>
      <w:rFonts w:ascii="Comic Sans MS" w:hAnsi="Comic Sans MS"/>
      <w:sz w:val="24"/>
      <w:lang w:eastAsia="fr-BE"/>
    </w:rPr>
  </w:style>
  <w:style w:type="character" w:customStyle="1" w:styleId="BodyTextChar">
    <w:name w:val="Body Text Char"/>
    <w:basedOn w:val="DefaultParagraphFont"/>
    <w:link w:val="BodyText"/>
    <w:rsid w:val="007B7652"/>
    <w:rPr>
      <w:rFonts w:ascii="Comic Sans MS" w:eastAsiaTheme="minorHAnsi" w:hAnsi="Comic Sans MS"/>
      <w:sz w:val="24"/>
      <w:lang w:eastAsia="fr-BE"/>
    </w:rPr>
  </w:style>
  <w:style w:type="paragraph" w:styleId="Header">
    <w:name w:val="header"/>
    <w:basedOn w:val="Normal"/>
    <w:link w:val="HeaderChar"/>
    <w:uiPriority w:val="99"/>
    <w:unhideWhenUsed/>
    <w:rsid w:val="007B765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B7652"/>
    <w:rPr>
      <w:rFonts w:eastAsiaTheme="minorHAnsi"/>
    </w:rPr>
  </w:style>
  <w:style w:type="table" w:styleId="TableGrid">
    <w:name w:val="Table Grid"/>
    <w:basedOn w:val="TableNormal"/>
    <w:uiPriority w:val="39"/>
    <w:rsid w:val="007B765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652"/>
    <w:rPr>
      <w:color w:val="0000FF" w:themeColor="hyperlink"/>
      <w:u w:val="single"/>
    </w:rPr>
  </w:style>
  <w:style w:type="character" w:styleId="FollowedHyperlink">
    <w:name w:val="FollowedHyperlink"/>
    <w:basedOn w:val="DefaultParagraphFont"/>
    <w:rsid w:val="007B7652"/>
    <w:rPr>
      <w:color w:val="800080" w:themeColor="followedHyperlink"/>
      <w:u w:val="single"/>
    </w:rPr>
  </w:style>
  <w:style w:type="character" w:styleId="CommentReference">
    <w:name w:val="annotation reference"/>
    <w:basedOn w:val="DefaultParagraphFont"/>
    <w:uiPriority w:val="99"/>
    <w:unhideWhenUsed/>
    <w:rsid w:val="007B7652"/>
    <w:rPr>
      <w:sz w:val="16"/>
      <w:szCs w:val="16"/>
    </w:rPr>
  </w:style>
  <w:style w:type="paragraph" w:styleId="CommentSubject">
    <w:name w:val="annotation subject"/>
    <w:basedOn w:val="CommentText"/>
    <w:next w:val="CommentText"/>
    <w:link w:val="CommentSubjectChar"/>
    <w:uiPriority w:val="99"/>
    <w:unhideWhenUsed/>
    <w:rsid w:val="007B7652"/>
    <w:rPr>
      <w:b/>
      <w:bCs/>
    </w:rPr>
  </w:style>
  <w:style w:type="character" w:customStyle="1" w:styleId="CommentSubjectChar">
    <w:name w:val="Comment Subject Char"/>
    <w:basedOn w:val="CommentTextChar"/>
    <w:link w:val="CommentSubject"/>
    <w:uiPriority w:val="99"/>
    <w:rsid w:val="007B7652"/>
    <w:rPr>
      <w:rFonts w:eastAsiaTheme="minorHAnsi"/>
      <w:b/>
      <w:bCs/>
      <w:sz w:val="20"/>
      <w:szCs w:val="20"/>
    </w:rPr>
  </w:style>
  <w:style w:type="paragraph" w:styleId="ListParagraph">
    <w:name w:val="List Paragraph"/>
    <w:basedOn w:val="Normal"/>
    <w:uiPriority w:val="34"/>
    <w:qFormat/>
    <w:rsid w:val="007B7652"/>
    <w:pPr>
      <w:ind w:left="720"/>
      <w:contextualSpacing/>
    </w:pPr>
  </w:style>
  <w:style w:type="paragraph" w:styleId="Footer">
    <w:name w:val="footer"/>
    <w:basedOn w:val="Normal"/>
    <w:link w:val="FooterChar"/>
    <w:uiPriority w:val="99"/>
    <w:unhideWhenUsed/>
    <w:rsid w:val="007B76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7652"/>
    <w:rPr>
      <w:rFonts w:eastAsiaTheme="minorHAnsi"/>
    </w:rPr>
  </w:style>
  <w:style w:type="paragraph" w:styleId="BodyTextIndent">
    <w:name w:val="Body Text Indent"/>
    <w:basedOn w:val="Normal"/>
    <w:link w:val="BodyTextIndentChar"/>
    <w:rsid w:val="007B7652"/>
    <w:pPr>
      <w:spacing w:after="120"/>
      <w:ind w:left="283"/>
    </w:pPr>
  </w:style>
  <w:style w:type="character" w:customStyle="1" w:styleId="BodyTextIndentChar">
    <w:name w:val="Body Text Indent Char"/>
    <w:link w:val="BodyTextIndent"/>
    <w:rsid w:val="007B7652"/>
    <w:rPr>
      <w:rFonts w:eastAsiaTheme="minorHAnsi"/>
    </w:rPr>
  </w:style>
  <w:style w:type="paragraph" w:styleId="BodyTextIndent2">
    <w:name w:val="Body Text Indent 2"/>
    <w:basedOn w:val="Normal"/>
    <w:link w:val="BodyTextIndent2Char"/>
    <w:rsid w:val="007B7652"/>
    <w:pPr>
      <w:spacing w:line="480" w:lineRule="auto"/>
      <w:ind w:left="1134"/>
    </w:pPr>
    <w:rPr>
      <w:rFonts w:ascii="Comic Sans MS" w:hAnsi="Comic Sans MS"/>
      <w:sz w:val="24"/>
      <w:lang w:eastAsia="fr-BE"/>
    </w:rPr>
  </w:style>
  <w:style w:type="character" w:customStyle="1" w:styleId="BodyTextIndent2Char">
    <w:name w:val="Body Text Indent 2 Char"/>
    <w:basedOn w:val="DefaultParagraphFont"/>
    <w:link w:val="BodyTextIndent2"/>
    <w:rsid w:val="007B7652"/>
    <w:rPr>
      <w:rFonts w:ascii="Comic Sans MS" w:eastAsiaTheme="minorHAnsi" w:hAnsi="Comic Sans MS"/>
      <w:sz w:val="24"/>
      <w:lang w:eastAsia="fr-BE"/>
    </w:rPr>
  </w:style>
  <w:style w:type="paragraph" w:styleId="BodyTextIndent3">
    <w:name w:val="Body Text Indent 3"/>
    <w:basedOn w:val="Normal"/>
    <w:link w:val="BodyTextIndent3Char"/>
    <w:rsid w:val="007B7652"/>
    <w:pPr>
      <w:spacing w:after="120"/>
      <w:ind w:left="283"/>
    </w:pPr>
    <w:rPr>
      <w:sz w:val="16"/>
      <w:szCs w:val="16"/>
    </w:rPr>
  </w:style>
  <w:style w:type="character" w:customStyle="1" w:styleId="BodyTextIndent3Char">
    <w:name w:val="Body Text Indent 3 Char"/>
    <w:link w:val="BodyTextIndent3"/>
    <w:rsid w:val="007B7652"/>
    <w:rPr>
      <w:rFonts w:eastAsiaTheme="minorHAnsi"/>
      <w:sz w:val="16"/>
      <w:szCs w:val="16"/>
    </w:rPr>
  </w:style>
  <w:style w:type="paragraph" w:customStyle="1" w:styleId="StyleArial11ptGrasJustifiInterligne15ligne">
    <w:name w:val="Style Arial 11 pt Gras Justifié Interligne : 15 ligne"/>
    <w:basedOn w:val="Normal"/>
    <w:rsid w:val="007B7652"/>
    <w:rPr>
      <w:bCs/>
      <w:szCs w:val="20"/>
    </w:rPr>
  </w:style>
  <w:style w:type="paragraph" w:customStyle="1" w:styleId="Style1">
    <w:name w:val="Style1"/>
    <w:basedOn w:val="Normal"/>
    <w:rsid w:val="007B7652"/>
    <w:pPr>
      <w:numPr>
        <w:numId w:val="1"/>
      </w:numPr>
      <w:spacing w:line="240" w:lineRule="auto"/>
    </w:pPr>
    <w:rPr>
      <w:rFonts w:ascii="Comic Sans MS" w:hAnsi="Comic Sans MS"/>
      <w:b/>
      <w:bCs/>
      <w:sz w:val="28"/>
      <w:szCs w:val="28"/>
      <w:lang w:eastAsia="fr-BE"/>
    </w:rPr>
  </w:style>
  <w:style w:type="paragraph" w:customStyle="1" w:styleId="Style10">
    <w:name w:val="Style10"/>
    <w:basedOn w:val="Normal"/>
    <w:rsid w:val="007B7652"/>
    <w:pPr>
      <w:numPr>
        <w:numId w:val="2"/>
      </w:numPr>
    </w:pPr>
    <w:rPr>
      <w:rFonts w:ascii="Comic Sans MS" w:hAnsi="Comic Sans MS"/>
      <w:sz w:val="24"/>
      <w:lang w:eastAsia="fr-BE"/>
    </w:rPr>
  </w:style>
  <w:style w:type="paragraph" w:customStyle="1" w:styleId="Style6">
    <w:name w:val="Style6"/>
    <w:basedOn w:val="Normal"/>
    <w:rsid w:val="007B7652"/>
    <w:pPr>
      <w:numPr>
        <w:ilvl w:val="1"/>
        <w:numId w:val="1"/>
      </w:numPr>
    </w:pPr>
    <w:rPr>
      <w:rFonts w:ascii="Comic Sans MS" w:hAnsi="Comic Sans MS"/>
      <w:b/>
      <w:bCs/>
      <w:i/>
      <w:iCs/>
      <w:sz w:val="24"/>
      <w:u w:val="single"/>
      <w:lang w:eastAsia="fr-BE"/>
    </w:rPr>
  </w:style>
  <w:style w:type="paragraph" w:customStyle="1" w:styleId="Style7">
    <w:name w:val="Style7"/>
    <w:basedOn w:val="Normal"/>
    <w:rsid w:val="007B7652"/>
    <w:pPr>
      <w:numPr>
        <w:ilvl w:val="2"/>
        <w:numId w:val="1"/>
      </w:numPr>
    </w:pPr>
    <w:rPr>
      <w:rFonts w:ascii="Comic Sans MS" w:hAnsi="Comic Sans MS"/>
      <w:b/>
      <w:bCs/>
      <w:i/>
      <w:iCs/>
      <w:sz w:val="24"/>
      <w:lang w:eastAsia="fr-BE"/>
    </w:rPr>
  </w:style>
  <w:style w:type="paragraph" w:customStyle="1" w:styleId="Style9">
    <w:name w:val="Style9"/>
    <w:basedOn w:val="Normal"/>
    <w:rsid w:val="007B7652"/>
    <w:pPr>
      <w:numPr>
        <w:ilvl w:val="3"/>
        <w:numId w:val="1"/>
      </w:numPr>
    </w:pPr>
    <w:rPr>
      <w:rFonts w:ascii="Comic Sans MS" w:hAnsi="Comic Sans MS"/>
      <w:i/>
      <w:iCs/>
      <w:sz w:val="24"/>
      <w:lang w:eastAsia="fr-BE"/>
    </w:rPr>
  </w:style>
  <w:style w:type="paragraph" w:styleId="BalloonText">
    <w:name w:val="Balloon Text"/>
    <w:basedOn w:val="Normal"/>
    <w:link w:val="BalloonTextChar"/>
    <w:uiPriority w:val="99"/>
    <w:semiHidden/>
    <w:unhideWhenUsed/>
    <w:rsid w:val="007B7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652"/>
    <w:rPr>
      <w:rFonts w:ascii="Segoe UI" w:eastAsiaTheme="minorHAnsi" w:hAnsi="Segoe UI" w:cs="Segoe UI"/>
      <w:sz w:val="18"/>
      <w:szCs w:val="18"/>
    </w:rPr>
  </w:style>
  <w:style w:type="character" w:styleId="PlaceholderText">
    <w:name w:val="Placeholder Text"/>
    <w:basedOn w:val="DefaultParagraphFont"/>
    <w:uiPriority w:val="99"/>
    <w:semiHidden/>
    <w:rsid w:val="007B7652"/>
    <w:rPr>
      <w:color w:val="808080"/>
    </w:rPr>
  </w:style>
  <w:style w:type="character" w:customStyle="1" w:styleId="Titre1Car">
    <w:name w:val="Titre 1 Car"/>
    <w:rsid w:val="007B7652"/>
    <w:rPr>
      <w:rFonts w:ascii="Arial" w:hAnsi="Arial" w:cs="Arial"/>
      <w:b/>
      <w:bCs/>
      <w:kern w:val="32"/>
      <w:sz w:val="36"/>
      <w:szCs w:val="32"/>
      <w:u w:val="single"/>
      <w:lang w:val="fr-FR" w:eastAsia="fr-FR"/>
    </w:rPr>
  </w:style>
  <w:style w:type="character" w:customStyle="1" w:styleId="Heading1Char">
    <w:name w:val="Heading 1 Char"/>
    <w:basedOn w:val="DefaultParagraphFont"/>
    <w:link w:val="Heading1"/>
    <w:rsid w:val="007B7652"/>
    <w:rPr>
      <w:rFonts w:eastAsiaTheme="minorHAnsi" w:cs="Arial"/>
      <w:b/>
      <w:bCs/>
      <w:kern w:val="32"/>
      <w:sz w:val="36"/>
      <w:szCs w:val="36"/>
      <w:u w:val="single"/>
    </w:rPr>
  </w:style>
  <w:style w:type="character" w:customStyle="1" w:styleId="Heading2Char">
    <w:name w:val="Heading 2 Char"/>
    <w:basedOn w:val="DefaultParagraphFont"/>
    <w:link w:val="Heading2"/>
    <w:uiPriority w:val="9"/>
    <w:rsid w:val="007B7652"/>
    <w:rPr>
      <w:rFonts w:eastAsiaTheme="majorEastAsia" w:cstheme="majorBidi"/>
      <w:b/>
      <w:bCs/>
      <w:sz w:val="28"/>
      <w:szCs w:val="26"/>
      <w:u w:val="single"/>
    </w:rPr>
  </w:style>
  <w:style w:type="character" w:customStyle="1" w:styleId="Heading3Char">
    <w:name w:val="Heading 3 Char"/>
    <w:basedOn w:val="DefaultParagraphFont"/>
    <w:link w:val="Heading3"/>
    <w:uiPriority w:val="9"/>
    <w:rsid w:val="007B7652"/>
    <w:rPr>
      <w:rFonts w:eastAsiaTheme="majorEastAsia" w:cstheme="majorBidi"/>
      <w:b/>
      <w:bCs/>
      <w:sz w:val="28"/>
      <w:szCs w:val="28"/>
    </w:rPr>
  </w:style>
  <w:style w:type="character" w:customStyle="1" w:styleId="Heading4Char">
    <w:name w:val="Heading 4 Char"/>
    <w:basedOn w:val="DefaultParagraphFont"/>
    <w:link w:val="Heading4"/>
    <w:uiPriority w:val="9"/>
    <w:rsid w:val="007B7652"/>
    <w:rPr>
      <w:rFonts w:eastAsiaTheme="majorEastAsia" w:cstheme="majorBidi"/>
      <w:b/>
      <w:bCs/>
      <w:i/>
      <w:iCs/>
    </w:rPr>
  </w:style>
  <w:style w:type="character" w:customStyle="1" w:styleId="Heading5Char">
    <w:name w:val="Heading 5 Char"/>
    <w:basedOn w:val="DefaultParagraphFont"/>
    <w:link w:val="Heading5"/>
    <w:uiPriority w:val="9"/>
    <w:rsid w:val="007B7652"/>
    <w:rPr>
      <w:rFonts w:eastAsiaTheme="majorEastAsia" w:cs="Arial"/>
    </w:rPr>
  </w:style>
  <w:style w:type="character" w:customStyle="1" w:styleId="Heading6Char">
    <w:name w:val="Heading 6 Char"/>
    <w:basedOn w:val="DefaultParagraphFont"/>
    <w:link w:val="Heading6"/>
    <w:uiPriority w:val="9"/>
    <w:rsid w:val="007B7652"/>
    <w:rPr>
      <w:rFonts w:eastAsiaTheme="majorEastAsia" w:cstheme="majorBidi"/>
      <w:i/>
      <w:iCs/>
      <w:u w:val="single"/>
    </w:rPr>
  </w:style>
  <w:style w:type="character" w:customStyle="1" w:styleId="Heading7Char">
    <w:name w:val="Heading 7 Char"/>
    <w:basedOn w:val="DefaultParagraphFont"/>
    <w:link w:val="Heading7"/>
    <w:uiPriority w:val="9"/>
    <w:rsid w:val="007B7652"/>
    <w:rPr>
      <w:rFonts w:eastAsiaTheme="majorEastAsia" w:cstheme="majorBidi"/>
      <w:i/>
      <w:iCs/>
      <w:color w:val="404040" w:themeColor="text1" w:themeTint="BF"/>
    </w:rPr>
  </w:style>
  <w:style w:type="character" w:customStyle="1" w:styleId="Heading8Char">
    <w:name w:val="Heading 8 Char"/>
    <w:basedOn w:val="DefaultParagraphFont"/>
    <w:link w:val="Heading8"/>
    <w:uiPriority w:val="9"/>
    <w:rsid w:val="007B7652"/>
    <w:rPr>
      <w:rFonts w:eastAsiaTheme="majorEastAsia" w:cstheme="majorBidi"/>
      <w:color w:val="404040" w:themeColor="text1" w:themeTint="BF"/>
      <w:sz w:val="20"/>
      <w:szCs w:val="20"/>
    </w:rPr>
  </w:style>
  <w:style w:type="character" w:customStyle="1" w:styleId="Heading9Char">
    <w:name w:val="Heading 9 Char"/>
    <w:basedOn w:val="DefaultParagraphFont"/>
    <w:link w:val="Heading9"/>
    <w:uiPriority w:val="9"/>
    <w:rsid w:val="007B7652"/>
    <w:rPr>
      <w:rFonts w:eastAsiaTheme="majorEastAsia" w:cstheme="majorBidi"/>
      <w:i/>
      <w:iCs/>
      <w:color w:val="404040" w:themeColor="text1" w:themeTint="BF"/>
      <w:sz w:val="20"/>
      <w:szCs w:val="20"/>
    </w:rPr>
  </w:style>
  <w:style w:type="paragraph" w:styleId="TOC1">
    <w:name w:val="toc 1"/>
    <w:basedOn w:val="Normal"/>
    <w:next w:val="Normal"/>
    <w:autoRedefine/>
    <w:uiPriority w:val="39"/>
    <w:rsid w:val="007B7652"/>
    <w:pPr>
      <w:spacing w:before="120" w:after="120"/>
    </w:pPr>
    <w:rPr>
      <w:rFonts w:ascii="Times New Roman" w:hAnsi="Times New Roman"/>
      <w:b/>
      <w:bCs/>
      <w:caps/>
      <w:sz w:val="20"/>
      <w:szCs w:val="20"/>
    </w:rPr>
  </w:style>
  <w:style w:type="paragraph" w:styleId="TOC2">
    <w:name w:val="toc 2"/>
    <w:basedOn w:val="Normal"/>
    <w:next w:val="Normal"/>
    <w:autoRedefine/>
    <w:uiPriority w:val="39"/>
    <w:rsid w:val="007B7652"/>
    <w:pPr>
      <w:ind w:left="220"/>
    </w:pPr>
    <w:rPr>
      <w:rFonts w:ascii="Times New Roman" w:hAnsi="Times New Roman"/>
      <w:smallCaps/>
      <w:sz w:val="20"/>
      <w:szCs w:val="20"/>
    </w:rPr>
  </w:style>
  <w:style w:type="paragraph" w:styleId="TOC3">
    <w:name w:val="toc 3"/>
    <w:basedOn w:val="Normal"/>
    <w:next w:val="Normal"/>
    <w:autoRedefine/>
    <w:uiPriority w:val="39"/>
    <w:rsid w:val="007B7652"/>
    <w:pPr>
      <w:ind w:left="440"/>
    </w:pPr>
    <w:rPr>
      <w:rFonts w:ascii="Times New Roman" w:hAnsi="Times New Roman"/>
      <w:i/>
      <w:iCs/>
      <w:sz w:val="20"/>
      <w:szCs w:val="20"/>
    </w:rPr>
  </w:style>
  <w:style w:type="paragraph" w:styleId="TOC4">
    <w:name w:val="toc 4"/>
    <w:basedOn w:val="Normal"/>
    <w:next w:val="Normal"/>
    <w:autoRedefine/>
    <w:uiPriority w:val="39"/>
    <w:rsid w:val="007B7652"/>
    <w:pPr>
      <w:ind w:left="660"/>
    </w:pPr>
    <w:rPr>
      <w:rFonts w:ascii="Times New Roman" w:hAnsi="Times New Roman"/>
      <w:sz w:val="18"/>
      <w:szCs w:val="18"/>
    </w:rPr>
  </w:style>
  <w:style w:type="paragraph" w:styleId="TOC5">
    <w:name w:val="toc 5"/>
    <w:basedOn w:val="Normal"/>
    <w:next w:val="Normal"/>
    <w:autoRedefine/>
    <w:uiPriority w:val="39"/>
    <w:rsid w:val="007B7652"/>
    <w:pPr>
      <w:ind w:left="880"/>
    </w:pPr>
    <w:rPr>
      <w:rFonts w:ascii="Times New Roman" w:hAnsi="Times New Roman"/>
      <w:sz w:val="18"/>
      <w:szCs w:val="18"/>
    </w:rPr>
  </w:style>
  <w:style w:type="paragraph" w:styleId="TOC6">
    <w:name w:val="toc 6"/>
    <w:basedOn w:val="Normal"/>
    <w:next w:val="Normal"/>
    <w:autoRedefine/>
    <w:uiPriority w:val="39"/>
    <w:rsid w:val="007B7652"/>
    <w:pPr>
      <w:ind w:left="1100"/>
    </w:pPr>
    <w:rPr>
      <w:rFonts w:ascii="Times New Roman" w:hAnsi="Times New Roman"/>
      <w:sz w:val="18"/>
      <w:szCs w:val="18"/>
    </w:rPr>
  </w:style>
  <w:style w:type="paragraph" w:styleId="TOC7">
    <w:name w:val="toc 7"/>
    <w:basedOn w:val="Normal"/>
    <w:next w:val="Normal"/>
    <w:autoRedefine/>
    <w:uiPriority w:val="39"/>
    <w:rsid w:val="007B7652"/>
    <w:pPr>
      <w:ind w:left="1320"/>
    </w:pPr>
    <w:rPr>
      <w:rFonts w:ascii="Times New Roman" w:hAnsi="Times New Roman"/>
      <w:sz w:val="18"/>
      <w:szCs w:val="18"/>
    </w:rPr>
  </w:style>
  <w:style w:type="paragraph" w:styleId="TOC8">
    <w:name w:val="toc 8"/>
    <w:basedOn w:val="Normal"/>
    <w:next w:val="Normal"/>
    <w:autoRedefine/>
    <w:uiPriority w:val="39"/>
    <w:rsid w:val="007B7652"/>
    <w:pPr>
      <w:ind w:left="1540"/>
    </w:pPr>
    <w:rPr>
      <w:rFonts w:ascii="Times New Roman" w:hAnsi="Times New Roman"/>
      <w:sz w:val="18"/>
      <w:szCs w:val="18"/>
    </w:rPr>
  </w:style>
  <w:style w:type="paragraph" w:styleId="TOC9">
    <w:name w:val="toc 9"/>
    <w:basedOn w:val="Normal"/>
    <w:next w:val="Normal"/>
    <w:autoRedefine/>
    <w:uiPriority w:val="39"/>
    <w:rsid w:val="007B7652"/>
    <w:pPr>
      <w:ind w:left="1760"/>
    </w:pPr>
    <w:rPr>
      <w:rFonts w:ascii="Times New Roman" w:hAnsi="Times New Roman"/>
      <w:sz w:val="18"/>
      <w:szCs w:val="18"/>
    </w:rPr>
  </w:style>
  <w:style w:type="paragraph" w:customStyle="1" w:styleId="EndNoteBibliographyTitle">
    <w:name w:val="EndNote Bibliography Title"/>
    <w:basedOn w:val="Normal"/>
    <w:link w:val="EndNoteBibliographyTitleCar"/>
    <w:rsid w:val="007B7652"/>
    <w:pPr>
      <w:spacing w:after="0"/>
      <w:jc w:val="center"/>
    </w:pPr>
    <w:rPr>
      <w:rFonts w:ascii="Calibri" w:hAnsi="Calibri"/>
      <w:noProof/>
      <w:lang w:val="en-US"/>
    </w:rPr>
  </w:style>
  <w:style w:type="character" w:customStyle="1" w:styleId="EndNoteBibliographyTitleCar">
    <w:name w:val="EndNote Bibliography Title Car"/>
    <w:basedOn w:val="DefaultParagraphFont"/>
    <w:link w:val="EndNoteBibliographyTitle"/>
    <w:rsid w:val="007B7652"/>
    <w:rPr>
      <w:rFonts w:ascii="Calibri" w:eastAsiaTheme="minorHAnsi" w:hAnsi="Calibri"/>
      <w:noProof/>
      <w:lang w:val="en-US"/>
    </w:rPr>
  </w:style>
  <w:style w:type="paragraph" w:customStyle="1" w:styleId="EndNoteBibliography">
    <w:name w:val="EndNote Bibliography"/>
    <w:basedOn w:val="Normal"/>
    <w:link w:val="EndNoteBibliographyCar"/>
    <w:rsid w:val="007B7652"/>
    <w:pPr>
      <w:spacing w:line="240" w:lineRule="auto"/>
    </w:pPr>
    <w:rPr>
      <w:rFonts w:ascii="Calibri" w:hAnsi="Calibri"/>
      <w:noProof/>
      <w:lang w:val="en-US"/>
    </w:rPr>
  </w:style>
  <w:style w:type="character" w:customStyle="1" w:styleId="EndNoteBibliographyCar">
    <w:name w:val="EndNote Bibliography Car"/>
    <w:basedOn w:val="DefaultParagraphFont"/>
    <w:link w:val="EndNoteBibliography"/>
    <w:rsid w:val="007B7652"/>
    <w:rPr>
      <w:rFonts w:ascii="Calibri" w:eastAsiaTheme="minorHAnsi" w:hAnsi="Calibri"/>
      <w:noProof/>
      <w:lang w:val="en-US"/>
    </w:rPr>
  </w:style>
  <w:style w:type="character" w:customStyle="1" w:styleId="apple-converted-space">
    <w:name w:val="apple-converted-space"/>
    <w:basedOn w:val="DefaultParagraphFont"/>
    <w:rsid w:val="007B7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ivier.bruyere@ulg.ac.b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4870</Words>
  <Characters>27761</Characters>
  <Application>Microsoft Office Word</Application>
  <DocSecurity>4</DocSecurity>
  <Lines>231</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DSSP, ULg</Company>
  <LinksUpToDate>false</LinksUpToDate>
  <CharactersWithSpaces>32566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Fabienne HUMBLET</dc:creator>
  <cp:lastModifiedBy>Karen Drake</cp:lastModifiedBy>
  <cp:revision>2</cp:revision>
  <cp:lastPrinted>2017-06-02T06:12:00Z</cp:lastPrinted>
  <dcterms:created xsi:type="dcterms:W3CDTF">2017-08-21T08:18:00Z</dcterms:created>
  <dcterms:modified xsi:type="dcterms:W3CDTF">2017-08-21T08:18:00Z</dcterms:modified>
</cp:coreProperties>
</file>