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9C51E" w14:textId="77777777" w:rsidR="000D00EA" w:rsidRPr="00D77DC2" w:rsidRDefault="000D00EA" w:rsidP="000D00EA">
      <w:pPr>
        <w:spacing w:before="100" w:beforeAutospacing="1" w:after="100" w:afterAutospacing="1" w:line="360" w:lineRule="auto"/>
        <w:jc w:val="both"/>
        <w:rPr>
          <w:rFonts w:cs="Times New Roman"/>
          <w:szCs w:val="24"/>
        </w:rPr>
      </w:pPr>
      <w:bookmarkStart w:id="0" w:name="_GoBack"/>
      <w:bookmarkEnd w:id="0"/>
      <w:r w:rsidRPr="009D6877">
        <w:rPr>
          <w:rFonts w:cs="Times New Roman"/>
          <w:b/>
          <w:szCs w:val="24"/>
        </w:rPr>
        <w:t xml:space="preserve">Comparison of nutrient intake in adolescents and adults with and without food allergies </w:t>
      </w:r>
    </w:p>
    <w:p w14:paraId="518C08D5" w14:textId="77777777" w:rsidR="000D00EA" w:rsidRPr="00D3449B" w:rsidRDefault="000D00EA" w:rsidP="000D00EA">
      <w:pPr>
        <w:spacing w:before="100" w:beforeAutospacing="1" w:after="100" w:afterAutospacing="1" w:line="360" w:lineRule="auto"/>
        <w:jc w:val="both"/>
        <w:rPr>
          <w:rFonts w:cs="Times New Roman"/>
          <w:szCs w:val="24"/>
          <w:lang w:val="de-AT"/>
        </w:rPr>
      </w:pPr>
      <w:r>
        <w:rPr>
          <w:rFonts w:cs="Times New Roman"/>
          <w:szCs w:val="24"/>
          <w:lang w:val="de-AT"/>
        </w:rPr>
        <w:t>Kate Maslin</w:t>
      </w:r>
      <w:r>
        <w:rPr>
          <w:rFonts w:cs="Times New Roman"/>
          <w:szCs w:val="24"/>
          <w:vertAlign w:val="superscript"/>
          <w:lang w:val="de-AT"/>
        </w:rPr>
        <w:t>1,2</w:t>
      </w:r>
      <w:r>
        <w:rPr>
          <w:rFonts w:cs="Times New Roman"/>
          <w:szCs w:val="24"/>
          <w:lang w:val="de-AT"/>
        </w:rPr>
        <w:t>, Carina Venter</w:t>
      </w:r>
      <w:r>
        <w:rPr>
          <w:rFonts w:cs="Times New Roman"/>
          <w:szCs w:val="24"/>
          <w:vertAlign w:val="superscript"/>
          <w:lang w:val="de-AT"/>
        </w:rPr>
        <w:t>1,3,4</w:t>
      </w:r>
      <w:r>
        <w:rPr>
          <w:rFonts w:cs="Times New Roman"/>
          <w:szCs w:val="24"/>
          <w:lang w:val="de-AT"/>
        </w:rPr>
        <w:t xml:space="preserve">, </w:t>
      </w:r>
      <w:r w:rsidRPr="00D3449B">
        <w:rPr>
          <w:rFonts w:cs="Times New Roman"/>
          <w:szCs w:val="24"/>
          <w:lang w:val="de-AT"/>
        </w:rPr>
        <w:t xml:space="preserve"> Heather MacKenzie</w:t>
      </w:r>
      <w:r>
        <w:rPr>
          <w:rFonts w:cs="Times New Roman"/>
          <w:szCs w:val="24"/>
          <w:vertAlign w:val="superscript"/>
          <w:lang w:val="de-AT"/>
        </w:rPr>
        <w:t>1,5</w:t>
      </w:r>
      <w:r w:rsidRPr="00D3449B">
        <w:rPr>
          <w:rFonts w:cs="Times New Roman"/>
          <w:szCs w:val="24"/>
          <w:lang w:val="de-AT"/>
        </w:rPr>
        <w:t>, Berber Vlieg-Boerstra</w:t>
      </w:r>
      <w:r>
        <w:rPr>
          <w:rFonts w:cs="Times New Roman"/>
          <w:szCs w:val="24"/>
          <w:vertAlign w:val="superscript"/>
          <w:lang w:val="de-AT"/>
        </w:rPr>
        <w:t>6</w:t>
      </w:r>
      <w:r w:rsidRPr="00D3449B">
        <w:rPr>
          <w:rFonts w:cs="Times New Roman"/>
          <w:szCs w:val="24"/>
          <w:lang w:val="de-AT"/>
        </w:rPr>
        <w:t>,</w:t>
      </w:r>
      <w:r>
        <w:rPr>
          <w:rFonts w:cs="Times New Roman"/>
          <w:szCs w:val="24"/>
          <w:lang w:val="de-AT"/>
        </w:rPr>
        <w:t xml:space="preserve"> Tara</w:t>
      </w:r>
      <w:r w:rsidRPr="00D3449B">
        <w:rPr>
          <w:rFonts w:cs="Times New Roman"/>
          <w:szCs w:val="24"/>
          <w:lang w:val="de-AT"/>
        </w:rPr>
        <w:t xml:space="preserve"> Dean</w:t>
      </w:r>
      <w:r>
        <w:rPr>
          <w:rFonts w:cs="Times New Roman"/>
          <w:szCs w:val="24"/>
          <w:vertAlign w:val="superscript"/>
          <w:lang w:val="de-AT"/>
        </w:rPr>
        <w:t>1,3</w:t>
      </w:r>
      <w:r w:rsidRPr="00D3449B">
        <w:rPr>
          <w:rFonts w:cs="Times New Roman"/>
          <w:szCs w:val="24"/>
          <w:lang w:val="de-AT"/>
        </w:rPr>
        <w:t>,</w:t>
      </w:r>
      <w:r w:rsidRPr="00D3449B">
        <w:rPr>
          <w:rFonts w:cs="Times New Roman"/>
          <w:szCs w:val="24"/>
          <w:vertAlign w:val="superscript"/>
          <w:lang w:val="de-AT"/>
        </w:rPr>
        <w:t xml:space="preserve"> </w:t>
      </w:r>
      <w:r w:rsidRPr="00071E85">
        <w:rPr>
          <w:rFonts w:cs="Times New Roman"/>
          <w:szCs w:val="24"/>
          <w:lang w:val="de-AT"/>
        </w:rPr>
        <w:t xml:space="preserve"> </w:t>
      </w:r>
      <w:r w:rsidRPr="00D3449B">
        <w:rPr>
          <w:rFonts w:cs="Times New Roman"/>
          <w:szCs w:val="24"/>
          <w:lang w:val="de-AT"/>
        </w:rPr>
        <w:t>Isolde Sommer</w:t>
      </w:r>
      <w:r>
        <w:rPr>
          <w:rFonts w:cs="Times New Roman"/>
          <w:szCs w:val="24"/>
          <w:vertAlign w:val="superscript"/>
          <w:lang w:val="de-AT"/>
        </w:rPr>
        <w:t>1,7</w:t>
      </w:r>
      <w:r w:rsidRPr="00D3449B">
        <w:rPr>
          <w:rFonts w:cs="Times New Roman"/>
          <w:szCs w:val="24"/>
          <w:vertAlign w:val="superscript"/>
          <w:lang w:val="de-AT"/>
        </w:rPr>
        <w:t>,</w:t>
      </w:r>
    </w:p>
    <w:p w14:paraId="043BB3AA" w14:textId="77777777" w:rsidR="000D00EA" w:rsidRDefault="000D00EA" w:rsidP="000D00EA">
      <w:pPr>
        <w:spacing w:before="100" w:beforeAutospacing="1" w:after="100" w:afterAutospacing="1" w:line="240" w:lineRule="auto"/>
        <w:jc w:val="both"/>
        <w:rPr>
          <w:rFonts w:cs="Times New Roman"/>
          <w:szCs w:val="24"/>
        </w:rPr>
      </w:pPr>
      <w:r>
        <w:rPr>
          <w:rFonts w:cs="Times New Roman"/>
          <w:szCs w:val="24"/>
          <w:vertAlign w:val="superscript"/>
        </w:rPr>
        <w:t>1</w:t>
      </w:r>
      <w:r w:rsidRPr="00221EDD">
        <w:rPr>
          <w:rFonts w:cs="Times New Roman"/>
          <w:szCs w:val="24"/>
        </w:rPr>
        <w:t>University of Portsmouth, School of Health Sciences and Social Work, United Kingdom</w:t>
      </w:r>
    </w:p>
    <w:p w14:paraId="016843E6" w14:textId="77777777" w:rsidR="000D00EA" w:rsidRDefault="000D00EA" w:rsidP="000D00EA">
      <w:pPr>
        <w:spacing w:before="100" w:beforeAutospacing="1" w:after="100" w:afterAutospacing="1" w:line="240" w:lineRule="auto"/>
        <w:jc w:val="both"/>
        <w:rPr>
          <w:rFonts w:cs="Times New Roman"/>
          <w:szCs w:val="24"/>
        </w:rPr>
      </w:pPr>
      <w:proofErr w:type="gramStart"/>
      <w:r>
        <w:rPr>
          <w:rFonts w:cs="Times New Roman"/>
          <w:szCs w:val="24"/>
          <w:vertAlign w:val="superscript"/>
        </w:rPr>
        <w:t>2</w:t>
      </w:r>
      <w:r>
        <w:rPr>
          <w:rFonts w:cs="Times New Roman"/>
          <w:szCs w:val="24"/>
        </w:rPr>
        <w:t>University of Southampton, MRC Lifecourse Epidemiology Unit, Southampton, United Kingdom.</w:t>
      </w:r>
      <w:proofErr w:type="gramEnd"/>
    </w:p>
    <w:p w14:paraId="18017871" w14:textId="77777777" w:rsidR="000D00EA" w:rsidRDefault="000D00EA" w:rsidP="000D00EA">
      <w:pPr>
        <w:spacing w:before="100" w:beforeAutospacing="1" w:after="100" w:afterAutospacing="1" w:line="240" w:lineRule="auto"/>
        <w:jc w:val="both"/>
        <w:rPr>
          <w:rFonts w:cs="Times New Roman"/>
          <w:szCs w:val="24"/>
        </w:rPr>
      </w:pPr>
      <w:r>
        <w:rPr>
          <w:rFonts w:cs="Times New Roman"/>
          <w:szCs w:val="24"/>
          <w:vertAlign w:val="superscript"/>
        </w:rPr>
        <w:t>3</w:t>
      </w:r>
      <w:r w:rsidRPr="00221EDD">
        <w:rPr>
          <w:rFonts w:cs="Times New Roman"/>
          <w:szCs w:val="24"/>
        </w:rPr>
        <w:t>David Hide Asthma and Allergy Research Centre, Isle of Wight, United Kingdom</w:t>
      </w:r>
    </w:p>
    <w:p w14:paraId="0B764F23" w14:textId="77777777" w:rsidR="000D00EA" w:rsidRPr="0019790C" w:rsidRDefault="000D00EA" w:rsidP="000D00EA">
      <w:pPr>
        <w:spacing w:before="100" w:beforeAutospacing="1" w:after="100" w:afterAutospacing="1" w:line="240" w:lineRule="auto"/>
        <w:jc w:val="both"/>
        <w:rPr>
          <w:rFonts w:cs="Times New Roman"/>
          <w:szCs w:val="24"/>
        </w:rPr>
      </w:pPr>
      <w:r>
        <w:rPr>
          <w:rFonts w:cs="Times New Roman"/>
          <w:szCs w:val="24"/>
          <w:vertAlign w:val="superscript"/>
        </w:rPr>
        <w:t>4</w:t>
      </w:r>
      <w:r>
        <w:rPr>
          <w:rFonts w:cs="Times New Roman"/>
          <w:szCs w:val="24"/>
        </w:rPr>
        <w:t>Division of Allergy and Immunology, Cincinnati Children’s Hospital Medical Centre, Cincinnati</w:t>
      </w:r>
    </w:p>
    <w:p w14:paraId="54C6A6A7" w14:textId="77777777" w:rsidR="000D00EA" w:rsidRDefault="000D00EA" w:rsidP="000D00EA">
      <w:pPr>
        <w:spacing w:before="100" w:beforeAutospacing="1" w:after="100" w:afterAutospacing="1" w:line="240" w:lineRule="auto"/>
        <w:jc w:val="both"/>
        <w:rPr>
          <w:rFonts w:cs="Times New Roman"/>
          <w:szCs w:val="24"/>
        </w:rPr>
      </w:pPr>
      <w:r>
        <w:rPr>
          <w:rFonts w:cs="Times New Roman"/>
          <w:szCs w:val="24"/>
          <w:vertAlign w:val="superscript"/>
        </w:rPr>
        <w:t>5</w:t>
      </w:r>
      <w:r w:rsidRPr="00221EDD">
        <w:rPr>
          <w:rFonts w:cs="Times New Roman"/>
          <w:szCs w:val="24"/>
        </w:rPr>
        <w:t xml:space="preserve">University of Portsmouth, </w:t>
      </w:r>
      <w:r>
        <w:rPr>
          <w:rFonts w:cs="Times New Roman"/>
          <w:szCs w:val="24"/>
        </w:rPr>
        <w:t>Graduate School, United Kingdom</w:t>
      </w:r>
    </w:p>
    <w:p w14:paraId="63F427F3" w14:textId="77777777" w:rsidR="000D00EA" w:rsidRDefault="000D00EA" w:rsidP="000D00EA">
      <w:pPr>
        <w:spacing w:before="100" w:beforeAutospacing="1" w:after="100" w:afterAutospacing="1" w:line="240" w:lineRule="auto"/>
        <w:jc w:val="both"/>
        <w:rPr>
          <w:rFonts w:cs="Times New Roman"/>
          <w:szCs w:val="24"/>
          <w:lang w:val="nl-NL"/>
        </w:rPr>
      </w:pPr>
      <w:r>
        <w:rPr>
          <w:rFonts w:cs="Times New Roman"/>
          <w:szCs w:val="24"/>
          <w:vertAlign w:val="superscript"/>
          <w:lang w:val="nl-NL"/>
        </w:rPr>
        <w:t>6</w:t>
      </w:r>
      <w:r w:rsidRPr="000D5E70">
        <w:rPr>
          <w:rFonts w:cs="Times New Roman"/>
          <w:szCs w:val="24"/>
          <w:lang w:val="nl-NL"/>
        </w:rPr>
        <w:t>Onze Lieve Vrouwe Gasthuis, Amsterdam, The Netherlands</w:t>
      </w:r>
    </w:p>
    <w:p w14:paraId="28AD7E2E" w14:textId="77777777" w:rsidR="000D00EA" w:rsidRPr="0019790C" w:rsidRDefault="000D00EA" w:rsidP="000D00EA">
      <w:pPr>
        <w:spacing w:before="100" w:beforeAutospacing="1" w:after="100" w:afterAutospacing="1" w:line="240" w:lineRule="auto"/>
        <w:jc w:val="both"/>
        <w:rPr>
          <w:rFonts w:cs="Times New Roman"/>
          <w:szCs w:val="24"/>
        </w:rPr>
      </w:pPr>
      <w:r w:rsidRPr="0019790C">
        <w:rPr>
          <w:rFonts w:cs="Times New Roman"/>
          <w:szCs w:val="24"/>
          <w:vertAlign w:val="superscript"/>
        </w:rPr>
        <w:t>7</w:t>
      </w:r>
      <w:r w:rsidRPr="00221EDD">
        <w:rPr>
          <w:rFonts w:cs="Times New Roman"/>
          <w:szCs w:val="24"/>
        </w:rPr>
        <w:t>Danube University Krems, Department for Evidence-Based Medicine and Clinical Epidemiology, Austria</w:t>
      </w:r>
    </w:p>
    <w:p w14:paraId="22CE6994" w14:textId="77777777" w:rsidR="000D00EA" w:rsidRPr="00FF672C" w:rsidRDefault="000D00EA" w:rsidP="000D00EA">
      <w:pPr>
        <w:autoSpaceDE w:val="0"/>
        <w:autoSpaceDN w:val="0"/>
        <w:adjustRightInd w:val="0"/>
        <w:spacing w:before="100" w:beforeAutospacing="1" w:after="100" w:afterAutospacing="1" w:line="360" w:lineRule="auto"/>
        <w:jc w:val="both"/>
        <w:rPr>
          <w:rFonts w:cs="Times New Roman"/>
          <w:szCs w:val="24"/>
          <w:lang w:val="en-US"/>
        </w:rPr>
      </w:pPr>
      <w:r>
        <w:rPr>
          <w:rFonts w:cs="Times New Roman"/>
          <w:szCs w:val="24"/>
          <w:lang w:val="en-US"/>
        </w:rPr>
        <w:t xml:space="preserve">KM and IS drafted the manuscript. IS, HM, TD, and CV were involved in conception and design of the study. IS was responsible for data collection and analysis. KM, CV, HM, BV, TD and IS </w:t>
      </w:r>
      <w:r w:rsidRPr="002029ED">
        <w:rPr>
          <w:rFonts w:cs="Times New Roman"/>
          <w:szCs w:val="24"/>
          <w:lang w:val="en-US"/>
        </w:rPr>
        <w:t xml:space="preserve">contributed substantially to interpretation of data. All authors </w:t>
      </w:r>
      <w:r>
        <w:rPr>
          <w:rFonts w:cs="Times New Roman"/>
          <w:szCs w:val="24"/>
          <w:lang w:val="en-US"/>
        </w:rPr>
        <w:t xml:space="preserve">critically revised the </w:t>
      </w:r>
      <w:proofErr w:type="gramStart"/>
      <w:r>
        <w:rPr>
          <w:rFonts w:cs="Times New Roman"/>
          <w:szCs w:val="24"/>
          <w:lang w:val="en-US"/>
        </w:rPr>
        <w:t>manuscript</w:t>
      </w:r>
      <w:proofErr w:type="gramEnd"/>
      <w:r>
        <w:rPr>
          <w:rFonts w:cs="Times New Roman"/>
          <w:szCs w:val="24"/>
          <w:lang w:val="en-US"/>
        </w:rPr>
        <w:t xml:space="preserve"> and </w:t>
      </w:r>
      <w:r w:rsidRPr="002029ED">
        <w:rPr>
          <w:rFonts w:cs="Times New Roman"/>
          <w:szCs w:val="24"/>
          <w:lang w:val="en-US"/>
        </w:rPr>
        <w:t xml:space="preserve">approved </w:t>
      </w:r>
      <w:r>
        <w:rPr>
          <w:rFonts w:cs="Times New Roman"/>
          <w:szCs w:val="24"/>
          <w:lang w:val="en-US"/>
        </w:rPr>
        <w:t>its final version.</w:t>
      </w:r>
    </w:p>
    <w:p w14:paraId="63B51573" w14:textId="77777777" w:rsidR="000D00EA" w:rsidRPr="00FF672C" w:rsidRDefault="000D00EA" w:rsidP="000D00EA">
      <w:pPr>
        <w:spacing w:before="100" w:beforeAutospacing="1" w:after="100" w:afterAutospacing="1" w:line="360" w:lineRule="auto"/>
        <w:jc w:val="both"/>
        <w:rPr>
          <w:rFonts w:cs="Times New Roman"/>
          <w:szCs w:val="24"/>
          <w:lang w:val="en-US"/>
        </w:rPr>
      </w:pPr>
      <w:r w:rsidRPr="00221EDD">
        <w:rPr>
          <w:rFonts w:cs="Times New Roman"/>
          <w:szCs w:val="24"/>
        </w:rPr>
        <w:t>Corresponding author</w:t>
      </w:r>
      <w:r>
        <w:rPr>
          <w:rFonts w:cs="Times New Roman"/>
          <w:szCs w:val="24"/>
        </w:rPr>
        <w:t xml:space="preserve"> and requests for offprints</w:t>
      </w:r>
      <w:r w:rsidRPr="00221EDD">
        <w:rPr>
          <w:rFonts w:cs="Times New Roman"/>
          <w:szCs w:val="24"/>
        </w:rPr>
        <w:t xml:space="preserve">: </w:t>
      </w:r>
      <w:r w:rsidRPr="00C176AF">
        <w:rPr>
          <w:rFonts w:cs="Times New Roman"/>
          <w:szCs w:val="24"/>
        </w:rPr>
        <w:t xml:space="preserve">Isolde Sommer, </w:t>
      </w:r>
      <w:r>
        <w:rPr>
          <w:rFonts w:cs="Times New Roman"/>
          <w:szCs w:val="24"/>
        </w:rPr>
        <w:t xml:space="preserve">MPH, </w:t>
      </w:r>
      <w:r w:rsidRPr="00C176AF">
        <w:rPr>
          <w:rFonts w:cs="Times New Roman"/>
          <w:szCs w:val="24"/>
        </w:rPr>
        <w:t xml:space="preserve">PhD, Research Associate, Danube University Krems, Department of Evidence-based Medicine and Clinical Epidemiology, Dr.-Karl-Dorrek-Straße 30, 3500 Krems, Austria, </w:t>
      </w:r>
      <w:r w:rsidRPr="00AC290A">
        <w:rPr>
          <w:rFonts w:cs="Times New Roman"/>
          <w:szCs w:val="24"/>
        </w:rPr>
        <w:t>T: +43 (0)2732 893 2925</w:t>
      </w:r>
      <w:r>
        <w:rPr>
          <w:rFonts w:cs="Times New Roman"/>
          <w:szCs w:val="24"/>
        </w:rPr>
        <w:t xml:space="preserve">, F: </w:t>
      </w:r>
      <w:r w:rsidRPr="000A1C67">
        <w:rPr>
          <w:rFonts w:cs="Times New Roman"/>
          <w:szCs w:val="24"/>
        </w:rPr>
        <w:t>+43 (0)2732 893-4910</w:t>
      </w:r>
      <w:r>
        <w:rPr>
          <w:rFonts w:cs="Times New Roman"/>
          <w:szCs w:val="24"/>
        </w:rPr>
        <w:t xml:space="preserve">, </w:t>
      </w:r>
      <w:r w:rsidRPr="00AC290A">
        <w:rPr>
          <w:rFonts w:cs="Times New Roman"/>
          <w:szCs w:val="24"/>
        </w:rPr>
        <w:t xml:space="preserve">Email: </w:t>
      </w:r>
      <w:r w:rsidRPr="00C3340F">
        <w:rPr>
          <w:rFonts w:cs="Times New Roman"/>
          <w:szCs w:val="24"/>
        </w:rPr>
        <w:t>isolde.sommer@donau-uni.ac.at</w:t>
      </w:r>
      <w:r>
        <w:rPr>
          <w:rFonts w:cs="Times New Roman"/>
          <w:szCs w:val="24"/>
        </w:rPr>
        <w:t xml:space="preserve">; </w:t>
      </w:r>
    </w:p>
    <w:p w14:paraId="3504CFF1" w14:textId="77777777" w:rsidR="000D00EA" w:rsidRPr="00CB766A" w:rsidRDefault="000D00EA" w:rsidP="000D00EA">
      <w:pPr>
        <w:spacing w:before="100" w:beforeAutospacing="1" w:after="100" w:afterAutospacing="1" w:line="360" w:lineRule="auto"/>
        <w:jc w:val="both"/>
        <w:rPr>
          <w:rFonts w:cs="Times New Roman"/>
          <w:szCs w:val="24"/>
        </w:rPr>
      </w:pPr>
      <w:r w:rsidRPr="00C3340F">
        <w:rPr>
          <w:rFonts w:cs="Times New Roman"/>
          <w:b/>
          <w:szCs w:val="24"/>
        </w:rPr>
        <w:t>Short title:</w:t>
      </w:r>
      <w:r w:rsidRPr="00CB766A">
        <w:rPr>
          <w:rFonts w:cs="Times New Roman"/>
          <w:szCs w:val="24"/>
        </w:rPr>
        <w:t xml:space="preserve"> Nutrient intake </w:t>
      </w:r>
      <w:r>
        <w:rPr>
          <w:rFonts w:cs="Times New Roman"/>
          <w:szCs w:val="24"/>
        </w:rPr>
        <w:t>in food allergy</w:t>
      </w:r>
    </w:p>
    <w:p w14:paraId="14AA315C" w14:textId="77777777" w:rsidR="000D00EA" w:rsidRDefault="000D00EA" w:rsidP="000D00EA">
      <w:pPr>
        <w:spacing w:before="100" w:beforeAutospacing="1" w:after="100" w:afterAutospacing="1" w:line="360" w:lineRule="auto"/>
        <w:jc w:val="both"/>
        <w:rPr>
          <w:rFonts w:cs="Times New Roman"/>
          <w:szCs w:val="24"/>
        </w:rPr>
      </w:pPr>
      <w:r w:rsidRPr="00C3340F">
        <w:rPr>
          <w:rFonts w:cs="Times New Roman"/>
          <w:b/>
          <w:szCs w:val="24"/>
        </w:rPr>
        <w:t>Key words</w:t>
      </w:r>
      <w:r w:rsidRPr="00CB766A">
        <w:rPr>
          <w:rFonts w:cs="Times New Roman"/>
          <w:szCs w:val="24"/>
        </w:rPr>
        <w:t>:</w:t>
      </w:r>
      <w:r>
        <w:rPr>
          <w:rFonts w:cs="Times New Roman"/>
          <w:b/>
          <w:szCs w:val="24"/>
        </w:rPr>
        <w:t xml:space="preserve"> </w:t>
      </w:r>
      <w:r>
        <w:rPr>
          <w:rFonts w:cs="Times New Roman"/>
          <w:szCs w:val="24"/>
        </w:rPr>
        <w:t>food allergies, nutrient intake, supplements, children, adolescents, adults</w:t>
      </w:r>
    </w:p>
    <w:p w14:paraId="1F999F1C" w14:textId="77777777" w:rsidR="000D00EA" w:rsidRDefault="000D00EA">
      <w:pPr>
        <w:rPr>
          <w:rFonts w:cs="Times New Roman"/>
          <w:b/>
          <w:szCs w:val="24"/>
        </w:rPr>
      </w:pPr>
      <w:r>
        <w:rPr>
          <w:rFonts w:cs="Times New Roman"/>
          <w:b/>
          <w:szCs w:val="24"/>
        </w:rPr>
        <w:br w:type="page"/>
      </w:r>
    </w:p>
    <w:p w14:paraId="41700DE1" w14:textId="78E5B690" w:rsidR="00751B05" w:rsidRPr="000D00EA" w:rsidRDefault="0085797A" w:rsidP="00C50B1C">
      <w:pPr>
        <w:spacing w:line="360" w:lineRule="auto"/>
        <w:rPr>
          <w:rFonts w:cs="Times New Roman"/>
          <w:b/>
          <w:szCs w:val="24"/>
        </w:rPr>
      </w:pPr>
      <w:r w:rsidRPr="000D00EA">
        <w:rPr>
          <w:rFonts w:cs="Times New Roman"/>
          <w:b/>
          <w:szCs w:val="24"/>
        </w:rPr>
        <w:lastRenderedPageBreak/>
        <w:t>A</w:t>
      </w:r>
      <w:r w:rsidR="00071E85" w:rsidRPr="000D00EA">
        <w:rPr>
          <w:rFonts w:cs="Times New Roman"/>
          <w:b/>
          <w:szCs w:val="24"/>
        </w:rPr>
        <w:t>bstract</w:t>
      </w:r>
    </w:p>
    <w:p w14:paraId="171B5B2D" w14:textId="746BAC2B" w:rsidR="00F026FD" w:rsidRPr="000D00EA" w:rsidRDefault="00F026FD" w:rsidP="00826191">
      <w:pPr>
        <w:spacing w:line="360" w:lineRule="auto"/>
        <w:jc w:val="both"/>
        <w:rPr>
          <w:rFonts w:cs="Times New Roman"/>
          <w:szCs w:val="24"/>
        </w:rPr>
      </w:pPr>
      <w:r w:rsidRPr="000D00EA">
        <w:rPr>
          <w:rFonts w:cs="Times New Roman"/>
          <w:szCs w:val="24"/>
        </w:rPr>
        <w:t>Background: Exclusion diets</w:t>
      </w:r>
      <w:r w:rsidR="00D41C00" w:rsidRPr="000D00EA">
        <w:rPr>
          <w:rFonts w:cs="Times New Roman"/>
          <w:szCs w:val="24"/>
        </w:rPr>
        <w:t xml:space="preserve"> for the management of food allergy</w:t>
      </w:r>
      <w:r w:rsidRPr="000D00EA">
        <w:rPr>
          <w:rFonts w:cs="Times New Roman"/>
          <w:szCs w:val="24"/>
        </w:rPr>
        <w:t xml:space="preserve"> pose a risk of nutritional deficiencies and inadequate growth in children, yet less is known about their effect in adolescents and adults. The aim of this study was to compare the dietary intake of adolescents and adults with food allergies to a control group.</w:t>
      </w:r>
    </w:p>
    <w:p w14:paraId="0F8585C6" w14:textId="1F046CAE" w:rsidR="00F026FD" w:rsidRPr="000D00EA" w:rsidRDefault="00F026FD" w:rsidP="00826191">
      <w:pPr>
        <w:spacing w:line="360" w:lineRule="auto"/>
        <w:jc w:val="both"/>
        <w:rPr>
          <w:rFonts w:cs="Times New Roman"/>
          <w:szCs w:val="24"/>
        </w:rPr>
      </w:pPr>
      <w:r w:rsidRPr="000D00EA">
        <w:rPr>
          <w:rFonts w:cs="Times New Roman"/>
          <w:szCs w:val="24"/>
        </w:rPr>
        <w:t xml:space="preserve">Methodology: </w:t>
      </w:r>
      <w:r w:rsidR="00D6374D" w:rsidRPr="000D00EA">
        <w:rPr>
          <w:rFonts w:cs="Times New Roman"/>
          <w:szCs w:val="24"/>
        </w:rPr>
        <w:t>A food allergic and</w:t>
      </w:r>
      <w:r w:rsidR="00290762" w:rsidRPr="000D00EA">
        <w:rPr>
          <w:rFonts w:cs="Times New Roman"/>
          <w:szCs w:val="24"/>
        </w:rPr>
        <w:t xml:space="preserve"> a</w:t>
      </w:r>
      <w:r w:rsidR="00D6374D" w:rsidRPr="000D00EA">
        <w:rPr>
          <w:rFonts w:cs="Times New Roman"/>
          <w:szCs w:val="24"/>
        </w:rPr>
        <w:t xml:space="preserve"> control group were recruited</w:t>
      </w:r>
      <w:r w:rsidR="00290762" w:rsidRPr="000D00EA">
        <w:rPr>
          <w:rFonts w:cs="Times New Roman"/>
          <w:szCs w:val="24"/>
        </w:rPr>
        <w:t xml:space="preserve"> </w:t>
      </w:r>
      <w:r w:rsidR="00D6374D" w:rsidRPr="000D00EA">
        <w:rPr>
          <w:rFonts w:cs="Times New Roman"/>
          <w:szCs w:val="24"/>
        </w:rPr>
        <w:t>from Portsmouth and</w:t>
      </w:r>
      <w:r w:rsidR="00290762" w:rsidRPr="000D00EA">
        <w:rPr>
          <w:rFonts w:cs="Times New Roman"/>
          <w:szCs w:val="24"/>
        </w:rPr>
        <w:t xml:space="preserve"> the</w:t>
      </w:r>
      <w:r w:rsidR="00D6374D" w:rsidRPr="000D00EA">
        <w:rPr>
          <w:rFonts w:cs="Times New Roman"/>
          <w:szCs w:val="24"/>
        </w:rPr>
        <w:t xml:space="preserve"> Isle of Wight </w:t>
      </w:r>
      <w:r w:rsidR="00290762" w:rsidRPr="000D00EA">
        <w:rPr>
          <w:rFonts w:cs="Times New Roman"/>
          <w:szCs w:val="24"/>
        </w:rPr>
        <w:t>in the United Kingdom</w:t>
      </w:r>
      <w:r w:rsidR="00D6374D" w:rsidRPr="000D00EA">
        <w:rPr>
          <w:rFonts w:cs="Times New Roman"/>
          <w:szCs w:val="24"/>
        </w:rPr>
        <w:t>.</w:t>
      </w:r>
      <w:r w:rsidR="000A412A" w:rsidRPr="000D00EA">
        <w:rPr>
          <w:rFonts w:cs="Times New Roman"/>
          <w:szCs w:val="24"/>
        </w:rPr>
        <w:t xml:space="preserve"> Participants were recruited from a food allergy charity, allergy clinics, a local school and university, and previous research studies. </w:t>
      </w:r>
      <w:r w:rsidR="00290762" w:rsidRPr="000D00EA">
        <w:rPr>
          <w:rFonts w:cs="Times New Roman"/>
          <w:szCs w:val="24"/>
        </w:rPr>
        <w:t>Macro and micron</w:t>
      </w:r>
      <w:r w:rsidRPr="000D00EA">
        <w:rPr>
          <w:rFonts w:cs="Times New Roman"/>
          <w:szCs w:val="24"/>
        </w:rPr>
        <w:t xml:space="preserve">utrient intake data were obtained using </w:t>
      </w:r>
      <w:r w:rsidR="00290762" w:rsidRPr="000D00EA">
        <w:rPr>
          <w:rFonts w:cs="Times New Roman"/>
          <w:szCs w:val="24"/>
        </w:rPr>
        <w:t>a 4-day estimated food diary</w:t>
      </w:r>
      <w:r w:rsidRPr="000D00EA">
        <w:rPr>
          <w:rFonts w:cs="Times New Roman"/>
          <w:szCs w:val="24"/>
        </w:rPr>
        <w:t xml:space="preserve">. </w:t>
      </w:r>
      <w:r w:rsidR="00D6374D" w:rsidRPr="000D00EA">
        <w:rPr>
          <w:rFonts w:cs="Times New Roman"/>
          <w:szCs w:val="24"/>
        </w:rPr>
        <w:t>Sociodemographic and anthropometric data was collected via a constructed questionnaire.</w:t>
      </w:r>
    </w:p>
    <w:p w14:paraId="1069A7CB" w14:textId="778770C5" w:rsidR="00F026FD" w:rsidRPr="000D00EA" w:rsidRDefault="00F026FD" w:rsidP="00826191">
      <w:pPr>
        <w:spacing w:line="360" w:lineRule="auto"/>
        <w:jc w:val="both"/>
        <w:rPr>
          <w:rFonts w:cs="Times New Roman"/>
          <w:szCs w:val="24"/>
        </w:rPr>
      </w:pPr>
      <w:r w:rsidRPr="000D00EA">
        <w:rPr>
          <w:rFonts w:cs="Times New Roman"/>
          <w:szCs w:val="24"/>
        </w:rPr>
        <w:t>Results: This cross-sectional study included 81 adolescents (48 food allergic and 33 controls) aged 11-18y and 70 adults aged 19-65y (23 food allergic and 47 controls). Overall 19 (22.8%) adolescents and 19 (27.1%) adults took dietary supplements, with no difference according to food allergic status. Adolescents with food allergy had higher intakes of niacin and selenium than adolescents without</w:t>
      </w:r>
      <w:r w:rsidR="00FB3FD5" w:rsidRPr="000D00EA">
        <w:rPr>
          <w:rFonts w:cs="Times New Roman"/>
          <w:szCs w:val="24"/>
        </w:rPr>
        <w:t xml:space="preserve"> (p&lt;0.05). This difference persisted </w:t>
      </w:r>
      <w:r w:rsidRPr="000D00EA">
        <w:rPr>
          <w:rFonts w:cs="Times New Roman"/>
          <w:szCs w:val="24"/>
        </w:rPr>
        <w:t xml:space="preserve">when </w:t>
      </w:r>
      <w:r w:rsidR="00FB3FD5" w:rsidRPr="000D00EA">
        <w:rPr>
          <w:rFonts w:cs="Times New Roman"/>
          <w:szCs w:val="24"/>
        </w:rPr>
        <w:t xml:space="preserve">dietary </w:t>
      </w:r>
      <w:r w:rsidRPr="000D00EA">
        <w:rPr>
          <w:rFonts w:cs="Times New Roman"/>
          <w:szCs w:val="24"/>
        </w:rPr>
        <w:t>supplements were removed from the analysis</w:t>
      </w:r>
      <w:r w:rsidR="00FB3FD5" w:rsidRPr="000D00EA">
        <w:rPr>
          <w:rFonts w:cs="Times New Roman"/>
          <w:szCs w:val="24"/>
        </w:rPr>
        <w:t>.</w:t>
      </w:r>
      <w:r w:rsidRPr="000D00EA">
        <w:rPr>
          <w:rFonts w:cs="Times New Roman"/>
          <w:szCs w:val="24"/>
        </w:rPr>
        <w:t xml:space="preserve"> Adults with food allergies had higher intakes of folate and zinc </w:t>
      </w:r>
      <w:r w:rsidR="00FB3FD5" w:rsidRPr="000D00EA">
        <w:rPr>
          <w:rFonts w:cs="Times New Roman"/>
          <w:szCs w:val="24"/>
        </w:rPr>
        <w:t>than those without (p &lt; 0.05)</w:t>
      </w:r>
      <w:proofErr w:type="gramStart"/>
      <w:r w:rsidR="00FB3FD5" w:rsidRPr="000D00EA">
        <w:rPr>
          <w:rFonts w:cs="Times New Roman"/>
          <w:szCs w:val="24"/>
        </w:rPr>
        <w:t>,</w:t>
      </w:r>
      <w:proofErr w:type="gramEnd"/>
      <w:r w:rsidR="00FB3FD5" w:rsidRPr="000D00EA">
        <w:rPr>
          <w:rFonts w:cs="Times New Roman"/>
          <w:szCs w:val="24"/>
        </w:rPr>
        <w:t xml:space="preserve"> h</w:t>
      </w:r>
      <w:r w:rsidRPr="000D00EA">
        <w:rPr>
          <w:rFonts w:cs="Times New Roman"/>
          <w:szCs w:val="24"/>
        </w:rPr>
        <w:t xml:space="preserve">owever this was </w:t>
      </w:r>
      <w:r w:rsidR="00FB3FD5" w:rsidRPr="000D00EA">
        <w:rPr>
          <w:rFonts w:cs="Times New Roman"/>
          <w:szCs w:val="24"/>
        </w:rPr>
        <w:t>not observed when dietary supplements were removed from the analysis</w:t>
      </w:r>
      <w:r w:rsidRPr="000D00EA">
        <w:rPr>
          <w:rFonts w:cs="Times New Roman"/>
          <w:szCs w:val="24"/>
        </w:rPr>
        <w:t>. Across all participants, the intake of several micronutrients was suboptimal. There was no difference in protein or calorie intake, or body mass index, according to food allergic status.</w:t>
      </w:r>
    </w:p>
    <w:p w14:paraId="6AE92590" w14:textId="4056C653" w:rsidR="00071E85" w:rsidRPr="000D00EA" w:rsidRDefault="00F026FD" w:rsidP="00826191">
      <w:pPr>
        <w:spacing w:line="360" w:lineRule="auto"/>
        <w:jc w:val="both"/>
        <w:rPr>
          <w:rFonts w:cs="Times New Roman"/>
          <w:szCs w:val="24"/>
        </w:rPr>
      </w:pPr>
      <w:r w:rsidRPr="000D00EA">
        <w:rPr>
          <w:rFonts w:cs="Times New Roman"/>
          <w:szCs w:val="24"/>
        </w:rPr>
        <w:t xml:space="preserve">Conclusions: The dietary intake of food allergic participants was broadly similar and in some cases better than that of control participants. However suboptimal intakes of several micronutrients were observed across all participants, suggesting poor food choices. </w:t>
      </w:r>
      <w:r w:rsidR="00071E85" w:rsidRPr="000D00EA">
        <w:rPr>
          <w:rFonts w:cs="Times New Roman"/>
          <w:szCs w:val="24"/>
        </w:rPr>
        <w:br w:type="page"/>
      </w:r>
    </w:p>
    <w:p w14:paraId="293BF9E4" w14:textId="53B5CC7E" w:rsidR="00751B05" w:rsidRPr="000D00EA" w:rsidRDefault="00951A8B">
      <w:pPr>
        <w:spacing w:line="360" w:lineRule="auto"/>
        <w:rPr>
          <w:rFonts w:cs="Times New Roman"/>
          <w:b/>
          <w:szCs w:val="24"/>
        </w:rPr>
      </w:pPr>
      <w:r w:rsidRPr="000D00EA">
        <w:rPr>
          <w:rFonts w:cs="Times New Roman"/>
          <w:b/>
          <w:szCs w:val="24"/>
        </w:rPr>
        <w:lastRenderedPageBreak/>
        <w:t>I</w:t>
      </w:r>
      <w:r w:rsidR="00071E85" w:rsidRPr="000D00EA">
        <w:rPr>
          <w:rFonts w:cs="Times New Roman"/>
          <w:b/>
          <w:szCs w:val="24"/>
        </w:rPr>
        <w:t>ntroduction</w:t>
      </w:r>
    </w:p>
    <w:p w14:paraId="7CEE782A" w14:textId="5BB23CF2" w:rsidR="003F1856" w:rsidRPr="000D00EA" w:rsidRDefault="003F1856">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Food allergy is deﬁned as a</w:t>
      </w:r>
      <w:r w:rsidR="006961FC" w:rsidRPr="000D00EA">
        <w:rPr>
          <w:rFonts w:cs="Times New Roman"/>
          <w:szCs w:val="24"/>
        </w:rPr>
        <w:t xml:space="preserve"> reproducible</w:t>
      </w:r>
      <w:r w:rsidRPr="000D00EA">
        <w:rPr>
          <w:rFonts w:cs="Times New Roman"/>
          <w:szCs w:val="24"/>
        </w:rPr>
        <w:t xml:space="preserve"> adverse immune response to a food</w:t>
      </w:r>
      <w:r w:rsidR="00F21891" w:rsidRPr="000D00EA">
        <w:rPr>
          <w:rFonts w:cs="Times New Roman"/>
          <w:szCs w:val="24"/>
        </w:rPr>
        <w:t xml:space="preserve"> </w:t>
      </w:r>
      <w:r w:rsidR="00F21891" w:rsidRPr="000D00EA">
        <w:rPr>
          <w:rFonts w:cs="Times New Roman"/>
          <w:szCs w:val="24"/>
        </w:rPr>
        <w:fldChar w:fldCharType="begin" w:fldLock="1"/>
      </w:r>
      <w:r w:rsidR="00DB3759" w:rsidRPr="000D00EA">
        <w:rPr>
          <w:rFonts w:cs="Times New Roman"/>
          <w:szCs w:val="24"/>
        </w:rPr>
        <w:instrText>ADDIN CSL_CITATION { "citationItems" : [ { "id" : "ITEM-1", "itemData" : { "DOI" : "10.1016/j.jaci.2003.12.591", "ISBN" : "00916749", "ISSN" : "00916749", "PMID" : "15131563", "abstract" : "The nomenclature proposed in the October 2003 report of the Nomenclature Review Committee of the World Allergy Organization is an update of the European Academy of Allergology and Clinical Immunology Revised Nomenclature for Allergy Position Statement published in 2001. The nomenclature can be used independently of target organ or patient age group and is based on the mechanisms that initiate and mediate allergic reactions. It is assumed that as knowledge about basic causes and mechanisms improves, the nomenclature will need further review.", "author" : [ { "dropping-particle" : "", "family" : "Johansson", "given" : "S. G O", "non-dropping-particle" : "", "parse-names" : false, "suffix" : "" }, { "dropping-particle" : "", "family" : "Bieber", "given" : "Thomas", "non-dropping-particle" : "", "parse-names" : false, "suffix" : "" }, { "dropping-particle" : "", "family" : "Dahl", "given" : "Ronald", "non-dropping-particle" : "", "parse-names" : false, "suffix" : "" }, { "dropping-particle" : "", "family" : "Friedmann", "given" : "Peter S.", "non-dropping-particle" : "", "parse-names" : false, "suffix" : "" }, { "dropping-particle" : "", "family" : "Lanier", "given" : "Bobby Q.", "non-dropping-particle" : "", "parse-names" : false, "suffix" : "" }, { "dropping-particle" : "", "family" : "Lockey", "given" : "Richard F.", "non-dropping-particle" : "", "parse-names" : false, "suffix" : "" }, { "dropping-particle" : "", "family" : "Motala", "given" : "Cassim", "non-dropping-particle" : "", "parse-names" : false, "suffix" : "" }, { "dropping-particle" : "", "family" : "Ortega Martell", "given" : "Jose a.", "non-dropping-particle" : "", "parse-names" : false, "suffix" : "" }, { "dropping-particle" : "", "family" : "Platts-Mills", "given" : "Thomas a E", "non-dropping-particle" : "", "parse-names" : false, "suffix" : "" }, { "dropping-particle" : "", "family" : "Ring", "given" : "Johannes", "non-dropping-particle" : "", "parse-names" : false, "suffix" : "" }, { "dropping-particle" : "", "family" : "Thien", "given" : "Frank", "non-dropping-particle" : "", "parse-names" : false, "suffix" : "" }, { "dropping-particle" : "", "family" : "Cauwenberge", "given" : "Paul", "non-dropping-particle" : "Van", "parse-names" : false, "suffix" : "" }, { "dropping-particle" : "", "family" : "Williams", "given" : "Hywel C.", "non-dropping-particle" : "", "parse-names" : false, "suffix" : "" } ], "container-title" : "Journal of Allergy and Clinical Immunology", "id" : "ITEM-1", "issue" : "5", "issued" : { "date-parts" : [ [ "2004" ] ] }, "page" : "832-836", "title" : "Revised nomenclature for allergy for global use: Report of the Nomenclature Review Committee of the World Allergy Organization, October 2003", "type" : "article-journal", "volume" : "113" }, "uris" : [ "http://www.mendeley.com/documents/?uuid=9475cb84-cfeb-4df8-a650-5129349e6f91" ] } ], "mendeley" : { "formattedCitation" : "&lt;sup&gt;(1)&lt;/sup&gt;", "plainTextFormattedCitation" : "(1)", "previouslyFormattedCitation" : "&lt;sup&gt;(1)&lt;/sup&gt;" }, "properties" : { "noteIndex" : 0 }, "schema" : "https://github.com/citation-style-language/schema/raw/master/csl-citation.json" }</w:instrText>
      </w:r>
      <w:r w:rsidR="00F21891" w:rsidRPr="000D00EA">
        <w:rPr>
          <w:rFonts w:cs="Times New Roman"/>
          <w:szCs w:val="24"/>
        </w:rPr>
        <w:fldChar w:fldCharType="separate"/>
      </w:r>
      <w:r w:rsidR="00DB3759" w:rsidRPr="000D00EA">
        <w:rPr>
          <w:rFonts w:cs="Times New Roman"/>
          <w:noProof/>
          <w:szCs w:val="24"/>
          <w:vertAlign w:val="superscript"/>
        </w:rPr>
        <w:t>(1)</w:t>
      </w:r>
      <w:r w:rsidR="00F21891" w:rsidRPr="000D00EA">
        <w:rPr>
          <w:rFonts w:cs="Times New Roman"/>
          <w:szCs w:val="24"/>
        </w:rPr>
        <w:fldChar w:fldCharType="end"/>
      </w:r>
      <w:r w:rsidRPr="000D00EA">
        <w:rPr>
          <w:rFonts w:cs="Times New Roman"/>
          <w:szCs w:val="24"/>
        </w:rPr>
        <w:t xml:space="preserve">. </w:t>
      </w:r>
      <w:r w:rsidR="006961FC" w:rsidRPr="000D00EA">
        <w:rPr>
          <w:rFonts w:cs="Times New Roman"/>
          <w:szCs w:val="24"/>
        </w:rPr>
        <w:t>The prevalence of food allergy in Europe across all ages is estimated to be 0.6-6%, dependent on method of diagnosis</w:t>
      </w:r>
      <w:r w:rsidR="00F21891" w:rsidRPr="000D00EA">
        <w:rPr>
          <w:rFonts w:cs="Times New Roman"/>
          <w:szCs w:val="24"/>
        </w:rPr>
        <w:t xml:space="preserve"> </w:t>
      </w:r>
      <w:r w:rsidR="00F21891" w:rsidRPr="000D00EA">
        <w:rPr>
          <w:rFonts w:cs="Times New Roman"/>
          <w:szCs w:val="24"/>
        </w:rPr>
        <w:fldChar w:fldCharType="begin" w:fldLock="1"/>
      </w:r>
      <w:r w:rsidR="00DB3759" w:rsidRPr="000D00EA">
        <w:rPr>
          <w:rFonts w:cs="Times New Roman"/>
          <w:szCs w:val="24"/>
        </w:rPr>
        <w:instrText>ADDIN CSL_CITATION { "citationItems" : [ { "id" : "ITEM-1", "itemData" : { "DOI" : "10.1111/all.12423", "ISSN" : "13989995", "PMID" : "24816523", "abstract" : "Allergy to cow's milk, egg, wheat, soy, peanut, tree nuts, fish, and shellfish constitutes the majority of food allergy reactions, but reliable estimates of their prevalence are lacking. This systematic review aimed to provide up-to-date estimates of their prevalence in Europe.Studies published in Europe from January 1, 2000, to September 30, 2012, were identified from searches of four electronic databases. Two independent reviewers appraised the studies and extracted the estimates of interest. Data were pooled using random-effects meta-analyses. Fifty studies were included in a narrative synthesis and 42 studies in the meta-analyses. Although there were significant heterogeneity between the studies, the overall pooled estimates for all age groups of self-reported lifetime prevalence of allergy to cow's milk, egg, wheat, soy, peanut, tree nuts, fish, and shellfish were 6.0% (95% confidence interval: 5.7-6.4), 2.5% (2.3-2.7), 3.6% (3.0-4.2), 0.4% (0.3-0.6), 1.3% (1.2-1.5), 2.2% (1.8-2.5), and 1.3% (0.9-1.7), respectively. The prevalence of food-challenge-defined allergy to cow's milk, egg, wheat, soy, peanut, tree nuts, fish, and shellfish was 0.6% (0.5-0.8), 0.2% (0.2-0.3), 0.1% (0.01-0.2), 0.3% (0.1-0.4), 0.2% (0.2-0.3), 0.5% (0.08-0.8), 0.1% (0.02-0.2), and 0.1% (0.06-0.3), respectively. Allergy to cow's milk and egg was more common among younger children, while allergy to peanut, tree nuts, fish, and shellfish was more common among the older ones. There were insufficient data to compare the estimates of soy and wheat allergy between the age groups. Allergy to most foods, except soy and peanut, appeared to be more common in Northern Europe. In summary, the lifetime self-reported prevalence of allergy to common foods in Europe ranged from 0.1 to 6.0%. The heterogeneity between studies was high, and participation rates varied across studies reaching as low as &lt;20% in some studies. Standardizing the methods of assessment of food allergies and initiating strategies to increase participation will advance this evidence base.", "author" : [ { "dropping-particle" : "", "family" : "Nwaru", "given" : "B. I.", "non-dropping-particle" : "", "parse-names" : false, "suffix" : "" }, { "dropping-particle" : "", "family" : "Hickstein", "given" : "L.", "non-dropping-particle" : "", "parse-names" : false, "suffix" : "" }, { "dropping-particle" : "", "family" : "Panesar", "given" : "S. S.", "non-dropping-particle" : "", "parse-names" : false, "suffix" : "" }, { "dropping-particle" : "", "family" : "Roberts", "given" : "G.", "non-dropping-particle" : "", "parse-names" : false, "suffix" : "" }, { "dropping-particle" : "", "family" : "Muraro", "given" : "a.", "non-dropping-particle" : "", "parse-names" : false, "suffix" : "" }, { "dropping-particle" : "", "family" : "Sheikh", "given" : "a.", "non-dropping-particle" : "", "parse-names" : false, "suffix" : "" } ], "container-title" : "Allergy: European Journal of Allergy and Clinical Immunology", "id" : "ITEM-1", "issue" : "8", "issued" : { "date-parts" : [ [ "2014" ] ] }, "page" : "992-1007", "title" : "Prevalence of common food allergies in Europe: A systematic review and meta-analysis", "type" : "article-journal", "volume" : "69" }, "uris" : [ "http://www.mendeley.com/documents/?uuid=1fdf0624-b7c6-42ce-8021-da2b660cdf3d" ] } ], "mendeley" : { "formattedCitation" : "&lt;sup&gt;(2)&lt;/sup&gt;", "plainTextFormattedCitation" : "(2)", "previouslyFormattedCitation" : "&lt;sup&gt;(2)&lt;/sup&gt;" }, "properties" : { "noteIndex" : 0 }, "schema" : "https://github.com/citation-style-language/schema/raw/master/csl-citation.json" }</w:instrText>
      </w:r>
      <w:r w:rsidR="00F21891" w:rsidRPr="000D00EA">
        <w:rPr>
          <w:rFonts w:cs="Times New Roman"/>
          <w:szCs w:val="24"/>
        </w:rPr>
        <w:fldChar w:fldCharType="separate"/>
      </w:r>
      <w:r w:rsidR="00DB3759" w:rsidRPr="000D00EA">
        <w:rPr>
          <w:rFonts w:cs="Times New Roman"/>
          <w:noProof/>
          <w:szCs w:val="24"/>
          <w:vertAlign w:val="superscript"/>
        </w:rPr>
        <w:t>(2)</w:t>
      </w:r>
      <w:r w:rsidR="00F21891" w:rsidRPr="000D00EA">
        <w:rPr>
          <w:rFonts w:cs="Times New Roman"/>
          <w:szCs w:val="24"/>
        </w:rPr>
        <w:fldChar w:fldCharType="end"/>
      </w:r>
      <w:r w:rsidR="006961FC" w:rsidRPr="000D00EA">
        <w:rPr>
          <w:rFonts w:cs="Times New Roman"/>
          <w:szCs w:val="24"/>
        </w:rPr>
        <w:t xml:space="preserve">. </w:t>
      </w:r>
      <w:r w:rsidRPr="000D00EA">
        <w:rPr>
          <w:rFonts w:cs="Times New Roman"/>
          <w:szCs w:val="24"/>
        </w:rPr>
        <w:t xml:space="preserve">Eight </w:t>
      </w:r>
      <w:r w:rsidR="001D6321" w:rsidRPr="000D00EA">
        <w:rPr>
          <w:rFonts w:cs="Times New Roman"/>
          <w:szCs w:val="24"/>
        </w:rPr>
        <w:t>foods:</w:t>
      </w:r>
      <w:r w:rsidRPr="000D00EA">
        <w:rPr>
          <w:rFonts w:cs="Times New Roman"/>
          <w:szCs w:val="24"/>
        </w:rPr>
        <w:t xml:space="preserve"> cows’ milk, hens’ egg, soy, peanuts, tree nuts, wheat, fish, and shellfish, account for more than 90% of childhood cases of food allergy</w:t>
      </w:r>
      <w:r w:rsidR="00F21891" w:rsidRPr="000D00EA">
        <w:rPr>
          <w:rFonts w:cs="Times New Roman"/>
          <w:szCs w:val="24"/>
        </w:rPr>
        <w:t xml:space="preserve"> </w:t>
      </w:r>
      <w:r w:rsidR="00F21891" w:rsidRPr="000D00EA">
        <w:rPr>
          <w:rFonts w:cs="Times New Roman"/>
          <w:szCs w:val="24"/>
        </w:rPr>
        <w:fldChar w:fldCharType="begin" w:fldLock="1"/>
      </w:r>
      <w:r w:rsidR="00DB3759" w:rsidRPr="000D00EA">
        <w:rPr>
          <w:rFonts w:cs="Times New Roman"/>
          <w:szCs w:val="24"/>
        </w:rPr>
        <w:instrText>ADDIN CSL_CITATION { "citationItems" : [ { "id" : "ITEM-1", "itemData" : { "DOI" : "10.1016/j.jaci.2010.10.007", "ISBN" : "2008009696", "ISSN" : "1097-6825", "PMID" : "21134576", "abstract" : "Food allergy is an important public health problem that affects children and adults and may be increasing in prevalence. Despite the risk of severe allergic reactions and even death, there is no current treatment for food allergy: the disease can only be managed by allergen avoidance or treatment of symptoms. The diagnosis and management of food allergy also may vary from one clinical practice setting to another. Finally, because patients frequently confuse nonallergic food reactions, such as food intolerance, with food allergies, there is an unfounded belief among the public that food allergy prevalence is higher than it truly is. In response to these concerns, the National Institute of Allergy and Infectious Diseases, working with 34 professional organizations, federal agencies, and patient advocacy groups, led the development of clinical guidelines for the diagnosis and management of food allergy. These Guidelines are intended for use by a wide variety of health care professionals, including family practice physicians, clinical specialists, and nurse practitioners. The Guidelines include a consensus definition for food allergy, discuss comorbid conditions often associated with food allergy, and focus on both IgE-mediated and non-IgE-mediated reactions to food. Topics addressed include the epidemiology, natural history, diagnosis, and management of food allergy, as well as the management of severe symptoms and anaphylaxis. These Guidelines provide 43 concise clinical recommendations and additional guidance on points of current controversy in patient management. They also identify gaps in the current scientific knowledge to be addressed through future research.", "author" : [ { "dropping-particle" : "", "family" : "Boyce", "given" : "Joshua A", "non-dropping-particle" : "", "parse-names" : false, "suffix" : "" }, { "dropping-particle" : "", "family" : "Assa'ad", "given" : "Amal", "non-dropping-particle" : "", "parse-names" : false, "suffix" : "" }, { "dropping-particle" : "", "family" : "Burks", "given" : "A Wesley", "non-dropping-particle" : "", "parse-names" : false, "suffix" : "" }, { "dropping-particle" : "", "family" : "Jones", "given" : "Stacie M", "non-dropping-particle" : "", "parse-names" : false, "suffix" : "" }, { "dropping-particle" : "", "family" : "Sampson", "given" : "Hugh A", "non-dropping-particle" : "", "parse-names" : false, "suffix" : "" }, { "dropping-particle" : "", "family" : "Wood", "given" : "Robert A", "non-dropping-particle" : "", "parse-names" : false, "suffix" : "" }, { "dropping-particle" : "", "family" : "Plaut", "given" : "Marshall", "non-dropping-particle" : "", "parse-names" : false, "suffix" : "" }, { "dropping-particle" : "", "family" : "Cooper", "given" : "Susan F", "non-dropping-particle" : "", "parse-names" : false, "suffix" : "" }, { "dropping-particle" : "", "family" : "Fenton", "given" : "Matthew J", "non-dropping-particle" : "", "parse-names" : false, "suffix" : "" }, { "dropping-particle" : "", "family" : "Arshad", "given" : "S Hasan", "non-dropping-particle" : "", "parse-names" : false, "suffix" : "" }, { "dropping-particle" : "", "family" : "Bahna", "given" : "Sami L", "non-dropping-particle" : "", "parse-names" : false, "suffix" : "" }, { "dropping-particle" : "", "family" : "Beck", "given" : "Lisa A", "non-dropping-particle" : "", "parse-names" : false, "suffix" : "" }, { "dropping-particle" : "", "family" : "Byrd-Bredbenner", "given" : "Carol", "non-dropping-particle" : "", "parse-names" : false, "suffix" : "" }, { "dropping-particle" : "", "family" : "Camargo", "given" : "Carlos A", "non-dropping-particle" : "", "parse-names" : false, "suffix" : "" }, { "dropping-particle" : "", "family" : "Eichenfield", "given" : "Lawrence", "non-dropping-particle" : "", "parse-names" : false, "suffix" : "" }, { "dropping-particle" : "", "family" : "Furuta", "given" : "Glenn T", "non-dropping-particle" : "", "parse-names" : false, "suffix" : "" }, { "dropping-particle" : "", "family" : "Hanifin", "given" : "Jon M", "non-dropping-particle" : "", "parse-names" : false, "suffix" : "" }, { "dropping-particle" : "", "family" : "Jones", "given" : "Carol", "non-dropping-particle" : "", "parse-names" : false, "suffix" : "" }, { "dropping-particle" : "", "family" : "Kraft", "given" : "Monica", "non-dropping-particle" : "", "parse-names" : false, "suffix" : "" }, { "dropping-particle" : "", "family" : "Levy", "given" : "Bruce D", "non-dropping-particle" : "", "parse-names" : false, "suffix" : "" }, { "dropping-particle" : "", "family" : "Lieberman", "given" : "Phil", "non-dropping-particle" : "", "parse-names" : false, "suffix" : "" }, { "dropping-particle" : "", "family" : "Luccioli", "given" : "Stefano", "non-dropping-particle" : "", "parse-names" : false, "suffix" : "" }, { "dropping-particle" : "", "family" : "McCall", "given" : "Kathleen M", "non-dropping-particle" : "", "parse-names" : false, "suffix" : "" }, { "dropping-particle" : "", "family" : "Schneider", "given" : "Lynda C", "non-dropping-particle" : "", "parse-names" : false, "suffix" : "" }, { "dropping-particle" : "", "family" : "Simon", "given" : "Ronald A", "non-dropping-particle" : "", "parse-names" : false, "suffix" : "" }, { "dropping-particle" : "", "family" : "Simons", "given" : "F Estelle R", "non-dropping-particle" : "", "parse-names" : false, "suffix" : "" }, { "dropping-particle" : "", "family" : "Teach", "given" : "Stephen J", "non-dropping-particle" : "", "parse-names" : false, "suffix" : "" }, { "dropping-particle" : "", "family" : "Yawn", "given" : "Barbara P", "non-dropping-particle" : "", "parse-names" : false, "suffix" : "" }, { "dropping-particle" : "", "family" : "Schwaninger", "given" : "Julie M", "non-dropping-particle" : "", "parse-names" : false, "suffix" : "" } ], "container-title" : "Journal of Allergy and Clinical Immunology", "id" : "ITEM-1", "issue" : "6 Suppl", "issued" : { "date-parts" : [ [ "2010" ] ] }, "page" : "S1-S58", "title" : "Guidelines for the diagnosis and management of food allergy in the United States: report of the NIAID-sponsored expert panel.", "type" : "paper-conference", "volume" : "126" }, "uris" : [ "http://www.mendeley.com/documents/?uuid=7b93d255-a137-4031-abbb-0e5658258734" ] } ], "mendeley" : { "formattedCitation" : "&lt;sup&gt;(3)&lt;/sup&gt;", "plainTextFormattedCitation" : "(3)", "previouslyFormattedCitation" : "&lt;sup&gt;(3)&lt;/sup&gt;" }, "properties" : { "noteIndex" : 0 }, "schema" : "https://github.com/citation-style-language/schema/raw/master/csl-citation.json" }</w:instrText>
      </w:r>
      <w:r w:rsidR="00F21891" w:rsidRPr="000D00EA">
        <w:rPr>
          <w:rFonts w:cs="Times New Roman"/>
          <w:szCs w:val="24"/>
        </w:rPr>
        <w:fldChar w:fldCharType="separate"/>
      </w:r>
      <w:r w:rsidR="00DB3759" w:rsidRPr="000D00EA">
        <w:rPr>
          <w:rFonts w:cs="Times New Roman"/>
          <w:noProof/>
          <w:szCs w:val="24"/>
          <w:vertAlign w:val="superscript"/>
        </w:rPr>
        <w:t>(3)</w:t>
      </w:r>
      <w:r w:rsidR="00F21891" w:rsidRPr="000D00EA">
        <w:rPr>
          <w:rFonts w:cs="Times New Roman"/>
          <w:szCs w:val="24"/>
        </w:rPr>
        <w:fldChar w:fldCharType="end"/>
      </w:r>
      <w:r w:rsidR="00D942FE" w:rsidRPr="000D00EA">
        <w:rPr>
          <w:rFonts w:cs="Times New Roman"/>
          <w:szCs w:val="24"/>
        </w:rPr>
        <w:t>.</w:t>
      </w:r>
      <w:r w:rsidR="0079206E" w:rsidRPr="000D00EA">
        <w:rPr>
          <w:rFonts w:cs="Times New Roman"/>
          <w:szCs w:val="24"/>
        </w:rPr>
        <w:t xml:space="preserve"> </w:t>
      </w:r>
      <w:r w:rsidRPr="000D00EA">
        <w:rPr>
          <w:rFonts w:cs="Times New Roman"/>
          <w:szCs w:val="24"/>
        </w:rPr>
        <w:t xml:space="preserve">Typically, adult food allergy is caused by a more diverse range of foods, including fruit and vegetables, and may present differently than in children. At present there is no cure </w:t>
      </w:r>
      <w:proofErr w:type="gramStart"/>
      <w:r w:rsidR="00041B50" w:rsidRPr="000D00EA">
        <w:rPr>
          <w:rFonts w:cs="Times New Roman"/>
          <w:szCs w:val="24"/>
        </w:rPr>
        <w:t>available</w:t>
      </w:r>
      <w:r w:rsidR="00366315" w:rsidRPr="000D00EA">
        <w:rPr>
          <w:rFonts w:cs="Times New Roman"/>
          <w:szCs w:val="24"/>
        </w:rPr>
        <w:t>,</w:t>
      </w:r>
      <w:proofErr w:type="gramEnd"/>
      <w:r w:rsidR="00366315" w:rsidRPr="000D00EA">
        <w:rPr>
          <w:rFonts w:cs="Times New Roman"/>
        </w:rPr>
        <w:t xml:space="preserve"> management requires the individual to consume an exclusion diet avoiding the causative allergen</w:t>
      </w:r>
      <w:r w:rsidR="005C2AEE" w:rsidRPr="000D00EA">
        <w:rPr>
          <w:rFonts w:cs="Times New Roman"/>
          <w:szCs w:val="24"/>
        </w:rPr>
        <w:t xml:space="preserve">. </w:t>
      </w:r>
      <w:r w:rsidRPr="000D00EA">
        <w:rPr>
          <w:rFonts w:cs="Times New Roman"/>
          <w:szCs w:val="24"/>
        </w:rPr>
        <w:t xml:space="preserve">Therefore the main goals in the management of food allergy are to </w:t>
      </w:r>
      <w:r w:rsidR="005C2AEE" w:rsidRPr="000D00EA">
        <w:rPr>
          <w:rFonts w:cs="Times New Roman"/>
          <w:szCs w:val="24"/>
        </w:rPr>
        <w:t>avoid</w:t>
      </w:r>
      <w:r w:rsidRPr="000D00EA">
        <w:rPr>
          <w:rFonts w:cs="Times New Roman"/>
          <w:szCs w:val="24"/>
        </w:rPr>
        <w:t xml:space="preserve"> the offending food(s), whilst providing an adequate, healthy </w:t>
      </w:r>
      <w:r w:rsidR="00012415" w:rsidRPr="000D00EA">
        <w:rPr>
          <w:rFonts w:cs="Times New Roman"/>
          <w:szCs w:val="24"/>
        </w:rPr>
        <w:t>and nutritionally balanced diet</w:t>
      </w:r>
      <w:r w:rsidR="00F21891" w:rsidRPr="000D00EA">
        <w:rPr>
          <w:rFonts w:cs="Times New Roman"/>
          <w:szCs w:val="24"/>
        </w:rPr>
        <w:t xml:space="preserve"> </w:t>
      </w:r>
      <w:r w:rsidR="00F21891" w:rsidRPr="000D00EA">
        <w:rPr>
          <w:rFonts w:cs="Times New Roman"/>
          <w:szCs w:val="24"/>
        </w:rPr>
        <w:fldChar w:fldCharType="begin" w:fldLock="1"/>
      </w:r>
      <w:r w:rsidR="00DB3759" w:rsidRPr="000D00EA">
        <w:rPr>
          <w:rFonts w:cs="Times New Roman"/>
          <w:szCs w:val="24"/>
        </w:rPr>
        <w:instrText>ADDIN CSL_CITATION { "citationItems" : [ { "id" : "ITEM-1", "itemData" : { "DOI" : "10.1155/2012/269376", "ISBN" : "1687-9791 (Electronic)\\n1687-9783 (Linking)", "ISSN" : "1687-9783", "PMID" : "23150738", "abstract" : "Many common foods including cow's milk, hen's egg, soya, peanut, tree nuts, fish, shellfish, and wheat may cause food allergies. The prevalence of these immune-mediated adverse reactions to foods ranges from 0.5% to 9% in different populations. In simple terms, the cornerstone of managing food allergy is to avoid consumption of foods causing symptoms and to replace them with nutritionally equivalent foods. If poorly managed, food allergy impairs quality of life more than necessary, affects normal growth in children, and causes an additional economic burden to society. Delay in diagnosis may be a further incremental factor. Thus, an increased awareness of the appropriate procedures for both diagnosis and management is of importance. This paper sets out to present principles for taking an allergy-focused diet history as part of the diagnostic work-up of food allergy. A short overview of guidelines and principles for dietary management of food allergy is discussed focusing on the nutritional management of food allergies and the particular role of the dietitian in this process.", "author" : [ { "dropping-particle" : "", "family" : "Venter", "given" : "", "non-dropping-particle" : "", "parse-names" : false, "suffix" : "" }, { "dropping-particle" : "", "family" : "Laitinen", "given" : "Kirsi", "non-dropping-particle" : "", "parse-names" : false, "suffix" : "" }, { "dropping-particle" : "", "family" : "Vlieg-Boerstra", "given" : "Berber", "non-dropping-particle" : "", "parse-names" : false, "suffix" : "" } ], "container-title" : "Journal of Allergy", "id" : "ITEM-1", "issued" : { "date-parts" : [ [ "2012" ] ] }, "page" : "1-11", "title" : "Nutritional Aspects in Diagnosis and Management of Food Hypersensitivity\u2014The Dietitians Role", "type" : "article-journal", "volume" : "2012" }, "uris" : [ "http://www.mendeley.com/documents/?uuid=51c636e6-79c9-4221-a9fa-ee1972a0425e" ] } ], "mendeley" : { "formattedCitation" : "&lt;sup&gt;(4)&lt;/sup&gt;", "plainTextFormattedCitation" : "(4)", "previouslyFormattedCitation" : "&lt;sup&gt;(4)&lt;/sup&gt;" }, "properties" : { "noteIndex" : 0 }, "schema" : "https://github.com/citation-style-language/schema/raw/master/csl-citation.json" }</w:instrText>
      </w:r>
      <w:r w:rsidR="00F21891" w:rsidRPr="000D00EA">
        <w:rPr>
          <w:rFonts w:cs="Times New Roman"/>
          <w:szCs w:val="24"/>
        </w:rPr>
        <w:fldChar w:fldCharType="separate"/>
      </w:r>
      <w:r w:rsidR="00DB3759" w:rsidRPr="000D00EA">
        <w:rPr>
          <w:rFonts w:cs="Times New Roman"/>
          <w:noProof/>
          <w:szCs w:val="24"/>
          <w:vertAlign w:val="superscript"/>
        </w:rPr>
        <w:t>(4)</w:t>
      </w:r>
      <w:r w:rsidR="00F21891" w:rsidRPr="000D00EA">
        <w:rPr>
          <w:rFonts w:cs="Times New Roman"/>
          <w:szCs w:val="24"/>
        </w:rPr>
        <w:fldChar w:fldCharType="end"/>
      </w:r>
      <w:r w:rsidRPr="000D00EA">
        <w:rPr>
          <w:rFonts w:cs="Times New Roman"/>
          <w:szCs w:val="24"/>
        </w:rPr>
        <w:t xml:space="preserve">. </w:t>
      </w:r>
    </w:p>
    <w:p w14:paraId="2FA3E0DA" w14:textId="77777777" w:rsidR="000D4174" w:rsidRPr="000D00EA" w:rsidRDefault="003F1856" w:rsidP="000D4174">
      <w:pPr>
        <w:widowControl w:val="0"/>
        <w:autoSpaceDE w:val="0"/>
        <w:autoSpaceDN w:val="0"/>
        <w:adjustRightInd w:val="0"/>
        <w:spacing w:line="360" w:lineRule="auto"/>
        <w:ind w:firstLine="720"/>
        <w:jc w:val="both"/>
        <w:rPr>
          <w:rFonts w:ascii="Arial" w:hAnsi="Arial" w:cs="Arial"/>
        </w:rPr>
      </w:pPr>
      <w:r w:rsidRPr="000D00EA">
        <w:rPr>
          <w:rFonts w:cs="Times New Roman"/>
          <w:szCs w:val="24"/>
        </w:rPr>
        <w:t>A number of studies have</w:t>
      </w:r>
      <w:r w:rsidR="005F7C83" w:rsidRPr="000D00EA">
        <w:rPr>
          <w:rFonts w:cs="Times New Roman"/>
          <w:szCs w:val="24"/>
        </w:rPr>
        <w:t xml:space="preserve"> investigated</w:t>
      </w:r>
      <w:r w:rsidRPr="000D00EA">
        <w:rPr>
          <w:rFonts w:cs="Times New Roman"/>
          <w:szCs w:val="24"/>
        </w:rPr>
        <w:t xml:space="preserve"> the diets of infants and children with </w:t>
      </w:r>
      <w:r w:rsidR="000A412A" w:rsidRPr="000D00EA">
        <w:rPr>
          <w:rFonts w:cs="Times New Roman"/>
          <w:szCs w:val="24"/>
        </w:rPr>
        <w:t>milk</w:t>
      </w:r>
      <w:r w:rsidRPr="000D00EA">
        <w:rPr>
          <w:rFonts w:cs="Times New Roman"/>
          <w:szCs w:val="24"/>
        </w:rPr>
        <w:t xml:space="preserve"> and multiple food allergies, demonstrating differences in protein, calcium, zinc, vitamin D and iron intakes</w:t>
      </w:r>
      <w:r w:rsidR="00F21891" w:rsidRPr="000D00EA">
        <w:rPr>
          <w:rFonts w:cs="Times New Roman"/>
          <w:szCs w:val="24"/>
        </w:rPr>
        <w:t xml:space="preserve"> </w:t>
      </w:r>
      <w:r w:rsidR="00F21891" w:rsidRPr="000D00EA">
        <w:rPr>
          <w:rFonts w:cs="Times New Roman"/>
          <w:szCs w:val="24"/>
        </w:rPr>
        <w:fldChar w:fldCharType="begin" w:fldLock="1"/>
      </w:r>
      <w:r w:rsidR="00DB3759" w:rsidRPr="000D00EA">
        <w:rPr>
          <w:rFonts w:cs="Times New Roman"/>
          <w:szCs w:val="24"/>
        </w:rPr>
        <w:instrText>ADDIN CSL_CITATION { "citationItems" : [ { "id" : "ITEM-1",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"ITEM-1", "issued" : { "date-parts" : [ [ "2011" ] ] }, "page" : "161-165", "title" : "Diet and nutritional status of children with food allergies.", "type" : "article-journal", "volume" : "22" }, "uris" : [ "http://www.mendeley.com/documents/?uuid=47eac944-9222-4200-b202-eb5eb10e7048" ] }, { "id" : "ITEM-2",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"ITEM-2", "issue" : "11", "issued" : { "date-parts" : [ [ "2002" ] ] }, "page" : "1648-1651", "title" : "Food allergies in children affect nutrient intake and growth", "type" : "article-journal", "volume" : "102" }, "uris" : [ "http://www.mendeley.com/documents/?uuid=6827fd55-4c0e-4fa4-8211-21434ef4c92f" ] }, { "id" : "ITEM-3", "itemData" : { "ISSN" : "0803-5253", "PMID" : "10772273", "abstract" : "Approximately 2-3% of young children develop allergy or intolerance to cows' milk. The only available treatment is elimination of milk from the diet. However, as milk is an important source of nutrients in childhood, a milk-free diet may not adequately meet the child's nutritional needs. A dietary survey was conducted to assess the nutrient intake of children on cows' milk-restricted diets. A population-based sample of families with young children (31-37 mo) with adverse reaction to cows' milk and/or eggs was contacted, of which 75% agreed to complete a dietary intake assessment. Dietary intake was assessed using a 4-d weighed recording. The nutrient intake in a group of children on cows' milk protein-free (n = 16) and cows' milk reduced (n = 8) diets were compared to a group of cows' milk consumers (n = 10). There were significant differences in nutrient intake of children on milk-free diets and children consuming milk. Children on milk-free diets had significantly lower intake of energy, fat, protein, calcium, riboflavin and niacin. Use of milk substitutes improved the nutritional content of the cows' milk-free diets; however, the recommendations for riboflavin and calcium were still not met. CONCLUSION: The results reveal a risk for malnutrition in children on cows' milk-free diets, unless precautions are taken to replace the valuable nutrients from milk in the diet. Parents of children on milk-free diets need advice about food choices in order to reduce the risk of low intake of energy, fat and protein. Supplements with calcium, vitamin D and riboflavin are indicated.", "author" : [ { "dropping-particle" : "", "family" : "Henriksen", "given" : "C", "non-dropping-particle" : "", "parse-names" : false, "suffix" : "" }, { "dropping-particle" : "", "family" : "Eggesb\u00f8", "given" : "M", "non-dropping-particle" : "", "parse-names" : false, "suffix" : "" }, { "dropping-particle" : "", "family" : "Halvorsen", "given" : "R", "non-dropping-particle" : "", "parse-names" : false, "suffix" : "" }, { "dropping-particle" : "", "family" : "Botten", "given" : "G", "non-dropping-particle" : "", "parse-names" : false, "suffix" : "" } ], "container-title" : "Acta paediatrica", "id" : "ITEM-3", "issue" : "3", "issued" : { "date-parts" : [ [ "2000" ] ] }, "page" : "272-278", "title" : "Nutrient intake among two-year-old children on cows' milk-restricted diets.", "type" : "article-journal", "volume" : "89" }, "uris" : [ "http://www.mendeley.com/documents/?uuid=69222114-4e09-4529-8d63-572964d8dbc6" ] } ], "mendeley" : { "formattedCitation" : "&lt;sup&gt;(5\u20137)&lt;/sup&gt;", "plainTextFormattedCitation" : "(5\u20137)", "previouslyFormattedCitation" : "&lt;sup&gt;(5\u20137)&lt;/sup&gt;" }, "properties" : { "noteIndex" : 0 }, "schema" : "https://github.com/citation-style-language/schema/raw/master/csl-citation.json" }</w:instrText>
      </w:r>
      <w:r w:rsidR="00F21891" w:rsidRPr="000D00EA">
        <w:rPr>
          <w:rFonts w:cs="Times New Roman"/>
          <w:szCs w:val="24"/>
        </w:rPr>
        <w:fldChar w:fldCharType="separate"/>
      </w:r>
      <w:r w:rsidR="00DB3759" w:rsidRPr="000D00EA">
        <w:rPr>
          <w:rFonts w:cs="Times New Roman"/>
          <w:noProof/>
          <w:szCs w:val="24"/>
          <w:vertAlign w:val="superscript"/>
        </w:rPr>
        <w:t>(5–7)</w:t>
      </w:r>
      <w:r w:rsidR="00F21891" w:rsidRPr="000D00EA">
        <w:rPr>
          <w:rFonts w:cs="Times New Roman"/>
          <w:szCs w:val="24"/>
        </w:rPr>
        <w:fldChar w:fldCharType="end"/>
      </w:r>
      <w:hyperlink w:anchor="_ENREF_5" w:tooltip="Flammarion, 2011 #215" w:history="1"/>
      <w:hyperlink w:anchor="_ENREF_5" w:tooltip="Christie, 2002 #124" w:history="1"/>
      <w:r w:rsidRPr="000D00EA">
        <w:rPr>
          <w:rFonts w:cs="Times New Roman"/>
          <w:szCs w:val="24"/>
        </w:rPr>
        <w:t xml:space="preserve">. Additionally, research has shown that </w:t>
      </w:r>
      <w:r w:rsidR="00AE3613" w:rsidRPr="000D00EA">
        <w:rPr>
          <w:rFonts w:cs="Times New Roman"/>
          <w:szCs w:val="24"/>
        </w:rPr>
        <w:t xml:space="preserve">infants and </w:t>
      </w:r>
      <w:r w:rsidRPr="000D00EA">
        <w:rPr>
          <w:rFonts w:cs="Times New Roman"/>
          <w:szCs w:val="24"/>
        </w:rPr>
        <w:t>children with cows’ milk allergy (CMA)</w:t>
      </w:r>
      <w:r w:rsidR="00EF6433" w:rsidRPr="000D00EA">
        <w:rPr>
          <w:rFonts w:cs="Times New Roman"/>
          <w:szCs w:val="24"/>
        </w:rPr>
        <w:t xml:space="preserve"> </w:t>
      </w:r>
      <w:r w:rsidR="00F21891" w:rsidRPr="000D00EA">
        <w:rPr>
          <w:rFonts w:cs="Times New Roman"/>
          <w:szCs w:val="24"/>
        </w:rPr>
        <w:fldChar w:fldCharType="begin" w:fldLock="1"/>
      </w:r>
      <w:r w:rsidR="00DB3759" w:rsidRPr="000D00EA">
        <w:rPr>
          <w:rFonts w:cs="Times New Roman"/>
          <w:szCs w:val="24"/>
        </w:rPr>
        <w:instrText>ADDIN CSL_CITATION { "citationItems" : [ { "id" : "ITEM-1", "itemData" : { "DOI" : "10.1016/j.jaci.2014.08.037", "ISSN" : "0091-6749", "author" : [ { "dropping-particle" : "", "family" : "Robbins", "given" : "Karen A", "non-dropping-particle" : "", "parse-names" : false, "suffix" : "" }, { "dropping-particle" : "", "family" : "Wood", "given" : "Robert A", "non-dropping-particle" : "", "parse-names" : false, "suffix" : "" }, { "dropping-particle" : "", "family" : "Keet", "given" : "Corinne A", "non-dropping-particle" : "", "parse-names" : false, "suffix" : "" } ], "container-title" : "Journal of Allergy and Clinical Immunology", "id" : "ITEM-1", "issue" : "6", "issued" : { "date-parts" : [ [ "2014" ] ] }, "page" : "1466-1468.e6", "publisher" : "American Academy of Allergy, Asthma &amp; Immunology", "title" : "Milk allergy is associated with decreased growth in US children", "type" : "article-journal", "volume" : "134" }, "uris" : [ "http://www.mendeley.com/documents/?uuid=44a9d36b-b711-4d7b-9054-025ef91db33a" ] }, { "id" : "ITEM-2", "itemData" : { "DOI" : "10.1186/1471-2431-10-25", "ISSN" : "1471-2431", "PMID" : "20416046", "abstract" : "BACKGROUND: Cow's milk is the most common food allergen in infants and the diagnosis of cow's milk allergy is difficult, even with the use of several diagnostic tests. Therefore, elimination diets and challenge tests are essential for the diagnosis and treatment of this disorder. The aim of this study is to report the clinical presentation and nutritional status of children evaluated by pediatric gastroenterologists for the assessment of symptoms suggestive of cow's milk allergy. METHODS: An observational cross-sectional study was performed among 9,478 patients evaluated by 30 pediatric gastroenterologists for 40 days in 5 different geographical regions in Brazil. Clinical data were collected from patients with symptoms suggestive of cow's milk allergy. The nutritional status of infants (age &lt; or = 24 months) seen for the first time was evaluated according to z-scores for weight-for-age, weight-for-height, and height-for-age. Epi-Info (CDC-NCHS, 2000) software was used to calculate z-scores. RESULTS: The prevalence of suspected cow's milk allergy in the study population was 5.4% (513/9,478), and the incidence was 2.2% (211/9,478). Among 159 infants seen at first evaluation, 15.1% presented with a low weight-for-age z score (&lt; -2.0 standard deviation - SD), 8.7% with a low weight-for-height z score (&lt; -2.0 SD), and 23.9% with a low height-for-age z score (&lt; -2.0 SD). CONCLUSION: The high prevalence of nutritional deficits among infants with symptoms suggestive of cow's milk allergy indicates that effective elimination diets should be prescribed to control allergy symptoms and to prevent or treat malnutrition.", "author" : [ { "dropping-particle" : "", "family" : "Vieira", "given" : "M\u00e1rio C", "non-dropping-particle" : "", "parse-names" : false, "suffix" : "" }, { "dropping-particle" : "", "family" : "Morais", "given" : "Mauro B", "non-dropping-particle" : "", "parse-names" : false, "suffix" : "" }, { "dropping-particle" : "", "family" : "Spolidoro", "given" : "Jos\u00e9 V N", "non-dropping-particle" : "", "parse-names" : false, "suffix" : "" }, { "dropping-particle" : "", "family" : "Toporovski", "given" : "Mauro S", "non-dropping-particle" : "", "parse-names" : false, "suffix" : "" }, { "dropping-particle" : "", "family" : "Cardoso", "given" : "Ary L", "non-dropping-particle" : "", "parse-names" : false, "suffix" : "" }, { "dropping-particle" : "", "family" : "Araujo", "given" : "Gabriela T B", "non-dropping-particle" : "", "parse-names" : false, "suffix" : "" }, { "dropping-particle" : "", "family" : "Nudelman", "given" : "Victor", "non-dropping-particle" : "", "parse-names" : false, "suffix" : "" }, { "dropping-particle" : "", "family" : "Fonseca", "given" : "Marcelo C M", "non-dropping-particle" : "", "parse-names" : false, "suffix" : "" } ], "container-title" : "BMC pediatrics", "id" : "ITEM-2", "issued" : { "date-parts" : [ [ "2010" ] ] }, "page" : "25", "title" : "A survey on clinical presentation and nutritional status of infants with suspected cow' milk allergy.", "type" : "article-journal", "volume" : "10" }, "uris" : [ "http://www.mendeley.com/documents/?uuid=191d3d94-cebe-4602-bcbb-a3128733ae69" ] }, { "id" : "ITEM-3", "itemData" : { "author" : [ { "dropping-particle" : "", "family" : "Thomassen", "given" : "RA", "non-dropping-particle" : "", "parse-names" : false, "suffix" : "" }, { "dropping-particle" : "", "family" : "Kvammen", "given" : "JA", "non-dropping-particle" : "", "parse-names" : false, "suffix" : "" }, { "dropping-particle" : "", "family" : "Eskerud", "given" : "MB", "non-dropping-particle" : "", "parse-names" : false, "suffix" : "" }, { "dropping-particle" : "", "family" : "Juliusson", "given" : "PB", "non-dropping-particle" : "", "parse-names" : false, "suffix" : "" }, { "dropping-particle" : "", "family" : "Henriksen", "given" : "C", "non-dropping-particle" : "", "parse-names" : false, "suffix" : "" }, { "dropping-particle" : "", "family" : "Rugtveit", "given" : "J", "non-dropping-particle" : "", "parse-names" : false, "suffix" : "" } ], "container-title" : "Journal of Pediatric Gastroenterology and Nutrition", "id" : "ITEM-3", "issued" : { "date-parts" : [ [ "2017" ] ] }, "title" : "Iodine Status and Growth in 0-2-Year-Old Infants With Cow's Milk Protein Allergy", "type" : "article-journal", "volume" : "Epub ahead" }, "uris" : [ "http://www.mendeley.com/documents/?uuid=0415c48d-d508-4003-aad7-5a1ddf728523" ] } ], "mendeley" : { "formattedCitation" : "&lt;sup&gt;(8\u201310)&lt;/sup&gt;", "plainTextFormattedCitation" : "(8\u201310)", "previouslyFormattedCitation" : "&lt;sup&gt;(8\u201310)&lt;/sup&gt;" }, "properties" : { "noteIndex" : 0 }, "schema" : "https://github.com/citation-style-language/schema/raw/master/csl-citation.json" }</w:instrText>
      </w:r>
      <w:r w:rsidR="00F21891" w:rsidRPr="000D00EA">
        <w:rPr>
          <w:rFonts w:cs="Times New Roman"/>
          <w:szCs w:val="24"/>
        </w:rPr>
        <w:fldChar w:fldCharType="separate"/>
      </w:r>
      <w:r w:rsidR="00DB3759" w:rsidRPr="000D00EA">
        <w:rPr>
          <w:rFonts w:cs="Times New Roman"/>
          <w:noProof/>
          <w:szCs w:val="24"/>
          <w:vertAlign w:val="superscript"/>
        </w:rPr>
        <w:t>(8–10)</w:t>
      </w:r>
      <w:r w:rsidR="00F21891" w:rsidRPr="000D00EA">
        <w:rPr>
          <w:rFonts w:cs="Times New Roman"/>
          <w:szCs w:val="24"/>
        </w:rPr>
        <w:fldChar w:fldCharType="end"/>
      </w:r>
      <w:r w:rsidR="00ED3E08" w:rsidRPr="000D00EA">
        <w:rPr>
          <w:rFonts w:cs="Times New Roman"/>
          <w:szCs w:val="24"/>
        </w:rPr>
        <w:t xml:space="preserve"> </w:t>
      </w:r>
      <w:r w:rsidRPr="000D00EA">
        <w:rPr>
          <w:rFonts w:cs="Times New Roman"/>
          <w:szCs w:val="24"/>
        </w:rPr>
        <w:t>or multiple food allergies</w:t>
      </w:r>
      <w:r w:rsidR="000A412A" w:rsidRPr="000D00EA">
        <w:rPr>
          <w:rFonts w:cs="Times New Roman"/>
          <w:szCs w:val="24"/>
        </w:rPr>
        <w:t xml:space="preserve"> (to a combination of to milk, egg, wheat, soya, fish tree nut and/or peanut)</w:t>
      </w:r>
      <w:r w:rsidRPr="000D00EA">
        <w:rPr>
          <w:rFonts w:cs="Times New Roman"/>
          <w:szCs w:val="24"/>
        </w:rPr>
        <w:t xml:space="preserve"> are at </w:t>
      </w:r>
      <w:r w:rsidR="006E4881" w:rsidRPr="000D00EA">
        <w:rPr>
          <w:rFonts w:cs="Times New Roman"/>
          <w:szCs w:val="24"/>
        </w:rPr>
        <w:t xml:space="preserve">increased </w:t>
      </w:r>
      <w:r w:rsidRPr="000D00EA">
        <w:rPr>
          <w:rFonts w:cs="Times New Roman"/>
          <w:szCs w:val="24"/>
        </w:rPr>
        <w:t xml:space="preserve">risk for </w:t>
      </w:r>
      <w:r w:rsidR="00EF6433" w:rsidRPr="000D00EA">
        <w:rPr>
          <w:rFonts w:cs="Times New Roman"/>
          <w:szCs w:val="24"/>
        </w:rPr>
        <w:t xml:space="preserve">impaired </w:t>
      </w:r>
      <w:r w:rsidRPr="000D00EA">
        <w:rPr>
          <w:rFonts w:cs="Times New Roman"/>
          <w:szCs w:val="24"/>
        </w:rPr>
        <w:t>growth</w:t>
      </w:r>
      <w:r w:rsidR="006211C6" w:rsidRPr="000D00EA">
        <w:rPr>
          <w:rFonts w:cs="Times New Roman"/>
          <w:szCs w:val="24"/>
        </w:rPr>
        <w:t xml:space="preserve"> </w:t>
      </w:r>
      <w:r w:rsidR="00C16C03" w:rsidRPr="000D00EA">
        <w:rPr>
          <w:rFonts w:cs="Times New Roman"/>
          <w:szCs w:val="24"/>
        </w:rPr>
        <w:fldChar w:fldCharType="begin" w:fldLock="1"/>
      </w:r>
      <w:r w:rsidR="00DB3759" w:rsidRPr="000D00EA">
        <w:rPr>
          <w:rFonts w:cs="Times New Roman"/>
          <w:szCs w:val="24"/>
        </w:rPr>
        <w:instrText>ADDIN CSL_CITATION { "citationItems" : [ { "id" : "ITEM-1", "itemData" : { "DOI" : "10.1111/pai.12348", "ISSN" : "09056157", "author" : [ { "dropping-particle" : "", "family" : "Berry", "given" : "Melissa J.", "non-dropping-particle" : "", "parse-names" : false, "suffix" : "" }, { "dropping-particle" : "", "family" : "Adams", "given" : "Jennifer", "non-dropping-particle" : "", "parse-names" : false, "suffix" : "" }, { "dropping-particle" : "", "family" : "Voutilainen", "given" : "Helena", "non-dropping-particle" : "", "parse-names" : false, "suffix" : "" }, { "dropping-particle" : "", "family" : "Feustel", "given" : "Paul J.", "non-dropping-particle" : "", "parse-names" : false, "suffix" : "" }, { "dropping-particle" : "", "family" : "Celestin", "given" : "Jocelyn", "non-dropping-particle" : "", "parse-names" : false, "suffix" : "" }, { "dropping-particle" : "", "family" : "J\u00e4rvinen", "given" : "Kirsi M.", "non-dropping-particle" : "", "parse-names" : false, "suffix" : "" } ], "container-title" : "Pediatric Allergy and Immunology", "id" : "ITEM-1", "issue" : "18", "issued" : { "date-parts" : [ [ "2015" ] ] }, "page" : "n/a-n/a", "title" : "Impact of elimination diets on growth and nutritional status in children with multiple food allergies", "type" : "article-journal", "volume" : "26" }, "uris" : [ "http://www.mendeley.com/documents/?uuid=8fcb7661-f888-4fa9-b0a3-cf2fbbc4580b" ] }, { "id" : "ITEM-2",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"ITEM-2", "issue" : "11", "issued" : { "date-parts" : [ [ "2002" ] ] }, "page" : "1648-1651", "title" : "Food allergies in children affect nutrient intake and growth", "type" : "article-journal", "volume" : "102" }, "uris" : [ "http://www.mendeley.com/documents/?uuid=6827fd55-4c0e-4fa4-8211-21434ef4c92f" ] }, { "id" : "ITEM-3",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"ITEM-3", "issued" : { "date-parts" : [ [ "2011" ] ] }, "page" : "161-165", "title" : "Diet and nutritional status of children with food allergies.", "type" : "article-journal", "volume" : "22" }, "uris" : [ "http://www.mendeley.com/documents/?uuid=47eac944-9222-4200-b202-eb5eb10e7048" ] }, { "id" : "ITEM-4", "itemData" : { "DOI" : "10.1111/jhn.12149", "ISSN" : "1365277X", "PMID" : "23937486", "abstract" : "BACKGROUND: The mainstay of dietary management of food allergies remains the elimination diet. However, the removal of major food groups may predispose children to an inadequate nutrient intake. We therefore set out to establish growth status in food allergic children receiving dietetic input in the UK.\\n\\nMETHODS: Dietitians were approached via the Food Allergy and Intolerance Specialist Group from the British Dietetic Association and asked to submit anthropometrical data for children with food allergies. Data collected related to the systems involved and number of foods excluded. Malnutrition was defined according to World Health Organization standards.\\n\\nRESULTS: Data from 13 different centres yielded 97 patients (51 male and 46 female) of which 66 excluded \u22642 foods and 31 excluded \u22653 foods. Data indicated that 8.5% had a weight for age \u2264\u00a0-2 Z-score and, conversely, 8.5% were \u22652 Z-score. For height for age, 11.1% were \u2264\u00a0-2 Z-score and, for weight for height, 3.7% were \u2264\u00a0-2 Z-score and 7.5% \u22652 Z-score. Type of allergy, system involved and specific food elimination did not impact on the level of malnutrition. However, the elimination of \u22653 foods significantly impacted on weight for age (P\u00a0=\u00a00.044).\\n\\nCONCLUSIONS: The present study demonstrates that children with food allergies are more underweight than the general UK population, which appears to be linked to the number of foods excluded. However, the impact of the disease process itself should not be disregarded. Additionally, obesity can also occur in this population despite dietary elimination.", "author" : [ { "dropping-particle" : "", "family" : "Meyer", "given" : "R.", "non-dropping-particle" : "", "parse-names" : false, "suffix" : "" }, { "dropping-particle" : "", "family" : "Koker", "given" : "C.", "non-dropping-particle" : "De", "parse-names" : false, "suffix" : "" }, { "dropping-particle" : "", "family" : "Dziubak", "given" : "R.", "non-dropping-particle" : "", "parse-names" : false, "suffix" : "" }, { "dropping-particle" : "", "family" : "Venter", "given" : "C.", "non-dropping-particle" : "", "parse-names" : false, "suffix" : "" }, { "dropping-particle" : "", "family" : "Dominguez-Ortega", "given" : "G.", "non-dropping-particle" : "", "parse-names" : false, "suffix" : "" }, { "dropping-particle" : "", "family" : "Cutts", "given" : "R.", "non-dropping-particle" : "", "parse-names" : false, "suffix" : "" }, { "dropping-particle" : "", "family" : "Yerlett", "given" : "N.", "non-dropping-particle" : "", "parse-names" : false, "suffix" : "" }, { "dropping-particle" : "", "family" : "Skrapak", "given" : "A. K.", "non-dropping-particle" : "", "parse-names" : false, "suffix" : "" }, { "dropping-particle" : "", "family" : "Fox", "given" : "A. T.", "non-dropping-particle" : "", "parse-names" : false, "suffix" : "" }, { "dropping-particle" : "", "family" : "Shah", "given" : "N.", "non-dropping-particle" : "", "parse-names" : false, "suffix" : "" } ], "container-title" : "Journal of Human Nutrition and Dietetics", "id" : "ITEM-4", "issue" : "3", "issued" : { "date-parts" : [ [ "2014" ] ] }, "page" : "227-235", "title" : "Malnutrition in children with food allergies in the UK", "type" : "article-journal", "volume" : "27" }, "uris" : [ "http://www.mendeley.com/documents/?uuid=3fd4c702-75db-4de4-acfa-05e31c3da5af" ] }, { "id" : "ITEM-5", "itemData" : { "DOI" : "10.1016/j.jpeds.2014.06.003", "ISSN" : "10976833", "PMID" : "25039044", "abstract" : "Objective To examine the effects of food avoidance on the growth of children with food allergies.\nStudy design A retrospective chart review was performed for children with and without food allergies followed at 2 New York City general pediatric practices. Charts were selected based on codes from the International Classification of Diseases, 9th Revision, for well child visit, food allergy, anaphylaxis, and/or epinephrine autoinjector prescriptions. Heights and weights were obtained to calculate body mass index, height, and weight z-scores.\nResults Of the 9938 children seen, 439 (4.4%) were avoiding one or more foods. Of those with commercial insurance, children with food allergies were significantly shorter (mean height z-score = 0.06; P =.01) and weighed less (mean weight z-score -0.1; P =.006) than children without food allergies (mean height z-score = 0.42; mean weight z-score = 0.07). In contrast, children with food allergies and state insurance were not smaller in height or weight compared with children without food allergies. Among white subjects, there was a significant effect of food allergies on height and weight (ANOVA for height P =.012, for weight P =.0036) that was not observed for Hispanic/Latino, black, or Asian subjects. Children with allergies to milk weighed significantly less than children without milk allergies (P =.0006)\nConclusions Children with food allergies and commercial insurance have significant impairment in growth compared with those without food allergies. Additionally, children avoiding all forms of milk are shorter and weigh less than matched counterparts. Therefore, height and weight measurements should be assessed routinely in children with food allergies because there is risk for growth impairment in this population.", "author" : [ { "dropping-particle" : "", "family" : "Mehta", "given" : "Harshna", "non-dropping-particle" : "", "parse-names" : false, "suffix" : "" }, { "dropping-particle" : "", "family" : "Ramesh", "given" : "Manish", "non-dropping-particle" : "", "parse-names" : false, "suffix" : "" }, { "dropping-particle" : "", "family" : "Feuille", "given" : "Elizabeth", "non-dropping-particle" : "", "parse-names" : false, "suffix" : "" }, { "dropping-particle" : "", "family" : "Groetch", "given" : "Marion", "non-dropping-particle" : "", "parse-names" : false, "suffix" : "" }, { "dropping-particle" : "", "family" : "Wang", "given" : "Julie", "non-dropping-particle" : "", "parse-names" : false, "suffix" : "" } ], "container-title" : "Journal of Pediatrics", "id" : "ITEM-5", "issue" : "4", "issued" : { "date-parts" : [ [ "2014" ] ] }, "page" : "842-848", "title" : "Growth Comparison in children with and without food allergies in 2 different demographic populations", "type" : "article-journal", "volume" : "165" }, "uris" : [ "http://www.mendeley.com/documents/?uuid=9835313b-52ca-4618-8a6e-72f1a6431c0f" ] }, { "id" : "ITEM-6", "itemData" : { "DOI" : "10.1177/0884533613505870", "ISBN" : "1941-2452 (Electronic)\\n0884-5336 (Linking)", "ISSN" : "0884-5336", "PMID" : "24166727", "abstract" : "BACKGROUND: Food allergies affect up to 8% of American children. The current recommended treatment for food allergies is strict elimination of the allergens from the diet. Dietary elimination of nutrient-dense foods may result in inadequate nutrient intake and impaired growth. The purpose of this review was to critically analyze available research on the effect of an elimination diet on nutrient intake and growth in children with multiple food allergies. Methods: A systematic review of the literature was conducted and a workgroup was established to critically analyze each relevant article. The findings were summarized and a conclusion was generated. Results: Six studies were analyzed. One study found that children with food allergies are more likely to be malnourished than children without food allergies. Three studies found that children with multiple food allergies were shorter than children with 1 food allergy. Four studies assessed nutrient intake of children with multiple food allergies, but the inclusion and comparison criteria were different in each of the studies and the findings were conflicting. One study found that children with food allergies who did not receive nutrition counseling were more likely to have inadequate intake of calcium and vitamin D. Conclusion: Children with multiple food allergies have a higher risk of impaired growth and may have a higher risk of inadequate nutrient intake than children without food allergies. Until more research is available, we recommend monitoring of nutrition and growth of children with multiple food allergies to prevent possible nutrient deficiencies and to optimize growth.", "author" : [ { "dropping-particle" : "", "family" : "Sova", "given" : "C", "non-dropping-particle" : "", "parse-names" : false, "suffix" : "" }, { "dropping-particle" : "", "family" : "Feuling", "given" : "M B", "non-dropping-particle" : "", "parse-names" : false, "suffix" : "" }, { "dropping-particle" : "", "family" : "Baumler", "given" : "M", "non-dropping-particle" : "", "parse-names" : false, "suffix" : "" }, { "dropping-particle" : "", "family" : "Gleason", "given" : "L", "non-dropping-particle" : "", "parse-names" : false, "suffix" : "" }, { "dropping-particle" : "", "family" : "Tam", "given" : "J S", "non-dropping-particle" : "", "parse-names" : false, "suffix" : "" }, { "dropping-particle" : "", "family" : "Zafra", "given" : "H", "non-dropping-particle" : "", "parse-names" : false, "suffix" : "" }, { "dropping-particle" : "", "family" : "Goday", "given" : "P S", "non-dropping-particle" : "", "parse-names" : false, "suffix" : "" } ], "container-title" : "Nutr Clin Pract", "id" : "ITEM-6", "issued" : { "date-parts" : [ [ "2013" ] ] }, "page" : "669-675", "title" : "Systematic Review of Nutrient Intake and Growth in Children with Multiple IgE-Mediated Food Allergies", "type" : "article-journal", "volume" : "28" }, "uris" : [ "http://www.mendeley.com/documents/?uuid=1024bf00-ba16-4579-8280-beaa8975e015" ] } ], "mendeley" : { "formattedCitation" : "&lt;sup&gt;(5,6,11\u201314)&lt;/sup&gt;", "plainTextFormattedCitation" : "(5,6,11\u201314)", "previouslyFormattedCitation" : "&lt;sup&gt;(5,6,11\u201314)&lt;/sup&gt;" }, "properties" : { "noteIndex" : 0 }, "schema" : "https://github.com/citation-style-language/schema/raw/master/csl-citation.json" }</w:instrText>
      </w:r>
      <w:r w:rsidR="00C16C03" w:rsidRPr="000D00EA">
        <w:rPr>
          <w:rFonts w:cs="Times New Roman"/>
          <w:szCs w:val="24"/>
        </w:rPr>
        <w:fldChar w:fldCharType="separate"/>
      </w:r>
      <w:r w:rsidR="00DB3759" w:rsidRPr="000D00EA">
        <w:rPr>
          <w:rFonts w:cs="Times New Roman"/>
          <w:noProof/>
          <w:szCs w:val="24"/>
          <w:vertAlign w:val="superscript"/>
        </w:rPr>
        <w:t>(5,6,11–14)</w:t>
      </w:r>
      <w:r w:rsidR="00C16C03" w:rsidRPr="000D00EA">
        <w:rPr>
          <w:rFonts w:cs="Times New Roman"/>
          <w:szCs w:val="24"/>
        </w:rPr>
        <w:fldChar w:fldCharType="end"/>
      </w:r>
      <w:r w:rsidR="00ED3E08" w:rsidRPr="000D00EA">
        <w:rPr>
          <w:rFonts w:cs="Times New Roman"/>
          <w:szCs w:val="24"/>
          <w:highlight w:val="yellow"/>
        </w:rPr>
        <w:fldChar w:fldCharType="begin">
          <w:fldData xml:space="preserve">PEVuZE5vdGU+PENpdGU+PEF1dGhvcj5Jc29sYXVyaTwvQXV0aG9yPjxZZWFyPjE5OTg8L1llYXI+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</w:fldData>
        </w:fldChar>
      </w:r>
      <w:r w:rsidR="00022FAC" w:rsidRPr="000D00EA">
        <w:rPr>
          <w:rFonts w:cs="Times New Roman"/>
          <w:szCs w:val="24"/>
          <w:highlight w:val="yellow"/>
        </w:rPr>
        <w:instrText xml:space="preserve"> ADDIN EN.CITE </w:instrText>
      </w:r>
      <w:r w:rsidR="00022FAC" w:rsidRPr="000D00EA">
        <w:rPr>
          <w:rFonts w:cs="Times New Roman"/>
          <w:szCs w:val="24"/>
          <w:highlight w:val="yellow"/>
        </w:rPr>
        <w:fldChar w:fldCharType="begin">
          <w:fldData xml:space="preserve">PEVuZE5vdGU+PENpdGU+PEF1dGhvcj5Jc29sYXVyaTwvQXV0aG9yPjxZZWFyPjE5OTg8L1llYXI+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</w:fldData>
        </w:fldChar>
      </w:r>
      <w:r w:rsidR="00022FAC" w:rsidRPr="000D00EA">
        <w:rPr>
          <w:rFonts w:cs="Times New Roman"/>
          <w:szCs w:val="24"/>
          <w:highlight w:val="yellow"/>
        </w:rPr>
        <w:instrText xml:space="preserve"> ADDIN EN.CITE.DATA </w:instrText>
      </w:r>
      <w:r w:rsidR="00022FAC" w:rsidRPr="000D00EA">
        <w:rPr>
          <w:rFonts w:cs="Times New Roman"/>
          <w:szCs w:val="24"/>
          <w:highlight w:val="yellow"/>
        </w:rPr>
      </w:r>
      <w:r w:rsidR="00022FAC" w:rsidRPr="000D00EA">
        <w:rPr>
          <w:rFonts w:cs="Times New Roman"/>
          <w:szCs w:val="24"/>
          <w:highlight w:val="yellow"/>
        </w:rPr>
        <w:fldChar w:fldCharType="end"/>
      </w:r>
      <w:r w:rsidR="00ED3E08" w:rsidRPr="000D00EA">
        <w:rPr>
          <w:rFonts w:cs="Times New Roman"/>
          <w:szCs w:val="24"/>
          <w:highlight w:val="yellow"/>
        </w:rPr>
      </w:r>
      <w:r w:rsidR="00ED3E08" w:rsidRPr="000D00EA">
        <w:rPr>
          <w:rFonts w:cs="Times New Roman"/>
          <w:szCs w:val="24"/>
          <w:highlight w:val="yellow"/>
        </w:rPr>
        <w:fldChar w:fldCharType="end"/>
      </w:r>
      <w:r w:rsidR="00F21891" w:rsidRPr="000D00EA">
        <w:rPr>
          <w:rFonts w:cs="Times New Roman"/>
          <w:szCs w:val="24"/>
        </w:rPr>
        <w:t xml:space="preserve"> </w:t>
      </w:r>
      <w:r w:rsidRPr="000D00EA">
        <w:rPr>
          <w:rFonts w:cs="Times New Roman"/>
          <w:szCs w:val="24"/>
        </w:rPr>
        <w:t>although overweight and obesity have also been reported</w:t>
      </w:r>
      <w:r w:rsidR="00F21891" w:rsidRPr="000D00EA">
        <w:rPr>
          <w:rFonts w:cs="Times New Roman"/>
          <w:szCs w:val="24"/>
        </w:rPr>
        <w:t xml:space="preserve"> </w:t>
      </w:r>
      <w:r w:rsidR="00F21891" w:rsidRPr="000D00EA">
        <w:rPr>
          <w:rFonts w:cs="Times New Roman"/>
          <w:szCs w:val="24"/>
        </w:rPr>
        <w:fldChar w:fldCharType="begin" w:fldLock="1"/>
      </w:r>
      <w:r w:rsidR="00DB3759" w:rsidRPr="000D00EA">
        <w:rPr>
          <w:rFonts w:cs="Times New Roman"/>
          <w:szCs w:val="24"/>
        </w:rPr>
        <w:instrText>ADDIN CSL_CITATION { "citationItems" : [ { "id" : "ITEM-1", "itemData" : { "DOI" : "10.1111/jhn.12149", "ISSN" : "1365277X", "PMID" : "23937486", "abstract" : "BACKGROUND: The mainstay of dietary management of food allergies remains the elimination diet. However, the removal of major food groups may predispose children to an inadequate nutrient intake. We therefore set out to establish growth status in food allergic children receiving dietetic input in the UK.\\n\\nMETHODS: Dietitians were approached via the Food Allergy and Intolerance Specialist Group from the British Dietetic Association and asked to submit anthropometrical data for children with food allergies. Data collected related to the systems involved and number of foods excluded. Malnutrition was defined according to World Health Organization standards.\\n\\nRESULTS: Data from 13 different centres yielded 97 patients (51 male and 46 female) of which 66 excluded \u22642 foods and 31 excluded \u22653 foods. Data indicated that 8.5% had a weight for age \u2264\u00a0-2 Z-score and, conversely, 8.5% were \u22652 Z-score. For height for age, 11.1% were \u2264\u00a0-2 Z-score and, for weight for height, 3.7% were \u2264\u00a0-2 Z-score and 7.5% \u22652 Z-score. Type of allergy, system involved and specific food elimination did not impact on the level of malnutrition. However, the elimination of \u22653 foods significantly impacted on weight for age (P\u00a0=\u00a00.044).\\n\\nCONCLUSIONS: The present study demonstrates that children with food allergies are more underweight than the general UK population, which appears to be linked to the number of foods excluded. However, the impact of the disease process itself should not be disregarded. Additionally, obesity can also occur in this population despite dietary elimination.", "author" : [ { "dropping-particle" : "", "family" : "Meyer", "given" : "R.", "non-dropping-particle" : "", "parse-names" : false, "suffix" : "" }, { "dropping-particle" : "", "family" : "Koker", "given" : "C.", "non-dropping-particle" : "De", "parse-names" : false, "suffix" : "" }, { "dropping-particle" : "", "family" : "Dziubak", "given" : "R.", "non-dropping-particle" : "", "parse-names" : false, "suffix" : "" }, { "dropping-particle" : "", "family" : "Venter", "given" : "C.", "non-dropping-particle" : "", "parse-names" : false, "suffix" : "" }, { "dropping-particle" : "", "family" : "Dominguez-Ortega", "given" : "G.", "non-dropping-particle" : "", "parse-names" : false, "suffix" : "" }, { "dropping-particle" : "", "family" : "Cutts", "given" : "R.", "non-dropping-particle" : "", "parse-names" : false, "suffix" : "" }, { "dropping-particle" : "", "family" : "Yerlett", "given" : "N.", "non-dropping-particle" : "", "parse-names" : false, "suffix" : "" }, { "dropping-particle" : "", "family" : "Skrapak", "given" : "A. K.", "non-dropping-particle" : "", "parse-names" : false, "suffix" : "" }, { "dropping-particle" : "", "family" : "Fox", "given" : "A. T.", "non-dropping-particle" : "", "parse-names" : false, "suffix" : "" }, { "dropping-particle" : "", "family" : "Shah", "given" : "N.", "non-dropping-particle" : "", "parse-names" : false, "suffix" : "" } ], "container-title" : "Journal of Human Nutrition and Dietetics", "id" : "ITEM-1", "issue" : "3", "issued" : { "date-parts" : [ [ "2014" ] ] }, "page" : "227-235", "title" : "Malnutrition in children with food allergies in the UK", "type" : "article-journal", "volume" : "27" }, "uris" : [ "http://www.mendeley.com/documents/?uuid=3fd4c702-75db-4de4-acfa-05e31c3da5af" ] } ], "mendeley" : { "formattedCitation" : "&lt;sup&gt;(12)&lt;/sup&gt;", "plainTextFormattedCitation" : "(12)", "previouslyFormattedCitation" : "&lt;sup&gt;(12)&lt;/sup&gt;" }, "properties" : { "noteIndex" : 0 }, "schema" : "https://github.com/citation-style-language/schema/raw/master/csl-citation.json" }</w:instrText>
      </w:r>
      <w:r w:rsidR="00F21891" w:rsidRPr="000D00EA">
        <w:rPr>
          <w:rFonts w:cs="Times New Roman"/>
          <w:szCs w:val="24"/>
        </w:rPr>
        <w:fldChar w:fldCharType="separate"/>
      </w:r>
      <w:r w:rsidR="00DB3759" w:rsidRPr="000D00EA">
        <w:rPr>
          <w:rFonts w:cs="Times New Roman"/>
          <w:noProof/>
          <w:szCs w:val="24"/>
          <w:vertAlign w:val="superscript"/>
        </w:rPr>
        <w:t>(12)</w:t>
      </w:r>
      <w:r w:rsidR="00F21891" w:rsidRPr="000D00EA">
        <w:rPr>
          <w:rFonts w:cs="Times New Roman"/>
          <w:szCs w:val="24"/>
        </w:rPr>
        <w:fldChar w:fldCharType="end"/>
      </w:r>
      <w:r w:rsidR="00F21891" w:rsidRPr="000D00EA">
        <w:rPr>
          <w:rFonts w:cs="Times New Roman"/>
          <w:szCs w:val="24"/>
        </w:rPr>
        <w:t>.</w:t>
      </w:r>
      <w:r w:rsidR="005F7C83" w:rsidRPr="000D00EA">
        <w:rPr>
          <w:rFonts w:cs="Times New Roman"/>
          <w:szCs w:val="24"/>
        </w:rPr>
        <w:t xml:space="preserve"> </w:t>
      </w:r>
      <w:r w:rsidR="005A1573" w:rsidRPr="000D00EA">
        <w:rPr>
          <w:rFonts w:cs="Times New Roman"/>
          <w:szCs w:val="24"/>
        </w:rPr>
        <w:t xml:space="preserve">Less is known about the nutritional intake of </w:t>
      </w:r>
      <w:r w:rsidR="00C40066" w:rsidRPr="000D00EA">
        <w:rPr>
          <w:rFonts w:cs="Times New Roman"/>
          <w:szCs w:val="24"/>
        </w:rPr>
        <w:t>adolescent</w:t>
      </w:r>
      <w:r w:rsidR="005A1573" w:rsidRPr="000D00EA">
        <w:rPr>
          <w:rFonts w:cs="Times New Roman"/>
          <w:szCs w:val="24"/>
        </w:rPr>
        <w:t>s and adults with food allergy</w:t>
      </w:r>
      <w:r w:rsidR="006961FC" w:rsidRPr="000D00EA">
        <w:rPr>
          <w:rFonts w:cs="Times New Roman"/>
          <w:szCs w:val="24"/>
        </w:rPr>
        <w:t>. The few published studies of adult participants have reported contrasting results. For example, h</w:t>
      </w:r>
      <w:r w:rsidR="00C16C03" w:rsidRPr="000D00EA">
        <w:rPr>
          <w:rFonts w:cs="Times New Roman"/>
          <w:szCs w:val="24"/>
        </w:rPr>
        <w:t xml:space="preserve">igher intakes of calcium, iron, folate </w:t>
      </w:r>
      <w:r w:rsidR="00485417" w:rsidRPr="000D00EA">
        <w:rPr>
          <w:rFonts w:cs="Times New Roman"/>
          <w:szCs w:val="24"/>
        </w:rPr>
        <w:t xml:space="preserve">and vitamin E </w:t>
      </w:r>
      <w:r w:rsidR="00366315" w:rsidRPr="000D00EA">
        <w:rPr>
          <w:rFonts w:cs="Times New Roman"/>
          <w:szCs w:val="24"/>
        </w:rPr>
        <w:t>have been demonstrated</w:t>
      </w:r>
      <w:r w:rsidR="00290762" w:rsidRPr="000D00EA">
        <w:rPr>
          <w:rFonts w:cs="Times New Roman"/>
          <w:szCs w:val="24"/>
        </w:rPr>
        <w:t xml:space="preserve"> </w:t>
      </w:r>
      <w:r w:rsidR="00504D59" w:rsidRPr="000D00EA">
        <w:rPr>
          <w:rFonts w:cs="Times New Roman"/>
          <w:szCs w:val="24"/>
        </w:rPr>
        <w:t>when data was combined from participants &gt; 20 years with f</w:t>
      </w:r>
      <w:r w:rsidR="00290762" w:rsidRPr="000D00EA">
        <w:rPr>
          <w:rFonts w:cs="Times New Roman"/>
          <w:szCs w:val="24"/>
        </w:rPr>
        <w:t>ood allergies to milk, egg, wheat, soya, beef, pork or chicken</w:t>
      </w:r>
      <w:r w:rsidR="000A412A" w:rsidRPr="000D00EA">
        <w:rPr>
          <w:rFonts w:cs="Times New Roman"/>
          <w:szCs w:val="24"/>
        </w:rPr>
        <w:t xml:space="preserve"> </w:t>
      </w:r>
      <w:r w:rsidR="00AE3613" w:rsidRPr="000D00EA">
        <w:rPr>
          <w:rFonts w:cs="Times New Roman"/>
          <w:szCs w:val="24"/>
        </w:rPr>
        <w:fldChar w:fldCharType="begin" w:fldLock="1"/>
      </w:r>
      <w:r w:rsidR="00DB3759" w:rsidRPr="000D00EA">
        <w:rPr>
          <w:rFonts w:cs="Times New Roman"/>
          <w:szCs w:val="24"/>
        </w:rPr>
        <w:instrText>ADDIN CSL_CITATION { "citationItems" : [ { "id" : "ITEM-1", "itemData" : { "ISBN" : "8222281828", "author" : [ { "dropping-particle" : "", "family" : "Kim", "given" : "Jungyun", "non-dropping-particle" : "", "parse-names" : false, "suffix" : "" }, { "dropping-particle" : "", "family" : "Kwon", "given" : "Jaryoung", "non-dropping-particle" : "", "parse-names" : false, "suffix" : "" }, { "dropping-particle" : "", "family" : "Noh", "given" : "Geunwoong", "non-dropping-particle" : "", "parse-names" : false, "suffix" : "" }, { "dropping-particle" : "", "family" : "Lee", "given" : "Sang Sun", "non-dropping-particle" : "", "parse-names" : false, "suffix" : "" } ], "id" : "ITEM-1", "issue" : "6", "issued" : { "date-parts" : [ [ "2013" ] ] }, "page" : "488-494", "title" : "The effects of elimination diet on nutritional status in subjects with atopic dermatitis", "type" : "article-journal", "volume" : "7" }, "uris" : [ "http://www.mendeley.com/documents/?uuid=5a3fffb8-f9a0-46dc-8e9b-e8559a295d84" ] } ], "mendeley" : { "formattedCitation" : "&lt;sup&gt;(15)&lt;/sup&gt;", "plainTextFormattedCitation" : "(15)", "previouslyFormattedCitation" : "&lt;sup&gt;(15)&lt;/sup&gt;" }, "properties" : { "noteIndex" : 0 }, "schema" : "https://github.com/citation-style-language/schema/raw/master/csl-citation.json" }</w:instrText>
      </w:r>
      <w:r w:rsidR="00AE3613" w:rsidRPr="000D00EA">
        <w:rPr>
          <w:rFonts w:cs="Times New Roman"/>
          <w:szCs w:val="24"/>
        </w:rPr>
        <w:fldChar w:fldCharType="separate"/>
      </w:r>
      <w:r w:rsidR="00DB3759" w:rsidRPr="000D00EA">
        <w:rPr>
          <w:rFonts w:cs="Times New Roman"/>
          <w:noProof/>
          <w:szCs w:val="24"/>
          <w:vertAlign w:val="superscript"/>
        </w:rPr>
        <w:t>(15)</w:t>
      </w:r>
      <w:r w:rsidR="00AE3613" w:rsidRPr="000D00EA">
        <w:rPr>
          <w:rFonts w:cs="Times New Roman"/>
          <w:szCs w:val="24"/>
        </w:rPr>
        <w:fldChar w:fldCharType="end"/>
      </w:r>
      <w:r w:rsidR="002D6B16" w:rsidRPr="000D00EA">
        <w:rPr>
          <w:rFonts w:cs="Times New Roman"/>
          <w:szCs w:val="24"/>
        </w:rPr>
        <w:t xml:space="preserve">. </w:t>
      </w:r>
      <w:r w:rsidR="00366315" w:rsidRPr="000D00EA">
        <w:rPr>
          <w:rFonts w:cs="Times New Roman"/>
          <w:szCs w:val="24"/>
        </w:rPr>
        <w:t>Conversely,</w:t>
      </w:r>
      <w:r w:rsidR="002D6B16" w:rsidRPr="000D00EA">
        <w:rPr>
          <w:rFonts w:cs="Times New Roman"/>
          <w:szCs w:val="24"/>
        </w:rPr>
        <w:t xml:space="preserve"> </w:t>
      </w:r>
      <w:r w:rsidR="00485417" w:rsidRPr="000D00EA">
        <w:rPr>
          <w:rFonts w:cs="Times New Roman"/>
          <w:szCs w:val="24"/>
        </w:rPr>
        <w:t>lower intakes of calcium and phosphorous</w:t>
      </w:r>
      <w:r w:rsidR="00366315" w:rsidRPr="000D00EA">
        <w:rPr>
          <w:rFonts w:cs="Times New Roman"/>
          <w:szCs w:val="24"/>
        </w:rPr>
        <w:t xml:space="preserve"> have been reported</w:t>
      </w:r>
      <w:r w:rsidR="00485417" w:rsidRPr="000D00EA">
        <w:rPr>
          <w:rFonts w:cs="Times New Roman"/>
          <w:szCs w:val="24"/>
        </w:rPr>
        <w:t xml:space="preserve"> </w:t>
      </w:r>
      <w:r w:rsidR="004B1F63" w:rsidRPr="000D00EA">
        <w:rPr>
          <w:rFonts w:cs="Times New Roman"/>
          <w:szCs w:val="24"/>
        </w:rPr>
        <w:t xml:space="preserve">in </w:t>
      </w:r>
      <w:r w:rsidR="00BE59B2" w:rsidRPr="000D00EA">
        <w:rPr>
          <w:rFonts w:cs="Times New Roman"/>
          <w:szCs w:val="24"/>
        </w:rPr>
        <w:t xml:space="preserve">young </w:t>
      </w:r>
      <w:r w:rsidR="004B1F63" w:rsidRPr="000D00EA">
        <w:rPr>
          <w:rFonts w:cs="Times New Roman"/>
          <w:szCs w:val="24"/>
        </w:rPr>
        <w:t>adults with CMA</w:t>
      </w:r>
      <w:r w:rsidR="002D6B16" w:rsidRPr="000D00EA">
        <w:rPr>
          <w:rFonts w:cs="Times New Roman"/>
          <w:szCs w:val="24"/>
        </w:rPr>
        <w:t>,</w:t>
      </w:r>
      <w:r w:rsidR="004B1F63" w:rsidRPr="000D00EA">
        <w:rPr>
          <w:rFonts w:cs="Times New Roman"/>
          <w:szCs w:val="24"/>
        </w:rPr>
        <w:t xml:space="preserve"> </w:t>
      </w:r>
      <w:r w:rsidR="002D6B16" w:rsidRPr="000D00EA">
        <w:rPr>
          <w:rFonts w:cs="Times New Roman"/>
          <w:szCs w:val="24"/>
        </w:rPr>
        <w:t xml:space="preserve">with </w:t>
      </w:r>
      <w:r w:rsidR="006961FC" w:rsidRPr="000D00EA">
        <w:rPr>
          <w:rFonts w:cs="Times New Roman"/>
          <w:szCs w:val="24"/>
        </w:rPr>
        <w:t xml:space="preserve">one study reporting that </w:t>
      </w:r>
      <w:r w:rsidR="00485417" w:rsidRPr="000D00EA">
        <w:rPr>
          <w:rFonts w:cs="Times New Roman"/>
          <w:szCs w:val="24"/>
        </w:rPr>
        <w:t xml:space="preserve">27% </w:t>
      </w:r>
      <w:r w:rsidR="006961FC" w:rsidRPr="000D00EA">
        <w:rPr>
          <w:rFonts w:cs="Times New Roman"/>
          <w:szCs w:val="24"/>
        </w:rPr>
        <w:t>were at</w:t>
      </w:r>
      <w:r w:rsidR="00485417" w:rsidRPr="000D00EA">
        <w:rPr>
          <w:rFonts w:cs="Times New Roman"/>
          <w:szCs w:val="24"/>
        </w:rPr>
        <w:t xml:space="preserve"> risk of osteoporosis</w:t>
      </w:r>
      <w:r w:rsidR="00AE3613" w:rsidRPr="000D00EA">
        <w:rPr>
          <w:rFonts w:cs="Times New Roman"/>
          <w:szCs w:val="24"/>
        </w:rPr>
        <w:t xml:space="preserve"> </w:t>
      </w:r>
      <w:r w:rsidR="00AE3613" w:rsidRPr="000D00EA">
        <w:rPr>
          <w:rFonts w:cs="Times New Roman"/>
          <w:szCs w:val="24"/>
        </w:rPr>
        <w:fldChar w:fldCharType="begin" w:fldLock="1"/>
      </w:r>
      <w:r w:rsidR="00DB3759" w:rsidRPr="000D00EA">
        <w:rPr>
          <w:rFonts w:cs="Times New Roman"/>
          <w:szCs w:val="24"/>
        </w:rPr>
        <w:instrText>ADDIN CSL_CITATION { "citationItems" : [ { "id" : "ITEM-1", "itemData" : { "DOI" : "10.1016/j.jaci.2014.06.026", "ISSN" : "0091-6749", "author" : [ { "dropping-particle" : "", "family" : "Nachshon", "given" : "Liat", "non-dropping-particle" : "", "parse-names" : false, "suffix" : "" }, { "dropping-particle" : "", "family" : "Goldberg", "given" : "Michael R", "non-dropping-particle" : "", "parse-names" : false, "suffix" : "" }, { "dropping-particle" : "", "family" : "Schwartz", "given" : "Naama", "non-dropping-particle" : "", "parse-names" : false, "suffix" : "" }, { "dropping-particle" : "", "family" : "Sinai", "given" : "Tali", "non-dropping-particle" : "", "parse-names" : false, "suffix" : "" } ], "container-title" : "Journal of Allergy and Clinical Immunology", "id" : "ITEM-1", "issue" : "5", "issued" : { "date-parts" : [ [ "2013" ] ] }, "page" : "1108-1113.e3", "publisher" : "Elsevier Ltd", "title" : "Decreased bone mineral density in young adult IgE-mediated cow \u2019 s milk \u2013 allergic patients", "type" : "article-journal", "volume" : "134" }, "uris" : [ "http://www.mendeley.com/documents/?uuid=fd2d952a-74e1-4f7a-957f-23a70d96d2f1" ] } ], "mendeley" : { "formattedCitation" : "&lt;sup&gt;(16)&lt;/sup&gt;", "plainTextFormattedCitation" : "(16)", "previouslyFormattedCitation" : "&lt;sup&gt;(16)&lt;/sup&gt;" }, "properties" : { "noteIndex" : 0 }, "schema" : "https://github.com/citation-style-language/schema/raw/master/csl-citation.json" }</w:instrText>
      </w:r>
      <w:r w:rsidR="00AE3613" w:rsidRPr="000D00EA">
        <w:rPr>
          <w:rFonts w:cs="Times New Roman"/>
          <w:szCs w:val="24"/>
        </w:rPr>
        <w:fldChar w:fldCharType="separate"/>
      </w:r>
      <w:r w:rsidR="00DB3759" w:rsidRPr="000D00EA">
        <w:rPr>
          <w:rFonts w:cs="Times New Roman"/>
          <w:noProof/>
          <w:szCs w:val="24"/>
          <w:vertAlign w:val="superscript"/>
        </w:rPr>
        <w:t>(16)</w:t>
      </w:r>
      <w:r w:rsidR="00AE3613" w:rsidRPr="000D00EA">
        <w:rPr>
          <w:rFonts w:cs="Times New Roman"/>
          <w:szCs w:val="24"/>
        </w:rPr>
        <w:fldChar w:fldCharType="end"/>
      </w:r>
      <w:r w:rsidR="00485417" w:rsidRPr="000D00EA">
        <w:rPr>
          <w:rFonts w:cs="Times New Roman"/>
          <w:szCs w:val="24"/>
        </w:rPr>
        <w:t>.</w:t>
      </w:r>
      <w:r w:rsidR="00366315" w:rsidRPr="000D00EA">
        <w:rPr>
          <w:rFonts w:cs="Times New Roman"/>
          <w:szCs w:val="24"/>
        </w:rPr>
        <w:t xml:space="preserve"> </w:t>
      </w:r>
      <w:r w:rsidR="000D433C" w:rsidRPr="000D00EA">
        <w:rPr>
          <w:rFonts w:cs="Times New Roman"/>
          <w:szCs w:val="24"/>
        </w:rPr>
        <w:t>Although p</w:t>
      </w:r>
      <w:r w:rsidR="004234FA" w:rsidRPr="000D00EA">
        <w:rPr>
          <w:rFonts w:cs="Times New Roman"/>
          <w:szCs w:val="24"/>
        </w:rPr>
        <w:t xml:space="preserve">ollen food syndrome, a food </w:t>
      </w:r>
      <w:r w:rsidR="004C34B6" w:rsidRPr="000D00EA">
        <w:rPr>
          <w:rFonts w:cs="Times New Roman"/>
          <w:szCs w:val="24"/>
        </w:rPr>
        <w:t xml:space="preserve">allergy associated with </w:t>
      </w:r>
      <w:r w:rsidR="00C220EC" w:rsidRPr="000D00EA">
        <w:rPr>
          <w:rFonts w:cs="Times New Roman"/>
          <w:szCs w:val="24"/>
        </w:rPr>
        <w:t>birch pollen</w:t>
      </w:r>
      <w:r w:rsidR="004C34B6" w:rsidRPr="000D00EA">
        <w:rPr>
          <w:rFonts w:cs="Times New Roman"/>
          <w:szCs w:val="24"/>
        </w:rPr>
        <w:t>,</w:t>
      </w:r>
      <w:r w:rsidR="004234FA" w:rsidRPr="000D00EA">
        <w:rPr>
          <w:rFonts w:cs="Times New Roman"/>
          <w:szCs w:val="24"/>
        </w:rPr>
        <w:t xml:space="preserve"> </w:t>
      </w:r>
      <w:r w:rsidR="00C220EC" w:rsidRPr="000D00EA">
        <w:rPr>
          <w:rFonts w:cs="Times New Roman"/>
          <w:szCs w:val="24"/>
        </w:rPr>
        <w:t xml:space="preserve">is </w:t>
      </w:r>
      <w:r w:rsidR="000D433C" w:rsidRPr="000D00EA">
        <w:rPr>
          <w:rFonts w:cs="Times New Roman"/>
          <w:szCs w:val="24"/>
        </w:rPr>
        <w:t xml:space="preserve">noted to </w:t>
      </w:r>
      <w:r w:rsidR="00C220EC" w:rsidRPr="000D00EA">
        <w:rPr>
          <w:rFonts w:cs="Times New Roman"/>
          <w:szCs w:val="24"/>
        </w:rPr>
        <w:t>affect 2% of adults in the UK and typically first occurs</w:t>
      </w:r>
      <w:r w:rsidR="004234FA" w:rsidRPr="000D00EA">
        <w:rPr>
          <w:rFonts w:cs="Times New Roman"/>
          <w:szCs w:val="24"/>
        </w:rPr>
        <w:t xml:space="preserve"> below </w:t>
      </w:r>
      <w:r w:rsidR="00C220EC" w:rsidRPr="000D00EA">
        <w:rPr>
          <w:rFonts w:cs="Times New Roman"/>
          <w:szCs w:val="24"/>
        </w:rPr>
        <w:t xml:space="preserve">the age of 20 years </w:t>
      </w:r>
      <w:r w:rsidR="00C220EC" w:rsidRPr="000D00EA">
        <w:rPr>
          <w:rFonts w:cs="Times New Roman"/>
          <w:szCs w:val="24"/>
        </w:rPr>
        <w:fldChar w:fldCharType="begin" w:fldLock="1"/>
      </w:r>
      <w:r w:rsidR="00C220EC" w:rsidRPr="000D00EA">
        <w:rPr>
          <w:rFonts w:cs="Times New Roman"/>
          <w:szCs w:val="24"/>
        </w:rPr>
        <w:instrText>ADDIN CSL_CITATION { "citationItems" : [ { "id" : "ITEM-1", "itemData" : { "DOI" : "10.1111/cea.12104", "ISBN" : "0954-7894", "ISSN" : "09547894", "PMID" : "23889246", "abstract" : "BACKGROUND: Pollen-food syndrome (PFS), a food allergy affecting pollen-sensitized individuals, is likely to be the most prevalent food allergy in adults, estimated to affect 50-90% of people allergic to birch tree pollen. OBJECTIVE: A validated PFS diagnostic questionnaire (PFSDQ2) was used to determine the prevalence of PFS and also to characterize those who report reactions to foods. METHODS: Five UK General practices each sent the PFSDQ2 by post to 2000 patients aged 18-75 years randomly selected from their practice database. The validated questionnaire was accompanied by an additional set of questions to ascertain the demographic of the population, the foods involved and the age of onset. RESULTS: There were 3590 subjects who returned completed questionnaires, with an average return rate from each practice of 36% (range 22-47%). Of these, 73 were diagnosed with PFS according to the questionnaire (PFS+ve) giving a population prevalence of 2%. A further 482 subjects reported reactions to foods but did not fulfil the diagnostic criteria for PFS. The greatest prevalence of PFS was in the Croydon (SE England) urban practice (4.1%) and the lowest in the Aberdeen (Scotland) urban practice (0.8%) (P &lt; 0.001).The most frequently reported trigger foods were apples, hazelnuts and kiwifruit and the majority of those with PFS first experienced symptoms below the age of 20 years. PFS+ve subjects were also more likely to be female and have a higher socio-economic status than those who did not report reactions to foods. CONCLUSIONS: The UK prevalence of PFS was 2%, although this varied according to the location of the practice population. The majority of PFS+ve subjects first reported symptoms in their teens. The reported age of onset has important implications for the diagnosis of primary and cross-reactive peanut and tree nut allergies in teenagers and young adults. The continuing rise in aeroallergen sensitization is likely to result in an increased frequency of PFS presenting in both primary and secondary care.", "author" : [ { "dropping-particle" : "", "family" : "Skypala", "given" : "I. J.", "non-dropping-particle" : "", "parse-names" : false, "suffix" : "" }, { "dropping-particle" : "", "family" : "Bull", "given" : "S.", "non-dropping-particle" : "", "parse-names" : false, "suffix" : "" }, { "dropping-particle" : "", "family" : "Deegan", "given" : "K.", "non-dropping-particle" : "", "parse-names" : false, "suffix" : "" }, { "dropping-particle" : "", "family" : "Gruffydd-Jones", "given" : "K.", "non-dropping-particle" : "", "parse-names" : false, "suffix" : "" }, { "dropping-particle" : "", "family" : "Holmes", "given" : "S.", "non-dropping-particle" : "", "parse-names" : false, "suffix" : "" }, { "dropping-particle" : "", "family" : "Small", "given" : "I.", "non-dropping-particle" : "", "parse-names" : false, "suffix" : "" }, { "dropping-particle" : "", "family" : "Emery", "given" : "P. W.", "non-dropping-particle" : "", "parse-names" : false, "suffix" : "" }, { "dropping-particle" : "", "family" : "Durham", "given" : "S. R.", "non-dropping-particle" : "", "parse-names" : false, "suffix" : "" } ], "container-title" : "Clinical and Experimental Allergy", "id" : "ITEM-1", "issue" : "8", "issued" : { "date-parts" : [ [ "2013" ] ] }, "page" : "928-940", "title" : "The prevalence of PFS and prevalence and characteristics of reported food allergy; a survey of UK adults aged 18-75 incorporating a validated PFS diagnostic questionnaire", "type" : "article-journal", "volume" : "43" }, "uris" : [ "http://www.mendeley.com/documents/?uuid=eb5a5320-ea20-4c85-ae4e-0c275c703147" ] } ], "mendeley" : { "formattedCitation" : "&lt;sup&gt;(17)&lt;/sup&gt;", "plainTextFormattedCitation" : "(17)" }, "properties" : { "noteIndex" : 0 }, "schema" : "https://github.com/citation-style-language/schema/raw/master/csl-citation.json" }</w:instrText>
      </w:r>
      <w:r w:rsidR="00C220EC" w:rsidRPr="000D00EA">
        <w:rPr>
          <w:rFonts w:cs="Times New Roman"/>
          <w:szCs w:val="24"/>
        </w:rPr>
        <w:fldChar w:fldCharType="separate"/>
      </w:r>
      <w:r w:rsidR="00C220EC" w:rsidRPr="000D00EA">
        <w:rPr>
          <w:rFonts w:cs="Times New Roman"/>
          <w:noProof/>
          <w:szCs w:val="24"/>
          <w:vertAlign w:val="superscript"/>
        </w:rPr>
        <w:t>(17)</w:t>
      </w:r>
      <w:r w:rsidR="00C220EC" w:rsidRPr="000D00EA">
        <w:rPr>
          <w:rFonts w:cs="Times New Roman"/>
          <w:szCs w:val="24"/>
        </w:rPr>
        <w:fldChar w:fldCharType="end"/>
      </w:r>
      <w:r w:rsidR="000D433C" w:rsidRPr="000D00EA">
        <w:rPr>
          <w:rFonts w:cs="Times New Roman"/>
          <w:szCs w:val="24"/>
        </w:rPr>
        <w:t>,</w:t>
      </w:r>
      <w:r w:rsidR="004234FA" w:rsidRPr="000D00EA">
        <w:rPr>
          <w:rFonts w:cs="Times New Roman"/>
          <w:szCs w:val="24"/>
        </w:rPr>
        <w:t xml:space="preserve"> its nutritional impact has not been documented.</w:t>
      </w:r>
      <w:r w:rsidR="004234FA" w:rsidRPr="000D00EA">
        <w:t xml:space="preserve"> </w:t>
      </w:r>
    </w:p>
    <w:p w14:paraId="63CAEBDF" w14:textId="26EC8CCC" w:rsidR="00BE59B2" w:rsidRPr="000D00EA" w:rsidRDefault="00DE6124" w:rsidP="000D4174">
      <w:pPr>
        <w:widowControl w:val="0"/>
        <w:autoSpaceDE w:val="0"/>
        <w:autoSpaceDN w:val="0"/>
        <w:adjustRightInd w:val="0"/>
        <w:spacing w:line="360" w:lineRule="auto"/>
        <w:ind w:firstLine="720"/>
        <w:jc w:val="both"/>
        <w:rPr>
          <w:rFonts w:ascii="Arial" w:hAnsi="Arial" w:cs="Arial"/>
        </w:rPr>
      </w:pPr>
      <w:r w:rsidRPr="000D00EA">
        <w:rPr>
          <w:rFonts w:cs="Times New Roman"/>
          <w:szCs w:val="24"/>
        </w:rPr>
        <w:t>Although there is some heterogeneity in study designs and results</w:t>
      </w:r>
      <w:r w:rsidR="006041F3" w:rsidRPr="000D00EA">
        <w:rPr>
          <w:rFonts w:cs="Times New Roman"/>
          <w:szCs w:val="24"/>
        </w:rPr>
        <w:t>,</w:t>
      </w:r>
      <w:r w:rsidR="003F1856" w:rsidRPr="000D00EA">
        <w:rPr>
          <w:rFonts w:cs="Times New Roman"/>
          <w:szCs w:val="24"/>
        </w:rPr>
        <w:t xml:space="preserve"> </w:t>
      </w:r>
      <w:r w:rsidRPr="000D00EA">
        <w:rPr>
          <w:rFonts w:cs="Times New Roman"/>
          <w:szCs w:val="24"/>
        </w:rPr>
        <w:t xml:space="preserve">most </w:t>
      </w:r>
      <w:r w:rsidR="00366315" w:rsidRPr="000D00EA">
        <w:rPr>
          <w:rFonts w:cs="Times New Roman"/>
          <w:szCs w:val="24"/>
        </w:rPr>
        <w:t>published</w:t>
      </w:r>
      <w:r w:rsidR="00071E85" w:rsidRPr="000D00EA">
        <w:rPr>
          <w:rFonts w:cs="Times New Roman"/>
          <w:szCs w:val="24"/>
        </w:rPr>
        <w:t xml:space="preserve"> </w:t>
      </w:r>
      <w:r w:rsidR="00505BEB" w:rsidRPr="000D00EA">
        <w:rPr>
          <w:rFonts w:cs="Times New Roman"/>
          <w:szCs w:val="24"/>
        </w:rPr>
        <w:t xml:space="preserve">studies </w:t>
      </w:r>
      <w:r w:rsidR="002D6B16" w:rsidRPr="000D00EA">
        <w:rPr>
          <w:rFonts w:cs="Times New Roman"/>
          <w:szCs w:val="24"/>
        </w:rPr>
        <w:t xml:space="preserve">report </w:t>
      </w:r>
      <w:r w:rsidR="003F1856" w:rsidRPr="000D00EA">
        <w:rPr>
          <w:rFonts w:cs="Times New Roman"/>
          <w:szCs w:val="24"/>
        </w:rPr>
        <w:t xml:space="preserve">that energy intakes are </w:t>
      </w:r>
      <w:r w:rsidR="00071E85" w:rsidRPr="000D00EA">
        <w:rPr>
          <w:rFonts w:cs="Times New Roman"/>
          <w:szCs w:val="24"/>
        </w:rPr>
        <w:t xml:space="preserve">broadly </w:t>
      </w:r>
      <w:r w:rsidR="003F1856" w:rsidRPr="000D00EA">
        <w:rPr>
          <w:rFonts w:cs="Times New Roman"/>
          <w:szCs w:val="24"/>
        </w:rPr>
        <w:t>similar</w:t>
      </w:r>
      <w:r w:rsidR="001D6321" w:rsidRPr="000D00EA">
        <w:rPr>
          <w:rFonts w:cs="Times New Roman"/>
          <w:szCs w:val="24"/>
        </w:rPr>
        <w:t xml:space="preserve"> between those </w:t>
      </w:r>
      <w:r w:rsidR="00071E85" w:rsidRPr="000D00EA">
        <w:rPr>
          <w:rFonts w:cs="Times New Roman"/>
          <w:szCs w:val="24"/>
        </w:rPr>
        <w:t xml:space="preserve">with and without </w:t>
      </w:r>
      <w:r w:rsidR="001D6321" w:rsidRPr="000D00EA">
        <w:rPr>
          <w:rFonts w:cs="Times New Roman"/>
          <w:szCs w:val="24"/>
        </w:rPr>
        <w:t>food allergies</w:t>
      </w:r>
      <w:r w:rsidR="006211C6" w:rsidRPr="000D00EA">
        <w:rPr>
          <w:rFonts w:cs="Times New Roman"/>
          <w:szCs w:val="24"/>
        </w:rPr>
        <w:t xml:space="preserve">. In general research  has indicated </w:t>
      </w:r>
      <w:r w:rsidR="003F1856" w:rsidRPr="000D00EA">
        <w:rPr>
          <w:rFonts w:cs="Times New Roman"/>
          <w:szCs w:val="24"/>
        </w:rPr>
        <w:t>that excluded food groups are adequately s</w:t>
      </w:r>
      <w:r w:rsidR="00784243" w:rsidRPr="000D00EA">
        <w:rPr>
          <w:rFonts w:cs="Times New Roman"/>
          <w:szCs w:val="24"/>
        </w:rPr>
        <w:t>ubstituted in terms of calories</w:t>
      </w:r>
      <w:r w:rsidR="00071E85" w:rsidRPr="000D00EA">
        <w:rPr>
          <w:rFonts w:cs="Times New Roman"/>
          <w:szCs w:val="24"/>
        </w:rPr>
        <w:t>,</w:t>
      </w:r>
      <w:r w:rsidR="003F1856" w:rsidRPr="000D00EA">
        <w:rPr>
          <w:rFonts w:cs="Times New Roman"/>
          <w:szCs w:val="24"/>
        </w:rPr>
        <w:t xml:space="preserve"> although not always in terms of micronutrients</w:t>
      </w:r>
      <w:r w:rsidR="0013527A" w:rsidRPr="000D00EA">
        <w:rPr>
          <w:rFonts w:cs="Times New Roman"/>
          <w:szCs w:val="24"/>
        </w:rPr>
        <w:t xml:space="preserve"> </w:t>
      </w:r>
      <w:r w:rsidR="0013527A" w:rsidRPr="000D00EA">
        <w:rPr>
          <w:rFonts w:cs="Times New Roman"/>
          <w:szCs w:val="24"/>
        </w:rPr>
        <w:fldChar w:fldCharType="begin" w:fldLock="1"/>
      </w:r>
      <w:r w:rsidR="00DB3759" w:rsidRPr="000D00EA">
        <w:rPr>
          <w:rFonts w:cs="Times New Roman"/>
          <w:szCs w:val="24"/>
        </w:rPr>
        <w:instrText>ADDIN CSL_CITATION { "citationItems" : [ { "id" : "ITEM-1", "itemData" : { "DOI" : "10.1111/pai.12348", "ISSN" : "09056157", "author" : [ { "dropping-particle" : "", "family" : "Berry", "given" : "Melissa J.", "non-dropping-particle" : "", "parse-names" : false, "suffix" : "" }, { "dropping-particle" : "", "family" : "Adams", "given" : "Jennifer", "non-dropping-particle" : "", "parse-names" : false, "suffix" : "" }, { "dropping-particle" : "", "family" : "Voutilainen", "given" : "Helena", "non-dropping-particle" : "", "parse-names" : false, "suffix" : "" }, { "dropping-particle" : "", "family" : "Feustel", "given" : "Paul J.", "non-dropping-particle" : "", "parse-names" : false, "suffix" : "" }, { "dropping-particle" : "", "family" : "Celestin", "given" : "Jocelyn", "non-dropping-particle" : "", "parse-names" : false, "suffix" : "" }, { "dropping-particle" : "", "family" : "J\u00e4rvinen", "given" : "Kirsi M.", "non-dropping-particle" : "", "parse-names" : false, "suffix" : "" } ], "container-title" : "Pediatric Allergy and Immunology", "id" : "ITEM-1", "issue" : "18", "issued" : { "date-parts" : [ [ "2015" ] ] }, "page" : "n/a-n/a", "title" : "Impact of elimination diets on growth and nutritional status in children with multiple food allergies", "type" : "article-journal", "volume" : "26" }, "uris" : [ "http://www.mendeley.com/documents/?uuid=8fcb7661-f888-4fa9-b0a3-cf2fbbc4580b" ] }, { "id" : "ITEM-2",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"ITEM-2", "issue" : "11", "issued" : { "date-parts" : [ [ "2002" ] ] }, "page" : "1648-1651", "title" : "Food allergies in children affect nutrient intake and growth", "type" : "article-journal", "volume" : "102" }, "uris" : [ "http://www.mendeley.com/documents/?uuid=6827fd55-4c0e-4fa4-8211-21434ef4c92f" ] }, { "id" : "ITEM-3",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"ITEM-3", "issued" : { "date-parts" : [ [ "2011" ] ] }, "page" : "161-165", "title" : "Diet and nutritional status of children with food allergies.", "type" : "article-journal", "volume" : "22" }, "uris" : [ "http://www.mendeley.com/documents/?uuid=47eac944-9222-4200-b202-eb5eb10e7048" ] }, { "id" : "ITEM-4", "itemData" : { "DOI" : "10.1177/0884533613505870", "ISBN" : "1941-2452 (Electronic)\\n0884-5336 (Linking)", "ISSN" : "0884-5336", "PMID" : "24166727", "abstract" : "BACKGROUND: Food allergies affect up to 8% of American children. The current recommended treatment for food allergies is strict elimination of the allergens from the diet. Dietary elimination of nutrient-dense foods may result in inadequate nutrient intake and impaired growth. The purpose of this review was to critically analyze available research on the effect of an elimination diet on nutrient intake and growth in children with multiple food allergies. Methods: A systematic review of the literature was conducted and a workgroup was established to critically analyze each relevant article. The findings were summarized and a conclusion was generated. Results: Six studies were analyzed. One study found that children with food allergies are more likely to be malnourished than children without food allergies. Three studies found that children with multiple food allergies were shorter than children with 1 food allergy. Four studies assessed nutrient intake of children with multiple food allergies, but the inclusion and comparison criteria were different in each of the studies and the findings were conflicting. One study found that children with food allergies who did not receive nutrition counseling were more likely to have inadequate intake of calcium and vitamin D. Conclusion: Children with multiple food allergies have a higher risk of impaired growth and may have a higher risk of inadequate nutrient intake than children without food allergies. Until more research is available, we recommend monitoring of nutrition and growth of children with multiple food allergies to prevent possible nutrient deficiencies and to optimize growth.", "author" : [ { "dropping-particle" : "", "family" : "Sova", "given" : "C", "non-dropping-particle" : "", "parse-names" : false, "suffix" : "" }, { "dropping-particle" : "", "family" : "Feuling", "given" : "M B", "non-dropping-particle" : "", "parse-names" : false, "suffix" : "" }, { "dropping-particle" : "", "family" : "Baumler", "given" : "M", "non-dropping-particle" : "", "parse-names" : false, "suffix" : "" }, { "dropping-particle" : "", "family" : "Gleason", "given" : "L", "non-dropping-particle" : "", "parse-names" : false, "suffix" : "" }, { "dropping-particle" : "", "family" : "Tam", "given" : "J S", "non-dropping-particle" : "", "parse-names" : false, "suffix" : "" }, { "dropping-particle" : "", "family" : "Zafra", "given" : "H", "non-dropping-particle" : "", "parse-names" : false, "suffix" : "" }, { "dropping-particle" : "", "family" : "Goday", "given" : "P S", "non-dropping-particle" : "", "parse-names" : false, "suffix" : "" } ], "container-title" : "Nutr Clin Pract", "id" : "ITEM-4", "issued" : { "date-parts" : [ [ "2013" ] ] }, "page" : "669-675", "title" : "Systematic Review of Nutrient Intake and Growth in Children with Multiple IgE-Mediated Food Allergies", "type" : "article-journal", "volume" : "28" }, "uris" : [ "http://www.mendeley.com/documents/?uuid=1024bf00-ba16-4579-8280-beaa8975e015" ] } ], "mendeley" : { "formattedCitation" : "&lt;sup&gt;(5,6,11,14)&lt;/sup&gt;", "plainTextFormattedCitation" : "(5,6,11,14)", "previouslyFormattedCitation" : "&lt;sup&gt;(5,6,11,14)&lt;/sup&gt;" }, "properties" : { "noteIndex" : 0 }, "schema" : "https://github.com/citation-style-language/schema/raw/master/csl-citation.json" }</w:instrText>
      </w:r>
      <w:r w:rsidR="0013527A" w:rsidRPr="000D00EA">
        <w:rPr>
          <w:rFonts w:cs="Times New Roman"/>
          <w:szCs w:val="24"/>
        </w:rPr>
        <w:fldChar w:fldCharType="separate"/>
      </w:r>
      <w:r w:rsidR="00DB3759" w:rsidRPr="000D00EA">
        <w:rPr>
          <w:rFonts w:cs="Times New Roman"/>
          <w:noProof/>
          <w:szCs w:val="24"/>
          <w:vertAlign w:val="superscript"/>
        </w:rPr>
        <w:t>(5,6,11,14)</w:t>
      </w:r>
      <w:r w:rsidR="0013527A" w:rsidRPr="000D00EA">
        <w:rPr>
          <w:rFonts w:cs="Times New Roman"/>
          <w:szCs w:val="24"/>
        </w:rPr>
        <w:fldChar w:fldCharType="end"/>
      </w:r>
      <w:r w:rsidR="003F1856" w:rsidRPr="000D00EA">
        <w:rPr>
          <w:rFonts w:cs="Times New Roman"/>
          <w:szCs w:val="24"/>
        </w:rPr>
        <w:t xml:space="preserve">. </w:t>
      </w:r>
      <w:r w:rsidR="0071373C" w:rsidRPr="000D00EA">
        <w:rPr>
          <w:rFonts w:cs="Times New Roman"/>
          <w:szCs w:val="24"/>
        </w:rPr>
        <w:t xml:space="preserve">As there is some evidence that food allergy may be increasing </w:t>
      </w:r>
      <w:r w:rsidR="0071373C" w:rsidRPr="000D00EA">
        <w:rPr>
          <w:rFonts w:cs="Times New Roman"/>
          <w:szCs w:val="24"/>
        </w:rPr>
        <w:fldChar w:fldCharType="begin" w:fldLock="1"/>
      </w:r>
      <w:r w:rsidR="00A52728" w:rsidRPr="000D00EA">
        <w:rPr>
          <w:rFonts w:cs="Times New Roman"/>
          <w:szCs w:val="24"/>
        </w:rPr>
        <w:instrText>ADDIN CSL_CITATION { "citationItems" : [ { "id" : "ITEM-1", "itemData" : { "DOI" : "10.1111/all.12423", "ISSN" : "13989995", "PMID" : "24816523", "abstract" : "Allergy to cow's milk, egg, wheat, soy, peanut, tree nuts, fish, and shellfish constitutes the majority of food allergy reactions, but reliable estimates of their prevalence are lacking. This systematic review aimed to provide up-to-date estimates of their prevalence in Europe.Studies published in Europe from January 1, 2000, to September 30, 2012, were identified from searches of four electronic databases. Two independent reviewers appraised the studies and extracted the estimates of interest. Data were pooled using random-effects meta-analyses. Fifty studies were included in a narrative synthesis and 42 studies in the meta-analyses. Although there were significant heterogeneity between the studies, the overall pooled estimates for all age groups of self-reported lifetime prevalence of allergy to cow's milk, egg, wheat, soy, peanut, tree nuts, fish, and shellfish were 6.0% (95% confidence interval: 5.7-6.4), 2.5% (2.3-2.7), 3.6% (3.0-4.2), 0.4% (0.3-0.6), 1.3% (1.2-1.5), 2.2% (1.8-2.5), and 1.3% (0.9-1.7), respectively. The prevalence of food-challenge-defined allergy to cow's milk, egg, wheat, soy, peanut, tree nuts, fish, and shellfish was 0.6% (0.5-0.8), 0.2% (0.2-0.3), 0.1% (0.01-0.2), 0.3% (0.1-0.4), 0.2% (0.2-0.3), 0.5% (0.08-0.8), 0.1% (0.02-0.2), and 0.1% (0.06-0.3), respectively. Allergy to cow's milk and egg was more common among younger children, while allergy to peanut, tree nuts, fish, and shellfish was more common among the older ones. There were insufficient data to compare the estimates of soy and wheat allergy between the age groups. Allergy to most foods, except soy and peanut, appeared to be more common in Northern Europe. In summary, the lifetime self-reported prevalence of allergy to common foods in Europe ranged from 0.1 to 6.0%. The heterogeneity between studies was high, and participation rates varied across studies reaching as low as &lt;20% in some studies. Standardizing the methods of assessment of food allergies and initiating strategies to increase participation will advance this evidence base.", "author" : [ { "dropping-particle" : "", "family" : "Nwaru", "given" : "B. I.", "non-dropping-particle" : "", "parse-names" : false, "suffix" : "" }, { "dropping-particle" : "", "family" : "Hickstein", "given" : "L.", "non-dropping-particle" : "", "parse-names" : false, "suffix" : "" }, { "dropping-particle" : "", "family" : "Panesar", "given" : "S. S.", "non-dropping-particle" : "", "parse-names" : false, "suffix" : "" }, { "dropping-particle" : "", "family" : "Roberts", "given" : "G.", "non-dropping-particle" : "", "parse-names" : false, "suffix" : "" }, { "dropping-particle" : "", "family" : "Muraro", "given" : "a.", "non-dropping-particle" : "", "parse-names" : false, "suffix" : "" }, { "dropping-particle" : "", "family" : "Sheikh", "given" : "a.", "non-dropping-particle" : "", "parse-names" : false, "suffix" : "" } ], "container-title" : "Allergy: European Journal of Allergy and Clinical Immunology", "id" : "ITEM-1", "issue" : "8", "issued" : { "date-parts" : [ [ "2014" ] ] }, "page" : "992-1007", "title" : "Prevalence of common food allergies in Europe: A systematic review and meta-analysis", "type" : "article-journal", "volume" : "69" }, "uris" : [ "http://www.mendeley.com/documents/?uuid=1fdf0624-b7c6-42ce-8021-da2b660cdf3d" ] } ], "mendeley" : { "formattedCitation" : "&lt;sup&gt;(2)&lt;/sup&gt;", "plainTextFormattedCitation" : "(2)", "previouslyFormattedCitation" : "&lt;sup&gt;(2)&lt;/sup&gt;" }, "properties" : { "noteIndex" : 0 }, "schema" : "https://github.com/citation-style-language/schema/raw/master/csl-citation.json" }</w:instrText>
      </w:r>
      <w:r w:rsidR="0071373C" w:rsidRPr="000D00EA">
        <w:rPr>
          <w:rFonts w:cs="Times New Roman"/>
          <w:szCs w:val="24"/>
        </w:rPr>
        <w:fldChar w:fldCharType="separate"/>
      </w:r>
      <w:r w:rsidR="0071373C" w:rsidRPr="000D00EA">
        <w:rPr>
          <w:rFonts w:cs="Times New Roman"/>
          <w:noProof/>
          <w:szCs w:val="24"/>
          <w:vertAlign w:val="superscript"/>
        </w:rPr>
        <w:t>(2)</w:t>
      </w:r>
      <w:r w:rsidR="0071373C" w:rsidRPr="000D00EA">
        <w:rPr>
          <w:rFonts w:cs="Times New Roman"/>
          <w:szCs w:val="24"/>
        </w:rPr>
        <w:fldChar w:fldCharType="end"/>
      </w:r>
      <w:r w:rsidR="00D11E41" w:rsidRPr="000D00EA">
        <w:rPr>
          <w:rFonts w:cs="Times New Roman"/>
          <w:szCs w:val="24"/>
        </w:rPr>
        <w:t xml:space="preserve"> and</w:t>
      </w:r>
      <w:r w:rsidR="003F1856" w:rsidRPr="000D00EA">
        <w:rPr>
          <w:rFonts w:cs="Times New Roman"/>
          <w:szCs w:val="24"/>
        </w:rPr>
        <w:t xml:space="preserve"> the </w:t>
      </w:r>
      <w:r w:rsidR="006211C6" w:rsidRPr="000D00EA">
        <w:rPr>
          <w:rFonts w:cs="Times New Roman"/>
          <w:szCs w:val="24"/>
        </w:rPr>
        <w:t xml:space="preserve">vast </w:t>
      </w:r>
      <w:r w:rsidR="003F1856" w:rsidRPr="000D00EA">
        <w:rPr>
          <w:rFonts w:cs="Times New Roman"/>
          <w:szCs w:val="24"/>
        </w:rPr>
        <w:t>majority of research evi</w:t>
      </w:r>
      <w:r w:rsidR="00EE303C" w:rsidRPr="000D00EA">
        <w:rPr>
          <w:rFonts w:cs="Times New Roman"/>
          <w:szCs w:val="24"/>
        </w:rPr>
        <w:t>dence relates to young children,</w:t>
      </w:r>
      <w:r w:rsidR="003F1856" w:rsidRPr="000D00EA">
        <w:rPr>
          <w:rFonts w:cs="Times New Roman"/>
          <w:szCs w:val="24"/>
        </w:rPr>
        <w:t xml:space="preserve"> there is a clear need for studies evaluating dietary intake in </w:t>
      </w:r>
      <w:r w:rsidR="00C40066" w:rsidRPr="000D00EA">
        <w:rPr>
          <w:rFonts w:cs="Times New Roman"/>
          <w:szCs w:val="24"/>
        </w:rPr>
        <w:t xml:space="preserve">adolescents </w:t>
      </w:r>
      <w:r w:rsidR="003F1856" w:rsidRPr="000D00EA">
        <w:rPr>
          <w:rFonts w:cs="Times New Roman"/>
          <w:szCs w:val="24"/>
        </w:rPr>
        <w:t>and adults with food allergies</w:t>
      </w:r>
      <w:r w:rsidR="00D11E41" w:rsidRPr="000D00EA">
        <w:rPr>
          <w:rFonts w:cs="Times New Roman"/>
          <w:szCs w:val="24"/>
        </w:rPr>
        <w:t xml:space="preserve">. </w:t>
      </w:r>
      <w:r w:rsidR="000D4174" w:rsidRPr="000D00EA">
        <w:rPr>
          <w:rFonts w:cs="Times New Roman"/>
          <w:szCs w:val="24"/>
        </w:rPr>
        <w:t xml:space="preserve">Simply extrapolating findings from paediatric to older populations may lead to erroneous assumptions </w:t>
      </w:r>
      <w:r w:rsidR="000D4174" w:rsidRPr="000D00EA">
        <w:rPr>
          <w:rFonts w:cs="Times New Roman"/>
          <w:szCs w:val="24"/>
        </w:rPr>
        <w:fldChar w:fldCharType="begin" w:fldLock="1"/>
      </w:r>
      <w:r w:rsidR="000D4174" w:rsidRPr="000D00EA">
        <w:rPr>
          <w:rFonts w:cs="Times New Roman"/>
          <w:szCs w:val="24"/>
        </w:rPr>
        <w:instrText>ADDIN CSL_CITATION { "citationItems" : [ { "id" : "ITEM-1", "itemData" : { "DOI" : "10.1007/s11882-012-0266-3", "author" : [ { "dropping-particle" : "", "family" : "Chaudhry", "given" : "Rabia Quddus", "non-dropping-particle" : "", "parse-names" : false, "suffix" : "" }, { "dropping-particle" : "", "family" : "Oppenheimer", "given" : "John J", "non-dropping-particle" : "", "parse-names" : false, "suffix" : "" } ], "id" : "ITEM-1", "issued" : { "date-parts" : [ [ "2012" ] ] }, "page" : "311-320", "title" : "Update on Food Allergy in Adults", "type" : "article-journal" }, "uris" : [ "http://www.mendeley.com/documents/?uuid=0fbeb224-fb76-4d2e-91a1-09e13250ef1e" ] } ], "mendeley" : { "formattedCitation" : "&lt;sup&gt;(20)&lt;/sup&gt;", "plainTextFormattedCitation" : "(20)", "previouslyFormattedCitation" : "&lt;sup&gt;(19)&lt;/sup&gt;" }, "properties" : { "noteIndex" : 0 }, "schema" : "https://github.com/citation-style-language/schema/raw/master/csl-citation.json" }</w:instrText>
      </w:r>
      <w:r w:rsidR="000D4174" w:rsidRPr="000D00EA">
        <w:rPr>
          <w:rFonts w:cs="Times New Roman"/>
          <w:szCs w:val="24"/>
        </w:rPr>
        <w:fldChar w:fldCharType="separate"/>
      </w:r>
      <w:r w:rsidR="000D4174" w:rsidRPr="000D00EA">
        <w:rPr>
          <w:rFonts w:cs="Times New Roman"/>
          <w:noProof/>
          <w:szCs w:val="24"/>
          <w:vertAlign w:val="superscript"/>
        </w:rPr>
        <w:t>(20)</w:t>
      </w:r>
      <w:r w:rsidR="000D4174" w:rsidRPr="000D00EA">
        <w:rPr>
          <w:rFonts w:cs="Times New Roman"/>
          <w:szCs w:val="24"/>
        </w:rPr>
        <w:fldChar w:fldCharType="end"/>
      </w:r>
      <w:r w:rsidR="000D4174" w:rsidRPr="000D00EA">
        <w:rPr>
          <w:rFonts w:cs="Times New Roman"/>
          <w:szCs w:val="24"/>
        </w:rPr>
        <w:t xml:space="preserve">. </w:t>
      </w:r>
      <w:r w:rsidR="00D11E41" w:rsidRPr="000D00EA">
        <w:rPr>
          <w:rFonts w:cs="Times New Roman"/>
          <w:szCs w:val="24"/>
        </w:rPr>
        <w:t xml:space="preserve">This is particularly </w:t>
      </w:r>
      <w:r w:rsidR="00D11E41" w:rsidRPr="000D00EA">
        <w:rPr>
          <w:rFonts w:cs="Times New Roman"/>
          <w:szCs w:val="24"/>
        </w:rPr>
        <w:lastRenderedPageBreak/>
        <w:t xml:space="preserve">important </w:t>
      </w:r>
      <w:r w:rsidR="002E2339" w:rsidRPr="000D00EA">
        <w:rPr>
          <w:rFonts w:cs="Times New Roman"/>
          <w:szCs w:val="24"/>
        </w:rPr>
        <w:t>for those who may be consuming restricted diets during</w:t>
      </w:r>
      <w:r w:rsidR="00D11E41" w:rsidRPr="000D00EA">
        <w:rPr>
          <w:rFonts w:cs="Times New Roman"/>
          <w:szCs w:val="24"/>
        </w:rPr>
        <w:t xml:space="preserve"> adolescence, a time </w:t>
      </w:r>
      <w:r w:rsidR="00A52728" w:rsidRPr="000D00EA">
        <w:rPr>
          <w:rFonts w:cs="Times New Roman"/>
          <w:szCs w:val="24"/>
        </w:rPr>
        <w:t xml:space="preserve">of emerging independence </w:t>
      </w:r>
      <w:r w:rsidR="000D4174" w:rsidRPr="000D00EA">
        <w:rPr>
          <w:rFonts w:cs="Times New Roman"/>
          <w:szCs w:val="24"/>
        </w:rPr>
        <w:t>in</w:t>
      </w:r>
      <w:r w:rsidR="00A52728" w:rsidRPr="000D00EA">
        <w:rPr>
          <w:rFonts w:cs="Times New Roman"/>
          <w:szCs w:val="24"/>
        </w:rPr>
        <w:t xml:space="preserve"> health behaviours, </w:t>
      </w:r>
      <w:r w:rsidR="002E2339" w:rsidRPr="000D00EA">
        <w:rPr>
          <w:rFonts w:cs="Times New Roman"/>
          <w:szCs w:val="24"/>
        </w:rPr>
        <w:t xml:space="preserve">that occurs alongside </w:t>
      </w:r>
      <w:r w:rsidR="00A52728" w:rsidRPr="000D00EA">
        <w:rPr>
          <w:rFonts w:cs="Times New Roman"/>
          <w:szCs w:val="24"/>
        </w:rPr>
        <w:t>a period of</w:t>
      </w:r>
      <w:r w:rsidR="00D11E41" w:rsidRPr="000D00EA">
        <w:rPr>
          <w:rFonts w:cs="Times New Roman"/>
          <w:szCs w:val="24"/>
        </w:rPr>
        <w:t xml:space="preserve"> </w:t>
      </w:r>
      <w:r w:rsidR="00A52728" w:rsidRPr="000D00EA">
        <w:rPr>
          <w:rFonts w:cs="Times New Roman"/>
          <w:szCs w:val="24"/>
        </w:rPr>
        <w:t>h</w:t>
      </w:r>
      <w:r w:rsidR="002E2339" w:rsidRPr="000D00EA">
        <w:rPr>
          <w:rFonts w:cs="Times New Roman"/>
          <w:szCs w:val="24"/>
        </w:rPr>
        <w:t>eightened</w:t>
      </w:r>
      <w:r w:rsidR="00A52728" w:rsidRPr="000D00EA">
        <w:rPr>
          <w:rFonts w:cs="Times New Roman"/>
          <w:szCs w:val="24"/>
        </w:rPr>
        <w:t xml:space="preserve"> </w:t>
      </w:r>
      <w:r w:rsidR="00D11E41" w:rsidRPr="000D00EA">
        <w:rPr>
          <w:rFonts w:cs="Times New Roman"/>
          <w:szCs w:val="24"/>
        </w:rPr>
        <w:t>nutritional</w:t>
      </w:r>
      <w:r w:rsidR="00A52728" w:rsidRPr="000D00EA">
        <w:rPr>
          <w:rFonts w:cs="Times New Roman"/>
          <w:szCs w:val="24"/>
        </w:rPr>
        <w:t xml:space="preserve"> requirements and rapid growth </w:t>
      </w:r>
      <w:r w:rsidR="00A52728" w:rsidRPr="000D00EA">
        <w:rPr>
          <w:rFonts w:cs="Times New Roman"/>
          <w:szCs w:val="24"/>
        </w:rPr>
        <w:fldChar w:fldCharType="begin" w:fldLock="1"/>
      </w:r>
      <w:r w:rsidR="00C220EC" w:rsidRPr="000D00EA">
        <w:rPr>
          <w:rFonts w:cs="Times New Roman"/>
          <w:szCs w:val="24"/>
        </w:rPr>
        <w:instrText>ADDIN CSL_CITATION { "citationItems" : [ { "id" : "ITEM-1", "itemData" : { "DOI" : "10.1111/nyas.13330", "ISSN" : "17496632", "PMID" : "28436102", "abstract" : "Adolescence is the period of development that begins at puberty and ends in early adulthood. Most commonly, adolescence is divided into three developmental periods: early adolescence (10-14 years of age), late adolescence (15-19 years of age), and young adulthood (20-24 years of age). Adolescence is marked by physical and sexual maturation, social and economic independence, development of identity, acquisition of skills needed to carry out adult relationships and roles, and the capacity for abstract reasoning. Adolescence is characterized by a rapid pace of growth that is second only to that of infancy. Nutrition and the adolescent transition are closely intertwined, since eating patterns and behaviors are influenced by many factors, including peer influences, parental modeling, food availability, food preferences, cost, convenience, personal and cultural beliefs, mass media, and body image. Here, we describe the physiology, metabolism, and nutritional requirements for adolescents and pregnant adolescents, as well as nutrition-related behavior and current trends in adolescent nutrition. We conclude with thoughts on the implications for nutrition interventions and priority areas that would require further investigation.", "author" : [ { "dropping-particle" : "", "family" : "Das", "given" : "Jai K.", "non-dropping-particle" : "", "parse-names" : false, "suffix" : "" }, { "dropping-particle" : "", "family" : "Salam", "given" : "Rehana A.", "non-dropping-particle" : "", "parse-names" : false, "suffix" : "" }, { "dropping-particle" : "", "family" : "Thornburg", "given" : "Kent L.", "non-dropping-particle" : "", "parse-names" : false, "suffix" : "" }, { "dropping-particle" : "", "family" : "Prentice", "given" : "Andrew M.", "non-dropping-particle" : "", "parse-names" : false, "suffix" : "" }, { "dropping-particle" : "", "family" : "Campisi", "given" : "Susan", "non-dropping-particle" : "", "parse-names" : false, "suffix" : "" }, { "dropping-particle" : "", "family" : "Lassi", "given" : "Zohra S.", "non-dropping-particle" : "", "parse-names" : false, "suffix" : "" }, { "dropping-particle" : "", "family" : "Koletzko", "given" : "Berthold", "non-dropping-particle" : "", "parse-names" : false, "suffix" : "" }, { "dropping-particle" : "", "family" : "Bhutta", "given" : "Zulfiqar A.", "non-dropping-particle" : "", "parse-names" : false, "suffix" : "" } ], "container-title" : "Annals of the New York Academy of Sciences", "id" : "ITEM-1", "issue" : "1", "issued" : { "date-parts" : [ [ "2017" ] ] }, "page" : "21-33", "title" : "Nutrition in adolescents: physiology, metabolism, and nutritional needs", "type" : "article-journal", "volume" : "1393" }, "uris" : [ "http://www.mendeley.com/documents/?uuid=71e9197e-e7d4-4f77-877c-9efcaed1dc06" ] }, { "id" : "ITEM-2", "itemData" : { "DOI" : "10.1016/S0140-6736(16)00579-1", "ISBN" : "01406736", "ISSN" : "1474547X", "PMID" : "27174304", "abstract" : "Key messages \u2022 Investments in adolescent health and wellbeing bring a triple dividend of benefi ts now, into future adult life, and for the next generation of children. \u2022 Adolescents are biologically, emotionally, and developmentally primed for engagement beyond their families. We must create the opportunities to meaningfully engage with them in all aspects of their lives. \u2022 Inequities, including those linked to poverty and gender, shape all aspects of adolescent health and wellbeing: strong multisectoral actions are needed to grow the resources for health and wellbeing and off er second chances to the most disadvantaged. \u2022 Adolescents and young adults face unprecedented social, economic, and cultural change. We must transform our health, education, family support, and legal systems to keep pace with these changes. Outstanding opportunities \u2022 Guaranteeing and supporting access to free, quality secondary education for all adolescents presents the single best investment for health and wellbeing. \u2022 Tackling preventable and treatable adolescent health problems including infectious diseases, undernutrition, HIV, sexual and reproductive health, injury, and violence will bring huge social and economic benefi ts. This is key to bringing a grand global convergence in health in all countries by 2030. \u2022 The most powerful actions for adolescent health and wellbeing are intersectoral, multilevel, and multi-component: information and broadband technologies present an exceptional opportunity for building capacity within sectors and coordinating actions between them. \u2022 Establishing systems for the training, mentoring, and participation of youth health advocates has the potential to transform traditional models of health-care delivery to create adolescent-responsive health systems. Challenges ahead \u2022 Rapid global rises in adolescent health risks for later-life non-communicable diseases will require an unprecedented extent of coordination across sectors from the global to the local level. \u2022 Non-communicable diseases of adolescents including mental and substance use disorders, and chronic physical illnesses are becoming the dominant health problems of this age group. Substantial investment in the health-care system and approaches to prevention are required. \u2022 Health information systems to support actions in adolescent health remain weak: greater harmonisation and broadening of data collection systems to neglected problems and younger ages will be needed. \u2022 Inequalities in\u2026", "author" : [ { "dropping-particle" : "", "family" : "Patton", "given" : "George C.", "non-dropping-particle" : "", "parse-names" : false, "suffix" : "" }, { "dropping-particle" : "", "family" : "Sawyer", "given" : "Susan M.", "non-dropping-particle" : "", "parse-names" : false, "suffix" : "" }, { "dropping-particle" : "", "family" : "Santelli", "given" : "John S.", "non-dropping-particle" : "", "parse-names" : false, "suffix" : "" }, { "dropping-particle" : "", "family" : "Ross", "given" : "David A.", "non-dropping-particle" : "", "parse-names" : false, "suffix" : "" }, { "dropping-particle" : "", "family" : "Afifi", "given" : "Rima", "non-dropping-particle" : "", "parse-names" : false, "suffix" : "" }, { "dropping-particle" : "", "family" : "Allen", "given" : "Nicholas B.", "non-dropping-particle" : "", "parse-names" : false, "suffix" : "" }, { "dropping-particle" : "", "family" : "Arora", "given" : "Monika", "non-dropping-particle" : "", "parse-names" : false, "suffix" : "" }, { "dropping-particle" : "", "family" : "Azzopardi", "given" : "Peter", "non-dropping-particle" : "", "parse-names" : false, "suffix" : "" }, { "dropping-particle" : "", "family" : "Baldwin", "given" : "Wendy", "non-dropping-particle" : "", "parse-names" : false, "suffix" : "" }, { "dropping-particle" : "", "family" : "Bonell", "given" : "Christopher", "non-dropping-particle" : "", "parse-names" : false, "suffix" : "" }, { "dropping-particle" : "", "family" : "Kakuma", "given" : "Ritsuko", "non-dropping-particle" : "", "parse-names" : false, "suffix" : "" }, { "dropping-particle" : "", "family" : "Kennedy", "given" : "Elissa", "non-dropping-particle" : "", "parse-names" : false, "suffix" : "" }, { "dropping-particle" : "", "family" : "Mahon", "given" : "Jaqueline", "non-dropping-particle" : "", "parse-names" : false, "suffix" : "" }, { "dropping-particle" : "", "family" : "McGovern", "given" : "Terry", "non-dropping-particle" : "", "parse-names" : false, "suffix" : "" }, { "dropping-particle" : "", "family" : "Mokdad", "given" : "Ali H.", "non-dropping-particle" : "", "parse-names" : false, "suffix" : "" }, { "dropping-particle" : "", "family" : "Patel", "given" : "Vikram", "non-dropping-particle" : "", "parse-names" : false, "suffix" : "" }, { "dropping-particle" : "", "family" : "Petroni", "given" : "Suzanne", "non-dropping-particle" : "", "parse-names" : false, "suffix" : "" }, { "dropping-particle" : "", "family" : "Reavley", "given" : "Nicola", "non-dropping-particle" : "", "parse-names" : false, "suffix" : "" }, { "dropping-particle" : "", "family" : "Taiwo", "given" : "Kikelomo", "non-dropping-particle" : "", "parse-names" : false, "suffix" : "" }, { "dropping-particle" : "", "family" : "Waldfogel", "given" : "Jane", "non-dropping-particle" : "", "parse-names" : false, "suffix" : "" }, { "dropping-particle" : "", "family" : "Wickremarathne", "given" : "Dakshitha", "non-dropping-particle" : "", "parse-names" : false, "suffix" : "" }, { "dropping-particle" : "", "family" : "Barroso", "given" : "Carmen", "non-dropping-particle" : "", "parse-names" : false, "suffix" : "" }, { "dropping-particle" : "", "family" : "Bhutta", "given" : "Zulfiqar", "non-dropping-particle" : "", "parse-names" : false, "suffix" : "" }, { "dropping-particle" : "", "family" : "Fatusi", "given" : "Adesegun O.", "non-dropping-particle" : "", "parse-names" : false, "suffix" : "" }, { "dropping-particle" : "", "family" : "Mattoo", "given" : "Amitabh", "non-dropping-particle" : "", "parse-names" : false, "suffix" : "" }, { "dropping-particle" : "", "family" : "Diers", "given" : "Judith", "non-dropping-particle" : "", "parse-names" : false, "suffix" : "" }, { "dropping-particle" : "", "family" : "Fang", "given" : "Jing", "non-dropping-particle" : "", "parse-names" : false, "suffix" : "" }, { "dropping-particle" : "", "family" : "Ferguson", "given" : "Jane", "non-dropping-particle" : "", "parse-names" : false, "suffix" : "" }, { "dropping-particle" : "", "family" : "Ssewamala", "given" : "Frederick", "non-dropping-particle" : "", "parse-names" : false, "suffix" : "" }, { "dropping-particle" : "", "family" : "Viner", "given" : "Russell M.", "non-dropping-particle" : "", "parse-names" : false, "suffix" : "" } ], "container-title" : "Lancet (London, England)", "id" : "ITEM-2", "issue" : "10036", "issued" : { "date-parts" : [ [ "2016" ] ] }, "page" : "2423-2478", "title" : "Our future: a Lancet commission on adolescent health and wellbeing", "type" : "article-journal", "volume" : "387" }, "uris" : [ "http://www.mendeley.com/documents/?uuid=0465bbd9-789c-476e-b298-36d6382b9660" ] } ], "mendeley" : { "formattedCitation" : "&lt;sup&gt;(18,19)&lt;/sup&gt;", "plainTextFormattedCitation" : "(18,19)", "previouslyFormattedCitation" : "&lt;sup&gt;(17,18)&lt;/sup&gt;" }, "properties" : { "noteIndex" : 0 }, "schema" : "https://github.com/citation-style-language/schema/raw/master/csl-citation.json" }</w:instrText>
      </w:r>
      <w:r w:rsidR="00A52728" w:rsidRPr="000D00EA">
        <w:rPr>
          <w:rFonts w:cs="Times New Roman"/>
          <w:szCs w:val="24"/>
        </w:rPr>
        <w:fldChar w:fldCharType="separate"/>
      </w:r>
      <w:r w:rsidR="00C220EC" w:rsidRPr="000D00EA">
        <w:rPr>
          <w:rFonts w:cs="Times New Roman"/>
          <w:noProof/>
          <w:szCs w:val="24"/>
          <w:vertAlign w:val="superscript"/>
        </w:rPr>
        <w:t>(18,19)</w:t>
      </w:r>
      <w:r w:rsidR="00A52728" w:rsidRPr="000D00EA">
        <w:rPr>
          <w:rFonts w:cs="Times New Roman"/>
          <w:szCs w:val="24"/>
        </w:rPr>
        <w:fldChar w:fldCharType="end"/>
      </w:r>
      <w:r w:rsidR="00D11E41" w:rsidRPr="000D00EA">
        <w:rPr>
          <w:rFonts w:cs="Times New Roman"/>
          <w:szCs w:val="24"/>
        </w:rPr>
        <w:t xml:space="preserve">. </w:t>
      </w:r>
      <w:r w:rsidR="003F1856" w:rsidRPr="000D00EA">
        <w:rPr>
          <w:rFonts w:cs="Times New Roman"/>
          <w:szCs w:val="24"/>
        </w:rPr>
        <w:t xml:space="preserve">This study therefore aims </w:t>
      </w:r>
      <w:r w:rsidR="001818B0" w:rsidRPr="000D00EA">
        <w:rPr>
          <w:rFonts w:cs="Times New Roman"/>
          <w:szCs w:val="24"/>
        </w:rPr>
        <w:t xml:space="preserve">to investigate dietary intake in </w:t>
      </w:r>
      <w:r w:rsidR="003F1856" w:rsidRPr="000D00EA">
        <w:rPr>
          <w:rFonts w:cs="Times New Roman"/>
          <w:szCs w:val="24"/>
        </w:rPr>
        <w:t xml:space="preserve">food allergic </w:t>
      </w:r>
      <w:r w:rsidR="00C40066" w:rsidRPr="000D00EA">
        <w:rPr>
          <w:rFonts w:cs="Times New Roman"/>
          <w:szCs w:val="24"/>
        </w:rPr>
        <w:t>adolescents</w:t>
      </w:r>
      <w:r w:rsidR="005A1573" w:rsidRPr="000D00EA">
        <w:rPr>
          <w:rFonts w:cs="Times New Roman"/>
          <w:szCs w:val="24"/>
        </w:rPr>
        <w:t xml:space="preserve"> and adults</w:t>
      </w:r>
      <w:r w:rsidR="003F1856" w:rsidRPr="000D00EA">
        <w:rPr>
          <w:rFonts w:cs="Times New Roman"/>
          <w:szCs w:val="24"/>
        </w:rPr>
        <w:t xml:space="preserve">, </w:t>
      </w:r>
      <w:r w:rsidR="001818B0" w:rsidRPr="000D00EA">
        <w:rPr>
          <w:rFonts w:cs="Times New Roman"/>
          <w:szCs w:val="24"/>
        </w:rPr>
        <w:t>using</w:t>
      </w:r>
      <w:r w:rsidR="00554FA6" w:rsidRPr="000D00EA">
        <w:rPr>
          <w:rFonts w:cs="Times New Roman"/>
          <w:szCs w:val="24"/>
        </w:rPr>
        <w:t xml:space="preserve"> </w:t>
      </w:r>
      <w:r w:rsidR="006211C6" w:rsidRPr="000D00EA">
        <w:rPr>
          <w:rFonts w:cs="Times New Roman"/>
          <w:szCs w:val="24"/>
        </w:rPr>
        <w:t xml:space="preserve">healthy </w:t>
      </w:r>
      <w:r w:rsidR="00554FA6" w:rsidRPr="000D00EA">
        <w:rPr>
          <w:rFonts w:cs="Times New Roman"/>
          <w:szCs w:val="24"/>
        </w:rPr>
        <w:t>control group</w:t>
      </w:r>
      <w:r w:rsidR="001818B0" w:rsidRPr="000D00EA">
        <w:rPr>
          <w:rFonts w:cs="Times New Roman"/>
          <w:szCs w:val="24"/>
        </w:rPr>
        <w:t>s</w:t>
      </w:r>
      <w:r w:rsidR="00554FA6" w:rsidRPr="000D00EA">
        <w:rPr>
          <w:rFonts w:cs="Times New Roman"/>
          <w:szCs w:val="24"/>
        </w:rPr>
        <w:t xml:space="preserve"> as comparison.</w:t>
      </w:r>
    </w:p>
    <w:p w14:paraId="328BF442" w14:textId="1DBB2B5E" w:rsidR="0023381C" w:rsidRPr="000D00EA" w:rsidRDefault="00751B05">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Methods</w:t>
      </w:r>
    </w:p>
    <w:p w14:paraId="4BA5621F" w14:textId="3D1A7332" w:rsidR="00C40066" w:rsidRPr="000D00EA" w:rsidRDefault="00635CB0">
      <w:pPr>
        <w:autoSpaceDE w:val="0"/>
        <w:autoSpaceDN w:val="0"/>
        <w:adjustRightInd w:val="0"/>
        <w:spacing w:before="100" w:beforeAutospacing="1" w:after="100" w:afterAutospacing="1" w:line="360" w:lineRule="auto"/>
        <w:jc w:val="both"/>
        <w:rPr>
          <w:rFonts w:cs="Times New Roman"/>
          <w:szCs w:val="24"/>
        </w:rPr>
      </w:pPr>
      <w:r w:rsidRPr="000D00EA">
        <w:rPr>
          <w:rFonts w:cs="Times New Roman"/>
          <w:b/>
          <w:szCs w:val="24"/>
        </w:rPr>
        <w:t>Study design and p</w:t>
      </w:r>
      <w:r w:rsidR="00975F47" w:rsidRPr="000D00EA">
        <w:rPr>
          <w:rFonts w:cs="Times New Roman"/>
          <w:b/>
          <w:szCs w:val="24"/>
        </w:rPr>
        <w:t>articipants</w:t>
      </w:r>
    </w:p>
    <w:p w14:paraId="3958C653" w14:textId="77777777" w:rsidR="000D4174" w:rsidRPr="000D00EA" w:rsidRDefault="0001471F">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This cross-sectional study </w:t>
      </w:r>
      <w:r w:rsidR="00C1424B" w:rsidRPr="000D00EA">
        <w:rPr>
          <w:rFonts w:cs="Times New Roman"/>
          <w:szCs w:val="24"/>
        </w:rPr>
        <w:t xml:space="preserve">of adolescents (11-18 years) and adults (19-65 years) </w:t>
      </w:r>
      <w:r w:rsidRPr="000D00EA">
        <w:rPr>
          <w:rFonts w:cs="Times New Roman"/>
          <w:szCs w:val="24"/>
        </w:rPr>
        <w:t>took place in Hampshire and the Isle of Wight</w:t>
      </w:r>
      <w:r w:rsidR="0059704C" w:rsidRPr="000D00EA">
        <w:rPr>
          <w:rFonts w:cs="Times New Roman"/>
          <w:szCs w:val="24"/>
        </w:rPr>
        <w:t xml:space="preserve"> (</w:t>
      </w:r>
      <w:r w:rsidR="00485417" w:rsidRPr="000D00EA">
        <w:rPr>
          <w:rFonts w:cs="Times New Roman"/>
          <w:szCs w:val="24"/>
        </w:rPr>
        <w:t>UK</w:t>
      </w:r>
      <w:r w:rsidR="0059704C" w:rsidRPr="000D00EA">
        <w:rPr>
          <w:rFonts w:cs="Times New Roman"/>
          <w:szCs w:val="24"/>
        </w:rPr>
        <w:t>)</w:t>
      </w:r>
      <w:r w:rsidRPr="000D00EA">
        <w:rPr>
          <w:rFonts w:cs="Times New Roman"/>
          <w:szCs w:val="24"/>
        </w:rPr>
        <w:t xml:space="preserve"> between October 2011 and May 2012. </w:t>
      </w:r>
      <w:r w:rsidR="00C1424B" w:rsidRPr="000D00EA">
        <w:rPr>
          <w:rFonts w:cs="Times New Roman"/>
          <w:szCs w:val="24"/>
        </w:rPr>
        <w:t xml:space="preserve">A food allergic </w:t>
      </w:r>
      <w:r w:rsidR="00D41C00" w:rsidRPr="000D00EA">
        <w:rPr>
          <w:rFonts w:cs="Times New Roman"/>
          <w:szCs w:val="24"/>
        </w:rPr>
        <w:t xml:space="preserve">group </w:t>
      </w:r>
      <w:r w:rsidR="00C1424B" w:rsidRPr="000D00EA">
        <w:rPr>
          <w:rFonts w:cs="Times New Roman"/>
          <w:szCs w:val="24"/>
        </w:rPr>
        <w:t xml:space="preserve">and </w:t>
      </w:r>
      <w:r w:rsidR="00D41C00" w:rsidRPr="000D00EA">
        <w:rPr>
          <w:rFonts w:cs="Times New Roman"/>
          <w:szCs w:val="24"/>
        </w:rPr>
        <w:t xml:space="preserve">a </w:t>
      </w:r>
      <w:r w:rsidR="00C1424B" w:rsidRPr="000D00EA">
        <w:rPr>
          <w:rFonts w:cs="Times New Roman"/>
          <w:szCs w:val="24"/>
        </w:rPr>
        <w:t xml:space="preserve">control group were recruited. Recruitment is shown in Figure 1. </w:t>
      </w:r>
    </w:p>
    <w:p w14:paraId="1114D34B" w14:textId="1DBD2F74" w:rsidR="000D4174" w:rsidRPr="000D00EA" w:rsidRDefault="00C1424B">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Food allergic participants were recr</w:t>
      </w:r>
      <w:r w:rsidR="00D41C00" w:rsidRPr="000D00EA">
        <w:rPr>
          <w:rFonts w:cs="Times New Roman"/>
          <w:szCs w:val="24"/>
        </w:rPr>
        <w:t>uited through a</w:t>
      </w:r>
      <w:r w:rsidR="000D4174" w:rsidRPr="000D00EA">
        <w:rPr>
          <w:rFonts w:cs="Times New Roman"/>
          <w:szCs w:val="24"/>
        </w:rPr>
        <w:t>n allergy</w:t>
      </w:r>
      <w:r w:rsidR="00D41C00" w:rsidRPr="000D00EA">
        <w:rPr>
          <w:rFonts w:cs="Times New Roman"/>
          <w:szCs w:val="24"/>
        </w:rPr>
        <w:t xml:space="preserve"> support charity, </w:t>
      </w:r>
      <w:r w:rsidRPr="000D00EA">
        <w:rPr>
          <w:rFonts w:cs="Times New Roman"/>
          <w:szCs w:val="24"/>
        </w:rPr>
        <w:t>local allergy clinics</w:t>
      </w:r>
      <w:r w:rsidR="00D41C00" w:rsidRPr="000D00EA">
        <w:rPr>
          <w:rFonts w:cs="Times New Roman"/>
          <w:szCs w:val="24"/>
        </w:rPr>
        <w:t xml:space="preserve"> and previous allergy studies</w:t>
      </w:r>
      <w:r w:rsidR="002E2339" w:rsidRPr="000D00EA">
        <w:rPr>
          <w:rFonts w:cs="Times New Roman"/>
          <w:szCs w:val="24"/>
        </w:rPr>
        <w:fldChar w:fldCharType="begin" w:fldLock="1"/>
      </w:r>
      <w:r w:rsidR="00C220EC" w:rsidRPr="000D00EA">
        <w:rPr>
          <w:rFonts w:cs="Times New Roman"/>
          <w:szCs w:val="24"/>
        </w:rPr>
        <w:instrText>ADDIN CSL_CITATION { "citationItems" : [ { "id" : "ITEM-1", "itemData" : { "DOI" : "10.1111/j.1398-9995.2012.02883.x", "ISBN" : "1398-9995 (Electronic)\\r0105-4538 (Linking)", "ISSN" : "01054538", "PMID" : "22913718", "abstract" : "BACKGROUND: Up to 35% of the population modify their diet for adverse reactions to food. This study described the food choice behaviour of diagnosed food-allergic (DFA), self-reported food-allergic or intolerant (SFA) and nonfood-allergic (NFA) consumers, and explored differences between them.\\n\\nMETHODS: Six focus groups with adults (n\u00a0=\u00a044) were conducted. Data analysis was performed using thematic content analysis.\\n\\nRESULTS: Compared to NFA participants, DFA consumers were deprived of satisfaction and pleasure from foods, experienced difficulties finding safe foods and had to be organized with eating. SFA participants faced similar problems, but to a lesser degree; their food choices were strongly influenced by emotional factors or health awareness.\\n\\nCONCLUSION: Food-allergic consumers' food choices are influenced by a number of factors that differ to those of NFA consumers. It is therefore important to offer people with food allergies or intolerances advice that goes beyond how to avoid allergens.", "author" : [ { "dropping-particle" : "", "family" : "Sommer", "given" : "I.", "non-dropping-particle" : "", "parse-names" : false, "suffix" : "" }, { "dropping-particle" : "", "family" : "MacKenzie", "given" : "H.", "non-dropping-particle" : "", "parse-names" : false, "suffix" : "" }, { "dropping-particle" : "", "family" : "Venter", "given" : "C.", "non-dropping-particle" : "", "parse-names" : false, "suffix" : "" }, { "dropping-particle" : "", "family" : "Dean", "given" : "T.", "non-dropping-particle" : "", "parse-names" : false, "suffix" : "" } ], "container-title" : "Allergy: European Journal of Allergy and Clinical Immunology", "id" : "ITEM-1", "issue" : "10", "issued" : { "date-parts" : [ [ "2012" ] ] }, "page" : "1319-1322", "title" : "Factors influencing food choices of food-allergic consumers: Findings from focus groups", "type" : "article-journal", "volume" : "67" }, "uris" : [ "http://www.mendeley.com/documents/?uuid=62f16d20-24a5-4d28-a99c-145aec289549" ] }, { "id" : "ITEM-2", "itemData" : { "DOI" : "10.1016/j.anai.2014.02.009", "ISSN" : "10811206", "abstract" : "Background: Understanding food choice behavior in adolescence is important because many core eating habits may be tracked into adulthood. The food choices of at least 2.3% of teenagers living in the United Kingdom are determined by food allergies. However, the effect of food allergies on eating habits in teenagers has not yet been studied. Objective: To provide an understanding of how teenagers with food allergies make food choice decisions and how these differ from those of non-food-allergic teenagers. Methods: One focus group discussion with non-food-allergic teenagers (n - 11) and 14 semistructured interviewers (7 with food-allergic and 7 with non-food-allergic teenagers) were performed (age range, 1218 years). The focus group discussion and interviews were audiorecorded, transcribed verbatim, and analyzed using thematic content analysis. Results: Teenagers from both groups (food-allergic and non-food-allergic) named sensory characteristics of foods as the main reason for choosing them. Some food-allergic teenagers downplayed their allergy and frequently engaged in risk-taking behavior in terms of their food choices. However, they reported difficulties in trying new foods, especially when away from home. Parental control was experienced as protective by those with food allergies, whereas non-food-allergic teenagers felt the opposite. Most teenagers, including food-allergic ones, expressed the wish to eat similar foods to their friends. Other themes did not vary between the 2 groups. Conclusion: Food-allergic teenagers strive to be able to make similar food choices to their friends, although differences to non-food-allergic teenagers exist. It is important to address these differences to improve their dietary management. (C) 2014 American College of Allergy, Asthma &amp; Immunology. Published by Elsevier Inc. All rights reserved.", "author" : [ { "dropping-particle" : "", "family" : "Sommer", "given" : "I", "non-dropping-particle" : "", "parse-names" : false, "suffix" : "" }, { "dropping-particle" : "", "family" : "MacKenzie", "given" : "H", "non-dropping-particle" : "", "parse-names" : false, "suffix" : "" }, { "dropping-particle" : "", "family" : "Venter", "given" : "C", "non-dropping-particle" : "", "parse-names" : false, "suffix" : "" }, { "dropping-particle" : "", "family" : "Dean", "given" : "T", "non-dropping-particle" : "", "parse-names" : false, "suffix" : "" } ], "container-title" : "Annals of Allergy Asthma &amp; Immunology", "id" : "ITEM-2", "issue" : "5", "issued" : { "date-parts" : [ [ "2014" ] ] }, "page" : "446-452", "title" : "An exploratory investigation of food choice behavior of teenagers with and without food allergies", "type" : "article-journal", "volume" : "112" }, "uris" : [ "http://www.mendeley.com/documents/?uuid=979fa6f0-7591-4474-a780-dd4d6b57d345" ] } ], "mendeley" : { "formattedCitation" : "&lt;sup&gt;(21,22)&lt;/sup&gt;", "plainTextFormattedCitation" : "(21,22)", "previouslyFormattedCitation" : "&lt;sup&gt;(20,21)&lt;/sup&gt;" }, "properties" : { "noteIndex" : 0 }, "schema" : "https://github.com/citation-style-language/schema/raw/master/csl-citation.json" }</w:instrText>
      </w:r>
      <w:r w:rsidR="002E2339" w:rsidRPr="000D00EA">
        <w:rPr>
          <w:rFonts w:cs="Times New Roman"/>
          <w:szCs w:val="24"/>
        </w:rPr>
        <w:fldChar w:fldCharType="separate"/>
      </w:r>
      <w:r w:rsidR="00C220EC" w:rsidRPr="000D00EA">
        <w:rPr>
          <w:rFonts w:cs="Times New Roman"/>
          <w:noProof/>
          <w:szCs w:val="24"/>
          <w:vertAlign w:val="superscript"/>
        </w:rPr>
        <w:t>(21,22)</w:t>
      </w:r>
      <w:r w:rsidR="002E2339" w:rsidRPr="000D00EA">
        <w:rPr>
          <w:rFonts w:cs="Times New Roman"/>
          <w:szCs w:val="24"/>
        </w:rPr>
        <w:fldChar w:fldCharType="end"/>
      </w:r>
      <w:r w:rsidRPr="000D00EA">
        <w:rPr>
          <w:rFonts w:cs="Times New Roman"/>
          <w:szCs w:val="24"/>
        </w:rPr>
        <w:t xml:space="preserve">. </w:t>
      </w:r>
      <w:r w:rsidR="006E4881" w:rsidRPr="000D00EA">
        <w:rPr>
          <w:rFonts w:cs="Times New Roman"/>
          <w:szCs w:val="24"/>
        </w:rPr>
        <w:t xml:space="preserve">The inclusion </w:t>
      </w:r>
      <w:proofErr w:type="gramStart"/>
      <w:r w:rsidR="006E4881" w:rsidRPr="000D00EA">
        <w:rPr>
          <w:rFonts w:cs="Times New Roman"/>
          <w:szCs w:val="24"/>
        </w:rPr>
        <w:t>criteria for the f</w:t>
      </w:r>
      <w:r w:rsidR="0001471F" w:rsidRPr="000D00EA">
        <w:rPr>
          <w:rFonts w:cs="Times New Roman"/>
          <w:szCs w:val="24"/>
        </w:rPr>
        <w:t xml:space="preserve">ood-allergic participants </w:t>
      </w:r>
      <w:r w:rsidR="006E4881" w:rsidRPr="000D00EA">
        <w:rPr>
          <w:rFonts w:cs="Times New Roman"/>
          <w:szCs w:val="24"/>
        </w:rPr>
        <w:t>was</w:t>
      </w:r>
      <w:proofErr w:type="gramEnd"/>
      <w:r w:rsidR="006E4881" w:rsidRPr="000D00EA">
        <w:rPr>
          <w:rFonts w:cs="Times New Roman"/>
          <w:szCs w:val="24"/>
        </w:rPr>
        <w:t xml:space="preserve"> the presence of</w:t>
      </w:r>
      <w:r w:rsidR="00485417" w:rsidRPr="000D00EA">
        <w:rPr>
          <w:rFonts w:cs="Times New Roman"/>
          <w:szCs w:val="24"/>
        </w:rPr>
        <w:t xml:space="preserve"> a</w:t>
      </w:r>
      <w:r w:rsidR="00944DBD" w:rsidRPr="000D00EA">
        <w:rPr>
          <w:rFonts w:cs="Times New Roman"/>
          <w:szCs w:val="24"/>
        </w:rPr>
        <w:t xml:space="preserve"> confirmed diagnosis of </w:t>
      </w:r>
      <w:r w:rsidR="0001471F" w:rsidRPr="000D00EA">
        <w:rPr>
          <w:rFonts w:cs="Times New Roman"/>
          <w:szCs w:val="24"/>
        </w:rPr>
        <w:t xml:space="preserve">IgE or non-IgE mediated allergy to </w:t>
      </w:r>
      <w:r w:rsidR="003D5F03" w:rsidRPr="000D00EA">
        <w:rPr>
          <w:rFonts w:cs="Times New Roman"/>
          <w:szCs w:val="24"/>
        </w:rPr>
        <w:t xml:space="preserve">at least one of </w:t>
      </w:r>
      <w:r w:rsidR="00FF4852" w:rsidRPr="000D00EA">
        <w:rPr>
          <w:rFonts w:cs="Times New Roman"/>
          <w:szCs w:val="24"/>
        </w:rPr>
        <w:t xml:space="preserve">the following foods: </w:t>
      </w:r>
      <w:r w:rsidR="0001471F" w:rsidRPr="000D00EA">
        <w:rPr>
          <w:rFonts w:cs="Times New Roman"/>
          <w:szCs w:val="24"/>
        </w:rPr>
        <w:t>egg, milk, peanuts, tree nuts, sesame, crustaceans, fish or wheat.</w:t>
      </w:r>
      <w:r w:rsidR="00F63E9C" w:rsidRPr="000D00EA">
        <w:rPr>
          <w:rFonts w:cs="Times New Roman"/>
          <w:szCs w:val="24"/>
        </w:rPr>
        <w:t xml:space="preserve"> </w:t>
      </w:r>
    </w:p>
    <w:p w14:paraId="34BECBBB" w14:textId="66FAAA01" w:rsidR="00DB5E89" w:rsidRPr="000D00EA" w:rsidRDefault="00C40066">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A control group of </w:t>
      </w:r>
      <w:r w:rsidR="006211C6" w:rsidRPr="000D00EA">
        <w:rPr>
          <w:rFonts w:cs="Times New Roman"/>
          <w:szCs w:val="24"/>
        </w:rPr>
        <w:t xml:space="preserve">healthy </w:t>
      </w:r>
      <w:r w:rsidRPr="000D00EA">
        <w:rPr>
          <w:rFonts w:cs="Times New Roman"/>
          <w:szCs w:val="24"/>
        </w:rPr>
        <w:t>participants</w:t>
      </w:r>
      <w:r w:rsidR="00F74A77" w:rsidRPr="000D00EA">
        <w:rPr>
          <w:rFonts w:cs="Times New Roman"/>
          <w:szCs w:val="24"/>
        </w:rPr>
        <w:t>,</w:t>
      </w:r>
      <w:r w:rsidRPr="000D00EA">
        <w:rPr>
          <w:rFonts w:cs="Times New Roman"/>
          <w:szCs w:val="24"/>
        </w:rPr>
        <w:t xml:space="preserve"> </w:t>
      </w:r>
      <w:r w:rsidR="006211C6" w:rsidRPr="000D00EA">
        <w:rPr>
          <w:rFonts w:cs="Times New Roman"/>
          <w:szCs w:val="24"/>
        </w:rPr>
        <w:t>who consumed</w:t>
      </w:r>
      <w:r w:rsidR="00F74A77" w:rsidRPr="000D00EA">
        <w:rPr>
          <w:rFonts w:cs="Times New Roman"/>
          <w:szCs w:val="24"/>
        </w:rPr>
        <w:t xml:space="preserve"> </w:t>
      </w:r>
      <w:r w:rsidRPr="000D00EA">
        <w:rPr>
          <w:rFonts w:cs="Times New Roman"/>
          <w:szCs w:val="24"/>
        </w:rPr>
        <w:t>an unrestricted diet</w:t>
      </w:r>
      <w:r w:rsidR="00F74A77" w:rsidRPr="000D00EA">
        <w:rPr>
          <w:rFonts w:cs="Times New Roman"/>
          <w:szCs w:val="24"/>
        </w:rPr>
        <w:t>,</w:t>
      </w:r>
      <w:r w:rsidR="001818B0" w:rsidRPr="000D00EA">
        <w:rPr>
          <w:rFonts w:cs="Times New Roman"/>
          <w:szCs w:val="24"/>
        </w:rPr>
        <w:t xml:space="preserve"> were recruited</w:t>
      </w:r>
      <w:r w:rsidR="00E015EA" w:rsidRPr="000D00EA">
        <w:rPr>
          <w:rFonts w:cs="Times New Roman"/>
          <w:szCs w:val="24"/>
        </w:rPr>
        <w:t xml:space="preserve"> through l</w:t>
      </w:r>
      <w:r w:rsidR="00F63E9C" w:rsidRPr="000D00EA">
        <w:rPr>
          <w:rFonts w:cs="Times New Roman"/>
          <w:szCs w:val="24"/>
        </w:rPr>
        <w:t>ocal schools</w:t>
      </w:r>
      <w:r w:rsidR="001818B0" w:rsidRPr="000D00EA">
        <w:rPr>
          <w:rFonts w:cs="Times New Roman"/>
          <w:szCs w:val="24"/>
        </w:rPr>
        <w:t>,</w:t>
      </w:r>
      <w:r w:rsidR="00F63E9C" w:rsidRPr="000D00EA">
        <w:rPr>
          <w:rFonts w:cs="Times New Roman"/>
          <w:szCs w:val="24"/>
        </w:rPr>
        <w:t xml:space="preserve"> advertisements</w:t>
      </w:r>
      <w:r w:rsidR="000A1356" w:rsidRPr="000D00EA">
        <w:rPr>
          <w:rFonts w:cs="Times New Roman"/>
          <w:szCs w:val="24"/>
        </w:rPr>
        <w:t xml:space="preserve"> </w:t>
      </w:r>
      <w:r w:rsidR="00F63E9C" w:rsidRPr="000D00EA">
        <w:rPr>
          <w:rFonts w:cs="Times New Roman"/>
          <w:szCs w:val="24"/>
        </w:rPr>
        <w:t xml:space="preserve">on the University </w:t>
      </w:r>
      <w:r w:rsidR="003C1B93" w:rsidRPr="000D00EA">
        <w:rPr>
          <w:rFonts w:cs="Times New Roman"/>
          <w:szCs w:val="24"/>
        </w:rPr>
        <w:t xml:space="preserve">of Portsmouth </w:t>
      </w:r>
      <w:r w:rsidR="000A1356" w:rsidRPr="000D00EA">
        <w:rPr>
          <w:rFonts w:cs="Times New Roman"/>
          <w:szCs w:val="24"/>
        </w:rPr>
        <w:t>website</w:t>
      </w:r>
      <w:r w:rsidR="00E015EA" w:rsidRPr="000D00EA">
        <w:rPr>
          <w:rFonts w:cs="Times New Roman"/>
          <w:szCs w:val="24"/>
        </w:rPr>
        <w:t>, and</w:t>
      </w:r>
      <w:r w:rsidR="00967FB3" w:rsidRPr="000D00EA">
        <w:rPr>
          <w:rFonts w:cs="Times New Roman"/>
          <w:szCs w:val="24"/>
        </w:rPr>
        <w:t xml:space="preserve"> </w:t>
      </w:r>
      <w:r w:rsidR="00F63E9C" w:rsidRPr="000D00EA">
        <w:rPr>
          <w:rFonts w:cs="Times New Roman"/>
          <w:szCs w:val="24"/>
        </w:rPr>
        <w:t>previous studies</w:t>
      </w:r>
      <w:r w:rsidR="00EA1865" w:rsidRPr="000D00EA">
        <w:rPr>
          <w:rFonts w:cs="Times New Roman"/>
          <w:szCs w:val="24"/>
        </w:rPr>
        <w:t xml:space="preserve"> </w:t>
      </w:r>
      <w:r w:rsidR="00BF6258" w:rsidRPr="000D00EA">
        <w:rPr>
          <w:rFonts w:cs="Times New Roman"/>
          <w:szCs w:val="24"/>
        </w:rPr>
        <w:fldChar w:fldCharType="begin" w:fldLock="1"/>
      </w:r>
      <w:r w:rsidR="00C220EC" w:rsidRPr="000D00EA">
        <w:rPr>
          <w:rFonts w:cs="Times New Roman"/>
          <w:szCs w:val="24"/>
        </w:rPr>
        <w:instrText>ADDIN CSL_CITATION { "citationItems" : [ { "id" : "ITEM-1", "itemData" : { "DOI" : "10.1111/j.1398-9995.2012.02883.x", "ISBN" : "1398-9995 (Electronic)\\r0105-4538 (Linking)", "ISSN" : "01054538", "PMID" : "22913718", "abstract" : "BACKGROUND: Up to 35% of the population modify their diet for adverse reactions to food. This study described the food choice behaviour of diagnosed food-allergic (DFA), self-reported food-allergic or intolerant (SFA) and nonfood-allergic (NFA) consumers, and explored differences between them.\\n\\nMETHODS: Six focus groups with adults (n\u00a0=\u00a044) were conducted. Data analysis was performed using thematic content analysis.\\n\\nRESULTS: Compared to NFA participants, DFA consumers were deprived of satisfaction and pleasure from foods, experienced difficulties finding safe foods and had to be organized with eating. SFA participants faced similar problems, but to a lesser degree; their food choices were strongly influenced by emotional factors or health awareness.\\n\\nCONCLUSION: Food-allergic consumers' food choices are influenced by a number of factors that differ to those of NFA consumers. It is therefore important to offer people with food allergies or intolerances advice that goes beyond how to avoid allergens.", "author" : [ { "dropping-particle" : "", "family" : "Sommer", "given" : "I.", "non-dropping-particle" : "", "parse-names" : false, "suffix" : "" }, { "dropping-particle" : "", "family" : "MacKenzie", "given" : "H.", "non-dropping-particle" : "", "parse-names" : false, "suffix" : "" }, { "dropping-particle" : "", "family" : "Venter", "given" : "C.", "non-dropping-particle" : "", "parse-names" : false, "suffix" : "" }, { "dropping-particle" : "", "family" : "Dean", "given" : "T.", "non-dropping-particle" : "", "parse-names" : false, "suffix" : "" } ], "container-title" : "Allergy: European Journal of Allergy and Clinical Immunology", "id" : "ITEM-1", "issue" : "10", "issued" : { "date-parts" : [ [ "2012" ] ] }, "page" : "1319-1322", "title" : "Factors influencing food choices of food-allergic consumers: Findings from focus groups", "type" : "article-journal", "volume" : "67" }, "uris" : [ "http://www.mendeley.com/documents/?uuid=62f16d20-24a5-4d28-a99c-145aec289549" ] }, { "id" : "ITEM-2", "itemData" : { "DOI" : "10.1016/j.anai.2014.02.009", "ISSN" : "10811206", "abstract" : "Background: Understanding food choice behavior in adolescence is important because many core eating habits may be tracked into adulthood. The food choices of at least 2.3% of teenagers living in the United Kingdom are determined by food allergies. However, the effect of food allergies on eating habits in teenagers has not yet been studied. Objective: To provide an understanding of how teenagers with food allergies make food choice decisions and how these differ from those of non-food-allergic teenagers. Methods: One focus group discussion with non-food-allergic teenagers (n - 11) and 14 semistructured interviewers (7 with food-allergic and 7 with non-food-allergic teenagers) were performed (age range, 1218 years). The focus group discussion and interviews were audiorecorded, transcribed verbatim, and analyzed using thematic content analysis. Results: Teenagers from both groups (food-allergic and non-food-allergic) named sensory characteristics of foods as the main reason for choosing them. Some food-allergic teenagers downplayed their allergy and frequently engaged in risk-taking behavior in terms of their food choices. However, they reported difficulties in trying new foods, especially when away from home. Parental control was experienced as protective by those with food allergies, whereas non-food-allergic teenagers felt the opposite. Most teenagers, including food-allergic ones, expressed the wish to eat similar foods to their friends. Other themes did not vary between the 2 groups. Conclusion: Food-allergic teenagers strive to be able to make similar food choices to their friends, although differences to non-food-allergic teenagers exist. It is important to address these differences to improve their dietary management. (C) 2014 American College of Allergy, Asthma &amp; Immunology. Published by Elsevier Inc. All rights reserved.", "author" : [ { "dropping-particle" : "", "family" : "Sommer", "given" : "I", "non-dropping-particle" : "", "parse-names" : false, "suffix" : "" }, { "dropping-particle" : "", "family" : "MacKenzie", "given" : "H", "non-dropping-particle" : "", "parse-names" : false, "suffix" : "" }, { "dropping-particle" : "", "family" : "Venter", "given" : "C", "non-dropping-particle" : "", "parse-names" : false, "suffix" : "" }, { "dropping-particle" : "", "family" : "Dean", "given" : "T", "non-dropping-particle" : "", "parse-names" : false, "suffix" : "" } ], "container-title" : "Annals of Allergy Asthma &amp; Immunology", "id" : "ITEM-2", "issue" : "5", "issued" : { "date-parts" : [ [ "2014" ] ] }, "page" : "446-452", "title" : "An exploratory investigation of food choice behavior of teenagers with and without food allergies", "type" : "article-journal", "volume" : "112" }, "uris" : [ "http://www.mendeley.com/documents/?uuid=979fa6f0-7591-4474-a780-dd4d6b57d345" ] } ], "mendeley" : { "formattedCitation" : "&lt;sup&gt;(21,22)&lt;/sup&gt;", "plainTextFormattedCitation" : "(21,22)", "previouslyFormattedCitation" : "&lt;sup&gt;(20,21)&lt;/sup&gt;" }, "properties" : { "noteIndex" : 0 }, "schema" : "https://github.com/citation-style-language/schema/raw/master/csl-citation.json" }</w:instrText>
      </w:r>
      <w:r w:rsidR="00BF6258" w:rsidRPr="000D00EA">
        <w:rPr>
          <w:rFonts w:cs="Times New Roman"/>
          <w:szCs w:val="24"/>
        </w:rPr>
        <w:fldChar w:fldCharType="separate"/>
      </w:r>
      <w:r w:rsidR="00C220EC" w:rsidRPr="000D00EA">
        <w:rPr>
          <w:rFonts w:cs="Times New Roman"/>
          <w:noProof/>
          <w:szCs w:val="24"/>
          <w:vertAlign w:val="superscript"/>
        </w:rPr>
        <w:t>(21,22)</w:t>
      </w:r>
      <w:r w:rsidR="00BF6258" w:rsidRPr="000D00EA">
        <w:rPr>
          <w:rFonts w:cs="Times New Roman"/>
          <w:szCs w:val="24"/>
        </w:rPr>
        <w:fldChar w:fldCharType="end"/>
      </w:r>
      <w:r w:rsidR="00BC3994" w:rsidRPr="000D00EA">
        <w:rPr>
          <w:rFonts w:cs="Times New Roman"/>
          <w:szCs w:val="24"/>
        </w:rPr>
        <w:t>.</w:t>
      </w:r>
      <w:r w:rsidR="001818B0" w:rsidRPr="000D00EA">
        <w:rPr>
          <w:rFonts w:cs="Times New Roman"/>
          <w:szCs w:val="24"/>
        </w:rPr>
        <w:t xml:space="preserve"> Participants with other conditions </w:t>
      </w:r>
      <w:r w:rsidR="006211C6" w:rsidRPr="000D00EA">
        <w:rPr>
          <w:rFonts w:cs="Times New Roman"/>
          <w:szCs w:val="24"/>
        </w:rPr>
        <w:t xml:space="preserve">with dietary implications </w:t>
      </w:r>
      <w:r w:rsidR="001818B0" w:rsidRPr="000D00EA">
        <w:rPr>
          <w:rFonts w:cs="Times New Roman"/>
          <w:szCs w:val="24"/>
        </w:rPr>
        <w:t>(e.g. diabetes) were excluded.</w:t>
      </w:r>
    </w:p>
    <w:p w14:paraId="3C1ED612" w14:textId="71E9D94D" w:rsidR="00C40066" w:rsidRPr="000D00EA" w:rsidRDefault="00D8248E">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Nutrient intakes</w:t>
      </w:r>
    </w:p>
    <w:p w14:paraId="3A0FEB63" w14:textId="7DD22BAF" w:rsidR="0000669F" w:rsidRPr="000D00EA" w:rsidRDefault="00DB5E89">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Participants were asked to keep a record of everything eaten and drunk over four consecutive days</w:t>
      </w:r>
      <w:r w:rsidR="000D4174" w:rsidRPr="000D00EA">
        <w:rPr>
          <w:rFonts w:cs="Times New Roman"/>
          <w:szCs w:val="24"/>
        </w:rPr>
        <w:t>,</w:t>
      </w:r>
      <w:r w:rsidRPr="000D00EA">
        <w:rPr>
          <w:rFonts w:cs="Times New Roman"/>
          <w:szCs w:val="24"/>
        </w:rPr>
        <w:t xml:space="preserve"> including one weekend day.</w:t>
      </w:r>
      <w:r w:rsidR="001818B0" w:rsidRPr="000D00EA">
        <w:rPr>
          <w:rFonts w:cs="Times New Roman"/>
          <w:szCs w:val="24"/>
        </w:rPr>
        <w:t xml:space="preserve"> L</w:t>
      </w:r>
      <w:r w:rsidRPr="000D00EA">
        <w:rPr>
          <w:rFonts w:cs="Times New Roman"/>
          <w:szCs w:val="24"/>
        </w:rPr>
        <w:t>ife size</w:t>
      </w:r>
      <w:r w:rsidR="00EC348B" w:rsidRPr="000D00EA">
        <w:rPr>
          <w:rFonts w:cs="Times New Roman"/>
          <w:szCs w:val="24"/>
        </w:rPr>
        <w:t xml:space="preserve"> pictures of glasses and spoons, and </w:t>
      </w:r>
      <w:r w:rsidRPr="000D00EA">
        <w:rPr>
          <w:rFonts w:cs="Times New Roman"/>
          <w:szCs w:val="24"/>
        </w:rPr>
        <w:t>photographs of 15 frequently consumed foods as small, medium and large portion sizes</w:t>
      </w:r>
      <w:r w:rsidR="00EC348B" w:rsidRPr="000D00EA">
        <w:rPr>
          <w:rFonts w:cs="Times New Roman"/>
          <w:szCs w:val="24"/>
        </w:rPr>
        <w:t xml:space="preserve"> were provided</w:t>
      </w:r>
      <w:r w:rsidR="00EA1865" w:rsidRPr="000D00EA">
        <w:rPr>
          <w:rFonts w:cs="Times New Roman"/>
          <w:szCs w:val="24"/>
        </w:rPr>
        <w:t xml:space="preserve"> </w:t>
      </w:r>
      <w:r w:rsidR="006211C6" w:rsidRPr="000D00EA">
        <w:rPr>
          <w:rFonts w:cs="Times New Roman"/>
          <w:szCs w:val="24"/>
        </w:rPr>
        <w:fldChar w:fldCharType="begin" w:fldLock="1"/>
      </w:r>
      <w:r w:rsidR="002E2339" w:rsidRPr="000D00EA">
        <w:rPr>
          <w:rFonts w:cs="Times New Roman"/>
          <w:szCs w:val="24"/>
        </w:rPr>
        <w:instrText>ADDIN CSL_CITATION { "citationItems" : [ { "id" : "ITEM-1", "itemData" : { "author" : [ { "dropping-particle" : "", "family" : "Nelson", "given" : "M", "non-dropping-particle" : "", "parse-names" : false, "suffix" : "" }, { "dropping-particle" : "", "family" : "Atkinson", "given" : "M", "non-dropping-particle" : "", "parse-names" : false, "suffix" : "" }, { "dropping-particle" : "", "family" : "Meyer", "given" : "J", "non-dropping-particle" : "", "parse-names" : false, "suffix" : "" } ], "id" : "ITEM-1", "issued" : { "date-parts" : [ [ "1997" ] ] }, "publisher" : "MAFF Publications", "publisher-place" : "London", "title" : "Food portion sizes: A Photographic Atlas.", "type" : "book" }, "uris" : [ "http://www.mendeley.com/documents/?uuid=13bc559f-2ee7-4af0-97e3-200f988cef57" ] } ], "mendeley" : { "formattedCitation" : "&lt;sup&gt;(23)&lt;/sup&gt;", "plainTextFormattedCitation" : "(23)", "previouslyFormattedCitation" : "&lt;sup&gt;(23)&lt;/sup&gt;" }, "properties" : { "noteIndex" : 0 }, "schema" : "https://github.com/citation-style-language/schema/raw/master/csl-citation.json" }</w:instrText>
      </w:r>
      <w:r w:rsidR="006211C6" w:rsidRPr="000D00EA">
        <w:rPr>
          <w:rFonts w:cs="Times New Roman"/>
          <w:szCs w:val="24"/>
        </w:rPr>
        <w:fldChar w:fldCharType="separate"/>
      </w:r>
      <w:r w:rsidR="00A52728" w:rsidRPr="000D00EA">
        <w:rPr>
          <w:rFonts w:cs="Times New Roman"/>
          <w:noProof/>
          <w:szCs w:val="24"/>
          <w:vertAlign w:val="superscript"/>
        </w:rPr>
        <w:t>(23)</w:t>
      </w:r>
      <w:r w:rsidR="006211C6" w:rsidRPr="000D00EA">
        <w:rPr>
          <w:rFonts w:cs="Times New Roman"/>
          <w:szCs w:val="24"/>
        </w:rPr>
        <w:fldChar w:fldCharType="end"/>
      </w:r>
      <w:r w:rsidRPr="000D00EA">
        <w:rPr>
          <w:rFonts w:cs="Times New Roman"/>
          <w:szCs w:val="24"/>
        </w:rPr>
        <w:t>. Otherwise participants were asked to record household measures, number of items or weight from labels of packaged foods. In addition, they were asked to record brand names</w:t>
      </w:r>
      <w:r w:rsidR="00156AA3" w:rsidRPr="000D00EA">
        <w:rPr>
          <w:rFonts w:cs="Times New Roman"/>
          <w:szCs w:val="24"/>
        </w:rPr>
        <w:t>,</w:t>
      </w:r>
      <w:r w:rsidR="00EC348B" w:rsidRPr="000D00EA">
        <w:rPr>
          <w:rFonts w:cs="Times New Roman"/>
          <w:szCs w:val="24"/>
        </w:rPr>
        <w:t xml:space="preserve"> </w:t>
      </w:r>
      <w:r w:rsidRPr="000D00EA">
        <w:rPr>
          <w:rFonts w:cs="Times New Roman"/>
          <w:szCs w:val="24"/>
        </w:rPr>
        <w:t xml:space="preserve">recipes </w:t>
      </w:r>
      <w:r w:rsidR="00156AA3" w:rsidRPr="000D00EA">
        <w:rPr>
          <w:rFonts w:cs="Times New Roman"/>
          <w:szCs w:val="24"/>
        </w:rPr>
        <w:t>and</w:t>
      </w:r>
      <w:r w:rsidR="00EC348B" w:rsidRPr="000D00EA">
        <w:rPr>
          <w:rFonts w:cs="Times New Roman"/>
          <w:szCs w:val="24"/>
        </w:rPr>
        <w:t xml:space="preserve"> </w:t>
      </w:r>
      <w:r w:rsidRPr="000D00EA">
        <w:rPr>
          <w:rFonts w:cs="Times New Roman"/>
          <w:szCs w:val="24"/>
        </w:rPr>
        <w:t xml:space="preserve">dietary supplements. </w:t>
      </w:r>
      <w:r w:rsidR="0023381C" w:rsidRPr="000D00EA">
        <w:rPr>
          <w:rFonts w:cs="Times New Roman"/>
          <w:szCs w:val="24"/>
        </w:rPr>
        <w:t>Once returned, diaries were reviewed and all participants were phoned to prompt for missing details.</w:t>
      </w:r>
    </w:p>
    <w:p w14:paraId="3BC2AB8D" w14:textId="1BEAB652" w:rsidR="00D8248E" w:rsidRPr="000D00EA" w:rsidRDefault="0000669F">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Nutrient analysis was based on the UK National Nutrition Databank that integrates the sixth edition of McCance &amp; Widdowson’s the Composition of Foods</w:t>
      </w:r>
      <w:r w:rsidR="00BF6258" w:rsidRPr="000D00EA">
        <w:rPr>
          <w:rFonts w:cs="Times New Roman"/>
          <w:szCs w:val="24"/>
        </w:rPr>
        <w:fldChar w:fldCharType="begin" w:fldLock="1"/>
      </w:r>
      <w:r w:rsidR="002E2339" w:rsidRPr="000D00EA">
        <w:rPr>
          <w:rFonts w:cs="Times New Roman"/>
          <w:szCs w:val="24"/>
        </w:rPr>
        <w:instrText>ADDIN CSL_CITATION { "citationItems" : [ { "id" : "ITEM-1", "itemData" : { "author" : [ { "dropping-particle" : "", "family" : "Food Standards Agency", "given" : "", "non-dropping-particle" : "", "parse-names" : false, "suffix" : "" } ], "edition" : "6th editio", "editor" : [ { "dropping-particle" : "", "family" : "Church", "given" : "S", "non-dropping-particle" : "", "parse-names" : false, "suffix" : "" } ], "id" : "ITEM-1", "issued" : { "date-parts" : [ [ "2002" ] ] }, "publisher" : "Royal Society of Chemistry", "publisher-place" : "Cambridge", "title" : "McCance and Widdowson's The Composition of Foods.", "type" : "book" }, "uris" : [ "http://www.mendeley.com/documents/?uuid=3ba9181c-5185-4600-b2b6-eb1e32adda2b" ] } ], "mendeley" : { "formattedCitation" : "&lt;sup&gt;(24)&lt;/sup&gt;", "plainTextFormattedCitation" : "(24)", "previouslyFormattedCitation" : "&lt;sup&gt;(24)&lt;/sup&gt;" }, "properties" : { "noteIndex" : 0 }, "schema" : "https://github.com/citation-style-language/schema/raw/master/csl-citation.json" }</w:instrText>
      </w:r>
      <w:r w:rsidR="00BF6258" w:rsidRPr="000D00EA">
        <w:rPr>
          <w:rFonts w:cs="Times New Roman"/>
          <w:szCs w:val="24"/>
        </w:rPr>
        <w:fldChar w:fldCharType="separate"/>
      </w:r>
      <w:r w:rsidR="00A52728" w:rsidRPr="000D00EA">
        <w:rPr>
          <w:rFonts w:cs="Times New Roman"/>
          <w:noProof/>
          <w:szCs w:val="24"/>
          <w:vertAlign w:val="superscript"/>
        </w:rPr>
        <w:t>(24)</w:t>
      </w:r>
      <w:r w:rsidR="00BF6258" w:rsidRPr="000D00EA">
        <w:rPr>
          <w:rFonts w:cs="Times New Roman"/>
          <w:szCs w:val="24"/>
        </w:rPr>
        <w:fldChar w:fldCharType="end"/>
      </w:r>
      <w:r w:rsidRPr="000D00EA">
        <w:rPr>
          <w:rFonts w:cs="Times New Roman"/>
          <w:szCs w:val="24"/>
        </w:rPr>
        <w:t xml:space="preserve"> and its accompanying </w:t>
      </w:r>
      <w:r w:rsidRPr="000D00EA">
        <w:rPr>
          <w:rFonts w:cs="Times New Roman"/>
          <w:szCs w:val="24"/>
        </w:rPr>
        <w:lastRenderedPageBreak/>
        <w:t xml:space="preserve">supplements. Portion sizes were estimated using </w:t>
      </w:r>
      <w:r w:rsidR="00842079" w:rsidRPr="000D00EA">
        <w:rPr>
          <w:rFonts w:cs="Times New Roman"/>
          <w:szCs w:val="24"/>
        </w:rPr>
        <w:t>UK</w:t>
      </w:r>
      <w:r w:rsidR="00435BF6" w:rsidRPr="000D00EA">
        <w:rPr>
          <w:rFonts w:cs="Times New Roman"/>
          <w:szCs w:val="24"/>
        </w:rPr>
        <w:t xml:space="preserve"> </w:t>
      </w:r>
      <w:r w:rsidRPr="000D00EA">
        <w:rPr>
          <w:rFonts w:cs="Times New Roman"/>
          <w:szCs w:val="24"/>
        </w:rPr>
        <w:t xml:space="preserve">coding criteria </w:t>
      </w:r>
      <w:r w:rsidR="00435BF6" w:rsidRPr="000D00EA">
        <w:rPr>
          <w:rFonts w:cs="Times New Roman"/>
          <w:szCs w:val="24"/>
        </w:rPr>
        <w:t>on food portion sizes in adults</w:t>
      </w:r>
      <w:r w:rsidR="00367F56" w:rsidRPr="000D00EA">
        <w:rPr>
          <w:rFonts w:cs="Times New Roman"/>
          <w:szCs w:val="24"/>
        </w:rPr>
        <w:t xml:space="preserve"> </w:t>
      </w:r>
      <w:r w:rsidR="00BF6258" w:rsidRPr="000D00EA">
        <w:rPr>
          <w:rFonts w:cs="Times New Roman"/>
          <w:szCs w:val="24"/>
        </w:rPr>
        <w:fldChar w:fldCharType="begin" w:fldLock="1"/>
      </w:r>
      <w:r w:rsidR="002E2339" w:rsidRPr="000D00EA">
        <w:rPr>
          <w:rFonts w:cs="Times New Roman"/>
          <w:szCs w:val="24"/>
        </w:rPr>
        <w:instrText>ADDIN CSL_CITATION { "citationItems" : [ { "id" : "ITEM-1", "itemData" : { "author" : [ { "dropping-particle" : "", "family" : "Food Standards Agency", "given" : "", "non-dropping-particle" : "", "parse-names" : false, "suffix" : "" } ], "edition" : "3rd editio", "id" : "ITEM-1", "issued" : { "date-parts" : [ [ "2002" ] ] }, "publisher" : "The Stationary Office", "publisher-place" : "London", "title" : "Food portion sizes", "type" : "book" }, "uris" : [ "http://www.mendeley.com/documents/?uuid=9af52b31-3940-42c7-8ac7-ea01f8347289" ] } ], "mendeley" : { "formattedCitation" : "&lt;sup&gt;(25)&lt;/sup&gt;", "plainTextFormattedCitation" : "(25)", "previouslyFormattedCitation" : "&lt;sup&gt;(25)&lt;/sup&gt;" }, "properties" : { "noteIndex" : 0 }, "schema" : "https://github.com/citation-style-language/schema/raw/master/csl-citation.json" }</w:instrText>
      </w:r>
      <w:r w:rsidR="00BF6258" w:rsidRPr="000D00EA">
        <w:rPr>
          <w:rFonts w:cs="Times New Roman"/>
          <w:szCs w:val="24"/>
        </w:rPr>
        <w:fldChar w:fldCharType="separate"/>
      </w:r>
      <w:r w:rsidR="00A52728" w:rsidRPr="000D00EA">
        <w:rPr>
          <w:rFonts w:cs="Times New Roman"/>
          <w:noProof/>
          <w:szCs w:val="24"/>
          <w:vertAlign w:val="superscript"/>
        </w:rPr>
        <w:t>(25)</w:t>
      </w:r>
      <w:r w:rsidR="00BF6258" w:rsidRPr="000D00EA">
        <w:rPr>
          <w:rFonts w:cs="Times New Roman"/>
          <w:szCs w:val="24"/>
        </w:rPr>
        <w:fldChar w:fldCharType="end"/>
      </w:r>
      <w:r w:rsidR="0079206E" w:rsidRPr="000D00EA">
        <w:rPr>
          <w:rFonts w:cs="Times New Roman"/>
          <w:szCs w:val="24"/>
        </w:rPr>
        <w:t xml:space="preserve">, </w:t>
      </w:r>
      <w:r w:rsidR="00EA50D6" w:rsidRPr="000D00EA">
        <w:rPr>
          <w:rFonts w:cs="Times New Roman"/>
          <w:szCs w:val="24"/>
        </w:rPr>
        <w:t xml:space="preserve">and </w:t>
      </w:r>
      <w:r w:rsidR="006211C6" w:rsidRPr="000D00EA">
        <w:rPr>
          <w:rFonts w:cs="Times New Roman"/>
          <w:szCs w:val="24"/>
        </w:rPr>
        <w:t>age-appropriate portion sizes for</w:t>
      </w:r>
      <w:r w:rsidRPr="000D00EA">
        <w:rPr>
          <w:rFonts w:cs="Times New Roman"/>
          <w:szCs w:val="24"/>
        </w:rPr>
        <w:t xml:space="preserve"> </w:t>
      </w:r>
      <w:r w:rsidR="008C4B1D" w:rsidRPr="000D00EA">
        <w:rPr>
          <w:rFonts w:cs="Times New Roman"/>
          <w:szCs w:val="24"/>
        </w:rPr>
        <w:t xml:space="preserve">adolescents </w:t>
      </w:r>
      <w:r w:rsidR="00C7523E" w:rsidRPr="000D00EA">
        <w:rPr>
          <w:rFonts w:cs="Times New Roman"/>
          <w:szCs w:val="24"/>
        </w:rPr>
        <w:fldChar w:fldCharType="begin" w:fldLock="1"/>
      </w:r>
      <w:r w:rsidR="002E2339" w:rsidRPr="000D00EA">
        <w:rPr>
          <w:rFonts w:cs="Times New Roman"/>
          <w:szCs w:val="24"/>
        </w:rPr>
        <w:instrText>ADDIN CSL_CITATION { "citationItems" : [ { "id" : "ITEM-1", "itemData" : { "DOI" : "10.1017/S0007114507868516", "ISBN" : "1475-2662 (Electronic)\\r0007-1145 (Linking)", "ISSN" : "0007-1145", "PMID" : "18031591", "abstract" : "It is often the case in dietary assessment that it is not practicable to weigh individual intakes of foods eaten. The aim of the work described was to estimate typical food portion weights for children of different ages. Using the data available from the British National Diet and Nutrition Surveys of children aged 1 1/2-4 1/2 years (1992-1993) and young people aged 4-18 years (1997), descriptive statistics were obtained, and predicted weights were calculated by linear, quadratic and exponential regression for each age group. Following comparison of energy and nutrient intakes calculated from actual (from an earlier weighed intake study) and estimated portion weights, the final list of typical portion sizes was based on median portion weights for the 1-3- and 4-6-year age groups, and age-adjusted means using linear regression for the 7-10-, 11-14- and 15-18-year age groups. The number of foods recorded by fifty or more children was 133 for each of the younger age groups (1-3 and 4-6 years) and seventy-five for each of the older age groups. The food portion weights covered all food groups. All portion sizes increased with age with the exception of milk in tea or coffee. The present study draws on a unique source of weighed data on food portions of a large sample of children that is unlikely to be repeated and therefore provides the best possible estimates of children's food portion sizes in the UK.", "author" : [ { "dropping-particle" : "", "family" : "Wrieden", "given" : "Wendy L", "non-dropping-particle" : "", "parse-names" : false, "suffix" : "" }, { "dropping-particle" : "", "family" : "Longbottom", "given" : "Patricia J", "non-dropping-particle" : "", "parse-names" : false, "suffix" : "" }, { "dropping-particle" : "", "family" : "Adamson", "given" : "Ashley J", "non-dropping-particle" : "", "parse-names" : false, "suffix" : "" }, { "dropping-particle" : "", "family" : "Ogston", "given" : "Simon A", "non-dropping-particle" : "", "parse-names" : false, "suffix" : "" }, { "dropping-particle" : "", "family" : "Payne", "given" : "Anne", "non-dropping-particle" : "", "parse-names" : false, "suffix" : "" }, { "dropping-particle" : "", "family" : "Haleem", "given" : "Mohammad A", "non-dropping-particle" : "", "parse-names" : false, "suffix" : "" }, { "dropping-particle" : "", "family" : "Barton", "given" : "Karen L", "non-dropping-particle" : "", "parse-names" : false, "suffix" : "" } ], "container-title" : "The British journal of nutrition", "id" : "ITEM-1", "issue" : "6", "issued" : { "date-parts" : [ [ "2008" ] ] }, "page" : "1344-1353", "title" : "Estimation of typical food portion sizes for children of different ages in Great Britain.", "type" : "article-journal", "volume" : "99" }, "uris" : [ "http://www.mendeley.com/documents/?uuid=86fabf43-e185-405c-acb9-6b583c595e86" ] } ], "mendeley" : { "formattedCitation" : "&lt;sup&gt;(26)&lt;/sup&gt;", "plainTextFormattedCitation" : "(26)", "previouslyFormattedCitation" : "&lt;sup&gt;(26)&lt;/sup&gt;" }, "properties" : { "noteIndex" : 0 }, "schema" : "https://github.com/citation-style-language/schema/raw/master/csl-citation.json" }</w:instrText>
      </w:r>
      <w:r w:rsidR="00C7523E" w:rsidRPr="000D00EA">
        <w:rPr>
          <w:rFonts w:cs="Times New Roman"/>
          <w:szCs w:val="24"/>
        </w:rPr>
        <w:fldChar w:fldCharType="separate"/>
      </w:r>
      <w:r w:rsidR="00A52728" w:rsidRPr="000D00EA">
        <w:rPr>
          <w:rFonts w:cs="Times New Roman"/>
          <w:noProof/>
          <w:szCs w:val="24"/>
          <w:vertAlign w:val="superscript"/>
        </w:rPr>
        <w:t>(26)</w:t>
      </w:r>
      <w:r w:rsidR="00C7523E" w:rsidRPr="000D00EA">
        <w:rPr>
          <w:rFonts w:cs="Times New Roman"/>
          <w:szCs w:val="24"/>
        </w:rPr>
        <w:fldChar w:fldCharType="end"/>
      </w:r>
      <w:r w:rsidRPr="000D00EA">
        <w:rPr>
          <w:rFonts w:cs="Times New Roman"/>
          <w:szCs w:val="24"/>
        </w:rPr>
        <w:t>.</w:t>
      </w:r>
      <w:r w:rsidR="001818B0" w:rsidRPr="000D00EA">
        <w:rPr>
          <w:rFonts w:cs="Times New Roman"/>
          <w:szCs w:val="24"/>
        </w:rPr>
        <w:t xml:space="preserve"> Data </w:t>
      </w:r>
      <w:r w:rsidR="006E75E4" w:rsidRPr="000D00EA">
        <w:rPr>
          <w:rFonts w:cs="Times New Roman"/>
          <w:szCs w:val="24"/>
        </w:rPr>
        <w:t xml:space="preserve">were entered into </w:t>
      </w:r>
      <w:r w:rsidRPr="000D00EA">
        <w:rPr>
          <w:rFonts w:cs="Times New Roman"/>
          <w:szCs w:val="24"/>
        </w:rPr>
        <w:t>Dietplan</w:t>
      </w:r>
      <w:r w:rsidR="006E75E4" w:rsidRPr="000D00EA">
        <w:rPr>
          <w:rFonts w:cs="Times New Roman"/>
          <w:szCs w:val="24"/>
        </w:rPr>
        <w:t xml:space="preserve"> 6</w:t>
      </w:r>
      <w:r w:rsidRPr="000D00EA">
        <w:rPr>
          <w:rFonts w:cs="Times New Roman"/>
          <w:szCs w:val="24"/>
        </w:rPr>
        <w:t xml:space="preserve"> </w:t>
      </w:r>
      <w:r w:rsidR="00EA50D6" w:rsidRPr="000D00EA">
        <w:rPr>
          <w:rFonts w:cs="Times New Roman"/>
          <w:szCs w:val="24"/>
        </w:rPr>
        <w:t xml:space="preserve">(Forestfield Software Limited, Horsham, UK) </w:t>
      </w:r>
      <w:r w:rsidR="00EB3C1B" w:rsidRPr="000D00EA">
        <w:rPr>
          <w:rFonts w:cs="Times New Roman"/>
          <w:szCs w:val="24"/>
        </w:rPr>
        <w:t>by</w:t>
      </w:r>
      <w:r w:rsidR="00D8248E" w:rsidRPr="000D00EA">
        <w:rPr>
          <w:rFonts w:cs="Times New Roman"/>
          <w:szCs w:val="24"/>
        </w:rPr>
        <w:t xml:space="preserve"> a nutritionist</w:t>
      </w:r>
      <w:r w:rsidR="008C4B1D" w:rsidRPr="000D00EA">
        <w:rPr>
          <w:rFonts w:cs="Times New Roman"/>
          <w:szCs w:val="24"/>
        </w:rPr>
        <w:t xml:space="preserve"> (IS)</w:t>
      </w:r>
      <w:r w:rsidR="006E75E4" w:rsidRPr="000D00EA">
        <w:rPr>
          <w:rFonts w:cs="Times New Roman"/>
          <w:szCs w:val="24"/>
        </w:rPr>
        <w:t xml:space="preserve"> and</w:t>
      </w:r>
      <w:r w:rsidR="00D8248E" w:rsidRPr="000D00EA">
        <w:rPr>
          <w:rFonts w:cs="Times New Roman"/>
          <w:szCs w:val="24"/>
        </w:rPr>
        <w:t xml:space="preserve"> two dieti</w:t>
      </w:r>
      <w:r w:rsidR="00975F47" w:rsidRPr="000D00EA">
        <w:rPr>
          <w:rFonts w:cs="Times New Roman"/>
          <w:szCs w:val="24"/>
        </w:rPr>
        <w:t>t</w:t>
      </w:r>
      <w:r w:rsidR="00D8248E" w:rsidRPr="000D00EA">
        <w:rPr>
          <w:rFonts w:cs="Times New Roman"/>
          <w:szCs w:val="24"/>
        </w:rPr>
        <w:t xml:space="preserve">ians. </w:t>
      </w:r>
      <w:r w:rsidRPr="000D00EA">
        <w:rPr>
          <w:rFonts w:cs="Times New Roman"/>
          <w:szCs w:val="24"/>
        </w:rPr>
        <w:t xml:space="preserve">To eliminate interpersonal variability in coding, </w:t>
      </w:r>
      <w:r w:rsidR="00D8248E" w:rsidRPr="000D00EA">
        <w:rPr>
          <w:rFonts w:cs="Times New Roman"/>
          <w:szCs w:val="24"/>
        </w:rPr>
        <w:t xml:space="preserve">the nutritionist checked </w:t>
      </w:r>
      <w:r w:rsidRPr="000D00EA">
        <w:rPr>
          <w:rFonts w:cs="Times New Roman"/>
          <w:szCs w:val="24"/>
        </w:rPr>
        <w:t xml:space="preserve">all </w:t>
      </w:r>
      <w:r w:rsidR="006E75E4" w:rsidRPr="000D00EA">
        <w:rPr>
          <w:rFonts w:cs="Times New Roman"/>
          <w:szCs w:val="24"/>
        </w:rPr>
        <w:t>data</w:t>
      </w:r>
      <w:r w:rsidRPr="000D00EA">
        <w:rPr>
          <w:rFonts w:cs="Times New Roman"/>
          <w:szCs w:val="24"/>
        </w:rPr>
        <w:t xml:space="preserve"> for coding and </w:t>
      </w:r>
      <w:r w:rsidR="006211C6" w:rsidRPr="000D00EA">
        <w:rPr>
          <w:rFonts w:cs="Times New Roman"/>
          <w:szCs w:val="24"/>
        </w:rPr>
        <w:t>portion size errors</w:t>
      </w:r>
      <w:r w:rsidRPr="000D00EA">
        <w:rPr>
          <w:rFonts w:cs="Times New Roman"/>
          <w:szCs w:val="24"/>
        </w:rPr>
        <w:t xml:space="preserve">. </w:t>
      </w:r>
    </w:p>
    <w:p w14:paraId="2EE8264D" w14:textId="77777777" w:rsidR="00D778D7" w:rsidRPr="000D00EA" w:rsidRDefault="00D778D7" w:rsidP="00D778D7">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Questionnaires</w:t>
      </w:r>
    </w:p>
    <w:p w14:paraId="1B122108" w14:textId="02E2E1C6" w:rsidR="00D778D7" w:rsidRPr="000D00EA" w:rsidRDefault="00D778D7" w:rsidP="00D778D7">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Questionnaires were constructed to collect information on clinical and socio-demographic characteristics of participants, based on a standardised questionnaire previously used</w:t>
      </w:r>
      <w:r w:rsidRPr="000D00EA">
        <w:rPr>
          <w:rFonts w:cs="Times New Roman"/>
          <w:szCs w:val="24"/>
        </w:rPr>
        <w:fldChar w:fldCharType="begin" w:fldLock="1"/>
      </w:r>
      <w:r w:rsidR="00C220EC" w:rsidRPr="000D00EA">
        <w:rPr>
          <w:rFonts w:cs="Times New Roman"/>
          <w:szCs w:val="24"/>
        </w:rPr>
        <w:instrText>ADDIN CSL_CITATION { "citationItems" : [ { "id" : "ITEM-1", "itemData" : { "author" : [ { "dropping-particle" : "", "family" : "Mutius", "given" : "Erika", "non-dropping-particle" : "Von", "parse-names" : false, "suffix" : "" } ], "container-title" : "Pediatr Allergy Immunol", "id" : "ITEM-1", "issue" : "9 Suppl", "issued" : { "date-parts" : [ [ "1996" ] ] }, "page" : "54-6", "title" : "Epidemiology of asthma: ISAAC--International Study of Asthma and Allergies in Childhood.", "type" : "article-journal", "volume" : "7" }, "uris" : [ "http://www.mendeley.com/documents/?uuid=2d2f0bb0-385f-47ef-bbcd-f9ddaf20a1be" ] } ], "mendeley" : { "formattedCitation" : "&lt;sup&gt;(27)&lt;/sup&gt;", "plainTextFormattedCitation" : "(27)", "previouslyFormattedCitation" : "&lt;sup&gt;(22)&lt;/sup&gt;" }, "properties" : { "noteIndex" : 0 }, "schema" : "https://github.com/citation-style-language/schema/raw/master/csl-citation.json" }</w:instrText>
      </w:r>
      <w:r w:rsidRPr="000D00EA">
        <w:rPr>
          <w:rFonts w:cs="Times New Roman"/>
          <w:szCs w:val="24"/>
        </w:rPr>
        <w:fldChar w:fldCharType="separate"/>
      </w:r>
      <w:r w:rsidR="00C220EC" w:rsidRPr="000D00EA">
        <w:rPr>
          <w:rFonts w:cs="Times New Roman"/>
          <w:noProof/>
          <w:szCs w:val="24"/>
          <w:vertAlign w:val="superscript"/>
        </w:rPr>
        <w:t>(27)</w:t>
      </w:r>
      <w:r w:rsidRPr="000D00EA">
        <w:rPr>
          <w:rFonts w:cs="Times New Roman"/>
          <w:szCs w:val="24"/>
        </w:rPr>
        <w:fldChar w:fldCharType="end"/>
      </w:r>
      <w:r w:rsidRPr="000D00EA">
        <w:rPr>
          <w:rFonts w:cs="Times New Roman"/>
          <w:szCs w:val="24"/>
        </w:rPr>
        <w:t>. Information on anthropometric measurements and dietary supplement</w:t>
      </w:r>
      <w:r w:rsidR="000D4174" w:rsidRPr="000D00EA">
        <w:rPr>
          <w:rFonts w:cs="Times New Roman"/>
          <w:szCs w:val="24"/>
        </w:rPr>
        <w:t>s was</w:t>
      </w:r>
      <w:r w:rsidRPr="000D00EA">
        <w:rPr>
          <w:rFonts w:cs="Times New Roman"/>
          <w:szCs w:val="24"/>
        </w:rPr>
        <w:t xml:space="preserve"> also collected. The food-allergic group received a questionnaire with questions on food allergies such as foods avoided, type of allergy (single/multiple), mode of </w:t>
      </w:r>
      <w:r w:rsidR="00504D59" w:rsidRPr="000D00EA">
        <w:rPr>
          <w:rFonts w:cs="Times New Roman"/>
          <w:szCs w:val="24"/>
        </w:rPr>
        <w:t>diagnosis of food allergies (skin prick test</w:t>
      </w:r>
      <w:r w:rsidRPr="000D00EA">
        <w:rPr>
          <w:rFonts w:cs="Times New Roman"/>
          <w:szCs w:val="24"/>
        </w:rPr>
        <w:t xml:space="preserve">, blood test, doctor’s diagnosis, food challenge), and symptoms. Questionnaires were assessed for clarity by allergy patients, nurses and dietitians. </w:t>
      </w:r>
    </w:p>
    <w:p w14:paraId="5FD74741" w14:textId="77777777" w:rsidR="00C40066" w:rsidRPr="000D00EA" w:rsidRDefault="0000669F">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Energy reporting</w:t>
      </w:r>
    </w:p>
    <w:p w14:paraId="6FF12C39" w14:textId="7C2CFC4D" w:rsidR="000056D3" w:rsidRPr="000D00EA" w:rsidRDefault="0000669F">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The Goldberg equation was used to identify participants </w:t>
      </w:r>
      <w:r w:rsidR="00975F47" w:rsidRPr="000D00EA">
        <w:rPr>
          <w:rFonts w:cs="Times New Roman"/>
          <w:szCs w:val="24"/>
        </w:rPr>
        <w:t xml:space="preserve">who </w:t>
      </w:r>
      <w:r w:rsidRPr="000D00EA">
        <w:rPr>
          <w:rFonts w:cs="Times New Roman"/>
          <w:szCs w:val="24"/>
        </w:rPr>
        <w:t xml:space="preserve">under-reported </w:t>
      </w:r>
      <w:r w:rsidR="006211C6" w:rsidRPr="000D00EA">
        <w:rPr>
          <w:rFonts w:cs="Times New Roman"/>
          <w:szCs w:val="24"/>
        </w:rPr>
        <w:t xml:space="preserve">intake </w:t>
      </w:r>
      <w:r w:rsidR="00BF6258" w:rsidRPr="000D00EA">
        <w:rPr>
          <w:rFonts w:cs="Times New Roman"/>
          <w:szCs w:val="24"/>
        </w:rPr>
        <w:fldChar w:fldCharType="begin" w:fldLock="1"/>
      </w:r>
      <w:r w:rsidR="00C220EC" w:rsidRPr="000D00EA">
        <w:rPr>
          <w:rFonts w:cs="Times New Roman"/>
          <w:szCs w:val="24"/>
        </w:rPr>
        <w:instrText>ADDIN CSL_CITATION { "citationItems" : [ { "id" : "ITEM-1", "itemData" : { "ISBN" : "0954-3007 (Print)\\r0954-3007 (Linking)", "ISSN" : "0954-3007", "PMID" : "1810719", "abstract" : "This paper uses fundamental principles of energy physiology to define minimum cut-off limits for energy intake below which a person of a given sex, age and body weight could not live a normal life-style. These have been derived from whole-body calorimeter and doubly-labelled water measurements in a wide range of healthy adults after due statistical allowance for intra- and interindividual variance. The tabulated cut-off limits, which depend on sample size and duration of measurements, identify minimum plausible levels of energy expenditure expressed as a multiple of basal metabolic rate (BMR). CUT-OFF 1 tests whether reported energy intake measurements can be representative of long-term habitual intake. It is set at 1.35 x BMR for cases where BMR has been measured rather than predicted. CUT-OFF 2 tests whether reported energy intakes are a plausible measure of the food consumed during the actual measurement period, and is always more liberal than CUT-OFF 1 since it has to allow for the known measurement imprecision arising from the high level of day-to-day variability in food intake. The cut-off limits can be used to evaluate energy intake data. Results falling below these limits must be recognized as being incompatible with long-term maintenance of energy balance and therefore with long-term survival.", "author" : [ { "dropping-particle" : "", "family" : "Goldberg", "given" : "Gr", "non-dropping-particle" : "", "parse-names" : false, "suffix" : "" }, { "dropping-particle" : "", "family" : "Black", "given" : "Ae", "non-dropping-particle" : "", "parse-names" : false, "suffix" : "" }, { "dropping-particle" : "", "family" : "Jebb", "given" : "Sa", "non-dropping-particle" : "", "parse-names" : false, "suffix" : "" }, { "dropping-particle" : "", "family" : "Colte", "given" : "Tj", "non-dropping-particle" : "", "parse-names" : false, "suffix" : "" }, { "dropping-particle" : "", "family" : "Murgatroyd", "given" : "Pr", "non-dropping-particle" : "", "parse-names" : false, "suffix" : "" }, { "dropping-particle" : "", "family" : "Coward", "given" : "Wa", "non-dropping-particle" : "", "parse-names" : false, "suffix" : "" }, { "dropping-particle" : "", "family" : "Prentice", "given" : "Am", "non-dropping-particle" : "", "parse-names" : false, "suffix" : "" } ], "container-title" : "European Journal of Clinical Nutrition", "id" : "ITEM-1", "issue" : "12", "issued" : { "date-parts" : [ [ "1991" ] ] }, "page" : "569-581", "title" : "Critical evaluation of energy intake data using fundamental principles of energy physiology: 1. Derivation of cut-off limits to identify under-recording", "type" : "article-journal", "volume" : "45" }, "uris" : [ "http://www.mendeley.com/documents/?uuid=f2223345-b6d0-444b-87a5-7c959a84add6" ] } ], "mendeley" : { "formattedCitation" : "&lt;sup&gt;(28)&lt;/sup&gt;", "plainTextFormattedCitation" : "(28)", "previouslyFormattedCitation" : "&lt;sup&gt;(27)&lt;/sup&gt;" }, "properties" : { "noteIndex" : 0 }, "schema" : "https://github.com/citation-style-language/schema/raw/master/csl-citation.json" }</w:instrText>
      </w:r>
      <w:r w:rsidR="00BF6258" w:rsidRPr="000D00EA">
        <w:rPr>
          <w:rFonts w:cs="Times New Roman"/>
          <w:szCs w:val="24"/>
        </w:rPr>
        <w:fldChar w:fldCharType="separate"/>
      </w:r>
      <w:r w:rsidR="00C220EC" w:rsidRPr="000D00EA">
        <w:rPr>
          <w:rFonts w:cs="Times New Roman"/>
          <w:noProof/>
          <w:szCs w:val="24"/>
          <w:vertAlign w:val="superscript"/>
        </w:rPr>
        <w:t>(28)</w:t>
      </w:r>
      <w:r w:rsidR="00BF6258" w:rsidRPr="000D00EA">
        <w:rPr>
          <w:rFonts w:cs="Times New Roman"/>
          <w:szCs w:val="24"/>
        </w:rPr>
        <w:fldChar w:fldCharType="end"/>
      </w:r>
      <w:r w:rsidRPr="000D00EA">
        <w:rPr>
          <w:rFonts w:cs="Times New Roman"/>
          <w:szCs w:val="24"/>
        </w:rPr>
        <w:t>.</w:t>
      </w:r>
      <w:r w:rsidR="00D8248E" w:rsidRPr="000D00EA">
        <w:rPr>
          <w:rFonts w:cs="Times New Roman"/>
          <w:szCs w:val="24"/>
        </w:rPr>
        <w:t xml:space="preserve"> </w:t>
      </w:r>
      <w:r w:rsidRPr="000D00EA">
        <w:rPr>
          <w:rFonts w:cs="Times New Roman"/>
          <w:szCs w:val="24"/>
        </w:rPr>
        <w:t>Physical activity levels and data required for calculating Goldberg cut</w:t>
      </w:r>
      <w:r w:rsidR="00A52BAD" w:rsidRPr="000D00EA">
        <w:rPr>
          <w:rFonts w:cs="Times New Roman"/>
          <w:szCs w:val="24"/>
        </w:rPr>
        <w:noBreakHyphen/>
        <w:t>o</w:t>
      </w:r>
      <w:r w:rsidRPr="000D00EA">
        <w:rPr>
          <w:rFonts w:cs="Times New Roman"/>
          <w:szCs w:val="24"/>
        </w:rPr>
        <w:t>ffs were taken from Black</w:t>
      </w:r>
      <w:r w:rsidR="00367F56" w:rsidRPr="000D00EA">
        <w:rPr>
          <w:rFonts w:cs="Times New Roman"/>
          <w:szCs w:val="24"/>
        </w:rPr>
        <w:t xml:space="preserve"> </w:t>
      </w:r>
      <w:r w:rsidR="00BF6258" w:rsidRPr="000D00EA">
        <w:rPr>
          <w:rFonts w:cs="Times New Roman"/>
          <w:szCs w:val="24"/>
        </w:rPr>
        <w:fldChar w:fldCharType="begin" w:fldLock="1"/>
      </w:r>
      <w:r w:rsidR="00C220EC" w:rsidRPr="000D00EA">
        <w:rPr>
          <w:rFonts w:cs="Times New Roman"/>
          <w:szCs w:val="24"/>
        </w:rPr>
        <w:instrText>ADDIN CSL_CITATION { "citationItems" : [ { "id" : "ITEM-1", "itemData" : { "DOI" : "10.1038/sj.ijo.0801376", "ISBN" : "0307-0565 (Print)", "ISSN" : "0307-0565", "PMID" : "11033980", "abstract" : "OBJECTIVES: To re-state the principles underlying the Goldberg cut-off for identifying under-reporters of energy intake, re-examine the physiological principles and update the values to be substituted into the equation for calculating the cut-off, and to examine its use and limitations. RESULTS: New values are suggested for each element of the Goldberg equation. The physical activity level (PAL) for comparison with energy intake : basal metabolic rate (EI:BMR) should be selected to re\u00afect the population under study; the PAL value of 1.55 x BMR is not necessarily the value of choice. The suggested value for average within-subject variation in energy intake is 23% (unchanged), but other sources of variation are increased in the light of new data. For within-subject variation in measured and estimated BMR, 4% and 8.5% respectively are suggested (previously 2.5% and 8%), and for total between-subject variation in PAL, the suggested value is 15% (previously 12.5%). The effect of these changes is to widen the con\u00aedence limits and reduce the sensitivity of the cut-off. CONCLUSIONS: The Goldberg cut-off can be used to evaluate the mean population bias in reported energy intake, but information on the activity or lifestyle of the population is needed to choose a suitable PAL energy requirement for comparison. Sensitivity for identifying under-reporters at the individual level is limited. In epidemiological studies information on home, leisure and occupational activity is essential in order to assign subjects to low, medium or high PAL levels before calculating the cut-offs. In small studies, it is desirable to measure energy expenditure, or to calculate individual energy requirements, and to compare energy intake directly with energy expenditure.", "author" : [ { "dropping-particle" : "", "family" : "Black", "given" : "Ae", "non-dropping-particle" : "", "parse-names" : false, "suffix" : "" } ], "container-title" : "International Journal of Obesity", "id" : "ITEM-1", "issued" : { "date-parts" : [ [ "2000" ] ] }, "page" : "1119-1130", "title" : "Critical evaluation of energy intake using the Goldberg cut-off for energy intake:basal metabolic rate. A practical guide to its calculation, use and limitations", "type" : "article-journal", "volume" : "24" }, "uris" : [ "http://www.mendeley.com/documents/?uuid=e14ab9ba-31ad-41b8-ba86-eea0092dfca4" ] } ], "mendeley" : { "formattedCitation" : "&lt;sup&gt;(29)&lt;/sup&gt;", "plainTextFormattedCitation" : "(29)", "previouslyFormattedCitation" : "&lt;sup&gt;(28)&lt;/sup&gt;" }, "properties" : { "noteIndex" : 0 }, "schema" : "https://github.com/citation-style-language/schema/raw/master/csl-citation.json" }</w:instrText>
      </w:r>
      <w:r w:rsidR="00BF6258" w:rsidRPr="000D00EA">
        <w:rPr>
          <w:rFonts w:cs="Times New Roman"/>
          <w:szCs w:val="24"/>
        </w:rPr>
        <w:fldChar w:fldCharType="separate"/>
      </w:r>
      <w:r w:rsidR="00C220EC" w:rsidRPr="000D00EA">
        <w:rPr>
          <w:rFonts w:cs="Times New Roman"/>
          <w:noProof/>
          <w:szCs w:val="24"/>
          <w:vertAlign w:val="superscript"/>
        </w:rPr>
        <w:t>(29)</w:t>
      </w:r>
      <w:r w:rsidR="00BF6258" w:rsidRPr="000D00EA">
        <w:rPr>
          <w:rFonts w:cs="Times New Roman"/>
          <w:szCs w:val="24"/>
        </w:rPr>
        <w:fldChar w:fldCharType="end"/>
      </w:r>
      <w:r w:rsidRPr="000D00EA">
        <w:rPr>
          <w:rFonts w:cs="Times New Roman"/>
          <w:szCs w:val="24"/>
        </w:rPr>
        <w:t xml:space="preserve">. </w:t>
      </w:r>
      <w:r w:rsidR="004327E0" w:rsidRPr="000D00EA">
        <w:rPr>
          <w:rFonts w:cs="Times New Roman"/>
          <w:szCs w:val="24"/>
        </w:rPr>
        <w:t>Basal metabolic rate was predicted from standard age- and gender-specific equations derived from Schofield</w:t>
      </w:r>
      <w:r w:rsidR="00367F56" w:rsidRPr="000D00EA">
        <w:rPr>
          <w:rFonts w:cs="Times New Roman"/>
          <w:szCs w:val="24"/>
        </w:rPr>
        <w:t xml:space="preserve"> </w:t>
      </w:r>
      <w:r w:rsidR="00BF6258" w:rsidRPr="000D00EA">
        <w:rPr>
          <w:rFonts w:cs="Times New Roman"/>
          <w:szCs w:val="24"/>
        </w:rPr>
        <w:fldChar w:fldCharType="begin" w:fldLock="1"/>
      </w:r>
      <w:r w:rsidR="00C220EC" w:rsidRPr="000D00EA">
        <w:rPr>
          <w:rFonts w:cs="Times New Roman"/>
          <w:szCs w:val="24"/>
        </w:rPr>
        <w:instrText>ADDIN CSL_CITATION { "citationItems" : [ { "id" : "ITEM-1", "itemData" : { "DOI" : "EE0017(no file or paper)", "ISBN" : "0263-8290 (Print)\\r0263-8290 (Linking)", "ISSN" : "0263-8290", "PMID" : "4044297", "abstract" : "After reviewing the literature on basal metabolism, this paper discusses and reviews recent attempts to predict BMR from age, sex and anthropometric measurements. Criticism is made of the scientific and statistical integrity of a widely used table of standard metabolic rates for weight. The statistical screening of data from the literature of the past 50 years is described and equations computed from these screened data are presented. In these equations, BMR is predicted simply from weight or from weight and height with sex and age taken into account. Information is given on error, and tables estimating error for predictions on new data both for individuals and for means of groups of subjects are included. A table of BMRs for weights from 3 to 84 kg for males and females separately is also included. Cross-validation techniques are used to estimate possible threats to validity from various sources including, for example, different procedures of early workers. It was found that in the data available subjects from developing countries not only were smaller and had lower metabolic rates (as was expected) but also had lower rates per unit body weight than European or North American subjects. It is argued that at an individual level the error of prediction must be high since the global operationalisation of BMR confounds separate effects known to participate in complex relations with sex, age and anthropometric indices. The work reported is aimed at meeting a practical need for equations which are simple to apply. However, it was found that little was gained by the use of more complex equations, although they remain of scientific interest.", "author" : [ { "dropping-particle" : "", "family" : "Schofield", "given" : "W N", "non-dropping-particle" : "", "parse-names" : false, "suffix" : "" } ], "container-title" : "Human nutrition. Clinical nutrition", "id" : "ITEM-1", "issued" : { "date-parts" : [ [ "1985" ] ] }, "page" : "5-41", "title" : "Predicting basal metabolic rate, new standards and review of previous work.", "type" : "article-journal", "volume" : "39 Suppl 1" }, "uris" : [ "http://www.mendeley.com/documents/?uuid=0b50a352-33a6-4333-9aa6-ca0e39ec7594" ] } ], "mendeley" : { "formattedCitation" : "&lt;sup&gt;(30)&lt;/sup&gt;", "plainTextFormattedCitation" : "(30)", "previouslyFormattedCitation" : "&lt;sup&gt;(29)&lt;/sup&gt;" }, "properties" : { "noteIndex" : 0 }, "schema" : "https://github.com/citation-style-language/schema/raw/master/csl-citation.json" }</w:instrText>
      </w:r>
      <w:r w:rsidR="00BF6258" w:rsidRPr="000D00EA">
        <w:rPr>
          <w:rFonts w:cs="Times New Roman"/>
          <w:szCs w:val="24"/>
        </w:rPr>
        <w:fldChar w:fldCharType="separate"/>
      </w:r>
      <w:r w:rsidR="00C220EC" w:rsidRPr="000D00EA">
        <w:rPr>
          <w:rFonts w:cs="Times New Roman"/>
          <w:noProof/>
          <w:szCs w:val="24"/>
          <w:vertAlign w:val="superscript"/>
        </w:rPr>
        <w:t>(30)</w:t>
      </w:r>
      <w:r w:rsidR="00BF6258" w:rsidRPr="000D00EA">
        <w:rPr>
          <w:rFonts w:cs="Times New Roman"/>
          <w:szCs w:val="24"/>
        </w:rPr>
        <w:fldChar w:fldCharType="end"/>
      </w:r>
      <w:r w:rsidR="00C306A7" w:rsidRPr="000D00EA">
        <w:rPr>
          <w:rFonts w:cs="Times New Roman"/>
          <w:szCs w:val="24"/>
        </w:rPr>
        <w:t>.</w:t>
      </w:r>
      <w:r w:rsidR="004327E0" w:rsidRPr="000D00EA">
        <w:rPr>
          <w:rFonts w:cs="Times New Roman"/>
          <w:szCs w:val="24"/>
        </w:rPr>
        <w:t xml:space="preserve"> </w:t>
      </w:r>
      <w:r w:rsidRPr="000D00EA">
        <w:rPr>
          <w:rFonts w:cs="Times New Roman"/>
          <w:szCs w:val="24"/>
        </w:rPr>
        <w:t>As only extreme degrees of under-reporting can be detected with the Goldberg equation</w:t>
      </w:r>
      <w:r w:rsidR="006211C6" w:rsidRPr="000D00EA">
        <w:rPr>
          <w:rFonts w:cs="Times New Roman"/>
          <w:szCs w:val="24"/>
        </w:rPr>
        <w:t xml:space="preserve"> </w:t>
      </w:r>
      <w:r w:rsidR="00B67045" w:rsidRPr="000D00EA">
        <w:rPr>
          <w:rFonts w:cs="Times New Roman"/>
          <w:szCs w:val="24"/>
        </w:rPr>
        <w:fldChar w:fldCharType="begin" w:fldLock="1"/>
      </w:r>
      <w:r w:rsidR="00C220EC" w:rsidRPr="000D00EA">
        <w:rPr>
          <w:rFonts w:cs="Times New Roman"/>
          <w:szCs w:val="24"/>
        </w:rPr>
        <w:instrText>ADDIN CSL_CITATION { "citationItems" : [ { "id" : "ITEM-1", "itemData" : { "DOI" : "10.1038/sj.ejcn.1600971", "ISBN" : "0954-3007 (Print)\\r0954-3007 (Linking)", "ISSN" : "09543007", "PMID" : "10822286", "abstract" : "Objective: To explore the speci\u00aecity and sensitivity of the Goldberg cut-off for EI : BMR for identifying diet reports of poor validity as compared with the direct comparison of energy intake with energy expenditure measured by doubly-labelled water. Design: Twenty-two studies with measurements of total energy expenditure by doubly-labelled water (EE), basal metabolic rate (BMR) and energy intake (EI) provided the database (n \u0088 429). The ratio EI : EE provided the baseline de\u00aenition of under-(UR), acceptable-(AR) and over-reporters (OR), respectively EI : E 0.76, 0.76 \u00b1 1.24 and b 1.24. Four strategies for identifying under-and over-reporters using the Goldberg cut-off were explored. Sensitivity of the cut-off was calculated as the proportion of UR correctly identi\u00aeed and speci\u00aecity as the proportion of non-UR correctly identi\u00aeed. Results: UR, AR and OR (by EI : EE) were 34, 62 and 4% respectively of all subjects. When a single Goldberg cut-off for the physical activity level (PAL) of 1.55 was used, for men and women respectively the sensitivity was 0.50 and 0.52 and the speci\u00aecity 1.00 and 0.99. Using a cut-off for higher PAL traded speci\u00aecity for sensitivity. Using the cut-off for a PAL of 1.95, sensitivity was 0.76 and 0.85 and the speci\u00aecity 0.87 and 0.78 for men and women respectively. Using cut-offs for mean age \u00b1 sex speci\u00aec PAL did not improve sensitivity. When subjects were assigned to low, medium and high activity levels and cut-offs for three different PALs used, sensitivity improved to 0.74 and 0.67 without loss of speci\u00aecity (0.97 and 0.98), for men and women respectively. If activity levels for men were applied to the womens' data, sensitivity improved to 0.72. Conclusion: To identify diet reports of poor validity using the Goldberg cut-off for EI : BMR, information is needed on each subject's activity level.", "author" : [ { "dropping-particle" : "", "family" : "Black", "given" : "Ae", "non-dropping-particle" : "", "parse-names" : false, "suffix" : "" } ], "container-title" : "European Journal of Clinical Nutrition", "id" : "ITEM-1", "issued" : { "date-parts" : [ [ "2000" ] ] }, "page" : "395-404", "title" : "The sensitivity and speci\u00aecity of the Goldberg cut-off for EI:BMR for identifying diet reports of poor validity", "type" : "article-journal", "volume" : "54" }, "uris" : [ "http://www.mendeley.com/documents/?uuid=076e2e46-00dd-48ef-97ee-d4165cfda527" ] } ], "mendeley" : { "formattedCitation" : "&lt;sup&gt;(31)&lt;/sup&gt;", "plainTextFormattedCitation" : "(31)", "previouslyFormattedCitation" : "&lt;sup&gt;(30)&lt;/sup&gt;" }, "properties" : { "noteIndex" : 0 }, "schema" : "https://github.com/citation-style-language/schema/raw/master/csl-citation.json" }</w:instrText>
      </w:r>
      <w:r w:rsidR="00B67045" w:rsidRPr="000D00EA">
        <w:rPr>
          <w:rFonts w:cs="Times New Roman"/>
          <w:szCs w:val="24"/>
        </w:rPr>
        <w:fldChar w:fldCharType="separate"/>
      </w:r>
      <w:r w:rsidR="00C220EC" w:rsidRPr="000D00EA">
        <w:rPr>
          <w:rFonts w:cs="Times New Roman"/>
          <w:noProof/>
          <w:szCs w:val="24"/>
          <w:vertAlign w:val="superscript"/>
        </w:rPr>
        <w:t>(31)</w:t>
      </w:r>
      <w:r w:rsidR="00B67045" w:rsidRPr="000D00EA">
        <w:rPr>
          <w:rFonts w:cs="Times New Roman"/>
          <w:szCs w:val="24"/>
        </w:rPr>
        <w:fldChar w:fldCharType="end"/>
      </w:r>
      <w:r w:rsidRPr="000D00EA">
        <w:rPr>
          <w:rFonts w:cs="Times New Roman"/>
          <w:szCs w:val="24"/>
        </w:rPr>
        <w:t>, identified under-reporters were not excluded</w:t>
      </w:r>
      <w:r w:rsidR="001818B0" w:rsidRPr="000D00EA">
        <w:rPr>
          <w:rFonts w:cs="Times New Roman"/>
          <w:szCs w:val="24"/>
        </w:rPr>
        <w:t>,</w:t>
      </w:r>
      <w:r w:rsidRPr="000D00EA">
        <w:rPr>
          <w:rFonts w:cs="Times New Roman"/>
          <w:szCs w:val="24"/>
        </w:rPr>
        <w:t xml:space="preserve"> but adju</w:t>
      </w:r>
      <w:r w:rsidR="00D8248E" w:rsidRPr="000D00EA">
        <w:rPr>
          <w:rFonts w:cs="Times New Roman"/>
          <w:szCs w:val="24"/>
        </w:rPr>
        <w:t xml:space="preserve">sted for in the </w:t>
      </w:r>
      <w:r w:rsidR="00C40066" w:rsidRPr="000D00EA">
        <w:rPr>
          <w:rFonts w:cs="Times New Roman"/>
          <w:szCs w:val="24"/>
        </w:rPr>
        <w:t>analyses</w:t>
      </w:r>
      <w:r w:rsidR="00117F3E" w:rsidRPr="000D00EA">
        <w:rPr>
          <w:rFonts w:cs="Times New Roman"/>
          <w:szCs w:val="24"/>
        </w:rPr>
        <w:t xml:space="preserve"> (yes</w:t>
      </w:r>
      <w:r w:rsidR="00EC1BFA" w:rsidRPr="000D00EA">
        <w:rPr>
          <w:rFonts w:cs="Times New Roman"/>
          <w:szCs w:val="24"/>
        </w:rPr>
        <w:t>/no)</w:t>
      </w:r>
      <w:r w:rsidRPr="000D00EA">
        <w:rPr>
          <w:rFonts w:cs="Times New Roman"/>
          <w:szCs w:val="24"/>
        </w:rPr>
        <w:t xml:space="preserve">. </w:t>
      </w:r>
    </w:p>
    <w:p w14:paraId="6966D152" w14:textId="77777777" w:rsidR="005F4EA5" w:rsidRPr="000D00EA" w:rsidRDefault="0000669F">
      <w:pPr>
        <w:autoSpaceDE w:val="0"/>
        <w:autoSpaceDN w:val="0"/>
        <w:adjustRightInd w:val="0"/>
        <w:spacing w:before="100" w:beforeAutospacing="1" w:after="100" w:afterAutospacing="1" w:line="360" w:lineRule="auto"/>
        <w:jc w:val="both"/>
        <w:rPr>
          <w:rFonts w:cs="Times New Roman"/>
          <w:szCs w:val="24"/>
        </w:rPr>
      </w:pPr>
      <w:r w:rsidRPr="000D00EA">
        <w:rPr>
          <w:rFonts w:cs="Times New Roman"/>
          <w:b/>
          <w:szCs w:val="24"/>
        </w:rPr>
        <w:t>Statistical analysis</w:t>
      </w:r>
      <w:r w:rsidR="0023381C" w:rsidRPr="000D00EA">
        <w:rPr>
          <w:rFonts w:cs="Times New Roman"/>
          <w:szCs w:val="24"/>
        </w:rPr>
        <w:t xml:space="preserve"> </w:t>
      </w:r>
    </w:p>
    <w:p w14:paraId="3B0E9457" w14:textId="3133469A" w:rsidR="00340911" w:rsidRPr="000D00EA" w:rsidRDefault="00EB3C1B">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Sample size calculation </w:t>
      </w:r>
      <w:r w:rsidR="00796911" w:rsidRPr="000D00EA">
        <w:rPr>
          <w:rFonts w:cs="Times New Roman"/>
          <w:szCs w:val="24"/>
        </w:rPr>
        <w:t xml:space="preserve">was based on calcium intake from </w:t>
      </w:r>
      <w:r w:rsidRPr="000D00EA">
        <w:rPr>
          <w:rFonts w:cs="Times New Roman"/>
          <w:szCs w:val="24"/>
        </w:rPr>
        <w:t>a</w:t>
      </w:r>
      <w:r w:rsidR="00796911" w:rsidRPr="000D00EA">
        <w:rPr>
          <w:rFonts w:cs="Times New Roman"/>
          <w:szCs w:val="24"/>
        </w:rPr>
        <w:t xml:space="preserve"> previous study</w:t>
      </w:r>
      <w:r w:rsidR="00B67045" w:rsidRPr="000D00EA">
        <w:rPr>
          <w:rFonts w:cs="Times New Roman"/>
          <w:szCs w:val="24"/>
        </w:rPr>
        <w:fldChar w:fldCharType="begin" w:fldLock="1"/>
      </w:r>
      <w:r w:rsidR="00C220EC" w:rsidRPr="000D00EA">
        <w:rPr>
          <w:rFonts w:cs="Times New Roman"/>
          <w:szCs w:val="24"/>
        </w:rPr>
        <w:instrText>ADDIN CSL_CITATION { "citationItems" : [ { "id" : "ITEM-1", "itemData" : { "ISBN" : "0954-3007; 0954-3007", "ISSN" : "0954-3007 (Print)", "PMID" : "8243425", "abstract" : "Three hundred and twenty-three individuals with self-reported food allergy were recruited by media advertisements. Questionnaire information was collected on all respondents. Chocolate (57%), milk (47%), wheat (36%) and food additives (35%) were the most frequently implicated foods. The most frequently reported symptoms were itching (43%), skin rash (43%) and tiredness (43%). Food avoidance was the most common form of food allergy diagnosis (33%) with only 8% of respondents reporting food challenge in food allergy diagnosis. Self-diagnosis was reported by 34% of respondents with 29% and 24% reporting diagnosis by a general practitioner or a homeopath, respectively. Twenty-four per cent of respondents 'always' avoided and a further 57% 'nearly always' avoided the implicated food(s). A group of 38 adults with self-reported 'milk allergy' was selected for further study. Dietary assessments, using the dietary history method, were carried out on this subgroup and on age-, sex- and occupation-matched controls. The results of the dietary assessments revealed that the 'milk allergy' group had significantly higher intakes of fibre, beta-carotene, vitamin C, vitamin E, iron and folic acid (P &lt; 0.05) and significantly lower intakes of calcium (P &lt; 0.002) in comparison to controls. Eighteen per cent of the group used milk alternatives. Thirty-four per cent of the 'milk allergy' group took calcium-containing supplements. Even after calcium supplementation, the mean calcium intake of those who completely avoided milk was unacceptably low (441 mg/d).", "author" : [ { "dropping-particle" : "", "family" : "McGowan", "given" : "M", "non-dropping-particle" : "", "parse-names" : false, "suffix" : "" }, { "dropping-particle" : "", "family" : "Gibney", "given" : "M J", "non-dropping-particle" : "", "parse-names" : false, "suffix" : "" } ], "container-title" : "European journal of clinical nutrition", "id" : "ITEM-1", "issue" : "9", "issued" : { "date-parts" : [ [ "1993" ] ] }, "page" : "609-616", "title" : "Calcium intakes in individuals on diets for the management of cows' milk allergy: a case control study.", "type" : "article-journal", "volume" : "47" }, "uris" : [ "http://www.mendeley.com/documents/?uuid=5b9bf856-0a73-4690-96b8-ccfadc750302" ] } ], "mendeley" : { "formattedCitation" : "&lt;sup&gt;(32)&lt;/sup&gt;", "plainTextFormattedCitation" : "(32)", "previouslyFormattedCitation" : "&lt;sup&gt;(31)&lt;/sup&gt;" }, "properties" : { "noteIndex" : 0 }, "schema" : "https://github.com/citation-style-language/schema/raw/master/csl-citation.json" }</w:instrText>
      </w:r>
      <w:r w:rsidR="00B67045" w:rsidRPr="000D00EA">
        <w:rPr>
          <w:rFonts w:cs="Times New Roman"/>
          <w:szCs w:val="24"/>
        </w:rPr>
        <w:fldChar w:fldCharType="separate"/>
      </w:r>
      <w:r w:rsidR="00C220EC" w:rsidRPr="000D00EA">
        <w:rPr>
          <w:rFonts w:cs="Times New Roman"/>
          <w:noProof/>
          <w:szCs w:val="24"/>
          <w:vertAlign w:val="superscript"/>
        </w:rPr>
        <w:t>(32)</w:t>
      </w:r>
      <w:r w:rsidR="00B67045" w:rsidRPr="000D00EA">
        <w:rPr>
          <w:rFonts w:cs="Times New Roman"/>
          <w:szCs w:val="24"/>
        </w:rPr>
        <w:fldChar w:fldCharType="end"/>
      </w:r>
      <w:r w:rsidR="0023381C" w:rsidRPr="000D00EA">
        <w:rPr>
          <w:rFonts w:cs="Times New Roman"/>
          <w:szCs w:val="24"/>
        </w:rPr>
        <w:t xml:space="preserve">, which has been identified </w:t>
      </w:r>
      <w:r w:rsidR="00D9672F" w:rsidRPr="000D00EA">
        <w:rPr>
          <w:rFonts w:cs="Times New Roman"/>
          <w:szCs w:val="24"/>
        </w:rPr>
        <w:t>as the key at-risk nutrient</w:t>
      </w:r>
      <w:r w:rsidR="00367F56" w:rsidRPr="000D00EA">
        <w:rPr>
          <w:rFonts w:cs="Times New Roman"/>
          <w:szCs w:val="24"/>
        </w:rPr>
        <w:t xml:space="preserve"> </w:t>
      </w:r>
      <w:r w:rsidR="00C7523E" w:rsidRPr="000D00EA">
        <w:rPr>
          <w:rFonts w:cs="Times New Roman"/>
          <w:szCs w:val="24"/>
        </w:rPr>
        <w:fldChar w:fldCharType="begin" w:fldLock="1"/>
      </w:r>
      <w:r w:rsidR="00C220EC" w:rsidRPr="000D00EA">
        <w:rPr>
          <w:rFonts w:cs="Times New Roman"/>
          <w:szCs w:val="24"/>
        </w:rPr>
        <w:instrText>ADDIN CSL_CITATION { "citationItems" : [ { "id" : "ITEM-1",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"ITEM-1", "issued" : { "date-parts" : [ [ "2011" ] ] }, "page" : "161-165", "title" : "Diet and nutritional status of children with food allergies.", "type" : "article-journal", "volume" : "22" }, "uris" : [ "http://www.mendeley.com/documents/?uuid=47eac944-9222-4200-b202-eb5eb10e7048" ] }, { "id" : "ITEM-2",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"ITEM-2", "issue" : "11", "issued" : { "date-parts" : [ [ "2002" ] ] }, "page" : "1648-1651", "title" : "Food allergies in children affect nutrient intake and growth", "type" : "article-journal", "volume" : "102" }, "uris" : [ "http://www.mendeley.com/documents/?uuid=6827fd55-4c0e-4fa4-8211-21434ef4c92f" ] }, { "id" : "ITEM-3", "itemData" : { "DOI" : "10.1016/j.jaci.2014.08.037", "ISSN" : "0091-6749", "author" : [ { "dropping-particle" : "", "family" : "Robbins", "given" : "Karen A", "non-dropping-particle" : "", "parse-names" : false, "suffix" : "" }, { "dropping-particle" : "", "family" : "Wood", "given" : "Robert A", "non-dropping-particle" : "", "parse-names" : false, "suffix" : "" }, { "dropping-particle" : "", "family" : "Keet", "given" : "Corinne A", "non-dropping-particle" : "", "parse-names" : false, "suffix" : "" } ], "container-title" : "Journal of Allergy and Clinical Immunology", "id" : "ITEM-3", "issue" : "6", "issued" : { "date-parts" : [ [ "2014" ] ] }, "page" : "1466-1468.e6", "publisher" : "American Academy of Allergy, Asthma &amp; Immunology", "title" : "Milk allergy is associated with decreased growth in US children", "type" : "article-journal", "volume" : "134" }, "uris" : [ "http://www.mendeley.com/documents/?uuid=44a9d36b-b711-4d7b-9054-025ef91db33a" ] }, { "id" : "ITEM-4", "itemData" : { "DOI" : "10.1097/ACI.0b013e328360949d", "ISBN" : "15284050 (ISSN)", "ISSN" : "1473-6322", "PMID" : "23510952", "abstract" : "PURPOSE OF REVIEW: To describe the potential effect that avoidance diets for food allergy may have on nutrition and growth in children.\\n\\nRECENT FINDINGS: We report here the findings from the previous studies suggesting impairment of growth and nutritional deficiencies because of elimination diets for food allergy. Feeding difficulties have also been reported, particularly in children with eosinophilic esophagitis that may further impact the nutrient intake.\\n\\nSUMMARY: Food allergies are becoming more prevalent and better recognized. Treatment options typically include strict dietary elimination of major food allergens such as milk, eggs, wheat, soy, peanut, tree nuts, fish and shellfish. Monitoring growth and guiding food allergic patients in choosing appropriate alternatives to supply necessary nutrients becomes crucial to avoid deficiencies and retardation in growth.", "author" : [ { "dropping-particle" : "", "family" : "Mehta", "given" : "Harshna", "non-dropping-particle" : "", "parse-names" : false, "suffix" : "" }, { "dropping-particle" : "", "family" : "Groetch", "given" : "Marion", "non-dropping-particle" : "", "parse-names" : false, "suffix" : "" }, { "dropping-particle" : "", "family" : "Wang", "given" : "Julie", "non-dropping-particle" : "", "parse-names" : false, "suffix" : "" } ], "container-title" : "Current opinion in allergy and clinical immunology", "id" : "ITEM-4", "issue" : "3", "issued" : { "date-parts" : [ [ "2013" ] ] }, "page" : "275-9", "title" : "Growth and nutritional concerns in children with food allergy.", "type" : "article-journal", "volume" : "13" }, "uris" : [ "http://www.mendeley.com/documents/?uuid=e8fdb70d-0953-4aeb-a62a-ae0a8fa488eb" ] }, { "id" : "ITEM-5", "itemData" : { "DOI" : "10.1177/0884533613505870", "ISBN" : "1941-2452 (Electronic)\\n0884-5336 (Linking)", "ISSN" : "0884-5336", "PMID" : "24166727", "abstract" : "BACKGROUND: Food allergies affect up to 8% of American children. The current recommended treatment for food allergies is strict elimination of the allergens from the diet. Dietary elimination of nutrient-dense foods may result in inadequate nutrient intake and impaired growth. The purpose of this review was to critically analyze available research on the effect of an elimination diet on nutrient intake and growth in children with multiple food allergies. Methods: A systematic review of the literature was conducted and a workgroup was established to critically analyze each relevant article. The findings were summarized and a conclusion was generated. Results: Six studies were analyzed. One study found that children with food allergies are more likely to be malnourished than children without food allergies. Three studies found that children with multiple food allergies were shorter than children with 1 food allergy. Four studies assessed nutrient intake of children with multiple food allergies, but the inclusion and comparison criteria were different in each of the studies and the findings were conflicting. One study found that children with food allergies who did not receive nutrition counseling were more likely to have inadequate intake of calcium and vitamin D. Conclusion: Children with multiple food allergies have a higher risk of impaired growth and may have a higher risk of inadequate nutrient intake than children without food allergies. Until more research is available, we recommend monitoring of nutrition and growth of children with multiple food allergies to prevent possible nutrient deficiencies and to optimize growth.", "author" : [ { "dropping-particle" : "", "family" : "Sova", "given" : "C", "non-dropping-particle" : "", "parse-names" : false, "suffix" : "" }, { "dropping-particle" : "", "family" : "Feuling", "given" : "M B", "non-dropping-particle" : "", "parse-names" : false, "suffix" : "" }, { "dropping-particle" : "", "family" : "Baumler", "given" : "M", "non-dropping-particle" : "", "parse-names" : false, "suffix" : "" }, { "dropping-particle" : "", "family" : "Gleason", "given" : "L", "non-dropping-particle" : "", "parse-names" : false, "suffix" : "" }, { "dropping-particle" : "", "family" : "Tam", "given" : "J S", "non-dropping-particle" : "", "parse-names" : false, "suffix" : "" }, { "dropping-particle" : "", "family" : "Zafra", "given" : "H", "non-dropping-particle" : "", "parse-names" : false, "suffix" : "" }, { "dropping-particle" : "", "family" : "Goday", "given" : "P S", "non-dropping-particle" : "", "parse-names" : false, "suffix" : "" } ], "container-title" : "Nutr Clin Pract", "id" : "ITEM-5", "issued" : { "date-parts" : [ [ "2013" ] ] }, "page" : "669-675", "title" : "Systematic Review of Nutrient Intake and Growth in Children with Multiple IgE-Mediated Food Allergies", "type" : "article-journal", "volume" : "28" }, "uris" : [ "http://www.mendeley.com/documents/?uuid=1024bf00-ba16-4579-8280-beaa8975e015" ] } ], "mendeley" : { "formattedCitation" : "&lt;sup&gt;(5,6,8,14,33)&lt;/sup&gt;", "plainTextFormattedCitation" : "(5,6,8,14,33)", "previouslyFormattedCitation" : "&lt;sup&gt;(5,6,8,14,32)&lt;/sup&gt;" }, "properties" : { "noteIndex" : 0 }, "schema" : "https://github.com/citation-style-language/schema/raw/master/csl-citation.json" }</w:instrText>
      </w:r>
      <w:r w:rsidR="00C7523E" w:rsidRPr="000D00EA">
        <w:rPr>
          <w:rFonts w:cs="Times New Roman"/>
          <w:szCs w:val="24"/>
        </w:rPr>
        <w:fldChar w:fldCharType="separate"/>
      </w:r>
      <w:r w:rsidR="00C220EC" w:rsidRPr="000D00EA">
        <w:rPr>
          <w:rFonts w:cs="Times New Roman"/>
          <w:noProof/>
          <w:szCs w:val="24"/>
          <w:vertAlign w:val="superscript"/>
        </w:rPr>
        <w:t>(5,6,8,14,33)</w:t>
      </w:r>
      <w:r w:rsidR="00C7523E" w:rsidRPr="000D00EA">
        <w:rPr>
          <w:rFonts w:cs="Times New Roman"/>
          <w:szCs w:val="24"/>
        </w:rPr>
        <w:fldChar w:fldCharType="end"/>
      </w:r>
      <w:r w:rsidR="00D9672F" w:rsidRPr="000D00EA">
        <w:rPr>
          <w:rFonts w:cs="Times New Roman"/>
          <w:szCs w:val="24"/>
        </w:rPr>
        <w:t xml:space="preserve">. </w:t>
      </w:r>
      <w:r w:rsidR="00E66F1F" w:rsidRPr="000D00EA">
        <w:rPr>
          <w:rFonts w:cs="Times New Roman"/>
          <w:szCs w:val="24"/>
        </w:rPr>
        <w:t>The calculation</w:t>
      </w:r>
      <w:r w:rsidRPr="000D00EA">
        <w:rPr>
          <w:rFonts w:cs="Times New Roman"/>
          <w:szCs w:val="24"/>
        </w:rPr>
        <w:t xml:space="preserve"> yielded a target sample size of 50 in each age group</w:t>
      </w:r>
      <w:r w:rsidR="00EC348B" w:rsidRPr="000D00EA">
        <w:rPr>
          <w:rFonts w:cs="Times New Roman"/>
          <w:szCs w:val="24"/>
        </w:rPr>
        <w:t>, using</w:t>
      </w:r>
      <w:r w:rsidR="00796911" w:rsidRPr="000D00EA">
        <w:rPr>
          <w:rFonts w:cs="Times New Roman"/>
          <w:szCs w:val="24"/>
        </w:rPr>
        <w:t xml:space="preserve"> 0.90 power, 0.05 significance level, 294</w:t>
      </w:r>
      <w:r w:rsidR="0092776D" w:rsidRPr="000D00EA">
        <w:rPr>
          <w:rFonts w:cs="Times New Roman"/>
          <w:szCs w:val="24"/>
        </w:rPr>
        <w:t>mg calcium</w:t>
      </w:r>
      <w:r w:rsidR="00796911" w:rsidRPr="000D00EA">
        <w:rPr>
          <w:rFonts w:cs="Times New Roman"/>
          <w:szCs w:val="24"/>
        </w:rPr>
        <w:t xml:space="preserve"> assumed variability within the population and 264</w:t>
      </w:r>
      <w:r w:rsidR="00621702" w:rsidRPr="000D00EA">
        <w:rPr>
          <w:rFonts w:cs="Times New Roman"/>
          <w:szCs w:val="24"/>
        </w:rPr>
        <w:t>mg</w:t>
      </w:r>
      <w:r w:rsidR="00796911" w:rsidRPr="000D00EA">
        <w:rPr>
          <w:rFonts w:cs="Times New Roman"/>
          <w:szCs w:val="24"/>
        </w:rPr>
        <w:t xml:space="preserve"> as the expected difference between the two groups. </w:t>
      </w:r>
      <w:r w:rsidR="0000669F" w:rsidRPr="000D00EA">
        <w:rPr>
          <w:rFonts w:cs="Times New Roman"/>
          <w:szCs w:val="24"/>
        </w:rPr>
        <w:t>Statistical analysis was carried out with IBM SPSS Statistics for Windows (version 20, Armonk, NY: IBM Corp.). All continuous variables were tested for normality. Since most of them were not normally distributed, differences between the food-allergic and control group</w:t>
      </w:r>
      <w:r w:rsidR="003B06FE" w:rsidRPr="000D00EA">
        <w:rPr>
          <w:rFonts w:cs="Times New Roman"/>
          <w:szCs w:val="24"/>
        </w:rPr>
        <w:t xml:space="preserve"> </w:t>
      </w:r>
      <w:r w:rsidR="0000669F" w:rsidRPr="000D00EA">
        <w:rPr>
          <w:rFonts w:cs="Times New Roman"/>
          <w:szCs w:val="24"/>
        </w:rPr>
        <w:t xml:space="preserve">were compared using Mann-Whitney U </w:t>
      </w:r>
      <w:r w:rsidR="005A1573" w:rsidRPr="000D00EA">
        <w:rPr>
          <w:rFonts w:cs="Times New Roman"/>
          <w:szCs w:val="24"/>
        </w:rPr>
        <w:t xml:space="preserve">or </w:t>
      </w:r>
      <w:r w:rsidR="00621702" w:rsidRPr="000D00EA">
        <w:rPr>
          <w:rFonts w:cs="Times New Roman"/>
          <w:szCs w:val="24"/>
        </w:rPr>
        <w:t>χ</w:t>
      </w:r>
      <w:r w:rsidR="0000669F" w:rsidRPr="000D00EA">
        <w:rPr>
          <w:rFonts w:cs="Times New Roman"/>
          <w:szCs w:val="24"/>
          <w:vertAlign w:val="superscript"/>
        </w:rPr>
        <w:t>2</w:t>
      </w:r>
      <w:r w:rsidR="0000669F" w:rsidRPr="000D00EA">
        <w:rPr>
          <w:rFonts w:cs="Times New Roman"/>
          <w:szCs w:val="24"/>
        </w:rPr>
        <w:t>-test</w:t>
      </w:r>
      <w:r w:rsidR="005A1573" w:rsidRPr="000D00EA">
        <w:rPr>
          <w:rFonts w:cs="Times New Roman"/>
          <w:szCs w:val="24"/>
        </w:rPr>
        <w:t>s</w:t>
      </w:r>
      <w:r w:rsidR="00550478" w:rsidRPr="000D00EA">
        <w:rPr>
          <w:rFonts w:cs="Times New Roman"/>
          <w:szCs w:val="24"/>
        </w:rPr>
        <w:t>.</w:t>
      </w:r>
    </w:p>
    <w:p w14:paraId="61268EB0" w14:textId="4557093F" w:rsidR="00F74A77" w:rsidRPr="000D00EA" w:rsidRDefault="0027635A">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lastRenderedPageBreak/>
        <w:t xml:space="preserve">Data </w:t>
      </w:r>
      <w:r w:rsidR="006E75E4" w:rsidRPr="000D00EA">
        <w:rPr>
          <w:rFonts w:cs="Times New Roman"/>
          <w:szCs w:val="24"/>
        </w:rPr>
        <w:t xml:space="preserve">were </w:t>
      </w:r>
      <w:r w:rsidRPr="000D00EA">
        <w:rPr>
          <w:rFonts w:cs="Times New Roman"/>
          <w:szCs w:val="24"/>
        </w:rPr>
        <w:t xml:space="preserve">analysed against dietary reference values for food energy and nutrients for the </w:t>
      </w:r>
      <w:r w:rsidR="006E75E4" w:rsidRPr="000D00EA">
        <w:rPr>
          <w:rFonts w:cs="Times New Roman"/>
          <w:szCs w:val="24"/>
        </w:rPr>
        <w:t>UK</w:t>
      </w:r>
      <w:r w:rsidR="00367F56" w:rsidRPr="000D00EA">
        <w:rPr>
          <w:rFonts w:cs="Times New Roman"/>
          <w:szCs w:val="24"/>
        </w:rPr>
        <w:t xml:space="preserve"> </w:t>
      </w:r>
      <w:r w:rsidR="00B67045" w:rsidRPr="000D00EA">
        <w:rPr>
          <w:rFonts w:cs="Times New Roman"/>
          <w:szCs w:val="24"/>
        </w:rPr>
        <w:fldChar w:fldCharType="begin" w:fldLock="1"/>
      </w:r>
      <w:r w:rsidR="00C220EC" w:rsidRPr="000D00EA">
        <w:rPr>
          <w:rFonts w:cs="Times New Roman"/>
          <w:szCs w:val="24"/>
        </w:rPr>
        <w:instrText>ADDIN CSL_CITATION { "citationItems" : [ { "id" : "ITEM-1", "itemData" : { "author" : [ { "dropping-particle" : "", "family" : "Committee on Medical Aspects of Food and Nutrition Policy (COMA)", "given" : "", "non-dropping-particle" : "", "parse-names" : false, "suffix" : "" } ], "id" : "ITEM-1", "issued" : { "date-parts" : [ [ "1991" ] ] }, "publisher-place" : "London", "title" : "Dietary reference values for food energy and nutrients for the United Kingdom. Report of thhe panel on Dietary Referencce Values. Report on Health and Social Subjects number 41.", "type" : "report" }, "uris" : [ "http://www.mendeley.com/documents/?uuid=f1ca1ca7-6b4a-46e2-aae5-3a8aeeac0ee2" ] } ], "mendeley" : { "formattedCitation" : "&lt;sup&gt;(34)&lt;/sup&gt;", "plainTextFormattedCitation" : "(34)", "previouslyFormattedCitation" : "&lt;sup&gt;(33)&lt;/sup&gt;" }, "properties" : { "noteIndex" : 0 }, "schema" : "https://github.com/citation-style-language/schema/raw/master/csl-citation.json" }</w:instrText>
      </w:r>
      <w:r w:rsidR="00B67045" w:rsidRPr="000D00EA">
        <w:rPr>
          <w:rFonts w:cs="Times New Roman"/>
          <w:szCs w:val="24"/>
        </w:rPr>
        <w:fldChar w:fldCharType="separate"/>
      </w:r>
      <w:r w:rsidR="00C220EC" w:rsidRPr="000D00EA">
        <w:rPr>
          <w:rFonts w:cs="Times New Roman"/>
          <w:noProof/>
          <w:szCs w:val="24"/>
          <w:vertAlign w:val="superscript"/>
        </w:rPr>
        <w:t>(34)</w:t>
      </w:r>
      <w:r w:rsidR="00B67045" w:rsidRPr="000D00EA">
        <w:rPr>
          <w:rFonts w:cs="Times New Roman"/>
          <w:szCs w:val="24"/>
        </w:rPr>
        <w:fldChar w:fldCharType="end"/>
      </w:r>
      <w:r w:rsidRPr="000D00EA">
        <w:rPr>
          <w:rFonts w:cs="Times New Roman"/>
          <w:szCs w:val="24"/>
        </w:rPr>
        <w:t>. Values were expressed as percentages of estimated average requirements (EAR</w:t>
      </w:r>
      <w:r w:rsidR="006D3AC3" w:rsidRPr="000D00EA">
        <w:rPr>
          <w:rFonts w:cs="Times New Roman"/>
          <w:szCs w:val="24"/>
        </w:rPr>
        <w:t>; 50% of the population's requirement is met</w:t>
      </w:r>
      <w:r w:rsidRPr="000D00EA">
        <w:rPr>
          <w:rFonts w:cs="Times New Roman"/>
          <w:szCs w:val="24"/>
        </w:rPr>
        <w:t xml:space="preserve">) </w:t>
      </w:r>
      <w:r w:rsidR="005E2CF2" w:rsidRPr="000D00EA">
        <w:rPr>
          <w:rFonts w:cs="Times New Roman"/>
          <w:szCs w:val="24"/>
        </w:rPr>
        <w:t xml:space="preserve">for energy intake </w:t>
      </w:r>
      <w:r w:rsidRPr="000D00EA">
        <w:rPr>
          <w:rFonts w:cs="Times New Roman"/>
          <w:szCs w:val="24"/>
        </w:rPr>
        <w:t>or reference nutrient intakes (RNI</w:t>
      </w:r>
      <w:r w:rsidR="006D3AC3" w:rsidRPr="000D00EA">
        <w:rPr>
          <w:rFonts w:cs="Times New Roman"/>
          <w:szCs w:val="24"/>
        </w:rPr>
        <w:t>; 9</w:t>
      </w:r>
      <w:r w:rsidR="00B44989" w:rsidRPr="000D00EA">
        <w:rPr>
          <w:rFonts w:cs="Times New Roman"/>
          <w:szCs w:val="24"/>
        </w:rPr>
        <w:t>7.5</w:t>
      </w:r>
      <w:r w:rsidR="006D3AC3" w:rsidRPr="000D00EA">
        <w:rPr>
          <w:rFonts w:cs="Times New Roman"/>
          <w:szCs w:val="24"/>
        </w:rPr>
        <w:t>% of the population's requirement is met</w:t>
      </w:r>
      <w:r w:rsidRPr="000D00EA">
        <w:rPr>
          <w:rFonts w:cs="Times New Roman"/>
          <w:szCs w:val="24"/>
        </w:rPr>
        <w:t xml:space="preserve">) </w:t>
      </w:r>
      <w:r w:rsidR="00806CF5" w:rsidRPr="000D00EA">
        <w:rPr>
          <w:rFonts w:cs="Times New Roman"/>
          <w:szCs w:val="24"/>
        </w:rPr>
        <w:t xml:space="preserve">for </w:t>
      </w:r>
      <w:r w:rsidR="005E2CF2" w:rsidRPr="000D00EA">
        <w:rPr>
          <w:rFonts w:cs="Times New Roman"/>
          <w:szCs w:val="24"/>
        </w:rPr>
        <w:t xml:space="preserve">nutrients </w:t>
      </w:r>
      <w:r w:rsidRPr="000D00EA">
        <w:rPr>
          <w:rFonts w:cs="Times New Roman"/>
          <w:szCs w:val="24"/>
        </w:rPr>
        <w:t>according to age and gender, and percentage of participants below and above these requirements.</w:t>
      </w:r>
      <w:r w:rsidR="00E82C20" w:rsidRPr="000D00EA">
        <w:rPr>
          <w:rFonts w:cs="Times New Roman"/>
          <w:szCs w:val="24"/>
        </w:rPr>
        <w:t xml:space="preserve"> </w:t>
      </w:r>
      <w:r w:rsidR="0000669F" w:rsidRPr="000D00EA">
        <w:rPr>
          <w:rFonts w:cs="Times New Roman"/>
          <w:szCs w:val="24"/>
        </w:rPr>
        <w:t>The significance level was set at 0.05 for all analyses.</w:t>
      </w:r>
    </w:p>
    <w:p w14:paraId="2188DD2F" w14:textId="77777777" w:rsidR="005F4EA5" w:rsidRPr="000D00EA" w:rsidRDefault="00975F47">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Ethical considerations</w:t>
      </w:r>
    </w:p>
    <w:p w14:paraId="28501365" w14:textId="60E3A05F" w:rsidR="00975F47" w:rsidRPr="000D00EA" w:rsidRDefault="00975F47">
      <w:pPr>
        <w:autoSpaceDE w:val="0"/>
        <w:autoSpaceDN w:val="0"/>
        <w:adjustRightInd w:val="0"/>
        <w:spacing w:before="100" w:beforeAutospacing="1" w:after="100" w:afterAutospacing="1" w:line="360" w:lineRule="auto"/>
        <w:jc w:val="both"/>
        <w:rPr>
          <w:rFonts w:cs="Times New Roman"/>
          <w:b/>
          <w:szCs w:val="24"/>
        </w:rPr>
      </w:pPr>
      <w:r w:rsidRPr="000D00EA">
        <w:t>This study was conducted according to the guidelines laid down in the Declaration of Helsinki and e</w:t>
      </w:r>
      <w:r w:rsidRPr="000D00EA">
        <w:rPr>
          <w:rFonts w:cs="Times New Roman"/>
          <w:szCs w:val="24"/>
        </w:rPr>
        <w:t xml:space="preserve">thical approval was granted by the National Health Service (NHS) Southampton &amp; South West Hampshire Research Ethics Committee </w:t>
      </w:r>
      <w:proofErr w:type="gramStart"/>
      <w:r w:rsidRPr="000D00EA">
        <w:rPr>
          <w:rFonts w:cs="Times New Roman"/>
          <w:szCs w:val="24"/>
        </w:rPr>
        <w:t>A</w:t>
      </w:r>
      <w:proofErr w:type="gramEnd"/>
      <w:r w:rsidRPr="000D00EA">
        <w:rPr>
          <w:rFonts w:cs="Times New Roman"/>
          <w:szCs w:val="24"/>
        </w:rPr>
        <w:t xml:space="preserve"> (11/SC/0039). Written informed consent and assent was obtained from all participants.</w:t>
      </w:r>
    </w:p>
    <w:p w14:paraId="0A2FC0DE" w14:textId="77777777" w:rsidR="00071E85" w:rsidRPr="000D00EA" w:rsidRDefault="00071E85">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Results</w:t>
      </w:r>
    </w:p>
    <w:p w14:paraId="76FA096F" w14:textId="0C77F2D1" w:rsidR="00225D9C" w:rsidRPr="000D00EA" w:rsidRDefault="00225D9C">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 xml:space="preserve">Demographic characteristics and food diary </w:t>
      </w:r>
      <w:r w:rsidR="004C3112" w:rsidRPr="000D00EA">
        <w:rPr>
          <w:rFonts w:cs="Times New Roman"/>
          <w:b/>
          <w:szCs w:val="24"/>
        </w:rPr>
        <w:t>completion</w:t>
      </w:r>
    </w:p>
    <w:p w14:paraId="0105C9C9" w14:textId="77777777" w:rsidR="00065707" w:rsidRPr="000D00EA" w:rsidRDefault="0000669F">
      <w:pPr>
        <w:autoSpaceDE w:val="0"/>
        <w:autoSpaceDN w:val="0"/>
        <w:adjustRightInd w:val="0"/>
        <w:spacing w:before="100" w:beforeAutospacing="1" w:after="100" w:afterAutospacing="1" w:line="360" w:lineRule="auto"/>
        <w:jc w:val="both"/>
        <w:rPr>
          <w:rFonts w:cs="Times New Roman"/>
          <w:noProof/>
          <w:szCs w:val="24"/>
        </w:rPr>
      </w:pPr>
      <w:r w:rsidRPr="000D00EA">
        <w:rPr>
          <w:rFonts w:cs="Times New Roman"/>
          <w:szCs w:val="24"/>
        </w:rPr>
        <w:t>This study included 1</w:t>
      </w:r>
      <w:r w:rsidR="00244CB7" w:rsidRPr="000D00EA">
        <w:rPr>
          <w:rFonts w:cs="Times New Roman"/>
          <w:szCs w:val="24"/>
        </w:rPr>
        <w:t>51</w:t>
      </w:r>
      <w:r w:rsidRPr="000D00EA">
        <w:rPr>
          <w:rFonts w:cs="Times New Roman"/>
          <w:szCs w:val="24"/>
        </w:rPr>
        <w:t xml:space="preserve"> participants, </w:t>
      </w:r>
      <w:r w:rsidR="00244CB7" w:rsidRPr="000D00EA">
        <w:rPr>
          <w:rFonts w:cs="Times New Roman"/>
          <w:szCs w:val="24"/>
        </w:rPr>
        <w:t>7</w:t>
      </w:r>
      <w:r w:rsidRPr="000D00EA">
        <w:rPr>
          <w:rFonts w:cs="Times New Roman"/>
          <w:szCs w:val="24"/>
        </w:rPr>
        <w:t>1 of whom had food allergies.</w:t>
      </w:r>
      <w:r w:rsidR="00E82C20" w:rsidRPr="000D00EA">
        <w:rPr>
          <w:rFonts w:cs="Times New Roman"/>
          <w:szCs w:val="24"/>
        </w:rPr>
        <w:t xml:space="preserve"> Recruitment of participants is shown in Figure 1.</w:t>
      </w:r>
      <w:r w:rsidRPr="000D00EA">
        <w:rPr>
          <w:rFonts w:cs="Times New Roman"/>
          <w:szCs w:val="24"/>
        </w:rPr>
        <w:t xml:space="preserve"> </w:t>
      </w:r>
      <w:r w:rsidR="00317E06" w:rsidRPr="000D00EA">
        <w:rPr>
          <w:rFonts w:cs="Times New Roman"/>
          <w:szCs w:val="24"/>
        </w:rPr>
        <w:t>S</w:t>
      </w:r>
      <w:r w:rsidR="00E82C20" w:rsidRPr="000D00EA">
        <w:rPr>
          <w:rFonts w:cs="Times New Roman"/>
          <w:szCs w:val="24"/>
        </w:rPr>
        <w:t>o</w:t>
      </w:r>
      <w:r w:rsidR="00317E06" w:rsidRPr="000D00EA">
        <w:rPr>
          <w:rFonts w:cs="Times New Roman"/>
          <w:szCs w:val="24"/>
        </w:rPr>
        <w:t xml:space="preserve">ciodemographic characteristics are shown in </w:t>
      </w:r>
      <w:r w:rsidR="00E82C20" w:rsidRPr="000D00EA">
        <w:rPr>
          <w:rFonts w:cs="Times New Roman"/>
          <w:szCs w:val="24"/>
        </w:rPr>
        <w:t xml:space="preserve">Table 1. </w:t>
      </w:r>
    </w:p>
    <w:p w14:paraId="53A88525" w14:textId="561AC942" w:rsidR="00317E06" w:rsidRPr="000D00EA" w:rsidRDefault="00E82C20">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A</w:t>
      </w:r>
      <w:r w:rsidR="005F4EA5" w:rsidRPr="000D00EA">
        <w:rPr>
          <w:rFonts w:cs="Times New Roman"/>
          <w:szCs w:val="24"/>
        </w:rPr>
        <w:t>dults in the food allergy group</w:t>
      </w:r>
      <w:r w:rsidRPr="000D00EA">
        <w:rPr>
          <w:rFonts w:cs="Times New Roman"/>
          <w:szCs w:val="24"/>
        </w:rPr>
        <w:t xml:space="preserve"> were significantly older than </w:t>
      </w:r>
      <w:r w:rsidR="005F4EA5" w:rsidRPr="000D00EA">
        <w:rPr>
          <w:rFonts w:cs="Times New Roman"/>
          <w:szCs w:val="24"/>
        </w:rPr>
        <w:t>the control group</w:t>
      </w:r>
      <w:r w:rsidR="006211C6" w:rsidRPr="000D00EA">
        <w:rPr>
          <w:rFonts w:cs="Times New Roman"/>
          <w:szCs w:val="24"/>
        </w:rPr>
        <w:t xml:space="preserve"> (p &lt; 0.05)</w:t>
      </w:r>
      <w:r w:rsidR="005F4EA5" w:rsidRPr="000D00EA">
        <w:rPr>
          <w:rFonts w:cs="Times New Roman"/>
          <w:szCs w:val="24"/>
        </w:rPr>
        <w:t>. Amongst adolescents, t</w:t>
      </w:r>
      <w:r w:rsidRPr="000D00EA">
        <w:rPr>
          <w:rFonts w:cs="Times New Roman"/>
          <w:szCs w:val="24"/>
        </w:rPr>
        <w:t>here were fewer females in the</w:t>
      </w:r>
      <w:r w:rsidR="005F4EA5" w:rsidRPr="000D00EA">
        <w:rPr>
          <w:rFonts w:cs="Times New Roman"/>
          <w:szCs w:val="24"/>
        </w:rPr>
        <w:t xml:space="preserve"> </w:t>
      </w:r>
      <w:r w:rsidRPr="000D00EA">
        <w:rPr>
          <w:rFonts w:cs="Times New Roman"/>
          <w:szCs w:val="24"/>
        </w:rPr>
        <w:t xml:space="preserve">food allergy </w:t>
      </w:r>
      <w:r w:rsidR="005F4EA5" w:rsidRPr="000D00EA">
        <w:rPr>
          <w:rFonts w:cs="Times New Roman"/>
          <w:szCs w:val="24"/>
        </w:rPr>
        <w:t xml:space="preserve">than the control group </w:t>
      </w:r>
      <w:r w:rsidRPr="000D00EA">
        <w:rPr>
          <w:rFonts w:cs="Times New Roman"/>
          <w:szCs w:val="24"/>
        </w:rPr>
        <w:t xml:space="preserve">(p &lt; 0.05). </w:t>
      </w:r>
      <w:r w:rsidR="004C3112" w:rsidRPr="000D00EA">
        <w:rPr>
          <w:rFonts w:cs="Times New Roman"/>
          <w:szCs w:val="24"/>
        </w:rPr>
        <w:t>There were no differences in ethnicity, education level, occupation</w:t>
      </w:r>
      <w:r w:rsidR="005F4EA5" w:rsidRPr="000D00EA">
        <w:rPr>
          <w:rFonts w:cs="Times New Roman"/>
          <w:szCs w:val="24"/>
        </w:rPr>
        <w:t xml:space="preserve">, </w:t>
      </w:r>
      <w:r w:rsidR="004C3112" w:rsidRPr="000D00EA">
        <w:rPr>
          <w:rFonts w:cs="Times New Roman"/>
          <w:szCs w:val="24"/>
        </w:rPr>
        <w:t xml:space="preserve">living location </w:t>
      </w:r>
      <w:r w:rsidR="005F4EA5" w:rsidRPr="000D00EA">
        <w:rPr>
          <w:rFonts w:cs="Times New Roman"/>
          <w:szCs w:val="24"/>
        </w:rPr>
        <w:t xml:space="preserve">or </w:t>
      </w:r>
      <w:r w:rsidR="006211C6" w:rsidRPr="000D00EA">
        <w:rPr>
          <w:rFonts w:cs="Times New Roman"/>
          <w:szCs w:val="24"/>
        </w:rPr>
        <w:t>Body Mass Index (</w:t>
      </w:r>
      <w:r w:rsidR="005F4EA5" w:rsidRPr="000D00EA">
        <w:rPr>
          <w:rFonts w:cs="Times New Roman"/>
          <w:szCs w:val="24"/>
        </w:rPr>
        <w:t>BMI</w:t>
      </w:r>
      <w:r w:rsidR="006211C6" w:rsidRPr="000D00EA">
        <w:rPr>
          <w:rFonts w:cs="Times New Roman"/>
          <w:szCs w:val="24"/>
        </w:rPr>
        <w:t>)</w:t>
      </w:r>
      <w:r w:rsidR="005F4EA5" w:rsidRPr="000D00EA">
        <w:rPr>
          <w:rFonts w:cs="Times New Roman"/>
          <w:szCs w:val="24"/>
        </w:rPr>
        <w:t xml:space="preserve"> </w:t>
      </w:r>
      <w:r w:rsidR="004C3112" w:rsidRPr="000D00EA">
        <w:rPr>
          <w:rFonts w:cs="Times New Roman"/>
          <w:szCs w:val="24"/>
        </w:rPr>
        <w:t xml:space="preserve">according to food allergy status. In terms of food diary completion, there was no difference in irregular reporting (i.e. weekend/consecutive </w:t>
      </w:r>
      <w:proofErr w:type="gramStart"/>
      <w:r w:rsidR="004C3112" w:rsidRPr="000D00EA">
        <w:rPr>
          <w:rFonts w:cs="Times New Roman"/>
          <w:szCs w:val="24"/>
        </w:rPr>
        <w:t>days</w:t>
      </w:r>
      <w:proofErr w:type="gramEnd"/>
      <w:r w:rsidR="004C3112" w:rsidRPr="000D00EA">
        <w:rPr>
          <w:rFonts w:cs="Times New Roman"/>
          <w:szCs w:val="24"/>
        </w:rPr>
        <w:t xml:space="preserve"> completion) or underreporting according to food allergy status.</w:t>
      </w:r>
    </w:p>
    <w:p w14:paraId="470FAF6F" w14:textId="77777777" w:rsidR="009C5F8B" w:rsidRPr="000D00EA" w:rsidRDefault="009C5F8B">
      <w:pPr>
        <w:rPr>
          <w:rFonts w:eastAsiaTheme="minorHAnsi" w:cs="Times New Roman"/>
          <w:bCs/>
          <w:sz w:val="22"/>
          <w:szCs w:val="18"/>
          <w:lang w:eastAsia="en-US"/>
        </w:rPr>
      </w:pPr>
      <w:r w:rsidRPr="000D00EA">
        <w:rPr>
          <w:rFonts w:cs="Times New Roman"/>
          <w:b/>
          <w:sz w:val="22"/>
        </w:rPr>
        <w:br w:type="page"/>
      </w:r>
    </w:p>
    <w:p w14:paraId="5232C7B9" w14:textId="1CAFC439" w:rsidR="004C3112" w:rsidRPr="000D00EA" w:rsidRDefault="00317E06">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lastRenderedPageBreak/>
        <w:t xml:space="preserve">In the food allergy group, </w:t>
      </w:r>
      <w:r w:rsidR="000824EA" w:rsidRPr="000D00EA">
        <w:rPr>
          <w:rFonts w:cs="Times New Roman"/>
          <w:szCs w:val="24"/>
        </w:rPr>
        <w:t xml:space="preserve">70% of </w:t>
      </w:r>
      <w:r w:rsidR="00C40066" w:rsidRPr="000D00EA">
        <w:rPr>
          <w:rFonts w:cs="Times New Roman"/>
          <w:szCs w:val="24"/>
        </w:rPr>
        <w:t>adolescents</w:t>
      </w:r>
      <w:r w:rsidR="000824EA" w:rsidRPr="000D00EA">
        <w:rPr>
          <w:rFonts w:cs="Times New Roman"/>
          <w:szCs w:val="24"/>
        </w:rPr>
        <w:t xml:space="preserve"> and 87% of adults </w:t>
      </w:r>
      <w:r w:rsidR="008C4B1D" w:rsidRPr="000D00EA">
        <w:rPr>
          <w:rFonts w:cs="Times New Roman"/>
          <w:szCs w:val="24"/>
        </w:rPr>
        <w:t>had</w:t>
      </w:r>
      <w:r w:rsidR="000824EA" w:rsidRPr="000D00EA">
        <w:rPr>
          <w:rFonts w:cs="Times New Roman"/>
          <w:szCs w:val="24"/>
        </w:rPr>
        <w:t xml:space="preserve"> allergie</w:t>
      </w:r>
      <w:r w:rsidRPr="000D00EA">
        <w:rPr>
          <w:rFonts w:cs="Times New Roman"/>
          <w:szCs w:val="24"/>
        </w:rPr>
        <w:t>s to multiple foods</w:t>
      </w:r>
      <w:r w:rsidR="000824EA" w:rsidRPr="000D00EA">
        <w:rPr>
          <w:rFonts w:cs="Times New Roman"/>
          <w:szCs w:val="24"/>
        </w:rPr>
        <w:t xml:space="preserve">. </w:t>
      </w:r>
      <w:r w:rsidR="008C4F6F" w:rsidRPr="000D00EA">
        <w:rPr>
          <w:rFonts w:cs="Times New Roman"/>
          <w:szCs w:val="24"/>
        </w:rPr>
        <w:t xml:space="preserve">Among </w:t>
      </w:r>
      <w:r w:rsidR="00C40066" w:rsidRPr="000D00EA">
        <w:rPr>
          <w:rFonts w:cs="Times New Roman"/>
          <w:szCs w:val="24"/>
        </w:rPr>
        <w:t>adolescents</w:t>
      </w:r>
      <w:r w:rsidR="008C4F6F" w:rsidRPr="000D00EA">
        <w:rPr>
          <w:rFonts w:cs="Times New Roman"/>
          <w:szCs w:val="24"/>
        </w:rPr>
        <w:t xml:space="preserve">, peanut and tree nut </w:t>
      </w:r>
      <w:r w:rsidR="00DC4FA3" w:rsidRPr="000D00EA">
        <w:rPr>
          <w:rFonts w:cs="Times New Roman"/>
          <w:szCs w:val="24"/>
        </w:rPr>
        <w:t>allergy w</w:t>
      </w:r>
      <w:r w:rsidR="000824EA" w:rsidRPr="000D00EA">
        <w:rPr>
          <w:rFonts w:cs="Times New Roman"/>
          <w:szCs w:val="24"/>
        </w:rPr>
        <w:t>ere the</w:t>
      </w:r>
      <w:r w:rsidR="00DC4FA3" w:rsidRPr="000D00EA">
        <w:rPr>
          <w:rFonts w:cs="Times New Roman"/>
          <w:szCs w:val="24"/>
        </w:rPr>
        <w:t xml:space="preserve"> most prevalent</w:t>
      </w:r>
      <w:r w:rsidR="000824EA" w:rsidRPr="000D00EA">
        <w:rPr>
          <w:rFonts w:cs="Times New Roman"/>
          <w:szCs w:val="24"/>
        </w:rPr>
        <w:t>, affecting 80% and 62% of participants respectively</w:t>
      </w:r>
      <w:r w:rsidR="00183FC7" w:rsidRPr="000D00EA">
        <w:rPr>
          <w:rFonts w:cs="Times New Roman"/>
          <w:szCs w:val="24"/>
        </w:rPr>
        <w:t xml:space="preserve">, followed by </w:t>
      </w:r>
      <w:r w:rsidRPr="000D00EA">
        <w:rPr>
          <w:rFonts w:cs="Times New Roman"/>
          <w:szCs w:val="24"/>
        </w:rPr>
        <w:t xml:space="preserve">fruit (22%), </w:t>
      </w:r>
      <w:r w:rsidR="00183FC7" w:rsidRPr="000D00EA">
        <w:rPr>
          <w:rFonts w:cs="Times New Roman"/>
          <w:szCs w:val="24"/>
        </w:rPr>
        <w:t>egg (16%), milk (14%) and sesame (12%)</w:t>
      </w:r>
      <w:r w:rsidR="00225D9C" w:rsidRPr="000D00EA">
        <w:rPr>
          <w:rFonts w:cs="Times New Roman"/>
          <w:szCs w:val="24"/>
        </w:rPr>
        <w:t xml:space="preserve">. </w:t>
      </w:r>
      <w:r w:rsidR="00183FC7" w:rsidRPr="000D00EA">
        <w:rPr>
          <w:rFonts w:cs="Times New Roman"/>
          <w:szCs w:val="24"/>
        </w:rPr>
        <w:t xml:space="preserve">Similarly in adults, most </w:t>
      </w:r>
      <w:proofErr w:type="gramStart"/>
      <w:r w:rsidR="00183FC7" w:rsidRPr="000D00EA">
        <w:rPr>
          <w:rFonts w:cs="Times New Roman"/>
          <w:szCs w:val="24"/>
        </w:rPr>
        <w:t>allergy</w:t>
      </w:r>
      <w:proofErr w:type="gramEnd"/>
      <w:r w:rsidR="00183FC7" w:rsidRPr="000D00EA">
        <w:rPr>
          <w:rFonts w:cs="Times New Roman"/>
          <w:szCs w:val="24"/>
        </w:rPr>
        <w:t xml:space="preserve"> was reported to tree nuts (82.6%) or peanut</w:t>
      </w:r>
      <w:r w:rsidRPr="000D00EA">
        <w:rPr>
          <w:rFonts w:cs="Times New Roman"/>
          <w:szCs w:val="24"/>
        </w:rPr>
        <w:t xml:space="preserve"> (78.3%)</w:t>
      </w:r>
      <w:r w:rsidR="00183FC7" w:rsidRPr="000D00EA">
        <w:rPr>
          <w:rFonts w:cs="Times New Roman"/>
          <w:szCs w:val="24"/>
        </w:rPr>
        <w:t>, followed by</w:t>
      </w:r>
      <w:r w:rsidRPr="000D00EA">
        <w:rPr>
          <w:rFonts w:cs="Times New Roman"/>
          <w:szCs w:val="24"/>
        </w:rPr>
        <w:t xml:space="preserve"> vegetables (21.4%), fruit (17.4%) wheat (17.4%) and shellfish (13%).</w:t>
      </w:r>
      <w:r w:rsidR="00183FC7" w:rsidRPr="000D00EA">
        <w:rPr>
          <w:rFonts w:cs="Times New Roman"/>
          <w:szCs w:val="24"/>
        </w:rPr>
        <w:t xml:space="preserve"> </w:t>
      </w:r>
      <w:r w:rsidR="00D37C0A" w:rsidRPr="000D00EA">
        <w:rPr>
          <w:rFonts w:cs="Times New Roman"/>
          <w:szCs w:val="24"/>
        </w:rPr>
        <w:t>Allergies were also reported to fish, soya, sesame, pulses, seeds, sulphites, honey and rye.</w:t>
      </w:r>
      <w:r w:rsidR="007E1E5C" w:rsidRPr="000D00EA">
        <w:rPr>
          <w:rFonts w:cs="Times New Roman"/>
          <w:szCs w:val="24"/>
        </w:rPr>
        <w:t xml:space="preserve"> Specific data on the prevalence of pollen food syndrome was not collected.</w:t>
      </w:r>
    </w:p>
    <w:p w14:paraId="67A0E03F" w14:textId="42F59CE3" w:rsidR="004C3112" w:rsidRPr="000D00EA" w:rsidRDefault="00F74A77">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Dietary supplement use</w:t>
      </w:r>
    </w:p>
    <w:p w14:paraId="3FCA0712" w14:textId="64792EDF" w:rsidR="009C5F8B" w:rsidRPr="000D00EA" w:rsidRDefault="004C3112">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Overall 19 (22.8%) </w:t>
      </w:r>
      <w:r w:rsidR="00C40066" w:rsidRPr="000D00EA">
        <w:rPr>
          <w:rFonts w:cs="Times New Roman"/>
          <w:szCs w:val="24"/>
        </w:rPr>
        <w:t>adolescents</w:t>
      </w:r>
      <w:r w:rsidRPr="000D00EA">
        <w:rPr>
          <w:rFonts w:cs="Times New Roman"/>
          <w:szCs w:val="24"/>
        </w:rPr>
        <w:t xml:space="preserve"> and 19 (27.1%) adults took </w:t>
      </w:r>
      <w:r w:rsidR="00F74A77" w:rsidRPr="000D00EA">
        <w:rPr>
          <w:rFonts w:cs="Times New Roman"/>
          <w:szCs w:val="24"/>
        </w:rPr>
        <w:t xml:space="preserve">dietary </w:t>
      </w:r>
      <w:r w:rsidRPr="000D00EA">
        <w:rPr>
          <w:rFonts w:cs="Times New Roman"/>
          <w:szCs w:val="24"/>
        </w:rPr>
        <w:t>supplements. Of the 38 participants who took supplements, the majo</w:t>
      </w:r>
      <w:r w:rsidR="007E1E5C" w:rsidRPr="000D00EA">
        <w:rPr>
          <w:rFonts w:cs="Times New Roman"/>
          <w:szCs w:val="24"/>
        </w:rPr>
        <w:t xml:space="preserve">rity (n = 22) took </w:t>
      </w:r>
      <w:r w:rsidR="000D4174" w:rsidRPr="000D00EA">
        <w:rPr>
          <w:rFonts w:cs="Times New Roman"/>
          <w:szCs w:val="24"/>
        </w:rPr>
        <w:t>multivitamin/</w:t>
      </w:r>
      <w:r w:rsidR="007E1E5C" w:rsidRPr="000D00EA">
        <w:rPr>
          <w:rFonts w:cs="Times New Roman"/>
          <w:szCs w:val="24"/>
        </w:rPr>
        <w:t>mineral preparations</w:t>
      </w:r>
      <w:r w:rsidRPr="000D00EA">
        <w:rPr>
          <w:rFonts w:cs="Times New Roman"/>
          <w:szCs w:val="24"/>
        </w:rPr>
        <w:t>. There was no significant difference in the type or number of nutritional supplements consumed according to food allergy status</w:t>
      </w:r>
      <w:r w:rsidR="00367F56" w:rsidRPr="000D00EA">
        <w:rPr>
          <w:rFonts w:cs="Times New Roman"/>
          <w:szCs w:val="24"/>
        </w:rPr>
        <w:t xml:space="preserve"> (Table 1)</w:t>
      </w:r>
      <w:r w:rsidRPr="000D00EA">
        <w:rPr>
          <w:rFonts w:cs="Times New Roman"/>
          <w:szCs w:val="24"/>
        </w:rPr>
        <w:t>.</w:t>
      </w:r>
    </w:p>
    <w:p w14:paraId="757C3636" w14:textId="65E45EA4" w:rsidR="00DD0886" w:rsidRPr="000D00EA" w:rsidRDefault="00015393">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 xml:space="preserve">Nutrient intakes of </w:t>
      </w:r>
      <w:r w:rsidR="00C40066" w:rsidRPr="000D00EA">
        <w:rPr>
          <w:rFonts w:cs="Times New Roman"/>
          <w:b/>
          <w:szCs w:val="24"/>
        </w:rPr>
        <w:t>adolescents</w:t>
      </w:r>
      <w:r w:rsidR="00CE6437" w:rsidRPr="000D00EA">
        <w:rPr>
          <w:rFonts w:cs="Times New Roman"/>
          <w:b/>
          <w:szCs w:val="24"/>
        </w:rPr>
        <w:t xml:space="preserve"> </w:t>
      </w:r>
    </w:p>
    <w:p w14:paraId="020357D2" w14:textId="4F769054" w:rsidR="00224489" w:rsidRPr="000D00EA" w:rsidRDefault="005F4EA5">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Table 2 shows nutrient intakes of adolescents</w:t>
      </w:r>
      <w:r w:rsidR="00417A16" w:rsidRPr="000D00EA">
        <w:rPr>
          <w:rFonts w:cs="Times New Roman"/>
          <w:szCs w:val="24"/>
        </w:rPr>
        <w:t>, including dietary supplements,</w:t>
      </w:r>
      <w:r w:rsidRPr="000D00EA">
        <w:rPr>
          <w:rFonts w:cs="Times New Roman"/>
          <w:szCs w:val="24"/>
        </w:rPr>
        <w:t xml:space="preserve"> stratified by food allergy status. </w:t>
      </w:r>
      <w:r w:rsidR="005E6F78" w:rsidRPr="000D00EA">
        <w:rPr>
          <w:rFonts w:cs="Times New Roman"/>
          <w:szCs w:val="24"/>
        </w:rPr>
        <w:t>Food allergic adolescents</w:t>
      </w:r>
      <w:r w:rsidR="00550478" w:rsidRPr="000D00EA">
        <w:rPr>
          <w:rFonts w:cs="Times New Roman"/>
          <w:szCs w:val="24"/>
        </w:rPr>
        <w:t xml:space="preserve"> </w:t>
      </w:r>
      <w:r w:rsidRPr="000D00EA">
        <w:rPr>
          <w:rFonts w:cs="Times New Roman"/>
          <w:szCs w:val="24"/>
        </w:rPr>
        <w:t xml:space="preserve">consumed a </w:t>
      </w:r>
      <w:r w:rsidR="00550478" w:rsidRPr="000D00EA">
        <w:rPr>
          <w:rFonts w:cs="Times New Roman"/>
          <w:szCs w:val="24"/>
        </w:rPr>
        <w:t xml:space="preserve">significantly lower </w:t>
      </w:r>
      <w:r w:rsidR="00317E06" w:rsidRPr="000D00EA">
        <w:rPr>
          <w:rFonts w:cs="Times New Roman"/>
          <w:szCs w:val="24"/>
        </w:rPr>
        <w:t xml:space="preserve">% energy from </w:t>
      </w:r>
      <w:r w:rsidR="00550478" w:rsidRPr="000D00EA">
        <w:rPr>
          <w:rFonts w:cs="Times New Roman"/>
          <w:szCs w:val="24"/>
        </w:rPr>
        <w:t xml:space="preserve">fat, but higher </w:t>
      </w:r>
      <w:r w:rsidR="00317E06" w:rsidRPr="000D00EA">
        <w:rPr>
          <w:rFonts w:cs="Times New Roman"/>
          <w:szCs w:val="24"/>
        </w:rPr>
        <w:t xml:space="preserve">% energy from </w:t>
      </w:r>
      <w:r w:rsidR="00550478" w:rsidRPr="000D00EA">
        <w:rPr>
          <w:rFonts w:cs="Times New Roman"/>
          <w:szCs w:val="24"/>
        </w:rPr>
        <w:t>carbohydrate</w:t>
      </w:r>
      <w:r w:rsidR="00D37C0A" w:rsidRPr="000D00EA">
        <w:rPr>
          <w:rFonts w:cs="Times New Roman"/>
          <w:szCs w:val="24"/>
        </w:rPr>
        <w:t xml:space="preserve"> than control participants</w:t>
      </w:r>
      <w:r w:rsidR="000B4AB0" w:rsidRPr="000D00EA">
        <w:rPr>
          <w:rFonts w:cs="Times New Roman"/>
          <w:szCs w:val="24"/>
        </w:rPr>
        <w:t xml:space="preserve"> (p &lt; 0.05)</w:t>
      </w:r>
      <w:r w:rsidR="00F74A77" w:rsidRPr="000D00EA">
        <w:rPr>
          <w:rFonts w:cs="Times New Roman"/>
          <w:szCs w:val="24"/>
        </w:rPr>
        <w:t>, although both group</w:t>
      </w:r>
      <w:r w:rsidR="000B4AB0" w:rsidRPr="000D00EA">
        <w:rPr>
          <w:rFonts w:cs="Times New Roman"/>
          <w:szCs w:val="24"/>
        </w:rPr>
        <w:t>s</w:t>
      </w:r>
      <w:r w:rsidR="00F74A77" w:rsidRPr="000D00EA">
        <w:rPr>
          <w:rFonts w:cs="Times New Roman"/>
          <w:szCs w:val="24"/>
        </w:rPr>
        <w:t xml:space="preserve"> were</w:t>
      </w:r>
      <w:r w:rsidR="000B4AB0" w:rsidRPr="000D00EA">
        <w:rPr>
          <w:rFonts w:cs="Times New Roman"/>
          <w:szCs w:val="24"/>
        </w:rPr>
        <w:t xml:space="preserve"> </w:t>
      </w:r>
      <w:r w:rsidR="00B67045" w:rsidRPr="000D00EA">
        <w:rPr>
          <w:rFonts w:cs="Times New Roman"/>
          <w:szCs w:val="24"/>
        </w:rPr>
        <w:t>very close</w:t>
      </w:r>
      <w:r w:rsidR="000B4AB0" w:rsidRPr="000D00EA">
        <w:rPr>
          <w:rFonts w:cs="Times New Roman"/>
          <w:szCs w:val="24"/>
        </w:rPr>
        <w:t xml:space="preserve"> to national recommendations </w:t>
      </w:r>
      <w:r w:rsidR="00B67045" w:rsidRPr="000D00EA">
        <w:rPr>
          <w:rFonts w:cs="Times New Roman"/>
          <w:szCs w:val="24"/>
        </w:rPr>
        <w:fldChar w:fldCharType="begin" w:fldLock="1"/>
      </w:r>
      <w:r w:rsidR="00C220EC" w:rsidRPr="000D00EA">
        <w:rPr>
          <w:rFonts w:cs="Times New Roman"/>
          <w:szCs w:val="24"/>
        </w:rPr>
        <w:instrText>ADDIN CSL_CITATION { "citationItems" : [ { "id" : "ITEM-1", "itemData" : { "author" : [ { "dropping-particle" : "", "family" : "Committee on Medical Aspects of Food and Nutrition Policy (COMA)", "given" : "", "non-dropping-particle" : "", "parse-names" : false, "suffix" : "" } ], "id" : "ITEM-1", "issued" : { "date-parts" : [ [ "1991" ] ] }, "publisher-place" : "London", "title" : "Dietary reference values for food energy and nutrients for the United Kingdom. Report of thhe panel on Dietary Referencce Values. Report on Health and Social Subjects number 41.", "type" : "report" }, "uris" : [ "http://www.mendeley.com/documents/?uuid=f1ca1ca7-6b4a-46e2-aae5-3a8aeeac0ee2" ] } ], "mendeley" : { "formattedCitation" : "&lt;sup&gt;(34)&lt;/sup&gt;", "plainTextFormattedCitation" : "(34)", "previouslyFormattedCitation" : "&lt;sup&gt;(33)&lt;/sup&gt;" }, "properties" : { "noteIndex" : 0 }, "schema" : "https://github.com/citation-style-language/schema/raw/master/csl-citation.json" }</w:instrText>
      </w:r>
      <w:r w:rsidR="00B67045" w:rsidRPr="000D00EA">
        <w:rPr>
          <w:rFonts w:cs="Times New Roman"/>
          <w:szCs w:val="24"/>
        </w:rPr>
        <w:fldChar w:fldCharType="separate"/>
      </w:r>
      <w:r w:rsidR="00C220EC" w:rsidRPr="000D00EA">
        <w:rPr>
          <w:rFonts w:cs="Times New Roman"/>
          <w:noProof/>
          <w:szCs w:val="24"/>
          <w:vertAlign w:val="superscript"/>
        </w:rPr>
        <w:t>(34)</w:t>
      </w:r>
      <w:r w:rsidR="00B67045" w:rsidRPr="000D00EA">
        <w:rPr>
          <w:rFonts w:cs="Times New Roman"/>
          <w:szCs w:val="24"/>
        </w:rPr>
        <w:fldChar w:fldCharType="end"/>
      </w:r>
      <w:r w:rsidR="00B67045" w:rsidRPr="000D00EA">
        <w:rPr>
          <w:rFonts w:cs="Times New Roman"/>
          <w:szCs w:val="24"/>
        </w:rPr>
        <w:t xml:space="preserve"> </w:t>
      </w:r>
      <w:r w:rsidR="000B4AB0" w:rsidRPr="000D00EA">
        <w:rPr>
          <w:rFonts w:cs="Times New Roman"/>
          <w:szCs w:val="24"/>
        </w:rPr>
        <w:t>of</w:t>
      </w:r>
      <w:r w:rsidR="00B67045" w:rsidRPr="000D00EA">
        <w:rPr>
          <w:rFonts w:cs="Times New Roman"/>
          <w:szCs w:val="24"/>
        </w:rPr>
        <w:t xml:space="preserve"> </w:t>
      </w:r>
      <w:r w:rsidR="000B4AB0" w:rsidRPr="000D00EA">
        <w:rPr>
          <w:rFonts w:cs="Times New Roman"/>
          <w:szCs w:val="24"/>
        </w:rPr>
        <w:t xml:space="preserve"> 50% and 35% for carbohydrate and fat respectively</w:t>
      </w:r>
      <w:r w:rsidR="00D37C0A" w:rsidRPr="000D00EA">
        <w:rPr>
          <w:rFonts w:cs="Times New Roman"/>
          <w:szCs w:val="24"/>
        </w:rPr>
        <w:t>. Intakes of</w:t>
      </w:r>
      <w:r w:rsidR="00550478" w:rsidRPr="000D00EA">
        <w:rPr>
          <w:rFonts w:cs="Times New Roman"/>
          <w:szCs w:val="24"/>
        </w:rPr>
        <w:t xml:space="preserve"> niacin and selenium </w:t>
      </w:r>
      <w:r w:rsidR="00D37C0A" w:rsidRPr="000D00EA">
        <w:rPr>
          <w:rFonts w:cs="Times New Roman"/>
          <w:szCs w:val="24"/>
        </w:rPr>
        <w:t>were higher</w:t>
      </w:r>
      <w:r w:rsidRPr="000D00EA">
        <w:rPr>
          <w:rFonts w:cs="Times New Roman"/>
          <w:szCs w:val="24"/>
        </w:rPr>
        <w:t xml:space="preserve"> in food allergic</w:t>
      </w:r>
      <w:r w:rsidR="00D37C0A" w:rsidRPr="000D00EA">
        <w:rPr>
          <w:rFonts w:cs="Times New Roman"/>
          <w:szCs w:val="24"/>
        </w:rPr>
        <w:t xml:space="preserve"> than control participants</w:t>
      </w:r>
      <w:r w:rsidR="00550478" w:rsidRPr="000D00EA">
        <w:rPr>
          <w:rFonts w:cs="Times New Roman"/>
          <w:szCs w:val="24"/>
        </w:rPr>
        <w:t xml:space="preserve">. </w:t>
      </w:r>
      <w:r w:rsidR="00B67045" w:rsidRPr="000D00EA">
        <w:rPr>
          <w:rFonts w:cs="Times New Roman"/>
          <w:szCs w:val="24"/>
        </w:rPr>
        <w:t xml:space="preserve">There was no difference in intake of any other nutrient according to food allergy status. </w:t>
      </w:r>
      <w:r w:rsidR="00224489" w:rsidRPr="000D00EA">
        <w:rPr>
          <w:rFonts w:cs="Times New Roman"/>
          <w:szCs w:val="24"/>
        </w:rPr>
        <w:t xml:space="preserve">Vitamin D intake was higher in food allergic than control participants (6.2 </w:t>
      </w:r>
      <w:r w:rsidR="00224489" w:rsidRPr="000D00EA">
        <w:rPr>
          <w:rFonts w:cs="Times New Roman"/>
          <w:sz w:val="22"/>
          <w:lang w:val="fi-FI"/>
        </w:rPr>
        <w:t>µg</w:t>
      </w:r>
      <w:r w:rsidR="00224489" w:rsidRPr="000D00EA">
        <w:rPr>
          <w:rFonts w:cs="Times New Roman"/>
          <w:szCs w:val="24"/>
        </w:rPr>
        <w:t xml:space="preserve"> vs 3.3</w:t>
      </w:r>
      <w:r w:rsidR="00224489" w:rsidRPr="000D00EA">
        <w:rPr>
          <w:rFonts w:cs="Times New Roman"/>
          <w:sz w:val="22"/>
          <w:lang w:val="fi-FI"/>
        </w:rPr>
        <w:t xml:space="preserve"> µg)</w:t>
      </w:r>
      <w:r w:rsidR="00224489" w:rsidRPr="000D00EA">
        <w:rPr>
          <w:rFonts w:cs="Times New Roman"/>
          <w:szCs w:val="24"/>
        </w:rPr>
        <w:t>, however the</w:t>
      </w:r>
      <w:r w:rsidR="00F822F4" w:rsidRPr="000D00EA">
        <w:rPr>
          <w:rFonts w:cs="Times New Roman"/>
          <w:szCs w:val="24"/>
        </w:rPr>
        <w:t xml:space="preserve"> difference was not significant. </w:t>
      </w:r>
      <w:r w:rsidR="00224489" w:rsidRPr="000D00EA">
        <w:rPr>
          <w:rFonts w:cs="Times New Roman"/>
          <w:szCs w:val="24"/>
        </w:rPr>
        <w:t xml:space="preserve">Across </w:t>
      </w:r>
      <w:r w:rsidR="00BD2A43" w:rsidRPr="000D00EA">
        <w:rPr>
          <w:rFonts w:cs="Times New Roman"/>
          <w:szCs w:val="24"/>
        </w:rPr>
        <w:t>both food allergic and control adolescents</w:t>
      </w:r>
      <w:r w:rsidR="00224489" w:rsidRPr="000D00EA">
        <w:rPr>
          <w:rFonts w:cs="Times New Roman"/>
          <w:szCs w:val="24"/>
        </w:rPr>
        <w:t>, intakes of thiamine, vitamin B12 and vitamin C were in excess of 250% the RNI.</w:t>
      </w:r>
    </w:p>
    <w:p w14:paraId="36DF6401" w14:textId="1288748C" w:rsidR="00BD2A43" w:rsidRPr="000D00EA" w:rsidRDefault="00BD2A43" w:rsidP="00F822F4">
      <w:pPr>
        <w:spacing w:line="360" w:lineRule="auto"/>
        <w:jc w:val="both"/>
        <w:rPr>
          <w:rFonts w:cs="Times New Roman"/>
          <w:szCs w:val="24"/>
        </w:rPr>
      </w:pPr>
      <w:r w:rsidRPr="000D00EA">
        <w:rPr>
          <w:rFonts w:cs="Times New Roman"/>
          <w:szCs w:val="24"/>
        </w:rPr>
        <w:t xml:space="preserve">Figure 2 shows the percentage of adolescents consuming less than the RNI for micronutrients (including dietary supplements). All participants met the RNI for phosphorous.  Intakes of potassium, magnesium and selenium were particularly low, with 81%, 74% and 80% of adolescents consuming less than the RNI respectively. Likewise, a substantial proportion of all adolescents had suboptimal intakes of calcium, iron, zinc, and iodine; with 48%, 60%, 51% and 55% not meeting the RNI respectively. There was no difference in the proportions of participants not meeting the RNI according to food allergy status for any nutrient. </w:t>
      </w:r>
      <w:r w:rsidR="00F822F4" w:rsidRPr="000D00EA">
        <w:rPr>
          <w:rFonts w:cs="Times New Roman"/>
          <w:szCs w:val="24"/>
        </w:rPr>
        <w:t>Vitamin D is not shown in the Figure as at the time there was no RNI for vitamin D for this age group. Using the current vitamin D recommendation of 10</w:t>
      </w:r>
      <w:r w:rsidR="00F822F4" w:rsidRPr="000D00EA">
        <w:rPr>
          <w:rFonts w:cs="Times New Roman"/>
          <w:szCs w:val="24"/>
          <w:lang w:val="fi-FI"/>
        </w:rPr>
        <w:t xml:space="preserve"> µg per day for those &gt; 1 year old </w:t>
      </w:r>
      <w:r w:rsidR="00F822F4" w:rsidRPr="000D00EA">
        <w:rPr>
          <w:rFonts w:cs="Times New Roman"/>
          <w:szCs w:val="24"/>
          <w:lang w:val="fi-FI"/>
        </w:rPr>
        <w:fldChar w:fldCharType="begin" w:fldLock="1"/>
      </w:r>
      <w:r w:rsidR="00F822F4" w:rsidRPr="000D00EA">
        <w:rPr>
          <w:rFonts w:cs="Times New Roman"/>
          <w:szCs w:val="24"/>
          <w:lang w:val="fi-FI"/>
        </w:rPr>
        <w:instrText>ADDIN CSL_CITATION { "citationItems" : [ { "id" : "ITEM-1", "itemData" : { "author" : [ { "dropping-particle" : "", "family" : "Scientific Advisory Committee on Nutrition", "given" : "", "non-dropping-particle" : "", "parse-names" : false, "suffix" : "" } ], "id" : "ITEM-1", "issued" : { "date-parts" : [ [ "2016" ] ] }, "title" : "Vitamin D and health", "type" : "report" }, "uris" : [ "http://www.mendeley.com/documents/?uuid=5d6cba1c-f3ae-4af8-8b4d-1770314203e8" ] } ], "mendeley" : { "formattedCitation" : "&lt;sup&gt;(35)&lt;/sup&gt;", "plainTextFormattedCitation" : "(35)", "previouslyFormattedCitation" : "&lt;sup&gt;(34)&lt;/sup&gt;" }, "properties" : { "noteIndex" : 0 }, "schema" : "https://github.com/citation-style-language/schema/raw/master/csl-citation.json" }</w:instrText>
      </w:r>
      <w:r w:rsidR="00F822F4" w:rsidRPr="000D00EA">
        <w:rPr>
          <w:rFonts w:cs="Times New Roman"/>
          <w:szCs w:val="24"/>
          <w:lang w:val="fi-FI"/>
        </w:rPr>
        <w:fldChar w:fldCharType="separate"/>
      </w:r>
      <w:r w:rsidR="00F822F4" w:rsidRPr="000D00EA">
        <w:rPr>
          <w:rFonts w:cs="Times New Roman"/>
          <w:noProof/>
          <w:szCs w:val="24"/>
          <w:vertAlign w:val="superscript"/>
          <w:lang w:val="fi-FI"/>
        </w:rPr>
        <w:t>(35)</w:t>
      </w:r>
      <w:r w:rsidR="00F822F4" w:rsidRPr="000D00EA">
        <w:rPr>
          <w:rFonts w:cs="Times New Roman"/>
          <w:szCs w:val="24"/>
          <w:lang w:val="fi-FI"/>
        </w:rPr>
        <w:fldChar w:fldCharType="end"/>
      </w:r>
      <w:r w:rsidR="00F822F4" w:rsidRPr="000D00EA">
        <w:rPr>
          <w:rFonts w:cs="Times New Roman"/>
          <w:szCs w:val="24"/>
          <w:lang w:val="fi-FI"/>
        </w:rPr>
        <w:t xml:space="preserve">, only </w:t>
      </w:r>
      <w:r w:rsidR="00F822F4" w:rsidRPr="000D00EA">
        <w:rPr>
          <w:rFonts w:cs="Times New Roman"/>
          <w:szCs w:val="24"/>
          <w:lang w:val="fi-FI"/>
        </w:rPr>
        <w:lastRenderedPageBreak/>
        <w:t>4 (8.3%) adolescents with food allergy met the RNI, with 1 (3%) adolescent control participants meeting the RNI; all of whom took dietary supplements.</w:t>
      </w:r>
    </w:p>
    <w:p w14:paraId="6FF220C0" w14:textId="7F44502E" w:rsidR="00BD2A43" w:rsidRPr="000D00EA" w:rsidRDefault="00BD2A43">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Nutrient intake of adolescents excluding dietary supplements </w:t>
      </w:r>
    </w:p>
    <w:p w14:paraId="2DC12362" w14:textId="774173EF" w:rsidR="00BF4F70" w:rsidRPr="000D00EA" w:rsidRDefault="00224489">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Supplementary Table 1 shows </w:t>
      </w:r>
      <w:r w:rsidR="00F822F4" w:rsidRPr="000D00EA">
        <w:rPr>
          <w:rFonts w:cs="Times New Roman"/>
          <w:szCs w:val="24"/>
        </w:rPr>
        <w:t xml:space="preserve">the </w:t>
      </w:r>
      <w:r w:rsidRPr="000D00EA">
        <w:rPr>
          <w:rFonts w:cs="Times New Roman"/>
          <w:szCs w:val="24"/>
        </w:rPr>
        <w:t>nutrient intake</w:t>
      </w:r>
      <w:r w:rsidR="00F822F4" w:rsidRPr="000D00EA">
        <w:rPr>
          <w:rFonts w:cs="Times New Roman"/>
          <w:szCs w:val="24"/>
        </w:rPr>
        <w:t xml:space="preserve"> of adolescents</w:t>
      </w:r>
      <w:r w:rsidRPr="000D00EA">
        <w:rPr>
          <w:rFonts w:cs="Times New Roman"/>
          <w:szCs w:val="24"/>
        </w:rPr>
        <w:t>, excluding dietary supplements.</w:t>
      </w:r>
      <w:r w:rsidR="00BD2A43" w:rsidRPr="000D00EA">
        <w:rPr>
          <w:rFonts w:cs="Times New Roman"/>
          <w:szCs w:val="24"/>
        </w:rPr>
        <w:t xml:space="preserve"> </w:t>
      </w:r>
      <w:r w:rsidR="00F822F4" w:rsidRPr="000D00EA">
        <w:rPr>
          <w:rFonts w:cs="Times New Roman"/>
          <w:szCs w:val="24"/>
        </w:rPr>
        <w:t xml:space="preserve">Overall removing dietary supplements from the analysis did not alter any of the </w:t>
      </w:r>
      <w:r w:rsidR="00070743" w:rsidRPr="000D00EA">
        <w:rPr>
          <w:rFonts w:cs="Times New Roman"/>
          <w:szCs w:val="24"/>
        </w:rPr>
        <w:t>main</w:t>
      </w:r>
      <w:r w:rsidR="00F822F4" w:rsidRPr="000D00EA">
        <w:rPr>
          <w:rFonts w:cs="Times New Roman"/>
          <w:szCs w:val="24"/>
        </w:rPr>
        <w:t xml:space="preserve"> findings. </w:t>
      </w:r>
      <w:r w:rsidR="00BD2A43" w:rsidRPr="000D00EA">
        <w:rPr>
          <w:rFonts w:cs="Times New Roman"/>
          <w:szCs w:val="24"/>
        </w:rPr>
        <w:t>Intakes of niacin and selenium were higher in food allergic than control participants. There was no difference in intake of any other nutrient according to food allergy status</w:t>
      </w:r>
      <w:r w:rsidR="00B67045" w:rsidRPr="000D00EA">
        <w:rPr>
          <w:rFonts w:cs="Times New Roman"/>
          <w:szCs w:val="24"/>
        </w:rPr>
        <w:t xml:space="preserve">. </w:t>
      </w:r>
      <w:r w:rsidR="00BD2A43" w:rsidRPr="000D00EA">
        <w:rPr>
          <w:rFonts w:cs="Times New Roman"/>
          <w:szCs w:val="24"/>
        </w:rPr>
        <w:t>I</w:t>
      </w:r>
      <w:r w:rsidR="00CB1BBD" w:rsidRPr="000D00EA">
        <w:rPr>
          <w:rFonts w:cs="Times New Roman"/>
          <w:szCs w:val="24"/>
        </w:rPr>
        <w:t>ntakes of thiamin</w:t>
      </w:r>
      <w:r w:rsidR="00B67045" w:rsidRPr="000D00EA">
        <w:rPr>
          <w:rFonts w:cs="Times New Roman"/>
          <w:szCs w:val="24"/>
        </w:rPr>
        <w:t>e, vitamin B12 and vitamin C were</w:t>
      </w:r>
      <w:r w:rsidR="00CB1BBD" w:rsidRPr="000D00EA">
        <w:rPr>
          <w:rFonts w:cs="Times New Roman"/>
          <w:szCs w:val="24"/>
        </w:rPr>
        <w:t xml:space="preserve"> in excess of 250%</w:t>
      </w:r>
      <w:r w:rsidR="00B67045" w:rsidRPr="000D00EA">
        <w:rPr>
          <w:rFonts w:cs="Times New Roman"/>
          <w:szCs w:val="24"/>
        </w:rPr>
        <w:t xml:space="preserve"> the RNI</w:t>
      </w:r>
      <w:r w:rsidR="00F822F4" w:rsidRPr="000D00EA">
        <w:rPr>
          <w:rFonts w:cs="Times New Roman"/>
          <w:szCs w:val="24"/>
        </w:rPr>
        <w:t>. There was no difference in the proportions of participants not meeting the RNI according to food allergy status for any nutrient</w:t>
      </w:r>
      <w:r w:rsidR="00A5175F" w:rsidRPr="000D00EA">
        <w:rPr>
          <w:rFonts w:cs="Times New Roman"/>
          <w:szCs w:val="24"/>
        </w:rPr>
        <w:t xml:space="preserve">. </w:t>
      </w:r>
    </w:p>
    <w:p w14:paraId="5ED8D690" w14:textId="0CD2D62A" w:rsidR="00015393" w:rsidRPr="000D00EA" w:rsidRDefault="00610372">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N</w:t>
      </w:r>
      <w:r w:rsidR="005E6F78" w:rsidRPr="000D00EA">
        <w:rPr>
          <w:rFonts w:cs="Times New Roman"/>
          <w:b/>
          <w:szCs w:val="24"/>
        </w:rPr>
        <w:t xml:space="preserve">utrient intake </w:t>
      </w:r>
      <w:r w:rsidR="00015393" w:rsidRPr="000D00EA">
        <w:rPr>
          <w:rFonts w:cs="Times New Roman"/>
          <w:b/>
          <w:szCs w:val="24"/>
        </w:rPr>
        <w:t>of adults</w:t>
      </w:r>
      <w:r w:rsidR="00DD0886" w:rsidRPr="000D00EA">
        <w:rPr>
          <w:rFonts w:cs="Times New Roman"/>
          <w:b/>
          <w:szCs w:val="24"/>
        </w:rPr>
        <w:t xml:space="preserve"> </w:t>
      </w:r>
    </w:p>
    <w:p w14:paraId="154CB827" w14:textId="4D1EFCD8" w:rsidR="004C3112" w:rsidRPr="000D00EA" w:rsidRDefault="00F74A77" w:rsidP="00C3340F">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Overall, loo</w:t>
      </w:r>
      <w:r w:rsidR="000A6E3F" w:rsidRPr="000D00EA">
        <w:rPr>
          <w:rFonts w:cs="Times New Roman"/>
          <w:szCs w:val="24"/>
        </w:rPr>
        <w:t>king across</w:t>
      </w:r>
      <w:r w:rsidRPr="000D00EA">
        <w:rPr>
          <w:rFonts w:cs="Times New Roman"/>
          <w:szCs w:val="24"/>
        </w:rPr>
        <w:t xml:space="preserve"> all adult participants, potassium and selenium intakes did not meet the recommended levels. </w:t>
      </w:r>
      <w:r w:rsidR="00296CAA" w:rsidRPr="000D00EA">
        <w:rPr>
          <w:rFonts w:cs="Times New Roman"/>
          <w:szCs w:val="24"/>
        </w:rPr>
        <w:t xml:space="preserve">Adults </w:t>
      </w:r>
      <w:r w:rsidR="001F7FAD" w:rsidRPr="000D00EA">
        <w:rPr>
          <w:rFonts w:cs="Times New Roman"/>
          <w:szCs w:val="24"/>
        </w:rPr>
        <w:t xml:space="preserve">with food allergies </w:t>
      </w:r>
      <w:r w:rsidR="00836C90" w:rsidRPr="000D00EA">
        <w:rPr>
          <w:rFonts w:cs="Times New Roman"/>
          <w:szCs w:val="24"/>
        </w:rPr>
        <w:t xml:space="preserve">had </w:t>
      </w:r>
      <w:r w:rsidR="00CE6437" w:rsidRPr="000D00EA">
        <w:rPr>
          <w:rFonts w:cs="Times New Roman"/>
          <w:szCs w:val="24"/>
        </w:rPr>
        <w:t xml:space="preserve">significantly </w:t>
      </w:r>
      <w:r w:rsidR="00836C90" w:rsidRPr="000D00EA">
        <w:rPr>
          <w:rFonts w:cs="Times New Roman"/>
          <w:szCs w:val="24"/>
        </w:rPr>
        <w:t>higher intakes of folate and zinc than those without</w:t>
      </w:r>
      <w:r w:rsidR="00E41F62" w:rsidRPr="000D00EA">
        <w:rPr>
          <w:rFonts w:cs="Times New Roman"/>
          <w:szCs w:val="24"/>
        </w:rPr>
        <w:t xml:space="preserve">, as shown in </w:t>
      </w:r>
      <w:r w:rsidR="00836C90" w:rsidRPr="000D00EA">
        <w:rPr>
          <w:rFonts w:cs="Times New Roman"/>
          <w:szCs w:val="24"/>
        </w:rPr>
        <w:t xml:space="preserve">Table </w:t>
      </w:r>
      <w:r w:rsidR="00E41F62" w:rsidRPr="000D00EA">
        <w:rPr>
          <w:rFonts w:cs="Times New Roman"/>
          <w:szCs w:val="24"/>
        </w:rPr>
        <w:t>2</w:t>
      </w:r>
      <w:r w:rsidR="00836C90" w:rsidRPr="000D00EA">
        <w:rPr>
          <w:rFonts w:cs="Times New Roman"/>
          <w:szCs w:val="24"/>
        </w:rPr>
        <w:t xml:space="preserve">. </w:t>
      </w:r>
    </w:p>
    <w:p w14:paraId="03FD0521" w14:textId="3DCD79F0" w:rsidR="00F822F4" w:rsidRPr="000D00EA" w:rsidRDefault="00550478">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Examining the</w:t>
      </w:r>
      <w:r w:rsidR="00894939" w:rsidRPr="000D00EA">
        <w:rPr>
          <w:rFonts w:cs="Times New Roman"/>
          <w:szCs w:val="24"/>
        </w:rPr>
        <w:t xml:space="preserve"> percentages of adults below </w:t>
      </w:r>
      <w:r w:rsidR="002054DF" w:rsidRPr="000D00EA">
        <w:rPr>
          <w:rFonts w:cs="Times New Roman"/>
          <w:szCs w:val="24"/>
        </w:rPr>
        <w:t>the RNI</w:t>
      </w:r>
      <w:r w:rsidR="00BD2A43" w:rsidRPr="000D00EA">
        <w:rPr>
          <w:rFonts w:cs="Times New Roman"/>
          <w:szCs w:val="24"/>
        </w:rPr>
        <w:t xml:space="preserve"> (Figure 3</w:t>
      </w:r>
      <w:r w:rsidR="00D70445" w:rsidRPr="000D00EA">
        <w:rPr>
          <w:rFonts w:cs="Times New Roman"/>
          <w:szCs w:val="24"/>
        </w:rPr>
        <w:t>)</w:t>
      </w:r>
      <w:r w:rsidR="00894939" w:rsidRPr="000D00EA">
        <w:rPr>
          <w:rFonts w:cs="Times New Roman"/>
          <w:szCs w:val="24"/>
        </w:rPr>
        <w:t xml:space="preserve">, </w:t>
      </w:r>
      <w:r w:rsidRPr="000D00EA">
        <w:rPr>
          <w:rFonts w:cs="Times New Roman"/>
          <w:szCs w:val="24"/>
        </w:rPr>
        <w:t xml:space="preserve">there </w:t>
      </w:r>
      <w:proofErr w:type="gramStart"/>
      <w:r w:rsidRPr="000D00EA">
        <w:rPr>
          <w:rFonts w:cs="Times New Roman"/>
          <w:szCs w:val="24"/>
        </w:rPr>
        <w:t>was</w:t>
      </w:r>
      <w:proofErr w:type="gramEnd"/>
      <w:r w:rsidRPr="000D00EA">
        <w:rPr>
          <w:rFonts w:cs="Times New Roman"/>
          <w:szCs w:val="24"/>
        </w:rPr>
        <w:t xml:space="preserve"> a substantial number of adults who failed to </w:t>
      </w:r>
      <w:r w:rsidR="00F74A77" w:rsidRPr="000D00EA">
        <w:rPr>
          <w:rFonts w:cs="Times New Roman"/>
          <w:szCs w:val="24"/>
        </w:rPr>
        <w:t>consume the RNI</w:t>
      </w:r>
      <w:r w:rsidR="00613959" w:rsidRPr="000D00EA">
        <w:rPr>
          <w:rFonts w:cs="Times New Roman"/>
          <w:szCs w:val="24"/>
        </w:rPr>
        <w:t xml:space="preserve"> for potassium </w:t>
      </w:r>
      <w:r w:rsidR="00D70445" w:rsidRPr="000D00EA">
        <w:rPr>
          <w:rFonts w:cs="Times New Roman"/>
          <w:szCs w:val="24"/>
        </w:rPr>
        <w:t xml:space="preserve">(70%) </w:t>
      </w:r>
      <w:r w:rsidR="00613959" w:rsidRPr="000D00EA">
        <w:rPr>
          <w:rFonts w:cs="Times New Roman"/>
          <w:szCs w:val="24"/>
        </w:rPr>
        <w:t xml:space="preserve">and </w:t>
      </w:r>
      <w:r w:rsidR="00894939" w:rsidRPr="000D00EA">
        <w:rPr>
          <w:rFonts w:cs="Times New Roman"/>
          <w:szCs w:val="24"/>
        </w:rPr>
        <w:t>selenium</w:t>
      </w:r>
      <w:r w:rsidR="00D64FCF" w:rsidRPr="000D00EA">
        <w:rPr>
          <w:rFonts w:cs="Times New Roman"/>
          <w:szCs w:val="24"/>
        </w:rPr>
        <w:t xml:space="preserve"> </w:t>
      </w:r>
      <w:r w:rsidR="00D70445" w:rsidRPr="000D00EA">
        <w:rPr>
          <w:rFonts w:cs="Times New Roman"/>
          <w:szCs w:val="24"/>
        </w:rPr>
        <w:t>(84.2%)</w:t>
      </w:r>
      <w:r w:rsidR="00894939" w:rsidRPr="000D00EA">
        <w:rPr>
          <w:rFonts w:cs="Times New Roman"/>
          <w:szCs w:val="24"/>
        </w:rPr>
        <w:t>.</w:t>
      </w:r>
      <w:r w:rsidR="00D70445" w:rsidRPr="000D00EA">
        <w:rPr>
          <w:rFonts w:cs="Times New Roman"/>
          <w:szCs w:val="24"/>
        </w:rPr>
        <w:t xml:space="preserve"> Other nutrients that were </w:t>
      </w:r>
      <w:r w:rsidR="00F74A77" w:rsidRPr="000D00EA">
        <w:rPr>
          <w:rFonts w:cs="Times New Roman"/>
          <w:szCs w:val="24"/>
        </w:rPr>
        <w:t xml:space="preserve">consumed in </w:t>
      </w:r>
      <w:r w:rsidR="00EE562C" w:rsidRPr="000D00EA">
        <w:rPr>
          <w:rFonts w:cs="Times New Roman"/>
          <w:szCs w:val="24"/>
        </w:rPr>
        <w:t>s</w:t>
      </w:r>
      <w:r w:rsidR="002054DF" w:rsidRPr="000D00EA">
        <w:rPr>
          <w:rFonts w:cs="Times New Roman"/>
          <w:szCs w:val="24"/>
        </w:rPr>
        <w:t>uboptimal amounts</w:t>
      </w:r>
      <w:r w:rsidR="00D70445" w:rsidRPr="000D00EA">
        <w:rPr>
          <w:rFonts w:cs="Times New Roman"/>
          <w:szCs w:val="24"/>
        </w:rPr>
        <w:t xml:space="preserve"> </w:t>
      </w:r>
      <w:r w:rsidR="00F74A77" w:rsidRPr="000D00EA">
        <w:rPr>
          <w:rFonts w:cs="Times New Roman"/>
          <w:szCs w:val="24"/>
        </w:rPr>
        <w:t xml:space="preserve">by </w:t>
      </w:r>
      <w:r w:rsidR="00D70445" w:rsidRPr="000D00EA">
        <w:rPr>
          <w:rFonts w:cs="Times New Roman"/>
          <w:szCs w:val="24"/>
        </w:rPr>
        <w:t>around half of all adults included magnesium</w:t>
      </w:r>
      <w:r w:rsidR="00A859DD" w:rsidRPr="000D00EA">
        <w:rPr>
          <w:rFonts w:cs="Times New Roman"/>
          <w:szCs w:val="24"/>
        </w:rPr>
        <w:t xml:space="preserve"> (40%</w:t>
      </w:r>
      <w:r w:rsidR="004314F3" w:rsidRPr="000D00EA">
        <w:rPr>
          <w:rFonts w:cs="Times New Roman"/>
          <w:szCs w:val="24"/>
        </w:rPr>
        <w:t xml:space="preserve"> below RNI</w:t>
      </w:r>
      <w:r w:rsidR="00A859DD" w:rsidRPr="000D00EA">
        <w:rPr>
          <w:rFonts w:cs="Times New Roman"/>
          <w:szCs w:val="24"/>
        </w:rPr>
        <w:t>)</w:t>
      </w:r>
      <w:r w:rsidR="00D70445" w:rsidRPr="000D00EA">
        <w:rPr>
          <w:rFonts w:cs="Times New Roman"/>
          <w:szCs w:val="24"/>
        </w:rPr>
        <w:t>, iron</w:t>
      </w:r>
      <w:r w:rsidR="00A859DD" w:rsidRPr="000D00EA">
        <w:rPr>
          <w:rFonts w:cs="Times New Roman"/>
          <w:szCs w:val="24"/>
        </w:rPr>
        <w:t xml:space="preserve"> (55.7%</w:t>
      </w:r>
      <w:r w:rsidR="004314F3" w:rsidRPr="000D00EA">
        <w:rPr>
          <w:rFonts w:cs="Times New Roman"/>
          <w:szCs w:val="24"/>
        </w:rPr>
        <w:t xml:space="preserve"> below RNI</w:t>
      </w:r>
      <w:r w:rsidR="00A859DD" w:rsidRPr="000D00EA">
        <w:rPr>
          <w:rFonts w:cs="Times New Roman"/>
          <w:szCs w:val="24"/>
        </w:rPr>
        <w:t xml:space="preserve">) </w:t>
      </w:r>
      <w:r w:rsidR="00D70445" w:rsidRPr="000D00EA">
        <w:rPr>
          <w:rFonts w:cs="Times New Roman"/>
          <w:szCs w:val="24"/>
        </w:rPr>
        <w:t>and iodine</w:t>
      </w:r>
      <w:r w:rsidR="00A859DD" w:rsidRPr="000D00EA">
        <w:rPr>
          <w:rFonts w:cs="Times New Roman"/>
          <w:szCs w:val="24"/>
        </w:rPr>
        <w:t xml:space="preserve"> (48.6%</w:t>
      </w:r>
      <w:r w:rsidR="004314F3" w:rsidRPr="000D00EA">
        <w:rPr>
          <w:rFonts w:cs="Times New Roman"/>
          <w:szCs w:val="24"/>
        </w:rPr>
        <w:t xml:space="preserve"> below RNI</w:t>
      </w:r>
      <w:r w:rsidR="00A859DD" w:rsidRPr="000D00EA">
        <w:rPr>
          <w:rFonts w:cs="Times New Roman"/>
          <w:szCs w:val="24"/>
        </w:rPr>
        <w:t>)</w:t>
      </w:r>
      <w:r w:rsidR="00D70445" w:rsidRPr="000D00EA">
        <w:rPr>
          <w:rFonts w:cs="Times New Roman"/>
          <w:szCs w:val="24"/>
        </w:rPr>
        <w:t xml:space="preserve">. </w:t>
      </w:r>
      <w:r w:rsidR="00894939" w:rsidRPr="000D00EA">
        <w:rPr>
          <w:rFonts w:cs="Times New Roman"/>
          <w:szCs w:val="24"/>
        </w:rPr>
        <w:t>There were significantly</w:t>
      </w:r>
      <w:r w:rsidR="00A859DD" w:rsidRPr="000D00EA">
        <w:rPr>
          <w:rFonts w:cs="Times New Roman"/>
          <w:szCs w:val="24"/>
        </w:rPr>
        <w:t xml:space="preserve"> more</w:t>
      </w:r>
      <w:r w:rsidR="00894939" w:rsidRPr="000D00EA">
        <w:rPr>
          <w:rFonts w:cs="Times New Roman"/>
          <w:szCs w:val="24"/>
        </w:rPr>
        <w:t xml:space="preserve"> </w:t>
      </w:r>
      <w:r w:rsidR="00D70445" w:rsidRPr="000D00EA">
        <w:rPr>
          <w:rFonts w:cs="Times New Roman"/>
          <w:szCs w:val="24"/>
        </w:rPr>
        <w:t>control participants</w:t>
      </w:r>
      <w:r w:rsidR="00894939" w:rsidRPr="000D00EA">
        <w:rPr>
          <w:rFonts w:cs="Times New Roman"/>
          <w:szCs w:val="24"/>
        </w:rPr>
        <w:t xml:space="preserve"> (91.5%) than </w:t>
      </w:r>
      <w:r w:rsidR="00D70445" w:rsidRPr="000D00EA">
        <w:rPr>
          <w:rFonts w:cs="Times New Roman"/>
          <w:szCs w:val="24"/>
        </w:rPr>
        <w:t>food allergic participants</w:t>
      </w:r>
      <w:r w:rsidR="00894939" w:rsidRPr="000D00EA">
        <w:rPr>
          <w:rFonts w:cs="Times New Roman"/>
          <w:szCs w:val="24"/>
        </w:rPr>
        <w:t xml:space="preserve"> (69.6</w:t>
      </w:r>
      <w:r w:rsidR="007F0B98" w:rsidRPr="000D00EA">
        <w:rPr>
          <w:rFonts w:cs="Times New Roman"/>
          <w:szCs w:val="24"/>
        </w:rPr>
        <w:t>%</w:t>
      </w:r>
      <w:r w:rsidR="00894939" w:rsidRPr="000D00EA">
        <w:rPr>
          <w:rFonts w:cs="Times New Roman"/>
          <w:szCs w:val="24"/>
        </w:rPr>
        <w:t xml:space="preserve">) </w:t>
      </w:r>
      <w:r w:rsidR="00D70445" w:rsidRPr="000D00EA">
        <w:rPr>
          <w:rFonts w:cs="Times New Roman"/>
          <w:szCs w:val="24"/>
        </w:rPr>
        <w:t xml:space="preserve">with intakes of selenium below the </w:t>
      </w:r>
      <w:r w:rsidR="00894939" w:rsidRPr="000D00EA">
        <w:rPr>
          <w:rFonts w:cs="Times New Roman"/>
          <w:szCs w:val="24"/>
        </w:rPr>
        <w:t>RNI</w:t>
      </w:r>
      <w:r w:rsidR="00D70445" w:rsidRPr="000D00EA">
        <w:rPr>
          <w:rFonts w:cs="Times New Roman"/>
          <w:szCs w:val="24"/>
        </w:rPr>
        <w:t xml:space="preserve"> (p &lt; 0.05)</w:t>
      </w:r>
      <w:r w:rsidR="00894939" w:rsidRPr="000D00EA">
        <w:rPr>
          <w:rFonts w:cs="Times New Roman"/>
          <w:szCs w:val="24"/>
        </w:rPr>
        <w:t xml:space="preserve">. </w:t>
      </w:r>
      <w:r w:rsidR="00A5175F" w:rsidRPr="000D00EA">
        <w:rPr>
          <w:rFonts w:cs="Times New Roman"/>
          <w:szCs w:val="24"/>
        </w:rPr>
        <w:t>Using the current vitamin D recommendation of 10</w:t>
      </w:r>
      <w:r w:rsidR="00A5175F" w:rsidRPr="000D00EA">
        <w:rPr>
          <w:rFonts w:cs="Times New Roman"/>
          <w:szCs w:val="24"/>
          <w:lang w:val="fi-FI"/>
        </w:rPr>
        <w:t xml:space="preserve"> µg per day for those &gt; 1 year old</w:t>
      </w:r>
      <w:r w:rsidR="00A5175F" w:rsidRPr="000D00EA">
        <w:rPr>
          <w:rFonts w:cs="Times New Roman"/>
          <w:szCs w:val="24"/>
          <w:lang w:val="fi-FI"/>
        </w:rPr>
        <w:fldChar w:fldCharType="begin" w:fldLock="1"/>
      </w:r>
      <w:r w:rsidR="00A5175F" w:rsidRPr="000D00EA">
        <w:rPr>
          <w:rFonts w:cs="Times New Roman"/>
          <w:szCs w:val="24"/>
          <w:lang w:val="fi-FI"/>
        </w:rPr>
        <w:instrText>ADDIN CSL_CITATION { "citationItems" : [ { "id" : "ITEM-1", "itemData" : { "author" : [ { "dropping-particle" : "", "family" : "Scientific Advisory Committee on Nutrition", "given" : "", "non-dropping-particle" : "", "parse-names" : false, "suffix" : "" } ], "id" : "ITEM-1", "issued" : { "date-parts" : [ [ "2016" ] ] }, "title" : "Vitamin D and health", "type" : "report" }, "uris" : [ "http://www.mendeley.com/documents/?uuid=5d6cba1c-f3ae-4af8-8b4d-1770314203e8" ] } ], "mendeley" : { "formattedCitation" : "&lt;sup&gt;(35)&lt;/sup&gt;", "plainTextFormattedCitation" : "(35)", "previouslyFormattedCitation" : "&lt;sup&gt;(34)&lt;/sup&gt;" }, "properties" : { "noteIndex" : 0 }, "schema" : "https://github.com/citation-style-language/schema/raw/master/csl-citation.json" }</w:instrText>
      </w:r>
      <w:r w:rsidR="00A5175F" w:rsidRPr="000D00EA">
        <w:rPr>
          <w:rFonts w:cs="Times New Roman"/>
          <w:szCs w:val="24"/>
          <w:lang w:val="fi-FI"/>
        </w:rPr>
        <w:fldChar w:fldCharType="separate"/>
      </w:r>
      <w:r w:rsidR="00A5175F" w:rsidRPr="000D00EA">
        <w:rPr>
          <w:rFonts w:cs="Times New Roman"/>
          <w:noProof/>
          <w:szCs w:val="24"/>
          <w:vertAlign w:val="superscript"/>
          <w:lang w:val="fi-FI"/>
        </w:rPr>
        <w:t>(35)</w:t>
      </w:r>
      <w:r w:rsidR="00A5175F" w:rsidRPr="000D00EA">
        <w:rPr>
          <w:rFonts w:cs="Times New Roman"/>
          <w:szCs w:val="24"/>
          <w:lang w:val="fi-FI"/>
        </w:rPr>
        <w:fldChar w:fldCharType="end"/>
      </w:r>
      <w:r w:rsidR="00A5175F" w:rsidRPr="000D00EA">
        <w:rPr>
          <w:rFonts w:cs="Times New Roman"/>
          <w:szCs w:val="24"/>
          <w:lang w:val="fi-FI"/>
        </w:rPr>
        <w:t>, only 1 (4.5%) adult with food allergy and only 2 (4.2%) control participants met the RNI, all of whom took dietary supplements.</w:t>
      </w:r>
    </w:p>
    <w:p w14:paraId="15AE80AF" w14:textId="77777777" w:rsidR="00F822F4" w:rsidRPr="000D00EA" w:rsidRDefault="00F822F4">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Nutrient intake of adults excluding dietary supplements</w:t>
      </w:r>
    </w:p>
    <w:p w14:paraId="1AF91A1F" w14:textId="7DAC842E" w:rsidR="00AF1696" w:rsidRPr="000D00EA" w:rsidRDefault="00F822F4">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 xml:space="preserve">Supplementary Table 1 shows the nutrient intake of adults, excluding dietary supplements. There was no difference in nutrient intake between those with and without food allergy </w:t>
      </w:r>
      <w:r w:rsidR="00070743" w:rsidRPr="000D00EA">
        <w:rPr>
          <w:rFonts w:cs="Times New Roman"/>
          <w:szCs w:val="24"/>
        </w:rPr>
        <w:t>(</w:t>
      </w:r>
      <w:r w:rsidRPr="000D00EA">
        <w:rPr>
          <w:rFonts w:cs="Times New Roman"/>
          <w:szCs w:val="24"/>
        </w:rPr>
        <w:t xml:space="preserve">i.e. the higher intake of folate and zinc observed in adults with food allergy could be attributed to </w:t>
      </w:r>
      <w:r w:rsidR="00A5175F" w:rsidRPr="000D00EA">
        <w:rPr>
          <w:rFonts w:cs="Times New Roman"/>
          <w:szCs w:val="24"/>
        </w:rPr>
        <w:t xml:space="preserve">intake from </w:t>
      </w:r>
      <w:r w:rsidRPr="000D00EA">
        <w:rPr>
          <w:rFonts w:cs="Times New Roman"/>
          <w:szCs w:val="24"/>
        </w:rPr>
        <w:t>dietary supplements</w:t>
      </w:r>
      <w:r w:rsidR="00070743" w:rsidRPr="000D00EA">
        <w:rPr>
          <w:rFonts w:cs="Times New Roman"/>
          <w:szCs w:val="24"/>
        </w:rPr>
        <w:t>)</w:t>
      </w:r>
      <w:r w:rsidRPr="000D00EA">
        <w:rPr>
          <w:rFonts w:cs="Times New Roman"/>
          <w:szCs w:val="24"/>
        </w:rPr>
        <w:t>.</w:t>
      </w:r>
      <w:r w:rsidR="00D70445" w:rsidRPr="000D00EA">
        <w:rPr>
          <w:rFonts w:cs="Times New Roman"/>
          <w:szCs w:val="24"/>
        </w:rPr>
        <w:t xml:space="preserve"> </w:t>
      </w:r>
    </w:p>
    <w:p w14:paraId="378714F8" w14:textId="77777777" w:rsidR="00A5175F" w:rsidRPr="000D00EA" w:rsidRDefault="00A5175F">
      <w:pPr>
        <w:autoSpaceDE w:val="0"/>
        <w:autoSpaceDN w:val="0"/>
        <w:adjustRightInd w:val="0"/>
        <w:spacing w:before="100" w:beforeAutospacing="1" w:after="100" w:afterAutospacing="1" w:line="360" w:lineRule="auto"/>
        <w:jc w:val="both"/>
        <w:rPr>
          <w:rFonts w:cs="Times New Roman"/>
          <w:b/>
          <w:szCs w:val="24"/>
        </w:rPr>
      </w:pPr>
    </w:p>
    <w:p w14:paraId="2882FD58" w14:textId="277AB8F2" w:rsidR="003C09D8" w:rsidRPr="000D00EA" w:rsidRDefault="0085797A">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lastRenderedPageBreak/>
        <w:t>D</w:t>
      </w:r>
      <w:r w:rsidR="00071E85" w:rsidRPr="000D00EA">
        <w:rPr>
          <w:rFonts w:cs="Times New Roman"/>
          <w:b/>
          <w:szCs w:val="24"/>
        </w:rPr>
        <w:t>iscussion</w:t>
      </w:r>
    </w:p>
    <w:p w14:paraId="63569BE8" w14:textId="4349499B" w:rsidR="009945E3" w:rsidRPr="000D00EA" w:rsidRDefault="0089683B" w:rsidP="009945E3">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T</w:t>
      </w:r>
      <w:r w:rsidR="002054DF" w:rsidRPr="000D00EA">
        <w:rPr>
          <w:rFonts w:cs="Times New Roman"/>
          <w:szCs w:val="24"/>
        </w:rPr>
        <w:t>o our knowledge this</w:t>
      </w:r>
      <w:r w:rsidRPr="000D00EA">
        <w:rPr>
          <w:rFonts w:cs="Times New Roman"/>
          <w:szCs w:val="24"/>
        </w:rPr>
        <w:t xml:space="preserve"> </w:t>
      </w:r>
      <w:r w:rsidR="002954B5" w:rsidRPr="000D00EA">
        <w:rPr>
          <w:rFonts w:cs="Times New Roman"/>
          <w:szCs w:val="24"/>
        </w:rPr>
        <w:t xml:space="preserve">is the first </w:t>
      </w:r>
      <w:r w:rsidR="00F469B5" w:rsidRPr="000D00EA">
        <w:rPr>
          <w:rFonts w:cs="Times New Roman"/>
          <w:szCs w:val="24"/>
        </w:rPr>
        <w:t xml:space="preserve">study to </w:t>
      </w:r>
      <w:r w:rsidRPr="000D00EA">
        <w:rPr>
          <w:rFonts w:cs="Times New Roman"/>
          <w:szCs w:val="24"/>
        </w:rPr>
        <w:t>investigate the full spectrum of nutrient intake</w:t>
      </w:r>
      <w:r w:rsidR="005E6F78" w:rsidRPr="000D00EA">
        <w:rPr>
          <w:rFonts w:cs="Times New Roman"/>
          <w:szCs w:val="24"/>
        </w:rPr>
        <w:t>s</w:t>
      </w:r>
      <w:r w:rsidRPr="000D00EA">
        <w:rPr>
          <w:rFonts w:cs="Times New Roman"/>
          <w:szCs w:val="24"/>
        </w:rPr>
        <w:t xml:space="preserve"> in food-allergic </w:t>
      </w:r>
      <w:r w:rsidR="00C40066" w:rsidRPr="000D00EA">
        <w:rPr>
          <w:rFonts w:cs="Times New Roman"/>
          <w:szCs w:val="24"/>
        </w:rPr>
        <w:t>adolescents</w:t>
      </w:r>
      <w:r w:rsidRPr="000D00EA">
        <w:rPr>
          <w:rFonts w:cs="Times New Roman"/>
          <w:szCs w:val="24"/>
        </w:rPr>
        <w:t xml:space="preserve"> and adults</w:t>
      </w:r>
      <w:r w:rsidR="005E6F78" w:rsidRPr="000D00EA">
        <w:rPr>
          <w:rFonts w:cs="Times New Roman"/>
          <w:szCs w:val="24"/>
        </w:rPr>
        <w:t>,</w:t>
      </w:r>
      <w:r w:rsidR="00C16C03" w:rsidRPr="000D00EA">
        <w:rPr>
          <w:rFonts w:cs="Times New Roman"/>
          <w:szCs w:val="24"/>
        </w:rPr>
        <w:t xml:space="preserve"> compared to a control group of health</w:t>
      </w:r>
      <w:r w:rsidR="005E6F78" w:rsidRPr="000D00EA">
        <w:rPr>
          <w:rFonts w:cs="Times New Roman"/>
          <w:szCs w:val="24"/>
        </w:rPr>
        <w:t>y</w:t>
      </w:r>
      <w:r w:rsidR="00C16C03" w:rsidRPr="000D00EA">
        <w:rPr>
          <w:rFonts w:cs="Times New Roman"/>
          <w:szCs w:val="24"/>
        </w:rPr>
        <w:t xml:space="preserve"> parti</w:t>
      </w:r>
      <w:r w:rsidR="00F50B5D" w:rsidRPr="000D00EA">
        <w:rPr>
          <w:rFonts w:cs="Times New Roman"/>
          <w:szCs w:val="24"/>
        </w:rPr>
        <w:t>ci</w:t>
      </w:r>
      <w:r w:rsidR="00C16C03" w:rsidRPr="000D00EA">
        <w:rPr>
          <w:rFonts w:cs="Times New Roman"/>
          <w:szCs w:val="24"/>
        </w:rPr>
        <w:t>pants</w:t>
      </w:r>
      <w:r w:rsidRPr="000D00EA">
        <w:rPr>
          <w:rFonts w:cs="Times New Roman"/>
          <w:szCs w:val="24"/>
        </w:rPr>
        <w:t xml:space="preserve">. </w:t>
      </w:r>
      <w:r w:rsidR="00503020" w:rsidRPr="000D00EA">
        <w:rPr>
          <w:rFonts w:cs="Times New Roman"/>
          <w:szCs w:val="24"/>
        </w:rPr>
        <w:t>Ov</w:t>
      </w:r>
      <w:r w:rsidR="000A6E3F" w:rsidRPr="000D00EA">
        <w:rPr>
          <w:rFonts w:cs="Times New Roman"/>
          <w:szCs w:val="24"/>
        </w:rPr>
        <w:t xml:space="preserve">erall we have demonstrated </w:t>
      </w:r>
      <w:r w:rsidR="000A6E3F" w:rsidRPr="000D00EA">
        <w:rPr>
          <w:rFonts w:cs="Times New Roman"/>
          <w:i/>
          <w:szCs w:val="24"/>
        </w:rPr>
        <w:t>higher</w:t>
      </w:r>
      <w:r w:rsidR="000A6E3F" w:rsidRPr="000D00EA">
        <w:rPr>
          <w:rFonts w:cs="Times New Roman"/>
          <w:szCs w:val="24"/>
        </w:rPr>
        <w:t xml:space="preserve"> intakes of certain micronutrients in food allergic participants (niacin and selenium in adolescents</w:t>
      </w:r>
      <w:r w:rsidR="005E6F78" w:rsidRPr="000D00EA">
        <w:rPr>
          <w:rFonts w:cs="Times New Roman"/>
          <w:szCs w:val="24"/>
        </w:rPr>
        <w:t>;</w:t>
      </w:r>
      <w:r w:rsidR="000A6E3F" w:rsidRPr="000D00EA">
        <w:rPr>
          <w:rFonts w:cs="Times New Roman"/>
          <w:szCs w:val="24"/>
        </w:rPr>
        <w:t xml:space="preserve"> folate and zinc in adults). The difference</w:t>
      </w:r>
      <w:r w:rsidR="00F50B5D" w:rsidRPr="000D00EA">
        <w:rPr>
          <w:rFonts w:cs="Times New Roman"/>
          <w:szCs w:val="24"/>
        </w:rPr>
        <w:t>s in adults can be attributed to</w:t>
      </w:r>
      <w:r w:rsidR="000A6E3F" w:rsidRPr="000D00EA">
        <w:rPr>
          <w:rFonts w:cs="Times New Roman"/>
          <w:szCs w:val="24"/>
        </w:rPr>
        <w:t xml:space="preserve"> dietary supplements. </w:t>
      </w:r>
      <w:r w:rsidR="00C16C03" w:rsidRPr="000D00EA">
        <w:rPr>
          <w:rFonts w:cs="Times New Roman"/>
          <w:szCs w:val="24"/>
        </w:rPr>
        <w:t>Although the dietary intake of food allergic participants was no worse than controls</w:t>
      </w:r>
      <w:r w:rsidR="00503020" w:rsidRPr="000D00EA">
        <w:rPr>
          <w:rFonts w:cs="Times New Roman"/>
          <w:szCs w:val="24"/>
        </w:rPr>
        <w:t>, suboptimal intakes of several micronutrients</w:t>
      </w:r>
      <w:r w:rsidR="00070743" w:rsidRPr="000D00EA">
        <w:rPr>
          <w:rFonts w:cs="Times New Roman"/>
          <w:szCs w:val="24"/>
        </w:rPr>
        <w:t>, especially minerals,</w:t>
      </w:r>
      <w:r w:rsidR="00503020" w:rsidRPr="000D00EA">
        <w:rPr>
          <w:rFonts w:cs="Times New Roman"/>
          <w:szCs w:val="24"/>
        </w:rPr>
        <w:t xml:space="preserve"> were observed </w:t>
      </w:r>
      <w:r w:rsidR="006420ED" w:rsidRPr="000D00EA">
        <w:rPr>
          <w:rFonts w:cs="Times New Roman"/>
          <w:szCs w:val="24"/>
        </w:rPr>
        <w:t xml:space="preserve">across </w:t>
      </w:r>
      <w:r w:rsidR="006420ED" w:rsidRPr="000D00EA">
        <w:rPr>
          <w:rFonts w:cs="Times New Roman"/>
          <w:i/>
          <w:szCs w:val="24"/>
        </w:rPr>
        <w:t>all</w:t>
      </w:r>
      <w:r w:rsidR="00503020" w:rsidRPr="000D00EA">
        <w:rPr>
          <w:rFonts w:cs="Times New Roman"/>
          <w:szCs w:val="24"/>
        </w:rPr>
        <w:t xml:space="preserve"> participants. </w:t>
      </w:r>
      <w:r w:rsidR="00A8473D" w:rsidRPr="000D00EA">
        <w:rPr>
          <w:rFonts w:cs="Times New Roman"/>
          <w:szCs w:val="24"/>
        </w:rPr>
        <w:t xml:space="preserve">Of note, we did not observe </w:t>
      </w:r>
      <w:r w:rsidR="009945E3" w:rsidRPr="000D00EA">
        <w:rPr>
          <w:rFonts w:cs="Times New Roman"/>
          <w:szCs w:val="24"/>
        </w:rPr>
        <w:t xml:space="preserve">any </w:t>
      </w:r>
      <w:r w:rsidR="00A8473D" w:rsidRPr="000D00EA">
        <w:rPr>
          <w:rFonts w:cs="Times New Roman"/>
          <w:szCs w:val="24"/>
        </w:rPr>
        <w:t>difference in calc</w:t>
      </w:r>
      <w:r w:rsidR="009945E3" w:rsidRPr="000D00EA">
        <w:rPr>
          <w:rFonts w:cs="Times New Roman"/>
          <w:szCs w:val="24"/>
        </w:rPr>
        <w:t xml:space="preserve">ium intake </w:t>
      </w:r>
      <w:r w:rsidR="00A8473D" w:rsidRPr="000D00EA">
        <w:rPr>
          <w:rFonts w:cs="Times New Roman"/>
          <w:szCs w:val="24"/>
        </w:rPr>
        <w:t>between groups, which has been highlighted as a key nutrient in paediatric studies</w:t>
      </w:r>
      <w:r w:rsidR="009945E3" w:rsidRPr="000D00EA">
        <w:rPr>
          <w:rFonts w:cs="Times New Roman"/>
          <w:szCs w:val="24"/>
        </w:rPr>
        <w:t xml:space="preserve"> </w:t>
      </w:r>
      <w:r w:rsidR="009945E3" w:rsidRPr="000D00EA">
        <w:rPr>
          <w:rFonts w:cs="Times New Roman"/>
          <w:szCs w:val="24"/>
        </w:rPr>
        <w:fldChar w:fldCharType="begin" w:fldLock="1"/>
      </w:r>
      <w:r w:rsidR="00DB3759" w:rsidRPr="000D00EA">
        <w:rPr>
          <w:rFonts w:cs="Times New Roman"/>
          <w:szCs w:val="24"/>
        </w:rPr>
        <w:instrText>ADDIN CSL_CITATION { "citationItems" : [ { "id" : "ITEM-1", "itemData" : { "DOI" : "10.1111/pai.12348", "ISSN" : "09056157", "author" : [ { "dropping-particle" : "", "family" : "Berry", "given" : "Melissa J.", "non-dropping-particle" : "", "parse-names" : false, "suffix" : "" }, { "dropping-particle" : "", "family" : "Adams", "given" : "Jennifer", "non-dropping-particle" : "", "parse-names" : false, "suffix" : "" }, { "dropping-particle" : "", "family" : "Voutilainen", "given" : "Helena", "non-dropping-particle" : "", "parse-names" : false, "suffix" : "" }, { "dropping-particle" : "", "family" : "Feustel", "given" : "Paul J.", "non-dropping-particle" : "", "parse-names" : false, "suffix" : "" }, { "dropping-particle" : "", "family" : "Celestin", "given" : "Jocelyn", "non-dropping-particle" : "", "parse-names" : false, "suffix" : "" }, { "dropping-particle" : "", "family" : "J\u00e4rvinen", "given" : "Kirsi M.", "non-dropping-particle" : "", "parse-names" : false, "suffix" : "" } ], "container-title" : "Pediatric Allergy and Immunology", "id" : "ITEM-1", "issue" : "18", "issued" : { "date-parts" : [ [ "2015" ] ] }, "page" : "n/a-n/a", "title" : "Impact of elimination diets on growth and nutritional status in children with multiple food allergies", "type" : "article-journal", "volume" : "26" }, "uris" : [ "http://www.mendeley.com/documents/?uuid=8fcb7661-f888-4fa9-b0a3-cf2fbbc4580b" ] }, { "id" : "ITEM-2",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"ITEM-2", "issued" : { "date-parts" : [ [ "2011" ] ] }, "page" : "161-165", "title" : "Diet and nutritional status of children with food allergies.", "type" : "article-journal", "volume" : "22" }, "uris" : [ "http://www.mendeley.com/documents/?uuid=47eac944-9222-4200-b202-eb5eb10e7048" ] }, { "id" : "ITEM-3",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"ITEM-3", "issue" : "11", "issued" : { "date-parts" : [ [ "2002" ] ] }, "page" : "1648-1651", "title" : "Food allergies in children affect nutrient intake and growth", "type" : "article-journal", "volume" : "102" }, "uris" : [ "http://www.mendeley.com/documents/?uuid=6827fd55-4c0e-4fa4-8211-21434ef4c92f" ] } ], "mendeley" : { "formattedCitation" : "&lt;sup&gt;(5,6,11)&lt;/sup&gt;", "plainTextFormattedCitation" : "(5,6,11)", "previouslyFormattedCitation" : "&lt;sup&gt;(5,6,11)&lt;/sup&gt;" }, "properties" : { "noteIndex" : 0 }, "schema" : "https://github.com/citation-style-language/schema/raw/master/csl-citation.json" }</w:instrText>
      </w:r>
      <w:r w:rsidR="009945E3" w:rsidRPr="000D00EA">
        <w:rPr>
          <w:rFonts w:cs="Times New Roman"/>
          <w:szCs w:val="24"/>
        </w:rPr>
        <w:fldChar w:fldCharType="separate"/>
      </w:r>
      <w:r w:rsidR="00DB3759" w:rsidRPr="000D00EA">
        <w:rPr>
          <w:rFonts w:cs="Times New Roman"/>
          <w:noProof/>
          <w:szCs w:val="24"/>
          <w:vertAlign w:val="superscript"/>
        </w:rPr>
        <w:t>(5,6,11)</w:t>
      </w:r>
      <w:r w:rsidR="009945E3" w:rsidRPr="000D00EA">
        <w:rPr>
          <w:rFonts w:cs="Times New Roman"/>
          <w:szCs w:val="24"/>
        </w:rPr>
        <w:fldChar w:fldCharType="end"/>
      </w:r>
      <w:r w:rsidR="00A8473D" w:rsidRPr="000D00EA">
        <w:rPr>
          <w:rFonts w:cs="Times New Roman"/>
          <w:szCs w:val="24"/>
        </w:rPr>
        <w:t xml:space="preserve">. Paediatric studies have attributed </w:t>
      </w:r>
      <w:r w:rsidR="009945E3" w:rsidRPr="000D00EA">
        <w:rPr>
          <w:rFonts w:cs="Times New Roman"/>
          <w:szCs w:val="24"/>
        </w:rPr>
        <w:t>particular</w:t>
      </w:r>
      <w:r w:rsidR="00A8473D" w:rsidRPr="000D00EA">
        <w:rPr>
          <w:rFonts w:cs="Times New Roman"/>
          <w:szCs w:val="24"/>
        </w:rPr>
        <w:t xml:space="preserve"> nutrients to specific excluded foods (e.g. calcium </w:t>
      </w:r>
      <w:r w:rsidR="00A8473D" w:rsidRPr="000D00EA">
        <w:rPr>
          <w:rFonts w:cs="Times New Roman"/>
          <w:szCs w:val="24"/>
        </w:rPr>
        <w:fldChar w:fldCharType="begin" w:fldLock="1"/>
      </w:r>
      <w:r w:rsidR="00DB3759" w:rsidRPr="000D00EA">
        <w:rPr>
          <w:rFonts w:cs="Times New Roman"/>
          <w:szCs w:val="24"/>
        </w:rPr>
        <w:instrText>ADDIN CSL_CITATION { "citationItems" : [ { "id" : "ITEM-1", "itemData" : { "ISSN" : "0803-5253", "PMID" : "10772273", "abstract" : "Approximately 2-3% of young children develop allergy or intolerance to cows' milk. The only available treatment is elimination of milk from the diet. However, as milk is an important source of nutrients in childhood, a milk-free diet may not adequately meet the child's nutritional needs. A dietary survey was conducted to assess the nutrient intake of children on cows' milk-restricted diets. A population-based sample of families with young children (31-37 mo) with adverse reaction to cows' milk and/or eggs was contacted, of which 75% agreed to complete a dietary intake assessment. Dietary intake was assessed using a 4-d weighed recording. The nutrient intake in a group of children on cows' milk protein-free (n = 16) and cows' milk reduced (n = 8) diets were compared to a group of cows' milk consumers (n = 10). There were significant differences in nutrient intake of children on milk-free diets and children consuming milk. Children on milk-free diets had significantly lower intake of energy, fat, protein, calcium, riboflavin and niacin. Use of milk substitutes improved the nutritional content of the cows' milk-free diets; however, the recommendations for riboflavin and calcium were still not met. CONCLUSION: The results reveal a risk for malnutrition in children on cows' milk-free diets, unless precautions are taken to replace the valuable nutrients from milk in the diet. Parents of children on milk-free diets need advice about food choices in order to reduce the risk of low intake of energy, fat and protein. Supplements with calcium, vitamin D and riboflavin are indicated.", "author" : [ { "dropping-particle" : "", "family" : "Henriksen", "given" : "C", "non-dropping-particle" : "", "parse-names" : false, "suffix" : "" }, { "dropping-particle" : "", "family" : "Eggesb\u00f8", "given" : "M", "non-dropping-particle" : "", "parse-names" : false, "suffix" : "" }, { "dropping-particle" : "", "family" : "Halvorsen", "given" : "R", "non-dropping-particle" : "", "parse-names" : false, "suffix" : "" }, { "dropping-particle" : "", "family" : "Botten", "given" : "G", "non-dropping-particle" : "", "parse-names" : false, "suffix" : "" } ], "container-title" : "Acta paediatrica", "id" : "ITEM-1", "issue" : "3", "issued" : { "date-parts" : [ [ "2000" ] ] }, "page" : "272-278", "title" : "Nutrient intake among two-year-old children on cows' milk-restricted diets.", "type" : "article-journal", "volume" : "89" }, "uris" : [ "http://www.mendeley.com/documents/?uuid=69222114-4e09-4529-8d63-572964d8dbc6" ] } ], "mendeley" : { "formattedCitation" : "&lt;sup&gt;(7)&lt;/sup&gt;", "plainTextFormattedCitation" : "(7)", "previouslyFormattedCitation" : "&lt;sup&gt;(7)&lt;/sup&gt;" }, "properties" : { "noteIndex" : 0 }, "schema" : "https://github.com/citation-style-language/schema/raw/master/csl-citation.json" }</w:instrText>
      </w:r>
      <w:r w:rsidR="00A8473D" w:rsidRPr="000D00EA">
        <w:rPr>
          <w:rFonts w:cs="Times New Roman"/>
          <w:szCs w:val="24"/>
        </w:rPr>
        <w:fldChar w:fldCharType="separate"/>
      </w:r>
      <w:r w:rsidR="00DB3759" w:rsidRPr="000D00EA">
        <w:rPr>
          <w:rFonts w:cs="Times New Roman"/>
          <w:noProof/>
          <w:szCs w:val="24"/>
          <w:vertAlign w:val="superscript"/>
        </w:rPr>
        <w:t>(7)</w:t>
      </w:r>
      <w:r w:rsidR="00A8473D" w:rsidRPr="000D00EA">
        <w:rPr>
          <w:rFonts w:cs="Times New Roman"/>
          <w:szCs w:val="24"/>
        </w:rPr>
        <w:fldChar w:fldCharType="end"/>
      </w:r>
      <w:r w:rsidR="00A8473D" w:rsidRPr="000D00EA">
        <w:rPr>
          <w:rFonts w:cs="Times New Roman"/>
          <w:szCs w:val="24"/>
        </w:rPr>
        <w:t xml:space="preserve"> or iodine </w:t>
      </w:r>
      <w:r w:rsidR="00A8473D" w:rsidRPr="000D00EA">
        <w:rPr>
          <w:rFonts w:cs="Times New Roman"/>
          <w:szCs w:val="24"/>
        </w:rPr>
        <w:fldChar w:fldCharType="begin" w:fldLock="1"/>
      </w:r>
      <w:r w:rsidR="00DB3759" w:rsidRPr="000D00EA">
        <w:rPr>
          <w:rFonts w:cs="Times New Roman"/>
          <w:szCs w:val="24"/>
        </w:rPr>
        <w:instrText>ADDIN CSL_CITATION { "citationItems" : [ { "id" : "ITEM-1", "itemData" : { "author" : [ { "dropping-particle" : "", "family" : "Thomassen", "given" : "RA", "non-dropping-particle" : "", "parse-names" : false, "suffix" : "" }, { "dropping-particle" : "", "family" : "Kvammen", "given" : "JA", "non-dropping-particle" : "", "parse-names" : false, "suffix" : "" }, { "dropping-particle" : "", "family" : "Eskerud", "given" : "MB", "non-dropping-particle" : "", "parse-names" : false, "suffix" : "" }, { "dropping-particle" : "", "family" : "Juliusson", "given" : "PB", "non-dropping-particle" : "", "parse-names" : false, "suffix" : "" }, { "dropping-particle" : "", "family" : "Henriksen", "given" : "C", "non-dropping-particle" : "", "parse-names" : false, "suffix" : "" }, { "dropping-particle" : "", "family" : "Rugtveit", "given" : "J", "non-dropping-particle" : "", "parse-names" : false, "suffix" : "" } ], "container-title" : "Journal of Pediatric Gastroenterology and Nutrition", "id" : "ITEM-1", "issued" : { "date-parts" : [ [ "2017" ] ] }, "title" : "Iodine Status and Growth in 0-2-Year-Old Infants With Cow's Milk Protein Allergy", "type" : "article-journal", "volume" : "Epub ahead" }, "uris" : [ "http://www.mendeley.com/documents/?uuid=0415c48d-d508-4003-aad7-5a1ddf728523" ] } ], "mendeley" : { "formattedCitation" : "&lt;sup&gt;(10)&lt;/sup&gt;", "plainTextFormattedCitation" : "(10)", "previouslyFormattedCitation" : "&lt;sup&gt;(10)&lt;/sup&gt;" }, "properties" : { "noteIndex" : 0 }, "schema" : "https://github.com/citation-style-language/schema/raw/master/csl-citation.json" }</w:instrText>
      </w:r>
      <w:r w:rsidR="00A8473D" w:rsidRPr="000D00EA">
        <w:rPr>
          <w:rFonts w:cs="Times New Roman"/>
          <w:szCs w:val="24"/>
        </w:rPr>
        <w:fldChar w:fldCharType="separate"/>
      </w:r>
      <w:r w:rsidR="00DB3759" w:rsidRPr="000D00EA">
        <w:rPr>
          <w:rFonts w:cs="Times New Roman"/>
          <w:noProof/>
          <w:szCs w:val="24"/>
          <w:vertAlign w:val="superscript"/>
        </w:rPr>
        <w:t>(10)</w:t>
      </w:r>
      <w:r w:rsidR="00A8473D" w:rsidRPr="000D00EA">
        <w:rPr>
          <w:rFonts w:cs="Times New Roman"/>
          <w:szCs w:val="24"/>
        </w:rPr>
        <w:fldChar w:fldCharType="end"/>
      </w:r>
      <w:r w:rsidR="00A8473D" w:rsidRPr="000D00EA">
        <w:rPr>
          <w:rFonts w:cs="Times New Roman"/>
          <w:szCs w:val="24"/>
        </w:rPr>
        <w:t xml:space="preserve"> to cows’ milk) </w:t>
      </w:r>
      <w:r w:rsidR="0077529B" w:rsidRPr="000D00EA">
        <w:rPr>
          <w:rFonts w:cs="Times New Roman"/>
          <w:szCs w:val="24"/>
        </w:rPr>
        <w:t>however due to the variety of food exclusion diets included in this study and the wide distribution of some nutrients in a range of foods (e.g. selenium</w:t>
      </w:r>
      <w:r w:rsidR="00365FF3" w:rsidRPr="000D00EA">
        <w:rPr>
          <w:rFonts w:cs="Times New Roman"/>
          <w:szCs w:val="24"/>
        </w:rPr>
        <w:t>, niacin</w:t>
      </w:r>
      <w:r w:rsidR="0077529B" w:rsidRPr="000D00EA">
        <w:rPr>
          <w:rFonts w:cs="Times New Roman"/>
          <w:szCs w:val="24"/>
        </w:rPr>
        <w:t>), it is not possible to attribute each micronutrient to the exclusion of a specific food.</w:t>
      </w:r>
      <w:r w:rsidR="00473E4B" w:rsidRPr="000D00EA">
        <w:rPr>
          <w:rFonts w:cs="Times New Roman"/>
          <w:szCs w:val="24"/>
        </w:rPr>
        <w:t xml:space="preserve"> </w:t>
      </w:r>
      <w:r w:rsidR="00A8473D" w:rsidRPr="000D00EA">
        <w:rPr>
          <w:rFonts w:cs="Times New Roman"/>
          <w:szCs w:val="24"/>
        </w:rPr>
        <w:t xml:space="preserve"> </w:t>
      </w:r>
      <w:r w:rsidR="009C5F8B" w:rsidRPr="000D00EA">
        <w:rPr>
          <w:rFonts w:cs="Times New Roman"/>
          <w:szCs w:val="24"/>
        </w:rPr>
        <w:t xml:space="preserve">Unlike most paediatric studies </w:t>
      </w:r>
      <w:r w:rsidR="009C5F8B" w:rsidRPr="000D00EA">
        <w:rPr>
          <w:rFonts w:cs="Times New Roman"/>
          <w:szCs w:val="24"/>
        </w:rPr>
        <w:fldChar w:fldCharType="begin" w:fldLock="1"/>
      </w:r>
      <w:r w:rsidR="00C220EC" w:rsidRPr="000D00EA">
        <w:rPr>
          <w:rFonts w:cs="Times New Roman"/>
          <w:szCs w:val="24"/>
        </w:rPr>
        <w:instrText>ADDIN CSL_CITATION { "citationItems" : [ { "id" : "ITEM-1", "itemData" : { "DOI" : "10.1111/jhn.12149", "ISSN" : "1365277X", "PMID" : "23937486", "abstract" : "BACKGROUND: The mainstay of dietary management of food allergies remains the elimination diet. However, the removal of major food groups may predispose children to an inadequate nutrient intake. We therefore set out to establish growth status in food allergic children receiving dietetic input in the UK.\\n\\nMETHODS: Dietitians were approached via the Food Allergy and Intolerance Specialist Group from the British Dietetic Association and asked to submit anthropometrical data for children with food allergies. Data collected related to the systems involved and number of foods excluded. Malnutrition was defined according to World Health Organization standards.\\n\\nRESULTS: Data from 13 different centres yielded 97 patients (51 male and 46 female) of which 66 excluded \u22642 foods and 31 excluded \u22653 foods. Data indicated that 8.5% had a weight for age \u2264\u00a0-2 Z-score and, conversely, 8.5% were \u22652 Z-score. For height for age, 11.1% were \u2264\u00a0-2 Z-score and, for weight for height, 3.7% were \u2264\u00a0-2 Z-score and 7.5% \u22652 Z-score. Type of allergy, system involved and specific food elimination did not impact on the level of malnutrition. However, the elimination of \u22653 foods significantly impacted on weight for age (P\u00a0=\u00a00.044).\\n\\nCONCLUSIONS: The present study demonstrates that children with food allergies are more underweight than the general UK population, which appears to be linked to the number of foods excluded. However, the impact of the disease process itself should not be disregarded. Additionally, obesity can also occur in this population despite dietary elimination.", "author" : [ { "dropping-particle" : "", "family" : "Meyer", "given" : "R.", "non-dropping-particle" : "", "parse-names" : false, "suffix" : "" }, { "dropping-particle" : "", "family" : "Koker", "given" : "C.", "non-dropping-particle" : "De", "parse-names" : false, "suffix" : "" }, { "dropping-particle" : "", "family" : "Dziubak", "given" : "R.", "non-dropping-particle" : "", "parse-names" : false, "suffix" : "" }, { "dropping-particle" : "", "family" : "Venter", "given" : "C.", "non-dropping-particle" : "", "parse-names" : false, "suffix" : "" }, { "dropping-particle" : "", "family" : "Dominguez-Ortega", "given" : "G.", "non-dropping-particle" : "", "parse-names" : false, "suffix" : "" }, { "dropping-particle" : "", "family" : "Cutts", "given" : "R.", "non-dropping-particle" : "", "parse-names" : false, "suffix" : "" }, { "dropping-particle" : "", "family" : "Yerlett", "given" : "N.", "non-dropping-particle" : "", "parse-names" : false, "suffix" : "" }, { "dropping-particle" : "", "family" : "Skrapak", "given" : "A. K.", "non-dropping-particle" : "", "parse-names" : false, "suffix" : "" }, { "dropping-particle" : "", "family" : "Fox", "given" : "A. T.", "non-dropping-particle" : "", "parse-names" : false, "suffix" : "" }, { "dropping-particle" : "", "family" : "Shah", "given" : "N.", "non-dropping-particle" : "", "parse-names" : false, "suffix" : "" } ], "container-title" : "Journal of Human Nutrition and Dietetics", "id" : "ITEM-1", "issue" : "3", "issued" : { "date-parts" : [ [ "2014" ] ] }, "page" : "227-235", "title" : "Malnutrition in children with food allergies in the UK", "type" : "article-journal", "volume" : "27" }, "uris" : [ "http://www.mendeley.com/documents/?uuid=3fd4c702-75db-4de4-acfa-05e31c3da5af" ] }, { "id" : "ITEM-2",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"ITEM-2", "issued" : { "date-parts" : [ [ "2011" ] ] }, "page" : "161-165", "title" : "Diet and nutritional status of children with food allergies.", "type" : "article-journal", "volume" : "22" }, "uris" : [ "http://www.mendeley.com/documents/?uuid=47eac944-9222-4200-b202-eb5eb10e7048" ] }, { "id" : "ITEM-3", "itemData" : { "DOI" : "10.1016/j.jand.2014.03.018", "ISSN" : "22122672", "PMID" : "24933388", "abstract" : "Although dietary counseling is generally recommended in children with food allergy (FA), its effect on the nutritional status of these patients has not yet been evaluated. Our nonrandomized multicenter prospective intervention study was undertaken to investigate the effects of dietary counseling on children with FA. Anthropometric data, dietary intakes, and laboratory biomarkers of nutritional status were evaluated in children with FA (aged 6 to 36 months) before and after dietary counseling, by multidisciplinary teams composed of pediatricians, dietitians, and nurses. Ninety-one children with FA (49 boys and 42 girls; mean age 18.9 months, 95% CI 16.5 to 21.3) were evaluated; 66 children without FA (41 boys and 25 girls; mean age 20.3 months, 95% CI 17.7 to 22.8) served as controls providing baseline values only. At enrollment, energy and protein intakes were lower in children with FA (91 kcal/kg/day, interquartile range [IQR]=15.1, minimum=55.2, maximum=130.6; and 2.2 g/kg/day, IQR=0.5, minimum=1.5, maximum=2.7, respectively) than in children without FA (96 kcal/kg/day, IQR=6.1, minimum=83.6, maximum=118.0; and 4.6 g/kg/day, IQR=1.2, minimum=2.0, maximum=6.1, respectively; P&lt;0.001). A weight to length ratio &lt;2 standard deviations was more frequent in children with FA than in children without FA (21% vs 3%; P&lt;0.001). At 6 months following dietary counseling, the total energy intake of children with FA was similar to the baseline values of control children. Dietary counseling also resulted in a significant improvement of their anthropometric and laboratory biomarkers of nutritional status. The results of our study support the crucial role of dietary counseling in the clinical management of children with FA. \u00a9 2014 Academy of Nutrition and Dietetics.", "author" : [ { "dropping-particle" : "", "family" : "Berni Canani", "given" : "Roberto", "non-dropping-particle" : "", "parse-names" : false, "suffix" : "" }, { "dropping-particle" : "", "family" : "Leone", "given" : "Ludovica", "non-dropping-particle" : "", "parse-names" : false, "suffix" : "" }, { "dropping-particle" : "", "family" : "D'Auria", "given" : "Enza", "non-dropping-particle" : "", "parse-names" : false, "suffix" : "" }, { "dropping-particle" : "", "family" : "Riva", "given" : "Enrica", "non-dropping-particle" : "", "parse-names" : false, "suffix" : "" }, { "dropping-particle" : "", "family" : "Nocerino", "given" : "Rita", "non-dropping-particle" : "", "parse-names" : false, "suffix" : "" }, { "dropping-particle" : "", "family" : "Ruotolo", "given" : "Serena", "non-dropping-particle" : "", "parse-names" : false, "suffix" : "" }, { "dropping-particle" : "", "family" : "Terrin", "given" : "Gianluca", "non-dropping-particle" : "", "parse-names" : false, "suffix" : "" }, { "dropping-particle" : "", "family" : "Cosenza", "given" : "Linda", "non-dropping-particle" : "", "parse-names" : false, "suffix" : "" }, { "dropping-particle" : "", "family" : "Costanzo", "given" : "Margherita", "non-dropping-particle" : "Di", "parse-names" : false, "suffix" : "" }, { "dropping-particle" : "", "family" : "Passariello", "given" : "Annalisa", "non-dropping-particle" : "", "parse-names" : false, "suffix" : "" }, { "dropping-particle" : "", "family" : "Coruzzo", "given" : "Anna", "non-dropping-particle" : "", "parse-names" : false, "suffix" : "" }, { "dropping-particle" : "", "family" : "Agostoni", "given" : "Carlo", "non-dropping-particle" : "", "parse-names" : false, "suffix" : "" }, { "dropping-particle" : "", "family" : "Giovannini", "given" : "Marcello", "non-dropping-particle" : "", "parse-names" : false, "suffix" : "" }, { "dropping-particle" : "", "family" : "Troncone", "given" : "Riccardo", "non-dropping-particle" : "", "parse-names" : false, "suffix" : "" } ], "container-title" : "Journal of the Academy of Nutrition and Dietetics", "id" : "ITEM-3", "issue" : "9", "issued" : { "date-parts" : [ [ "2014" ] ] }, "page" : "1432-1439", "publisher" : "Elsevier", "title" : "The Effects of Dietary Counseling on Children with\u00a0Food Allergy: A Prospective, Multicenter Intervention Study", "type" : "article-journal", "volume" : "114" }, "uris" : [ "http://www.mendeley.com/documents/?uuid=59a1c786-c9b9-43f9-9ee8-9ae8eb01dca3" ] }, { "id" : "ITEM-4",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"ITEM-4", "issue" : "11", "issued" : { "date-parts" : [ [ "2002" ] ] }, "page" : "1648-1651", "title" : "Food allergies in children affect nutrient intake and growth", "type" : "article-journal", "volume" : "102" }, "uris" : [ "http://www.mendeley.com/documents/?uuid=6827fd55-4c0e-4fa4-8211-21434ef4c92f" ] }, { "id" : "ITEM-5", "itemData" : { "DOI" : "10.1016/j.jpeds.2014.06.003", "ISSN" : "10976833", "PMID" : "25039044", "abstract" : "Objective To examine the effects of food avoidance on the growth of children with food allergies.\nStudy design A retrospective chart review was performed for children with and without food allergies followed at 2 New York City general pediatric practices. Charts were selected based on codes from the International Classification of Diseases, 9th Revision, for well child visit, food allergy, anaphylaxis, and/or epinephrine autoinjector prescriptions. Heights and weights were obtained to calculate body mass index, height, and weight z-scores.\nResults Of the 9938 children seen, 439 (4.4%) were avoiding one or more foods. Of those with commercial insurance, children with food allergies were significantly shorter (mean height z-score = 0.06; P =.01) and weighed less (mean weight z-score -0.1; P =.006) than children without food allergies (mean height z-score = 0.42; mean weight z-score = 0.07). In contrast, children with food allergies and state insurance were not smaller in height or weight compared with children without food allergies. Among white subjects, there was a significant effect of food allergies on height and weight (ANOVA for height P =.012, for weight P =.0036) that was not observed for Hispanic/Latino, black, or Asian subjects. Children with allergies to milk weighed significantly less than children without milk allergies (P =.0006)\nConclusions Children with food allergies and commercial insurance have significant impairment in growth compared with those without food allergies. Additionally, children avoiding all forms of milk are shorter and weigh less than matched counterparts. Therefore, height and weight measurements should be assessed routinely in children with food allergies because there is risk for growth impairment in this population.", "author" : [ { "dropping-particle" : "", "family" : "Mehta", "given" : "Harshna", "non-dropping-particle" : "", "parse-names" : false, "suffix" : "" }, { "dropping-particle" : "", "family" : "Ramesh", "given" : "Manish", "non-dropping-particle" : "", "parse-names" : false, "suffix" : "" }, { "dropping-particle" : "", "family" : "Feuille", "given" : "Elizabeth", "non-dropping-particle" : "", "parse-names" : false, "suffix" : "" }, { "dropping-particle" : "", "family" : "Groetch", "given" : "Marion", "non-dropping-particle" : "", "parse-names" : false, "suffix" : "" }, { "dropping-particle" : "", "family" : "Wang", "given" : "Julie", "non-dropping-particle" : "", "parse-names" : false, "suffix" : "" } ], "container-title" : "Journal of Pediatrics", "id" : "ITEM-5", "issue" : "4", "issued" : { "date-parts" : [ [ "2014" ] ] }, "page" : "842-848", "title" : "Growth Comparison in children with and without food allergies in 2 different demographic populations", "type" : "article-journal", "volume" : "165" }, "uris" : [ "http://www.mendeley.com/documents/?uuid=9835313b-52ca-4618-8a6e-72f1a6431c0f" ] }, { "id" : "ITEM-6", "itemData" : { "DOI" : "10.1016/j.jaci.2014.08.037", "ISSN" : "0091-6749", "author" : [ { "dropping-particle" : "", "family" : "Robbins", "given" : "Karen A", "non-dropping-particle" : "", "parse-names" : false, "suffix" : "" }, { "dropping-particle" : "", "family" : "Wood", "given" : "Robert A", "non-dropping-particle" : "", "parse-names" : false, "suffix" : "" }, { "dropping-particle" : "", "family" : "Keet", "given" : "Corinne A", "non-dropping-particle" : "", "parse-names" : false, "suffix" : "" } ], "container-title" : "Journal of Allergy and Clinical Immunology", "id" : "ITEM-6", "issue" : "6", "issued" : { "date-parts" : [ [ "2014" ] ] }, "page" : "1466-1468.e6", "publisher" : "American Academy of Allergy, Asthma &amp; Immunology", "title" : "Milk allergy is associated with decreased growth in US children", "type" : "article-journal", "volume" : "134" }, "uris" : [ "http://www.mendeley.com/documents/?uuid=44a9d36b-b711-4d7b-9054-025ef91db33a" ] } ], "mendeley" : { "formattedCitation" : "&lt;sup&gt;(5,6,8,12,13,36)&lt;/sup&gt;", "plainTextFormattedCitation" : "(5,6,8,12,13,36)", "previouslyFormattedCitation" : "&lt;sup&gt;(5,6,8,12,13,35)&lt;/sup&gt;" }, "properties" : { "noteIndex" : 0 }, "schema" : "https://github.com/citation-style-language/schema/raw/master/csl-citation.json" }</w:instrText>
      </w:r>
      <w:r w:rsidR="009C5F8B" w:rsidRPr="000D00EA">
        <w:rPr>
          <w:rFonts w:cs="Times New Roman"/>
          <w:szCs w:val="24"/>
        </w:rPr>
        <w:fldChar w:fldCharType="separate"/>
      </w:r>
      <w:r w:rsidR="00C220EC" w:rsidRPr="000D00EA">
        <w:rPr>
          <w:rFonts w:cs="Times New Roman"/>
          <w:noProof/>
          <w:szCs w:val="24"/>
          <w:vertAlign w:val="superscript"/>
        </w:rPr>
        <w:t>(5,6,8,12,13,36)</w:t>
      </w:r>
      <w:r w:rsidR="009C5F8B" w:rsidRPr="000D00EA">
        <w:rPr>
          <w:rFonts w:cs="Times New Roman"/>
          <w:szCs w:val="24"/>
        </w:rPr>
        <w:fldChar w:fldCharType="end"/>
      </w:r>
      <w:r w:rsidR="009C5F8B" w:rsidRPr="000D00EA">
        <w:rPr>
          <w:rFonts w:cs="Times New Roman"/>
          <w:szCs w:val="24"/>
        </w:rPr>
        <w:t>, we did not observe any difference in BMI a</w:t>
      </w:r>
      <w:r w:rsidR="00070743" w:rsidRPr="000D00EA">
        <w:rPr>
          <w:rFonts w:cs="Times New Roman"/>
          <w:szCs w:val="24"/>
        </w:rPr>
        <w:t>ccording to food allergy status.</w:t>
      </w:r>
    </w:p>
    <w:p w14:paraId="78780561" w14:textId="268A327C" w:rsidR="00A06B26" w:rsidRPr="000D00EA" w:rsidRDefault="00323D8C" w:rsidP="009945E3">
      <w:pPr>
        <w:autoSpaceDE w:val="0"/>
        <w:autoSpaceDN w:val="0"/>
        <w:adjustRightInd w:val="0"/>
        <w:spacing w:before="100" w:beforeAutospacing="1" w:after="100" w:afterAutospacing="1" w:line="360" w:lineRule="auto"/>
        <w:ind w:firstLine="720"/>
        <w:jc w:val="both"/>
        <w:rPr>
          <w:rFonts w:cs="Times New Roman"/>
          <w:szCs w:val="24"/>
        </w:rPr>
      </w:pPr>
      <w:r w:rsidRPr="000D00EA">
        <w:rPr>
          <w:rFonts w:cs="Times New Roman"/>
          <w:szCs w:val="24"/>
        </w:rPr>
        <w:t>In</w:t>
      </w:r>
      <w:r w:rsidR="00F62652" w:rsidRPr="000D00EA">
        <w:rPr>
          <w:rFonts w:cs="Times New Roman"/>
          <w:szCs w:val="24"/>
        </w:rPr>
        <w:t xml:space="preserve"> </w:t>
      </w:r>
      <w:r w:rsidR="00C40066" w:rsidRPr="000D00EA">
        <w:rPr>
          <w:rFonts w:cs="Times New Roman"/>
          <w:szCs w:val="24"/>
        </w:rPr>
        <w:t>adolescents</w:t>
      </w:r>
      <w:r w:rsidRPr="000D00EA">
        <w:rPr>
          <w:rFonts w:cs="Times New Roman"/>
          <w:szCs w:val="24"/>
        </w:rPr>
        <w:t>, di</w:t>
      </w:r>
      <w:r w:rsidR="00F62652" w:rsidRPr="000D00EA">
        <w:rPr>
          <w:rFonts w:cs="Times New Roman"/>
          <w:szCs w:val="24"/>
        </w:rPr>
        <w:t>ff</w:t>
      </w:r>
      <w:r w:rsidRPr="000D00EA">
        <w:rPr>
          <w:rFonts w:cs="Times New Roman"/>
          <w:szCs w:val="24"/>
        </w:rPr>
        <w:t>erences in nutrient intake between the food-allergic and the control</w:t>
      </w:r>
      <w:r w:rsidR="00F62652" w:rsidRPr="000D00EA">
        <w:rPr>
          <w:rFonts w:cs="Times New Roman"/>
          <w:szCs w:val="24"/>
        </w:rPr>
        <w:t xml:space="preserve"> </w:t>
      </w:r>
      <w:r w:rsidRPr="000D00EA">
        <w:rPr>
          <w:rFonts w:cs="Times New Roman"/>
          <w:szCs w:val="24"/>
        </w:rPr>
        <w:t>group were confin</w:t>
      </w:r>
      <w:r w:rsidR="00E038B6" w:rsidRPr="000D00EA">
        <w:rPr>
          <w:rFonts w:cs="Times New Roman"/>
          <w:szCs w:val="24"/>
        </w:rPr>
        <w:t xml:space="preserve">ed to fat, carbohydrate, niacin, </w:t>
      </w:r>
      <w:r w:rsidR="00A8473D" w:rsidRPr="000D00EA">
        <w:rPr>
          <w:rFonts w:cs="Times New Roman"/>
          <w:szCs w:val="24"/>
        </w:rPr>
        <w:t>and selenium</w:t>
      </w:r>
      <w:r w:rsidRPr="000D00EA">
        <w:rPr>
          <w:rFonts w:cs="Times New Roman"/>
          <w:szCs w:val="24"/>
        </w:rPr>
        <w:t xml:space="preserve">. </w:t>
      </w:r>
      <w:r w:rsidR="00D91908" w:rsidRPr="000D00EA">
        <w:rPr>
          <w:rFonts w:cs="Times New Roman"/>
          <w:szCs w:val="24"/>
        </w:rPr>
        <w:t>Although energy intake between adolescents with and without food allergies was similar, the percentage of energy</w:t>
      </w:r>
      <w:r w:rsidR="006420ED" w:rsidRPr="000D00EA">
        <w:rPr>
          <w:rFonts w:cs="Times New Roman"/>
          <w:szCs w:val="24"/>
        </w:rPr>
        <w:t xml:space="preserve"> derived</w:t>
      </w:r>
      <w:r w:rsidR="00D91908" w:rsidRPr="000D00EA">
        <w:rPr>
          <w:rFonts w:cs="Times New Roman"/>
          <w:szCs w:val="24"/>
        </w:rPr>
        <w:t xml:space="preserve"> from fat was lower and from carbohydrate intake higher among </w:t>
      </w:r>
      <w:r w:rsidR="006420ED" w:rsidRPr="000D00EA">
        <w:rPr>
          <w:rFonts w:cs="Times New Roman"/>
          <w:szCs w:val="24"/>
        </w:rPr>
        <w:t>the food allergic group</w:t>
      </w:r>
      <w:r w:rsidR="00D91908" w:rsidRPr="000D00EA">
        <w:rPr>
          <w:rFonts w:cs="Times New Roman"/>
          <w:szCs w:val="24"/>
        </w:rPr>
        <w:t>. One possible reason for this might be that adolescents with food allergies are less likely to consume high fat confectionary and snack foods</w:t>
      </w:r>
      <w:r w:rsidR="00A8473D" w:rsidRPr="000D00EA">
        <w:rPr>
          <w:rFonts w:cs="Times New Roman"/>
          <w:szCs w:val="24"/>
        </w:rPr>
        <w:t>,</w:t>
      </w:r>
      <w:r w:rsidR="00D91908" w:rsidRPr="000D00EA">
        <w:rPr>
          <w:rFonts w:cs="Times New Roman"/>
          <w:szCs w:val="24"/>
        </w:rPr>
        <w:t xml:space="preserve"> as many of these products have traces of food allergens</w:t>
      </w:r>
      <w:r w:rsidR="00A8473D" w:rsidRPr="000D00EA">
        <w:rPr>
          <w:rFonts w:cs="Times New Roman"/>
          <w:szCs w:val="24"/>
        </w:rPr>
        <w:t xml:space="preserve"> (e.g. peanut)</w:t>
      </w:r>
      <w:r w:rsidR="00D91908" w:rsidRPr="000D00EA">
        <w:rPr>
          <w:rFonts w:cs="Times New Roman"/>
          <w:szCs w:val="24"/>
        </w:rPr>
        <w:t xml:space="preserve">. Previous </w:t>
      </w:r>
      <w:r w:rsidR="006420ED" w:rsidRPr="000D00EA">
        <w:rPr>
          <w:rFonts w:cs="Times New Roman"/>
          <w:szCs w:val="24"/>
        </w:rPr>
        <w:t>research has</w:t>
      </w:r>
      <w:r w:rsidR="00D91908" w:rsidRPr="000D00EA">
        <w:rPr>
          <w:rFonts w:cs="Times New Roman"/>
          <w:szCs w:val="24"/>
        </w:rPr>
        <w:t xml:space="preserve"> suggested that adolescents and families with food allergies find it difficult to source prepacked foods without allergen traces labelling</w:t>
      </w:r>
      <w:r w:rsidR="009945E3" w:rsidRPr="000D00EA">
        <w:rPr>
          <w:rFonts w:cs="Times New Roman"/>
          <w:szCs w:val="24"/>
        </w:rPr>
        <w:t xml:space="preserve"> </w:t>
      </w:r>
      <w:r w:rsidR="006420ED" w:rsidRPr="000D00EA">
        <w:rPr>
          <w:rFonts w:cs="Times New Roman"/>
          <w:szCs w:val="24"/>
        </w:rPr>
        <w:fldChar w:fldCharType="begin" w:fldLock="1"/>
      </w:r>
      <w:r w:rsidR="00C220EC" w:rsidRPr="000D00EA">
        <w:rPr>
          <w:rFonts w:cs="Times New Roman"/>
          <w:szCs w:val="24"/>
        </w:rPr>
        <w:instrText>ADDIN CSL_CITATION { "citationItems" : [ { "id" : "ITEM-1", "itemData" : { "DOI" : "10.1186/2045-7022-3-41", "ISSN" : "2045-7022", "PMID" : "24325875", "abstract" : "BACKGROUND: Avoidance of food allergens requires adapting dietetic habits, changing nutritional approach. A restriction of food choice can result in a monotonous diet and impact social life. This study investigated the impact of food allergy on nutritional behavior and attitudes of patients and their families.\\n\\nMETHODS: A survey involving mothers of food allergic children aged 0-16\u00a0years was carried out. We primarily studied the variables related to the child (age, gender, clinical history, food and social events attitudes). In addition, Spielberg Trait-Anxiety Inventory (STAI-T) test was applied to the mothers. We assessed separately the associations between characteristics of child-mother pairs and diet monotony, and attendance to social events, by means of proportional odds regression models.\\n\\nRESULTS: Nearly 10% of the 124 participants completely banned allergenic foods at home and 15.3% consumed their meals separately. More than one fourth attended parties rarely or never. Most of the participants reported a \"monotonous diet\". Model results suggested significant associations between child age (p\u2009=\u20090.05), mother age (p\u2009=\u20090.05), number of excluded foods (p\u2009=\u20090.003) and monotony of the diet. The attendance of social events was inversely associated with the number of excluded foods (p\u2009=\u20090.04) and the mother's STAI-T T-score (p\u2009=\u20090.04).\\n\\nCONCLUSIONS: The results highlighted the impact of food allergy in reducing interest about food and influencing patients' approach to social life. It is important to support families in managing allergens avoidance.", "author" : [ { "dropping-particle" : "", "family" : "Polloni", "given" : "Laura", "non-dropping-particle" : "", "parse-names" : false, "suffix" : "" }, { "dropping-particle" : "", "family" : "Toniolo", "given" : "Alice", "non-dropping-particle" : "", "parse-names" : false, "suffix" : "" }, { "dropping-particle" : "", "family" : "Lazzarotto", "given" : "Francesca", "non-dropping-particle" : "", "parse-names" : false, "suffix" : "" }, { "dropping-particle" : "", "family" : "Baldi", "given" : "Ileana", "non-dropping-particle" : "", "parse-names" : false, "suffix" : "" }, { "dropping-particle" : "", "family" : "Foltran", "given" : "Francesca", "non-dropping-particle" : "", "parse-names" : false, "suffix" : "" }, { "dropping-particle" : "", "family" : "Gregori", "given" : "Dario", "non-dropping-particle" : "", "parse-names" : false, "suffix" : "" }, { "dropping-particle" : "", "family" : "Muraro", "given" : "Antonella", "non-dropping-particle" : "", "parse-names" : false, "suffix" : "" } ], "container-title" : "Clinical and translational allergy", "id" : "ITEM-1", "issue" : "1", "issued" : { "date-parts" : [ [ "2013" ] ] }, "page" : "41", "title" : "Nutritional behavior and attitudes in food allergic children and their mothers.", "type" : "article-journal", "volume" : "3" }, "uris" : [ "http://www.mendeley.com/documents/?uuid=3db3c280-568e-4aa2-ab03-9a15bf2e0c05" ] } ], "mendeley" : { "formattedCitation" : "&lt;sup&gt;(37)&lt;/sup&gt;", "plainTextFormattedCitation" : "(37)", "previouslyFormattedCitation" : "&lt;sup&gt;(36)&lt;/sup&gt;" }, "properties" : { "noteIndex" : 0 }, "schema" : "https://github.com/citation-style-language/schema/raw/master/csl-citation.json" }</w:instrText>
      </w:r>
      <w:r w:rsidR="006420ED" w:rsidRPr="000D00EA">
        <w:rPr>
          <w:rFonts w:cs="Times New Roman"/>
          <w:szCs w:val="24"/>
        </w:rPr>
        <w:fldChar w:fldCharType="separate"/>
      </w:r>
      <w:r w:rsidR="00C220EC" w:rsidRPr="000D00EA">
        <w:rPr>
          <w:rFonts w:cs="Times New Roman"/>
          <w:noProof/>
          <w:szCs w:val="24"/>
          <w:vertAlign w:val="superscript"/>
        </w:rPr>
        <w:t>(37)</w:t>
      </w:r>
      <w:r w:rsidR="006420ED" w:rsidRPr="000D00EA">
        <w:rPr>
          <w:rFonts w:cs="Times New Roman"/>
          <w:szCs w:val="24"/>
        </w:rPr>
        <w:fldChar w:fldCharType="end"/>
      </w:r>
      <w:r w:rsidR="00D91908" w:rsidRPr="000D00EA">
        <w:rPr>
          <w:rFonts w:cs="Times New Roman"/>
          <w:szCs w:val="24"/>
        </w:rPr>
        <w:t>.</w:t>
      </w:r>
      <w:r w:rsidR="00A8473D" w:rsidRPr="000D00EA">
        <w:rPr>
          <w:rFonts w:cs="Times New Roman"/>
          <w:szCs w:val="24"/>
        </w:rPr>
        <w:t xml:space="preserve"> </w:t>
      </w:r>
      <w:r w:rsidR="00C7523E" w:rsidRPr="000D00EA">
        <w:rPr>
          <w:rFonts w:cs="Times New Roman"/>
          <w:szCs w:val="24"/>
        </w:rPr>
        <w:t>However the differences in macronutrient percentage derived</w:t>
      </w:r>
      <w:r w:rsidR="00503020" w:rsidRPr="000D00EA">
        <w:rPr>
          <w:rFonts w:cs="Times New Roman"/>
          <w:szCs w:val="24"/>
        </w:rPr>
        <w:t xml:space="preserve"> from ener</w:t>
      </w:r>
      <w:r w:rsidR="00A8473D" w:rsidRPr="000D00EA">
        <w:rPr>
          <w:rFonts w:cs="Times New Roman"/>
          <w:szCs w:val="24"/>
        </w:rPr>
        <w:t>gy should not be overstated. B</w:t>
      </w:r>
      <w:r w:rsidR="00503020" w:rsidRPr="000D00EA">
        <w:rPr>
          <w:rFonts w:cs="Times New Roman"/>
          <w:szCs w:val="24"/>
        </w:rPr>
        <w:t>oth groups</w:t>
      </w:r>
      <w:r w:rsidR="00747531" w:rsidRPr="000D00EA">
        <w:rPr>
          <w:rFonts w:cs="Times New Roman"/>
          <w:szCs w:val="24"/>
        </w:rPr>
        <w:t>’</w:t>
      </w:r>
      <w:r w:rsidR="00503020" w:rsidRPr="000D00EA">
        <w:rPr>
          <w:rFonts w:cs="Times New Roman"/>
          <w:szCs w:val="24"/>
        </w:rPr>
        <w:t xml:space="preserve"> </w:t>
      </w:r>
      <w:r w:rsidR="009945E3" w:rsidRPr="000D00EA">
        <w:rPr>
          <w:rFonts w:cs="Times New Roman"/>
          <w:szCs w:val="24"/>
        </w:rPr>
        <w:t xml:space="preserve">intakes </w:t>
      </w:r>
      <w:r w:rsidR="00503020" w:rsidRPr="000D00EA">
        <w:rPr>
          <w:rFonts w:cs="Times New Roman"/>
          <w:szCs w:val="24"/>
        </w:rPr>
        <w:t xml:space="preserve">were </w:t>
      </w:r>
      <w:r w:rsidR="006420ED" w:rsidRPr="000D00EA">
        <w:rPr>
          <w:rFonts w:cs="Times New Roman"/>
          <w:szCs w:val="24"/>
        </w:rPr>
        <w:t>similar</w:t>
      </w:r>
      <w:r w:rsidR="009945E3" w:rsidRPr="000D00EA">
        <w:rPr>
          <w:rFonts w:cs="Times New Roman"/>
          <w:szCs w:val="24"/>
        </w:rPr>
        <w:t xml:space="preserve"> to recommended </w:t>
      </w:r>
      <w:proofErr w:type="gramStart"/>
      <w:r w:rsidR="009945E3" w:rsidRPr="000D00EA">
        <w:rPr>
          <w:rFonts w:cs="Times New Roman"/>
          <w:szCs w:val="24"/>
        </w:rPr>
        <w:t>levels,</w:t>
      </w:r>
      <w:proofErr w:type="gramEnd"/>
      <w:r w:rsidR="009945E3" w:rsidRPr="000D00EA">
        <w:rPr>
          <w:rFonts w:cs="Times New Roman"/>
          <w:szCs w:val="24"/>
        </w:rPr>
        <w:t xml:space="preserve"> therefore</w:t>
      </w:r>
      <w:r w:rsidR="00503020" w:rsidRPr="000D00EA">
        <w:rPr>
          <w:rFonts w:cs="Times New Roman"/>
          <w:szCs w:val="24"/>
        </w:rPr>
        <w:t xml:space="preserve"> the differences are </w:t>
      </w:r>
      <w:r w:rsidR="009945E3" w:rsidRPr="000D00EA">
        <w:rPr>
          <w:rFonts w:cs="Times New Roman"/>
          <w:szCs w:val="24"/>
        </w:rPr>
        <w:t>unlikely to be</w:t>
      </w:r>
      <w:r w:rsidR="00503020" w:rsidRPr="000D00EA">
        <w:rPr>
          <w:rFonts w:cs="Times New Roman"/>
          <w:szCs w:val="24"/>
        </w:rPr>
        <w:t xml:space="preserve"> clinically meaningful. </w:t>
      </w:r>
      <w:r w:rsidR="006420ED" w:rsidRPr="000D00EA">
        <w:rPr>
          <w:rFonts w:cs="Times New Roman"/>
          <w:szCs w:val="24"/>
        </w:rPr>
        <w:t>Looking at micronutrients that differed by food allergic status; n</w:t>
      </w:r>
      <w:r w:rsidR="00503020" w:rsidRPr="000D00EA">
        <w:rPr>
          <w:rFonts w:cs="Times New Roman"/>
          <w:szCs w:val="24"/>
        </w:rPr>
        <w:t>iacin is widely distributed in foods</w:t>
      </w:r>
      <w:r w:rsidR="009F699C" w:rsidRPr="000D00EA">
        <w:rPr>
          <w:rFonts w:cs="Times New Roman"/>
          <w:szCs w:val="24"/>
        </w:rPr>
        <w:t xml:space="preserve"> </w:t>
      </w:r>
      <w:r w:rsidR="006420ED" w:rsidRPr="000D00EA">
        <w:rPr>
          <w:rFonts w:cs="Times New Roman"/>
          <w:szCs w:val="24"/>
        </w:rPr>
        <w:fldChar w:fldCharType="begin" w:fldLock="1"/>
      </w:r>
      <w:r w:rsidR="002E2339" w:rsidRPr="000D00EA">
        <w:rPr>
          <w:rFonts w:cs="Times New Roman"/>
          <w:szCs w:val="24"/>
        </w:rPr>
        <w:instrText>ADDIN CSL_CITATION { "citationItems" : [ { "id" : "ITEM-1", "itemData" : { "author" : [ { "dropping-particle" : "", "family" : "Food Standards Agency", "given" : "", "non-dropping-particle" : "", "parse-names" : false, "suffix" : "" } ], "edition" : "6th editio", "editor" : [ { "dropping-particle" : "", "family" : "Church", "given" : "S", "non-dropping-particle" : "", "parse-names" : false, "suffix" : "" } ], "id" : "ITEM-1", "issued" : { "date-parts" : [ [ "2002" ] ] }, "publisher" : "Royal Society of Chemistry", "publisher-place" : "Cambridge", "title" : "McCance and Widdowson's The Composition of Foods.", "type" : "book" }, "uris" : [ "http://www.mendeley.com/documents/?uuid=3ba9181c-5185-4600-b2b6-eb1e32adda2b" ] } ], "mendeley" : { "formattedCitation" : "&lt;sup&gt;(24)&lt;/sup&gt;", "plainTextFormattedCitation" : "(24)", "previouslyFormattedCitation" : "&lt;sup&gt;(24)&lt;/sup&gt;" }, "properties" : { "noteIndex" : 0 }, "schema" : "https://github.com/citation-style-language/schema/raw/master/csl-citation.json" }</w:instrText>
      </w:r>
      <w:r w:rsidR="006420ED" w:rsidRPr="000D00EA">
        <w:rPr>
          <w:rFonts w:cs="Times New Roman"/>
          <w:szCs w:val="24"/>
        </w:rPr>
        <w:fldChar w:fldCharType="separate"/>
      </w:r>
      <w:r w:rsidR="00A52728" w:rsidRPr="000D00EA">
        <w:rPr>
          <w:rFonts w:cs="Times New Roman"/>
          <w:noProof/>
          <w:szCs w:val="24"/>
          <w:vertAlign w:val="superscript"/>
        </w:rPr>
        <w:t>(24)</w:t>
      </w:r>
      <w:r w:rsidR="006420ED" w:rsidRPr="000D00EA">
        <w:rPr>
          <w:rFonts w:cs="Times New Roman"/>
          <w:szCs w:val="24"/>
        </w:rPr>
        <w:fldChar w:fldCharType="end"/>
      </w:r>
      <w:r w:rsidR="00503020" w:rsidRPr="000D00EA">
        <w:rPr>
          <w:rFonts w:cs="Times New Roman"/>
          <w:szCs w:val="24"/>
        </w:rPr>
        <w:t xml:space="preserve">, therefore </w:t>
      </w:r>
      <w:r w:rsidR="006420ED" w:rsidRPr="000D00EA">
        <w:rPr>
          <w:rFonts w:cs="Times New Roman"/>
          <w:szCs w:val="24"/>
        </w:rPr>
        <w:t xml:space="preserve">a </w:t>
      </w:r>
      <w:r w:rsidR="00503020" w:rsidRPr="000D00EA">
        <w:rPr>
          <w:rFonts w:cs="Times New Roman"/>
          <w:szCs w:val="24"/>
        </w:rPr>
        <w:t>h</w:t>
      </w:r>
      <w:r w:rsidRPr="000D00EA">
        <w:rPr>
          <w:rFonts w:cs="Times New Roman"/>
          <w:szCs w:val="24"/>
        </w:rPr>
        <w:t xml:space="preserve">igher intake </w:t>
      </w:r>
      <w:r w:rsidR="006420ED" w:rsidRPr="000D00EA">
        <w:rPr>
          <w:rFonts w:cs="Times New Roman"/>
          <w:szCs w:val="24"/>
        </w:rPr>
        <w:t>cannot</w:t>
      </w:r>
      <w:r w:rsidRPr="000D00EA">
        <w:rPr>
          <w:rFonts w:cs="Times New Roman"/>
          <w:szCs w:val="24"/>
        </w:rPr>
        <w:t xml:space="preserve"> necessarily </w:t>
      </w:r>
      <w:r w:rsidR="006420ED" w:rsidRPr="000D00EA">
        <w:rPr>
          <w:rFonts w:cs="Times New Roman"/>
          <w:szCs w:val="24"/>
        </w:rPr>
        <w:t>be attributed to a</w:t>
      </w:r>
      <w:r w:rsidRPr="000D00EA">
        <w:rPr>
          <w:rFonts w:cs="Times New Roman"/>
          <w:szCs w:val="24"/>
        </w:rPr>
        <w:t xml:space="preserve"> particular food group. </w:t>
      </w:r>
      <w:r w:rsidR="006420ED" w:rsidRPr="000D00EA">
        <w:rPr>
          <w:rFonts w:eastAsia="Times New Roman" w:cs="Times New Roman"/>
          <w:szCs w:val="24"/>
        </w:rPr>
        <w:t xml:space="preserve">A higher intake of selenium has previously been reported in infants consuming a milk-free diet </w:t>
      </w:r>
      <w:r w:rsidR="006420ED" w:rsidRPr="000D00EA">
        <w:rPr>
          <w:rFonts w:eastAsia="Times New Roman" w:cs="Times New Roman"/>
          <w:szCs w:val="24"/>
        </w:rPr>
        <w:fldChar w:fldCharType="begin" w:fldLock="1"/>
      </w:r>
      <w:r w:rsidR="00C220EC" w:rsidRPr="000D00EA">
        <w:rPr>
          <w:rFonts w:eastAsia="Times New Roman" w:cs="Times New Roman"/>
          <w:szCs w:val="24"/>
        </w:rPr>
        <w:instrText>ADDIN CSL_CITATION { "citationItems" : [ { "id" : "ITEM-1", "itemData" : { "DOI" : "10.1186/s13601-016-0109-8", "ISSN" : "2045-7022", "author" : [ { "dropping-particle" : "", "family" : "Maslin", "given" : "Kate", "non-dropping-particle" : "", "parse-names" : false, "suffix" : "" }, { "dropping-particle" : "", "family" : "Oliver", "given" : "Erin M.", "non-dropping-particle" : "", "parse-names" : false, "suffix" : "" }, { "dropping-particle" : "", "family" : "Scally", "given" : "Karen S.", "non-dropping-particle" : "", "parse-names" : false, "suffix" : "" }, { "dropping-particle" : "", "family" : "Atkinson", "given" : "Josh", "non-dropping-particle" : "", "parse-names" : false, "suffix" : "" }, { "dropping-particle" : "", "family" : "Foote", "given" : "Keith", "non-dropping-particle" : "", "parse-names" : false, "suffix" : "" }, { "dropping-particle" : "", "family" : "Venter", "given" : "Carina", "non-dropping-particle" : "", "parse-names" : false, "suffix" : "" }, { "dropping-particle" : "", "family" : "Roberts", "given" : "Graham", "non-dropping-particle" : "", "parse-names" : false, "suffix" : "" }, { "dropping-particle" : "", "family" : "Grimshaw", "given" : "Kate E. C.", "non-dropping-particle" : "", "parse-names" : false, "suffix" : "" } ], "container-title" : "Clinical and Translational Allergy", "id" : "ITEM-1", "issue" : "1", "issued" : { "date-parts" : [ [ "2016" ] ] }, "page" : "20", "publisher" : "BioMed Central", "title" : "Nutritional adequacy of a cows\u2019 milk exclusion diet in infancy", "type" : "article-journal", "volume" : "6" }, "uris" : [ "http://www.mendeley.com/documents/?uuid=2892f2b7-e29f-4a3e-be84-8bff517fe9e7" ] } ], "mendeley" : { "formattedCitation" : "&lt;sup&gt;(38)&lt;/sup&gt;", "plainTextFormattedCitation" : "(38)", "previouslyFormattedCitation" : "&lt;sup&gt;(37)&lt;/sup&gt;" }, "properties" : { "noteIndex" : 0 }, "schema" : "https://github.com/citation-style-language/schema/raw/master/csl-citation.json" }</w:instrText>
      </w:r>
      <w:r w:rsidR="006420ED" w:rsidRPr="000D00EA">
        <w:rPr>
          <w:rFonts w:eastAsia="Times New Roman" w:cs="Times New Roman"/>
          <w:szCs w:val="24"/>
        </w:rPr>
        <w:fldChar w:fldCharType="separate"/>
      </w:r>
      <w:r w:rsidR="00C220EC" w:rsidRPr="000D00EA">
        <w:rPr>
          <w:rFonts w:eastAsia="Times New Roman" w:cs="Times New Roman"/>
          <w:noProof/>
          <w:szCs w:val="24"/>
          <w:vertAlign w:val="superscript"/>
        </w:rPr>
        <w:t>(38)</w:t>
      </w:r>
      <w:r w:rsidR="006420ED" w:rsidRPr="000D00EA">
        <w:rPr>
          <w:rFonts w:eastAsia="Times New Roman" w:cs="Times New Roman"/>
          <w:szCs w:val="24"/>
        </w:rPr>
        <w:fldChar w:fldCharType="end"/>
      </w:r>
      <w:r w:rsidR="006420ED" w:rsidRPr="000D00EA">
        <w:rPr>
          <w:rFonts w:eastAsia="Times New Roman" w:cs="Times New Roman"/>
          <w:szCs w:val="24"/>
        </w:rPr>
        <w:t xml:space="preserve">, </w:t>
      </w:r>
      <w:r w:rsidR="006420ED" w:rsidRPr="000D00EA">
        <w:rPr>
          <w:rFonts w:cs="Times New Roman"/>
          <w:szCs w:val="24"/>
        </w:rPr>
        <w:t xml:space="preserve">which may be explained by </w:t>
      </w:r>
      <w:r w:rsidR="00A8473D" w:rsidRPr="000D00EA">
        <w:rPr>
          <w:rFonts w:cs="Times New Roman"/>
          <w:szCs w:val="24"/>
        </w:rPr>
        <w:t xml:space="preserve">the selenium content of substitute </w:t>
      </w:r>
      <w:r w:rsidR="006420ED" w:rsidRPr="000D00EA">
        <w:rPr>
          <w:rFonts w:cs="Times New Roman"/>
          <w:szCs w:val="24"/>
        </w:rPr>
        <w:t xml:space="preserve">soya products </w:t>
      </w:r>
      <w:r w:rsidR="006420ED" w:rsidRPr="000D00EA">
        <w:rPr>
          <w:rFonts w:cs="Times New Roman"/>
          <w:szCs w:val="24"/>
        </w:rPr>
        <w:fldChar w:fldCharType="begin" w:fldLock="1"/>
      </w:r>
      <w:r w:rsidR="002E2339" w:rsidRPr="000D00EA">
        <w:rPr>
          <w:rFonts w:cs="Times New Roman"/>
          <w:szCs w:val="24"/>
        </w:rPr>
        <w:instrText>ADDIN CSL_CITATION { "citationItems" : [ { "id" : "ITEM-1", "itemData" : { "author" : [ { "dropping-particle" : "", "family" : "Food Standards Agency", "given" : "", "non-dropping-particle" : "", "parse-names" : false, "suffix" : "" } ], "edition" : "6th editio", "editor" : [ { "dropping-particle" : "", "family" : "Church", "given" : "S", "non-dropping-particle" : "", "parse-names" : false, "suffix" : "" } ], "id" : "ITEM-1", "issued" : { "date-parts" : [ [ "2002" ] ] }, "publisher" : "Royal Society of Chemistry", "publisher-place" : "Cambridge", "title" : "McCance and Widdowson's The Composition of Foods.", "type" : "book" }, "uris" : [ "http://www.mendeley.com/documents/?uuid=3ba9181c-5185-4600-b2b6-eb1e32adda2b" ] } ], "mendeley" : { "formattedCitation" : "&lt;sup&gt;(24)&lt;/sup&gt;", "plainTextFormattedCitation" : "(24)", "previouslyFormattedCitation" : "&lt;sup&gt;(24)&lt;/sup&gt;" }, "properties" : { "noteIndex" : 0 }, "schema" : "https://github.com/citation-style-language/schema/raw/master/csl-citation.json" }</w:instrText>
      </w:r>
      <w:r w:rsidR="006420ED" w:rsidRPr="000D00EA">
        <w:rPr>
          <w:rFonts w:cs="Times New Roman"/>
          <w:szCs w:val="24"/>
        </w:rPr>
        <w:fldChar w:fldCharType="separate"/>
      </w:r>
      <w:r w:rsidR="00A52728" w:rsidRPr="000D00EA">
        <w:rPr>
          <w:rFonts w:cs="Times New Roman"/>
          <w:noProof/>
          <w:szCs w:val="24"/>
          <w:vertAlign w:val="superscript"/>
        </w:rPr>
        <w:t>(24)</w:t>
      </w:r>
      <w:r w:rsidR="006420ED" w:rsidRPr="000D00EA">
        <w:rPr>
          <w:rFonts w:cs="Times New Roman"/>
          <w:szCs w:val="24"/>
        </w:rPr>
        <w:fldChar w:fldCharType="end"/>
      </w:r>
      <w:r w:rsidR="006420ED" w:rsidRPr="000D00EA">
        <w:rPr>
          <w:rFonts w:cs="Times New Roman"/>
          <w:szCs w:val="24"/>
        </w:rPr>
        <w:t xml:space="preserve">. </w:t>
      </w:r>
      <w:r w:rsidR="00A8473D" w:rsidRPr="000D00EA">
        <w:rPr>
          <w:rFonts w:cs="Times New Roman"/>
          <w:szCs w:val="24"/>
        </w:rPr>
        <w:t xml:space="preserve">Only one previous study of </w:t>
      </w:r>
      <w:r w:rsidR="00287FC5" w:rsidRPr="000D00EA">
        <w:rPr>
          <w:rFonts w:cs="Times New Roman"/>
          <w:szCs w:val="24"/>
        </w:rPr>
        <w:t>adolescents</w:t>
      </w:r>
      <w:r w:rsidR="00A8473D" w:rsidRPr="000D00EA">
        <w:rPr>
          <w:rFonts w:cs="Times New Roman"/>
          <w:szCs w:val="24"/>
        </w:rPr>
        <w:t xml:space="preserve"> was</w:t>
      </w:r>
      <w:r w:rsidR="00287FC5" w:rsidRPr="000D00EA">
        <w:rPr>
          <w:rFonts w:cs="Times New Roman"/>
          <w:szCs w:val="24"/>
        </w:rPr>
        <w:t xml:space="preserve"> identified in </w:t>
      </w:r>
      <w:r w:rsidR="00A8473D" w:rsidRPr="000D00EA">
        <w:rPr>
          <w:rFonts w:cs="Times New Roman"/>
          <w:szCs w:val="24"/>
        </w:rPr>
        <w:t xml:space="preserve">the literature, which did </w:t>
      </w:r>
      <w:r w:rsidR="00287FC5" w:rsidRPr="000D00EA">
        <w:rPr>
          <w:rFonts w:cs="Times New Roman"/>
          <w:szCs w:val="24"/>
        </w:rPr>
        <w:t>not show any difference in nutritional intake in 12-</w:t>
      </w:r>
      <w:r w:rsidR="00A8473D" w:rsidRPr="000D00EA">
        <w:rPr>
          <w:rFonts w:cs="Times New Roman"/>
          <w:szCs w:val="24"/>
        </w:rPr>
        <w:t>19 year olds</w:t>
      </w:r>
      <w:r w:rsidR="00287FC5" w:rsidRPr="000D00EA">
        <w:rPr>
          <w:rFonts w:cs="Times New Roman"/>
          <w:szCs w:val="24"/>
        </w:rPr>
        <w:t xml:space="preserve"> </w:t>
      </w:r>
      <w:r w:rsidR="00287FC5" w:rsidRPr="000D00EA">
        <w:rPr>
          <w:rFonts w:cs="Times New Roman"/>
          <w:szCs w:val="24"/>
        </w:rPr>
        <w:fldChar w:fldCharType="begin" w:fldLock="1"/>
      </w:r>
      <w:r w:rsidR="00DB3759" w:rsidRPr="000D00EA">
        <w:rPr>
          <w:rFonts w:cs="Times New Roman"/>
          <w:szCs w:val="24"/>
        </w:rPr>
        <w:instrText>ADDIN CSL_CITATION { "citationItems" : [ { "id" : "ITEM-1", "itemData" : { "ISBN" : "8222281828", "author" : [ { "dropping-particle" : "", "family" : "Kim", "given" : "Jungyun", "non-dropping-particle" : "", "parse-names" : false, "suffix" : "" }, { "dropping-particle" : "", "family" : "Kwon", "given" : "Jaryoung", "non-dropping-particle" : "", "parse-names" : false, "suffix" : "" }, { "dropping-particle" : "", "family" : "Noh", "given" : "Geunwoong", "non-dropping-particle" : "", "parse-names" : false, "suffix" : "" }, { "dropping-particle" : "", "family" : "Lee", "given" : "Sang Sun", "non-dropping-particle" : "", "parse-names" : false, "suffix" : "" } ], "id" : "ITEM-1", "issue" : "6", "issued" : { "date-parts" : [ [ "2013" ] ] }, "page" : "488-494", "title" : "The effects of elimination diet on nutritional status in subjects with atopic dermatitis", "type" : "article-journal", "volume" : "7" }, "uris" : [ "http://www.mendeley.com/documents/?uuid=5a3fffb8-f9a0-46dc-8e9b-e8559a295d84" ] } ], "mendeley" : { "formattedCitation" : "&lt;sup&gt;(15)&lt;/sup&gt;", "plainTextFormattedCitation" : "(15)", "previouslyFormattedCitation" : "&lt;sup&gt;(15)&lt;/sup&gt;" }, "properties" : { "noteIndex" : 0 }, "schema" : "https://github.com/citation-style-language/schema/raw/master/csl-citation.json" }</w:instrText>
      </w:r>
      <w:r w:rsidR="00287FC5" w:rsidRPr="000D00EA">
        <w:rPr>
          <w:rFonts w:cs="Times New Roman"/>
          <w:szCs w:val="24"/>
        </w:rPr>
        <w:fldChar w:fldCharType="separate"/>
      </w:r>
      <w:r w:rsidR="00DB3759" w:rsidRPr="000D00EA">
        <w:rPr>
          <w:rFonts w:cs="Times New Roman"/>
          <w:noProof/>
          <w:szCs w:val="24"/>
          <w:vertAlign w:val="superscript"/>
        </w:rPr>
        <w:t>(15)</w:t>
      </w:r>
      <w:r w:rsidR="00287FC5" w:rsidRPr="000D00EA">
        <w:rPr>
          <w:rFonts w:cs="Times New Roman"/>
          <w:szCs w:val="24"/>
        </w:rPr>
        <w:fldChar w:fldCharType="end"/>
      </w:r>
      <w:r w:rsidR="00287FC5" w:rsidRPr="000D00EA">
        <w:rPr>
          <w:rFonts w:cs="Times New Roman"/>
          <w:szCs w:val="24"/>
        </w:rPr>
        <w:t>.</w:t>
      </w:r>
    </w:p>
    <w:p w14:paraId="46C9C471" w14:textId="043B1306" w:rsidR="006F6FF9" w:rsidRPr="000D00EA" w:rsidRDefault="00A8473D" w:rsidP="00C3340F">
      <w:pPr>
        <w:autoSpaceDE w:val="0"/>
        <w:autoSpaceDN w:val="0"/>
        <w:adjustRightInd w:val="0"/>
        <w:spacing w:before="100" w:beforeAutospacing="1" w:after="100" w:afterAutospacing="1" w:line="360" w:lineRule="auto"/>
        <w:ind w:firstLine="720"/>
        <w:jc w:val="both"/>
        <w:rPr>
          <w:rFonts w:cs="Times New Roman"/>
          <w:szCs w:val="24"/>
        </w:rPr>
      </w:pPr>
      <w:r w:rsidRPr="000D00EA">
        <w:rPr>
          <w:rFonts w:cs="Times New Roman"/>
          <w:szCs w:val="24"/>
        </w:rPr>
        <w:lastRenderedPageBreak/>
        <w:t>In</w:t>
      </w:r>
      <w:r w:rsidR="00944DBD" w:rsidRPr="000D00EA">
        <w:rPr>
          <w:rFonts w:cs="Times New Roman"/>
          <w:szCs w:val="24"/>
        </w:rPr>
        <w:t xml:space="preserve"> adult </w:t>
      </w:r>
      <w:r w:rsidR="00C16C03" w:rsidRPr="000D00EA">
        <w:rPr>
          <w:rFonts w:cs="Times New Roman"/>
          <w:szCs w:val="24"/>
        </w:rPr>
        <w:t>participants</w:t>
      </w:r>
      <w:r w:rsidR="00944DBD" w:rsidRPr="000D00EA">
        <w:rPr>
          <w:rFonts w:cs="Times New Roman"/>
          <w:szCs w:val="24"/>
        </w:rPr>
        <w:t>,</w:t>
      </w:r>
      <w:r w:rsidR="00EB536B" w:rsidRPr="000D00EA">
        <w:rPr>
          <w:rFonts w:cs="Times New Roman"/>
          <w:szCs w:val="24"/>
        </w:rPr>
        <w:t xml:space="preserve"> </w:t>
      </w:r>
      <w:r w:rsidR="00323D8C" w:rsidRPr="000D00EA">
        <w:rPr>
          <w:rFonts w:cs="Times New Roman"/>
          <w:szCs w:val="24"/>
        </w:rPr>
        <w:t>di</w:t>
      </w:r>
      <w:r w:rsidR="00F62652" w:rsidRPr="000D00EA">
        <w:rPr>
          <w:rFonts w:cs="Times New Roman"/>
          <w:szCs w:val="24"/>
        </w:rPr>
        <w:t>ff</w:t>
      </w:r>
      <w:r w:rsidR="00323D8C" w:rsidRPr="000D00EA">
        <w:rPr>
          <w:rFonts w:cs="Times New Roman"/>
          <w:szCs w:val="24"/>
        </w:rPr>
        <w:t>erences</w:t>
      </w:r>
      <w:r w:rsidR="00944DBD" w:rsidRPr="000D00EA">
        <w:rPr>
          <w:rFonts w:cs="Times New Roman"/>
          <w:szCs w:val="24"/>
        </w:rPr>
        <w:t xml:space="preserve"> existed</w:t>
      </w:r>
      <w:r w:rsidR="00503020" w:rsidRPr="000D00EA">
        <w:rPr>
          <w:rFonts w:cs="Times New Roman"/>
          <w:szCs w:val="24"/>
        </w:rPr>
        <w:t xml:space="preserve"> solely in </w:t>
      </w:r>
      <w:r w:rsidR="00323D8C" w:rsidRPr="000D00EA">
        <w:rPr>
          <w:rFonts w:cs="Times New Roman"/>
          <w:szCs w:val="24"/>
        </w:rPr>
        <w:t>zi</w:t>
      </w:r>
      <w:r w:rsidRPr="000D00EA">
        <w:rPr>
          <w:rFonts w:cs="Times New Roman"/>
          <w:szCs w:val="24"/>
        </w:rPr>
        <w:t>nc and folate intake</w:t>
      </w:r>
      <w:r w:rsidR="00FA1A8E" w:rsidRPr="000D00EA">
        <w:rPr>
          <w:rFonts w:cs="Times New Roman"/>
          <w:szCs w:val="24"/>
        </w:rPr>
        <w:t>, with the food allergic group having higher intakes of both. However</w:t>
      </w:r>
      <w:r w:rsidR="00944DBD" w:rsidRPr="000D00EA">
        <w:rPr>
          <w:rFonts w:cs="Times New Roman"/>
          <w:szCs w:val="24"/>
        </w:rPr>
        <w:t xml:space="preserve"> </w:t>
      </w:r>
      <w:r w:rsidR="00503020" w:rsidRPr="000D00EA">
        <w:rPr>
          <w:rFonts w:cs="Times New Roman"/>
          <w:szCs w:val="24"/>
        </w:rPr>
        <w:t xml:space="preserve">differences were </w:t>
      </w:r>
      <w:r w:rsidR="006216B0" w:rsidRPr="000D00EA">
        <w:rPr>
          <w:rFonts w:cs="Times New Roman"/>
          <w:szCs w:val="24"/>
        </w:rPr>
        <w:t>only</w:t>
      </w:r>
      <w:r w:rsidR="006F6FF9" w:rsidRPr="000D00EA">
        <w:rPr>
          <w:rFonts w:cs="Times New Roman"/>
          <w:szCs w:val="24"/>
        </w:rPr>
        <w:t xml:space="preserve"> </w:t>
      </w:r>
      <w:r w:rsidR="00503020" w:rsidRPr="000D00EA">
        <w:rPr>
          <w:rFonts w:cs="Times New Roman"/>
          <w:szCs w:val="24"/>
        </w:rPr>
        <w:t xml:space="preserve">apparent </w:t>
      </w:r>
      <w:r w:rsidR="006F6FF9" w:rsidRPr="000D00EA">
        <w:rPr>
          <w:rFonts w:cs="Times New Roman"/>
          <w:szCs w:val="24"/>
        </w:rPr>
        <w:t>when dietary supplements</w:t>
      </w:r>
      <w:r w:rsidR="00503020" w:rsidRPr="000D00EA">
        <w:rPr>
          <w:rFonts w:cs="Times New Roman"/>
          <w:szCs w:val="24"/>
        </w:rPr>
        <w:t xml:space="preserve"> were factored</w:t>
      </w:r>
      <w:r w:rsidR="00C16C03" w:rsidRPr="000D00EA">
        <w:rPr>
          <w:rFonts w:cs="Times New Roman"/>
          <w:szCs w:val="24"/>
        </w:rPr>
        <w:t xml:space="preserve"> in</w:t>
      </w:r>
      <w:r w:rsidR="00323D8C" w:rsidRPr="000D00EA">
        <w:rPr>
          <w:rFonts w:cs="Times New Roman"/>
          <w:szCs w:val="24"/>
        </w:rPr>
        <w:t>.</w:t>
      </w:r>
      <w:r w:rsidR="00FA1A8E" w:rsidRPr="000D00EA">
        <w:rPr>
          <w:rFonts w:cs="Times New Roman"/>
          <w:szCs w:val="24"/>
        </w:rPr>
        <w:t xml:space="preserve"> Due to the paucity of literature related to nutrient intake in adults with food allergy, it is not possible to compare our data</w:t>
      </w:r>
      <w:r w:rsidR="00C16C03" w:rsidRPr="000D00EA">
        <w:rPr>
          <w:rFonts w:cs="Times New Roman"/>
          <w:szCs w:val="24"/>
        </w:rPr>
        <w:t xml:space="preserve"> directly</w:t>
      </w:r>
      <w:r w:rsidR="00FA1A8E" w:rsidRPr="000D00EA">
        <w:rPr>
          <w:rFonts w:cs="Times New Roman"/>
          <w:szCs w:val="24"/>
        </w:rPr>
        <w:t xml:space="preserve"> to other studies. </w:t>
      </w:r>
      <w:r w:rsidR="00C16C03" w:rsidRPr="000D00EA">
        <w:rPr>
          <w:rFonts w:cs="Times New Roman"/>
          <w:szCs w:val="24"/>
        </w:rPr>
        <w:t xml:space="preserve">Kim et al. </w:t>
      </w:r>
      <w:r w:rsidR="00287FC5" w:rsidRPr="000D00EA">
        <w:rPr>
          <w:rFonts w:cs="Times New Roman"/>
          <w:szCs w:val="24"/>
        </w:rPr>
        <w:fldChar w:fldCharType="begin" w:fldLock="1"/>
      </w:r>
      <w:r w:rsidR="00DB3759" w:rsidRPr="000D00EA">
        <w:rPr>
          <w:rFonts w:cs="Times New Roman"/>
          <w:szCs w:val="24"/>
        </w:rPr>
        <w:instrText>ADDIN CSL_CITATION { "citationItems" : [ { "id" : "ITEM-1", "itemData" : { "ISBN" : "8222281828", "author" : [ { "dropping-particle" : "", "family" : "Kim", "given" : "Jungyun", "non-dropping-particle" : "", "parse-names" : false, "suffix" : "" }, { "dropping-particle" : "", "family" : "Kwon", "given" : "Jaryoung", "non-dropping-particle" : "", "parse-names" : false, "suffix" : "" }, { "dropping-particle" : "", "family" : "Noh", "given" : "Geunwoong", "non-dropping-particle" : "", "parse-names" : false, "suffix" : "" }, { "dropping-particle" : "", "family" : "Lee", "given" : "Sang Sun", "non-dropping-particle" : "", "parse-names" : false, "suffix" : "" } ], "id" : "ITEM-1", "issue" : "6", "issued" : { "date-parts" : [ [ "2013" ] ] }, "page" : "488-494", "title" : "The effects of elimination diet on nutritional status in subjects with atopic dermatitis", "type" : "article-journal", "volume" : "7" }, "uris" : [ "http://www.mendeley.com/documents/?uuid=5a3fffb8-f9a0-46dc-8e9b-e8559a295d84" ] } ], "mendeley" : { "formattedCitation" : "&lt;sup&gt;(15)&lt;/sup&gt;", "plainTextFormattedCitation" : "(15)", "previouslyFormattedCitation" : "&lt;sup&gt;(15)&lt;/sup&gt;" }, "properties" : { "noteIndex" : 0 }, "schema" : "https://github.com/citation-style-language/schema/raw/master/csl-citation.json" }</w:instrText>
      </w:r>
      <w:r w:rsidR="00287FC5" w:rsidRPr="000D00EA">
        <w:rPr>
          <w:rFonts w:cs="Times New Roman"/>
          <w:szCs w:val="24"/>
        </w:rPr>
        <w:fldChar w:fldCharType="separate"/>
      </w:r>
      <w:r w:rsidR="00DB3759" w:rsidRPr="000D00EA">
        <w:rPr>
          <w:rFonts w:cs="Times New Roman"/>
          <w:noProof/>
          <w:szCs w:val="24"/>
          <w:vertAlign w:val="superscript"/>
        </w:rPr>
        <w:t>(15)</w:t>
      </w:r>
      <w:r w:rsidR="00287FC5" w:rsidRPr="000D00EA">
        <w:rPr>
          <w:rFonts w:cs="Times New Roman"/>
          <w:szCs w:val="24"/>
        </w:rPr>
        <w:fldChar w:fldCharType="end"/>
      </w:r>
      <w:r w:rsidR="00287FC5" w:rsidRPr="000D00EA">
        <w:rPr>
          <w:rFonts w:cs="Times New Roman"/>
          <w:szCs w:val="24"/>
        </w:rPr>
        <w:t xml:space="preserve"> </w:t>
      </w:r>
      <w:r w:rsidR="00C16C03" w:rsidRPr="000D00EA">
        <w:rPr>
          <w:rFonts w:cs="Times New Roman"/>
          <w:szCs w:val="24"/>
        </w:rPr>
        <w:t>demonstrated higher intakes of calcium, iron, folate and vitamin</w:t>
      </w:r>
      <w:r w:rsidRPr="000D00EA">
        <w:rPr>
          <w:rFonts w:cs="Times New Roman"/>
          <w:szCs w:val="24"/>
        </w:rPr>
        <w:t xml:space="preserve"> E in</w:t>
      </w:r>
      <w:r w:rsidR="00C16C03" w:rsidRPr="000D00EA">
        <w:rPr>
          <w:rFonts w:cs="Times New Roman"/>
          <w:szCs w:val="24"/>
        </w:rPr>
        <w:t xml:space="preserve"> adults with food allergy, however </w:t>
      </w:r>
      <w:r w:rsidR="00287FC5" w:rsidRPr="000D00EA">
        <w:rPr>
          <w:rFonts w:cs="Times New Roman"/>
          <w:szCs w:val="24"/>
        </w:rPr>
        <w:t>the</w:t>
      </w:r>
      <w:r w:rsidR="00747531" w:rsidRPr="000D00EA">
        <w:rPr>
          <w:rFonts w:cs="Times New Roman"/>
          <w:szCs w:val="24"/>
        </w:rPr>
        <w:t xml:space="preserve">y </w:t>
      </w:r>
      <w:r w:rsidRPr="000D00EA">
        <w:rPr>
          <w:rFonts w:cs="Times New Roman"/>
          <w:szCs w:val="24"/>
        </w:rPr>
        <w:t>included</w:t>
      </w:r>
      <w:r w:rsidR="00287FC5" w:rsidRPr="000D00EA">
        <w:rPr>
          <w:rFonts w:cs="Times New Roman"/>
          <w:szCs w:val="24"/>
        </w:rPr>
        <w:t xml:space="preserve"> participants with allergies to atypical foods such as </w:t>
      </w:r>
      <w:r w:rsidR="00287FC5" w:rsidRPr="000D00EA">
        <w:t>beef, pork, and chicken</w:t>
      </w:r>
      <w:r w:rsidR="00747531" w:rsidRPr="000D00EA">
        <w:t>;</w:t>
      </w:r>
      <w:r w:rsidR="00287FC5" w:rsidRPr="000D00EA">
        <w:t xml:space="preserve"> the</w:t>
      </w:r>
      <w:r w:rsidR="00287FC5" w:rsidRPr="000D00EA">
        <w:rPr>
          <w:rFonts w:cs="Times New Roman"/>
          <w:szCs w:val="24"/>
        </w:rPr>
        <w:t xml:space="preserve"> control </w:t>
      </w:r>
      <w:r w:rsidRPr="000D00EA">
        <w:rPr>
          <w:rFonts w:cs="Times New Roman"/>
          <w:szCs w:val="24"/>
        </w:rPr>
        <w:t>participants</w:t>
      </w:r>
      <w:r w:rsidR="00C16C03" w:rsidRPr="000D00EA">
        <w:rPr>
          <w:rFonts w:cs="Times New Roman"/>
          <w:szCs w:val="24"/>
        </w:rPr>
        <w:t xml:space="preserve"> had atopic dermatitis</w:t>
      </w:r>
      <w:r w:rsidRPr="000D00EA">
        <w:rPr>
          <w:rFonts w:cs="Times New Roman"/>
          <w:szCs w:val="24"/>
        </w:rPr>
        <w:t xml:space="preserve"> </w:t>
      </w:r>
      <w:r w:rsidR="00287FC5" w:rsidRPr="000D00EA">
        <w:rPr>
          <w:rFonts w:cs="Times New Roman"/>
          <w:szCs w:val="24"/>
        </w:rPr>
        <w:t xml:space="preserve">and the </w:t>
      </w:r>
      <w:r w:rsidRPr="000D00EA">
        <w:rPr>
          <w:rFonts w:cs="Times New Roman"/>
          <w:szCs w:val="24"/>
        </w:rPr>
        <w:t>contribution</w:t>
      </w:r>
      <w:r w:rsidR="00287FC5" w:rsidRPr="000D00EA">
        <w:rPr>
          <w:rFonts w:cs="Times New Roman"/>
          <w:szCs w:val="24"/>
        </w:rPr>
        <w:t xml:space="preserve"> of dietary supplements was not clear</w:t>
      </w:r>
      <w:r w:rsidR="00C16C03" w:rsidRPr="000D00EA">
        <w:rPr>
          <w:rFonts w:cs="Times New Roman"/>
          <w:szCs w:val="24"/>
        </w:rPr>
        <w:t xml:space="preserve">. </w:t>
      </w:r>
      <w:r w:rsidR="00B939AD" w:rsidRPr="000D00EA">
        <w:rPr>
          <w:rFonts w:cs="Times New Roman"/>
          <w:szCs w:val="24"/>
        </w:rPr>
        <w:t>Nachshon et al.</w:t>
      </w:r>
      <w:r w:rsidR="009F699C" w:rsidRPr="000D00EA">
        <w:rPr>
          <w:rFonts w:cs="Times New Roman"/>
          <w:szCs w:val="24"/>
        </w:rPr>
        <w:t xml:space="preserve"> </w:t>
      </w:r>
      <w:r w:rsidR="00B939AD" w:rsidRPr="000D00EA">
        <w:rPr>
          <w:rFonts w:cs="Times New Roman"/>
          <w:szCs w:val="24"/>
        </w:rPr>
        <w:fldChar w:fldCharType="begin" w:fldLock="1"/>
      </w:r>
      <w:r w:rsidR="00DB3759" w:rsidRPr="000D00EA">
        <w:rPr>
          <w:rFonts w:cs="Times New Roman"/>
          <w:szCs w:val="24"/>
        </w:rPr>
        <w:instrText>ADDIN CSL_CITATION { "citationItems" : [ { "id" : "ITEM-1", "itemData" : { "DOI" : "10.1016/j.jaci.2014.06.026", "ISSN" : "0091-6749", "author" : [ { "dropping-particle" : "", "family" : "Nachshon", "given" : "Liat", "non-dropping-particle" : "", "parse-names" : false, "suffix" : "" }, { "dropping-particle" : "", "family" : "Goldberg", "given" : "Michael R", "non-dropping-particle" : "", "parse-names" : false, "suffix" : "" }, { "dropping-particle" : "", "family" : "Schwartz", "given" : "Naama", "non-dropping-particle" : "", "parse-names" : false, "suffix" : "" }, { "dropping-particle" : "", "family" : "Sinai", "given" : "Tali", "non-dropping-particle" : "", "parse-names" : false, "suffix" : "" } ], "container-title" : "Journal of Allergy and Clinical Immunology", "id" : "ITEM-1", "issue" : "5", "issued" : { "date-parts" : [ [ "2013" ] ] }, "page" : "1108-1113.e3", "publisher" : "Elsevier Ltd", "title" : "Decreased bone mineral density in young adult IgE-mediated cow \u2019 s milk \u2013 allergic patients", "type" : "article-journal", "volume" : "134" }, "uris" : [ "http://www.mendeley.com/documents/?uuid=fd2d952a-74e1-4f7a-957f-23a70d96d2f1" ] } ], "mendeley" : { "formattedCitation" : "&lt;sup&gt;(16)&lt;/sup&gt;", "plainTextFormattedCitation" : "(16)", "previouslyFormattedCitation" : "&lt;sup&gt;(16)&lt;/sup&gt;" }, "properties" : { "noteIndex" : 0 }, "schema" : "https://github.com/citation-style-language/schema/raw/master/csl-citation.json" }</w:instrText>
      </w:r>
      <w:r w:rsidR="00B939AD" w:rsidRPr="000D00EA">
        <w:rPr>
          <w:rFonts w:cs="Times New Roman"/>
          <w:szCs w:val="24"/>
        </w:rPr>
        <w:fldChar w:fldCharType="separate"/>
      </w:r>
      <w:r w:rsidR="00DB3759" w:rsidRPr="000D00EA">
        <w:rPr>
          <w:rFonts w:cs="Times New Roman"/>
          <w:noProof/>
          <w:szCs w:val="24"/>
          <w:vertAlign w:val="superscript"/>
        </w:rPr>
        <w:t>(16)</w:t>
      </w:r>
      <w:r w:rsidR="00B939AD" w:rsidRPr="000D00EA">
        <w:rPr>
          <w:rFonts w:cs="Times New Roman"/>
          <w:szCs w:val="24"/>
        </w:rPr>
        <w:fldChar w:fldCharType="end"/>
      </w:r>
      <w:r w:rsidR="00115D64" w:rsidRPr="000D00EA">
        <w:rPr>
          <w:rFonts w:cs="Times New Roman"/>
          <w:szCs w:val="24"/>
        </w:rPr>
        <w:t xml:space="preserve"> highlighted that </w:t>
      </w:r>
      <w:r w:rsidR="009C5F8B" w:rsidRPr="000D00EA">
        <w:rPr>
          <w:rFonts w:cs="Times New Roman"/>
          <w:szCs w:val="24"/>
        </w:rPr>
        <w:t xml:space="preserve">young </w:t>
      </w:r>
      <w:r w:rsidR="004064A7" w:rsidRPr="000D00EA">
        <w:rPr>
          <w:rFonts w:cs="Times New Roman"/>
          <w:szCs w:val="24"/>
        </w:rPr>
        <w:t xml:space="preserve">adults with milk allergy were at </w:t>
      </w:r>
      <w:r w:rsidR="00747531" w:rsidRPr="000D00EA">
        <w:rPr>
          <w:rFonts w:cs="Times New Roman"/>
          <w:szCs w:val="24"/>
        </w:rPr>
        <w:t>greater</w:t>
      </w:r>
      <w:r w:rsidR="004064A7" w:rsidRPr="000D00EA">
        <w:rPr>
          <w:rFonts w:cs="Times New Roman"/>
          <w:szCs w:val="24"/>
        </w:rPr>
        <w:t xml:space="preserve"> risk for osteoporosis due to lower in</w:t>
      </w:r>
      <w:r w:rsidR="00DC4548" w:rsidRPr="000D00EA">
        <w:rPr>
          <w:rFonts w:cs="Times New Roman"/>
          <w:szCs w:val="24"/>
        </w:rPr>
        <w:t>takes of calcium and phosphorous</w:t>
      </w:r>
      <w:r w:rsidR="004064A7" w:rsidRPr="000D00EA">
        <w:rPr>
          <w:rFonts w:cs="Times New Roman"/>
          <w:szCs w:val="24"/>
        </w:rPr>
        <w:t xml:space="preserve">, however we did not detect a difference in these nutrients, which may be because we </w:t>
      </w:r>
      <w:r w:rsidR="00503020" w:rsidRPr="000D00EA">
        <w:rPr>
          <w:rFonts w:cs="Times New Roman"/>
          <w:szCs w:val="24"/>
        </w:rPr>
        <w:t>recruited</w:t>
      </w:r>
      <w:r w:rsidR="004064A7" w:rsidRPr="000D00EA">
        <w:rPr>
          <w:rFonts w:cs="Times New Roman"/>
          <w:szCs w:val="24"/>
        </w:rPr>
        <w:t xml:space="preserve"> adults with allergies to a range of foods, not </w:t>
      </w:r>
      <w:r w:rsidR="00D91908" w:rsidRPr="000D00EA">
        <w:rPr>
          <w:rFonts w:cs="Times New Roman"/>
          <w:szCs w:val="24"/>
        </w:rPr>
        <w:t>solely</w:t>
      </w:r>
      <w:r w:rsidR="00FA1A8E" w:rsidRPr="000D00EA">
        <w:rPr>
          <w:rFonts w:cs="Times New Roman"/>
          <w:szCs w:val="24"/>
        </w:rPr>
        <w:t xml:space="preserve"> to </w:t>
      </w:r>
      <w:r w:rsidR="004064A7" w:rsidRPr="000D00EA">
        <w:rPr>
          <w:rFonts w:cs="Times New Roman"/>
          <w:szCs w:val="24"/>
        </w:rPr>
        <w:t>milk.</w:t>
      </w:r>
      <w:r w:rsidR="00503020" w:rsidRPr="000D00EA">
        <w:rPr>
          <w:rFonts w:cs="Times New Roman"/>
          <w:szCs w:val="24"/>
        </w:rPr>
        <w:t xml:space="preserve"> </w:t>
      </w:r>
    </w:p>
    <w:p w14:paraId="274E02D0" w14:textId="0589710A" w:rsidR="00E27810" w:rsidRPr="000D00EA" w:rsidRDefault="00323D8C" w:rsidP="00C3340F">
      <w:pPr>
        <w:autoSpaceDE w:val="0"/>
        <w:autoSpaceDN w:val="0"/>
        <w:adjustRightInd w:val="0"/>
        <w:spacing w:before="100" w:beforeAutospacing="1" w:after="100" w:afterAutospacing="1" w:line="360" w:lineRule="auto"/>
        <w:ind w:firstLine="720"/>
        <w:jc w:val="both"/>
        <w:rPr>
          <w:rFonts w:cs="Times New Roman"/>
          <w:szCs w:val="24"/>
        </w:rPr>
      </w:pPr>
      <w:r w:rsidRPr="000D00EA">
        <w:rPr>
          <w:rFonts w:cs="Times New Roman"/>
          <w:szCs w:val="24"/>
        </w:rPr>
        <w:t>This study assessed nutrient intake from</w:t>
      </w:r>
      <w:r w:rsidR="00503020" w:rsidRPr="000D00EA">
        <w:rPr>
          <w:rFonts w:cs="Times New Roman"/>
          <w:szCs w:val="24"/>
        </w:rPr>
        <w:t xml:space="preserve"> both</w:t>
      </w:r>
      <w:r w:rsidRPr="000D00EA">
        <w:rPr>
          <w:rFonts w:cs="Times New Roman"/>
          <w:szCs w:val="24"/>
        </w:rPr>
        <w:t xml:space="preserve"> food sources and dietary supplements. The</w:t>
      </w:r>
      <w:r w:rsidR="00E27810" w:rsidRPr="000D00EA">
        <w:rPr>
          <w:rFonts w:cs="Times New Roman"/>
          <w:szCs w:val="24"/>
        </w:rPr>
        <w:t xml:space="preserve"> </w:t>
      </w:r>
      <w:r w:rsidRPr="000D00EA">
        <w:rPr>
          <w:rFonts w:cs="Times New Roman"/>
          <w:szCs w:val="24"/>
        </w:rPr>
        <w:t xml:space="preserve">percentage </w:t>
      </w:r>
      <w:r w:rsidR="008A5B92" w:rsidRPr="000D00EA">
        <w:rPr>
          <w:rFonts w:cs="Times New Roman"/>
          <w:szCs w:val="24"/>
        </w:rPr>
        <w:t>of supplement use in this study was 21.2 to 34.8%</w:t>
      </w:r>
      <w:r w:rsidR="00070743" w:rsidRPr="000D00EA">
        <w:rPr>
          <w:rFonts w:cs="Times New Roman"/>
          <w:szCs w:val="24"/>
        </w:rPr>
        <w:t>,</w:t>
      </w:r>
      <w:r w:rsidR="008A5B92" w:rsidRPr="000D00EA">
        <w:rPr>
          <w:rFonts w:cs="Times New Roman"/>
          <w:szCs w:val="24"/>
        </w:rPr>
        <w:t xml:space="preserve"> depending on age and </w:t>
      </w:r>
      <w:r w:rsidR="00070743" w:rsidRPr="000D00EA">
        <w:rPr>
          <w:rFonts w:cs="Times New Roman"/>
          <w:szCs w:val="24"/>
        </w:rPr>
        <w:t xml:space="preserve">food </w:t>
      </w:r>
      <w:r w:rsidR="008A5B92" w:rsidRPr="000D00EA">
        <w:rPr>
          <w:rFonts w:cs="Times New Roman"/>
          <w:szCs w:val="24"/>
        </w:rPr>
        <w:t>allergic</w:t>
      </w:r>
      <w:r w:rsidR="00503020" w:rsidRPr="000D00EA">
        <w:rPr>
          <w:rFonts w:cs="Times New Roman"/>
          <w:szCs w:val="24"/>
        </w:rPr>
        <w:t xml:space="preserve"> status</w:t>
      </w:r>
      <w:r w:rsidRPr="000D00EA">
        <w:rPr>
          <w:rFonts w:cs="Times New Roman"/>
          <w:szCs w:val="24"/>
        </w:rPr>
        <w:t xml:space="preserve">. </w:t>
      </w:r>
      <w:r w:rsidR="008A5B92" w:rsidRPr="000D00EA">
        <w:rPr>
          <w:rFonts w:cs="Times New Roman"/>
          <w:szCs w:val="24"/>
        </w:rPr>
        <w:t>Data indicate</w:t>
      </w:r>
      <w:r w:rsidRPr="000D00EA">
        <w:rPr>
          <w:rFonts w:cs="Times New Roman"/>
          <w:szCs w:val="24"/>
        </w:rPr>
        <w:t xml:space="preserve"> that </w:t>
      </w:r>
      <w:r w:rsidR="001E42ED" w:rsidRPr="000D00EA">
        <w:rPr>
          <w:rFonts w:cs="Times New Roman"/>
          <w:szCs w:val="24"/>
        </w:rPr>
        <w:t>some</w:t>
      </w:r>
      <w:r w:rsidRPr="000D00EA">
        <w:rPr>
          <w:rFonts w:cs="Times New Roman"/>
          <w:szCs w:val="24"/>
        </w:rPr>
        <w:t xml:space="preserve"> participants with, but also without food allergies,</w:t>
      </w:r>
      <w:r w:rsidR="00E27810" w:rsidRPr="000D00EA">
        <w:rPr>
          <w:rFonts w:cs="Times New Roman"/>
          <w:szCs w:val="24"/>
        </w:rPr>
        <w:t xml:space="preserve"> </w:t>
      </w:r>
      <w:r w:rsidRPr="000D00EA">
        <w:rPr>
          <w:rFonts w:cs="Times New Roman"/>
          <w:szCs w:val="24"/>
        </w:rPr>
        <w:t xml:space="preserve">would not have met the recommendations without dietary </w:t>
      </w:r>
      <w:r w:rsidR="00B939AD" w:rsidRPr="000D00EA">
        <w:rPr>
          <w:rFonts w:cs="Times New Roman"/>
          <w:szCs w:val="24"/>
        </w:rPr>
        <w:t>supplements</w:t>
      </w:r>
      <w:r w:rsidR="00F516F5" w:rsidRPr="000D00EA">
        <w:rPr>
          <w:rFonts w:cs="Times New Roman"/>
          <w:szCs w:val="24"/>
        </w:rPr>
        <w:t>, particularly for several minerals</w:t>
      </w:r>
      <w:r w:rsidRPr="000D00EA">
        <w:rPr>
          <w:rFonts w:cs="Times New Roman"/>
          <w:szCs w:val="24"/>
        </w:rPr>
        <w:t>. For calcium,</w:t>
      </w:r>
      <w:r w:rsidR="00E27810" w:rsidRPr="000D00EA">
        <w:rPr>
          <w:rFonts w:cs="Times New Roman"/>
          <w:szCs w:val="24"/>
        </w:rPr>
        <w:t xml:space="preserve"> </w:t>
      </w:r>
      <w:r w:rsidRPr="000D00EA">
        <w:rPr>
          <w:rFonts w:cs="Times New Roman"/>
          <w:szCs w:val="24"/>
        </w:rPr>
        <w:t xml:space="preserve">it has been shown among </w:t>
      </w:r>
      <w:r w:rsidR="00BA46C8" w:rsidRPr="000D00EA">
        <w:rPr>
          <w:rFonts w:cs="Times New Roman"/>
          <w:szCs w:val="24"/>
        </w:rPr>
        <w:t>children with food allergies</w:t>
      </w:r>
      <w:r w:rsidR="00B939AD" w:rsidRPr="000D00EA">
        <w:rPr>
          <w:rFonts w:cs="Times New Roman"/>
          <w:szCs w:val="24"/>
        </w:rPr>
        <w:t xml:space="preserve"> </w:t>
      </w:r>
      <w:r w:rsidR="00FA1A8E" w:rsidRPr="000D00EA">
        <w:rPr>
          <w:rFonts w:cs="Times New Roman"/>
          <w:szCs w:val="24"/>
        </w:rPr>
        <w:fldChar w:fldCharType="begin" w:fldLock="1"/>
      </w:r>
      <w:r w:rsidR="00DB3759" w:rsidRPr="000D00EA">
        <w:rPr>
          <w:rFonts w:cs="Times New Roman"/>
          <w:szCs w:val="24"/>
        </w:rPr>
        <w:instrText>ADDIN CSL_CITATION { "citationItems" : [ { "id" : "ITEM-1",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"ITEM-1", "issue" : "11", "issued" : { "date-parts" : [ [ "2002" ] ] }, "page" : "1648-1651", "title" : "Food allergies in children affect nutrient intake and growth", "type" : "article-journal", "volume" : "102" }, "uris" : [ "http://www.mendeley.com/documents/?uuid=6827fd55-4c0e-4fa4-8211-21434ef4c92f" ] }, { "id" : "ITEM-2",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"ITEM-2", "issued" : { "date-parts" : [ [ "2011" ] ] }, "page" : "161-165", "title" : "Diet and nutritional status of children with food allergies.", "type" : "article-journal", "volume" : "22" }, "uris" : [ "http://www.mendeley.com/documents/?uuid=47eac944-9222-4200-b202-eb5eb10e7048" ] }, { "id" : "ITEM-3", "itemData" : { "DOI" : "10.1111/pai.12348", "ISSN" : "09056157", "author" : [ { "dropping-particle" : "", "family" : "Berry", "given" : "Melissa J.", "non-dropping-particle" : "", "parse-names" : false, "suffix" : "" }, { "dropping-particle" : "", "family" : "Adams", "given" : "Jennifer", "non-dropping-particle" : "", "parse-names" : false, "suffix" : "" }, { "dropping-particle" : "", "family" : "Voutilainen", "given" : "Helena", "non-dropping-particle" : "", "parse-names" : false, "suffix" : "" }, { "dropping-particle" : "", "family" : "Feustel", "given" : "Paul J.", "non-dropping-particle" : "", "parse-names" : false, "suffix" : "" }, { "dropping-particle" : "", "family" : "Celestin", "given" : "Jocelyn", "non-dropping-particle" : "", "parse-names" : false, "suffix" : "" }, { "dropping-particle" : "", "family" : "J\u00e4rvinen", "given" : "Kirsi M.", "non-dropping-particle" : "", "parse-names" : false, "suffix" : "" } ], "container-title" : "Pediatric Allergy and Immunology", "id" : "ITEM-3", "issue" : "18", "issued" : { "date-parts" : [ [ "2015" ] ] }, "page" : "n/a-n/a", "title" : "Impact of elimination diets on growth and nutritional status in children with multiple food allergies", "type" : "article-journal", "volume" : "26" }, "uris" : [ "http://www.mendeley.com/documents/?uuid=8fcb7661-f888-4fa9-b0a3-cf2fbbc4580b" ] } ], "mendeley" : { "formattedCitation" : "&lt;sup&gt;(5,6,11)&lt;/sup&gt;", "plainTextFormattedCitation" : "(5,6,11)", "previouslyFormattedCitation" : "&lt;sup&gt;(5,6,11)&lt;/sup&gt;" }, "properties" : { "noteIndex" : 0 }, "schema" : "https://github.com/citation-style-language/schema/raw/master/csl-citation.json" }</w:instrText>
      </w:r>
      <w:r w:rsidR="00FA1A8E" w:rsidRPr="000D00EA">
        <w:rPr>
          <w:rFonts w:cs="Times New Roman"/>
          <w:szCs w:val="24"/>
        </w:rPr>
        <w:fldChar w:fldCharType="separate"/>
      </w:r>
      <w:r w:rsidR="00DB3759" w:rsidRPr="000D00EA">
        <w:rPr>
          <w:rFonts w:cs="Times New Roman"/>
          <w:noProof/>
          <w:szCs w:val="24"/>
          <w:vertAlign w:val="superscript"/>
        </w:rPr>
        <w:t>(5,6,11)</w:t>
      </w:r>
      <w:r w:rsidR="00FA1A8E" w:rsidRPr="000D00EA">
        <w:rPr>
          <w:rFonts w:cs="Times New Roman"/>
          <w:szCs w:val="24"/>
        </w:rPr>
        <w:fldChar w:fldCharType="end"/>
      </w:r>
      <w:r w:rsidR="00BA46C8" w:rsidRPr="000D00EA">
        <w:rPr>
          <w:rFonts w:cs="Times New Roman"/>
          <w:szCs w:val="24"/>
        </w:rPr>
        <w:t xml:space="preserve"> and </w:t>
      </w:r>
      <w:r w:rsidR="00C40066" w:rsidRPr="000D00EA">
        <w:rPr>
          <w:rFonts w:cs="Times New Roman"/>
          <w:szCs w:val="24"/>
        </w:rPr>
        <w:t>adolescents</w:t>
      </w:r>
      <w:r w:rsidR="00070743" w:rsidRPr="000D00EA">
        <w:rPr>
          <w:rFonts w:cs="Times New Roman"/>
          <w:szCs w:val="24"/>
        </w:rPr>
        <w:t xml:space="preserve"> on a cow</w:t>
      </w:r>
      <w:r w:rsidR="00BA46C8" w:rsidRPr="000D00EA">
        <w:rPr>
          <w:rFonts w:cs="Times New Roman"/>
          <w:szCs w:val="24"/>
        </w:rPr>
        <w:t>s</w:t>
      </w:r>
      <w:r w:rsidR="00070743" w:rsidRPr="000D00EA">
        <w:rPr>
          <w:rFonts w:cs="Times New Roman"/>
          <w:szCs w:val="24"/>
        </w:rPr>
        <w:t>’</w:t>
      </w:r>
      <w:r w:rsidR="00BA46C8" w:rsidRPr="000D00EA">
        <w:rPr>
          <w:rFonts w:cs="Times New Roman"/>
          <w:szCs w:val="24"/>
        </w:rPr>
        <w:t xml:space="preserve"> milk free diet</w:t>
      </w:r>
      <w:r w:rsidR="00C159EE" w:rsidRPr="000D00EA">
        <w:rPr>
          <w:rFonts w:cs="Times New Roman"/>
          <w:szCs w:val="24"/>
        </w:rPr>
        <w:t xml:space="preserve"> </w:t>
      </w:r>
      <w:r w:rsidR="00FA1A8E" w:rsidRPr="000D00EA">
        <w:rPr>
          <w:rFonts w:cs="Times New Roman"/>
          <w:szCs w:val="24"/>
        </w:rPr>
        <w:fldChar w:fldCharType="begin" w:fldLock="1"/>
      </w:r>
      <w:r w:rsidR="00C220EC" w:rsidRPr="000D00EA">
        <w:rPr>
          <w:rFonts w:cs="Times New Roman"/>
          <w:szCs w:val="24"/>
        </w:rPr>
        <w:instrText>ADDIN CSL_CITATION { "citationItems" : [ { "id" : "ITEM-1", "itemData" : { "DOI" : "10.1016/j.jada.2006.08.019", "ISBN" : "0002-8223", "ISSN" : "00028223", "PMID" : "17081826", "abstract" : "Background: In the United States, &gt;50% of dietary calcium is provided by milk and milk products. Calcium intakes in the United States are inadequate for many children, and a large proportion do not drink milk or consume dairy products. However, no studies have addressed whether dairy-free diets can provide adequate calcium while meeting other nutrient recommendations. Objective: To determine the highest calcium intake for adolescents obtained from dairy-free diets, and to examine the relationship between intakes of calcium-fortified foods, using citrus juice as an example, and maximal calcium intakes. Design: In the National Health and Nutrition Examination Survey 2001 to 2002, 65 females and 62 males, aged 9 to 18 years, reported no intake of dairy. We used linear programming to generate diets with maximal calcium intake, while meeting Dietary Reference Intakes for a set of nutrients, limiting energy and fat intakes, and not selecting food quantities exceeding amounts usually eaten in the population. Results: With food use and energy and fat constraints, diets formulated by linear programming provided 1,150 and 1,411 mg/day of calcium for girls and boys, respectively. With the Dietary Reference Intakes constraints, these decreased to 869 and 1,160 mg/day. When we introduced 1.5 servings of fortified juice to the diets, the highest calcium intake increased to 1,302 mg/day for girls and to 1,640 mg/day for boys. Conclusions: Adequate intake for calcium cannot be met with dairy-free diets while meeting other nutrient recommendations. To meet the adequate intake for calcium without large changes in dietary patterns, calcium-fortified foods are needed. In addition, greater physical activity and responsible sunlight exposure should be encouraged to promote vitamin D adequacy. ?? 2006 American Dietetic Association.", "author" : [ { "dropping-particle" : "", "family" : "Gao", "given" : "Xiang", "non-dropping-particle" : "", "parse-names" : false, "suffix" : "" }, { "dropping-particle" : "", "family" : "Wilde", "given" : "Parke E.", "non-dropping-particle" : "", "parse-names" : false, "suffix" : "" }, { "dropping-particle" : "", "family" : "Lichtenstein", "given" : "Alice H.", "non-dropping-particle" : "", "parse-names" : false, "suffix" : "" }, { "dropping-particle" : "", "family" : "Tucker", "given" : "Katherine L.", "non-dropping-particle" : "", "parse-names" : false, "suffix" : "" } ], "container-title" : "Journal of the American Dietetic Association", "id" : "ITEM-1", "issue" : "11", "issued" : { "date-parts" : [ [ "2006" ] ] }, "page" : "1759-1765", "title" : "Meeting Adequate Intake for Dietary Calcium without Dairy Foods in Adolescents Aged 9 to 18 Years (National Health and Nutrition Examination Survey 2001-2002)", "type" : "article-journal", "volume" : "106" }, "uris" : [ "http://www.mendeley.com/documents/?uuid=a83514a3-7a6b-4f72-9a1f-66fb8bbc04ea" ] } ], "mendeley" : { "formattedCitation" : "&lt;sup&gt;(39)&lt;/sup&gt;", "plainTextFormattedCitation" : "(39)", "previouslyFormattedCitation" : "&lt;sup&gt;(38)&lt;/sup&gt;" }, "properties" : { "noteIndex" : 0 }, "schema" : "https://github.com/citation-style-language/schema/raw/master/csl-citation.json" }</w:instrText>
      </w:r>
      <w:r w:rsidR="00FA1A8E" w:rsidRPr="000D00EA">
        <w:rPr>
          <w:rFonts w:cs="Times New Roman"/>
          <w:szCs w:val="24"/>
        </w:rPr>
        <w:fldChar w:fldCharType="separate"/>
      </w:r>
      <w:r w:rsidR="00C220EC" w:rsidRPr="000D00EA">
        <w:rPr>
          <w:rFonts w:cs="Times New Roman"/>
          <w:noProof/>
          <w:szCs w:val="24"/>
          <w:vertAlign w:val="superscript"/>
        </w:rPr>
        <w:t>(39)</w:t>
      </w:r>
      <w:r w:rsidR="00FA1A8E" w:rsidRPr="000D00EA">
        <w:rPr>
          <w:rFonts w:cs="Times New Roman"/>
          <w:szCs w:val="24"/>
        </w:rPr>
        <w:fldChar w:fldCharType="end"/>
      </w:r>
      <w:r w:rsidR="00BA46C8" w:rsidRPr="000D00EA">
        <w:rPr>
          <w:rFonts w:cs="Times New Roman"/>
          <w:szCs w:val="24"/>
        </w:rPr>
        <w:t xml:space="preserve"> </w:t>
      </w:r>
      <w:r w:rsidRPr="000D00EA">
        <w:rPr>
          <w:rFonts w:cs="Times New Roman"/>
          <w:szCs w:val="24"/>
        </w:rPr>
        <w:t>that these recommendations</w:t>
      </w:r>
      <w:r w:rsidR="00E27810" w:rsidRPr="000D00EA">
        <w:rPr>
          <w:rFonts w:cs="Times New Roman"/>
          <w:szCs w:val="24"/>
        </w:rPr>
        <w:t xml:space="preserve"> </w:t>
      </w:r>
      <w:r w:rsidRPr="000D00EA">
        <w:rPr>
          <w:rFonts w:cs="Times New Roman"/>
          <w:szCs w:val="24"/>
        </w:rPr>
        <w:t>cannot be met without use of fortified foods</w:t>
      </w:r>
      <w:r w:rsidR="00BA46C8" w:rsidRPr="000D00EA">
        <w:rPr>
          <w:rFonts w:cs="Times New Roman"/>
          <w:szCs w:val="24"/>
        </w:rPr>
        <w:t>, infant formula or dietary supplements</w:t>
      </w:r>
      <w:hyperlink w:anchor="_ENREF_26" w:tooltip="Gao, 2006 #242" w:history="1"/>
      <w:hyperlink w:anchor="_ENREF_12" w:tooltip="Berry, 2015 #4" w:history="1"/>
      <w:r w:rsidR="00F50B5D" w:rsidRPr="000D00EA">
        <w:rPr>
          <w:rFonts w:cs="Times New Roman"/>
          <w:szCs w:val="24"/>
        </w:rPr>
        <w:t xml:space="preserve">. However, </w:t>
      </w:r>
      <w:r w:rsidR="004064A7" w:rsidRPr="000D00EA">
        <w:rPr>
          <w:rFonts w:cs="Times New Roman"/>
          <w:szCs w:val="24"/>
        </w:rPr>
        <w:t>Meyer et al.</w:t>
      </w:r>
      <w:r w:rsidR="00C159EE" w:rsidRPr="000D00EA">
        <w:rPr>
          <w:rFonts w:cs="Times New Roman"/>
          <w:szCs w:val="24"/>
        </w:rPr>
        <w:t xml:space="preserve"> </w:t>
      </w:r>
      <w:r w:rsidR="0007736E" w:rsidRPr="000D00EA">
        <w:rPr>
          <w:rFonts w:cs="Times New Roman"/>
          <w:szCs w:val="24"/>
        </w:rPr>
        <w:fldChar w:fldCharType="begin" w:fldLock="1"/>
      </w:r>
      <w:r w:rsidR="00C220EC" w:rsidRPr="000D00EA">
        <w:rPr>
          <w:rFonts w:cs="Times New Roman"/>
          <w:szCs w:val="24"/>
        </w:rPr>
        <w:instrText>ADDIN CSL_CITATION { "citationItems" : [ { "id" : "ITEM-1", "itemData" : { "DOI" : "10.1186/s13601-015-0054-y", "ISBN" : "1360101500", "ISSN" : "2045-7022", "author" : [ { "dropping-particle" : "", "family" : "Meyer", "given" : "Rosan", "non-dropping-particle" : "", "parse-names" : false, "suffix" : "" }, { "dropping-particle" : "", "family" : "Koker", "given" : "Claire", "non-dropping-particle" : "De", "parse-names" : false, "suffix" : "" }, { "dropping-particle" : "", "family" : "Dziubak", "given" : "Robert", "non-dropping-particle" : "", "parse-names" : false, "suffix" : "" }, { "dropping-particle" : "", "family" : "Skrapac", "given" : "Ana-Kristina", "non-dropping-particle" : "", "parse-names" : false, "suffix" : "" }, { "dropping-particle" : "", "family" : "Godwin", "given" : "Heather", "non-dropping-particle" : "", "parse-names" : false, "suffix" : "" }, { "dropping-particle" : "", "family" : "Reeve", "given" : "Kate", "non-dropping-particle" : "", "parse-names" : false, "suffix" : "" }, { "dropping-particle" : "", "family" : "Chebar-Lozinsky", "given" : "Adriana", "non-dropping-particle" : "", "parse-names" : false, "suffix" : "" }, { "dropping-particle" : "", "family" : "Shah", "given" : "Neil", "non-dropping-particle" : "", "parse-names" : false, "suffix" : "" } ], "container-title" : "Clinical and Translational Allergy", "id" : "ITEM-1", "issue" : "1", "issued" : { "date-parts" : [ [ "2015" ] ] }, "page" : "5-11", "title" : "A practical approach to vitamin and mineral supplementation in food allergic children", "type" : "article-journal", "volume" : "5" }, "uris" : [ "http://www.mendeley.com/documents/?uuid=10bc9151-3661-4613-9279-c95cb6407fc6" ] } ], "mendeley" : { "formattedCitation" : "&lt;sup&gt;(40)&lt;/sup&gt;", "plainTextFormattedCitation" : "(40)", "previouslyFormattedCitation" : "&lt;sup&gt;(39)&lt;/sup&gt;" }, "properties" : { "noteIndex" : 0 }, "schema" : "https://github.com/citation-style-language/schema/raw/master/csl-citation.json" }</w:instrText>
      </w:r>
      <w:r w:rsidR="0007736E" w:rsidRPr="000D00EA">
        <w:rPr>
          <w:rFonts w:cs="Times New Roman"/>
          <w:szCs w:val="24"/>
        </w:rPr>
        <w:fldChar w:fldCharType="separate"/>
      </w:r>
      <w:r w:rsidR="00C220EC" w:rsidRPr="000D00EA">
        <w:rPr>
          <w:rFonts w:cs="Times New Roman"/>
          <w:noProof/>
          <w:szCs w:val="24"/>
          <w:vertAlign w:val="superscript"/>
        </w:rPr>
        <w:t>(40)</w:t>
      </w:r>
      <w:r w:rsidR="0007736E" w:rsidRPr="000D00EA">
        <w:rPr>
          <w:rFonts w:cs="Times New Roman"/>
          <w:szCs w:val="24"/>
        </w:rPr>
        <w:fldChar w:fldCharType="end"/>
      </w:r>
      <w:r w:rsidR="0069038F" w:rsidRPr="000D00EA">
        <w:rPr>
          <w:rFonts w:cs="Times New Roman"/>
          <w:szCs w:val="24"/>
        </w:rPr>
        <w:t xml:space="preserve"> </w:t>
      </w:r>
      <w:hyperlink w:anchor="_ENREF_47" w:tooltip="Meyer, 2015 #10" w:history="1"/>
      <w:r w:rsidR="004064A7" w:rsidRPr="000D00EA">
        <w:rPr>
          <w:rFonts w:cs="Times New Roman"/>
          <w:szCs w:val="24"/>
        </w:rPr>
        <w:t>have shown that even with supplementation deficiency c</w:t>
      </w:r>
      <w:r w:rsidR="00F50B5D" w:rsidRPr="000D00EA">
        <w:rPr>
          <w:rFonts w:cs="Times New Roman"/>
          <w:szCs w:val="24"/>
        </w:rPr>
        <w:t>an occur, as can excess intakes; thus underlying the importance of individualised dietetic advice.</w:t>
      </w:r>
      <w:r w:rsidR="00D6374D" w:rsidRPr="000D00EA">
        <w:rPr>
          <w:rFonts w:cs="Times New Roman"/>
          <w:szCs w:val="24"/>
        </w:rPr>
        <w:t xml:space="preserve"> It is difficult to make </w:t>
      </w:r>
      <w:r w:rsidR="007E1E5C" w:rsidRPr="000D00EA">
        <w:rPr>
          <w:rFonts w:cs="Times New Roman"/>
          <w:szCs w:val="24"/>
        </w:rPr>
        <w:t xml:space="preserve">generalised recommendations on nutritional supplementation of adolescents and adults with food allergy, due to the wide spectrum of foods implicated and differing severity of symptoms. This study is novel and therefore needs to be replicated in other settings in order to establish if patterns of nutrition deficiencies exist. </w:t>
      </w:r>
    </w:p>
    <w:p w14:paraId="66D85781" w14:textId="167FDA8D" w:rsidR="00D14A02" w:rsidRPr="000D00EA" w:rsidRDefault="00D14A02" w:rsidP="00C3340F">
      <w:pPr>
        <w:autoSpaceDE w:val="0"/>
        <w:autoSpaceDN w:val="0"/>
        <w:adjustRightInd w:val="0"/>
        <w:spacing w:before="100" w:beforeAutospacing="1" w:after="100" w:afterAutospacing="1" w:line="360" w:lineRule="auto"/>
        <w:ind w:firstLine="720"/>
        <w:jc w:val="both"/>
        <w:rPr>
          <w:rFonts w:cs="Times New Roman"/>
          <w:szCs w:val="24"/>
        </w:rPr>
      </w:pPr>
      <w:r w:rsidRPr="000D00EA">
        <w:rPr>
          <w:rFonts w:cs="Times New Roman"/>
          <w:szCs w:val="24"/>
        </w:rPr>
        <w:t>Overall, a large number of participants with and without food allergies did not meet</w:t>
      </w:r>
      <w:r w:rsidR="0007736E" w:rsidRPr="000D00EA">
        <w:rPr>
          <w:rFonts w:cs="Times New Roman"/>
          <w:szCs w:val="24"/>
        </w:rPr>
        <w:t xml:space="preserve"> the</w:t>
      </w:r>
      <w:r w:rsidRPr="000D00EA">
        <w:rPr>
          <w:rFonts w:cs="Times New Roman"/>
          <w:szCs w:val="24"/>
        </w:rPr>
        <w:t xml:space="preserve"> RNI for a range of </w:t>
      </w:r>
      <w:r w:rsidR="00F516F5" w:rsidRPr="000D00EA">
        <w:rPr>
          <w:rFonts w:cs="Times New Roman"/>
          <w:szCs w:val="24"/>
        </w:rPr>
        <w:t>minerals</w:t>
      </w:r>
      <w:r w:rsidRPr="000D00EA">
        <w:rPr>
          <w:rFonts w:cs="Times New Roman"/>
          <w:szCs w:val="24"/>
        </w:rPr>
        <w:t xml:space="preserve">. One explanation could be the underestimation of energy intake. If energy intake is underestimated, it is possible that the intake of other </w:t>
      </w:r>
      <w:r w:rsidR="0007736E" w:rsidRPr="000D00EA">
        <w:rPr>
          <w:rFonts w:cs="Times New Roman"/>
          <w:szCs w:val="24"/>
        </w:rPr>
        <w:t xml:space="preserve">nutrients is also underestimated </w:t>
      </w:r>
      <w:r w:rsidR="0007736E" w:rsidRPr="000D00EA">
        <w:rPr>
          <w:rFonts w:cs="Times New Roman"/>
          <w:szCs w:val="24"/>
        </w:rPr>
        <w:fldChar w:fldCharType="begin" w:fldLock="1"/>
      </w:r>
      <w:r w:rsidR="00C220EC" w:rsidRPr="000D00EA">
        <w:rPr>
          <w:rFonts w:cs="Times New Roman"/>
          <w:szCs w:val="24"/>
        </w:rPr>
        <w:instrText>ADDIN CSL_CITATION { "citationItems" : [ { "id" : "ITEM-1", "itemData" : { "ISBN" : "0022-3166 (Print)\\r0022-3166 (Linking)", "ISSN" : "1541-6100", "PMID" : "12612176", "abstract" : "Energy intake (EI) is the foundation of the diet, because all other nutrients must be provided within the quantity of food needed to fulfill the energy requirement. Thus if total EI is underestimated, it is probable that the intakes of other nutrients are also underestimated. Under conditions of weight stability, EI equals energy expenditure (EE). Because at the group level weight may be regarded as stable in the timescale of a dietary assessment, the validity of reported EI can be evaluated by comparing it with either measured EE or an estimate of the energy requirement of the population. This paper provides the first comprehensive review of studies in which EI was reported and EE was measured using the doubly labeled water technique. These conclusively demonstrate widespread bias to the underestimation of EI. Because energy requirements of populations or individuals can be conveniently expressed as multiples of the basal metabolic rate (BMR), EE:BMR, reported EI may also be expressed as EI:BMR for comparison. Values of EI:BMR falling below the 95% confidence limit of agreement between these two measures signify the presence of underreporting. A formula for calculating the lower 95% confidence limit was proposed by Goldberg et al. (the Goldberg cutoff). It has been used by numerous authors to identify individual underreporters in different dietary databases to explore the variables associated with underreporting. These studies are also comprehensively reviewed. They explore the characteristics of underreporters and the biases in estimating nutrient intake and in describing meal patterns associated with underreporting. This review also examines some of the problems for the interpretation of data introduced by underreporting and particularly by variable underreporting across subjects. Future directions for research are identified.", "author" : [ { "dropping-particle" : "", "family" : "Livingstone", "given" : "M Barbara E", "non-dropping-particle" : "", "parse-names" : false, "suffix" : "" }, { "dropping-particle" : "", "family" : "Black", "given" : "Alison E", "non-dropping-particle" : "", "parse-names" : false, "suffix" : "" } ], "container-title" : "Journal of Nutrition", "id" : "ITEM-1", "issued" : { "date-parts" : [ [ "2003" ] ] }, "page" : "895S-920S", "title" : "Markers of the validity of reported energy intake.", "type" : "article-journal", "volume" : "133" }, "uris" : [ "http://www.mendeley.com/documents/?uuid=1567ffb3-7eee-444e-bae7-f4204b86ee89" ] } ], "mendeley" : { "formattedCitation" : "&lt;sup&gt;(41)&lt;/sup&gt;", "plainTextFormattedCitation" : "(41)", "previouslyFormattedCitation" : "&lt;sup&gt;(40)&lt;/sup&gt;" }, "properties" : { "noteIndex" : 0 }, "schema" : "https://github.com/citation-style-language/schema/raw/master/csl-citation.json" }</w:instrText>
      </w:r>
      <w:r w:rsidR="0007736E" w:rsidRPr="000D00EA">
        <w:rPr>
          <w:rFonts w:cs="Times New Roman"/>
          <w:szCs w:val="24"/>
        </w:rPr>
        <w:fldChar w:fldCharType="separate"/>
      </w:r>
      <w:r w:rsidR="00C220EC" w:rsidRPr="000D00EA">
        <w:rPr>
          <w:rFonts w:cs="Times New Roman"/>
          <w:noProof/>
          <w:szCs w:val="24"/>
          <w:vertAlign w:val="superscript"/>
        </w:rPr>
        <w:t>(41)</w:t>
      </w:r>
      <w:r w:rsidR="0007736E" w:rsidRPr="000D00EA">
        <w:rPr>
          <w:rFonts w:cs="Times New Roman"/>
          <w:szCs w:val="24"/>
        </w:rPr>
        <w:fldChar w:fldCharType="end"/>
      </w:r>
      <w:r w:rsidRPr="000D00EA">
        <w:rPr>
          <w:rFonts w:cs="Times New Roman"/>
          <w:szCs w:val="24"/>
        </w:rPr>
        <w:t>. The percentage of under</w:t>
      </w:r>
      <w:r w:rsidR="00A52BAD" w:rsidRPr="000D00EA">
        <w:rPr>
          <w:rFonts w:cs="Times New Roman"/>
          <w:szCs w:val="24"/>
        </w:rPr>
        <w:noBreakHyphen/>
      </w:r>
      <w:r w:rsidRPr="000D00EA">
        <w:rPr>
          <w:rFonts w:cs="Times New Roman"/>
          <w:szCs w:val="24"/>
        </w:rPr>
        <w:t xml:space="preserve">reporters was </w:t>
      </w:r>
      <w:r w:rsidR="00C159EE" w:rsidRPr="000D00EA">
        <w:rPr>
          <w:rFonts w:cs="Times New Roman"/>
          <w:szCs w:val="24"/>
        </w:rPr>
        <w:t xml:space="preserve">higher </w:t>
      </w:r>
      <w:r w:rsidRPr="000D00EA">
        <w:rPr>
          <w:rFonts w:cs="Times New Roman"/>
          <w:szCs w:val="24"/>
        </w:rPr>
        <w:t xml:space="preserve">among </w:t>
      </w:r>
      <w:r w:rsidR="00C40066" w:rsidRPr="000D00EA">
        <w:rPr>
          <w:rFonts w:cs="Times New Roman"/>
          <w:szCs w:val="24"/>
        </w:rPr>
        <w:t>adolescents</w:t>
      </w:r>
      <w:r w:rsidRPr="000D00EA">
        <w:rPr>
          <w:rFonts w:cs="Times New Roman"/>
          <w:szCs w:val="24"/>
        </w:rPr>
        <w:t xml:space="preserve"> </w:t>
      </w:r>
      <w:r w:rsidR="00C159EE" w:rsidRPr="000D00EA">
        <w:rPr>
          <w:rFonts w:cs="Times New Roman"/>
          <w:szCs w:val="24"/>
        </w:rPr>
        <w:t xml:space="preserve">than adults </w:t>
      </w:r>
      <w:r w:rsidR="00156AA3" w:rsidRPr="000D00EA">
        <w:rPr>
          <w:rFonts w:cs="Times New Roman"/>
          <w:szCs w:val="24"/>
        </w:rPr>
        <w:t>(</w:t>
      </w:r>
      <w:r w:rsidR="00D91908" w:rsidRPr="000D00EA">
        <w:rPr>
          <w:rFonts w:cs="Times New Roman"/>
          <w:szCs w:val="24"/>
        </w:rPr>
        <w:t xml:space="preserve">see </w:t>
      </w:r>
      <w:r w:rsidR="0007736E" w:rsidRPr="000D00EA">
        <w:rPr>
          <w:rFonts w:cs="Times New Roman"/>
          <w:szCs w:val="24"/>
        </w:rPr>
        <w:t>Table 1</w:t>
      </w:r>
      <w:r w:rsidR="00156AA3" w:rsidRPr="000D00EA">
        <w:rPr>
          <w:rFonts w:cs="Times New Roman"/>
          <w:szCs w:val="24"/>
        </w:rPr>
        <w:t>)</w:t>
      </w:r>
      <w:r w:rsidRPr="000D00EA">
        <w:rPr>
          <w:rFonts w:cs="Times New Roman"/>
          <w:szCs w:val="24"/>
        </w:rPr>
        <w:t xml:space="preserve">. However, the observed low nutrient intakes </w:t>
      </w:r>
      <w:r w:rsidR="0007736E" w:rsidRPr="000D00EA">
        <w:rPr>
          <w:rFonts w:cs="Times New Roman"/>
          <w:szCs w:val="24"/>
        </w:rPr>
        <w:t>might</w:t>
      </w:r>
      <w:r w:rsidR="00CA15C0" w:rsidRPr="000D00EA">
        <w:rPr>
          <w:rFonts w:cs="Times New Roman"/>
          <w:szCs w:val="24"/>
        </w:rPr>
        <w:t xml:space="preserve"> not</w:t>
      </w:r>
      <w:r w:rsidRPr="000D00EA">
        <w:rPr>
          <w:rFonts w:cs="Times New Roman"/>
          <w:szCs w:val="24"/>
        </w:rPr>
        <w:t xml:space="preserve"> only </w:t>
      </w:r>
      <w:r w:rsidR="00CA15C0" w:rsidRPr="000D00EA">
        <w:rPr>
          <w:rFonts w:cs="Times New Roman"/>
          <w:szCs w:val="24"/>
        </w:rPr>
        <w:t xml:space="preserve">be </w:t>
      </w:r>
      <w:r w:rsidRPr="000D00EA">
        <w:rPr>
          <w:rFonts w:cs="Times New Roman"/>
          <w:szCs w:val="24"/>
        </w:rPr>
        <w:t>a result of under-reporting</w:t>
      </w:r>
      <w:r w:rsidR="0007736E" w:rsidRPr="000D00EA">
        <w:rPr>
          <w:rFonts w:cs="Times New Roman"/>
          <w:szCs w:val="24"/>
        </w:rPr>
        <w:t>,</w:t>
      </w:r>
      <w:r w:rsidRPr="000D00EA">
        <w:rPr>
          <w:rFonts w:cs="Times New Roman"/>
          <w:szCs w:val="24"/>
        </w:rPr>
        <w:t xml:space="preserve"> but rathe</w:t>
      </w:r>
      <w:r w:rsidR="0007736E" w:rsidRPr="000D00EA">
        <w:rPr>
          <w:rFonts w:cs="Times New Roman"/>
          <w:szCs w:val="24"/>
        </w:rPr>
        <w:t>r a matter of poor food choice and low intake of</w:t>
      </w:r>
      <w:r w:rsidRPr="000D00EA">
        <w:rPr>
          <w:rFonts w:cs="Times New Roman"/>
          <w:szCs w:val="24"/>
        </w:rPr>
        <w:t xml:space="preserve"> nutrient-dense foods. </w:t>
      </w:r>
    </w:p>
    <w:p w14:paraId="6A99FF87" w14:textId="6C693316" w:rsidR="00A56096" w:rsidRPr="000D00EA" w:rsidRDefault="00C02377" w:rsidP="00B939AD">
      <w:pPr>
        <w:autoSpaceDE w:val="0"/>
        <w:autoSpaceDN w:val="0"/>
        <w:adjustRightInd w:val="0"/>
        <w:spacing w:before="100" w:beforeAutospacing="1" w:after="100" w:afterAutospacing="1" w:line="360" w:lineRule="auto"/>
        <w:ind w:firstLine="720"/>
        <w:jc w:val="both"/>
        <w:rPr>
          <w:rFonts w:cs="Times New Roman"/>
          <w:szCs w:val="24"/>
        </w:rPr>
      </w:pPr>
      <w:r w:rsidRPr="000D00EA">
        <w:rPr>
          <w:rFonts w:cs="Times New Roman"/>
          <w:szCs w:val="24"/>
        </w:rPr>
        <w:lastRenderedPageBreak/>
        <w:t xml:space="preserve">We recognise some limitations in this study. </w:t>
      </w:r>
      <w:r w:rsidR="00287FC5" w:rsidRPr="000D00EA">
        <w:rPr>
          <w:rFonts w:cs="Times New Roman"/>
          <w:szCs w:val="24"/>
        </w:rPr>
        <w:t>There were differences in the mean age of the food al</w:t>
      </w:r>
      <w:r w:rsidRPr="000D00EA">
        <w:rPr>
          <w:rFonts w:cs="Times New Roman"/>
          <w:szCs w:val="24"/>
        </w:rPr>
        <w:t>lergic and control adult group, however both groups mean age were in their 30s</w:t>
      </w:r>
      <w:r w:rsidR="00287FC5" w:rsidRPr="000D00EA">
        <w:rPr>
          <w:rFonts w:cs="Times New Roman"/>
          <w:szCs w:val="24"/>
        </w:rPr>
        <w:t xml:space="preserve">. </w:t>
      </w:r>
      <w:r w:rsidRPr="000D00EA">
        <w:rPr>
          <w:rFonts w:cs="Times New Roman"/>
          <w:szCs w:val="24"/>
        </w:rPr>
        <w:t xml:space="preserve">There </w:t>
      </w:r>
      <w:proofErr w:type="gramStart"/>
      <w:r w:rsidRPr="000D00EA">
        <w:rPr>
          <w:rFonts w:cs="Times New Roman"/>
          <w:szCs w:val="24"/>
        </w:rPr>
        <w:t>was</w:t>
      </w:r>
      <w:proofErr w:type="gramEnd"/>
      <w:r w:rsidRPr="000D00EA">
        <w:rPr>
          <w:rFonts w:cs="Times New Roman"/>
          <w:szCs w:val="24"/>
        </w:rPr>
        <w:t xml:space="preserve"> a great</w:t>
      </w:r>
      <w:r w:rsidR="00BE59B2" w:rsidRPr="000D00EA">
        <w:rPr>
          <w:rFonts w:cs="Times New Roman"/>
          <w:szCs w:val="24"/>
        </w:rPr>
        <w:t>er</w:t>
      </w:r>
      <w:r w:rsidRPr="000D00EA">
        <w:rPr>
          <w:rFonts w:cs="Times New Roman"/>
          <w:szCs w:val="24"/>
        </w:rPr>
        <w:t xml:space="preserve"> proportion of </w:t>
      </w:r>
      <w:r w:rsidR="00287FC5" w:rsidRPr="000D00EA">
        <w:rPr>
          <w:rFonts w:cs="Times New Roman"/>
          <w:szCs w:val="24"/>
        </w:rPr>
        <w:t xml:space="preserve">males in </w:t>
      </w:r>
      <w:r w:rsidR="00B939AD" w:rsidRPr="000D00EA">
        <w:rPr>
          <w:rFonts w:cs="Times New Roman"/>
          <w:szCs w:val="24"/>
        </w:rPr>
        <w:t>the</w:t>
      </w:r>
      <w:r w:rsidRPr="000D00EA">
        <w:rPr>
          <w:rFonts w:cs="Times New Roman"/>
          <w:szCs w:val="24"/>
        </w:rPr>
        <w:t xml:space="preserve"> food allergy</w:t>
      </w:r>
      <w:r w:rsidR="00B939AD" w:rsidRPr="000D00EA">
        <w:rPr>
          <w:rFonts w:cs="Times New Roman"/>
          <w:szCs w:val="24"/>
        </w:rPr>
        <w:t xml:space="preserve"> </w:t>
      </w:r>
      <w:r w:rsidR="00287FC5" w:rsidRPr="000D00EA">
        <w:rPr>
          <w:rFonts w:cs="Times New Roman"/>
          <w:szCs w:val="24"/>
        </w:rPr>
        <w:t xml:space="preserve">adolescent </w:t>
      </w:r>
      <w:r w:rsidRPr="000D00EA">
        <w:rPr>
          <w:rFonts w:cs="Times New Roman"/>
          <w:szCs w:val="24"/>
        </w:rPr>
        <w:t>group, however this</w:t>
      </w:r>
      <w:r w:rsidR="00B939AD" w:rsidRPr="000D00EA">
        <w:rPr>
          <w:rFonts w:cs="Times New Roman"/>
          <w:szCs w:val="24"/>
        </w:rPr>
        <w:t xml:space="preserve"> </w:t>
      </w:r>
      <w:r w:rsidR="00287FC5" w:rsidRPr="000D00EA">
        <w:rPr>
          <w:rFonts w:cs="Times New Roman"/>
          <w:szCs w:val="24"/>
        </w:rPr>
        <w:t xml:space="preserve">would not have </w:t>
      </w:r>
      <w:r w:rsidR="00B939AD" w:rsidRPr="000D00EA">
        <w:rPr>
          <w:rFonts w:cs="Times New Roman"/>
          <w:szCs w:val="24"/>
        </w:rPr>
        <w:t xml:space="preserve">had </w:t>
      </w:r>
      <w:r w:rsidR="00287FC5" w:rsidRPr="000D00EA">
        <w:rPr>
          <w:rFonts w:cs="Times New Roman"/>
          <w:szCs w:val="24"/>
        </w:rPr>
        <w:t xml:space="preserve">an effect on the nutrient </w:t>
      </w:r>
      <w:r w:rsidR="00B939AD" w:rsidRPr="000D00EA">
        <w:rPr>
          <w:rFonts w:cs="Times New Roman"/>
          <w:szCs w:val="24"/>
        </w:rPr>
        <w:t>intake analysis, which was</w:t>
      </w:r>
      <w:r w:rsidR="00287FC5" w:rsidRPr="000D00EA">
        <w:rPr>
          <w:rFonts w:cs="Times New Roman"/>
          <w:szCs w:val="24"/>
        </w:rPr>
        <w:t xml:space="preserve"> compared to gender specific </w:t>
      </w:r>
      <w:r w:rsidR="00C159EE" w:rsidRPr="000D00EA">
        <w:rPr>
          <w:rFonts w:cs="Times New Roman"/>
          <w:szCs w:val="24"/>
        </w:rPr>
        <w:t>Dietary Recommended Values (</w:t>
      </w:r>
      <w:r w:rsidR="00287FC5" w:rsidRPr="000D00EA">
        <w:rPr>
          <w:rFonts w:cs="Times New Roman"/>
          <w:szCs w:val="24"/>
        </w:rPr>
        <w:t>DRVs</w:t>
      </w:r>
      <w:r w:rsidR="00C159EE" w:rsidRPr="000D00EA">
        <w:rPr>
          <w:rFonts w:cs="Times New Roman"/>
          <w:szCs w:val="24"/>
        </w:rPr>
        <w:t>)</w:t>
      </w:r>
      <w:r w:rsidR="00287FC5" w:rsidRPr="000D00EA">
        <w:rPr>
          <w:rFonts w:cs="Times New Roman"/>
          <w:szCs w:val="24"/>
        </w:rPr>
        <w:t xml:space="preserve">. </w:t>
      </w:r>
      <w:r w:rsidR="00323D8C" w:rsidRPr="000D00EA">
        <w:rPr>
          <w:rFonts w:cs="Times New Roman"/>
          <w:szCs w:val="24"/>
        </w:rPr>
        <w:t>The</w:t>
      </w:r>
      <w:r w:rsidR="00E27810" w:rsidRPr="000D00EA">
        <w:rPr>
          <w:rFonts w:cs="Times New Roman"/>
          <w:szCs w:val="24"/>
        </w:rPr>
        <w:t xml:space="preserve"> </w:t>
      </w:r>
      <w:r w:rsidR="00323D8C" w:rsidRPr="000D00EA">
        <w:rPr>
          <w:rFonts w:cs="Times New Roman"/>
          <w:szCs w:val="24"/>
        </w:rPr>
        <w:t xml:space="preserve">food-allergic </w:t>
      </w:r>
      <w:r w:rsidR="00944DBD" w:rsidRPr="000D00EA">
        <w:rPr>
          <w:rFonts w:cs="Times New Roman"/>
          <w:szCs w:val="24"/>
        </w:rPr>
        <w:t>participants recruited were predominantly</w:t>
      </w:r>
      <w:r w:rsidR="00323D8C" w:rsidRPr="000D00EA">
        <w:rPr>
          <w:rFonts w:cs="Times New Roman"/>
          <w:szCs w:val="24"/>
        </w:rPr>
        <w:t xml:space="preserve"> members of a </w:t>
      </w:r>
      <w:r w:rsidR="00847F13" w:rsidRPr="000D00EA">
        <w:rPr>
          <w:rFonts w:cs="Times New Roman"/>
          <w:szCs w:val="24"/>
        </w:rPr>
        <w:t xml:space="preserve">support </w:t>
      </w:r>
      <w:r w:rsidR="00323D8C" w:rsidRPr="000D00EA">
        <w:rPr>
          <w:rFonts w:cs="Times New Roman"/>
          <w:szCs w:val="24"/>
        </w:rPr>
        <w:t>charity</w:t>
      </w:r>
      <w:r w:rsidR="002668F6" w:rsidRPr="000D00EA">
        <w:rPr>
          <w:rFonts w:cs="Times New Roman"/>
          <w:szCs w:val="24"/>
        </w:rPr>
        <w:t xml:space="preserve">, which </w:t>
      </w:r>
      <w:r w:rsidR="00944DBD" w:rsidRPr="000D00EA">
        <w:rPr>
          <w:rFonts w:cs="Times New Roman"/>
          <w:szCs w:val="24"/>
        </w:rPr>
        <w:t xml:space="preserve">arguably could have </w:t>
      </w:r>
      <w:r w:rsidR="003B664D" w:rsidRPr="000D00EA">
        <w:rPr>
          <w:rFonts w:cs="Times New Roman"/>
          <w:szCs w:val="24"/>
        </w:rPr>
        <w:t xml:space="preserve">attracted </w:t>
      </w:r>
      <w:r w:rsidR="00323D8C" w:rsidRPr="000D00EA">
        <w:rPr>
          <w:rFonts w:cs="Times New Roman"/>
          <w:szCs w:val="24"/>
        </w:rPr>
        <w:t>individuals with high socio-economic status</w:t>
      </w:r>
      <w:r w:rsidR="00156AA3" w:rsidRPr="000D00EA">
        <w:rPr>
          <w:rFonts w:cs="Times New Roman"/>
          <w:szCs w:val="24"/>
        </w:rPr>
        <w:t xml:space="preserve"> and </w:t>
      </w:r>
      <w:r w:rsidR="00323D8C" w:rsidRPr="000D00EA">
        <w:rPr>
          <w:rFonts w:cs="Times New Roman"/>
          <w:szCs w:val="24"/>
        </w:rPr>
        <w:t>more severe food allergies</w:t>
      </w:r>
      <w:r w:rsidR="00156AA3" w:rsidRPr="000D00EA">
        <w:rPr>
          <w:rFonts w:cs="Times New Roman"/>
          <w:szCs w:val="24"/>
        </w:rPr>
        <w:t xml:space="preserve"> who have</w:t>
      </w:r>
      <w:r w:rsidR="00323D8C" w:rsidRPr="000D00EA">
        <w:rPr>
          <w:rFonts w:cs="Times New Roman"/>
          <w:szCs w:val="24"/>
        </w:rPr>
        <w:t xml:space="preserve"> received specialise</w:t>
      </w:r>
      <w:r w:rsidR="00A52BAD" w:rsidRPr="000D00EA">
        <w:rPr>
          <w:rFonts w:cs="Times New Roman"/>
          <w:szCs w:val="24"/>
        </w:rPr>
        <w:t xml:space="preserve">d dietetic advice. The majority </w:t>
      </w:r>
      <w:r w:rsidR="00323D8C" w:rsidRPr="000D00EA">
        <w:rPr>
          <w:rFonts w:cs="Times New Roman"/>
          <w:szCs w:val="24"/>
        </w:rPr>
        <w:t>of control</w:t>
      </w:r>
      <w:r w:rsidR="002668F6" w:rsidRPr="000D00EA">
        <w:rPr>
          <w:rFonts w:cs="Times New Roman"/>
          <w:szCs w:val="24"/>
        </w:rPr>
        <w:t xml:space="preserve"> participants </w:t>
      </w:r>
      <w:r w:rsidR="00323D8C" w:rsidRPr="000D00EA">
        <w:rPr>
          <w:rFonts w:cs="Times New Roman"/>
          <w:szCs w:val="24"/>
        </w:rPr>
        <w:t>were recruited</w:t>
      </w:r>
      <w:r w:rsidR="00AF1ACC" w:rsidRPr="000D00EA">
        <w:rPr>
          <w:rFonts w:cs="Times New Roman"/>
          <w:szCs w:val="24"/>
        </w:rPr>
        <w:t xml:space="preserve"> </w:t>
      </w:r>
      <w:r w:rsidR="00323D8C" w:rsidRPr="000D00EA">
        <w:rPr>
          <w:rFonts w:cs="Times New Roman"/>
          <w:szCs w:val="24"/>
        </w:rPr>
        <w:t>through advertisement</w:t>
      </w:r>
      <w:r w:rsidR="002668F6" w:rsidRPr="000D00EA">
        <w:rPr>
          <w:rFonts w:cs="Times New Roman"/>
          <w:szCs w:val="24"/>
        </w:rPr>
        <w:t>s</w:t>
      </w:r>
      <w:r w:rsidR="006216B0" w:rsidRPr="000D00EA">
        <w:rPr>
          <w:rFonts w:cs="Times New Roman"/>
          <w:szCs w:val="24"/>
        </w:rPr>
        <w:t xml:space="preserve"> on</w:t>
      </w:r>
      <w:r w:rsidR="002668F6" w:rsidRPr="000D00EA">
        <w:rPr>
          <w:rFonts w:cs="Times New Roman"/>
          <w:szCs w:val="24"/>
        </w:rPr>
        <w:t xml:space="preserve"> </w:t>
      </w:r>
      <w:r w:rsidR="00D91908" w:rsidRPr="000D00EA">
        <w:rPr>
          <w:rFonts w:cs="Times New Roman"/>
          <w:szCs w:val="24"/>
        </w:rPr>
        <w:t>u</w:t>
      </w:r>
      <w:r w:rsidR="002668F6" w:rsidRPr="000D00EA">
        <w:rPr>
          <w:rFonts w:cs="Times New Roman"/>
          <w:szCs w:val="24"/>
        </w:rPr>
        <w:t>niversity websites, therefore possibly attracting</w:t>
      </w:r>
      <w:r w:rsidR="00323D8C" w:rsidRPr="000D00EA">
        <w:rPr>
          <w:rFonts w:cs="Times New Roman"/>
          <w:szCs w:val="24"/>
        </w:rPr>
        <w:t xml:space="preserve"> health</w:t>
      </w:r>
      <w:r w:rsidR="00AF1ACC" w:rsidRPr="000D00EA">
        <w:rPr>
          <w:rFonts w:cs="Times New Roman"/>
          <w:szCs w:val="24"/>
        </w:rPr>
        <w:t xml:space="preserve"> </w:t>
      </w:r>
      <w:r w:rsidR="00323D8C" w:rsidRPr="000D00EA">
        <w:rPr>
          <w:rFonts w:cs="Times New Roman"/>
          <w:szCs w:val="24"/>
        </w:rPr>
        <w:t xml:space="preserve">motivated participants. </w:t>
      </w:r>
      <w:r w:rsidR="00A43E55" w:rsidRPr="000D00EA">
        <w:rPr>
          <w:rFonts w:cs="Times New Roman"/>
          <w:szCs w:val="24"/>
        </w:rPr>
        <w:t>Furthermore, the study sample was recruited from Portsmouth</w:t>
      </w:r>
      <w:r w:rsidR="00847F13" w:rsidRPr="000D00EA">
        <w:rPr>
          <w:rFonts w:cs="Times New Roman"/>
          <w:szCs w:val="24"/>
        </w:rPr>
        <w:t xml:space="preserve"> </w:t>
      </w:r>
      <w:r w:rsidR="00A43E55" w:rsidRPr="000D00EA">
        <w:rPr>
          <w:rFonts w:cs="Times New Roman"/>
          <w:szCs w:val="24"/>
        </w:rPr>
        <w:t xml:space="preserve">and the Isle of Wight and </w:t>
      </w:r>
      <w:r w:rsidR="00D91908" w:rsidRPr="000D00EA">
        <w:rPr>
          <w:rFonts w:cs="Times New Roman"/>
          <w:szCs w:val="24"/>
        </w:rPr>
        <w:t xml:space="preserve">may </w:t>
      </w:r>
      <w:r w:rsidR="00A43E55" w:rsidRPr="000D00EA">
        <w:rPr>
          <w:rFonts w:cs="Times New Roman"/>
          <w:szCs w:val="24"/>
        </w:rPr>
        <w:t xml:space="preserve">not </w:t>
      </w:r>
      <w:r w:rsidR="00D91908" w:rsidRPr="000D00EA">
        <w:rPr>
          <w:rFonts w:cs="Times New Roman"/>
          <w:szCs w:val="24"/>
        </w:rPr>
        <w:t xml:space="preserve">be </w:t>
      </w:r>
      <w:r w:rsidR="00A43E55" w:rsidRPr="000D00EA">
        <w:rPr>
          <w:rFonts w:cs="Times New Roman"/>
          <w:szCs w:val="24"/>
        </w:rPr>
        <w:t xml:space="preserve">representative of the general population living in the UK. </w:t>
      </w:r>
      <w:r w:rsidR="00070743" w:rsidRPr="000D00EA">
        <w:rPr>
          <w:rFonts w:cs="Times New Roman"/>
          <w:szCs w:val="24"/>
        </w:rPr>
        <w:t xml:space="preserve">Due to the wide spectrum of food allergies it was not possible to link specific foods with specific nutrient deficiencies within our sample. </w:t>
      </w:r>
      <w:r w:rsidR="00323D8C" w:rsidRPr="000D00EA">
        <w:rPr>
          <w:rFonts w:cs="Times New Roman"/>
          <w:szCs w:val="24"/>
        </w:rPr>
        <w:t>Although the food diary was considered as the most appropriate dietary assessment method</w:t>
      </w:r>
      <w:r w:rsidR="00AF1ACC" w:rsidRPr="000D00EA">
        <w:rPr>
          <w:rFonts w:cs="Times New Roman"/>
          <w:szCs w:val="24"/>
        </w:rPr>
        <w:t xml:space="preserve"> </w:t>
      </w:r>
      <w:r w:rsidR="00323D8C" w:rsidRPr="000D00EA">
        <w:rPr>
          <w:rFonts w:cs="Times New Roman"/>
          <w:szCs w:val="24"/>
        </w:rPr>
        <w:t>for this study, its validity should have ideally been assessed prior to its use. However, validation studies</w:t>
      </w:r>
      <w:r w:rsidR="006C5BE7" w:rsidRPr="000D00EA">
        <w:rPr>
          <w:rFonts w:cs="Times New Roman"/>
          <w:szCs w:val="24"/>
        </w:rPr>
        <w:t xml:space="preserve"> </w:t>
      </w:r>
      <w:r w:rsidR="00323D8C" w:rsidRPr="000D00EA">
        <w:rPr>
          <w:rFonts w:cs="Times New Roman"/>
          <w:szCs w:val="24"/>
        </w:rPr>
        <w:t>are relatively expensive and</w:t>
      </w:r>
      <w:r w:rsidR="00AF1ACC" w:rsidRPr="000D00EA">
        <w:rPr>
          <w:rFonts w:cs="Times New Roman"/>
          <w:szCs w:val="24"/>
        </w:rPr>
        <w:t xml:space="preserve"> </w:t>
      </w:r>
      <w:r w:rsidR="00323D8C" w:rsidRPr="000D00EA">
        <w:rPr>
          <w:rFonts w:cs="Times New Roman"/>
          <w:szCs w:val="24"/>
        </w:rPr>
        <w:t>di</w:t>
      </w:r>
      <w:r w:rsidR="00AF1ACC" w:rsidRPr="000D00EA">
        <w:rPr>
          <w:rFonts w:cs="Times New Roman"/>
          <w:szCs w:val="24"/>
        </w:rPr>
        <w:t>ffi</w:t>
      </w:r>
      <w:r w:rsidR="00323378" w:rsidRPr="000D00EA">
        <w:rPr>
          <w:rFonts w:cs="Times New Roman"/>
          <w:szCs w:val="24"/>
        </w:rPr>
        <w:t>cult to perform</w:t>
      </w:r>
      <w:r w:rsidR="00323D8C" w:rsidRPr="000D00EA">
        <w:rPr>
          <w:rFonts w:cs="Times New Roman"/>
          <w:szCs w:val="24"/>
        </w:rPr>
        <w:t xml:space="preserve">. </w:t>
      </w:r>
      <w:r w:rsidR="003E5947" w:rsidRPr="000D00EA">
        <w:rPr>
          <w:rFonts w:cs="Times New Roman"/>
          <w:szCs w:val="24"/>
        </w:rPr>
        <w:t xml:space="preserve">All food diaries were carefully checked and participants were prompted for missing details over the phone. </w:t>
      </w:r>
      <w:r w:rsidR="00041B50" w:rsidRPr="000D00EA">
        <w:rPr>
          <w:rFonts w:cs="Times New Roman"/>
          <w:szCs w:val="24"/>
        </w:rPr>
        <w:t>Overall</w:t>
      </w:r>
      <w:r w:rsidR="002668F6" w:rsidRPr="000D00EA">
        <w:rPr>
          <w:rFonts w:cs="Times New Roman"/>
          <w:szCs w:val="24"/>
        </w:rPr>
        <w:t xml:space="preserve"> this study was </w:t>
      </w:r>
      <w:r w:rsidRPr="000D00EA">
        <w:rPr>
          <w:rFonts w:cs="Times New Roman"/>
          <w:szCs w:val="24"/>
        </w:rPr>
        <w:t>suitably</w:t>
      </w:r>
      <w:r w:rsidR="002668F6" w:rsidRPr="000D00EA">
        <w:rPr>
          <w:rFonts w:cs="Times New Roman"/>
          <w:szCs w:val="24"/>
        </w:rPr>
        <w:t xml:space="preserve"> powered, with</w:t>
      </w:r>
      <w:r w:rsidR="006216B0" w:rsidRPr="000D00EA">
        <w:rPr>
          <w:rFonts w:cs="Times New Roman"/>
          <w:szCs w:val="24"/>
        </w:rPr>
        <w:t xml:space="preserve"> </w:t>
      </w:r>
      <w:r w:rsidR="00323D8C" w:rsidRPr="000D00EA">
        <w:rPr>
          <w:rFonts w:cs="Times New Roman"/>
          <w:szCs w:val="24"/>
        </w:rPr>
        <w:t>1</w:t>
      </w:r>
      <w:r w:rsidR="004C3112" w:rsidRPr="000D00EA">
        <w:rPr>
          <w:rFonts w:cs="Times New Roman"/>
          <w:szCs w:val="24"/>
        </w:rPr>
        <w:t>51</w:t>
      </w:r>
      <w:r w:rsidR="00323D8C" w:rsidRPr="000D00EA">
        <w:rPr>
          <w:rFonts w:cs="Times New Roman"/>
          <w:szCs w:val="24"/>
        </w:rPr>
        <w:t xml:space="preserve"> participants returning completed food diaries</w:t>
      </w:r>
      <w:r w:rsidR="003E5947" w:rsidRPr="000D00EA">
        <w:rPr>
          <w:rFonts w:cs="Times New Roman"/>
          <w:szCs w:val="24"/>
        </w:rPr>
        <w:t>, which compares very favourably to other similar studies</w:t>
      </w:r>
      <w:r w:rsidR="00323D8C" w:rsidRPr="000D00EA">
        <w:rPr>
          <w:rFonts w:cs="Times New Roman"/>
          <w:szCs w:val="24"/>
        </w:rPr>
        <w:t>.</w:t>
      </w:r>
      <w:r w:rsidR="00B939AD" w:rsidRPr="000D00EA">
        <w:rPr>
          <w:rFonts w:cs="Times New Roman"/>
          <w:szCs w:val="24"/>
        </w:rPr>
        <w:t xml:space="preserve"> </w:t>
      </w:r>
    </w:p>
    <w:p w14:paraId="30ECC66B" w14:textId="1D5A5231" w:rsidR="00A56096" w:rsidRPr="000D00EA" w:rsidRDefault="00071E85">
      <w:pPr>
        <w:autoSpaceDE w:val="0"/>
        <w:autoSpaceDN w:val="0"/>
        <w:adjustRightInd w:val="0"/>
        <w:spacing w:before="100" w:beforeAutospacing="1" w:after="100" w:afterAutospacing="1" w:line="360" w:lineRule="auto"/>
        <w:jc w:val="both"/>
        <w:rPr>
          <w:rFonts w:cs="Times New Roman"/>
          <w:b/>
          <w:szCs w:val="24"/>
        </w:rPr>
      </w:pPr>
      <w:r w:rsidRPr="000D00EA">
        <w:rPr>
          <w:rFonts w:cs="Times New Roman"/>
          <w:b/>
          <w:szCs w:val="24"/>
        </w:rPr>
        <w:t>Conclusion</w:t>
      </w:r>
    </w:p>
    <w:p w14:paraId="306D061C" w14:textId="3A1E9BC5" w:rsidR="00323D8C" w:rsidRPr="000D00EA" w:rsidRDefault="00323D8C">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t>This study provide</w:t>
      </w:r>
      <w:r w:rsidR="006216B0" w:rsidRPr="000D00EA">
        <w:rPr>
          <w:rFonts w:cs="Times New Roman"/>
          <w:szCs w:val="24"/>
        </w:rPr>
        <w:t>s</w:t>
      </w:r>
      <w:r w:rsidRPr="000D00EA">
        <w:rPr>
          <w:rFonts w:cs="Times New Roman"/>
          <w:szCs w:val="24"/>
        </w:rPr>
        <w:t xml:space="preserve"> a comprehensive survey of nutrient intake in </w:t>
      </w:r>
      <w:r w:rsidR="00C40066" w:rsidRPr="000D00EA">
        <w:rPr>
          <w:rFonts w:cs="Times New Roman"/>
          <w:szCs w:val="24"/>
        </w:rPr>
        <w:t>adolescents</w:t>
      </w:r>
      <w:r w:rsidRPr="000D00EA">
        <w:rPr>
          <w:rFonts w:cs="Times New Roman"/>
          <w:szCs w:val="24"/>
        </w:rPr>
        <w:t xml:space="preserve"> and adults with food allergies. It shows that dietary intake</w:t>
      </w:r>
      <w:r w:rsidR="003E5947" w:rsidRPr="000D00EA">
        <w:rPr>
          <w:rFonts w:cs="Times New Roman"/>
          <w:szCs w:val="24"/>
        </w:rPr>
        <w:t xml:space="preserve"> &amp; BMI</w:t>
      </w:r>
      <w:r w:rsidRPr="000D00EA">
        <w:rPr>
          <w:rFonts w:cs="Times New Roman"/>
          <w:szCs w:val="24"/>
        </w:rPr>
        <w:t xml:space="preserve"> between the food-allergic and</w:t>
      </w:r>
      <w:r w:rsidR="00A56096" w:rsidRPr="000D00EA">
        <w:rPr>
          <w:rFonts w:cs="Times New Roman"/>
          <w:szCs w:val="24"/>
        </w:rPr>
        <w:t xml:space="preserve"> </w:t>
      </w:r>
      <w:r w:rsidRPr="000D00EA">
        <w:rPr>
          <w:rFonts w:cs="Times New Roman"/>
          <w:szCs w:val="24"/>
        </w:rPr>
        <w:t xml:space="preserve">the general population </w:t>
      </w:r>
      <w:r w:rsidR="009133F0" w:rsidRPr="000D00EA">
        <w:rPr>
          <w:rFonts w:cs="Times New Roman"/>
          <w:szCs w:val="24"/>
        </w:rPr>
        <w:t xml:space="preserve">is largely similar and in some cases </w:t>
      </w:r>
      <w:r w:rsidR="003E5947" w:rsidRPr="000D00EA">
        <w:rPr>
          <w:rFonts w:cs="Times New Roman"/>
          <w:szCs w:val="24"/>
        </w:rPr>
        <w:t xml:space="preserve">dietary intake was </w:t>
      </w:r>
      <w:r w:rsidR="009133F0" w:rsidRPr="000D00EA">
        <w:rPr>
          <w:rFonts w:cs="Times New Roman"/>
          <w:i/>
          <w:szCs w:val="24"/>
        </w:rPr>
        <w:t>better</w:t>
      </w:r>
      <w:r w:rsidR="009133F0" w:rsidRPr="000D00EA">
        <w:rPr>
          <w:rFonts w:cs="Times New Roman"/>
          <w:szCs w:val="24"/>
        </w:rPr>
        <w:t xml:space="preserve"> in individuals with food allergy</w:t>
      </w:r>
      <w:r w:rsidRPr="000D00EA">
        <w:rPr>
          <w:rFonts w:cs="Times New Roman"/>
          <w:szCs w:val="24"/>
        </w:rPr>
        <w:t xml:space="preserve">. </w:t>
      </w:r>
      <w:r w:rsidR="00B939AD" w:rsidRPr="000D00EA">
        <w:rPr>
          <w:rFonts w:cs="Times New Roman"/>
          <w:szCs w:val="24"/>
        </w:rPr>
        <w:t>However, a</w:t>
      </w:r>
      <w:r w:rsidR="00136A07" w:rsidRPr="000D00EA">
        <w:rPr>
          <w:rFonts w:cs="Times New Roman"/>
          <w:szCs w:val="24"/>
        </w:rPr>
        <w:t xml:space="preserve"> substantial proportion of </w:t>
      </w:r>
      <w:r w:rsidR="00B939AD" w:rsidRPr="000D00EA">
        <w:rPr>
          <w:rFonts w:cs="Times New Roman"/>
          <w:szCs w:val="24"/>
        </w:rPr>
        <w:t>all participants</w:t>
      </w:r>
      <w:r w:rsidR="00136A07" w:rsidRPr="000D00EA">
        <w:rPr>
          <w:rFonts w:cs="Times New Roman"/>
          <w:szCs w:val="24"/>
        </w:rPr>
        <w:t xml:space="preserve"> did</w:t>
      </w:r>
      <w:r w:rsidR="00E8758C" w:rsidRPr="000D00EA">
        <w:rPr>
          <w:rFonts w:cs="Times New Roman"/>
          <w:szCs w:val="24"/>
        </w:rPr>
        <w:t xml:space="preserve"> not</w:t>
      </w:r>
      <w:r w:rsidR="00DF0729" w:rsidRPr="000D00EA">
        <w:rPr>
          <w:rFonts w:cs="Times New Roman"/>
          <w:szCs w:val="24"/>
        </w:rPr>
        <w:t xml:space="preserve"> meet RNIs</w:t>
      </w:r>
      <w:r w:rsidR="00136A07" w:rsidRPr="000D00EA">
        <w:rPr>
          <w:rFonts w:cs="Times New Roman"/>
          <w:szCs w:val="24"/>
        </w:rPr>
        <w:t xml:space="preserve"> for micronutrients</w:t>
      </w:r>
      <w:r w:rsidR="009133F0" w:rsidRPr="000D00EA">
        <w:rPr>
          <w:rFonts w:cs="Times New Roman"/>
          <w:szCs w:val="24"/>
        </w:rPr>
        <w:t>,</w:t>
      </w:r>
      <w:r w:rsidR="00B939AD" w:rsidRPr="000D00EA">
        <w:rPr>
          <w:rFonts w:cs="Times New Roman"/>
          <w:szCs w:val="24"/>
        </w:rPr>
        <w:t xml:space="preserve"> </w:t>
      </w:r>
      <w:r w:rsidR="00070743" w:rsidRPr="000D00EA">
        <w:rPr>
          <w:rFonts w:cs="Times New Roman"/>
          <w:szCs w:val="24"/>
        </w:rPr>
        <w:t xml:space="preserve">particularly minerals, </w:t>
      </w:r>
      <w:r w:rsidR="00B939AD" w:rsidRPr="000D00EA">
        <w:rPr>
          <w:rFonts w:cs="Times New Roman"/>
          <w:szCs w:val="24"/>
        </w:rPr>
        <w:t>which may indicate</w:t>
      </w:r>
      <w:r w:rsidR="009133F0" w:rsidRPr="000D00EA">
        <w:rPr>
          <w:rFonts w:cs="Times New Roman"/>
          <w:szCs w:val="24"/>
        </w:rPr>
        <w:t xml:space="preserve"> </w:t>
      </w:r>
      <w:r w:rsidR="00DF0729" w:rsidRPr="000D00EA">
        <w:rPr>
          <w:rFonts w:cs="Times New Roman"/>
          <w:szCs w:val="24"/>
        </w:rPr>
        <w:t>poor choice of</w:t>
      </w:r>
      <w:r w:rsidR="003E5947" w:rsidRPr="000D00EA">
        <w:rPr>
          <w:rFonts w:cs="Times New Roman"/>
          <w:szCs w:val="24"/>
        </w:rPr>
        <w:t xml:space="preserve"> foods with low nutrient density</w:t>
      </w:r>
      <w:r w:rsidR="00DF0729" w:rsidRPr="000D00EA">
        <w:rPr>
          <w:rFonts w:cs="Times New Roman"/>
          <w:szCs w:val="24"/>
        </w:rPr>
        <w:t>.</w:t>
      </w:r>
      <w:r w:rsidR="004672D6" w:rsidRPr="000D00EA">
        <w:rPr>
          <w:rFonts w:cs="Times New Roman"/>
          <w:szCs w:val="24"/>
        </w:rPr>
        <w:t xml:space="preserve"> This </w:t>
      </w:r>
      <w:r w:rsidR="00B939AD" w:rsidRPr="000D00EA">
        <w:rPr>
          <w:rFonts w:cs="Times New Roman"/>
          <w:szCs w:val="24"/>
        </w:rPr>
        <w:t>underlines</w:t>
      </w:r>
      <w:r w:rsidR="00070743" w:rsidRPr="000D00EA">
        <w:rPr>
          <w:rFonts w:cs="Times New Roman"/>
          <w:szCs w:val="24"/>
        </w:rPr>
        <w:t xml:space="preserve"> the</w:t>
      </w:r>
      <w:r w:rsidR="004672D6" w:rsidRPr="000D00EA">
        <w:rPr>
          <w:rFonts w:cs="Times New Roman"/>
          <w:szCs w:val="24"/>
        </w:rPr>
        <w:t xml:space="preserve"> </w:t>
      </w:r>
      <w:r w:rsidR="00B939AD" w:rsidRPr="000D00EA">
        <w:rPr>
          <w:rFonts w:cs="Times New Roman"/>
          <w:szCs w:val="24"/>
        </w:rPr>
        <w:t xml:space="preserve">importance of </w:t>
      </w:r>
      <w:r w:rsidR="004F0A97" w:rsidRPr="000D00EA">
        <w:rPr>
          <w:rFonts w:cs="Times New Roman"/>
          <w:szCs w:val="24"/>
        </w:rPr>
        <w:t xml:space="preserve">individualised </w:t>
      </w:r>
      <w:r w:rsidR="00B939AD" w:rsidRPr="000D00EA">
        <w:rPr>
          <w:rFonts w:cs="Times New Roman"/>
          <w:szCs w:val="24"/>
        </w:rPr>
        <w:t>dietetic</w:t>
      </w:r>
      <w:r w:rsidR="004672D6" w:rsidRPr="000D00EA">
        <w:rPr>
          <w:rFonts w:cs="Times New Roman"/>
          <w:szCs w:val="24"/>
        </w:rPr>
        <w:t xml:space="preserve"> involvement in the management of food allergies.</w:t>
      </w:r>
      <w:r w:rsidR="004C3112" w:rsidRPr="000D00EA">
        <w:rPr>
          <w:rFonts w:cs="Times New Roman"/>
          <w:szCs w:val="24"/>
        </w:rPr>
        <w:t xml:space="preserve"> </w:t>
      </w:r>
    </w:p>
    <w:p w14:paraId="19C3186C" w14:textId="77777777" w:rsidR="00747531" w:rsidRPr="000D00EA" w:rsidRDefault="00747531" w:rsidP="00747531">
      <w:pPr>
        <w:shd w:val="clear" w:color="auto" w:fill="FFFFFF"/>
        <w:spacing w:after="0" w:line="360" w:lineRule="auto"/>
        <w:jc w:val="both"/>
        <w:rPr>
          <w:rFonts w:cs="Times New Roman"/>
          <w:b/>
          <w:szCs w:val="24"/>
          <w:lang w:val="en"/>
        </w:rPr>
      </w:pPr>
      <w:r w:rsidRPr="000D00EA">
        <w:rPr>
          <w:rFonts w:cs="Times New Roman"/>
          <w:b/>
          <w:szCs w:val="24"/>
          <w:lang w:val="en"/>
        </w:rPr>
        <w:t>TRANSPARENCY DECLARATION</w:t>
      </w:r>
    </w:p>
    <w:p w14:paraId="6C8CA306" w14:textId="6E032655" w:rsidR="00065707" w:rsidRDefault="00747531" w:rsidP="00747531">
      <w:pPr>
        <w:shd w:val="clear" w:color="auto" w:fill="FFFFFF"/>
        <w:spacing w:after="0" w:line="360" w:lineRule="auto"/>
        <w:jc w:val="both"/>
        <w:rPr>
          <w:rFonts w:cs="Times New Roman"/>
          <w:szCs w:val="24"/>
          <w:lang w:val="en"/>
        </w:rPr>
      </w:pPr>
      <w:r w:rsidRPr="000D00EA">
        <w:rPr>
          <w:rFonts w:cs="Times New Roman"/>
          <w:szCs w:val="24"/>
          <w:lang w:val="en"/>
        </w:rPr>
        <w:t>The lead author affirms that this manuscript is an honest, accurate, and transparent account of the study being reported, that no important aspects of the study have been omitted and that any discrepancies from the study as planned (and registered with) have been explained. The reporting of this work is compliant with STROBE guidelines.</w:t>
      </w:r>
    </w:p>
    <w:p w14:paraId="195047DC" w14:textId="77777777" w:rsidR="000D00EA" w:rsidRDefault="000D00EA" w:rsidP="000D00EA">
      <w:pPr>
        <w:autoSpaceDE w:val="0"/>
        <w:autoSpaceDN w:val="0"/>
        <w:adjustRightInd w:val="0"/>
        <w:spacing w:before="100" w:beforeAutospacing="1" w:after="100" w:afterAutospacing="1" w:line="360" w:lineRule="auto"/>
        <w:jc w:val="both"/>
        <w:rPr>
          <w:rFonts w:cs="Times New Roman"/>
          <w:szCs w:val="24"/>
          <w:lang w:val="en"/>
        </w:rPr>
      </w:pPr>
    </w:p>
    <w:p w14:paraId="37E185FC" w14:textId="77777777" w:rsidR="000D00EA" w:rsidRDefault="000D00EA" w:rsidP="000D00EA">
      <w:pPr>
        <w:autoSpaceDE w:val="0"/>
        <w:autoSpaceDN w:val="0"/>
        <w:adjustRightInd w:val="0"/>
        <w:spacing w:before="100" w:beforeAutospacing="1" w:after="100" w:afterAutospacing="1" w:line="360" w:lineRule="auto"/>
        <w:jc w:val="both"/>
        <w:rPr>
          <w:rFonts w:cs="Times New Roman"/>
          <w:szCs w:val="24"/>
          <w:lang w:val="en"/>
        </w:rPr>
      </w:pPr>
    </w:p>
    <w:p w14:paraId="0D1ECDD5" w14:textId="77777777" w:rsidR="000D00EA" w:rsidRDefault="000D00EA" w:rsidP="000D00EA">
      <w:pPr>
        <w:autoSpaceDE w:val="0"/>
        <w:autoSpaceDN w:val="0"/>
        <w:adjustRightInd w:val="0"/>
        <w:spacing w:before="100" w:beforeAutospacing="1" w:after="100" w:afterAutospacing="1" w:line="360" w:lineRule="auto"/>
        <w:jc w:val="both"/>
        <w:rPr>
          <w:rFonts w:cs="Times New Roman"/>
          <w:b/>
          <w:szCs w:val="24"/>
        </w:rPr>
      </w:pPr>
      <w:r>
        <w:rPr>
          <w:rFonts w:cs="Times New Roman"/>
          <w:b/>
          <w:szCs w:val="24"/>
        </w:rPr>
        <w:t>Acknowledgements</w:t>
      </w:r>
    </w:p>
    <w:p w14:paraId="71CB24D1" w14:textId="77777777" w:rsidR="000D00EA" w:rsidRPr="008B785E" w:rsidRDefault="000D00EA" w:rsidP="000D00EA">
      <w:pPr>
        <w:autoSpaceDE w:val="0"/>
        <w:autoSpaceDN w:val="0"/>
        <w:adjustRightInd w:val="0"/>
        <w:spacing w:before="100" w:beforeAutospacing="1" w:after="100" w:afterAutospacing="1" w:line="360" w:lineRule="auto"/>
        <w:jc w:val="both"/>
        <w:rPr>
          <w:rFonts w:cs="Times New Roman"/>
          <w:szCs w:val="24"/>
          <w:lang w:val="en-US"/>
        </w:rPr>
      </w:pPr>
      <w:r>
        <w:rPr>
          <w:rFonts w:cs="Times New Roman"/>
          <w:szCs w:val="24"/>
        </w:rPr>
        <w:t xml:space="preserve">We would like to thank the Anaphylaxis Campaign, local allergy clinics and schools for their help in recruitment, and Maja Berry and Leanne Smith for assistance in data entry. Funding for this study was received from the University </w:t>
      </w:r>
      <w:proofErr w:type="gramStart"/>
      <w:r>
        <w:rPr>
          <w:rFonts w:cs="Times New Roman"/>
          <w:szCs w:val="24"/>
        </w:rPr>
        <w:t>of</w:t>
      </w:r>
      <w:proofErr w:type="gramEnd"/>
      <w:r>
        <w:rPr>
          <w:rFonts w:cs="Times New Roman"/>
          <w:szCs w:val="24"/>
        </w:rPr>
        <w:t xml:space="preserve"> Portsmouth, UK, as part of a studentship grant. </w:t>
      </w:r>
      <w:r w:rsidRPr="002029ED">
        <w:rPr>
          <w:rFonts w:cs="Times New Roman"/>
          <w:szCs w:val="24"/>
          <w:lang w:val="en-US"/>
        </w:rPr>
        <w:t>The authors declare that they have no conflicts of interest.</w:t>
      </w:r>
    </w:p>
    <w:p w14:paraId="5F605161" w14:textId="77777777" w:rsidR="000D00EA" w:rsidRPr="000D00EA" w:rsidRDefault="000D00EA" w:rsidP="00747531">
      <w:pPr>
        <w:shd w:val="clear" w:color="auto" w:fill="FFFFFF"/>
        <w:spacing w:after="0" w:line="360" w:lineRule="auto"/>
        <w:jc w:val="both"/>
        <w:rPr>
          <w:rFonts w:cs="Times New Roman"/>
          <w:szCs w:val="24"/>
          <w:lang w:val="en"/>
        </w:rPr>
      </w:pPr>
    </w:p>
    <w:p w14:paraId="09E28DA2" w14:textId="77777777" w:rsidR="00065707" w:rsidRPr="000D00EA" w:rsidRDefault="00065707">
      <w:pPr>
        <w:rPr>
          <w:rFonts w:cs="Times New Roman"/>
          <w:szCs w:val="24"/>
          <w:lang w:val="en"/>
        </w:rPr>
      </w:pPr>
      <w:r w:rsidRPr="000D00EA">
        <w:rPr>
          <w:rFonts w:cs="Times New Roman"/>
          <w:szCs w:val="24"/>
          <w:lang w:val="en"/>
        </w:rPr>
        <w:br w:type="page"/>
      </w:r>
    </w:p>
    <w:p w14:paraId="72B591CA" w14:textId="53DEE710" w:rsidR="0085797A" w:rsidRPr="000D00EA" w:rsidRDefault="0085797A" w:rsidP="00321487">
      <w:pPr>
        <w:rPr>
          <w:rFonts w:cs="Times New Roman"/>
          <w:szCs w:val="24"/>
          <w:lang w:val="en-US"/>
        </w:rPr>
      </w:pPr>
      <w:r w:rsidRPr="000D00EA">
        <w:rPr>
          <w:rFonts w:cs="Times New Roman"/>
          <w:b/>
          <w:szCs w:val="24"/>
        </w:rPr>
        <w:lastRenderedPageBreak/>
        <w:t>R</w:t>
      </w:r>
      <w:r w:rsidR="00071E85" w:rsidRPr="000D00EA">
        <w:rPr>
          <w:rFonts w:cs="Times New Roman"/>
          <w:b/>
          <w:szCs w:val="24"/>
        </w:rPr>
        <w:t>eferences</w:t>
      </w:r>
    </w:p>
    <w:p w14:paraId="09188F06" w14:textId="58296A2C" w:rsidR="00C220EC" w:rsidRPr="000D00EA" w:rsidRDefault="00747531"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szCs w:val="24"/>
        </w:rPr>
        <w:fldChar w:fldCharType="begin" w:fldLock="1"/>
      </w:r>
      <w:r w:rsidRPr="000D00EA">
        <w:rPr>
          <w:rFonts w:cs="Times New Roman"/>
          <w:szCs w:val="24"/>
        </w:rPr>
        <w:instrText xml:space="preserve">ADDIN Mendeley Bibliography CSL_BIBLIOGRAPHY </w:instrText>
      </w:r>
      <w:r w:rsidRPr="000D00EA">
        <w:rPr>
          <w:rFonts w:cs="Times New Roman"/>
          <w:szCs w:val="24"/>
        </w:rPr>
        <w:fldChar w:fldCharType="separate"/>
      </w:r>
      <w:r w:rsidR="00C220EC" w:rsidRPr="000D00EA">
        <w:rPr>
          <w:rFonts w:cs="Times New Roman"/>
          <w:noProof/>
          <w:szCs w:val="24"/>
        </w:rPr>
        <w:t xml:space="preserve">1. </w:t>
      </w:r>
      <w:r w:rsidR="00C220EC" w:rsidRPr="000D00EA">
        <w:rPr>
          <w:rFonts w:cs="Times New Roman"/>
          <w:noProof/>
          <w:szCs w:val="24"/>
        </w:rPr>
        <w:tab/>
        <w:t xml:space="preserve">Johansson SGO, Bieber T, Dahl R, et al. (2004) Revised nomenclature for allergy for global use: Report of the Nomenclature Review Committee of the World Allergy Organization, October 2003. </w:t>
      </w:r>
      <w:r w:rsidR="00C220EC" w:rsidRPr="000D00EA">
        <w:rPr>
          <w:rFonts w:cs="Times New Roman"/>
          <w:i/>
          <w:iCs/>
          <w:noProof/>
          <w:szCs w:val="24"/>
        </w:rPr>
        <w:t>J. Allergy Clin. Immunol.</w:t>
      </w:r>
      <w:r w:rsidR="00C220EC" w:rsidRPr="000D00EA">
        <w:rPr>
          <w:rFonts w:cs="Times New Roman"/>
          <w:noProof/>
          <w:szCs w:val="24"/>
        </w:rPr>
        <w:t xml:space="preserve"> </w:t>
      </w:r>
      <w:r w:rsidR="00C220EC" w:rsidRPr="000D00EA">
        <w:rPr>
          <w:rFonts w:cs="Times New Roman"/>
          <w:b/>
          <w:bCs/>
          <w:noProof/>
          <w:szCs w:val="24"/>
        </w:rPr>
        <w:t>113</w:t>
      </w:r>
      <w:r w:rsidR="00C220EC" w:rsidRPr="000D00EA">
        <w:rPr>
          <w:rFonts w:cs="Times New Roman"/>
          <w:noProof/>
          <w:szCs w:val="24"/>
        </w:rPr>
        <w:t>, 832–836.</w:t>
      </w:r>
    </w:p>
    <w:p w14:paraId="0E339ECB"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 </w:t>
      </w:r>
      <w:r w:rsidRPr="000D00EA">
        <w:rPr>
          <w:rFonts w:cs="Times New Roman"/>
          <w:noProof/>
          <w:szCs w:val="24"/>
        </w:rPr>
        <w:tab/>
        <w:t xml:space="preserve">Nwaru BI, Hickstein L, Panesar SS, et al. (2014) Prevalence of common food allergies in Europe: A systematic review and meta-analysis. </w:t>
      </w:r>
      <w:r w:rsidRPr="000D00EA">
        <w:rPr>
          <w:rFonts w:cs="Times New Roman"/>
          <w:i/>
          <w:iCs/>
          <w:noProof/>
          <w:szCs w:val="24"/>
        </w:rPr>
        <w:t>Allergy Eur. J. Allergy Clin. Immunol.</w:t>
      </w:r>
      <w:r w:rsidRPr="000D00EA">
        <w:rPr>
          <w:rFonts w:cs="Times New Roman"/>
          <w:noProof/>
          <w:szCs w:val="24"/>
        </w:rPr>
        <w:t xml:space="preserve"> </w:t>
      </w:r>
      <w:r w:rsidRPr="000D00EA">
        <w:rPr>
          <w:rFonts w:cs="Times New Roman"/>
          <w:b/>
          <w:bCs/>
          <w:noProof/>
          <w:szCs w:val="24"/>
        </w:rPr>
        <w:t>69</w:t>
      </w:r>
      <w:r w:rsidRPr="000D00EA">
        <w:rPr>
          <w:rFonts w:cs="Times New Roman"/>
          <w:noProof/>
          <w:szCs w:val="24"/>
        </w:rPr>
        <w:t>, 992–1007.</w:t>
      </w:r>
    </w:p>
    <w:p w14:paraId="6D5F7B67"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 </w:t>
      </w:r>
      <w:r w:rsidRPr="000D00EA">
        <w:rPr>
          <w:rFonts w:cs="Times New Roman"/>
          <w:noProof/>
          <w:szCs w:val="24"/>
        </w:rPr>
        <w:tab/>
        <w:t xml:space="preserve">Boyce JA, Assa’ad A, Burks AW, et al. (2010) Guidelines for the diagnosis and management of food allergy in the United States: report of the NIAID-sponsored expert panel. In </w:t>
      </w:r>
      <w:r w:rsidRPr="000D00EA">
        <w:rPr>
          <w:rFonts w:cs="Times New Roman"/>
          <w:i/>
          <w:iCs/>
          <w:noProof/>
          <w:szCs w:val="24"/>
        </w:rPr>
        <w:t>J. Allergy Clin. Immunol.</w:t>
      </w:r>
      <w:r w:rsidRPr="000D00EA">
        <w:rPr>
          <w:rFonts w:cs="Times New Roman"/>
          <w:noProof/>
          <w:szCs w:val="24"/>
        </w:rPr>
        <w:t>, vol. 126, pp. S1–S58.</w:t>
      </w:r>
    </w:p>
    <w:p w14:paraId="030E1E53"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4. </w:t>
      </w:r>
      <w:r w:rsidRPr="000D00EA">
        <w:rPr>
          <w:rFonts w:cs="Times New Roman"/>
          <w:noProof/>
          <w:szCs w:val="24"/>
        </w:rPr>
        <w:tab/>
        <w:t xml:space="preserve">Venter, Laitinen K &amp; Vlieg-Boerstra B (2012) Nutritional Aspects in Diagnosis and Management of Food Hypersensitivity—The Dietitians Role. </w:t>
      </w:r>
      <w:r w:rsidRPr="000D00EA">
        <w:rPr>
          <w:rFonts w:cs="Times New Roman"/>
          <w:i/>
          <w:iCs/>
          <w:noProof/>
          <w:szCs w:val="24"/>
        </w:rPr>
        <w:t>J. Allergy</w:t>
      </w:r>
      <w:r w:rsidRPr="000D00EA">
        <w:rPr>
          <w:rFonts w:cs="Times New Roman"/>
          <w:noProof/>
          <w:szCs w:val="24"/>
        </w:rPr>
        <w:t xml:space="preserve"> </w:t>
      </w:r>
      <w:r w:rsidRPr="000D00EA">
        <w:rPr>
          <w:rFonts w:cs="Times New Roman"/>
          <w:b/>
          <w:bCs/>
          <w:noProof/>
          <w:szCs w:val="24"/>
        </w:rPr>
        <w:t>2012</w:t>
      </w:r>
      <w:r w:rsidRPr="000D00EA">
        <w:rPr>
          <w:rFonts w:cs="Times New Roman"/>
          <w:noProof/>
          <w:szCs w:val="24"/>
        </w:rPr>
        <w:t>, 1–11.</w:t>
      </w:r>
    </w:p>
    <w:p w14:paraId="4FAE0C06"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5. </w:t>
      </w:r>
      <w:r w:rsidRPr="000D00EA">
        <w:rPr>
          <w:rFonts w:cs="Times New Roman"/>
          <w:noProof/>
          <w:szCs w:val="24"/>
        </w:rPr>
        <w:tab/>
        <w:t xml:space="preserve">Flammarion S, Santos C, Guimber D, et al. (2011) Diet and nutritional status of children with food allergies. </w:t>
      </w:r>
      <w:r w:rsidRPr="000D00EA">
        <w:rPr>
          <w:rFonts w:cs="Times New Roman"/>
          <w:i/>
          <w:iCs/>
          <w:noProof/>
          <w:szCs w:val="24"/>
        </w:rPr>
        <w:t>Pediatr. Allergy Immunol.</w:t>
      </w:r>
      <w:r w:rsidRPr="000D00EA">
        <w:rPr>
          <w:rFonts w:cs="Times New Roman"/>
          <w:noProof/>
          <w:szCs w:val="24"/>
        </w:rPr>
        <w:t xml:space="preserve"> </w:t>
      </w:r>
      <w:r w:rsidRPr="000D00EA">
        <w:rPr>
          <w:rFonts w:cs="Times New Roman"/>
          <w:b/>
          <w:bCs/>
          <w:noProof/>
          <w:szCs w:val="24"/>
        </w:rPr>
        <w:t>22</w:t>
      </w:r>
      <w:r w:rsidRPr="000D00EA">
        <w:rPr>
          <w:rFonts w:cs="Times New Roman"/>
          <w:noProof/>
          <w:szCs w:val="24"/>
        </w:rPr>
        <w:t>, 161–165.</w:t>
      </w:r>
    </w:p>
    <w:p w14:paraId="63103306"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6. </w:t>
      </w:r>
      <w:r w:rsidRPr="000D00EA">
        <w:rPr>
          <w:rFonts w:cs="Times New Roman"/>
          <w:noProof/>
          <w:szCs w:val="24"/>
        </w:rPr>
        <w:tab/>
        <w:t xml:space="preserve">Christie L, Hine RJ, Parker JG, et al. (2002) Food allergies in children affect nutrient intake and growth. </w:t>
      </w:r>
      <w:r w:rsidRPr="000D00EA">
        <w:rPr>
          <w:rFonts w:cs="Times New Roman"/>
          <w:i/>
          <w:iCs/>
          <w:noProof/>
          <w:szCs w:val="24"/>
        </w:rPr>
        <w:t>J. Am. Diet. Assoc.</w:t>
      </w:r>
      <w:r w:rsidRPr="000D00EA">
        <w:rPr>
          <w:rFonts w:cs="Times New Roman"/>
          <w:noProof/>
          <w:szCs w:val="24"/>
        </w:rPr>
        <w:t xml:space="preserve"> </w:t>
      </w:r>
      <w:r w:rsidRPr="000D00EA">
        <w:rPr>
          <w:rFonts w:cs="Times New Roman"/>
          <w:b/>
          <w:bCs/>
          <w:noProof/>
          <w:szCs w:val="24"/>
        </w:rPr>
        <w:t>102</w:t>
      </w:r>
      <w:r w:rsidRPr="000D00EA">
        <w:rPr>
          <w:rFonts w:cs="Times New Roman"/>
          <w:noProof/>
          <w:szCs w:val="24"/>
        </w:rPr>
        <w:t>, 1648–1651.</w:t>
      </w:r>
    </w:p>
    <w:p w14:paraId="7F824CC9"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7. </w:t>
      </w:r>
      <w:r w:rsidRPr="000D00EA">
        <w:rPr>
          <w:rFonts w:cs="Times New Roman"/>
          <w:noProof/>
          <w:szCs w:val="24"/>
        </w:rPr>
        <w:tab/>
        <w:t xml:space="preserve">Henriksen C, Eggesbø M, Halvorsen R, et al. (2000) Nutrient intake among two-year-old children on cows’ milk-restricted diets. </w:t>
      </w:r>
      <w:r w:rsidRPr="000D00EA">
        <w:rPr>
          <w:rFonts w:cs="Times New Roman"/>
          <w:i/>
          <w:iCs/>
          <w:noProof/>
          <w:szCs w:val="24"/>
        </w:rPr>
        <w:t>Acta Paediatr.</w:t>
      </w:r>
      <w:r w:rsidRPr="000D00EA">
        <w:rPr>
          <w:rFonts w:cs="Times New Roman"/>
          <w:noProof/>
          <w:szCs w:val="24"/>
        </w:rPr>
        <w:t xml:space="preserve"> </w:t>
      </w:r>
      <w:r w:rsidRPr="000D00EA">
        <w:rPr>
          <w:rFonts w:cs="Times New Roman"/>
          <w:b/>
          <w:bCs/>
          <w:noProof/>
          <w:szCs w:val="24"/>
        </w:rPr>
        <w:t>89</w:t>
      </w:r>
      <w:r w:rsidRPr="000D00EA">
        <w:rPr>
          <w:rFonts w:cs="Times New Roman"/>
          <w:noProof/>
          <w:szCs w:val="24"/>
        </w:rPr>
        <w:t>, 272–278.</w:t>
      </w:r>
    </w:p>
    <w:p w14:paraId="44C8B288"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8. </w:t>
      </w:r>
      <w:r w:rsidRPr="000D00EA">
        <w:rPr>
          <w:rFonts w:cs="Times New Roman"/>
          <w:noProof/>
          <w:szCs w:val="24"/>
        </w:rPr>
        <w:tab/>
        <w:t xml:space="preserve">Robbins KA, Wood RA &amp; Keet CA (2014) Milk allergy is associated with decreased growth in US children. </w:t>
      </w:r>
      <w:r w:rsidRPr="000D00EA">
        <w:rPr>
          <w:rFonts w:cs="Times New Roman"/>
          <w:i/>
          <w:iCs/>
          <w:noProof/>
          <w:szCs w:val="24"/>
        </w:rPr>
        <w:t>J. Allergy Clin. Immunol.</w:t>
      </w:r>
      <w:r w:rsidRPr="000D00EA">
        <w:rPr>
          <w:rFonts w:cs="Times New Roman"/>
          <w:noProof/>
          <w:szCs w:val="24"/>
        </w:rPr>
        <w:t xml:space="preserve"> </w:t>
      </w:r>
      <w:r w:rsidRPr="000D00EA">
        <w:rPr>
          <w:rFonts w:cs="Times New Roman"/>
          <w:b/>
          <w:bCs/>
          <w:noProof/>
          <w:szCs w:val="24"/>
        </w:rPr>
        <w:t>134</w:t>
      </w:r>
      <w:r w:rsidRPr="000D00EA">
        <w:rPr>
          <w:rFonts w:cs="Times New Roman"/>
          <w:noProof/>
          <w:szCs w:val="24"/>
        </w:rPr>
        <w:t>, 1466–1468.e6. American Academy of Allergy, Asthma &amp; Immunology.</w:t>
      </w:r>
    </w:p>
    <w:p w14:paraId="6275DA74"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9. </w:t>
      </w:r>
      <w:r w:rsidRPr="000D00EA">
        <w:rPr>
          <w:rFonts w:cs="Times New Roman"/>
          <w:noProof/>
          <w:szCs w:val="24"/>
        </w:rPr>
        <w:tab/>
        <w:t xml:space="preserve">Vieira MC, Morais MB, Spolidoro JVN, et al. (2010) A survey on clinical presentation and nutritional status of infants with suspected cow’ milk allergy. </w:t>
      </w:r>
      <w:r w:rsidRPr="000D00EA">
        <w:rPr>
          <w:rFonts w:cs="Times New Roman"/>
          <w:i/>
          <w:iCs/>
          <w:noProof/>
          <w:szCs w:val="24"/>
        </w:rPr>
        <w:t>BMC Pediatr.</w:t>
      </w:r>
      <w:r w:rsidRPr="000D00EA">
        <w:rPr>
          <w:rFonts w:cs="Times New Roman"/>
          <w:noProof/>
          <w:szCs w:val="24"/>
        </w:rPr>
        <w:t xml:space="preserve"> </w:t>
      </w:r>
      <w:r w:rsidRPr="000D00EA">
        <w:rPr>
          <w:rFonts w:cs="Times New Roman"/>
          <w:b/>
          <w:bCs/>
          <w:noProof/>
          <w:szCs w:val="24"/>
        </w:rPr>
        <w:t>10</w:t>
      </w:r>
      <w:r w:rsidRPr="000D00EA">
        <w:rPr>
          <w:rFonts w:cs="Times New Roman"/>
          <w:noProof/>
          <w:szCs w:val="24"/>
        </w:rPr>
        <w:t>, 25.</w:t>
      </w:r>
    </w:p>
    <w:p w14:paraId="5E4A862E"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10. </w:t>
      </w:r>
      <w:r w:rsidRPr="000D00EA">
        <w:rPr>
          <w:rFonts w:cs="Times New Roman"/>
          <w:noProof/>
          <w:szCs w:val="24"/>
        </w:rPr>
        <w:tab/>
        <w:t xml:space="preserve">Thomassen R, Kvammen J, Eskerud M, et al. (2017) Iodine Status and Growth in 0-2-Year-Old Infants With Cow’s Milk Protein Allergy. </w:t>
      </w:r>
      <w:r w:rsidRPr="000D00EA">
        <w:rPr>
          <w:rFonts w:cs="Times New Roman"/>
          <w:i/>
          <w:iCs/>
          <w:noProof/>
          <w:szCs w:val="24"/>
        </w:rPr>
        <w:t>J. Pediatr. Gastroenterol. Nutr.</w:t>
      </w:r>
      <w:r w:rsidRPr="000D00EA">
        <w:rPr>
          <w:rFonts w:cs="Times New Roman"/>
          <w:noProof/>
          <w:szCs w:val="24"/>
        </w:rPr>
        <w:t xml:space="preserve"> </w:t>
      </w:r>
      <w:r w:rsidRPr="000D00EA">
        <w:rPr>
          <w:rFonts w:cs="Times New Roman"/>
          <w:b/>
          <w:bCs/>
          <w:noProof/>
          <w:szCs w:val="24"/>
        </w:rPr>
        <w:t>Epub ahead</w:t>
      </w:r>
      <w:r w:rsidRPr="000D00EA">
        <w:rPr>
          <w:rFonts w:cs="Times New Roman"/>
          <w:noProof/>
          <w:szCs w:val="24"/>
        </w:rPr>
        <w:t>.</w:t>
      </w:r>
    </w:p>
    <w:p w14:paraId="6C0A7E15"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11. </w:t>
      </w:r>
      <w:r w:rsidRPr="000D00EA">
        <w:rPr>
          <w:rFonts w:cs="Times New Roman"/>
          <w:noProof/>
          <w:szCs w:val="24"/>
        </w:rPr>
        <w:tab/>
        <w:t xml:space="preserve">Berry MJ, Adams J, Voutilainen H, et al. (2015) Impact of elimination diets on growth and nutritional status in children with multiple food allergies. </w:t>
      </w:r>
      <w:r w:rsidRPr="000D00EA">
        <w:rPr>
          <w:rFonts w:cs="Times New Roman"/>
          <w:i/>
          <w:iCs/>
          <w:noProof/>
          <w:szCs w:val="24"/>
        </w:rPr>
        <w:t>Pediatr. Allergy Immunol.</w:t>
      </w:r>
      <w:r w:rsidRPr="000D00EA">
        <w:rPr>
          <w:rFonts w:cs="Times New Roman"/>
          <w:noProof/>
          <w:szCs w:val="24"/>
        </w:rPr>
        <w:t xml:space="preserve"> </w:t>
      </w:r>
      <w:r w:rsidRPr="000D00EA">
        <w:rPr>
          <w:rFonts w:cs="Times New Roman"/>
          <w:b/>
          <w:bCs/>
          <w:noProof/>
          <w:szCs w:val="24"/>
        </w:rPr>
        <w:t>26</w:t>
      </w:r>
      <w:r w:rsidRPr="000D00EA">
        <w:rPr>
          <w:rFonts w:cs="Times New Roman"/>
          <w:noProof/>
          <w:szCs w:val="24"/>
        </w:rPr>
        <w:t>, n/a-n/a.</w:t>
      </w:r>
    </w:p>
    <w:p w14:paraId="6993D0A1"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12. </w:t>
      </w:r>
      <w:r w:rsidRPr="000D00EA">
        <w:rPr>
          <w:rFonts w:cs="Times New Roman"/>
          <w:noProof/>
          <w:szCs w:val="24"/>
        </w:rPr>
        <w:tab/>
        <w:t xml:space="preserve">Meyer R, De Koker C, Dziubak R, et al. (2014) Malnutrition in children with food allergies in the UK. </w:t>
      </w:r>
      <w:r w:rsidRPr="000D00EA">
        <w:rPr>
          <w:rFonts w:cs="Times New Roman"/>
          <w:i/>
          <w:iCs/>
          <w:noProof/>
          <w:szCs w:val="24"/>
        </w:rPr>
        <w:t>J. Hum. Nutr. Diet.</w:t>
      </w:r>
      <w:r w:rsidRPr="000D00EA">
        <w:rPr>
          <w:rFonts w:cs="Times New Roman"/>
          <w:noProof/>
          <w:szCs w:val="24"/>
        </w:rPr>
        <w:t xml:space="preserve"> </w:t>
      </w:r>
      <w:r w:rsidRPr="000D00EA">
        <w:rPr>
          <w:rFonts w:cs="Times New Roman"/>
          <w:b/>
          <w:bCs/>
          <w:noProof/>
          <w:szCs w:val="24"/>
        </w:rPr>
        <w:t>27</w:t>
      </w:r>
      <w:r w:rsidRPr="000D00EA">
        <w:rPr>
          <w:rFonts w:cs="Times New Roman"/>
          <w:noProof/>
          <w:szCs w:val="24"/>
        </w:rPr>
        <w:t>, 227–235.</w:t>
      </w:r>
    </w:p>
    <w:p w14:paraId="66B7AAFE"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13. </w:t>
      </w:r>
      <w:r w:rsidRPr="000D00EA">
        <w:rPr>
          <w:rFonts w:cs="Times New Roman"/>
          <w:noProof/>
          <w:szCs w:val="24"/>
        </w:rPr>
        <w:tab/>
        <w:t xml:space="preserve">Mehta H, Ramesh M, Feuille E, et al. (2014) Growth Comparison in children with and without food allergies in 2 different demographic populations. </w:t>
      </w:r>
      <w:r w:rsidRPr="000D00EA">
        <w:rPr>
          <w:rFonts w:cs="Times New Roman"/>
          <w:i/>
          <w:iCs/>
          <w:noProof/>
          <w:szCs w:val="24"/>
        </w:rPr>
        <w:t>J. Pediatr.</w:t>
      </w:r>
      <w:r w:rsidRPr="000D00EA">
        <w:rPr>
          <w:rFonts w:cs="Times New Roman"/>
          <w:noProof/>
          <w:szCs w:val="24"/>
        </w:rPr>
        <w:t xml:space="preserve"> </w:t>
      </w:r>
      <w:r w:rsidRPr="000D00EA">
        <w:rPr>
          <w:rFonts w:cs="Times New Roman"/>
          <w:b/>
          <w:bCs/>
          <w:noProof/>
          <w:szCs w:val="24"/>
        </w:rPr>
        <w:t>165</w:t>
      </w:r>
      <w:r w:rsidRPr="000D00EA">
        <w:rPr>
          <w:rFonts w:cs="Times New Roman"/>
          <w:noProof/>
          <w:szCs w:val="24"/>
        </w:rPr>
        <w:t>, 842–848.</w:t>
      </w:r>
    </w:p>
    <w:p w14:paraId="2F27D1CE"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lastRenderedPageBreak/>
        <w:t xml:space="preserve">14. </w:t>
      </w:r>
      <w:r w:rsidRPr="000D00EA">
        <w:rPr>
          <w:rFonts w:cs="Times New Roman"/>
          <w:noProof/>
          <w:szCs w:val="24"/>
        </w:rPr>
        <w:tab/>
        <w:t xml:space="preserve">Sova C, Feuling MB, Baumler M, et al. (2013) Systematic Review of Nutrient Intake and Growth in Children with Multiple IgE-Mediated Food Allergies. </w:t>
      </w:r>
      <w:r w:rsidRPr="000D00EA">
        <w:rPr>
          <w:rFonts w:cs="Times New Roman"/>
          <w:i/>
          <w:iCs/>
          <w:noProof/>
          <w:szCs w:val="24"/>
        </w:rPr>
        <w:t>Nutr Clin Pr.</w:t>
      </w:r>
      <w:r w:rsidRPr="000D00EA">
        <w:rPr>
          <w:rFonts w:cs="Times New Roman"/>
          <w:noProof/>
          <w:szCs w:val="24"/>
        </w:rPr>
        <w:t xml:space="preserve"> </w:t>
      </w:r>
      <w:r w:rsidRPr="000D00EA">
        <w:rPr>
          <w:rFonts w:cs="Times New Roman"/>
          <w:b/>
          <w:bCs/>
          <w:noProof/>
          <w:szCs w:val="24"/>
        </w:rPr>
        <w:t>28</w:t>
      </w:r>
      <w:r w:rsidRPr="000D00EA">
        <w:rPr>
          <w:rFonts w:cs="Times New Roman"/>
          <w:noProof/>
          <w:szCs w:val="24"/>
        </w:rPr>
        <w:t>, 669–675.</w:t>
      </w:r>
    </w:p>
    <w:p w14:paraId="25A88528"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15. </w:t>
      </w:r>
      <w:r w:rsidRPr="000D00EA">
        <w:rPr>
          <w:rFonts w:cs="Times New Roman"/>
          <w:noProof/>
          <w:szCs w:val="24"/>
        </w:rPr>
        <w:tab/>
        <w:t xml:space="preserve">Kim J, Kwon J, Noh G, et al. (2013) The effects of elimination diet on nutritional status in subjects with atopic dermatitis. </w:t>
      </w:r>
      <w:r w:rsidRPr="000D00EA">
        <w:rPr>
          <w:rFonts w:cs="Times New Roman"/>
          <w:b/>
          <w:bCs/>
          <w:noProof/>
          <w:szCs w:val="24"/>
        </w:rPr>
        <w:t>7</w:t>
      </w:r>
      <w:r w:rsidRPr="000D00EA">
        <w:rPr>
          <w:rFonts w:cs="Times New Roman"/>
          <w:noProof/>
          <w:szCs w:val="24"/>
        </w:rPr>
        <w:t>, 488–494.</w:t>
      </w:r>
    </w:p>
    <w:p w14:paraId="4D0927A5"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16. </w:t>
      </w:r>
      <w:r w:rsidRPr="000D00EA">
        <w:rPr>
          <w:rFonts w:cs="Times New Roman"/>
          <w:noProof/>
          <w:szCs w:val="24"/>
        </w:rPr>
        <w:tab/>
        <w:t xml:space="preserve">Nachshon L, Goldberg MR, Schwartz N, et al. (2013) Decreased bone mineral density in young adult IgE-mediated cow ’ s milk – allergic patients. </w:t>
      </w:r>
      <w:r w:rsidRPr="000D00EA">
        <w:rPr>
          <w:rFonts w:cs="Times New Roman"/>
          <w:i/>
          <w:iCs/>
          <w:noProof/>
          <w:szCs w:val="24"/>
        </w:rPr>
        <w:t>J. Allergy Clin. Immunol.</w:t>
      </w:r>
      <w:r w:rsidRPr="000D00EA">
        <w:rPr>
          <w:rFonts w:cs="Times New Roman"/>
          <w:noProof/>
          <w:szCs w:val="24"/>
        </w:rPr>
        <w:t xml:space="preserve"> </w:t>
      </w:r>
      <w:r w:rsidRPr="000D00EA">
        <w:rPr>
          <w:rFonts w:cs="Times New Roman"/>
          <w:b/>
          <w:bCs/>
          <w:noProof/>
          <w:szCs w:val="24"/>
        </w:rPr>
        <w:t>134</w:t>
      </w:r>
      <w:r w:rsidRPr="000D00EA">
        <w:rPr>
          <w:rFonts w:cs="Times New Roman"/>
          <w:noProof/>
          <w:szCs w:val="24"/>
        </w:rPr>
        <w:t>, 1108–1113.e3. Elsevier Ltd.</w:t>
      </w:r>
    </w:p>
    <w:p w14:paraId="7342D628"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17. </w:t>
      </w:r>
      <w:r w:rsidRPr="000D00EA">
        <w:rPr>
          <w:rFonts w:cs="Times New Roman"/>
          <w:noProof/>
          <w:szCs w:val="24"/>
        </w:rPr>
        <w:tab/>
        <w:t xml:space="preserve">Skypala IJ, Bull S, Deegan K, et al. (2013) The prevalence of PFS and prevalence and characteristics of reported food allergy; a survey of UK adults aged 18-75 incorporating a validated PFS diagnostic questionnaire. </w:t>
      </w:r>
      <w:r w:rsidRPr="000D00EA">
        <w:rPr>
          <w:rFonts w:cs="Times New Roman"/>
          <w:i/>
          <w:iCs/>
          <w:noProof/>
          <w:szCs w:val="24"/>
        </w:rPr>
        <w:t>Clin. Exp. Allergy</w:t>
      </w:r>
      <w:r w:rsidRPr="000D00EA">
        <w:rPr>
          <w:rFonts w:cs="Times New Roman"/>
          <w:noProof/>
          <w:szCs w:val="24"/>
        </w:rPr>
        <w:t xml:space="preserve"> </w:t>
      </w:r>
      <w:r w:rsidRPr="000D00EA">
        <w:rPr>
          <w:rFonts w:cs="Times New Roman"/>
          <w:b/>
          <w:bCs/>
          <w:noProof/>
          <w:szCs w:val="24"/>
        </w:rPr>
        <w:t>43</w:t>
      </w:r>
      <w:r w:rsidRPr="000D00EA">
        <w:rPr>
          <w:rFonts w:cs="Times New Roman"/>
          <w:noProof/>
          <w:szCs w:val="24"/>
        </w:rPr>
        <w:t>, 928–940.</w:t>
      </w:r>
    </w:p>
    <w:p w14:paraId="661EA7FA"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18. </w:t>
      </w:r>
      <w:r w:rsidRPr="000D00EA">
        <w:rPr>
          <w:rFonts w:cs="Times New Roman"/>
          <w:noProof/>
          <w:szCs w:val="24"/>
        </w:rPr>
        <w:tab/>
        <w:t xml:space="preserve">Das JK, Salam RA, Thornburg KL, et al. (2017) Nutrition in adolescents: physiology, metabolism, and nutritional needs. </w:t>
      </w:r>
      <w:r w:rsidRPr="000D00EA">
        <w:rPr>
          <w:rFonts w:cs="Times New Roman"/>
          <w:i/>
          <w:iCs/>
          <w:noProof/>
          <w:szCs w:val="24"/>
        </w:rPr>
        <w:t>Ann. N. Y. Acad. Sci.</w:t>
      </w:r>
      <w:r w:rsidRPr="000D00EA">
        <w:rPr>
          <w:rFonts w:cs="Times New Roman"/>
          <w:noProof/>
          <w:szCs w:val="24"/>
        </w:rPr>
        <w:t xml:space="preserve"> </w:t>
      </w:r>
      <w:r w:rsidRPr="000D00EA">
        <w:rPr>
          <w:rFonts w:cs="Times New Roman"/>
          <w:b/>
          <w:bCs/>
          <w:noProof/>
          <w:szCs w:val="24"/>
        </w:rPr>
        <w:t>1393</w:t>
      </w:r>
      <w:r w:rsidRPr="000D00EA">
        <w:rPr>
          <w:rFonts w:cs="Times New Roman"/>
          <w:noProof/>
          <w:szCs w:val="24"/>
        </w:rPr>
        <w:t>, 21–33.</w:t>
      </w:r>
    </w:p>
    <w:p w14:paraId="411F0DF1"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19. </w:t>
      </w:r>
      <w:r w:rsidRPr="000D00EA">
        <w:rPr>
          <w:rFonts w:cs="Times New Roman"/>
          <w:noProof/>
          <w:szCs w:val="24"/>
        </w:rPr>
        <w:tab/>
        <w:t xml:space="preserve">Patton GC, Sawyer SM, Santelli JS, et al. (2016) Our future: a Lancet commission on adolescent health and wellbeing. </w:t>
      </w:r>
      <w:r w:rsidRPr="000D00EA">
        <w:rPr>
          <w:rFonts w:cs="Times New Roman"/>
          <w:i/>
          <w:iCs/>
          <w:noProof/>
          <w:szCs w:val="24"/>
        </w:rPr>
        <w:t>Lancet (London, England)</w:t>
      </w:r>
      <w:r w:rsidRPr="000D00EA">
        <w:rPr>
          <w:rFonts w:cs="Times New Roman"/>
          <w:noProof/>
          <w:szCs w:val="24"/>
        </w:rPr>
        <w:t xml:space="preserve"> </w:t>
      </w:r>
      <w:r w:rsidRPr="000D00EA">
        <w:rPr>
          <w:rFonts w:cs="Times New Roman"/>
          <w:b/>
          <w:bCs/>
          <w:noProof/>
          <w:szCs w:val="24"/>
        </w:rPr>
        <w:t>387</w:t>
      </w:r>
      <w:r w:rsidRPr="000D00EA">
        <w:rPr>
          <w:rFonts w:cs="Times New Roman"/>
          <w:noProof/>
          <w:szCs w:val="24"/>
        </w:rPr>
        <w:t>, 2423–2478.</w:t>
      </w:r>
    </w:p>
    <w:p w14:paraId="5F66B482"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20. </w:t>
      </w:r>
      <w:r w:rsidRPr="000D00EA">
        <w:rPr>
          <w:rFonts w:cs="Times New Roman"/>
          <w:noProof/>
          <w:szCs w:val="24"/>
        </w:rPr>
        <w:tab/>
        <w:t>Chaudhry RQ &amp; Oppenheimer JJ (2012) Update on Food Allergy in Adults. 311–320.</w:t>
      </w:r>
    </w:p>
    <w:p w14:paraId="0227D6E4"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21. </w:t>
      </w:r>
      <w:r w:rsidRPr="000D00EA">
        <w:rPr>
          <w:rFonts w:cs="Times New Roman"/>
          <w:noProof/>
          <w:szCs w:val="24"/>
        </w:rPr>
        <w:tab/>
        <w:t xml:space="preserve">Sommer I, MacKenzie H, Venter C, et al. (2012) Factors influencing food choices of food-allergic consumers: Findings from focus groups. </w:t>
      </w:r>
      <w:r w:rsidRPr="000D00EA">
        <w:rPr>
          <w:rFonts w:cs="Times New Roman"/>
          <w:i/>
          <w:iCs/>
          <w:noProof/>
          <w:szCs w:val="24"/>
        </w:rPr>
        <w:t>Allergy Eur. J. Allergy Clin. Immunol.</w:t>
      </w:r>
      <w:r w:rsidRPr="000D00EA">
        <w:rPr>
          <w:rFonts w:cs="Times New Roman"/>
          <w:noProof/>
          <w:szCs w:val="24"/>
        </w:rPr>
        <w:t xml:space="preserve"> </w:t>
      </w:r>
      <w:r w:rsidRPr="000D00EA">
        <w:rPr>
          <w:rFonts w:cs="Times New Roman"/>
          <w:b/>
          <w:bCs/>
          <w:noProof/>
          <w:szCs w:val="24"/>
        </w:rPr>
        <w:t>67</w:t>
      </w:r>
      <w:r w:rsidRPr="000D00EA">
        <w:rPr>
          <w:rFonts w:cs="Times New Roman"/>
          <w:noProof/>
          <w:szCs w:val="24"/>
        </w:rPr>
        <w:t>, 1319–1322.</w:t>
      </w:r>
    </w:p>
    <w:p w14:paraId="4D6B9F60"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22. </w:t>
      </w:r>
      <w:r w:rsidRPr="000D00EA">
        <w:rPr>
          <w:rFonts w:cs="Times New Roman"/>
          <w:noProof/>
          <w:szCs w:val="24"/>
        </w:rPr>
        <w:tab/>
        <w:t xml:space="preserve">Sommer I, MacKenzie H, Venter C, et al. (2014) An exploratory investigation of food choice behavior of teenagers with and without food allergies. </w:t>
      </w:r>
      <w:r w:rsidRPr="000D00EA">
        <w:rPr>
          <w:rFonts w:cs="Times New Roman"/>
          <w:i/>
          <w:iCs/>
          <w:noProof/>
          <w:szCs w:val="24"/>
        </w:rPr>
        <w:t>Ann. Allergy Asthma Immunol.</w:t>
      </w:r>
      <w:r w:rsidRPr="000D00EA">
        <w:rPr>
          <w:rFonts w:cs="Times New Roman"/>
          <w:noProof/>
          <w:szCs w:val="24"/>
        </w:rPr>
        <w:t xml:space="preserve"> </w:t>
      </w:r>
      <w:r w:rsidRPr="000D00EA">
        <w:rPr>
          <w:rFonts w:cs="Times New Roman"/>
          <w:b/>
          <w:bCs/>
          <w:noProof/>
          <w:szCs w:val="24"/>
        </w:rPr>
        <w:t>112</w:t>
      </w:r>
      <w:r w:rsidRPr="000D00EA">
        <w:rPr>
          <w:rFonts w:cs="Times New Roman"/>
          <w:noProof/>
          <w:szCs w:val="24"/>
        </w:rPr>
        <w:t>, 446–452.</w:t>
      </w:r>
    </w:p>
    <w:p w14:paraId="34CE08B5"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23. </w:t>
      </w:r>
      <w:r w:rsidRPr="000D00EA">
        <w:rPr>
          <w:rFonts w:cs="Times New Roman"/>
          <w:noProof/>
          <w:szCs w:val="24"/>
        </w:rPr>
        <w:tab/>
        <w:t xml:space="preserve">Nelson M, Atkinson M &amp; Meyer J (1997) </w:t>
      </w:r>
      <w:r w:rsidRPr="000D00EA">
        <w:rPr>
          <w:rFonts w:cs="Times New Roman"/>
          <w:i/>
          <w:iCs/>
          <w:noProof/>
          <w:szCs w:val="24"/>
        </w:rPr>
        <w:t>Food portion sizes: A Photographic Atlas.</w:t>
      </w:r>
      <w:r w:rsidRPr="000D00EA">
        <w:rPr>
          <w:rFonts w:cs="Times New Roman"/>
          <w:noProof/>
          <w:szCs w:val="24"/>
        </w:rPr>
        <w:t xml:space="preserve"> London: MAFF Publications.</w:t>
      </w:r>
    </w:p>
    <w:p w14:paraId="5F30E8A2"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24. </w:t>
      </w:r>
      <w:r w:rsidRPr="000D00EA">
        <w:rPr>
          <w:rFonts w:cs="Times New Roman"/>
          <w:noProof/>
          <w:szCs w:val="24"/>
        </w:rPr>
        <w:tab/>
        <w:t xml:space="preserve">Food Standards Agency (2002) </w:t>
      </w:r>
      <w:r w:rsidRPr="000D00EA">
        <w:rPr>
          <w:rFonts w:cs="Times New Roman"/>
          <w:i/>
          <w:iCs/>
          <w:noProof/>
          <w:szCs w:val="24"/>
        </w:rPr>
        <w:t>McCance and Widdowson’s The Composition of Foods.</w:t>
      </w:r>
      <w:r w:rsidRPr="000D00EA">
        <w:rPr>
          <w:rFonts w:cs="Times New Roman"/>
          <w:noProof/>
          <w:szCs w:val="24"/>
        </w:rPr>
        <w:t xml:space="preserve"> 6th editio [Church S, editor]. Cambridge: Royal Society of Chemistry.</w:t>
      </w:r>
    </w:p>
    <w:p w14:paraId="725989BB"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25. </w:t>
      </w:r>
      <w:r w:rsidRPr="000D00EA">
        <w:rPr>
          <w:rFonts w:cs="Times New Roman"/>
          <w:noProof/>
          <w:szCs w:val="24"/>
        </w:rPr>
        <w:tab/>
        <w:t xml:space="preserve">Food Standards Agency (2002) </w:t>
      </w:r>
      <w:r w:rsidRPr="000D00EA">
        <w:rPr>
          <w:rFonts w:cs="Times New Roman"/>
          <w:i/>
          <w:iCs/>
          <w:noProof/>
          <w:szCs w:val="24"/>
        </w:rPr>
        <w:t>Food portion sizes</w:t>
      </w:r>
      <w:r w:rsidRPr="000D00EA">
        <w:rPr>
          <w:rFonts w:cs="Times New Roman"/>
          <w:noProof/>
          <w:szCs w:val="24"/>
        </w:rPr>
        <w:t>. 3rd editio. London: The Stationary Office.</w:t>
      </w:r>
    </w:p>
    <w:p w14:paraId="7005C6F0"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26. </w:t>
      </w:r>
      <w:r w:rsidRPr="000D00EA">
        <w:rPr>
          <w:rFonts w:cs="Times New Roman"/>
          <w:noProof/>
          <w:szCs w:val="24"/>
        </w:rPr>
        <w:tab/>
        <w:t xml:space="preserve">Wrieden WL, Longbottom PJ, Adamson AJ, et al. (2008) Estimation of typical food portion sizes for children of different ages in Great Britain. </w:t>
      </w:r>
      <w:r w:rsidRPr="000D00EA">
        <w:rPr>
          <w:rFonts w:cs="Times New Roman"/>
          <w:i/>
          <w:iCs/>
          <w:noProof/>
          <w:szCs w:val="24"/>
        </w:rPr>
        <w:t>Br. J. Nutr.</w:t>
      </w:r>
      <w:r w:rsidRPr="000D00EA">
        <w:rPr>
          <w:rFonts w:cs="Times New Roman"/>
          <w:noProof/>
          <w:szCs w:val="24"/>
        </w:rPr>
        <w:t xml:space="preserve"> </w:t>
      </w:r>
      <w:r w:rsidRPr="000D00EA">
        <w:rPr>
          <w:rFonts w:cs="Times New Roman"/>
          <w:b/>
          <w:bCs/>
          <w:noProof/>
          <w:szCs w:val="24"/>
        </w:rPr>
        <w:t>99</w:t>
      </w:r>
      <w:r w:rsidRPr="000D00EA">
        <w:rPr>
          <w:rFonts w:cs="Times New Roman"/>
          <w:noProof/>
          <w:szCs w:val="24"/>
        </w:rPr>
        <w:t>, 1344–1353.</w:t>
      </w:r>
    </w:p>
    <w:p w14:paraId="28ADD6B5"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27. </w:t>
      </w:r>
      <w:r w:rsidRPr="000D00EA">
        <w:rPr>
          <w:rFonts w:cs="Times New Roman"/>
          <w:noProof/>
          <w:szCs w:val="24"/>
        </w:rPr>
        <w:tab/>
        <w:t xml:space="preserve">Von Mutius E (1996) Epidemiology of asthma: ISAAC--International Study of Asthma and Allergies in Childhood. </w:t>
      </w:r>
      <w:r w:rsidRPr="000D00EA">
        <w:rPr>
          <w:rFonts w:cs="Times New Roman"/>
          <w:i/>
          <w:iCs/>
          <w:noProof/>
          <w:szCs w:val="24"/>
        </w:rPr>
        <w:t>Pediatr Allergy Immunol</w:t>
      </w:r>
      <w:r w:rsidRPr="000D00EA">
        <w:rPr>
          <w:rFonts w:cs="Times New Roman"/>
          <w:noProof/>
          <w:szCs w:val="24"/>
        </w:rPr>
        <w:t xml:space="preserve"> </w:t>
      </w:r>
      <w:r w:rsidRPr="000D00EA">
        <w:rPr>
          <w:rFonts w:cs="Times New Roman"/>
          <w:b/>
          <w:bCs/>
          <w:noProof/>
          <w:szCs w:val="24"/>
        </w:rPr>
        <w:t>7</w:t>
      </w:r>
      <w:r w:rsidRPr="000D00EA">
        <w:rPr>
          <w:rFonts w:cs="Times New Roman"/>
          <w:noProof/>
          <w:szCs w:val="24"/>
        </w:rPr>
        <w:t>, 54–6.</w:t>
      </w:r>
    </w:p>
    <w:p w14:paraId="3012986D"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28. </w:t>
      </w:r>
      <w:r w:rsidRPr="000D00EA">
        <w:rPr>
          <w:rFonts w:cs="Times New Roman"/>
          <w:noProof/>
          <w:szCs w:val="24"/>
        </w:rPr>
        <w:tab/>
        <w:t xml:space="preserve">Goldberg G, Black A, Jebb S, et al. (1991) Critical evaluation of energy intake data </w:t>
      </w:r>
      <w:r w:rsidRPr="000D00EA">
        <w:rPr>
          <w:rFonts w:cs="Times New Roman"/>
          <w:noProof/>
          <w:szCs w:val="24"/>
        </w:rPr>
        <w:lastRenderedPageBreak/>
        <w:t xml:space="preserve">using fundamental principles of energy physiology: 1. Derivation of cut-off limits to identify under-recording. </w:t>
      </w:r>
      <w:r w:rsidRPr="000D00EA">
        <w:rPr>
          <w:rFonts w:cs="Times New Roman"/>
          <w:i/>
          <w:iCs/>
          <w:noProof/>
          <w:szCs w:val="24"/>
        </w:rPr>
        <w:t>Eur. J. Clin. Nutr.</w:t>
      </w:r>
      <w:r w:rsidRPr="000D00EA">
        <w:rPr>
          <w:rFonts w:cs="Times New Roman"/>
          <w:noProof/>
          <w:szCs w:val="24"/>
        </w:rPr>
        <w:t xml:space="preserve"> </w:t>
      </w:r>
      <w:r w:rsidRPr="000D00EA">
        <w:rPr>
          <w:rFonts w:cs="Times New Roman"/>
          <w:b/>
          <w:bCs/>
          <w:noProof/>
          <w:szCs w:val="24"/>
        </w:rPr>
        <w:t>45</w:t>
      </w:r>
      <w:r w:rsidRPr="000D00EA">
        <w:rPr>
          <w:rFonts w:cs="Times New Roman"/>
          <w:noProof/>
          <w:szCs w:val="24"/>
        </w:rPr>
        <w:t>, 569–581.</w:t>
      </w:r>
    </w:p>
    <w:p w14:paraId="546E49B0"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29. </w:t>
      </w:r>
      <w:r w:rsidRPr="000D00EA">
        <w:rPr>
          <w:rFonts w:cs="Times New Roman"/>
          <w:noProof/>
          <w:szCs w:val="24"/>
        </w:rPr>
        <w:tab/>
        <w:t xml:space="preserve">Black A (2000) Critical evaluation of energy intake using the Goldberg cut-off for energy intake:basal metabolic rate. A practical guide to its calculation, use and limitations. </w:t>
      </w:r>
      <w:r w:rsidRPr="000D00EA">
        <w:rPr>
          <w:rFonts w:cs="Times New Roman"/>
          <w:i/>
          <w:iCs/>
          <w:noProof/>
          <w:szCs w:val="24"/>
        </w:rPr>
        <w:t>Int. J. Obes.</w:t>
      </w:r>
      <w:r w:rsidRPr="000D00EA">
        <w:rPr>
          <w:rFonts w:cs="Times New Roman"/>
          <w:noProof/>
          <w:szCs w:val="24"/>
        </w:rPr>
        <w:t xml:space="preserve"> </w:t>
      </w:r>
      <w:r w:rsidRPr="000D00EA">
        <w:rPr>
          <w:rFonts w:cs="Times New Roman"/>
          <w:b/>
          <w:bCs/>
          <w:noProof/>
          <w:szCs w:val="24"/>
        </w:rPr>
        <w:t>24</w:t>
      </w:r>
      <w:r w:rsidRPr="000D00EA">
        <w:rPr>
          <w:rFonts w:cs="Times New Roman"/>
          <w:noProof/>
          <w:szCs w:val="24"/>
        </w:rPr>
        <w:t>, 1119–1130.</w:t>
      </w:r>
    </w:p>
    <w:p w14:paraId="260DD8B4"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30. </w:t>
      </w:r>
      <w:r w:rsidRPr="000D00EA">
        <w:rPr>
          <w:rFonts w:cs="Times New Roman"/>
          <w:noProof/>
          <w:szCs w:val="24"/>
        </w:rPr>
        <w:tab/>
        <w:t xml:space="preserve">Schofield WN (1985) Predicting basal metabolic rate, new standards and review of previous work. </w:t>
      </w:r>
      <w:r w:rsidRPr="000D00EA">
        <w:rPr>
          <w:rFonts w:cs="Times New Roman"/>
          <w:i/>
          <w:iCs/>
          <w:noProof/>
          <w:szCs w:val="24"/>
        </w:rPr>
        <w:t>Hum. Nutr. Clin. Nutr.</w:t>
      </w:r>
      <w:r w:rsidRPr="000D00EA">
        <w:rPr>
          <w:rFonts w:cs="Times New Roman"/>
          <w:noProof/>
          <w:szCs w:val="24"/>
        </w:rPr>
        <w:t xml:space="preserve"> </w:t>
      </w:r>
      <w:r w:rsidRPr="000D00EA">
        <w:rPr>
          <w:rFonts w:cs="Times New Roman"/>
          <w:b/>
          <w:bCs/>
          <w:noProof/>
          <w:szCs w:val="24"/>
        </w:rPr>
        <w:t>39 Suppl 1</w:t>
      </w:r>
      <w:r w:rsidRPr="000D00EA">
        <w:rPr>
          <w:rFonts w:cs="Times New Roman"/>
          <w:noProof/>
          <w:szCs w:val="24"/>
        </w:rPr>
        <w:t>, 5–41.</w:t>
      </w:r>
    </w:p>
    <w:p w14:paraId="7C3F3D37"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31. </w:t>
      </w:r>
      <w:r w:rsidRPr="000D00EA">
        <w:rPr>
          <w:rFonts w:cs="Times New Roman"/>
          <w:noProof/>
          <w:szCs w:val="24"/>
        </w:rPr>
        <w:tab/>
        <w:t xml:space="preserve">Black A (2000) The sensitivity and speci®city of the Goldberg cut-off for EI:BMR for identifying diet reports of poor validity. </w:t>
      </w:r>
      <w:r w:rsidRPr="000D00EA">
        <w:rPr>
          <w:rFonts w:cs="Times New Roman"/>
          <w:i/>
          <w:iCs/>
          <w:noProof/>
          <w:szCs w:val="24"/>
        </w:rPr>
        <w:t>Eur. J. Clin. Nutr.</w:t>
      </w:r>
      <w:r w:rsidRPr="000D00EA">
        <w:rPr>
          <w:rFonts w:cs="Times New Roman"/>
          <w:noProof/>
          <w:szCs w:val="24"/>
        </w:rPr>
        <w:t xml:space="preserve"> </w:t>
      </w:r>
      <w:r w:rsidRPr="000D00EA">
        <w:rPr>
          <w:rFonts w:cs="Times New Roman"/>
          <w:b/>
          <w:bCs/>
          <w:noProof/>
          <w:szCs w:val="24"/>
        </w:rPr>
        <w:t>54</w:t>
      </w:r>
      <w:r w:rsidRPr="000D00EA">
        <w:rPr>
          <w:rFonts w:cs="Times New Roman"/>
          <w:noProof/>
          <w:szCs w:val="24"/>
        </w:rPr>
        <w:t>, 395–404.</w:t>
      </w:r>
    </w:p>
    <w:p w14:paraId="211C604B"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32. </w:t>
      </w:r>
      <w:r w:rsidRPr="000D00EA">
        <w:rPr>
          <w:rFonts w:cs="Times New Roman"/>
          <w:noProof/>
          <w:szCs w:val="24"/>
        </w:rPr>
        <w:tab/>
        <w:t xml:space="preserve">McGowan M &amp; Gibney MJ (1993) Calcium intakes in individuals on diets for the management of cows’ milk allergy: a case control study. </w:t>
      </w:r>
      <w:r w:rsidRPr="000D00EA">
        <w:rPr>
          <w:rFonts w:cs="Times New Roman"/>
          <w:i/>
          <w:iCs/>
          <w:noProof/>
          <w:szCs w:val="24"/>
        </w:rPr>
        <w:t>Eur. J. Clin. Nutr.</w:t>
      </w:r>
      <w:r w:rsidRPr="000D00EA">
        <w:rPr>
          <w:rFonts w:cs="Times New Roman"/>
          <w:noProof/>
          <w:szCs w:val="24"/>
        </w:rPr>
        <w:t xml:space="preserve"> </w:t>
      </w:r>
      <w:r w:rsidRPr="000D00EA">
        <w:rPr>
          <w:rFonts w:cs="Times New Roman"/>
          <w:b/>
          <w:bCs/>
          <w:noProof/>
          <w:szCs w:val="24"/>
        </w:rPr>
        <w:t>47</w:t>
      </w:r>
      <w:r w:rsidRPr="000D00EA">
        <w:rPr>
          <w:rFonts w:cs="Times New Roman"/>
          <w:noProof/>
          <w:szCs w:val="24"/>
        </w:rPr>
        <w:t>, 609–616.</w:t>
      </w:r>
    </w:p>
    <w:p w14:paraId="58A6D3B8"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33. </w:t>
      </w:r>
      <w:r w:rsidRPr="000D00EA">
        <w:rPr>
          <w:rFonts w:cs="Times New Roman"/>
          <w:noProof/>
          <w:szCs w:val="24"/>
        </w:rPr>
        <w:tab/>
        <w:t xml:space="preserve">Mehta H, Groetch M &amp; Wang J (2013) Growth and nutritional concerns in children with food allergy. </w:t>
      </w:r>
      <w:r w:rsidRPr="000D00EA">
        <w:rPr>
          <w:rFonts w:cs="Times New Roman"/>
          <w:i/>
          <w:iCs/>
          <w:noProof/>
          <w:szCs w:val="24"/>
        </w:rPr>
        <w:t>Curr. Opin. Allergy Clin. Immunol.</w:t>
      </w:r>
      <w:r w:rsidRPr="000D00EA">
        <w:rPr>
          <w:rFonts w:cs="Times New Roman"/>
          <w:noProof/>
          <w:szCs w:val="24"/>
        </w:rPr>
        <w:t xml:space="preserve"> </w:t>
      </w:r>
      <w:r w:rsidRPr="000D00EA">
        <w:rPr>
          <w:rFonts w:cs="Times New Roman"/>
          <w:b/>
          <w:bCs/>
          <w:noProof/>
          <w:szCs w:val="24"/>
        </w:rPr>
        <w:t>13</w:t>
      </w:r>
      <w:r w:rsidRPr="000D00EA">
        <w:rPr>
          <w:rFonts w:cs="Times New Roman"/>
          <w:noProof/>
          <w:szCs w:val="24"/>
        </w:rPr>
        <w:t>, 275–9.</w:t>
      </w:r>
    </w:p>
    <w:p w14:paraId="131515B5"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34. </w:t>
      </w:r>
      <w:r w:rsidRPr="000D00EA">
        <w:rPr>
          <w:rFonts w:cs="Times New Roman"/>
          <w:noProof/>
          <w:szCs w:val="24"/>
        </w:rPr>
        <w:tab/>
        <w:t xml:space="preserve">Committee on Medical Aspects of Food and Nutrition Policy (COMA) (1991) </w:t>
      </w:r>
      <w:r w:rsidRPr="000D00EA">
        <w:rPr>
          <w:rFonts w:cs="Times New Roman"/>
          <w:i/>
          <w:iCs/>
          <w:noProof/>
          <w:szCs w:val="24"/>
        </w:rPr>
        <w:t>Dietary reference values for food energy and nutrients for the United Kingdom. Report of thhe panel on Dietary Referencce Values. Report on Health and Social Subjects number 41.</w:t>
      </w:r>
      <w:r w:rsidRPr="000D00EA">
        <w:rPr>
          <w:rFonts w:cs="Times New Roman"/>
          <w:noProof/>
          <w:szCs w:val="24"/>
        </w:rPr>
        <w:t xml:space="preserve"> London: .</w:t>
      </w:r>
    </w:p>
    <w:p w14:paraId="2AEE8EC2"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35. </w:t>
      </w:r>
      <w:r w:rsidRPr="000D00EA">
        <w:rPr>
          <w:rFonts w:cs="Times New Roman"/>
          <w:noProof/>
          <w:szCs w:val="24"/>
        </w:rPr>
        <w:tab/>
        <w:t xml:space="preserve">Scientific Advisory Committee on Nutrition (2016) </w:t>
      </w:r>
      <w:r w:rsidRPr="000D00EA">
        <w:rPr>
          <w:rFonts w:cs="Times New Roman"/>
          <w:i/>
          <w:iCs/>
          <w:noProof/>
          <w:szCs w:val="24"/>
        </w:rPr>
        <w:t>Vitamin D and health</w:t>
      </w:r>
      <w:r w:rsidRPr="000D00EA">
        <w:rPr>
          <w:rFonts w:cs="Times New Roman"/>
          <w:noProof/>
          <w:szCs w:val="24"/>
        </w:rPr>
        <w:t>. .</w:t>
      </w:r>
    </w:p>
    <w:p w14:paraId="1CE75F54"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36. </w:t>
      </w:r>
      <w:r w:rsidRPr="000D00EA">
        <w:rPr>
          <w:rFonts w:cs="Times New Roman"/>
          <w:noProof/>
          <w:szCs w:val="24"/>
        </w:rPr>
        <w:tab/>
        <w:t xml:space="preserve">Berni Canani R, Leone L, D’Auria E, et al. (2014) The Effects of Dietary Counseling on Children with Food Allergy: A Prospective, Multicenter Intervention Study. </w:t>
      </w:r>
      <w:r w:rsidRPr="000D00EA">
        <w:rPr>
          <w:rFonts w:cs="Times New Roman"/>
          <w:i/>
          <w:iCs/>
          <w:noProof/>
          <w:szCs w:val="24"/>
        </w:rPr>
        <w:t>J. Acad. Nutr. Diet.</w:t>
      </w:r>
      <w:r w:rsidRPr="000D00EA">
        <w:rPr>
          <w:rFonts w:cs="Times New Roman"/>
          <w:noProof/>
          <w:szCs w:val="24"/>
        </w:rPr>
        <w:t xml:space="preserve"> </w:t>
      </w:r>
      <w:r w:rsidRPr="000D00EA">
        <w:rPr>
          <w:rFonts w:cs="Times New Roman"/>
          <w:b/>
          <w:bCs/>
          <w:noProof/>
          <w:szCs w:val="24"/>
        </w:rPr>
        <w:t>114</w:t>
      </w:r>
      <w:r w:rsidRPr="000D00EA">
        <w:rPr>
          <w:rFonts w:cs="Times New Roman"/>
          <w:noProof/>
          <w:szCs w:val="24"/>
        </w:rPr>
        <w:t>, 1432–1439. Elsevier.</w:t>
      </w:r>
    </w:p>
    <w:p w14:paraId="7340CB7D"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37. </w:t>
      </w:r>
      <w:r w:rsidRPr="000D00EA">
        <w:rPr>
          <w:rFonts w:cs="Times New Roman"/>
          <w:noProof/>
          <w:szCs w:val="24"/>
        </w:rPr>
        <w:tab/>
        <w:t xml:space="preserve">Polloni L, Toniolo A, Lazzarotto F, et al. (2013) Nutritional behavior and attitudes in food allergic children and their mothers. </w:t>
      </w:r>
      <w:r w:rsidRPr="000D00EA">
        <w:rPr>
          <w:rFonts w:cs="Times New Roman"/>
          <w:i/>
          <w:iCs/>
          <w:noProof/>
          <w:szCs w:val="24"/>
        </w:rPr>
        <w:t>Clin. Transl. Allergy</w:t>
      </w:r>
      <w:r w:rsidRPr="000D00EA">
        <w:rPr>
          <w:rFonts w:cs="Times New Roman"/>
          <w:noProof/>
          <w:szCs w:val="24"/>
        </w:rPr>
        <w:t xml:space="preserve"> </w:t>
      </w:r>
      <w:r w:rsidRPr="000D00EA">
        <w:rPr>
          <w:rFonts w:cs="Times New Roman"/>
          <w:b/>
          <w:bCs/>
          <w:noProof/>
          <w:szCs w:val="24"/>
        </w:rPr>
        <w:t>3</w:t>
      </w:r>
      <w:r w:rsidRPr="000D00EA">
        <w:rPr>
          <w:rFonts w:cs="Times New Roman"/>
          <w:noProof/>
          <w:szCs w:val="24"/>
        </w:rPr>
        <w:t>, 41.</w:t>
      </w:r>
    </w:p>
    <w:p w14:paraId="17CB8089"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38. </w:t>
      </w:r>
      <w:r w:rsidRPr="000D00EA">
        <w:rPr>
          <w:rFonts w:cs="Times New Roman"/>
          <w:noProof/>
          <w:szCs w:val="24"/>
        </w:rPr>
        <w:tab/>
        <w:t xml:space="preserve">Maslin K, Oliver EM, Scally KS, et al. (2016) Nutritional adequacy of a cows’ milk exclusion diet in infancy. </w:t>
      </w:r>
      <w:r w:rsidRPr="000D00EA">
        <w:rPr>
          <w:rFonts w:cs="Times New Roman"/>
          <w:i/>
          <w:iCs/>
          <w:noProof/>
          <w:szCs w:val="24"/>
        </w:rPr>
        <w:t>Clin. Transl. Allergy</w:t>
      </w:r>
      <w:r w:rsidRPr="000D00EA">
        <w:rPr>
          <w:rFonts w:cs="Times New Roman"/>
          <w:noProof/>
          <w:szCs w:val="24"/>
        </w:rPr>
        <w:t xml:space="preserve"> </w:t>
      </w:r>
      <w:r w:rsidRPr="000D00EA">
        <w:rPr>
          <w:rFonts w:cs="Times New Roman"/>
          <w:b/>
          <w:bCs/>
          <w:noProof/>
          <w:szCs w:val="24"/>
        </w:rPr>
        <w:t>6</w:t>
      </w:r>
      <w:r w:rsidRPr="000D00EA">
        <w:rPr>
          <w:rFonts w:cs="Times New Roman"/>
          <w:noProof/>
          <w:szCs w:val="24"/>
        </w:rPr>
        <w:t>, 20. BioMed Central.</w:t>
      </w:r>
    </w:p>
    <w:p w14:paraId="750EC0A3"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39. </w:t>
      </w:r>
      <w:r w:rsidRPr="000D00EA">
        <w:rPr>
          <w:rFonts w:cs="Times New Roman"/>
          <w:noProof/>
          <w:szCs w:val="24"/>
        </w:rPr>
        <w:tab/>
        <w:t xml:space="preserve">Gao X, Wilde PE, Lichtenstein AH, et al. (2006) Meeting Adequate Intake for Dietary Calcium without Dairy Foods in Adolescents Aged 9 to 18 Years (National Health and Nutrition Examination Survey 2001-2002). </w:t>
      </w:r>
      <w:r w:rsidRPr="000D00EA">
        <w:rPr>
          <w:rFonts w:cs="Times New Roman"/>
          <w:i/>
          <w:iCs/>
          <w:noProof/>
          <w:szCs w:val="24"/>
        </w:rPr>
        <w:t>J. Am. Diet. Assoc.</w:t>
      </w:r>
      <w:r w:rsidRPr="000D00EA">
        <w:rPr>
          <w:rFonts w:cs="Times New Roman"/>
          <w:noProof/>
          <w:szCs w:val="24"/>
        </w:rPr>
        <w:t xml:space="preserve"> </w:t>
      </w:r>
      <w:r w:rsidRPr="000D00EA">
        <w:rPr>
          <w:rFonts w:cs="Times New Roman"/>
          <w:b/>
          <w:bCs/>
          <w:noProof/>
          <w:szCs w:val="24"/>
        </w:rPr>
        <w:t>106</w:t>
      </w:r>
      <w:r w:rsidRPr="000D00EA">
        <w:rPr>
          <w:rFonts w:cs="Times New Roman"/>
          <w:noProof/>
          <w:szCs w:val="24"/>
        </w:rPr>
        <w:t>, 1759–1765.</w:t>
      </w:r>
    </w:p>
    <w:p w14:paraId="5201283F"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szCs w:val="24"/>
        </w:rPr>
      </w:pPr>
      <w:r w:rsidRPr="000D00EA">
        <w:rPr>
          <w:rFonts w:cs="Times New Roman"/>
          <w:noProof/>
          <w:szCs w:val="24"/>
        </w:rPr>
        <w:t xml:space="preserve">40. </w:t>
      </w:r>
      <w:r w:rsidRPr="000D00EA">
        <w:rPr>
          <w:rFonts w:cs="Times New Roman"/>
          <w:noProof/>
          <w:szCs w:val="24"/>
        </w:rPr>
        <w:tab/>
        <w:t xml:space="preserve">Meyer R, De Koker C, Dziubak R, et al. (2015) A practical approach to vitamin and mineral supplementation in food allergic children. </w:t>
      </w:r>
      <w:r w:rsidRPr="000D00EA">
        <w:rPr>
          <w:rFonts w:cs="Times New Roman"/>
          <w:i/>
          <w:iCs/>
          <w:noProof/>
          <w:szCs w:val="24"/>
        </w:rPr>
        <w:t>Clin. Transl. Allergy</w:t>
      </w:r>
      <w:r w:rsidRPr="000D00EA">
        <w:rPr>
          <w:rFonts w:cs="Times New Roman"/>
          <w:noProof/>
          <w:szCs w:val="24"/>
        </w:rPr>
        <w:t xml:space="preserve"> </w:t>
      </w:r>
      <w:r w:rsidRPr="000D00EA">
        <w:rPr>
          <w:rFonts w:cs="Times New Roman"/>
          <w:b/>
          <w:bCs/>
          <w:noProof/>
          <w:szCs w:val="24"/>
        </w:rPr>
        <w:t>5</w:t>
      </w:r>
      <w:r w:rsidRPr="000D00EA">
        <w:rPr>
          <w:rFonts w:cs="Times New Roman"/>
          <w:noProof/>
          <w:szCs w:val="24"/>
        </w:rPr>
        <w:t>, 5–11.</w:t>
      </w:r>
    </w:p>
    <w:p w14:paraId="1171DC9F" w14:textId="77777777" w:rsidR="00C220EC" w:rsidRPr="000D00EA" w:rsidRDefault="00C220EC" w:rsidP="00C220EC">
      <w:pPr>
        <w:widowControl w:val="0"/>
        <w:autoSpaceDE w:val="0"/>
        <w:autoSpaceDN w:val="0"/>
        <w:adjustRightInd w:val="0"/>
        <w:spacing w:after="0" w:line="360" w:lineRule="auto"/>
        <w:ind w:left="640" w:hanging="640"/>
        <w:rPr>
          <w:rFonts w:cs="Times New Roman"/>
          <w:noProof/>
        </w:rPr>
      </w:pPr>
      <w:r w:rsidRPr="000D00EA">
        <w:rPr>
          <w:rFonts w:cs="Times New Roman"/>
          <w:noProof/>
          <w:szCs w:val="24"/>
        </w:rPr>
        <w:t xml:space="preserve">41. </w:t>
      </w:r>
      <w:r w:rsidRPr="000D00EA">
        <w:rPr>
          <w:rFonts w:cs="Times New Roman"/>
          <w:noProof/>
          <w:szCs w:val="24"/>
        </w:rPr>
        <w:tab/>
        <w:t xml:space="preserve">Livingstone MBE &amp; Black AE (2003) Markers of the validity of reported energy intake. </w:t>
      </w:r>
      <w:r w:rsidRPr="000D00EA">
        <w:rPr>
          <w:rFonts w:cs="Times New Roman"/>
          <w:i/>
          <w:iCs/>
          <w:noProof/>
          <w:szCs w:val="24"/>
        </w:rPr>
        <w:t>J. Nutr.</w:t>
      </w:r>
      <w:r w:rsidRPr="000D00EA">
        <w:rPr>
          <w:rFonts w:cs="Times New Roman"/>
          <w:noProof/>
          <w:szCs w:val="24"/>
        </w:rPr>
        <w:t xml:space="preserve"> </w:t>
      </w:r>
      <w:r w:rsidRPr="000D00EA">
        <w:rPr>
          <w:rFonts w:cs="Times New Roman"/>
          <w:b/>
          <w:bCs/>
          <w:noProof/>
          <w:szCs w:val="24"/>
        </w:rPr>
        <w:t>133</w:t>
      </w:r>
      <w:r w:rsidRPr="000D00EA">
        <w:rPr>
          <w:rFonts w:cs="Times New Roman"/>
          <w:noProof/>
          <w:szCs w:val="24"/>
        </w:rPr>
        <w:t>, 895S–920S.</w:t>
      </w:r>
    </w:p>
    <w:p w14:paraId="5DE576CC" w14:textId="3DC7FA2A" w:rsidR="00321487" w:rsidRPr="000D00EA" w:rsidRDefault="00747531" w:rsidP="009C6B07">
      <w:pPr>
        <w:shd w:val="clear" w:color="auto" w:fill="FFFFFF"/>
        <w:spacing w:after="0" w:line="360" w:lineRule="auto"/>
        <w:jc w:val="both"/>
      </w:pPr>
      <w:r w:rsidRPr="000D00EA">
        <w:rPr>
          <w:rFonts w:cs="Times New Roman"/>
          <w:szCs w:val="24"/>
        </w:rPr>
        <w:fldChar w:fldCharType="end"/>
      </w:r>
      <w:r w:rsidR="009C6B07" w:rsidRPr="000D00EA">
        <w:tab/>
      </w:r>
    </w:p>
    <w:p w14:paraId="14365882" w14:textId="5A869373" w:rsidR="00EA69F2" w:rsidRPr="000D00EA" w:rsidRDefault="00321487" w:rsidP="00C441CF">
      <w:pPr>
        <w:rPr>
          <w:rFonts w:cs="Times New Roman"/>
          <w:b/>
          <w:sz w:val="22"/>
        </w:rPr>
      </w:pPr>
      <w:r w:rsidRPr="000D00EA">
        <w:br w:type="page"/>
      </w:r>
      <w:r w:rsidR="00EA69F2" w:rsidRPr="000D00EA">
        <w:rPr>
          <w:rFonts w:cs="Times New Roman"/>
          <w:sz w:val="22"/>
        </w:rPr>
        <w:lastRenderedPageBreak/>
        <w:t>Table 1: Characteristics of adolescents and adults with food allergies and controls (n = 151)</w:t>
      </w:r>
    </w:p>
    <w:tbl>
      <w:tblPr>
        <w:tblStyle w:val="LightShading"/>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292"/>
        <w:gridCol w:w="1705"/>
        <w:gridCol w:w="1522"/>
        <w:gridCol w:w="1345"/>
      </w:tblGrid>
      <w:tr w:rsidR="000D00EA" w:rsidRPr="000D00EA" w14:paraId="61E53DD9" w14:textId="77777777" w:rsidTr="00635CB0">
        <w:trPr>
          <w:gridAfter w:val="4"/>
          <w:cnfStyle w:val="100000000000" w:firstRow="1" w:lastRow="0" w:firstColumn="0" w:lastColumn="0" w:oddVBand="0" w:evenVBand="0" w:oddHBand="0" w:evenHBand="0" w:firstRowFirstColumn="0" w:firstRowLastColumn="0" w:lastRowFirstColumn="0" w:lastRowLastColumn="0"/>
          <w:wAfter w:w="5850" w:type="dxa"/>
          <w:trHeight w:val="411"/>
          <w:tblHeader/>
          <w:jc w:val="center"/>
        </w:trPr>
        <w:tc>
          <w:tcPr>
            <w:cnfStyle w:val="001000000000" w:firstRow="0" w:lastRow="0" w:firstColumn="1" w:lastColumn="0" w:oddVBand="0" w:evenVBand="0" w:oddHBand="0" w:evenHBand="0" w:firstRowFirstColumn="0" w:firstRowLastColumn="0" w:lastRowFirstColumn="0" w:lastRowLastColumn="0"/>
            <w:tcW w:w="3415" w:type="dxa"/>
            <w:vMerge w:val="restart"/>
          </w:tcPr>
          <w:p w14:paraId="03EE23EF" w14:textId="77777777" w:rsidR="00EA69F2" w:rsidRPr="000D00EA" w:rsidRDefault="00EA69F2" w:rsidP="00635CB0">
            <w:pPr>
              <w:spacing w:after="120"/>
              <w:rPr>
                <w:rFonts w:cs="Times New Roman"/>
                <w:color w:val="auto"/>
                <w:sz w:val="22"/>
              </w:rPr>
            </w:pPr>
          </w:p>
        </w:tc>
      </w:tr>
      <w:tr w:rsidR="000D00EA" w:rsidRPr="000D00EA" w14:paraId="6D095A68" w14:textId="77777777" w:rsidTr="00635CB0">
        <w:trPr>
          <w:cnfStyle w:val="100000000000" w:firstRow="1" w:lastRow="0" w:firstColumn="0" w:lastColumn="0" w:oddVBand="0" w:evenVBand="0" w:oddHBand="0" w:evenHBand="0" w:firstRowFirstColumn="0" w:firstRowLastColumn="0" w:lastRowFirstColumn="0" w:lastRowLastColumn="0"/>
          <w:trHeight w:val="766"/>
          <w:tblHeader/>
          <w:jc w:val="center"/>
        </w:trPr>
        <w:tc>
          <w:tcPr>
            <w:cnfStyle w:val="001000000000" w:firstRow="0" w:lastRow="0" w:firstColumn="1" w:lastColumn="0" w:oddVBand="0" w:evenVBand="0" w:oddHBand="0" w:evenHBand="0" w:firstRowFirstColumn="0" w:firstRowLastColumn="0" w:lastRowFirstColumn="0" w:lastRowLastColumn="0"/>
            <w:tcW w:w="341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2828640" w14:textId="77777777" w:rsidR="00EA69F2" w:rsidRPr="000D00EA" w:rsidRDefault="00EA69F2" w:rsidP="00635CB0">
            <w:pPr>
              <w:spacing w:after="120"/>
              <w:rPr>
                <w:rFonts w:cs="Times New Roman"/>
                <w:color w:val="auto"/>
                <w:sz w:val="22"/>
              </w:rPr>
            </w:pPr>
          </w:p>
        </w:tc>
        <w:tc>
          <w:tcPr>
            <w:tcW w:w="1260" w:type="dxa"/>
            <w:vMerge w:val="restart"/>
            <w:tcBorders>
              <w:top w:val="single" w:sz="4" w:space="0" w:color="auto"/>
              <w:left w:val="single" w:sz="4" w:space="0" w:color="auto"/>
              <w:right w:val="single" w:sz="4" w:space="0" w:color="auto"/>
            </w:tcBorders>
            <w:shd w:val="clear" w:color="auto" w:fill="FFFFFF" w:themeFill="background1"/>
          </w:tcPr>
          <w:p w14:paraId="5465059D"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Adolescents with FA</w:t>
            </w:r>
          </w:p>
          <w:p w14:paraId="42953300"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 xml:space="preserve"> (n = 50)</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0D24E1B"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Adolescents without FA</w:t>
            </w:r>
          </w:p>
          <w:p w14:paraId="4F0B4A1C"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 xml:space="preserve"> (n = 33)</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F26E803"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Adults with FA</w:t>
            </w:r>
          </w:p>
          <w:p w14:paraId="129FC51C"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 xml:space="preserve"> (n = 23)</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6598D21"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Adults without FA</w:t>
            </w:r>
          </w:p>
          <w:p w14:paraId="0487E92F"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 xml:space="preserve"> (n = 47)</w:t>
            </w:r>
          </w:p>
        </w:tc>
      </w:tr>
      <w:tr w:rsidR="000D00EA" w:rsidRPr="000D00EA" w14:paraId="5EFDBE2B" w14:textId="77777777" w:rsidTr="00635CB0">
        <w:trPr>
          <w:cnfStyle w:val="100000000000" w:firstRow="1" w:lastRow="0" w:firstColumn="0" w:lastColumn="0" w:oddVBand="0" w:evenVBand="0" w:oddHBand="0" w:evenHBand="0" w:firstRowFirstColumn="0" w:firstRowLastColumn="0" w:lastRowFirstColumn="0" w:lastRowLastColumn="0"/>
          <w:trHeight w:val="411"/>
          <w:tblHeader/>
          <w:jc w:val="center"/>
        </w:trPr>
        <w:tc>
          <w:tcPr>
            <w:cnfStyle w:val="001000000000" w:firstRow="0" w:lastRow="0" w:firstColumn="1" w:lastColumn="0" w:oddVBand="0" w:evenVBand="0" w:oddHBand="0" w:evenHBand="0" w:firstRowFirstColumn="0" w:firstRowLastColumn="0" w:lastRowFirstColumn="0" w:lastRowLastColumn="0"/>
            <w:tcW w:w="341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ADE39AD" w14:textId="77777777" w:rsidR="00EA69F2" w:rsidRPr="000D00EA" w:rsidRDefault="00EA69F2" w:rsidP="00635CB0">
            <w:pPr>
              <w:spacing w:after="120"/>
              <w:jc w:val="center"/>
              <w:rPr>
                <w:rFonts w:cs="Times New Roman"/>
                <w:color w:val="auto"/>
                <w:sz w:val="22"/>
              </w:rPr>
            </w:pPr>
          </w:p>
        </w:tc>
        <w:tc>
          <w:tcPr>
            <w:tcW w:w="1260" w:type="dxa"/>
            <w:vMerge/>
            <w:tcBorders>
              <w:left w:val="single" w:sz="4" w:space="0" w:color="auto"/>
              <w:bottom w:val="single" w:sz="4" w:space="0" w:color="auto"/>
              <w:right w:val="single" w:sz="4" w:space="0" w:color="auto"/>
            </w:tcBorders>
            <w:shd w:val="clear" w:color="auto" w:fill="FFFFFF" w:themeFill="background1"/>
          </w:tcPr>
          <w:p w14:paraId="5A5758EB"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3FB1C9D"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385ACCB"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p>
        </w:tc>
        <w:tc>
          <w:tcPr>
            <w:tcW w:w="135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A42C7F5"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p>
        </w:tc>
      </w:tr>
      <w:tr w:rsidR="000D00EA" w:rsidRPr="000D00EA" w14:paraId="285BC32D"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4775725A" w14:textId="77777777" w:rsidR="00EA69F2" w:rsidRPr="000D00EA" w:rsidRDefault="00EA69F2" w:rsidP="00635CB0">
            <w:pPr>
              <w:spacing w:after="120"/>
              <w:rPr>
                <w:rFonts w:cs="Times New Roman"/>
                <w:b w:val="0"/>
                <w:color w:val="auto"/>
                <w:sz w:val="22"/>
              </w:rPr>
            </w:pPr>
            <w:r w:rsidRPr="000D00EA">
              <w:rPr>
                <w:rFonts w:cs="Times New Roman"/>
                <w:b w:val="0"/>
                <w:color w:val="auto"/>
                <w:sz w:val="22"/>
              </w:rPr>
              <w:t>Age (y); (mean, SD)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0D4C3"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14.5 (2.4)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DDF3686"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14.5 (2.2)</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B8BEC"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39.4 (13.7)*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739D07"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30.2 (9.5)</w:t>
            </w:r>
          </w:p>
        </w:tc>
      </w:tr>
      <w:tr w:rsidR="000D00EA" w:rsidRPr="000D00EA" w14:paraId="0E4673F9"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6094" w14:textId="77777777" w:rsidR="00EA69F2" w:rsidRPr="000D00EA" w:rsidRDefault="00EA69F2" w:rsidP="00635CB0">
            <w:pPr>
              <w:spacing w:after="120"/>
              <w:rPr>
                <w:rFonts w:cs="Times New Roman"/>
                <w:b w:val="0"/>
                <w:color w:val="auto"/>
                <w:sz w:val="22"/>
              </w:rPr>
            </w:pPr>
            <w:r w:rsidRPr="000D00EA">
              <w:rPr>
                <w:rFonts w:cs="Times New Roman"/>
                <w:b w:val="0"/>
                <w:color w:val="auto"/>
                <w:sz w:val="22"/>
              </w:rPr>
              <w:t>Male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4E655"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33 (66.0)*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255192E"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12 (36.4)</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3CC6E"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4 (17.4)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6862E"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9 (19.1)</w:t>
            </w:r>
          </w:p>
        </w:tc>
      </w:tr>
      <w:tr w:rsidR="000D00EA" w:rsidRPr="000D00EA" w14:paraId="22407103"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FDBC23E" w14:textId="77777777" w:rsidR="00EA69F2" w:rsidRPr="000D00EA" w:rsidRDefault="00EA69F2" w:rsidP="00635CB0">
            <w:pPr>
              <w:spacing w:after="120"/>
              <w:rPr>
                <w:rFonts w:cs="Times New Roman"/>
                <w:b w:val="0"/>
                <w:color w:val="auto"/>
                <w:sz w:val="22"/>
              </w:rPr>
            </w:pPr>
            <w:r w:rsidRPr="000D00EA">
              <w:rPr>
                <w:rFonts w:cs="Times New Roman"/>
                <w:b w:val="0"/>
                <w:color w:val="auto"/>
                <w:sz w:val="22"/>
              </w:rPr>
              <w:t>White ethnicity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B7937F"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43 (87.8)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25A35"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29 (87.9)</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6B92D2"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22 (95.7)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C6DE2"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38 (80.9)</w:t>
            </w:r>
          </w:p>
        </w:tc>
      </w:tr>
      <w:tr w:rsidR="000D00EA" w:rsidRPr="000D00EA" w14:paraId="6E2B44CB"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D3C47F3" w14:textId="77777777" w:rsidR="00EA69F2" w:rsidRPr="000D00EA" w:rsidRDefault="00EA69F2" w:rsidP="00635CB0">
            <w:pPr>
              <w:spacing w:after="120"/>
              <w:rPr>
                <w:rFonts w:cs="Times New Roman"/>
                <w:b w:val="0"/>
                <w:color w:val="auto"/>
                <w:sz w:val="22"/>
              </w:rPr>
            </w:pPr>
            <w:r w:rsidRPr="000D00EA">
              <w:rPr>
                <w:rFonts w:cs="Times New Roman"/>
                <w:b w:val="0"/>
                <w:color w:val="auto"/>
                <w:szCs w:val="24"/>
              </w:rPr>
              <w:t>BMI</w:t>
            </w:r>
            <w:r w:rsidRPr="000D00EA">
              <w:rPr>
                <w:rFonts w:cs="Times New Roman"/>
                <w:b w:val="0"/>
                <w:color w:val="auto"/>
                <w:szCs w:val="16"/>
                <w:vertAlign w:val="superscript"/>
              </w:rPr>
              <w:t xml:space="preserve"> </w:t>
            </w:r>
            <w:r w:rsidRPr="000D00EA">
              <w:rPr>
                <w:rFonts w:cs="Times New Roman"/>
                <w:b w:val="0"/>
                <w:color w:val="auto"/>
                <w:szCs w:val="24"/>
              </w:rPr>
              <w:t>(kg/m</w:t>
            </w:r>
            <w:r w:rsidRPr="000D00EA">
              <w:rPr>
                <w:rFonts w:cs="Times New Roman"/>
                <w:b w:val="0"/>
                <w:color w:val="auto"/>
                <w:szCs w:val="24"/>
                <w:vertAlign w:val="superscript"/>
              </w:rPr>
              <w:t>2</w:t>
            </w:r>
            <w:r w:rsidRPr="000D00EA">
              <w:rPr>
                <w:rFonts w:cs="Times New Roman"/>
                <w:b w:val="0"/>
                <w:color w:val="auto"/>
                <w:szCs w:val="24"/>
              </w:rPr>
              <w:t>); (mean, SD)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A0F02C"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20.1 (3.6)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2A98FC"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20.3 (3.4)</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E3BBC96"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24.5 (4)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BE9372"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24.2 (4.5)</w:t>
            </w:r>
          </w:p>
        </w:tc>
      </w:tr>
      <w:tr w:rsidR="000D00EA" w:rsidRPr="000D00EA" w14:paraId="40A917D8"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CFB0B6C" w14:textId="77777777" w:rsidR="00EA69F2" w:rsidRPr="000D00EA" w:rsidRDefault="00EA69F2" w:rsidP="00635CB0">
            <w:pPr>
              <w:autoSpaceDE w:val="0"/>
              <w:autoSpaceDN w:val="0"/>
              <w:adjustRightInd w:val="0"/>
              <w:spacing w:after="120"/>
              <w:rPr>
                <w:rFonts w:cs="Times New Roman"/>
                <w:b w:val="0"/>
                <w:color w:val="auto"/>
                <w:sz w:val="22"/>
                <w:highlight w:val="yellow"/>
              </w:rPr>
            </w:pPr>
            <w:r w:rsidRPr="000D00EA">
              <w:rPr>
                <w:rFonts w:cs="Times New Roman"/>
                <w:b w:val="0"/>
                <w:color w:val="auto"/>
                <w:sz w:val="22"/>
              </w:rPr>
              <w:t>Graduate/postgraduate education^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F1E276" w14:textId="77777777" w:rsidR="00EA69F2" w:rsidRPr="000D00EA" w:rsidRDefault="00EA69F2" w:rsidP="00635CB0">
            <w:pPr>
              <w:spacing w:after="120"/>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25 (50.0)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9937E"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22 (68.8)</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7EC45AD"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12 (52.2)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39F641"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28 (59.6)</w:t>
            </w:r>
          </w:p>
        </w:tc>
      </w:tr>
      <w:tr w:rsidR="000D00EA" w:rsidRPr="000D00EA" w14:paraId="664CB72C"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999A" w14:textId="77777777" w:rsidR="00EA69F2" w:rsidRPr="000D00EA" w:rsidRDefault="00EA69F2" w:rsidP="00635CB0">
            <w:pPr>
              <w:autoSpaceDE w:val="0"/>
              <w:autoSpaceDN w:val="0"/>
              <w:adjustRightInd w:val="0"/>
              <w:spacing w:after="120"/>
              <w:rPr>
                <w:rFonts w:cs="Times New Roman"/>
                <w:b w:val="0"/>
                <w:color w:val="auto"/>
                <w:sz w:val="22"/>
              </w:rPr>
            </w:pPr>
            <w:r w:rsidRPr="000D00EA">
              <w:rPr>
                <w:rFonts w:cs="Times New Roman"/>
                <w:b w:val="0"/>
                <w:color w:val="auto"/>
                <w:sz w:val="22"/>
              </w:rPr>
              <w:t>Urban living location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858481"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35 (70.0)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947B8"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25 (78.1)</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16812541"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18 (78.3)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EE60F"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41 (87.2)</w:t>
            </w:r>
          </w:p>
        </w:tc>
      </w:tr>
      <w:tr w:rsidR="000D00EA" w:rsidRPr="000D00EA" w14:paraId="0842E234"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81BF837" w14:textId="77777777" w:rsidR="00EA69F2" w:rsidRPr="000D00EA" w:rsidRDefault="00EA69F2" w:rsidP="00635CB0">
            <w:pPr>
              <w:autoSpaceDE w:val="0"/>
              <w:autoSpaceDN w:val="0"/>
              <w:adjustRightInd w:val="0"/>
              <w:spacing w:after="120"/>
              <w:rPr>
                <w:rFonts w:cs="Times New Roman"/>
                <w:b w:val="0"/>
                <w:color w:val="auto"/>
                <w:sz w:val="22"/>
              </w:rPr>
            </w:pPr>
            <w:r w:rsidRPr="000D00EA">
              <w:rPr>
                <w:rFonts w:cs="Times New Roman"/>
                <w:b w:val="0"/>
                <w:color w:val="auto"/>
                <w:sz w:val="22"/>
              </w:rPr>
              <w:t>Under-reporting (Goldberg)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0E18AA"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14 (29.2)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BD524EC"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9 (27.3)</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AF6528A"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5 (21.7)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96C0C"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8 (17.0)</w:t>
            </w:r>
          </w:p>
        </w:tc>
      </w:tr>
      <w:tr w:rsidR="000D00EA" w:rsidRPr="000D00EA" w14:paraId="7AA38F5F"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8EC9034" w14:textId="77777777" w:rsidR="00EA69F2" w:rsidRPr="000D00EA" w:rsidRDefault="00EA69F2" w:rsidP="00635CB0">
            <w:pPr>
              <w:autoSpaceDE w:val="0"/>
              <w:autoSpaceDN w:val="0"/>
              <w:adjustRightInd w:val="0"/>
              <w:spacing w:after="120"/>
              <w:rPr>
                <w:rFonts w:cs="Times New Roman"/>
                <w:b w:val="0"/>
                <w:color w:val="auto"/>
                <w:sz w:val="22"/>
              </w:rPr>
            </w:pPr>
            <w:r w:rsidRPr="000D00EA">
              <w:rPr>
                <w:rFonts w:cs="Times New Roman"/>
                <w:b w:val="0"/>
                <w:color w:val="auto"/>
                <w:sz w:val="22"/>
              </w:rPr>
              <w:t xml:space="preserve">Irregular </w:t>
            </w:r>
            <w:proofErr w:type="gramStart"/>
            <w:r w:rsidRPr="000D00EA">
              <w:rPr>
                <w:rFonts w:cs="Times New Roman"/>
                <w:b w:val="0"/>
                <w:color w:val="auto"/>
                <w:sz w:val="22"/>
              </w:rPr>
              <w:t>recording</w:t>
            </w:r>
            <w:r w:rsidRPr="000D00EA">
              <w:rPr>
                <w:rFonts w:cs="Times New Roman"/>
                <w:b w:val="0"/>
                <w:color w:val="auto"/>
                <w:sz w:val="22"/>
                <w:vertAlign w:val="superscript"/>
              </w:rPr>
              <w:t>b</w:t>
            </w:r>
            <w:r w:rsidRPr="000D00EA">
              <w:rPr>
                <w:rFonts w:cs="Times New Roman"/>
                <w:b w:val="0"/>
                <w:color w:val="auto"/>
                <w:sz w:val="22"/>
              </w:rPr>
              <w:t>(</w:t>
            </w:r>
            <w:proofErr w:type="gramEnd"/>
            <w:r w:rsidRPr="000D00EA">
              <w:rPr>
                <w:rFonts w:cs="Times New Roman"/>
                <w:b w:val="0"/>
                <w:color w:val="auto"/>
                <w:sz w:val="22"/>
              </w:rPr>
              <w:t>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4CDEA"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highlight w:val="yellow"/>
              </w:rPr>
            </w:pPr>
            <w:r w:rsidRPr="000D00EA">
              <w:rPr>
                <w:rFonts w:cs="Times New Roman"/>
                <w:b w:val="0"/>
                <w:color w:val="auto"/>
                <w:sz w:val="22"/>
              </w:rPr>
              <w:t>15 (30.0)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C7E99"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5 (15.2)</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FD17F55"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3 (13.0)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ED238"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0D00EA">
              <w:rPr>
                <w:rFonts w:cs="Times New Roman"/>
                <w:b w:val="0"/>
                <w:color w:val="auto"/>
                <w:sz w:val="22"/>
              </w:rPr>
              <w:t>8 (17.4)</w:t>
            </w:r>
          </w:p>
        </w:tc>
      </w:tr>
      <w:tr w:rsidR="000D00EA" w:rsidRPr="000D00EA" w14:paraId="7132929A"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FC03854" w14:textId="77777777" w:rsidR="00EA69F2" w:rsidRPr="000D00EA" w:rsidRDefault="00EA69F2" w:rsidP="00635CB0">
            <w:pPr>
              <w:autoSpaceDE w:val="0"/>
              <w:autoSpaceDN w:val="0"/>
              <w:adjustRightInd w:val="0"/>
              <w:spacing w:after="120"/>
              <w:rPr>
                <w:rFonts w:cs="Times New Roman"/>
                <w:color w:val="auto"/>
                <w:sz w:val="22"/>
              </w:rPr>
            </w:pPr>
            <w:r w:rsidRPr="000D00EA">
              <w:rPr>
                <w:rFonts w:cs="Times New Roman"/>
                <w:b w:val="0"/>
                <w:color w:val="auto"/>
                <w:sz w:val="22"/>
              </w:rPr>
              <w:t>Supplement use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C3DE26E"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highlight w:val="yellow"/>
              </w:rPr>
            </w:pPr>
            <w:r w:rsidRPr="000D00EA">
              <w:rPr>
                <w:rFonts w:cs="Times New Roman"/>
                <w:b w:val="0"/>
                <w:color w:val="auto"/>
                <w:sz w:val="22"/>
              </w:rPr>
              <w:t>12 (24.0)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246FCD"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7 (21.2)</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9E1DD24"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8 (34.8)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DADD5"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11 (23.4)</w:t>
            </w:r>
          </w:p>
        </w:tc>
      </w:tr>
      <w:tr w:rsidR="000D00EA" w:rsidRPr="000D00EA" w14:paraId="0B074F14"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C2F1010" w14:textId="64F1325A" w:rsidR="00EA69F2" w:rsidRPr="000D00EA" w:rsidRDefault="00504D59" w:rsidP="00635CB0">
            <w:pPr>
              <w:autoSpaceDE w:val="0"/>
              <w:autoSpaceDN w:val="0"/>
              <w:adjustRightInd w:val="0"/>
              <w:spacing w:after="120"/>
              <w:ind w:left="720"/>
              <w:rPr>
                <w:rFonts w:cs="Times New Roman"/>
                <w:b w:val="0"/>
                <w:bCs w:val="0"/>
                <w:color w:val="auto"/>
                <w:sz w:val="22"/>
              </w:rPr>
            </w:pPr>
            <w:r w:rsidRPr="000D00EA">
              <w:rPr>
                <w:rFonts w:cs="Times New Roman"/>
                <w:b w:val="0"/>
                <w:color w:val="auto"/>
                <w:sz w:val="22"/>
              </w:rPr>
              <w:t>Multivitamin and minerals</w:t>
            </w:r>
            <w:r w:rsidR="00EA69F2" w:rsidRPr="000D00EA">
              <w:rPr>
                <w:rFonts w:cs="Times New Roman"/>
                <w:b w:val="0"/>
                <w:color w:val="auto"/>
                <w:sz w:val="22"/>
              </w:rPr>
              <w:t xml:space="preserve">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48801DD"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highlight w:val="yellow"/>
              </w:rPr>
            </w:pPr>
            <w:r w:rsidRPr="000D00EA">
              <w:rPr>
                <w:rFonts w:cs="Times New Roman"/>
                <w:b w:val="0"/>
                <w:color w:val="auto"/>
                <w:sz w:val="22"/>
              </w:rPr>
              <w:t>5 (10.0)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0BC6323"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5 (15.2)</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40643"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6 (26.1)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E11C4B"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6 (12.8)</w:t>
            </w:r>
          </w:p>
        </w:tc>
      </w:tr>
      <w:tr w:rsidR="000D00EA" w:rsidRPr="000D00EA" w14:paraId="75708E1B"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2715FF9" w14:textId="14259F42" w:rsidR="00EA69F2" w:rsidRPr="000D00EA" w:rsidRDefault="00EA69F2" w:rsidP="00635CB0">
            <w:pPr>
              <w:autoSpaceDE w:val="0"/>
              <w:autoSpaceDN w:val="0"/>
              <w:adjustRightInd w:val="0"/>
              <w:spacing w:after="120"/>
              <w:ind w:left="720"/>
              <w:rPr>
                <w:rFonts w:cs="Times New Roman"/>
                <w:b w:val="0"/>
                <w:bCs w:val="0"/>
                <w:color w:val="auto"/>
                <w:sz w:val="22"/>
              </w:rPr>
            </w:pPr>
            <w:r w:rsidRPr="000D00EA">
              <w:rPr>
                <w:rFonts w:cs="Times New Roman"/>
                <w:b w:val="0"/>
                <w:color w:val="auto"/>
                <w:sz w:val="22"/>
              </w:rPr>
              <w:t>Single/Few vitamins</w:t>
            </w:r>
            <w:r w:rsidR="00504D59" w:rsidRPr="000D00EA">
              <w:rPr>
                <w:rFonts w:cs="Times New Roman"/>
                <w:b w:val="0"/>
                <w:color w:val="auto"/>
                <w:sz w:val="22"/>
              </w:rPr>
              <w:t xml:space="preserve"> or minerals</w:t>
            </w:r>
            <w:r w:rsidRPr="000D00EA">
              <w:rPr>
                <w:rFonts w:cs="Times New Roman"/>
                <w:b w:val="0"/>
                <w:color w:val="auto"/>
                <w:sz w:val="22"/>
              </w:rPr>
              <w:t xml:space="preserve">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27BA5A7"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highlight w:val="yellow"/>
              </w:rPr>
            </w:pPr>
            <w:r w:rsidRPr="000D00EA">
              <w:rPr>
                <w:rFonts w:cs="Times New Roman"/>
                <w:b w:val="0"/>
                <w:color w:val="auto"/>
                <w:sz w:val="22"/>
              </w:rPr>
              <w:t>3 (6.0)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8EDB7A"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1 (3.0)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F8688B3"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3 (13.0)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70967"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6 (12.8)</w:t>
            </w:r>
          </w:p>
        </w:tc>
      </w:tr>
      <w:tr w:rsidR="000D00EA" w:rsidRPr="000D00EA" w14:paraId="24D35C96"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A088BE7" w14:textId="77777777" w:rsidR="00EA69F2" w:rsidRPr="000D00EA" w:rsidRDefault="00EA69F2" w:rsidP="00635CB0">
            <w:pPr>
              <w:autoSpaceDE w:val="0"/>
              <w:autoSpaceDN w:val="0"/>
              <w:adjustRightInd w:val="0"/>
              <w:spacing w:after="120"/>
              <w:ind w:left="720"/>
              <w:rPr>
                <w:rFonts w:cs="Times New Roman"/>
                <w:b w:val="0"/>
                <w:bCs w:val="0"/>
                <w:color w:val="auto"/>
                <w:sz w:val="22"/>
              </w:rPr>
            </w:pPr>
            <w:r w:rsidRPr="000D00EA">
              <w:rPr>
                <w:rFonts w:cs="Times New Roman"/>
                <w:b w:val="0"/>
                <w:color w:val="auto"/>
                <w:sz w:val="22"/>
              </w:rPr>
              <w:t>Probiotics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EC24EA"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highlight w:val="yellow"/>
              </w:rPr>
            </w:pPr>
            <w:r w:rsidRPr="000D00EA">
              <w:rPr>
                <w:rFonts w:cs="Times New Roman"/>
                <w:b w:val="0"/>
                <w:color w:val="auto"/>
                <w:sz w:val="22"/>
              </w:rPr>
              <w:t>1 (2.0)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50F28F"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67631B6"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3 (13.0)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E0430"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0</w:t>
            </w:r>
          </w:p>
        </w:tc>
      </w:tr>
      <w:tr w:rsidR="000D00EA" w:rsidRPr="000D00EA" w14:paraId="353F9EAB" w14:textId="77777777" w:rsidTr="00635C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3B457" w14:textId="77777777" w:rsidR="00EA69F2" w:rsidRPr="000D00EA" w:rsidRDefault="00EA69F2" w:rsidP="00635CB0">
            <w:pPr>
              <w:autoSpaceDE w:val="0"/>
              <w:autoSpaceDN w:val="0"/>
              <w:adjustRightInd w:val="0"/>
              <w:spacing w:after="120"/>
              <w:ind w:left="720"/>
              <w:rPr>
                <w:rFonts w:cs="Times New Roman"/>
                <w:b w:val="0"/>
                <w:bCs w:val="0"/>
                <w:color w:val="auto"/>
                <w:sz w:val="22"/>
              </w:rPr>
            </w:pPr>
            <w:r w:rsidRPr="000D00EA">
              <w:rPr>
                <w:rFonts w:cs="Times New Roman"/>
                <w:b w:val="0"/>
                <w:color w:val="auto"/>
                <w:sz w:val="22"/>
              </w:rPr>
              <w:t>Fish oil (n,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A633E"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highlight w:val="yellow"/>
              </w:rPr>
            </w:pPr>
            <w:r w:rsidRPr="000D00EA">
              <w:rPr>
                <w:rFonts w:cs="Times New Roman"/>
                <w:b w:val="0"/>
                <w:color w:val="auto"/>
                <w:sz w:val="22"/>
              </w:rPr>
              <w:t>5 (10.2)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E221C"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1 (3.0)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F44D2" w14:textId="77777777" w:rsidR="00EA69F2" w:rsidRPr="000D00EA" w:rsidRDefault="00EA69F2" w:rsidP="00635CB0">
            <w:pPr>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2 (8.7)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EFEC0D" w14:textId="77777777" w:rsidR="00EA69F2" w:rsidRPr="000D00EA" w:rsidRDefault="00EA69F2" w:rsidP="00635CB0">
            <w:pPr>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0D00EA">
              <w:rPr>
                <w:rFonts w:cs="Times New Roman"/>
                <w:b w:val="0"/>
                <w:color w:val="auto"/>
                <w:sz w:val="22"/>
              </w:rPr>
              <w:t>3 (6.4)</w:t>
            </w:r>
          </w:p>
        </w:tc>
      </w:tr>
    </w:tbl>
    <w:p w14:paraId="64B6D34C" w14:textId="77777777" w:rsidR="00EA69F2" w:rsidRPr="000D00EA" w:rsidRDefault="00EA69F2" w:rsidP="00EA69F2">
      <w:pPr>
        <w:spacing w:line="240" w:lineRule="auto"/>
        <w:rPr>
          <w:sz w:val="22"/>
        </w:rPr>
      </w:pPr>
      <w:r w:rsidRPr="000D00EA">
        <w:rPr>
          <w:sz w:val="22"/>
        </w:rPr>
        <w:t>FA: Food allergy. *significant difference between food allergy and control group (p &lt; 0.05)</w:t>
      </w:r>
    </w:p>
    <w:p w14:paraId="54D4E7E5" w14:textId="53282355" w:rsidR="00EA69F2" w:rsidRPr="000D00EA" w:rsidRDefault="00EA69F2" w:rsidP="00EA69F2">
      <w:pPr>
        <w:spacing w:line="240" w:lineRule="auto"/>
        <w:rPr>
          <w:sz w:val="22"/>
        </w:rPr>
      </w:pPr>
      <w:r w:rsidRPr="000D00EA">
        <w:rPr>
          <w:sz w:val="22"/>
        </w:rPr>
        <w:t>^for adolescents, maternal education level was used.</w:t>
      </w:r>
    </w:p>
    <w:p w14:paraId="45E04A7F" w14:textId="77777777" w:rsidR="00EA69F2" w:rsidRPr="000D00EA" w:rsidRDefault="00EA69F2">
      <w:pPr>
        <w:rPr>
          <w:sz w:val="22"/>
        </w:rPr>
      </w:pPr>
      <w:r w:rsidRPr="000D00EA">
        <w:rPr>
          <w:sz w:val="22"/>
        </w:rPr>
        <w:br w:type="page"/>
      </w:r>
    </w:p>
    <w:p w14:paraId="4896C314" w14:textId="77777777" w:rsidR="00EA69F2" w:rsidRPr="000D00EA" w:rsidRDefault="00EA69F2" w:rsidP="00EA69F2">
      <w:pPr>
        <w:pStyle w:val="Caption"/>
        <w:keepNext/>
        <w:spacing w:line="276" w:lineRule="auto"/>
        <w:rPr>
          <w:rFonts w:ascii="Times New Roman" w:hAnsi="Times New Roman" w:cs="Times New Roman"/>
          <w:b w:val="0"/>
          <w:color w:val="auto"/>
          <w:sz w:val="22"/>
          <w:szCs w:val="22"/>
        </w:rPr>
      </w:pPr>
      <w:r w:rsidRPr="000D00EA">
        <w:rPr>
          <w:rFonts w:ascii="Times New Roman" w:hAnsi="Times New Roman" w:cs="Times New Roman"/>
          <w:b w:val="0"/>
          <w:color w:val="auto"/>
          <w:sz w:val="22"/>
          <w:szCs w:val="22"/>
        </w:rPr>
        <w:lastRenderedPageBreak/>
        <w:t>Table 2: Daily nutrient intakes of adolescent and adults with food allergies and their controls, including dietary supplements (n = 151)</w:t>
      </w:r>
    </w:p>
    <w:tbl>
      <w:tblPr>
        <w:tblStyle w:val="LightShading"/>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78"/>
        <w:gridCol w:w="1799"/>
        <w:gridCol w:w="1711"/>
        <w:gridCol w:w="1531"/>
        <w:gridCol w:w="1980"/>
      </w:tblGrid>
      <w:tr w:rsidR="000D00EA" w:rsidRPr="000D00EA" w14:paraId="28F9CB60" w14:textId="77777777" w:rsidTr="00635CB0">
        <w:trPr>
          <w:cnfStyle w:val="100000000000" w:firstRow="1" w:lastRow="0" w:firstColumn="0" w:lastColumn="0" w:oddVBand="0" w:evenVBand="0" w:oddHBand="0" w:evenHBand="0" w:firstRowFirstColumn="0" w:firstRowLastColumn="0" w:lastRowFirstColumn="0" w:lastRowLastColumn="0"/>
          <w:trHeight w:val="256"/>
        </w:trPr>
        <w:tc>
          <w:tcPr>
            <w:tcW w:w="1184" w:type="pct"/>
            <w:hideMark/>
          </w:tcPr>
          <w:p w14:paraId="5AC6A10B" w14:textId="77777777" w:rsidR="00EA69F2" w:rsidRPr="000D00EA" w:rsidRDefault="00EA69F2" w:rsidP="00635CB0">
            <w:pPr>
              <w:autoSpaceDE w:val="0"/>
              <w:autoSpaceDN w:val="0"/>
              <w:adjustRightInd w:val="0"/>
              <w:spacing w:after="120"/>
              <w:jc w:val="both"/>
              <w:rPr>
                <w:rFonts w:cs="Times New Roman"/>
                <w:b w:val="0"/>
                <w:color w:val="auto"/>
                <w:sz w:val="22"/>
              </w:rPr>
            </w:pPr>
            <w:r w:rsidRPr="000D00EA">
              <w:rPr>
                <w:rFonts w:cs="Times New Roman"/>
                <w:color w:val="auto"/>
                <w:sz w:val="22"/>
                <w:lang w:val="de-AT"/>
              </w:rPr>
              <w:t>Nutrients</w:t>
            </w:r>
          </w:p>
        </w:tc>
        <w:tc>
          <w:tcPr>
            <w:tcW w:w="1908" w:type="pct"/>
            <w:gridSpan w:val="2"/>
            <w:hideMark/>
          </w:tcPr>
          <w:p w14:paraId="111D077A" w14:textId="77777777" w:rsidR="00EA69F2" w:rsidRPr="000D00EA" w:rsidRDefault="00EA69F2" w:rsidP="00635CB0">
            <w:pPr>
              <w:autoSpaceDE w:val="0"/>
              <w:autoSpaceDN w:val="0"/>
              <w:adjustRightInd w:val="0"/>
              <w:spacing w:after="120"/>
              <w:jc w:val="center"/>
              <w:rPr>
                <w:rFonts w:cs="Times New Roman"/>
                <w:b w:val="0"/>
                <w:color w:val="auto"/>
                <w:sz w:val="22"/>
              </w:rPr>
            </w:pPr>
            <w:r w:rsidRPr="000D00EA">
              <w:rPr>
                <w:rFonts w:cs="Times New Roman"/>
                <w:color w:val="auto"/>
                <w:sz w:val="22"/>
                <w:lang w:val="de-AT"/>
              </w:rPr>
              <w:t>Adolescent</w:t>
            </w:r>
            <w:r w:rsidRPr="000D00EA">
              <w:rPr>
                <w:rFonts w:cs="Times New Roman"/>
                <w:b w:val="0"/>
                <w:color w:val="auto"/>
                <w:sz w:val="22"/>
                <w:lang w:val="de-AT"/>
              </w:rPr>
              <w:t>s</w:t>
            </w:r>
          </w:p>
        </w:tc>
        <w:tc>
          <w:tcPr>
            <w:tcW w:w="1908" w:type="pct"/>
            <w:gridSpan w:val="2"/>
            <w:hideMark/>
          </w:tcPr>
          <w:p w14:paraId="21B49D0D" w14:textId="77777777" w:rsidR="00EA69F2" w:rsidRPr="000D00EA" w:rsidRDefault="00EA69F2" w:rsidP="00635CB0">
            <w:pPr>
              <w:autoSpaceDE w:val="0"/>
              <w:autoSpaceDN w:val="0"/>
              <w:adjustRightInd w:val="0"/>
              <w:spacing w:after="120"/>
              <w:jc w:val="center"/>
              <w:rPr>
                <w:rFonts w:cs="Times New Roman"/>
                <w:b w:val="0"/>
                <w:color w:val="auto"/>
                <w:sz w:val="22"/>
              </w:rPr>
            </w:pPr>
            <w:r w:rsidRPr="000D00EA">
              <w:rPr>
                <w:rFonts w:cs="Times New Roman"/>
                <w:color w:val="auto"/>
                <w:sz w:val="22"/>
                <w:lang w:val="de-AT"/>
              </w:rPr>
              <w:t>Adults</w:t>
            </w:r>
          </w:p>
        </w:tc>
      </w:tr>
      <w:tr w:rsidR="000D00EA" w:rsidRPr="000D00EA" w14:paraId="3B0C4A10" w14:textId="77777777" w:rsidTr="00635CB0">
        <w:trPr>
          <w:cnfStyle w:val="000000100000" w:firstRow="0" w:lastRow="0" w:firstColumn="0" w:lastColumn="0" w:oddVBand="0" w:evenVBand="0" w:oddHBand="1" w:evenHBand="0" w:firstRowFirstColumn="0" w:firstRowLastColumn="0" w:lastRowFirstColumn="0" w:lastRowLastColumn="0"/>
          <w:trHeight w:val="701"/>
        </w:trPr>
        <w:tc>
          <w:tcPr>
            <w:tcW w:w="1184" w:type="pct"/>
            <w:shd w:val="clear" w:color="auto" w:fill="FFFFFF" w:themeFill="background1"/>
            <w:hideMark/>
          </w:tcPr>
          <w:p w14:paraId="11FBD893" w14:textId="77777777" w:rsidR="00EA69F2" w:rsidRPr="000D00EA" w:rsidRDefault="00EA69F2" w:rsidP="00635CB0">
            <w:pPr>
              <w:autoSpaceDE w:val="0"/>
              <w:autoSpaceDN w:val="0"/>
              <w:adjustRightInd w:val="0"/>
              <w:spacing w:after="120"/>
              <w:jc w:val="both"/>
              <w:rPr>
                <w:rFonts w:cs="Times New Roman"/>
                <w:color w:val="auto"/>
                <w:sz w:val="22"/>
              </w:rPr>
            </w:pPr>
          </w:p>
        </w:tc>
        <w:tc>
          <w:tcPr>
            <w:tcW w:w="978" w:type="pct"/>
            <w:shd w:val="clear" w:color="auto" w:fill="FFFFFF" w:themeFill="background1"/>
            <w:hideMark/>
          </w:tcPr>
          <w:p w14:paraId="05B049CF" w14:textId="77777777" w:rsidR="00EA69F2" w:rsidRPr="000D00EA" w:rsidRDefault="00EA69F2" w:rsidP="00635CB0">
            <w:pPr>
              <w:autoSpaceDE w:val="0"/>
              <w:autoSpaceDN w:val="0"/>
              <w:adjustRightInd w:val="0"/>
              <w:spacing w:after="120"/>
              <w:jc w:val="center"/>
              <w:rPr>
                <w:rFonts w:cs="Times New Roman"/>
                <w:color w:val="auto"/>
                <w:sz w:val="22"/>
                <w:lang w:val="de-AT"/>
              </w:rPr>
            </w:pPr>
            <w:r w:rsidRPr="000D00EA">
              <w:rPr>
                <w:rFonts w:cs="Times New Roman"/>
                <w:color w:val="auto"/>
                <w:sz w:val="22"/>
                <w:lang w:val="de-AT"/>
              </w:rPr>
              <w:t>Food allergic</w:t>
            </w:r>
          </w:p>
          <w:p w14:paraId="570C4BD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(n=48)</w:t>
            </w:r>
          </w:p>
        </w:tc>
        <w:tc>
          <w:tcPr>
            <w:tcW w:w="930" w:type="pct"/>
            <w:shd w:val="clear" w:color="auto" w:fill="FFFFFF" w:themeFill="background1"/>
            <w:hideMark/>
          </w:tcPr>
          <w:p w14:paraId="0DC62F1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Control</w:t>
            </w:r>
          </w:p>
          <w:p w14:paraId="0708E00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(n=33)</w:t>
            </w:r>
          </w:p>
        </w:tc>
        <w:tc>
          <w:tcPr>
            <w:tcW w:w="832" w:type="pct"/>
            <w:shd w:val="clear" w:color="auto" w:fill="FFFFFF" w:themeFill="background1"/>
            <w:hideMark/>
          </w:tcPr>
          <w:p w14:paraId="7A87CE4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Food allergic</w:t>
            </w:r>
          </w:p>
          <w:p w14:paraId="470244A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(n=23)</w:t>
            </w:r>
          </w:p>
        </w:tc>
        <w:tc>
          <w:tcPr>
            <w:tcW w:w="1076" w:type="pct"/>
            <w:shd w:val="clear" w:color="auto" w:fill="FFFFFF" w:themeFill="background1"/>
            <w:hideMark/>
          </w:tcPr>
          <w:p w14:paraId="3D117F7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Control</w:t>
            </w:r>
          </w:p>
          <w:p w14:paraId="63547B5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(n=47)</w:t>
            </w:r>
          </w:p>
        </w:tc>
      </w:tr>
      <w:tr w:rsidR="000D00EA" w:rsidRPr="000D00EA" w14:paraId="18D70D52" w14:textId="77777777" w:rsidTr="00635CB0">
        <w:trPr>
          <w:trHeight w:val="222"/>
        </w:trPr>
        <w:tc>
          <w:tcPr>
            <w:tcW w:w="1184" w:type="pct"/>
            <w:shd w:val="clear" w:color="auto" w:fill="FFFFFF" w:themeFill="background1"/>
            <w:hideMark/>
          </w:tcPr>
          <w:p w14:paraId="61822E03" w14:textId="77777777" w:rsidR="00EA69F2" w:rsidRPr="000D00EA" w:rsidRDefault="00EA69F2" w:rsidP="00635CB0">
            <w:pPr>
              <w:autoSpaceDE w:val="0"/>
              <w:autoSpaceDN w:val="0"/>
              <w:adjustRightInd w:val="0"/>
              <w:spacing w:after="120"/>
              <w:jc w:val="both"/>
              <w:rPr>
                <w:rFonts w:cs="Times New Roman"/>
                <w:color w:val="auto"/>
                <w:sz w:val="22"/>
              </w:rPr>
            </w:pPr>
          </w:p>
        </w:tc>
        <w:tc>
          <w:tcPr>
            <w:tcW w:w="1908" w:type="pct"/>
            <w:gridSpan w:val="2"/>
            <w:shd w:val="clear" w:color="auto" w:fill="FFFFFF" w:themeFill="background1"/>
            <w:hideMark/>
          </w:tcPr>
          <w:p w14:paraId="5A2C200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Mean (SD)</w:t>
            </w:r>
          </w:p>
        </w:tc>
        <w:tc>
          <w:tcPr>
            <w:tcW w:w="1908" w:type="pct"/>
            <w:gridSpan w:val="2"/>
            <w:shd w:val="clear" w:color="auto" w:fill="FFFFFF" w:themeFill="background1"/>
            <w:hideMark/>
          </w:tcPr>
          <w:p w14:paraId="69D483F4"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lang w:val="de-AT"/>
              </w:rPr>
              <w:t>Mean (SD)</w:t>
            </w:r>
          </w:p>
        </w:tc>
      </w:tr>
      <w:tr w:rsidR="000D00EA" w:rsidRPr="000D00EA" w14:paraId="09BBB5AA" w14:textId="77777777" w:rsidTr="00635CB0">
        <w:trPr>
          <w:cnfStyle w:val="000000100000" w:firstRow="0" w:lastRow="0" w:firstColumn="0" w:lastColumn="0" w:oddVBand="0" w:evenVBand="0" w:oddHBand="1" w:evenHBand="0" w:firstRowFirstColumn="0" w:firstRowLastColumn="0" w:lastRowFirstColumn="0" w:lastRowLastColumn="0"/>
          <w:trHeight w:val="254"/>
        </w:trPr>
        <w:tc>
          <w:tcPr>
            <w:tcW w:w="1184" w:type="pct"/>
            <w:shd w:val="clear" w:color="auto" w:fill="FFFFFF" w:themeFill="background1"/>
            <w:hideMark/>
          </w:tcPr>
          <w:p w14:paraId="0D26C8ED"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rPr>
              <w:t>Energy (%EAR)</w:t>
            </w:r>
          </w:p>
        </w:tc>
        <w:tc>
          <w:tcPr>
            <w:tcW w:w="978" w:type="pct"/>
            <w:shd w:val="clear" w:color="auto" w:fill="FFFFFF" w:themeFill="background1"/>
            <w:hideMark/>
          </w:tcPr>
          <w:p w14:paraId="23F6E02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88.2 (20.9)</w:t>
            </w:r>
          </w:p>
        </w:tc>
        <w:tc>
          <w:tcPr>
            <w:tcW w:w="930" w:type="pct"/>
            <w:shd w:val="clear" w:color="auto" w:fill="FFFFFF" w:themeFill="background1"/>
            <w:hideMark/>
          </w:tcPr>
          <w:p w14:paraId="5102DB0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89.3 (15.7)</w:t>
            </w:r>
          </w:p>
        </w:tc>
        <w:tc>
          <w:tcPr>
            <w:tcW w:w="832" w:type="pct"/>
            <w:shd w:val="clear" w:color="auto" w:fill="FFFFFF" w:themeFill="background1"/>
            <w:hideMark/>
          </w:tcPr>
          <w:p w14:paraId="7599ED6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95.4 (21.4)</w:t>
            </w:r>
          </w:p>
        </w:tc>
        <w:tc>
          <w:tcPr>
            <w:tcW w:w="1076" w:type="pct"/>
            <w:shd w:val="clear" w:color="auto" w:fill="FFFFFF" w:themeFill="background1"/>
            <w:hideMark/>
          </w:tcPr>
          <w:p w14:paraId="2D35F318"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99.4 (21.7)</w:t>
            </w:r>
          </w:p>
        </w:tc>
      </w:tr>
      <w:tr w:rsidR="000D00EA" w:rsidRPr="000D00EA" w14:paraId="69159873" w14:textId="77777777" w:rsidTr="00635CB0">
        <w:trPr>
          <w:trHeight w:val="271"/>
        </w:trPr>
        <w:tc>
          <w:tcPr>
            <w:tcW w:w="1184" w:type="pct"/>
            <w:shd w:val="clear" w:color="auto" w:fill="FFFFFF" w:themeFill="background1"/>
            <w:hideMark/>
          </w:tcPr>
          <w:p w14:paraId="0134FB5A"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rPr>
              <w:t>Protein (%RNI)</w:t>
            </w:r>
          </w:p>
        </w:tc>
        <w:tc>
          <w:tcPr>
            <w:tcW w:w="978" w:type="pct"/>
            <w:shd w:val="clear" w:color="auto" w:fill="FFFFFF" w:themeFill="background1"/>
            <w:hideMark/>
          </w:tcPr>
          <w:p w14:paraId="689B4ED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166.9 (46.9)</w:t>
            </w:r>
          </w:p>
        </w:tc>
        <w:tc>
          <w:tcPr>
            <w:tcW w:w="930" w:type="pct"/>
            <w:shd w:val="clear" w:color="auto" w:fill="FFFFFF" w:themeFill="background1"/>
            <w:hideMark/>
          </w:tcPr>
          <w:p w14:paraId="292C48D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164.4 (37.8)</w:t>
            </w:r>
          </w:p>
        </w:tc>
        <w:tc>
          <w:tcPr>
            <w:tcW w:w="832" w:type="pct"/>
            <w:shd w:val="clear" w:color="auto" w:fill="FFFFFF" w:themeFill="background1"/>
            <w:hideMark/>
          </w:tcPr>
          <w:p w14:paraId="22F3A1B9"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169.9 (47.4)</w:t>
            </w:r>
          </w:p>
        </w:tc>
        <w:tc>
          <w:tcPr>
            <w:tcW w:w="1076" w:type="pct"/>
            <w:shd w:val="clear" w:color="auto" w:fill="FFFFFF" w:themeFill="background1"/>
            <w:hideMark/>
          </w:tcPr>
          <w:p w14:paraId="778FF77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169.7 (57.2)</w:t>
            </w:r>
          </w:p>
        </w:tc>
      </w:tr>
      <w:tr w:rsidR="000D00EA" w:rsidRPr="000D00EA" w14:paraId="6DF30372" w14:textId="77777777" w:rsidTr="00635CB0">
        <w:trPr>
          <w:cnfStyle w:val="000000100000" w:firstRow="0" w:lastRow="0" w:firstColumn="0" w:lastColumn="0" w:oddVBand="0" w:evenVBand="0" w:oddHBand="1" w:evenHBand="0" w:firstRowFirstColumn="0" w:firstRowLastColumn="0" w:lastRowFirstColumn="0" w:lastRowLastColumn="0"/>
          <w:trHeight w:val="430"/>
        </w:trPr>
        <w:tc>
          <w:tcPr>
            <w:tcW w:w="1184" w:type="pct"/>
            <w:shd w:val="clear" w:color="auto" w:fill="FFFFFF" w:themeFill="background1"/>
            <w:hideMark/>
          </w:tcPr>
          <w:p w14:paraId="7C86564E"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da-DK"/>
              </w:rPr>
              <w:t xml:space="preserve">Fat (g) </w:t>
            </w:r>
          </w:p>
          <w:p w14:paraId="48A9E911"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rPr>
              <w:t xml:space="preserve">% Total energy </w:t>
            </w:r>
          </w:p>
        </w:tc>
        <w:tc>
          <w:tcPr>
            <w:tcW w:w="978" w:type="pct"/>
            <w:shd w:val="clear" w:color="auto" w:fill="FFFFFF" w:themeFill="background1"/>
            <w:hideMark/>
          </w:tcPr>
          <w:p w14:paraId="395F1F6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73.9 (24.9)</w:t>
            </w:r>
          </w:p>
          <w:p w14:paraId="114446F4"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bCs/>
                <w:color w:val="auto"/>
                <w:sz w:val="22"/>
              </w:rPr>
              <w:t>33.1 (5.5)*</w:t>
            </w:r>
          </w:p>
        </w:tc>
        <w:tc>
          <w:tcPr>
            <w:tcW w:w="930" w:type="pct"/>
            <w:shd w:val="clear" w:color="auto" w:fill="FFFFFF" w:themeFill="background1"/>
            <w:hideMark/>
          </w:tcPr>
          <w:p w14:paraId="0362A94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77.1 (18.4)</w:t>
            </w:r>
          </w:p>
          <w:p w14:paraId="7B04C9D4"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36.7 (5.2)</w:t>
            </w:r>
          </w:p>
        </w:tc>
        <w:tc>
          <w:tcPr>
            <w:tcW w:w="832" w:type="pct"/>
            <w:shd w:val="clear" w:color="auto" w:fill="FFFFFF" w:themeFill="background1"/>
            <w:hideMark/>
          </w:tcPr>
          <w:p w14:paraId="01BFBD56" w14:textId="77777777" w:rsidR="00EA69F2" w:rsidRPr="000D00EA" w:rsidRDefault="00EA69F2" w:rsidP="00635CB0">
            <w:pPr>
              <w:autoSpaceDE w:val="0"/>
              <w:autoSpaceDN w:val="0"/>
              <w:adjustRightInd w:val="0"/>
              <w:spacing w:after="120"/>
              <w:jc w:val="center"/>
              <w:rPr>
                <w:rFonts w:cs="Times New Roman"/>
                <w:color w:val="auto"/>
                <w:sz w:val="22"/>
                <w:lang w:val="de-AT"/>
              </w:rPr>
            </w:pPr>
            <w:r w:rsidRPr="000D00EA">
              <w:rPr>
                <w:rFonts w:cs="Times New Roman"/>
                <w:color w:val="auto"/>
                <w:sz w:val="22"/>
                <w:lang w:val="de-AT"/>
              </w:rPr>
              <w:t>70.1 (20.1)</w:t>
            </w:r>
          </w:p>
          <w:p w14:paraId="33CF2E5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32.9 (5.9)</w:t>
            </w:r>
          </w:p>
        </w:tc>
        <w:tc>
          <w:tcPr>
            <w:tcW w:w="1076" w:type="pct"/>
            <w:shd w:val="clear" w:color="auto" w:fill="FFFFFF" w:themeFill="background1"/>
            <w:hideMark/>
          </w:tcPr>
          <w:p w14:paraId="2E31658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80.1 (24.8)</w:t>
            </w:r>
          </w:p>
          <w:p w14:paraId="38108CB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35.1 (5.5)</w:t>
            </w:r>
          </w:p>
        </w:tc>
      </w:tr>
      <w:tr w:rsidR="000D00EA" w:rsidRPr="000D00EA" w14:paraId="0771E355" w14:textId="77777777" w:rsidTr="00635CB0">
        <w:trPr>
          <w:trHeight w:val="410"/>
        </w:trPr>
        <w:tc>
          <w:tcPr>
            <w:tcW w:w="1184" w:type="pct"/>
            <w:shd w:val="clear" w:color="auto" w:fill="FFFFFF" w:themeFill="background1"/>
            <w:hideMark/>
          </w:tcPr>
          <w:p w14:paraId="1ED82ABF"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fr-FR"/>
              </w:rPr>
              <w:t xml:space="preserve">Carbohydrates (g) </w:t>
            </w:r>
          </w:p>
          <w:p w14:paraId="65EC9E74"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rPr>
              <w:t>% Total energy</w:t>
            </w:r>
          </w:p>
        </w:tc>
        <w:tc>
          <w:tcPr>
            <w:tcW w:w="978" w:type="pct"/>
            <w:shd w:val="clear" w:color="auto" w:fill="FFFFFF" w:themeFill="background1"/>
            <w:hideMark/>
          </w:tcPr>
          <w:p w14:paraId="4187A36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258.3 (62.6)</w:t>
            </w:r>
          </w:p>
          <w:p w14:paraId="0B94896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bCs/>
                <w:color w:val="auto"/>
                <w:sz w:val="22"/>
              </w:rPr>
              <w:t>50.8 (6.4)*</w:t>
            </w:r>
          </w:p>
        </w:tc>
        <w:tc>
          <w:tcPr>
            <w:tcW w:w="930" w:type="pct"/>
            <w:shd w:val="clear" w:color="auto" w:fill="FFFFFF" w:themeFill="background1"/>
            <w:hideMark/>
          </w:tcPr>
          <w:p w14:paraId="5C67E5DF"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236.8 (47.1)</w:t>
            </w:r>
          </w:p>
          <w:p w14:paraId="18EA715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47.1 (4.9)</w:t>
            </w:r>
          </w:p>
        </w:tc>
        <w:tc>
          <w:tcPr>
            <w:tcW w:w="832" w:type="pct"/>
            <w:shd w:val="clear" w:color="auto" w:fill="FFFFFF" w:themeFill="background1"/>
            <w:hideMark/>
          </w:tcPr>
          <w:p w14:paraId="750B85A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241.2 (101.2)</w:t>
            </w:r>
          </w:p>
          <w:p w14:paraId="56123599"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46.4 (11.0)</w:t>
            </w:r>
          </w:p>
        </w:tc>
        <w:tc>
          <w:tcPr>
            <w:tcW w:w="1076" w:type="pct"/>
            <w:shd w:val="clear" w:color="auto" w:fill="FFFFFF" w:themeFill="background1"/>
            <w:hideMark/>
          </w:tcPr>
          <w:p w14:paraId="139F0CC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250.6 (56.9)</w:t>
            </w:r>
          </w:p>
          <w:p w14:paraId="57B9A16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46.6 (5.3)</w:t>
            </w:r>
          </w:p>
        </w:tc>
      </w:tr>
      <w:tr w:rsidR="000D00EA" w:rsidRPr="000D00EA" w14:paraId="7AC2409E" w14:textId="77777777" w:rsidTr="00635CB0">
        <w:trPr>
          <w:cnfStyle w:val="000000100000" w:firstRow="0" w:lastRow="0" w:firstColumn="0" w:lastColumn="0" w:oddVBand="0" w:evenVBand="0" w:oddHBand="1" w:evenHBand="0" w:firstRowFirstColumn="0" w:firstRowLastColumn="0" w:lastRowFirstColumn="0" w:lastRowLastColumn="0"/>
          <w:trHeight w:val="275"/>
        </w:trPr>
        <w:tc>
          <w:tcPr>
            <w:tcW w:w="1184" w:type="pct"/>
            <w:shd w:val="clear" w:color="auto" w:fill="FFFFFF" w:themeFill="background1"/>
            <w:hideMark/>
          </w:tcPr>
          <w:p w14:paraId="372AF179"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rPr>
              <w:t xml:space="preserve">NSP (g) </w:t>
            </w:r>
          </w:p>
        </w:tc>
        <w:tc>
          <w:tcPr>
            <w:tcW w:w="978" w:type="pct"/>
            <w:shd w:val="clear" w:color="auto" w:fill="FFFFFF" w:themeFill="background1"/>
            <w:hideMark/>
          </w:tcPr>
          <w:p w14:paraId="057E6E4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13.7 (5.0)</w:t>
            </w:r>
          </w:p>
        </w:tc>
        <w:tc>
          <w:tcPr>
            <w:tcW w:w="930" w:type="pct"/>
            <w:shd w:val="clear" w:color="auto" w:fill="FFFFFF" w:themeFill="background1"/>
            <w:hideMark/>
          </w:tcPr>
          <w:p w14:paraId="5E59399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13.1 (3.7)</w:t>
            </w:r>
          </w:p>
        </w:tc>
        <w:tc>
          <w:tcPr>
            <w:tcW w:w="832" w:type="pct"/>
            <w:shd w:val="clear" w:color="auto" w:fill="FFFFFF" w:themeFill="background1"/>
            <w:hideMark/>
          </w:tcPr>
          <w:p w14:paraId="200223C1"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16.4 (6.3)</w:t>
            </w:r>
          </w:p>
        </w:tc>
        <w:tc>
          <w:tcPr>
            <w:tcW w:w="1076" w:type="pct"/>
            <w:shd w:val="clear" w:color="auto" w:fill="FFFFFF" w:themeFill="background1"/>
            <w:hideMark/>
          </w:tcPr>
          <w:p w14:paraId="0D225FCF"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15.4 (5.6)</w:t>
            </w:r>
          </w:p>
        </w:tc>
      </w:tr>
      <w:tr w:rsidR="000D00EA" w:rsidRPr="000D00EA" w14:paraId="6E0ECA1D" w14:textId="77777777" w:rsidTr="00635CB0">
        <w:trPr>
          <w:trHeight w:val="279"/>
        </w:trPr>
        <w:tc>
          <w:tcPr>
            <w:tcW w:w="1184" w:type="pct"/>
            <w:shd w:val="clear" w:color="auto" w:fill="FFFFFF" w:themeFill="background1"/>
            <w:hideMark/>
          </w:tcPr>
          <w:p w14:paraId="0935E4FD"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it-IT"/>
              </w:rPr>
              <w:t xml:space="preserve">Vitamin A </w:t>
            </w:r>
            <w:r w:rsidRPr="000D00EA">
              <w:rPr>
                <w:rFonts w:cs="Times New Roman"/>
                <w:color w:val="auto"/>
                <w:sz w:val="22"/>
              </w:rPr>
              <w:t>(%RNI)</w:t>
            </w:r>
          </w:p>
        </w:tc>
        <w:tc>
          <w:tcPr>
            <w:tcW w:w="978" w:type="pct"/>
            <w:shd w:val="clear" w:color="auto" w:fill="FFFFFF" w:themeFill="background1"/>
            <w:hideMark/>
          </w:tcPr>
          <w:p w14:paraId="739E6D7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145.1 (83.9)</w:t>
            </w:r>
          </w:p>
        </w:tc>
        <w:tc>
          <w:tcPr>
            <w:tcW w:w="930" w:type="pct"/>
            <w:shd w:val="clear" w:color="auto" w:fill="FFFFFF" w:themeFill="background1"/>
            <w:hideMark/>
          </w:tcPr>
          <w:p w14:paraId="1FDB3B5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129.3 (61.8)</w:t>
            </w:r>
          </w:p>
        </w:tc>
        <w:tc>
          <w:tcPr>
            <w:tcW w:w="832" w:type="pct"/>
            <w:shd w:val="clear" w:color="auto" w:fill="FFFFFF" w:themeFill="background1"/>
            <w:hideMark/>
          </w:tcPr>
          <w:p w14:paraId="38812871"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195.5 (155.9)</w:t>
            </w:r>
          </w:p>
        </w:tc>
        <w:tc>
          <w:tcPr>
            <w:tcW w:w="1076" w:type="pct"/>
            <w:shd w:val="clear" w:color="auto" w:fill="FFFFFF" w:themeFill="background1"/>
            <w:hideMark/>
          </w:tcPr>
          <w:p w14:paraId="4DF93FBB"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191.3 (182.2)</w:t>
            </w:r>
          </w:p>
        </w:tc>
      </w:tr>
      <w:tr w:rsidR="000D00EA" w:rsidRPr="000D00EA" w14:paraId="00547CB9" w14:textId="77777777" w:rsidTr="00635CB0">
        <w:trPr>
          <w:cnfStyle w:val="000000100000" w:firstRow="0" w:lastRow="0" w:firstColumn="0" w:lastColumn="0" w:oddVBand="0" w:evenVBand="0" w:oddHBand="1" w:evenHBand="0" w:firstRowFirstColumn="0" w:firstRowLastColumn="0" w:lastRowFirstColumn="0" w:lastRowLastColumn="0"/>
          <w:trHeight w:val="283"/>
        </w:trPr>
        <w:tc>
          <w:tcPr>
            <w:tcW w:w="1184" w:type="pct"/>
            <w:shd w:val="clear" w:color="auto" w:fill="FFFFFF" w:themeFill="background1"/>
            <w:hideMark/>
          </w:tcPr>
          <w:p w14:paraId="486CAAED"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fi-FI"/>
              </w:rPr>
              <w:t xml:space="preserve">Vitamin C </w:t>
            </w:r>
            <w:r w:rsidRPr="000D00EA">
              <w:rPr>
                <w:rFonts w:cs="Times New Roman"/>
                <w:color w:val="auto"/>
                <w:sz w:val="22"/>
              </w:rPr>
              <w:t>(%RNI)</w:t>
            </w:r>
          </w:p>
        </w:tc>
        <w:tc>
          <w:tcPr>
            <w:tcW w:w="978" w:type="pct"/>
            <w:shd w:val="clear" w:color="auto" w:fill="FFFFFF" w:themeFill="background1"/>
            <w:hideMark/>
          </w:tcPr>
          <w:p w14:paraId="0BE631A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387.7 (260.6)</w:t>
            </w:r>
          </w:p>
        </w:tc>
        <w:tc>
          <w:tcPr>
            <w:tcW w:w="930" w:type="pct"/>
            <w:shd w:val="clear" w:color="auto" w:fill="FFFFFF" w:themeFill="background1"/>
            <w:hideMark/>
          </w:tcPr>
          <w:p w14:paraId="190A6D5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326.1 (240.8)</w:t>
            </w:r>
          </w:p>
        </w:tc>
        <w:tc>
          <w:tcPr>
            <w:tcW w:w="832" w:type="pct"/>
            <w:shd w:val="clear" w:color="auto" w:fill="FFFFFF" w:themeFill="background1"/>
            <w:hideMark/>
          </w:tcPr>
          <w:p w14:paraId="40116E8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415.4 (608.8)</w:t>
            </w:r>
          </w:p>
        </w:tc>
        <w:tc>
          <w:tcPr>
            <w:tcW w:w="1076" w:type="pct"/>
            <w:shd w:val="clear" w:color="auto" w:fill="FFFFFF" w:themeFill="background1"/>
            <w:hideMark/>
          </w:tcPr>
          <w:p w14:paraId="77C94B23"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333.0 (409.2)</w:t>
            </w:r>
          </w:p>
        </w:tc>
      </w:tr>
      <w:tr w:rsidR="000D00EA" w:rsidRPr="000D00EA" w14:paraId="19CFAB90" w14:textId="77777777" w:rsidTr="00635CB0">
        <w:trPr>
          <w:trHeight w:val="145"/>
        </w:trPr>
        <w:tc>
          <w:tcPr>
            <w:tcW w:w="1184" w:type="pct"/>
            <w:shd w:val="clear" w:color="auto" w:fill="FFFFFF" w:themeFill="background1"/>
            <w:hideMark/>
          </w:tcPr>
          <w:p w14:paraId="44417430"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fi-FI"/>
              </w:rPr>
              <w:t>Vitamin D (µg)^</w:t>
            </w:r>
          </w:p>
        </w:tc>
        <w:tc>
          <w:tcPr>
            <w:tcW w:w="978" w:type="pct"/>
            <w:shd w:val="clear" w:color="auto" w:fill="FFFFFF" w:themeFill="background1"/>
            <w:hideMark/>
          </w:tcPr>
          <w:p w14:paraId="1E132B0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6.2 (18.1)</w:t>
            </w:r>
          </w:p>
        </w:tc>
        <w:tc>
          <w:tcPr>
            <w:tcW w:w="930" w:type="pct"/>
            <w:shd w:val="clear" w:color="auto" w:fill="FFFFFF" w:themeFill="background1"/>
            <w:hideMark/>
          </w:tcPr>
          <w:p w14:paraId="6065BE39"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3.3 (2.6)</w:t>
            </w:r>
          </w:p>
        </w:tc>
        <w:tc>
          <w:tcPr>
            <w:tcW w:w="832" w:type="pct"/>
            <w:shd w:val="clear" w:color="auto" w:fill="FFFFFF" w:themeFill="background1"/>
            <w:hideMark/>
          </w:tcPr>
          <w:p w14:paraId="3A3F6A0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3.4 (2.8)</w:t>
            </w:r>
          </w:p>
        </w:tc>
        <w:tc>
          <w:tcPr>
            <w:tcW w:w="1076" w:type="pct"/>
            <w:shd w:val="clear" w:color="auto" w:fill="FFFFFF" w:themeFill="background1"/>
            <w:hideMark/>
          </w:tcPr>
          <w:p w14:paraId="2DD32F7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3.0 (2.7)</w:t>
            </w:r>
          </w:p>
        </w:tc>
      </w:tr>
      <w:tr w:rsidR="000D00EA" w:rsidRPr="000D00EA" w14:paraId="65F49DF6" w14:textId="77777777" w:rsidTr="00635CB0">
        <w:trPr>
          <w:cnfStyle w:val="000000100000" w:firstRow="0" w:lastRow="0" w:firstColumn="0" w:lastColumn="0" w:oddVBand="0" w:evenVBand="0" w:oddHBand="1" w:evenHBand="0" w:firstRowFirstColumn="0" w:firstRowLastColumn="0" w:lastRowFirstColumn="0" w:lastRowLastColumn="0"/>
          <w:trHeight w:val="177"/>
        </w:trPr>
        <w:tc>
          <w:tcPr>
            <w:tcW w:w="1184" w:type="pct"/>
            <w:shd w:val="clear" w:color="auto" w:fill="FFFFFF" w:themeFill="background1"/>
            <w:hideMark/>
          </w:tcPr>
          <w:p w14:paraId="4EF57EEA"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rPr>
              <w:t>Vitamin E (mg)^</w:t>
            </w:r>
          </w:p>
        </w:tc>
        <w:tc>
          <w:tcPr>
            <w:tcW w:w="978" w:type="pct"/>
            <w:shd w:val="clear" w:color="auto" w:fill="FFFFFF" w:themeFill="background1"/>
            <w:hideMark/>
          </w:tcPr>
          <w:p w14:paraId="3B12BB6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9.5 (9.0)</w:t>
            </w:r>
          </w:p>
        </w:tc>
        <w:tc>
          <w:tcPr>
            <w:tcW w:w="930" w:type="pct"/>
            <w:shd w:val="clear" w:color="auto" w:fill="FFFFFF" w:themeFill="background1"/>
            <w:hideMark/>
          </w:tcPr>
          <w:p w14:paraId="58AC944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8.9 (5.6)</w:t>
            </w:r>
          </w:p>
        </w:tc>
        <w:tc>
          <w:tcPr>
            <w:tcW w:w="832" w:type="pct"/>
            <w:shd w:val="clear" w:color="auto" w:fill="FFFFFF" w:themeFill="background1"/>
            <w:hideMark/>
          </w:tcPr>
          <w:p w14:paraId="6FC0EED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20.1 (37.1)</w:t>
            </w:r>
          </w:p>
        </w:tc>
        <w:tc>
          <w:tcPr>
            <w:tcW w:w="1076" w:type="pct"/>
            <w:shd w:val="clear" w:color="auto" w:fill="FFFFFF" w:themeFill="background1"/>
            <w:hideMark/>
          </w:tcPr>
          <w:p w14:paraId="5797646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12.0 (15.6)</w:t>
            </w:r>
          </w:p>
        </w:tc>
      </w:tr>
      <w:tr w:rsidR="000D00EA" w:rsidRPr="000D00EA" w14:paraId="0AB2A4CF" w14:textId="77777777" w:rsidTr="00635CB0">
        <w:trPr>
          <w:trHeight w:val="209"/>
        </w:trPr>
        <w:tc>
          <w:tcPr>
            <w:tcW w:w="1184" w:type="pct"/>
            <w:shd w:val="clear" w:color="auto" w:fill="FFFFFF" w:themeFill="background1"/>
            <w:hideMark/>
          </w:tcPr>
          <w:p w14:paraId="745CC393"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fi-FI"/>
              </w:rPr>
              <w:t xml:space="preserve">Thiamine </w:t>
            </w:r>
            <w:r w:rsidRPr="000D00EA">
              <w:rPr>
                <w:rFonts w:cs="Times New Roman"/>
                <w:color w:val="auto"/>
                <w:sz w:val="22"/>
              </w:rPr>
              <w:t>(%RNI)</w:t>
            </w:r>
          </w:p>
        </w:tc>
        <w:tc>
          <w:tcPr>
            <w:tcW w:w="978" w:type="pct"/>
            <w:shd w:val="clear" w:color="auto" w:fill="FFFFFF" w:themeFill="background1"/>
            <w:hideMark/>
          </w:tcPr>
          <w:p w14:paraId="25C7DD1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273.4 (379.3)</w:t>
            </w:r>
          </w:p>
        </w:tc>
        <w:tc>
          <w:tcPr>
            <w:tcW w:w="930" w:type="pct"/>
            <w:shd w:val="clear" w:color="auto" w:fill="FFFFFF" w:themeFill="background1"/>
            <w:hideMark/>
          </w:tcPr>
          <w:p w14:paraId="7F7A34A3"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380.8 (625.6)</w:t>
            </w:r>
          </w:p>
        </w:tc>
        <w:tc>
          <w:tcPr>
            <w:tcW w:w="832" w:type="pct"/>
            <w:shd w:val="clear" w:color="auto" w:fill="FFFFFF" w:themeFill="background1"/>
            <w:hideMark/>
          </w:tcPr>
          <w:p w14:paraId="0E425DA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375.9 (410.4)</w:t>
            </w:r>
          </w:p>
        </w:tc>
        <w:tc>
          <w:tcPr>
            <w:tcW w:w="1076" w:type="pct"/>
            <w:shd w:val="clear" w:color="auto" w:fill="FFFFFF" w:themeFill="background1"/>
            <w:hideMark/>
          </w:tcPr>
          <w:p w14:paraId="230ED29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271.7 (257.0)</w:t>
            </w:r>
          </w:p>
        </w:tc>
      </w:tr>
      <w:tr w:rsidR="000D00EA" w:rsidRPr="000D00EA" w14:paraId="755EC7FC" w14:textId="77777777" w:rsidTr="00635CB0">
        <w:trPr>
          <w:cnfStyle w:val="000000100000" w:firstRow="0" w:lastRow="0" w:firstColumn="0" w:lastColumn="0" w:oddVBand="0" w:evenVBand="0" w:oddHBand="1" w:evenHBand="0" w:firstRowFirstColumn="0" w:firstRowLastColumn="0" w:lastRowFirstColumn="0" w:lastRowLastColumn="0"/>
        </w:trPr>
        <w:tc>
          <w:tcPr>
            <w:tcW w:w="1184" w:type="pct"/>
            <w:shd w:val="clear" w:color="auto" w:fill="FFFFFF" w:themeFill="background1"/>
            <w:hideMark/>
          </w:tcPr>
          <w:p w14:paraId="02694F87"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fi-FI"/>
              </w:rPr>
              <w:t xml:space="preserve">Riboflavin </w:t>
            </w:r>
            <w:r w:rsidRPr="000D00EA">
              <w:rPr>
                <w:rFonts w:cs="Times New Roman"/>
                <w:color w:val="auto"/>
                <w:sz w:val="22"/>
              </w:rPr>
              <w:t>(%RNI)</w:t>
            </w:r>
          </w:p>
        </w:tc>
        <w:tc>
          <w:tcPr>
            <w:tcW w:w="978" w:type="pct"/>
            <w:shd w:val="clear" w:color="auto" w:fill="FFFFFF" w:themeFill="background1"/>
            <w:hideMark/>
          </w:tcPr>
          <w:p w14:paraId="1D1C959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195.3 (250.0)</w:t>
            </w:r>
          </w:p>
        </w:tc>
        <w:tc>
          <w:tcPr>
            <w:tcW w:w="930" w:type="pct"/>
            <w:shd w:val="clear" w:color="auto" w:fill="FFFFFF" w:themeFill="background1"/>
            <w:hideMark/>
          </w:tcPr>
          <w:p w14:paraId="6CA4318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163.7 (96.2)</w:t>
            </w:r>
          </w:p>
        </w:tc>
        <w:tc>
          <w:tcPr>
            <w:tcW w:w="832" w:type="pct"/>
            <w:shd w:val="clear" w:color="auto" w:fill="FFFFFF" w:themeFill="background1"/>
            <w:hideMark/>
          </w:tcPr>
          <w:p w14:paraId="720DE1AF"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247.4 (251.3)</w:t>
            </w:r>
          </w:p>
        </w:tc>
        <w:tc>
          <w:tcPr>
            <w:tcW w:w="1076" w:type="pct"/>
            <w:shd w:val="clear" w:color="auto" w:fill="FFFFFF" w:themeFill="background1"/>
            <w:hideMark/>
          </w:tcPr>
          <w:p w14:paraId="1997F35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174.6 (97.9)</w:t>
            </w:r>
          </w:p>
        </w:tc>
      </w:tr>
      <w:tr w:rsidR="000D00EA" w:rsidRPr="000D00EA" w14:paraId="1952826D" w14:textId="77777777" w:rsidTr="00635CB0">
        <w:trPr>
          <w:trHeight w:val="273"/>
        </w:trPr>
        <w:tc>
          <w:tcPr>
            <w:tcW w:w="1184" w:type="pct"/>
            <w:shd w:val="clear" w:color="auto" w:fill="FFFFFF" w:themeFill="background1"/>
            <w:hideMark/>
          </w:tcPr>
          <w:p w14:paraId="502B1305"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lang w:val="es-ES"/>
              </w:rPr>
              <w:t xml:space="preserve">Niacin equiv. </w:t>
            </w:r>
            <w:r w:rsidRPr="000D00EA">
              <w:rPr>
                <w:rFonts w:cs="Times New Roman"/>
                <w:bCs/>
                <w:color w:val="auto"/>
                <w:sz w:val="22"/>
              </w:rPr>
              <w:t>(%RNI)</w:t>
            </w:r>
          </w:p>
        </w:tc>
        <w:tc>
          <w:tcPr>
            <w:tcW w:w="978" w:type="pct"/>
            <w:shd w:val="clear" w:color="auto" w:fill="FFFFFF" w:themeFill="background1"/>
            <w:hideMark/>
          </w:tcPr>
          <w:p w14:paraId="1F85860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bCs/>
                <w:color w:val="auto"/>
                <w:sz w:val="22"/>
              </w:rPr>
              <w:t>248.4 (73.5)*</w:t>
            </w:r>
          </w:p>
        </w:tc>
        <w:tc>
          <w:tcPr>
            <w:tcW w:w="930" w:type="pct"/>
            <w:shd w:val="clear" w:color="auto" w:fill="FFFFFF" w:themeFill="background1"/>
            <w:hideMark/>
          </w:tcPr>
          <w:p w14:paraId="60747564"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189.2 (59.3)</w:t>
            </w:r>
          </w:p>
        </w:tc>
        <w:tc>
          <w:tcPr>
            <w:tcW w:w="832" w:type="pct"/>
            <w:shd w:val="clear" w:color="auto" w:fill="FFFFFF" w:themeFill="background1"/>
            <w:hideMark/>
          </w:tcPr>
          <w:p w14:paraId="6EC860E8"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245.7 (89.2)</w:t>
            </w:r>
          </w:p>
        </w:tc>
        <w:tc>
          <w:tcPr>
            <w:tcW w:w="1076" w:type="pct"/>
            <w:shd w:val="clear" w:color="auto" w:fill="FFFFFF" w:themeFill="background1"/>
            <w:hideMark/>
          </w:tcPr>
          <w:p w14:paraId="183A8D7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233.8 (63.9)</w:t>
            </w:r>
          </w:p>
        </w:tc>
      </w:tr>
      <w:tr w:rsidR="000D00EA" w:rsidRPr="000D00EA" w14:paraId="05B8700F" w14:textId="77777777" w:rsidTr="00635CB0">
        <w:trPr>
          <w:cnfStyle w:val="000000100000" w:firstRow="0" w:lastRow="0" w:firstColumn="0" w:lastColumn="0" w:oddVBand="0" w:evenVBand="0" w:oddHBand="1" w:evenHBand="0" w:firstRowFirstColumn="0" w:firstRowLastColumn="0" w:lastRowFirstColumn="0" w:lastRowLastColumn="0"/>
          <w:trHeight w:val="277"/>
        </w:trPr>
        <w:tc>
          <w:tcPr>
            <w:tcW w:w="1184" w:type="pct"/>
            <w:shd w:val="clear" w:color="auto" w:fill="FFFFFF" w:themeFill="background1"/>
            <w:hideMark/>
          </w:tcPr>
          <w:p w14:paraId="0D6241CE"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fi-FI"/>
              </w:rPr>
              <w:t xml:space="preserve">Vitamin B6 </w:t>
            </w:r>
            <w:r w:rsidRPr="000D00EA">
              <w:rPr>
                <w:rFonts w:cs="Times New Roman"/>
                <w:color w:val="auto"/>
                <w:sz w:val="22"/>
              </w:rPr>
              <w:t>(%RNI)</w:t>
            </w:r>
          </w:p>
        </w:tc>
        <w:tc>
          <w:tcPr>
            <w:tcW w:w="978" w:type="pct"/>
            <w:shd w:val="clear" w:color="auto" w:fill="FFFFFF" w:themeFill="background1"/>
            <w:hideMark/>
          </w:tcPr>
          <w:p w14:paraId="0D8323C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190.8 (119.0)</w:t>
            </w:r>
          </w:p>
        </w:tc>
        <w:tc>
          <w:tcPr>
            <w:tcW w:w="930" w:type="pct"/>
            <w:shd w:val="clear" w:color="auto" w:fill="FFFFFF" w:themeFill="background1"/>
            <w:hideMark/>
          </w:tcPr>
          <w:p w14:paraId="7B0035A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179.6 (71.0)</w:t>
            </w:r>
          </w:p>
        </w:tc>
        <w:tc>
          <w:tcPr>
            <w:tcW w:w="832" w:type="pct"/>
            <w:shd w:val="clear" w:color="auto" w:fill="FFFFFF" w:themeFill="background1"/>
            <w:hideMark/>
          </w:tcPr>
          <w:p w14:paraId="52170F86"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251.7 (210.7)</w:t>
            </w:r>
          </w:p>
        </w:tc>
        <w:tc>
          <w:tcPr>
            <w:tcW w:w="1076" w:type="pct"/>
            <w:shd w:val="clear" w:color="auto" w:fill="FFFFFF" w:themeFill="background1"/>
            <w:hideMark/>
          </w:tcPr>
          <w:p w14:paraId="59BB6903"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190.5 (165.8)</w:t>
            </w:r>
          </w:p>
        </w:tc>
      </w:tr>
      <w:tr w:rsidR="000D00EA" w:rsidRPr="000D00EA" w14:paraId="6B06C4A0" w14:textId="77777777" w:rsidTr="00635CB0">
        <w:trPr>
          <w:trHeight w:val="281"/>
        </w:trPr>
        <w:tc>
          <w:tcPr>
            <w:tcW w:w="1184" w:type="pct"/>
            <w:shd w:val="clear" w:color="auto" w:fill="FFFFFF" w:themeFill="background1"/>
            <w:hideMark/>
          </w:tcPr>
          <w:p w14:paraId="0FAFAC5F"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lang w:val="fi-FI"/>
              </w:rPr>
              <w:t xml:space="preserve">Vitamin B12 </w:t>
            </w:r>
            <w:r w:rsidRPr="000D00EA">
              <w:rPr>
                <w:rFonts w:cs="Times New Roman"/>
                <w:bCs/>
                <w:color w:val="auto"/>
                <w:sz w:val="22"/>
              </w:rPr>
              <w:t>(%RNI)</w:t>
            </w:r>
          </w:p>
        </w:tc>
        <w:tc>
          <w:tcPr>
            <w:tcW w:w="978" w:type="pct"/>
            <w:shd w:val="clear" w:color="auto" w:fill="FFFFFF" w:themeFill="background1"/>
            <w:hideMark/>
          </w:tcPr>
          <w:p w14:paraId="61745F79"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341.7 (253.7)</w:t>
            </w:r>
          </w:p>
        </w:tc>
        <w:tc>
          <w:tcPr>
            <w:tcW w:w="930" w:type="pct"/>
            <w:shd w:val="clear" w:color="auto" w:fill="FFFFFF" w:themeFill="background1"/>
            <w:hideMark/>
          </w:tcPr>
          <w:p w14:paraId="487F902E"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324.0 (211.1)</w:t>
            </w:r>
          </w:p>
        </w:tc>
        <w:tc>
          <w:tcPr>
            <w:tcW w:w="832" w:type="pct"/>
            <w:shd w:val="clear" w:color="auto" w:fill="FFFFFF" w:themeFill="background1"/>
            <w:hideMark/>
          </w:tcPr>
          <w:p w14:paraId="60CB0BC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385.4 (297.2)</w:t>
            </w:r>
          </w:p>
        </w:tc>
        <w:tc>
          <w:tcPr>
            <w:tcW w:w="1076" w:type="pct"/>
            <w:shd w:val="clear" w:color="auto" w:fill="FFFFFF" w:themeFill="background1"/>
            <w:hideMark/>
          </w:tcPr>
          <w:p w14:paraId="688FADA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352.9 (277.4)</w:t>
            </w:r>
          </w:p>
        </w:tc>
      </w:tr>
      <w:tr w:rsidR="000D00EA" w:rsidRPr="000D00EA" w14:paraId="488AD427" w14:textId="77777777" w:rsidTr="00635CB0">
        <w:trPr>
          <w:cnfStyle w:val="000000100000" w:firstRow="0" w:lastRow="0" w:firstColumn="0" w:lastColumn="0" w:oddVBand="0" w:evenVBand="0" w:oddHBand="1" w:evenHBand="0" w:firstRowFirstColumn="0" w:firstRowLastColumn="0" w:lastRowFirstColumn="0" w:lastRowLastColumn="0"/>
          <w:trHeight w:val="285"/>
        </w:trPr>
        <w:tc>
          <w:tcPr>
            <w:tcW w:w="1184" w:type="pct"/>
            <w:shd w:val="clear" w:color="auto" w:fill="FFFFFF" w:themeFill="background1"/>
            <w:hideMark/>
          </w:tcPr>
          <w:p w14:paraId="7DB214D9"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de-AT"/>
              </w:rPr>
              <w:t xml:space="preserve">Folate </w:t>
            </w:r>
            <w:r w:rsidRPr="000D00EA">
              <w:rPr>
                <w:rFonts w:cs="Times New Roman"/>
                <w:color w:val="auto"/>
                <w:sz w:val="22"/>
              </w:rPr>
              <w:t>(%RNI)</w:t>
            </w:r>
          </w:p>
        </w:tc>
        <w:tc>
          <w:tcPr>
            <w:tcW w:w="978" w:type="pct"/>
            <w:shd w:val="clear" w:color="auto" w:fill="FFFFFF" w:themeFill="background1"/>
            <w:hideMark/>
          </w:tcPr>
          <w:p w14:paraId="33D6CA3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128.6 (53.2)</w:t>
            </w:r>
          </w:p>
        </w:tc>
        <w:tc>
          <w:tcPr>
            <w:tcW w:w="930" w:type="pct"/>
            <w:shd w:val="clear" w:color="auto" w:fill="FFFFFF" w:themeFill="background1"/>
            <w:hideMark/>
          </w:tcPr>
          <w:p w14:paraId="52192DF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134.9 (56.9)</w:t>
            </w:r>
          </w:p>
        </w:tc>
        <w:tc>
          <w:tcPr>
            <w:tcW w:w="832" w:type="pct"/>
            <w:shd w:val="clear" w:color="auto" w:fill="FFFFFF" w:themeFill="background1"/>
            <w:hideMark/>
          </w:tcPr>
          <w:p w14:paraId="2B04881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170.5 (73.5)</w:t>
            </w:r>
            <w:r w:rsidRPr="000D00EA">
              <w:rPr>
                <w:rFonts w:cs="Times New Roman"/>
                <w:bCs/>
                <w:color w:val="auto"/>
                <w:sz w:val="22"/>
              </w:rPr>
              <w:t>*</w:t>
            </w:r>
          </w:p>
        </w:tc>
        <w:tc>
          <w:tcPr>
            <w:tcW w:w="1076" w:type="pct"/>
            <w:shd w:val="clear" w:color="auto" w:fill="FFFFFF" w:themeFill="background1"/>
            <w:hideMark/>
          </w:tcPr>
          <w:p w14:paraId="67E49DE9"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136.3 (55.9)</w:t>
            </w:r>
          </w:p>
        </w:tc>
      </w:tr>
      <w:tr w:rsidR="000D00EA" w:rsidRPr="000D00EA" w14:paraId="63F8A71A" w14:textId="77777777" w:rsidTr="00635CB0">
        <w:trPr>
          <w:trHeight w:val="289"/>
        </w:trPr>
        <w:tc>
          <w:tcPr>
            <w:tcW w:w="1184" w:type="pct"/>
            <w:shd w:val="clear" w:color="auto" w:fill="FFFFFF" w:themeFill="background1"/>
            <w:hideMark/>
          </w:tcPr>
          <w:p w14:paraId="10F9B436"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de-AT"/>
              </w:rPr>
              <w:t xml:space="preserve">Sodium </w:t>
            </w:r>
            <w:r w:rsidRPr="000D00EA">
              <w:rPr>
                <w:rFonts w:cs="Times New Roman"/>
                <w:color w:val="auto"/>
                <w:sz w:val="22"/>
              </w:rPr>
              <w:t>(%RNI)</w:t>
            </w:r>
          </w:p>
        </w:tc>
        <w:tc>
          <w:tcPr>
            <w:tcW w:w="978" w:type="pct"/>
            <w:shd w:val="clear" w:color="auto" w:fill="FFFFFF" w:themeFill="background1"/>
            <w:hideMark/>
          </w:tcPr>
          <w:p w14:paraId="56833F8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163.4 (58.6)</w:t>
            </w:r>
          </w:p>
        </w:tc>
        <w:tc>
          <w:tcPr>
            <w:tcW w:w="930" w:type="pct"/>
            <w:shd w:val="clear" w:color="auto" w:fill="FFFFFF" w:themeFill="background1"/>
            <w:hideMark/>
          </w:tcPr>
          <w:p w14:paraId="0428011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160.0 (34.2)</w:t>
            </w:r>
          </w:p>
        </w:tc>
        <w:tc>
          <w:tcPr>
            <w:tcW w:w="832" w:type="pct"/>
            <w:shd w:val="clear" w:color="auto" w:fill="FFFFFF" w:themeFill="background1"/>
            <w:hideMark/>
          </w:tcPr>
          <w:p w14:paraId="0DBDD4C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178.6 (56.7)</w:t>
            </w:r>
          </w:p>
        </w:tc>
        <w:tc>
          <w:tcPr>
            <w:tcW w:w="1076" w:type="pct"/>
            <w:shd w:val="clear" w:color="auto" w:fill="FFFFFF" w:themeFill="background1"/>
            <w:hideMark/>
          </w:tcPr>
          <w:p w14:paraId="4698837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211.3 (101.9)</w:t>
            </w:r>
          </w:p>
        </w:tc>
      </w:tr>
      <w:tr w:rsidR="000D00EA" w:rsidRPr="000D00EA" w14:paraId="05528807" w14:textId="77777777" w:rsidTr="00635CB0">
        <w:trPr>
          <w:cnfStyle w:val="000000100000" w:firstRow="0" w:lastRow="0" w:firstColumn="0" w:lastColumn="0" w:oddVBand="0" w:evenVBand="0" w:oddHBand="1" w:evenHBand="0" w:firstRowFirstColumn="0" w:firstRowLastColumn="0" w:lastRowFirstColumn="0" w:lastRowLastColumn="0"/>
          <w:trHeight w:val="279"/>
        </w:trPr>
        <w:tc>
          <w:tcPr>
            <w:tcW w:w="1184" w:type="pct"/>
            <w:shd w:val="clear" w:color="auto" w:fill="FFFFFF" w:themeFill="background1"/>
            <w:hideMark/>
          </w:tcPr>
          <w:p w14:paraId="552F6ABC"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lang w:val="pt-BR"/>
              </w:rPr>
              <w:t xml:space="preserve">Potassium </w:t>
            </w:r>
            <w:r w:rsidRPr="000D00EA">
              <w:rPr>
                <w:rFonts w:cs="Times New Roman"/>
                <w:bCs/>
                <w:color w:val="auto"/>
                <w:sz w:val="22"/>
              </w:rPr>
              <w:t>(%RNI)</w:t>
            </w:r>
          </w:p>
        </w:tc>
        <w:tc>
          <w:tcPr>
            <w:tcW w:w="978" w:type="pct"/>
            <w:shd w:val="clear" w:color="auto" w:fill="FFFFFF" w:themeFill="background1"/>
            <w:hideMark/>
          </w:tcPr>
          <w:p w14:paraId="171E836B"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84.5 (24.5)</w:t>
            </w:r>
          </w:p>
        </w:tc>
        <w:tc>
          <w:tcPr>
            <w:tcW w:w="930" w:type="pct"/>
            <w:shd w:val="clear" w:color="auto" w:fill="FFFFFF" w:themeFill="background1"/>
            <w:hideMark/>
          </w:tcPr>
          <w:p w14:paraId="08A4608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80.1 (23.2)</w:t>
            </w:r>
          </w:p>
        </w:tc>
        <w:tc>
          <w:tcPr>
            <w:tcW w:w="832" w:type="pct"/>
            <w:shd w:val="clear" w:color="auto" w:fill="FFFFFF" w:themeFill="background1"/>
            <w:hideMark/>
          </w:tcPr>
          <w:p w14:paraId="2518383F"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94.2 (40.8)</w:t>
            </w:r>
          </w:p>
        </w:tc>
        <w:tc>
          <w:tcPr>
            <w:tcW w:w="1076" w:type="pct"/>
            <w:shd w:val="clear" w:color="auto" w:fill="FFFFFF" w:themeFill="background1"/>
            <w:hideMark/>
          </w:tcPr>
          <w:p w14:paraId="2D327F83"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88.6 (25.1)</w:t>
            </w:r>
          </w:p>
        </w:tc>
      </w:tr>
      <w:tr w:rsidR="000D00EA" w:rsidRPr="000D00EA" w14:paraId="078772CF" w14:textId="77777777" w:rsidTr="00635CB0">
        <w:trPr>
          <w:trHeight w:val="283"/>
        </w:trPr>
        <w:tc>
          <w:tcPr>
            <w:tcW w:w="1184" w:type="pct"/>
            <w:shd w:val="clear" w:color="auto" w:fill="FFFFFF" w:themeFill="background1"/>
            <w:hideMark/>
          </w:tcPr>
          <w:p w14:paraId="4A393A4D"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lang w:val="it-IT"/>
              </w:rPr>
              <w:t xml:space="preserve">Calcium </w:t>
            </w:r>
            <w:r w:rsidRPr="000D00EA">
              <w:rPr>
                <w:rFonts w:cs="Times New Roman"/>
                <w:bCs/>
                <w:color w:val="auto"/>
                <w:sz w:val="22"/>
              </w:rPr>
              <w:t>(%RNI)</w:t>
            </w:r>
          </w:p>
        </w:tc>
        <w:tc>
          <w:tcPr>
            <w:tcW w:w="978" w:type="pct"/>
            <w:shd w:val="clear" w:color="auto" w:fill="FFFFFF" w:themeFill="background1"/>
            <w:hideMark/>
          </w:tcPr>
          <w:p w14:paraId="107E79F0"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104.8 (49.1)</w:t>
            </w:r>
          </w:p>
        </w:tc>
        <w:tc>
          <w:tcPr>
            <w:tcW w:w="930" w:type="pct"/>
            <w:shd w:val="clear" w:color="auto" w:fill="FFFFFF" w:themeFill="background1"/>
            <w:hideMark/>
          </w:tcPr>
          <w:p w14:paraId="5F18971F"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104.7 (29.4)</w:t>
            </w:r>
          </w:p>
        </w:tc>
        <w:tc>
          <w:tcPr>
            <w:tcW w:w="832" w:type="pct"/>
            <w:shd w:val="clear" w:color="auto" w:fill="FFFFFF" w:themeFill="background1"/>
            <w:hideMark/>
          </w:tcPr>
          <w:p w14:paraId="4D6A5D2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132.4 (43.3)</w:t>
            </w:r>
          </w:p>
        </w:tc>
        <w:tc>
          <w:tcPr>
            <w:tcW w:w="1076" w:type="pct"/>
            <w:shd w:val="clear" w:color="auto" w:fill="FFFFFF" w:themeFill="background1"/>
            <w:hideMark/>
          </w:tcPr>
          <w:p w14:paraId="048543D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135.0 (50.7)</w:t>
            </w:r>
          </w:p>
        </w:tc>
      </w:tr>
      <w:tr w:rsidR="000D00EA" w:rsidRPr="000D00EA" w14:paraId="28249661" w14:textId="77777777" w:rsidTr="00635CB0">
        <w:trPr>
          <w:cnfStyle w:val="000000100000" w:firstRow="0" w:lastRow="0" w:firstColumn="0" w:lastColumn="0" w:oddVBand="0" w:evenVBand="0" w:oddHBand="1" w:evenHBand="0" w:firstRowFirstColumn="0" w:firstRowLastColumn="0" w:lastRowFirstColumn="0" w:lastRowLastColumn="0"/>
          <w:trHeight w:val="273"/>
        </w:trPr>
        <w:tc>
          <w:tcPr>
            <w:tcW w:w="1184" w:type="pct"/>
            <w:shd w:val="clear" w:color="auto" w:fill="FFFFFF" w:themeFill="background1"/>
            <w:hideMark/>
          </w:tcPr>
          <w:p w14:paraId="724C266B"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rPr>
              <w:t>Magnesium (%RNI)</w:t>
            </w:r>
          </w:p>
        </w:tc>
        <w:tc>
          <w:tcPr>
            <w:tcW w:w="978" w:type="pct"/>
            <w:shd w:val="clear" w:color="auto" w:fill="FFFFFF" w:themeFill="background1"/>
            <w:hideMark/>
          </w:tcPr>
          <w:p w14:paraId="6E6AD20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89.9 (29.4)</w:t>
            </w:r>
          </w:p>
        </w:tc>
        <w:tc>
          <w:tcPr>
            <w:tcW w:w="930" w:type="pct"/>
            <w:shd w:val="clear" w:color="auto" w:fill="FFFFFF" w:themeFill="background1"/>
            <w:hideMark/>
          </w:tcPr>
          <w:p w14:paraId="13092E3E"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88.3 (26.2)</w:t>
            </w:r>
          </w:p>
        </w:tc>
        <w:tc>
          <w:tcPr>
            <w:tcW w:w="832" w:type="pct"/>
            <w:shd w:val="clear" w:color="auto" w:fill="FFFFFF" w:themeFill="background1"/>
            <w:hideMark/>
          </w:tcPr>
          <w:p w14:paraId="623FBB31"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113.7 (37.9)</w:t>
            </w:r>
          </w:p>
        </w:tc>
        <w:tc>
          <w:tcPr>
            <w:tcW w:w="1076" w:type="pct"/>
            <w:shd w:val="clear" w:color="auto" w:fill="FFFFFF" w:themeFill="background1"/>
            <w:hideMark/>
          </w:tcPr>
          <w:p w14:paraId="41FD294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108.9 (29.7)</w:t>
            </w:r>
          </w:p>
        </w:tc>
      </w:tr>
      <w:tr w:rsidR="000D00EA" w:rsidRPr="000D00EA" w14:paraId="0B5DF8CD" w14:textId="77777777" w:rsidTr="00635CB0">
        <w:trPr>
          <w:trHeight w:val="149"/>
        </w:trPr>
        <w:tc>
          <w:tcPr>
            <w:tcW w:w="1184" w:type="pct"/>
            <w:shd w:val="clear" w:color="auto" w:fill="FFFFFF" w:themeFill="background1"/>
            <w:hideMark/>
          </w:tcPr>
          <w:p w14:paraId="1EA9D311"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rPr>
              <w:t>Phosphorus (%RNI)</w:t>
            </w:r>
          </w:p>
        </w:tc>
        <w:tc>
          <w:tcPr>
            <w:tcW w:w="978" w:type="pct"/>
            <w:shd w:val="clear" w:color="auto" w:fill="FFFFFF" w:themeFill="background1"/>
            <w:hideMark/>
          </w:tcPr>
          <w:p w14:paraId="7413061E"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178.3 (57.8)</w:t>
            </w:r>
          </w:p>
        </w:tc>
        <w:tc>
          <w:tcPr>
            <w:tcW w:w="930" w:type="pct"/>
            <w:shd w:val="clear" w:color="auto" w:fill="FFFFFF" w:themeFill="background1"/>
            <w:hideMark/>
          </w:tcPr>
          <w:p w14:paraId="18DEB007"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184.4 (38.3)</w:t>
            </w:r>
          </w:p>
        </w:tc>
        <w:tc>
          <w:tcPr>
            <w:tcW w:w="832" w:type="pct"/>
            <w:shd w:val="clear" w:color="auto" w:fill="FFFFFF" w:themeFill="background1"/>
            <w:hideMark/>
          </w:tcPr>
          <w:p w14:paraId="3213AB39"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247.7 (64.1)</w:t>
            </w:r>
          </w:p>
        </w:tc>
        <w:tc>
          <w:tcPr>
            <w:tcW w:w="1076" w:type="pct"/>
            <w:shd w:val="clear" w:color="auto" w:fill="FFFFFF" w:themeFill="background1"/>
            <w:hideMark/>
          </w:tcPr>
          <w:p w14:paraId="379C89C4"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247.3 (62.6)</w:t>
            </w:r>
          </w:p>
        </w:tc>
      </w:tr>
      <w:tr w:rsidR="000D00EA" w:rsidRPr="000D00EA" w14:paraId="3E771C61" w14:textId="77777777" w:rsidTr="00635CB0">
        <w:trPr>
          <w:cnfStyle w:val="000000100000" w:firstRow="0" w:lastRow="0" w:firstColumn="0" w:lastColumn="0" w:oddVBand="0" w:evenVBand="0" w:oddHBand="1" w:evenHBand="0" w:firstRowFirstColumn="0" w:firstRowLastColumn="0" w:lastRowFirstColumn="0" w:lastRowLastColumn="0"/>
          <w:trHeight w:val="181"/>
        </w:trPr>
        <w:tc>
          <w:tcPr>
            <w:tcW w:w="1184" w:type="pct"/>
            <w:shd w:val="clear" w:color="auto" w:fill="FFFFFF" w:themeFill="background1"/>
            <w:hideMark/>
          </w:tcPr>
          <w:p w14:paraId="2F1E86B9"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rPr>
              <w:t>Iron (%RNI)</w:t>
            </w:r>
          </w:p>
        </w:tc>
        <w:tc>
          <w:tcPr>
            <w:tcW w:w="978" w:type="pct"/>
            <w:shd w:val="clear" w:color="auto" w:fill="FFFFFF" w:themeFill="background1"/>
            <w:hideMark/>
          </w:tcPr>
          <w:p w14:paraId="41232E2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104.3 (50.2)</w:t>
            </w:r>
          </w:p>
        </w:tc>
        <w:tc>
          <w:tcPr>
            <w:tcW w:w="930" w:type="pct"/>
            <w:shd w:val="clear" w:color="auto" w:fill="FFFFFF" w:themeFill="background1"/>
            <w:hideMark/>
          </w:tcPr>
          <w:p w14:paraId="7DAEDB9E"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87.9 (40.3)</w:t>
            </w:r>
          </w:p>
        </w:tc>
        <w:tc>
          <w:tcPr>
            <w:tcW w:w="832" w:type="pct"/>
            <w:shd w:val="clear" w:color="auto" w:fill="FFFFFF" w:themeFill="background1"/>
            <w:hideMark/>
          </w:tcPr>
          <w:p w14:paraId="382C3ED9"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125.1 (59.7)</w:t>
            </w:r>
          </w:p>
        </w:tc>
        <w:tc>
          <w:tcPr>
            <w:tcW w:w="1076" w:type="pct"/>
            <w:shd w:val="clear" w:color="auto" w:fill="FFFFFF" w:themeFill="background1"/>
            <w:hideMark/>
          </w:tcPr>
          <w:p w14:paraId="1473EDD1"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103.0 (50.1)</w:t>
            </w:r>
          </w:p>
        </w:tc>
      </w:tr>
      <w:tr w:rsidR="000D00EA" w:rsidRPr="000D00EA" w14:paraId="79140C8A" w14:textId="77777777" w:rsidTr="00635CB0">
        <w:trPr>
          <w:trHeight w:val="213"/>
        </w:trPr>
        <w:tc>
          <w:tcPr>
            <w:tcW w:w="1184" w:type="pct"/>
            <w:shd w:val="clear" w:color="auto" w:fill="FFFFFF" w:themeFill="background1"/>
            <w:hideMark/>
          </w:tcPr>
          <w:p w14:paraId="7A888A94"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de-AT"/>
              </w:rPr>
              <w:t xml:space="preserve">Copper </w:t>
            </w:r>
            <w:r w:rsidRPr="000D00EA">
              <w:rPr>
                <w:rFonts w:cs="Times New Roman"/>
                <w:color w:val="auto"/>
                <w:sz w:val="22"/>
              </w:rPr>
              <w:t>(%RNI)</w:t>
            </w:r>
          </w:p>
        </w:tc>
        <w:tc>
          <w:tcPr>
            <w:tcW w:w="978" w:type="pct"/>
            <w:shd w:val="clear" w:color="auto" w:fill="FFFFFF" w:themeFill="background1"/>
            <w:hideMark/>
          </w:tcPr>
          <w:p w14:paraId="63394BB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128.9 (50.6)</w:t>
            </w:r>
          </w:p>
        </w:tc>
        <w:tc>
          <w:tcPr>
            <w:tcW w:w="930" w:type="pct"/>
            <w:shd w:val="clear" w:color="auto" w:fill="FFFFFF" w:themeFill="background1"/>
            <w:hideMark/>
          </w:tcPr>
          <w:p w14:paraId="2819D64A"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137.7 (58.4)</w:t>
            </w:r>
          </w:p>
        </w:tc>
        <w:tc>
          <w:tcPr>
            <w:tcW w:w="832" w:type="pct"/>
            <w:shd w:val="clear" w:color="auto" w:fill="FFFFFF" w:themeFill="background1"/>
            <w:hideMark/>
          </w:tcPr>
          <w:p w14:paraId="023E9A9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117.4 (46.2)</w:t>
            </w:r>
          </w:p>
        </w:tc>
        <w:tc>
          <w:tcPr>
            <w:tcW w:w="1076" w:type="pct"/>
            <w:shd w:val="clear" w:color="auto" w:fill="FFFFFF" w:themeFill="background1"/>
            <w:hideMark/>
          </w:tcPr>
          <w:p w14:paraId="36BC83AB"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110.4 (33.9)</w:t>
            </w:r>
          </w:p>
        </w:tc>
      </w:tr>
      <w:tr w:rsidR="000D00EA" w:rsidRPr="000D00EA" w14:paraId="267A322D" w14:textId="77777777" w:rsidTr="00635CB0">
        <w:trPr>
          <w:cnfStyle w:val="000000100000" w:firstRow="0" w:lastRow="0" w:firstColumn="0" w:lastColumn="0" w:oddVBand="0" w:evenVBand="0" w:oddHBand="1" w:evenHBand="0" w:firstRowFirstColumn="0" w:firstRowLastColumn="0" w:lastRowFirstColumn="0" w:lastRowLastColumn="0"/>
          <w:trHeight w:val="245"/>
        </w:trPr>
        <w:tc>
          <w:tcPr>
            <w:tcW w:w="1184" w:type="pct"/>
            <w:shd w:val="clear" w:color="auto" w:fill="FFFFFF" w:themeFill="background1"/>
            <w:hideMark/>
          </w:tcPr>
          <w:p w14:paraId="1131FDAD"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color w:val="auto"/>
                <w:sz w:val="22"/>
                <w:lang w:val="nl-NL"/>
              </w:rPr>
              <w:t xml:space="preserve">Zinc </w:t>
            </w:r>
            <w:r w:rsidRPr="000D00EA">
              <w:rPr>
                <w:rFonts w:cs="Times New Roman"/>
                <w:color w:val="auto"/>
                <w:sz w:val="22"/>
              </w:rPr>
              <w:t>(%RNI)</w:t>
            </w:r>
          </w:p>
        </w:tc>
        <w:tc>
          <w:tcPr>
            <w:tcW w:w="978" w:type="pct"/>
            <w:shd w:val="clear" w:color="auto" w:fill="FFFFFF" w:themeFill="background1"/>
            <w:hideMark/>
          </w:tcPr>
          <w:p w14:paraId="45DD8CE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110.6 (54.3)</w:t>
            </w:r>
          </w:p>
        </w:tc>
        <w:tc>
          <w:tcPr>
            <w:tcW w:w="930" w:type="pct"/>
            <w:shd w:val="clear" w:color="auto" w:fill="FFFFFF" w:themeFill="background1"/>
            <w:hideMark/>
          </w:tcPr>
          <w:p w14:paraId="5F74009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106.3 (29.8)</w:t>
            </w:r>
          </w:p>
        </w:tc>
        <w:tc>
          <w:tcPr>
            <w:tcW w:w="832" w:type="pct"/>
            <w:shd w:val="clear" w:color="auto" w:fill="FFFFFF" w:themeFill="background1"/>
            <w:hideMark/>
          </w:tcPr>
          <w:p w14:paraId="004880CC"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157.6 (53.6)</w:t>
            </w:r>
            <w:r w:rsidRPr="000D00EA">
              <w:rPr>
                <w:rFonts w:cs="Times New Roman"/>
                <w:bCs/>
                <w:color w:val="auto"/>
                <w:sz w:val="22"/>
              </w:rPr>
              <w:t>*</w:t>
            </w:r>
          </w:p>
        </w:tc>
        <w:tc>
          <w:tcPr>
            <w:tcW w:w="1076" w:type="pct"/>
            <w:shd w:val="clear" w:color="auto" w:fill="FFFFFF" w:themeFill="background1"/>
            <w:hideMark/>
          </w:tcPr>
          <w:p w14:paraId="7881CBF3"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134.9 (40.6)</w:t>
            </w:r>
          </w:p>
        </w:tc>
      </w:tr>
      <w:tr w:rsidR="000D00EA" w:rsidRPr="000D00EA" w14:paraId="1ADB881F" w14:textId="77777777" w:rsidTr="00635CB0">
        <w:trPr>
          <w:trHeight w:val="247"/>
        </w:trPr>
        <w:tc>
          <w:tcPr>
            <w:tcW w:w="1184" w:type="pct"/>
            <w:shd w:val="clear" w:color="auto" w:fill="FFFFFF" w:themeFill="background1"/>
            <w:hideMark/>
          </w:tcPr>
          <w:p w14:paraId="38E3A4D1"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lang w:val="de-AT"/>
              </w:rPr>
              <w:t xml:space="preserve">Selenium </w:t>
            </w:r>
            <w:r w:rsidRPr="000D00EA">
              <w:rPr>
                <w:rFonts w:cs="Times New Roman"/>
                <w:bCs/>
                <w:color w:val="auto"/>
                <w:sz w:val="22"/>
              </w:rPr>
              <w:t>(%RNI)</w:t>
            </w:r>
          </w:p>
        </w:tc>
        <w:tc>
          <w:tcPr>
            <w:tcW w:w="978" w:type="pct"/>
            <w:shd w:val="clear" w:color="auto" w:fill="FFFFFF" w:themeFill="background1"/>
            <w:hideMark/>
          </w:tcPr>
          <w:p w14:paraId="1036AFCF"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bCs/>
                <w:color w:val="auto"/>
                <w:sz w:val="22"/>
              </w:rPr>
              <w:t>86.6 (49.7)*</w:t>
            </w:r>
          </w:p>
        </w:tc>
        <w:tc>
          <w:tcPr>
            <w:tcW w:w="930" w:type="pct"/>
            <w:shd w:val="clear" w:color="auto" w:fill="FFFFFF" w:themeFill="background1"/>
            <w:hideMark/>
          </w:tcPr>
          <w:p w14:paraId="1D034F6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64.4 (35.2)</w:t>
            </w:r>
          </w:p>
        </w:tc>
        <w:tc>
          <w:tcPr>
            <w:tcW w:w="832" w:type="pct"/>
            <w:shd w:val="clear" w:color="auto" w:fill="FFFFFF" w:themeFill="background1"/>
            <w:hideMark/>
          </w:tcPr>
          <w:p w14:paraId="230AB70E"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75.4 (60.0)</w:t>
            </w:r>
          </w:p>
        </w:tc>
        <w:tc>
          <w:tcPr>
            <w:tcW w:w="1076" w:type="pct"/>
            <w:shd w:val="clear" w:color="auto" w:fill="FFFFFF" w:themeFill="background1"/>
            <w:hideMark/>
          </w:tcPr>
          <w:p w14:paraId="6D1D5F3D"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61.8 (33.6)</w:t>
            </w:r>
          </w:p>
        </w:tc>
      </w:tr>
      <w:tr w:rsidR="000D00EA" w:rsidRPr="000D00EA" w14:paraId="6D2B1636" w14:textId="77777777" w:rsidTr="00635CB0">
        <w:trPr>
          <w:cnfStyle w:val="000000100000" w:firstRow="0" w:lastRow="0" w:firstColumn="0" w:lastColumn="0" w:oddVBand="0" w:evenVBand="0" w:oddHBand="1" w:evenHBand="0" w:firstRowFirstColumn="0" w:firstRowLastColumn="0" w:lastRowFirstColumn="0" w:lastRowLastColumn="0"/>
          <w:trHeight w:val="369"/>
        </w:trPr>
        <w:tc>
          <w:tcPr>
            <w:tcW w:w="1184" w:type="pct"/>
            <w:shd w:val="clear" w:color="auto" w:fill="FFFFFF" w:themeFill="background1"/>
            <w:hideMark/>
          </w:tcPr>
          <w:p w14:paraId="7301C288" w14:textId="77777777" w:rsidR="00EA69F2" w:rsidRPr="000D00EA" w:rsidRDefault="00EA69F2" w:rsidP="00635CB0">
            <w:pPr>
              <w:autoSpaceDE w:val="0"/>
              <w:autoSpaceDN w:val="0"/>
              <w:adjustRightInd w:val="0"/>
              <w:spacing w:after="120"/>
              <w:jc w:val="both"/>
              <w:rPr>
                <w:rFonts w:cs="Times New Roman"/>
                <w:color w:val="auto"/>
                <w:sz w:val="22"/>
              </w:rPr>
            </w:pPr>
            <w:r w:rsidRPr="000D00EA">
              <w:rPr>
                <w:rFonts w:cs="Times New Roman"/>
                <w:bCs/>
                <w:color w:val="auto"/>
                <w:sz w:val="22"/>
                <w:lang w:val="de-AT"/>
              </w:rPr>
              <w:t xml:space="preserve">Iodine </w:t>
            </w:r>
            <w:r w:rsidRPr="000D00EA">
              <w:rPr>
                <w:rFonts w:cs="Times New Roman"/>
                <w:bCs/>
                <w:color w:val="auto"/>
                <w:sz w:val="22"/>
              </w:rPr>
              <w:t>(%RNI)</w:t>
            </w:r>
          </w:p>
        </w:tc>
        <w:tc>
          <w:tcPr>
            <w:tcW w:w="978" w:type="pct"/>
            <w:shd w:val="clear" w:color="auto" w:fill="FFFFFF" w:themeFill="background1"/>
            <w:hideMark/>
          </w:tcPr>
          <w:p w14:paraId="2590E13B"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111.1 (84.1)</w:t>
            </w:r>
          </w:p>
        </w:tc>
        <w:tc>
          <w:tcPr>
            <w:tcW w:w="930" w:type="pct"/>
            <w:shd w:val="clear" w:color="auto" w:fill="FFFFFF" w:themeFill="background1"/>
            <w:hideMark/>
          </w:tcPr>
          <w:p w14:paraId="421D57CB"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112.3 (56.3)</w:t>
            </w:r>
          </w:p>
        </w:tc>
        <w:tc>
          <w:tcPr>
            <w:tcW w:w="832" w:type="pct"/>
            <w:shd w:val="clear" w:color="auto" w:fill="FFFFFF" w:themeFill="background1"/>
            <w:hideMark/>
          </w:tcPr>
          <w:p w14:paraId="7ABDEBE5"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107.1 (52.5)</w:t>
            </w:r>
          </w:p>
        </w:tc>
        <w:tc>
          <w:tcPr>
            <w:tcW w:w="1076" w:type="pct"/>
            <w:shd w:val="clear" w:color="auto" w:fill="FFFFFF" w:themeFill="background1"/>
            <w:hideMark/>
          </w:tcPr>
          <w:p w14:paraId="630FB8A2" w14:textId="77777777" w:rsidR="00EA69F2" w:rsidRPr="000D00EA" w:rsidRDefault="00EA69F2" w:rsidP="00635CB0">
            <w:pPr>
              <w:autoSpaceDE w:val="0"/>
              <w:autoSpaceDN w:val="0"/>
              <w:adjustRightInd w:val="0"/>
              <w:spacing w:after="120"/>
              <w:jc w:val="center"/>
              <w:rPr>
                <w:rFonts w:cs="Times New Roman"/>
                <w:color w:val="auto"/>
                <w:sz w:val="22"/>
              </w:rPr>
            </w:pPr>
            <w:r w:rsidRPr="000D00EA">
              <w:rPr>
                <w:rFonts w:cs="Times New Roman"/>
                <w:color w:val="auto"/>
                <w:sz w:val="22"/>
              </w:rPr>
              <w:t>114.7 (52.2)</w:t>
            </w:r>
          </w:p>
        </w:tc>
      </w:tr>
    </w:tbl>
    <w:p w14:paraId="28FFFD05" w14:textId="77777777" w:rsidR="00EA69F2" w:rsidRPr="000D00EA" w:rsidRDefault="00EA69F2" w:rsidP="00EA69F2">
      <w:pPr>
        <w:pStyle w:val="Caption"/>
        <w:keepNext/>
        <w:rPr>
          <w:rFonts w:ascii="Times New Roman" w:hAnsi="Times New Roman" w:cs="Times New Roman"/>
          <w:b w:val="0"/>
          <w:color w:val="auto"/>
          <w:sz w:val="22"/>
          <w:szCs w:val="22"/>
        </w:rPr>
      </w:pPr>
      <w:r w:rsidRPr="000D00EA">
        <w:rPr>
          <w:rFonts w:ascii="Times New Roman" w:hAnsi="Times New Roman" w:cs="Times New Roman"/>
          <w:b w:val="0"/>
          <w:color w:val="auto"/>
          <w:sz w:val="22"/>
          <w:szCs w:val="22"/>
        </w:rPr>
        <w:t>EAR: Estimated Average Requirement. RNI: Reference Nutrient Intake. NSP: Non Starch Polysaccharide *significant difference between food allergic and control groups (p &lt; 0.05)</w:t>
      </w:r>
    </w:p>
    <w:p w14:paraId="79C2B5DE" w14:textId="315A4CDB" w:rsidR="00C441CF" w:rsidRPr="000D00EA" w:rsidRDefault="00EA69F2" w:rsidP="00EA69F2">
      <w:pPr>
        <w:spacing w:line="240" w:lineRule="auto"/>
        <w:rPr>
          <w:rFonts w:cs="Times New Roman"/>
          <w:sz w:val="22"/>
        </w:rPr>
      </w:pPr>
      <w:r w:rsidRPr="000D00EA">
        <w:rPr>
          <w:rFonts w:cs="Times New Roman"/>
          <w:sz w:val="22"/>
        </w:rPr>
        <w:t>^No dietary reference values existed for vitamins D and E at the time of the study in the age groups studied</w:t>
      </w:r>
    </w:p>
    <w:p w14:paraId="77F0828F" w14:textId="2784D1B3" w:rsidR="00C441CF" w:rsidRPr="000D00EA" w:rsidRDefault="00C441CF" w:rsidP="00C441CF">
      <w:pPr>
        <w:rPr>
          <w:rFonts w:cs="Times New Roman"/>
          <w:b/>
          <w:szCs w:val="24"/>
          <w:lang w:val="en"/>
        </w:rPr>
      </w:pPr>
      <w:r w:rsidRPr="000D00EA">
        <w:rPr>
          <w:rFonts w:cs="Times New Roman"/>
          <w:sz w:val="22"/>
        </w:rPr>
        <w:br w:type="page"/>
      </w:r>
      <w:r w:rsidRPr="000D00EA">
        <w:rPr>
          <w:rFonts w:cs="Times New Roman"/>
          <w:b/>
          <w:szCs w:val="24"/>
          <w:lang w:val="en"/>
        </w:rPr>
        <w:lastRenderedPageBreak/>
        <w:t>Figure legends</w:t>
      </w:r>
    </w:p>
    <w:p w14:paraId="60CDA753" w14:textId="77777777" w:rsidR="00C441CF" w:rsidRDefault="00C441CF" w:rsidP="00C441CF">
      <w:pPr>
        <w:shd w:val="clear" w:color="auto" w:fill="FFFFFF"/>
        <w:spacing w:after="0" w:line="360" w:lineRule="auto"/>
        <w:jc w:val="both"/>
        <w:rPr>
          <w:rFonts w:cs="Times New Roman"/>
          <w:szCs w:val="24"/>
          <w:lang w:val="en"/>
        </w:rPr>
      </w:pPr>
      <w:r w:rsidRPr="000D00EA">
        <w:rPr>
          <w:rFonts w:cs="Times New Roman"/>
          <w:szCs w:val="24"/>
          <w:lang w:val="en"/>
        </w:rPr>
        <w:t>Figure 1: Recruitment of participants</w:t>
      </w:r>
    </w:p>
    <w:p w14:paraId="31C106B9" w14:textId="74145A12" w:rsidR="000D00EA" w:rsidRPr="000D00EA" w:rsidRDefault="000D00EA" w:rsidP="00C441CF">
      <w:pPr>
        <w:shd w:val="clear" w:color="auto" w:fill="FFFFFF"/>
        <w:spacing w:after="0" w:line="360" w:lineRule="auto"/>
        <w:jc w:val="both"/>
        <w:rPr>
          <w:rFonts w:cs="Times New Roman"/>
          <w:szCs w:val="24"/>
          <w:lang w:val="en"/>
        </w:rPr>
      </w:pPr>
      <w:r w:rsidRPr="000D00EA">
        <w:rPr>
          <w:rFonts w:cs="Times New Roman"/>
          <w:noProof/>
          <w:szCs w:val="24"/>
        </w:rPr>
        <w:drawing>
          <wp:inline distT="0" distB="0" distL="0" distR="0" wp14:anchorId="4BD0650A" wp14:editId="428EAD7E">
            <wp:extent cx="5759450" cy="3239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3239135"/>
                    </a:xfrm>
                    <a:prstGeom prst="rect">
                      <a:avLst/>
                    </a:prstGeom>
                  </pic:spPr>
                </pic:pic>
              </a:graphicData>
            </a:graphic>
          </wp:inline>
        </w:drawing>
      </w:r>
    </w:p>
    <w:p w14:paraId="3FAAB807" w14:textId="77777777" w:rsidR="000D00EA" w:rsidRDefault="000D00EA">
      <w:pPr>
        <w:rPr>
          <w:rFonts w:cs="Times New Roman"/>
          <w:szCs w:val="24"/>
        </w:rPr>
      </w:pPr>
      <w:r>
        <w:rPr>
          <w:rFonts w:cs="Times New Roman"/>
          <w:szCs w:val="24"/>
        </w:rPr>
        <w:br w:type="page"/>
      </w:r>
    </w:p>
    <w:p w14:paraId="4C991343" w14:textId="3BB8E80B" w:rsidR="00C441CF" w:rsidRPr="000D00EA" w:rsidRDefault="00C441CF" w:rsidP="00C441CF">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lastRenderedPageBreak/>
        <w:t xml:space="preserve">Figure 2: Percentage of </w:t>
      </w:r>
      <w:r w:rsidR="000D4174" w:rsidRPr="000D00EA">
        <w:rPr>
          <w:rFonts w:cs="Times New Roman"/>
          <w:szCs w:val="24"/>
        </w:rPr>
        <w:t xml:space="preserve">adolescent participants not achieving RNI for micronutrients </w:t>
      </w:r>
    </w:p>
    <w:p w14:paraId="36B9C0F3" w14:textId="77777777" w:rsidR="000D00EA" w:rsidRDefault="000D00EA" w:rsidP="000D4174">
      <w:pPr>
        <w:autoSpaceDE w:val="0"/>
        <w:autoSpaceDN w:val="0"/>
        <w:adjustRightInd w:val="0"/>
        <w:spacing w:before="100" w:beforeAutospacing="1" w:after="100" w:afterAutospacing="1" w:line="360" w:lineRule="auto"/>
        <w:jc w:val="both"/>
        <w:rPr>
          <w:rFonts w:cs="Times New Roman"/>
          <w:szCs w:val="24"/>
        </w:rPr>
      </w:pPr>
      <w:r>
        <w:rPr>
          <w:noProof/>
        </w:rPr>
        <w:drawing>
          <wp:inline distT="0" distB="0" distL="0" distR="0" wp14:anchorId="7603D253" wp14:editId="4D04C6D1">
            <wp:extent cx="4962525" cy="4021140"/>
            <wp:effectExtent l="0" t="0" r="952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6EC5B9" w14:textId="77777777" w:rsidR="000D00EA" w:rsidRDefault="000D00EA">
      <w:pPr>
        <w:rPr>
          <w:rFonts w:cs="Times New Roman"/>
          <w:szCs w:val="24"/>
        </w:rPr>
      </w:pPr>
      <w:r>
        <w:rPr>
          <w:rFonts w:cs="Times New Roman"/>
          <w:szCs w:val="24"/>
        </w:rPr>
        <w:br w:type="page"/>
      </w:r>
    </w:p>
    <w:p w14:paraId="1999F021" w14:textId="25B26F91" w:rsidR="000D4174" w:rsidRPr="000D00EA" w:rsidRDefault="000D4174" w:rsidP="000D4174">
      <w:pPr>
        <w:autoSpaceDE w:val="0"/>
        <w:autoSpaceDN w:val="0"/>
        <w:adjustRightInd w:val="0"/>
        <w:spacing w:before="100" w:beforeAutospacing="1" w:after="100" w:afterAutospacing="1" w:line="360" w:lineRule="auto"/>
        <w:jc w:val="both"/>
        <w:rPr>
          <w:rFonts w:cs="Times New Roman"/>
          <w:szCs w:val="24"/>
        </w:rPr>
      </w:pPr>
      <w:r w:rsidRPr="000D00EA">
        <w:rPr>
          <w:rFonts w:cs="Times New Roman"/>
          <w:szCs w:val="24"/>
        </w:rPr>
        <w:lastRenderedPageBreak/>
        <w:t xml:space="preserve">Figure 3: Percentage of adult participants not achieving RNI for micronutrients </w:t>
      </w:r>
    </w:p>
    <w:p w14:paraId="352A2839" w14:textId="13F4C84F" w:rsidR="000D00EA" w:rsidRDefault="000D00EA">
      <w:pPr>
        <w:rPr>
          <w:rFonts w:cs="Times New Roman"/>
          <w:szCs w:val="24"/>
        </w:rPr>
      </w:pPr>
      <w:r>
        <w:rPr>
          <w:noProof/>
        </w:rPr>
        <w:drawing>
          <wp:inline distT="0" distB="0" distL="0" distR="0" wp14:anchorId="30B5492E" wp14:editId="0E61DEA9">
            <wp:extent cx="5057774" cy="4033839"/>
            <wp:effectExtent l="0" t="0" r="1016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cs="Times New Roman"/>
          <w:szCs w:val="24"/>
        </w:rPr>
        <w:br w:type="page"/>
      </w:r>
    </w:p>
    <w:p w14:paraId="26DAC4EA" w14:textId="77777777" w:rsidR="000D4174" w:rsidRPr="000D00EA" w:rsidRDefault="000D4174" w:rsidP="00C441CF">
      <w:pPr>
        <w:autoSpaceDE w:val="0"/>
        <w:autoSpaceDN w:val="0"/>
        <w:adjustRightInd w:val="0"/>
        <w:spacing w:before="100" w:beforeAutospacing="1" w:after="100" w:afterAutospacing="1" w:line="360" w:lineRule="auto"/>
        <w:jc w:val="both"/>
        <w:rPr>
          <w:rFonts w:cs="Times New Roman"/>
          <w:szCs w:val="24"/>
        </w:rPr>
      </w:pPr>
    </w:p>
    <w:p w14:paraId="1F3E3A96" w14:textId="77777777" w:rsidR="00021C7E" w:rsidRPr="000D00EA" w:rsidRDefault="00021C7E" w:rsidP="00EA69F2">
      <w:pPr>
        <w:spacing w:line="240" w:lineRule="auto"/>
        <w:rPr>
          <w:rFonts w:cs="Times New Roman"/>
          <w:sz w:val="22"/>
        </w:rPr>
      </w:pPr>
    </w:p>
    <w:sectPr w:rsidR="00021C7E" w:rsidRPr="000D00EA" w:rsidSect="009C6B07">
      <w:headerReference w:type="default" r:id="rId12"/>
      <w:footerReference w:type="default" r:id="rId13"/>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63416" w14:textId="77777777" w:rsidR="00731CE4" w:rsidRDefault="00731CE4" w:rsidP="00ED3BB6">
      <w:pPr>
        <w:spacing w:after="0" w:line="240" w:lineRule="auto"/>
      </w:pPr>
      <w:r>
        <w:separator/>
      </w:r>
    </w:p>
  </w:endnote>
  <w:endnote w:type="continuationSeparator" w:id="0">
    <w:p w14:paraId="16539743" w14:textId="77777777" w:rsidR="00731CE4" w:rsidRDefault="00731CE4" w:rsidP="00E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186760"/>
      <w:docPartObj>
        <w:docPartGallery w:val="Page Numbers (Bottom of Page)"/>
        <w:docPartUnique/>
      </w:docPartObj>
    </w:sdtPr>
    <w:sdtEndPr>
      <w:rPr>
        <w:noProof/>
      </w:rPr>
    </w:sdtEndPr>
    <w:sdtContent>
      <w:p w14:paraId="0CC99F4C" w14:textId="0DFC37DF" w:rsidR="000D4174" w:rsidRDefault="000D4174">
        <w:pPr>
          <w:pStyle w:val="Footer"/>
          <w:jc w:val="center"/>
        </w:pPr>
        <w:r>
          <w:fldChar w:fldCharType="begin"/>
        </w:r>
        <w:r>
          <w:instrText xml:space="preserve"> PAGE   \* MERGEFORMAT </w:instrText>
        </w:r>
        <w:r>
          <w:fldChar w:fldCharType="separate"/>
        </w:r>
        <w:r w:rsidR="00B105CD">
          <w:rPr>
            <w:noProof/>
          </w:rPr>
          <w:t>1</w:t>
        </w:r>
        <w:r>
          <w:rPr>
            <w:noProof/>
          </w:rPr>
          <w:fldChar w:fldCharType="end"/>
        </w:r>
      </w:p>
    </w:sdtContent>
  </w:sdt>
  <w:p w14:paraId="6EF57AA2" w14:textId="77777777" w:rsidR="000D4174" w:rsidRDefault="000D4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4DDC8" w14:textId="77777777" w:rsidR="00731CE4" w:rsidRDefault="00731CE4" w:rsidP="00ED3BB6">
      <w:pPr>
        <w:spacing w:after="0" w:line="240" w:lineRule="auto"/>
      </w:pPr>
      <w:r>
        <w:separator/>
      </w:r>
    </w:p>
  </w:footnote>
  <w:footnote w:type="continuationSeparator" w:id="0">
    <w:p w14:paraId="10F9D75E" w14:textId="77777777" w:rsidR="00731CE4" w:rsidRDefault="00731CE4" w:rsidP="00ED3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23A7" w14:textId="76C49FD8" w:rsidR="000D4174" w:rsidRDefault="000D4174" w:rsidP="009C6B07">
    <w:pPr>
      <w:pStyle w:val="Header"/>
    </w:pPr>
  </w:p>
  <w:p w14:paraId="0932F09A" w14:textId="77777777" w:rsidR="000D4174" w:rsidRDefault="000D4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490C"/>
    <w:multiLevelType w:val="multilevel"/>
    <w:tmpl w:val="470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A27D36"/>
    <w:multiLevelType w:val="hybridMultilevel"/>
    <w:tmpl w:val="FB04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0C3D81"/>
    <w:multiLevelType w:val="multilevel"/>
    <w:tmpl w:val="7E82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8D3AF4"/>
    <w:multiLevelType w:val="multilevel"/>
    <w:tmpl w:val="E006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222C4"/>
    <w:multiLevelType w:val="multilevel"/>
    <w:tmpl w:val="F9F0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720DB9"/>
    <w:multiLevelType w:val="multilevel"/>
    <w:tmpl w:val="6C08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3B15A9"/>
    <w:multiLevelType w:val="multilevel"/>
    <w:tmpl w:val="3336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880044"/>
    <w:multiLevelType w:val="multilevel"/>
    <w:tmpl w:val="D4126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Hum Nutr Diet&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09x0azd5es55vgetzvgxae5eprr2z20wzsda&quot;&gt;teenagers Copy&lt;record-ids&gt;&lt;item&gt;41&lt;/item&gt;&lt;item&gt;68&lt;/item&gt;&lt;item&gt;70&lt;/item&gt;&lt;item&gt;74&lt;/item&gt;&lt;item&gt;90&lt;/item&gt;&lt;item&gt;107&lt;/item&gt;&lt;item&gt;119&lt;/item&gt;&lt;item&gt;124&lt;/item&gt;&lt;item&gt;193&lt;/item&gt;&lt;item&gt;215&lt;/item&gt;&lt;item&gt;219&lt;/item&gt;&lt;item&gt;220&lt;/item&gt;&lt;item&gt;239&lt;/item&gt;&lt;item&gt;242&lt;/item&gt;&lt;item&gt;253&lt;/item&gt;&lt;item&gt;280&lt;/item&gt;&lt;item&gt;296&lt;/item&gt;&lt;item&gt;300&lt;/item&gt;&lt;item&gt;314&lt;/item&gt;&lt;item&gt;369&lt;/item&gt;&lt;item&gt;411&lt;/item&gt;&lt;item&gt;437&lt;/item&gt;&lt;item&gt;501&lt;/item&gt;&lt;item&gt;547&lt;/item&gt;&lt;item&gt;587&lt;/item&gt;&lt;item&gt;610&lt;/item&gt;&lt;item&gt;625&lt;/item&gt;&lt;item&gt;636&lt;/item&gt;&lt;item&gt;673&lt;/item&gt;&lt;item&gt;675&lt;/item&gt;&lt;item&gt;686&lt;/item&gt;&lt;item&gt;696&lt;/item&gt;&lt;item&gt;698&lt;/item&gt;&lt;item&gt;700&lt;/item&gt;&lt;item&gt;701&lt;/item&gt;&lt;/record-ids&gt;&lt;/item&gt;&lt;/Libraries&gt;"/>
  </w:docVars>
  <w:rsids>
    <w:rsidRoot w:val="00CD14B3"/>
    <w:rsid w:val="000015FD"/>
    <w:rsid w:val="00002F82"/>
    <w:rsid w:val="000056D3"/>
    <w:rsid w:val="00005780"/>
    <w:rsid w:val="000057AE"/>
    <w:rsid w:val="0000669F"/>
    <w:rsid w:val="000070A1"/>
    <w:rsid w:val="000103A8"/>
    <w:rsid w:val="000106E3"/>
    <w:rsid w:val="00012415"/>
    <w:rsid w:val="0001471F"/>
    <w:rsid w:val="00015393"/>
    <w:rsid w:val="00017A2C"/>
    <w:rsid w:val="00021C7E"/>
    <w:rsid w:val="00022FAC"/>
    <w:rsid w:val="00023ABC"/>
    <w:rsid w:val="00023CEA"/>
    <w:rsid w:val="0002785F"/>
    <w:rsid w:val="00041B50"/>
    <w:rsid w:val="0004249E"/>
    <w:rsid w:val="0004554A"/>
    <w:rsid w:val="00061BF0"/>
    <w:rsid w:val="00065707"/>
    <w:rsid w:val="00070743"/>
    <w:rsid w:val="00071E85"/>
    <w:rsid w:val="0007336C"/>
    <w:rsid w:val="00073808"/>
    <w:rsid w:val="0007736E"/>
    <w:rsid w:val="00080869"/>
    <w:rsid w:val="000824EA"/>
    <w:rsid w:val="00084781"/>
    <w:rsid w:val="00094480"/>
    <w:rsid w:val="000A1356"/>
    <w:rsid w:val="000A412A"/>
    <w:rsid w:val="000A6E3F"/>
    <w:rsid w:val="000B4AB0"/>
    <w:rsid w:val="000B4B9C"/>
    <w:rsid w:val="000C1DE2"/>
    <w:rsid w:val="000D00EA"/>
    <w:rsid w:val="000D4174"/>
    <w:rsid w:val="000D433C"/>
    <w:rsid w:val="000D4B13"/>
    <w:rsid w:val="000E099A"/>
    <w:rsid w:val="000E4817"/>
    <w:rsid w:val="000E5003"/>
    <w:rsid w:val="000F4B78"/>
    <w:rsid w:val="0011114E"/>
    <w:rsid w:val="00111CEF"/>
    <w:rsid w:val="00115D64"/>
    <w:rsid w:val="00117F3E"/>
    <w:rsid w:val="00120B9C"/>
    <w:rsid w:val="00121B19"/>
    <w:rsid w:val="001307AE"/>
    <w:rsid w:val="0013527A"/>
    <w:rsid w:val="00136332"/>
    <w:rsid w:val="00136A07"/>
    <w:rsid w:val="00140FE6"/>
    <w:rsid w:val="00141A4E"/>
    <w:rsid w:val="0014412D"/>
    <w:rsid w:val="0014571D"/>
    <w:rsid w:val="00156AA3"/>
    <w:rsid w:val="0016020E"/>
    <w:rsid w:val="00173383"/>
    <w:rsid w:val="001818B0"/>
    <w:rsid w:val="00181C52"/>
    <w:rsid w:val="001823FF"/>
    <w:rsid w:val="00183FC7"/>
    <w:rsid w:val="00184534"/>
    <w:rsid w:val="001926F9"/>
    <w:rsid w:val="00193F9B"/>
    <w:rsid w:val="001972B2"/>
    <w:rsid w:val="001A02E3"/>
    <w:rsid w:val="001A3C06"/>
    <w:rsid w:val="001B460D"/>
    <w:rsid w:val="001B5CDC"/>
    <w:rsid w:val="001B7CF4"/>
    <w:rsid w:val="001C02D0"/>
    <w:rsid w:val="001D4C47"/>
    <w:rsid w:val="001D6321"/>
    <w:rsid w:val="001D7257"/>
    <w:rsid w:val="001E2FEF"/>
    <w:rsid w:val="001E42ED"/>
    <w:rsid w:val="001F7311"/>
    <w:rsid w:val="001F7FAD"/>
    <w:rsid w:val="002029ED"/>
    <w:rsid w:val="00204E5F"/>
    <w:rsid w:val="002054DF"/>
    <w:rsid w:val="0021034B"/>
    <w:rsid w:val="00210463"/>
    <w:rsid w:val="00211743"/>
    <w:rsid w:val="0021179B"/>
    <w:rsid w:val="00212E8D"/>
    <w:rsid w:val="00221EDD"/>
    <w:rsid w:val="00223313"/>
    <w:rsid w:val="00224489"/>
    <w:rsid w:val="00225D9C"/>
    <w:rsid w:val="0023381C"/>
    <w:rsid w:val="00235A56"/>
    <w:rsid w:val="002406C6"/>
    <w:rsid w:val="00241B5B"/>
    <w:rsid w:val="00244CB7"/>
    <w:rsid w:val="00251C1D"/>
    <w:rsid w:val="00256AEF"/>
    <w:rsid w:val="00260E1F"/>
    <w:rsid w:val="00263E0C"/>
    <w:rsid w:val="002668F6"/>
    <w:rsid w:val="00273DDA"/>
    <w:rsid w:val="0027635A"/>
    <w:rsid w:val="00277CA8"/>
    <w:rsid w:val="00281DD0"/>
    <w:rsid w:val="00283EB1"/>
    <w:rsid w:val="002861E0"/>
    <w:rsid w:val="00287FC5"/>
    <w:rsid w:val="00290762"/>
    <w:rsid w:val="00291A8E"/>
    <w:rsid w:val="002954B5"/>
    <w:rsid w:val="00296CAA"/>
    <w:rsid w:val="0029772B"/>
    <w:rsid w:val="002A0884"/>
    <w:rsid w:val="002A107E"/>
    <w:rsid w:val="002A2358"/>
    <w:rsid w:val="002B2FE5"/>
    <w:rsid w:val="002C0CA6"/>
    <w:rsid w:val="002D6B16"/>
    <w:rsid w:val="002E2339"/>
    <w:rsid w:val="002E79C3"/>
    <w:rsid w:val="002F089B"/>
    <w:rsid w:val="002F5228"/>
    <w:rsid w:val="0030090F"/>
    <w:rsid w:val="00300B68"/>
    <w:rsid w:val="0030227F"/>
    <w:rsid w:val="003044F3"/>
    <w:rsid w:val="00305D03"/>
    <w:rsid w:val="00310675"/>
    <w:rsid w:val="003127BF"/>
    <w:rsid w:val="00314F49"/>
    <w:rsid w:val="00317E06"/>
    <w:rsid w:val="00321487"/>
    <w:rsid w:val="00323378"/>
    <w:rsid w:val="00323D8C"/>
    <w:rsid w:val="003364CA"/>
    <w:rsid w:val="00337860"/>
    <w:rsid w:val="00340911"/>
    <w:rsid w:val="00341BEF"/>
    <w:rsid w:val="00342312"/>
    <w:rsid w:val="00356943"/>
    <w:rsid w:val="003610CA"/>
    <w:rsid w:val="00361E38"/>
    <w:rsid w:val="00365FF3"/>
    <w:rsid w:val="00366315"/>
    <w:rsid w:val="003670A4"/>
    <w:rsid w:val="00367F56"/>
    <w:rsid w:val="003772E1"/>
    <w:rsid w:val="00381B78"/>
    <w:rsid w:val="00383D70"/>
    <w:rsid w:val="00390B28"/>
    <w:rsid w:val="003A0603"/>
    <w:rsid w:val="003A23C7"/>
    <w:rsid w:val="003B06FE"/>
    <w:rsid w:val="003B4570"/>
    <w:rsid w:val="003B664D"/>
    <w:rsid w:val="003C09D7"/>
    <w:rsid w:val="003C09D8"/>
    <w:rsid w:val="003C1B93"/>
    <w:rsid w:val="003C67B0"/>
    <w:rsid w:val="003D0B57"/>
    <w:rsid w:val="003D5F03"/>
    <w:rsid w:val="003E2BB4"/>
    <w:rsid w:val="003E5947"/>
    <w:rsid w:val="003F1856"/>
    <w:rsid w:val="003F58E6"/>
    <w:rsid w:val="004064A7"/>
    <w:rsid w:val="00410EE5"/>
    <w:rsid w:val="00411383"/>
    <w:rsid w:val="004136AB"/>
    <w:rsid w:val="00414FD5"/>
    <w:rsid w:val="00417A16"/>
    <w:rsid w:val="00420FBA"/>
    <w:rsid w:val="004234FA"/>
    <w:rsid w:val="004314F3"/>
    <w:rsid w:val="004327E0"/>
    <w:rsid w:val="00435BF6"/>
    <w:rsid w:val="004361B8"/>
    <w:rsid w:val="00437906"/>
    <w:rsid w:val="00442560"/>
    <w:rsid w:val="004439E0"/>
    <w:rsid w:val="00461CC9"/>
    <w:rsid w:val="004672D6"/>
    <w:rsid w:val="00470B46"/>
    <w:rsid w:val="00473E4B"/>
    <w:rsid w:val="004770D0"/>
    <w:rsid w:val="00477A00"/>
    <w:rsid w:val="00477A85"/>
    <w:rsid w:val="004833FA"/>
    <w:rsid w:val="00485417"/>
    <w:rsid w:val="00486498"/>
    <w:rsid w:val="00491980"/>
    <w:rsid w:val="00495E82"/>
    <w:rsid w:val="0049615A"/>
    <w:rsid w:val="004B1E1C"/>
    <w:rsid w:val="004B1F63"/>
    <w:rsid w:val="004B3B9E"/>
    <w:rsid w:val="004C3112"/>
    <w:rsid w:val="004C34B6"/>
    <w:rsid w:val="004E52D5"/>
    <w:rsid w:val="004E55D9"/>
    <w:rsid w:val="004F0A97"/>
    <w:rsid w:val="004F44FA"/>
    <w:rsid w:val="004F48FD"/>
    <w:rsid w:val="00503020"/>
    <w:rsid w:val="00504BC5"/>
    <w:rsid w:val="00504D59"/>
    <w:rsid w:val="00505BEB"/>
    <w:rsid w:val="00510C53"/>
    <w:rsid w:val="0052189C"/>
    <w:rsid w:val="00523301"/>
    <w:rsid w:val="00536FF2"/>
    <w:rsid w:val="00544924"/>
    <w:rsid w:val="00545556"/>
    <w:rsid w:val="00545BDE"/>
    <w:rsid w:val="00550478"/>
    <w:rsid w:val="00553AF3"/>
    <w:rsid w:val="00553CBF"/>
    <w:rsid w:val="0055485E"/>
    <w:rsid w:val="00554FA6"/>
    <w:rsid w:val="0056034D"/>
    <w:rsid w:val="005603DB"/>
    <w:rsid w:val="00561505"/>
    <w:rsid w:val="005669C3"/>
    <w:rsid w:val="00566E5D"/>
    <w:rsid w:val="00572591"/>
    <w:rsid w:val="0057359B"/>
    <w:rsid w:val="0058687F"/>
    <w:rsid w:val="00592AD2"/>
    <w:rsid w:val="00594B79"/>
    <w:rsid w:val="0059704C"/>
    <w:rsid w:val="005A1573"/>
    <w:rsid w:val="005A3626"/>
    <w:rsid w:val="005A3F0E"/>
    <w:rsid w:val="005B1F8F"/>
    <w:rsid w:val="005B629D"/>
    <w:rsid w:val="005C2AEE"/>
    <w:rsid w:val="005C7632"/>
    <w:rsid w:val="005D118B"/>
    <w:rsid w:val="005D1558"/>
    <w:rsid w:val="005D7251"/>
    <w:rsid w:val="005D72EB"/>
    <w:rsid w:val="005D76CE"/>
    <w:rsid w:val="005E2CF2"/>
    <w:rsid w:val="005E6F78"/>
    <w:rsid w:val="005F4EA5"/>
    <w:rsid w:val="005F5565"/>
    <w:rsid w:val="005F5D1C"/>
    <w:rsid w:val="005F70E5"/>
    <w:rsid w:val="005F7C83"/>
    <w:rsid w:val="006041F3"/>
    <w:rsid w:val="00610372"/>
    <w:rsid w:val="00613959"/>
    <w:rsid w:val="00613CB3"/>
    <w:rsid w:val="00614713"/>
    <w:rsid w:val="006169AF"/>
    <w:rsid w:val="006211C6"/>
    <w:rsid w:val="006216B0"/>
    <w:rsid w:val="00621702"/>
    <w:rsid w:val="00635CB0"/>
    <w:rsid w:val="00635EE7"/>
    <w:rsid w:val="00637C70"/>
    <w:rsid w:val="00637D9E"/>
    <w:rsid w:val="00637FC2"/>
    <w:rsid w:val="006420ED"/>
    <w:rsid w:val="006440C5"/>
    <w:rsid w:val="00647F08"/>
    <w:rsid w:val="006508BD"/>
    <w:rsid w:val="00650A8A"/>
    <w:rsid w:val="00654D26"/>
    <w:rsid w:val="006562AD"/>
    <w:rsid w:val="006629CA"/>
    <w:rsid w:val="00663D59"/>
    <w:rsid w:val="006715E8"/>
    <w:rsid w:val="006726C6"/>
    <w:rsid w:val="00672D16"/>
    <w:rsid w:val="00675BCC"/>
    <w:rsid w:val="0069038F"/>
    <w:rsid w:val="00695435"/>
    <w:rsid w:val="0069576D"/>
    <w:rsid w:val="006961FC"/>
    <w:rsid w:val="006A2762"/>
    <w:rsid w:val="006A4542"/>
    <w:rsid w:val="006A77D9"/>
    <w:rsid w:val="006A7A77"/>
    <w:rsid w:val="006B3CC9"/>
    <w:rsid w:val="006B4AE3"/>
    <w:rsid w:val="006B7746"/>
    <w:rsid w:val="006C5BE7"/>
    <w:rsid w:val="006D24A7"/>
    <w:rsid w:val="006D3AC3"/>
    <w:rsid w:val="006E1C07"/>
    <w:rsid w:val="006E4881"/>
    <w:rsid w:val="006E5E3B"/>
    <w:rsid w:val="006E75E4"/>
    <w:rsid w:val="006F4647"/>
    <w:rsid w:val="006F5033"/>
    <w:rsid w:val="006F6FF9"/>
    <w:rsid w:val="00701AE5"/>
    <w:rsid w:val="00703EAB"/>
    <w:rsid w:val="0071373C"/>
    <w:rsid w:val="00716AAD"/>
    <w:rsid w:val="00723DD1"/>
    <w:rsid w:val="00731CE4"/>
    <w:rsid w:val="00747531"/>
    <w:rsid w:val="00751B05"/>
    <w:rsid w:val="007534AF"/>
    <w:rsid w:val="00753B00"/>
    <w:rsid w:val="00757A25"/>
    <w:rsid w:val="00762EE1"/>
    <w:rsid w:val="00764F18"/>
    <w:rsid w:val="00766E69"/>
    <w:rsid w:val="007717D2"/>
    <w:rsid w:val="0077340C"/>
    <w:rsid w:val="00773C45"/>
    <w:rsid w:val="00774C55"/>
    <w:rsid w:val="0077529B"/>
    <w:rsid w:val="00781958"/>
    <w:rsid w:val="00784243"/>
    <w:rsid w:val="007852E9"/>
    <w:rsid w:val="00785E84"/>
    <w:rsid w:val="0079206E"/>
    <w:rsid w:val="00796176"/>
    <w:rsid w:val="00796911"/>
    <w:rsid w:val="007A308F"/>
    <w:rsid w:val="007A4A39"/>
    <w:rsid w:val="007B0D10"/>
    <w:rsid w:val="007B2DDA"/>
    <w:rsid w:val="007C0F8C"/>
    <w:rsid w:val="007C2726"/>
    <w:rsid w:val="007C6A37"/>
    <w:rsid w:val="007C7FCB"/>
    <w:rsid w:val="007E1E5C"/>
    <w:rsid w:val="007E7510"/>
    <w:rsid w:val="007F0B98"/>
    <w:rsid w:val="007F1800"/>
    <w:rsid w:val="007F6995"/>
    <w:rsid w:val="00806CF5"/>
    <w:rsid w:val="00811B0B"/>
    <w:rsid w:val="00813E89"/>
    <w:rsid w:val="00826191"/>
    <w:rsid w:val="00830238"/>
    <w:rsid w:val="00836C90"/>
    <w:rsid w:val="00837234"/>
    <w:rsid w:val="008418F9"/>
    <w:rsid w:val="00842079"/>
    <w:rsid w:val="008421DE"/>
    <w:rsid w:val="00843635"/>
    <w:rsid w:val="008436A2"/>
    <w:rsid w:val="00845A53"/>
    <w:rsid w:val="0084626E"/>
    <w:rsid w:val="00847F13"/>
    <w:rsid w:val="00853B90"/>
    <w:rsid w:val="008553C4"/>
    <w:rsid w:val="0085797A"/>
    <w:rsid w:val="0086122F"/>
    <w:rsid w:val="0089326B"/>
    <w:rsid w:val="008939C9"/>
    <w:rsid w:val="00894939"/>
    <w:rsid w:val="0089683B"/>
    <w:rsid w:val="008A5B92"/>
    <w:rsid w:val="008A6E4C"/>
    <w:rsid w:val="008B56B7"/>
    <w:rsid w:val="008B6352"/>
    <w:rsid w:val="008C4B1D"/>
    <w:rsid w:val="008C4F6F"/>
    <w:rsid w:val="008C7F23"/>
    <w:rsid w:val="008D1A94"/>
    <w:rsid w:val="008D5AF9"/>
    <w:rsid w:val="008E1B9A"/>
    <w:rsid w:val="008E7541"/>
    <w:rsid w:val="0090201F"/>
    <w:rsid w:val="00903A36"/>
    <w:rsid w:val="00903A8C"/>
    <w:rsid w:val="00907BCD"/>
    <w:rsid w:val="009133F0"/>
    <w:rsid w:val="0091564F"/>
    <w:rsid w:val="0092161C"/>
    <w:rsid w:val="009239E3"/>
    <w:rsid w:val="0092776D"/>
    <w:rsid w:val="0093115B"/>
    <w:rsid w:val="00937402"/>
    <w:rsid w:val="00944DBD"/>
    <w:rsid w:val="00951A8B"/>
    <w:rsid w:val="00956183"/>
    <w:rsid w:val="00957C2E"/>
    <w:rsid w:val="00963017"/>
    <w:rsid w:val="00967FB3"/>
    <w:rsid w:val="00972020"/>
    <w:rsid w:val="00975F47"/>
    <w:rsid w:val="00976222"/>
    <w:rsid w:val="0098094B"/>
    <w:rsid w:val="00985E16"/>
    <w:rsid w:val="00987046"/>
    <w:rsid w:val="009902AE"/>
    <w:rsid w:val="009945E3"/>
    <w:rsid w:val="00994B25"/>
    <w:rsid w:val="009A58AA"/>
    <w:rsid w:val="009B0B30"/>
    <w:rsid w:val="009B2F35"/>
    <w:rsid w:val="009B3591"/>
    <w:rsid w:val="009C4E82"/>
    <w:rsid w:val="009C5F8B"/>
    <w:rsid w:val="009C6B07"/>
    <w:rsid w:val="009D1EC1"/>
    <w:rsid w:val="009D3F36"/>
    <w:rsid w:val="009D67B3"/>
    <w:rsid w:val="009D6877"/>
    <w:rsid w:val="009D7376"/>
    <w:rsid w:val="009E210C"/>
    <w:rsid w:val="009F4508"/>
    <w:rsid w:val="009F699C"/>
    <w:rsid w:val="00A00DE9"/>
    <w:rsid w:val="00A0226F"/>
    <w:rsid w:val="00A030CA"/>
    <w:rsid w:val="00A06B26"/>
    <w:rsid w:val="00A13E30"/>
    <w:rsid w:val="00A2192B"/>
    <w:rsid w:val="00A23D7A"/>
    <w:rsid w:val="00A2597C"/>
    <w:rsid w:val="00A277D0"/>
    <w:rsid w:val="00A344AE"/>
    <w:rsid w:val="00A3582A"/>
    <w:rsid w:val="00A37177"/>
    <w:rsid w:val="00A43735"/>
    <w:rsid w:val="00A43E55"/>
    <w:rsid w:val="00A47176"/>
    <w:rsid w:val="00A50B46"/>
    <w:rsid w:val="00A5175F"/>
    <w:rsid w:val="00A52728"/>
    <w:rsid w:val="00A527B8"/>
    <w:rsid w:val="00A52BAD"/>
    <w:rsid w:val="00A54471"/>
    <w:rsid w:val="00A54778"/>
    <w:rsid w:val="00A56096"/>
    <w:rsid w:val="00A61655"/>
    <w:rsid w:val="00A70014"/>
    <w:rsid w:val="00A71430"/>
    <w:rsid w:val="00A74504"/>
    <w:rsid w:val="00A7464F"/>
    <w:rsid w:val="00A76F6C"/>
    <w:rsid w:val="00A83B80"/>
    <w:rsid w:val="00A8473D"/>
    <w:rsid w:val="00A84AC8"/>
    <w:rsid w:val="00A859DD"/>
    <w:rsid w:val="00A94D20"/>
    <w:rsid w:val="00A959D2"/>
    <w:rsid w:val="00AA3CE4"/>
    <w:rsid w:val="00AA6345"/>
    <w:rsid w:val="00AA722F"/>
    <w:rsid w:val="00AA7ABE"/>
    <w:rsid w:val="00AB4EC6"/>
    <w:rsid w:val="00AD1FDB"/>
    <w:rsid w:val="00AE3613"/>
    <w:rsid w:val="00AE4824"/>
    <w:rsid w:val="00AF1696"/>
    <w:rsid w:val="00AF1ACC"/>
    <w:rsid w:val="00B02441"/>
    <w:rsid w:val="00B038E4"/>
    <w:rsid w:val="00B0397B"/>
    <w:rsid w:val="00B05C86"/>
    <w:rsid w:val="00B1025A"/>
    <w:rsid w:val="00B105CD"/>
    <w:rsid w:val="00B11304"/>
    <w:rsid w:val="00B138B8"/>
    <w:rsid w:val="00B14480"/>
    <w:rsid w:val="00B14F1C"/>
    <w:rsid w:val="00B1632D"/>
    <w:rsid w:val="00B169A3"/>
    <w:rsid w:val="00B23990"/>
    <w:rsid w:val="00B270F8"/>
    <w:rsid w:val="00B37D14"/>
    <w:rsid w:val="00B37E04"/>
    <w:rsid w:val="00B43391"/>
    <w:rsid w:val="00B44989"/>
    <w:rsid w:val="00B47100"/>
    <w:rsid w:val="00B575E5"/>
    <w:rsid w:val="00B65D8E"/>
    <w:rsid w:val="00B67045"/>
    <w:rsid w:val="00B67F59"/>
    <w:rsid w:val="00B70738"/>
    <w:rsid w:val="00B70DDD"/>
    <w:rsid w:val="00B82316"/>
    <w:rsid w:val="00B939AD"/>
    <w:rsid w:val="00B963CF"/>
    <w:rsid w:val="00BA00D0"/>
    <w:rsid w:val="00BA46C8"/>
    <w:rsid w:val="00BB1613"/>
    <w:rsid w:val="00BB19DE"/>
    <w:rsid w:val="00BB3465"/>
    <w:rsid w:val="00BC3994"/>
    <w:rsid w:val="00BC7402"/>
    <w:rsid w:val="00BD1322"/>
    <w:rsid w:val="00BD2A43"/>
    <w:rsid w:val="00BD34BF"/>
    <w:rsid w:val="00BD475E"/>
    <w:rsid w:val="00BE1EC0"/>
    <w:rsid w:val="00BE49A3"/>
    <w:rsid w:val="00BE59B2"/>
    <w:rsid w:val="00BF184F"/>
    <w:rsid w:val="00BF4F70"/>
    <w:rsid w:val="00BF5515"/>
    <w:rsid w:val="00BF6258"/>
    <w:rsid w:val="00C00B25"/>
    <w:rsid w:val="00C019B3"/>
    <w:rsid w:val="00C02377"/>
    <w:rsid w:val="00C1424B"/>
    <w:rsid w:val="00C159EE"/>
    <w:rsid w:val="00C16C03"/>
    <w:rsid w:val="00C176AF"/>
    <w:rsid w:val="00C220EC"/>
    <w:rsid w:val="00C306A7"/>
    <w:rsid w:val="00C30E39"/>
    <w:rsid w:val="00C3340F"/>
    <w:rsid w:val="00C34B1D"/>
    <w:rsid w:val="00C36314"/>
    <w:rsid w:val="00C40066"/>
    <w:rsid w:val="00C441CF"/>
    <w:rsid w:val="00C45971"/>
    <w:rsid w:val="00C50B1C"/>
    <w:rsid w:val="00C64779"/>
    <w:rsid w:val="00C65720"/>
    <w:rsid w:val="00C65884"/>
    <w:rsid w:val="00C71285"/>
    <w:rsid w:val="00C7523E"/>
    <w:rsid w:val="00C765A6"/>
    <w:rsid w:val="00C80D0C"/>
    <w:rsid w:val="00C81FF4"/>
    <w:rsid w:val="00C9108A"/>
    <w:rsid w:val="00C91B02"/>
    <w:rsid w:val="00C930D5"/>
    <w:rsid w:val="00C94558"/>
    <w:rsid w:val="00C977F0"/>
    <w:rsid w:val="00CA15C0"/>
    <w:rsid w:val="00CB160F"/>
    <w:rsid w:val="00CB1BBD"/>
    <w:rsid w:val="00CB766A"/>
    <w:rsid w:val="00CC7CA0"/>
    <w:rsid w:val="00CD0E89"/>
    <w:rsid w:val="00CD14B3"/>
    <w:rsid w:val="00CD25B4"/>
    <w:rsid w:val="00CD29F3"/>
    <w:rsid w:val="00CE6437"/>
    <w:rsid w:val="00CE70FA"/>
    <w:rsid w:val="00CF72BB"/>
    <w:rsid w:val="00D03B56"/>
    <w:rsid w:val="00D07E15"/>
    <w:rsid w:val="00D10C14"/>
    <w:rsid w:val="00D11E41"/>
    <w:rsid w:val="00D14424"/>
    <w:rsid w:val="00D14A02"/>
    <w:rsid w:val="00D14D24"/>
    <w:rsid w:val="00D21674"/>
    <w:rsid w:val="00D30E98"/>
    <w:rsid w:val="00D3449B"/>
    <w:rsid w:val="00D37959"/>
    <w:rsid w:val="00D37C0A"/>
    <w:rsid w:val="00D41C00"/>
    <w:rsid w:val="00D45113"/>
    <w:rsid w:val="00D6374D"/>
    <w:rsid w:val="00D64FCF"/>
    <w:rsid w:val="00D70445"/>
    <w:rsid w:val="00D711AA"/>
    <w:rsid w:val="00D778D7"/>
    <w:rsid w:val="00D77DC2"/>
    <w:rsid w:val="00D77E57"/>
    <w:rsid w:val="00D8248E"/>
    <w:rsid w:val="00D91908"/>
    <w:rsid w:val="00D942FE"/>
    <w:rsid w:val="00D9672F"/>
    <w:rsid w:val="00D96B72"/>
    <w:rsid w:val="00D9776C"/>
    <w:rsid w:val="00D97BDF"/>
    <w:rsid w:val="00DA33AD"/>
    <w:rsid w:val="00DA4DF9"/>
    <w:rsid w:val="00DA505F"/>
    <w:rsid w:val="00DB3759"/>
    <w:rsid w:val="00DB5E89"/>
    <w:rsid w:val="00DC4548"/>
    <w:rsid w:val="00DC4FA3"/>
    <w:rsid w:val="00DC7C24"/>
    <w:rsid w:val="00DD0886"/>
    <w:rsid w:val="00DD19C1"/>
    <w:rsid w:val="00DE6124"/>
    <w:rsid w:val="00DF0729"/>
    <w:rsid w:val="00DF19B5"/>
    <w:rsid w:val="00E015EA"/>
    <w:rsid w:val="00E01B42"/>
    <w:rsid w:val="00E038B6"/>
    <w:rsid w:val="00E27810"/>
    <w:rsid w:val="00E303FF"/>
    <w:rsid w:val="00E30558"/>
    <w:rsid w:val="00E41F62"/>
    <w:rsid w:val="00E430FF"/>
    <w:rsid w:val="00E4349D"/>
    <w:rsid w:val="00E50768"/>
    <w:rsid w:val="00E514D5"/>
    <w:rsid w:val="00E51D04"/>
    <w:rsid w:val="00E52D70"/>
    <w:rsid w:val="00E56F05"/>
    <w:rsid w:val="00E6190C"/>
    <w:rsid w:val="00E642BA"/>
    <w:rsid w:val="00E66F1F"/>
    <w:rsid w:val="00E71D08"/>
    <w:rsid w:val="00E82788"/>
    <w:rsid w:val="00E82C20"/>
    <w:rsid w:val="00E8758C"/>
    <w:rsid w:val="00E9305F"/>
    <w:rsid w:val="00E938C8"/>
    <w:rsid w:val="00EA1865"/>
    <w:rsid w:val="00EA50D6"/>
    <w:rsid w:val="00EA69F2"/>
    <w:rsid w:val="00EB3C1B"/>
    <w:rsid w:val="00EB536B"/>
    <w:rsid w:val="00EC1BFA"/>
    <w:rsid w:val="00EC32D6"/>
    <w:rsid w:val="00EC348B"/>
    <w:rsid w:val="00EC6A00"/>
    <w:rsid w:val="00EC71D2"/>
    <w:rsid w:val="00ED205E"/>
    <w:rsid w:val="00ED3249"/>
    <w:rsid w:val="00ED3BB6"/>
    <w:rsid w:val="00ED3E08"/>
    <w:rsid w:val="00EE0289"/>
    <w:rsid w:val="00EE303C"/>
    <w:rsid w:val="00EE43C6"/>
    <w:rsid w:val="00EE562C"/>
    <w:rsid w:val="00EE7161"/>
    <w:rsid w:val="00EF6433"/>
    <w:rsid w:val="00F026FD"/>
    <w:rsid w:val="00F12B59"/>
    <w:rsid w:val="00F148C1"/>
    <w:rsid w:val="00F168F5"/>
    <w:rsid w:val="00F21891"/>
    <w:rsid w:val="00F21C51"/>
    <w:rsid w:val="00F23428"/>
    <w:rsid w:val="00F23DD0"/>
    <w:rsid w:val="00F24087"/>
    <w:rsid w:val="00F345D1"/>
    <w:rsid w:val="00F37E1A"/>
    <w:rsid w:val="00F411E6"/>
    <w:rsid w:val="00F469B5"/>
    <w:rsid w:val="00F509E1"/>
    <w:rsid w:val="00F50B5D"/>
    <w:rsid w:val="00F516F5"/>
    <w:rsid w:val="00F57E68"/>
    <w:rsid w:val="00F62652"/>
    <w:rsid w:val="00F63E9C"/>
    <w:rsid w:val="00F74569"/>
    <w:rsid w:val="00F74A29"/>
    <w:rsid w:val="00F74A77"/>
    <w:rsid w:val="00F806FA"/>
    <w:rsid w:val="00F81D38"/>
    <w:rsid w:val="00F822F4"/>
    <w:rsid w:val="00F856F6"/>
    <w:rsid w:val="00F861D6"/>
    <w:rsid w:val="00FA1A8E"/>
    <w:rsid w:val="00FB3FD5"/>
    <w:rsid w:val="00FC207C"/>
    <w:rsid w:val="00FC2B8D"/>
    <w:rsid w:val="00FC51D0"/>
    <w:rsid w:val="00FC58F2"/>
    <w:rsid w:val="00FC7526"/>
    <w:rsid w:val="00FD1A4D"/>
    <w:rsid w:val="00FD567B"/>
    <w:rsid w:val="00FD7AF3"/>
    <w:rsid w:val="00FE0070"/>
    <w:rsid w:val="00FE38A2"/>
    <w:rsid w:val="00FE53C3"/>
    <w:rsid w:val="00FE6294"/>
    <w:rsid w:val="00FE76DF"/>
    <w:rsid w:val="00FF339F"/>
    <w:rsid w:val="00FF4852"/>
    <w:rsid w:val="00FF672C"/>
    <w:rsid w:val="00FF6D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4A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227F"/>
    <w:pPr>
      <w:spacing w:before="100" w:beforeAutospacing="1" w:after="100" w:afterAutospacing="1" w:line="240" w:lineRule="auto"/>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1F"/>
    <w:pPr>
      <w:ind w:left="720"/>
      <w:contextualSpacing/>
    </w:pPr>
  </w:style>
  <w:style w:type="paragraph" w:styleId="BalloonText">
    <w:name w:val="Balloon Text"/>
    <w:basedOn w:val="Normal"/>
    <w:link w:val="BalloonTextChar"/>
    <w:uiPriority w:val="99"/>
    <w:semiHidden/>
    <w:unhideWhenUsed/>
    <w:rsid w:val="00751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05"/>
    <w:rPr>
      <w:rFonts w:ascii="Tahoma" w:hAnsi="Tahoma" w:cs="Tahoma"/>
      <w:sz w:val="16"/>
      <w:szCs w:val="16"/>
    </w:rPr>
  </w:style>
  <w:style w:type="character" w:styleId="Hyperlink">
    <w:name w:val="Hyperlink"/>
    <w:basedOn w:val="DefaultParagraphFont"/>
    <w:uiPriority w:val="99"/>
    <w:unhideWhenUsed/>
    <w:rsid w:val="002406C6"/>
    <w:rPr>
      <w:color w:val="0000FF" w:themeColor="hyperlink"/>
      <w:u w:val="single"/>
    </w:rPr>
  </w:style>
  <w:style w:type="character" w:styleId="CommentReference">
    <w:name w:val="annotation reference"/>
    <w:basedOn w:val="DefaultParagraphFont"/>
    <w:uiPriority w:val="99"/>
    <w:semiHidden/>
    <w:unhideWhenUsed/>
    <w:rsid w:val="00FD7AF3"/>
    <w:rPr>
      <w:sz w:val="16"/>
      <w:szCs w:val="16"/>
    </w:rPr>
  </w:style>
  <w:style w:type="paragraph" w:styleId="CommentText">
    <w:name w:val="annotation text"/>
    <w:basedOn w:val="Normal"/>
    <w:link w:val="CommentTextChar"/>
    <w:uiPriority w:val="99"/>
    <w:unhideWhenUsed/>
    <w:rsid w:val="00FD7AF3"/>
    <w:pPr>
      <w:spacing w:line="240" w:lineRule="auto"/>
    </w:pPr>
    <w:rPr>
      <w:sz w:val="20"/>
      <w:szCs w:val="20"/>
    </w:rPr>
  </w:style>
  <w:style w:type="character" w:customStyle="1" w:styleId="CommentTextChar">
    <w:name w:val="Comment Text Char"/>
    <w:basedOn w:val="DefaultParagraphFont"/>
    <w:link w:val="CommentText"/>
    <w:uiPriority w:val="99"/>
    <w:rsid w:val="00FD7AF3"/>
    <w:rPr>
      <w:sz w:val="20"/>
      <w:szCs w:val="20"/>
    </w:rPr>
  </w:style>
  <w:style w:type="paragraph" w:styleId="CommentSubject">
    <w:name w:val="annotation subject"/>
    <w:basedOn w:val="CommentText"/>
    <w:next w:val="CommentText"/>
    <w:link w:val="CommentSubjectChar"/>
    <w:uiPriority w:val="99"/>
    <w:semiHidden/>
    <w:unhideWhenUsed/>
    <w:rsid w:val="00FD7AF3"/>
    <w:rPr>
      <w:b/>
      <w:bCs/>
    </w:rPr>
  </w:style>
  <w:style w:type="character" w:customStyle="1" w:styleId="CommentSubjectChar">
    <w:name w:val="Comment Subject Char"/>
    <w:basedOn w:val="CommentTextChar"/>
    <w:link w:val="CommentSubject"/>
    <w:uiPriority w:val="99"/>
    <w:semiHidden/>
    <w:rsid w:val="00FD7AF3"/>
    <w:rPr>
      <w:b/>
      <w:bCs/>
      <w:sz w:val="20"/>
      <w:szCs w:val="20"/>
    </w:rPr>
  </w:style>
  <w:style w:type="character" w:styleId="LineNumber">
    <w:name w:val="line number"/>
    <w:basedOn w:val="DefaultParagraphFont"/>
    <w:uiPriority w:val="99"/>
    <w:semiHidden/>
    <w:unhideWhenUsed/>
    <w:rsid w:val="0085797A"/>
  </w:style>
  <w:style w:type="paragraph" w:styleId="FootnoteText">
    <w:name w:val="footnote text"/>
    <w:basedOn w:val="Normal"/>
    <w:link w:val="FootnoteTextChar"/>
    <w:uiPriority w:val="99"/>
    <w:unhideWhenUsed/>
    <w:rsid w:val="00ED3BB6"/>
    <w:pPr>
      <w:spacing w:after="0" w:line="240" w:lineRule="auto"/>
    </w:pPr>
    <w:rPr>
      <w:sz w:val="20"/>
      <w:szCs w:val="20"/>
    </w:rPr>
  </w:style>
  <w:style w:type="character" w:customStyle="1" w:styleId="FootnoteTextChar">
    <w:name w:val="Footnote Text Char"/>
    <w:basedOn w:val="DefaultParagraphFont"/>
    <w:link w:val="FootnoteText"/>
    <w:uiPriority w:val="99"/>
    <w:rsid w:val="00ED3BB6"/>
    <w:rPr>
      <w:sz w:val="20"/>
      <w:szCs w:val="20"/>
    </w:rPr>
  </w:style>
  <w:style w:type="character" w:styleId="FootnoteReference">
    <w:name w:val="footnote reference"/>
    <w:basedOn w:val="DefaultParagraphFont"/>
    <w:uiPriority w:val="99"/>
    <w:semiHidden/>
    <w:unhideWhenUsed/>
    <w:rsid w:val="00ED3BB6"/>
    <w:rPr>
      <w:vertAlign w:val="superscript"/>
    </w:rPr>
  </w:style>
  <w:style w:type="table" w:styleId="TableGrid">
    <w:name w:val="Table Grid"/>
    <w:basedOn w:val="TableNormal"/>
    <w:uiPriority w:val="59"/>
    <w:rsid w:val="0056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615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B3C1B"/>
    <w:pPr>
      <w:autoSpaceDE w:val="0"/>
      <w:autoSpaceDN w:val="0"/>
      <w:adjustRightInd w:val="0"/>
      <w:spacing w:after="0" w:line="240" w:lineRule="auto"/>
    </w:pPr>
    <w:rPr>
      <w:rFonts w:ascii="Corbel" w:hAnsi="Corbel" w:cs="Corbel"/>
      <w:color w:val="000000"/>
      <w:szCs w:val="24"/>
      <w:lang w:val="de-AT"/>
    </w:rPr>
  </w:style>
  <w:style w:type="paragraph" w:styleId="NormalWeb">
    <w:name w:val="Normal (Web)"/>
    <w:basedOn w:val="Normal"/>
    <w:uiPriority w:val="99"/>
    <w:unhideWhenUsed/>
    <w:rsid w:val="003F1856"/>
    <w:pPr>
      <w:spacing w:before="100" w:beforeAutospacing="1" w:after="100" w:afterAutospacing="1" w:line="240" w:lineRule="auto"/>
    </w:pPr>
    <w:rPr>
      <w:rFonts w:cs="Times New Roman"/>
      <w:szCs w:val="24"/>
    </w:rPr>
  </w:style>
  <w:style w:type="character" w:customStyle="1" w:styleId="Heading1Char">
    <w:name w:val="Heading 1 Char"/>
    <w:basedOn w:val="DefaultParagraphFont"/>
    <w:link w:val="Heading1"/>
    <w:uiPriority w:val="9"/>
    <w:rsid w:val="0030227F"/>
    <w:rPr>
      <w:rFonts w:ascii="Times" w:hAnsi="Times"/>
      <w:b/>
      <w:bCs/>
      <w:kern w:val="36"/>
      <w:sz w:val="48"/>
      <w:szCs w:val="48"/>
      <w:lang w:eastAsia="en-US"/>
    </w:rPr>
  </w:style>
  <w:style w:type="character" w:customStyle="1" w:styleId="authorname">
    <w:name w:val="authorname"/>
    <w:basedOn w:val="DefaultParagraphFont"/>
    <w:rsid w:val="0030227F"/>
  </w:style>
  <w:style w:type="character" w:customStyle="1" w:styleId="apple-converted-space">
    <w:name w:val="apple-converted-space"/>
    <w:basedOn w:val="DefaultParagraphFont"/>
    <w:rsid w:val="0030227F"/>
  </w:style>
  <w:style w:type="character" w:customStyle="1" w:styleId="u-sronly">
    <w:name w:val="u-sronly"/>
    <w:basedOn w:val="DefaultParagraphFont"/>
    <w:rsid w:val="0030227F"/>
  </w:style>
  <w:style w:type="character" w:customStyle="1" w:styleId="journaltitle">
    <w:name w:val="journaltitle"/>
    <w:basedOn w:val="DefaultParagraphFont"/>
    <w:rsid w:val="0030227F"/>
  </w:style>
  <w:style w:type="character" w:customStyle="1" w:styleId="articlecitationyear">
    <w:name w:val="articlecitation_year"/>
    <w:basedOn w:val="DefaultParagraphFont"/>
    <w:rsid w:val="0030227F"/>
  </w:style>
  <w:style w:type="character" w:customStyle="1" w:styleId="articlecitationvolume">
    <w:name w:val="articlecitation_volume"/>
    <w:basedOn w:val="DefaultParagraphFont"/>
    <w:rsid w:val="0030227F"/>
  </w:style>
  <w:style w:type="character" w:styleId="Strong">
    <w:name w:val="Strong"/>
    <w:basedOn w:val="DefaultParagraphFont"/>
    <w:uiPriority w:val="22"/>
    <w:qFormat/>
    <w:rsid w:val="0030227F"/>
    <w:rPr>
      <w:b/>
      <w:bCs/>
    </w:rPr>
  </w:style>
  <w:style w:type="paragraph" w:customStyle="1" w:styleId="articledoi">
    <w:name w:val="articledoi"/>
    <w:basedOn w:val="Normal"/>
    <w:rsid w:val="0030227F"/>
    <w:pPr>
      <w:spacing w:before="100" w:beforeAutospacing="1" w:after="100" w:afterAutospacing="1" w:line="240" w:lineRule="auto"/>
    </w:pPr>
    <w:rPr>
      <w:rFonts w:ascii="Times" w:hAnsi="Times"/>
      <w:sz w:val="20"/>
      <w:szCs w:val="20"/>
      <w:lang w:eastAsia="en-US"/>
    </w:rPr>
  </w:style>
  <w:style w:type="paragraph" w:customStyle="1" w:styleId="copyright">
    <w:name w:val="copyright"/>
    <w:basedOn w:val="Normal"/>
    <w:rsid w:val="0030227F"/>
    <w:pPr>
      <w:spacing w:before="100" w:beforeAutospacing="1" w:after="100" w:afterAutospacing="1" w:line="240" w:lineRule="auto"/>
    </w:pPr>
    <w:rPr>
      <w:rFonts w:ascii="Times" w:hAnsi="Times"/>
      <w:sz w:val="20"/>
      <w:szCs w:val="20"/>
      <w:lang w:eastAsia="en-US"/>
    </w:rPr>
  </w:style>
  <w:style w:type="paragraph" w:customStyle="1" w:styleId="history">
    <w:name w:val="history"/>
    <w:basedOn w:val="Normal"/>
    <w:rsid w:val="0030227F"/>
    <w:pPr>
      <w:spacing w:before="100" w:beforeAutospacing="1" w:after="100" w:afterAutospacing="1" w:line="240" w:lineRule="auto"/>
    </w:pPr>
    <w:rPr>
      <w:rFonts w:ascii="Times" w:hAnsi="Times"/>
      <w:sz w:val="20"/>
      <w:szCs w:val="20"/>
      <w:lang w:eastAsia="en-US"/>
    </w:rPr>
  </w:style>
  <w:style w:type="paragraph" w:customStyle="1" w:styleId="EndNoteBibliographyTitle">
    <w:name w:val="EndNote Bibliography Title"/>
    <w:basedOn w:val="Normal"/>
    <w:link w:val="EndNoteBibliographyTitleZchn"/>
    <w:rsid w:val="00647F08"/>
    <w:pPr>
      <w:spacing w:after="0"/>
      <w:jc w:val="center"/>
    </w:pPr>
    <w:rPr>
      <w:rFonts w:cs="Times New Roman"/>
      <w:noProof/>
    </w:rPr>
  </w:style>
  <w:style w:type="character" w:customStyle="1" w:styleId="EndNoteBibliographyTitleZchn">
    <w:name w:val="EndNote Bibliography Title Zchn"/>
    <w:basedOn w:val="DefaultParagraphFont"/>
    <w:link w:val="EndNoteBibliographyTitle"/>
    <w:rsid w:val="00647F08"/>
    <w:rPr>
      <w:rFonts w:cs="Times New Roman"/>
      <w:noProof/>
    </w:rPr>
  </w:style>
  <w:style w:type="paragraph" w:customStyle="1" w:styleId="EndNoteBibliography">
    <w:name w:val="EndNote Bibliography"/>
    <w:basedOn w:val="Normal"/>
    <w:link w:val="EndNoteBibliographyZchn"/>
    <w:rsid w:val="00647F08"/>
    <w:pPr>
      <w:spacing w:line="360" w:lineRule="auto"/>
      <w:jc w:val="both"/>
    </w:pPr>
    <w:rPr>
      <w:rFonts w:cs="Times New Roman"/>
      <w:noProof/>
    </w:rPr>
  </w:style>
  <w:style w:type="character" w:customStyle="1" w:styleId="EndNoteBibliographyZchn">
    <w:name w:val="EndNote Bibliography Zchn"/>
    <w:basedOn w:val="DefaultParagraphFont"/>
    <w:link w:val="EndNoteBibliography"/>
    <w:rsid w:val="00647F08"/>
    <w:rPr>
      <w:rFonts w:cs="Times New Roman"/>
      <w:noProof/>
    </w:rPr>
  </w:style>
  <w:style w:type="paragraph" w:styleId="Header">
    <w:name w:val="header"/>
    <w:basedOn w:val="Normal"/>
    <w:link w:val="HeaderChar"/>
    <w:uiPriority w:val="99"/>
    <w:unhideWhenUsed/>
    <w:rsid w:val="002104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0463"/>
  </w:style>
  <w:style w:type="paragraph" w:styleId="Footer">
    <w:name w:val="footer"/>
    <w:basedOn w:val="Normal"/>
    <w:link w:val="FooterChar"/>
    <w:uiPriority w:val="99"/>
    <w:unhideWhenUsed/>
    <w:rsid w:val="002104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0463"/>
  </w:style>
  <w:style w:type="character" w:customStyle="1" w:styleId="highlight">
    <w:name w:val="highlight"/>
    <w:basedOn w:val="DefaultParagraphFont"/>
    <w:rsid w:val="00D21674"/>
  </w:style>
  <w:style w:type="paragraph" w:styleId="Caption">
    <w:name w:val="caption"/>
    <w:basedOn w:val="Normal"/>
    <w:next w:val="Normal"/>
    <w:uiPriority w:val="35"/>
    <w:unhideWhenUsed/>
    <w:qFormat/>
    <w:rsid w:val="00021C7E"/>
    <w:pPr>
      <w:spacing w:line="240" w:lineRule="auto"/>
    </w:pPr>
    <w:rPr>
      <w:rFonts w:asciiTheme="minorHAnsi" w:eastAsiaTheme="minorHAnsi" w:hAnsiTheme="minorHAnsi"/>
      <w:b/>
      <w:bCs/>
      <w:color w:val="4F81BD" w:themeColor="accent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227F"/>
    <w:pPr>
      <w:spacing w:before="100" w:beforeAutospacing="1" w:after="100" w:afterAutospacing="1" w:line="240" w:lineRule="auto"/>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1F"/>
    <w:pPr>
      <w:ind w:left="720"/>
      <w:contextualSpacing/>
    </w:pPr>
  </w:style>
  <w:style w:type="paragraph" w:styleId="BalloonText">
    <w:name w:val="Balloon Text"/>
    <w:basedOn w:val="Normal"/>
    <w:link w:val="BalloonTextChar"/>
    <w:uiPriority w:val="99"/>
    <w:semiHidden/>
    <w:unhideWhenUsed/>
    <w:rsid w:val="00751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05"/>
    <w:rPr>
      <w:rFonts w:ascii="Tahoma" w:hAnsi="Tahoma" w:cs="Tahoma"/>
      <w:sz w:val="16"/>
      <w:szCs w:val="16"/>
    </w:rPr>
  </w:style>
  <w:style w:type="character" w:styleId="Hyperlink">
    <w:name w:val="Hyperlink"/>
    <w:basedOn w:val="DefaultParagraphFont"/>
    <w:uiPriority w:val="99"/>
    <w:unhideWhenUsed/>
    <w:rsid w:val="002406C6"/>
    <w:rPr>
      <w:color w:val="0000FF" w:themeColor="hyperlink"/>
      <w:u w:val="single"/>
    </w:rPr>
  </w:style>
  <w:style w:type="character" w:styleId="CommentReference">
    <w:name w:val="annotation reference"/>
    <w:basedOn w:val="DefaultParagraphFont"/>
    <w:uiPriority w:val="99"/>
    <w:semiHidden/>
    <w:unhideWhenUsed/>
    <w:rsid w:val="00FD7AF3"/>
    <w:rPr>
      <w:sz w:val="16"/>
      <w:szCs w:val="16"/>
    </w:rPr>
  </w:style>
  <w:style w:type="paragraph" w:styleId="CommentText">
    <w:name w:val="annotation text"/>
    <w:basedOn w:val="Normal"/>
    <w:link w:val="CommentTextChar"/>
    <w:uiPriority w:val="99"/>
    <w:unhideWhenUsed/>
    <w:rsid w:val="00FD7AF3"/>
    <w:pPr>
      <w:spacing w:line="240" w:lineRule="auto"/>
    </w:pPr>
    <w:rPr>
      <w:sz w:val="20"/>
      <w:szCs w:val="20"/>
    </w:rPr>
  </w:style>
  <w:style w:type="character" w:customStyle="1" w:styleId="CommentTextChar">
    <w:name w:val="Comment Text Char"/>
    <w:basedOn w:val="DefaultParagraphFont"/>
    <w:link w:val="CommentText"/>
    <w:uiPriority w:val="99"/>
    <w:rsid w:val="00FD7AF3"/>
    <w:rPr>
      <w:sz w:val="20"/>
      <w:szCs w:val="20"/>
    </w:rPr>
  </w:style>
  <w:style w:type="paragraph" w:styleId="CommentSubject">
    <w:name w:val="annotation subject"/>
    <w:basedOn w:val="CommentText"/>
    <w:next w:val="CommentText"/>
    <w:link w:val="CommentSubjectChar"/>
    <w:uiPriority w:val="99"/>
    <w:semiHidden/>
    <w:unhideWhenUsed/>
    <w:rsid w:val="00FD7AF3"/>
    <w:rPr>
      <w:b/>
      <w:bCs/>
    </w:rPr>
  </w:style>
  <w:style w:type="character" w:customStyle="1" w:styleId="CommentSubjectChar">
    <w:name w:val="Comment Subject Char"/>
    <w:basedOn w:val="CommentTextChar"/>
    <w:link w:val="CommentSubject"/>
    <w:uiPriority w:val="99"/>
    <w:semiHidden/>
    <w:rsid w:val="00FD7AF3"/>
    <w:rPr>
      <w:b/>
      <w:bCs/>
      <w:sz w:val="20"/>
      <w:szCs w:val="20"/>
    </w:rPr>
  </w:style>
  <w:style w:type="character" w:styleId="LineNumber">
    <w:name w:val="line number"/>
    <w:basedOn w:val="DefaultParagraphFont"/>
    <w:uiPriority w:val="99"/>
    <w:semiHidden/>
    <w:unhideWhenUsed/>
    <w:rsid w:val="0085797A"/>
  </w:style>
  <w:style w:type="paragraph" w:styleId="FootnoteText">
    <w:name w:val="footnote text"/>
    <w:basedOn w:val="Normal"/>
    <w:link w:val="FootnoteTextChar"/>
    <w:uiPriority w:val="99"/>
    <w:unhideWhenUsed/>
    <w:rsid w:val="00ED3BB6"/>
    <w:pPr>
      <w:spacing w:after="0" w:line="240" w:lineRule="auto"/>
    </w:pPr>
    <w:rPr>
      <w:sz w:val="20"/>
      <w:szCs w:val="20"/>
    </w:rPr>
  </w:style>
  <w:style w:type="character" w:customStyle="1" w:styleId="FootnoteTextChar">
    <w:name w:val="Footnote Text Char"/>
    <w:basedOn w:val="DefaultParagraphFont"/>
    <w:link w:val="FootnoteText"/>
    <w:uiPriority w:val="99"/>
    <w:rsid w:val="00ED3BB6"/>
    <w:rPr>
      <w:sz w:val="20"/>
      <w:szCs w:val="20"/>
    </w:rPr>
  </w:style>
  <w:style w:type="character" w:styleId="FootnoteReference">
    <w:name w:val="footnote reference"/>
    <w:basedOn w:val="DefaultParagraphFont"/>
    <w:uiPriority w:val="99"/>
    <w:semiHidden/>
    <w:unhideWhenUsed/>
    <w:rsid w:val="00ED3BB6"/>
    <w:rPr>
      <w:vertAlign w:val="superscript"/>
    </w:rPr>
  </w:style>
  <w:style w:type="table" w:styleId="TableGrid">
    <w:name w:val="Table Grid"/>
    <w:basedOn w:val="TableNormal"/>
    <w:uiPriority w:val="59"/>
    <w:rsid w:val="0056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615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B3C1B"/>
    <w:pPr>
      <w:autoSpaceDE w:val="0"/>
      <w:autoSpaceDN w:val="0"/>
      <w:adjustRightInd w:val="0"/>
      <w:spacing w:after="0" w:line="240" w:lineRule="auto"/>
    </w:pPr>
    <w:rPr>
      <w:rFonts w:ascii="Corbel" w:hAnsi="Corbel" w:cs="Corbel"/>
      <w:color w:val="000000"/>
      <w:szCs w:val="24"/>
      <w:lang w:val="de-AT"/>
    </w:rPr>
  </w:style>
  <w:style w:type="paragraph" w:styleId="NormalWeb">
    <w:name w:val="Normal (Web)"/>
    <w:basedOn w:val="Normal"/>
    <w:uiPriority w:val="99"/>
    <w:unhideWhenUsed/>
    <w:rsid w:val="003F1856"/>
    <w:pPr>
      <w:spacing w:before="100" w:beforeAutospacing="1" w:after="100" w:afterAutospacing="1" w:line="240" w:lineRule="auto"/>
    </w:pPr>
    <w:rPr>
      <w:rFonts w:cs="Times New Roman"/>
      <w:szCs w:val="24"/>
    </w:rPr>
  </w:style>
  <w:style w:type="character" w:customStyle="1" w:styleId="Heading1Char">
    <w:name w:val="Heading 1 Char"/>
    <w:basedOn w:val="DefaultParagraphFont"/>
    <w:link w:val="Heading1"/>
    <w:uiPriority w:val="9"/>
    <w:rsid w:val="0030227F"/>
    <w:rPr>
      <w:rFonts w:ascii="Times" w:hAnsi="Times"/>
      <w:b/>
      <w:bCs/>
      <w:kern w:val="36"/>
      <w:sz w:val="48"/>
      <w:szCs w:val="48"/>
      <w:lang w:eastAsia="en-US"/>
    </w:rPr>
  </w:style>
  <w:style w:type="character" w:customStyle="1" w:styleId="authorname">
    <w:name w:val="authorname"/>
    <w:basedOn w:val="DefaultParagraphFont"/>
    <w:rsid w:val="0030227F"/>
  </w:style>
  <w:style w:type="character" w:customStyle="1" w:styleId="apple-converted-space">
    <w:name w:val="apple-converted-space"/>
    <w:basedOn w:val="DefaultParagraphFont"/>
    <w:rsid w:val="0030227F"/>
  </w:style>
  <w:style w:type="character" w:customStyle="1" w:styleId="u-sronly">
    <w:name w:val="u-sronly"/>
    <w:basedOn w:val="DefaultParagraphFont"/>
    <w:rsid w:val="0030227F"/>
  </w:style>
  <w:style w:type="character" w:customStyle="1" w:styleId="journaltitle">
    <w:name w:val="journaltitle"/>
    <w:basedOn w:val="DefaultParagraphFont"/>
    <w:rsid w:val="0030227F"/>
  </w:style>
  <w:style w:type="character" w:customStyle="1" w:styleId="articlecitationyear">
    <w:name w:val="articlecitation_year"/>
    <w:basedOn w:val="DefaultParagraphFont"/>
    <w:rsid w:val="0030227F"/>
  </w:style>
  <w:style w:type="character" w:customStyle="1" w:styleId="articlecitationvolume">
    <w:name w:val="articlecitation_volume"/>
    <w:basedOn w:val="DefaultParagraphFont"/>
    <w:rsid w:val="0030227F"/>
  </w:style>
  <w:style w:type="character" w:styleId="Strong">
    <w:name w:val="Strong"/>
    <w:basedOn w:val="DefaultParagraphFont"/>
    <w:uiPriority w:val="22"/>
    <w:qFormat/>
    <w:rsid w:val="0030227F"/>
    <w:rPr>
      <w:b/>
      <w:bCs/>
    </w:rPr>
  </w:style>
  <w:style w:type="paragraph" w:customStyle="1" w:styleId="articledoi">
    <w:name w:val="articledoi"/>
    <w:basedOn w:val="Normal"/>
    <w:rsid w:val="0030227F"/>
    <w:pPr>
      <w:spacing w:before="100" w:beforeAutospacing="1" w:after="100" w:afterAutospacing="1" w:line="240" w:lineRule="auto"/>
    </w:pPr>
    <w:rPr>
      <w:rFonts w:ascii="Times" w:hAnsi="Times"/>
      <w:sz w:val="20"/>
      <w:szCs w:val="20"/>
      <w:lang w:eastAsia="en-US"/>
    </w:rPr>
  </w:style>
  <w:style w:type="paragraph" w:customStyle="1" w:styleId="copyright">
    <w:name w:val="copyright"/>
    <w:basedOn w:val="Normal"/>
    <w:rsid w:val="0030227F"/>
    <w:pPr>
      <w:spacing w:before="100" w:beforeAutospacing="1" w:after="100" w:afterAutospacing="1" w:line="240" w:lineRule="auto"/>
    </w:pPr>
    <w:rPr>
      <w:rFonts w:ascii="Times" w:hAnsi="Times"/>
      <w:sz w:val="20"/>
      <w:szCs w:val="20"/>
      <w:lang w:eastAsia="en-US"/>
    </w:rPr>
  </w:style>
  <w:style w:type="paragraph" w:customStyle="1" w:styleId="history">
    <w:name w:val="history"/>
    <w:basedOn w:val="Normal"/>
    <w:rsid w:val="0030227F"/>
    <w:pPr>
      <w:spacing w:before="100" w:beforeAutospacing="1" w:after="100" w:afterAutospacing="1" w:line="240" w:lineRule="auto"/>
    </w:pPr>
    <w:rPr>
      <w:rFonts w:ascii="Times" w:hAnsi="Times"/>
      <w:sz w:val="20"/>
      <w:szCs w:val="20"/>
      <w:lang w:eastAsia="en-US"/>
    </w:rPr>
  </w:style>
  <w:style w:type="paragraph" w:customStyle="1" w:styleId="EndNoteBibliographyTitle">
    <w:name w:val="EndNote Bibliography Title"/>
    <w:basedOn w:val="Normal"/>
    <w:link w:val="EndNoteBibliographyTitleZchn"/>
    <w:rsid w:val="00647F08"/>
    <w:pPr>
      <w:spacing w:after="0"/>
      <w:jc w:val="center"/>
    </w:pPr>
    <w:rPr>
      <w:rFonts w:cs="Times New Roman"/>
      <w:noProof/>
    </w:rPr>
  </w:style>
  <w:style w:type="character" w:customStyle="1" w:styleId="EndNoteBibliographyTitleZchn">
    <w:name w:val="EndNote Bibliography Title Zchn"/>
    <w:basedOn w:val="DefaultParagraphFont"/>
    <w:link w:val="EndNoteBibliographyTitle"/>
    <w:rsid w:val="00647F08"/>
    <w:rPr>
      <w:rFonts w:cs="Times New Roman"/>
      <w:noProof/>
    </w:rPr>
  </w:style>
  <w:style w:type="paragraph" w:customStyle="1" w:styleId="EndNoteBibliography">
    <w:name w:val="EndNote Bibliography"/>
    <w:basedOn w:val="Normal"/>
    <w:link w:val="EndNoteBibliographyZchn"/>
    <w:rsid w:val="00647F08"/>
    <w:pPr>
      <w:spacing w:line="360" w:lineRule="auto"/>
      <w:jc w:val="both"/>
    </w:pPr>
    <w:rPr>
      <w:rFonts w:cs="Times New Roman"/>
      <w:noProof/>
    </w:rPr>
  </w:style>
  <w:style w:type="character" w:customStyle="1" w:styleId="EndNoteBibliographyZchn">
    <w:name w:val="EndNote Bibliography Zchn"/>
    <w:basedOn w:val="DefaultParagraphFont"/>
    <w:link w:val="EndNoteBibliography"/>
    <w:rsid w:val="00647F08"/>
    <w:rPr>
      <w:rFonts w:cs="Times New Roman"/>
      <w:noProof/>
    </w:rPr>
  </w:style>
  <w:style w:type="paragraph" w:styleId="Header">
    <w:name w:val="header"/>
    <w:basedOn w:val="Normal"/>
    <w:link w:val="HeaderChar"/>
    <w:uiPriority w:val="99"/>
    <w:unhideWhenUsed/>
    <w:rsid w:val="002104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0463"/>
  </w:style>
  <w:style w:type="paragraph" w:styleId="Footer">
    <w:name w:val="footer"/>
    <w:basedOn w:val="Normal"/>
    <w:link w:val="FooterChar"/>
    <w:uiPriority w:val="99"/>
    <w:unhideWhenUsed/>
    <w:rsid w:val="002104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0463"/>
  </w:style>
  <w:style w:type="character" w:customStyle="1" w:styleId="highlight">
    <w:name w:val="highlight"/>
    <w:basedOn w:val="DefaultParagraphFont"/>
    <w:rsid w:val="00D21674"/>
  </w:style>
  <w:style w:type="paragraph" w:styleId="Caption">
    <w:name w:val="caption"/>
    <w:basedOn w:val="Normal"/>
    <w:next w:val="Normal"/>
    <w:uiPriority w:val="35"/>
    <w:unhideWhenUsed/>
    <w:qFormat/>
    <w:rsid w:val="00021C7E"/>
    <w:pPr>
      <w:spacing w:line="240" w:lineRule="auto"/>
    </w:pPr>
    <w:rPr>
      <w:rFonts w:asciiTheme="minorHAnsi" w:eastAsiaTheme="minorHAnsi" w:hAnsiTheme="minorHAns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2613">
      <w:bodyDiv w:val="1"/>
      <w:marLeft w:val="0"/>
      <w:marRight w:val="0"/>
      <w:marTop w:val="0"/>
      <w:marBottom w:val="0"/>
      <w:divBdr>
        <w:top w:val="none" w:sz="0" w:space="0" w:color="auto"/>
        <w:left w:val="none" w:sz="0" w:space="0" w:color="auto"/>
        <w:bottom w:val="none" w:sz="0" w:space="0" w:color="auto"/>
        <w:right w:val="none" w:sz="0" w:space="0" w:color="auto"/>
      </w:divBdr>
    </w:div>
    <w:div w:id="203370528">
      <w:bodyDiv w:val="1"/>
      <w:marLeft w:val="0"/>
      <w:marRight w:val="0"/>
      <w:marTop w:val="0"/>
      <w:marBottom w:val="0"/>
      <w:divBdr>
        <w:top w:val="none" w:sz="0" w:space="0" w:color="auto"/>
        <w:left w:val="none" w:sz="0" w:space="0" w:color="auto"/>
        <w:bottom w:val="none" w:sz="0" w:space="0" w:color="auto"/>
        <w:right w:val="none" w:sz="0" w:space="0" w:color="auto"/>
      </w:divBdr>
      <w:divsChild>
        <w:div w:id="1828327316">
          <w:marLeft w:val="0"/>
          <w:marRight w:val="0"/>
          <w:marTop w:val="240"/>
          <w:marBottom w:val="0"/>
          <w:divBdr>
            <w:top w:val="none" w:sz="0" w:space="0" w:color="auto"/>
            <w:left w:val="none" w:sz="0" w:space="0" w:color="auto"/>
            <w:bottom w:val="none" w:sz="0" w:space="0" w:color="auto"/>
            <w:right w:val="none" w:sz="0" w:space="0" w:color="auto"/>
          </w:divBdr>
        </w:div>
        <w:div w:id="632715114">
          <w:marLeft w:val="0"/>
          <w:marRight w:val="0"/>
          <w:marTop w:val="0"/>
          <w:marBottom w:val="240"/>
          <w:divBdr>
            <w:top w:val="none" w:sz="0" w:space="0" w:color="auto"/>
            <w:left w:val="none" w:sz="0" w:space="0" w:color="auto"/>
            <w:bottom w:val="none" w:sz="0" w:space="0" w:color="auto"/>
            <w:right w:val="none" w:sz="0" w:space="0" w:color="auto"/>
          </w:divBdr>
        </w:div>
        <w:div w:id="815073761">
          <w:marLeft w:val="0"/>
          <w:marRight w:val="0"/>
          <w:marTop w:val="0"/>
          <w:marBottom w:val="60"/>
          <w:divBdr>
            <w:top w:val="none" w:sz="0" w:space="0" w:color="auto"/>
            <w:left w:val="none" w:sz="0" w:space="0" w:color="auto"/>
            <w:bottom w:val="none" w:sz="0" w:space="0" w:color="auto"/>
            <w:right w:val="none" w:sz="0" w:space="0" w:color="auto"/>
          </w:divBdr>
          <w:divsChild>
            <w:div w:id="1393968674">
              <w:marLeft w:val="0"/>
              <w:marRight w:val="0"/>
              <w:marTop w:val="0"/>
              <w:marBottom w:val="0"/>
              <w:divBdr>
                <w:top w:val="none" w:sz="0" w:space="0" w:color="auto"/>
                <w:left w:val="none" w:sz="0" w:space="0" w:color="auto"/>
                <w:bottom w:val="none" w:sz="0" w:space="0" w:color="auto"/>
                <w:right w:val="none" w:sz="0" w:space="0" w:color="auto"/>
              </w:divBdr>
              <w:divsChild>
                <w:div w:id="10818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29110">
          <w:marLeft w:val="0"/>
          <w:marRight w:val="0"/>
          <w:marTop w:val="0"/>
          <w:marBottom w:val="0"/>
          <w:divBdr>
            <w:top w:val="none" w:sz="0" w:space="0" w:color="auto"/>
            <w:left w:val="none" w:sz="0" w:space="0" w:color="auto"/>
            <w:bottom w:val="none" w:sz="0" w:space="0" w:color="auto"/>
            <w:right w:val="none" w:sz="0" w:space="0" w:color="auto"/>
          </w:divBdr>
        </w:div>
      </w:divsChild>
    </w:div>
    <w:div w:id="213080565">
      <w:bodyDiv w:val="1"/>
      <w:marLeft w:val="0"/>
      <w:marRight w:val="0"/>
      <w:marTop w:val="0"/>
      <w:marBottom w:val="0"/>
      <w:divBdr>
        <w:top w:val="none" w:sz="0" w:space="0" w:color="auto"/>
        <w:left w:val="none" w:sz="0" w:space="0" w:color="auto"/>
        <w:bottom w:val="none" w:sz="0" w:space="0" w:color="auto"/>
        <w:right w:val="none" w:sz="0" w:space="0" w:color="auto"/>
      </w:divBdr>
      <w:divsChild>
        <w:div w:id="1662612073">
          <w:marLeft w:val="0"/>
          <w:marRight w:val="0"/>
          <w:marTop w:val="0"/>
          <w:marBottom w:val="0"/>
          <w:divBdr>
            <w:top w:val="none" w:sz="0" w:space="0" w:color="auto"/>
            <w:left w:val="none" w:sz="0" w:space="0" w:color="auto"/>
            <w:bottom w:val="none" w:sz="0" w:space="0" w:color="auto"/>
            <w:right w:val="none" w:sz="0" w:space="0" w:color="auto"/>
          </w:divBdr>
        </w:div>
        <w:div w:id="1274826107">
          <w:marLeft w:val="0"/>
          <w:marRight w:val="0"/>
          <w:marTop w:val="0"/>
          <w:marBottom w:val="0"/>
          <w:divBdr>
            <w:top w:val="none" w:sz="0" w:space="0" w:color="auto"/>
            <w:left w:val="none" w:sz="0" w:space="0" w:color="auto"/>
            <w:bottom w:val="none" w:sz="0" w:space="0" w:color="auto"/>
            <w:right w:val="none" w:sz="0" w:space="0" w:color="auto"/>
          </w:divBdr>
        </w:div>
      </w:divsChild>
    </w:div>
    <w:div w:id="217668695">
      <w:bodyDiv w:val="1"/>
      <w:marLeft w:val="0"/>
      <w:marRight w:val="0"/>
      <w:marTop w:val="0"/>
      <w:marBottom w:val="0"/>
      <w:divBdr>
        <w:top w:val="none" w:sz="0" w:space="0" w:color="auto"/>
        <w:left w:val="none" w:sz="0" w:space="0" w:color="auto"/>
        <w:bottom w:val="none" w:sz="0" w:space="0" w:color="auto"/>
        <w:right w:val="none" w:sz="0" w:space="0" w:color="auto"/>
      </w:divBdr>
      <w:divsChild>
        <w:div w:id="1033388448">
          <w:marLeft w:val="0"/>
          <w:marRight w:val="0"/>
          <w:marTop w:val="0"/>
          <w:marBottom w:val="0"/>
          <w:divBdr>
            <w:top w:val="none" w:sz="0" w:space="0" w:color="auto"/>
            <w:left w:val="none" w:sz="0" w:space="0" w:color="auto"/>
            <w:bottom w:val="none" w:sz="0" w:space="0" w:color="auto"/>
            <w:right w:val="none" w:sz="0" w:space="0" w:color="auto"/>
          </w:divBdr>
        </w:div>
        <w:div w:id="1128819687">
          <w:marLeft w:val="0"/>
          <w:marRight w:val="0"/>
          <w:marTop w:val="0"/>
          <w:marBottom w:val="0"/>
          <w:divBdr>
            <w:top w:val="none" w:sz="0" w:space="0" w:color="auto"/>
            <w:left w:val="none" w:sz="0" w:space="0" w:color="auto"/>
            <w:bottom w:val="none" w:sz="0" w:space="0" w:color="auto"/>
            <w:right w:val="none" w:sz="0" w:space="0" w:color="auto"/>
          </w:divBdr>
        </w:div>
        <w:div w:id="455873267">
          <w:marLeft w:val="0"/>
          <w:marRight w:val="0"/>
          <w:marTop w:val="0"/>
          <w:marBottom w:val="0"/>
          <w:divBdr>
            <w:top w:val="none" w:sz="0" w:space="0" w:color="auto"/>
            <w:left w:val="none" w:sz="0" w:space="0" w:color="auto"/>
            <w:bottom w:val="none" w:sz="0" w:space="0" w:color="auto"/>
            <w:right w:val="none" w:sz="0" w:space="0" w:color="auto"/>
          </w:divBdr>
        </w:div>
        <w:div w:id="280309970">
          <w:marLeft w:val="0"/>
          <w:marRight w:val="0"/>
          <w:marTop w:val="0"/>
          <w:marBottom w:val="0"/>
          <w:divBdr>
            <w:top w:val="none" w:sz="0" w:space="0" w:color="auto"/>
            <w:left w:val="none" w:sz="0" w:space="0" w:color="auto"/>
            <w:bottom w:val="none" w:sz="0" w:space="0" w:color="auto"/>
            <w:right w:val="none" w:sz="0" w:space="0" w:color="auto"/>
          </w:divBdr>
        </w:div>
      </w:divsChild>
    </w:div>
    <w:div w:id="557783921">
      <w:bodyDiv w:val="1"/>
      <w:marLeft w:val="0"/>
      <w:marRight w:val="0"/>
      <w:marTop w:val="0"/>
      <w:marBottom w:val="0"/>
      <w:divBdr>
        <w:top w:val="none" w:sz="0" w:space="0" w:color="auto"/>
        <w:left w:val="none" w:sz="0" w:space="0" w:color="auto"/>
        <w:bottom w:val="none" w:sz="0" w:space="0" w:color="auto"/>
        <w:right w:val="none" w:sz="0" w:space="0" w:color="auto"/>
      </w:divBdr>
      <w:divsChild>
        <w:div w:id="1551573425">
          <w:marLeft w:val="0"/>
          <w:marRight w:val="0"/>
          <w:marTop w:val="0"/>
          <w:marBottom w:val="0"/>
          <w:divBdr>
            <w:top w:val="none" w:sz="0" w:space="0" w:color="auto"/>
            <w:left w:val="none" w:sz="0" w:space="0" w:color="auto"/>
            <w:bottom w:val="none" w:sz="0" w:space="0" w:color="auto"/>
            <w:right w:val="none" w:sz="0" w:space="0" w:color="auto"/>
          </w:divBdr>
          <w:divsChild>
            <w:div w:id="489761454">
              <w:marLeft w:val="0"/>
              <w:marRight w:val="0"/>
              <w:marTop w:val="0"/>
              <w:marBottom w:val="0"/>
              <w:divBdr>
                <w:top w:val="none" w:sz="0" w:space="0" w:color="auto"/>
                <w:left w:val="none" w:sz="0" w:space="0" w:color="auto"/>
                <w:bottom w:val="none" w:sz="0" w:space="0" w:color="auto"/>
                <w:right w:val="none" w:sz="0" w:space="0" w:color="auto"/>
              </w:divBdr>
              <w:divsChild>
                <w:div w:id="1595555501">
                  <w:marLeft w:val="0"/>
                  <w:marRight w:val="0"/>
                  <w:marTop w:val="0"/>
                  <w:marBottom w:val="0"/>
                  <w:divBdr>
                    <w:top w:val="none" w:sz="0" w:space="0" w:color="auto"/>
                    <w:left w:val="none" w:sz="0" w:space="0" w:color="auto"/>
                    <w:bottom w:val="none" w:sz="0" w:space="0" w:color="auto"/>
                    <w:right w:val="none" w:sz="0" w:space="0" w:color="auto"/>
                  </w:divBdr>
                  <w:divsChild>
                    <w:div w:id="590359708">
                      <w:marLeft w:val="0"/>
                      <w:marRight w:val="0"/>
                      <w:marTop w:val="0"/>
                      <w:marBottom w:val="0"/>
                      <w:divBdr>
                        <w:top w:val="none" w:sz="0" w:space="0" w:color="auto"/>
                        <w:left w:val="none" w:sz="0" w:space="0" w:color="auto"/>
                        <w:bottom w:val="none" w:sz="0" w:space="0" w:color="auto"/>
                        <w:right w:val="none" w:sz="0" w:space="0" w:color="auto"/>
                      </w:divBdr>
                      <w:divsChild>
                        <w:div w:id="7474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462603">
      <w:bodyDiv w:val="1"/>
      <w:marLeft w:val="0"/>
      <w:marRight w:val="0"/>
      <w:marTop w:val="0"/>
      <w:marBottom w:val="0"/>
      <w:divBdr>
        <w:top w:val="none" w:sz="0" w:space="0" w:color="auto"/>
        <w:left w:val="none" w:sz="0" w:space="0" w:color="auto"/>
        <w:bottom w:val="none" w:sz="0" w:space="0" w:color="auto"/>
        <w:right w:val="none" w:sz="0" w:space="0" w:color="auto"/>
      </w:divBdr>
      <w:divsChild>
        <w:div w:id="784159050">
          <w:marLeft w:val="0"/>
          <w:marRight w:val="0"/>
          <w:marTop w:val="0"/>
          <w:marBottom w:val="0"/>
          <w:divBdr>
            <w:top w:val="none" w:sz="0" w:space="0" w:color="auto"/>
            <w:left w:val="none" w:sz="0" w:space="0" w:color="auto"/>
            <w:bottom w:val="none" w:sz="0" w:space="0" w:color="auto"/>
            <w:right w:val="none" w:sz="0" w:space="0" w:color="auto"/>
          </w:divBdr>
          <w:divsChild>
            <w:div w:id="734282207">
              <w:marLeft w:val="0"/>
              <w:marRight w:val="0"/>
              <w:marTop w:val="0"/>
              <w:marBottom w:val="0"/>
              <w:divBdr>
                <w:top w:val="none" w:sz="0" w:space="0" w:color="auto"/>
                <w:left w:val="none" w:sz="0" w:space="0" w:color="auto"/>
                <w:bottom w:val="none" w:sz="0" w:space="0" w:color="auto"/>
                <w:right w:val="none" w:sz="0" w:space="0" w:color="auto"/>
              </w:divBdr>
              <w:divsChild>
                <w:div w:id="422651137">
                  <w:marLeft w:val="0"/>
                  <w:marRight w:val="0"/>
                  <w:marTop w:val="0"/>
                  <w:marBottom w:val="0"/>
                  <w:divBdr>
                    <w:top w:val="none" w:sz="0" w:space="0" w:color="auto"/>
                    <w:left w:val="none" w:sz="0" w:space="0" w:color="auto"/>
                    <w:bottom w:val="none" w:sz="0" w:space="0" w:color="auto"/>
                    <w:right w:val="none" w:sz="0" w:space="0" w:color="auto"/>
                  </w:divBdr>
                  <w:divsChild>
                    <w:div w:id="1102920228">
                      <w:marLeft w:val="0"/>
                      <w:marRight w:val="0"/>
                      <w:marTop w:val="0"/>
                      <w:marBottom w:val="0"/>
                      <w:divBdr>
                        <w:top w:val="none" w:sz="0" w:space="0" w:color="auto"/>
                        <w:left w:val="none" w:sz="0" w:space="0" w:color="auto"/>
                        <w:bottom w:val="none" w:sz="0" w:space="0" w:color="auto"/>
                        <w:right w:val="none" w:sz="0" w:space="0" w:color="auto"/>
                      </w:divBdr>
                      <w:divsChild>
                        <w:div w:id="1221557178">
                          <w:marLeft w:val="0"/>
                          <w:marRight w:val="0"/>
                          <w:marTop w:val="0"/>
                          <w:marBottom w:val="0"/>
                          <w:divBdr>
                            <w:top w:val="none" w:sz="0" w:space="0" w:color="auto"/>
                            <w:left w:val="none" w:sz="0" w:space="0" w:color="auto"/>
                            <w:bottom w:val="none" w:sz="0" w:space="0" w:color="auto"/>
                            <w:right w:val="none" w:sz="0" w:space="0" w:color="auto"/>
                          </w:divBdr>
                          <w:divsChild>
                            <w:div w:id="749615754">
                              <w:marLeft w:val="0"/>
                              <w:marRight w:val="0"/>
                              <w:marTop w:val="0"/>
                              <w:marBottom w:val="0"/>
                              <w:divBdr>
                                <w:top w:val="none" w:sz="0" w:space="0" w:color="auto"/>
                                <w:left w:val="none" w:sz="0" w:space="0" w:color="auto"/>
                                <w:bottom w:val="none" w:sz="0" w:space="0" w:color="auto"/>
                                <w:right w:val="none" w:sz="0" w:space="0" w:color="auto"/>
                              </w:divBdr>
                              <w:divsChild>
                                <w:div w:id="21136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437077">
      <w:bodyDiv w:val="1"/>
      <w:marLeft w:val="0"/>
      <w:marRight w:val="0"/>
      <w:marTop w:val="0"/>
      <w:marBottom w:val="0"/>
      <w:divBdr>
        <w:top w:val="none" w:sz="0" w:space="0" w:color="auto"/>
        <w:left w:val="none" w:sz="0" w:space="0" w:color="auto"/>
        <w:bottom w:val="none" w:sz="0" w:space="0" w:color="auto"/>
        <w:right w:val="none" w:sz="0" w:space="0" w:color="auto"/>
      </w:divBdr>
      <w:divsChild>
        <w:div w:id="1550801090">
          <w:marLeft w:val="0"/>
          <w:marRight w:val="0"/>
          <w:marTop w:val="0"/>
          <w:marBottom w:val="0"/>
          <w:divBdr>
            <w:top w:val="none" w:sz="0" w:space="0" w:color="auto"/>
            <w:left w:val="none" w:sz="0" w:space="0" w:color="auto"/>
            <w:bottom w:val="none" w:sz="0" w:space="0" w:color="auto"/>
            <w:right w:val="none" w:sz="0" w:space="0" w:color="auto"/>
          </w:divBdr>
          <w:divsChild>
            <w:div w:id="119885875">
              <w:marLeft w:val="0"/>
              <w:marRight w:val="0"/>
              <w:marTop w:val="0"/>
              <w:marBottom w:val="0"/>
              <w:divBdr>
                <w:top w:val="none" w:sz="0" w:space="0" w:color="auto"/>
                <w:left w:val="none" w:sz="0" w:space="0" w:color="auto"/>
                <w:bottom w:val="none" w:sz="0" w:space="0" w:color="auto"/>
                <w:right w:val="none" w:sz="0" w:space="0" w:color="auto"/>
              </w:divBdr>
              <w:divsChild>
                <w:div w:id="731580917">
                  <w:marLeft w:val="0"/>
                  <w:marRight w:val="0"/>
                  <w:marTop w:val="0"/>
                  <w:marBottom w:val="0"/>
                  <w:divBdr>
                    <w:top w:val="none" w:sz="0" w:space="0" w:color="auto"/>
                    <w:left w:val="none" w:sz="0" w:space="0" w:color="auto"/>
                    <w:bottom w:val="none" w:sz="0" w:space="0" w:color="auto"/>
                    <w:right w:val="none" w:sz="0" w:space="0" w:color="auto"/>
                  </w:divBdr>
                  <w:divsChild>
                    <w:div w:id="1810398655">
                      <w:marLeft w:val="0"/>
                      <w:marRight w:val="0"/>
                      <w:marTop w:val="0"/>
                      <w:marBottom w:val="0"/>
                      <w:divBdr>
                        <w:top w:val="none" w:sz="0" w:space="0" w:color="auto"/>
                        <w:left w:val="none" w:sz="0" w:space="0" w:color="auto"/>
                        <w:bottom w:val="none" w:sz="0" w:space="0" w:color="auto"/>
                        <w:right w:val="none" w:sz="0" w:space="0" w:color="auto"/>
                      </w:divBdr>
                      <w:divsChild>
                        <w:div w:id="362290518">
                          <w:marLeft w:val="0"/>
                          <w:marRight w:val="0"/>
                          <w:marTop w:val="0"/>
                          <w:marBottom w:val="0"/>
                          <w:divBdr>
                            <w:top w:val="none" w:sz="0" w:space="0" w:color="auto"/>
                            <w:left w:val="none" w:sz="0" w:space="0" w:color="auto"/>
                            <w:bottom w:val="none" w:sz="0" w:space="0" w:color="auto"/>
                            <w:right w:val="none" w:sz="0" w:space="0" w:color="auto"/>
                          </w:divBdr>
                          <w:divsChild>
                            <w:div w:id="1793402686">
                              <w:marLeft w:val="0"/>
                              <w:marRight w:val="0"/>
                              <w:marTop w:val="0"/>
                              <w:marBottom w:val="0"/>
                              <w:divBdr>
                                <w:top w:val="none" w:sz="0" w:space="0" w:color="auto"/>
                                <w:left w:val="none" w:sz="0" w:space="0" w:color="auto"/>
                                <w:bottom w:val="none" w:sz="0" w:space="0" w:color="auto"/>
                                <w:right w:val="none" w:sz="0" w:space="0" w:color="auto"/>
                              </w:divBdr>
                              <w:divsChild>
                                <w:div w:id="465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96427">
      <w:bodyDiv w:val="1"/>
      <w:marLeft w:val="0"/>
      <w:marRight w:val="0"/>
      <w:marTop w:val="0"/>
      <w:marBottom w:val="0"/>
      <w:divBdr>
        <w:top w:val="none" w:sz="0" w:space="0" w:color="auto"/>
        <w:left w:val="none" w:sz="0" w:space="0" w:color="auto"/>
        <w:bottom w:val="none" w:sz="0" w:space="0" w:color="auto"/>
        <w:right w:val="none" w:sz="0" w:space="0" w:color="auto"/>
      </w:divBdr>
      <w:divsChild>
        <w:div w:id="514466576">
          <w:marLeft w:val="0"/>
          <w:marRight w:val="0"/>
          <w:marTop w:val="0"/>
          <w:marBottom w:val="0"/>
          <w:divBdr>
            <w:top w:val="none" w:sz="0" w:space="0" w:color="auto"/>
            <w:left w:val="none" w:sz="0" w:space="0" w:color="auto"/>
            <w:bottom w:val="none" w:sz="0" w:space="0" w:color="auto"/>
            <w:right w:val="none" w:sz="0" w:space="0" w:color="auto"/>
          </w:divBdr>
          <w:divsChild>
            <w:div w:id="1350334089">
              <w:marLeft w:val="0"/>
              <w:marRight w:val="0"/>
              <w:marTop w:val="0"/>
              <w:marBottom w:val="0"/>
              <w:divBdr>
                <w:top w:val="none" w:sz="0" w:space="0" w:color="auto"/>
                <w:left w:val="none" w:sz="0" w:space="0" w:color="auto"/>
                <w:bottom w:val="none" w:sz="0" w:space="0" w:color="auto"/>
                <w:right w:val="none" w:sz="0" w:space="0" w:color="auto"/>
              </w:divBdr>
              <w:divsChild>
                <w:div w:id="194003341">
                  <w:marLeft w:val="0"/>
                  <w:marRight w:val="0"/>
                  <w:marTop w:val="182"/>
                  <w:marBottom w:val="182"/>
                  <w:divBdr>
                    <w:top w:val="none" w:sz="0" w:space="0" w:color="auto"/>
                    <w:left w:val="none" w:sz="0" w:space="0" w:color="auto"/>
                    <w:bottom w:val="none" w:sz="0" w:space="0" w:color="auto"/>
                    <w:right w:val="none" w:sz="0" w:space="0" w:color="auto"/>
                  </w:divBdr>
                  <w:divsChild>
                    <w:div w:id="636450324">
                      <w:marLeft w:val="0"/>
                      <w:marRight w:val="0"/>
                      <w:marTop w:val="0"/>
                      <w:marBottom w:val="0"/>
                      <w:divBdr>
                        <w:top w:val="none" w:sz="0" w:space="0" w:color="auto"/>
                        <w:left w:val="none" w:sz="0" w:space="0" w:color="auto"/>
                        <w:bottom w:val="none" w:sz="0" w:space="0" w:color="auto"/>
                        <w:right w:val="none" w:sz="0" w:space="0" w:color="auto"/>
                      </w:divBdr>
                      <w:divsChild>
                        <w:div w:id="1195191772">
                          <w:marLeft w:val="0"/>
                          <w:marRight w:val="0"/>
                          <w:marTop w:val="0"/>
                          <w:marBottom w:val="0"/>
                          <w:divBdr>
                            <w:top w:val="none" w:sz="0" w:space="0" w:color="auto"/>
                            <w:left w:val="none" w:sz="0" w:space="0" w:color="auto"/>
                            <w:bottom w:val="none" w:sz="0" w:space="0" w:color="auto"/>
                            <w:right w:val="none" w:sz="0" w:space="0" w:color="auto"/>
                          </w:divBdr>
                        </w:div>
                        <w:div w:id="1648435789">
                          <w:marLeft w:val="0"/>
                          <w:marRight w:val="0"/>
                          <w:marTop w:val="0"/>
                          <w:marBottom w:val="0"/>
                          <w:divBdr>
                            <w:top w:val="none" w:sz="0" w:space="0" w:color="auto"/>
                            <w:left w:val="none" w:sz="0" w:space="0" w:color="auto"/>
                            <w:bottom w:val="none" w:sz="0" w:space="0" w:color="auto"/>
                            <w:right w:val="none" w:sz="0" w:space="0" w:color="auto"/>
                          </w:divBdr>
                        </w:div>
                        <w:div w:id="1806699924">
                          <w:marLeft w:val="0"/>
                          <w:marRight w:val="0"/>
                          <w:marTop w:val="0"/>
                          <w:marBottom w:val="0"/>
                          <w:divBdr>
                            <w:top w:val="none" w:sz="0" w:space="0" w:color="auto"/>
                            <w:left w:val="none" w:sz="0" w:space="0" w:color="auto"/>
                            <w:bottom w:val="none" w:sz="0" w:space="0" w:color="auto"/>
                            <w:right w:val="none" w:sz="0" w:space="0" w:color="auto"/>
                          </w:divBdr>
                        </w:div>
                        <w:div w:id="1835951891">
                          <w:marLeft w:val="0"/>
                          <w:marRight w:val="0"/>
                          <w:marTop w:val="0"/>
                          <w:marBottom w:val="0"/>
                          <w:divBdr>
                            <w:top w:val="none" w:sz="0" w:space="0" w:color="auto"/>
                            <w:left w:val="none" w:sz="0" w:space="0" w:color="auto"/>
                            <w:bottom w:val="none" w:sz="0" w:space="0" w:color="auto"/>
                            <w:right w:val="none" w:sz="0" w:space="0" w:color="auto"/>
                          </w:divBdr>
                        </w:div>
                        <w:div w:id="16606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85807">
      <w:bodyDiv w:val="1"/>
      <w:marLeft w:val="0"/>
      <w:marRight w:val="0"/>
      <w:marTop w:val="0"/>
      <w:marBottom w:val="0"/>
      <w:divBdr>
        <w:top w:val="none" w:sz="0" w:space="0" w:color="auto"/>
        <w:left w:val="none" w:sz="0" w:space="0" w:color="auto"/>
        <w:bottom w:val="none" w:sz="0" w:space="0" w:color="auto"/>
        <w:right w:val="none" w:sz="0" w:space="0" w:color="auto"/>
      </w:divBdr>
      <w:divsChild>
        <w:div w:id="1882395545">
          <w:marLeft w:val="0"/>
          <w:marRight w:val="0"/>
          <w:marTop w:val="0"/>
          <w:marBottom w:val="0"/>
          <w:divBdr>
            <w:top w:val="none" w:sz="0" w:space="0" w:color="auto"/>
            <w:left w:val="none" w:sz="0" w:space="0" w:color="auto"/>
            <w:bottom w:val="none" w:sz="0" w:space="0" w:color="auto"/>
            <w:right w:val="none" w:sz="0" w:space="0" w:color="auto"/>
          </w:divBdr>
          <w:divsChild>
            <w:div w:id="1341467694">
              <w:marLeft w:val="0"/>
              <w:marRight w:val="0"/>
              <w:marTop w:val="300"/>
              <w:marBottom w:val="0"/>
              <w:divBdr>
                <w:top w:val="none" w:sz="0" w:space="0" w:color="auto"/>
                <w:left w:val="none" w:sz="0" w:space="0" w:color="auto"/>
                <w:bottom w:val="none" w:sz="0" w:space="0" w:color="auto"/>
                <w:right w:val="none" w:sz="0" w:space="0" w:color="auto"/>
              </w:divBdr>
              <w:divsChild>
                <w:div w:id="531578910">
                  <w:marLeft w:val="150"/>
                  <w:marRight w:val="150"/>
                  <w:marTop w:val="0"/>
                  <w:marBottom w:val="0"/>
                  <w:divBdr>
                    <w:top w:val="none" w:sz="0" w:space="0" w:color="auto"/>
                    <w:left w:val="none" w:sz="0" w:space="0" w:color="auto"/>
                    <w:bottom w:val="none" w:sz="0" w:space="0" w:color="auto"/>
                    <w:right w:val="none" w:sz="0" w:space="0" w:color="auto"/>
                  </w:divBdr>
                  <w:divsChild>
                    <w:div w:id="1281575098">
                      <w:marLeft w:val="0"/>
                      <w:marRight w:val="0"/>
                      <w:marTop w:val="0"/>
                      <w:marBottom w:val="210"/>
                      <w:divBdr>
                        <w:top w:val="single" w:sz="6" w:space="0" w:color="E6E6E6"/>
                        <w:left w:val="single" w:sz="6" w:space="0" w:color="E6E6E6"/>
                        <w:bottom w:val="single" w:sz="6" w:space="0" w:color="E6E6E6"/>
                        <w:right w:val="single" w:sz="6" w:space="0" w:color="E6E6E6"/>
                      </w:divBdr>
                      <w:divsChild>
                        <w:div w:id="17129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549849">
      <w:bodyDiv w:val="1"/>
      <w:marLeft w:val="0"/>
      <w:marRight w:val="0"/>
      <w:marTop w:val="0"/>
      <w:marBottom w:val="0"/>
      <w:divBdr>
        <w:top w:val="none" w:sz="0" w:space="0" w:color="auto"/>
        <w:left w:val="none" w:sz="0" w:space="0" w:color="auto"/>
        <w:bottom w:val="none" w:sz="0" w:space="0" w:color="auto"/>
        <w:right w:val="none" w:sz="0" w:space="0" w:color="auto"/>
      </w:divBdr>
    </w:div>
    <w:div w:id="2017534617">
      <w:bodyDiv w:val="1"/>
      <w:marLeft w:val="0"/>
      <w:marRight w:val="0"/>
      <w:marTop w:val="0"/>
      <w:marBottom w:val="0"/>
      <w:divBdr>
        <w:top w:val="none" w:sz="0" w:space="0" w:color="auto"/>
        <w:left w:val="none" w:sz="0" w:space="0" w:color="auto"/>
        <w:bottom w:val="none" w:sz="0" w:space="0" w:color="auto"/>
        <w:right w:val="none" w:sz="0" w:space="0" w:color="auto"/>
      </w:divBdr>
      <w:divsChild>
        <w:div w:id="1765760086">
          <w:marLeft w:val="0"/>
          <w:marRight w:val="0"/>
          <w:marTop w:val="0"/>
          <w:marBottom w:val="0"/>
          <w:divBdr>
            <w:top w:val="none" w:sz="0" w:space="0" w:color="auto"/>
            <w:left w:val="none" w:sz="0" w:space="0" w:color="auto"/>
            <w:bottom w:val="none" w:sz="0" w:space="0" w:color="auto"/>
            <w:right w:val="none" w:sz="0" w:space="0" w:color="auto"/>
          </w:divBdr>
          <w:divsChild>
            <w:div w:id="1240407922">
              <w:marLeft w:val="0"/>
              <w:marRight w:val="0"/>
              <w:marTop w:val="300"/>
              <w:marBottom w:val="0"/>
              <w:divBdr>
                <w:top w:val="none" w:sz="0" w:space="0" w:color="auto"/>
                <w:left w:val="none" w:sz="0" w:space="0" w:color="auto"/>
                <w:bottom w:val="none" w:sz="0" w:space="0" w:color="auto"/>
                <w:right w:val="none" w:sz="0" w:space="0" w:color="auto"/>
              </w:divBdr>
              <w:divsChild>
                <w:div w:id="234243712">
                  <w:marLeft w:val="150"/>
                  <w:marRight w:val="150"/>
                  <w:marTop w:val="0"/>
                  <w:marBottom w:val="0"/>
                  <w:divBdr>
                    <w:top w:val="none" w:sz="0" w:space="0" w:color="auto"/>
                    <w:left w:val="none" w:sz="0" w:space="0" w:color="auto"/>
                    <w:bottom w:val="none" w:sz="0" w:space="0" w:color="auto"/>
                    <w:right w:val="none" w:sz="0" w:space="0" w:color="auto"/>
                  </w:divBdr>
                  <w:divsChild>
                    <w:div w:id="589120337">
                      <w:marLeft w:val="0"/>
                      <w:marRight w:val="0"/>
                      <w:marTop w:val="0"/>
                      <w:marBottom w:val="210"/>
                      <w:divBdr>
                        <w:top w:val="single" w:sz="6" w:space="0" w:color="E6E6E6"/>
                        <w:left w:val="single" w:sz="6" w:space="0" w:color="E6E6E6"/>
                        <w:bottom w:val="single" w:sz="6" w:space="0" w:color="E6E6E6"/>
                        <w:right w:val="single" w:sz="6" w:space="0" w:color="E6E6E6"/>
                      </w:divBdr>
                      <w:divsChild>
                        <w:div w:id="15042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Percentage</a:t>
            </a:r>
            <a:r>
              <a:rPr lang="en-GB" baseline="0"/>
              <a:t> of adolescent participants not achieving RNI for micronutrients </a:t>
            </a:r>
            <a:endParaRPr lang="en-GB"/>
          </a:p>
        </c:rich>
      </c:tx>
      <c:layout>
        <c:manualLayout>
          <c:xMode val="edge"/>
          <c:yMode val="edge"/>
          <c:x val="0.14582213691618681"/>
          <c:y val="3.5214072319672191E-2"/>
        </c:manualLayout>
      </c:layout>
      <c:overlay val="0"/>
      <c:spPr>
        <a:noFill/>
        <a:ln>
          <a:noFill/>
        </a:ln>
        <a:effectLst/>
      </c:spPr>
    </c:title>
    <c:autoTitleDeleted val="0"/>
    <c:plotArea>
      <c:layout>
        <c:manualLayout>
          <c:layoutTarget val="inner"/>
          <c:xMode val="edge"/>
          <c:yMode val="edge"/>
          <c:x val="9.9065294381388488E-2"/>
          <c:y val="0.27095249906482316"/>
          <c:w val="0.85948665246018929"/>
          <c:h val="0.52401438407890377"/>
        </c:manualLayout>
      </c:layout>
      <c:barChart>
        <c:barDir val="col"/>
        <c:grouping val="clustered"/>
        <c:varyColors val="0"/>
        <c:ser>
          <c:idx val="0"/>
          <c:order val="0"/>
          <c:tx>
            <c:strRef>
              <c:f>'Amended figures for reviewers'!$C$3</c:f>
              <c:strCache>
                <c:ptCount val="1"/>
                <c:pt idx="0">
                  <c:v>Adolescent food allergy group</c:v>
                </c:pt>
              </c:strCache>
            </c:strRef>
          </c:tx>
          <c:spPr>
            <a:solidFill>
              <a:schemeClr val="dk1">
                <a:tint val="88500"/>
              </a:schemeClr>
            </a:solidFill>
            <a:ln>
              <a:noFill/>
            </a:ln>
            <a:effectLst/>
          </c:spPr>
          <c:invertIfNegative val="0"/>
          <c:cat>
            <c:strRef>
              <c:f>'Amended figures for reviewers'!$B$4:$B$19</c:f>
              <c:strCache>
                <c:ptCount val="16"/>
                <c:pt idx="0">
                  <c:v>Vitamin A</c:v>
                </c:pt>
                <c:pt idx="1">
                  <c:v>Vitamin C</c:v>
                </c:pt>
                <c:pt idx="2">
                  <c:v>Thiamine</c:v>
                </c:pt>
                <c:pt idx="3">
                  <c:v>Riboflavin</c:v>
                </c:pt>
                <c:pt idx="4">
                  <c:v>Niacin</c:v>
                </c:pt>
                <c:pt idx="5">
                  <c:v>Vitamin B6</c:v>
                </c:pt>
                <c:pt idx="6">
                  <c:v>Vitamin B12</c:v>
                </c:pt>
                <c:pt idx="7">
                  <c:v>Folate</c:v>
                </c:pt>
                <c:pt idx="8">
                  <c:v>Potassium</c:v>
                </c:pt>
                <c:pt idx="9">
                  <c:v>Calcium</c:v>
                </c:pt>
                <c:pt idx="10">
                  <c:v>Magnesium</c:v>
                </c:pt>
                <c:pt idx="11">
                  <c:v>Phosphorous</c:v>
                </c:pt>
                <c:pt idx="12">
                  <c:v>Iron</c:v>
                </c:pt>
                <c:pt idx="13">
                  <c:v>Zinc</c:v>
                </c:pt>
                <c:pt idx="14">
                  <c:v>Selenium</c:v>
                </c:pt>
                <c:pt idx="15">
                  <c:v>Iodine</c:v>
                </c:pt>
              </c:strCache>
            </c:strRef>
          </c:cat>
          <c:val>
            <c:numRef>
              <c:f>'Amended figures for reviewers'!$C$4:$C$19</c:f>
              <c:numCache>
                <c:formatCode>General</c:formatCode>
                <c:ptCount val="16"/>
                <c:pt idx="0">
                  <c:v>29.2</c:v>
                </c:pt>
                <c:pt idx="1">
                  <c:v>4.2</c:v>
                </c:pt>
                <c:pt idx="2">
                  <c:v>6.3</c:v>
                </c:pt>
                <c:pt idx="3">
                  <c:v>27.1</c:v>
                </c:pt>
                <c:pt idx="4">
                  <c:v>0</c:v>
                </c:pt>
                <c:pt idx="5">
                  <c:v>6.3</c:v>
                </c:pt>
                <c:pt idx="6">
                  <c:v>4.2</c:v>
                </c:pt>
                <c:pt idx="7">
                  <c:v>33.299999999999997</c:v>
                </c:pt>
                <c:pt idx="8">
                  <c:v>85.4</c:v>
                </c:pt>
                <c:pt idx="9">
                  <c:v>56.3</c:v>
                </c:pt>
                <c:pt idx="10">
                  <c:v>81.3</c:v>
                </c:pt>
                <c:pt idx="11">
                  <c:v>0</c:v>
                </c:pt>
                <c:pt idx="12">
                  <c:v>54.2</c:v>
                </c:pt>
                <c:pt idx="13">
                  <c:v>58.3</c:v>
                </c:pt>
                <c:pt idx="14">
                  <c:v>75</c:v>
                </c:pt>
                <c:pt idx="15">
                  <c:v>58.3</c:v>
                </c:pt>
              </c:numCache>
            </c:numRef>
          </c:val>
        </c:ser>
        <c:ser>
          <c:idx val="1"/>
          <c:order val="1"/>
          <c:tx>
            <c:strRef>
              <c:f>'Amended figures for reviewers'!$D$3</c:f>
              <c:strCache>
                <c:ptCount val="1"/>
                <c:pt idx="0">
                  <c:v>Adolescent control group</c:v>
                </c:pt>
              </c:strCache>
            </c:strRef>
          </c:tx>
          <c:spPr>
            <a:solidFill>
              <a:schemeClr val="dk1">
                <a:tint val="55000"/>
              </a:schemeClr>
            </a:solidFill>
            <a:ln>
              <a:noFill/>
            </a:ln>
            <a:effectLst/>
          </c:spPr>
          <c:invertIfNegative val="0"/>
          <c:cat>
            <c:strRef>
              <c:f>'Amended figures for reviewers'!$B$4:$B$19</c:f>
              <c:strCache>
                <c:ptCount val="16"/>
                <c:pt idx="0">
                  <c:v>Vitamin A</c:v>
                </c:pt>
                <c:pt idx="1">
                  <c:v>Vitamin C</c:v>
                </c:pt>
                <c:pt idx="2">
                  <c:v>Thiamine</c:v>
                </c:pt>
                <c:pt idx="3">
                  <c:v>Riboflavin</c:v>
                </c:pt>
                <c:pt idx="4">
                  <c:v>Niacin</c:v>
                </c:pt>
                <c:pt idx="5">
                  <c:v>Vitamin B6</c:v>
                </c:pt>
                <c:pt idx="6">
                  <c:v>Vitamin B12</c:v>
                </c:pt>
                <c:pt idx="7">
                  <c:v>Folate</c:v>
                </c:pt>
                <c:pt idx="8">
                  <c:v>Potassium</c:v>
                </c:pt>
                <c:pt idx="9">
                  <c:v>Calcium</c:v>
                </c:pt>
                <c:pt idx="10">
                  <c:v>Magnesium</c:v>
                </c:pt>
                <c:pt idx="11">
                  <c:v>Phosphorous</c:v>
                </c:pt>
                <c:pt idx="12">
                  <c:v>Iron</c:v>
                </c:pt>
                <c:pt idx="13">
                  <c:v>Zinc</c:v>
                </c:pt>
                <c:pt idx="14">
                  <c:v>Selenium</c:v>
                </c:pt>
                <c:pt idx="15">
                  <c:v>Iodine</c:v>
                </c:pt>
              </c:strCache>
            </c:strRef>
          </c:cat>
          <c:val>
            <c:numRef>
              <c:f>'Amended figures for reviewers'!$D$4:$D$19</c:f>
              <c:numCache>
                <c:formatCode>General</c:formatCode>
                <c:ptCount val="16"/>
                <c:pt idx="0">
                  <c:v>36.4</c:v>
                </c:pt>
                <c:pt idx="1">
                  <c:v>6.1</c:v>
                </c:pt>
                <c:pt idx="2">
                  <c:v>6.3</c:v>
                </c:pt>
                <c:pt idx="3">
                  <c:v>27.3</c:v>
                </c:pt>
                <c:pt idx="4">
                  <c:v>9.1</c:v>
                </c:pt>
                <c:pt idx="5">
                  <c:v>15.2</c:v>
                </c:pt>
                <c:pt idx="6">
                  <c:v>3</c:v>
                </c:pt>
                <c:pt idx="7">
                  <c:v>27.3</c:v>
                </c:pt>
                <c:pt idx="8">
                  <c:v>75.8</c:v>
                </c:pt>
                <c:pt idx="9">
                  <c:v>36.4</c:v>
                </c:pt>
                <c:pt idx="10">
                  <c:v>63.6</c:v>
                </c:pt>
                <c:pt idx="11">
                  <c:v>0</c:v>
                </c:pt>
                <c:pt idx="12">
                  <c:v>69.7</c:v>
                </c:pt>
                <c:pt idx="13">
                  <c:v>42.4</c:v>
                </c:pt>
                <c:pt idx="14">
                  <c:v>87.9</c:v>
                </c:pt>
                <c:pt idx="15">
                  <c:v>51.5</c:v>
                </c:pt>
              </c:numCache>
            </c:numRef>
          </c:val>
        </c:ser>
        <c:dLbls>
          <c:showLegendKey val="0"/>
          <c:showVal val="0"/>
          <c:showCatName val="0"/>
          <c:showSerName val="0"/>
          <c:showPercent val="0"/>
          <c:showBubbleSize val="0"/>
        </c:dLbls>
        <c:gapWidth val="219"/>
        <c:overlap val="-27"/>
        <c:axId val="73480448"/>
        <c:axId val="90079616"/>
      </c:barChart>
      <c:catAx>
        <c:axId val="7348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Micronutrient</a:t>
                </a:r>
              </a:p>
            </c:rich>
          </c:tx>
          <c:layout>
            <c:manualLayout>
              <c:xMode val="edge"/>
              <c:yMode val="edge"/>
              <c:x val="0.44812388854464208"/>
              <c:y val="0.9219716797087453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79616"/>
        <c:crosses val="autoZero"/>
        <c:auto val="1"/>
        <c:lblAlgn val="ctr"/>
        <c:lblOffset val="100"/>
        <c:noMultiLvlLbl val="0"/>
      </c:catAx>
      <c:valAx>
        <c:axId val="90079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r>
                  <a:rPr lang="en-GB" baseline="0"/>
                  <a:t> of participants</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80448"/>
        <c:crosses val="autoZero"/>
        <c:crossBetween val="between"/>
      </c:valAx>
      <c:spPr>
        <a:noFill/>
        <a:ln>
          <a:noFill/>
        </a:ln>
        <a:effectLst/>
      </c:spPr>
    </c:plotArea>
    <c:legend>
      <c:legendPos val="t"/>
      <c:layout>
        <c:manualLayout>
          <c:xMode val="edge"/>
          <c:yMode val="edge"/>
          <c:x val="0.16578052503513835"/>
          <c:y val="0.17024403326910609"/>
          <c:w val="0.68253117112760142"/>
          <c:h val="5.32968262731464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Percentage</a:t>
            </a:r>
            <a:r>
              <a:rPr lang="en-GB" baseline="0"/>
              <a:t> of adult participants not achieving RNI for micronutrients</a:t>
            </a:r>
            <a:endParaRPr lang="en-GB"/>
          </a:p>
        </c:rich>
      </c:tx>
      <c:layout>
        <c:manualLayout>
          <c:xMode val="edge"/>
          <c:yMode val="edge"/>
          <c:x val="0.10627981947130884"/>
          <c:y val="4.6242757728730516E-2"/>
        </c:manualLayout>
      </c:layout>
      <c:overlay val="0"/>
      <c:spPr>
        <a:noFill/>
        <a:ln>
          <a:noFill/>
        </a:ln>
        <a:effectLst/>
      </c:spPr>
    </c:title>
    <c:autoTitleDeleted val="0"/>
    <c:plotArea>
      <c:layout>
        <c:manualLayout>
          <c:layoutTarget val="inner"/>
          <c:xMode val="edge"/>
          <c:yMode val="edge"/>
          <c:x val="0.15162065367096275"/>
          <c:y val="0.23325332486641789"/>
          <c:w val="0.83528050086856387"/>
          <c:h val="0.5426659228986368"/>
        </c:manualLayout>
      </c:layout>
      <c:barChart>
        <c:barDir val="col"/>
        <c:grouping val="clustered"/>
        <c:varyColors val="0"/>
        <c:ser>
          <c:idx val="0"/>
          <c:order val="0"/>
          <c:tx>
            <c:strRef>
              <c:f>'[Figures for Isolde paper.xlsx]Amended figures for reviewers'!$J$3</c:f>
              <c:strCache>
                <c:ptCount val="1"/>
                <c:pt idx="0">
                  <c:v>Adult food allergy group</c:v>
                </c:pt>
              </c:strCache>
            </c:strRef>
          </c:tx>
          <c:spPr>
            <a:solidFill>
              <a:schemeClr val="dk1">
                <a:tint val="88500"/>
              </a:schemeClr>
            </a:solidFill>
            <a:ln>
              <a:noFill/>
            </a:ln>
            <a:effectLst/>
          </c:spPr>
          <c:invertIfNegative val="0"/>
          <c:cat>
            <c:strRef>
              <c:f>'[Figures for Isolde paper.xlsx]Amended figures for reviewers'!$I$4:$I$19</c:f>
              <c:strCache>
                <c:ptCount val="16"/>
                <c:pt idx="0">
                  <c:v>Vitamin A</c:v>
                </c:pt>
                <c:pt idx="1">
                  <c:v>Vitamin C</c:v>
                </c:pt>
                <c:pt idx="2">
                  <c:v>Thiamine</c:v>
                </c:pt>
                <c:pt idx="3">
                  <c:v>Riboflavin</c:v>
                </c:pt>
                <c:pt idx="4">
                  <c:v>Niacin</c:v>
                </c:pt>
                <c:pt idx="5">
                  <c:v>Vitamin B6</c:v>
                </c:pt>
                <c:pt idx="6">
                  <c:v>Vitamin B12</c:v>
                </c:pt>
                <c:pt idx="7">
                  <c:v>Folate</c:v>
                </c:pt>
                <c:pt idx="8">
                  <c:v>Potassium</c:v>
                </c:pt>
                <c:pt idx="9">
                  <c:v>Calcium</c:v>
                </c:pt>
                <c:pt idx="10">
                  <c:v>Magnesium</c:v>
                </c:pt>
                <c:pt idx="11">
                  <c:v>Phosphorous</c:v>
                </c:pt>
                <c:pt idx="12">
                  <c:v>Iron</c:v>
                </c:pt>
                <c:pt idx="13">
                  <c:v>Zinc</c:v>
                </c:pt>
                <c:pt idx="14">
                  <c:v>Selenium</c:v>
                </c:pt>
                <c:pt idx="15">
                  <c:v>Iodine</c:v>
                </c:pt>
              </c:strCache>
            </c:strRef>
          </c:cat>
          <c:val>
            <c:numRef>
              <c:f>'[Figures for Isolde paper.xlsx]Amended figures for reviewers'!$J$4:$J$19</c:f>
              <c:numCache>
                <c:formatCode>General</c:formatCode>
                <c:ptCount val="16"/>
                <c:pt idx="0">
                  <c:v>26.1</c:v>
                </c:pt>
                <c:pt idx="1">
                  <c:v>17.399999999999999</c:v>
                </c:pt>
                <c:pt idx="2">
                  <c:v>0</c:v>
                </c:pt>
                <c:pt idx="3">
                  <c:v>8.6999999999999993</c:v>
                </c:pt>
                <c:pt idx="4">
                  <c:v>4.3</c:v>
                </c:pt>
                <c:pt idx="5">
                  <c:v>4.3</c:v>
                </c:pt>
                <c:pt idx="6">
                  <c:v>4.3</c:v>
                </c:pt>
                <c:pt idx="7">
                  <c:v>8.6999999999999993</c:v>
                </c:pt>
                <c:pt idx="8">
                  <c:v>73.900000000000006</c:v>
                </c:pt>
                <c:pt idx="9">
                  <c:v>26.1</c:v>
                </c:pt>
                <c:pt idx="10">
                  <c:v>34.799999999999997</c:v>
                </c:pt>
                <c:pt idx="11">
                  <c:v>0</c:v>
                </c:pt>
                <c:pt idx="12">
                  <c:v>39.1</c:v>
                </c:pt>
                <c:pt idx="13">
                  <c:v>8.6999999999999993</c:v>
                </c:pt>
                <c:pt idx="14">
                  <c:v>69.599999999999994</c:v>
                </c:pt>
                <c:pt idx="15">
                  <c:v>52.2</c:v>
                </c:pt>
              </c:numCache>
            </c:numRef>
          </c:val>
        </c:ser>
        <c:ser>
          <c:idx val="1"/>
          <c:order val="1"/>
          <c:tx>
            <c:strRef>
              <c:f>'[Figures for Isolde paper.xlsx]Amended figures for reviewers'!$K$3</c:f>
              <c:strCache>
                <c:ptCount val="1"/>
                <c:pt idx="0">
                  <c:v>Adult control group</c:v>
                </c:pt>
              </c:strCache>
            </c:strRef>
          </c:tx>
          <c:spPr>
            <a:solidFill>
              <a:schemeClr val="dk1">
                <a:tint val="55000"/>
              </a:schemeClr>
            </a:solidFill>
            <a:ln>
              <a:noFill/>
            </a:ln>
            <a:effectLst/>
          </c:spPr>
          <c:invertIfNegative val="0"/>
          <c:cat>
            <c:strRef>
              <c:f>'[Figures for Isolde paper.xlsx]Amended figures for reviewers'!$I$4:$I$19</c:f>
              <c:strCache>
                <c:ptCount val="16"/>
                <c:pt idx="0">
                  <c:v>Vitamin A</c:v>
                </c:pt>
                <c:pt idx="1">
                  <c:v>Vitamin C</c:v>
                </c:pt>
                <c:pt idx="2">
                  <c:v>Thiamine</c:v>
                </c:pt>
                <c:pt idx="3">
                  <c:v>Riboflavin</c:v>
                </c:pt>
                <c:pt idx="4">
                  <c:v>Niacin</c:v>
                </c:pt>
                <c:pt idx="5">
                  <c:v>Vitamin B6</c:v>
                </c:pt>
                <c:pt idx="6">
                  <c:v>Vitamin B12</c:v>
                </c:pt>
                <c:pt idx="7">
                  <c:v>Folate</c:v>
                </c:pt>
                <c:pt idx="8">
                  <c:v>Potassium</c:v>
                </c:pt>
                <c:pt idx="9">
                  <c:v>Calcium</c:v>
                </c:pt>
                <c:pt idx="10">
                  <c:v>Magnesium</c:v>
                </c:pt>
                <c:pt idx="11">
                  <c:v>Phosphorous</c:v>
                </c:pt>
                <c:pt idx="12">
                  <c:v>Iron</c:v>
                </c:pt>
                <c:pt idx="13">
                  <c:v>Zinc</c:v>
                </c:pt>
                <c:pt idx="14">
                  <c:v>Selenium</c:v>
                </c:pt>
                <c:pt idx="15">
                  <c:v>Iodine</c:v>
                </c:pt>
              </c:strCache>
            </c:strRef>
          </c:cat>
          <c:val>
            <c:numRef>
              <c:f>'[Figures for Isolde paper.xlsx]Amended figures for reviewers'!$K$4:$K$19</c:f>
              <c:numCache>
                <c:formatCode>General</c:formatCode>
                <c:ptCount val="16"/>
                <c:pt idx="0">
                  <c:v>23.4</c:v>
                </c:pt>
                <c:pt idx="1">
                  <c:v>17.399999999999999</c:v>
                </c:pt>
                <c:pt idx="2">
                  <c:v>2.1</c:v>
                </c:pt>
                <c:pt idx="3">
                  <c:v>10.6</c:v>
                </c:pt>
                <c:pt idx="4">
                  <c:v>0</c:v>
                </c:pt>
                <c:pt idx="5">
                  <c:v>4.3</c:v>
                </c:pt>
                <c:pt idx="6">
                  <c:v>4.3</c:v>
                </c:pt>
                <c:pt idx="7">
                  <c:v>31.9</c:v>
                </c:pt>
                <c:pt idx="8">
                  <c:v>68.099999999999994</c:v>
                </c:pt>
                <c:pt idx="9">
                  <c:v>17</c:v>
                </c:pt>
                <c:pt idx="10">
                  <c:v>42.6</c:v>
                </c:pt>
                <c:pt idx="11">
                  <c:v>0</c:v>
                </c:pt>
                <c:pt idx="12">
                  <c:v>63.8</c:v>
                </c:pt>
                <c:pt idx="13">
                  <c:v>14.9</c:v>
                </c:pt>
                <c:pt idx="14">
                  <c:v>91.5</c:v>
                </c:pt>
                <c:pt idx="15">
                  <c:v>46.8</c:v>
                </c:pt>
              </c:numCache>
            </c:numRef>
          </c:val>
        </c:ser>
        <c:dLbls>
          <c:showLegendKey val="0"/>
          <c:showVal val="0"/>
          <c:showCatName val="0"/>
          <c:showSerName val="0"/>
          <c:showPercent val="0"/>
          <c:showBubbleSize val="0"/>
        </c:dLbls>
        <c:gapWidth val="219"/>
        <c:overlap val="-27"/>
        <c:axId val="90027520"/>
        <c:axId val="90029440"/>
      </c:barChart>
      <c:catAx>
        <c:axId val="9002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Micronutrient</a:t>
                </a:r>
              </a:p>
            </c:rich>
          </c:tx>
          <c:layout>
            <c:manualLayout>
              <c:xMode val="edge"/>
              <c:yMode val="edge"/>
              <c:x val="0.47000775439946507"/>
              <c:y val="0.917457284314553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29440"/>
        <c:crosses val="autoZero"/>
        <c:auto val="1"/>
        <c:lblAlgn val="ctr"/>
        <c:lblOffset val="100"/>
        <c:noMultiLvlLbl val="0"/>
      </c:catAx>
      <c:valAx>
        <c:axId val="9002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r>
                  <a:rPr lang="en-GB" baseline="0"/>
                  <a:t> of participants</a:t>
                </a:r>
                <a:endParaRPr lang="en-GB"/>
              </a:p>
            </c:rich>
          </c:tx>
          <c:layout>
            <c:manualLayout>
              <c:xMode val="edge"/>
              <c:yMode val="edge"/>
              <c:x val="3.1760810190411833E-2"/>
              <c:y val="0.3658425988769685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27520"/>
        <c:crosses val="autoZero"/>
        <c:crossBetween val="between"/>
      </c:valAx>
      <c:spPr>
        <a:noFill/>
        <a:ln>
          <a:noFill/>
        </a:ln>
        <a:effectLst/>
      </c:spPr>
    </c:plotArea>
    <c:legend>
      <c:legendPos val="b"/>
      <c:layout>
        <c:manualLayout>
          <c:xMode val="edge"/>
          <c:yMode val="edge"/>
          <c:x val="0.20098743043876613"/>
          <c:y val="0.16834111571030336"/>
          <c:w val="0.54294260676732486"/>
          <c:h val="5.3129041590405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A439-9E5B-430A-98BD-9EA2CE06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34008</Words>
  <Characters>193850</Characters>
  <Application>Microsoft Office Word</Application>
  <DocSecurity>4</DocSecurity>
  <Lines>1615</Lines>
  <Paragraphs>454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OLVG</Company>
  <LinksUpToDate>false</LinksUpToDate>
  <CharactersWithSpaces>227404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Isolde Sommer</dc:creator>
  <cp:lastModifiedBy>Karen Drake</cp:lastModifiedBy>
  <cp:revision>2</cp:revision>
  <cp:lastPrinted>2017-05-10T10:26:00Z</cp:lastPrinted>
  <dcterms:created xsi:type="dcterms:W3CDTF">2017-08-22T08:46:00Z</dcterms:created>
  <dcterms:modified xsi:type="dcterms:W3CDTF">2017-08-22T08:46:00Z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http://www.zotero.org/styles/public-health-nutrition</vt:lpwstr>
  </property>
  <property fmtid="{D5CDD505-2E9C-101B-9397-08002B2CF9AE}" pid="19" name="Mendeley Recent Style Name 8_1">
    <vt:lpwstr>Public Health Nutrition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14aaa67b-f240-3b08-8ac1-599176d688bd</vt:lpwstr>
  </property>
  <property fmtid="{D5CDD505-2E9C-101B-9397-08002B2CF9AE}" pid="24" name="Mendeley Citation Style_1">
    <vt:lpwstr>http://www.zotero.org/styles/public-health-nutrition</vt:lpwstr>
  </property>
</Properties>
</file>