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7357F" w14:textId="77777777" w:rsidR="00755F16" w:rsidRPr="00755F16" w:rsidRDefault="00755F16" w:rsidP="00755F16">
      <w:pPr>
        <w:jc w:val="right"/>
        <w:rPr>
          <w:i/>
          <w:lang w:val="en-US"/>
        </w:rPr>
      </w:pPr>
      <w:bookmarkStart w:id="0" w:name="_GoBack"/>
      <w:bookmarkEnd w:id="0"/>
      <w:r w:rsidRPr="00755F16">
        <w:rPr>
          <w:i/>
          <w:lang w:val="en-US"/>
        </w:rPr>
        <w:t>Journal of Clinical Densitometry, issue on Assessment of Fracture Risk</w:t>
      </w:r>
    </w:p>
    <w:p w14:paraId="7AEC132A" w14:textId="65CA7E9C" w:rsidR="00755F16" w:rsidRDefault="002B4367" w:rsidP="00755F16">
      <w:pPr>
        <w:jc w:val="right"/>
        <w:rPr>
          <w:i/>
          <w:lang w:val="en-US"/>
        </w:rPr>
      </w:pPr>
      <w:proofErr w:type="gramStart"/>
      <w:r>
        <w:rPr>
          <w:i/>
          <w:lang w:val="en-US"/>
        </w:rPr>
        <w:t>v2</w:t>
      </w:r>
      <w:proofErr w:type="gramEnd"/>
      <w:r>
        <w:rPr>
          <w:i/>
          <w:lang w:val="en-US"/>
        </w:rPr>
        <w:t xml:space="preserve"> 25</w:t>
      </w:r>
      <w:r w:rsidRPr="002B4367">
        <w:rPr>
          <w:i/>
          <w:vertAlign w:val="superscript"/>
          <w:lang w:val="en-US"/>
        </w:rPr>
        <w:t>th</w:t>
      </w:r>
      <w:r>
        <w:rPr>
          <w:i/>
          <w:lang w:val="en-US"/>
        </w:rPr>
        <w:t xml:space="preserve"> May</w:t>
      </w:r>
      <w:r w:rsidR="00755F16">
        <w:rPr>
          <w:i/>
          <w:lang w:val="en-US"/>
        </w:rPr>
        <w:t xml:space="preserve"> 2016</w:t>
      </w:r>
    </w:p>
    <w:p w14:paraId="6A32B23E" w14:textId="1031AA85" w:rsidR="00161703" w:rsidRPr="00755F16" w:rsidRDefault="00161703" w:rsidP="00755F16">
      <w:pPr>
        <w:jc w:val="right"/>
        <w:rPr>
          <w:i/>
          <w:lang w:val="en-US"/>
        </w:rPr>
      </w:pPr>
      <w:r>
        <w:rPr>
          <w:i/>
          <w:lang w:val="en-US"/>
        </w:rPr>
        <w:t>Chapter 18</w:t>
      </w:r>
    </w:p>
    <w:p w14:paraId="4DA81DC8" w14:textId="77777777" w:rsidR="00755F16" w:rsidRDefault="00755F16">
      <w:pPr>
        <w:rPr>
          <w:b/>
          <w:lang w:val="en-US"/>
        </w:rPr>
      </w:pPr>
    </w:p>
    <w:p w14:paraId="458B4E4F" w14:textId="77777777" w:rsidR="00755F16" w:rsidRDefault="00755F16">
      <w:pPr>
        <w:rPr>
          <w:b/>
          <w:lang w:val="en-US"/>
        </w:rPr>
      </w:pPr>
    </w:p>
    <w:p w14:paraId="0C47FF93" w14:textId="77777777" w:rsidR="00460377" w:rsidRDefault="00B21D44">
      <w:pPr>
        <w:rPr>
          <w:b/>
          <w:lang w:val="en-US"/>
        </w:rPr>
      </w:pPr>
      <w:r w:rsidRPr="00B21D44">
        <w:rPr>
          <w:b/>
          <w:lang w:val="en-US"/>
        </w:rPr>
        <w:t>Overview of fracture prediction tools</w:t>
      </w:r>
    </w:p>
    <w:p w14:paraId="412459D5" w14:textId="77777777" w:rsidR="00755F16" w:rsidRDefault="00755F16">
      <w:pPr>
        <w:rPr>
          <w:b/>
          <w:lang w:val="en-US"/>
        </w:rPr>
      </w:pPr>
    </w:p>
    <w:p w14:paraId="2A971965" w14:textId="63E4B1F5" w:rsidR="00755F16" w:rsidRDefault="00755F16" w:rsidP="00755F16">
      <w:pPr>
        <w:spacing w:line="480" w:lineRule="auto"/>
        <w:rPr>
          <w:rFonts w:ascii="Calibri" w:hAnsi="Calibri"/>
          <w:vertAlign w:val="superscript"/>
        </w:rPr>
      </w:pPr>
      <w:r w:rsidRPr="004D16E5">
        <w:rPr>
          <w:rFonts w:ascii="Calibri" w:hAnsi="Calibri"/>
        </w:rPr>
        <w:t>John A. Kanis</w:t>
      </w:r>
      <w:r w:rsidRPr="00643D48">
        <w:rPr>
          <w:rFonts w:ascii="Calibri" w:hAnsi="Calibri"/>
          <w:vertAlign w:val="superscript"/>
        </w:rPr>
        <w:t>1</w:t>
      </w:r>
      <w:r w:rsidR="002B4367">
        <w:rPr>
          <w:rFonts w:ascii="Calibri" w:hAnsi="Calibri"/>
          <w:vertAlign w:val="superscript"/>
        </w:rPr>
        <w:t>, 2</w:t>
      </w:r>
      <w:r w:rsidRPr="004D16E5">
        <w:rPr>
          <w:rFonts w:ascii="Calibri" w:hAnsi="Calibri"/>
        </w:rPr>
        <w:t xml:space="preserve">, </w:t>
      </w:r>
      <w:r w:rsidRPr="004D16E5">
        <w:rPr>
          <w:rFonts w:ascii="Calibri" w:hAnsi="Calibri"/>
          <w:lang w:val="en-US"/>
        </w:rPr>
        <w:t xml:space="preserve">Nicholas C </w:t>
      </w:r>
      <w:r w:rsidR="002B4367" w:rsidRPr="004D16E5">
        <w:rPr>
          <w:rFonts w:ascii="Calibri" w:hAnsi="Calibri"/>
          <w:lang w:val="en-US"/>
        </w:rPr>
        <w:t>Harvey</w:t>
      </w:r>
      <w:r w:rsidR="002B4367">
        <w:rPr>
          <w:rFonts w:ascii="Calibri" w:hAnsi="Calibri"/>
          <w:vertAlign w:val="superscript"/>
          <w:lang w:val="en-US"/>
        </w:rPr>
        <w:t>3</w:t>
      </w:r>
      <w:r>
        <w:rPr>
          <w:rFonts w:ascii="Calibri" w:hAnsi="Calibri"/>
          <w:lang w:val="en-US"/>
        </w:rPr>
        <w:t xml:space="preserve">, </w:t>
      </w:r>
      <w:r w:rsidRPr="004D16E5">
        <w:rPr>
          <w:rFonts w:ascii="Calibri" w:hAnsi="Calibri"/>
        </w:rPr>
        <w:t>Helena Johansson</w:t>
      </w:r>
      <w:r w:rsidRPr="00643D48">
        <w:rPr>
          <w:rFonts w:ascii="Calibri" w:hAnsi="Calibri"/>
          <w:vertAlign w:val="superscript"/>
        </w:rPr>
        <w:t>1</w:t>
      </w:r>
      <w:r>
        <w:rPr>
          <w:rFonts w:ascii="Calibri" w:hAnsi="Calibri"/>
          <w:vertAlign w:val="superscript"/>
        </w:rPr>
        <w:t>, 3</w:t>
      </w:r>
      <w:r w:rsidRPr="004D16E5">
        <w:rPr>
          <w:rFonts w:ascii="Calibri" w:hAnsi="Calibri"/>
        </w:rPr>
        <w:t>, Anders Odén</w:t>
      </w:r>
      <w:r w:rsidRPr="00643D48">
        <w:rPr>
          <w:rFonts w:ascii="Calibri" w:hAnsi="Calibri"/>
          <w:vertAlign w:val="superscript"/>
        </w:rPr>
        <w:t>1</w:t>
      </w:r>
      <w:r>
        <w:rPr>
          <w:rFonts w:ascii="Calibri" w:hAnsi="Calibri"/>
        </w:rPr>
        <w:t xml:space="preserve">, </w:t>
      </w:r>
      <w:r w:rsidRPr="004D16E5">
        <w:rPr>
          <w:rFonts w:ascii="Calibri" w:hAnsi="Calibri"/>
        </w:rPr>
        <w:t>Eugene V. McCloskey</w:t>
      </w:r>
      <w:r w:rsidRPr="00643D48">
        <w:rPr>
          <w:rFonts w:ascii="Calibri" w:hAnsi="Calibri"/>
          <w:vertAlign w:val="superscript"/>
        </w:rPr>
        <w:t>1</w:t>
      </w:r>
      <w:r w:rsidR="00E443AA" w:rsidRPr="00E443AA">
        <w:rPr>
          <w:rFonts w:ascii="Calibri" w:hAnsi="Calibri"/>
        </w:rPr>
        <w:t xml:space="preserve"> </w:t>
      </w:r>
      <w:r w:rsidR="00E443AA" w:rsidRPr="00B24911">
        <w:rPr>
          <w:rFonts w:ascii="Calibri" w:hAnsi="Calibri"/>
        </w:rPr>
        <w:t>William D. Leslie</w:t>
      </w:r>
      <w:r w:rsidR="00E443AA" w:rsidRPr="00B24911">
        <w:rPr>
          <w:rFonts w:ascii="Calibri" w:hAnsi="Calibri"/>
          <w:vertAlign w:val="superscript"/>
        </w:rPr>
        <w:t>4</w:t>
      </w:r>
    </w:p>
    <w:p w14:paraId="01B60971" w14:textId="77777777" w:rsidR="00755F16" w:rsidRPr="004D16E5" w:rsidRDefault="00755F16" w:rsidP="00755F16">
      <w:pPr>
        <w:spacing w:line="480" w:lineRule="auto"/>
        <w:rPr>
          <w:rFonts w:ascii="Calibri" w:hAnsi="Calibri"/>
        </w:rPr>
      </w:pPr>
    </w:p>
    <w:p w14:paraId="3F94EE0C" w14:textId="77777777" w:rsidR="00755F16" w:rsidRDefault="00755F16" w:rsidP="00755F16">
      <w:pPr>
        <w:spacing w:before="240" w:line="276" w:lineRule="auto"/>
        <w:rPr>
          <w:rFonts w:ascii="Calibri" w:hAnsi="Calibri"/>
        </w:rPr>
      </w:pPr>
      <w:r w:rsidRPr="00643D48">
        <w:rPr>
          <w:rFonts w:ascii="Calibri" w:hAnsi="Calibri"/>
          <w:vertAlign w:val="superscript"/>
        </w:rPr>
        <w:t>1</w:t>
      </w:r>
      <w:r w:rsidRPr="00643D48">
        <w:rPr>
          <w:rFonts w:ascii="Calibri" w:hAnsi="Calibri"/>
        </w:rPr>
        <w:t>Centre for Metabolic Bone Diseases, University of Sheffield Medical School, UK</w:t>
      </w:r>
    </w:p>
    <w:p w14:paraId="04FC7196" w14:textId="77777777" w:rsidR="002B4367" w:rsidRPr="002B4367" w:rsidRDefault="002B4367" w:rsidP="002B4367">
      <w:pPr>
        <w:spacing w:before="240" w:line="276" w:lineRule="auto"/>
        <w:rPr>
          <w:rFonts w:ascii="Calibri" w:hAnsi="Calibri"/>
        </w:rPr>
      </w:pPr>
      <w:r w:rsidRPr="002B4367">
        <w:rPr>
          <w:rFonts w:ascii="Calibri" w:hAnsi="Calibri"/>
          <w:vertAlign w:val="superscript"/>
        </w:rPr>
        <w:t>2</w:t>
      </w:r>
      <w:r w:rsidRPr="002B4367">
        <w:rPr>
          <w:rFonts w:ascii="Calibri" w:hAnsi="Calibri"/>
          <w:lang w:val="en-AU"/>
        </w:rPr>
        <w:t xml:space="preserve"> </w:t>
      </w:r>
      <w:proofErr w:type="gramStart"/>
      <w:r w:rsidRPr="002B4367">
        <w:rPr>
          <w:rFonts w:ascii="Calibri" w:hAnsi="Calibri"/>
          <w:lang w:val="en-AU"/>
        </w:rPr>
        <w:t>Institute</w:t>
      </w:r>
      <w:proofErr w:type="gramEnd"/>
      <w:r w:rsidRPr="002B4367">
        <w:rPr>
          <w:rFonts w:ascii="Calibri" w:hAnsi="Calibri"/>
          <w:lang w:val="en-AU"/>
        </w:rPr>
        <w:t xml:space="preserve"> of Health and Ageing, Australian Catholic University, Melbourne, Australia</w:t>
      </w:r>
    </w:p>
    <w:p w14:paraId="4F7D0C77" w14:textId="33B2D437" w:rsidR="00755F16" w:rsidRPr="00643D48" w:rsidRDefault="00755F16" w:rsidP="00755F16">
      <w:pPr>
        <w:spacing w:before="240" w:line="276" w:lineRule="auto"/>
        <w:rPr>
          <w:rFonts w:ascii="Calibri" w:hAnsi="Calibri"/>
          <w:lang w:val="en-US"/>
        </w:rPr>
      </w:pPr>
      <w:proofErr w:type="gramStart"/>
      <w:r w:rsidRPr="00643D48">
        <w:rPr>
          <w:rFonts w:ascii="Calibri" w:hAnsi="Calibri"/>
          <w:vertAlign w:val="superscript"/>
          <w:lang w:val="en-US"/>
        </w:rPr>
        <w:t>2</w:t>
      </w:r>
      <w:r w:rsidRPr="00643D48">
        <w:rPr>
          <w:rFonts w:ascii="Calibri" w:hAnsi="Calibri"/>
          <w:lang w:val="en-US"/>
        </w:rPr>
        <w:t>MRC Lifecourse Epidemiology Unit, University of Southampton, Southampton, UK.</w:t>
      </w:r>
      <w:proofErr w:type="gramEnd"/>
    </w:p>
    <w:p w14:paraId="0B54145D" w14:textId="77777777" w:rsidR="00755F16" w:rsidRDefault="00755F16" w:rsidP="00755F16">
      <w:pPr>
        <w:autoSpaceDE w:val="0"/>
        <w:autoSpaceDN w:val="0"/>
        <w:adjustRightInd w:val="0"/>
        <w:spacing w:before="240" w:line="276" w:lineRule="auto"/>
        <w:rPr>
          <w:rFonts w:ascii="Calibri" w:eastAsia="AdvTT46dcae81" w:hAnsi="Calibri"/>
          <w:lang w:val="en-US"/>
        </w:rPr>
      </w:pPr>
      <w:r w:rsidRPr="00643D48">
        <w:rPr>
          <w:rFonts w:ascii="Calibri" w:eastAsia="AdvTT46dcae81" w:hAnsi="Calibri"/>
          <w:vertAlign w:val="superscript"/>
          <w:lang w:val="en-US"/>
        </w:rPr>
        <w:t>3</w:t>
      </w:r>
      <w:r w:rsidRPr="00643D48">
        <w:rPr>
          <w:rFonts w:ascii="Calibri" w:eastAsia="AdvTT46dcae81" w:hAnsi="Calibri"/>
          <w:lang w:val="en-US"/>
        </w:rPr>
        <w:t xml:space="preserve">Centre for Bone and Arthritis Research (CBAR), </w:t>
      </w:r>
      <w:proofErr w:type="spellStart"/>
      <w:r w:rsidRPr="00643D48">
        <w:rPr>
          <w:rFonts w:ascii="Calibri" w:eastAsia="AdvTT46dcae81" w:hAnsi="Calibri"/>
          <w:lang w:val="en-US"/>
        </w:rPr>
        <w:t>Sahlgrenska</w:t>
      </w:r>
      <w:proofErr w:type="spellEnd"/>
      <w:r w:rsidRPr="00643D48">
        <w:rPr>
          <w:rFonts w:ascii="Calibri" w:eastAsia="AdvTT46dcae81" w:hAnsi="Calibri"/>
          <w:lang w:val="en-US"/>
        </w:rPr>
        <w:t xml:space="preserve"> Academy, University of Gothenburg, Gothenburg, Sweden</w:t>
      </w:r>
    </w:p>
    <w:p w14:paraId="339DF32D" w14:textId="77777777" w:rsidR="00755F16" w:rsidRPr="00643D48" w:rsidRDefault="00755F16" w:rsidP="00755F16">
      <w:pPr>
        <w:spacing w:before="240" w:line="276" w:lineRule="auto"/>
        <w:rPr>
          <w:rFonts w:ascii="Calibri" w:hAnsi="Calibri"/>
          <w:lang w:val="en-US"/>
        </w:rPr>
      </w:pPr>
      <w:r w:rsidRPr="00CA1362">
        <w:rPr>
          <w:rFonts w:ascii="Calibri" w:hAnsi="Calibri"/>
          <w:vertAlign w:val="superscript"/>
          <w:lang w:val="en-US"/>
        </w:rPr>
        <w:t>4</w:t>
      </w:r>
      <w:r w:rsidRPr="00F467D2">
        <w:rPr>
          <w:rFonts w:ascii="Calibri" w:hAnsi="Calibri"/>
          <w:lang w:val="en-US"/>
        </w:rPr>
        <w:t>University of Manitoba, Winnipeg, Canada</w:t>
      </w:r>
    </w:p>
    <w:p w14:paraId="4D86D273" w14:textId="77777777" w:rsidR="00755F16" w:rsidRDefault="00755F16" w:rsidP="00755F16"/>
    <w:p w14:paraId="48445C18" w14:textId="77777777" w:rsidR="00755F16" w:rsidRPr="00777ADF" w:rsidRDefault="00755F16" w:rsidP="00755F16">
      <w:r w:rsidRPr="00777ADF">
        <w:t>Correspondence to: Prof John A Kanis, Centre for Metabolic Bone Diseases, University of Sheffield Medical School, Beech Hill Road, Sheffield S10 2RX, UK; Tel: +44 114 285 1109; Fax: +44 114 285 1813; w.j.pontefract@shef.ac.uk</w:t>
      </w:r>
    </w:p>
    <w:p w14:paraId="018DE827" w14:textId="77777777" w:rsidR="00755F16" w:rsidRDefault="00755F16">
      <w:pPr>
        <w:rPr>
          <w:b/>
        </w:rPr>
      </w:pPr>
    </w:p>
    <w:p w14:paraId="3C0FD511" w14:textId="02B0BA36" w:rsidR="00E02C9B" w:rsidRPr="004971BA" w:rsidRDefault="004971BA">
      <w:r w:rsidRPr="004971BA">
        <w:t>Abstract</w:t>
      </w:r>
      <w:r>
        <w:t>:</w:t>
      </w:r>
      <w:r w:rsidRPr="004971BA">
        <w:t xml:space="preserve"> </w:t>
      </w:r>
      <w:r w:rsidRPr="006572CD">
        <w:t>1</w:t>
      </w:r>
      <w:r w:rsidR="006572CD">
        <w:t>10</w:t>
      </w:r>
      <w:r w:rsidRPr="004971BA">
        <w:t xml:space="preserve"> words</w:t>
      </w:r>
    </w:p>
    <w:p w14:paraId="466DD028" w14:textId="2FDCDBBD" w:rsidR="00E02C9B" w:rsidRDefault="004971BA">
      <w:r w:rsidRPr="004971BA">
        <w:t xml:space="preserve">Text excluding </w:t>
      </w:r>
      <w:r w:rsidRPr="00467769">
        <w:t>references:</w:t>
      </w:r>
      <w:r w:rsidR="00EE00AD" w:rsidRPr="00467769">
        <w:t xml:space="preserve"> 23</w:t>
      </w:r>
      <w:r w:rsidR="00467769" w:rsidRPr="00467769">
        <w:t>5</w:t>
      </w:r>
      <w:r w:rsidR="00EE00AD" w:rsidRPr="00467769">
        <w:t>0 words</w:t>
      </w:r>
    </w:p>
    <w:p w14:paraId="3FD45F04" w14:textId="18E801A2" w:rsidR="004971BA" w:rsidRDefault="004971BA">
      <w:r>
        <w:t>Figures:</w:t>
      </w:r>
      <w:r w:rsidR="002850D8">
        <w:t xml:space="preserve"> 4</w:t>
      </w:r>
    </w:p>
    <w:p w14:paraId="514DEC53" w14:textId="50DF1CE5" w:rsidR="004971BA" w:rsidRDefault="004971BA">
      <w:r>
        <w:t>Tables:</w:t>
      </w:r>
      <w:r w:rsidR="00EE00AD">
        <w:t xml:space="preserve"> 2</w:t>
      </w:r>
    </w:p>
    <w:p w14:paraId="2940494E" w14:textId="10DF1B6C" w:rsidR="004971BA" w:rsidRPr="004971BA" w:rsidRDefault="004971BA">
      <w:r>
        <w:t>References</w:t>
      </w:r>
      <w:r w:rsidR="00EE00AD">
        <w:t xml:space="preserve">: </w:t>
      </w:r>
      <w:r w:rsidR="006572CD">
        <w:t>41</w:t>
      </w:r>
    </w:p>
    <w:p w14:paraId="7DD771CF" w14:textId="77777777" w:rsidR="00E02C9B" w:rsidRDefault="00E02C9B">
      <w:pPr>
        <w:rPr>
          <w:b/>
        </w:rPr>
      </w:pPr>
    </w:p>
    <w:p w14:paraId="4D3605E3" w14:textId="77777777" w:rsidR="00E02C9B" w:rsidRDefault="00E02C9B">
      <w:pPr>
        <w:rPr>
          <w:b/>
        </w:rPr>
      </w:pPr>
    </w:p>
    <w:p w14:paraId="2C8CC0B0" w14:textId="77777777" w:rsidR="00E02C9B" w:rsidRDefault="00E02C9B">
      <w:pPr>
        <w:rPr>
          <w:b/>
        </w:rPr>
      </w:pPr>
    </w:p>
    <w:p w14:paraId="2EC8F701" w14:textId="77777777" w:rsidR="00E02C9B" w:rsidRDefault="00E02C9B">
      <w:pPr>
        <w:rPr>
          <w:b/>
        </w:rPr>
      </w:pPr>
    </w:p>
    <w:p w14:paraId="6EB8BDBF" w14:textId="77777777" w:rsidR="00E02C9B" w:rsidRDefault="00E02C9B">
      <w:pPr>
        <w:rPr>
          <w:b/>
        </w:rPr>
      </w:pPr>
    </w:p>
    <w:p w14:paraId="4054472A" w14:textId="77777777" w:rsidR="00E02C9B" w:rsidRDefault="00E02C9B">
      <w:pPr>
        <w:rPr>
          <w:b/>
        </w:rPr>
      </w:pPr>
    </w:p>
    <w:p w14:paraId="7C3AFCFB" w14:textId="77777777" w:rsidR="00E02C9B" w:rsidRDefault="00E02C9B">
      <w:pPr>
        <w:rPr>
          <w:b/>
        </w:rPr>
      </w:pPr>
    </w:p>
    <w:p w14:paraId="7E082A82" w14:textId="77777777" w:rsidR="00E02C9B" w:rsidRDefault="00E02C9B">
      <w:pPr>
        <w:rPr>
          <w:b/>
        </w:rPr>
      </w:pPr>
    </w:p>
    <w:p w14:paraId="1A53AAD9" w14:textId="77777777" w:rsidR="00E02C9B" w:rsidRDefault="00E02C9B">
      <w:pPr>
        <w:rPr>
          <w:b/>
        </w:rPr>
      </w:pPr>
    </w:p>
    <w:p w14:paraId="28220C24" w14:textId="5AB9828B" w:rsidR="003F249F" w:rsidRPr="00777BB6" w:rsidRDefault="00777BB6" w:rsidP="004971BA">
      <w:pPr>
        <w:keepNext/>
        <w:spacing w:after="120" w:line="240" w:lineRule="auto"/>
        <w:outlineLvl w:val="1"/>
        <w:rPr>
          <w:rFonts w:eastAsia="Times New Roman" w:cs="Times New Roman"/>
          <w:b/>
          <w:bCs/>
          <w:iCs/>
          <w:sz w:val="24"/>
          <w:szCs w:val="24"/>
        </w:rPr>
      </w:pPr>
      <w:r w:rsidRPr="00777BB6">
        <w:rPr>
          <w:rFonts w:eastAsia="Times New Roman" w:cs="Times New Roman"/>
          <w:b/>
          <w:bCs/>
          <w:iCs/>
          <w:sz w:val="24"/>
          <w:szCs w:val="24"/>
        </w:rPr>
        <w:t>Abstract</w:t>
      </w:r>
    </w:p>
    <w:p w14:paraId="656BCB86" w14:textId="58E99AE3" w:rsidR="00691415" w:rsidRDefault="00777BB6" w:rsidP="004971BA">
      <w:pPr>
        <w:keepNext/>
        <w:spacing w:after="120" w:line="276" w:lineRule="auto"/>
        <w:outlineLvl w:val="1"/>
        <w:rPr>
          <w:rFonts w:eastAsia="Times New Roman" w:cs="Times New Roman"/>
          <w:bCs/>
          <w:iCs/>
          <w:sz w:val="24"/>
          <w:szCs w:val="24"/>
        </w:rPr>
      </w:pPr>
      <w:r w:rsidRPr="00777BB6">
        <w:rPr>
          <w:rFonts w:eastAsia="Times New Roman" w:cs="Times New Roman"/>
          <w:bCs/>
          <w:iCs/>
          <w:sz w:val="24"/>
          <w:szCs w:val="24"/>
        </w:rPr>
        <w:t>The characterisation of risk factors for fracture that contribute significantly to fracture risk, over and above that provided by BMD, has stimulated the development of risk assessment tools.</w:t>
      </w:r>
      <w:r>
        <w:rPr>
          <w:rFonts w:eastAsia="Times New Roman" w:cs="Times New Roman"/>
          <w:bCs/>
          <w:iCs/>
          <w:sz w:val="24"/>
          <w:szCs w:val="24"/>
        </w:rPr>
        <w:t xml:space="preserve">  </w:t>
      </w:r>
      <w:r w:rsidR="009B71B3" w:rsidRPr="009B71B3">
        <w:rPr>
          <w:rFonts w:eastAsia="Times New Roman" w:cs="Times New Roman"/>
          <w:bCs/>
          <w:iCs/>
          <w:sz w:val="24"/>
          <w:szCs w:val="24"/>
        </w:rPr>
        <w:t xml:space="preserve">The more adequately evaluated tools, all available online include the FRAX® tool, the </w:t>
      </w:r>
      <w:proofErr w:type="spellStart"/>
      <w:r w:rsidR="009B71B3" w:rsidRPr="009B71B3">
        <w:rPr>
          <w:rFonts w:eastAsia="Times New Roman" w:cs="Times New Roman"/>
          <w:bCs/>
          <w:iCs/>
          <w:sz w:val="24"/>
          <w:szCs w:val="24"/>
        </w:rPr>
        <w:t>Garvan</w:t>
      </w:r>
      <w:proofErr w:type="spellEnd"/>
      <w:r w:rsidR="009B71B3" w:rsidRPr="009B71B3">
        <w:rPr>
          <w:rFonts w:eastAsia="Times New Roman" w:cs="Times New Roman"/>
          <w:bCs/>
          <w:iCs/>
          <w:sz w:val="24"/>
          <w:szCs w:val="24"/>
        </w:rPr>
        <w:t xml:space="preserve"> fracture risk calculator </w:t>
      </w:r>
      <w:r w:rsidR="00C217E8" w:rsidRPr="009B71B3">
        <w:rPr>
          <w:rFonts w:eastAsia="Times New Roman" w:cs="Times New Roman"/>
          <w:bCs/>
          <w:iCs/>
          <w:sz w:val="24"/>
          <w:szCs w:val="24"/>
        </w:rPr>
        <w:t>and,</w:t>
      </w:r>
      <w:r w:rsidR="00C217E8" w:rsidRPr="00C217E8">
        <w:rPr>
          <w:rFonts w:eastAsia="Times New Roman" w:cs="Times New Roman"/>
          <w:bCs/>
          <w:iCs/>
          <w:sz w:val="24"/>
          <w:szCs w:val="24"/>
        </w:rPr>
        <w:t xml:space="preserve"> in the UK only, </w:t>
      </w:r>
      <w:proofErr w:type="spellStart"/>
      <w:r w:rsidR="009B71B3" w:rsidRPr="009B71B3">
        <w:rPr>
          <w:rFonts w:eastAsia="Times New Roman" w:cs="Times New Roman"/>
          <w:bCs/>
          <w:iCs/>
          <w:sz w:val="24"/>
          <w:szCs w:val="24"/>
        </w:rPr>
        <w:t>QFracture</w:t>
      </w:r>
      <w:proofErr w:type="spellEnd"/>
      <w:r w:rsidR="009B71B3" w:rsidRPr="009B71B3">
        <w:rPr>
          <w:rFonts w:eastAsia="Times New Roman" w:cs="Times New Roman"/>
          <w:bCs/>
          <w:iCs/>
          <w:sz w:val="24"/>
          <w:szCs w:val="24"/>
        </w:rPr>
        <w:t>®</w:t>
      </w:r>
      <w:r w:rsidR="009B71B3">
        <w:rPr>
          <w:rFonts w:eastAsia="Times New Roman" w:cs="Times New Roman"/>
          <w:bCs/>
          <w:iCs/>
          <w:sz w:val="24"/>
          <w:szCs w:val="24"/>
        </w:rPr>
        <w:t>.  Differences in the input variables, output and model construct give rise to marked differences in the computed risks</w:t>
      </w:r>
      <w:r w:rsidR="00412705">
        <w:rPr>
          <w:rFonts w:eastAsia="Times New Roman" w:cs="Times New Roman"/>
          <w:bCs/>
          <w:iCs/>
          <w:sz w:val="24"/>
          <w:szCs w:val="24"/>
        </w:rPr>
        <w:t xml:space="preserve"> from each calculator</w:t>
      </w:r>
      <w:r w:rsidR="009B71B3">
        <w:rPr>
          <w:rFonts w:eastAsia="Times New Roman" w:cs="Times New Roman"/>
          <w:bCs/>
          <w:iCs/>
          <w:sz w:val="24"/>
          <w:szCs w:val="24"/>
        </w:rPr>
        <w:t>.</w:t>
      </w:r>
      <w:r w:rsidR="00412705">
        <w:rPr>
          <w:rFonts w:eastAsia="Times New Roman" w:cs="Times New Roman"/>
          <w:bCs/>
          <w:iCs/>
          <w:sz w:val="24"/>
          <w:szCs w:val="24"/>
        </w:rPr>
        <w:t xml:space="preserve">  Reasons for the differences include the derivation of fracture probability</w:t>
      </w:r>
      <w:r w:rsidR="009F1C1A">
        <w:rPr>
          <w:rFonts w:eastAsia="Times New Roman" w:cs="Times New Roman"/>
          <w:bCs/>
          <w:iCs/>
          <w:sz w:val="24"/>
          <w:szCs w:val="24"/>
        </w:rPr>
        <w:t xml:space="preserve"> (FRAX)</w:t>
      </w:r>
      <w:r w:rsidR="00412705">
        <w:rPr>
          <w:rFonts w:eastAsia="Times New Roman" w:cs="Times New Roman"/>
          <w:bCs/>
          <w:iCs/>
          <w:sz w:val="24"/>
          <w:szCs w:val="24"/>
        </w:rPr>
        <w:t xml:space="preserve"> rather than incidence (</w:t>
      </w:r>
      <w:proofErr w:type="spellStart"/>
      <w:r w:rsidR="009F1C1A">
        <w:rPr>
          <w:rFonts w:eastAsia="Times New Roman" w:cs="Times New Roman"/>
          <w:bCs/>
          <w:iCs/>
          <w:sz w:val="24"/>
          <w:szCs w:val="24"/>
        </w:rPr>
        <w:t>Garvan</w:t>
      </w:r>
      <w:proofErr w:type="spellEnd"/>
      <w:r w:rsidR="009F1C1A">
        <w:rPr>
          <w:rFonts w:eastAsia="Times New Roman" w:cs="Times New Roman"/>
          <w:bCs/>
          <w:iCs/>
          <w:sz w:val="24"/>
          <w:szCs w:val="24"/>
        </w:rPr>
        <w:t xml:space="preserve">, </w:t>
      </w:r>
      <w:proofErr w:type="spellStart"/>
      <w:r w:rsidR="009F1C1A">
        <w:rPr>
          <w:rFonts w:eastAsia="Times New Roman" w:cs="Times New Roman"/>
          <w:bCs/>
          <w:iCs/>
          <w:sz w:val="24"/>
          <w:szCs w:val="24"/>
        </w:rPr>
        <w:t>QFracture</w:t>
      </w:r>
      <w:proofErr w:type="spellEnd"/>
      <w:r w:rsidR="00412705">
        <w:rPr>
          <w:rFonts w:eastAsia="Times New Roman" w:cs="Times New Roman"/>
          <w:bCs/>
          <w:iCs/>
          <w:sz w:val="24"/>
          <w:szCs w:val="24"/>
        </w:rPr>
        <w:t xml:space="preserve">), </w:t>
      </w:r>
      <w:r w:rsidR="002B4367">
        <w:rPr>
          <w:rFonts w:eastAsia="Times New Roman" w:cs="Times New Roman"/>
          <w:bCs/>
          <w:iCs/>
          <w:sz w:val="24"/>
          <w:szCs w:val="24"/>
        </w:rPr>
        <w:t>limited</w:t>
      </w:r>
      <w:r w:rsidR="00412705">
        <w:rPr>
          <w:rFonts w:eastAsia="Times New Roman" w:cs="Times New Roman"/>
          <w:bCs/>
          <w:iCs/>
          <w:sz w:val="24"/>
          <w:szCs w:val="24"/>
        </w:rPr>
        <w:t xml:space="preserve"> calibration (</w:t>
      </w:r>
      <w:proofErr w:type="spellStart"/>
      <w:r w:rsidR="00412705">
        <w:rPr>
          <w:rFonts w:eastAsia="Times New Roman" w:cs="Times New Roman"/>
          <w:bCs/>
          <w:iCs/>
          <w:sz w:val="24"/>
          <w:szCs w:val="24"/>
        </w:rPr>
        <w:t>Garvan</w:t>
      </w:r>
      <w:proofErr w:type="spellEnd"/>
      <w:r w:rsidR="00412705">
        <w:rPr>
          <w:rFonts w:eastAsia="Times New Roman" w:cs="Times New Roman"/>
          <w:bCs/>
          <w:iCs/>
          <w:sz w:val="24"/>
          <w:szCs w:val="24"/>
        </w:rPr>
        <w:t>)</w:t>
      </w:r>
      <w:r w:rsidR="00691415">
        <w:rPr>
          <w:rFonts w:eastAsia="Times New Roman" w:cs="Times New Roman"/>
          <w:bCs/>
          <w:iCs/>
          <w:sz w:val="24"/>
          <w:szCs w:val="24"/>
        </w:rPr>
        <w:t xml:space="preserve"> and</w:t>
      </w:r>
      <w:r w:rsidR="00412705">
        <w:rPr>
          <w:rFonts w:eastAsia="Times New Roman" w:cs="Times New Roman"/>
          <w:bCs/>
          <w:iCs/>
          <w:sz w:val="24"/>
          <w:szCs w:val="24"/>
        </w:rPr>
        <w:t xml:space="preserve"> </w:t>
      </w:r>
      <w:r w:rsidR="00691415">
        <w:rPr>
          <w:rFonts w:eastAsia="Times New Roman" w:cs="Times New Roman"/>
          <w:bCs/>
          <w:iCs/>
          <w:sz w:val="24"/>
          <w:szCs w:val="24"/>
        </w:rPr>
        <w:t>inappropriate source information (</w:t>
      </w:r>
      <w:proofErr w:type="spellStart"/>
      <w:r w:rsidR="00691415">
        <w:rPr>
          <w:rFonts w:eastAsia="Times New Roman" w:cs="Times New Roman"/>
          <w:bCs/>
          <w:iCs/>
          <w:sz w:val="24"/>
          <w:szCs w:val="24"/>
        </w:rPr>
        <w:t>QFracture</w:t>
      </w:r>
      <w:proofErr w:type="spellEnd"/>
      <w:r w:rsidR="00691415">
        <w:rPr>
          <w:rFonts w:eastAsia="Times New Roman" w:cs="Times New Roman"/>
          <w:bCs/>
          <w:iCs/>
          <w:sz w:val="24"/>
          <w:szCs w:val="24"/>
        </w:rPr>
        <w:t xml:space="preserve">).  These differences need to be taken into account in the </w:t>
      </w:r>
      <w:r w:rsidR="00B433F0">
        <w:rPr>
          <w:rFonts w:eastAsia="Times New Roman" w:cs="Times New Roman"/>
          <w:bCs/>
          <w:iCs/>
          <w:sz w:val="24"/>
          <w:szCs w:val="24"/>
        </w:rPr>
        <w:t>evaluation</w:t>
      </w:r>
      <w:r w:rsidR="00691415">
        <w:rPr>
          <w:rFonts w:eastAsia="Times New Roman" w:cs="Times New Roman"/>
          <w:bCs/>
          <w:iCs/>
          <w:sz w:val="24"/>
          <w:szCs w:val="24"/>
        </w:rPr>
        <w:t xml:space="preserve"> of assessment guidelines.</w:t>
      </w:r>
    </w:p>
    <w:p w14:paraId="097E845B" w14:textId="77777777" w:rsidR="00691415" w:rsidRDefault="00691415" w:rsidP="0019719A">
      <w:pPr>
        <w:keepNext/>
        <w:spacing w:after="120" w:line="240" w:lineRule="auto"/>
        <w:jc w:val="both"/>
        <w:outlineLvl w:val="1"/>
        <w:rPr>
          <w:rFonts w:eastAsia="Times New Roman" w:cs="Times New Roman"/>
          <w:bCs/>
          <w:iCs/>
          <w:sz w:val="24"/>
          <w:szCs w:val="24"/>
        </w:rPr>
      </w:pPr>
    </w:p>
    <w:p w14:paraId="3D387F32" w14:textId="2FC5AB23" w:rsidR="003F249F" w:rsidRPr="00691415" w:rsidRDefault="00691415" w:rsidP="0019719A">
      <w:pPr>
        <w:keepNext/>
        <w:spacing w:after="120" w:line="240" w:lineRule="auto"/>
        <w:jc w:val="both"/>
        <w:outlineLvl w:val="1"/>
        <w:rPr>
          <w:rFonts w:eastAsia="Times New Roman" w:cs="Times New Roman"/>
          <w:b/>
          <w:bCs/>
          <w:iCs/>
          <w:sz w:val="24"/>
          <w:szCs w:val="24"/>
        </w:rPr>
      </w:pPr>
      <w:r>
        <w:rPr>
          <w:rFonts w:eastAsia="Times New Roman" w:cs="Times New Roman"/>
          <w:bCs/>
          <w:iCs/>
          <w:sz w:val="24"/>
          <w:szCs w:val="24"/>
        </w:rPr>
        <w:t xml:space="preserve"> </w:t>
      </w:r>
      <w:r w:rsidRPr="00691415">
        <w:rPr>
          <w:rFonts w:eastAsia="Times New Roman" w:cs="Times New Roman"/>
          <w:b/>
          <w:bCs/>
          <w:iCs/>
          <w:sz w:val="24"/>
          <w:szCs w:val="24"/>
        </w:rPr>
        <w:t>Key words</w:t>
      </w:r>
      <w:r w:rsidRPr="00691415">
        <w:rPr>
          <w:rFonts w:eastAsia="Times New Roman" w:cs="Times New Roman"/>
          <w:bCs/>
          <w:iCs/>
          <w:sz w:val="24"/>
          <w:szCs w:val="24"/>
        </w:rPr>
        <w:t xml:space="preserve">:  </w:t>
      </w:r>
      <w:r w:rsidR="009B71B3" w:rsidRPr="00691415">
        <w:rPr>
          <w:rFonts w:eastAsia="Times New Roman" w:cs="Times New Roman"/>
          <w:bCs/>
          <w:iCs/>
          <w:sz w:val="24"/>
          <w:szCs w:val="24"/>
        </w:rPr>
        <w:t xml:space="preserve">  </w:t>
      </w:r>
      <w:r>
        <w:rPr>
          <w:rFonts w:eastAsia="Times New Roman" w:cs="Times New Roman"/>
          <w:bCs/>
          <w:iCs/>
          <w:sz w:val="24"/>
          <w:szCs w:val="24"/>
        </w:rPr>
        <w:t xml:space="preserve">calibration, </w:t>
      </w:r>
      <w:r w:rsidRPr="00691415">
        <w:rPr>
          <w:rFonts w:eastAsia="Times New Roman" w:cs="Times New Roman"/>
          <w:bCs/>
          <w:iCs/>
          <w:sz w:val="24"/>
          <w:szCs w:val="24"/>
        </w:rPr>
        <w:t>fracture risk</w:t>
      </w:r>
      <w:r>
        <w:rPr>
          <w:rFonts w:eastAsia="Times New Roman" w:cs="Times New Roman"/>
          <w:bCs/>
          <w:iCs/>
          <w:sz w:val="24"/>
          <w:szCs w:val="24"/>
        </w:rPr>
        <w:t>,</w:t>
      </w:r>
      <w:r w:rsidRPr="00691415">
        <w:rPr>
          <w:rFonts w:eastAsia="Times New Roman" w:cs="Times New Roman"/>
          <w:bCs/>
          <w:iCs/>
          <w:sz w:val="24"/>
          <w:szCs w:val="24"/>
        </w:rPr>
        <w:t xml:space="preserve"> FRAX, </w:t>
      </w:r>
      <w:proofErr w:type="spellStart"/>
      <w:r w:rsidRPr="00691415">
        <w:rPr>
          <w:rFonts w:eastAsia="Times New Roman" w:cs="Times New Roman"/>
          <w:bCs/>
          <w:iCs/>
          <w:sz w:val="24"/>
          <w:szCs w:val="24"/>
        </w:rPr>
        <w:t>Garvan</w:t>
      </w:r>
      <w:proofErr w:type="spellEnd"/>
      <w:r w:rsidRPr="00691415">
        <w:rPr>
          <w:rFonts w:eastAsia="Times New Roman" w:cs="Times New Roman"/>
          <w:bCs/>
          <w:iCs/>
          <w:sz w:val="24"/>
          <w:szCs w:val="24"/>
        </w:rPr>
        <w:t xml:space="preserve"> fracture risk calculator, </w:t>
      </w:r>
      <w:proofErr w:type="spellStart"/>
      <w:r w:rsidRPr="00691415">
        <w:rPr>
          <w:rFonts w:eastAsia="Times New Roman" w:cs="Times New Roman"/>
          <w:bCs/>
          <w:iCs/>
          <w:sz w:val="24"/>
          <w:szCs w:val="24"/>
        </w:rPr>
        <w:t>QFracture</w:t>
      </w:r>
      <w:proofErr w:type="spellEnd"/>
      <w:r w:rsidRPr="00691415">
        <w:rPr>
          <w:rFonts w:eastAsia="Times New Roman" w:cs="Times New Roman"/>
          <w:bCs/>
          <w:iCs/>
          <w:sz w:val="24"/>
          <w:szCs w:val="24"/>
        </w:rPr>
        <w:t>,</w:t>
      </w:r>
      <w:r>
        <w:rPr>
          <w:rFonts w:eastAsia="Times New Roman" w:cs="Times New Roman"/>
          <w:bCs/>
          <w:iCs/>
          <w:sz w:val="24"/>
          <w:szCs w:val="24"/>
        </w:rPr>
        <w:t xml:space="preserve"> </w:t>
      </w:r>
    </w:p>
    <w:p w14:paraId="7A7CA5CF" w14:textId="77777777" w:rsidR="009B71B3" w:rsidRPr="00777BB6" w:rsidRDefault="009B71B3" w:rsidP="0019719A">
      <w:pPr>
        <w:keepNext/>
        <w:spacing w:after="120" w:line="240" w:lineRule="auto"/>
        <w:jc w:val="both"/>
        <w:outlineLvl w:val="1"/>
        <w:rPr>
          <w:rFonts w:eastAsia="Times New Roman" w:cs="Times New Roman"/>
          <w:bCs/>
          <w:iCs/>
          <w:sz w:val="24"/>
          <w:szCs w:val="24"/>
        </w:rPr>
      </w:pPr>
    </w:p>
    <w:p w14:paraId="3354C4F2" w14:textId="56143FC5" w:rsidR="004971BA" w:rsidRDefault="004971BA">
      <w:pPr>
        <w:rPr>
          <w:rFonts w:ascii="Calibri" w:hAnsi="Calibri"/>
          <w:b/>
          <w:sz w:val="28"/>
          <w:szCs w:val="28"/>
        </w:rPr>
      </w:pPr>
      <w:r>
        <w:rPr>
          <w:rFonts w:ascii="Calibri" w:hAnsi="Calibri"/>
          <w:b/>
          <w:sz w:val="28"/>
          <w:szCs w:val="28"/>
        </w:rPr>
        <w:br w:type="page"/>
      </w:r>
    </w:p>
    <w:p w14:paraId="61DF49D2" w14:textId="77777777" w:rsidR="004971BA" w:rsidRDefault="004971BA" w:rsidP="003F249F">
      <w:pPr>
        <w:rPr>
          <w:rFonts w:ascii="Calibri" w:hAnsi="Calibri"/>
          <w:b/>
          <w:sz w:val="28"/>
          <w:szCs w:val="28"/>
        </w:rPr>
      </w:pPr>
    </w:p>
    <w:p w14:paraId="057BE93A" w14:textId="1A644B6B" w:rsidR="003F249F" w:rsidRPr="00EE00AD" w:rsidRDefault="003F249F" w:rsidP="003F249F">
      <w:pPr>
        <w:rPr>
          <w:rFonts w:ascii="Calibri" w:hAnsi="Calibri"/>
          <w:b/>
          <w:sz w:val="24"/>
          <w:szCs w:val="24"/>
        </w:rPr>
      </w:pPr>
      <w:r w:rsidRPr="00EE00AD">
        <w:rPr>
          <w:rFonts w:ascii="Calibri" w:hAnsi="Calibri"/>
          <w:b/>
          <w:sz w:val="24"/>
          <w:szCs w:val="24"/>
        </w:rPr>
        <w:t xml:space="preserve">Introduction </w:t>
      </w:r>
    </w:p>
    <w:p w14:paraId="0AD9208B" w14:textId="64416E7A" w:rsidR="003F249F" w:rsidRPr="003F249F" w:rsidRDefault="003F249F" w:rsidP="000E4B90">
      <w:pPr>
        <w:spacing w:line="276" w:lineRule="auto"/>
        <w:rPr>
          <w:rFonts w:ascii="Calibri" w:hAnsi="Calibri"/>
          <w:sz w:val="24"/>
          <w:szCs w:val="24"/>
        </w:rPr>
      </w:pPr>
      <w:r w:rsidRPr="003F249F">
        <w:rPr>
          <w:rFonts w:ascii="Calibri" w:hAnsi="Calibri"/>
          <w:sz w:val="24"/>
          <w:szCs w:val="24"/>
        </w:rPr>
        <w:t xml:space="preserve">A significant advance over the past 15 years has been the development of medical interventions that have been shown </w:t>
      </w:r>
      <w:r w:rsidR="00E23F32" w:rsidRPr="00E23F32">
        <w:rPr>
          <w:rFonts w:ascii="Calibri" w:hAnsi="Calibri"/>
          <w:sz w:val="24"/>
          <w:szCs w:val="24"/>
        </w:rPr>
        <w:t xml:space="preserve">in high quality randomised controlled trials </w:t>
      </w:r>
      <w:r w:rsidRPr="003F249F">
        <w:rPr>
          <w:rFonts w:ascii="Calibri" w:hAnsi="Calibri"/>
          <w:sz w:val="24"/>
          <w:szCs w:val="24"/>
        </w:rPr>
        <w:t>to decrease the risk of fragility fractures [</w:t>
      </w:r>
      <w:r w:rsidR="008D0623">
        <w:rPr>
          <w:rFonts w:ascii="Calibri" w:hAnsi="Calibri"/>
          <w:sz w:val="24"/>
          <w:szCs w:val="24"/>
        </w:rPr>
        <w:t>1, 2]</w:t>
      </w:r>
      <w:r w:rsidRPr="003F249F">
        <w:rPr>
          <w:rFonts w:ascii="Calibri" w:hAnsi="Calibri"/>
          <w:sz w:val="24"/>
          <w:szCs w:val="24"/>
        </w:rPr>
        <w:t>.  Unfortunately, a minority of men and women receive treatment even after sustaining a fragility fracture [</w:t>
      </w:r>
      <w:r w:rsidR="008D0623">
        <w:rPr>
          <w:rFonts w:ascii="Calibri" w:hAnsi="Calibri"/>
          <w:sz w:val="24"/>
          <w:szCs w:val="24"/>
        </w:rPr>
        <w:t>1, 3]</w:t>
      </w:r>
      <w:r w:rsidRPr="003F249F">
        <w:rPr>
          <w:rFonts w:ascii="Calibri" w:hAnsi="Calibri"/>
          <w:sz w:val="24"/>
          <w:szCs w:val="24"/>
        </w:rPr>
        <w:t>. The reason for a large treatment gap (the difference between the number of individuals at high risk and the proportion of the population that receives treatment) is complex and multifactorial. One of the reasons is, however, limitations in the assessment of fracture risk.</w:t>
      </w:r>
    </w:p>
    <w:p w14:paraId="46C22D71" w14:textId="77FA6430" w:rsidR="003F249F" w:rsidRPr="003F249F" w:rsidRDefault="003F249F" w:rsidP="000E4B90">
      <w:pPr>
        <w:spacing w:line="276" w:lineRule="auto"/>
        <w:rPr>
          <w:rFonts w:ascii="Calibri" w:hAnsi="Calibri"/>
          <w:sz w:val="24"/>
          <w:szCs w:val="24"/>
        </w:rPr>
      </w:pPr>
      <w:r w:rsidRPr="003F249F">
        <w:rPr>
          <w:rFonts w:ascii="Calibri" w:hAnsi="Calibri"/>
          <w:sz w:val="24"/>
          <w:szCs w:val="24"/>
        </w:rPr>
        <w:t>Although the diagnosis of the disease relies on the quantitative assessment of bone mineral density</w:t>
      </w:r>
      <w:r w:rsidR="00E23F32">
        <w:rPr>
          <w:rFonts w:ascii="Calibri" w:hAnsi="Calibri"/>
          <w:sz w:val="24"/>
          <w:szCs w:val="24"/>
        </w:rPr>
        <w:t xml:space="preserve"> (BMD)</w:t>
      </w:r>
      <w:r w:rsidRPr="003F249F">
        <w:rPr>
          <w:rFonts w:ascii="Calibri" w:hAnsi="Calibri"/>
          <w:sz w:val="24"/>
          <w:szCs w:val="24"/>
        </w:rPr>
        <w:t>, a major determinant of bone strength, the clinical significance of osteoporosis lies in the fractures that arise.  The causation of fractures is, however multifactorial.  In this respect, there are some analogies with other multifactorial chronic diseases.  For example, hypertension is diagnosed on the basis of blood pressure whereas an important clinical consequence of hypertension is stroke</w:t>
      </w:r>
      <w:r w:rsidR="00C217E8" w:rsidRPr="00C217E8">
        <w:rPr>
          <w:rFonts w:ascii="Calibri" w:hAnsi="Calibri"/>
          <w:sz w:val="24"/>
          <w:szCs w:val="24"/>
        </w:rPr>
        <w:t>, the likelihood of which is dependent on multiple fractures including hypertension.</w:t>
      </w:r>
    </w:p>
    <w:p w14:paraId="6BA3F10E" w14:textId="3589EBBF" w:rsidR="00E23F32" w:rsidRDefault="00C217E8" w:rsidP="000E4B90">
      <w:pPr>
        <w:keepNext/>
        <w:spacing w:after="120" w:line="276" w:lineRule="auto"/>
        <w:outlineLvl w:val="1"/>
        <w:rPr>
          <w:rFonts w:ascii="Calibri" w:hAnsi="Calibri"/>
          <w:sz w:val="24"/>
          <w:szCs w:val="24"/>
        </w:rPr>
      </w:pPr>
      <w:r>
        <w:rPr>
          <w:rFonts w:ascii="Calibri" w:hAnsi="Calibri"/>
          <w:sz w:val="24"/>
          <w:szCs w:val="24"/>
        </w:rPr>
        <w:t xml:space="preserve">Despite </w:t>
      </w:r>
      <w:r w:rsidRPr="003F249F">
        <w:rPr>
          <w:rFonts w:ascii="Calibri" w:hAnsi="Calibri"/>
          <w:sz w:val="24"/>
          <w:szCs w:val="24"/>
        </w:rPr>
        <w:t xml:space="preserve">many guidelines </w:t>
      </w:r>
      <w:r>
        <w:rPr>
          <w:rFonts w:ascii="Calibri" w:hAnsi="Calibri"/>
          <w:sz w:val="24"/>
          <w:szCs w:val="24"/>
        </w:rPr>
        <w:t>u</w:t>
      </w:r>
      <w:r w:rsidRPr="003F249F">
        <w:rPr>
          <w:rFonts w:ascii="Calibri" w:hAnsi="Calibri"/>
          <w:sz w:val="24"/>
          <w:szCs w:val="24"/>
        </w:rPr>
        <w:t>s</w:t>
      </w:r>
      <w:r>
        <w:rPr>
          <w:rFonts w:ascii="Calibri" w:hAnsi="Calibri"/>
          <w:sz w:val="24"/>
          <w:szCs w:val="24"/>
        </w:rPr>
        <w:t>ing</w:t>
      </w:r>
      <w:r w:rsidRPr="003F249F">
        <w:rPr>
          <w:rFonts w:ascii="Calibri" w:hAnsi="Calibri"/>
          <w:sz w:val="24"/>
          <w:szCs w:val="24"/>
        </w:rPr>
        <w:t xml:space="preserve"> </w:t>
      </w:r>
      <w:r w:rsidR="003F249F" w:rsidRPr="003F249F">
        <w:rPr>
          <w:rFonts w:ascii="Calibri" w:hAnsi="Calibri"/>
          <w:sz w:val="24"/>
          <w:szCs w:val="24"/>
        </w:rPr>
        <w:t>BMD thresholds to determine whether treatments should be recommended</w:t>
      </w:r>
      <w:r w:rsidR="00C5090F">
        <w:rPr>
          <w:rFonts w:ascii="Calibri" w:hAnsi="Calibri"/>
          <w:sz w:val="24"/>
          <w:szCs w:val="24"/>
        </w:rPr>
        <w:t>,</w:t>
      </w:r>
      <w:r w:rsidR="00C5090F" w:rsidRPr="003F249F">
        <w:rPr>
          <w:rFonts w:ascii="Calibri" w:hAnsi="Calibri"/>
          <w:sz w:val="24"/>
          <w:szCs w:val="24"/>
        </w:rPr>
        <w:t xml:space="preserve"> the</w:t>
      </w:r>
      <w:r w:rsidR="003F249F" w:rsidRPr="003F249F">
        <w:rPr>
          <w:rFonts w:ascii="Calibri" w:hAnsi="Calibri"/>
          <w:sz w:val="24"/>
          <w:szCs w:val="24"/>
        </w:rPr>
        <w:t xml:space="preserve"> multifactorial nature of fracture risk means that BMD does not capture non-skeletal determinants of fracture risk such as liability to fall.  A number of risk factors for fracture </w:t>
      </w:r>
      <w:proofErr w:type="gramStart"/>
      <w:r w:rsidR="003F249F" w:rsidRPr="003F249F">
        <w:rPr>
          <w:rFonts w:ascii="Calibri" w:hAnsi="Calibri"/>
          <w:sz w:val="24"/>
          <w:szCs w:val="24"/>
        </w:rPr>
        <w:t>has</w:t>
      </w:r>
      <w:proofErr w:type="gramEnd"/>
      <w:r w:rsidR="003F249F" w:rsidRPr="003F249F">
        <w:rPr>
          <w:rFonts w:ascii="Calibri" w:hAnsi="Calibri"/>
          <w:sz w:val="24"/>
          <w:szCs w:val="24"/>
        </w:rPr>
        <w:t xml:space="preserve"> been identified that contribute significantly to fracture risk over and above that provided by </w:t>
      </w:r>
      <w:r w:rsidR="003F249F" w:rsidRPr="00AF4CBC">
        <w:rPr>
          <w:rFonts w:ascii="Calibri" w:hAnsi="Calibri"/>
          <w:sz w:val="24"/>
          <w:szCs w:val="24"/>
        </w:rPr>
        <w:t>BMD [</w:t>
      </w:r>
      <w:r w:rsidR="00D67A98">
        <w:rPr>
          <w:rFonts w:ascii="Calibri" w:hAnsi="Calibri"/>
          <w:sz w:val="24"/>
          <w:szCs w:val="24"/>
        </w:rPr>
        <w:t>4]</w:t>
      </w:r>
      <w:r w:rsidR="003F249F" w:rsidRPr="00AF4CBC">
        <w:rPr>
          <w:rFonts w:ascii="Calibri" w:hAnsi="Calibri"/>
          <w:sz w:val="24"/>
          <w:szCs w:val="24"/>
        </w:rPr>
        <w:t>.  A good</w:t>
      </w:r>
      <w:r w:rsidR="003F249F" w:rsidRPr="003F249F">
        <w:rPr>
          <w:rFonts w:ascii="Calibri" w:hAnsi="Calibri"/>
          <w:sz w:val="24"/>
          <w:szCs w:val="24"/>
        </w:rPr>
        <w:t xml:space="preserve"> example is age</w:t>
      </w:r>
      <w:r>
        <w:rPr>
          <w:rFonts w:ascii="Calibri" w:hAnsi="Calibri"/>
          <w:sz w:val="24"/>
          <w:szCs w:val="24"/>
        </w:rPr>
        <w:t xml:space="preserve"> where t</w:t>
      </w:r>
      <w:r w:rsidR="003F249F" w:rsidRPr="003F249F">
        <w:rPr>
          <w:rFonts w:ascii="Calibri" w:hAnsi="Calibri"/>
          <w:sz w:val="24"/>
          <w:szCs w:val="24"/>
        </w:rPr>
        <w:t xml:space="preserve">he same BMD has a different significance at different ages, such that fracture risk is much higher in the elderly than in the </w:t>
      </w:r>
      <w:r w:rsidR="003F249F" w:rsidRPr="00AF4CBC">
        <w:rPr>
          <w:rFonts w:ascii="Calibri" w:hAnsi="Calibri"/>
          <w:sz w:val="24"/>
          <w:szCs w:val="24"/>
        </w:rPr>
        <w:t>young [</w:t>
      </w:r>
      <w:r w:rsidR="00D67A98">
        <w:rPr>
          <w:rFonts w:ascii="Calibri" w:hAnsi="Calibri"/>
          <w:sz w:val="24"/>
          <w:szCs w:val="24"/>
        </w:rPr>
        <w:t>5, 6]</w:t>
      </w:r>
      <w:r w:rsidR="003F249F" w:rsidRPr="00AF4CBC">
        <w:rPr>
          <w:rFonts w:ascii="Calibri" w:hAnsi="Calibri"/>
          <w:sz w:val="24"/>
          <w:szCs w:val="24"/>
        </w:rPr>
        <w:t>.</w:t>
      </w:r>
      <w:r w:rsidR="003F249F" w:rsidRPr="003F249F">
        <w:rPr>
          <w:rFonts w:ascii="Calibri" w:hAnsi="Calibri"/>
          <w:sz w:val="24"/>
          <w:szCs w:val="24"/>
        </w:rPr>
        <w:t xml:space="preserve">  This is because age contributes to risk independently of BMD.</w:t>
      </w:r>
      <w:r w:rsidR="003F249F">
        <w:rPr>
          <w:rFonts w:ascii="Calibri" w:hAnsi="Calibri"/>
          <w:sz w:val="24"/>
          <w:szCs w:val="24"/>
        </w:rPr>
        <w:t xml:space="preserve"> The realisation that </w:t>
      </w:r>
      <w:r w:rsidR="004971BA">
        <w:rPr>
          <w:rFonts w:ascii="Calibri" w:hAnsi="Calibri"/>
          <w:sz w:val="24"/>
          <w:szCs w:val="24"/>
        </w:rPr>
        <w:t>independent</w:t>
      </w:r>
      <w:r w:rsidR="003F249F">
        <w:rPr>
          <w:rFonts w:ascii="Calibri" w:hAnsi="Calibri"/>
          <w:sz w:val="24"/>
          <w:szCs w:val="24"/>
        </w:rPr>
        <w:t xml:space="preserve"> risk factors </w:t>
      </w:r>
      <w:r w:rsidR="00CA7F3B">
        <w:rPr>
          <w:rFonts w:ascii="Calibri" w:hAnsi="Calibri"/>
          <w:sz w:val="24"/>
          <w:szCs w:val="24"/>
        </w:rPr>
        <w:t xml:space="preserve">in combination with BMD </w:t>
      </w:r>
      <w:r w:rsidR="003F249F">
        <w:rPr>
          <w:rFonts w:ascii="Calibri" w:hAnsi="Calibri"/>
          <w:sz w:val="24"/>
          <w:szCs w:val="24"/>
        </w:rPr>
        <w:t>predict</w:t>
      </w:r>
      <w:r w:rsidR="00CA7F3B">
        <w:rPr>
          <w:rFonts w:ascii="Calibri" w:hAnsi="Calibri"/>
          <w:sz w:val="24"/>
          <w:szCs w:val="24"/>
        </w:rPr>
        <w:t xml:space="preserve"> fractures</w:t>
      </w:r>
      <w:r w:rsidR="003F249F">
        <w:rPr>
          <w:rFonts w:ascii="Calibri" w:hAnsi="Calibri"/>
          <w:sz w:val="24"/>
          <w:szCs w:val="24"/>
        </w:rPr>
        <w:t xml:space="preserve"> with greater accuracy </w:t>
      </w:r>
      <w:r w:rsidR="00CA7F3B">
        <w:rPr>
          <w:rFonts w:ascii="Calibri" w:hAnsi="Calibri"/>
          <w:sz w:val="24"/>
          <w:szCs w:val="24"/>
        </w:rPr>
        <w:t>than BMD alone [</w:t>
      </w:r>
      <w:r w:rsidR="00D67A98">
        <w:rPr>
          <w:rFonts w:ascii="Calibri" w:hAnsi="Calibri"/>
          <w:sz w:val="24"/>
          <w:szCs w:val="24"/>
        </w:rPr>
        <w:t xml:space="preserve">4] </w:t>
      </w:r>
      <w:r w:rsidR="00CA7F3B">
        <w:rPr>
          <w:rFonts w:ascii="Calibri" w:hAnsi="Calibri"/>
          <w:sz w:val="24"/>
          <w:szCs w:val="24"/>
        </w:rPr>
        <w:t>has led to the development of risk prediction tools to better categorise individuals at high or low risk and, in turn to optimise clinical decision making with regard to therapeutic intervention.  This paper reviews the strengths and weaknesses of the most commonly espoused risk assessment tools.</w:t>
      </w:r>
    </w:p>
    <w:p w14:paraId="30B4EF2B" w14:textId="0B63870C" w:rsidR="003F249F" w:rsidRDefault="003F249F" w:rsidP="000E4B90">
      <w:pPr>
        <w:keepNext/>
        <w:spacing w:after="120" w:line="240" w:lineRule="auto"/>
        <w:outlineLvl w:val="1"/>
        <w:rPr>
          <w:rFonts w:ascii="Times New Roman" w:eastAsia="Times New Roman" w:hAnsi="Times New Roman" w:cs="Times New Roman"/>
          <w:b/>
          <w:bCs/>
          <w:iCs/>
          <w:sz w:val="24"/>
          <w:szCs w:val="24"/>
        </w:rPr>
      </w:pPr>
      <w:r>
        <w:rPr>
          <w:rFonts w:ascii="Calibri" w:hAnsi="Calibri"/>
          <w:sz w:val="24"/>
          <w:szCs w:val="24"/>
        </w:rPr>
        <w:t xml:space="preserve">  </w:t>
      </w:r>
    </w:p>
    <w:p w14:paraId="4ECA0DBC" w14:textId="77777777" w:rsidR="0006334A" w:rsidRPr="00EE00AD" w:rsidRDefault="00E23F32" w:rsidP="000E4B90">
      <w:pPr>
        <w:keepNext/>
        <w:spacing w:after="120" w:line="240" w:lineRule="auto"/>
        <w:outlineLvl w:val="1"/>
        <w:rPr>
          <w:rFonts w:eastAsia="Times New Roman" w:cs="Times New Roman"/>
          <w:b/>
          <w:bCs/>
          <w:iCs/>
          <w:sz w:val="24"/>
          <w:szCs w:val="24"/>
        </w:rPr>
      </w:pPr>
      <w:r w:rsidRPr="00EE00AD">
        <w:rPr>
          <w:rFonts w:eastAsia="Times New Roman" w:cs="Times New Roman"/>
          <w:b/>
          <w:bCs/>
          <w:iCs/>
          <w:sz w:val="24"/>
          <w:szCs w:val="24"/>
        </w:rPr>
        <w:t>F</w:t>
      </w:r>
      <w:r w:rsidR="0019719A" w:rsidRPr="00EE00AD">
        <w:rPr>
          <w:rFonts w:eastAsia="Times New Roman" w:cs="Times New Roman"/>
          <w:b/>
          <w:bCs/>
          <w:iCs/>
          <w:sz w:val="24"/>
          <w:szCs w:val="24"/>
        </w:rPr>
        <w:t>racture risk prediction tools</w:t>
      </w:r>
    </w:p>
    <w:p w14:paraId="0013FF22" w14:textId="793A1C40" w:rsidR="00EE00AD" w:rsidRDefault="00BC6D07" w:rsidP="009F1C1A">
      <w:pPr>
        <w:keepNext/>
        <w:spacing w:after="120" w:line="276" w:lineRule="auto"/>
        <w:outlineLvl w:val="1"/>
        <w:rPr>
          <w:rFonts w:eastAsia="Times New Roman" w:cs="Times New Roman"/>
          <w:bCs/>
          <w:iCs/>
          <w:sz w:val="24"/>
          <w:szCs w:val="24"/>
        </w:rPr>
      </w:pPr>
      <w:r>
        <w:rPr>
          <w:rFonts w:eastAsia="Times New Roman" w:cs="Times New Roman"/>
          <w:bCs/>
          <w:iCs/>
          <w:sz w:val="24"/>
          <w:szCs w:val="24"/>
        </w:rPr>
        <w:t>Several</w:t>
      </w:r>
      <w:r w:rsidR="00BB4FAA">
        <w:rPr>
          <w:rFonts w:eastAsia="Times New Roman" w:cs="Times New Roman"/>
          <w:bCs/>
          <w:iCs/>
          <w:sz w:val="24"/>
          <w:szCs w:val="24"/>
        </w:rPr>
        <w:t xml:space="preserve"> assessment tools ha</w:t>
      </w:r>
      <w:r>
        <w:rPr>
          <w:rFonts w:eastAsia="Times New Roman" w:cs="Times New Roman"/>
          <w:bCs/>
          <w:iCs/>
          <w:sz w:val="24"/>
          <w:szCs w:val="24"/>
        </w:rPr>
        <w:t>ve</w:t>
      </w:r>
      <w:r w:rsidR="00BB4FAA">
        <w:rPr>
          <w:rFonts w:eastAsia="Times New Roman" w:cs="Times New Roman"/>
          <w:bCs/>
          <w:iCs/>
          <w:sz w:val="24"/>
          <w:szCs w:val="24"/>
        </w:rPr>
        <w:t xml:space="preserve"> been derived </w:t>
      </w:r>
      <w:r>
        <w:rPr>
          <w:rFonts w:eastAsia="Times New Roman" w:cs="Times New Roman"/>
          <w:bCs/>
          <w:iCs/>
          <w:sz w:val="24"/>
          <w:szCs w:val="24"/>
        </w:rPr>
        <w:t>most of which have been poorly validated [</w:t>
      </w:r>
      <w:r w:rsidR="00D67A98">
        <w:rPr>
          <w:rFonts w:eastAsia="Times New Roman" w:cs="Times New Roman"/>
          <w:bCs/>
          <w:iCs/>
          <w:sz w:val="24"/>
          <w:szCs w:val="24"/>
        </w:rPr>
        <w:t>7, 8]</w:t>
      </w:r>
      <w:r w:rsidR="001A3C94">
        <w:rPr>
          <w:rFonts w:eastAsia="Times New Roman" w:cs="Times New Roman"/>
          <w:bCs/>
          <w:iCs/>
          <w:sz w:val="24"/>
          <w:szCs w:val="24"/>
        </w:rPr>
        <w:t xml:space="preserve">.  </w:t>
      </w:r>
      <w:r w:rsidR="00DC3FEE">
        <w:rPr>
          <w:rFonts w:eastAsia="Times New Roman" w:cs="Times New Roman"/>
          <w:bCs/>
          <w:iCs/>
          <w:sz w:val="24"/>
          <w:szCs w:val="24"/>
        </w:rPr>
        <w:t>The more adequately evaluated tools,</w:t>
      </w:r>
      <w:r w:rsidR="00DC3FEE" w:rsidRPr="00DC3FEE">
        <w:rPr>
          <w:rFonts w:eastAsia="Times New Roman" w:cs="Times New Roman"/>
          <w:bCs/>
          <w:iCs/>
          <w:sz w:val="24"/>
          <w:szCs w:val="24"/>
        </w:rPr>
        <w:t xml:space="preserve"> </w:t>
      </w:r>
      <w:r w:rsidR="00DC3FEE">
        <w:rPr>
          <w:rFonts w:eastAsia="Times New Roman" w:cs="Times New Roman"/>
          <w:bCs/>
          <w:iCs/>
          <w:sz w:val="24"/>
          <w:szCs w:val="24"/>
        </w:rPr>
        <w:t>all</w:t>
      </w:r>
      <w:r w:rsidR="00DC3FEE" w:rsidRPr="001A3C94">
        <w:rPr>
          <w:rFonts w:eastAsia="Times New Roman" w:cs="Times New Roman"/>
          <w:bCs/>
          <w:iCs/>
          <w:sz w:val="24"/>
          <w:szCs w:val="24"/>
        </w:rPr>
        <w:t xml:space="preserve"> available online</w:t>
      </w:r>
      <w:r w:rsidR="00DC3FEE">
        <w:rPr>
          <w:rFonts w:eastAsia="Times New Roman" w:cs="Times New Roman"/>
          <w:bCs/>
          <w:iCs/>
          <w:sz w:val="24"/>
          <w:szCs w:val="24"/>
        </w:rPr>
        <w:t xml:space="preserve"> include</w:t>
      </w:r>
      <w:r w:rsidR="001A3C94" w:rsidRPr="001A3C94">
        <w:rPr>
          <w:rFonts w:eastAsia="Times New Roman" w:cs="Times New Roman"/>
          <w:bCs/>
          <w:iCs/>
          <w:sz w:val="24"/>
          <w:szCs w:val="24"/>
        </w:rPr>
        <w:t xml:space="preserve"> the FRAX</w:t>
      </w:r>
      <w:r w:rsidR="00345012" w:rsidRPr="00345012">
        <w:rPr>
          <w:rFonts w:eastAsia="Times New Roman" w:cs="Times New Roman"/>
          <w:bCs/>
          <w:iCs/>
          <w:sz w:val="24"/>
          <w:szCs w:val="24"/>
        </w:rPr>
        <w:t>®</w:t>
      </w:r>
      <w:r w:rsidR="001A3C94" w:rsidRPr="001A3C94">
        <w:rPr>
          <w:rFonts w:eastAsia="Times New Roman" w:cs="Times New Roman"/>
          <w:bCs/>
          <w:iCs/>
          <w:sz w:val="24"/>
          <w:szCs w:val="24"/>
        </w:rPr>
        <w:t xml:space="preserve"> </w:t>
      </w:r>
      <w:r w:rsidR="00DC3FEE">
        <w:rPr>
          <w:rFonts w:eastAsia="Times New Roman" w:cs="Times New Roman"/>
          <w:bCs/>
          <w:iCs/>
          <w:sz w:val="24"/>
          <w:szCs w:val="24"/>
        </w:rPr>
        <w:t>t</w:t>
      </w:r>
      <w:r w:rsidR="001A3C94" w:rsidRPr="001A3C94">
        <w:rPr>
          <w:rFonts w:eastAsia="Times New Roman" w:cs="Times New Roman"/>
          <w:bCs/>
          <w:iCs/>
          <w:sz w:val="24"/>
          <w:szCs w:val="24"/>
        </w:rPr>
        <w:t>ool</w:t>
      </w:r>
      <w:r w:rsidR="0097765E">
        <w:rPr>
          <w:rFonts w:eastAsia="Times New Roman" w:cs="Times New Roman"/>
          <w:bCs/>
          <w:iCs/>
          <w:sz w:val="24"/>
          <w:szCs w:val="24"/>
        </w:rPr>
        <w:t xml:space="preserve"> [</w:t>
      </w:r>
      <w:r w:rsidR="00D67A98">
        <w:rPr>
          <w:rFonts w:eastAsia="Times New Roman" w:cs="Times New Roman"/>
          <w:bCs/>
          <w:iCs/>
          <w:sz w:val="24"/>
          <w:szCs w:val="24"/>
        </w:rPr>
        <w:t>7]</w:t>
      </w:r>
      <w:r w:rsidR="001A3C94" w:rsidRPr="001A3C94">
        <w:rPr>
          <w:rFonts w:eastAsia="Times New Roman" w:cs="Times New Roman"/>
          <w:bCs/>
          <w:iCs/>
          <w:sz w:val="24"/>
          <w:szCs w:val="24"/>
        </w:rPr>
        <w:t xml:space="preserve">, the </w:t>
      </w:r>
      <w:proofErr w:type="spellStart"/>
      <w:r w:rsidR="001A3C94" w:rsidRPr="001A3C94">
        <w:rPr>
          <w:rFonts w:eastAsia="Times New Roman" w:cs="Times New Roman"/>
          <w:bCs/>
          <w:iCs/>
          <w:sz w:val="24"/>
          <w:szCs w:val="24"/>
        </w:rPr>
        <w:t>Garvan</w:t>
      </w:r>
      <w:proofErr w:type="spellEnd"/>
      <w:r w:rsidR="001A3C94" w:rsidRPr="001A3C94">
        <w:rPr>
          <w:rFonts w:eastAsia="Times New Roman" w:cs="Times New Roman"/>
          <w:bCs/>
          <w:iCs/>
          <w:sz w:val="24"/>
          <w:szCs w:val="24"/>
        </w:rPr>
        <w:t xml:space="preserve"> fracture risk calculator </w:t>
      </w:r>
      <w:r w:rsidR="009F1C1A">
        <w:rPr>
          <w:rFonts w:eastAsia="Times New Roman" w:cs="Times New Roman"/>
          <w:bCs/>
          <w:iCs/>
          <w:sz w:val="24"/>
          <w:szCs w:val="24"/>
        </w:rPr>
        <w:t>[</w:t>
      </w:r>
      <w:r w:rsidR="00D67A98">
        <w:rPr>
          <w:rFonts w:eastAsia="Times New Roman" w:cs="Times New Roman"/>
          <w:bCs/>
          <w:iCs/>
          <w:sz w:val="24"/>
          <w:szCs w:val="24"/>
        </w:rPr>
        <w:t xml:space="preserve">9, 10] </w:t>
      </w:r>
      <w:r w:rsidR="001A3C94" w:rsidRPr="001A3C94">
        <w:rPr>
          <w:rFonts w:eastAsia="Times New Roman" w:cs="Times New Roman"/>
          <w:bCs/>
          <w:iCs/>
          <w:sz w:val="24"/>
          <w:szCs w:val="24"/>
        </w:rPr>
        <w:t>and</w:t>
      </w:r>
      <w:r w:rsidR="00C217E8">
        <w:rPr>
          <w:rFonts w:eastAsia="Times New Roman" w:cs="Times New Roman"/>
          <w:bCs/>
          <w:iCs/>
          <w:sz w:val="24"/>
          <w:szCs w:val="24"/>
        </w:rPr>
        <w:t>, in the UK,</w:t>
      </w:r>
      <w:r w:rsidR="001A3C94" w:rsidRPr="001A3C94">
        <w:rPr>
          <w:rFonts w:eastAsia="Times New Roman" w:cs="Times New Roman"/>
          <w:bCs/>
          <w:iCs/>
          <w:sz w:val="24"/>
          <w:szCs w:val="24"/>
        </w:rPr>
        <w:t xml:space="preserve"> </w:t>
      </w:r>
      <w:proofErr w:type="spellStart"/>
      <w:r w:rsidR="00345012" w:rsidRPr="00345012">
        <w:rPr>
          <w:rFonts w:eastAsia="Times New Roman" w:cs="Times New Roman"/>
          <w:bCs/>
          <w:iCs/>
          <w:sz w:val="24"/>
          <w:szCs w:val="24"/>
        </w:rPr>
        <w:t>QFracture</w:t>
      </w:r>
      <w:proofErr w:type="spellEnd"/>
      <w:r w:rsidR="00345012" w:rsidRPr="00345012">
        <w:rPr>
          <w:rFonts w:eastAsia="Times New Roman" w:cs="Times New Roman"/>
          <w:bCs/>
          <w:iCs/>
          <w:sz w:val="24"/>
          <w:szCs w:val="24"/>
        </w:rPr>
        <w:t>®</w:t>
      </w:r>
      <w:r w:rsidR="001A3C94" w:rsidRPr="001A3C94">
        <w:rPr>
          <w:rFonts w:eastAsia="Times New Roman" w:cs="Times New Roman"/>
          <w:bCs/>
          <w:iCs/>
          <w:sz w:val="24"/>
          <w:szCs w:val="24"/>
        </w:rPr>
        <w:t xml:space="preserve"> [</w:t>
      </w:r>
      <w:r w:rsidR="00D67A98">
        <w:rPr>
          <w:rFonts w:eastAsia="Times New Roman" w:cs="Times New Roman"/>
          <w:bCs/>
          <w:iCs/>
          <w:sz w:val="24"/>
          <w:szCs w:val="24"/>
        </w:rPr>
        <w:t>11, 12]</w:t>
      </w:r>
      <w:r w:rsidR="001A3C94" w:rsidRPr="001A3C94">
        <w:rPr>
          <w:rFonts w:eastAsia="Times New Roman" w:cs="Times New Roman"/>
          <w:bCs/>
          <w:iCs/>
          <w:sz w:val="24"/>
          <w:szCs w:val="24"/>
        </w:rPr>
        <w:t>.</w:t>
      </w:r>
    </w:p>
    <w:p w14:paraId="497C8602" w14:textId="1A2F622B" w:rsidR="0006334A" w:rsidRDefault="001A3C94" w:rsidP="000E4B90">
      <w:pPr>
        <w:keepNext/>
        <w:spacing w:after="120" w:line="240" w:lineRule="auto"/>
        <w:outlineLvl w:val="1"/>
        <w:rPr>
          <w:rFonts w:eastAsia="Times New Roman" w:cs="Times New Roman"/>
          <w:bCs/>
          <w:iCs/>
          <w:sz w:val="24"/>
          <w:szCs w:val="24"/>
        </w:rPr>
      </w:pPr>
      <w:r w:rsidRPr="001A3C94">
        <w:rPr>
          <w:rFonts w:eastAsia="Times New Roman" w:cs="Times New Roman"/>
          <w:bCs/>
          <w:iCs/>
          <w:sz w:val="24"/>
          <w:szCs w:val="24"/>
        </w:rPr>
        <w:t xml:space="preserve">  </w:t>
      </w:r>
    </w:p>
    <w:p w14:paraId="16CE16C9" w14:textId="492DE619" w:rsidR="0019719A" w:rsidRPr="0019719A" w:rsidRDefault="0006334A" w:rsidP="000E4B90">
      <w:pPr>
        <w:keepNext/>
        <w:spacing w:after="120" w:line="276" w:lineRule="auto"/>
        <w:outlineLvl w:val="1"/>
        <w:rPr>
          <w:rFonts w:eastAsia="Times New Roman" w:cs="Times New Roman"/>
          <w:i/>
          <w:iCs/>
          <w:sz w:val="24"/>
          <w:szCs w:val="24"/>
        </w:rPr>
      </w:pPr>
      <w:r w:rsidRPr="001B66DB">
        <w:rPr>
          <w:rFonts w:eastAsia="Times New Roman" w:cs="Times New Roman"/>
          <w:i/>
          <w:iCs/>
          <w:sz w:val="24"/>
          <w:szCs w:val="24"/>
        </w:rPr>
        <w:t>FRAX</w:t>
      </w:r>
      <w:r w:rsidR="0019719A" w:rsidRPr="0019719A">
        <w:rPr>
          <w:rFonts w:eastAsia="Times New Roman" w:cs="Times New Roman"/>
          <w:i/>
          <w:iCs/>
          <w:sz w:val="24"/>
          <w:szCs w:val="24"/>
        </w:rPr>
        <w:t xml:space="preserve"> </w:t>
      </w:r>
    </w:p>
    <w:p w14:paraId="6C8FCBAA" w14:textId="71C037B2" w:rsidR="00DC01A6" w:rsidRPr="001B66DB" w:rsidRDefault="00DC01A6" w:rsidP="000E4B90">
      <w:pPr>
        <w:keepNext/>
        <w:spacing w:after="120" w:line="276" w:lineRule="auto"/>
        <w:outlineLvl w:val="1"/>
        <w:rPr>
          <w:rFonts w:eastAsia="Times New Roman" w:cs="Times New Roman"/>
          <w:iCs/>
          <w:sz w:val="24"/>
          <w:szCs w:val="24"/>
        </w:rPr>
      </w:pPr>
      <w:r w:rsidRPr="001B66DB">
        <w:rPr>
          <w:rFonts w:eastAsia="Times New Roman" w:cs="Times New Roman"/>
          <w:iCs/>
          <w:sz w:val="24"/>
          <w:szCs w:val="24"/>
        </w:rPr>
        <w:t>The FRAX algorithm is based on a series of meta-analyses of data from 12 independent fracture studies from North America, Europe, Asia, and Australia</w:t>
      </w:r>
      <w:r w:rsidR="001B66DB">
        <w:rPr>
          <w:rFonts w:eastAsia="Times New Roman" w:cs="Times New Roman"/>
          <w:iCs/>
          <w:sz w:val="24"/>
          <w:szCs w:val="24"/>
        </w:rPr>
        <w:t xml:space="preserve"> [</w:t>
      </w:r>
      <w:r w:rsidR="00D67A98">
        <w:rPr>
          <w:rFonts w:eastAsia="Times New Roman" w:cs="Times New Roman"/>
          <w:iCs/>
          <w:sz w:val="24"/>
          <w:szCs w:val="24"/>
        </w:rPr>
        <w:t>13-18]</w:t>
      </w:r>
      <w:r w:rsidR="00181BC3">
        <w:rPr>
          <w:rFonts w:eastAsia="Times New Roman" w:cs="Times New Roman"/>
          <w:iCs/>
          <w:sz w:val="24"/>
          <w:szCs w:val="24"/>
        </w:rPr>
        <w:t>, which</w:t>
      </w:r>
      <w:r w:rsidRPr="001B66DB">
        <w:rPr>
          <w:rFonts w:eastAsia="Times New Roman" w:cs="Times New Roman"/>
          <w:iCs/>
          <w:sz w:val="24"/>
          <w:szCs w:val="24"/>
        </w:rPr>
        <w:t xml:space="preserve"> </w:t>
      </w:r>
      <w:r w:rsidR="00181BC3">
        <w:rPr>
          <w:rFonts w:eastAsia="Times New Roman" w:cs="Times New Roman"/>
          <w:iCs/>
          <w:sz w:val="24"/>
          <w:szCs w:val="24"/>
        </w:rPr>
        <w:t>comprised</w:t>
      </w:r>
      <w:r w:rsidRPr="001B66DB">
        <w:rPr>
          <w:rFonts w:eastAsia="Times New Roman" w:cs="Times New Roman"/>
          <w:iCs/>
          <w:sz w:val="24"/>
          <w:szCs w:val="24"/>
        </w:rPr>
        <w:t xml:space="preserve"> a </w:t>
      </w:r>
      <w:r w:rsidRPr="001B66DB">
        <w:rPr>
          <w:rFonts w:eastAsia="Times New Roman" w:cs="Times New Roman"/>
          <w:iCs/>
          <w:sz w:val="24"/>
          <w:szCs w:val="24"/>
        </w:rPr>
        <w:lastRenderedPageBreak/>
        <w:t>total of 60,000 men and women with more than 250,000 person-years of follow-up, and included more than 1100 cases of hip fracture and 3300 osteoporotic fractures</w:t>
      </w:r>
      <w:r w:rsidR="00181BC3">
        <w:rPr>
          <w:rFonts w:eastAsia="Times New Roman" w:cs="Times New Roman"/>
          <w:iCs/>
          <w:sz w:val="24"/>
          <w:szCs w:val="24"/>
        </w:rPr>
        <w:t xml:space="preserve"> [</w:t>
      </w:r>
      <w:r w:rsidR="00D67A98">
        <w:rPr>
          <w:rFonts w:eastAsia="Times New Roman" w:cs="Times New Roman"/>
          <w:iCs/>
          <w:sz w:val="24"/>
          <w:szCs w:val="24"/>
        </w:rPr>
        <w:t>7]</w:t>
      </w:r>
      <w:r w:rsidRPr="001B66DB">
        <w:rPr>
          <w:rFonts w:eastAsia="Times New Roman" w:cs="Times New Roman"/>
          <w:iCs/>
          <w:sz w:val="24"/>
          <w:szCs w:val="24"/>
        </w:rPr>
        <w:t>.</w:t>
      </w:r>
      <w:r w:rsidR="00181BC3" w:rsidRPr="001B66DB">
        <w:rPr>
          <w:rFonts w:eastAsia="Times New Roman" w:cs="Times New Roman"/>
          <w:iCs/>
          <w:sz w:val="24"/>
          <w:szCs w:val="24"/>
        </w:rPr>
        <w:t xml:space="preserve"> </w:t>
      </w:r>
    </w:p>
    <w:p w14:paraId="600105E5" w14:textId="1AD721BB" w:rsidR="00E23F32" w:rsidRPr="001B66DB" w:rsidRDefault="00DC01A6" w:rsidP="000E4B90">
      <w:pPr>
        <w:keepNext/>
        <w:spacing w:after="120" w:line="276" w:lineRule="auto"/>
        <w:outlineLvl w:val="1"/>
        <w:rPr>
          <w:rFonts w:eastAsia="Times New Roman" w:cs="Times New Roman"/>
          <w:iCs/>
          <w:sz w:val="24"/>
          <w:szCs w:val="24"/>
        </w:rPr>
      </w:pPr>
      <w:r w:rsidRPr="001B66DB">
        <w:rPr>
          <w:rFonts w:eastAsia="Times New Roman" w:cs="Times New Roman"/>
          <w:iCs/>
          <w:sz w:val="24"/>
          <w:szCs w:val="24"/>
        </w:rPr>
        <w:t xml:space="preserve">After the fracture risk algorithm had been constructed using </w:t>
      </w:r>
      <w:r w:rsidR="00C217E8" w:rsidRPr="00C217E8">
        <w:rPr>
          <w:rFonts w:eastAsia="Times New Roman" w:cs="Times New Roman"/>
          <w:iCs/>
          <w:sz w:val="24"/>
          <w:szCs w:val="24"/>
        </w:rPr>
        <w:t xml:space="preserve">primary data from </w:t>
      </w:r>
      <w:r w:rsidRPr="001B66DB">
        <w:rPr>
          <w:rFonts w:eastAsia="Times New Roman" w:cs="Times New Roman"/>
          <w:iCs/>
          <w:sz w:val="24"/>
          <w:szCs w:val="24"/>
        </w:rPr>
        <w:t xml:space="preserve">these studies, a validation study was performed using </w:t>
      </w:r>
      <w:r w:rsidR="00C217E8" w:rsidRPr="00C217E8">
        <w:rPr>
          <w:rFonts w:eastAsia="Times New Roman" w:cs="Times New Roman"/>
          <w:iCs/>
          <w:sz w:val="24"/>
          <w:szCs w:val="24"/>
        </w:rPr>
        <w:t xml:space="preserve">individual-level </w:t>
      </w:r>
      <w:r w:rsidRPr="001B66DB">
        <w:rPr>
          <w:rFonts w:eastAsia="Times New Roman" w:cs="Times New Roman"/>
          <w:iCs/>
          <w:sz w:val="24"/>
          <w:szCs w:val="24"/>
        </w:rPr>
        <w:t>data from 11 independent population-based cohorts that were not used in the development of the original model</w:t>
      </w:r>
      <w:r w:rsidR="00181BC3">
        <w:rPr>
          <w:rFonts w:eastAsia="Times New Roman" w:cs="Times New Roman"/>
          <w:iCs/>
          <w:sz w:val="24"/>
          <w:szCs w:val="24"/>
        </w:rPr>
        <w:t xml:space="preserve"> [</w:t>
      </w:r>
      <w:r w:rsidR="00D67A98">
        <w:rPr>
          <w:rFonts w:eastAsia="Times New Roman" w:cs="Times New Roman"/>
          <w:iCs/>
          <w:sz w:val="24"/>
          <w:szCs w:val="24"/>
        </w:rPr>
        <w:t>19]</w:t>
      </w:r>
      <w:r w:rsidRPr="001B66DB">
        <w:rPr>
          <w:rFonts w:eastAsia="Times New Roman" w:cs="Times New Roman"/>
          <w:iCs/>
          <w:sz w:val="24"/>
          <w:szCs w:val="24"/>
        </w:rPr>
        <w:t xml:space="preserve">. </w:t>
      </w:r>
      <w:r w:rsidR="00C217E8" w:rsidRPr="001B66DB">
        <w:rPr>
          <w:rFonts w:eastAsia="Times New Roman" w:cs="Times New Roman"/>
          <w:iCs/>
          <w:sz w:val="24"/>
          <w:szCs w:val="24"/>
        </w:rPr>
        <w:t>The</w:t>
      </w:r>
      <w:r w:rsidR="00C217E8">
        <w:rPr>
          <w:rFonts w:eastAsia="Times New Roman" w:cs="Times New Roman"/>
          <w:iCs/>
          <w:sz w:val="24"/>
          <w:szCs w:val="24"/>
        </w:rPr>
        <w:t xml:space="preserve"> latter</w:t>
      </w:r>
      <w:r w:rsidR="00C217E8" w:rsidRPr="001B66DB">
        <w:rPr>
          <w:rFonts w:eastAsia="Times New Roman" w:cs="Times New Roman"/>
          <w:iCs/>
          <w:sz w:val="24"/>
          <w:szCs w:val="24"/>
        </w:rPr>
        <w:t xml:space="preserve"> </w:t>
      </w:r>
      <w:r w:rsidR="009B71B3">
        <w:rPr>
          <w:rFonts w:eastAsia="Times New Roman" w:cs="Times New Roman"/>
          <w:iCs/>
          <w:sz w:val="24"/>
          <w:szCs w:val="24"/>
        </w:rPr>
        <w:t>comprised</w:t>
      </w:r>
      <w:r w:rsidRPr="001B66DB">
        <w:rPr>
          <w:rFonts w:eastAsia="Times New Roman" w:cs="Times New Roman"/>
          <w:iCs/>
          <w:sz w:val="24"/>
          <w:szCs w:val="24"/>
        </w:rPr>
        <w:t xml:space="preserve"> a total of 230,000 </w:t>
      </w:r>
      <w:r w:rsidR="009B71B3">
        <w:rPr>
          <w:rFonts w:eastAsia="Times New Roman" w:cs="Times New Roman"/>
          <w:iCs/>
          <w:sz w:val="24"/>
          <w:szCs w:val="24"/>
        </w:rPr>
        <w:t>individuals</w:t>
      </w:r>
      <w:r w:rsidRPr="001B66DB">
        <w:rPr>
          <w:rFonts w:eastAsia="Times New Roman" w:cs="Times New Roman"/>
          <w:iCs/>
          <w:sz w:val="24"/>
          <w:szCs w:val="24"/>
        </w:rPr>
        <w:t xml:space="preserve"> with more than 1.2 million person-years of follow up. By reason of its large numbers, its international character, and the care taken in its construction and implementation</w:t>
      </w:r>
      <w:r w:rsidR="00C217E8">
        <w:rPr>
          <w:rFonts w:eastAsia="Times New Roman" w:cs="Times New Roman"/>
          <w:iCs/>
          <w:sz w:val="24"/>
          <w:szCs w:val="24"/>
        </w:rPr>
        <w:t>,</w:t>
      </w:r>
      <w:r w:rsidRPr="001B66DB">
        <w:rPr>
          <w:rFonts w:eastAsia="Times New Roman" w:cs="Times New Roman"/>
          <w:iCs/>
          <w:sz w:val="24"/>
          <w:szCs w:val="24"/>
        </w:rPr>
        <w:t xml:space="preserve"> the FRAX algorithm </w:t>
      </w:r>
      <w:r w:rsidR="00181BC3">
        <w:rPr>
          <w:rFonts w:eastAsia="Times New Roman" w:cs="Times New Roman"/>
          <w:iCs/>
          <w:sz w:val="24"/>
          <w:szCs w:val="24"/>
        </w:rPr>
        <w:t>is considered to have</w:t>
      </w:r>
      <w:r w:rsidRPr="001B66DB">
        <w:rPr>
          <w:rFonts w:eastAsia="Times New Roman" w:cs="Times New Roman"/>
          <w:iCs/>
          <w:sz w:val="24"/>
          <w:szCs w:val="24"/>
        </w:rPr>
        <w:t xml:space="preserve"> unique </w:t>
      </w:r>
      <w:r w:rsidRPr="006572CD">
        <w:rPr>
          <w:rFonts w:eastAsia="Times New Roman" w:cs="Times New Roman"/>
          <w:iCs/>
          <w:sz w:val="24"/>
          <w:szCs w:val="24"/>
        </w:rPr>
        <w:t>authority [</w:t>
      </w:r>
      <w:r w:rsidR="00D67A98" w:rsidRPr="006572CD">
        <w:rPr>
          <w:rFonts w:eastAsia="Times New Roman" w:cs="Times New Roman"/>
          <w:iCs/>
          <w:sz w:val="24"/>
          <w:szCs w:val="24"/>
        </w:rPr>
        <w:t>20]</w:t>
      </w:r>
      <w:r w:rsidRPr="006572CD">
        <w:rPr>
          <w:rFonts w:eastAsia="Times New Roman" w:cs="Times New Roman"/>
          <w:iCs/>
          <w:sz w:val="24"/>
          <w:szCs w:val="24"/>
        </w:rPr>
        <w:t>.</w:t>
      </w:r>
      <w:r w:rsidRPr="006572CD">
        <w:rPr>
          <w:rFonts w:cs="Berkeley-Book"/>
          <w:color w:val="000000"/>
          <w:sz w:val="24"/>
          <w:szCs w:val="24"/>
        </w:rPr>
        <w:t xml:space="preserve"> </w:t>
      </w:r>
      <w:r w:rsidRPr="006572CD">
        <w:rPr>
          <w:rFonts w:eastAsia="Times New Roman" w:cs="Times New Roman"/>
          <w:iCs/>
          <w:sz w:val="24"/>
          <w:szCs w:val="24"/>
        </w:rPr>
        <w:t xml:space="preserve">The </w:t>
      </w:r>
      <w:r w:rsidR="00181BC3" w:rsidRPr="006572CD">
        <w:rPr>
          <w:rFonts w:eastAsia="Times New Roman" w:cs="Times New Roman"/>
          <w:iCs/>
          <w:sz w:val="24"/>
          <w:szCs w:val="24"/>
        </w:rPr>
        <w:t>algorithm</w:t>
      </w:r>
      <w:r w:rsidRPr="001B66DB">
        <w:rPr>
          <w:rFonts w:eastAsia="Times New Roman" w:cs="Times New Roman"/>
          <w:iCs/>
          <w:sz w:val="24"/>
          <w:szCs w:val="24"/>
        </w:rPr>
        <w:t xml:space="preserve"> provides information on the 10-year </w:t>
      </w:r>
      <w:r w:rsidR="00181BC3">
        <w:rPr>
          <w:rFonts w:eastAsia="Times New Roman" w:cs="Times New Roman"/>
          <w:iCs/>
          <w:sz w:val="24"/>
          <w:szCs w:val="24"/>
        </w:rPr>
        <w:t>probabilities</w:t>
      </w:r>
      <w:r w:rsidRPr="001B66DB">
        <w:rPr>
          <w:rFonts w:eastAsia="Times New Roman" w:cs="Times New Roman"/>
          <w:iCs/>
          <w:sz w:val="24"/>
          <w:szCs w:val="24"/>
        </w:rPr>
        <w:t xml:space="preserve"> of hip fracture and any major osteoporotic fracture (defined as a hip, wrist, </w:t>
      </w:r>
      <w:proofErr w:type="spellStart"/>
      <w:r w:rsidRPr="001B66DB">
        <w:rPr>
          <w:rFonts w:eastAsia="Times New Roman" w:cs="Times New Roman"/>
          <w:iCs/>
          <w:sz w:val="24"/>
          <w:szCs w:val="24"/>
        </w:rPr>
        <w:t>humerus</w:t>
      </w:r>
      <w:proofErr w:type="spellEnd"/>
      <w:r w:rsidRPr="001B66DB">
        <w:rPr>
          <w:rFonts w:eastAsia="Times New Roman" w:cs="Times New Roman"/>
          <w:iCs/>
          <w:sz w:val="24"/>
          <w:szCs w:val="24"/>
        </w:rPr>
        <w:t>, or clinical vertebral fracture).</w:t>
      </w:r>
      <w:r w:rsidR="00181BC3" w:rsidRPr="001B66DB">
        <w:rPr>
          <w:rFonts w:eastAsia="Times New Roman" w:cs="Times New Roman"/>
          <w:iCs/>
          <w:sz w:val="24"/>
          <w:szCs w:val="24"/>
        </w:rPr>
        <w:t xml:space="preserve"> </w:t>
      </w:r>
      <w:r w:rsidR="00181BC3">
        <w:rPr>
          <w:rFonts w:eastAsia="Times New Roman" w:cs="Times New Roman"/>
          <w:iCs/>
          <w:sz w:val="24"/>
          <w:szCs w:val="24"/>
        </w:rPr>
        <w:t xml:space="preserve"> Further details are provided in an accompanying paper in this volume</w:t>
      </w:r>
      <w:r w:rsidR="009B71B3">
        <w:rPr>
          <w:rFonts w:eastAsia="Times New Roman" w:cs="Times New Roman"/>
          <w:iCs/>
          <w:sz w:val="24"/>
          <w:szCs w:val="24"/>
        </w:rPr>
        <w:t>.</w:t>
      </w:r>
    </w:p>
    <w:p w14:paraId="7B4CC939" w14:textId="587C2E6E" w:rsidR="0019719A" w:rsidRPr="0019719A" w:rsidRDefault="001A3C94" w:rsidP="000E4B90">
      <w:pPr>
        <w:keepNext/>
        <w:spacing w:after="120" w:line="276" w:lineRule="auto"/>
        <w:outlineLvl w:val="1"/>
        <w:rPr>
          <w:rFonts w:eastAsia="Times New Roman" w:cs="Times New Roman"/>
          <w:i/>
          <w:iCs/>
          <w:sz w:val="24"/>
          <w:szCs w:val="24"/>
        </w:rPr>
      </w:pPr>
      <w:proofErr w:type="spellStart"/>
      <w:r w:rsidRPr="00345012">
        <w:rPr>
          <w:rFonts w:eastAsia="Times New Roman" w:cs="Times New Roman"/>
          <w:i/>
          <w:iCs/>
          <w:sz w:val="24"/>
          <w:szCs w:val="24"/>
        </w:rPr>
        <w:t>QFracture</w:t>
      </w:r>
      <w:proofErr w:type="spellEnd"/>
    </w:p>
    <w:p w14:paraId="4BD0965A" w14:textId="2A96A05A" w:rsidR="0019719A" w:rsidRPr="0019719A" w:rsidRDefault="0019719A" w:rsidP="000E4B90">
      <w:pPr>
        <w:keepNext/>
        <w:spacing w:after="120" w:line="276" w:lineRule="auto"/>
        <w:outlineLvl w:val="1"/>
        <w:rPr>
          <w:rFonts w:eastAsia="Times New Roman" w:cs="Times New Roman"/>
          <w:iCs/>
          <w:sz w:val="24"/>
          <w:szCs w:val="24"/>
        </w:rPr>
      </w:pPr>
      <w:r w:rsidRPr="0019719A">
        <w:rPr>
          <w:rFonts w:eastAsia="Times New Roman" w:cs="Times New Roman"/>
          <w:iCs/>
          <w:sz w:val="24"/>
          <w:szCs w:val="24"/>
        </w:rPr>
        <w:t xml:space="preserve">The </w:t>
      </w:r>
      <w:proofErr w:type="spellStart"/>
      <w:r w:rsidRPr="0019719A">
        <w:rPr>
          <w:rFonts w:eastAsia="Times New Roman" w:cs="Times New Roman"/>
          <w:iCs/>
          <w:sz w:val="24"/>
          <w:szCs w:val="24"/>
        </w:rPr>
        <w:t>QFracture</w:t>
      </w:r>
      <w:proofErr w:type="spellEnd"/>
      <w:r w:rsidRPr="0019719A">
        <w:rPr>
          <w:rFonts w:eastAsia="Times New Roman" w:cs="Times New Roman"/>
          <w:iCs/>
          <w:sz w:val="24"/>
          <w:szCs w:val="24"/>
        </w:rPr>
        <w:t xml:space="preserve"> tool is based on a UK prospective open cohort study of routinely collected data from 357 general practices on over 2 million men and women aged 30-85 years (</w:t>
      </w:r>
      <w:hyperlink r:id="rId8" w:history="1">
        <w:r w:rsidRPr="00345012">
          <w:rPr>
            <w:rFonts w:eastAsia="Times New Roman" w:cs="Times New Roman"/>
            <w:iCs/>
            <w:color w:val="0000FF"/>
            <w:sz w:val="24"/>
            <w:szCs w:val="24"/>
            <w:u w:val="single"/>
          </w:rPr>
          <w:t>www.qfracture.org</w:t>
        </w:r>
      </w:hyperlink>
      <w:r w:rsidRPr="0019719A">
        <w:rPr>
          <w:rFonts w:eastAsia="Times New Roman" w:cs="Times New Roman"/>
          <w:iCs/>
          <w:sz w:val="24"/>
          <w:szCs w:val="24"/>
        </w:rPr>
        <w:t>) [</w:t>
      </w:r>
      <w:r w:rsidR="00746E8D">
        <w:rPr>
          <w:rFonts w:eastAsia="Times New Roman" w:cs="Times New Roman"/>
          <w:iCs/>
          <w:sz w:val="24"/>
          <w:szCs w:val="24"/>
        </w:rPr>
        <w:t>11]</w:t>
      </w:r>
      <w:r w:rsidRPr="0019719A">
        <w:rPr>
          <w:rFonts w:eastAsia="Times New Roman" w:cs="Times New Roman"/>
          <w:iCs/>
          <w:sz w:val="24"/>
          <w:szCs w:val="24"/>
        </w:rPr>
        <w:t>. Like the FRAX tool it takes into account history of smoking, alcohol, corticosteroid use, parental history (of hip fracture or osteoporosis) and several secondary causes of osteoporosis. Unlike FRAX it also includes a history of falls (yes/no only over an unspecified time frame)</w:t>
      </w:r>
      <w:r w:rsidR="00062CF4">
        <w:rPr>
          <w:rFonts w:eastAsia="Times New Roman" w:cs="Times New Roman"/>
          <w:iCs/>
          <w:sz w:val="24"/>
          <w:szCs w:val="24"/>
        </w:rPr>
        <w:t>,</w:t>
      </w:r>
      <w:r w:rsidR="003225FE">
        <w:rPr>
          <w:rFonts w:eastAsia="Times New Roman" w:cs="Times New Roman"/>
          <w:iCs/>
          <w:sz w:val="24"/>
          <w:szCs w:val="24"/>
        </w:rPr>
        <w:t xml:space="preserve"> utilises a large number of clinical risk factors </w:t>
      </w:r>
      <w:r w:rsidR="00062CF4">
        <w:rPr>
          <w:rFonts w:eastAsia="Times New Roman" w:cs="Times New Roman"/>
          <w:iCs/>
          <w:sz w:val="24"/>
          <w:szCs w:val="24"/>
        </w:rPr>
        <w:t xml:space="preserve">and </w:t>
      </w:r>
      <w:r w:rsidR="003225FE">
        <w:rPr>
          <w:rFonts w:eastAsia="Times New Roman" w:cs="Times New Roman"/>
          <w:iCs/>
          <w:sz w:val="24"/>
          <w:szCs w:val="24"/>
        </w:rPr>
        <w:t xml:space="preserve">no provision is made for BMD. </w:t>
      </w:r>
      <w:r w:rsidRPr="0019719A">
        <w:rPr>
          <w:rFonts w:eastAsia="Times New Roman" w:cs="Times New Roman"/>
          <w:iCs/>
          <w:sz w:val="24"/>
          <w:szCs w:val="24"/>
        </w:rPr>
        <w:t xml:space="preserve">It has been internally validated (i.e. from a stratum of the </w:t>
      </w:r>
      <w:r w:rsidR="003225FE">
        <w:rPr>
          <w:rFonts w:eastAsia="Times New Roman" w:cs="Times New Roman"/>
          <w:iCs/>
          <w:sz w:val="24"/>
          <w:szCs w:val="24"/>
        </w:rPr>
        <w:t xml:space="preserve">same </w:t>
      </w:r>
      <w:r w:rsidRPr="0019719A">
        <w:rPr>
          <w:rFonts w:eastAsia="Times New Roman" w:cs="Times New Roman"/>
          <w:iCs/>
          <w:sz w:val="24"/>
          <w:szCs w:val="24"/>
        </w:rPr>
        <w:t xml:space="preserve">population), </w:t>
      </w:r>
      <w:r w:rsidR="003225FE">
        <w:rPr>
          <w:rFonts w:eastAsia="Times New Roman" w:cs="Times New Roman"/>
          <w:iCs/>
          <w:sz w:val="24"/>
          <w:szCs w:val="24"/>
        </w:rPr>
        <w:t>and</w:t>
      </w:r>
      <w:r w:rsidRPr="0019719A">
        <w:rPr>
          <w:rFonts w:eastAsia="Times New Roman" w:cs="Times New Roman"/>
          <w:iCs/>
          <w:sz w:val="24"/>
          <w:szCs w:val="24"/>
        </w:rPr>
        <w:t xml:space="preserve"> externally validated</w:t>
      </w:r>
      <w:r w:rsidR="003225FE">
        <w:rPr>
          <w:rFonts w:eastAsia="Times New Roman" w:cs="Times New Roman"/>
          <w:iCs/>
          <w:sz w:val="24"/>
          <w:szCs w:val="24"/>
        </w:rPr>
        <w:t xml:space="preserve"> in a similar population</w:t>
      </w:r>
      <w:r w:rsidR="003225FE" w:rsidRPr="003225FE">
        <w:rPr>
          <w:rFonts w:eastAsia="Times New Roman" w:cs="Times New Roman"/>
          <w:iCs/>
          <w:sz w:val="24"/>
          <w:szCs w:val="24"/>
        </w:rPr>
        <w:t xml:space="preserve"> </w:t>
      </w:r>
      <w:r w:rsidR="003225FE">
        <w:rPr>
          <w:rFonts w:eastAsia="Times New Roman" w:cs="Times New Roman"/>
          <w:iCs/>
          <w:sz w:val="24"/>
          <w:szCs w:val="24"/>
        </w:rPr>
        <w:t>(</w:t>
      </w:r>
      <w:r w:rsidR="003225FE" w:rsidRPr="0019719A">
        <w:rPr>
          <w:rFonts w:eastAsia="Times New Roman" w:cs="Times New Roman"/>
          <w:iCs/>
          <w:sz w:val="24"/>
          <w:szCs w:val="24"/>
        </w:rPr>
        <w:t>routinely collected data</w:t>
      </w:r>
      <w:r w:rsidR="003225FE">
        <w:rPr>
          <w:rFonts w:eastAsia="Times New Roman" w:cs="Times New Roman"/>
          <w:iCs/>
          <w:sz w:val="24"/>
          <w:szCs w:val="24"/>
        </w:rPr>
        <w:t xml:space="preserve"> in general practitioner records)</w:t>
      </w:r>
      <w:r w:rsidRPr="0019719A">
        <w:rPr>
          <w:rFonts w:eastAsia="Times New Roman" w:cs="Times New Roman"/>
          <w:iCs/>
          <w:sz w:val="24"/>
          <w:szCs w:val="24"/>
        </w:rPr>
        <w:t>.  The performance characteristics and calibration in the UK have been compared with FRAX with comparable results</w:t>
      </w:r>
      <w:r w:rsidR="003225FE">
        <w:rPr>
          <w:rFonts w:eastAsia="Times New Roman" w:cs="Times New Roman"/>
          <w:iCs/>
          <w:sz w:val="24"/>
          <w:szCs w:val="24"/>
        </w:rPr>
        <w:t xml:space="preserve"> for hip fracture</w:t>
      </w:r>
      <w:r w:rsidRPr="0019719A">
        <w:rPr>
          <w:rFonts w:eastAsia="Times New Roman" w:cs="Times New Roman"/>
          <w:iCs/>
          <w:sz w:val="24"/>
          <w:szCs w:val="24"/>
        </w:rPr>
        <w:t xml:space="preserve">.  The tool is not calibrated </w:t>
      </w:r>
      <w:r w:rsidR="009F1C1A">
        <w:rPr>
          <w:rFonts w:eastAsia="Times New Roman" w:cs="Times New Roman"/>
          <w:iCs/>
          <w:sz w:val="24"/>
          <w:szCs w:val="24"/>
        </w:rPr>
        <w:t xml:space="preserve">to </w:t>
      </w:r>
      <w:r w:rsidRPr="0019719A">
        <w:rPr>
          <w:rFonts w:eastAsia="Times New Roman" w:cs="Times New Roman"/>
          <w:iCs/>
          <w:sz w:val="24"/>
          <w:szCs w:val="24"/>
        </w:rPr>
        <w:t xml:space="preserve">the epidemiology of other countries. </w:t>
      </w:r>
      <w:r w:rsidR="00A41C7E">
        <w:rPr>
          <w:rFonts w:eastAsia="Times New Roman" w:cs="Times New Roman"/>
          <w:iCs/>
          <w:sz w:val="24"/>
          <w:szCs w:val="24"/>
        </w:rPr>
        <w:t>A feature of</w:t>
      </w:r>
      <w:r w:rsidR="00A41C7E" w:rsidRPr="00A41C7E">
        <w:rPr>
          <w:rFonts w:eastAsia="Times New Roman" w:cs="Times New Roman"/>
          <w:iCs/>
          <w:sz w:val="24"/>
          <w:szCs w:val="24"/>
        </w:rPr>
        <w:t xml:space="preserve"> </w:t>
      </w:r>
      <w:proofErr w:type="spellStart"/>
      <w:r w:rsidR="00A41C7E" w:rsidRPr="00A41C7E">
        <w:rPr>
          <w:rFonts w:eastAsia="Times New Roman" w:cs="Times New Roman"/>
          <w:iCs/>
          <w:sz w:val="24"/>
          <w:szCs w:val="24"/>
        </w:rPr>
        <w:t>QFracture</w:t>
      </w:r>
      <w:proofErr w:type="spellEnd"/>
      <w:r w:rsidR="00A41C7E" w:rsidRPr="00A41C7E">
        <w:rPr>
          <w:rFonts w:eastAsia="Times New Roman" w:cs="Times New Roman"/>
          <w:iCs/>
          <w:sz w:val="24"/>
          <w:szCs w:val="24"/>
        </w:rPr>
        <w:t xml:space="preserve"> is that it is more cumbersome (more questions), and does not accommodate the inclusion of BMD.  BMD measurements are dismissed as “expensive and inconvenient tests” [</w:t>
      </w:r>
      <w:r w:rsidR="00746E8D">
        <w:rPr>
          <w:rFonts w:eastAsia="Times New Roman" w:cs="Times New Roman"/>
          <w:iCs/>
          <w:sz w:val="24"/>
          <w:szCs w:val="24"/>
        </w:rPr>
        <w:t xml:space="preserve">11] </w:t>
      </w:r>
      <w:r w:rsidR="00A41C7E" w:rsidRPr="00A41C7E">
        <w:rPr>
          <w:rFonts w:eastAsia="Times New Roman" w:cs="Times New Roman"/>
          <w:iCs/>
          <w:sz w:val="24"/>
          <w:szCs w:val="24"/>
        </w:rPr>
        <w:t xml:space="preserve">and so the model ignores a wealth of data demonstrating the utility of BMD testing in fracture risk assessment.  </w:t>
      </w:r>
    </w:p>
    <w:p w14:paraId="5C5EB9B4" w14:textId="390716FE" w:rsidR="000C21FB" w:rsidRPr="00A41C7E" w:rsidRDefault="000C21FB" w:rsidP="000E4B90">
      <w:pPr>
        <w:keepNext/>
        <w:spacing w:after="120" w:line="360" w:lineRule="auto"/>
        <w:outlineLvl w:val="1"/>
        <w:rPr>
          <w:rFonts w:eastAsia="Times New Roman" w:cs="Times New Roman"/>
          <w:i/>
          <w:iCs/>
          <w:sz w:val="24"/>
          <w:szCs w:val="24"/>
        </w:rPr>
      </w:pPr>
      <w:proofErr w:type="spellStart"/>
      <w:r w:rsidRPr="00A41C7E">
        <w:rPr>
          <w:rFonts w:eastAsia="Times New Roman" w:cs="Times New Roman"/>
          <w:i/>
          <w:iCs/>
          <w:sz w:val="24"/>
          <w:szCs w:val="24"/>
        </w:rPr>
        <w:t>Garvan</w:t>
      </w:r>
      <w:proofErr w:type="spellEnd"/>
    </w:p>
    <w:p w14:paraId="386D0614" w14:textId="570FBFAF" w:rsidR="00C135D1" w:rsidRDefault="0019719A" w:rsidP="000E4B90">
      <w:pPr>
        <w:keepNext/>
        <w:spacing w:after="120" w:line="276" w:lineRule="auto"/>
        <w:outlineLvl w:val="1"/>
        <w:rPr>
          <w:rFonts w:eastAsia="Times New Roman" w:cs="Times New Roman"/>
          <w:iCs/>
          <w:sz w:val="24"/>
          <w:szCs w:val="24"/>
        </w:rPr>
      </w:pPr>
      <w:r w:rsidRPr="0019719A">
        <w:rPr>
          <w:rFonts w:eastAsia="Times New Roman" w:cs="Times New Roman"/>
          <w:iCs/>
          <w:sz w:val="24"/>
          <w:szCs w:val="24"/>
        </w:rPr>
        <w:t xml:space="preserve">The </w:t>
      </w:r>
      <w:proofErr w:type="spellStart"/>
      <w:r w:rsidRPr="0019719A">
        <w:rPr>
          <w:rFonts w:eastAsia="Times New Roman" w:cs="Times New Roman"/>
          <w:iCs/>
          <w:sz w:val="24"/>
          <w:szCs w:val="24"/>
        </w:rPr>
        <w:t>Garvan</w:t>
      </w:r>
      <w:proofErr w:type="spellEnd"/>
      <w:r w:rsidRPr="0019719A">
        <w:rPr>
          <w:rFonts w:eastAsia="Times New Roman" w:cs="Times New Roman"/>
          <w:iCs/>
          <w:sz w:val="24"/>
          <w:szCs w:val="24"/>
        </w:rPr>
        <w:t xml:space="preserve"> </w:t>
      </w:r>
      <w:r w:rsidR="00C5090F" w:rsidRPr="0019719A">
        <w:rPr>
          <w:rFonts w:eastAsia="Times New Roman" w:cs="Times New Roman"/>
          <w:iCs/>
          <w:sz w:val="24"/>
          <w:szCs w:val="24"/>
        </w:rPr>
        <w:t>tool (</w:t>
      </w:r>
      <w:hyperlink r:id="rId9" w:history="1">
        <w:r w:rsidRPr="00C135D1">
          <w:rPr>
            <w:rFonts w:eastAsia="Times New Roman" w:cs="Times New Roman"/>
            <w:iCs/>
            <w:color w:val="0000FF"/>
            <w:sz w:val="24"/>
            <w:szCs w:val="24"/>
            <w:u w:val="single"/>
          </w:rPr>
          <w:t>www.garvan.org.au</w:t>
        </w:r>
      </w:hyperlink>
      <w:r w:rsidRPr="0019719A">
        <w:rPr>
          <w:rFonts w:eastAsia="Times New Roman" w:cs="Times New Roman"/>
          <w:iCs/>
          <w:sz w:val="24"/>
          <w:szCs w:val="24"/>
        </w:rPr>
        <w:t xml:space="preserve">) is based on </w:t>
      </w:r>
      <w:r w:rsidR="009F1C1A">
        <w:rPr>
          <w:rFonts w:eastAsia="Times New Roman" w:cs="Times New Roman"/>
          <w:iCs/>
          <w:sz w:val="24"/>
          <w:szCs w:val="24"/>
        </w:rPr>
        <w:t>many</w:t>
      </w:r>
      <w:r w:rsidRPr="0019719A">
        <w:rPr>
          <w:rFonts w:eastAsia="Times New Roman" w:cs="Times New Roman"/>
          <w:iCs/>
          <w:sz w:val="24"/>
          <w:szCs w:val="24"/>
        </w:rPr>
        <w:t xml:space="preserve"> fewer men and women from </w:t>
      </w:r>
      <w:r w:rsidR="00062CF4" w:rsidRPr="00062CF4">
        <w:rPr>
          <w:rFonts w:eastAsia="Times New Roman" w:cs="Times New Roman"/>
          <w:iCs/>
          <w:sz w:val="24"/>
          <w:szCs w:val="24"/>
        </w:rPr>
        <w:t>a single study, the</w:t>
      </w:r>
      <w:r w:rsidRPr="0019719A">
        <w:rPr>
          <w:rFonts w:eastAsia="Times New Roman" w:cs="Times New Roman"/>
          <w:iCs/>
          <w:sz w:val="24"/>
          <w:szCs w:val="24"/>
        </w:rPr>
        <w:t xml:space="preserve"> Australian </w:t>
      </w:r>
      <w:proofErr w:type="spellStart"/>
      <w:r w:rsidRPr="0019719A">
        <w:rPr>
          <w:rFonts w:eastAsia="Times New Roman" w:cs="Times New Roman"/>
          <w:iCs/>
          <w:sz w:val="24"/>
          <w:szCs w:val="24"/>
        </w:rPr>
        <w:t>Dubbo</w:t>
      </w:r>
      <w:proofErr w:type="spellEnd"/>
      <w:r w:rsidRPr="0019719A">
        <w:rPr>
          <w:rFonts w:eastAsia="Times New Roman" w:cs="Times New Roman"/>
          <w:iCs/>
          <w:sz w:val="24"/>
          <w:szCs w:val="24"/>
        </w:rPr>
        <w:t xml:space="preserve"> Osteoporosis </w:t>
      </w:r>
      <w:r w:rsidR="00C5090F">
        <w:rPr>
          <w:rFonts w:eastAsia="Times New Roman" w:cs="Times New Roman"/>
          <w:iCs/>
          <w:sz w:val="24"/>
          <w:szCs w:val="24"/>
        </w:rPr>
        <w:t>E</w:t>
      </w:r>
      <w:r w:rsidRPr="0019719A">
        <w:rPr>
          <w:rFonts w:eastAsia="Times New Roman" w:cs="Times New Roman"/>
          <w:iCs/>
          <w:sz w:val="24"/>
          <w:szCs w:val="24"/>
        </w:rPr>
        <w:t xml:space="preserve">pidemiology </w:t>
      </w:r>
      <w:r w:rsidR="00C5090F">
        <w:rPr>
          <w:rFonts w:eastAsia="Times New Roman" w:cs="Times New Roman"/>
          <w:iCs/>
          <w:sz w:val="24"/>
          <w:szCs w:val="24"/>
        </w:rPr>
        <w:t>S</w:t>
      </w:r>
      <w:r w:rsidRPr="0019719A">
        <w:rPr>
          <w:rFonts w:eastAsia="Times New Roman" w:cs="Times New Roman"/>
          <w:iCs/>
          <w:sz w:val="24"/>
          <w:szCs w:val="24"/>
        </w:rPr>
        <w:t xml:space="preserve">tudy </w:t>
      </w:r>
      <w:r w:rsidR="00C5090F">
        <w:rPr>
          <w:rFonts w:eastAsia="Times New Roman" w:cs="Times New Roman"/>
          <w:iCs/>
          <w:sz w:val="24"/>
          <w:szCs w:val="24"/>
        </w:rPr>
        <w:t xml:space="preserve">(DOES) </w:t>
      </w:r>
      <w:r w:rsidRPr="0019719A">
        <w:rPr>
          <w:rFonts w:eastAsia="Times New Roman" w:cs="Times New Roman"/>
          <w:iCs/>
          <w:sz w:val="24"/>
          <w:szCs w:val="24"/>
        </w:rPr>
        <w:t>of approximately 2500 men and women age 60 years or more. It differs from FRAX by including a history of falls (categorised as 0, 1, 2, &gt;2 in the previous year), and the number of previous fragility fractures (categorised as 0, 1, 2, &gt;2), but does not include other FRAX variables such as parental history of hip fracture, secondary osteoporosis, rheumatoid arthritis, glucocorticoid use, smoking and  intake of alcohol.  The output of the tool differs from FRAX in that it reports the risk of a la</w:t>
      </w:r>
      <w:r w:rsidR="000C21FB" w:rsidRPr="00C135D1">
        <w:rPr>
          <w:rFonts w:eastAsia="Times New Roman" w:cs="Times New Roman"/>
          <w:iCs/>
          <w:sz w:val="24"/>
          <w:szCs w:val="24"/>
        </w:rPr>
        <w:t>r</w:t>
      </w:r>
      <w:r w:rsidRPr="0019719A">
        <w:rPr>
          <w:rFonts w:eastAsia="Times New Roman" w:cs="Times New Roman"/>
          <w:iCs/>
          <w:sz w:val="24"/>
          <w:szCs w:val="24"/>
        </w:rPr>
        <w:t xml:space="preserve">ger number of fracture sites (additionally includes fractures of the distal femur, proximal tibia/fibula, distal tibia/fibula, patella, pelvis, ribs sternum, hands and feet excluding digits). </w:t>
      </w:r>
      <w:r w:rsidR="009B71B3" w:rsidRPr="009B71B3">
        <w:rPr>
          <w:rFonts w:eastAsia="Times New Roman" w:cs="Times New Roman"/>
          <w:iCs/>
          <w:sz w:val="24"/>
          <w:szCs w:val="24"/>
        </w:rPr>
        <w:t>Further details are provided in an accompanying paper in this volume</w:t>
      </w:r>
      <w:r w:rsidR="009F1C1A">
        <w:rPr>
          <w:rFonts w:eastAsia="Times New Roman" w:cs="Times New Roman"/>
          <w:iCs/>
          <w:sz w:val="24"/>
          <w:szCs w:val="24"/>
        </w:rPr>
        <w:t>.</w:t>
      </w:r>
    </w:p>
    <w:p w14:paraId="33286433" w14:textId="77777777" w:rsidR="00350BC2" w:rsidRDefault="00350BC2" w:rsidP="00C135D1">
      <w:pPr>
        <w:rPr>
          <w:rFonts w:ascii="Calibri" w:hAnsi="Calibri"/>
          <w:b/>
          <w:sz w:val="24"/>
          <w:szCs w:val="24"/>
        </w:rPr>
      </w:pPr>
    </w:p>
    <w:p w14:paraId="11DFD373" w14:textId="1A7B52B8" w:rsidR="00350BC2" w:rsidRDefault="00350BC2" w:rsidP="00C135D1">
      <w:pPr>
        <w:rPr>
          <w:rFonts w:ascii="Calibri" w:hAnsi="Calibri"/>
          <w:b/>
          <w:sz w:val="24"/>
          <w:szCs w:val="24"/>
        </w:rPr>
      </w:pPr>
      <w:r>
        <w:rPr>
          <w:rFonts w:ascii="Calibri" w:hAnsi="Calibri"/>
          <w:b/>
          <w:sz w:val="24"/>
          <w:szCs w:val="24"/>
        </w:rPr>
        <w:t>Comparative features</w:t>
      </w:r>
    </w:p>
    <w:p w14:paraId="781E9A3C" w14:textId="0CEACFCF" w:rsidR="00460377" w:rsidRDefault="00350BC2" w:rsidP="00C54D7A">
      <w:pPr>
        <w:rPr>
          <w:rFonts w:ascii="Calibri" w:hAnsi="Calibri"/>
          <w:sz w:val="24"/>
          <w:szCs w:val="24"/>
        </w:rPr>
      </w:pPr>
      <w:r w:rsidRPr="00350BC2">
        <w:rPr>
          <w:rFonts w:ascii="Calibri" w:hAnsi="Calibri"/>
          <w:sz w:val="24"/>
          <w:szCs w:val="24"/>
        </w:rPr>
        <w:t>There are important differences</w:t>
      </w:r>
      <w:r>
        <w:rPr>
          <w:rFonts w:ascii="Calibri" w:hAnsi="Calibri"/>
          <w:sz w:val="24"/>
          <w:szCs w:val="24"/>
        </w:rPr>
        <w:t xml:space="preserve"> in the input variables, output and model features that make comparison of the models problematic.  </w:t>
      </w:r>
      <w:r w:rsidR="00FB0560">
        <w:rPr>
          <w:rFonts w:ascii="Calibri" w:hAnsi="Calibri"/>
          <w:sz w:val="24"/>
          <w:szCs w:val="24"/>
        </w:rPr>
        <w:t xml:space="preserve">A summary </w:t>
      </w:r>
      <w:r w:rsidR="000E4B90">
        <w:rPr>
          <w:rFonts w:ascii="Calibri" w:hAnsi="Calibri"/>
          <w:sz w:val="24"/>
          <w:szCs w:val="24"/>
        </w:rPr>
        <w:t xml:space="preserve">of input variables </w:t>
      </w:r>
      <w:r w:rsidR="00FB0560">
        <w:rPr>
          <w:rFonts w:ascii="Calibri" w:hAnsi="Calibri"/>
          <w:sz w:val="24"/>
          <w:szCs w:val="24"/>
        </w:rPr>
        <w:t>is given in Table 1.</w:t>
      </w:r>
    </w:p>
    <w:p w14:paraId="6B8365A3" w14:textId="7E099CFE" w:rsidR="00C54D7A" w:rsidRDefault="00FB0560" w:rsidP="00C54D7A">
      <w:pPr>
        <w:rPr>
          <w:rFonts w:ascii="Calibri" w:hAnsi="Calibri"/>
          <w:b/>
          <w:sz w:val="24"/>
          <w:szCs w:val="24"/>
        </w:rPr>
      </w:pPr>
      <w:r>
        <w:rPr>
          <w:rFonts w:ascii="Calibri" w:hAnsi="Calibri"/>
          <w:sz w:val="24"/>
          <w:szCs w:val="24"/>
        </w:rPr>
        <w:t>With regard to input</w:t>
      </w:r>
      <w:r w:rsidR="00035E50">
        <w:rPr>
          <w:rFonts w:ascii="Calibri" w:hAnsi="Calibri"/>
          <w:sz w:val="24"/>
          <w:szCs w:val="24"/>
        </w:rPr>
        <w:t xml:space="preserve"> variables</w:t>
      </w:r>
      <w:r>
        <w:rPr>
          <w:rFonts w:ascii="Calibri" w:hAnsi="Calibri"/>
          <w:sz w:val="24"/>
          <w:szCs w:val="24"/>
        </w:rPr>
        <w:t xml:space="preserve">, both </w:t>
      </w:r>
      <w:proofErr w:type="spellStart"/>
      <w:r>
        <w:rPr>
          <w:rFonts w:ascii="Calibri" w:hAnsi="Calibri"/>
          <w:sz w:val="24"/>
          <w:szCs w:val="24"/>
        </w:rPr>
        <w:t>Garvan</w:t>
      </w:r>
      <w:proofErr w:type="spellEnd"/>
      <w:r>
        <w:rPr>
          <w:rFonts w:ascii="Calibri" w:hAnsi="Calibri"/>
          <w:sz w:val="24"/>
          <w:szCs w:val="24"/>
        </w:rPr>
        <w:t xml:space="preserve"> and </w:t>
      </w:r>
      <w:proofErr w:type="spellStart"/>
      <w:r>
        <w:rPr>
          <w:rFonts w:ascii="Calibri" w:hAnsi="Calibri"/>
          <w:sz w:val="24"/>
          <w:szCs w:val="24"/>
        </w:rPr>
        <w:t>QFracture</w:t>
      </w:r>
      <w:proofErr w:type="spellEnd"/>
      <w:r>
        <w:rPr>
          <w:rFonts w:ascii="Calibri" w:hAnsi="Calibri"/>
          <w:sz w:val="24"/>
          <w:szCs w:val="24"/>
        </w:rPr>
        <w:t xml:space="preserve"> include a history of falls</w:t>
      </w:r>
      <w:r w:rsidR="00C54D7A">
        <w:rPr>
          <w:rFonts w:ascii="Calibri" w:hAnsi="Calibri"/>
          <w:sz w:val="24"/>
          <w:szCs w:val="24"/>
        </w:rPr>
        <w:t xml:space="preserve"> whereas this is not an input variable in FRAX.  Indeed the </w:t>
      </w:r>
      <w:proofErr w:type="spellStart"/>
      <w:r w:rsidR="00C54D7A">
        <w:rPr>
          <w:rFonts w:ascii="Calibri" w:hAnsi="Calibri"/>
          <w:sz w:val="24"/>
          <w:szCs w:val="24"/>
        </w:rPr>
        <w:t>Garvan</w:t>
      </w:r>
      <w:proofErr w:type="spellEnd"/>
      <w:r w:rsidR="00C54D7A">
        <w:rPr>
          <w:rFonts w:ascii="Calibri" w:hAnsi="Calibri"/>
          <w:sz w:val="24"/>
          <w:szCs w:val="24"/>
        </w:rPr>
        <w:t xml:space="preserve"> tool </w:t>
      </w:r>
      <w:r w:rsidR="00035E50">
        <w:rPr>
          <w:rFonts w:ascii="Calibri" w:hAnsi="Calibri"/>
          <w:sz w:val="24"/>
          <w:szCs w:val="24"/>
        </w:rPr>
        <w:t>weights</w:t>
      </w:r>
      <w:r w:rsidR="00C54D7A">
        <w:rPr>
          <w:rFonts w:ascii="Calibri" w:hAnsi="Calibri"/>
          <w:sz w:val="24"/>
          <w:szCs w:val="24"/>
        </w:rPr>
        <w:t xml:space="preserve"> the number of falls in the past year.</w:t>
      </w:r>
      <w:r w:rsidR="00C54D7A" w:rsidRPr="00C54D7A">
        <w:rPr>
          <w:rFonts w:cs="AdvTT3713a231"/>
          <w:color w:val="131313"/>
          <w:sz w:val="24"/>
          <w:szCs w:val="24"/>
        </w:rPr>
        <w:t xml:space="preserve"> </w:t>
      </w:r>
      <w:r w:rsidR="00C54D7A" w:rsidRPr="00C54D7A">
        <w:rPr>
          <w:rFonts w:ascii="Calibri" w:hAnsi="Calibri"/>
          <w:sz w:val="24"/>
          <w:szCs w:val="24"/>
        </w:rPr>
        <w:t xml:space="preserve">Whereas </w:t>
      </w:r>
      <w:r w:rsidR="00C54D7A">
        <w:rPr>
          <w:rFonts w:ascii="Calibri" w:hAnsi="Calibri"/>
          <w:sz w:val="24"/>
          <w:szCs w:val="24"/>
        </w:rPr>
        <w:t>falls are a strong risk factor for fracture</w:t>
      </w:r>
      <w:r w:rsidR="00C54D7A" w:rsidRPr="00C54D7A">
        <w:rPr>
          <w:rFonts w:ascii="Calibri" w:hAnsi="Calibri"/>
          <w:sz w:val="24"/>
          <w:szCs w:val="24"/>
        </w:rPr>
        <w:t>, the incorporation</w:t>
      </w:r>
      <w:r w:rsidR="00C54D7A">
        <w:rPr>
          <w:rFonts w:ascii="Calibri" w:hAnsi="Calibri"/>
          <w:sz w:val="24"/>
          <w:szCs w:val="24"/>
        </w:rPr>
        <w:t xml:space="preserve"> of falls</w:t>
      </w:r>
      <w:r w:rsidR="00C54D7A" w:rsidRPr="00C54D7A">
        <w:rPr>
          <w:rFonts w:ascii="Calibri" w:hAnsi="Calibri"/>
          <w:sz w:val="24"/>
          <w:szCs w:val="24"/>
        </w:rPr>
        <w:t xml:space="preserve"> into FRAX is problematic for several reasons. First, at the time of the release of FRAX, existing falls data were not of adequate quality, including the heterogeneous construct of questions on falls.  Second, falls risk is inherently taken into account in the algorithm, though not as an input variable. Thus, the fracture probability given for any combination of risk factors assumes that the falls risk is that observed (but not documented) in the cohorts used to construct FRAX.  Third, the interrelationship of falls risk with the other FRAX variables has been inadequately explored on an international basis. Fourth, the relationship between the risk variable and mortality needs to be accounted for, but there are no data available.</w:t>
      </w:r>
      <w:r w:rsidR="00C54D7A" w:rsidRPr="00C54D7A">
        <w:rPr>
          <w:rFonts w:ascii="Calibri" w:hAnsi="Calibri"/>
          <w:b/>
          <w:sz w:val="24"/>
          <w:szCs w:val="24"/>
        </w:rPr>
        <w:t xml:space="preserve"> </w:t>
      </w:r>
    </w:p>
    <w:p w14:paraId="2FFF20D8" w14:textId="5DB9E746" w:rsidR="00460377" w:rsidRDefault="00460377" w:rsidP="00460377">
      <w:pPr>
        <w:autoSpaceDE w:val="0"/>
        <w:autoSpaceDN w:val="0"/>
        <w:adjustRightInd w:val="0"/>
        <w:spacing w:after="0" w:line="240" w:lineRule="auto"/>
        <w:ind w:left="567"/>
        <w:rPr>
          <w:rFonts w:cs="MyriadPro-Regular"/>
        </w:rPr>
      </w:pPr>
      <w:proofErr w:type="gramStart"/>
      <w:r w:rsidRPr="00591EAB">
        <w:rPr>
          <w:rFonts w:cs="MyriadPro-Regular"/>
          <w:b/>
        </w:rPr>
        <w:t>Table 1</w:t>
      </w:r>
      <w:r w:rsidRPr="00591EAB">
        <w:rPr>
          <w:rFonts w:cs="MyriadPro-Regular"/>
        </w:rPr>
        <w:t>.</w:t>
      </w:r>
      <w:proofErr w:type="gramEnd"/>
      <w:r w:rsidRPr="00591EAB">
        <w:rPr>
          <w:rFonts w:cs="MyriadPro-Regular"/>
        </w:rPr>
        <w:t xml:space="preserve">  Input risk variables for FRAX, </w:t>
      </w:r>
      <w:proofErr w:type="spellStart"/>
      <w:r w:rsidRPr="00591EAB">
        <w:rPr>
          <w:rFonts w:cs="MyriadPro-Regular"/>
        </w:rPr>
        <w:t>QFracture</w:t>
      </w:r>
      <w:proofErr w:type="spellEnd"/>
      <w:r w:rsidRPr="00591EAB">
        <w:rPr>
          <w:rFonts w:cs="MyriadPro-Regular"/>
        </w:rPr>
        <w:t xml:space="preserve"> and the </w:t>
      </w:r>
      <w:proofErr w:type="spellStart"/>
      <w:r w:rsidRPr="00591EAB">
        <w:rPr>
          <w:rFonts w:cs="MyriadPro-Regular"/>
        </w:rPr>
        <w:t>Garvan</w:t>
      </w:r>
      <w:proofErr w:type="spellEnd"/>
      <w:r w:rsidRPr="00591EAB">
        <w:rPr>
          <w:rFonts w:cs="MyriadPro-Regular"/>
        </w:rPr>
        <w:t xml:space="preserve"> assessment tools.</w:t>
      </w:r>
    </w:p>
    <w:tbl>
      <w:tblPr>
        <w:tblStyle w:val="TableGrid1"/>
        <w:tblW w:w="0" w:type="auto"/>
        <w:tblInd w:w="567" w:type="dxa"/>
        <w:tblLook w:val="04A0" w:firstRow="1" w:lastRow="0" w:firstColumn="1" w:lastColumn="0" w:noHBand="0" w:noVBand="1"/>
      </w:tblPr>
      <w:tblGrid>
        <w:gridCol w:w="2263"/>
        <w:gridCol w:w="851"/>
        <w:gridCol w:w="992"/>
        <w:gridCol w:w="1034"/>
        <w:gridCol w:w="3309"/>
      </w:tblGrid>
      <w:tr w:rsidR="00C55BF0" w:rsidRPr="00C55BF0" w14:paraId="0764BEE1" w14:textId="77777777" w:rsidTr="008D0623">
        <w:tc>
          <w:tcPr>
            <w:tcW w:w="2263" w:type="dxa"/>
          </w:tcPr>
          <w:p w14:paraId="3AA254D6" w14:textId="77777777" w:rsidR="00C55BF0" w:rsidRPr="00C55BF0" w:rsidRDefault="00C55BF0" w:rsidP="008D0623">
            <w:pPr>
              <w:autoSpaceDE w:val="0"/>
              <w:autoSpaceDN w:val="0"/>
              <w:adjustRightInd w:val="0"/>
              <w:spacing w:line="276" w:lineRule="auto"/>
              <w:rPr>
                <w:rFonts w:cs="MyriadPro-Regular"/>
                <w:sz w:val="20"/>
                <w:szCs w:val="20"/>
              </w:rPr>
            </w:pPr>
            <w:r w:rsidRPr="00C55BF0">
              <w:rPr>
                <w:rFonts w:cs="MyriadPro-Regular"/>
                <w:sz w:val="20"/>
                <w:szCs w:val="20"/>
              </w:rPr>
              <w:t>Risk factor</w:t>
            </w:r>
          </w:p>
        </w:tc>
        <w:tc>
          <w:tcPr>
            <w:tcW w:w="851" w:type="dxa"/>
          </w:tcPr>
          <w:p w14:paraId="009D6ACA"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FRAX</w:t>
            </w:r>
          </w:p>
        </w:tc>
        <w:tc>
          <w:tcPr>
            <w:tcW w:w="992" w:type="dxa"/>
          </w:tcPr>
          <w:p w14:paraId="32168114" w14:textId="77777777" w:rsidR="00C55BF0" w:rsidRPr="00C55BF0" w:rsidRDefault="00C55BF0" w:rsidP="00C55BF0">
            <w:pPr>
              <w:autoSpaceDE w:val="0"/>
              <w:autoSpaceDN w:val="0"/>
              <w:adjustRightInd w:val="0"/>
              <w:spacing w:line="276" w:lineRule="auto"/>
              <w:rPr>
                <w:rFonts w:cs="MyriadPro-Regular"/>
                <w:sz w:val="20"/>
                <w:szCs w:val="20"/>
              </w:rPr>
            </w:pPr>
            <w:proofErr w:type="spellStart"/>
            <w:r w:rsidRPr="00C55BF0">
              <w:rPr>
                <w:rFonts w:cs="MyriadPro-Regular"/>
                <w:sz w:val="20"/>
                <w:szCs w:val="20"/>
              </w:rPr>
              <w:t>Garvan</w:t>
            </w:r>
            <w:proofErr w:type="spellEnd"/>
          </w:p>
        </w:tc>
        <w:tc>
          <w:tcPr>
            <w:tcW w:w="1034" w:type="dxa"/>
          </w:tcPr>
          <w:p w14:paraId="2462B0DD" w14:textId="77777777" w:rsidR="00C55BF0" w:rsidRPr="00C55BF0" w:rsidRDefault="00C55BF0" w:rsidP="00C55BF0">
            <w:pPr>
              <w:autoSpaceDE w:val="0"/>
              <w:autoSpaceDN w:val="0"/>
              <w:adjustRightInd w:val="0"/>
              <w:spacing w:line="276" w:lineRule="auto"/>
              <w:rPr>
                <w:rFonts w:cs="MyriadPro-Regular"/>
                <w:sz w:val="20"/>
                <w:szCs w:val="20"/>
              </w:rPr>
            </w:pPr>
            <w:proofErr w:type="spellStart"/>
            <w:r w:rsidRPr="00C55BF0">
              <w:rPr>
                <w:rFonts w:cs="MyriadPro-Regular"/>
                <w:sz w:val="20"/>
                <w:szCs w:val="20"/>
              </w:rPr>
              <w:t>QFracture</w:t>
            </w:r>
            <w:proofErr w:type="spellEnd"/>
          </w:p>
        </w:tc>
        <w:tc>
          <w:tcPr>
            <w:tcW w:w="3309" w:type="dxa"/>
          </w:tcPr>
          <w:p w14:paraId="7927D008"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Comments</w:t>
            </w:r>
          </w:p>
        </w:tc>
      </w:tr>
      <w:tr w:rsidR="00C55BF0" w:rsidRPr="00C55BF0" w14:paraId="3347915B" w14:textId="77777777" w:rsidTr="008D0623">
        <w:tc>
          <w:tcPr>
            <w:tcW w:w="2263" w:type="dxa"/>
          </w:tcPr>
          <w:p w14:paraId="3EFB7243"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Age</w:t>
            </w:r>
          </w:p>
        </w:tc>
        <w:tc>
          <w:tcPr>
            <w:tcW w:w="851" w:type="dxa"/>
          </w:tcPr>
          <w:p w14:paraId="4F5B5AD7"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w:t>
            </w:r>
          </w:p>
        </w:tc>
        <w:tc>
          <w:tcPr>
            <w:tcW w:w="992" w:type="dxa"/>
          </w:tcPr>
          <w:p w14:paraId="7EB8D686"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w:t>
            </w:r>
          </w:p>
        </w:tc>
        <w:tc>
          <w:tcPr>
            <w:tcW w:w="1034" w:type="dxa"/>
          </w:tcPr>
          <w:p w14:paraId="140ACC84"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w:t>
            </w:r>
          </w:p>
        </w:tc>
        <w:tc>
          <w:tcPr>
            <w:tcW w:w="3309" w:type="dxa"/>
          </w:tcPr>
          <w:p w14:paraId="7D54A4EA" w14:textId="77777777" w:rsidR="00C55BF0" w:rsidRPr="00C55BF0" w:rsidRDefault="00C55BF0" w:rsidP="00C55BF0">
            <w:pPr>
              <w:autoSpaceDE w:val="0"/>
              <w:autoSpaceDN w:val="0"/>
              <w:adjustRightInd w:val="0"/>
              <w:spacing w:line="276" w:lineRule="auto"/>
              <w:rPr>
                <w:rFonts w:cs="MyriadPro-Regular"/>
                <w:sz w:val="20"/>
                <w:szCs w:val="20"/>
              </w:rPr>
            </w:pPr>
          </w:p>
        </w:tc>
      </w:tr>
      <w:tr w:rsidR="00C55BF0" w:rsidRPr="00C55BF0" w14:paraId="696DA766" w14:textId="77777777" w:rsidTr="008D0623">
        <w:tc>
          <w:tcPr>
            <w:tcW w:w="2263" w:type="dxa"/>
          </w:tcPr>
          <w:p w14:paraId="5BA01CB5"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Sex</w:t>
            </w:r>
          </w:p>
        </w:tc>
        <w:tc>
          <w:tcPr>
            <w:tcW w:w="851" w:type="dxa"/>
          </w:tcPr>
          <w:p w14:paraId="287A44FD"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w:t>
            </w:r>
          </w:p>
        </w:tc>
        <w:tc>
          <w:tcPr>
            <w:tcW w:w="992" w:type="dxa"/>
          </w:tcPr>
          <w:p w14:paraId="75B573B3"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w:t>
            </w:r>
          </w:p>
        </w:tc>
        <w:tc>
          <w:tcPr>
            <w:tcW w:w="1034" w:type="dxa"/>
          </w:tcPr>
          <w:p w14:paraId="4D249968"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w:t>
            </w:r>
          </w:p>
        </w:tc>
        <w:tc>
          <w:tcPr>
            <w:tcW w:w="3309" w:type="dxa"/>
          </w:tcPr>
          <w:p w14:paraId="101DFC88" w14:textId="77777777" w:rsidR="00C55BF0" w:rsidRPr="00C55BF0" w:rsidRDefault="00C55BF0" w:rsidP="00C55BF0">
            <w:pPr>
              <w:autoSpaceDE w:val="0"/>
              <w:autoSpaceDN w:val="0"/>
              <w:adjustRightInd w:val="0"/>
              <w:spacing w:line="276" w:lineRule="auto"/>
              <w:rPr>
                <w:rFonts w:cs="MyriadPro-Regular"/>
                <w:sz w:val="20"/>
                <w:szCs w:val="20"/>
              </w:rPr>
            </w:pPr>
          </w:p>
        </w:tc>
      </w:tr>
      <w:tr w:rsidR="00C55BF0" w:rsidRPr="00C55BF0" w14:paraId="79FD15A4" w14:textId="77777777" w:rsidTr="008D0623">
        <w:tc>
          <w:tcPr>
            <w:tcW w:w="2263" w:type="dxa"/>
          </w:tcPr>
          <w:p w14:paraId="2EBBE486"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Height</w:t>
            </w:r>
          </w:p>
        </w:tc>
        <w:tc>
          <w:tcPr>
            <w:tcW w:w="851" w:type="dxa"/>
          </w:tcPr>
          <w:p w14:paraId="793AB4CE"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w:t>
            </w:r>
          </w:p>
        </w:tc>
        <w:tc>
          <w:tcPr>
            <w:tcW w:w="992" w:type="dxa"/>
          </w:tcPr>
          <w:p w14:paraId="5C3731A7"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w:t>
            </w:r>
          </w:p>
        </w:tc>
        <w:tc>
          <w:tcPr>
            <w:tcW w:w="1034" w:type="dxa"/>
          </w:tcPr>
          <w:p w14:paraId="4C78C662"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w:t>
            </w:r>
          </w:p>
        </w:tc>
        <w:tc>
          <w:tcPr>
            <w:tcW w:w="3309" w:type="dxa"/>
          </w:tcPr>
          <w:p w14:paraId="505F7AF6" w14:textId="77777777" w:rsidR="00C55BF0" w:rsidRPr="00C55BF0" w:rsidRDefault="00C55BF0" w:rsidP="00C55BF0">
            <w:pPr>
              <w:autoSpaceDE w:val="0"/>
              <w:autoSpaceDN w:val="0"/>
              <w:adjustRightInd w:val="0"/>
              <w:spacing w:line="276" w:lineRule="auto"/>
              <w:rPr>
                <w:rFonts w:cs="MyriadPro-Regular"/>
                <w:sz w:val="20"/>
                <w:szCs w:val="20"/>
              </w:rPr>
            </w:pPr>
          </w:p>
        </w:tc>
      </w:tr>
      <w:tr w:rsidR="00C55BF0" w:rsidRPr="00C55BF0" w14:paraId="044DE845" w14:textId="77777777" w:rsidTr="008D0623">
        <w:tc>
          <w:tcPr>
            <w:tcW w:w="2263" w:type="dxa"/>
          </w:tcPr>
          <w:p w14:paraId="7D343274"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Weight</w:t>
            </w:r>
          </w:p>
        </w:tc>
        <w:tc>
          <w:tcPr>
            <w:tcW w:w="851" w:type="dxa"/>
          </w:tcPr>
          <w:p w14:paraId="56809256"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w:t>
            </w:r>
          </w:p>
        </w:tc>
        <w:tc>
          <w:tcPr>
            <w:tcW w:w="992" w:type="dxa"/>
          </w:tcPr>
          <w:p w14:paraId="1D7AD35F"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w:t>
            </w:r>
          </w:p>
        </w:tc>
        <w:tc>
          <w:tcPr>
            <w:tcW w:w="1034" w:type="dxa"/>
          </w:tcPr>
          <w:p w14:paraId="0C0BAD18"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w:t>
            </w:r>
          </w:p>
        </w:tc>
        <w:tc>
          <w:tcPr>
            <w:tcW w:w="3309" w:type="dxa"/>
          </w:tcPr>
          <w:p w14:paraId="36FC336F"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 only when BMD is not entered</w:t>
            </w:r>
          </w:p>
        </w:tc>
      </w:tr>
      <w:tr w:rsidR="00C55BF0" w:rsidRPr="00C55BF0" w14:paraId="7CBBFFE5" w14:textId="77777777" w:rsidTr="008D0623">
        <w:tc>
          <w:tcPr>
            <w:tcW w:w="2263" w:type="dxa"/>
          </w:tcPr>
          <w:p w14:paraId="3BD4425C"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Ethnicity</w:t>
            </w:r>
          </w:p>
        </w:tc>
        <w:tc>
          <w:tcPr>
            <w:tcW w:w="851" w:type="dxa"/>
          </w:tcPr>
          <w:p w14:paraId="59028C1A"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w:t>
            </w:r>
          </w:p>
        </w:tc>
        <w:tc>
          <w:tcPr>
            <w:tcW w:w="992" w:type="dxa"/>
          </w:tcPr>
          <w:p w14:paraId="51C5A2A0"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w:t>
            </w:r>
          </w:p>
        </w:tc>
        <w:tc>
          <w:tcPr>
            <w:tcW w:w="1034" w:type="dxa"/>
          </w:tcPr>
          <w:p w14:paraId="25FCC485"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w:t>
            </w:r>
          </w:p>
        </w:tc>
        <w:tc>
          <w:tcPr>
            <w:tcW w:w="3309" w:type="dxa"/>
          </w:tcPr>
          <w:p w14:paraId="6D0BE779" w14:textId="77777777" w:rsidR="00C55BF0" w:rsidRPr="00C55BF0" w:rsidRDefault="00C55BF0" w:rsidP="00C55BF0">
            <w:pPr>
              <w:autoSpaceDE w:val="0"/>
              <w:autoSpaceDN w:val="0"/>
              <w:adjustRightInd w:val="0"/>
              <w:spacing w:line="276" w:lineRule="auto"/>
              <w:rPr>
                <w:rFonts w:cs="MyriadPro-Regular"/>
                <w:sz w:val="20"/>
                <w:szCs w:val="20"/>
              </w:rPr>
            </w:pPr>
            <w:r w:rsidRPr="00C55BF0">
              <w:rPr>
                <w:rFonts w:cs="MyriadPro-Regular"/>
                <w:sz w:val="20"/>
                <w:szCs w:val="20"/>
              </w:rPr>
              <w:t>*US and Singapore</w:t>
            </w:r>
          </w:p>
        </w:tc>
      </w:tr>
      <w:tr w:rsidR="00C55BF0" w:rsidRPr="00C55BF0" w14:paraId="5BE589BC" w14:textId="77777777" w:rsidTr="008D0623">
        <w:tc>
          <w:tcPr>
            <w:tcW w:w="2263" w:type="dxa"/>
          </w:tcPr>
          <w:p w14:paraId="5354E69B" w14:textId="77777777" w:rsidR="00C55BF0" w:rsidRPr="00C55BF0" w:rsidRDefault="00C55BF0" w:rsidP="00C55BF0">
            <w:pPr>
              <w:rPr>
                <w:sz w:val="20"/>
                <w:szCs w:val="20"/>
              </w:rPr>
            </w:pPr>
            <w:r w:rsidRPr="00C55BF0">
              <w:rPr>
                <w:sz w:val="20"/>
                <w:szCs w:val="20"/>
              </w:rPr>
              <w:t>Previous fragility fracture</w:t>
            </w:r>
          </w:p>
        </w:tc>
        <w:tc>
          <w:tcPr>
            <w:tcW w:w="851" w:type="dxa"/>
          </w:tcPr>
          <w:p w14:paraId="7B1FB03B"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09B8C52B"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1070AE4F"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4DDBBC34"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*from the age of 50y</w:t>
            </w:r>
          </w:p>
          <w:p w14:paraId="01CFF6E1"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 xml:space="preserve">*also number of prior fractures </w:t>
            </w:r>
          </w:p>
          <w:p w14:paraId="223EBD01"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**prior hip, spine or shoulder</w:t>
            </w:r>
          </w:p>
        </w:tc>
      </w:tr>
      <w:tr w:rsidR="00C55BF0" w:rsidRPr="00C55BF0" w14:paraId="7B55C9BA" w14:textId="77777777" w:rsidTr="008D0623">
        <w:tc>
          <w:tcPr>
            <w:tcW w:w="2263" w:type="dxa"/>
          </w:tcPr>
          <w:p w14:paraId="0FE1CEE3" w14:textId="77777777" w:rsidR="00C55BF0" w:rsidRPr="00C55BF0" w:rsidRDefault="00C55BF0" w:rsidP="00C55BF0">
            <w:pPr>
              <w:rPr>
                <w:sz w:val="20"/>
                <w:szCs w:val="20"/>
              </w:rPr>
            </w:pPr>
            <w:r w:rsidRPr="00C55BF0">
              <w:rPr>
                <w:sz w:val="20"/>
                <w:szCs w:val="20"/>
              </w:rPr>
              <w:t>BMD</w:t>
            </w:r>
          </w:p>
        </w:tc>
        <w:tc>
          <w:tcPr>
            <w:tcW w:w="851" w:type="dxa"/>
          </w:tcPr>
          <w:p w14:paraId="64CA88EB"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48F390E3"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430A356C"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79B04BB8" w14:textId="3D798A18"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 xml:space="preserve">* </w:t>
            </w:r>
            <w:r w:rsidR="0095545E" w:rsidRPr="0095545E">
              <w:rPr>
                <w:rFonts w:cs="MyriadPro-Regular"/>
                <w:sz w:val="20"/>
                <w:szCs w:val="20"/>
              </w:rPr>
              <w:t>site of BMD not specified on website but elsewhere stated to be femoral neck</w:t>
            </w:r>
          </w:p>
        </w:tc>
      </w:tr>
      <w:tr w:rsidR="00C55BF0" w:rsidRPr="00C55BF0" w14:paraId="4ABBD1A4" w14:textId="77777777" w:rsidTr="008D0623">
        <w:tc>
          <w:tcPr>
            <w:tcW w:w="2263" w:type="dxa"/>
          </w:tcPr>
          <w:p w14:paraId="2528D663" w14:textId="77777777" w:rsidR="00C55BF0" w:rsidRPr="00C55BF0" w:rsidRDefault="00C55BF0" w:rsidP="00C55BF0">
            <w:pPr>
              <w:rPr>
                <w:sz w:val="20"/>
                <w:szCs w:val="20"/>
              </w:rPr>
            </w:pPr>
          </w:p>
        </w:tc>
        <w:tc>
          <w:tcPr>
            <w:tcW w:w="851" w:type="dxa"/>
          </w:tcPr>
          <w:p w14:paraId="2AB56A82" w14:textId="77777777" w:rsidR="00C55BF0" w:rsidRPr="00C55BF0" w:rsidRDefault="00C55BF0" w:rsidP="00C55BF0">
            <w:pPr>
              <w:autoSpaceDE w:val="0"/>
              <w:autoSpaceDN w:val="0"/>
              <w:adjustRightInd w:val="0"/>
              <w:rPr>
                <w:rFonts w:cs="MyriadPro-Regular"/>
                <w:sz w:val="20"/>
                <w:szCs w:val="20"/>
              </w:rPr>
            </w:pPr>
          </w:p>
        </w:tc>
        <w:tc>
          <w:tcPr>
            <w:tcW w:w="992" w:type="dxa"/>
          </w:tcPr>
          <w:p w14:paraId="0CC3CF34" w14:textId="77777777" w:rsidR="00C55BF0" w:rsidRPr="00C55BF0" w:rsidRDefault="00C55BF0" w:rsidP="00C55BF0">
            <w:pPr>
              <w:autoSpaceDE w:val="0"/>
              <w:autoSpaceDN w:val="0"/>
              <w:adjustRightInd w:val="0"/>
              <w:rPr>
                <w:rFonts w:cs="MyriadPro-Regular"/>
                <w:sz w:val="20"/>
                <w:szCs w:val="20"/>
              </w:rPr>
            </w:pPr>
          </w:p>
        </w:tc>
        <w:tc>
          <w:tcPr>
            <w:tcW w:w="1034" w:type="dxa"/>
          </w:tcPr>
          <w:p w14:paraId="4EF0A66D" w14:textId="77777777" w:rsidR="00C55BF0" w:rsidRPr="00C55BF0" w:rsidRDefault="00C55BF0" w:rsidP="00C55BF0">
            <w:pPr>
              <w:autoSpaceDE w:val="0"/>
              <w:autoSpaceDN w:val="0"/>
              <w:adjustRightInd w:val="0"/>
              <w:rPr>
                <w:rFonts w:cs="MyriadPro-Regular"/>
                <w:sz w:val="20"/>
                <w:szCs w:val="20"/>
              </w:rPr>
            </w:pPr>
          </w:p>
        </w:tc>
        <w:tc>
          <w:tcPr>
            <w:tcW w:w="3309" w:type="dxa"/>
          </w:tcPr>
          <w:p w14:paraId="012D87B5" w14:textId="77777777" w:rsidR="00C55BF0" w:rsidRPr="00C55BF0" w:rsidRDefault="00C55BF0" w:rsidP="00C55BF0">
            <w:pPr>
              <w:autoSpaceDE w:val="0"/>
              <w:autoSpaceDN w:val="0"/>
              <w:adjustRightInd w:val="0"/>
              <w:rPr>
                <w:rFonts w:cs="MyriadPro-Regular"/>
                <w:sz w:val="20"/>
                <w:szCs w:val="20"/>
              </w:rPr>
            </w:pPr>
          </w:p>
        </w:tc>
      </w:tr>
      <w:tr w:rsidR="00C55BF0" w:rsidRPr="00C55BF0" w14:paraId="45E54984" w14:textId="77777777" w:rsidTr="008D0623">
        <w:tc>
          <w:tcPr>
            <w:tcW w:w="2263" w:type="dxa"/>
          </w:tcPr>
          <w:p w14:paraId="226664D6" w14:textId="77777777" w:rsidR="00C55BF0" w:rsidRPr="00C55BF0" w:rsidRDefault="00C55BF0" w:rsidP="00C55BF0">
            <w:pPr>
              <w:rPr>
                <w:sz w:val="20"/>
                <w:szCs w:val="20"/>
              </w:rPr>
            </w:pPr>
            <w:r w:rsidRPr="00C55BF0">
              <w:rPr>
                <w:sz w:val="20"/>
                <w:szCs w:val="20"/>
              </w:rPr>
              <w:t>Parental history of  hip fracture</w:t>
            </w:r>
          </w:p>
        </w:tc>
        <w:tc>
          <w:tcPr>
            <w:tcW w:w="851" w:type="dxa"/>
          </w:tcPr>
          <w:p w14:paraId="4D372608"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57BAD4E6"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35866D26"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01160C5F"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r w:rsidRPr="00C55BF0">
              <w:rPr>
                <w:sz w:val="20"/>
                <w:szCs w:val="20"/>
              </w:rPr>
              <w:t xml:space="preserve"> </w:t>
            </w:r>
            <w:r w:rsidRPr="00C55BF0">
              <w:rPr>
                <w:rFonts w:cs="MyriadPro-Regular"/>
                <w:sz w:val="20"/>
                <w:szCs w:val="20"/>
              </w:rPr>
              <w:t>Also, parental history of  OP</w:t>
            </w:r>
          </w:p>
        </w:tc>
      </w:tr>
      <w:tr w:rsidR="00C55BF0" w:rsidRPr="00C55BF0" w14:paraId="73CB2E74" w14:textId="77777777" w:rsidTr="008D0623">
        <w:tc>
          <w:tcPr>
            <w:tcW w:w="2263" w:type="dxa"/>
          </w:tcPr>
          <w:p w14:paraId="08421EDB" w14:textId="77777777" w:rsidR="00C55BF0" w:rsidRPr="00C55BF0" w:rsidRDefault="00C55BF0" w:rsidP="00C55BF0">
            <w:pPr>
              <w:rPr>
                <w:sz w:val="20"/>
                <w:szCs w:val="20"/>
              </w:rPr>
            </w:pPr>
            <w:r w:rsidRPr="00C55BF0">
              <w:rPr>
                <w:sz w:val="20"/>
                <w:szCs w:val="20"/>
              </w:rPr>
              <w:t>Smoking</w:t>
            </w:r>
          </w:p>
        </w:tc>
        <w:tc>
          <w:tcPr>
            <w:tcW w:w="851" w:type="dxa"/>
          </w:tcPr>
          <w:p w14:paraId="6BA66497"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696DD510"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3593A958"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7CD46956"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*current</w:t>
            </w:r>
          </w:p>
          <w:p w14:paraId="7BD9F64F"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**categories of exposure</w:t>
            </w:r>
          </w:p>
        </w:tc>
      </w:tr>
      <w:tr w:rsidR="00C55BF0" w:rsidRPr="00C55BF0" w14:paraId="0DA5B908" w14:textId="77777777" w:rsidTr="008D0623">
        <w:tc>
          <w:tcPr>
            <w:tcW w:w="2263" w:type="dxa"/>
          </w:tcPr>
          <w:p w14:paraId="54C21EC9" w14:textId="77777777" w:rsidR="00C55BF0" w:rsidRPr="00C55BF0" w:rsidRDefault="00C55BF0" w:rsidP="00C55BF0">
            <w:pPr>
              <w:rPr>
                <w:sz w:val="20"/>
                <w:szCs w:val="20"/>
              </w:rPr>
            </w:pPr>
            <w:r w:rsidRPr="00C55BF0">
              <w:rPr>
                <w:sz w:val="20"/>
                <w:szCs w:val="20"/>
              </w:rPr>
              <w:t>Alcohol intake</w:t>
            </w:r>
          </w:p>
        </w:tc>
        <w:tc>
          <w:tcPr>
            <w:tcW w:w="851" w:type="dxa"/>
          </w:tcPr>
          <w:p w14:paraId="3623EE98" w14:textId="77777777" w:rsidR="00C55BF0" w:rsidRPr="00C55BF0" w:rsidRDefault="00C55BF0" w:rsidP="00C55BF0">
            <w:pPr>
              <w:autoSpaceDE w:val="0"/>
              <w:autoSpaceDN w:val="0"/>
              <w:adjustRightInd w:val="0"/>
              <w:rPr>
                <w:rFonts w:cs="MyriadPro-Regular"/>
                <w:sz w:val="20"/>
                <w:szCs w:val="20"/>
              </w:rPr>
            </w:pPr>
            <w:r w:rsidRPr="00C55BF0">
              <w:rPr>
                <w:rFonts w:cs="MyriadPro-Semibold"/>
                <w:sz w:val="20"/>
                <w:szCs w:val="20"/>
              </w:rPr>
              <w:t>+*</w:t>
            </w:r>
          </w:p>
        </w:tc>
        <w:tc>
          <w:tcPr>
            <w:tcW w:w="992" w:type="dxa"/>
          </w:tcPr>
          <w:p w14:paraId="1B851470"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5B6DD0A5"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1EEA407B" w14:textId="77777777" w:rsidR="00C55BF0" w:rsidRPr="00C55BF0" w:rsidRDefault="00C55BF0" w:rsidP="00C55BF0">
            <w:pPr>
              <w:autoSpaceDE w:val="0"/>
              <w:autoSpaceDN w:val="0"/>
              <w:adjustRightInd w:val="0"/>
              <w:rPr>
                <w:rFonts w:cs="MyriadPro-Semibold"/>
                <w:sz w:val="20"/>
                <w:szCs w:val="20"/>
              </w:rPr>
            </w:pPr>
            <w:r w:rsidRPr="00C55BF0">
              <w:rPr>
                <w:rFonts w:cs="MyriadPro-Semibold"/>
                <w:sz w:val="20"/>
                <w:szCs w:val="20"/>
              </w:rPr>
              <w:t>*</w:t>
            </w:r>
            <w:r w:rsidRPr="00C55BF0">
              <w:rPr>
                <w:rFonts w:cs="MyriadPro-Semibold"/>
                <w:sz w:val="20"/>
                <w:szCs w:val="20"/>
                <w:u w:val="single"/>
              </w:rPr>
              <w:t>&gt;</w:t>
            </w:r>
            <w:r w:rsidRPr="00C55BF0">
              <w:rPr>
                <w:rFonts w:cs="MyriadPro-Semibold"/>
                <w:sz w:val="20"/>
                <w:szCs w:val="20"/>
              </w:rPr>
              <w:t>3 units per day</w:t>
            </w:r>
          </w:p>
          <w:p w14:paraId="1BB86FCC" w14:textId="77777777" w:rsidR="00C55BF0" w:rsidRPr="00C55BF0" w:rsidRDefault="00C55BF0" w:rsidP="00C55BF0">
            <w:pPr>
              <w:autoSpaceDE w:val="0"/>
              <w:autoSpaceDN w:val="0"/>
              <w:adjustRightInd w:val="0"/>
              <w:rPr>
                <w:rFonts w:cs="MyriadPro-Regular"/>
                <w:sz w:val="20"/>
                <w:szCs w:val="20"/>
              </w:rPr>
            </w:pPr>
            <w:r w:rsidRPr="00C55BF0">
              <w:rPr>
                <w:rFonts w:cs="MyriadPro-Semibold"/>
                <w:sz w:val="20"/>
                <w:szCs w:val="20"/>
              </w:rPr>
              <w:t>**categories of exposure</w:t>
            </w:r>
          </w:p>
        </w:tc>
      </w:tr>
      <w:tr w:rsidR="00C55BF0" w:rsidRPr="00C55BF0" w14:paraId="08FFD1C7" w14:textId="77777777" w:rsidTr="008D0623">
        <w:tc>
          <w:tcPr>
            <w:tcW w:w="2263" w:type="dxa"/>
          </w:tcPr>
          <w:p w14:paraId="29B82C2B" w14:textId="77777777" w:rsidR="00C55BF0" w:rsidRPr="00C55BF0" w:rsidRDefault="00C55BF0" w:rsidP="00C55BF0">
            <w:pPr>
              <w:rPr>
                <w:b/>
                <w:sz w:val="20"/>
                <w:szCs w:val="20"/>
              </w:rPr>
            </w:pPr>
            <w:r w:rsidRPr="00C55BF0">
              <w:rPr>
                <w:sz w:val="20"/>
                <w:szCs w:val="20"/>
              </w:rPr>
              <w:t>Taking steroid tablets regularly</w:t>
            </w:r>
          </w:p>
        </w:tc>
        <w:tc>
          <w:tcPr>
            <w:tcW w:w="851" w:type="dxa"/>
            <w:shd w:val="clear" w:color="auto" w:fill="auto"/>
          </w:tcPr>
          <w:p w14:paraId="1983334F" w14:textId="77777777" w:rsidR="00C55BF0" w:rsidRPr="00C55BF0" w:rsidRDefault="00C55BF0" w:rsidP="00C55BF0">
            <w:pPr>
              <w:autoSpaceDE w:val="0"/>
              <w:autoSpaceDN w:val="0"/>
              <w:adjustRightInd w:val="0"/>
              <w:rPr>
                <w:rFonts w:cs="MyriadPro-Semibold"/>
                <w:b/>
                <w:sz w:val="20"/>
                <w:szCs w:val="20"/>
              </w:rPr>
            </w:pPr>
            <w:r w:rsidRPr="00C55BF0">
              <w:rPr>
                <w:rFonts w:cs="MyriadPro-Regular"/>
                <w:sz w:val="20"/>
                <w:szCs w:val="20"/>
              </w:rPr>
              <w:t>+*</w:t>
            </w:r>
          </w:p>
        </w:tc>
        <w:tc>
          <w:tcPr>
            <w:tcW w:w="992" w:type="dxa"/>
          </w:tcPr>
          <w:p w14:paraId="59540E54" w14:textId="77777777" w:rsidR="00C55BF0" w:rsidRPr="00C55BF0" w:rsidRDefault="00C55BF0" w:rsidP="00C55BF0">
            <w:pPr>
              <w:autoSpaceDE w:val="0"/>
              <w:autoSpaceDN w:val="0"/>
              <w:adjustRightInd w:val="0"/>
              <w:rPr>
                <w:rFonts w:cs="MyriadPro-Regular"/>
                <w:b/>
                <w:sz w:val="20"/>
                <w:szCs w:val="20"/>
              </w:rPr>
            </w:pPr>
            <w:r w:rsidRPr="00C55BF0">
              <w:rPr>
                <w:rFonts w:cs="MyriadPro-Regular"/>
                <w:sz w:val="20"/>
                <w:szCs w:val="20"/>
              </w:rPr>
              <w:t>-</w:t>
            </w:r>
          </w:p>
        </w:tc>
        <w:tc>
          <w:tcPr>
            <w:tcW w:w="1034" w:type="dxa"/>
          </w:tcPr>
          <w:p w14:paraId="08B681F0" w14:textId="77777777" w:rsidR="00C55BF0" w:rsidRPr="00C55BF0" w:rsidRDefault="00C55BF0" w:rsidP="00C55BF0">
            <w:pPr>
              <w:autoSpaceDE w:val="0"/>
              <w:autoSpaceDN w:val="0"/>
              <w:adjustRightInd w:val="0"/>
              <w:rPr>
                <w:rFonts w:cs="MyriadPro-Regular"/>
                <w:b/>
                <w:sz w:val="20"/>
                <w:szCs w:val="20"/>
              </w:rPr>
            </w:pPr>
            <w:r w:rsidRPr="00C55BF0">
              <w:rPr>
                <w:rFonts w:cs="MyriadPro-Regular"/>
                <w:sz w:val="20"/>
                <w:szCs w:val="20"/>
              </w:rPr>
              <w:t>+</w:t>
            </w:r>
          </w:p>
        </w:tc>
        <w:tc>
          <w:tcPr>
            <w:tcW w:w="3309" w:type="dxa"/>
            <w:shd w:val="clear" w:color="auto" w:fill="auto"/>
          </w:tcPr>
          <w:p w14:paraId="5CA38A5C" w14:textId="77777777" w:rsidR="00C55BF0" w:rsidRPr="00C55BF0" w:rsidRDefault="00C55BF0" w:rsidP="00C55BF0">
            <w:pPr>
              <w:autoSpaceDE w:val="0"/>
              <w:autoSpaceDN w:val="0"/>
              <w:adjustRightInd w:val="0"/>
              <w:rPr>
                <w:rFonts w:cs="MyriadPro-Semibold"/>
                <w:sz w:val="20"/>
                <w:szCs w:val="20"/>
              </w:rPr>
            </w:pPr>
            <w:r w:rsidRPr="00C55BF0">
              <w:rPr>
                <w:rFonts w:cs="MyriadPro-Semibold"/>
                <w:sz w:val="20"/>
                <w:szCs w:val="20"/>
              </w:rPr>
              <w:t>*currently exposed to oral glucocorticoids or has been exposed to oral glucocorticoids for more than 3 months at a dose of prednisolone of 5mg daily or more</w:t>
            </w:r>
          </w:p>
        </w:tc>
      </w:tr>
      <w:tr w:rsidR="00C55BF0" w:rsidRPr="00C55BF0" w14:paraId="076C1596" w14:textId="77777777" w:rsidTr="008D0623">
        <w:tc>
          <w:tcPr>
            <w:tcW w:w="2263" w:type="dxa"/>
          </w:tcPr>
          <w:p w14:paraId="591F776A" w14:textId="77777777" w:rsidR="00C55BF0" w:rsidRPr="00C55BF0" w:rsidRDefault="00C55BF0" w:rsidP="00C55BF0">
            <w:pPr>
              <w:rPr>
                <w:sz w:val="20"/>
                <w:szCs w:val="20"/>
              </w:rPr>
            </w:pPr>
            <w:r w:rsidRPr="00C55BF0">
              <w:rPr>
                <w:sz w:val="20"/>
                <w:szCs w:val="20"/>
              </w:rPr>
              <w:t>Osteogenesis imperfecta</w:t>
            </w:r>
          </w:p>
        </w:tc>
        <w:tc>
          <w:tcPr>
            <w:tcW w:w="851" w:type="dxa"/>
          </w:tcPr>
          <w:p w14:paraId="2734F939" w14:textId="77777777" w:rsidR="00C55BF0" w:rsidRPr="00C55BF0" w:rsidRDefault="00C55BF0" w:rsidP="00C55BF0">
            <w:pPr>
              <w:autoSpaceDE w:val="0"/>
              <w:autoSpaceDN w:val="0"/>
              <w:adjustRightInd w:val="0"/>
              <w:rPr>
                <w:rFonts w:cs="MyriadPro-Semibold"/>
                <w:sz w:val="20"/>
                <w:szCs w:val="20"/>
              </w:rPr>
            </w:pPr>
            <w:r w:rsidRPr="00C55BF0">
              <w:rPr>
                <w:rFonts w:cs="MyriadPro-Semibold"/>
                <w:sz w:val="20"/>
                <w:szCs w:val="20"/>
              </w:rPr>
              <w:t>+*</w:t>
            </w:r>
          </w:p>
        </w:tc>
        <w:tc>
          <w:tcPr>
            <w:tcW w:w="992" w:type="dxa"/>
          </w:tcPr>
          <w:p w14:paraId="3649BFC6"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464ECE05"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58426D68" w14:textId="77777777" w:rsidR="00C55BF0" w:rsidRPr="00C55BF0" w:rsidRDefault="00C55BF0" w:rsidP="00C55BF0">
            <w:pPr>
              <w:autoSpaceDE w:val="0"/>
              <w:autoSpaceDN w:val="0"/>
              <w:adjustRightInd w:val="0"/>
              <w:rPr>
                <w:rFonts w:cs="MyriadPro-Semibold"/>
                <w:sz w:val="20"/>
                <w:szCs w:val="20"/>
              </w:rPr>
            </w:pPr>
            <w:r w:rsidRPr="00C55BF0">
              <w:rPr>
                <w:rFonts w:cs="MyriadPro-Semibold"/>
                <w:sz w:val="20"/>
                <w:szCs w:val="20"/>
              </w:rPr>
              <w:t>*</w:t>
            </w:r>
            <w:r w:rsidRPr="00C55BF0">
              <w:rPr>
                <w:rFonts w:cs="MyriadPro-Regular"/>
                <w:sz w:val="20"/>
                <w:szCs w:val="20"/>
              </w:rPr>
              <w:t xml:space="preserve"> </w:t>
            </w:r>
            <w:r w:rsidRPr="00C55BF0">
              <w:rPr>
                <w:rFonts w:cs="MyriadPro-Semibold"/>
                <w:sz w:val="20"/>
                <w:szCs w:val="20"/>
              </w:rPr>
              <w:t>grouped as secondary OP</w:t>
            </w:r>
          </w:p>
        </w:tc>
      </w:tr>
      <w:tr w:rsidR="00C55BF0" w:rsidRPr="00C55BF0" w14:paraId="4FDA1F59" w14:textId="77777777" w:rsidTr="008D0623">
        <w:tc>
          <w:tcPr>
            <w:tcW w:w="2263" w:type="dxa"/>
          </w:tcPr>
          <w:p w14:paraId="5884D70F" w14:textId="77777777" w:rsidR="00C55BF0" w:rsidRPr="00C55BF0" w:rsidRDefault="00C55BF0" w:rsidP="00C55BF0">
            <w:pPr>
              <w:rPr>
                <w:sz w:val="20"/>
                <w:szCs w:val="20"/>
              </w:rPr>
            </w:pPr>
            <w:r w:rsidRPr="00C55BF0">
              <w:rPr>
                <w:sz w:val="20"/>
                <w:szCs w:val="20"/>
              </w:rPr>
              <w:t>Diabetes</w:t>
            </w:r>
          </w:p>
        </w:tc>
        <w:tc>
          <w:tcPr>
            <w:tcW w:w="851" w:type="dxa"/>
            <w:shd w:val="clear" w:color="auto" w:fill="auto"/>
          </w:tcPr>
          <w:p w14:paraId="7B3B43CC"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2BA4D1C9"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6D10DC6A"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3AE4CAE4"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 xml:space="preserve">*Type 1 grouped as secondary OP </w:t>
            </w:r>
          </w:p>
          <w:p w14:paraId="76485462" w14:textId="77777777" w:rsidR="00C55BF0" w:rsidRPr="00C55BF0" w:rsidRDefault="00C55BF0" w:rsidP="00C55BF0">
            <w:pPr>
              <w:autoSpaceDE w:val="0"/>
              <w:autoSpaceDN w:val="0"/>
              <w:adjustRightInd w:val="0"/>
              <w:rPr>
                <w:rFonts w:cs="MyriadPro-Regular"/>
                <w:sz w:val="20"/>
                <w:szCs w:val="20"/>
                <w:highlight w:val="yellow"/>
              </w:rPr>
            </w:pPr>
            <w:r w:rsidRPr="00C55BF0">
              <w:rPr>
                <w:rFonts w:cs="MyriadPro-Regular"/>
                <w:sz w:val="20"/>
                <w:szCs w:val="20"/>
              </w:rPr>
              <w:t>** Type 1, type 2</w:t>
            </w:r>
          </w:p>
        </w:tc>
      </w:tr>
      <w:tr w:rsidR="00C55BF0" w:rsidRPr="00C55BF0" w14:paraId="2A83B36A" w14:textId="77777777" w:rsidTr="008D0623">
        <w:tc>
          <w:tcPr>
            <w:tcW w:w="2263" w:type="dxa"/>
          </w:tcPr>
          <w:p w14:paraId="7DF17AF6" w14:textId="77777777" w:rsidR="00C55BF0" w:rsidRPr="00C55BF0" w:rsidRDefault="00C55BF0" w:rsidP="00C55BF0">
            <w:pPr>
              <w:rPr>
                <w:sz w:val="20"/>
                <w:szCs w:val="20"/>
              </w:rPr>
            </w:pPr>
            <w:r w:rsidRPr="00C55BF0">
              <w:rPr>
                <w:sz w:val="20"/>
                <w:szCs w:val="20"/>
              </w:rPr>
              <w:t>In nursing home</w:t>
            </w:r>
          </w:p>
        </w:tc>
        <w:tc>
          <w:tcPr>
            <w:tcW w:w="851" w:type="dxa"/>
            <w:shd w:val="clear" w:color="auto" w:fill="auto"/>
          </w:tcPr>
          <w:p w14:paraId="34072335"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10DE7B34"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4229304A" w14:textId="698AA498" w:rsidR="00C55BF0" w:rsidRPr="00C55BF0" w:rsidRDefault="00062CF4" w:rsidP="00C55BF0">
            <w:pPr>
              <w:autoSpaceDE w:val="0"/>
              <w:autoSpaceDN w:val="0"/>
              <w:adjustRightInd w:val="0"/>
              <w:rPr>
                <w:rFonts w:cs="MyriadPro-Regular"/>
                <w:sz w:val="20"/>
                <w:szCs w:val="20"/>
              </w:rPr>
            </w:pPr>
            <w:r>
              <w:rPr>
                <w:rFonts w:cs="MyriadPro-Regular"/>
                <w:sz w:val="20"/>
                <w:szCs w:val="20"/>
              </w:rPr>
              <w:t>+</w:t>
            </w:r>
          </w:p>
        </w:tc>
        <w:tc>
          <w:tcPr>
            <w:tcW w:w="3309" w:type="dxa"/>
          </w:tcPr>
          <w:p w14:paraId="412E5BC7" w14:textId="77777777" w:rsidR="00C55BF0" w:rsidRPr="00C55BF0" w:rsidRDefault="00C55BF0" w:rsidP="00C55BF0">
            <w:pPr>
              <w:autoSpaceDE w:val="0"/>
              <w:autoSpaceDN w:val="0"/>
              <w:adjustRightInd w:val="0"/>
              <w:rPr>
                <w:rFonts w:cs="MyriadPro-Regular"/>
                <w:sz w:val="20"/>
                <w:szCs w:val="20"/>
              </w:rPr>
            </w:pPr>
          </w:p>
        </w:tc>
      </w:tr>
      <w:tr w:rsidR="00C55BF0" w:rsidRPr="00C55BF0" w14:paraId="260C9EA9" w14:textId="77777777" w:rsidTr="008D0623">
        <w:tc>
          <w:tcPr>
            <w:tcW w:w="2263" w:type="dxa"/>
          </w:tcPr>
          <w:p w14:paraId="1986C659" w14:textId="77777777" w:rsidR="00C55BF0" w:rsidRPr="00C55BF0" w:rsidRDefault="00C55BF0" w:rsidP="00C55BF0">
            <w:pPr>
              <w:rPr>
                <w:sz w:val="20"/>
                <w:szCs w:val="20"/>
              </w:rPr>
            </w:pPr>
            <w:r w:rsidRPr="00C55BF0">
              <w:rPr>
                <w:sz w:val="20"/>
                <w:szCs w:val="20"/>
              </w:rPr>
              <w:t>Falls history</w:t>
            </w:r>
          </w:p>
        </w:tc>
        <w:tc>
          <w:tcPr>
            <w:tcW w:w="851" w:type="dxa"/>
            <w:shd w:val="clear" w:color="auto" w:fill="auto"/>
          </w:tcPr>
          <w:p w14:paraId="6273F9D4"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16442E62"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50B41C73"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28B4401F"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*categories of exposure</w:t>
            </w:r>
          </w:p>
        </w:tc>
      </w:tr>
      <w:tr w:rsidR="00C55BF0" w:rsidRPr="00C55BF0" w14:paraId="10BFCEFC" w14:textId="77777777" w:rsidTr="008D0623">
        <w:tc>
          <w:tcPr>
            <w:tcW w:w="2263" w:type="dxa"/>
          </w:tcPr>
          <w:p w14:paraId="4D2F721D" w14:textId="77777777" w:rsidR="00C55BF0" w:rsidRPr="00C55BF0" w:rsidRDefault="00C55BF0" w:rsidP="00C55BF0">
            <w:pPr>
              <w:rPr>
                <w:sz w:val="20"/>
                <w:szCs w:val="20"/>
              </w:rPr>
            </w:pPr>
            <w:r w:rsidRPr="00C55BF0">
              <w:rPr>
                <w:sz w:val="20"/>
                <w:szCs w:val="20"/>
              </w:rPr>
              <w:t>Dementia</w:t>
            </w:r>
          </w:p>
        </w:tc>
        <w:tc>
          <w:tcPr>
            <w:tcW w:w="851" w:type="dxa"/>
          </w:tcPr>
          <w:p w14:paraId="3039AFA2"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30139F50"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7BD38225"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7C34CD95" w14:textId="77777777" w:rsidR="00C55BF0" w:rsidRPr="00C55BF0" w:rsidRDefault="00C55BF0" w:rsidP="00C55BF0">
            <w:pPr>
              <w:autoSpaceDE w:val="0"/>
              <w:autoSpaceDN w:val="0"/>
              <w:adjustRightInd w:val="0"/>
              <w:rPr>
                <w:rFonts w:cs="MyriadPro-Regular"/>
                <w:sz w:val="20"/>
                <w:szCs w:val="20"/>
              </w:rPr>
            </w:pPr>
          </w:p>
        </w:tc>
      </w:tr>
      <w:tr w:rsidR="00C55BF0" w:rsidRPr="00C55BF0" w14:paraId="5904359C" w14:textId="77777777" w:rsidTr="008D0623">
        <w:tc>
          <w:tcPr>
            <w:tcW w:w="2263" w:type="dxa"/>
          </w:tcPr>
          <w:p w14:paraId="297444C8" w14:textId="77777777" w:rsidR="00C55BF0" w:rsidRPr="00C55BF0" w:rsidRDefault="00C55BF0" w:rsidP="00C55BF0">
            <w:pPr>
              <w:rPr>
                <w:sz w:val="20"/>
                <w:szCs w:val="20"/>
              </w:rPr>
            </w:pPr>
            <w:r w:rsidRPr="00C55BF0">
              <w:rPr>
                <w:sz w:val="20"/>
                <w:szCs w:val="20"/>
              </w:rPr>
              <w:t>Cancer</w:t>
            </w:r>
          </w:p>
        </w:tc>
        <w:tc>
          <w:tcPr>
            <w:tcW w:w="851" w:type="dxa"/>
          </w:tcPr>
          <w:p w14:paraId="6C7F7F13"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723AF49C"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5AC6F67D"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1DEAEFF4" w14:textId="77777777" w:rsidR="00C55BF0" w:rsidRPr="00C55BF0" w:rsidRDefault="00C55BF0" w:rsidP="00C55BF0">
            <w:pPr>
              <w:autoSpaceDE w:val="0"/>
              <w:autoSpaceDN w:val="0"/>
              <w:adjustRightInd w:val="0"/>
              <w:rPr>
                <w:rFonts w:cs="MyriadPro-Regular"/>
                <w:sz w:val="20"/>
                <w:szCs w:val="20"/>
              </w:rPr>
            </w:pPr>
          </w:p>
        </w:tc>
      </w:tr>
      <w:tr w:rsidR="00C55BF0" w:rsidRPr="00C55BF0" w14:paraId="489AE8C8" w14:textId="77777777" w:rsidTr="008D0623">
        <w:tc>
          <w:tcPr>
            <w:tcW w:w="2263" w:type="dxa"/>
          </w:tcPr>
          <w:p w14:paraId="118996F0" w14:textId="77777777" w:rsidR="00C55BF0" w:rsidRPr="00C55BF0" w:rsidRDefault="00C55BF0" w:rsidP="00C55BF0">
            <w:pPr>
              <w:rPr>
                <w:sz w:val="20"/>
                <w:szCs w:val="20"/>
              </w:rPr>
            </w:pPr>
            <w:r w:rsidRPr="00C55BF0">
              <w:rPr>
                <w:sz w:val="20"/>
                <w:szCs w:val="20"/>
              </w:rPr>
              <w:lastRenderedPageBreak/>
              <w:t>Asthma or COPD</w:t>
            </w:r>
          </w:p>
        </w:tc>
        <w:tc>
          <w:tcPr>
            <w:tcW w:w="851" w:type="dxa"/>
          </w:tcPr>
          <w:p w14:paraId="667032ED"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795EA1B5"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3E6EA75F"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3617C2DA" w14:textId="77777777" w:rsidR="00C55BF0" w:rsidRPr="00C55BF0" w:rsidRDefault="00C55BF0" w:rsidP="00C55BF0">
            <w:pPr>
              <w:autoSpaceDE w:val="0"/>
              <w:autoSpaceDN w:val="0"/>
              <w:adjustRightInd w:val="0"/>
              <w:rPr>
                <w:rFonts w:cs="MyriadPro-Regular"/>
                <w:sz w:val="20"/>
                <w:szCs w:val="20"/>
              </w:rPr>
            </w:pPr>
          </w:p>
        </w:tc>
      </w:tr>
      <w:tr w:rsidR="00C55BF0" w:rsidRPr="00C55BF0" w14:paraId="12C75241" w14:textId="77777777" w:rsidTr="008D0623">
        <w:tc>
          <w:tcPr>
            <w:tcW w:w="2263" w:type="dxa"/>
          </w:tcPr>
          <w:p w14:paraId="79E11459" w14:textId="77777777" w:rsidR="00C55BF0" w:rsidRPr="00C55BF0" w:rsidRDefault="00C55BF0" w:rsidP="00C55BF0">
            <w:pPr>
              <w:rPr>
                <w:sz w:val="20"/>
                <w:szCs w:val="20"/>
              </w:rPr>
            </w:pPr>
            <w:r w:rsidRPr="00C55BF0">
              <w:rPr>
                <w:sz w:val="20"/>
                <w:szCs w:val="20"/>
              </w:rPr>
              <w:t>Heart attack, angina, stroke or TIA</w:t>
            </w:r>
          </w:p>
        </w:tc>
        <w:tc>
          <w:tcPr>
            <w:tcW w:w="851" w:type="dxa"/>
          </w:tcPr>
          <w:p w14:paraId="4AD6966A"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2555328E"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50814774"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0A9F0D21" w14:textId="77777777" w:rsidR="00C55BF0" w:rsidRPr="00C55BF0" w:rsidRDefault="00C55BF0" w:rsidP="00C55BF0">
            <w:pPr>
              <w:autoSpaceDE w:val="0"/>
              <w:autoSpaceDN w:val="0"/>
              <w:adjustRightInd w:val="0"/>
              <w:rPr>
                <w:rFonts w:cs="MyriadPro-Regular"/>
                <w:sz w:val="20"/>
                <w:szCs w:val="20"/>
              </w:rPr>
            </w:pPr>
          </w:p>
        </w:tc>
      </w:tr>
      <w:tr w:rsidR="00C55BF0" w:rsidRPr="00C55BF0" w14:paraId="07A898B2" w14:textId="77777777" w:rsidTr="008D0623">
        <w:tc>
          <w:tcPr>
            <w:tcW w:w="2263" w:type="dxa"/>
          </w:tcPr>
          <w:p w14:paraId="03AB41FD" w14:textId="77777777" w:rsidR="00C55BF0" w:rsidRPr="00C55BF0" w:rsidRDefault="00C55BF0" w:rsidP="00C55BF0">
            <w:pPr>
              <w:rPr>
                <w:sz w:val="20"/>
                <w:szCs w:val="20"/>
              </w:rPr>
            </w:pPr>
            <w:r w:rsidRPr="00C55BF0">
              <w:rPr>
                <w:sz w:val="20"/>
                <w:szCs w:val="20"/>
              </w:rPr>
              <w:t>Chronic liver disease</w:t>
            </w:r>
          </w:p>
        </w:tc>
        <w:tc>
          <w:tcPr>
            <w:tcW w:w="851" w:type="dxa"/>
          </w:tcPr>
          <w:p w14:paraId="5C0F2721"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4C5CFADF"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26112DB5"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7C13336B"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*grouped as secondary OP</w:t>
            </w:r>
          </w:p>
        </w:tc>
      </w:tr>
      <w:tr w:rsidR="00C55BF0" w:rsidRPr="00C55BF0" w14:paraId="395661AD" w14:textId="77777777" w:rsidTr="008D0623">
        <w:tc>
          <w:tcPr>
            <w:tcW w:w="2263" w:type="dxa"/>
          </w:tcPr>
          <w:p w14:paraId="69F68BD9" w14:textId="77777777" w:rsidR="00C55BF0" w:rsidRPr="00C55BF0" w:rsidRDefault="00C55BF0" w:rsidP="00C55BF0">
            <w:pPr>
              <w:rPr>
                <w:sz w:val="20"/>
                <w:szCs w:val="20"/>
              </w:rPr>
            </w:pPr>
            <w:r w:rsidRPr="00C55BF0">
              <w:rPr>
                <w:sz w:val="20"/>
                <w:szCs w:val="20"/>
              </w:rPr>
              <w:t>Chronic kidney disease</w:t>
            </w:r>
          </w:p>
        </w:tc>
        <w:tc>
          <w:tcPr>
            <w:tcW w:w="851" w:type="dxa"/>
          </w:tcPr>
          <w:p w14:paraId="326003F6"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2884BF13"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07A2F30E"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11530794"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*stage 4 or 5</w:t>
            </w:r>
          </w:p>
        </w:tc>
      </w:tr>
      <w:tr w:rsidR="00C55BF0" w:rsidRPr="00C55BF0" w14:paraId="56FE2485" w14:textId="77777777" w:rsidTr="008D0623">
        <w:tc>
          <w:tcPr>
            <w:tcW w:w="2263" w:type="dxa"/>
          </w:tcPr>
          <w:p w14:paraId="41EE0A6E" w14:textId="77777777" w:rsidR="00C55BF0" w:rsidRPr="00C55BF0" w:rsidRDefault="00C55BF0" w:rsidP="00C55BF0">
            <w:pPr>
              <w:rPr>
                <w:sz w:val="20"/>
                <w:szCs w:val="20"/>
              </w:rPr>
            </w:pPr>
            <w:r w:rsidRPr="00C55BF0">
              <w:rPr>
                <w:sz w:val="20"/>
                <w:szCs w:val="20"/>
              </w:rPr>
              <w:t>Parkinson's disease</w:t>
            </w:r>
          </w:p>
        </w:tc>
        <w:tc>
          <w:tcPr>
            <w:tcW w:w="851" w:type="dxa"/>
          </w:tcPr>
          <w:p w14:paraId="6412FCF8"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477F9C39"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0599004A"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59ACD898" w14:textId="77777777" w:rsidR="00C55BF0" w:rsidRPr="00C55BF0" w:rsidRDefault="00C55BF0" w:rsidP="00C55BF0">
            <w:pPr>
              <w:autoSpaceDE w:val="0"/>
              <w:autoSpaceDN w:val="0"/>
              <w:adjustRightInd w:val="0"/>
              <w:rPr>
                <w:rFonts w:cs="MyriadPro-Regular"/>
                <w:sz w:val="20"/>
                <w:szCs w:val="20"/>
              </w:rPr>
            </w:pPr>
          </w:p>
        </w:tc>
      </w:tr>
      <w:tr w:rsidR="00C55BF0" w:rsidRPr="00C55BF0" w14:paraId="2DCA22C0" w14:textId="77777777" w:rsidTr="008D0623">
        <w:tc>
          <w:tcPr>
            <w:tcW w:w="2263" w:type="dxa"/>
          </w:tcPr>
          <w:p w14:paraId="6ECBF255" w14:textId="77777777" w:rsidR="00C55BF0" w:rsidRPr="00C55BF0" w:rsidRDefault="00C55BF0" w:rsidP="00C55BF0">
            <w:pPr>
              <w:rPr>
                <w:sz w:val="20"/>
                <w:szCs w:val="20"/>
              </w:rPr>
            </w:pPr>
            <w:r w:rsidRPr="00C55BF0">
              <w:rPr>
                <w:sz w:val="20"/>
                <w:szCs w:val="20"/>
              </w:rPr>
              <w:t>Rheumatoid arthritis or SLE</w:t>
            </w:r>
          </w:p>
        </w:tc>
        <w:tc>
          <w:tcPr>
            <w:tcW w:w="851" w:type="dxa"/>
          </w:tcPr>
          <w:p w14:paraId="211C95ED"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60B06011"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69624424"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79DCFC5B"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*RA alone</w:t>
            </w:r>
          </w:p>
        </w:tc>
      </w:tr>
      <w:tr w:rsidR="00C55BF0" w:rsidRPr="00C55BF0" w14:paraId="6561ECBE" w14:textId="77777777" w:rsidTr="008D0623">
        <w:tc>
          <w:tcPr>
            <w:tcW w:w="2263" w:type="dxa"/>
          </w:tcPr>
          <w:p w14:paraId="3EA3E49C" w14:textId="77777777" w:rsidR="00C55BF0" w:rsidRPr="00C55BF0" w:rsidRDefault="00C55BF0" w:rsidP="00C55BF0">
            <w:pPr>
              <w:rPr>
                <w:sz w:val="20"/>
                <w:szCs w:val="20"/>
              </w:rPr>
            </w:pPr>
            <w:r w:rsidRPr="00C55BF0">
              <w:rPr>
                <w:sz w:val="20"/>
                <w:szCs w:val="20"/>
              </w:rPr>
              <w:t>Malabsorption</w:t>
            </w:r>
          </w:p>
        </w:tc>
        <w:tc>
          <w:tcPr>
            <w:tcW w:w="851" w:type="dxa"/>
          </w:tcPr>
          <w:p w14:paraId="30860BBD"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217D2E0D"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5A5C5AC6"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241344A9"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*grouped as secondary OP</w:t>
            </w:r>
          </w:p>
          <w:p w14:paraId="123DBBFF"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 xml:space="preserve"> *</w:t>
            </w:r>
            <w:r w:rsidRPr="00C55BF0">
              <w:rPr>
                <w:color w:val="000000"/>
                <w:sz w:val="20"/>
                <w:szCs w:val="20"/>
                <w:shd w:val="clear" w:color="auto" w:fill="D0E0FF"/>
              </w:rPr>
              <w:t>*</w:t>
            </w:r>
            <w:r w:rsidRPr="00C55BF0">
              <w:rPr>
                <w:rFonts w:cs="MyriadPro-Regular"/>
                <w:sz w:val="20"/>
                <w:szCs w:val="20"/>
              </w:rPr>
              <w:t>Crohn's disease, ulcerative colitis, coeliac disease, steatorrhea or blind loop syndrome</w:t>
            </w:r>
          </w:p>
        </w:tc>
      </w:tr>
      <w:tr w:rsidR="00C55BF0" w:rsidRPr="00C55BF0" w14:paraId="45B274A9" w14:textId="77777777" w:rsidTr="008D0623">
        <w:tc>
          <w:tcPr>
            <w:tcW w:w="2263" w:type="dxa"/>
          </w:tcPr>
          <w:p w14:paraId="78C41D52" w14:textId="77777777" w:rsidR="00C55BF0" w:rsidRPr="00C55BF0" w:rsidRDefault="00C55BF0" w:rsidP="00C55BF0">
            <w:pPr>
              <w:rPr>
                <w:sz w:val="20"/>
                <w:szCs w:val="20"/>
              </w:rPr>
            </w:pPr>
            <w:r w:rsidRPr="00C55BF0">
              <w:rPr>
                <w:sz w:val="20"/>
                <w:szCs w:val="20"/>
              </w:rPr>
              <w:t>Endocrine disorders</w:t>
            </w:r>
          </w:p>
        </w:tc>
        <w:tc>
          <w:tcPr>
            <w:tcW w:w="851" w:type="dxa"/>
          </w:tcPr>
          <w:p w14:paraId="16A5CD00"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71B6365D"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765084EB"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0A082462"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r w:rsidRPr="00C55BF0">
              <w:rPr>
                <w:rFonts w:ascii="Arial" w:hAnsi="Arial" w:cs="Arial"/>
                <w:color w:val="444444"/>
                <w:sz w:val="23"/>
                <w:szCs w:val="23"/>
                <w:shd w:val="clear" w:color="auto" w:fill="FFFFFF"/>
              </w:rPr>
              <w:t xml:space="preserve"> </w:t>
            </w:r>
            <w:r w:rsidRPr="00C55BF0">
              <w:rPr>
                <w:rFonts w:cs="MyriadPro-Regular"/>
                <w:sz w:val="20"/>
                <w:szCs w:val="20"/>
              </w:rPr>
              <w:t>untreated long-standing hyperthyroidism, hypogonadism</w:t>
            </w:r>
          </w:p>
          <w:p w14:paraId="75688490"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**thyrotoxicosis, hyperparathyroidism, Cushing's syndrome</w:t>
            </w:r>
          </w:p>
        </w:tc>
      </w:tr>
      <w:tr w:rsidR="00C55BF0" w:rsidRPr="00C55BF0" w14:paraId="4E133A04" w14:textId="77777777" w:rsidTr="008D0623">
        <w:tc>
          <w:tcPr>
            <w:tcW w:w="2263" w:type="dxa"/>
          </w:tcPr>
          <w:p w14:paraId="6A32440B" w14:textId="77777777" w:rsidR="00C55BF0" w:rsidRPr="00C55BF0" w:rsidRDefault="00C55BF0" w:rsidP="00C55BF0">
            <w:pPr>
              <w:rPr>
                <w:sz w:val="20"/>
                <w:szCs w:val="20"/>
              </w:rPr>
            </w:pPr>
            <w:r w:rsidRPr="00C55BF0">
              <w:rPr>
                <w:sz w:val="20"/>
                <w:szCs w:val="20"/>
              </w:rPr>
              <w:t>Premature menopause</w:t>
            </w:r>
          </w:p>
        </w:tc>
        <w:tc>
          <w:tcPr>
            <w:tcW w:w="851" w:type="dxa"/>
          </w:tcPr>
          <w:p w14:paraId="2569533B"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54AAD43A"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389C8E16"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6903B3BD"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 (&lt;45 years)</w:t>
            </w:r>
            <w:r w:rsidRPr="00C55BF0">
              <w:rPr>
                <w:rFonts w:cs="MyriadPro-Semibold"/>
                <w:sz w:val="20"/>
                <w:szCs w:val="20"/>
              </w:rPr>
              <w:t xml:space="preserve"> </w:t>
            </w:r>
            <w:r w:rsidRPr="00C55BF0">
              <w:rPr>
                <w:rFonts w:cs="MyriadPro-Regular"/>
                <w:sz w:val="20"/>
                <w:szCs w:val="20"/>
              </w:rPr>
              <w:t>grouped as secondary OP</w:t>
            </w:r>
          </w:p>
        </w:tc>
      </w:tr>
      <w:tr w:rsidR="00C55BF0" w:rsidRPr="00C55BF0" w14:paraId="7B1E1CEC" w14:textId="77777777" w:rsidTr="008D0623">
        <w:tc>
          <w:tcPr>
            <w:tcW w:w="2263" w:type="dxa"/>
          </w:tcPr>
          <w:p w14:paraId="52A59BEB" w14:textId="77777777" w:rsidR="00C55BF0" w:rsidRPr="00C55BF0" w:rsidRDefault="00C55BF0" w:rsidP="00C55BF0">
            <w:pPr>
              <w:rPr>
                <w:sz w:val="20"/>
                <w:szCs w:val="20"/>
              </w:rPr>
            </w:pPr>
            <w:r w:rsidRPr="00C55BF0">
              <w:rPr>
                <w:sz w:val="20"/>
                <w:szCs w:val="20"/>
              </w:rPr>
              <w:t>Epilepsy or taking anticonvulsants</w:t>
            </w:r>
          </w:p>
        </w:tc>
        <w:tc>
          <w:tcPr>
            <w:tcW w:w="851" w:type="dxa"/>
          </w:tcPr>
          <w:p w14:paraId="365B78DD"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6E387EBD"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08630B4E"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5AB55F83" w14:textId="77777777" w:rsidR="00C55BF0" w:rsidRPr="00C55BF0" w:rsidRDefault="00C55BF0" w:rsidP="00C55BF0">
            <w:pPr>
              <w:autoSpaceDE w:val="0"/>
              <w:autoSpaceDN w:val="0"/>
              <w:adjustRightInd w:val="0"/>
              <w:rPr>
                <w:rFonts w:cs="MyriadPro-Regular"/>
                <w:sz w:val="20"/>
                <w:szCs w:val="20"/>
              </w:rPr>
            </w:pPr>
          </w:p>
        </w:tc>
      </w:tr>
      <w:tr w:rsidR="00C55BF0" w:rsidRPr="00C55BF0" w14:paraId="1C3E973A" w14:textId="77777777" w:rsidTr="008D0623">
        <w:tc>
          <w:tcPr>
            <w:tcW w:w="2263" w:type="dxa"/>
          </w:tcPr>
          <w:p w14:paraId="4D487EFF" w14:textId="77777777" w:rsidR="00C55BF0" w:rsidRPr="00C55BF0" w:rsidRDefault="00C55BF0" w:rsidP="00C55BF0">
            <w:pPr>
              <w:rPr>
                <w:sz w:val="20"/>
                <w:szCs w:val="20"/>
              </w:rPr>
            </w:pPr>
            <w:r w:rsidRPr="00C55BF0">
              <w:rPr>
                <w:sz w:val="20"/>
                <w:szCs w:val="20"/>
              </w:rPr>
              <w:t>Taking antidepressants</w:t>
            </w:r>
          </w:p>
        </w:tc>
        <w:tc>
          <w:tcPr>
            <w:tcW w:w="851" w:type="dxa"/>
          </w:tcPr>
          <w:p w14:paraId="713CE0D0"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47898625"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01EC1994"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599DF7F7" w14:textId="77777777" w:rsidR="00C55BF0" w:rsidRPr="00C55BF0" w:rsidRDefault="00C55BF0" w:rsidP="00C55BF0">
            <w:pPr>
              <w:autoSpaceDE w:val="0"/>
              <w:autoSpaceDN w:val="0"/>
              <w:adjustRightInd w:val="0"/>
              <w:rPr>
                <w:rFonts w:cs="MyriadPro-Regular"/>
                <w:sz w:val="20"/>
                <w:szCs w:val="20"/>
              </w:rPr>
            </w:pPr>
          </w:p>
        </w:tc>
      </w:tr>
      <w:tr w:rsidR="00C55BF0" w:rsidRPr="00C55BF0" w14:paraId="10ED4801" w14:textId="77777777" w:rsidTr="008D0623">
        <w:tc>
          <w:tcPr>
            <w:tcW w:w="2263" w:type="dxa"/>
          </w:tcPr>
          <w:p w14:paraId="283C440B" w14:textId="77777777" w:rsidR="00C55BF0" w:rsidRPr="00C55BF0" w:rsidRDefault="00C55BF0" w:rsidP="00C55BF0">
            <w:pPr>
              <w:rPr>
                <w:sz w:val="20"/>
                <w:szCs w:val="20"/>
              </w:rPr>
            </w:pPr>
            <w:r w:rsidRPr="00C55BF0">
              <w:rPr>
                <w:sz w:val="20"/>
                <w:szCs w:val="20"/>
              </w:rPr>
              <w:t>Chronic malnutrition</w:t>
            </w:r>
          </w:p>
        </w:tc>
        <w:tc>
          <w:tcPr>
            <w:tcW w:w="851" w:type="dxa"/>
            <w:shd w:val="clear" w:color="auto" w:fill="auto"/>
          </w:tcPr>
          <w:p w14:paraId="2B0B27C6"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66019F3C"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6746A580"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shd w:val="clear" w:color="auto" w:fill="auto"/>
          </w:tcPr>
          <w:p w14:paraId="1C47FE23"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*grouped as secondary OP</w:t>
            </w:r>
          </w:p>
        </w:tc>
      </w:tr>
      <w:tr w:rsidR="00C55BF0" w:rsidRPr="00C55BF0" w14:paraId="4034B59F" w14:textId="77777777" w:rsidTr="008D0623">
        <w:tc>
          <w:tcPr>
            <w:tcW w:w="2263" w:type="dxa"/>
          </w:tcPr>
          <w:p w14:paraId="79F0062F" w14:textId="77777777" w:rsidR="00C55BF0" w:rsidRPr="00C55BF0" w:rsidRDefault="00C55BF0" w:rsidP="00C55BF0">
            <w:pPr>
              <w:rPr>
                <w:sz w:val="20"/>
                <w:szCs w:val="20"/>
              </w:rPr>
            </w:pPr>
            <w:r w:rsidRPr="00C55BF0">
              <w:rPr>
                <w:sz w:val="20"/>
                <w:szCs w:val="20"/>
              </w:rPr>
              <w:t>HRT</w:t>
            </w:r>
          </w:p>
        </w:tc>
        <w:tc>
          <w:tcPr>
            <w:tcW w:w="851" w:type="dxa"/>
          </w:tcPr>
          <w:p w14:paraId="082A1F48"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992" w:type="dxa"/>
          </w:tcPr>
          <w:p w14:paraId="52FEB757"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1034" w:type="dxa"/>
          </w:tcPr>
          <w:p w14:paraId="10CC6890"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p>
        </w:tc>
        <w:tc>
          <w:tcPr>
            <w:tcW w:w="3309" w:type="dxa"/>
          </w:tcPr>
          <w:p w14:paraId="0CD41BA1" w14:textId="77777777" w:rsidR="00C55BF0" w:rsidRPr="00C55BF0" w:rsidRDefault="00C55BF0" w:rsidP="00C55BF0">
            <w:pPr>
              <w:autoSpaceDE w:val="0"/>
              <w:autoSpaceDN w:val="0"/>
              <w:adjustRightInd w:val="0"/>
              <w:rPr>
                <w:rFonts w:cs="MyriadPro-Regular"/>
                <w:sz w:val="20"/>
                <w:szCs w:val="20"/>
              </w:rPr>
            </w:pPr>
            <w:r w:rsidRPr="00C55BF0">
              <w:rPr>
                <w:rFonts w:cs="MyriadPro-Regular"/>
                <w:sz w:val="20"/>
                <w:szCs w:val="20"/>
              </w:rPr>
              <w:t>*</w:t>
            </w:r>
            <w:r w:rsidRPr="00C55BF0">
              <w:rPr>
                <w:sz w:val="20"/>
                <w:szCs w:val="20"/>
              </w:rPr>
              <w:t xml:space="preserve"> </w:t>
            </w:r>
            <w:r w:rsidRPr="00C55BF0">
              <w:rPr>
                <w:rFonts w:cs="MyriadPro-Regular"/>
                <w:sz w:val="20"/>
                <w:szCs w:val="20"/>
              </w:rPr>
              <w:t>oestrogen only</w:t>
            </w:r>
          </w:p>
        </w:tc>
      </w:tr>
    </w:tbl>
    <w:p w14:paraId="70BAC49B" w14:textId="77777777" w:rsidR="00C55BF0" w:rsidRPr="00591EAB" w:rsidRDefault="00C55BF0" w:rsidP="00460377">
      <w:pPr>
        <w:autoSpaceDE w:val="0"/>
        <w:autoSpaceDN w:val="0"/>
        <w:adjustRightInd w:val="0"/>
        <w:spacing w:after="0" w:line="240" w:lineRule="auto"/>
        <w:ind w:left="567"/>
        <w:rPr>
          <w:rFonts w:cs="MyriadPro-Regular"/>
        </w:rPr>
      </w:pPr>
    </w:p>
    <w:p w14:paraId="3F6CFF2C" w14:textId="68C16F6C" w:rsidR="00460377" w:rsidRPr="00460377" w:rsidRDefault="00591EAB" w:rsidP="00460377">
      <w:pPr>
        <w:autoSpaceDE w:val="0"/>
        <w:autoSpaceDN w:val="0"/>
        <w:adjustRightInd w:val="0"/>
        <w:spacing w:after="0" w:line="240" w:lineRule="auto"/>
        <w:ind w:left="567"/>
        <w:rPr>
          <w:rFonts w:cs="MyriadPro-Regular"/>
          <w:sz w:val="20"/>
          <w:szCs w:val="20"/>
        </w:rPr>
      </w:pPr>
      <w:r>
        <w:rPr>
          <w:rFonts w:cs="MyriadPro-Regular"/>
          <w:sz w:val="20"/>
          <w:szCs w:val="20"/>
        </w:rPr>
        <w:t xml:space="preserve">HRT hormone replacement therapy; OP osteoporosis: SLE systemic lupus </w:t>
      </w:r>
      <w:r w:rsidR="000E4B90">
        <w:rPr>
          <w:rFonts w:cs="MyriadPro-Regular"/>
          <w:sz w:val="20"/>
          <w:szCs w:val="20"/>
        </w:rPr>
        <w:t>erythematosus</w:t>
      </w:r>
    </w:p>
    <w:p w14:paraId="047C960F" w14:textId="77777777" w:rsidR="00460377" w:rsidRPr="00C54D7A" w:rsidRDefault="00460377" w:rsidP="00C54D7A">
      <w:pPr>
        <w:rPr>
          <w:rFonts w:ascii="Calibri" w:hAnsi="Calibri"/>
          <w:b/>
          <w:sz w:val="24"/>
          <w:szCs w:val="24"/>
        </w:rPr>
      </w:pPr>
    </w:p>
    <w:p w14:paraId="33DB7766" w14:textId="3A09576D" w:rsidR="00B84CF5" w:rsidRPr="00B84CF5" w:rsidRDefault="00C54D7A" w:rsidP="00B84CF5">
      <w:pPr>
        <w:rPr>
          <w:rFonts w:ascii="Calibri" w:hAnsi="Calibri"/>
          <w:iCs/>
          <w:sz w:val="24"/>
          <w:szCs w:val="24"/>
        </w:rPr>
      </w:pPr>
      <w:r w:rsidRPr="00C54D7A">
        <w:rPr>
          <w:rFonts w:ascii="Calibri" w:hAnsi="Calibri"/>
          <w:sz w:val="24"/>
          <w:szCs w:val="24"/>
        </w:rPr>
        <w:t xml:space="preserve">These technical problems aside, </w:t>
      </w:r>
      <w:r w:rsidR="000E4B90">
        <w:rPr>
          <w:rFonts w:ascii="Calibri" w:hAnsi="Calibri"/>
          <w:sz w:val="24"/>
          <w:szCs w:val="24"/>
        </w:rPr>
        <w:t>risk assessment tools are</w:t>
      </w:r>
      <w:r w:rsidRPr="00C54D7A">
        <w:rPr>
          <w:rFonts w:ascii="Calibri" w:hAnsi="Calibri"/>
          <w:sz w:val="24"/>
          <w:szCs w:val="24"/>
        </w:rPr>
        <w:t xml:space="preserve"> intended to identify a risk that is amenable to a therapeutic intervention. </w:t>
      </w:r>
      <w:r w:rsidR="00035E50">
        <w:rPr>
          <w:rFonts w:ascii="Calibri" w:hAnsi="Calibri"/>
          <w:sz w:val="24"/>
          <w:szCs w:val="24"/>
        </w:rPr>
        <w:t>However</w:t>
      </w:r>
      <w:r w:rsidRPr="00C54D7A">
        <w:rPr>
          <w:rFonts w:ascii="Calibri" w:hAnsi="Calibri"/>
          <w:sz w:val="24"/>
          <w:szCs w:val="24"/>
        </w:rPr>
        <w:t xml:space="preserve">, falls as a risk variable does not consistently pass the test of reversibility of </w:t>
      </w:r>
      <w:r w:rsidRPr="007468DB">
        <w:rPr>
          <w:rFonts w:ascii="Calibri" w:hAnsi="Calibri"/>
          <w:sz w:val="24"/>
          <w:szCs w:val="24"/>
        </w:rPr>
        <w:t>risk</w:t>
      </w:r>
      <w:r w:rsidR="00035E50" w:rsidRPr="007468DB">
        <w:rPr>
          <w:rFonts w:ascii="Calibri" w:hAnsi="Calibri"/>
          <w:sz w:val="24"/>
          <w:szCs w:val="24"/>
        </w:rPr>
        <w:t xml:space="preserve"> [</w:t>
      </w:r>
      <w:r w:rsidR="00746E8D" w:rsidRPr="006572CD">
        <w:rPr>
          <w:rFonts w:ascii="Calibri" w:hAnsi="Calibri"/>
          <w:sz w:val="24"/>
          <w:szCs w:val="24"/>
        </w:rPr>
        <w:t>21-23]</w:t>
      </w:r>
      <w:r w:rsidR="00062CF4" w:rsidRPr="006572CD">
        <w:rPr>
          <w:rFonts w:ascii="Calibri" w:hAnsi="Calibri"/>
          <w:sz w:val="24"/>
          <w:szCs w:val="24"/>
        </w:rPr>
        <w:t xml:space="preserve">, </w:t>
      </w:r>
      <w:r w:rsidRPr="006572CD">
        <w:rPr>
          <w:rFonts w:ascii="Calibri" w:hAnsi="Calibri"/>
          <w:sz w:val="24"/>
          <w:szCs w:val="24"/>
        </w:rPr>
        <w:t>a necessary</w:t>
      </w:r>
      <w:r w:rsidRPr="00C54D7A">
        <w:rPr>
          <w:rFonts w:ascii="Calibri" w:hAnsi="Calibri"/>
          <w:sz w:val="24"/>
          <w:szCs w:val="24"/>
        </w:rPr>
        <w:t xml:space="preserve"> feature of any risk variable used in </w:t>
      </w:r>
      <w:r w:rsidR="00035E50">
        <w:rPr>
          <w:rFonts w:ascii="Calibri" w:hAnsi="Calibri"/>
          <w:sz w:val="24"/>
          <w:szCs w:val="24"/>
        </w:rPr>
        <w:t>in tools to direct interventions</w:t>
      </w:r>
      <w:r w:rsidRPr="00C54D7A">
        <w:rPr>
          <w:rFonts w:ascii="Calibri" w:hAnsi="Calibri"/>
          <w:sz w:val="24"/>
          <w:szCs w:val="24"/>
        </w:rPr>
        <w:t xml:space="preserve"> [</w:t>
      </w:r>
      <w:r w:rsidR="00746E8D">
        <w:rPr>
          <w:rFonts w:ascii="Calibri" w:hAnsi="Calibri"/>
          <w:sz w:val="24"/>
          <w:szCs w:val="24"/>
        </w:rPr>
        <w:t>7, 24]</w:t>
      </w:r>
      <w:r w:rsidRPr="00C54D7A">
        <w:rPr>
          <w:rFonts w:ascii="Calibri" w:hAnsi="Calibri"/>
          <w:sz w:val="24"/>
          <w:szCs w:val="24"/>
        </w:rPr>
        <w:t xml:space="preserve">. </w:t>
      </w:r>
      <w:r w:rsidR="00035E50">
        <w:rPr>
          <w:rFonts w:ascii="Calibri" w:hAnsi="Calibri"/>
          <w:sz w:val="24"/>
          <w:szCs w:val="24"/>
        </w:rPr>
        <w:t xml:space="preserve"> </w:t>
      </w:r>
      <w:r w:rsidR="000E4B90">
        <w:rPr>
          <w:rFonts w:ascii="Calibri" w:hAnsi="Calibri"/>
          <w:sz w:val="24"/>
          <w:szCs w:val="24"/>
        </w:rPr>
        <w:t>R</w:t>
      </w:r>
      <w:r w:rsidRPr="00C54D7A">
        <w:rPr>
          <w:rFonts w:ascii="Calibri" w:hAnsi="Calibri"/>
          <w:sz w:val="24"/>
          <w:szCs w:val="24"/>
        </w:rPr>
        <w:t xml:space="preserve">ecently, an analysis in </w:t>
      </w:r>
      <w:r w:rsidR="00E73909">
        <w:rPr>
          <w:rFonts w:ascii="Calibri" w:hAnsi="Calibri"/>
          <w:sz w:val="24"/>
          <w:szCs w:val="24"/>
        </w:rPr>
        <w:t>elderly men</w:t>
      </w:r>
      <w:r w:rsidRPr="00C54D7A">
        <w:rPr>
          <w:rFonts w:ascii="Calibri" w:hAnsi="Calibri"/>
          <w:sz w:val="24"/>
          <w:szCs w:val="24"/>
        </w:rPr>
        <w:t xml:space="preserve">, available as a meeting abstract, indicated </w:t>
      </w:r>
      <w:r w:rsidR="00E73909">
        <w:rPr>
          <w:rFonts w:ascii="Calibri" w:hAnsi="Calibri"/>
          <w:sz w:val="24"/>
          <w:szCs w:val="24"/>
        </w:rPr>
        <w:t xml:space="preserve">that </w:t>
      </w:r>
      <w:r w:rsidRPr="00C54D7A">
        <w:rPr>
          <w:rFonts w:ascii="Calibri" w:hAnsi="Calibri"/>
          <w:sz w:val="24"/>
          <w:szCs w:val="24"/>
        </w:rPr>
        <w:t xml:space="preserve">the predictive value of falls for fracture waned significantly with </w:t>
      </w:r>
      <w:r w:rsidRPr="00467769">
        <w:rPr>
          <w:rFonts w:ascii="Calibri" w:hAnsi="Calibri"/>
          <w:sz w:val="24"/>
          <w:szCs w:val="24"/>
        </w:rPr>
        <w:t>time [</w:t>
      </w:r>
      <w:r w:rsidR="00746E8D" w:rsidRPr="00467769">
        <w:rPr>
          <w:rFonts w:ascii="Calibri" w:hAnsi="Calibri"/>
          <w:sz w:val="24"/>
          <w:szCs w:val="24"/>
        </w:rPr>
        <w:t>25]</w:t>
      </w:r>
      <w:r w:rsidRPr="00467769">
        <w:rPr>
          <w:rFonts w:ascii="Calibri" w:hAnsi="Calibri"/>
          <w:sz w:val="24"/>
          <w:szCs w:val="24"/>
        </w:rPr>
        <w:t>.  If the</w:t>
      </w:r>
      <w:r w:rsidRPr="00C54D7A">
        <w:rPr>
          <w:rFonts w:ascii="Calibri" w:hAnsi="Calibri"/>
          <w:sz w:val="24"/>
          <w:szCs w:val="24"/>
        </w:rPr>
        <w:t xml:space="preserve"> phenomenon is replicated more generally, then this would </w:t>
      </w:r>
      <w:r w:rsidR="00C55BF0">
        <w:rPr>
          <w:rFonts w:ascii="Calibri" w:hAnsi="Calibri"/>
          <w:sz w:val="24"/>
          <w:szCs w:val="24"/>
        </w:rPr>
        <w:t>further</w:t>
      </w:r>
      <w:r w:rsidRPr="00C54D7A">
        <w:rPr>
          <w:rFonts w:ascii="Calibri" w:hAnsi="Calibri"/>
          <w:sz w:val="24"/>
          <w:szCs w:val="24"/>
        </w:rPr>
        <w:t xml:space="preserve"> question the utility of falls history in the long term (e.g. 10-year) assessment of fracture risk.  Thus</w:t>
      </w:r>
      <w:r w:rsidR="00C55BF0">
        <w:rPr>
          <w:rFonts w:ascii="Calibri" w:hAnsi="Calibri"/>
          <w:sz w:val="24"/>
          <w:szCs w:val="24"/>
        </w:rPr>
        <w:t>,</w:t>
      </w:r>
      <w:r w:rsidRPr="00C54D7A">
        <w:rPr>
          <w:rFonts w:ascii="Calibri" w:hAnsi="Calibri"/>
          <w:sz w:val="24"/>
          <w:szCs w:val="24"/>
        </w:rPr>
        <w:t xml:space="preserve"> a useful role of falls history in fracture risk assessment remains </w:t>
      </w:r>
      <w:r w:rsidRPr="00702948">
        <w:rPr>
          <w:rFonts w:ascii="Calibri" w:hAnsi="Calibri"/>
          <w:i/>
          <w:sz w:val="24"/>
          <w:szCs w:val="24"/>
        </w:rPr>
        <w:t xml:space="preserve">sub </w:t>
      </w:r>
      <w:proofErr w:type="spellStart"/>
      <w:r w:rsidRPr="00702948">
        <w:rPr>
          <w:rFonts w:ascii="Calibri" w:hAnsi="Calibri"/>
          <w:i/>
          <w:sz w:val="24"/>
          <w:szCs w:val="24"/>
        </w:rPr>
        <w:t>judice</w:t>
      </w:r>
      <w:proofErr w:type="spellEnd"/>
      <w:r w:rsidRPr="00C54D7A">
        <w:rPr>
          <w:rFonts w:ascii="Calibri" w:hAnsi="Calibri"/>
          <w:sz w:val="24"/>
          <w:szCs w:val="24"/>
        </w:rPr>
        <w:t xml:space="preserve">.  </w:t>
      </w:r>
      <w:r w:rsidR="00B84CF5" w:rsidRPr="00B84CF5">
        <w:rPr>
          <w:rFonts w:ascii="Calibri" w:hAnsi="Calibri"/>
          <w:iCs/>
          <w:sz w:val="24"/>
          <w:szCs w:val="24"/>
        </w:rPr>
        <w:t xml:space="preserve">There are </w:t>
      </w:r>
      <w:r w:rsidR="00B84CF5">
        <w:rPr>
          <w:rFonts w:ascii="Calibri" w:hAnsi="Calibri"/>
          <w:iCs/>
          <w:sz w:val="24"/>
          <w:szCs w:val="24"/>
        </w:rPr>
        <w:t xml:space="preserve">also </w:t>
      </w:r>
      <w:r w:rsidR="00B84CF5" w:rsidRPr="00B84CF5">
        <w:rPr>
          <w:rFonts w:ascii="Calibri" w:hAnsi="Calibri"/>
          <w:iCs/>
          <w:sz w:val="24"/>
          <w:szCs w:val="24"/>
        </w:rPr>
        <w:t xml:space="preserve">few data that many of the </w:t>
      </w:r>
      <w:proofErr w:type="spellStart"/>
      <w:r w:rsidR="00B84CF5" w:rsidRPr="00B84CF5">
        <w:rPr>
          <w:rFonts w:ascii="Calibri" w:hAnsi="Calibri"/>
          <w:iCs/>
          <w:sz w:val="24"/>
          <w:szCs w:val="24"/>
        </w:rPr>
        <w:t>QFracture</w:t>
      </w:r>
      <w:proofErr w:type="spellEnd"/>
      <w:r w:rsidR="00B84CF5">
        <w:rPr>
          <w:rFonts w:ascii="Calibri" w:hAnsi="Calibri"/>
          <w:iCs/>
          <w:sz w:val="24"/>
          <w:szCs w:val="24"/>
        </w:rPr>
        <w:t xml:space="preserve"> </w:t>
      </w:r>
      <w:r w:rsidR="00B84CF5" w:rsidRPr="00B84CF5">
        <w:rPr>
          <w:rFonts w:ascii="Calibri" w:hAnsi="Calibri"/>
          <w:iCs/>
          <w:sz w:val="24"/>
          <w:szCs w:val="24"/>
        </w:rPr>
        <w:t>risk factors (cardiovascular disease, type 2 diabetes, asthma, tricyclic antidepressants usage, history of falls or liver disease) characterises a risk that is amenable to bone</w:t>
      </w:r>
      <w:r w:rsidR="00C55BF0">
        <w:rPr>
          <w:rFonts w:ascii="Calibri" w:hAnsi="Calibri"/>
          <w:iCs/>
          <w:sz w:val="24"/>
          <w:szCs w:val="24"/>
        </w:rPr>
        <w:t>-</w:t>
      </w:r>
      <w:r w:rsidR="00B84CF5" w:rsidRPr="00B84CF5">
        <w:rPr>
          <w:rFonts w:ascii="Calibri" w:hAnsi="Calibri"/>
          <w:iCs/>
          <w:sz w:val="24"/>
          <w:szCs w:val="24"/>
        </w:rPr>
        <w:t xml:space="preserve">targeted interventions.  </w:t>
      </w:r>
    </w:p>
    <w:p w14:paraId="2F98BEE3" w14:textId="78663862" w:rsidR="00350BC2" w:rsidRDefault="00702948" w:rsidP="00C135D1">
      <w:pPr>
        <w:rPr>
          <w:rFonts w:ascii="Calibri" w:hAnsi="Calibri"/>
          <w:sz w:val="24"/>
          <w:szCs w:val="24"/>
        </w:rPr>
      </w:pPr>
      <w:r>
        <w:rPr>
          <w:rFonts w:ascii="Calibri" w:hAnsi="Calibri"/>
          <w:sz w:val="24"/>
          <w:szCs w:val="24"/>
        </w:rPr>
        <w:t xml:space="preserve">Other </w:t>
      </w:r>
      <w:r w:rsidR="000E4B90">
        <w:rPr>
          <w:rFonts w:ascii="Calibri" w:hAnsi="Calibri"/>
          <w:sz w:val="24"/>
          <w:szCs w:val="24"/>
        </w:rPr>
        <w:t xml:space="preserve">important </w:t>
      </w:r>
      <w:r>
        <w:rPr>
          <w:rFonts w:ascii="Calibri" w:hAnsi="Calibri"/>
          <w:sz w:val="24"/>
          <w:szCs w:val="24"/>
        </w:rPr>
        <w:t>differences between models include the question construct for fracture history given as past fragility fracture (for FRAX), fractures since the age of 50 years (</w:t>
      </w:r>
      <w:proofErr w:type="spellStart"/>
      <w:r>
        <w:rPr>
          <w:rFonts w:ascii="Calibri" w:hAnsi="Calibri"/>
          <w:sz w:val="24"/>
          <w:szCs w:val="24"/>
        </w:rPr>
        <w:t>Garvan</w:t>
      </w:r>
      <w:proofErr w:type="spellEnd"/>
      <w:r>
        <w:rPr>
          <w:rFonts w:ascii="Calibri" w:hAnsi="Calibri"/>
          <w:sz w:val="24"/>
          <w:szCs w:val="24"/>
        </w:rPr>
        <w:t xml:space="preserve">) </w:t>
      </w:r>
      <w:r w:rsidRPr="00062CF4">
        <w:rPr>
          <w:rFonts w:ascii="Calibri" w:hAnsi="Calibri"/>
          <w:sz w:val="24"/>
          <w:szCs w:val="24"/>
        </w:rPr>
        <w:t>or</w:t>
      </w:r>
      <w:r w:rsidRPr="00B64AF0">
        <w:rPr>
          <w:color w:val="000000"/>
          <w:sz w:val="24"/>
          <w:szCs w:val="24"/>
        </w:rPr>
        <w:t xml:space="preserve"> past</w:t>
      </w:r>
      <w:r w:rsidRPr="000E4B90">
        <w:rPr>
          <w:color w:val="000000"/>
          <w:sz w:val="27"/>
          <w:szCs w:val="27"/>
        </w:rPr>
        <w:t xml:space="preserve"> </w:t>
      </w:r>
      <w:r w:rsidRPr="000E4B90">
        <w:rPr>
          <w:rFonts w:ascii="Calibri" w:hAnsi="Calibri"/>
          <w:sz w:val="24"/>
          <w:szCs w:val="24"/>
        </w:rPr>
        <w:t>wrist</w:t>
      </w:r>
      <w:r w:rsidR="00062CF4">
        <w:rPr>
          <w:rFonts w:ascii="Calibri" w:hAnsi="Calibri"/>
          <w:sz w:val="24"/>
          <w:szCs w:val="24"/>
        </w:rPr>
        <w:t>,</w:t>
      </w:r>
      <w:r w:rsidRPr="000E4B90">
        <w:rPr>
          <w:rFonts w:ascii="Calibri" w:hAnsi="Calibri"/>
          <w:sz w:val="24"/>
          <w:szCs w:val="24"/>
        </w:rPr>
        <w:t xml:space="preserve"> spine</w:t>
      </w:r>
      <w:r w:rsidR="00062CF4">
        <w:rPr>
          <w:rFonts w:ascii="Calibri" w:hAnsi="Calibri"/>
          <w:sz w:val="24"/>
          <w:szCs w:val="24"/>
        </w:rPr>
        <w:t>,</w:t>
      </w:r>
      <w:r w:rsidRPr="00702948">
        <w:rPr>
          <w:rFonts w:ascii="Calibri" w:hAnsi="Calibri"/>
          <w:sz w:val="24"/>
          <w:szCs w:val="24"/>
        </w:rPr>
        <w:t xml:space="preserve"> hip or shoulder fracture</w:t>
      </w:r>
      <w:r>
        <w:rPr>
          <w:rFonts w:ascii="Calibri" w:hAnsi="Calibri"/>
          <w:sz w:val="24"/>
          <w:szCs w:val="24"/>
        </w:rPr>
        <w:t xml:space="preserve"> </w:t>
      </w:r>
      <w:r w:rsidR="00E53D2C">
        <w:rPr>
          <w:rFonts w:ascii="Calibri" w:hAnsi="Calibri"/>
          <w:sz w:val="24"/>
          <w:szCs w:val="24"/>
        </w:rPr>
        <w:t>(</w:t>
      </w:r>
      <w:proofErr w:type="spellStart"/>
      <w:r>
        <w:rPr>
          <w:rFonts w:ascii="Calibri" w:hAnsi="Calibri"/>
          <w:sz w:val="24"/>
          <w:szCs w:val="24"/>
        </w:rPr>
        <w:t>QFracture</w:t>
      </w:r>
      <w:proofErr w:type="spellEnd"/>
      <w:r>
        <w:rPr>
          <w:rFonts w:ascii="Calibri" w:hAnsi="Calibri"/>
          <w:sz w:val="24"/>
          <w:szCs w:val="24"/>
        </w:rPr>
        <w:t xml:space="preserve">).  For BMD, the femoral neck is the reference site for FRAX </w:t>
      </w:r>
      <w:r w:rsidR="0095545E">
        <w:rPr>
          <w:rFonts w:ascii="Calibri" w:hAnsi="Calibri"/>
          <w:sz w:val="24"/>
          <w:szCs w:val="24"/>
        </w:rPr>
        <w:t>and</w:t>
      </w:r>
      <w:r>
        <w:rPr>
          <w:rFonts w:ascii="Calibri" w:hAnsi="Calibri"/>
          <w:sz w:val="24"/>
          <w:szCs w:val="24"/>
        </w:rPr>
        <w:t xml:space="preserve"> for </w:t>
      </w:r>
      <w:proofErr w:type="spellStart"/>
      <w:r>
        <w:rPr>
          <w:rFonts w:ascii="Calibri" w:hAnsi="Calibri"/>
          <w:sz w:val="24"/>
          <w:szCs w:val="24"/>
        </w:rPr>
        <w:t>Garvan</w:t>
      </w:r>
      <w:proofErr w:type="spellEnd"/>
      <w:r>
        <w:rPr>
          <w:rFonts w:ascii="Calibri" w:hAnsi="Calibri"/>
          <w:sz w:val="24"/>
          <w:szCs w:val="24"/>
        </w:rPr>
        <w:t xml:space="preserve"> </w:t>
      </w:r>
      <w:r w:rsidR="0095545E">
        <w:rPr>
          <w:rFonts w:ascii="Calibri" w:hAnsi="Calibri"/>
          <w:sz w:val="24"/>
          <w:szCs w:val="24"/>
        </w:rPr>
        <w:t>but</w:t>
      </w:r>
      <w:r>
        <w:rPr>
          <w:rFonts w:ascii="Calibri" w:hAnsi="Calibri"/>
          <w:sz w:val="24"/>
          <w:szCs w:val="24"/>
        </w:rPr>
        <w:t xml:space="preserve"> is not an input variable for </w:t>
      </w:r>
      <w:proofErr w:type="spellStart"/>
      <w:r>
        <w:rPr>
          <w:rFonts w:ascii="Calibri" w:hAnsi="Calibri"/>
          <w:sz w:val="24"/>
          <w:szCs w:val="24"/>
        </w:rPr>
        <w:t>QFracture</w:t>
      </w:r>
      <w:proofErr w:type="spellEnd"/>
      <w:r>
        <w:rPr>
          <w:rFonts w:ascii="Calibri" w:hAnsi="Calibri"/>
          <w:sz w:val="24"/>
          <w:szCs w:val="24"/>
        </w:rPr>
        <w:t>.</w:t>
      </w:r>
    </w:p>
    <w:p w14:paraId="2218DD9C" w14:textId="136BB90E" w:rsidR="00B11B3E" w:rsidRDefault="00C570EB" w:rsidP="00C570EB">
      <w:pPr>
        <w:rPr>
          <w:rFonts w:ascii="Calibri" w:hAnsi="Calibri"/>
          <w:sz w:val="24"/>
          <w:szCs w:val="24"/>
        </w:rPr>
      </w:pPr>
      <w:r>
        <w:rPr>
          <w:rFonts w:ascii="Calibri" w:hAnsi="Calibri"/>
          <w:sz w:val="24"/>
          <w:szCs w:val="24"/>
        </w:rPr>
        <w:t>I</w:t>
      </w:r>
      <w:r w:rsidRPr="00E53D2C">
        <w:rPr>
          <w:rFonts w:ascii="Calibri" w:hAnsi="Calibri"/>
          <w:sz w:val="24"/>
          <w:szCs w:val="24"/>
        </w:rPr>
        <w:t xml:space="preserve">mportant differences in the output and model features </w:t>
      </w:r>
      <w:r>
        <w:rPr>
          <w:rFonts w:ascii="Calibri" w:hAnsi="Calibri"/>
          <w:sz w:val="24"/>
          <w:szCs w:val="24"/>
        </w:rPr>
        <w:t>are</w:t>
      </w:r>
      <w:r w:rsidRPr="00E53D2C">
        <w:rPr>
          <w:rFonts w:ascii="Calibri" w:hAnsi="Calibri"/>
          <w:sz w:val="24"/>
          <w:szCs w:val="24"/>
        </w:rPr>
        <w:t xml:space="preserve"> given in Table </w:t>
      </w:r>
      <w:r>
        <w:rPr>
          <w:rFonts w:ascii="Calibri" w:hAnsi="Calibri"/>
          <w:sz w:val="24"/>
          <w:szCs w:val="24"/>
        </w:rPr>
        <w:t>2</w:t>
      </w:r>
      <w:r w:rsidRPr="00E53D2C">
        <w:rPr>
          <w:rFonts w:ascii="Calibri" w:hAnsi="Calibri"/>
          <w:sz w:val="24"/>
          <w:szCs w:val="24"/>
        </w:rPr>
        <w:t>.</w:t>
      </w:r>
      <w:r>
        <w:rPr>
          <w:rFonts w:ascii="Calibri" w:hAnsi="Calibri"/>
          <w:sz w:val="24"/>
          <w:szCs w:val="24"/>
        </w:rPr>
        <w:t xml:space="preserve"> The </w:t>
      </w:r>
      <w:proofErr w:type="spellStart"/>
      <w:r>
        <w:rPr>
          <w:rFonts w:ascii="Calibri" w:hAnsi="Calibri"/>
          <w:sz w:val="24"/>
          <w:szCs w:val="24"/>
        </w:rPr>
        <w:t>Garvan</w:t>
      </w:r>
      <w:proofErr w:type="spellEnd"/>
      <w:r>
        <w:rPr>
          <w:rFonts w:ascii="Calibri" w:hAnsi="Calibri"/>
          <w:sz w:val="24"/>
          <w:szCs w:val="24"/>
        </w:rPr>
        <w:t xml:space="preserve"> instrument includes many more fracture outcomes than </w:t>
      </w:r>
      <w:proofErr w:type="spellStart"/>
      <w:r>
        <w:rPr>
          <w:rFonts w:ascii="Calibri" w:hAnsi="Calibri"/>
          <w:sz w:val="24"/>
          <w:szCs w:val="24"/>
        </w:rPr>
        <w:t>QFracture</w:t>
      </w:r>
      <w:proofErr w:type="spellEnd"/>
      <w:r>
        <w:rPr>
          <w:rFonts w:ascii="Calibri" w:hAnsi="Calibri"/>
          <w:sz w:val="24"/>
          <w:szCs w:val="24"/>
        </w:rPr>
        <w:t xml:space="preserve"> or FRAX.  </w:t>
      </w:r>
      <w:r w:rsidR="00B11B3E">
        <w:rPr>
          <w:rFonts w:ascii="Calibri" w:hAnsi="Calibri"/>
          <w:sz w:val="24"/>
          <w:szCs w:val="24"/>
        </w:rPr>
        <w:t>Compared with FRAX, t</w:t>
      </w:r>
      <w:r>
        <w:rPr>
          <w:rFonts w:ascii="Calibri" w:hAnsi="Calibri"/>
          <w:sz w:val="24"/>
          <w:szCs w:val="24"/>
        </w:rPr>
        <w:t xml:space="preserve">he inclusion </w:t>
      </w:r>
      <w:r w:rsidR="00B11B3E">
        <w:rPr>
          <w:rFonts w:ascii="Calibri" w:hAnsi="Calibri"/>
          <w:sz w:val="24"/>
          <w:szCs w:val="24"/>
        </w:rPr>
        <w:t xml:space="preserve">of these additional fractures </w:t>
      </w:r>
      <w:r>
        <w:rPr>
          <w:rFonts w:ascii="Calibri" w:hAnsi="Calibri"/>
          <w:sz w:val="24"/>
          <w:szCs w:val="24"/>
        </w:rPr>
        <w:t xml:space="preserve">is </w:t>
      </w:r>
      <w:r w:rsidRPr="00B11B3E">
        <w:rPr>
          <w:rFonts w:ascii="Calibri" w:hAnsi="Calibri"/>
          <w:sz w:val="24"/>
          <w:szCs w:val="24"/>
        </w:rPr>
        <w:t xml:space="preserve">expected to inflate fracture risks </w:t>
      </w:r>
      <w:r w:rsidR="00B11B3E" w:rsidRPr="00B11B3E">
        <w:rPr>
          <w:rFonts w:ascii="Calibri" w:hAnsi="Calibri"/>
          <w:sz w:val="24"/>
          <w:szCs w:val="24"/>
        </w:rPr>
        <w:t xml:space="preserve">in women </w:t>
      </w:r>
      <w:r w:rsidRPr="00B11B3E">
        <w:rPr>
          <w:rFonts w:ascii="Calibri" w:hAnsi="Calibri"/>
          <w:sz w:val="24"/>
          <w:szCs w:val="24"/>
        </w:rPr>
        <w:t>by</w:t>
      </w:r>
      <w:r w:rsidR="00B11B3E" w:rsidRPr="00B11B3E">
        <w:rPr>
          <w:rFonts w:ascii="Calibri" w:hAnsi="Calibri"/>
          <w:sz w:val="24"/>
          <w:szCs w:val="24"/>
        </w:rPr>
        <w:t xml:space="preserve"> 34-45%</w:t>
      </w:r>
      <w:r w:rsidR="00B11B3E">
        <w:rPr>
          <w:rFonts w:ascii="Calibri" w:hAnsi="Calibri"/>
          <w:sz w:val="24"/>
          <w:szCs w:val="24"/>
        </w:rPr>
        <w:t xml:space="preserve"> depending on age [</w:t>
      </w:r>
      <w:r w:rsidR="00746E8D" w:rsidRPr="00467769">
        <w:rPr>
          <w:rFonts w:ascii="Calibri" w:hAnsi="Calibri"/>
          <w:sz w:val="24"/>
          <w:szCs w:val="24"/>
        </w:rPr>
        <w:t>26]</w:t>
      </w:r>
      <w:r w:rsidR="00B11B3E" w:rsidRPr="00467769">
        <w:rPr>
          <w:rFonts w:ascii="Calibri" w:hAnsi="Calibri"/>
          <w:sz w:val="24"/>
          <w:szCs w:val="24"/>
        </w:rPr>
        <w:t>.</w:t>
      </w:r>
    </w:p>
    <w:p w14:paraId="096BD48E" w14:textId="77777777" w:rsidR="00B11B3E" w:rsidRPr="00E53D2C" w:rsidRDefault="00B11B3E" w:rsidP="00B11B3E">
      <w:pPr>
        <w:rPr>
          <w:rFonts w:ascii="Calibri" w:hAnsi="Calibri"/>
        </w:rPr>
      </w:pPr>
      <w:proofErr w:type="gramStart"/>
      <w:r w:rsidRPr="00E53D2C">
        <w:rPr>
          <w:rFonts w:ascii="Calibri" w:hAnsi="Calibri"/>
          <w:b/>
        </w:rPr>
        <w:t>Table 2</w:t>
      </w:r>
      <w:r w:rsidRPr="00E53D2C">
        <w:rPr>
          <w:rFonts w:ascii="Calibri" w:hAnsi="Calibri"/>
        </w:rPr>
        <w:t>.</w:t>
      </w:r>
      <w:proofErr w:type="gramEnd"/>
      <w:r w:rsidRPr="00E53D2C">
        <w:rPr>
          <w:rFonts w:ascii="Calibri" w:hAnsi="Calibri"/>
        </w:rPr>
        <w:t xml:space="preserve"> Comparative features of the </w:t>
      </w:r>
      <w:proofErr w:type="spellStart"/>
      <w:r w:rsidRPr="00E53D2C">
        <w:rPr>
          <w:rFonts w:ascii="Calibri" w:hAnsi="Calibri"/>
        </w:rPr>
        <w:t>Garvan</w:t>
      </w:r>
      <w:proofErr w:type="spellEnd"/>
      <w:r w:rsidRPr="00E53D2C">
        <w:rPr>
          <w:rFonts w:ascii="Calibri" w:hAnsi="Calibri"/>
        </w:rPr>
        <w:t xml:space="preserve"> tool, </w:t>
      </w:r>
      <w:proofErr w:type="spellStart"/>
      <w:r w:rsidRPr="00E53D2C">
        <w:rPr>
          <w:rFonts w:ascii="Calibri" w:hAnsi="Calibri"/>
        </w:rPr>
        <w:t>QFracture</w:t>
      </w:r>
      <w:proofErr w:type="spellEnd"/>
      <w:r w:rsidRPr="00E53D2C">
        <w:rPr>
          <w:rFonts w:ascii="Calibri" w:hAnsi="Calibri"/>
        </w:rPr>
        <w:t xml:space="preserve"> and FRAX.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1701"/>
        <w:gridCol w:w="1972"/>
        <w:gridCol w:w="2300"/>
      </w:tblGrid>
      <w:tr w:rsidR="00B11B3E" w:rsidRPr="00C135D1" w14:paraId="16BFBDB1" w14:textId="77777777" w:rsidTr="008D0623">
        <w:tc>
          <w:tcPr>
            <w:tcW w:w="3053" w:type="dxa"/>
          </w:tcPr>
          <w:p w14:paraId="08C5FCD1" w14:textId="77777777" w:rsidR="00B11B3E" w:rsidRPr="00C135D1" w:rsidRDefault="00B11B3E" w:rsidP="008D0623">
            <w:pPr>
              <w:rPr>
                <w:rFonts w:ascii="Calibri" w:hAnsi="Calibri"/>
                <w:sz w:val="24"/>
                <w:szCs w:val="24"/>
              </w:rPr>
            </w:pPr>
          </w:p>
        </w:tc>
        <w:tc>
          <w:tcPr>
            <w:tcW w:w="1701" w:type="dxa"/>
            <w:tcBorders>
              <w:top w:val="single" w:sz="4" w:space="0" w:color="auto"/>
              <w:bottom w:val="single" w:sz="4" w:space="0" w:color="auto"/>
            </w:tcBorders>
          </w:tcPr>
          <w:p w14:paraId="2E809E5E" w14:textId="77777777" w:rsidR="00B11B3E" w:rsidRPr="00C135D1" w:rsidRDefault="00B11B3E" w:rsidP="008D0623">
            <w:pPr>
              <w:rPr>
                <w:rFonts w:ascii="Calibri" w:hAnsi="Calibri"/>
                <w:sz w:val="24"/>
                <w:szCs w:val="24"/>
              </w:rPr>
            </w:pPr>
            <w:proofErr w:type="spellStart"/>
            <w:r>
              <w:rPr>
                <w:rFonts w:ascii="Calibri" w:hAnsi="Calibri"/>
                <w:sz w:val="24"/>
                <w:szCs w:val="24"/>
              </w:rPr>
              <w:t>Garvan</w:t>
            </w:r>
            <w:proofErr w:type="spellEnd"/>
          </w:p>
        </w:tc>
        <w:tc>
          <w:tcPr>
            <w:tcW w:w="1972" w:type="dxa"/>
            <w:tcBorders>
              <w:top w:val="single" w:sz="4" w:space="0" w:color="auto"/>
              <w:bottom w:val="single" w:sz="4" w:space="0" w:color="auto"/>
            </w:tcBorders>
          </w:tcPr>
          <w:p w14:paraId="174837B8" w14:textId="77777777" w:rsidR="00B11B3E" w:rsidRPr="00C135D1" w:rsidRDefault="00B11B3E" w:rsidP="008D0623">
            <w:pPr>
              <w:rPr>
                <w:rFonts w:ascii="Calibri" w:hAnsi="Calibri"/>
                <w:sz w:val="24"/>
                <w:szCs w:val="24"/>
              </w:rPr>
            </w:pPr>
            <w:proofErr w:type="spellStart"/>
            <w:r w:rsidRPr="00C135D1">
              <w:rPr>
                <w:rFonts w:ascii="Calibri" w:hAnsi="Calibri"/>
                <w:sz w:val="24"/>
                <w:szCs w:val="24"/>
              </w:rPr>
              <w:t>QFracture</w:t>
            </w:r>
            <w:proofErr w:type="spellEnd"/>
          </w:p>
        </w:tc>
        <w:tc>
          <w:tcPr>
            <w:tcW w:w="2300" w:type="dxa"/>
            <w:tcBorders>
              <w:top w:val="single" w:sz="4" w:space="0" w:color="auto"/>
              <w:bottom w:val="single" w:sz="4" w:space="0" w:color="auto"/>
            </w:tcBorders>
          </w:tcPr>
          <w:p w14:paraId="488E50D4" w14:textId="77777777" w:rsidR="00B11B3E" w:rsidRPr="00C135D1" w:rsidRDefault="00B11B3E" w:rsidP="008D0623">
            <w:pPr>
              <w:rPr>
                <w:rFonts w:ascii="Calibri" w:hAnsi="Calibri"/>
                <w:sz w:val="24"/>
                <w:szCs w:val="24"/>
              </w:rPr>
            </w:pPr>
            <w:r w:rsidRPr="00C135D1">
              <w:rPr>
                <w:rFonts w:ascii="Calibri" w:hAnsi="Calibri"/>
                <w:sz w:val="24"/>
                <w:szCs w:val="24"/>
              </w:rPr>
              <w:t>FRAX</w:t>
            </w:r>
          </w:p>
        </w:tc>
      </w:tr>
      <w:tr w:rsidR="00B11B3E" w:rsidRPr="00C135D1" w14:paraId="242B694E" w14:textId="77777777" w:rsidTr="008D0623">
        <w:tc>
          <w:tcPr>
            <w:tcW w:w="3053" w:type="dxa"/>
          </w:tcPr>
          <w:p w14:paraId="54DCFF9F" w14:textId="77777777" w:rsidR="00B11B3E" w:rsidRPr="00042BE6" w:rsidRDefault="00B11B3E" w:rsidP="008D0623">
            <w:pPr>
              <w:rPr>
                <w:rFonts w:ascii="Calibri" w:hAnsi="Calibri"/>
                <w:sz w:val="24"/>
                <w:szCs w:val="24"/>
              </w:rPr>
            </w:pPr>
            <w:r w:rsidRPr="00042BE6">
              <w:rPr>
                <w:rFonts w:ascii="Calibri" w:hAnsi="Calibri"/>
                <w:sz w:val="24"/>
                <w:szCs w:val="24"/>
              </w:rPr>
              <w:t>Externally validated</w:t>
            </w:r>
          </w:p>
        </w:tc>
        <w:tc>
          <w:tcPr>
            <w:tcW w:w="1701" w:type="dxa"/>
            <w:tcBorders>
              <w:top w:val="single" w:sz="4" w:space="0" w:color="auto"/>
            </w:tcBorders>
          </w:tcPr>
          <w:p w14:paraId="3D476C2D" w14:textId="3044D85D" w:rsidR="00B11B3E" w:rsidRPr="00C135D1" w:rsidRDefault="00042BE6" w:rsidP="008D0623">
            <w:pPr>
              <w:rPr>
                <w:rFonts w:ascii="Calibri" w:hAnsi="Calibri"/>
                <w:sz w:val="24"/>
                <w:szCs w:val="24"/>
              </w:rPr>
            </w:pPr>
            <w:r>
              <w:rPr>
                <w:rFonts w:ascii="Calibri" w:hAnsi="Calibri"/>
                <w:sz w:val="24"/>
                <w:szCs w:val="24"/>
              </w:rPr>
              <w:t>Yes (Canada)</w:t>
            </w:r>
          </w:p>
        </w:tc>
        <w:tc>
          <w:tcPr>
            <w:tcW w:w="1972" w:type="dxa"/>
            <w:tcBorders>
              <w:top w:val="single" w:sz="4" w:space="0" w:color="auto"/>
            </w:tcBorders>
          </w:tcPr>
          <w:p w14:paraId="780DC606" w14:textId="77777777" w:rsidR="00B11B3E" w:rsidRPr="00C135D1" w:rsidRDefault="00B11B3E" w:rsidP="008D0623">
            <w:pPr>
              <w:rPr>
                <w:rFonts w:ascii="Calibri" w:hAnsi="Calibri"/>
                <w:sz w:val="24"/>
                <w:szCs w:val="24"/>
              </w:rPr>
            </w:pPr>
            <w:r w:rsidRPr="00C135D1">
              <w:rPr>
                <w:rFonts w:ascii="Calibri" w:hAnsi="Calibri"/>
                <w:sz w:val="24"/>
                <w:szCs w:val="24"/>
              </w:rPr>
              <w:t xml:space="preserve">Yes (UK only) </w:t>
            </w:r>
          </w:p>
        </w:tc>
        <w:tc>
          <w:tcPr>
            <w:tcW w:w="2300" w:type="dxa"/>
            <w:tcBorders>
              <w:top w:val="single" w:sz="4" w:space="0" w:color="auto"/>
            </w:tcBorders>
          </w:tcPr>
          <w:p w14:paraId="4372BF8D" w14:textId="77777777" w:rsidR="00B11B3E" w:rsidRPr="00C135D1" w:rsidRDefault="00B11B3E" w:rsidP="008D0623">
            <w:pPr>
              <w:rPr>
                <w:rFonts w:ascii="Calibri" w:hAnsi="Calibri"/>
                <w:sz w:val="24"/>
                <w:szCs w:val="24"/>
              </w:rPr>
            </w:pPr>
            <w:r w:rsidRPr="00C135D1">
              <w:rPr>
                <w:rFonts w:ascii="Calibri" w:hAnsi="Calibri"/>
                <w:sz w:val="24"/>
                <w:szCs w:val="24"/>
              </w:rPr>
              <w:t>Yes, internationally</w:t>
            </w:r>
          </w:p>
        </w:tc>
      </w:tr>
      <w:tr w:rsidR="00B11B3E" w:rsidRPr="00C135D1" w14:paraId="1D60FDC9" w14:textId="77777777" w:rsidTr="008D0623">
        <w:tc>
          <w:tcPr>
            <w:tcW w:w="3053" w:type="dxa"/>
          </w:tcPr>
          <w:p w14:paraId="30738A16" w14:textId="77777777" w:rsidR="00B11B3E" w:rsidRPr="00C135D1" w:rsidRDefault="00B11B3E" w:rsidP="008D0623">
            <w:pPr>
              <w:rPr>
                <w:rFonts w:ascii="Calibri" w:hAnsi="Calibri"/>
                <w:sz w:val="24"/>
                <w:szCs w:val="24"/>
              </w:rPr>
            </w:pPr>
            <w:r w:rsidRPr="00C135D1">
              <w:rPr>
                <w:rFonts w:ascii="Calibri" w:hAnsi="Calibri"/>
                <w:sz w:val="24"/>
                <w:szCs w:val="24"/>
              </w:rPr>
              <w:t>Calibrated</w:t>
            </w:r>
          </w:p>
        </w:tc>
        <w:tc>
          <w:tcPr>
            <w:tcW w:w="1701" w:type="dxa"/>
          </w:tcPr>
          <w:p w14:paraId="5B854309" w14:textId="77777777" w:rsidR="00B11B3E" w:rsidRPr="00C135D1" w:rsidRDefault="00B11B3E" w:rsidP="008D0623">
            <w:pPr>
              <w:rPr>
                <w:rFonts w:ascii="Calibri" w:hAnsi="Calibri"/>
                <w:sz w:val="24"/>
                <w:szCs w:val="24"/>
              </w:rPr>
            </w:pPr>
            <w:r>
              <w:rPr>
                <w:rFonts w:ascii="Calibri" w:hAnsi="Calibri"/>
                <w:sz w:val="24"/>
                <w:szCs w:val="24"/>
              </w:rPr>
              <w:t>No</w:t>
            </w:r>
          </w:p>
        </w:tc>
        <w:tc>
          <w:tcPr>
            <w:tcW w:w="1972" w:type="dxa"/>
          </w:tcPr>
          <w:p w14:paraId="22699054" w14:textId="77777777" w:rsidR="00B11B3E" w:rsidRPr="00C135D1" w:rsidRDefault="00B11B3E" w:rsidP="008D0623">
            <w:pPr>
              <w:rPr>
                <w:rFonts w:ascii="Calibri" w:hAnsi="Calibri"/>
                <w:sz w:val="24"/>
                <w:szCs w:val="24"/>
              </w:rPr>
            </w:pPr>
            <w:r w:rsidRPr="00C135D1">
              <w:rPr>
                <w:rFonts w:ascii="Calibri" w:hAnsi="Calibri"/>
                <w:sz w:val="24"/>
                <w:szCs w:val="24"/>
              </w:rPr>
              <w:t>Yes (hip only)</w:t>
            </w:r>
          </w:p>
        </w:tc>
        <w:tc>
          <w:tcPr>
            <w:tcW w:w="2300" w:type="dxa"/>
          </w:tcPr>
          <w:p w14:paraId="46D2BB1C" w14:textId="77777777" w:rsidR="00B11B3E" w:rsidRPr="00C135D1" w:rsidRDefault="00B11B3E" w:rsidP="008D0623">
            <w:pPr>
              <w:rPr>
                <w:rFonts w:ascii="Calibri" w:hAnsi="Calibri"/>
                <w:sz w:val="24"/>
                <w:szCs w:val="24"/>
              </w:rPr>
            </w:pPr>
            <w:r w:rsidRPr="00C135D1">
              <w:rPr>
                <w:rFonts w:ascii="Calibri" w:hAnsi="Calibri"/>
                <w:sz w:val="24"/>
                <w:szCs w:val="24"/>
              </w:rPr>
              <w:t>Yes</w:t>
            </w:r>
          </w:p>
        </w:tc>
      </w:tr>
      <w:tr w:rsidR="00B11B3E" w:rsidRPr="00C135D1" w14:paraId="1E4C3653" w14:textId="77777777" w:rsidTr="008D0623">
        <w:tc>
          <w:tcPr>
            <w:tcW w:w="3053" w:type="dxa"/>
          </w:tcPr>
          <w:p w14:paraId="2CF4CEFA" w14:textId="77777777" w:rsidR="00B11B3E" w:rsidRPr="00C135D1" w:rsidRDefault="00B11B3E" w:rsidP="008D0623">
            <w:pPr>
              <w:rPr>
                <w:rFonts w:ascii="Calibri" w:hAnsi="Calibri"/>
                <w:sz w:val="24"/>
                <w:szCs w:val="24"/>
              </w:rPr>
            </w:pPr>
            <w:r w:rsidRPr="00C135D1">
              <w:rPr>
                <w:rFonts w:ascii="Calibri" w:hAnsi="Calibri"/>
                <w:sz w:val="24"/>
                <w:szCs w:val="24"/>
              </w:rPr>
              <w:t>Applicability</w:t>
            </w:r>
          </w:p>
        </w:tc>
        <w:tc>
          <w:tcPr>
            <w:tcW w:w="1701" w:type="dxa"/>
          </w:tcPr>
          <w:p w14:paraId="46B5272F" w14:textId="77777777" w:rsidR="00B11B3E" w:rsidRPr="00C135D1" w:rsidRDefault="00B11B3E" w:rsidP="008D0623">
            <w:pPr>
              <w:rPr>
                <w:rFonts w:ascii="Calibri" w:hAnsi="Calibri"/>
                <w:sz w:val="24"/>
                <w:szCs w:val="24"/>
              </w:rPr>
            </w:pPr>
            <w:r>
              <w:rPr>
                <w:rFonts w:ascii="Calibri" w:hAnsi="Calibri"/>
                <w:sz w:val="24"/>
                <w:szCs w:val="24"/>
              </w:rPr>
              <w:t>Uncertain</w:t>
            </w:r>
          </w:p>
        </w:tc>
        <w:tc>
          <w:tcPr>
            <w:tcW w:w="1972" w:type="dxa"/>
          </w:tcPr>
          <w:p w14:paraId="2EAD122A" w14:textId="77777777" w:rsidR="00B11B3E" w:rsidRPr="00C135D1" w:rsidRDefault="00B11B3E" w:rsidP="008D0623">
            <w:pPr>
              <w:rPr>
                <w:rFonts w:ascii="Calibri" w:hAnsi="Calibri"/>
                <w:sz w:val="24"/>
                <w:szCs w:val="24"/>
              </w:rPr>
            </w:pPr>
            <w:r w:rsidRPr="00C135D1">
              <w:rPr>
                <w:rFonts w:ascii="Calibri" w:hAnsi="Calibri"/>
                <w:sz w:val="24"/>
                <w:szCs w:val="24"/>
              </w:rPr>
              <w:t>UK</w:t>
            </w:r>
          </w:p>
        </w:tc>
        <w:tc>
          <w:tcPr>
            <w:tcW w:w="2300" w:type="dxa"/>
          </w:tcPr>
          <w:p w14:paraId="409E91CD" w14:textId="0EFFB56E" w:rsidR="00B11B3E" w:rsidRPr="00C135D1" w:rsidRDefault="00062CF4" w:rsidP="00062CF4">
            <w:pPr>
              <w:rPr>
                <w:rFonts w:ascii="Calibri" w:hAnsi="Calibri"/>
                <w:sz w:val="24"/>
                <w:szCs w:val="24"/>
              </w:rPr>
            </w:pPr>
            <w:r w:rsidRPr="00C135D1">
              <w:rPr>
                <w:rFonts w:ascii="Calibri" w:hAnsi="Calibri"/>
                <w:sz w:val="24"/>
                <w:szCs w:val="24"/>
              </w:rPr>
              <w:t>5</w:t>
            </w:r>
            <w:r>
              <w:rPr>
                <w:rFonts w:ascii="Calibri" w:hAnsi="Calibri"/>
                <w:sz w:val="24"/>
                <w:szCs w:val="24"/>
              </w:rPr>
              <w:t>8</w:t>
            </w:r>
            <w:r w:rsidRPr="00C135D1">
              <w:rPr>
                <w:rFonts w:ascii="Calibri" w:hAnsi="Calibri"/>
                <w:sz w:val="24"/>
                <w:szCs w:val="24"/>
              </w:rPr>
              <w:t xml:space="preserve"> </w:t>
            </w:r>
            <w:r w:rsidR="00B11B3E" w:rsidRPr="00C135D1">
              <w:rPr>
                <w:rFonts w:ascii="Calibri" w:hAnsi="Calibri"/>
                <w:sz w:val="24"/>
                <w:szCs w:val="24"/>
              </w:rPr>
              <w:t>countries</w:t>
            </w:r>
          </w:p>
        </w:tc>
      </w:tr>
      <w:tr w:rsidR="00B11B3E" w:rsidRPr="00C135D1" w14:paraId="3F285F2F" w14:textId="77777777" w:rsidTr="008D0623">
        <w:tc>
          <w:tcPr>
            <w:tcW w:w="3053" w:type="dxa"/>
          </w:tcPr>
          <w:p w14:paraId="6CCCC140" w14:textId="77777777" w:rsidR="00B11B3E" w:rsidRPr="00C135D1" w:rsidRDefault="00B11B3E" w:rsidP="008D0623">
            <w:pPr>
              <w:rPr>
                <w:rFonts w:ascii="Calibri" w:hAnsi="Calibri"/>
                <w:sz w:val="24"/>
                <w:szCs w:val="24"/>
              </w:rPr>
            </w:pPr>
            <w:r w:rsidRPr="00C135D1">
              <w:rPr>
                <w:rFonts w:ascii="Calibri" w:hAnsi="Calibri"/>
                <w:sz w:val="24"/>
                <w:szCs w:val="24"/>
              </w:rPr>
              <w:t>Falls as an input variable</w:t>
            </w:r>
          </w:p>
        </w:tc>
        <w:tc>
          <w:tcPr>
            <w:tcW w:w="1701" w:type="dxa"/>
          </w:tcPr>
          <w:p w14:paraId="061EAFD0" w14:textId="77777777" w:rsidR="00B11B3E" w:rsidRPr="00C135D1" w:rsidRDefault="00B11B3E" w:rsidP="008D0623">
            <w:pPr>
              <w:rPr>
                <w:rFonts w:ascii="Calibri" w:hAnsi="Calibri"/>
                <w:sz w:val="24"/>
                <w:szCs w:val="24"/>
              </w:rPr>
            </w:pPr>
            <w:r>
              <w:rPr>
                <w:rFonts w:ascii="Calibri" w:hAnsi="Calibri"/>
                <w:sz w:val="24"/>
                <w:szCs w:val="24"/>
              </w:rPr>
              <w:t>Yes</w:t>
            </w:r>
          </w:p>
        </w:tc>
        <w:tc>
          <w:tcPr>
            <w:tcW w:w="1972" w:type="dxa"/>
          </w:tcPr>
          <w:p w14:paraId="624B5FE7" w14:textId="77777777" w:rsidR="00B11B3E" w:rsidRPr="00C135D1" w:rsidRDefault="00B11B3E" w:rsidP="008D0623">
            <w:pPr>
              <w:rPr>
                <w:rFonts w:ascii="Calibri" w:hAnsi="Calibri"/>
                <w:sz w:val="24"/>
                <w:szCs w:val="24"/>
              </w:rPr>
            </w:pPr>
            <w:r w:rsidRPr="00C135D1">
              <w:rPr>
                <w:rFonts w:ascii="Calibri" w:hAnsi="Calibri"/>
                <w:sz w:val="24"/>
                <w:szCs w:val="24"/>
              </w:rPr>
              <w:t xml:space="preserve">Yes </w:t>
            </w:r>
          </w:p>
        </w:tc>
        <w:tc>
          <w:tcPr>
            <w:tcW w:w="2300" w:type="dxa"/>
          </w:tcPr>
          <w:p w14:paraId="00AB1A9B" w14:textId="77777777" w:rsidR="00B11B3E" w:rsidRPr="00C135D1" w:rsidRDefault="00B11B3E" w:rsidP="008D0623">
            <w:pPr>
              <w:rPr>
                <w:rFonts w:ascii="Calibri" w:hAnsi="Calibri"/>
                <w:sz w:val="24"/>
                <w:szCs w:val="24"/>
              </w:rPr>
            </w:pPr>
            <w:r w:rsidRPr="00C135D1">
              <w:rPr>
                <w:rFonts w:ascii="Calibri" w:hAnsi="Calibri"/>
                <w:sz w:val="24"/>
                <w:szCs w:val="24"/>
              </w:rPr>
              <w:t>No</w:t>
            </w:r>
          </w:p>
        </w:tc>
      </w:tr>
      <w:tr w:rsidR="00B11B3E" w:rsidRPr="00C135D1" w14:paraId="551C15DC" w14:textId="77777777" w:rsidTr="008D0623">
        <w:tc>
          <w:tcPr>
            <w:tcW w:w="3053" w:type="dxa"/>
          </w:tcPr>
          <w:p w14:paraId="0AD874BB" w14:textId="77777777" w:rsidR="00B11B3E" w:rsidRPr="00C135D1" w:rsidRDefault="00B11B3E" w:rsidP="008D0623">
            <w:pPr>
              <w:rPr>
                <w:rFonts w:ascii="Calibri" w:hAnsi="Calibri"/>
                <w:sz w:val="24"/>
                <w:szCs w:val="24"/>
              </w:rPr>
            </w:pPr>
            <w:r w:rsidRPr="00C135D1">
              <w:rPr>
                <w:rFonts w:ascii="Calibri" w:hAnsi="Calibri"/>
                <w:sz w:val="24"/>
                <w:szCs w:val="24"/>
              </w:rPr>
              <w:t>BMD as an input variable</w:t>
            </w:r>
          </w:p>
        </w:tc>
        <w:tc>
          <w:tcPr>
            <w:tcW w:w="1701" w:type="dxa"/>
          </w:tcPr>
          <w:p w14:paraId="2D02E308" w14:textId="77777777" w:rsidR="00B11B3E" w:rsidRPr="00C135D1" w:rsidRDefault="00B11B3E" w:rsidP="008D0623">
            <w:pPr>
              <w:rPr>
                <w:rFonts w:ascii="Calibri" w:hAnsi="Calibri"/>
                <w:sz w:val="24"/>
                <w:szCs w:val="24"/>
              </w:rPr>
            </w:pPr>
            <w:r>
              <w:rPr>
                <w:rFonts w:ascii="Calibri" w:hAnsi="Calibri"/>
                <w:sz w:val="24"/>
                <w:szCs w:val="24"/>
              </w:rPr>
              <w:t>Yes*</w:t>
            </w:r>
          </w:p>
        </w:tc>
        <w:tc>
          <w:tcPr>
            <w:tcW w:w="1972" w:type="dxa"/>
          </w:tcPr>
          <w:p w14:paraId="62CC6D1D" w14:textId="77777777" w:rsidR="00B11B3E" w:rsidRPr="00C135D1" w:rsidRDefault="00B11B3E" w:rsidP="008D0623">
            <w:pPr>
              <w:rPr>
                <w:rFonts w:ascii="Calibri" w:hAnsi="Calibri"/>
                <w:sz w:val="24"/>
                <w:szCs w:val="24"/>
              </w:rPr>
            </w:pPr>
            <w:r w:rsidRPr="00C135D1">
              <w:rPr>
                <w:rFonts w:ascii="Calibri" w:hAnsi="Calibri"/>
                <w:sz w:val="24"/>
                <w:szCs w:val="24"/>
              </w:rPr>
              <w:t>No</w:t>
            </w:r>
          </w:p>
        </w:tc>
        <w:tc>
          <w:tcPr>
            <w:tcW w:w="2300" w:type="dxa"/>
          </w:tcPr>
          <w:p w14:paraId="5782EF1D" w14:textId="77777777" w:rsidR="00B11B3E" w:rsidRPr="00C135D1" w:rsidRDefault="00B11B3E" w:rsidP="008D0623">
            <w:pPr>
              <w:rPr>
                <w:rFonts w:ascii="Calibri" w:hAnsi="Calibri"/>
                <w:sz w:val="24"/>
                <w:szCs w:val="24"/>
              </w:rPr>
            </w:pPr>
            <w:r w:rsidRPr="00C135D1">
              <w:rPr>
                <w:rFonts w:ascii="Calibri" w:hAnsi="Calibri"/>
                <w:sz w:val="24"/>
                <w:szCs w:val="24"/>
              </w:rPr>
              <w:t>Yes</w:t>
            </w:r>
          </w:p>
        </w:tc>
      </w:tr>
      <w:tr w:rsidR="00B11B3E" w:rsidRPr="00C135D1" w14:paraId="7B60EE4B" w14:textId="77777777" w:rsidTr="008D0623">
        <w:tc>
          <w:tcPr>
            <w:tcW w:w="3053" w:type="dxa"/>
          </w:tcPr>
          <w:p w14:paraId="317F6919" w14:textId="77777777" w:rsidR="00B11B3E" w:rsidRPr="00C135D1" w:rsidRDefault="00B11B3E" w:rsidP="008D0623">
            <w:pPr>
              <w:rPr>
                <w:rFonts w:ascii="Calibri" w:hAnsi="Calibri"/>
                <w:sz w:val="24"/>
                <w:szCs w:val="24"/>
              </w:rPr>
            </w:pPr>
            <w:r w:rsidRPr="00C135D1">
              <w:rPr>
                <w:rFonts w:ascii="Calibri" w:hAnsi="Calibri"/>
                <w:sz w:val="24"/>
                <w:szCs w:val="24"/>
              </w:rPr>
              <w:t>Prior fracture as an input variable</w:t>
            </w:r>
          </w:p>
        </w:tc>
        <w:tc>
          <w:tcPr>
            <w:tcW w:w="1701" w:type="dxa"/>
          </w:tcPr>
          <w:p w14:paraId="7FEFA531" w14:textId="77777777" w:rsidR="00B11B3E" w:rsidRPr="00C135D1" w:rsidRDefault="00B11B3E" w:rsidP="008D0623">
            <w:pPr>
              <w:rPr>
                <w:rFonts w:ascii="Calibri" w:hAnsi="Calibri"/>
                <w:sz w:val="24"/>
                <w:szCs w:val="24"/>
              </w:rPr>
            </w:pPr>
            <w:r>
              <w:rPr>
                <w:rFonts w:ascii="Calibri" w:hAnsi="Calibri"/>
                <w:sz w:val="24"/>
                <w:szCs w:val="24"/>
              </w:rPr>
              <w:t>Yes</w:t>
            </w:r>
          </w:p>
        </w:tc>
        <w:tc>
          <w:tcPr>
            <w:tcW w:w="1972" w:type="dxa"/>
          </w:tcPr>
          <w:p w14:paraId="27A14316" w14:textId="77777777" w:rsidR="00B11B3E" w:rsidRPr="00C135D1" w:rsidRDefault="00B11B3E" w:rsidP="008D0623">
            <w:pPr>
              <w:rPr>
                <w:rFonts w:ascii="Calibri" w:hAnsi="Calibri"/>
                <w:sz w:val="24"/>
                <w:szCs w:val="24"/>
              </w:rPr>
            </w:pPr>
            <w:r w:rsidRPr="00C135D1">
              <w:rPr>
                <w:rFonts w:ascii="Calibri" w:hAnsi="Calibri"/>
                <w:sz w:val="24"/>
                <w:szCs w:val="24"/>
              </w:rPr>
              <w:t>Yes</w:t>
            </w:r>
          </w:p>
        </w:tc>
        <w:tc>
          <w:tcPr>
            <w:tcW w:w="2300" w:type="dxa"/>
          </w:tcPr>
          <w:p w14:paraId="70976740" w14:textId="77777777" w:rsidR="00B11B3E" w:rsidRPr="00C135D1" w:rsidRDefault="00B11B3E" w:rsidP="008D0623">
            <w:pPr>
              <w:rPr>
                <w:rFonts w:ascii="Calibri" w:hAnsi="Calibri"/>
                <w:sz w:val="24"/>
                <w:szCs w:val="24"/>
              </w:rPr>
            </w:pPr>
            <w:r w:rsidRPr="00C135D1">
              <w:rPr>
                <w:rFonts w:ascii="Calibri" w:hAnsi="Calibri"/>
                <w:sz w:val="24"/>
                <w:szCs w:val="24"/>
              </w:rPr>
              <w:t>Yes</w:t>
            </w:r>
          </w:p>
        </w:tc>
      </w:tr>
      <w:tr w:rsidR="00B11B3E" w:rsidRPr="00C135D1" w14:paraId="6FEA1B80" w14:textId="77777777" w:rsidTr="008D0623">
        <w:tc>
          <w:tcPr>
            <w:tcW w:w="3053" w:type="dxa"/>
          </w:tcPr>
          <w:p w14:paraId="50A2B0C0" w14:textId="77777777" w:rsidR="00B11B3E" w:rsidRPr="00C135D1" w:rsidRDefault="00B11B3E" w:rsidP="008D0623">
            <w:pPr>
              <w:rPr>
                <w:rFonts w:ascii="Calibri" w:hAnsi="Calibri"/>
                <w:sz w:val="24"/>
                <w:szCs w:val="24"/>
              </w:rPr>
            </w:pPr>
            <w:r w:rsidRPr="00C135D1">
              <w:rPr>
                <w:rFonts w:ascii="Calibri" w:hAnsi="Calibri"/>
                <w:sz w:val="24"/>
                <w:szCs w:val="24"/>
              </w:rPr>
              <w:t>Family history as an input variable</w:t>
            </w:r>
          </w:p>
        </w:tc>
        <w:tc>
          <w:tcPr>
            <w:tcW w:w="1701" w:type="dxa"/>
          </w:tcPr>
          <w:p w14:paraId="0C63992F" w14:textId="77777777" w:rsidR="00B11B3E" w:rsidRPr="00C135D1" w:rsidRDefault="00B11B3E" w:rsidP="008D0623">
            <w:pPr>
              <w:rPr>
                <w:rFonts w:ascii="Calibri" w:hAnsi="Calibri"/>
                <w:sz w:val="24"/>
                <w:szCs w:val="24"/>
              </w:rPr>
            </w:pPr>
            <w:r>
              <w:rPr>
                <w:rFonts w:ascii="Calibri" w:hAnsi="Calibri"/>
                <w:sz w:val="24"/>
                <w:szCs w:val="24"/>
              </w:rPr>
              <w:t>No</w:t>
            </w:r>
          </w:p>
        </w:tc>
        <w:tc>
          <w:tcPr>
            <w:tcW w:w="1972" w:type="dxa"/>
          </w:tcPr>
          <w:p w14:paraId="63F854F9" w14:textId="77777777" w:rsidR="00B11B3E" w:rsidRPr="00C135D1" w:rsidRDefault="00B11B3E" w:rsidP="008D0623">
            <w:pPr>
              <w:rPr>
                <w:rFonts w:ascii="Calibri" w:hAnsi="Calibri"/>
                <w:sz w:val="24"/>
                <w:szCs w:val="24"/>
              </w:rPr>
            </w:pPr>
            <w:r w:rsidRPr="00C135D1">
              <w:rPr>
                <w:rFonts w:ascii="Calibri" w:hAnsi="Calibri"/>
                <w:sz w:val="24"/>
                <w:szCs w:val="24"/>
              </w:rPr>
              <w:t>Yes</w:t>
            </w:r>
          </w:p>
        </w:tc>
        <w:tc>
          <w:tcPr>
            <w:tcW w:w="2300" w:type="dxa"/>
          </w:tcPr>
          <w:p w14:paraId="48E0B770" w14:textId="77777777" w:rsidR="00B11B3E" w:rsidRPr="00C135D1" w:rsidRDefault="00B11B3E" w:rsidP="008D0623">
            <w:pPr>
              <w:rPr>
                <w:rFonts w:ascii="Calibri" w:hAnsi="Calibri"/>
                <w:sz w:val="24"/>
                <w:szCs w:val="24"/>
              </w:rPr>
            </w:pPr>
            <w:r w:rsidRPr="00C135D1">
              <w:rPr>
                <w:rFonts w:ascii="Calibri" w:hAnsi="Calibri"/>
                <w:sz w:val="24"/>
                <w:szCs w:val="24"/>
              </w:rPr>
              <w:t>Yes</w:t>
            </w:r>
          </w:p>
        </w:tc>
      </w:tr>
      <w:tr w:rsidR="00B11B3E" w:rsidRPr="00C135D1" w14:paraId="23802903" w14:textId="77777777" w:rsidTr="008D0623">
        <w:tc>
          <w:tcPr>
            <w:tcW w:w="3053" w:type="dxa"/>
          </w:tcPr>
          <w:p w14:paraId="032DF936" w14:textId="77777777" w:rsidR="00B11B3E" w:rsidRPr="00C135D1" w:rsidRDefault="00B11B3E" w:rsidP="008D0623">
            <w:pPr>
              <w:rPr>
                <w:rFonts w:ascii="Calibri" w:hAnsi="Calibri"/>
                <w:sz w:val="24"/>
                <w:szCs w:val="24"/>
              </w:rPr>
            </w:pPr>
            <w:r w:rsidRPr="00C135D1">
              <w:rPr>
                <w:rFonts w:ascii="Calibri" w:hAnsi="Calibri"/>
                <w:sz w:val="24"/>
                <w:szCs w:val="24"/>
              </w:rPr>
              <w:t>Outcome</w:t>
            </w:r>
          </w:p>
        </w:tc>
        <w:tc>
          <w:tcPr>
            <w:tcW w:w="1701" w:type="dxa"/>
          </w:tcPr>
          <w:p w14:paraId="15BE3BE6" w14:textId="77777777" w:rsidR="00B11B3E" w:rsidRPr="00C135D1" w:rsidRDefault="00B11B3E" w:rsidP="008D0623">
            <w:pPr>
              <w:rPr>
                <w:rFonts w:ascii="Calibri" w:hAnsi="Calibri"/>
                <w:sz w:val="24"/>
                <w:szCs w:val="24"/>
              </w:rPr>
            </w:pPr>
            <w:r>
              <w:rPr>
                <w:rFonts w:ascii="Calibri" w:hAnsi="Calibri"/>
                <w:sz w:val="24"/>
                <w:szCs w:val="24"/>
              </w:rPr>
              <w:t>All fractures excluding digits</w:t>
            </w:r>
          </w:p>
        </w:tc>
        <w:tc>
          <w:tcPr>
            <w:tcW w:w="1972" w:type="dxa"/>
          </w:tcPr>
          <w:p w14:paraId="3E0CB1A3" w14:textId="77777777" w:rsidR="00B11B3E" w:rsidRPr="00C135D1" w:rsidRDefault="00B11B3E" w:rsidP="008D0623">
            <w:pPr>
              <w:rPr>
                <w:rFonts w:ascii="Calibri" w:hAnsi="Calibri"/>
                <w:sz w:val="24"/>
                <w:szCs w:val="24"/>
              </w:rPr>
            </w:pPr>
            <w:r w:rsidRPr="00C135D1">
              <w:rPr>
                <w:rFonts w:ascii="Calibri" w:hAnsi="Calibri"/>
                <w:sz w:val="24"/>
                <w:szCs w:val="24"/>
              </w:rPr>
              <w:t>Hip, forearm, spine, shoulder</w:t>
            </w:r>
          </w:p>
        </w:tc>
        <w:tc>
          <w:tcPr>
            <w:tcW w:w="2300" w:type="dxa"/>
          </w:tcPr>
          <w:p w14:paraId="080784D9" w14:textId="77777777" w:rsidR="00B11B3E" w:rsidRPr="00C135D1" w:rsidRDefault="00B11B3E" w:rsidP="008D0623">
            <w:pPr>
              <w:rPr>
                <w:rFonts w:ascii="Calibri" w:hAnsi="Calibri"/>
                <w:sz w:val="24"/>
                <w:szCs w:val="24"/>
              </w:rPr>
            </w:pPr>
            <w:r w:rsidRPr="00C135D1">
              <w:rPr>
                <w:rFonts w:ascii="Calibri" w:hAnsi="Calibri"/>
                <w:sz w:val="24"/>
                <w:szCs w:val="24"/>
              </w:rPr>
              <w:t xml:space="preserve">Hip, forearm, spine, </w:t>
            </w:r>
            <w:proofErr w:type="spellStart"/>
            <w:r w:rsidRPr="00C135D1">
              <w:rPr>
                <w:rFonts w:ascii="Calibri" w:hAnsi="Calibri"/>
                <w:sz w:val="24"/>
                <w:szCs w:val="24"/>
              </w:rPr>
              <w:t>humerus</w:t>
            </w:r>
            <w:proofErr w:type="spellEnd"/>
          </w:p>
        </w:tc>
      </w:tr>
      <w:tr w:rsidR="00B11B3E" w:rsidRPr="00C135D1" w14:paraId="16AD7E43" w14:textId="77777777" w:rsidTr="008D0623">
        <w:tc>
          <w:tcPr>
            <w:tcW w:w="3053" w:type="dxa"/>
          </w:tcPr>
          <w:p w14:paraId="06B22A11" w14:textId="77777777" w:rsidR="00B11B3E" w:rsidRPr="00C135D1" w:rsidRDefault="00B11B3E" w:rsidP="008D0623">
            <w:pPr>
              <w:rPr>
                <w:rFonts w:ascii="Calibri" w:hAnsi="Calibri"/>
                <w:sz w:val="24"/>
                <w:szCs w:val="24"/>
              </w:rPr>
            </w:pPr>
            <w:r w:rsidRPr="00C135D1">
              <w:rPr>
                <w:rFonts w:ascii="Calibri" w:hAnsi="Calibri"/>
                <w:sz w:val="24"/>
                <w:szCs w:val="24"/>
              </w:rPr>
              <w:t>Outcome metric</w:t>
            </w:r>
          </w:p>
        </w:tc>
        <w:tc>
          <w:tcPr>
            <w:tcW w:w="1701" w:type="dxa"/>
          </w:tcPr>
          <w:p w14:paraId="7C0476B5" w14:textId="77777777" w:rsidR="00B11B3E" w:rsidRPr="00C135D1" w:rsidRDefault="00B11B3E" w:rsidP="008D0623">
            <w:pPr>
              <w:rPr>
                <w:rFonts w:ascii="Calibri" w:hAnsi="Calibri"/>
                <w:sz w:val="24"/>
                <w:szCs w:val="24"/>
              </w:rPr>
            </w:pPr>
            <w:r>
              <w:rPr>
                <w:rFonts w:ascii="Calibri" w:hAnsi="Calibri"/>
                <w:sz w:val="24"/>
                <w:szCs w:val="24"/>
              </w:rPr>
              <w:t>Incidence</w:t>
            </w:r>
          </w:p>
        </w:tc>
        <w:tc>
          <w:tcPr>
            <w:tcW w:w="1972" w:type="dxa"/>
          </w:tcPr>
          <w:p w14:paraId="524B0838" w14:textId="77777777" w:rsidR="00B11B3E" w:rsidRPr="00C135D1" w:rsidRDefault="00B11B3E" w:rsidP="008D0623">
            <w:pPr>
              <w:rPr>
                <w:rFonts w:ascii="Calibri" w:hAnsi="Calibri"/>
                <w:sz w:val="24"/>
                <w:szCs w:val="24"/>
              </w:rPr>
            </w:pPr>
            <w:r w:rsidRPr="00C135D1">
              <w:rPr>
                <w:rFonts w:ascii="Calibri" w:hAnsi="Calibri"/>
                <w:sz w:val="24"/>
                <w:szCs w:val="24"/>
              </w:rPr>
              <w:t>Incidence</w:t>
            </w:r>
          </w:p>
        </w:tc>
        <w:tc>
          <w:tcPr>
            <w:tcW w:w="2300" w:type="dxa"/>
          </w:tcPr>
          <w:p w14:paraId="23873FF6" w14:textId="77777777" w:rsidR="00B11B3E" w:rsidRPr="00C135D1" w:rsidRDefault="00B11B3E" w:rsidP="008D0623">
            <w:pPr>
              <w:rPr>
                <w:rFonts w:ascii="Calibri" w:hAnsi="Calibri"/>
                <w:sz w:val="24"/>
                <w:szCs w:val="24"/>
              </w:rPr>
            </w:pPr>
            <w:r w:rsidRPr="00C135D1">
              <w:rPr>
                <w:rFonts w:ascii="Calibri" w:hAnsi="Calibri"/>
                <w:sz w:val="24"/>
                <w:szCs w:val="24"/>
              </w:rPr>
              <w:t>Probability</w:t>
            </w:r>
          </w:p>
        </w:tc>
      </w:tr>
    </w:tbl>
    <w:p w14:paraId="18D1852B" w14:textId="77777777" w:rsidR="00B11B3E" w:rsidRPr="00C570EB" w:rsidRDefault="00B11B3E" w:rsidP="00B11B3E">
      <w:pPr>
        <w:rPr>
          <w:rFonts w:ascii="Calibri" w:hAnsi="Calibri"/>
        </w:rPr>
      </w:pPr>
      <w:r w:rsidRPr="00C570EB">
        <w:rPr>
          <w:rFonts w:ascii="Calibri" w:hAnsi="Calibri"/>
        </w:rPr>
        <w:t>*site of BMD not specified on website</w:t>
      </w:r>
    </w:p>
    <w:p w14:paraId="62223CB1" w14:textId="77777777" w:rsidR="00B11B3E" w:rsidRDefault="00B11B3E" w:rsidP="00C570EB">
      <w:pPr>
        <w:rPr>
          <w:rFonts w:ascii="Calibri" w:hAnsi="Calibri"/>
          <w:sz w:val="24"/>
          <w:szCs w:val="24"/>
        </w:rPr>
      </w:pPr>
    </w:p>
    <w:p w14:paraId="17DF932B" w14:textId="26A71A5D" w:rsidR="00E46909" w:rsidRPr="007468DB" w:rsidRDefault="00C570EB" w:rsidP="00C570EB">
      <w:pPr>
        <w:rPr>
          <w:rFonts w:eastAsia="Times New Roman" w:cs="Times New Roman"/>
          <w:iCs/>
          <w:sz w:val="24"/>
          <w:szCs w:val="24"/>
        </w:rPr>
      </w:pPr>
      <w:r>
        <w:rPr>
          <w:rFonts w:eastAsia="Times New Roman" w:cs="Times New Roman"/>
          <w:iCs/>
          <w:sz w:val="24"/>
          <w:szCs w:val="24"/>
        </w:rPr>
        <w:t>T</w:t>
      </w:r>
      <w:r w:rsidR="00E46909" w:rsidRPr="007468DB">
        <w:rPr>
          <w:rFonts w:eastAsia="Times New Roman" w:cs="Times New Roman"/>
          <w:iCs/>
          <w:sz w:val="24"/>
          <w:szCs w:val="24"/>
        </w:rPr>
        <w:t>he outcome variable differs between models</w:t>
      </w:r>
      <w:r w:rsidR="007468DB" w:rsidRPr="007468DB">
        <w:rPr>
          <w:rFonts w:eastAsia="Times New Roman" w:cs="Times New Roman"/>
          <w:iCs/>
          <w:sz w:val="24"/>
          <w:szCs w:val="24"/>
        </w:rPr>
        <w:t xml:space="preserve">, not only in the fracture sites but </w:t>
      </w:r>
      <w:r>
        <w:rPr>
          <w:rFonts w:eastAsia="Times New Roman" w:cs="Times New Roman"/>
          <w:iCs/>
          <w:sz w:val="24"/>
          <w:szCs w:val="24"/>
        </w:rPr>
        <w:t>also</w:t>
      </w:r>
      <w:r w:rsidR="007468DB" w:rsidRPr="007468DB">
        <w:rPr>
          <w:rFonts w:eastAsia="Times New Roman" w:cs="Times New Roman"/>
          <w:iCs/>
          <w:sz w:val="24"/>
          <w:szCs w:val="24"/>
        </w:rPr>
        <w:t xml:space="preserve"> in the metric.</w:t>
      </w:r>
      <w:r w:rsidR="00E46909" w:rsidRPr="007468DB">
        <w:rPr>
          <w:rFonts w:eastAsia="Times New Roman" w:cs="Times New Roman"/>
          <w:iCs/>
          <w:sz w:val="24"/>
          <w:szCs w:val="24"/>
        </w:rPr>
        <w:t xml:space="preserve"> In the case of FRAX, the algorithm computes a fracture probability (i.e. a metric that incorporates the death hazard) which is not synonymous with simple fracture incidence.  This is </w:t>
      </w:r>
      <w:r w:rsidR="00E46909" w:rsidRPr="008D0623">
        <w:rPr>
          <w:rFonts w:eastAsia="Times New Roman" w:cs="Times New Roman"/>
          <w:iCs/>
          <w:sz w:val="24"/>
          <w:szCs w:val="24"/>
        </w:rPr>
        <w:t xml:space="preserve">illustrated in Figure </w:t>
      </w:r>
      <w:r w:rsidR="00EE00AD" w:rsidRPr="008D0623">
        <w:rPr>
          <w:rFonts w:eastAsia="Times New Roman" w:cs="Times New Roman"/>
          <w:iCs/>
          <w:sz w:val="24"/>
          <w:szCs w:val="24"/>
        </w:rPr>
        <w:t>1</w:t>
      </w:r>
      <w:r w:rsidR="00E46909" w:rsidRPr="007468DB">
        <w:rPr>
          <w:rFonts w:eastAsia="Times New Roman" w:cs="Times New Roman"/>
          <w:iCs/>
          <w:sz w:val="24"/>
          <w:szCs w:val="24"/>
        </w:rPr>
        <w:t xml:space="preserve"> that shows the difference in outcome between hip fracture probability as estimated by FRAX and incidence calculated using the </w:t>
      </w:r>
      <w:proofErr w:type="spellStart"/>
      <w:r w:rsidR="00E46909" w:rsidRPr="007468DB">
        <w:rPr>
          <w:rFonts w:eastAsia="Times New Roman" w:cs="Times New Roman"/>
          <w:iCs/>
          <w:sz w:val="24"/>
          <w:szCs w:val="24"/>
        </w:rPr>
        <w:t>Garvan</w:t>
      </w:r>
      <w:proofErr w:type="spellEnd"/>
      <w:r w:rsidR="00E46909" w:rsidRPr="007468DB">
        <w:rPr>
          <w:rFonts w:eastAsia="Times New Roman" w:cs="Times New Roman"/>
          <w:iCs/>
          <w:sz w:val="24"/>
          <w:szCs w:val="24"/>
        </w:rPr>
        <w:t xml:space="preserve"> instrument.  As a result, the comparison</w:t>
      </w:r>
      <w:r w:rsidR="007468DB" w:rsidRPr="007468DB">
        <w:rPr>
          <w:rFonts w:eastAsia="Times New Roman" w:cs="Times New Roman"/>
          <w:iCs/>
          <w:sz w:val="24"/>
          <w:szCs w:val="24"/>
        </w:rPr>
        <w:t>s</w:t>
      </w:r>
      <w:r w:rsidR="00E46909" w:rsidRPr="007468DB">
        <w:rPr>
          <w:rFonts w:eastAsia="Times New Roman" w:cs="Times New Roman"/>
          <w:iCs/>
          <w:sz w:val="24"/>
          <w:szCs w:val="24"/>
        </w:rPr>
        <w:t xml:space="preserve"> </w:t>
      </w:r>
      <w:r w:rsidR="007468DB" w:rsidRPr="007468DB">
        <w:rPr>
          <w:rFonts w:eastAsia="Times New Roman" w:cs="Times New Roman"/>
          <w:iCs/>
          <w:sz w:val="24"/>
          <w:szCs w:val="24"/>
        </w:rPr>
        <w:t>are</w:t>
      </w:r>
      <w:r w:rsidR="00E46909" w:rsidRPr="007468DB">
        <w:rPr>
          <w:rFonts w:eastAsia="Times New Roman" w:cs="Times New Roman"/>
          <w:iCs/>
          <w:sz w:val="24"/>
          <w:szCs w:val="24"/>
        </w:rPr>
        <w:t xml:space="preserve"> </w:t>
      </w:r>
      <w:r w:rsidR="00B11B3E" w:rsidRPr="00467769">
        <w:rPr>
          <w:rFonts w:eastAsia="Times New Roman" w:cs="Times New Roman"/>
          <w:iCs/>
          <w:sz w:val="24"/>
          <w:szCs w:val="24"/>
        </w:rPr>
        <w:t>problematic</w:t>
      </w:r>
      <w:r w:rsidR="00E46909" w:rsidRPr="00467769">
        <w:rPr>
          <w:rFonts w:eastAsia="Times New Roman" w:cs="Times New Roman"/>
          <w:iCs/>
          <w:sz w:val="24"/>
          <w:szCs w:val="24"/>
        </w:rPr>
        <w:t xml:space="preserve"> [</w:t>
      </w:r>
      <w:r w:rsidR="00746E8D" w:rsidRPr="00467769">
        <w:rPr>
          <w:rFonts w:eastAsia="Times New Roman" w:cs="Times New Roman"/>
          <w:iCs/>
          <w:sz w:val="24"/>
          <w:szCs w:val="24"/>
        </w:rPr>
        <w:t>27]</w:t>
      </w:r>
      <w:r w:rsidR="00E46909" w:rsidRPr="00467769">
        <w:rPr>
          <w:rFonts w:eastAsia="Times New Roman" w:cs="Times New Roman"/>
          <w:iCs/>
          <w:sz w:val="24"/>
          <w:szCs w:val="24"/>
        </w:rPr>
        <w:t>.</w:t>
      </w:r>
    </w:p>
    <w:p w14:paraId="771D99E1" w14:textId="77777777" w:rsidR="00E46909" w:rsidRPr="00E46909" w:rsidRDefault="00E46909" w:rsidP="007468DB">
      <w:pPr>
        <w:keepNext/>
        <w:spacing w:after="120" w:line="276" w:lineRule="auto"/>
        <w:jc w:val="center"/>
        <w:outlineLvl w:val="1"/>
        <w:rPr>
          <w:rFonts w:ascii="Times New Roman" w:eastAsia="Times New Roman" w:hAnsi="Times New Roman" w:cs="Times New Roman"/>
          <w:iCs/>
          <w:sz w:val="24"/>
          <w:szCs w:val="24"/>
        </w:rPr>
      </w:pPr>
      <w:r w:rsidRPr="00E46909">
        <w:rPr>
          <w:rFonts w:ascii="Times New Roman" w:eastAsia="Times New Roman" w:hAnsi="Times New Roman" w:cs="Times New Roman"/>
          <w:iCs/>
          <w:noProof/>
          <w:sz w:val="24"/>
          <w:szCs w:val="24"/>
          <w:lang w:eastAsia="en-GB"/>
        </w:rPr>
        <w:drawing>
          <wp:inline distT="0" distB="0" distL="0" distR="0" wp14:anchorId="72B91D88" wp14:editId="5DF58B79">
            <wp:extent cx="4572000" cy="3267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457"/>
                    <a:stretch/>
                  </pic:blipFill>
                  <pic:spPr bwMode="auto">
                    <a:xfrm>
                      <a:off x="0" y="0"/>
                      <a:ext cx="4572000" cy="3267075"/>
                    </a:xfrm>
                    <a:prstGeom prst="rect">
                      <a:avLst/>
                    </a:prstGeom>
                    <a:noFill/>
                    <a:ln>
                      <a:noFill/>
                    </a:ln>
                    <a:extLst>
                      <a:ext uri="{53640926-AAD7-44D8-BBD7-CCE9431645EC}">
                        <a14:shadowObscured xmlns:a14="http://schemas.microsoft.com/office/drawing/2010/main"/>
                      </a:ext>
                    </a:extLst>
                  </pic:spPr>
                </pic:pic>
              </a:graphicData>
            </a:graphic>
          </wp:inline>
        </w:drawing>
      </w:r>
    </w:p>
    <w:p w14:paraId="40E1332B" w14:textId="2535B9A4" w:rsidR="00C135D1" w:rsidRPr="00EE00AD" w:rsidRDefault="00E46909" w:rsidP="002850D8">
      <w:pPr>
        <w:keepNext/>
        <w:spacing w:after="120" w:line="276" w:lineRule="auto"/>
        <w:ind w:left="851" w:right="1088"/>
        <w:jc w:val="both"/>
        <w:outlineLvl w:val="1"/>
        <w:rPr>
          <w:rFonts w:eastAsia="Times New Roman" w:cs="Times New Roman"/>
          <w:iCs/>
        </w:rPr>
      </w:pPr>
      <w:proofErr w:type="gramStart"/>
      <w:r w:rsidRPr="00E46909">
        <w:rPr>
          <w:rFonts w:eastAsia="Times New Roman" w:cs="Times New Roman"/>
          <w:b/>
          <w:bCs/>
          <w:iCs/>
        </w:rPr>
        <w:t xml:space="preserve">Figure </w:t>
      </w:r>
      <w:r w:rsidR="00EE00AD">
        <w:rPr>
          <w:rFonts w:eastAsia="Times New Roman" w:cs="Times New Roman"/>
          <w:b/>
          <w:bCs/>
          <w:iCs/>
        </w:rPr>
        <w:t>1</w:t>
      </w:r>
      <w:r w:rsidR="002850D8">
        <w:rPr>
          <w:rFonts w:eastAsia="Times New Roman" w:cs="Times New Roman"/>
          <w:b/>
          <w:bCs/>
          <w:iCs/>
        </w:rPr>
        <w:t>.</w:t>
      </w:r>
      <w:proofErr w:type="gramEnd"/>
      <w:r w:rsidRPr="00E46909">
        <w:rPr>
          <w:rFonts w:eastAsia="Times New Roman" w:cs="Times New Roman"/>
          <w:iCs/>
        </w:rPr>
        <w:t xml:space="preserve">  The risk of hip fracture with age in a model that considers 10-year fracture risk alone (the </w:t>
      </w:r>
      <w:proofErr w:type="spellStart"/>
      <w:r w:rsidRPr="00E46909">
        <w:rPr>
          <w:rFonts w:eastAsia="Times New Roman" w:cs="Times New Roman"/>
          <w:iCs/>
        </w:rPr>
        <w:t>Garvan</w:t>
      </w:r>
      <w:proofErr w:type="spellEnd"/>
      <w:r w:rsidRPr="00E46909">
        <w:rPr>
          <w:rFonts w:eastAsia="Times New Roman" w:cs="Times New Roman"/>
          <w:iCs/>
        </w:rPr>
        <w:t xml:space="preserve"> tool) and FRAX which computes the probability of hip fracture from the fracture and death hazards (FRAX).  The T-scores are set differently in the two models so that the risks are approximately equal at </w:t>
      </w:r>
      <w:r w:rsidRPr="00E46909">
        <w:rPr>
          <w:rFonts w:eastAsia="Times New Roman" w:cs="Times New Roman"/>
          <w:iCs/>
        </w:rPr>
        <w:lastRenderedPageBreak/>
        <w:t>the age of 60 years. Data are computed from the respective web sites.</w:t>
      </w:r>
      <w:r w:rsidRPr="00E46909">
        <w:rPr>
          <w:rFonts w:eastAsia="Times New Roman" w:cs="Times New Roman"/>
          <w:b/>
          <w:iCs/>
        </w:rPr>
        <w:t xml:space="preserve"> </w:t>
      </w:r>
      <w:r w:rsidR="00EE00AD" w:rsidRPr="00EE00AD">
        <w:rPr>
          <w:rFonts w:eastAsia="Times New Roman" w:cs="Times New Roman"/>
          <w:iCs/>
        </w:rPr>
        <w:t>[</w:t>
      </w:r>
      <w:r w:rsidR="00746E8D">
        <w:rPr>
          <w:rFonts w:eastAsia="Times New Roman" w:cs="Times New Roman"/>
          <w:iCs/>
        </w:rPr>
        <w:t xml:space="preserve">27] </w:t>
      </w:r>
      <w:proofErr w:type="gramStart"/>
      <w:r w:rsidR="00EE00AD" w:rsidRPr="00EE00AD">
        <w:rPr>
          <w:rFonts w:eastAsia="Times New Roman" w:cs="Times New Roman"/>
          <w:iCs/>
        </w:rPr>
        <w:t>with</w:t>
      </w:r>
      <w:proofErr w:type="gramEnd"/>
      <w:r w:rsidR="00EE00AD" w:rsidRPr="00EE00AD">
        <w:rPr>
          <w:rFonts w:eastAsia="Times New Roman" w:cs="Times New Roman"/>
          <w:iCs/>
        </w:rPr>
        <w:t xml:space="preserve"> kind permission</w:t>
      </w:r>
      <w:r w:rsidR="002850D8" w:rsidRPr="002850D8">
        <w:rPr>
          <w:rFonts w:eastAsia="MS Mincho" w:cs="AdvTT5235d5a9"/>
          <w:bCs/>
          <w:color w:val="231F20"/>
          <w:lang w:val="sv-SE" w:eastAsia="ja-JP"/>
        </w:rPr>
        <w:t xml:space="preserve"> </w:t>
      </w:r>
      <w:r w:rsidR="002850D8" w:rsidRPr="002850D8">
        <w:rPr>
          <w:rFonts w:eastAsia="Times New Roman" w:cs="Times New Roman"/>
          <w:bCs/>
          <w:iCs/>
          <w:lang w:val="sv-SE"/>
        </w:rPr>
        <w:t xml:space="preserve">from Springer </w:t>
      </w:r>
      <w:proofErr w:type="spellStart"/>
      <w:r w:rsidR="002850D8" w:rsidRPr="002850D8">
        <w:rPr>
          <w:rFonts w:eastAsia="Times New Roman" w:cs="Times New Roman"/>
          <w:bCs/>
          <w:iCs/>
        </w:rPr>
        <w:t>Science+Business</w:t>
      </w:r>
      <w:proofErr w:type="spellEnd"/>
      <w:r w:rsidR="002850D8" w:rsidRPr="002850D8">
        <w:rPr>
          <w:rFonts w:eastAsia="Times New Roman" w:cs="Times New Roman"/>
          <w:bCs/>
          <w:iCs/>
        </w:rPr>
        <w:t xml:space="preserve"> Media B.V</w:t>
      </w:r>
      <w:r w:rsidR="002850D8" w:rsidRPr="002850D8">
        <w:rPr>
          <w:rFonts w:eastAsia="Times New Roman" w:cs="Times New Roman"/>
          <w:iCs/>
        </w:rPr>
        <w:t>]</w:t>
      </w:r>
    </w:p>
    <w:p w14:paraId="418903EE" w14:textId="054C0AFB" w:rsidR="00A41C7E" w:rsidRPr="00AE19C0" w:rsidRDefault="00A41C7E" w:rsidP="00A41C7E">
      <w:pPr>
        <w:keepNext/>
        <w:spacing w:after="120" w:line="276" w:lineRule="auto"/>
        <w:ind w:left="426" w:right="662"/>
        <w:jc w:val="both"/>
        <w:outlineLvl w:val="1"/>
        <w:rPr>
          <w:rFonts w:eastAsia="Times New Roman" w:cs="Times New Roman"/>
          <w:b/>
          <w:bCs/>
          <w:iCs/>
          <w:sz w:val="24"/>
          <w:szCs w:val="24"/>
        </w:rPr>
      </w:pPr>
      <w:r w:rsidRPr="00AE19C0">
        <w:rPr>
          <w:rFonts w:eastAsia="Times New Roman" w:cs="Times New Roman"/>
          <w:b/>
          <w:bCs/>
          <w:iCs/>
          <w:sz w:val="24"/>
          <w:szCs w:val="24"/>
        </w:rPr>
        <w:t>Comparison of output</w:t>
      </w:r>
    </w:p>
    <w:p w14:paraId="0690BD8B" w14:textId="728D13FA" w:rsidR="00AE19C0" w:rsidRDefault="00B11B3E" w:rsidP="003D4319">
      <w:pPr>
        <w:keepNext/>
        <w:spacing w:after="120" w:line="276" w:lineRule="auto"/>
        <w:ind w:left="426" w:right="662"/>
        <w:outlineLvl w:val="1"/>
        <w:rPr>
          <w:rFonts w:eastAsia="Times New Roman" w:cs="Times New Roman"/>
          <w:iCs/>
          <w:sz w:val="24"/>
          <w:szCs w:val="24"/>
        </w:rPr>
      </w:pPr>
      <w:r>
        <w:rPr>
          <w:rFonts w:eastAsia="Times New Roman" w:cs="Times New Roman"/>
          <w:iCs/>
          <w:sz w:val="24"/>
          <w:szCs w:val="24"/>
        </w:rPr>
        <w:t>A comparison of the performance characteristics of the three models is beyond the scope of this review, but for hip fracture risk appear to be rather comparable</w:t>
      </w:r>
      <w:r w:rsidR="00EB0749">
        <w:rPr>
          <w:rFonts w:eastAsia="Times New Roman" w:cs="Times New Roman"/>
          <w:iCs/>
          <w:sz w:val="24"/>
          <w:szCs w:val="24"/>
        </w:rPr>
        <w:t xml:space="preserve"> [</w:t>
      </w:r>
      <w:r w:rsidR="00746E8D">
        <w:rPr>
          <w:rFonts w:eastAsia="Times New Roman" w:cs="Times New Roman"/>
          <w:iCs/>
          <w:sz w:val="24"/>
          <w:szCs w:val="24"/>
        </w:rPr>
        <w:t xml:space="preserve">28] </w:t>
      </w:r>
      <w:r w:rsidR="00EB0749">
        <w:rPr>
          <w:rFonts w:eastAsia="Times New Roman" w:cs="Times New Roman"/>
          <w:iCs/>
          <w:sz w:val="24"/>
          <w:szCs w:val="24"/>
        </w:rPr>
        <w:t>taking into account the methodological flaws in most of the comparative studies</w:t>
      </w:r>
      <w:r w:rsidR="00890899">
        <w:rPr>
          <w:rFonts w:eastAsia="Times New Roman" w:cs="Times New Roman"/>
          <w:iCs/>
          <w:sz w:val="24"/>
          <w:szCs w:val="24"/>
        </w:rPr>
        <w:t xml:space="preserve"> [</w:t>
      </w:r>
      <w:r w:rsidR="00746E8D">
        <w:rPr>
          <w:rFonts w:eastAsia="Times New Roman" w:cs="Times New Roman"/>
          <w:iCs/>
          <w:sz w:val="24"/>
          <w:szCs w:val="24"/>
        </w:rPr>
        <w:t>27]</w:t>
      </w:r>
      <w:r>
        <w:rPr>
          <w:rFonts w:eastAsia="Times New Roman" w:cs="Times New Roman"/>
          <w:iCs/>
          <w:sz w:val="24"/>
          <w:szCs w:val="24"/>
        </w:rPr>
        <w:t xml:space="preserve">. </w:t>
      </w:r>
      <w:r w:rsidR="00AE19C0">
        <w:rPr>
          <w:rFonts w:eastAsia="Times New Roman" w:cs="Times New Roman"/>
          <w:iCs/>
          <w:sz w:val="24"/>
          <w:szCs w:val="24"/>
        </w:rPr>
        <w:t>Given t</w:t>
      </w:r>
      <w:r w:rsidR="00AE19C0" w:rsidRPr="00AE19C0">
        <w:rPr>
          <w:rFonts w:eastAsia="Times New Roman" w:cs="Times New Roman"/>
          <w:iCs/>
          <w:sz w:val="24"/>
          <w:szCs w:val="24"/>
        </w:rPr>
        <w:t>he considerations above</w:t>
      </w:r>
      <w:r w:rsidR="00AE19C0">
        <w:rPr>
          <w:rFonts w:eastAsia="Times New Roman" w:cs="Times New Roman"/>
          <w:iCs/>
          <w:sz w:val="24"/>
          <w:szCs w:val="24"/>
        </w:rPr>
        <w:t xml:space="preserve">, it is not surprising </w:t>
      </w:r>
      <w:r w:rsidR="00062CF4">
        <w:rPr>
          <w:rFonts w:eastAsia="Times New Roman" w:cs="Times New Roman"/>
          <w:iCs/>
          <w:sz w:val="24"/>
          <w:szCs w:val="24"/>
        </w:rPr>
        <w:t xml:space="preserve">that </w:t>
      </w:r>
      <w:r w:rsidR="00AE19C0">
        <w:rPr>
          <w:rFonts w:eastAsia="Times New Roman" w:cs="Times New Roman"/>
          <w:iCs/>
          <w:sz w:val="24"/>
          <w:szCs w:val="24"/>
        </w:rPr>
        <w:t xml:space="preserve">each model identifies different </w:t>
      </w:r>
      <w:r w:rsidR="00AF63A6">
        <w:rPr>
          <w:rFonts w:eastAsia="Times New Roman" w:cs="Times New Roman"/>
          <w:iCs/>
          <w:sz w:val="24"/>
          <w:szCs w:val="24"/>
        </w:rPr>
        <w:t xml:space="preserve">segments of </w:t>
      </w:r>
      <w:r w:rsidR="00AE19C0">
        <w:rPr>
          <w:rFonts w:eastAsia="Times New Roman" w:cs="Times New Roman"/>
          <w:iCs/>
          <w:sz w:val="24"/>
          <w:szCs w:val="24"/>
        </w:rPr>
        <w:t>populations at high risk.</w:t>
      </w:r>
      <w:r w:rsidR="0069131E">
        <w:rPr>
          <w:rFonts w:eastAsia="Times New Roman" w:cs="Times New Roman"/>
          <w:iCs/>
          <w:sz w:val="24"/>
          <w:szCs w:val="24"/>
        </w:rPr>
        <w:t xml:space="preserve">  </w:t>
      </w:r>
      <w:r w:rsidR="00AF63A6">
        <w:rPr>
          <w:rFonts w:eastAsia="Times New Roman" w:cs="Times New Roman"/>
          <w:iCs/>
          <w:sz w:val="24"/>
          <w:szCs w:val="24"/>
        </w:rPr>
        <w:t xml:space="preserve">Of equal importance is that very different estimates are derived in single populations.  </w:t>
      </w:r>
      <w:r w:rsidR="001D1D47">
        <w:rPr>
          <w:rFonts w:eastAsia="Times New Roman" w:cs="Times New Roman"/>
          <w:iCs/>
          <w:sz w:val="24"/>
          <w:szCs w:val="24"/>
        </w:rPr>
        <w:t>For e</w:t>
      </w:r>
      <w:r w:rsidR="007963B7">
        <w:rPr>
          <w:rFonts w:eastAsia="Times New Roman" w:cs="Times New Roman"/>
          <w:iCs/>
          <w:sz w:val="24"/>
          <w:szCs w:val="24"/>
        </w:rPr>
        <w:t>xample, t</w:t>
      </w:r>
      <w:r w:rsidR="001D1D47">
        <w:rPr>
          <w:rFonts w:eastAsia="Times New Roman" w:cs="Times New Roman"/>
          <w:iCs/>
          <w:sz w:val="24"/>
          <w:szCs w:val="24"/>
        </w:rPr>
        <w:t xml:space="preserve">he three models were compared in a referral population from Denmark. </w:t>
      </w:r>
      <w:r w:rsidR="0069131E">
        <w:rPr>
          <w:rFonts w:eastAsia="Times New Roman" w:cs="Times New Roman"/>
          <w:iCs/>
          <w:sz w:val="24"/>
          <w:szCs w:val="24"/>
        </w:rPr>
        <w:t>For hip fracture prediction</w:t>
      </w:r>
      <w:r w:rsidR="001D1D47">
        <w:rPr>
          <w:rFonts w:eastAsia="Times New Roman" w:cs="Times New Roman"/>
          <w:iCs/>
          <w:sz w:val="24"/>
          <w:szCs w:val="24"/>
        </w:rPr>
        <w:t>, the mean 10-year risk</w:t>
      </w:r>
      <w:r w:rsidR="007963B7">
        <w:rPr>
          <w:rFonts w:eastAsia="Times New Roman" w:cs="Times New Roman"/>
          <w:iCs/>
          <w:sz w:val="24"/>
          <w:szCs w:val="24"/>
        </w:rPr>
        <w:t xml:space="preserve"> (with interquartile range) was</w:t>
      </w:r>
      <w:r w:rsidR="001D1D47">
        <w:rPr>
          <w:rFonts w:eastAsia="Times New Roman" w:cs="Times New Roman"/>
          <w:iCs/>
          <w:sz w:val="24"/>
          <w:szCs w:val="24"/>
        </w:rPr>
        <w:t xml:space="preserve"> </w:t>
      </w:r>
      <w:r w:rsidR="007963B7" w:rsidRPr="007963B7">
        <w:rPr>
          <w:rFonts w:eastAsia="Times New Roman" w:cs="Times New Roman"/>
          <w:iCs/>
          <w:sz w:val="24"/>
          <w:szCs w:val="24"/>
        </w:rPr>
        <w:t>11.0% (5.6-17.0%)</w:t>
      </w:r>
      <w:r w:rsidR="007963B7">
        <w:rPr>
          <w:rFonts w:eastAsia="Times New Roman" w:cs="Times New Roman"/>
          <w:iCs/>
          <w:sz w:val="24"/>
          <w:szCs w:val="24"/>
        </w:rPr>
        <w:t xml:space="preserve"> for FRAX,</w:t>
      </w:r>
      <w:r w:rsidR="007963B7" w:rsidRPr="007963B7">
        <w:t xml:space="preserve"> </w:t>
      </w:r>
      <w:r w:rsidR="007963B7" w:rsidRPr="007963B7">
        <w:rPr>
          <w:rFonts w:eastAsia="Times New Roman" w:cs="Times New Roman"/>
          <w:iCs/>
          <w:sz w:val="24"/>
          <w:szCs w:val="24"/>
        </w:rPr>
        <w:t>14.5% (7.3-23.0%)</w:t>
      </w:r>
      <w:r w:rsidR="007963B7">
        <w:rPr>
          <w:rFonts w:eastAsia="Times New Roman" w:cs="Times New Roman"/>
          <w:iCs/>
          <w:sz w:val="24"/>
          <w:szCs w:val="24"/>
        </w:rPr>
        <w:t xml:space="preserve"> for </w:t>
      </w:r>
      <w:proofErr w:type="spellStart"/>
      <w:r w:rsidR="007963B7">
        <w:rPr>
          <w:rFonts w:eastAsia="Times New Roman" w:cs="Times New Roman"/>
          <w:iCs/>
          <w:sz w:val="24"/>
          <w:szCs w:val="24"/>
        </w:rPr>
        <w:t>QFracture</w:t>
      </w:r>
      <w:proofErr w:type="spellEnd"/>
      <w:r w:rsidR="007963B7">
        <w:rPr>
          <w:rFonts w:eastAsia="Times New Roman" w:cs="Times New Roman"/>
          <w:iCs/>
          <w:sz w:val="24"/>
          <w:szCs w:val="24"/>
        </w:rPr>
        <w:t xml:space="preserve"> and </w:t>
      </w:r>
      <w:r w:rsidR="007963B7" w:rsidRPr="007963B7">
        <w:rPr>
          <w:rFonts w:eastAsia="Times New Roman" w:cs="Times New Roman"/>
          <w:iCs/>
          <w:sz w:val="24"/>
          <w:szCs w:val="24"/>
        </w:rPr>
        <w:t>26.4% (10.4-53.3%)</w:t>
      </w:r>
      <w:r w:rsidR="007963B7">
        <w:rPr>
          <w:rFonts w:eastAsia="Times New Roman" w:cs="Times New Roman"/>
          <w:iCs/>
          <w:sz w:val="24"/>
          <w:szCs w:val="24"/>
        </w:rPr>
        <w:t xml:space="preserve"> for </w:t>
      </w:r>
      <w:proofErr w:type="spellStart"/>
      <w:r w:rsidR="007963B7">
        <w:rPr>
          <w:rFonts w:eastAsia="Times New Roman" w:cs="Times New Roman"/>
          <w:iCs/>
          <w:sz w:val="24"/>
          <w:szCs w:val="24"/>
        </w:rPr>
        <w:t>Garvan</w:t>
      </w:r>
      <w:proofErr w:type="spellEnd"/>
      <w:r w:rsidR="003D4319">
        <w:rPr>
          <w:rFonts w:eastAsia="Times New Roman" w:cs="Times New Roman"/>
          <w:iCs/>
          <w:sz w:val="24"/>
          <w:szCs w:val="24"/>
        </w:rPr>
        <w:t xml:space="preserve"> </w:t>
      </w:r>
      <w:r w:rsidR="007963B7">
        <w:rPr>
          <w:rFonts w:eastAsia="Times New Roman" w:cs="Times New Roman"/>
          <w:iCs/>
          <w:sz w:val="24"/>
          <w:szCs w:val="24"/>
        </w:rPr>
        <w:t>[</w:t>
      </w:r>
      <w:r w:rsidR="00746E8D">
        <w:rPr>
          <w:rFonts w:eastAsia="Times New Roman" w:cs="Times New Roman"/>
          <w:iCs/>
          <w:sz w:val="24"/>
          <w:szCs w:val="24"/>
        </w:rPr>
        <w:t>29]</w:t>
      </w:r>
      <w:r w:rsidR="007963B7" w:rsidRPr="007963B7">
        <w:rPr>
          <w:rFonts w:eastAsia="Times New Roman" w:cs="Times New Roman"/>
          <w:iCs/>
          <w:sz w:val="24"/>
          <w:szCs w:val="24"/>
        </w:rPr>
        <w:t>.</w:t>
      </w:r>
      <w:r w:rsidR="007963B7">
        <w:rPr>
          <w:rFonts w:eastAsia="Times New Roman" w:cs="Times New Roman"/>
          <w:iCs/>
          <w:sz w:val="24"/>
          <w:szCs w:val="24"/>
        </w:rPr>
        <w:t xml:space="preserve">  </w:t>
      </w:r>
      <w:r w:rsidR="00591EAB">
        <w:rPr>
          <w:rFonts w:eastAsia="Times New Roman" w:cs="Times New Roman"/>
          <w:iCs/>
          <w:sz w:val="24"/>
          <w:szCs w:val="24"/>
        </w:rPr>
        <w:t>Irrespective</w:t>
      </w:r>
      <w:r w:rsidR="007963B7">
        <w:rPr>
          <w:rFonts w:eastAsia="Times New Roman" w:cs="Times New Roman"/>
          <w:iCs/>
          <w:sz w:val="24"/>
          <w:szCs w:val="24"/>
        </w:rPr>
        <w:t xml:space="preserve"> of the model constructs, these differences are not surprising given that neither </w:t>
      </w:r>
      <w:proofErr w:type="spellStart"/>
      <w:r w:rsidR="007963B7">
        <w:rPr>
          <w:rFonts w:eastAsia="Times New Roman" w:cs="Times New Roman"/>
          <w:iCs/>
          <w:sz w:val="24"/>
          <w:szCs w:val="24"/>
        </w:rPr>
        <w:t>QFracture</w:t>
      </w:r>
      <w:proofErr w:type="spellEnd"/>
      <w:r w:rsidR="007963B7">
        <w:rPr>
          <w:rFonts w:eastAsia="Times New Roman" w:cs="Times New Roman"/>
          <w:iCs/>
          <w:sz w:val="24"/>
          <w:szCs w:val="24"/>
        </w:rPr>
        <w:t xml:space="preserve"> nor </w:t>
      </w:r>
      <w:proofErr w:type="spellStart"/>
      <w:r w:rsidR="007963B7">
        <w:rPr>
          <w:rFonts w:eastAsia="Times New Roman" w:cs="Times New Roman"/>
          <w:iCs/>
          <w:sz w:val="24"/>
          <w:szCs w:val="24"/>
        </w:rPr>
        <w:t>Garvan</w:t>
      </w:r>
      <w:proofErr w:type="spellEnd"/>
      <w:r w:rsidR="007963B7">
        <w:rPr>
          <w:rFonts w:eastAsia="Times New Roman" w:cs="Times New Roman"/>
          <w:iCs/>
          <w:sz w:val="24"/>
          <w:szCs w:val="24"/>
        </w:rPr>
        <w:t xml:space="preserve"> are calibrated for the country in which they </w:t>
      </w:r>
      <w:r w:rsidR="001B5717">
        <w:rPr>
          <w:rFonts w:eastAsia="Times New Roman" w:cs="Times New Roman"/>
          <w:iCs/>
          <w:sz w:val="24"/>
          <w:szCs w:val="24"/>
        </w:rPr>
        <w:t>we</w:t>
      </w:r>
      <w:r w:rsidR="007963B7">
        <w:rPr>
          <w:rFonts w:eastAsia="Times New Roman" w:cs="Times New Roman"/>
          <w:iCs/>
          <w:sz w:val="24"/>
          <w:szCs w:val="24"/>
        </w:rPr>
        <w:t>re used.</w:t>
      </w:r>
    </w:p>
    <w:p w14:paraId="68DD4D08" w14:textId="421F5F2D" w:rsidR="007963B7" w:rsidRDefault="007963B7" w:rsidP="003D4319">
      <w:pPr>
        <w:keepNext/>
        <w:spacing w:after="120" w:line="276" w:lineRule="auto"/>
        <w:ind w:left="426" w:right="662"/>
        <w:outlineLvl w:val="1"/>
        <w:rPr>
          <w:rFonts w:eastAsia="Times New Roman" w:cs="Times New Roman"/>
          <w:iCs/>
          <w:sz w:val="24"/>
          <w:szCs w:val="24"/>
        </w:rPr>
      </w:pPr>
      <w:r>
        <w:rPr>
          <w:rFonts w:eastAsia="Times New Roman" w:cs="Times New Roman"/>
          <w:iCs/>
          <w:sz w:val="24"/>
          <w:szCs w:val="24"/>
        </w:rPr>
        <w:t xml:space="preserve">When </w:t>
      </w:r>
      <w:proofErr w:type="spellStart"/>
      <w:r>
        <w:rPr>
          <w:rFonts w:eastAsia="Times New Roman" w:cs="Times New Roman"/>
          <w:iCs/>
          <w:sz w:val="24"/>
          <w:szCs w:val="24"/>
        </w:rPr>
        <w:t>QFracture</w:t>
      </w:r>
      <w:proofErr w:type="spellEnd"/>
      <w:r>
        <w:rPr>
          <w:rFonts w:eastAsia="Times New Roman" w:cs="Times New Roman"/>
          <w:iCs/>
          <w:sz w:val="24"/>
          <w:szCs w:val="24"/>
        </w:rPr>
        <w:t xml:space="preserve"> and FRAX are applied to the UK</w:t>
      </w:r>
      <w:r w:rsidR="005B6184">
        <w:rPr>
          <w:rFonts w:eastAsia="Times New Roman" w:cs="Times New Roman"/>
          <w:iCs/>
          <w:sz w:val="24"/>
          <w:szCs w:val="24"/>
        </w:rPr>
        <w:t xml:space="preserve"> population</w:t>
      </w:r>
      <w:r>
        <w:rPr>
          <w:rFonts w:eastAsia="Times New Roman" w:cs="Times New Roman"/>
          <w:iCs/>
          <w:sz w:val="24"/>
          <w:szCs w:val="24"/>
        </w:rPr>
        <w:t>, there is reasonable concordance for hip fracture risk</w:t>
      </w:r>
      <w:r w:rsidR="0061665F">
        <w:rPr>
          <w:rFonts w:eastAsia="Times New Roman" w:cs="Times New Roman"/>
          <w:iCs/>
          <w:sz w:val="24"/>
          <w:szCs w:val="24"/>
        </w:rPr>
        <w:t xml:space="preserve"> since both are calibrated to the UK</w:t>
      </w:r>
      <w:r w:rsidR="00D1714B" w:rsidRPr="00D1714B">
        <w:rPr>
          <w:rFonts w:eastAsia="Times New Roman" w:cs="Times New Roman"/>
          <w:iCs/>
          <w:sz w:val="24"/>
          <w:szCs w:val="24"/>
        </w:rPr>
        <w:t xml:space="preserve">, though </w:t>
      </w:r>
      <w:r w:rsidR="00D1714B">
        <w:rPr>
          <w:rFonts w:eastAsia="Times New Roman" w:cs="Times New Roman"/>
          <w:iCs/>
          <w:sz w:val="24"/>
          <w:szCs w:val="24"/>
        </w:rPr>
        <w:t>in</w:t>
      </w:r>
      <w:r w:rsidR="00D1714B" w:rsidRPr="00D1714B">
        <w:rPr>
          <w:rFonts w:eastAsia="Times New Roman" w:cs="Times New Roman"/>
          <w:iCs/>
          <w:sz w:val="24"/>
          <w:szCs w:val="24"/>
        </w:rPr>
        <w:t xml:space="preserve"> different </w:t>
      </w:r>
      <w:r w:rsidR="00D1714B">
        <w:rPr>
          <w:rFonts w:eastAsia="Times New Roman" w:cs="Times New Roman"/>
          <w:iCs/>
          <w:sz w:val="24"/>
          <w:szCs w:val="24"/>
        </w:rPr>
        <w:t>ways</w:t>
      </w:r>
      <w:r w:rsidR="0061665F">
        <w:rPr>
          <w:rFonts w:eastAsia="Times New Roman" w:cs="Times New Roman"/>
          <w:iCs/>
          <w:sz w:val="24"/>
          <w:szCs w:val="24"/>
        </w:rPr>
        <w:t xml:space="preserve">.  The </w:t>
      </w:r>
      <w:proofErr w:type="spellStart"/>
      <w:r w:rsidR="0061665F">
        <w:rPr>
          <w:rFonts w:eastAsia="Times New Roman" w:cs="Times New Roman"/>
          <w:iCs/>
          <w:sz w:val="24"/>
          <w:szCs w:val="24"/>
        </w:rPr>
        <w:t>Garvan</w:t>
      </w:r>
      <w:proofErr w:type="spellEnd"/>
      <w:r w:rsidR="0061665F">
        <w:rPr>
          <w:rFonts w:eastAsia="Times New Roman" w:cs="Times New Roman"/>
          <w:iCs/>
          <w:sz w:val="24"/>
          <w:szCs w:val="24"/>
        </w:rPr>
        <w:t xml:space="preserve"> instrument is calibrated only to </w:t>
      </w:r>
      <w:proofErr w:type="spellStart"/>
      <w:r w:rsidR="0061665F">
        <w:rPr>
          <w:rFonts w:eastAsia="Times New Roman" w:cs="Times New Roman"/>
          <w:iCs/>
          <w:sz w:val="24"/>
          <w:szCs w:val="24"/>
        </w:rPr>
        <w:t>Dubbo</w:t>
      </w:r>
      <w:proofErr w:type="spellEnd"/>
      <w:r w:rsidR="0061665F">
        <w:rPr>
          <w:rFonts w:eastAsia="Times New Roman" w:cs="Times New Roman"/>
          <w:iCs/>
          <w:sz w:val="24"/>
          <w:szCs w:val="24"/>
        </w:rPr>
        <w:t xml:space="preserve"> and is the </w:t>
      </w:r>
      <w:r w:rsidR="0061665F" w:rsidRPr="002850D8">
        <w:rPr>
          <w:rFonts w:eastAsia="Times New Roman" w:cs="Times New Roman"/>
          <w:iCs/>
          <w:sz w:val="24"/>
          <w:szCs w:val="24"/>
        </w:rPr>
        <w:t>outlier (Fig</w:t>
      </w:r>
      <w:r w:rsidR="002850D8" w:rsidRPr="002850D8">
        <w:rPr>
          <w:rFonts w:eastAsia="Times New Roman" w:cs="Times New Roman"/>
          <w:iCs/>
          <w:sz w:val="24"/>
          <w:szCs w:val="24"/>
        </w:rPr>
        <w:t>ure 2</w:t>
      </w:r>
      <w:r w:rsidR="0061665F" w:rsidRPr="002850D8">
        <w:rPr>
          <w:rFonts w:eastAsia="Times New Roman" w:cs="Times New Roman"/>
          <w:iCs/>
          <w:sz w:val="24"/>
          <w:szCs w:val="24"/>
        </w:rPr>
        <w:t>).</w:t>
      </w:r>
      <w:r w:rsidR="003915AE">
        <w:rPr>
          <w:rFonts w:eastAsia="Times New Roman" w:cs="Times New Roman"/>
          <w:iCs/>
          <w:sz w:val="24"/>
          <w:szCs w:val="24"/>
        </w:rPr>
        <w:t xml:space="preserve">  The concordance of the </w:t>
      </w:r>
      <w:proofErr w:type="spellStart"/>
      <w:r w:rsidR="003915AE">
        <w:rPr>
          <w:rFonts w:eastAsia="Times New Roman" w:cs="Times New Roman"/>
          <w:iCs/>
          <w:sz w:val="24"/>
          <w:szCs w:val="24"/>
        </w:rPr>
        <w:t>Garvan</w:t>
      </w:r>
      <w:proofErr w:type="spellEnd"/>
      <w:r w:rsidR="003915AE">
        <w:rPr>
          <w:rFonts w:eastAsia="Times New Roman" w:cs="Times New Roman"/>
          <w:iCs/>
          <w:sz w:val="24"/>
          <w:szCs w:val="24"/>
        </w:rPr>
        <w:t xml:space="preserve"> and FRAX tools</w:t>
      </w:r>
      <w:r w:rsidR="001B5717">
        <w:rPr>
          <w:rFonts w:eastAsia="Times New Roman" w:cs="Times New Roman"/>
          <w:iCs/>
          <w:sz w:val="24"/>
          <w:szCs w:val="24"/>
        </w:rPr>
        <w:t xml:space="preserve"> reported</w:t>
      </w:r>
      <w:r w:rsidR="003915AE">
        <w:rPr>
          <w:rFonts w:eastAsia="Times New Roman" w:cs="Times New Roman"/>
          <w:iCs/>
          <w:sz w:val="24"/>
          <w:szCs w:val="24"/>
        </w:rPr>
        <w:t xml:space="preserve"> in </w:t>
      </w:r>
      <w:r w:rsidR="003915AE" w:rsidRPr="00467769">
        <w:rPr>
          <w:rFonts w:eastAsia="Times New Roman" w:cs="Times New Roman"/>
          <w:iCs/>
          <w:sz w:val="24"/>
          <w:szCs w:val="24"/>
        </w:rPr>
        <w:t>Canada</w:t>
      </w:r>
      <w:r w:rsidR="00890899" w:rsidRPr="00467769">
        <w:rPr>
          <w:rFonts w:eastAsia="Times New Roman" w:cs="Times New Roman"/>
          <w:iCs/>
          <w:sz w:val="24"/>
          <w:szCs w:val="24"/>
        </w:rPr>
        <w:t xml:space="preserve"> [</w:t>
      </w:r>
      <w:r w:rsidR="00746E8D" w:rsidRPr="00467769">
        <w:rPr>
          <w:rFonts w:eastAsia="Times New Roman" w:cs="Times New Roman"/>
          <w:iCs/>
          <w:sz w:val="24"/>
          <w:szCs w:val="24"/>
        </w:rPr>
        <w:t>30]</w:t>
      </w:r>
      <w:r w:rsidR="00746E8D">
        <w:rPr>
          <w:rFonts w:eastAsia="Times New Roman" w:cs="Times New Roman"/>
          <w:iCs/>
          <w:sz w:val="24"/>
          <w:szCs w:val="24"/>
        </w:rPr>
        <w:t xml:space="preserve"> </w:t>
      </w:r>
      <w:r w:rsidR="003915AE">
        <w:rPr>
          <w:rFonts w:eastAsia="Times New Roman" w:cs="Times New Roman"/>
          <w:iCs/>
          <w:sz w:val="24"/>
          <w:szCs w:val="24"/>
        </w:rPr>
        <w:t>is thus a fortu</w:t>
      </w:r>
      <w:r w:rsidR="00890899">
        <w:rPr>
          <w:rFonts w:eastAsia="Times New Roman" w:cs="Times New Roman"/>
          <w:iCs/>
          <w:sz w:val="24"/>
          <w:szCs w:val="24"/>
        </w:rPr>
        <w:t>itous</w:t>
      </w:r>
      <w:r w:rsidR="003915AE">
        <w:rPr>
          <w:rFonts w:eastAsia="Times New Roman" w:cs="Times New Roman"/>
          <w:iCs/>
          <w:sz w:val="24"/>
          <w:szCs w:val="24"/>
        </w:rPr>
        <w:t xml:space="preserve"> accident occasioned by the similar epidemiology </w:t>
      </w:r>
      <w:r w:rsidR="003D4319">
        <w:rPr>
          <w:rFonts w:eastAsia="Times New Roman" w:cs="Times New Roman"/>
          <w:iCs/>
          <w:sz w:val="24"/>
          <w:szCs w:val="24"/>
        </w:rPr>
        <w:t>between</w:t>
      </w:r>
      <w:r w:rsidR="003915AE">
        <w:rPr>
          <w:rFonts w:eastAsia="Times New Roman" w:cs="Times New Roman"/>
          <w:iCs/>
          <w:sz w:val="24"/>
          <w:szCs w:val="24"/>
        </w:rPr>
        <w:t xml:space="preserve"> Canada and </w:t>
      </w:r>
      <w:proofErr w:type="spellStart"/>
      <w:r w:rsidR="003915AE">
        <w:rPr>
          <w:rFonts w:eastAsia="Times New Roman" w:cs="Times New Roman"/>
          <w:iCs/>
          <w:sz w:val="24"/>
          <w:szCs w:val="24"/>
        </w:rPr>
        <w:t>Dubbo</w:t>
      </w:r>
      <w:proofErr w:type="spellEnd"/>
      <w:r w:rsidR="003915AE">
        <w:rPr>
          <w:rFonts w:eastAsia="Times New Roman" w:cs="Times New Roman"/>
          <w:iCs/>
          <w:sz w:val="24"/>
          <w:szCs w:val="24"/>
        </w:rPr>
        <w:t xml:space="preserve">. </w:t>
      </w:r>
      <w:r w:rsidR="00042BE6">
        <w:rPr>
          <w:rFonts w:eastAsia="Times New Roman" w:cs="Times New Roman"/>
          <w:iCs/>
          <w:sz w:val="24"/>
          <w:szCs w:val="24"/>
        </w:rPr>
        <w:t xml:space="preserve">The claim of good calibration in Norway is not supported by the </w:t>
      </w:r>
      <w:r w:rsidR="00042BE6" w:rsidRPr="00467769">
        <w:rPr>
          <w:rFonts w:eastAsia="Times New Roman" w:cs="Times New Roman"/>
          <w:iCs/>
          <w:sz w:val="24"/>
          <w:szCs w:val="24"/>
        </w:rPr>
        <w:t>evidence [</w:t>
      </w:r>
      <w:r w:rsidR="00746E8D" w:rsidRPr="00467769">
        <w:rPr>
          <w:rFonts w:eastAsia="Times New Roman" w:cs="Times New Roman"/>
          <w:iCs/>
          <w:sz w:val="24"/>
          <w:szCs w:val="24"/>
        </w:rPr>
        <w:t>31]</w:t>
      </w:r>
      <w:r w:rsidR="00042BE6" w:rsidRPr="00467769">
        <w:rPr>
          <w:rFonts w:eastAsia="Times New Roman" w:cs="Times New Roman"/>
          <w:iCs/>
          <w:sz w:val="24"/>
          <w:szCs w:val="24"/>
        </w:rPr>
        <w:t>.</w:t>
      </w:r>
    </w:p>
    <w:p w14:paraId="4B566032" w14:textId="1204023F" w:rsidR="001D1D47" w:rsidRPr="001D1D47" w:rsidRDefault="001D1D47" w:rsidP="003D4319">
      <w:pPr>
        <w:keepNext/>
        <w:spacing w:after="120" w:line="276" w:lineRule="auto"/>
        <w:ind w:left="426" w:right="662"/>
        <w:outlineLvl w:val="1"/>
        <w:rPr>
          <w:rFonts w:eastAsia="Times New Roman" w:cs="Times New Roman"/>
          <w:iCs/>
          <w:sz w:val="24"/>
          <w:szCs w:val="24"/>
        </w:rPr>
      </w:pPr>
    </w:p>
    <w:p w14:paraId="1B32DC9E" w14:textId="77777777" w:rsidR="001D1D47" w:rsidRPr="00AE19C0" w:rsidRDefault="001D1D47" w:rsidP="00A41C7E">
      <w:pPr>
        <w:keepNext/>
        <w:spacing w:after="120" w:line="276" w:lineRule="auto"/>
        <w:ind w:left="426" w:right="662"/>
        <w:jc w:val="both"/>
        <w:outlineLvl w:val="1"/>
        <w:rPr>
          <w:rFonts w:eastAsia="Times New Roman" w:cs="Times New Roman"/>
          <w:iCs/>
          <w:sz w:val="24"/>
          <w:szCs w:val="24"/>
        </w:rPr>
      </w:pPr>
    </w:p>
    <w:p w14:paraId="35A172EF" w14:textId="43E0D812" w:rsidR="0058712E" w:rsidRPr="0019719A" w:rsidRDefault="0058712E" w:rsidP="0069131E">
      <w:pPr>
        <w:keepNext/>
        <w:spacing w:after="120" w:line="360" w:lineRule="auto"/>
        <w:jc w:val="center"/>
        <w:outlineLvl w:val="1"/>
        <w:rPr>
          <w:rFonts w:ascii="Times New Roman" w:eastAsia="Times New Roman" w:hAnsi="Times New Roman" w:cs="Times New Roman"/>
          <w:iCs/>
          <w:sz w:val="24"/>
          <w:szCs w:val="24"/>
        </w:rPr>
      </w:pPr>
      <w:r w:rsidRPr="0058712E">
        <w:rPr>
          <w:rFonts w:ascii="Times New Roman" w:eastAsia="Times New Roman" w:hAnsi="Times New Roman" w:cs="Times New Roman"/>
          <w:iCs/>
          <w:noProof/>
          <w:sz w:val="24"/>
          <w:szCs w:val="24"/>
          <w:lang w:eastAsia="en-GB"/>
        </w:rPr>
        <w:lastRenderedPageBreak/>
        <w:drawing>
          <wp:inline distT="0" distB="0" distL="0" distR="0" wp14:anchorId="23CDF53F" wp14:editId="2F462909">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638" cy="3429479"/>
                    </a:xfrm>
                    <a:prstGeom prst="rect">
                      <a:avLst/>
                    </a:prstGeom>
                  </pic:spPr>
                </pic:pic>
              </a:graphicData>
            </a:graphic>
          </wp:inline>
        </w:drawing>
      </w:r>
    </w:p>
    <w:p w14:paraId="1A468239" w14:textId="48A904C2" w:rsidR="00C135D1" w:rsidRPr="0069131E" w:rsidRDefault="0058712E" w:rsidP="0069131E">
      <w:pPr>
        <w:spacing w:after="120"/>
        <w:ind w:left="567" w:right="662"/>
      </w:pPr>
      <w:proofErr w:type="gramStart"/>
      <w:r w:rsidRPr="002850D8">
        <w:rPr>
          <w:lang w:val="en-US"/>
        </w:rPr>
        <w:t>Fig</w:t>
      </w:r>
      <w:r w:rsidR="002850D8" w:rsidRPr="002850D8">
        <w:rPr>
          <w:lang w:val="en-US"/>
        </w:rPr>
        <w:t>ure 2</w:t>
      </w:r>
      <w:r w:rsidRPr="002850D8">
        <w:rPr>
          <w:lang w:val="en-US"/>
        </w:rPr>
        <w:t>.</w:t>
      </w:r>
      <w:proofErr w:type="gramEnd"/>
      <w:r w:rsidRPr="002850D8">
        <w:rPr>
          <w:lang w:val="en-US"/>
        </w:rPr>
        <w:t xml:space="preserve">  </w:t>
      </w:r>
      <w:r w:rsidRPr="002850D8">
        <w:t xml:space="preserve">Comparison of the risk of a hip fracture using the </w:t>
      </w:r>
      <w:proofErr w:type="spellStart"/>
      <w:r w:rsidRPr="002850D8">
        <w:t>Garvan</w:t>
      </w:r>
      <w:proofErr w:type="spellEnd"/>
      <w:r w:rsidRPr="002850D8">
        <w:t xml:space="preserve"> calculator, FRAX and </w:t>
      </w:r>
      <w:proofErr w:type="spellStart"/>
      <w:r w:rsidRPr="002850D8">
        <w:t>QFracture</w:t>
      </w:r>
      <w:proofErr w:type="spellEnd"/>
      <w:r w:rsidRPr="002850D8">
        <w:t xml:space="preserve"> in</w:t>
      </w:r>
      <w:r w:rsidRPr="0069131E">
        <w:t xml:space="preserve"> women </w:t>
      </w:r>
      <w:r w:rsidR="0061665F">
        <w:t xml:space="preserve">with a prior fracture </w:t>
      </w:r>
      <w:r w:rsidRPr="0069131E">
        <w:t>from the UK by age</w:t>
      </w:r>
      <w:r w:rsidR="00C135D1" w:rsidRPr="0069131E">
        <w:t>.  Height was set at 165cm (</w:t>
      </w:r>
      <w:proofErr w:type="spellStart"/>
      <w:r w:rsidR="00C135D1" w:rsidRPr="0069131E">
        <w:t>QFracture</w:t>
      </w:r>
      <w:proofErr w:type="spellEnd"/>
      <w:r w:rsidR="00C135D1" w:rsidRPr="0069131E">
        <w:t xml:space="preserve"> and FRAX) and weight at 65kg (all models). </w:t>
      </w:r>
    </w:p>
    <w:p w14:paraId="665099EE" w14:textId="77777777" w:rsidR="0019719A" w:rsidRPr="0019719A" w:rsidRDefault="0019719A" w:rsidP="0019719A">
      <w:pPr>
        <w:spacing w:after="0" w:line="240" w:lineRule="auto"/>
        <w:rPr>
          <w:rFonts w:ascii="Times New Roman" w:eastAsia="Times New Roman" w:hAnsi="Times New Roman" w:cs="Times New Roman"/>
          <w:sz w:val="20"/>
          <w:szCs w:val="20"/>
        </w:rPr>
      </w:pPr>
    </w:p>
    <w:p w14:paraId="6234C1A4" w14:textId="3B4FC967" w:rsidR="003915AE" w:rsidRPr="0061665F" w:rsidRDefault="003915AE">
      <w:pPr>
        <w:rPr>
          <w:sz w:val="24"/>
          <w:szCs w:val="24"/>
        </w:rPr>
      </w:pPr>
    </w:p>
    <w:p w14:paraId="1B91A80B" w14:textId="584ADAF4" w:rsidR="005B6184" w:rsidRDefault="00086124" w:rsidP="005B6184">
      <w:pPr>
        <w:rPr>
          <w:rFonts w:cs="MyriadPro-Regular"/>
          <w:sz w:val="24"/>
          <w:szCs w:val="24"/>
        </w:rPr>
      </w:pPr>
      <w:r>
        <w:rPr>
          <w:rFonts w:cs="MyriadPro-Regular"/>
          <w:sz w:val="24"/>
          <w:szCs w:val="24"/>
        </w:rPr>
        <w:t xml:space="preserve">Whereas </w:t>
      </w:r>
      <w:proofErr w:type="spellStart"/>
      <w:r w:rsidRPr="009E3E75">
        <w:rPr>
          <w:rFonts w:cs="MyriadPro-Regular"/>
          <w:sz w:val="24"/>
          <w:szCs w:val="24"/>
        </w:rPr>
        <w:t>QFracture</w:t>
      </w:r>
      <w:proofErr w:type="spellEnd"/>
      <w:r w:rsidRPr="009E3E75">
        <w:rPr>
          <w:rFonts w:cs="MyriadPro-Regular"/>
          <w:sz w:val="24"/>
          <w:szCs w:val="24"/>
        </w:rPr>
        <w:t xml:space="preserve"> and FRAX are comparably calibrated for hip fracture risk [</w:t>
      </w:r>
      <w:r w:rsidR="00C54300">
        <w:rPr>
          <w:rFonts w:cs="MyriadPro-Regular"/>
          <w:sz w:val="24"/>
          <w:szCs w:val="24"/>
        </w:rPr>
        <w:t>11, 12]</w:t>
      </w:r>
      <w:r w:rsidRPr="00554D79">
        <w:rPr>
          <w:rFonts w:cs="MyriadPro-Regular"/>
          <w:sz w:val="24"/>
          <w:szCs w:val="24"/>
        </w:rPr>
        <w:t>, a</w:t>
      </w:r>
      <w:r w:rsidRPr="009E3E75">
        <w:rPr>
          <w:rFonts w:cs="MyriadPro-Regular"/>
          <w:sz w:val="24"/>
          <w:szCs w:val="24"/>
        </w:rPr>
        <w:t xml:space="preserve"> quite different pattern is evident for major osteoporotic </w:t>
      </w:r>
      <w:r w:rsidR="00DF0397" w:rsidRPr="009E3E75">
        <w:rPr>
          <w:rFonts w:cs="MyriadPro-Regular"/>
          <w:sz w:val="24"/>
          <w:szCs w:val="24"/>
        </w:rPr>
        <w:t>fracture</w:t>
      </w:r>
      <w:r w:rsidR="00DF0397">
        <w:rPr>
          <w:rFonts w:cs="MyriadPro-Regular"/>
          <w:sz w:val="24"/>
          <w:szCs w:val="24"/>
        </w:rPr>
        <w:t xml:space="preserve">s </w:t>
      </w:r>
      <w:r w:rsidR="00DF0397" w:rsidRPr="009E3E75">
        <w:rPr>
          <w:rFonts w:cs="MyriadPro-Regular"/>
          <w:sz w:val="24"/>
          <w:szCs w:val="24"/>
        </w:rPr>
        <w:t>where</w:t>
      </w:r>
      <w:r w:rsidRPr="009E3E75">
        <w:rPr>
          <w:rFonts w:cs="MyriadPro-Regular"/>
          <w:sz w:val="24"/>
          <w:szCs w:val="24"/>
        </w:rPr>
        <w:t xml:space="preserve"> the probabilities </w:t>
      </w:r>
      <w:r w:rsidR="005B6184" w:rsidRPr="002850D8">
        <w:rPr>
          <w:rFonts w:cs="MyriadPro-Regular"/>
          <w:sz w:val="24"/>
          <w:szCs w:val="24"/>
        </w:rPr>
        <w:t xml:space="preserve">derived from FRAX </w:t>
      </w:r>
      <w:r w:rsidRPr="002850D8">
        <w:rPr>
          <w:rFonts w:cs="MyriadPro-Regular"/>
          <w:sz w:val="24"/>
          <w:szCs w:val="24"/>
        </w:rPr>
        <w:t>are markedly higher</w:t>
      </w:r>
      <w:r w:rsidR="005B6184" w:rsidRPr="002850D8">
        <w:rPr>
          <w:rFonts w:cs="MyriadPro-Regular"/>
          <w:sz w:val="24"/>
          <w:szCs w:val="24"/>
        </w:rPr>
        <w:t xml:space="preserve"> than the incidences from </w:t>
      </w:r>
      <w:proofErr w:type="spellStart"/>
      <w:r w:rsidR="005B6184" w:rsidRPr="002850D8">
        <w:rPr>
          <w:rFonts w:cs="MyriadPro-Regular"/>
          <w:sz w:val="24"/>
          <w:szCs w:val="24"/>
        </w:rPr>
        <w:t>QFracture</w:t>
      </w:r>
      <w:proofErr w:type="spellEnd"/>
      <w:r w:rsidR="005B6184" w:rsidRPr="002850D8">
        <w:rPr>
          <w:rFonts w:cs="MyriadPro-Regular"/>
          <w:sz w:val="24"/>
          <w:szCs w:val="24"/>
        </w:rPr>
        <w:t xml:space="preserve">.  The </w:t>
      </w:r>
      <w:proofErr w:type="spellStart"/>
      <w:r w:rsidR="005B6184" w:rsidRPr="002850D8">
        <w:rPr>
          <w:rFonts w:cs="MyriadPro-Regular"/>
          <w:sz w:val="24"/>
          <w:szCs w:val="24"/>
        </w:rPr>
        <w:t>Garvan</w:t>
      </w:r>
      <w:proofErr w:type="spellEnd"/>
      <w:r w:rsidR="005B6184" w:rsidRPr="002850D8">
        <w:rPr>
          <w:rFonts w:cs="MyriadPro-Regular"/>
          <w:sz w:val="24"/>
          <w:szCs w:val="24"/>
        </w:rPr>
        <w:t xml:space="preserve"> instrument gives even higher values as sho</w:t>
      </w:r>
      <w:r w:rsidR="00C55BF0">
        <w:rPr>
          <w:rFonts w:cs="MyriadPro-Regular"/>
          <w:sz w:val="24"/>
          <w:szCs w:val="24"/>
        </w:rPr>
        <w:t>w</w:t>
      </w:r>
      <w:r w:rsidR="005B6184" w:rsidRPr="002850D8">
        <w:rPr>
          <w:rFonts w:cs="MyriadPro-Regular"/>
          <w:sz w:val="24"/>
          <w:szCs w:val="24"/>
        </w:rPr>
        <w:t xml:space="preserve">n in Figure </w:t>
      </w:r>
      <w:r w:rsidR="002850D8" w:rsidRPr="002850D8">
        <w:rPr>
          <w:rFonts w:cs="MyriadPro-Regular"/>
          <w:sz w:val="24"/>
          <w:szCs w:val="24"/>
        </w:rPr>
        <w:t>3</w:t>
      </w:r>
      <w:r w:rsidR="005B6184" w:rsidRPr="002850D8">
        <w:rPr>
          <w:rFonts w:cs="MyriadPro-Regular"/>
          <w:sz w:val="24"/>
          <w:szCs w:val="24"/>
        </w:rPr>
        <w:t xml:space="preserve"> </w:t>
      </w:r>
      <w:r w:rsidR="00803A6A" w:rsidRPr="002850D8">
        <w:rPr>
          <w:rFonts w:cs="MyriadPro-Regular"/>
          <w:sz w:val="24"/>
          <w:szCs w:val="24"/>
        </w:rPr>
        <w:t>f</w:t>
      </w:r>
      <w:r w:rsidR="005B6184" w:rsidRPr="002850D8">
        <w:rPr>
          <w:rFonts w:cs="MyriadPro-Regular"/>
          <w:sz w:val="24"/>
          <w:szCs w:val="24"/>
        </w:rPr>
        <w:t xml:space="preserve">or the same clinical scenarios as in Figure </w:t>
      </w:r>
      <w:r w:rsidR="002850D8" w:rsidRPr="002850D8">
        <w:rPr>
          <w:rFonts w:cs="MyriadPro-Regular"/>
          <w:sz w:val="24"/>
          <w:szCs w:val="24"/>
        </w:rPr>
        <w:t>2</w:t>
      </w:r>
      <w:r w:rsidR="009F1C1A">
        <w:rPr>
          <w:rFonts w:cs="MyriadPro-Regular"/>
          <w:sz w:val="24"/>
          <w:szCs w:val="24"/>
        </w:rPr>
        <w:t>.</w:t>
      </w:r>
      <w:r w:rsidR="005B6184" w:rsidRPr="002850D8">
        <w:rPr>
          <w:rFonts w:cs="MyriadPro-Regular"/>
          <w:sz w:val="24"/>
          <w:szCs w:val="24"/>
        </w:rPr>
        <w:t xml:space="preserve"> The </w:t>
      </w:r>
      <w:proofErr w:type="spellStart"/>
      <w:r w:rsidR="005B6184" w:rsidRPr="002850D8">
        <w:rPr>
          <w:rFonts w:cs="MyriadPro-Regular"/>
          <w:sz w:val="24"/>
          <w:szCs w:val="24"/>
        </w:rPr>
        <w:t>Garvan</w:t>
      </w:r>
      <w:proofErr w:type="spellEnd"/>
      <w:r w:rsidR="005B6184" w:rsidRPr="002850D8">
        <w:rPr>
          <w:rFonts w:cs="MyriadPro-Regular"/>
          <w:sz w:val="24"/>
          <w:szCs w:val="24"/>
        </w:rPr>
        <w:t xml:space="preserve"> tool provides the highest risks, in part because the output is the 10-year incidence of all</w:t>
      </w:r>
      <w:r w:rsidR="005B6184" w:rsidRPr="005B6184">
        <w:rPr>
          <w:rFonts w:cs="MyriadPro-Regular"/>
          <w:sz w:val="24"/>
          <w:szCs w:val="24"/>
        </w:rPr>
        <w:t xml:space="preserve"> fractures (minus those at the digits).  </w:t>
      </w:r>
      <w:proofErr w:type="spellStart"/>
      <w:r w:rsidR="005B6184" w:rsidRPr="005B6184">
        <w:rPr>
          <w:rFonts w:cs="MyriadPro-Regular"/>
          <w:sz w:val="24"/>
          <w:szCs w:val="24"/>
        </w:rPr>
        <w:t>QFracture</w:t>
      </w:r>
      <w:proofErr w:type="spellEnd"/>
      <w:r w:rsidR="005B6184" w:rsidRPr="005B6184">
        <w:rPr>
          <w:rFonts w:cs="MyriadPro-Regular"/>
          <w:sz w:val="24"/>
          <w:szCs w:val="24"/>
        </w:rPr>
        <w:t xml:space="preserve"> gives the lowest estimates. This is confirmed in Fig</w:t>
      </w:r>
      <w:r w:rsidR="002850D8">
        <w:rPr>
          <w:rFonts w:cs="MyriadPro-Regular"/>
          <w:sz w:val="24"/>
          <w:szCs w:val="24"/>
        </w:rPr>
        <w:t>ure 4</w:t>
      </w:r>
      <w:r w:rsidR="005B6184" w:rsidRPr="005B6184">
        <w:rPr>
          <w:rFonts w:cs="MyriadPro-Regular"/>
          <w:sz w:val="24"/>
          <w:szCs w:val="24"/>
        </w:rPr>
        <w:t xml:space="preserve"> where the 10-year hip fracture rates/probabilities are shown in women at each decile of risk category [</w:t>
      </w:r>
      <w:r w:rsidR="00C54300" w:rsidRPr="00467769">
        <w:rPr>
          <w:rFonts w:cs="MyriadPro-Regular"/>
          <w:sz w:val="24"/>
          <w:szCs w:val="24"/>
        </w:rPr>
        <w:t xml:space="preserve">32, 33, </w:t>
      </w:r>
      <w:proofErr w:type="gramStart"/>
      <w:r w:rsidR="00C54300" w:rsidRPr="00467769">
        <w:rPr>
          <w:rFonts w:cs="MyriadPro-Regular"/>
          <w:sz w:val="24"/>
          <w:szCs w:val="24"/>
        </w:rPr>
        <w:t>34</w:t>
      </w:r>
      <w:proofErr w:type="gramEnd"/>
      <w:r w:rsidR="00C54300" w:rsidRPr="00467769">
        <w:rPr>
          <w:rFonts w:cs="MyriadPro-Regular"/>
          <w:sz w:val="24"/>
          <w:szCs w:val="24"/>
        </w:rPr>
        <w:t>]</w:t>
      </w:r>
      <w:r w:rsidR="005B6184" w:rsidRPr="00467769">
        <w:rPr>
          <w:rFonts w:cs="MyriadPro-Regular"/>
          <w:sz w:val="24"/>
          <w:szCs w:val="24"/>
        </w:rPr>
        <w:t>.</w:t>
      </w:r>
    </w:p>
    <w:p w14:paraId="2DAA29B1" w14:textId="77777777" w:rsidR="00803A6A" w:rsidRPr="00803A6A" w:rsidRDefault="00803A6A" w:rsidP="00803A6A">
      <w:pPr>
        <w:rPr>
          <w:rFonts w:cs="MyriadPro-Regular"/>
          <w:b/>
          <w:sz w:val="24"/>
          <w:szCs w:val="24"/>
        </w:rPr>
      </w:pPr>
      <w:r w:rsidRPr="00803A6A">
        <w:rPr>
          <w:rFonts w:cs="MyriadPro-Regular"/>
          <w:b/>
          <w:noProof/>
          <w:sz w:val="24"/>
          <w:szCs w:val="24"/>
          <w:lang w:eastAsia="en-GB"/>
        </w:rPr>
        <w:lastRenderedPageBreak/>
        <w:drawing>
          <wp:inline distT="0" distB="0" distL="0" distR="0" wp14:anchorId="608DFE1F" wp14:editId="425ADB21">
            <wp:extent cx="4572638" cy="34294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2638" cy="3429479"/>
                    </a:xfrm>
                    <a:prstGeom prst="rect">
                      <a:avLst/>
                    </a:prstGeom>
                  </pic:spPr>
                </pic:pic>
              </a:graphicData>
            </a:graphic>
          </wp:inline>
        </w:drawing>
      </w:r>
    </w:p>
    <w:p w14:paraId="740E382D" w14:textId="783EFACF" w:rsidR="00803A6A" w:rsidRPr="002850D8" w:rsidRDefault="00803A6A" w:rsidP="002850D8">
      <w:pPr>
        <w:ind w:left="426" w:right="662"/>
        <w:rPr>
          <w:rFonts w:cs="MyriadPro-Regular"/>
        </w:rPr>
      </w:pPr>
      <w:proofErr w:type="gramStart"/>
      <w:r w:rsidRPr="002850D8">
        <w:rPr>
          <w:rFonts w:cs="MyriadPro-Regular"/>
          <w:b/>
          <w:lang w:val="en-US"/>
        </w:rPr>
        <w:t>Fig</w:t>
      </w:r>
      <w:r w:rsidR="002850D8" w:rsidRPr="002850D8">
        <w:rPr>
          <w:rFonts w:cs="MyriadPro-Regular"/>
          <w:b/>
          <w:lang w:val="en-US"/>
        </w:rPr>
        <w:t>ure 3</w:t>
      </w:r>
      <w:r w:rsidRPr="002850D8">
        <w:rPr>
          <w:rFonts w:cs="MyriadPro-Regular"/>
          <w:lang w:val="en-US"/>
        </w:rPr>
        <w:t>.</w:t>
      </w:r>
      <w:proofErr w:type="gramEnd"/>
      <w:r w:rsidRPr="002850D8">
        <w:rPr>
          <w:rFonts w:cs="MyriadPro-Regular"/>
          <w:lang w:val="en-US"/>
        </w:rPr>
        <w:t xml:space="preserve">  </w:t>
      </w:r>
      <w:r w:rsidRPr="002850D8">
        <w:rPr>
          <w:rFonts w:cs="MyriadPro-Regular"/>
        </w:rPr>
        <w:t xml:space="preserve">Comparison of the risk of </w:t>
      </w:r>
      <w:r w:rsidR="00042BE6">
        <w:rPr>
          <w:rFonts w:cs="MyriadPro-Regular"/>
        </w:rPr>
        <w:t>any fragility</w:t>
      </w:r>
      <w:r w:rsidRPr="002850D8">
        <w:rPr>
          <w:rFonts w:cs="MyriadPro-Regular"/>
        </w:rPr>
        <w:t xml:space="preserve"> fracture using the </w:t>
      </w:r>
      <w:proofErr w:type="spellStart"/>
      <w:r w:rsidRPr="002850D8">
        <w:rPr>
          <w:rFonts w:cs="MyriadPro-Regular"/>
        </w:rPr>
        <w:t>Garvan</w:t>
      </w:r>
      <w:proofErr w:type="spellEnd"/>
      <w:r w:rsidRPr="002850D8">
        <w:rPr>
          <w:rFonts w:cs="MyriadPro-Regular"/>
        </w:rPr>
        <w:t xml:space="preserve"> </w:t>
      </w:r>
      <w:proofErr w:type="gramStart"/>
      <w:r w:rsidRPr="002850D8">
        <w:rPr>
          <w:rFonts w:cs="MyriadPro-Regular"/>
        </w:rPr>
        <w:t>calculator,</w:t>
      </w:r>
      <w:proofErr w:type="gramEnd"/>
      <w:r w:rsidR="00042BE6" w:rsidRPr="00042BE6">
        <w:rPr>
          <w:rFonts w:cs="MyriadPro-Regular"/>
        </w:rPr>
        <w:t xml:space="preserve"> a</w:t>
      </w:r>
      <w:r w:rsidR="00042BE6">
        <w:rPr>
          <w:rFonts w:cs="MyriadPro-Regular"/>
        </w:rPr>
        <w:t>nd</w:t>
      </w:r>
      <w:r w:rsidR="00042BE6" w:rsidRPr="00042BE6">
        <w:rPr>
          <w:rFonts w:cs="MyriadPro-Regular"/>
        </w:rPr>
        <w:t xml:space="preserve"> </w:t>
      </w:r>
      <w:r w:rsidR="00042BE6">
        <w:rPr>
          <w:rFonts w:cs="MyriadPro-Regular"/>
        </w:rPr>
        <w:t xml:space="preserve">the risk of a </w:t>
      </w:r>
      <w:r w:rsidR="00042BE6" w:rsidRPr="00042BE6">
        <w:rPr>
          <w:rFonts w:cs="MyriadPro-Regular"/>
        </w:rPr>
        <w:t>major osteoporotic fracture</w:t>
      </w:r>
      <w:r w:rsidRPr="002850D8">
        <w:rPr>
          <w:rFonts w:cs="MyriadPro-Regular"/>
        </w:rPr>
        <w:t xml:space="preserve"> </w:t>
      </w:r>
      <w:r w:rsidR="00042BE6">
        <w:rPr>
          <w:rFonts w:cs="MyriadPro-Regular"/>
        </w:rPr>
        <w:t xml:space="preserve">with </w:t>
      </w:r>
      <w:r w:rsidRPr="002850D8">
        <w:rPr>
          <w:rFonts w:cs="MyriadPro-Regular"/>
        </w:rPr>
        <w:t xml:space="preserve">FRAX and </w:t>
      </w:r>
      <w:proofErr w:type="spellStart"/>
      <w:r w:rsidRPr="002850D8">
        <w:rPr>
          <w:rFonts w:cs="MyriadPro-Regular"/>
        </w:rPr>
        <w:t>QFracture</w:t>
      </w:r>
      <w:proofErr w:type="spellEnd"/>
      <w:r w:rsidRPr="002850D8">
        <w:rPr>
          <w:rFonts w:cs="MyriadPro-Regular"/>
        </w:rPr>
        <w:t xml:space="preserve"> in women with a prior fracture from the UK by age.  Height was set at 165cm (</w:t>
      </w:r>
      <w:proofErr w:type="spellStart"/>
      <w:r w:rsidRPr="002850D8">
        <w:rPr>
          <w:rFonts w:cs="MyriadPro-Regular"/>
        </w:rPr>
        <w:t>QFracture</w:t>
      </w:r>
      <w:proofErr w:type="spellEnd"/>
      <w:r w:rsidRPr="002850D8">
        <w:rPr>
          <w:rFonts w:cs="MyriadPro-Regular"/>
        </w:rPr>
        <w:t xml:space="preserve"> and FRAX) and weight at 65kg (all models). </w:t>
      </w:r>
    </w:p>
    <w:p w14:paraId="51D6EBAE" w14:textId="77777777" w:rsidR="00803A6A" w:rsidRDefault="00803A6A" w:rsidP="005B6184">
      <w:pPr>
        <w:rPr>
          <w:rFonts w:cs="MyriadPro-Regular"/>
          <w:sz w:val="24"/>
          <w:szCs w:val="24"/>
        </w:rPr>
      </w:pPr>
    </w:p>
    <w:p w14:paraId="45ADCB66" w14:textId="71229AE9" w:rsidR="003915AE" w:rsidRDefault="003915AE">
      <w:pPr>
        <w:rPr>
          <w:rFonts w:cs="MyriadPro-Regular"/>
          <w:sz w:val="24"/>
          <w:szCs w:val="24"/>
        </w:rPr>
      </w:pPr>
    </w:p>
    <w:p w14:paraId="70F60531" w14:textId="06651CB1" w:rsidR="00086124" w:rsidRDefault="00086124" w:rsidP="00086124">
      <w:pPr>
        <w:jc w:val="center"/>
        <w:rPr>
          <w:b/>
        </w:rPr>
      </w:pPr>
      <w:r w:rsidRPr="0026100E">
        <w:rPr>
          <w:rFonts w:cs="Times New Roman"/>
          <w:noProof/>
          <w:color w:val="FF0000"/>
          <w:lang w:eastAsia="en-GB"/>
        </w:rPr>
        <w:drawing>
          <wp:inline distT="0" distB="0" distL="0" distR="0" wp14:anchorId="700A5FC8" wp14:editId="59095F4F">
            <wp:extent cx="4571999" cy="258127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4722"/>
                    <a:stretch/>
                  </pic:blipFill>
                  <pic:spPr bwMode="auto">
                    <a:xfrm>
                      <a:off x="0" y="0"/>
                      <a:ext cx="4572638" cy="2581636"/>
                    </a:xfrm>
                    <a:prstGeom prst="rect">
                      <a:avLst/>
                    </a:prstGeom>
                    <a:ln>
                      <a:noFill/>
                    </a:ln>
                    <a:extLst>
                      <a:ext uri="{53640926-AAD7-44D8-BBD7-CCE9431645EC}">
                        <a14:shadowObscured xmlns:a14="http://schemas.microsoft.com/office/drawing/2010/main"/>
                      </a:ext>
                    </a:extLst>
                  </pic:spPr>
                </pic:pic>
              </a:graphicData>
            </a:graphic>
          </wp:inline>
        </w:drawing>
      </w:r>
    </w:p>
    <w:p w14:paraId="74DCA2A7" w14:textId="14FEA842" w:rsidR="00086124" w:rsidRPr="00086124" w:rsidRDefault="00086124" w:rsidP="002850D8">
      <w:pPr>
        <w:ind w:left="709" w:right="804"/>
      </w:pPr>
      <w:proofErr w:type="gramStart"/>
      <w:r w:rsidRPr="00086124">
        <w:rPr>
          <w:b/>
        </w:rPr>
        <w:t>Fig</w:t>
      </w:r>
      <w:r w:rsidR="002850D8">
        <w:rPr>
          <w:b/>
        </w:rPr>
        <w:t>ure 4</w:t>
      </w:r>
      <w:r w:rsidRPr="00086124">
        <w:rPr>
          <w:b/>
        </w:rPr>
        <w:t>.</w:t>
      </w:r>
      <w:proofErr w:type="gramEnd"/>
      <w:r w:rsidRPr="00086124">
        <w:t xml:space="preserve">  </w:t>
      </w:r>
      <w:proofErr w:type="gramStart"/>
      <w:r w:rsidRPr="00086124">
        <w:t xml:space="preserve">Comparison of the distribution of FRAX and </w:t>
      </w:r>
      <w:proofErr w:type="spellStart"/>
      <w:r w:rsidRPr="00086124">
        <w:t>QFracture</w:t>
      </w:r>
      <w:proofErr w:type="spellEnd"/>
      <w:r w:rsidRPr="00086124">
        <w:t xml:space="preserve"> (QF) model output by decile of risk in women for hip fracture (left panel [</w:t>
      </w:r>
      <w:r w:rsidR="00C54300">
        <w:t>12</w:t>
      </w:r>
      <w:r w:rsidRPr="00086124">
        <w:t>] and major fracture (right panel) [</w:t>
      </w:r>
      <w:r w:rsidR="00C54300">
        <w:t>33]</w:t>
      </w:r>
      <w:r w:rsidRPr="00086124">
        <w:t>.</w:t>
      </w:r>
      <w:proofErr w:type="gramEnd"/>
      <w:r w:rsidRPr="00086124">
        <w:t xml:space="preserve">  The diagonal line shows the line of identity.</w:t>
      </w:r>
      <w:r>
        <w:t xml:space="preserve"> </w:t>
      </w:r>
      <w:proofErr w:type="gramStart"/>
      <w:r>
        <w:t>[</w:t>
      </w:r>
      <w:r w:rsidR="00C54300">
        <w:t xml:space="preserve">34 </w:t>
      </w:r>
      <w:r w:rsidR="002850D8" w:rsidRPr="002850D8">
        <w:rPr>
          <w:iCs/>
        </w:rPr>
        <w:t>with kind permission</w:t>
      </w:r>
      <w:r w:rsidR="002850D8" w:rsidRPr="002850D8">
        <w:rPr>
          <w:bCs/>
          <w:lang w:val="sv-SE"/>
        </w:rPr>
        <w:t xml:space="preserve"> </w:t>
      </w:r>
      <w:r w:rsidR="002850D8" w:rsidRPr="002850D8">
        <w:rPr>
          <w:bCs/>
          <w:iCs/>
          <w:lang w:val="sv-SE"/>
        </w:rPr>
        <w:t xml:space="preserve">from Springer </w:t>
      </w:r>
      <w:proofErr w:type="spellStart"/>
      <w:r w:rsidR="002850D8" w:rsidRPr="002850D8">
        <w:rPr>
          <w:bCs/>
          <w:iCs/>
        </w:rPr>
        <w:t>Science+Business</w:t>
      </w:r>
      <w:proofErr w:type="spellEnd"/>
      <w:r w:rsidR="002850D8" w:rsidRPr="002850D8">
        <w:rPr>
          <w:bCs/>
          <w:iCs/>
        </w:rPr>
        <w:t xml:space="preserve"> Media B.V</w:t>
      </w:r>
      <w:r w:rsidR="002850D8" w:rsidRPr="002850D8">
        <w:rPr>
          <w:iCs/>
        </w:rPr>
        <w:t>]</w:t>
      </w:r>
      <w:r w:rsidR="002850D8">
        <w:rPr>
          <w:iCs/>
        </w:rPr>
        <w:t>.</w:t>
      </w:r>
      <w:proofErr w:type="gramEnd"/>
    </w:p>
    <w:p w14:paraId="1A665FD3" w14:textId="5902E796" w:rsidR="003D4319" w:rsidRPr="00D362DE" w:rsidRDefault="00803A6A" w:rsidP="002A584C">
      <w:pPr>
        <w:autoSpaceDE w:val="0"/>
        <w:autoSpaceDN w:val="0"/>
        <w:adjustRightInd w:val="0"/>
        <w:spacing w:line="276" w:lineRule="auto"/>
        <w:rPr>
          <w:rFonts w:cs="Times New Roman"/>
          <w:color w:val="FF0000"/>
          <w:sz w:val="24"/>
          <w:szCs w:val="24"/>
          <w:lang w:eastAsia="en-GB"/>
        </w:rPr>
      </w:pPr>
      <w:r>
        <w:rPr>
          <w:rFonts w:cs="MyriadPro-Regular"/>
          <w:sz w:val="24"/>
          <w:szCs w:val="24"/>
        </w:rPr>
        <w:lastRenderedPageBreak/>
        <w:t xml:space="preserve">The reason for the discrepancy is that </w:t>
      </w:r>
      <w:proofErr w:type="spellStart"/>
      <w:r>
        <w:rPr>
          <w:rFonts w:cs="MyriadPro-Regular"/>
          <w:sz w:val="24"/>
          <w:szCs w:val="24"/>
        </w:rPr>
        <w:t>QFracture</w:t>
      </w:r>
      <w:proofErr w:type="spellEnd"/>
      <w:r>
        <w:rPr>
          <w:rFonts w:cs="MyriadPro-Regular"/>
          <w:sz w:val="24"/>
          <w:szCs w:val="24"/>
        </w:rPr>
        <w:t xml:space="preserve"> is derived from General Practitioner records that are often incomplete for some important variables</w:t>
      </w:r>
      <w:r w:rsidR="00890899">
        <w:rPr>
          <w:rFonts w:cs="MyriadPro-Regular"/>
          <w:sz w:val="24"/>
          <w:szCs w:val="24"/>
        </w:rPr>
        <w:t xml:space="preserve"> [</w:t>
      </w:r>
      <w:r w:rsidR="00C54300">
        <w:rPr>
          <w:rFonts w:cs="MyriadPro-Regular"/>
          <w:sz w:val="24"/>
          <w:szCs w:val="24"/>
        </w:rPr>
        <w:t>34]</w:t>
      </w:r>
      <w:r>
        <w:rPr>
          <w:rFonts w:cs="MyriadPro-Regular"/>
          <w:sz w:val="24"/>
          <w:szCs w:val="24"/>
        </w:rPr>
        <w:t xml:space="preserve">.  </w:t>
      </w:r>
      <w:r w:rsidR="00D362DE">
        <w:rPr>
          <w:rFonts w:cs="MyriadPro-Regular"/>
          <w:sz w:val="24"/>
          <w:szCs w:val="24"/>
        </w:rPr>
        <w:t>For example,</w:t>
      </w:r>
      <w:r w:rsidRPr="00803A6A">
        <w:rPr>
          <w:rFonts w:cs="MyriadPro-Regular"/>
          <w:sz w:val="24"/>
          <w:szCs w:val="24"/>
        </w:rPr>
        <w:t xml:space="preserve"> </w:t>
      </w:r>
      <w:r w:rsidR="003D4319" w:rsidRPr="00803A6A">
        <w:rPr>
          <w:rFonts w:cs="Times New Roman"/>
          <w:sz w:val="24"/>
          <w:szCs w:val="24"/>
          <w:lang w:eastAsia="en-GB"/>
        </w:rPr>
        <w:t xml:space="preserve">GP records are reasonably accurate for the documentation of hip fracture but notoriously unreliable for </w:t>
      </w:r>
      <w:r w:rsidR="003D4319" w:rsidRPr="00D362DE">
        <w:rPr>
          <w:rFonts w:cs="Times New Roman"/>
          <w:sz w:val="24"/>
          <w:szCs w:val="24"/>
          <w:lang w:eastAsia="en-GB"/>
        </w:rPr>
        <w:t xml:space="preserve">other major fractures, particularly vertebral </w:t>
      </w:r>
      <w:r w:rsidR="003D4319" w:rsidRPr="00467769">
        <w:rPr>
          <w:rFonts w:cs="Times New Roman"/>
          <w:sz w:val="24"/>
          <w:szCs w:val="24"/>
          <w:lang w:eastAsia="en-GB"/>
        </w:rPr>
        <w:t>fractures [</w:t>
      </w:r>
      <w:r w:rsidR="00C54300" w:rsidRPr="00467769">
        <w:rPr>
          <w:rFonts w:cs="Times New Roman"/>
          <w:sz w:val="24"/>
          <w:szCs w:val="24"/>
          <w:lang w:eastAsia="en-GB"/>
        </w:rPr>
        <w:t>35]</w:t>
      </w:r>
      <w:r w:rsidR="003D4319" w:rsidRPr="00467769">
        <w:rPr>
          <w:rFonts w:cs="Times New Roman"/>
          <w:sz w:val="24"/>
          <w:szCs w:val="24"/>
          <w:lang w:eastAsia="en-GB"/>
        </w:rPr>
        <w:t xml:space="preserve">.  </w:t>
      </w:r>
      <w:r w:rsidR="00D362DE" w:rsidRPr="00467769">
        <w:rPr>
          <w:rFonts w:cs="Times New Roman"/>
          <w:sz w:val="24"/>
          <w:szCs w:val="24"/>
          <w:lang w:eastAsia="en-GB"/>
        </w:rPr>
        <w:t>Thus</w:t>
      </w:r>
      <w:r w:rsidR="00D362DE" w:rsidRPr="00D362DE">
        <w:rPr>
          <w:rFonts w:cs="Times New Roman"/>
          <w:sz w:val="24"/>
          <w:szCs w:val="24"/>
          <w:lang w:eastAsia="en-GB"/>
        </w:rPr>
        <w:t>, t</w:t>
      </w:r>
      <w:r w:rsidR="003D4319" w:rsidRPr="00D362DE">
        <w:rPr>
          <w:rFonts w:cs="Times New Roman"/>
          <w:sz w:val="24"/>
          <w:szCs w:val="24"/>
          <w:lang w:eastAsia="en-GB"/>
        </w:rPr>
        <w:t xml:space="preserve">he prevalence of a prior major fracture in the </w:t>
      </w:r>
      <w:proofErr w:type="spellStart"/>
      <w:r w:rsidR="003D4319" w:rsidRPr="00D362DE">
        <w:rPr>
          <w:rFonts w:cs="Times New Roman"/>
          <w:sz w:val="24"/>
          <w:szCs w:val="24"/>
          <w:lang w:eastAsia="en-GB"/>
        </w:rPr>
        <w:t>QFracture</w:t>
      </w:r>
      <w:proofErr w:type="spellEnd"/>
      <w:r w:rsidR="003D4319" w:rsidRPr="00D362DE">
        <w:rPr>
          <w:rFonts w:cs="Times New Roman"/>
          <w:sz w:val="24"/>
          <w:szCs w:val="24"/>
          <w:lang w:eastAsia="en-GB"/>
        </w:rPr>
        <w:t xml:space="preserve"> data </w:t>
      </w:r>
      <w:r w:rsidR="003D4319" w:rsidRPr="00591EAB">
        <w:rPr>
          <w:rFonts w:cs="Times New Roman"/>
          <w:sz w:val="24"/>
          <w:szCs w:val="24"/>
          <w:lang w:eastAsia="en-GB"/>
        </w:rPr>
        <w:t>base is 1.9%</w:t>
      </w:r>
      <w:r w:rsidR="003D4319" w:rsidRPr="00591EAB">
        <w:rPr>
          <w:sz w:val="24"/>
          <w:szCs w:val="24"/>
        </w:rPr>
        <w:t xml:space="preserve"> [</w:t>
      </w:r>
      <w:r w:rsidR="00C54300">
        <w:rPr>
          <w:sz w:val="24"/>
          <w:szCs w:val="24"/>
        </w:rPr>
        <w:t>12]</w:t>
      </w:r>
      <w:r w:rsidR="003D4319" w:rsidRPr="00591EAB">
        <w:rPr>
          <w:rFonts w:cs="Times New Roman"/>
          <w:sz w:val="24"/>
          <w:szCs w:val="24"/>
          <w:lang w:eastAsia="en-GB"/>
        </w:rPr>
        <w:t>,</w:t>
      </w:r>
      <w:r w:rsidR="003D4319" w:rsidRPr="00D362DE">
        <w:rPr>
          <w:rFonts w:cs="Times New Roman"/>
          <w:sz w:val="24"/>
          <w:szCs w:val="24"/>
          <w:lang w:eastAsia="en-GB"/>
        </w:rPr>
        <w:t xml:space="preserve"> whereas prior fracture is estimated at 21-45% in women from the UK, depending on </w:t>
      </w:r>
      <w:r w:rsidR="003D4319" w:rsidRPr="00467769">
        <w:rPr>
          <w:rFonts w:cs="Times New Roman"/>
          <w:sz w:val="24"/>
          <w:szCs w:val="24"/>
          <w:lang w:eastAsia="en-GB"/>
        </w:rPr>
        <w:t>age</w:t>
      </w:r>
      <w:r w:rsidR="005161B1" w:rsidRPr="00467769">
        <w:rPr>
          <w:rFonts w:cs="Times New Roman"/>
          <w:sz w:val="24"/>
          <w:szCs w:val="24"/>
          <w:lang w:eastAsia="en-GB"/>
        </w:rPr>
        <w:t xml:space="preserve"> [36]</w:t>
      </w:r>
      <w:r w:rsidR="003D4319" w:rsidRPr="00D362DE">
        <w:rPr>
          <w:rFonts w:cs="Times New Roman"/>
          <w:sz w:val="24"/>
          <w:szCs w:val="24"/>
          <w:lang w:eastAsia="en-GB"/>
        </w:rPr>
        <w:t>.  Of these</w:t>
      </w:r>
      <w:r w:rsidR="00D1714B">
        <w:rPr>
          <w:rFonts w:cs="Times New Roman"/>
          <w:sz w:val="24"/>
          <w:szCs w:val="24"/>
          <w:lang w:eastAsia="en-GB"/>
        </w:rPr>
        <w:t>,</w:t>
      </w:r>
      <w:r w:rsidR="003D4319" w:rsidRPr="00D362DE">
        <w:rPr>
          <w:rFonts w:cs="Times New Roman"/>
          <w:sz w:val="24"/>
          <w:szCs w:val="24"/>
          <w:lang w:eastAsia="en-GB"/>
        </w:rPr>
        <w:t xml:space="preserve"> approximately half will be major fractures.  For a parental history of osteoporosis or hip fracture the prevalence is given at 0.3% in the </w:t>
      </w:r>
      <w:proofErr w:type="spellStart"/>
      <w:r w:rsidR="003D4319" w:rsidRPr="00D362DE">
        <w:rPr>
          <w:rFonts w:cs="Times New Roman"/>
          <w:sz w:val="24"/>
          <w:szCs w:val="24"/>
          <w:lang w:eastAsia="en-GB"/>
        </w:rPr>
        <w:t>QFracture</w:t>
      </w:r>
      <w:proofErr w:type="spellEnd"/>
      <w:r w:rsidR="003D4319" w:rsidRPr="00D362DE">
        <w:rPr>
          <w:rFonts w:cs="Times New Roman"/>
          <w:sz w:val="24"/>
          <w:szCs w:val="24"/>
          <w:lang w:eastAsia="en-GB"/>
        </w:rPr>
        <w:t xml:space="preserve"> data base whereas meta-analysis of prospective studies give</w:t>
      </w:r>
      <w:r w:rsidR="00D362DE" w:rsidRPr="00D362DE">
        <w:rPr>
          <w:rFonts w:cs="Times New Roman"/>
          <w:sz w:val="24"/>
          <w:szCs w:val="24"/>
          <w:lang w:eastAsia="en-GB"/>
        </w:rPr>
        <w:t>s</w:t>
      </w:r>
      <w:r w:rsidR="003D4319" w:rsidRPr="00D362DE">
        <w:rPr>
          <w:rFonts w:cs="Times New Roman"/>
          <w:sz w:val="24"/>
          <w:szCs w:val="24"/>
          <w:lang w:eastAsia="en-GB"/>
        </w:rPr>
        <w:t xml:space="preserve"> a prevalence of parental hip fracture at 13</w:t>
      </w:r>
      <w:r w:rsidR="003D4319" w:rsidRPr="00554D79">
        <w:rPr>
          <w:rFonts w:cs="Times New Roman"/>
          <w:sz w:val="24"/>
          <w:szCs w:val="24"/>
          <w:lang w:eastAsia="en-GB"/>
        </w:rPr>
        <w:t>% [</w:t>
      </w:r>
      <w:r w:rsidR="005161B1">
        <w:rPr>
          <w:rFonts w:cs="Times New Roman"/>
          <w:sz w:val="24"/>
          <w:szCs w:val="24"/>
          <w:lang w:eastAsia="en-GB"/>
        </w:rPr>
        <w:t>15]</w:t>
      </w:r>
      <w:r w:rsidR="003D4319" w:rsidRPr="00554D79">
        <w:rPr>
          <w:rFonts w:cs="Times New Roman"/>
          <w:sz w:val="24"/>
          <w:szCs w:val="24"/>
          <w:lang w:eastAsia="en-GB"/>
        </w:rPr>
        <w:t>.</w:t>
      </w:r>
      <w:r w:rsidR="003D4319" w:rsidRPr="00D362DE">
        <w:rPr>
          <w:rFonts w:cs="Times New Roman"/>
          <w:sz w:val="24"/>
          <w:szCs w:val="24"/>
          <w:lang w:eastAsia="en-GB"/>
        </w:rPr>
        <w:t xml:space="preserve">  </w:t>
      </w:r>
      <w:r w:rsidR="00D362DE" w:rsidRPr="00D362DE">
        <w:rPr>
          <w:rFonts w:cs="Times New Roman"/>
          <w:sz w:val="24"/>
          <w:szCs w:val="24"/>
          <w:lang w:eastAsia="en-GB"/>
        </w:rPr>
        <w:t xml:space="preserve"> </w:t>
      </w:r>
      <w:r w:rsidR="003D4319" w:rsidRPr="00D362DE">
        <w:rPr>
          <w:rFonts w:cs="Times New Roman"/>
          <w:sz w:val="24"/>
          <w:szCs w:val="24"/>
          <w:lang w:eastAsia="en-GB"/>
        </w:rPr>
        <w:t xml:space="preserve">The impact of the inaccuracies is difficult to quantify but is likely to decrease the median of the distribution of 10-year risk in the population. Empirical observation supports this view in that at each tenth of risk category, </w:t>
      </w:r>
      <w:proofErr w:type="spellStart"/>
      <w:r w:rsidR="003D4319" w:rsidRPr="00D362DE">
        <w:rPr>
          <w:rFonts w:cs="Times New Roman"/>
          <w:sz w:val="24"/>
          <w:szCs w:val="24"/>
          <w:lang w:eastAsia="en-GB"/>
        </w:rPr>
        <w:t>QFracture</w:t>
      </w:r>
      <w:proofErr w:type="spellEnd"/>
      <w:r w:rsidR="003D4319" w:rsidRPr="00D362DE">
        <w:rPr>
          <w:rFonts w:cs="Times New Roman"/>
          <w:sz w:val="24"/>
          <w:szCs w:val="24"/>
          <w:lang w:eastAsia="en-GB"/>
        </w:rPr>
        <w:t xml:space="preserve"> risk is lower than FRAX-based </w:t>
      </w:r>
      <w:r w:rsidR="003D4319" w:rsidRPr="002850D8">
        <w:rPr>
          <w:rFonts w:cs="Times New Roman"/>
          <w:sz w:val="24"/>
          <w:szCs w:val="24"/>
          <w:lang w:eastAsia="en-GB"/>
        </w:rPr>
        <w:t>probabilities (see Fig</w:t>
      </w:r>
      <w:r w:rsidR="002850D8" w:rsidRPr="002850D8">
        <w:rPr>
          <w:rFonts w:cs="Times New Roman"/>
          <w:sz w:val="24"/>
          <w:szCs w:val="24"/>
          <w:lang w:eastAsia="en-GB"/>
        </w:rPr>
        <w:t>ure 4</w:t>
      </w:r>
      <w:r w:rsidR="003D4319" w:rsidRPr="002850D8">
        <w:rPr>
          <w:rFonts w:cs="Times New Roman"/>
          <w:sz w:val="24"/>
          <w:szCs w:val="24"/>
          <w:lang w:eastAsia="en-GB"/>
        </w:rPr>
        <w:t>)</w:t>
      </w:r>
      <w:r w:rsidR="003D4319" w:rsidRPr="002850D8">
        <w:rPr>
          <w:rFonts w:cs="Times New Roman"/>
          <w:color w:val="FF0000"/>
          <w:sz w:val="24"/>
          <w:szCs w:val="24"/>
          <w:lang w:eastAsia="en-GB"/>
        </w:rPr>
        <w:t>.</w:t>
      </w:r>
      <w:r w:rsidR="003D4319" w:rsidRPr="00D362DE">
        <w:rPr>
          <w:rFonts w:cs="Times New Roman"/>
          <w:color w:val="FF0000"/>
          <w:sz w:val="24"/>
          <w:szCs w:val="24"/>
          <w:lang w:eastAsia="en-GB"/>
        </w:rPr>
        <w:t xml:space="preserve"> </w:t>
      </w:r>
    </w:p>
    <w:p w14:paraId="1672ACE9" w14:textId="595499DD" w:rsidR="003D4319" w:rsidRPr="00D362DE" w:rsidRDefault="003D4319" w:rsidP="002A584C">
      <w:pPr>
        <w:spacing w:before="100" w:beforeAutospacing="1" w:after="100" w:afterAutospacing="1" w:line="276" w:lineRule="auto"/>
        <w:rPr>
          <w:rFonts w:cs="Times New Roman"/>
          <w:sz w:val="24"/>
          <w:szCs w:val="24"/>
          <w:lang w:eastAsia="en-GB"/>
        </w:rPr>
      </w:pPr>
      <w:r w:rsidRPr="00D362DE">
        <w:rPr>
          <w:rFonts w:cs="Times New Roman"/>
          <w:sz w:val="24"/>
          <w:szCs w:val="24"/>
          <w:lang w:eastAsia="en-GB"/>
        </w:rPr>
        <w:t>The poor and inaccurate capture of clinical risk factors is likely to bias the weights for both hip fracture risk and major fracture risk.  In the case of FRAX</w:t>
      </w:r>
      <w:r w:rsidR="002A584C">
        <w:rPr>
          <w:rFonts w:cs="Times New Roman"/>
          <w:sz w:val="24"/>
          <w:szCs w:val="24"/>
          <w:lang w:eastAsia="en-GB"/>
        </w:rPr>
        <w:t xml:space="preserve"> and </w:t>
      </w:r>
      <w:proofErr w:type="spellStart"/>
      <w:r w:rsidR="002A584C">
        <w:rPr>
          <w:rFonts w:cs="Times New Roman"/>
          <w:sz w:val="24"/>
          <w:szCs w:val="24"/>
          <w:lang w:eastAsia="en-GB"/>
        </w:rPr>
        <w:t>Garvan</w:t>
      </w:r>
      <w:proofErr w:type="spellEnd"/>
      <w:r w:rsidRPr="00D362DE">
        <w:rPr>
          <w:rFonts w:cs="Times New Roman"/>
          <w:sz w:val="24"/>
          <w:szCs w:val="24"/>
          <w:lang w:eastAsia="en-GB"/>
        </w:rPr>
        <w:t xml:space="preserve">, the probability of fracture is approximately doubled with a prior history of fracture consistent </w:t>
      </w:r>
      <w:r w:rsidRPr="00554D79">
        <w:rPr>
          <w:rFonts w:cs="Times New Roman"/>
          <w:sz w:val="24"/>
          <w:szCs w:val="24"/>
          <w:lang w:eastAsia="en-GB"/>
        </w:rPr>
        <w:t>with worldwide observation [</w:t>
      </w:r>
      <w:r w:rsidR="005161B1" w:rsidRPr="00467769">
        <w:rPr>
          <w:rFonts w:cs="Times New Roman"/>
          <w:sz w:val="24"/>
          <w:szCs w:val="24"/>
          <w:lang w:eastAsia="en-GB"/>
        </w:rPr>
        <w:t>13, 37]</w:t>
      </w:r>
      <w:r w:rsidRPr="00554D79">
        <w:rPr>
          <w:rFonts w:cs="Times New Roman"/>
          <w:sz w:val="24"/>
          <w:szCs w:val="24"/>
          <w:lang w:eastAsia="en-GB"/>
        </w:rPr>
        <w:t xml:space="preserve">.  </w:t>
      </w:r>
      <w:r w:rsidR="002A584C" w:rsidRPr="002A584C">
        <w:rPr>
          <w:rFonts w:cs="Times New Roman"/>
          <w:sz w:val="24"/>
          <w:szCs w:val="24"/>
          <w:lang w:eastAsia="en-GB"/>
        </w:rPr>
        <w:t xml:space="preserve">In the case of major fracture incidence, </w:t>
      </w:r>
      <w:proofErr w:type="spellStart"/>
      <w:r w:rsidR="002A584C" w:rsidRPr="002A584C">
        <w:rPr>
          <w:rFonts w:cs="Times New Roman"/>
          <w:sz w:val="24"/>
          <w:szCs w:val="24"/>
          <w:lang w:eastAsia="en-GB"/>
        </w:rPr>
        <w:t>QFracture</w:t>
      </w:r>
      <w:proofErr w:type="spellEnd"/>
      <w:r w:rsidR="002A584C" w:rsidRPr="002A584C">
        <w:rPr>
          <w:rFonts w:cs="Times New Roman"/>
          <w:sz w:val="24"/>
          <w:szCs w:val="24"/>
          <w:lang w:eastAsia="en-GB"/>
        </w:rPr>
        <w:t xml:space="preserve"> determines an increase in risk ratio of approximately only 8%, rather than the expected doubling of risk [</w:t>
      </w:r>
      <w:r w:rsidR="005161B1">
        <w:rPr>
          <w:rFonts w:cs="Times New Roman"/>
          <w:sz w:val="24"/>
          <w:szCs w:val="24"/>
          <w:lang w:eastAsia="en-GB"/>
        </w:rPr>
        <w:t>34]</w:t>
      </w:r>
      <w:r w:rsidR="002A584C" w:rsidRPr="002A584C">
        <w:rPr>
          <w:rFonts w:cs="Times New Roman"/>
          <w:sz w:val="24"/>
          <w:szCs w:val="24"/>
          <w:lang w:eastAsia="en-GB"/>
        </w:rPr>
        <w:t>.</w:t>
      </w:r>
      <w:r w:rsidR="002A584C">
        <w:rPr>
          <w:rFonts w:cs="Times New Roman"/>
          <w:sz w:val="24"/>
          <w:szCs w:val="24"/>
          <w:lang w:eastAsia="en-GB"/>
        </w:rPr>
        <w:t xml:space="preserve"> </w:t>
      </w:r>
      <w:r w:rsidR="00467769">
        <w:rPr>
          <w:rFonts w:cs="Times New Roman"/>
          <w:sz w:val="24"/>
          <w:szCs w:val="24"/>
          <w:lang w:eastAsia="en-GB"/>
        </w:rPr>
        <w:t xml:space="preserve"> </w:t>
      </w:r>
      <w:r w:rsidRPr="00554D79">
        <w:rPr>
          <w:rFonts w:cs="Times New Roman"/>
          <w:sz w:val="24"/>
          <w:szCs w:val="24"/>
          <w:lang w:eastAsia="en-GB"/>
        </w:rPr>
        <w:t>As expected from meta-analysis, the impact of a prior fracture is somewhat greater at younger ages [</w:t>
      </w:r>
      <w:r w:rsidR="005161B1">
        <w:rPr>
          <w:rFonts w:cs="Times New Roman"/>
          <w:sz w:val="24"/>
          <w:szCs w:val="24"/>
          <w:lang w:eastAsia="en-GB"/>
        </w:rPr>
        <w:t xml:space="preserve">13] </w:t>
      </w:r>
      <w:r w:rsidR="002A584C">
        <w:rPr>
          <w:rFonts w:cs="Times New Roman"/>
          <w:sz w:val="24"/>
          <w:szCs w:val="24"/>
          <w:lang w:eastAsia="en-GB"/>
        </w:rPr>
        <w:t>and is accommodated in FRAX</w:t>
      </w:r>
      <w:r w:rsidRPr="00554D79">
        <w:rPr>
          <w:rFonts w:cs="Times New Roman"/>
          <w:sz w:val="24"/>
          <w:szCs w:val="24"/>
          <w:lang w:eastAsia="en-GB"/>
        </w:rPr>
        <w:t>.  In contrast</w:t>
      </w:r>
      <w:r w:rsidRPr="00D362DE">
        <w:rPr>
          <w:rFonts w:cs="Times New Roman"/>
          <w:sz w:val="24"/>
          <w:szCs w:val="24"/>
          <w:lang w:eastAsia="en-GB"/>
        </w:rPr>
        <w:t xml:space="preserve">, the weighting given for a prior fracture as a risk fracture is unrealistic for </w:t>
      </w:r>
      <w:proofErr w:type="spellStart"/>
      <w:r w:rsidRPr="00D362DE">
        <w:rPr>
          <w:rFonts w:cs="Times New Roman"/>
          <w:sz w:val="24"/>
          <w:szCs w:val="24"/>
          <w:lang w:eastAsia="en-GB"/>
        </w:rPr>
        <w:t>QFracture</w:t>
      </w:r>
      <w:proofErr w:type="spellEnd"/>
      <w:r w:rsidR="00D362DE" w:rsidRPr="00D362DE">
        <w:rPr>
          <w:rFonts w:cs="Times New Roman"/>
          <w:sz w:val="24"/>
          <w:szCs w:val="24"/>
          <w:lang w:eastAsia="en-GB"/>
        </w:rPr>
        <w:t xml:space="preserve"> and does not vary with age (the latter, also the case for </w:t>
      </w:r>
      <w:proofErr w:type="spellStart"/>
      <w:r w:rsidR="00D362DE" w:rsidRPr="00D362DE">
        <w:rPr>
          <w:rFonts w:cs="Times New Roman"/>
          <w:sz w:val="24"/>
          <w:szCs w:val="24"/>
          <w:lang w:eastAsia="en-GB"/>
        </w:rPr>
        <w:t>Garvan</w:t>
      </w:r>
      <w:proofErr w:type="spellEnd"/>
      <w:r w:rsidR="00D362DE" w:rsidRPr="00D362DE">
        <w:rPr>
          <w:rFonts w:cs="Times New Roman"/>
          <w:sz w:val="24"/>
          <w:szCs w:val="24"/>
          <w:lang w:eastAsia="en-GB"/>
        </w:rPr>
        <w:t>)</w:t>
      </w:r>
      <w:r w:rsidRPr="00D362DE">
        <w:rPr>
          <w:rFonts w:cs="Times New Roman"/>
          <w:sz w:val="24"/>
          <w:szCs w:val="24"/>
          <w:lang w:eastAsia="en-GB"/>
        </w:rPr>
        <w:t xml:space="preserve">.  </w:t>
      </w:r>
    </w:p>
    <w:p w14:paraId="547442B0" w14:textId="4BE6BF9D" w:rsidR="003D4319" w:rsidRPr="003D4319" w:rsidRDefault="00D362DE" w:rsidP="002A584C">
      <w:pPr>
        <w:spacing w:before="100" w:beforeAutospacing="1" w:after="100" w:afterAutospacing="1" w:line="276" w:lineRule="auto"/>
        <w:rPr>
          <w:rFonts w:cs="Times New Roman"/>
          <w:sz w:val="24"/>
          <w:szCs w:val="24"/>
          <w:lang w:eastAsia="en-GB"/>
        </w:rPr>
      </w:pPr>
      <w:r w:rsidRPr="001B5717">
        <w:rPr>
          <w:rFonts w:cs="Times New Roman"/>
          <w:sz w:val="24"/>
          <w:szCs w:val="24"/>
          <w:lang w:eastAsia="en-GB"/>
        </w:rPr>
        <w:t>A further problem arises in considering the pattern of fractures with age.</w:t>
      </w:r>
      <w:r w:rsidR="003D4319" w:rsidRPr="003D4319">
        <w:rPr>
          <w:rFonts w:cs="Times New Roman"/>
          <w:sz w:val="24"/>
          <w:szCs w:val="24"/>
          <w:lang w:eastAsia="en-GB"/>
        </w:rPr>
        <w:t xml:space="preserve">  As expected, FRAX probabilities of a major fracture exceed that of hip fracture at all ages.  In the case of </w:t>
      </w:r>
      <w:proofErr w:type="spellStart"/>
      <w:r w:rsidR="003D4319" w:rsidRPr="003D4319">
        <w:rPr>
          <w:rFonts w:cs="Times New Roman"/>
          <w:sz w:val="24"/>
          <w:szCs w:val="24"/>
          <w:lang w:eastAsia="en-GB"/>
        </w:rPr>
        <w:t>QFracture</w:t>
      </w:r>
      <w:proofErr w:type="spellEnd"/>
      <w:r w:rsidR="003D4319" w:rsidRPr="003D4319">
        <w:rPr>
          <w:rFonts w:cs="Times New Roman"/>
          <w:sz w:val="24"/>
          <w:szCs w:val="24"/>
          <w:lang w:eastAsia="en-GB"/>
        </w:rPr>
        <w:t xml:space="preserve"> the incidence of hip fracture and the incidence of major fracture are identical from the age of 85 years. This implies that no fractures of the spine, </w:t>
      </w:r>
      <w:proofErr w:type="spellStart"/>
      <w:r w:rsidR="003D4319" w:rsidRPr="003D4319">
        <w:rPr>
          <w:rFonts w:cs="Times New Roman"/>
          <w:sz w:val="24"/>
          <w:szCs w:val="24"/>
          <w:lang w:eastAsia="en-GB"/>
        </w:rPr>
        <w:t>humerus</w:t>
      </w:r>
      <w:proofErr w:type="spellEnd"/>
      <w:r w:rsidR="003D4319" w:rsidRPr="003D4319">
        <w:rPr>
          <w:rFonts w:cs="Times New Roman"/>
          <w:sz w:val="24"/>
          <w:szCs w:val="24"/>
          <w:lang w:eastAsia="en-GB"/>
        </w:rPr>
        <w:t xml:space="preserve"> or distal forearm arise in women from the age of 85 years. Again, this contrasts with empirical observation [</w:t>
      </w:r>
      <w:r w:rsidR="005161B1">
        <w:rPr>
          <w:rFonts w:cs="Times New Roman"/>
          <w:sz w:val="24"/>
          <w:szCs w:val="24"/>
          <w:lang w:eastAsia="en-GB"/>
        </w:rPr>
        <w:t>26</w:t>
      </w:r>
      <w:r w:rsidR="005161B1" w:rsidRPr="00467769">
        <w:rPr>
          <w:rFonts w:cs="Times New Roman"/>
          <w:sz w:val="24"/>
          <w:szCs w:val="24"/>
          <w:lang w:eastAsia="en-GB"/>
        </w:rPr>
        <w:t xml:space="preserve">, 38, </w:t>
      </w:r>
      <w:proofErr w:type="gramStart"/>
      <w:r w:rsidR="005161B1" w:rsidRPr="00467769">
        <w:rPr>
          <w:rFonts w:cs="Times New Roman"/>
          <w:sz w:val="24"/>
          <w:szCs w:val="24"/>
          <w:lang w:eastAsia="en-GB"/>
        </w:rPr>
        <w:t>39</w:t>
      </w:r>
      <w:proofErr w:type="gramEnd"/>
      <w:r w:rsidR="005161B1" w:rsidRPr="00467769">
        <w:rPr>
          <w:rFonts w:cs="Times New Roman"/>
          <w:sz w:val="24"/>
          <w:szCs w:val="24"/>
          <w:lang w:eastAsia="en-GB"/>
        </w:rPr>
        <w:t>]</w:t>
      </w:r>
      <w:r w:rsidR="003D4319" w:rsidRPr="00467769">
        <w:rPr>
          <w:rFonts w:cs="Times New Roman"/>
          <w:sz w:val="24"/>
          <w:szCs w:val="24"/>
          <w:lang w:eastAsia="en-GB"/>
        </w:rPr>
        <w:t>.</w:t>
      </w:r>
      <w:r w:rsidR="003D4319" w:rsidRPr="003D4319">
        <w:rPr>
          <w:rFonts w:cs="Times New Roman"/>
          <w:sz w:val="24"/>
          <w:szCs w:val="24"/>
          <w:lang w:eastAsia="en-GB"/>
        </w:rPr>
        <w:t xml:space="preserve">  Indeed, fragility fractures other than hip fracture account for 64-67% of fractures in women and men (respectively) aged 85-89 years [</w:t>
      </w:r>
      <w:r w:rsidR="005161B1">
        <w:rPr>
          <w:rFonts w:cs="Times New Roman"/>
          <w:sz w:val="24"/>
          <w:szCs w:val="24"/>
          <w:lang w:eastAsia="en-GB"/>
        </w:rPr>
        <w:t>26]</w:t>
      </w:r>
      <w:r w:rsidR="003D4319" w:rsidRPr="003D4319">
        <w:rPr>
          <w:rFonts w:cs="Times New Roman"/>
          <w:sz w:val="24"/>
          <w:szCs w:val="24"/>
          <w:lang w:eastAsia="en-GB"/>
        </w:rPr>
        <w:t xml:space="preserve">. </w:t>
      </w:r>
    </w:p>
    <w:p w14:paraId="596F7975" w14:textId="78F8A9E7" w:rsidR="003D4319" w:rsidRDefault="003D4319" w:rsidP="002A584C">
      <w:pPr>
        <w:spacing w:before="100" w:beforeAutospacing="1" w:after="100" w:afterAutospacing="1" w:line="276" w:lineRule="auto"/>
        <w:rPr>
          <w:rFonts w:cs="Times New Roman"/>
          <w:sz w:val="24"/>
          <w:szCs w:val="24"/>
          <w:lang w:eastAsia="en-GB"/>
        </w:rPr>
      </w:pPr>
      <w:r w:rsidRPr="003D4319">
        <w:rPr>
          <w:rFonts w:cs="Times New Roman"/>
          <w:sz w:val="24"/>
          <w:szCs w:val="24"/>
          <w:lang w:eastAsia="en-GB"/>
        </w:rPr>
        <w:t xml:space="preserve">These considerations indicate that little credence can be afforded for estimates of major fracture using the </w:t>
      </w:r>
      <w:proofErr w:type="spellStart"/>
      <w:r w:rsidRPr="003D4319">
        <w:rPr>
          <w:rFonts w:cs="Times New Roman"/>
          <w:sz w:val="24"/>
          <w:szCs w:val="24"/>
          <w:lang w:eastAsia="en-GB"/>
        </w:rPr>
        <w:t>QFracture</w:t>
      </w:r>
      <w:proofErr w:type="spellEnd"/>
      <w:r w:rsidRPr="003D4319">
        <w:rPr>
          <w:rFonts w:cs="Times New Roman"/>
          <w:sz w:val="24"/>
          <w:szCs w:val="24"/>
          <w:lang w:eastAsia="en-GB"/>
        </w:rPr>
        <w:t xml:space="preserve"> algorithm.  They further indicate that the weights given to several of the clinical risk factors are inappropriate.  Both factors result in a large underestimation of major fracture risk by </w:t>
      </w:r>
      <w:proofErr w:type="spellStart"/>
      <w:r w:rsidRPr="003D4319">
        <w:rPr>
          <w:rFonts w:cs="Times New Roman"/>
          <w:sz w:val="24"/>
          <w:szCs w:val="24"/>
          <w:lang w:eastAsia="en-GB"/>
        </w:rPr>
        <w:t>QFracture</w:t>
      </w:r>
      <w:proofErr w:type="spellEnd"/>
      <w:r w:rsidRPr="003D4319">
        <w:rPr>
          <w:rFonts w:cs="Times New Roman"/>
          <w:sz w:val="24"/>
          <w:szCs w:val="24"/>
          <w:lang w:eastAsia="en-GB"/>
        </w:rPr>
        <w:t>.</w:t>
      </w:r>
      <w:r w:rsidR="001B5717">
        <w:rPr>
          <w:rFonts w:cs="Times New Roman"/>
          <w:sz w:val="24"/>
          <w:szCs w:val="24"/>
          <w:lang w:eastAsia="en-GB"/>
        </w:rPr>
        <w:t xml:space="preserve"> </w:t>
      </w:r>
      <w:r w:rsidRPr="003D4319">
        <w:rPr>
          <w:rFonts w:cs="Times New Roman"/>
          <w:sz w:val="24"/>
          <w:szCs w:val="24"/>
          <w:lang w:eastAsia="en-GB"/>
        </w:rPr>
        <w:t xml:space="preserve"> In contrast, </w:t>
      </w:r>
      <w:r w:rsidR="001B5717">
        <w:rPr>
          <w:rFonts w:cs="Times New Roman"/>
          <w:sz w:val="24"/>
          <w:szCs w:val="24"/>
          <w:lang w:eastAsia="en-GB"/>
        </w:rPr>
        <w:t xml:space="preserve">the prevalence and weight of clinical risk </w:t>
      </w:r>
      <w:proofErr w:type="gramStart"/>
      <w:r w:rsidR="001B5717">
        <w:rPr>
          <w:rFonts w:cs="Times New Roman"/>
          <w:sz w:val="24"/>
          <w:szCs w:val="24"/>
          <w:lang w:eastAsia="en-GB"/>
        </w:rPr>
        <w:t>factors,</w:t>
      </w:r>
      <w:proofErr w:type="gramEnd"/>
      <w:r w:rsidR="001B5717">
        <w:rPr>
          <w:rFonts w:cs="Times New Roman"/>
          <w:sz w:val="24"/>
          <w:szCs w:val="24"/>
          <w:lang w:eastAsia="en-GB"/>
        </w:rPr>
        <w:t xml:space="preserve"> and </w:t>
      </w:r>
      <w:r w:rsidRPr="003D4319">
        <w:rPr>
          <w:rFonts w:cs="Times New Roman"/>
          <w:sz w:val="24"/>
          <w:szCs w:val="24"/>
          <w:lang w:eastAsia="en-GB"/>
        </w:rPr>
        <w:t xml:space="preserve">the </w:t>
      </w:r>
      <w:r w:rsidR="001B5717">
        <w:rPr>
          <w:rFonts w:cs="Times New Roman"/>
          <w:sz w:val="24"/>
          <w:szCs w:val="24"/>
          <w:lang w:eastAsia="en-GB"/>
        </w:rPr>
        <w:t xml:space="preserve">pattern of </w:t>
      </w:r>
      <w:r w:rsidR="001B5717" w:rsidRPr="00777BB6">
        <w:rPr>
          <w:rFonts w:cs="Times New Roman"/>
          <w:sz w:val="24"/>
          <w:szCs w:val="24"/>
          <w:lang w:eastAsia="en-GB"/>
        </w:rPr>
        <w:t>fractures with age</w:t>
      </w:r>
      <w:r w:rsidRPr="003D4319">
        <w:rPr>
          <w:rFonts w:cs="Times New Roman"/>
          <w:sz w:val="24"/>
          <w:szCs w:val="24"/>
          <w:lang w:eastAsia="en-GB"/>
        </w:rPr>
        <w:t xml:space="preserve"> of major fractures has been extensively validated with the use of FRAX [</w:t>
      </w:r>
      <w:r w:rsidR="005161B1">
        <w:rPr>
          <w:rFonts w:cs="Times New Roman"/>
          <w:sz w:val="24"/>
          <w:szCs w:val="24"/>
          <w:lang w:eastAsia="en-GB"/>
        </w:rPr>
        <w:t>26, 38-41</w:t>
      </w:r>
      <w:r w:rsidR="00467769">
        <w:rPr>
          <w:rFonts w:cs="Times New Roman"/>
          <w:sz w:val="24"/>
          <w:szCs w:val="24"/>
          <w:lang w:eastAsia="en-GB"/>
        </w:rPr>
        <w:t>]</w:t>
      </w:r>
      <w:r w:rsidRPr="003D4319">
        <w:rPr>
          <w:rFonts w:cs="Times New Roman"/>
          <w:sz w:val="24"/>
          <w:szCs w:val="24"/>
          <w:lang w:eastAsia="en-GB"/>
        </w:rPr>
        <w:t xml:space="preserve">.    In summary, FRAX is well calibrated whereas </w:t>
      </w:r>
      <w:proofErr w:type="spellStart"/>
      <w:r w:rsidRPr="003D4319">
        <w:rPr>
          <w:rFonts w:cs="Times New Roman"/>
          <w:sz w:val="24"/>
          <w:szCs w:val="24"/>
          <w:lang w:eastAsia="en-GB"/>
        </w:rPr>
        <w:t>QFracture</w:t>
      </w:r>
      <w:proofErr w:type="spellEnd"/>
      <w:r w:rsidRPr="003D4319">
        <w:rPr>
          <w:rFonts w:cs="Times New Roman"/>
          <w:sz w:val="24"/>
          <w:szCs w:val="24"/>
          <w:lang w:eastAsia="en-GB"/>
        </w:rPr>
        <w:t xml:space="preserve"> under-predicts </w:t>
      </w:r>
      <w:r w:rsidR="002A584C">
        <w:rPr>
          <w:rFonts w:cs="Times New Roman"/>
          <w:sz w:val="24"/>
          <w:szCs w:val="24"/>
          <w:lang w:eastAsia="en-GB"/>
        </w:rPr>
        <w:t xml:space="preserve">the </w:t>
      </w:r>
      <w:r w:rsidRPr="003D4319">
        <w:rPr>
          <w:rFonts w:cs="Times New Roman"/>
          <w:sz w:val="24"/>
          <w:szCs w:val="24"/>
          <w:lang w:eastAsia="en-GB"/>
        </w:rPr>
        <w:t xml:space="preserve">risk </w:t>
      </w:r>
      <w:r w:rsidR="002A584C">
        <w:rPr>
          <w:rFonts w:cs="Times New Roman"/>
          <w:sz w:val="24"/>
          <w:szCs w:val="24"/>
          <w:lang w:eastAsia="en-GB"/>
        </w:rPr>
        <w:t xml:space="preserve">of major fractures </w:t>
      </w:r>
      <w:r w:rsidRPr="003D4319">
        <w:rPr>
          <w:rFonts w:cs="Times New Roman"/>
          <w:sz w:val="24"/>
          <w:szCs w:val="24"/>
          <w:lang w:eastAsia="en-GB"/>
        </w:rPr>
        <w:t>at all levels of risk.</w:t>
      </w:r>
    </w:p>
    <w:p w14:paraId="3A2F186E" w14:textId="1C638FEF" w:rsidR="00B433F0" w:rsidRDefault="00B433F0" w:rsidP="002A584C">
      <w:pPr>
        <w:spacing w:before="100" w:beforeAutospacing="1" w:after="100" w:afterAutospacing="1" w:line="276" w:lineRule="auto"/>
        <w:rPr>
          <w:rFonts w:cs="Times New Roman"/>
          <w:b/>
          <w:sz w:val="24"/>
          <w:szCs w:val="24"/>
          <w:lang w:eastAsia="en-GB"/>
        </w:rPr>
      </w:pPr>
      <w:r w:rsidRPr="00B433F0">
        <w:rPr>
          <w:rFonts w:cs="Times New Roman"/>
          <w:b/>
          <w:sz w:val="24"/>
          <w:szCs w:val="24"/>
          <w:lang w:eastAsia="en-GB"/>
        </w:rPr>
        <w:t>Conclusion</w:t>
      </w:r>
    </w:p>
    <w:p w14:paraId="36D269B0" w14:textId="7783F4B6" w:rsidR="00B433F0" w:rsidRDefault="00B433F0" w:rsidP="00B433F0">
      <w:pPr>
        <w:keepNext/>
        <w:spacing w:after="120" w:line="276" w:lineRule="auto"/>
        <w:outlineLvl w:val="1"/>
        <w:rPr>
          <w:rFonts w:eastAsia="Times New Roman" w:cs="Times New Roman"/>
          <w:bCs/>
          <w:iCs/>
          <w:sz w:val="24"/>
          <w:szCs w:val="24"/>
        </w:rPr>
      </w:pPr>
      <w:r>
        <w:rPr>
          <w:rFonts w:eastAsia="Times New Roman" w:cs="Times New Roman"/>
          <w:bCs/>
          <w:iCs/>
          <w:sz w:val="24"/>
          <w:szCs w:val="24"/>
        </w:rPr>
        <w:lastRenderedPageBreak/>
        <w:t>There are important differences between</w:t>
      </w:r>
      <w:r w:rsidRPr="009B71B3">
        <w:rPr>
          <w:rFonts w:eastAsia="Times New Roman" w:cs="Times New Roman"/>
          <w:bCs/>
          <w:iCs/>
          <w:sz w:val="24"/>
          <w:szCs w:val="24"/>
        </w:rPr>
        <w:t xml:space="preserve"> the FRAX tool, the </w:t>
      </w:r>
      <w:proofErr w:type="spellStart"/>
      <w:r w:rsidRPr="009B71B3">
        <w:rPr>
          <w:rFonts w:eastAsia="Times New Roman" w:cs="Times New Roman"/>
          <w:bCs/>
          <w:iCs/>
          <w:sz w:val="24"/>
          <w:szCs w:val="24"/>
        </w:rPr>
        <w:t>Garvan</w:t>
      </w:r>
      <w:proofErr w:type="spellEnd"/>
      <w:r w:rsidRPr="009B71B3">
        <w:rPr>
          <w:rFonts w:eastAsia="Times New Roman" w:cs="Times New Roman"/>
          <w:bCs/>
          <w:iCs/>
          <w:sz w:val="24"/>
          <w:szCs w:val="24"/>
        </w:rPr>
        <w:t xml:space="preserve"> fracture risk calculator and </w:t>
      </w:r>
      <w:proofErr w:type="spellStart"/>
      <w:r w:rsidRPr="009B71B3">
        <w:rPr>
          <w:rFonts w:eastAsia="Times New Roman" w:cs="Times New Roman"/>
          <w:bCs/>
          <w:iCs/>
          <w:sz w:val="24"/>
          <w:szCs w:val="24"/>
        </w:rPr>
        <w:t>QFracture</w:t>
      </w:r>
      <w:proofErr w:type="spellEnd"/>
      <w:r w:rsidRPr="009B71B3">
        <w:rPr>
          <w:rFonts w:eastAsia="Times New Roman" w:cs="Times New Roman"/>
          <w:bCs/>
          <w:iCs/>
          <w:sz w:val="24"/>
          <w:szCs w:val="24"/>
        </w:rPr>
        <w:t>®</w:t>
      </w:r>
      <w:r>
        <w:rPr>
          <w:rFonts w:eastAsia="Times New Roman" w:cs="Times New Roman"/>
          <w:bCs/>
          <w:iCs/>
          <w:sz w:val="24"/>
          <w:szCs w:val="24"/>
        </w:rPr>
        <w:t xml:space="preserve"> that make their comparison problematic.  Differences in the input variables, output and model construct give rise to marked differences in the computed risks from each calculator.  Reasons for the differences include the derivation of fracture probability (FRAX) rather than incidence (</w:t>
      </w:r>
      <w:proofErr w:type="spellStart"/>
      <w:r>
        <w:rPr>
          <w:rFonts w:eastAsia="Times New Roman" w:cs="Times New Roman"/>
          <w:bCs/>
          <w:iCs/>
          <w:sz w:val="24"/>
          <w:szCs w:val="24"/>
        </w:rPr>
        <w:t>Garvan</w:t>
      </w:r>
      <w:proofErr w:type="spellEnd"/>
      <w:r>
        <w:rPr>
          <w:rFonts w:eastAsia="Times New Roman" w:cs="Times New Roman"/>
          <w:bCs/>
          <w:iCs/>
          <w:sz w:val="24"/>
          <w:szCs w:val="24"/>
        </w:rPr>
        <w:t xml:space="preserve">, </w:t>
      </w:r>
      <w:proofErr w:type="spellStart"/>
      <w:r>
        <w:rPr>
          <w:rFonts w:eastAsia="Times New Roman" w:cs="Times New Roman"/>
          <w:bCs/>
          <w:iCs/>
          <w:sz w:val="24"/>
          <w:szCs w:val="24"/>
        </w:rPr>
        <w:t>QFracture</w:t>
      </w:r>
      <w:proofErr w:type="spellEnd"/>
      <w:r>
        <w:rPr>
          <w:rFonts w:eastAsia="Times New Roman" w:cs="Times New Roman"/>
          <w:bCs/>
          <w:iCs/>
          <w:sz w:val="24"/>
          <w:szCs w:val="24"/>
        </w:rPr>
        <w:t>), poor calibration (</w:t>
      </w:r>
      <w:proofErr w:type="spellStart"/>
      <w:r>
        <w:rPr>
          <w:rFonts w:eastAsia="Times New Roman" w:cs="Times New Roman"/>
          <w:bCs/>
          <w:iCs/>
          <w:sz w:val="24"/>
          <w:szCs w:val="24"/>
        </w:rPr>
        <w:t>Garvan</w:t>
      </w:r>
      <w:proofErr w:type="spellEnd"/>
      <w:r>
        <w:rPr>
          <w:rFonts w:eastAsia="Times New Roman" w:cs="Times New Roman"/>
          <w:bCs/>
          <w:iCs/>
          <w:sz w:val="24"/>
          <w:szCs w:val="24"/>
        </w:rPr>
        <w:t>) and inappropriate source information (</w:t>
      </w:r>
      <w:proofErr w:type="spellStart"/>
      <w:r>
        <w:rPr>
          <w:rFonts w:eastAsia="Times New Roman" w:cs="Times New Roman"/>
          <w:bCs/>
          <w:iCs/>
          <w:sz w:val="24"/>
          <w:szCs w:val="24"/>
        </w:rPr>
        <w:t>QFracture</w:t>
      </w:r>
      <w:proofErr w:type="spellEnd"/>
      <w:r>
        <w:rPr>
          <w:rFonts w:eastAsia="Times New Roman" w:cs="Times New Roman"/>
          <w:bCs/>
          <w:iCs/>
          <w:sz w:val="24"/>
          <w:szCs w:val="24"/>
        </w:rPr>
        <w:t xml:space="preserve">).  </w:t>
      </w:r>
    </w:p>
    <w:p w14:paraId="08A0D04B" w14:textId="77777777" w:rsidR="00B433F0" w:rsidRPr="00B433F0" w:rsidRDefault="00B433F0" w:rsidP="002A584C">
      <w:pPr>
        <w:spacing w:before="100" w:beforeAutospacing="1" w:after="100" w:afterAutospacing="1" w:line="276" w:lineRule="auto"/>
        <w:rPr>
          <w:rFonts w:cs="Times New Roman"/>
          <w:b/>
          <w:sz w:val="24"/>
          <w:szCs w:val="24"/>
          <w:lang w:eastAsia="en-GB"/>
        </w:rPr>
      </w:pPr>
    </w:p>
    <w:p w14:paraId="17E39382" w14:textId="41E845CD" w:rsidR="00CA7F3B" w:rsidRPr="008D0623" w:rsidRDefault="00442F40">
      <w:pPr>
        <w:rPr>
          <w:b/>
          <w:sz w:val="24"/>
          <w:szCs w:val="24"/>
        </w:rPr>
      </w:pPr>
      <w:r w:rsidRPr="008D0623">
        <w:rPr>
          <w:b/>
          <w:sz w:val="24"/>
          <w:szCs w:val="24"/>
        </w:rPr>
        <w:t>Acknowledgements</w:t>
      </w:r>
    </w:p>
    <w:p w14:paraId="179369FD" w14:textId="3AC659AC" w:rsidR="002850D8" w:rsidRPr="002850D8" w:rsidRDefault="002850D8">
      <w:r w:rsidRPr="002850D8">
        <w:t>Some content</w:t>
      </w:r>
      <w:r w:rsidR="00B433F0">
        <w:t xml:space="preserve"> in this review</w:t>
      </w:r>
      <w:r w:rsidRPr="002850D8">
        <w:t xml:space="preserve"> is taken from</w:t>
      </w:r>
      <w:r w:rsidR="00B76A92" w:rsidRPr="00B76A92">
        <w:rPr>
          <w:sz w:val="20"/>
          <w:szCs w:val="20"/>
        </w:rPr>
        <w:t xml:space="preserve"> </w:t>
      </w:r>
      <w:r w:rsidR="00B76A92" w:rsidRPr="00B76A92">
        <w:t>Kanis JA, et al (201</w:t>
      </w:r>
      <w:r w:rsidR="00B76A92">
        <w:t>6</w:t>
      </w:r>
      <w:r w:rsidR="00B76A92" w:rsidRPr="00B76A92">
        <w:t xml:space="preserve">) </w:t>
      </w:r>
      <w:proofErr w:type="spellStart"/>
      <w:r w:rsidR="00B76A92" w:rsidRPr="00B76A92">
        <w:t>Calcif</w:t>
      </w:r>
      <w:proofErr w:type="spellEnd"/>
      <w:r w:rsidR="00B76A92" w:rsidRPr="00B76A92">
        <w:t xml:space="preserve"> Tissue </w:t>
      </w:r>
      <w:proofErr w:type="spellStart"/>
      <w:proofErr w:type="gramStart"/>
      <w:r w:rsidR="00B76A92" w:rsidRPr="00B76A92">
        <w:t>Int</w:t>
      </w:r>
      <w:proofErr w:type="spellEnd"/>
      <w:r w:rsidR="00B76A92" w:rsidRPr="00B76A92">
        <w:t xml:space="preserve"> </w:t>
      </w:r>
      <w:r w:rsidR="00B76A92">
        <w:t xml:space="preserve"> </w:t>
      </w:r>
      <w:r w:rsidR="00B76A92" w:rsidRPr="00B76A92">
        <w:t>98</w:t>
      </w:r>
      <w:proofErr w:type="gramEnd"/>
      <w:r w:rsidR="00B76A92" w:rsidRPr="00B76A92">
        <w:t>:</w:t>
      </w:r>
      <w:r w:rsidR="00B76A92">
        <w:t xml:space="preserve"> </w:t>
      </w:r>
      <w:r w:rsidR="00B76A92" w:rsidRPr="00B76A92">
        <w:t>417-25</w:t>
      </w:r>
      <w:r w:rsidR="00B76A92">
        <w:t xml:space="preserve"> </w:t>
      </w:r>
      <w:r w:rsidR="00B76A92" w:rsidRPr="00B76A92">
        <w:rPr>
          <w:iCs/>
        </w:rPr>
        <w:t>with kind permission</w:t>
      </w:r>
      <w:r w:rsidR="00B76A92" w:rsidRPr="00B76A92">
        <w:rPr>
          <w:bCs/>
          <w:lang w:val="sv-SE"/>
        </w:rPr>
        <w:t xml:space="preserve"> </w:t>
      </w:r>
      <w:r w:rsidR="00B76A92" w:rsidRPr="00B76A92">
        <w:rPr>
          <w:bCs/>
          <w:iCs/>
          <w:lang w:val="sv-SE"/>
        </w:rPr>
        <w:t xml:space="preserve">from Springer </w:t>
      </w:r>
      <w:proofErr w:type="spellStart"/>
      <w:r w:rsidR="00B76A92" w:rsidRPr="00B76A92">
        <w:rPr>
          <w:bCs/>
          <w:iCs/>
        </w:rPr>
        <w:t>Science+Business</w:t>
      </w:r>
      <w:proofErr w:type="spellEnd"/>
      <w:r w:rsidR="00B76A92" w:rsidRPr="00B76A92">
        <w:rPr>
          <w:bCs/>
          <w:iCs/>
        </w:rPr>
        <w:t xml:space="preserve"> Media B.V</w:t>
      </w:r>
      <w:r w:rsidR="00B76A92">
        <w:rPr>
          <w:bCs/>
          <w:iCs/>
        </w:rPr>
        <w:t>.</w:t>
      </w:r>
    </w:p>
    <w:p w14:paraId="3B19167D" w14:textId="4C808D41" w:rsidR="00BC1BC7" w:rsidRPr="008D0623" w:rsidRDefault="00BC1BC7">
      <w:pPr>
        <w:rPr>
          <w:b/>
          <w:sz w:val="24"/>
          <w:szCs w:val="24"/>
        </w:rPr>
      </w:pPr>
      <w:r w:rsidRPr="008D0623">
        <w:rPr>
          <w:b/>
          <w:sz w:val="24"/>
          <w:szCs w:val="24"/>
        </w:rPr>
        <w:t>Competing Interests</w:t>
      </w:r>
    </w:p>
    <w:p w14:paraId="3EE643DA" w14:textId="5877C8F8" w:rsidR="00455071" w:rsidRPr="00455071" w:rsidRDefault="00455071" w:rsidP="00455071">
      <w:pPr>
        <w:spacing w:line="276" w:lineRule="auto"/>
        <w:rPr>
          <w:color w:val="000000"/>
        </w:rPr>
      </w:pPr>
      <w:r w:rsidRPr="00455071">
        <w:rPr>
          <w:color w:val="000000"/>
        </w:rPr>
        <w:t xml:space="preserve">Professor Kanis led the team that developed FRAX as director of the WHO Collaborating Centre for Metabolic Bone Diseases; he has no financial interest in FRAX. Professors McCloskey, Oden, Harvey and Dr Johansson are members of the FRAX team. Professors Kanis, Harvey and McCloskey are members of the advisory body the National Osteoporosis Guideline Group. </w:t>
      </w:r>
      <w:r w:rsidR="00B433F0" w:rsidRPr="00B433F0">
        <w:rPr>
          <w:color w:val="000000"/>
        </w:rPr>
        <w:t>Professor Leslie led the team that developed the Canadian FRAX tool and co-led the Osteoporosis Canada guidelines that endorsed the use of FRAX.</w:t>
      </w:r>
    </w:p>
    <w:p w14:paraId="5B99625A" w14:textId="77777777" w:rsidR="00AF4CBC" w:rsidRDefault="00AF4CBC">
      <w:pPr>
        <w:rPr>
          <w:b/>
        </w:rPr>
      </w:pPr>
    </w:p>
    <w:p w14:paraId="265EFCC0" w14:textId="6800F99E" w:rsidR="00AF4CBC" w:rsidRDefault="00AF4CBC">
      <w:pPr>
        <w:rPr>
          <w:b/>
          <w:sz w:val="24"/>
          <w:szCs w:val="24"/>
        </w:rPr>
      </w:pPr>
      <w:r w:rsidRPr="00AF4CBC">
        <w:rPr>
          <w:b/>
          <w:sz w:val="24"/>
          <w:szCs w:val="24"/>
        </w:rPr>
        <w:t>References</w:t>
      </w:r>
    </w:p>
    <w:p w14:paraId="2EC43DA6" w14:textId="4B4DE21D" w:rsidR="001A4BEA" w:rsidRDefault="001A4BEA" w:rsidP="00B76A92">
      <w:pPr>
        <w:autoSpaceDE w:val="0"/>
        <w:autoSpaceDN w:val="0"/>
        <w:adjustRightInd w:val="0"/>
        <w:spacing w:line="276" w:lineRule="auto"/>
        <w:ind w:left="567" w:hanging="567"/>
        <w:rPr>
          <w:sz w:val="20"/>
          <w:szCs w:val="20"/>
        </w:rPr>
      </w:pPr>
      <w:r>
        <w:rPr>
          <w:sz w:val="20"/>
          <w:szCs w:val="20"/>
        </w:rPr>
        <w:t>1.</w:t>
      </w:r>
      <w:r>
        <w:rPr>
          <w:sz w:val="20"/>
          <w:szCs w:val="20"/>
        </w:rPr>
        <w:tab/>
      </w:r>
      <w:proofErr w:type="spellStart"/>
      <w:r w:rsidRPr="00AF4CBC">
        <w:rPr>
          <w:sz w:val="20"/>
          <w:szCs w:val="20"/>
        </w:rPr>
        <w:t>Hernlund</w:t>
      </w:r>
      <w:proofErr w:type="spellEnd"/>
      <w:r w:rsidRPr="00AF4CBC">
        <w:rPr>
          <w:sz w:val="20"/>
          <w:szCs w:val="20"/>
        </w:rPr>
        <w:t xml:space="preserve"> E, Svedbom A, </w:t>
      </w:r>
      <w:proofErr w:type="spellStart"/>
      <w:r w:rsidRPr="00AF4CBC">
        <w:rPr>
          <w:sz w:val="20"/>
          <w:szCs w:val="20"/>
        </w:rPr>
        <w:t>Ivergård</w:t>
      </w:r>
      <w:proofErr w:type="spellEnd"/>
      <w:r w:rsidRPr="00AF4CBC">
        <w:rPr>
          <w:sz w:val="20"/>
          <w:szCs w:val="20"/>
        </w:rPr>
        <w:t xml:space="preserve"> M</w:t>
      </w:r>
      <w:r>
        <w:rPr>
          <w:sz w:val="20"/>
          <w:szCs w:val="20"/>
        </w:rPr>
        <w:t>,</w:t>
      </w:r>
      <w:r w:rsidRPr="00AF4CBC">
        <w:rPr>
          <w:sz w:val="20"/>
          <w:szCs w:val="20"/>
        </w:rPr>
        <w:t xml:space="preserve"> et al</w:t>
      </w:r>
      <w:r>
        <w:rPr>
          <w:sz w:val="20"/>
          <w:szCs w:val="20"/>
        </w:rPr>
        <w:t>.</w:t>
      </w:r>
      <w:r w:rsidRPr="00AF4CBC">
        <w:rPr>
          <w:sz w:val="20"/>
          <w:szCs w:val="20"/>
        </w:rPr>
        <w:t xml:space="preserve"> 2013 Osteoporosis in the European Union: Medical Management, Epidemiology and Economic Burden. A report prepared in collaboration with the International Osteoporosis Foundation (IOF) and the European Federation of Pharmaceutical Industry Associations (EFPIA). Arch Osteoporos 8: 136.</w:t>
      </w:r>
    </w:p>
    <w:p w14:paraId="397DC8D8" w14:textId="2F10514F" w:rsidR="001A4BEA" w:rsidRDefault="001A4BEA" w:rsidP="00B76A92">
      <w:pPr>
        <w:spacing w:line="276" w:lineRule="auto"/>
        <w:ind w:left="567" w:hanging="567"/>
        <w:rPr>
          <w:sz w:val="20"/>
          <w:szCs w:val="20"/>
        </w:rPr>
      </w:pPr>
      <w:r w:rsidRPr="00DF0397">
        <w:rPr>
          <w:sz w:val="20"/>
          <w:szCs w:val="20"/>
        </w:rPr>
        <w:t>2.</w:t>
      </w:r>
      <w:r w:rsidRPr="00DF0397">
        <w:rPr>
          <w:sz w:val="20"/>
          <w:szCs w:val="20"/>
        </w:rPr>
        <w:tab/>
        <w:t xml:space="preserve">Kanis JA, </w:t>
      </w:r>
      <w:proofErr w:type="spellStart"/>
      <w:r w:rsidRPr="00DF0397">
        <w:rPr>
          <w:sz w:val="20"/>
          <w:szCs w:val="20"/>
        </w:rPr>
        <w:t>Borgström</w:t>
      </w:r>
      <w:proofErr w:type="spellEnd"/>
      <w:r w:rsidRPr="00DF0397">
        <w:rPr>
          <w:sz w:val="20"/>
          <w:szCs w:val="20"/>
        </w:rPr>
        <w:t xml:space="preserve"> F, Compston J, et al.  </w:t>
      </w:r>
      <w:r w:rsidRPr="001A4BEA">
        <w:rPr>
          <w:sz w:val="20"/>
          <w:szCs w:val="20"/>
        </w:rPr>
        <w:t>2013 SCOPE: a</w:t>
      </w:r>
      <w:r w:rsidRPr="00AF4CBC">
        <w:rPr>
          <w:sz w:val="20"/>
          <w:szCs w:val="20"/>
        </w:rPr>
        <w:t xml:space="preserve"> scorecard for osteoporosis in Europe. Arch </w:t>
      </w:r>
      <w:r w:rsidR="00467769" w:rsidRPr="00AF4CBC">
        <w:rPr>
          <w:sz w:val="20"/>
          <w:szCs w:val="20"/>
        </w:rPr>
        <w:t>Osteoporos 8:144</w:t>
      </w:r>
      <w:r w:rsidRPr="00AF4CBC">
        <w:rPr>
          <w:sz w:val="20"/>
          <w:szCs w:val="20"/>
        </w:rPr>
        <w:t>.</w:t>
      </w:r>
    </w:p>
    <w:p w14:paraId="298EE182" w14:textId="49D99C01" w:rsidR="001A4BEA" w:rsidRDefault="001A4BEA" w:rsidP="00B76A92">
      <w:pPr>
        <w:autoSpaceDE w:val="0"/>
        <w:autoSpaceDN w:val="0"/>
        <w:adjustRightInd w:val="0"/>
        <w:spacing w:line="276" w:lineRule="auto"/>
        <w:ind w:left="567" w:hanging="567"/>
        <w:rPr>
          <w:iCs/>
          <w:sz w:val="20"/>
          <w:szCs w:val="20"/>
        </w:rPr>
      </w:pPr>
      <w:r w:rsidRPr="001A4BEA">
        <w:rPr>
          <w:iCs/>
          <w:sz w:val="20"/>
          <w:szCs w:val="20"/>
        </w:rPr>
        <w:t>3.</w:t>
      </w:r>
      <w:r w:rsidRPr="001A4BEA">
        <w:rPr>
          <w:iCs/>
          <w:sz w:val="20"/>
          <w:szCs w:val="20"/>
        </w:rPr>
        <w:tab/>
        <w:t xml:space="preserve">Elliot-Gibson V, </w:t>
      </w:r>
      <w:proofErr w:type="spellStart"/>
      <w:r w:rsidRPr="001A4BEA">
        <w:rPr>
          <w:iCs/>
          <w:sz w:val="20"/>
          <w:szCs w:val="20"/>
        </w:rPr>
        <w:t>Bogoch</w:t>
      </w:r>
      <w:proofErr w:type="spellEnd"/>
      <w:r w:rsidRPr="001A4BEA">
        <w:rPr>
          <w:iCs/>
          <w:sz w:val="20"/>
          <w:szCs w:val="20"/>
        </w:rPr>
        <w:t xml:space="preserve"> ER, Jamal SA, Beaton DE. </w:t>
      </w:r>
      <w:r w:rsidRPr="00DB1D7C">
        <w:rPr>
          <w:iCs/>
          <w:sz w:val="20"/>
          <w:szCs w:val="20"/>
        </w:rPr>
        <w:t xml:space="preserve">2004 Practice patterns in the diagnosis and treatment of osteoporosis after a fragility fracture: a systematic review. Osteoporos </w:t>
      </w:r>
      <w:proofErr w:type="spellStart"/>
      <w:r w:rsidRPr="00DB1D7C">
        <w:rPr>
          <w:iCs/>
          <w:sz w:val="20"/>
          <w:szCs w:val="20"/>
        </w:rPr>
        <w:t>Int</w:t>
      </w:r>
      <w:proofErr w:type="spellEnd"/>
      <w:r w:rsidRPr="00DB1D7C">
        <w:rPr>
          <w:iCs/>
          <w:sz w:val="20"/>
          <w:szCs w:val="20"/>
        </w:rPr>
        <w:t xml:space="preserve"> 15:767-778</w:t>
      </w:r>
      <w:r>
        <w:rPr>
          <w:iCs/>
          <w:sz w:val="20"/>
          <w:szCs w:val="20"/>
        </w:rPr>
        <w:t>.</w:t>
      </w:r>
    </w:p>
    <w:p w14:paraId="696E064D" w14:textId="57CBE7FA" w:rsidR="001A4BEA" w:rsidRDefault="001A4BEA" w:rsidP="00B76A92">
      <w:pPr>
        <w:autoSpaceDE w:val="0"/>
        <w:autoSpaceDN w:val="0"/>
        <w:adjustRightInd w:val="0"/>
        <w:spacing w:line="276" w:lineRule="auto"/>
        <w:ind w:left="567" w:hanging="567"/>
        <w:rPr>
          <w:sz w:val="20"/>
          <w:szCs w:val="20"/>
        </w:rPr>
      </w:pPr>
      <w:r>
        <w:rPr>
          <w:sz w:val="20"/>
          <w:szCs w:val="20"/>
        </w:rPr>
        <w:t>4.</w:t>
      </w:r>
      <w:r>
        <w:rPr>
          <w:sz w:val="20"/>
          <w:szCs w:val="20"/>
        </w:rPr>
        <w:tab/>
      </w:r>
      <w:r w:rsidRPr="001A4BEA">
        <w:rPr>
          <w:sz w:val="20"/>
          <w:szCs w:val="20"/>
        </w:rPr>
        <w:t xml:space="preserve">Kanis JA. </w:t>
      </w:r>
      <w:proofErr w:type="gramStart"/>
      <w:r w:rsidRPr="001A4BEA">
        <w:rPr>
          <w:sz w:val="20"/>
          <w:szCs w:val="20"/>
        </w:rPr>
        <w:t>2002 Diagnosis</w:t>
      </w:r>
      <w:r w:rsidRPr="00DB1D7C">
        <w:rPr>
          <w:sz w:val="20"/>
          <w:szCs w:val="20"/>
        </w:rPr>
        <w:t xml:space="preserve"> of osteoporosis and assessment of fracture risk.</w:t>
      </w:r>
      <w:proofErr w:type="gramEnd"/>
      <w:r w:rsidRPr="00DB1D7C">
        <w:rPr>
          <w:sz w:val="20"/>
          <w:szCs w:val="20"/>
        </w:rPr>
        <w:t xml:space="preserve"> Lancet 359: 1929-36.</w:t>
      </w:r>
    </w:p>
    <w:p w14:paraId="3CF49C27" w14:textId="3B9247D8" w:rsidR="001A4BEA" w:rsidRPr="00AF4CBC" w:rsidRDefault="001A4BEA" w:rsidP="00B76A92">
      <w:pPr>
        <w:autoSpaceDE w:val="0"/>
        <w:autoSpaceDN w:val="0"/>
        <w:adjustRightInd w:val="0"/>
        <w:spacing w:line="276" w:lineRule="auto"/>
        <w:ind w:left="567" w:hanging="567"/>
        <w:rPr>
          <w:sz w:val="20"/>
          <w:szCs w:val="20"/>
        </w:rPr>
      </w:pPr>
      <w:r>
        <w:rPr>
          <w:sz w:val="20"/>
          <w:szCs w:val="20"/>
        </w:rPr>
        <w:t>5.</w:t>
      </w:r>
      <w:r>
        <w:rPr>
          <w:sz w:val="20"/>
          <w:szCs w:val="20"/>
        </w:rPr>
        <w:tab/>
      </w:r>
      <w:r w:rsidRPr="00AF4CBC">
        <w:rPr>
          <w:sz w:val="20"/>
          <w:szCs w:val="20"/>
        </w:rPr>
        <w:t xml:space="preserve">Hui SL, </w:t>
      </w:r>
      <w:proofErr w:type="spellStart"/>
      <w:r w:rsidRPr="00AF4CBC">
        <w:rPr>
          <w:sz w:val="20"/>
          <w:szCs w:val="20"/>
        </w:rPr>
        <w:t>Slemenda</w:t>
      </w:r>
      <w:proofErr w:type="spellEnd"/>
      <w:r w:rsidRPr="00AF4CBC">
        <w:rPr>
          <w:sz w:val="20"/>
          <w:szCs w:val="20"/>
        </w:rPr>
        <w:t xml:space="preserve"> CW, Johnston CC, Jr</w:t>
      </w:r>
      <w:r>
        <w:rPr>
          <w:sz w:val="20"/>
          <w:szCs w:val="20"/>
        </w:rPr>
        <w:t>.</w:t>
      </w:r>
      <w:r w:rsidRPr="00AF4CBC">
        <w:rPr>
          <w:sz w:val="20"/>
          <w:szCs w:val="20"/>
        </w:rPr>
        <w:t xml:space="preserve"> 1988 Age and bone mass as predictors of fracture in a prospective study. J </w:t>
      </w:r>
      <w:proofErr w:type="spellStart"/>
      <w:r w:rsidRPr="00AF4CBC">
        <w:rPr>
          <w:sz w:val="20"/>
          <w:szCs w:val="20"/>
        </w:rPr>
        <w:t>Clin</w:t>
      </w:r>
      <w:proofErr w:type="spellEnd"/>
      <w:r w:rsidRPr="00AF4CBC">
        <w:rPr>
          <w:sz w:val="20"/>
          <w:szCs w:val="20"/>
        </w:rPr>
        <w:t xml:space="preserve"> Invest 81: 1804-9.</w:t>
      </w:r>
    </w:p>
    <w:p w14:paraId="0F175864" w14:textId="1AAD3ACF" w:rsidR="001A4BEA" w:rsidRDefault="001A4BEA" w:rsidP="00B76A92">
      <w:pPr>
        <w:autoSpaceDE w:val="0"/>
        <w:autoSpaceDN w:val="0"/>
        <w:adjustRightInd w:val="0"/>
        <w:spacing w:line="276" w:lineRule="auto"/>
        <w:ind w:left="567" w:hanging="567"/>
        <w:rPr>
          <w:sz w:val="20"/>
          <w:szCs w:val="20"/>
        </w:rPr>
      </w:pPr>
      <w:r>
        <w:rPr>
          <w:sz w:val="20"/>
          <w:szCs w:val="20"/>
        </w:rPr>
        <w:t>6.</w:t>
      </w:r>
      <w:r>
        <w:rPr>
          <w:sz w:val="20"/>
          <w:szCs w:val="20"/>
        </w:rPr>
        <w:tab/>
      </w:r>
      <w:r w:rsidRPr="00AF4CBC">
        <w:rPr>
          <w:sz w:val="20"/>
          <w:szCs w:val="20"/>
        </w:rPr>
        <w:t xml:space="preserve">Kanis JA, </w:t>
      </w:r>
      <w:proofErr w:type="spellStart"/>
      <w:r w:rsidRPr="00AF4CBC">
        <w:rPr>
          <w:sz w:val="20"/>
          <w:szCs w:val="20"/>
        </w:rPr>
        <w:t>Johnell</w:t>
      </w:r>
      <w:proofErr w:type="spellEnd"/>
      <w:r w:rsidRPr="00AF4CBC">
        <w:rPr>
          <w:sz w:val="20"/>
          <w:szCs w:val="20"/>
        </w:rPr>
        <w:t xml:space="preserve"> O, Oden A, Dawson A, De </w:t>
      </w:r>
      <w:proofErr w:type="spellStart"/>
      <w:r w:rsidRPr="00AF4CBC">
        <w:rPr>
          <w:sz w:val="20"/>
          <w:szCs w:val="20"/>
        </w:rPr>
        <w:t>Laet</w:t>
      </w:r>
      <w:proofErr w:type="spellEnd"/>
      <w:r w:rsidRPr="00AF4CBC">
        <w:rPr>
          <w:sz w:val="20"/>
          <w:szCs w:val="20"/>
        </w:rPr>
        <w:t xml:space="preserve"> C, </w:t>
      </w:r>
      <w:proofErr w:type="spellStart"/>
      <w:r w:rsidRPr="001A4BEA">
        <w:rPr>
          <w:sz w:val="20"/>
          <w:szCs w:val="20"/>
        </w:rPr>
        <w:t>Jonsson</w:t>
      </w:r>
      <w:proofErr w:type="spellEnd"/>
      <w:r w:rsidRPr="001A4BEA">
        <w:rPr>
          <w:sz w:val="20"/>
          <w:szCs w:val="20"/>
        </w:rPr>
        <w:t xml:space="preserve"> B. 2001 Ten year</w:t>
      </w:r>
      <w:r w:rsidRPr="00AF4CBC">
        <w:rPr>
          <w:sz w:val="20"/>
          <w:szCs w:val="20"/>
        </w:rPr>
        <w:t xml:space="preserve"> probabilities of osteoporotic fractures according to BMD and diagnostic thresholds. Osteoporos </w:t>
      </w:r>
      <w:proofErr w:type="spellStart"/>
      <w:r w:rsidRPr="00AF4CBC">
        <w:rPr>
          <w:sz w:val="20"/>
          <w:szCs w:val="20"/>
        </w:rPr>
        <w:t>Int</w:t>
      </w:r>
      <w:proofErr w:type="spellEnd"/>
      <w:r w:rsidRPr="00AF4CBC">
        <w:rPr>
          <w:sz w:val="20"/>
          <w:szCs w:val="20"/>
        </w:rPr>
        <w:t xml:space="preserve"> 12; 989-995</w:t>
      </w:r>
      <w:r>
        <w:rPr>
          <w:sz w:val="20"/>
          <w:szCs w:val="20"/>
        </w:rPr>
        <w:t>.</w:t>
      </w:r>
    </w:p>
    <w:p w14:paraId="0DA6AE1A" w14:textId="70166CCF" w:rsidR="001A4BEA" w:rsidRDefault="001A4BEA" w:rsidP="00B76A92">
      <w:pPr>
        <w:autoSpaceDE w:val="0"/>
        <w:autoSpaceDN w:val="0"/>
        <w:adjustRightInd w:val="0"/>
        <w:spacing w:line="276" w:lineRule="auto"/>
        <w:ind w:left="567" w:hanging="567"/>
        <w:rPr>
          <w:sz w:val="20"/>
          <w:szCs w:val="20"/>
        </w:rPr>
      </w:pPr>
      <w:r>
        <w:rPr>
          <w:sz w:val="20"/>
          <w:szCs w:val="20"/>
        </w:rPr>
        <w:t>7.</w:t>
      </w:r>
      <w:r>
        <w:rPr>
          <w:sz w:val="20"/>
          <w:szCs w:val="20"/>
        </w:rPr>
        <w:tab/>
      </w:r>
      <w:r w:rsidRPr="00BC6D07">
        <w:rPr>
          <w:sz w:val="20"/>
          <w:szCs w:val="20"/>
        </w:rPr>
        <w:t>Kanis JA, on behalf of the World Health Organization Scientific Group</w:t>
      </w:r>
      <w:r w:rsidRPr="001A4BEA">
        <w:rPr>
          <w:sz w:val="20"/>
          <w:szCs w:val="20"/>
        </w:rPr>
        <w:t xml:space="preserve">. </w:t>
      </w:r>
      <w:proofErr w:type="gramStart"/>
      <w:r w:rsidRPr="001A4BEA">
        <w:rPr>
          <w:sz w:val="20"/>
          <w:szCs w:val="20"/>
        </w:rPr>
        <w:t>2007 Assessment</w:t>
      </w:r>
      <w:r w:rsidRPr="00BC6D07">
        <w:rPr>
          <w:sz w:val="20"/>
          <w:szCs w:val="20"/>
        </w:rPr>
        <w:t xml:space="preserve"> of osteoporosis at the primary health-care level.</w:t>
      </w:r>
      <w:proofErr w:type="gramEnd"/>
      <w:r w:rsidRPr="00BC6D07">
        <w:rPr>
          <w:sz w:val="20"/>
          <w:szCs w:val="20"/>
        </w:rPr>
        <w:t xml:space="preserve"> </w:t>
      </w:r>
      <w:proofErr w:type="gramStart"/>
      <w:r w:rsidRPr="00BC6D07">
        <w:rPr>
          <w:sz w:val="20"/>
          <w:szCs w:val="20"/>
        </w:rPr>
        <w:t>Technical Report.</w:t>
      </w:r>
      <w:proofErr w:type="gramEnd"/>
      <w:r w:rsidRPr="00BC6D07">
        <w:rPr>
          <w:sz w:val="20"/>
          <w:szCs w:val="20"/>
        </w:rPr>
        <w:t xml:space="preserve"> </w:t>
      </w:r>
      <w:proofErr w:type="gramStart"/>
      <w:r w:rsidRPr="00BC6D07">
        <w:rPr>
          <w:sz w:val="20"/>
          <w:szCs w:val="20"/>
        </w:rPr>
        <w:t>World Health Organization Collaborating Centre for Metabolic Bone Diseases, University of Sheffield, UK.</w:t>
      </w:r>
      <w:proofErr w:type="gramEnd"/>
      <w:r w:rsidRPr="00BC6D07">
        <w:rPr>
          <w:sz w:val="20"/>
          <w:szCs w:val="20"/>
        </w:rPr>
        <w:t xml:space="preserve"> Accessed </w:t>
      </w:r>
      <w:hyperlink r:id="rId14" w:history="1">
        <w:r w:rsidRPr="0009055A">
          <w:rPr>
            <w:rStyle w:val="Hyperlink"/>
            <w:sz w:val="20"/>
            <w:szCs w:val="20"/>
          </w:rPr>
          <w:t>https://www.shef.ac.uk/FRAX/reference.aspx 14 July 2015</w:t>
        </w:r>
      </w:hyperlink>
    </w:p>
    <w:p w14:paraId="4E71D0A5" w14:textId="6B40097C" w:rsidR="001A4BEA" w:rsidRDefault="001A4BEA" w:rsidP="00B76A92">
      <w:pPr>
        <w:autoSpaceDE w:val="0"/>
        <w:autoSpaceDN w:val="0"/>
        <w:adjustRightInd w:val="0"/>
        <w:spacing w:line="276" w:lineRule="auto"/>
        <w:ind w:left="567" w:hanging="567"/>
        <w:rPr>
          <w:sz w:val="20"/>
          <w:szCs w:val="20"/>
        </w:rPr>
      </w:pPr>
      <w:r>
        <w:rPr>
          <w:sz w:val="20"/>
          <w:szCs w:val="20"/>
        </w:rPr>
        <w:lastRenderedPageBreak/>
        <w:t>8.</w:t>
      </w:r>
      <w:r>
        <w:rPr>
          <w:sz w:val="20"/>
          <w:szCs w:val="20"/>
        </w:rPr>
        <w:tab/>
      </w:r>
      <w:r w:rsidRPr="00BC6D07">
        <w:rPr>
          <w:sz w:val="20"/>
          <w:szCs w:val="20"/>
        </w:rPr>
        <w:t xml:space="preserve">Kanis JA McCloskey EV, Johansson H, Cooper C, Rizzoli R, Reginster J-Y   on behalf of the Scientific Advisory Board of the European Society for Clinical and Economic Aspects of Osteoporosis and Osteoarthritis (ESCEO)  and the Committee of Scientific Advisors of the International Osteoporosis Foundation ( </w:t>
      </w:r>
      <w:r w:rsidRPr="001A4BEA">
        <w:rPr>
          <w:sz w:val="20"/>
          <w:szCs w:val="20"/>
        </w:rPr>
        <w:t xml:space="preserve">IOF). </w:t>
      </w:r>
      <w:proofErr w:type="gramStart"/>
      <w:r w:rsidRPr="001A4BEA">
        <w:rPr>
          <w:sz w:val="20"/>
          <w:szCs w:val="20"/>
        </w:rPr>
        <w:t>2013 European</w:t>
      </w:r>
      <w:r w:rsidRPr="00BC6D07">
        <w:rPr>
          <w:sz w:val="20"/>
          <w:szCs w:val="20"/>
        </w:rPr>
        <w:t xml:space="preserve"> guidance for the diagnosis and management of osteoporosis in postmenopausal women.</w:t>
      </w:r>
      <w:proofErr w:type="gramEnd"/>
      <w:r w:rsidRPr="00BC6D07">
        <w:rPr>
          <w:sz w:val="20"/>
          <w:szCs w:val="20"/>
        </w:rPr>
        <w:t xml:space="preserve">  Osteoporos Int. 24: 23-57.</w:t>
      </w:r>
    </w:p>
    <w:p w14:paraId="7F5E226E" w14:textId="1BE80B57" w:rsidR="001A4BEA" w:rsidRDefault="001A4BEA" w:rsidP="00B76A92">
      <w:pPr>
        <w:spacing w:line="276" w:lineRule="auto"/>
        <w:ind w:left="567" w:hanging="567"/>
        <w:rPr>
          <w:sz w:val="20"/>
          <w:szCs w:val="20"/>
        </w:rPr>
      </w:pPr>
      <w:r>
        <w:rPr>
          <w:sz w:val="20"/>
          <w:szCs w:val="20"/>
        </w:rPr>
        <w:t>9.</w:t>
      </w:r>
      <w:r>
        <w:rPr>
          <w:sz w:val="20"/>
          <w:szCs w:val="20"/>
        </w:rPr>
        <w:tab/>
      </w:r>
      <w:r w:rsidRPr="007468DB">
        <w:rPr>
          <w:sz w:val="20"/>
          <w:szCs w:val="20"/>
        </w:rPr>
        <w:t xml:space="preserve">Nguyen ND, Frost SA, </w:t>
      </w:r>
      <w:proofErr w:type="spellStart"/>
      <w:r w:rsidRPr="007468DB">
        <w:rPr>
          <w:sz w:val="20"/>
          <w:szCs w:val="20"/>
        </w:rPr>
        <w:t>Center</w:t>
      </w:r>
      <w:proofErr w:type="spellEnd"/>
      <w:r w:rsidRPr="007468DB">
        <w:rPr>
          <w:sz w:val="20"/>
          <w:szCs w:val="20"/>
        </w:rPr>
        <w:t xml:space="preserve"> JR, </w:t>
      </w:r>
      <w:proofErr w:type="spellStart"/>
      <w:r w:rsidRPr="007468DB">
        <w:rPr>
          <w:sz w:val="20"/>
          <w:szCs w:val="20"/>
        </w:rPr>
        <w:t>Eisman</w:t>
      </w:r>
      <w:proofErr w:type="spellEnd"/>
      <w:r w:rsidRPr="007468DB">
        <w:rPr>
          <w:sz w:val="20"/>
          <w:szCs w:val="20"/>
        </w:rPr>
        <w:t xml:space="preserve"> JA, Nguyen TV</w:t>
      </w:r>
      <w:r>
        <w:rPr>
          <w:sz w:val="20"/>
          <w:szCs w:val="20"/>
        </w:rPr>
        <w:t>.</w:t>
      </w:r>
      <w:r w:rsidRPr="007468DB">
        <w:rPr>
          <w:sz w:val="20"/>
          <w:szCs w:val="20"/>
        </w:rPr>
        <w:t xml:space="preserve"> </w:t>
      </w:r>
      <w:proofErr w:type="gramStart"/>
      <w:r w:rsidRPr="007468DB">
        <w:rPr>
          <w:sz w:val="20"/>
          <w:szCs w:val="20"/>
        </w:rPr>
        <w:t>2008 Development of prognostic nomograms for individualizing 5-year and 10-year fracture risks.</w:t>
      </w:r>
      <w:proofErr w:type="gramEnd"/>
      <w:r w:rsidRPr="007468DB">
        <w:rPr>
          <w:sz w:val="20"/>
          <w:szCs w:val="20"/>
        </w:rPr>
        <w:t xml:space="preserve"> Osteoporos </w:t>
      </w:r>
      <w:proofErr w:type="spellStart"/>
      <w:r w:rsidRPr="007468DB">
        <w:rPr>
          <w:sz w:val="20"/>
          <w:szCs w:val="20"/>
        </w:rPr>
        <w:t>Int</w:t>
      </w:r>
      <w:proofErr w:type="spellEnd"/>
      <w:r w:rsidRPr="007468DB">
        <w:rPr>
          <w:sz w:val="20"/>
          <w:szCs w:val="20"/>
        </w:rPr>
        <w:t xml:space="preserve"> 19</w:t>
      </w:r>
      <w:r w:rsidRPr="007468DB">
        <w:rPr>
          <w:b/>
          <w:bCs/>
          <w:sz w:val="20"/>
          <w:szCs w:val="20"/>
        </w:rPr>
        <w:t>:</w:t>
      </w:r>
      <w:r w:rsidRPr="007468DB">
        <w:rPr>
          <w:sz w:val="20"/>
          <w:szCs w:val="20"/>
        </w:rPr>
        <w:t>1431-44.</w:t>
      </w:r>
    </w:p>
    <w:p w14:paraId="595BC3A8" w14:textId="77777777" w:rsidR="001A4BEA" w:rsidRDefault="001A4BEA" w:rsidP="00B76A92">
      <w:pPr>
        <w:spacing w:line="276" w:lineRule="auto"/>
        <w:ind w:left="567" w:hanging="567"/>
        <w:rPr>
          <w:sz w:val="20"/>
          <w:szCs w:val="20"/>
        </w:rPr>
      </w:pPr>
      <w:r>
        <w:rPr>
          <w:sz w:val="20"/>
          <w:szCs w:val="20"/>
        </w:rPr>
        <w:t>10.</w:t>
      </w:r>
      <w:r>
        <w:rPr>
          <w:sz w:val="20"/>
          <w:szCs w:val="20"/>
        </w:rPr>
        <w:tab/>
      </w:r>
      <w:r w:rsidRPr="00B64AF0">
        <w:rPr>
          <w:sz w:val="20"/>
          <w:szCs w:val="20"/>
        </w:rPr>
        <w:t xml:space="preserve">Nguyen TV1, </w:t>
      </w:r>
      <w:proofErr w:type="spellStart"/>
      <w:r w:rsidRPr="00B64AF0">
        <w:rPr>
          <w:sz w:val="20"/>
          <w:szCs w:val="20"/>
        </w:rPr>
        <w:t>Center</w:t>
      </w:r>
      <w:proofErr w:type="spellEnd"/>
      <w:r w:rsidRPr="00B64AF0">
        <w:rPr>
          <w:sz w:val="20"/>
          <w:szCs w:val="20"/>
        </w:rPr>
        <w:t xml:space="preserve"> JR, </w:t>
      </w:r>
      <w:proofErr w:type="spellStart"/>
      <w:r w:rsidRPr="00B64AF0">
        <w:rPr>
          <w:sz w:val="20"/>
          <w:szCs w:val="20"/>
        </w:rPr>
        <w:t>Eisman</w:t>
      </w:r>
      <w:proofErr w:type="spellEnd"/>
      <w:r w:rsidRPr="00B64AF0">
        <w:rPr>
          <w:sz w:val="20"/>
          <w:szCs w:val="20"/>
        </w:rPr>
        <w:t xml:space="preserve"> JA. </w:t>
      </w:r>
      <w:r>
        <w:rPr>
          <w:sz w:val="20"/>
          <w:szCs w:val="20"/>
        </w:rPr>
        <w:t>2013</w:t>
      </w:r>
      <w:r w:rsidRPr="00B64AF0">
        <w:rPr>
          <w:sz w:val="20"/>
          <w:szCs w:val="20"/>
        </w:rPr>
        <w:t>. Individualized fracture risk assessment: progresses and challenges</w:t>
      </w:r>
      <w:r>
        <w:rPr>
          <w:sz w:val="20"/>
          <w:szCs w:val="20"/>
        </w:rPr>
        <w:t xml:space="preserve">. </w:t>
      </w:r>
      <w:proofErr w:type="spellStart"/>
      <w:r w:rsidRPr="00B64AF0">
        <w:rPr>
          <w:sz w:val="20"/>
          <w:szCs w:val="20"/>
        </w:rPr>
        <w:t>Curr</w:t>
      </w:r>
      <w:proofErr w:type="spellEnd"/>
      <w:r w:rsidRPr="00B64AF0">
        <w:rPr>
          <w:sz w:val="20"/>
          <w:szCs w:val="20"/>
        </w:rPr>
        <w:t xml:space="preserve"> </w:t>
      </w:r>
      <w:proofErr w:type="spellStart"/>
      <w:r w:rsidRPr="00B64AF0">
        <w:rPr>
          <w:sz w:val="20"/>
          <w:szCs w:val="20"/>
        </w:rPr>
        <w:t>Opin</w:t>
      </w:r>
      <w:proofErr w:type="spellEnd"/>
      <w:r w:rsidRPr="00B64AF0">
        <w:rPr>
          <w:sz w:val="20"/>
          <w:szCs w:val="20"/>
        </w:rPr>
        <w:t xml:space="preserve"> </w:t>
      </w:r>
      <w:proofErr w:type="spellStart"/>
      <w:r w:rsidRPr="00B64AF0">
        <w:rPr>
          <w:sz w:val="20"/>
          <w:szCs w:val="20"/>
        </w:rPr>
        <w:t>Rheumatol</w:t>
      </w:r>
      <w:proofErr w:type="spellEnd"/>
      <w:r>
        <w:rPr>
          <w:sz w:val="20"/>
          <w:szCs w:val="20"/>
        </w:rPr>
        <w:t xml:space="preserve"> </w:t>
      </w:r>
      <w:r w:rsidRPr="00B64AF0">
        <w:rPr>
          <w:sz w:val="20"/>
          <w:szCs w:val="20"/>
        </w:rPr>
        <w:t>25:</w:t>
      </w:r>
      <w:r>
        <w:rPr>
          <w:sz w:val="20"/>
          <w:szCs w:val="20"/>
        </w:rPr>
        <w:t xml:space="preserve"> </w:t>
      </w:r>
      <w:r w:rsidRPr="00B64AF0">
        <w:rPr>
          <w:sz w:val="20"/>
          <w:szCs w:val="20"/>
        </w:rPr>
        <w:t xml:space="preserve">532-41. </w:t>
      </w:r>
    </w:p>
    <w:p w14:paraId="306DDAE0" w14:textId="295EB1E8" w:rsidR="001A4BEA" w:rsidRDefault="001A4BEA" w:rsidP="00B76A92">
      <w:pPr>
        <w:autoSpaceDE w:val="0"/>
        <w:autoSpaceDN w:val="0"/>
        <w:adjustRightInd w:val="0"/>
        <w:spacing w:line="276" w:lineRule="auto"/>
        <w:ind w:left="567" w:hanging="567"/>
        <w:rPr>
          <w:sz w:val="20"/>
          <w:szCs w:val="20"/>
        </w:rPr>
      </w:pPr>
      <w:r>
        <w:rPr>
          <w:sz w:val="20"/>
          <w:szCs w:val="20"/>
        </w:rPr>
        <w:t>11.</w:t>
      </w:r>
      <w:r>
        <w:rPr>
          <w:sz w:val="20"/>
          <w:szCs w:val="20"/>
        </w:rPr>
        <w:tab/>
      </w:r>
      <w:proofErr w:type="spellStart"/>
      <w:r w:rsidRPr="007468DB">
        <w:rPr>
          <w:sz w:val="20"/>
          <w:szCs w:val="20"/>
        </w:rPr>
        <w:t>Hippisley</w:t>
      </w:r>
      <w:proofErr w:type="spellEnd"/>
      <w:r w:rsidRPr="007468DB">
        <w:rPr>
          <w:sz w:val="20"/>
          <w:szCs w:val="20"/>
        </w:rPr>
        <w:t xml:space="preserve">-Cox J, </w:t>
      </w:r>
      <w:proofErr w:type="spellStart"/>
      <w:r w:rsidRPr="007468DB">
        <w:rPr>
          <w:sz w:val="20"/>
          <w:szCs w:val="20"/>
        </w:rPr>
        <w:t>Coupland</w:t>
      </w:r>
      <w:proofErr w:type="spellEnd"/>
      <w:r w:rsidRPr="007468DB">
        <w:rPr>
          <w:sz w:val="20"/>
          <w:szCs w:val="20"/>
        </w:rPr>
        <w:t xml:space="preserve"> C</w:t>
      </w:r>
      <w:r>
        <w:rPr>
          <w:sz w:val="20"/>
          <w:szCs w:val="20"/>
        </w:rPr>
        <w:t>.</w:t>
      </w:r>
      <w:r w:rsidRPr="007468DB">
        <w:rPr>
          <w:sz w:val="20"/>
          <w:szCs w:val="20"/>
        </w:rPr>
        <w:t xml:space="preserve"> 2009 Predicting risk of osteoporotic fracture in men and women in England and Wales: prospective derivation and validation of </w:t>
      </w:r>
      <w:proofErr w:type="spellStart"/>
      <w:r w:rsidRPr="007468DB">
        <w:rPr>
          <w:sz w:val="20"/>
          <w:szCs w:val="20"/>
        </w:rPr>
        <w:t>QFractures</w:t>
      </w:r>
      <w:proofErr w:type="spellEnd"/>
      <w:r w:rsidRPr="007468DB">
        <w:rPr>
          <w:sz w:val="20"/>
          <w:szCs w:val="20"/>
        </w:rPr>
        <w:t xml:space="preserve"> Scores. Br Med J 339: b4229</w:t>
      </w:r>
      <w:r>
        <w:rPr>
          <w:sz w:val="20"/>
          <w:szCs w:val="20"/>
        </w:rPr>
        <w:t>.</w:t>
      </w:r>
    </w:p>
    <w:p w14:paraId="01728ADC" w14:textId="61DF2B34" w:rsidR="001A4BEA" w:rsidRDefault="001A4BEA" w:rsidP="00B76A92">
      <w:pPr>
        <w:autoSpaceDE w:val="0"/>
        <w:autoSpaceDN w:val="0"/>
        <w:adjustRightInd w:val="0"/>
        <w:spacing w:line="276" w:lineRule="auto"/>
        <w:ind w:left="567" w:hanging="567"/>
        <w:rPr>
          <w:sz w:val="20"/>
          <w:szCs w:val="20"/>
        </w:rPr>
      </w:pPr>
      <w:r>
        <w:rPr>
          <w:sz w:val="20"/>
          <w:szCs w:val="20"/>
        </w:rPr>
        <w:t>12.</w:t>
      </w:r>
      <w:r>
        <w:rPr>
          <w:sz w:val="20"/>
          <w:szCs w:val="20"/>
        </w:rPr>
        <w:tab/>
      </w:r>
      <w:proofErr w:type="spellStart"/>
      <w:r w:rsidRPr="00591EAB">
        <w:rPr>
          <w:sz w:val="20"/>
          <w:szCs w:val="20"/>
        </w:rPr>
        <w:t>Hippisley</w:t>
      </w:r>
      <w:proofErr w:type="spellEnd"/>
      <w:r w:rsidRPr="00591EAB">
        <w:rPr>
          <w:sz w:val="20"/>
          <w:szCs w:val="20"/>
        </w:rPr>
        <w:t xml:space="preserve">-Cox J, </w:t>
      </w:r>
      <w:proofErr w:type="spellStart"/>
      <w:r w:rsidRPr="00591EAB">
        <w:rPr>
          <w:sz w:val="20"/>
          <w:szCs w:val="20"/>
        </w:rPr>
        <w:t>Coupland</w:t>
      </w:r>
      <w:proofErr w:type="spellEnd"/>
      <w:r w:rsidRPr="00591EAB">
        <w:rPr>
          <w:sz w:val="20"/>
          <w:szCs w:val="20"/>
        </w:rPr>
        <w:t xml:space="preserve"> C</w:t>
      </w:r>
      <w:r>
        <w:rPr>
          <w:sz w:val="20"/>
          <w:szCs w:val="20"/>
        </w:rPr>
        <w:t xml:space="preserve">. </w:t>
      </w:r>
      <w:r w:rsidRPr="00591EAB">
        <w:rPr>
          <w:sz w:val="20"/>
          <w:szCs w:val="20"/>
        </w:rPr>
        <w:t>2012</w:t>
      </w:r>
      <w:r>
        <w:rPr>
          <w:sz w:val="20"/>
          <w:szCs w:val="20"/>
        </w:rPr>
        <w:t xml:space="preserve"> </w:t>
      </w:r>
      <w:r w:rsidRPr="00591EAB">
        <w:rPr>
          <w:sz w:val="20"/>
          <w:szCs w:val="20"/>
        </w:rPr>
        <w:t xml:space="preserve">Derivation and validation of updated </w:t>
      </w:r>
      <w:proofErr w:type="spellStart"/>
      <w:r w:rsidRPr="00591EAB">
        <w:rPr>
          <w:sz w:val="20"/>
          <w:szCs w:val="20"/>
        </w:rPr>
        <w:t>QFracture</w:t>
      </w:r>
      <w:proofErr w:type="spellEnd"/>
      <w:r w:rsidRPr="00591EAB">
        <w:rPr>
          <w:sz w:val="20"/>
          <w:szCs w:val="20"/>
        </w:rPr>
        <w:t xml:space="preserve"> algorithm to predict risk of osteoporotic fracture in primary care in the United Kingdom: prospective open cohort study. </w:t>
      </w:r>
      <w:r w:rsidRPr="001A4BEA">
        <w:rPr>
          <w:sz w:val="20"/>
          <w:szCs w:val="20"/>
        </w:rPr>
        <w:t>Br Med J</w:t>
      </w:r>
      <w:r w:rsidRPr="00591EAB">
        <w:rPr>
          <w:sz w:val="20"/>
          <w:szCs w:val="20"/>
        </w:rPr>
        <w:t xml:space="preserve"> </w:t>
      </w:r>
      <w:r w:rsidR="00957B1B" w:rsidRPr="00957B1B">
        <w:rPr>
          <w:sz w:val="20"/>
          <w:szCs w:val="20"/>
        </w:rPr>
        <w:t>344:e3427</w:t>
      </w:r>
      <w:proofErr w:type="gramStart"/>
      <w:r w:rsidR="00957B1B" w:rsidRPr="00957B1B">
        <w:rPr>
          <w:sz w:val="20"/>
          <w:szCs w:val="20"/>
        </w:rPr>
        <w:t>.</w:t>
      </w:r>
      <w:r w:rsidRPr="00591EAB">
        <w:rPr>
          <w:sz w:val="20"/>
          <w:szCs w:val="20"/>
        </w:rPr>
        <w:t>.</w:t>
      </w:r>
      <w:proofErr w:type="gramEnd"/>
    </w:p>
    <w:p w14:paraId="2245D857" w14:textId="1DF46AE4" w:rsidR="001A4BEA" w:rsidRPr="001B66DB" w:rsidRDefault="001A4BEA" w:rsidP="00B76A92">
      <w:pPr>
        <w:autoSpaceDE w:val="0"/>
        <w:autoSpaceDN w:val="0"/>
        <w:adjustRightInd w:val="0"/>
        <w:spacing w:line="276" w:lineRule="auto"/>
        <w:ind w:left="567" w:hanging="567"/>
        <w:rPr>
          <w:sz w:val="20"/>
          <w:szCs w:val="20"/>
        </w:rPr>
      </w:pPr>
      <w:r>
        <w:rPr>
          <w:sz w:val="20"/>
          <w:szCs w:val="20"/>
        </w:rPr>
        <w:t>13.</w:t>
      </w:r>
      <w:r>
        <w:rPr>
          <w:sz w:val="20"/>
          <w:szCs w:val="20"/>
        </w:rPr>
        <w:tab/>
      </w:r>
      <w:r w:rsidRPr="001B66DB">
        <w:rPr>
          <w:sz w:val="20"/>
          <w:szCs w:val="20"/>
        </w:rPr>
        <w:t xml:space="preserve">Kanis JA, </w:t>
      </w:r>
      <w:proofErr w:type="spellStart"/>
      <w:r w:rsidRPr="001B66DB">
        <w:rPr>
          <w:sz w:val="20"/>
          <w:szCs w:val="20"/>
        </w:rPr>
        <w:t>Johnell</w:t>
      </w:r>
      <w:proofErr w:type="spellEnd"/>
      <w:r w:rsidRPr="001B66DB">
        <w:rPr>
          <w:sz w:val="20"/>
          <w:szCs w:val="20"/>
        </w:rPr>
        <w:t xml:space="preserve"> O, De </w:t>
      </w:r>
      <w:proofErr w:type="spellStart"/>
      <w:r w:rsidRPr="001B66DB">
        <w:rPr>
          <w:sz w:val="20"/>
          <w:szCs w:val="20"/>
        </w:rPr>
        <w:t>Laet</w:t>
      </w:r>
      <w:proofErr w:type="spellEnd"/>
      <w:r w:rsidRPr="001B66DB">
        <w:rPr>
          <w:sz w:val="20"/>
          <w:szCs w:val="20"/>
        </w:rPr>
        <w:t xml:space="preserve"> C, et al</w:t>
      </w:r>
      <w:r w:rsidR="00957B1B">
        <w:rPr>
          <w:sz w:val="20"/>
          <w:szCs w:val="20"/>
        </w:rPr>
        <w:t xml:space="preserve">. 2004 </w:t>
      </w:r>
      <w:r w:rsidRPr="001B66DB">
        <w:rPr>
          <w:sz w:val="20"/>
          <w:szCs w:val="20"/>
        </w:rPr>
        <w:t xml:space="preserve">A </w:t>
      </w:r>
      <w:proofErr w:type="gramStart"/>
      <w:r w:rsidRPr="001B66DB">
        <w:rPr>
          <w:sz w:val="20"/>
          <w:szCs w:val="20"/>
        </w:rPr>
        <w:t>meta-analysis</w:t>
      </w:r>
      <w:proofErr w:type="gramEnd"/>
      <w:r w:rsidRPr="001B66DB">
        <w:rPr>
          <w:sz w:val="20"/>
          <w:szCs w:val="20"/>
        </w:rPr>
        <w:t xml:space="preserve"> of previous</w:t>
      </w:r>
      <w:r>
        <w:rPr>
          <w:sz w:val="20"/>
          <w:szCs w:val="20"/>
        </w:rPr>
        <w:t xml:space="preserve"> </w:t>
      </w:r>
      <w:r w:rsidRPr="001B66DB">
        <w:rPr>
          <w:sz w:val="20"/>
          <w:szCs w:val="20"/>
        </w:rPr>
        <w:t>fracture and subsequent fracture risk. Bone 35:375-382</w:t>
      </w:r>
      <w:r w:rsidR="00957B1B">
        <w:rPr>
          <w:sz w:val="20"/>
          <w:szCs w:val="20"/>
        </w:rPr>
        <w:t>.</w:t>
      </w:r>
    </w:p>
    <w:p w14:paraId="6C8940D8" w14:textId="29401A8F" w:rsidR="001A4BEA" w:rsidRPr="001B66DB" w:rsidRDefault="001A4BEA" w:rsidP="00B76A92">
      <w:pPr>
        <w:autoSpaceDE w:val="0"/>
        <w:autoSpaceDN w:val="0"/>
        <w:adjustRightInd w:val="0"/>
        <w:spacing w:line="276" w:lineRule="auto"/>
        <w:ind w:left="567" w:hanging="567"/>
        <w:rPr>
          <w:sz w:val="20"/>
          <w:szCs w:val="20"/>
        </w:rPr>
      </w:pPr>
      <w:r>
        <w:rPr>
          <w:sz w:val="20"/>
          <w:szCs w:val="20"/>
        </w:rPr>
        <w:t>14.</w:t>
      </w:r>
      <w:r>
        <w:rPr>
          <w:sz w:val="20"/>
          <w:szCs w:val="20"/>
        </w:rPr>
        <w:tab/>
      </w:r>
      <w:r w:rsidRPr="001B66DB">
        <w:rPr>
          <w:sz w:val="20"/>
          <w:szCs w:val="20"/>
        </w:rPr>
        <w:t>Kanis JA, Johansson H, Oden A, et al</w:t>
      </w:r>
      <w:r w:rsidR="00957B1B">
        <w:rPr>
          <w:sz w:val="20"/>
          <w:szCs w:val="20"/>
        </w:rPr>
        <w:t xml:space="preserve">. 2004 </w:t>
      </w:r>
      <w:r w:rsidRPr="001B66DB">
        <w:rPr>
          <w:sz w:val="20"/>
          <w:szCs w:val="20"/>
        </w:rPr>
        <w:t>A meta-analysis of prior corticosteroid</w:t>
      </w:r>
      <w:r>
        <w:rPr>
          <w:sz w:val="20"/>
          <w:szCs w:val="20"/>
        </w:rPr>
        <w:t xml:space="preserve"> </w:t>
      </w:r>
      <w:r w:rsidRPr="001B66DB">
        <w:rPr>
          <w:sz w:val="20"/>
          <w:szCs w:val="20"/>
        </w:rPr>
        <w:t>use and fracture risk. J Bone Miner Res 19:893-899</w:t>
      </w:r>
      <w:r w:rsidR="00957B1B">
        <w:rPr>
          <w:sz w:val="20"/>
          <w:szCs w:val="20"/>
        </w:rPr>
        <w:t>.</w:t>
      </w:r>
    </w:p>
    <w:p w14:paraId="68898F7F" w14:textId="07E390EB" w:rsidR="001A4BEA" w:rsidRPr="001B66DB" w:rsidRDefault="001A4BEA" w:rsidP="00B76A92">
      <w:pPr>
        <w:autoSpaceDE w:val="0"/>
        <w:autoSpaceDN w:val="0"/>
        <w:adjustRightInd w:val="0"/>
        <w:spacing w:line="276" w:lineRule="auto"/>
        <w:ind w:left="567" w:hanging="567"/>
        <w:rPr>
          <w:sz w:val="20"/>
          <w:szCs w:val="20"/>
        </w:rPr>
      </w:pPr>
      <w:r>
        <w:rPr>
          <w:sz w:val="20"/>
          <w:szCs w:val="20"/>
        </w:rPr>
        <w:t>15.</w:t>
      </w:r>
      <w:r>
        <w:rPr>
          <w:sz w:val="20"/>
          <w:szCs w:val="20"/>
        </w:rPr>
        <w:tab/>
      </w:r>
      <w:r w:rsidRPr="001B66DB">
        <w:rPr>
          <w:sz w:val="20"/>
          <w:szCs w:val="20"/>
        </w:rPr>
        <w:t>Kanis JA, Johansson H, Oden A, et al</w:t>
      </w:r>
      <w:r w:rsidR="00957B1B">
        <w:rPr>
          <w:sz w:val="20"/>
          <w:szCs w:val="20"/>
        </w:rPr>
        <w:t xml:space="preserve">. 2004 </w:t>
      </w:r>
      <w:r w:rsidRPr="001B66DB">
        <w:rPr>
          <w:sz w:val="20"/>
          <w:szCs w:val="20"/>
        </w:rPr>
        <w:t xml:space="preserve">A family </w:t>
      </w:r>
      <w:proofErr w:type="gramStart"/>
      <w:r w:rsidRPr="001B66DB">
        <w:rPr>
          <w:sz w:val="20"/>
          <w:szCs w:val="20"/>
        </w:rPr>
        <w:t>history</w:t>
      </w:r>
      <w:proofErr w:type="gramEnd"/>
      <w:r w:rsidRPr="001B66DB">
        <w:rPr>
          <w:sz w:val="20"/>
          <w:szCs w:val="20"/>
        </w:rPr>
        <w:t xml:space="preserve"> of fracture and</w:t>
      </w:r>
      <w:r>
        <w:rPr>
          <w:sz w:val="20"/>
          <w:szCs w:val="20"/>
        </w:rPr>
        <w:t xml:space="preserve"> </w:t>
      </w:r>
      <w:r w:rsidRPr="001B66DB">
        <w:rPr>
          <w:sz w:val="20"/>
          <w:szCs w:val="20"/>
        </w:rPr>
        <w:t>fracture risk: a meta-analysis. Bone 35:1029-1037</w:t>
      </w:r>
      <w:r w:rsidR="00957B1B">
        <w:rPr>
          <w:sz w:val="20"/>
          <w:szCs w:val="20"/>
        </w:rPr>
        <w:t>.</w:t>
      </w:r>
    </w:p>
    <w:p w14:paraId="0052E876" w14:textId="407D75C4" w:rsidR="001A4BEA" w:rsidRPr="001B66DB" w:rsidRDefault="001A4BEA" w:rsidP="00B76A92">
      <w:pPr>
        <w:autoSpaceDE w:val="0"/>
        <w:autoSpaceDN w:val="0"/>
        <w:adjustRightInd w:val="0"/>
        <w:spacing w:line="276" w:lineRule="auto"/>
        <w:ind w:left="567" w:hanging="567"/>
        <w:rPr>
          <w:sz w:val="20"/>
          <w:szCs w:val="20"/>
        </w:rPr>
      </w:pPr>
      <w:r>
        <w:rPr>
          <w:sz w:val="20"/>
          <w:szCs w:val="20"/>
        </w:rPr>
        <w:t>16.</w:t>
      </w:r>
      <w:r>
        <w:rPr>
          <w:sz w:val="20"/>
          <w:szCs w:val="20"/>
        </w:rPr>
        <w:tab/>
      </w:r>
      <w:r w:rsidRPr="001B66DB">
        <w:rPr>
          <w:sz w:val="20"/>
          <w:szCs w:val="20"/>
        </w:rPr>
        <w:t xml:space="preserve">Kanis JA, </w:t>
      </w:r>
      <w:proofErr w:type="spellStart"/>
      <w:r w:rsidRPr="001B66DB">
        <w:rPr>
          <w:sz w:val="20"/>
          <w:szCs w:val="20"/>
        </w:rPr>
        <w:t>Johnell</w:t>
      </w:r>
      <w:proofErr w:type="spellEnd"/>
      <w:r w:rsidRPr="001B66DB">
        <w:rPr>
          <w:sz w:val="20"/>
          <w:szCs w:val="20"/>
        </w:rPr>
        <w:t xml:space="preserve"> O, Oden A, et al</w:t>
      </w:r>
      <w:r w:rsidR="00957B1B">
        <w:rPr>
          <w:sz w:val="20"/>
          <w:szCs w:val="20"/>
        </w:rPr>
        <w:t xml:space="preserve">. 2005 </w:t>
      </w:r>
      <w:r w:rsidRPr="001B66DB">
        <w:rPr>
          <w:sz w:val="20"/>
          <w:szCs w:val="20"/>
        </w:rPr>
        <w:t>Smoking and fracture risk: a meta</w:t>
      </w:r>
      <w:r w:rsidR="00957B1B">
        <w:rPr>
          <w:sz w:val="20"/>
          <w:szCs w:val="20"/>
        </w:rPr>
        <w:t>-</w:t>
      </w:r>
      <w:r w:rsidRPr="001B66DB">
        <w:rPr>
          <w:sz w:val="20"/>
          <w:szCs w:val="20"/>
        </w:rPr>
        <w:t>analysis.</w:t>
      </w:r>
      <w:r>
        <w:rPr>
          <w:sz w:val="20"/>
          <w:szCs w:val="20"/>
        </w:rPr>
        <w:t xml:space="preserve"> </w:t>
      </w:r>
      <w:r w:rsidRPr="001B66DB">
        <w:rPr>
          <w:sz w:val="20"/>
          <w:szCs w:val="20"/>
        </w:rPr>
        <w:t xml:space="preserve">Osteoporos </w:t>
      </w:r>
      <w:proofErr w:type="spellStart"/>
      <w:r w:rsidRPr="001B66DB">
        <w:rPr>
          <w:sz w:val="20"/>
          <w:szCs w:val="20"/>
        </w:rPr>
        <w:t>Int</w:t>
      </w:r>
      <w:proofErr w:type="spellEnd"/>
      <w:r w:rsidRPr="001B66DB">
        <w:rPr>
          <w:sz w:val="20"/>
          <w:szCs w:val="20"/>
        </w:rPr>
        <w:t xml:space="preserve"> 16:155-162</w:t>
      </w:r>
      <w:r w:rsidR="00957B1B">
        <w:rPr>
          <w:sz w:val="20"/>
          <w:szCs w:val="20"/>
        </w:rPr>
        <w:t>.</w:t>
      </w:r>
    </w:p>
    <w:p w14:paraId="07ACAADF" w14:textId="01C08E07" w:rsidR="001A4BEA" w:rsidRPr="001B66DB" w:rsidRDefault="001A4BEA" w:rsidP="00B76A92">
      <w:pPr>
        <w:autoSpaceDE w:val="0"/>
        <w:autoSpaceDN w:val="0"/>
        <w:adjustRightInd w:val="0"/>
        <w:spacing w:line="276" w:lineRule="auto"/>
        <w:ind w:left="567" w:hanging="567"/>
        <w:rPr>
          <w:sz w:val="20"/>
          <w:szCs w:val="20"/>
        </w:rPr>
      </w:pPr>
      <w:r>
        <w:rPr>
          <w:sz w:val="20"/>
          <w:szCs w:val="20"/>
        </w:rPr>
        <w:t>17.</w:t>
      </w:r>
      <w:r>
        <w:rPr>
          <w:sz w:val="20"/>
          <w:szCs w:val="20"/>
        </w:rPr>
        <w:tab/>
      </w:r>
      <w:r w:rsidRPr="001B66DB">
        <w:rPr>
          <w:sz w:val="20"/>
          <w:szCs w:val="20"/>
        </w:rPr>
        <w:t xml:space="preserve">Kanis JA, Johansson H, </w:t>
      </w:r>
      <w:proofErr w:type="spellStart"/>
      <w:r w:rsidRPr="001B66DB">
        <w:rPr>
          <w:sz w:val="20"/>
          <w:szCs w:val="20"/>
        </w:rPr>
        <w:t>Johnell</w:t>
      </w:r>
      <w:proofErr w:type="spellEnd"/>
      <w:r w:rsidRPr="001B66DB">
        <w:rPr>
          <w:sz w:val="20"/>
          <w:szCs w:val="20"/>
        </w:rPr>
        <w:t xml:space="preserve"> O, et al</w:t>
      </w:r>
      <w:r w:rsidR="00957B1B">
        <w:rPr>
          <w:sz w:val="20"/>
          <w:szCs w:val="20"/>
        </w:rPr>
        <w:t xml:space="preserve">. 2005 </w:t>
      </w:r>
      <w:r w:rsidRPr="001B66DB">
        <w:rPr>
          <w:sz w:val="20"/>
          <w:szCs w:val="20"/>
        </w:rPr>
        <w:t>Alcohol intake as a risk factor</w:t>
      </w:r>
      <w:r>
        <w:rPr>
          <w:sz w:val="20"/>
          <w:szCs w:val="20"/>
        </w:rPr>
        <w:t xml:space="preserve"> </w:t>
      </w:r>
      <w:r w:rsidRPr="001B66DB">
        <w:rPr>
          <w:sz w:val="20"/>
          <w:szCs w:val="20"/>
        </w:rPr>
        <w:t xml:space="preserve">for fracture. Osteoporos </w:t>
      </w:r>
      <w:proofErr w:type="spellStart"/>
      <w:r w:rsidRPr="001B66DB">
        <w:rPr>
          <w:sz w:val="20"/>
          <w:szCs w:val="20"/>
        </w:rPr>
        <w:t>Int</w:t>
      </w:r>
      <w:proofErr w:type="spellEnd"/>
      <w:r w:rsidRPr="001B66DB">
        <w:rPr>
          <w:sz w:val="20"/>
          <w:szCs w:val="20"/>
        </w:rPr>
        <w:t xml:space="preserve"> 16:737-742</w:t>
      </w:r>
      <w:r w:rsidR="00957B1B">
        <w:rPr>
          <w:sz w:val="20"/>
          <w:szCs w:val="20"/>
        </w:rPr>
        <w:t>.</w:t>
      </w:r>
    </w:p>
    <w:p w14:paraId="0623E2BE" w14:textId="5F9F2A12" w:rsidR="001A4BEA" w:rsidRPr="001B66DB" w:rsidRDefault="001A4BEA" w:rsidP="00B76A92">
      <w:pPr>
        <w:autoSpaceDE w:val="0"/>
        <w:autoSpaceDN w:val="0"/>
        <w:adjustRightInd w:val="0"/>
        <w:spacing w:line="276" w:lineRule="auto"/>
        <w:ind w:left="567" w:hanging="567"/>
        <w:rPr>
          <w:sz w:val="20"/>
          <w:szCs w:val="20"/>
        </w:rPr>
      </w:pPr>
      <w:r>
        <w:rPr>
          <w:sz w:val="20"/>
          <w:szCs w:val="20"/>
        </w:rPr>
        <w:t>18.</w:t>
      </w:r>
      <w:r>
        <w:rPr>
          <w:sz w:val="20"/>
          <w:szCs w:val="20"/>
        </w:rPr>
        <w:tab/>
      </w:r>
      <w:r w:rsidRPr="001B66DB">
        <w:rPr>
          <w:sz w:val="20"/>
          <w:szCs w:val="20"/>
        </w:rPr>
        <w:t xml:space="preserve">De </w:t>
      </w:r>
      <w:proofErr w:type="spellStart"/>
      <w:r w:rsidRPr="001B66DB">
        <w:rPr>
          <w:sz w:val="20"/>
          <w:szCs w:val="20"/>
        </w:rPr>
        <w:t>Laet</w:t>
      </w:r>
      <w:proofErr w:type="spellEnd"/>
      <w:r w:rsidRPr="001B66DB">
        <w:rPr>
          <w:sz w:val="20"/>
          <w:szCs w:val="20"/>
        </w:rPr>
        <w:t xml:space="preserve"> C, Kanis JA, Oden A, et al</w:t>
      </w:r>
      <w:r w:rsidR="00957B1B">
        <w:rPr>
          <w:sz w:val="20"/>
          <w:szCs w:val="20"/>
        </w:rPr>
        <w:t xml:space="preserve">. 2005 </w:t>
      </w:r>
      <w:r w:rsidRPr="001B66DB">
        <w:rPr>
          <w:sz w:val="20"/>
          <w:szCs w:val="20"/>
        </w:rPr>
        <w:t>Body mass index as a predictor of</w:t>
      </w:r>
      <w:r>
        <w:rPr>
          <w:sz w:val="20"/>
          <w:szCs w:val="20"/>
        </w:rPr>
        <w:t xml:space="preserve"> </w:t>
      </w:r>
      <w:r w:rsidRPr="001B66DB">
        <w:rPr>
          <w:sz w:val="20"/>
          <w:szCs w:val="20"/>
        </w:rPr>
        <w:t xml:space="preserve">fracture risk: a meta-analysis. Osteoporos </w:t>
      </w:r>
      <w:proofErr w:type="spellStart"/>
      <w:r w:rsidRPr="001B66DB">
        <w:rPr>
          <w:sz w:val="20"/>
          <w:szCs w:val="20"/>
        </w:rPr>
        <w:t>Int</w:t>
      </w:r>
      <w:proofErr w:type="spellEnd"/>
      <w:r w:rsidRPr="001B66DB">
        <w:rPr>
          <w:sz w:val="20"/>
          <w:szCs w:val="20"/>
        </w:rPr>
        <w:t xml:space="preserve"> 16:1330-1338</w:t>
      </w:r>
      <w:r w:rsidR="00957B1B">
        <w:rPr>
          <w:sz w:val="20"/>
          <w:szCs w:val="20"/>
        </w:rPr>
        <w:t>.</w:t>
      </w:r>
    </w:p>
    <w:p w14:paraId="29BE3795" w14:textId="469FC4D2" w:rsidR="001A4BEA" w:rsidRDefault="001A4BEA" w:rsidP="00B76A92">
      <w:pPr>
        <w:autoSpaceDE w:val="0"/>
        <w:autoSpaceDN w:val="0"/>
        <w:adjustRightInd w:val="0"/>
        <w:spacing w:line="276" w:lineRule="auto"/>
        <w:ind w:left="567" w:hanging="567"/>
        <w:rPr>
          <w:sz w:val="20"/>
          <w:szCs w:val="20"/>
        </w:rPr>
      </w:pPr>
      <w:r>
        <w:rPr>
          <w:sz w:val="20"/>
          <w:szCs w:val="20"/>
        </w:rPr>
        <w:t>19.</w:t>
      </w:r>
      <w:r>
        <w:rPr>
          <w:sz w:val="20"/>
          <w:szCs w:val="20"/>
        </w:rPr>
        <w:tab/>
      </w:r>
      <w:r w:rsidRPr="00181BC3">
        <w:rPr>
          <w:sz w:val="20"/>
          <w:szCs w:val="20"/>
        </w:rPr>
        <w:t xml:space="preserve">Kanis JA, Oden A, </w:t>
      </w:r>
      <w:proofErr w:type="spellStart"/>
      <w:r w:rsidRPr="00181BC3">
        <w:rPr>
          <w:sz w:val="20"/>
          <w:szCs w:val="20"/>
        </w:rPr>
        <w:t>Johnell</w:t>
      </w:r>
      <w:proofErr w:type="spellEnd"/>
      <w:r w:rsidRPr="00181BC3">
        <w:rPr>
          <w:sz w:val="20"/>
          <w:szCs w:val="20"/>
        </w:rPr>
        <w:t xml:space="preserve"> O, et al</w:t>
      </w:r>
      <w:r w:rsidR="00957B1B" w:rsidRPr="00957B1B">
        <w:rPr>
          <w:sz w:val="20"/>
          <w:szCs w:val="20"/>
        </w:rPr>
        <w:t>.</w:t>
      </w:r>
      <w:r w:rsidRPr="00957B1B">
        <w:rPr>
          <w:sz w:val="20"/>
          <w:szCs w:val="20"/>
        </w:rPr>
        <w:t xml:space="preserve"> 2007 The</w:t>
      </w:r>
      <w:r w:rsidRPr="00181BC3">
        <w:rPr>
          <w:sz w:val="20"/>
          <w:szCs w:val="20"/>
        </w:rPr>
        <w:t xml:space="preserve"> use of clinical risk factors enhances the performance of BMD in the prediction of hip and osteoporotic fractures in men and women. Osteoporos </w:t>
      </w:r>
      <w:proofErr w:type="spellStart"/>
      <w:r w:rsidRPr="00181BC3">
        <w:rPr>
          <w:sz w:val="20"/>
          <w:szCs w:val="20"/>
        </w:rPr>
        <w:t>Int</w:t>
      </w:r>
      <w:proofErr w:type="spellEnd"/>
      <w:r w:rsidRPr="00181BC3">
        <w:rPr>
          <w:sz w:val="20"/>
          <w:szCs w:val="20"/>
        </w:rPr>
        <w:t xml:space="preserve"> 18: 1033-46.</w:t>
      </w:r>
    </w:p>
    <w:p w14:paraId="01670BEE" w14:textId="667597FA" w:rsidR="001A4BEA" w:rsidRDefault="001A4BEA" w:rsidP="00B76A92">
      <w:pPr>
        <w:pStyle w:val="CommentText"/>
        <w:ind w:left="567" w:hanging="567"/>
      </w:pPr>
      <w:r>
        <w:t>20.</w:t>
      </w:r>
      <w:r>
        <w:tab/>
        <w:t>Blake GM, Fogelman I</w:t>
      </w:r>
      <w:r w:rsidR="00957B1B">
        <w:t>.</w:t>
      </w:r>
      <w:r>
        <w:t xml:space="preserve"> 2010 </w:t>
      </w:r>
      <w:r w:rsidRPr="001A3C94">
        <w:t xml:space="preserve">An </w:t>
      </w:r>
      <w:r w:rsidR="00957B1B">
        <w:t>U</w:t>
      </w:r>
      <w:r w:rsidRPr="001A3C94">
        <w:t xml:space="preserve">pdate on </w:t>
      </w:r>
      <w:r w:rsidR="00957B1B">
        <w:t>d</w:t>
      </w:r>
      <w:r w:rsidRPr="001A3C94">
        <w:t>ual-</w:t>
      </w:r>
      <w:r w:rsidR="00957B1B">
        <w:t>e</w:t>
      </w:r>
      <w:r w:rsidRPr="001A3C94">
        <w:t>nergy X-</w:t>
      </w:r>
      <w:r w:rsidR="00957B1B">
        <w:t>r</w:t>
      </w:r>
      <w:r w:rsidRPr="001A3C94">
        <w:t xml:space="preserve">ay </w:t>
      </w:r>
      <w:r w:rsidR="00957B1B">
        <w:t>a</w:t>
      </w:r>
      <w:r w:rsidRPr="001A3C94">
        <w:t>bsorptiometry</w:t>
      </w:r>
      <w:r>
        <w:t xml:space="preserve">. </w:t>
      </w:r>
      <w:proofErr w:type="spellStart"/>
      <w:r w:rsidRPr="001A3C94">
        <w:t>Semin</w:t>
      </w:r>
      <w:proofErr w:type="spellEnd"/>
      <w:r w:rsidRPr="001A3C94">
        <w:t xml:space="preserve"> </w:t>
      </w:r>
      <w:proofErr w:type="spellStart"/>
      <w:r w:rsidRPr="001A3C94">
        <w:t>Nucl</w:t>
      </w:r>
      <w:proofErr w:type="spellEnd"/>
      <w:r w:rsidRPr="001A3C94">
        <w:t xml:space="preserve"> Med 40:62-73</w:t>
      </w:r>
      <w:r w:rsidR="00957B1B">
        <w:t>.</w:t>
      </w:r>
    </w:p>
    <w:p w14:paraId="694149E7" w14:textId="5C8384F9" w:rsidR="001A4BEA" w:rsidRPr="007468DB" w:rsidRDefault="001A4BEA" w:rsidP="00B76A92">
      <w:pPr>
        <w:spacing w:line="276" w:lineRule="auto"/>
        <w:ind w:left="567" w:hanging="567"/>
        <w:rPr>
          <w:sz w:val="20"/>
          <w:szCs w:val="20"/>
          <w:lang w:val="en-US"/>
        </w:rPr>
      </w:pPr>
      <w:proofErr w:type="gramStart"/>
      <w:r w:rsidRPr="00957B1B">
        <w:rPr>
          <w:sz w:val="20"/>
          <w:szCs w:val="20"/>
        </w:rPr>
        <w:t>21.</w:t>
      </w:r>
      <w:r w:rsidRPr="00957B1B">
        <w:rPr>
          <w:sz w:val="20"/>
          <w:szCs w:val="20"/>
        </w:rPr>
        <w:tab/>
        <w:t xml:space="preserve">McClung MR, </w:t>
      </w:r>
      <w:proofErr w:type="spellStart"/>
      <w:r w:rsidRPr="00957B1B">
        <w:rPr>
          <w:sz w:val="20"/>
          <w:szCs w:val="20"/>
        </w:rPr>
        <w:t>Geusens</w:t>
      </w:r>
      <w:proofErr w:type="spellEnd"/>
      <w:r w:rsidRPr="00957B1B">
        <w:rPr>
          <w:sz w:val="20"/>
          <w:szCs w:val="20"/>
        </w:rPr>
        <w:t>, P, Miller</w:t>
      </w:r>
      <w:r w:rsidR="00957B1B" w:rsidRPr="00957B1B">
        <w:rPr>
          <w:sz w:val="20"/>
          <w:szCs w:val="20"/>
        </w:rPr>
        <w:t xml:space="preserve"> </w:t>
      </w:r>
      <w:r w:rsidRPr="00957B1B">
        <w:rPr>
          <w:sz w:val="20"/>
          <w:szCs w:val="20"/>
        </w:rPr>
        <w:t>PD</w:t>
      </w:r>
      <w:r w:rsidR="00957B1B" w:rsidRPr="00957B1B">
        <w:rPr>
          <w:sz w:val="20"/>
          <w:szCs w:val="20"/>
        </w:rPr>
        <w:t>,</w:t>
      </w:r>
      <w:r w:rsidRPr="00957B1B">
        <w:rPr>
          <w:sz w:val="20"/>
          <w:szCs w:val="20"/>
        </w:rPr>
        <w:t xml:space="preserve"> et al</w:t>
      </w:r>
      <w:r w:rsidR="00957B1B" w:rsidRPr="00957B1B">
        <w:rPr>
          <w:sz w:val="20"/>
          <w:szCs w:val="20"/>
        </w:rPr>
        <w:t>.</w:t>
      </w:r>
      <w:r w:rsidR="00957B1B">
        <w:rPr>
          <w:sz w:val="20"/>
          <w:szCs w:val="20"/>
          <w:lang w:val="en-US"/>
        </w:rPr>
        <w:t xml:space="preserve"> </w:t>
      </w:r>
      <w:r w:rsidRPr="007468DB">
        <w:rPr>
          <w:sz w:val="20"/>
          <w:szCs w:val="20"/>
          <w:lang w:val="en-US"/>
        </w:rPr>
        <w:t>2001 Effect of risedronate on the risk of hip fracture in elderly women.</w:t>
      </w:r>
      <w:proofErr w:type="gramEnd"/>
      <w:r w:rsidRPr="007468DB">
        <w:rPr>
          <w:sz w:val="20"/>
          <w:szCs w:val="20"/>
          <w:lang w:val="en-US"/>
        </w:rPr>
        <w:t xml:space="preserve"> Hip Intervention Program Study Group. N </w:t>
      </w:r>
      <w:proofErr w:type="spellStart"/>
      <w:r w:rsidRPr="007468DB">
        <w:rPr>
          <w:sz w:val="20"/>
          <w:szCs w:val="20"/>
          <w:lang w:val="en-US"/>
        </w:rPr>
        <w:t>Engl</w:t>
      </w:r>
      <w:proofErr w:type="spellEnd"/>
      <w:r w:rsidRPr="007468DB">
        <w:rPr>
          <w:sz w:val="20"/>
          <w:szCs w:val="20"/>
          <w:lang w:val="en-US"/>
        </w:rPr>
        <w:t xml:space="preserve"> J Med 344:333-340</w:t>
      </w:r>
      <w:r w:rsidR="00957B1B">
        <w:rPr>
          <w:sz w:val="20"/>
          <w:szCs w:val="20"/>
          <w:lang w:val="en-US"/>
        </w:rPr>
        <w:t>.</w:t>
      </w:r>
    </w:p>
    <w:p w14:paraId="08BD15B7" w14:textId="544B1576" w:rsidR="001A4BEA" w:rsidRDefault="001A4BEA" w:rsidP="00B76A92">
      <w:pPr>
        <w:spacing w:line="276" w:lineRule="auto"/>
        <w:ind w:left="567" w:hanging="567"/>
        <w:rPr>
          <w:sz w:val="20"/>
          <w:szCs w:val="20"/>
        </w:rPr>
      </w:pPr>
      <w:r>
        <w:rPr>
          <w:sz w:val="20"/>
          <w:szCs w:val="20"/>
        </w:rPr>
        <w:t>22.</w:t>
      </w:r>
      <w:r>
        <w:rPr>
          <w:sz w:val="20"/>
          <w:szCs w:val="20"/>
        </w:rPr>
        <w:tab/>
      </w:r>
      <w:proofErr w:type="spellStart"/>
      <w:r w:rsidRPr="00E73909">
        <w:rPr>
          <w:sz w:val="20"/>
          <w:szCs w:val="20"/>
        </w:rPr>
        <w:t>Kayan</w:t>
      </w:r>
      <w:proofErr w:type="spellEnd"/>
      <w:r w:rsidRPr="00E73909">
        <w:rPr>
          <w:sz w:val="20"/>
          <w:szCs w:val="20"/>
        </w:rPr>
        <w:t xml:space="preserve"> K, Johansson H, Oden A</w:t>
      </w:r>
      <w:r w:rsidR="00957B1B">
        <w:rPr>
          <w:sz w:val="20"/>
          <w:szCs w:val="20"/>
        </w:rPr>
        <w:t>,</w:t>
      </w:r>
      <w:r w:rsidRPr="00E73909">
        <w:rPr>
          <w:sz w:val="20"/>
          <w:szCs w:val="20"/>
        </w:rPr>
        <w:t xml:space="preserve"> et al</w:t>
      </w:r>
      <w:r w:rsidR="00957B1B">
        <w:rPr>
          <w:sz w:val="20"/>
          <w:szCs w:val="20"/>
        </w:rPr>
        <w:t>.</w:t>
      </w:r>
      <w:r w:rsidRPr="00E73909">
        <w:rPr>
          <w:sz w:val="20"/>
          <w:szCs w:val="20"/>
        </w:rPr>
        <w:t xml:space="preserve"> 2009 Can fall risk </w:t>
      </w:r>
      <w:proofErr w:type="gramStart"/>
      <w:r w:rsidRPr="00E73909">
        <w:rPr>
          <w:sz w:val="20"/>
          <w:szCs w:val="20"/>
        </w:rPr>
        <w:t>be</w:t>
      </w:r>
      <w:proofErr w:type="gramEnd"/>
      <w:r w:rsidRPr="00E73909">
        <w:rPr>
          <w:sz w:val="20"/>
          <w:szCs w:val="20"/>
        </w:rPr>
        <w:t xml:space="preserve"> incorporated into fracture risk assessment algorithms: a pilot study of responsiveness to </w:t>
      </w:r>
      <w:proofErr w:type="spellStart"/>
      <w:r w:rsidRPr="00E73909">
        <w:rPr>
          <w:sz w:val="20"/>
          <w:szCs w:val="20"/>
        </w:rPr>
        <w:t>clodronate</w:t>
      </w:r>
      <w:proofErr w:type="spellEnd"/>
      <w:r w:rsidRPr="00E73909">
        <w:rPr>
          <w:sz w:val="20"/>
          <w:szCs w:val="20"/>
        </w:rPr>
        <w:t xml:space="preserve">. Osteoporos </w:t>
      </w:r>
      <w:proofErr w:type="spellStart"/>
      <w:r w:rsidRPr="00E73909">
        <w:rPr>
          <w:sz w:val="20"/>
          <w:szCs w:val="20"/>
        </w:rPr>
        <w:t>Int</w:t>
      </w:r>
      <w:proofErr w:type="spellEnd"/>
      <w:r w:rsidRPr="00E73909">
        <w:rPr>
          <w:sz w:val="20"/>
          <w:szCs w:val="20"/>
        </w:rPr>
        <w:t xml:space="preserve"> 20:2055–2061</w:t>
      </w:r>
      <w:r w:rsidR="00957B1B">
        <w:rPr>
          <w:sz w:val="20"/>
          <w:szCs w:val="20"/>
        </w:rPr>
        <w:t>.</w:t>
      </w:r>
    </w:p>
    <w:p w14:paraId="58F6B08C" w14:textId="5CA44026" w:rsidR="001A4BEA" w:rsidRPr="007468DB" w:rsidRDefault="001A4BEA" w:rsidP="00B76A92">
      <w:pPr>
        <w:autoSpaceDE w:val="0"/>
        <w:autoSpaceDN w:val="0"/>
        <w:adjustRightInd w:val="0"/>
        <w:spacing w:line="276" w:lineRule="auto"/>
        <w:ind w:left="567" w:hanging="567"/>
        <w:rPr>
          <w:sz w:val="20"/>
          <w:szCs w:val="20"/>
          <w:lang w:val="en-US"/>
        </w:rPr>
      </w:pPr>
      <w:r>
        <w:rPr>
          <w:sz w:val="20"/>
          <w:szCs w:val="20"/>
          <w:lang w:val="en-US"/>
        </w:rPr>
        <w:t>23.</w:t>
      </w:r>
      <w:r>
        <w:rPr>
          <w:sz w:val="20"/>
          <w:szCs w:val="20"/>
          <w:lang w:val="en-US"/>
        </w:rPr>
        <w:tab/>
      </w:r>
      <w:r w:rsidRPr="007468DB">
        <w:rPr>
          <w:sz w:val="20"/>
          <w:szCs w:val="20"/>
          <w:lang w:val="en-US"/>
        </w:rPr>
        <w:t xml:space="preserve">Gillespie LD, Robertson, MC, Gillespie, WJ, </w:t>
      </w:r>
      <w:r w:rsidR="00957B1B">
        <w:rPr>
          <w:sz w:val="20"/>
          <w:szCs w:val="20"/>
          <w:lang w:val="en-US"/>
        </w:rPr>
        <w:t xml:space="preserve">et al. </w:t>
      </w:r>
      <w:r w:rsidRPr="007468DB">
        <w:rPr>
          <w:sz w:val="20"/>
          <w:szCs w:val="20"/>
          <w:lang w:val="en-US"/>
        </w:rPr>
        <w:t>2009</w:t>
      </w:r>
      <w:r w:rsidR="00957B1B">
        <w:rPr>
          <w:sz w:val="20"/>
          <w:szCs w:val="20"/>
          <w:lang w:val="en-US"/>
        </w:rPr>
        <w:t xml:space="preserve"> </w:t>
      </w:r>
      <w:r w:rsidRPr="007468DB">
        <w:rPr>
          <w:sz w:val="20"/>
          <w:szCs w:val="20"/>
          <w:lang w:val="en-US"/>
        </w:rPr>
        <w:t xml:space="preserve">Interventions for preventing falls in older people living in the community. Cochrane Database </w:t>
      </w:r>
      <w:proofErr w:type="spellStart"/>
      <w:r w:rsidRPr="007468DB">
        <w:rPr>
          <w:sz w:val="20"/>
          <w:szCs w:val="20"/>
          <w:lang w:val="en-US"/>
        </w:rPr>
        <w:t>Syst</w:t>
      </w:r>
      <w:proofErr w:type="spellEnd"/>
      <w:r w:rsidRPr="007468DB">
        <w:rPr>
          <w:sz w:val="20"/>
          <w:szCs w:val="20"/>
          <w:lang w:val="en-US"/>
        </w:rPr>
        <w:t xml:space="preserve"> Rev CD007146</w:t>
      </w:r>
    </w:p>
    <w:p w14:paraId="0ADFC500" w14:textId="52195B8A" w:rsidR="001A4BEA" w:rsidRDefault="001A4BEA" w:rsidP="00B76A92">
      <w:pPr>
        <w:autoSpaceDE w:val="0"/>
        <w:autoSpaceDN w:val="0"/>
        <w:adjustRightInd w:val="0"/>
        <w:spacing w:line="276" w:lineRule="auto"/>
        <w:ind w:left="567" w:hanging="567"/>
        <w:rPr>
          <w:sz w:val="20"/>
          <w:szCs w:val="20"/>
        </w:rPr>
      </w:pPr>
      <w:r>
        <w:rPr>
          <w:sz w:val="20"/>
          <w:szCs w:val="20"/>
        </w:rPr>
        <w:t>24.</w:t>
      </w:r>
      <w:r>
        <w:rPr>
          <w:sz w:val="20"/>
          <w:szCs w:val="20"/>
        </w:rPr>
        <w:tab/>
      </w:r>
      <w:r w:rsidRPr="00E73909">
        <w:rPr>
          <w:sz w:val="20"/>
          <w:szCs w:val="20"/>
        </w:rPr>
        <w:t>Kanis JA, McCloskey E, Johansson H, Oden A, Leslie WD</w:t>
      </w:r>
      <w:r w:rsidR="00957B1B" w:rsidRPr="00957B1B">
        <w:rPr>
          <w:sz w:val="20"/>
          <w:szCs w:val="20"/>
        </w:rPr>
        <w:t>.</w:t>
      </w:r>
      <w:r w:rsidRPr="00957B1B">
        <w:rPr>
          <w:sz w:val="20"/>
          <w:szCs w:val="20"/>
        </w:rPr>
        <w:t xml:space="preserve"> 2012 FRAX with</w:t>
      </w:r>
      <w:r w:rsidRPr="00E73909">
        <w:rPr>
          <w:sz w:val="20"/>
          <w:szCs w:val="20"/>
        </w:rPr>
        <w:t xml:space="preserve"> and without BMD. </w:t>
      </w:r>
      <w:proofErr w:type="spellStart"/>
      <w:r w:rsidRPr="00E73909">
        <w:rPr>
          <w:sz w:val="20"/>
          <w:szCs w:val="20"/>
        </w:rPr>
        <w:t>Calcif</w:t>
      </w:r>
      <w:proofErr w:type="spellEnd"/>
      <w:r w:rsidRPr="00E73909">
        <w:rPr>
          <w:sz w:val="20"/>
          <w:szCs w:val="20"/>
        </w:rPr>
        <w:t xml:space="preserve"> Tissue </w:t>
      </w:r>
      <w:proofErr w:type="spellStart"/>
      <w:r w:rsidRPr="00E73909">
        <w:rPr>
          <w:sz w:val="20"/>
          <w:szCs w:val="20"/>
        </w:rPr>
        <w:t>Int</w:t>
      </w:r>
      <w:proofErr w:type="spellEnd"/>
      <w:r w:rsidRPr="00E73909">
        <w:rPr>
          <w:sz w:val="20"/>
          <w:szCs w:val="20"/>
        </w:rPr>
        <w:t xml:space="preserve"> 90:1–13</w:t>
      </w:r>
      <w:r w:rsidR="00957B1B">
        <w:rPr>
          <w:sz w:val="20"/>
          <w:szCs w:val="20"/>
        </w:rPr>
        <w:t>.</w:t>
      </w:r>
    </w:p>
    <w:p w14:paraId="4595582F" w14:textId="6E692EA4" w:rsidR="001A4BEA" w:rsidRDefault="001A4BEA" w:rsidP="00B76A92">
      <w:pPr>
        <w:autoSpaceDE w:val="0"/>
        <w:autoSpaceDN w:val="0"/>
        <w:adjustRightInd w:val="0"/>
        <w:spacing w:line="276" w:lineRule="auto"/>
        <w:ind w:left="567" w:hanging="567"/>
        <w:rPr>
          <w:sz w:val="20"/>
          <w:szCs w:val="20"/>
        </w:rPr>
      </w:pPr>
      <w:r>
        <w:rPr>
          <w:sz w:val="20"/>
          <w:szCs w:val="20"/>
        </w:rPr>
        <w:lastRenderedPageBreak/>
        <w:t>25.</w:t>
      </w:r>
      <w:r>
        <w:rPr>
          <w:sz w:val="20"/>
          <w:szCs w:val="20"/>
        </w:rPr>
        <w:tab/>
      </w:r>
      <w:r w:rsidRPr="00E73909">
        <w:rPr>
          <w:sz w:val="20"/>
          <w:szCs w:val="20"/>
        </w:rPr>
        <w:t xml:space="preserve">Johansson J, Harvey N, </w:t>
      </w:r>
      <w:proofErr w:type="spellStart"/>
      <w:r w:rsidRPr="00E73909">
        <w:rPr>
          <w:sz w:val="20"/>
          <w:szCs w:val="20"/>
        </w:rPr>
        <w:t>Odén</w:t>
      </w:r>
      <w:proofErr w:type="spellEnd"/>
      <w:r w:rsidRPr="00E73909">
        <w:rPr>
          <w:sz w:val="20"/>
          <w:szCs w:val="20"/>
        </w:rPr>
        <w:t xml:space="preserve"> A</w:t>
      </w:r>
      <w:r w:rsidR="00957B1B">
        <w:rPr>
          <w:sz w:val="20"/>
          <w:szCs w:val="20"/>
        </w:rPr>
        <w:t>,</w:t>
      </w:r>
      <w:r w:rsidRPr="00E73909">
        <w:rPr>
          <w:sz w:val="20"/>
          <w:szCs w:val="20"/>
        </w:rPr>
        <w:t xml:space="preserve"> et a</w:t>
      </w:r>
      <w:r w:rsidR="00957B1B">
        <w:rPr>
          <w:sz w:val="20"/>
          <w:szCs w:val="20"/>
        </w:rPr>
        <w:t xml:space="preserve">l. </w:t>
      </w:r>
      <w:r w:rsidR="00957B1B" w:rsidRPr="00E73909">
        <w:rPr>
          <w:sz w:val="20"/>
          <w:szCs w:val="20"/>
        </w:rPr>
        <w:t>2015</w:t>
      </w:r>
      <w:r w:rsidR="00957B1B">
        <w:rPr>
          <w:sz w:val="20"/>
          <w:szCs w:val="20"/>
        </w:rPr>
        <w:t xml:space="preserve"> </w:t>
      </w:r>
      <w:proofErr w:type="gramStart"/>
      <w:r w:rsidR="00957B1B" w:rsidRPr="00E73909">
        <w:rPr>
          <w:sz w:val="20"/>
          <w:szCs w:val="20"/>
        </w:rPr>
        <w:t>The</w:t>
      </w:r>
      <w:proofErr w:type="gramEnd"/>
      <w:r w:rsidRPr="00E73909">
        <w:rPr>
          <w:sz w:val="20"/>
          <w:szCs w:val="20"/>
        </w:rPr>
        <w:t xml:space="preserve"> predictive value of falls history for incident fracture decreases with time: </w:t>
      </w:r>
      <w:proofErr w:type="spellStart"/>
      <w:r w:rsidRPr="00E73909">
        <w:rPr>
          <w:sz w:val="20"/>
          <w:szCs w:val="20"/>
        </w:rPr>
        <w:t>MrOs</w:t>
      </w:r>
      <w:proofErr w:type="spellEnd"/>
      <w:r w:rsidRPr="00E73909">
        <w:rPr>
          <w:sz w:val="20"/>
          <w:szCs w:val="20"/>
        </w:rPr>
        <w:t xml:space="preserve"> Sweden. J</w:t>
      </w:r>
      <w:r w:rsidR="00957B1B">
        <w:rPr>
          <w:sz w:val="20"/>
          <w:szCs w:val="20"/>
        </w:rPr>
        <w:t xml:space="preserve"> </w:t>
      </w:r>
      <w:r w:rsidRPr="00E73909">
        <w:rPr>
          <w:sz w:val="20"/>
          <w:szCs w:val="20"/>
        </w:rPr>
        <w:t xml:space="preserve"> Bone Miner Res 30: S424</w:t>
      </w:r>
      <w:r w:rsidR="00957B1B">
        <w:rPr>
          <w:sz w:val="20"/>
          <w:szCs w:val="20"/>
        </w:rPr>
        <w:t>.</w:t>
      </w:r>
    </w:p>
    <w:p w14:paraId="0D64CBFC" w14:textId="66BF269E" w:rsidR="001A4BEA" w:rsidRPr="00777BB6" w:rsidRDefault="001A4BEA" w:rsidP="00B76A92">
      <w:pPr>
        <w:autoSpaceDE w:val="0"/>
        <w:autoSpaceDN w:val="0"/>
        <w:adjustRightInd w:val="0"/>
        <w:spacing w:line="276" w:lineRule="auto"/>
        <w:ind w:left="567" w:hanging="567"/>
        <w:rPr>
          <w:sz w:val="20"/>
          <w:szCs w:val="20"/>
        </w:rPr>
      </w:pPr>
      <w:r>
        <w:rPr>
          <w:sz w:val="20"/>
          <w:szCs w:val="20"/>
        </w:rPr>
        <w:t>26.</w:t>
      </w:r>
      <w:r>
        <w:rPr>
          <w:sz w:val="20"/>
          <w:szCs w:val="20"/>
        </w:rPr>
        <w:tab/>
      </w:r>
      <w:r w:rsidRPr="00777BB6">
        <w:rPr>
          <w:sz w:val="20"/>
          <w:szCs w:val="20"/>
        </w:rPr>
        <w:t xml:space="preserve">Kanis JA, Oden A, </w:t>
      </w:r>
      <w:proofErr w:type="spellStart"/>
      <w:r w:rsidRPr="00777BB6">
        <w:rPr>
          <w:sz w:val="20"/>
          <w:szCs w:val="20"/>
        </w:rPr>
        <w:t>Johnell</w:t>
      </w:r>
      <w:proofErr w:type="spellEnd"/>
      <w:r w:rsidRPr="00777BB6">
        <w:rPr>
          <w:sz w:val="20"/>
          <w:szCs w:val="20"/>
        </w:rPr>
        <w:t xml:space="preserve"> O, </w:t>
      </w:r>
      <w:proofErr w:type="spellStart"/>
      <w:r w:rsidRPr="00777BB6">
        <w:rPr>
          <w:sz w:val="20"/>
          <w:szCs w:val="20"/>
        </w:rPr>
        <w:t>Jonsson</w:t>
      </w:r>
      <w:proofErr w:type="spellEnd"/>
      <w:r w:rsidRPr="00777BB6">
        <w:rPr>
          <w:sz w:val="20"/>
          <w:szCs w:val="20"/>
        </w:rPr>
        <w:t xml:space="preserve"> B, de </w:t>
      </w:r>
      <w:proofErr w:type="spellStart"/>
      <w:r w:rsidRPr="00777BB6">
        <w:rPr>
          <w:sz w:val="20"/>
          <w:szCs w:val="20"/>
        </w:rPr>
        <w:t>Laet</w:t>
      </w:r>
      <w:proofErr w:type="spellEnd"/>
      <w:r w:rsidRPr="00777BB6">
        <w:rPr>
          <w:sz w:val="20"/>
          <w:szCs w:val="20"/>
        </w:rPr>
        <w:t xml:space="preserve"> C, </w:t>
      </w:r>
      <w:r w:rsidRPr="00957B1B">
        <w:rPr>
          <w:sz w:val="20"/>
          <w:szCs w:val="20"/>
        </w:rPr>
        <w:t>Dawson A</w:t>
      </w:r>
      <w:r w:rsidR="00957B1B" w:rsidRPr="00957B1B">
        <w:rPr>
          <w:sz w:val="20"/>
          <w:szCs w:val="20"/>
        </w:rPr>
        <w:t xml:space="preserve">. </w:t>
      </w:r>
      <w:r w:rsidRPr="00957B1B">
        <w:rPr>
          <w:sz w:val="20"/>
          <w:szCs w:val="20"/>
        </w:rPr>
        <w:t>2001</w:t>
      </w:r>
      <w:r w:rsidR="00957B1B" w:rsidRPr="00957B1B">
        <w:rPr>
          <w:sz w:val="20"/>
          <w:szCs w:val="20"/>
        </w:rPr>
        <w:t xml:space="preserve"> </w:t>
      </w:r>
      <w:r w:rsidRPr="00957B1B">
        <w:rPr>
          <w:sz w:val="20"/>
          <w:szCs w:val="20"/>
        </w:rPr>
        <w:t xml:space="preserve"> The</w:t>
      </w:r>
      <w:r w:rsidRPr="00777BB6">
        <w:rPr>
          <w:sz w:val="20"/>
          <w:szCs w:val="20"/>
        </w:rPr>
        <w:t xml:space="preserve"> burden of osteoporotic fractures: a method for setting intervention thresholds. Osteoporos </w:t>
      </w:r>
      <w:proofErr w:type="spellStart"/>
      <w:r w:rsidRPr="00777BB6">
        <w:rPr>
          <w:sz w:val="20"/>
          <w:szCs w:val="20"/>
        </w:rPr>
        <w:t>Int</w:t>
      </w:r>
      <w:proofErr w:type="spellEnd"/>
      <w:r w:rsidRPr="00777BB6">
        <w:rPr>
          <w:sz w:val="20"/>
          <w:szCs w:val="20"/>
        </w:rPr>
        <w:t xml:space="preserve"> 12; 417-427.</w:t>
      </w:r>
    </w:p>
    <w:p w14:paraId="6EF22BE8" w14:textId="14FFD1D8" w:rsidR="001A4BEA" w:rsidRPr="00BC6D07" w:rsidRDefault="001A4BEA" w:rsidP="00B76A92">
      <w:pPr>
        <w:autoSpaceDE w:val="0"/>
        <w:autoSpaceDN w:val="0"/>
        <w:adjustRightInd w:val="0"/>
        <w:spacing w:line="276" w:lineRule="auto"/>
        <w:ind w:left="567" w:hanging="567"/>
        <w:rPr>
          <w:sz w:val="20"/>
          <w:szCs w:val="20"/>
        </w:rPr>
      </w:pPr>
      <w:r>
        <w:rPr>
          <w:bCs/>
          <w:sz w:val="20"/>
          <w:szCs w:val="20"/>
        </w:rPr>
        <w:t>27.</w:t>
      </w:r>
      <w:r>
        <w:rPr>
          <w:bCs/>
          <w:sz w:val="20"/>
          <w:szCs w:val="20"/>
        </w:rPr>
        <w:tab/>
      </w:r>
      <w:r w:rsidRPr="00890899">
        <w:rPr>
          <w:bCs/>
          <w:sz w:val="20"/>
          <w:szCs w:val="20"/>
        </w:rPr>
        <w:t>Kanis JA, Oden A, Johansson H, McCloskey E</w:t>
      </w:r>
      <w:r w:rsidR="00957B1B" w:rsidRPr="00957B1B">
        <w:rPr>
          <w:bCs/>
          <w:sz w:val="20"/>
          <w:szCs w:val="20"/>
        </w:rPr>
        <w:t>.</w:t>
      </w:r>
      <w:r w:rsidRPr="00957B1B">
        <w:rPr>
          <w:bCs/>
          <w:sz w:val="20"/>
          <w:szCs w:val="20"/>
        </w:rPr>
        <w:t xml:space="preserve"> 2012 Pitfalls</w:t>
      </w:r>
      <w:r w:rsidRPr="00890899">
        <w:rPr>
          <w:bCs/>
          <w:sz w:val="20"/>
          <w:szCs w:val="20"/>
        </w:rPr>
        <w:t xml:space="preserve"> in the external validation of FRAX.  Osteoporos </w:t>
      </w:r>
      <w:proofErr w:type="spellStart"/>
      <w:r w:rsidRPr="00890899">
        <w:rPr>
          <w:bCs/>
          <w:sz w:val="20"/>
          <w:szCs w:val="20"/>
        </w:rPr>
        <w:t>Int</w:t>
      </w:r>
      <w:proofErr w:type="spellEnd"/>
      <w:r w:rsidRPr="00890899">
        <w:rPr>
          <w:bCs/>
          <w:sz w:val="20"/>
          <w:szCs w:val="20"/>
        </w:rPr>
        <w:t xml:space="preserve"> 23: 423-31</w:t>
      </w:r>
    </w:p>
    <w:p w14:paraId="5B8B474F" w14:textId="41459054" w:rsidR="001A4BEA" w:rsidRDefault="001A4BEA" w:rsidP="00B76A92">
      <w:pPr>
        <w:spacing w:line="276" w:lineRule="auto"/>
        <w:ind w:left="567" w:hanging="567"/>
        <w:rPr>
          <w:sz w:val="20"/>
          <w:szCs w:val="20"/>
        </w:rPr>
      </w:pPr>
      <w:r>
        <w:rPr>
          <w:sz w:val="20"/>
          <w:szCs w:val="20"/>
        </w:rPr>
        <w:t>28.</w:t>
      </w:r>
      <w:r>
        <w:rPr>
          <w:sz w:val="20"/>
          <w:szCs w:val="20"/>
        </w:rPr>
        <w:tab/>
      </w:r>
      <w:r w:rsidRPr="00890899">
        <w:rPr>
          <w:sz w:val="20"/>
          <w:szCs w:val="20"/>
        </w:rPr>
        <w:t xml:space="preserve">Leslie WB, </w:t>
      </w:r>
      <w:proofErr w:type="spellStart"/>
      <w:r w:rsidRPr="00890899">
        <w:rPr>
          <w:sz w:val="20"/>
          <w:szCs w:val="20"/>
        </w:rPr>
        <w:t>Lix</w:t>
      </w:r>
      <w:proofErr w:type="spellEnd"/>
      <w:r w:rsidRPr="00890899">
        <w:rPr>
          <w:sz w:val="20"/>
          <w:szCs w:val="20"/>
        </w:rPr>
        <w:t xml:space="preserve"> LM</w:t>
      </w:r>
      <w:r w:rsidR="0004626D">
        <w:rPr>
          <w:sz w:val="20"/>
          <w:szCs w:val="20"/>
        </w:rPr>
        <w:t>.</w:t>
      </w:r>
      <w:r w:rsidRPr="00890899">
        <w:rPr>
          <w:sz w:val="20"/>
          <w:szCs w:val="20"/>
        </w:rPr>
        <w:t xml:space="preserve"> </w:t>
      </w:r>
      <w:proofErr w:type="gramStart"/>
      <w:r w:rsidRPr="00890899">
        <w:rPr>
          <w:sz w:val="20"/>
          <w:szCs w:val="20"/>
        </w:rPr>
        <w:t>2014 Comparison between various risk assessment tools.</w:t>
      </w:r>
      <w:proofErr w:type="gramEnd"/>
      <w:r w:rsidRPr="00890899">
        <w:rPr>
          <w:sz w:val="20"/>
          <w:szCs w:val="20"/>
        </w:rPr>
        <w:t xml:space="preserve"> Osteoporos </w:t>
      </w:r>
      <w:proofErr w:type="spellStart"/>
      <w:r w:rsidRPr="00890899">
        <w:rPr>
          <w:sz w:val="20"/>
          <w:szCs w:val="20"/>
        </w:rPr>
        <w:t>Int</w:t>
      </w:r>
      <w:proofErr w:type="spellEnd"/>
      <w:r w:rsidRPr="00890899">
        <w:rPr>
          <w:sz w:val="20"/>
          <w:szCs w:val="20"/>
        </w:rPr>
        <w:t xml:space="preserve"> 25: 1-21</w:t>
      </w:r>
      <w:r w:rsidR="0004626D">
        <w:rPr>
          <w:sz w:val="20"/>
          <w:szCs w:val="20"/>
        </w:rPr>
        <w:t>.</w:t>
      </w:r>
    </w:p>
    <w:p w14:paraId="093B8E6D" w14:textId="68AFD340" w:rsidR="001A4BEA" w:rsidRPr="00AF4CBC" w:rsidRDefault="001A4BEA" w:rsidP="00B76A92">
      <w:pPr>
        <w:spacing w:line="276" w:lineRule="auto"/>
        <w:ind w:left="567" w:hanging="567"/>
        <w:rPr>
          <w:sz w:val="20"/>
          <w:szCs w:val="20"/>
        </w:rPr>
      </w:pPr>
      <w:r>
        <w:rPr>
          <w:iCs/>
          <w:sz w:val="20"/>
          <w:szCs w:val="20"/>
        </w:rPr>
        <w:t>29.</w:t>
      </w:r>
      <w:r>
        <w:rPr>
          <w:iCs/>
          <w:sz w:val="20"/>
          <w:szCs w:val="20"/>
        </w:rPr>
        <w:tab/>
      </w:r>
      <w:r w:rsidRPr="007963B7">
        <w:rPr>
          <w:iCs/>
          <w:sz w:val="20"/>
          <w:szCs w:val="20"/>
        </w:rPr>
        <w:t xml:space="preserve">Thomsen K, </w:t>
      </w:r>
      <w:proofErr w:type="spellStart"/>
      <w:r w:rsidRPr="007963B7">
        <w:rPr>
          <w:iCs/>
          <w:sz w:val="20"/>
          <w:szCs w:val="20"/>
        </w:rPr>
        <w:t>Ryg</w:t>
      </w:r>
      <w:proofErr w:type="spellEnd"/>
      <w:r w:rsidRPr="007963B7">
        <w:rPr>
          <w:iCs/>
          <w:sz w:val="20"/>
          <w:szCs w:val="20"/>
        </w:rPr>
        <w:t xml:space="preserve"> J, </w:t>
      </w:r>
      <w:proofErr w:type="spellStart"/>
      <w:r w:rsidRPr="007963B7">
        <w:rPr>
          <w:iCs/>
          <w:sz w:val="20"/>
          <w:szCs w:val="20"/>
        </w:rPr>
        <w:t>Matzen</w:t>
      </w:r>
      <w:proofErr w:type="spellEnd"/>
      <w:r w:rsidRPr="007963B7">
        <w:rPr>
          <w:iCs/>
          <w:sz w:val="20"/>
          <w:szCs w:val="20"/>
        </w:rPr>
        <w:t xml:space="preserve"> </w:t>
      </w:r>
      <w:r w:rsidR="0004626D" w:rsidRPr="007963B7">
        <w:rPr>
          <w:iCs/>
          <w:sz w:val="20"/>
          <w:szCs w:val="20"/>
        </w:rPr>
        <w:t>L,</w:t>
      </w:r>
      <w:r w:rsidRPr="007963B7">
        <w:rPr>
          <w:iCs/>
          <w:sz w:val="20"/>
          <w:szCs w:val="20"/>
        </w:rPr>
        <w:t xml:space="preserve"> Hermann AP, </w:t>
      </w:r>
      <w:proofErr w:type="spellStart"/>
      <w:r w:rsidRPr="007963B7">
        <w:rPr>
          <w:iCs/>
          <w:sz w:val="20"/>
          <w:szCs w:val="20"/>
        </w:rPr>
        <w:t>Masud</w:t>
      </w:r>
      <w:proofErr w:type="spellEnd"/>
      <w:r w:rsidRPr="007963B7">
        <w:rPr>
          <w:iCs/>
          <w:sz w:val="20"/>
          <w:szCs w:val="20"/>
        </w:rPr>
        <w:t xml:space="preserve"> T</w:t>
      </w:r>
      <w:r w:rsidR="0004626D">
        <w:rPr>
          <w:iCs/>
          <w:sz w:val="20"/>
          <w:szCs w:val="20"/>
        </w:rPr>
        <w:t xml:space="preserve">. </w:t>
      </w:r>
      <w:r w:rsidRPr="007963B7">
        <w:rPr>
          <w:iCs/>
          <w:sz w:val="20"/>
          <w:szCs w:val="20"/>
        </w:rPr>
        <w:t>2014 Choice of osteoporosis guideline has important implications for the treatment decision in elderly women referred to a fall clinic. Dan Med J 61: A4980</w:t>
      </w:r>
      <w:r w:rsidR="0004626D">
        <w:rPr>
          <w:iCs/>
          <w:sz w:val="20"/>
          <w:szCs w:val="20"/>
        </w:rPr>
        <w:t>.</w:t>
      </w:r>
    </w:p>
    <w:p w14:paraId="4CD38E37" w14:textId="419BD834" w:rsidR="001A4BEA" w:rsidRDefault="001A4BEA" w:rsidP="00B76A92">
      <w:pPr>
        <w:spacing w:line="276" w:lineRule="auto"/>
        <w:ind w:left="567" w:hanging="567"/>
        <w:rPr>
          <w:sz w:val="20"/>
          <w:szCs w:val="20"/>
        </w:rPr>
      </w:pPr>
      <w:r w:rsidRPr="0004626D">
        <w:rPr>
          <w:sz w:val="20"/>
          <w:szCs w:val="20"/>
        </w:rPr>
        <w:t>30.</w:t>
      </w:r>
      <w:r w:rsidRPr="0004626D">
        <w:rPr>
          <w:sz w:val="20"/>
          <w:szCs w:val="20"/>
        </w:rPr>
        <w:tab/>
      </w:r>
      <w:proofErr w:type="spellStart"/>
      <w:r w:rsidRPr="0004626D">
        <w:rPr>
          <w:sz w:val="20"/>
          <w:szCs w:val="20"/>
        </w:rPr>
        <w:t>Langsetmo</w:t>
      </w:r>
      <w:proofErr w:type="spellEnd"/>
      <w:r w:rsidRPr="0004626D">
        <w:rPr>
          <w:sz w:val="20"/>
          <w:szCs w:val="20"/>
        </w:rPr>
        <w:t xml:space="preserve"> L, Nguyen TV, Nguyen ND</w:t>
      </w:r>
      <w:r w:rsidR="0004626D">
        <w:rPr>
          <w:sz w:val="20"/>
          <w:szCs w:val="20"/>
        </w:rPr>
        <w:t>,</w:t>
      </w:r>
      <w:r w:rsidRPr="0004626D">
        <w:rPr>
          <w:sz w:val="20"/>
          <w:szCs w:val="20"/>
        </w:rPr>
        <w:t xml:space="preserve"> et al. </w:t>
      </w:r>
      <w:r w:rsidRPr="00890899">
        <w:rPr>
          <w:sz w:val="20"/>
          <w:szCs w:val="20"/>
        </w:rPr>
        <w:t>2011 Independent</w:t>
      </w:r>
      <w:r>
        <w:rPr>
          <w:sz w:val="20"/>
          <w:szCs w:val="20"/>
        </w:rPr>
        <w:t xml:space="preserve"> </w:t>
      </w:r>
      <w:r w:rsidRPr="00890899">
        <w:rPr>
          <w:sz w:val="20"/>
          <w:szCs w:val="20"/>
        </w:rPr>
        <w:t>external validation of nomograms for predicting risk of low</w:t>
      </w:r>
      <w:r>
        <w:rPr>
          <w:sz w:val="20"/>
          <w:szCs w:val="20"/>
        </w:rPr>
        <w:t xml:space="preserve"> </w:t>
      </w:r>
      <w:r w:rsidRPr="00890899">
        <w:rPr>
          <w:sz w:val="20"/>
          <w:szCs w:val="20"/>
        </w:rPr>
        <w:t>trauma</w:t>
      </w:r>
      <w:r>
        <w:rPr>
          <w:sz w:val="20"/>
          <w:szCs w:val="20"/>
        </w:rPr>
        <w:t xml:space="preserve"> </w:t>
      </w:r>
      <w:r w:rsidRPr="00890899">
        <w:rPr>
          <w:sz w:val="20"/>
          <w:szCs w:val="20"/>
        </w:rPr>
        <w:t>fracture and hip fracture. CMAJ 183:E107</w:t>
      </w:r>
    </w:p>
    <w:p w14:paraId="6B03AAAC" w14:textId="552F640B" w:rsidR="001A4BEA" w:rsidRDefault="001A4BEA" w:rsidP="00B76A92">
      <w:pPr>
        <w:pStyle w:val="CommentText"/>
        <w:ind w:left="567" w:hanging="567"/>
      </w:pPr>
      <w:r w:rsidRPr="0004626D">
        <w:t>31.</w:t>
      </w:r>
      <w:r w:rsidRPr="0004626D">
        <w:tab/>
        <w:t xml:space="preserve">Ahmed LA, Nguyen ND, </w:t>
      </w:r>
      <w:proofErr w:type="spellStart"/>
      <w:r w:rsidRPr="0004626D">
        <w:t>Bjørnerem</w:t>
      </w:r>
      <w:proofErr w:type="spellEnd"/>
      <w:r w:rsidRPr="0004626D">
        <w:t xml:space="preserve"> A, et al. </w:t>
      </w:r>
      <w:r w:rsidRPr="00FE67EA">
        <w:t xml:space="preserve">2014 External Validation of the </w:t>
      </w:r>
      <w:proofErr w:type="spellStart"/>
      <w:r w:rsidRPr="00FE67EA">
        <w:t>Garvan</w:t>
      </w:r>
      <w:proofErr w:type="spellEnd"/>
      <w:r w:rsidRPr="00FE67EA">
        <w:t xml:space="preserve"> Nomograms for Predicting Absolute Fracture Risk: The </w:t>
      </w:r>
      <w:proofErr w:type="spellStart"/>
      <w:r w:rsidRPr="00FE67EA">
        <w:t>Tromsø</w:t>
      </w:r>
      <w:proofErr w:type="spellEnd"/>
      <w:r w:rsidRPr="00FE67EA">
        <w:t xml:space="preserve"> Study. PLoS ONE 9(9): e107695. </w:t>
      </w:r>
    </w:p>
    <w:p w14:paraId="06B76865" w14:textId="4AD29394" w:rsidR="001A4BEA" w:rsidRPr="00554D79" w:rsidRDefault="001A4BEA" w:rsidP="00B76A92">
      <w:pPr>
        <w:pStyle w:val="CommentText"/>
        <w:ind w:left="567" w:hanging="567"/>
      </w:pPr>
      <w:r>
        <w:t>32.</w:t>
      </w:r>
      <w:r>
        <w:tab/>
      </w:r>
      <w:r w:rsidRPr="00554D79">
        <w:t xml:space="preserve">Davis S, Martyn-St James M, Sanderson J, </w:t>
      </w:r>
      <w:r w:rsidR="0004626D">
        <w:t>et al.</w:t>
      </w:r>
      <w:r w:rsidRPr="00554D79">
        <w:t xml:space="preserve"> 2015 Bisphosphonates for preventing osteoporotic fragility fractures (including a partial update of NICE technology appraisal guidance 160 and 161). Technology Assessment Report: Final report to the National Institute for Health and Care Excellence</w:t>
      </w:r>
      <w:r w:rsidR="0004626D">
        <w:t>.</w:t>
      </w:r>
    </w:p>
    <w:p w14:paraId="452CB159" w14:textId="5F36C152" w:rsidR="001A4BEA" w:rsidRPr="00554D79" w:rsidRDefault="001A4BEA" w:rsidP="00B76A92">
      <w:pPr>
        <w:autoSpaceDE w:val="0"/>
        <w:autoSpaceDN w:val="0"/>
        <w:adjustRightInd w:val="0"/>
        <w:spacing w:line="276" w:lineRule="auto"/>
        <w:ind w:left="567" w:hanging="567"/>
        <w:rPr>
          <w:sz w:val="20"/>
          <w:szCs w:val="20"/>
        </w:rPr>
      </w:pPr>
      <w:r>
        <w:rPr>
          <w:sz w:val="20"/>
          <w:szCs w:val="20"/>
        </w:rPr>
        <w:t>33.</w:t>
      </w:r>
      <w:r>
        <w:rPr>
          <w:sz w:val="20"/>
          <w:szCs w:val="20"/>
        </w:rPr>
        <w:tab/>
      </w:r>
      <w:proofErr w:type="spellStart"/>
      <w:r w:rsidRPr="00554D79">
        <w:rPr>
          <w:sz w:val="20"/>
          <w:szCs w:val="20"/>
        </w:rPr>
        <w:t>Hippisley</w:t>
      </w:r>
      <w:proofErr w:type="spellEnd"/>
      <w:r w:rsidRPr="00554D79">
        <w:rPr>
          <w:sz w:val="20"/>
          <w:szCs w:val="20"/>
        </w:rPr>
        <w:t xml:space="preserve">-Cox J &amp; </w:t>
      </w:r>
      <w:proofErr w:type="spellStart"/>
      <w:r w:rsidRPr="00554D79">
        <w:rPr>
          <w:sz w:val="20"/>
          <w:szCs w:val="20"/>
        </w:rPr>
        <w:t>Coupland</w:t>
      </w:r>
      <w:proofErr w:type="spellEnd"/>
      <w:r w:rsidRPr="00554D79">
        <w:rPr>
          <w:sz w:val="20"/>
          <w:szCs w:val="20"/>
        </w:rPr>
        <w:t xml:space="preserve"> C</w:t>
      </w:r>
      <w:r w:rsidR="0004626D">
        <w:rPr>
          <w:sz w:val="20"/>
          <w:szCs w:val="20"/>
        </w:rPr>
        <w:t xml:space="preserve">. </w:t>
      </w:r>
      <w:r w:rsidR="00467769" w:rsidRPr="00554D79">
        <w:rPr>
          <w:sz w:val="20"/>
          <w:szCs w:val="20"/>
        </w:rPr>
        <w:t>2011</w:t>
      </w:r>
      <w:r w:rsidR="00467769">
        <w:rPr>
          <w:sz w:val="20"/>
          <w:szCs w:val="20"/>
        </w:rPr>
        <w:t xml:space="preserve"> </w:t>
      </w:r>
      <w:r w:rsidR="00467769" w:rsidRPr="00554D79">
        <w:rPr>
          <w:sz w:val="20"/>
          <w:szCs w:val="20"/>
        </w:rPr>
        <w:t>Validation</w:t>
      </w:r>
      <w:r w:rsidRPr="00554D79">
        <w:rPr>
          <w:sz w:val="20"/>
          <w:szCs w:val="20"/>
        </w:rPr>
        <w:t xml:space="preserve"> of </w:t>
      </w:r>
      <w:proofErr w:type="spellStart"/>
      <w:r w:rsidRPr="00554D79">
        <w:rPr>
          <w:sz w:val="20"/>
          <w:szCs w:val="20"/>
        </w:rPr>
        <w:t>QFracture</w:t>
      </w:r>
      <w:proofErr w:type="spellEnd"/>
      <w:r w:rsidRPr="00554D79">
        <w:rPr>
          <w:sz w:val="20"/>
          <w:szCs w:val="20"/>
        </w:rPr>
        <w:t xml:space="preserve"> compared with FRAX.  Analysis prepared for NICE 2011. </w:t>
      </w:r>
      <w:hyperlink r:id="rId15" w:history="1">
        <w:r w:rsidR="0004626D" w:rsidRPr="00016021">
          <w:rPr>
            <w:rStyle w:val="Hyperlink"/>
            <w:sz w:val="20"/>
            <w:szCs w:val="20"/>
          </w:rPr>
          <w:t>http://www.qfracture.org/Validation-of-QFracture-vs-FRAX-for-NICE-2011.pdf</w:t>
        </w:r>
      </w:hyperlink>
      <w:r w:rsidR="0004626D">
        <w:rPr>
          <w:sz w:val="20"/>
          <w:szCs w:val="20"/>
        </w:rPr>
        <w:t xml:space="preserve"> </w:t>
      </w:r>
      <w:r w:rsidRPr="00554D79">
        <w:rPr>
          <w:sz w:val="20"/>
          <w:szCs w:val="20"/>
        </w:rPr>
        <w:t xml:space="preserve"> accessed 15 May 2015</w:t>
      </w:r>
    </w:p>
    <w:p w14:paraId="5E9C882F" w14:textId="6F848E99" w:rsidR="001A4BEA" w:rsidRPr="00554D79" w:rsidRDefault="001A4BEA" w:rsidP="00B76A92">
      <w:pPr>
        <w:spacing w:line="276" w:lineRule="auto"/>
        <w:ind w:left="567" w:hanging="567"/>
        <w:rPr>
          <w:sz w:val="20"/>
          <w:szCs w:val="20"/>
        </w:rPr>
      </w:pPr>
      <w:r w:rsidRPr="0004626D">
        <w:rPr>
          <w:sz w:val="20"/>
          <w:szCs w:val="20"/>
        </w:rPr>
        <w:t>34.</w:t>
      </w:r>
      <w:r w:rsidRPr="0004626D">
        <w:rPr>
          <w:sz w:val="20"/>
          <w:szCs w:val="20"/>
        </w:rPr>
        <w:tab/>
        <w:t>Kanis JA, Compston J, Cooper C</w:t>
      </w:r>
      <w:r w:rsidR="0004626D" w:rsidRPr="0004626D">
        <w:rPr>
          <w:sz w:val="20"/>
          <w:szCs w:val="20"/>
        </w:rPr>
        <w:t>,</w:t>
      </w:r>
      <w:r w:rsidRPr="0004626D">
        <w:rPr>
          <w:sz w:val="20"/>
          <w:szCs w:val="20"/>
        </w:rPr>
        <w:t xml:space="preserve"> et al</w:t>
      </w:r>
      <w:r w:rsidR="0004626D" w:rsidRPr="0004626D">
        <w:rPr>
          <w:sz w:val="20"/>
          <w:szCs w:val="20"/>
        </w:rPr>
        <w:t xml:space="preserve">. </w:t>
      </w:r>
      <w:r w:rsidRPr="0004626D">
        <w:rPr>
          <w:sz w:val="20"/>
          <w:szCs w:val="20"/>
        </w:rPr>
        <w:t>201</w:t>
      </w:r>
      <w:r w:rsidR="0004626D" w:rsidRPr="0004626D">
        <w:rPr>
          <w:sz w:val="20"/>
          <w:szCs w:val="20"/>
        </w:rPr>
        <w:t xml:space="preserve">6 </w:t>
      </w:r>
      <w:r w:rsidRPr="0004626D">
        <w:rPr>
          <w:sz w:val="20"/>
          <w:szCs w:val="20"/>
        </w:rPr>
        <w:t xml:space="preserve">SIGN guidelines for Scotland.  </w:t>
      </w:r>
      <w:proofErr w:type="gramStart"/>
      <w:r w:rsidRPr="0004626D">
        <w:rPr>
          <w:sz w:val="20"/>
          <w:szCs w:val="20"/>
        </w:rPr>
        <w:t xml:space="preserve">BMD vs. FRAX vs. </w:t>
      </w:r>
      <w:proofErr w:type="spellStart"/>
      <w:r w:rsidRPr="0004626D">
        <w:rPr>
          <w:sz w:val="20"/>
          <w:szCs w:val="20"/>
        </w:rPr>
        <w:t>QFracture</w:t>
      </w:r>
      <w:proofErr w:type="spellEnd"/>
      <w:r w:rsidRPr="0004626D">
        <w:rPr>
          <w:sz w:val="20"/>
          <w:szCs w:val="20"/>
        </w:rPr>
        <w:t>.</w:t>
      </w:r>
      <w:proofErr w:type="gramEnd"/>
      <w:r w:rsidRPr="0004626D">
        <w:rPr>
          <w:sz w:val="20"/>
          <w:szCs w:val="20"/>
        </w:rPr>
        <w:t xml:space="preserve">  </w:t>
      </w:r>
      <w:proofErr w:type="spellStart"/>
      <w:r w:rsidRPr="0004626D">
        <w:rPr>
          <w:sz w:val="20"/>
          <w:szCs w:val="20"/>
        </w:rPr>
        <w:t>Calcif</w:t>
      </w:r>
      <w:proofErr w:type="spellEnd"/>
      <w:r w:rsidRPr="0004626D">
        <w:rPr>
          <w:sz w:val="20"/>
          <w:szCs w:val="20"/>
        </w:rPr>
        <w:t xml:space="preserve"> Tissue </w:t>
      </w:r>
      <w:proofErr w:type="spellStart"/>
      <w:r w:rsidRPr="0004626D">
        <w:rPr>
          <w:sz w:val="20"/>
          <w:szCs w:val="20"/>
        </w:rPr>
        <w:t>Int</w:t>
      </w:r>
      <w:proofErr w:type="spellEnd"/>
      <w:r w:rsidRPr="0004626D">
        <w:rPr>
          <w:sz w:val="20"/>
          <w:szCs w:val="20"/>
        </w:rPr>
        <w:t xml:space="preserve"> 98</w:t>
      </w:r>
      <w:r w:rsidR="0004626D" w:rsidRPr="0004626D">
        <w:rPr>
          <w:sz w:val="20"/>
          <w:szCs w:val="20"/>
        </w:rPr>
        <w:t>:</w:t>
      </w:r>
      <w:r w:rsidRPr="0004626D">
        <w:rPr>
          <w:sz w:val="20"/>
          <w:szCs w:val="20"/>
        </w:rPr>
        <w:t>417-25.</w:t>
      </w:r>
    </w:p>
    <w:p w14:paraId="36215FA5" w14:textId="5C884722" w:rsidR="001A4BEA" w:rsidRPr="00554D79" w:rsidRDefault="001A4BEA" w:rsidP="00B76A92">
      <w:pPr>
        <w:pStyle w:val="CommentText"/>
        <w:ind w:left="567" w:hanging="567"/>
      </w:pPr>
      <w:r w:rsidRPr="006572CD">
        <w:t>35.</w:t>
      </w:r>
      <w:r w:rsidRPr="006572CD">
        <w:tab/>
      </w:r>
      <w:proofErr w:type="spellStart"/>
      <w:r w:rsidRPr="006572CD">
        <w:t>DeLusignan</w:t>
      </w:r>
      <w:proofErr w:type="spellEnd"/>
      <w:r w:rsidRPr="006572CD">
        <w:t xml:space="preserve"> S, Valentin T, Chan T</w:t>
      </w:r>
      <w:r w:rsidR="006572CD" w:rsidRPr="006572CD">
        <w:t>,</w:t>
      </w:r>
      <w:r w:rsidRPr="006572CD">
        <w:t xml:space="preserve"> et al</w:t>
      </w:r>
      <w:r w:rsidR="006572CD" w:rsidRPr="006572CD">
        <w:t>.</w:t>
      </w:r>
      <w:r w:rsidRPr="006572CD">
        <w:t xml:space="preserve"> </w:t>
      </w:r>
      <w:r w:rsidRPr="00554D79">
        <w:t>2004 Problems with primary care data quality: Osteoporosis as an exemplar. Informatics in Primary Care 12:147–156</w:t>
      </w:r>
      <w:r w:rsidR="006572CD">
        <w:t>.</w:t>
      </w:r>
    </w:p>
    <w:p w14:paraId="395F1E59" w14:textId="39F801F3" w:rsidR="001A4BEA" w:rsidRDefault="001A4BEA" w:rsidP="00B76A92">
      <w:pPr>
        <w:autoSpaceDE w:val="0"/>
        <w:autoSpaceDN w:val="0"/>
        <w:adjustRightInd w:val="0"/>
        <w:spacing w:line="276" w:lineRule="auto"/>
        <w:ind w:left="567" w:hanging="567"/>
        <w:rPr>
          <w:sz w:val="20"/>
          <w:szCs w:val="20"/>
        </w:rPr>
      </w:pPr>
      <w:r>
        <w:rPr>
          <w:bCs/>
          <w:sz w:val="20"/>
          <w:szCs w:val="20"/>
        </w:rPr>
        <w:t>36.</w:t>
      </w:r>
      <w:r>
        <w:rPr>
          <w:bCs/>
          <w:sz w:val="20"/>
          <w:szCs w:val="20"/>
        </w:rPr>
        <w:tab/>
      </w:r>
      <w:r w:rsidRPr="005161B1">
        <w:rPr>
          <w:bCs/>
          <w:sz w:val="20"/>
          <w:szCs w:val="20"/>
        </w:rPr>
        <w:t>Johansson H, Kanis JA, Oden A, Compston J, McCloskey E</w:t>
      </w:r>
      <w:r w:rsidR="006572CD">
        <w:rPr>
          <w:bCs/>
          <w:sz w:val="20"/>
          <w:szCs w:val="20"/>
        </w:rPr>
        <w:t>.</w:t>
      </w:r>
      <w:r w:rsidRPr="005161B1">
        <w:rPr>
          <w:bCs/>
          <w:sz w:val="20"/>
          <w:szCs w:val="20"/>
        </w:rPr>
        <w:t xml:space="preserve"> 2012 A comparison of case-finding strategies in the UK for the management of hip fractures. Osteoporos </w:t>
      </w:r>
      <w:proofErr w:type="spellStart"/>
      <w:r w:rsidRPr="005161B1">
        <w:rPr>
          <w:bCs/>
          <w:sz w:val="20"/>
          <w:szCs w:val="20"/>
        </w:rPr>
        <w:t>Int</w:t>
      </w:r>
      <w:proofErr w:type="spellEnd"/>
      <w:r w:rsidRPr="005161B1">
        <w:rPr>
          <w:bCs/>
          <w:sz w:val="20"/>
          <w:szCs w:val="20"/>
        </w:rPr>
        <w:t xml:space="preserve"> 23: 907-915.  </w:t>
      </w:r>
    </w:p>
    <w:p w14:paraId="111C1B45" w14:textId="779D95CE" w:rsidR="001A4BEA" w:rsidRPr="00554D79" w:rsidRDefault="001A4BEA" w:rsidP="00B76A92">
      <w:pPr>
        <w:spacing w:line="276" w:lineRule="auto"/>
        <w:ind w:left="567" w:hanging="567"/>
        <w:rPr>
          <w:sz w:val="20"/>
          <w:szCs w:val="20"/>
        </w:rPr>
      </w:pPr>
      <w:r>
        <w:rPr>
          <w:sz w:val="20"/>
          <w:szCs w:val="20"/>
        </w:rPr>
        <w:t>37.</w:t>
      </w:r>
      <w:r>
        <w:rPr>
          <w:sz w:val="20"/>
          <w:szCs w:val="20"/>
        </w:rPr>
        <w:tab/>
      </w:r>
      <w:proofErr w:type="spellStart"/>
      <w:r w:rsidRPr="00554D79">
        <w:rPr>
          <w:sz w:val="20"/>
          <w:szCs w:val="20"/>
        </w:rPr>
        <w:t>Klotzbuecher</w:t>
      </w:r>
      <w:proofErr w:type="spellEnd"/>
      <w:r w:rsidRPr="00554D79">
        <w:rPr>
          <w:sz w:val="20"/>
          <w:szCs w:val="20"/>
        </w:rPr>
        <w:t xml:space="preserve"> CM, Ross PD, Landsman PB, Abbott TA, </w:t>
      </w:r>
      <w:proofErr w:type="gramStart"/>
      <w:r w:rsidRPr="00554D79">
        <w:rPr>
          <w:sz w:val="20"/>
          <w:szCs w:val="20"/>
        </w:rPr>
        <w:t>Berger</w:t>
      </w:r>
      <w:proofErr w:type="gramEnd"/>
      <w:r w:rsidRPr="00554D79">
        <w:rPr>
          <w:sz w:val="20"/>
          <w:szCs w:val="20"/>
        </w:rPr>
        <w:t xml:space="preserve"> M. </w:t>
      </w:r>
      <w:r w:rsidR="006572CD">
        <w:rPr>
          <w:sz w:val="20"/>
          <w:szCs w:val="20"/>
        </w:rPr>
        <w:t xml:space="preserve">2000 </w:t>
      </w:r>
      <w:r w:rsidRPr="00554D79">
        <w:rPr>
          <w:sz w:val="20"/>
          <w:szCs w:val="20"/>
        </w:rPr>
        <w:t xml:space="preserve">Patients with prior fractures have an increased risk of future fractures: a summary of the literature and statistical synthesis. </w:t>
      </w:r>
      <w:r w:rsidR="006572CD" w:rsidRPr="006572CD">
        <w:rPr>
          <w:i/>
          <w:iCs/>
          <w:sz w:val="20"/>
          <w:szCs w:val="20"/>
        </w:rPr>
        <w:t xml:space="preserve">. </w:t>
      </w:r>
      <w:r w:rsidR="006572CD" w:rsidRPr="006572CD">
        <w:rPr>
          <w:iCs/>
          <w:sz w:val="20"/>
          <w:szCs w:val="20"/>
        </w:rPr>
        <w:t>J Bone Miner Res</w:t>
      </w:r>
      <w:r w:rsidRPr="006572CD">
        <w:rPr>
          <w:sz w:val="20"/>
          <w:szCs w:val="20"/>
        </w:rPr>
        <w:t xml:space="preserve"> 15</w:t>
      </w:r>
      <w:r w:rsidRPr="00554D79">
        <w:rPr>
          <w:sz w:val="20"/>
          <w:szCs w:val="20"/>
        </w:rPr>
        <w:t>(4):721-739.</w:t>
      </w:r>
    </w:p>
    <w:p w14:paraId="7E4EDEDC" w14:textId="7168E220" w:rsidR="001A4BEA" w:rsidRPr="007468DB" w:rsidRDefault="001A4BEA" w:rsidP="00B76A92">
      <w:pPr>
        <w:spacing w:line="276" w:lineRule="auto"/>
        <w:ind w:left="567" w:hanging="567"/>
        <w:rPr>
          <w:sz w:val="20"/>
          <w:szCs w:val="20"/>
        </w:rPr>
      </w:pPr>
      <w:r w:rsidRPr="006572CD">
        <w:rPr>
          <w:sz w:val="20"/>
          <w:szCs w:val="20"/>
        </w:rPr>
        <w:t>38.</w:t>
      </w:r>
      <w:r w:rsidRPr="006572CD">
        <w:rPr>
          <w:sz w:val="20"/>
          <w:szCs w:val="20"/>
        </w:rPr>
        <w:tab/>
      </w:r>
      <w:proofErr w:type="spellStart"/>
      <w:r w:rsidRPr="006572CD">
        <w:rPr>
          <w:sz w:val="20"/>
          <w:szCs w:val="20"/>
        </w:rPr>
        <w:t>Siggeirsdottir</w:t>
      </w:r>
      <w:proofErr w:type="spellEnd"/>
      <w:r w:rsidRPr="006572CD">
        <w:rPr>
          <w:sz w:val="20"/>
          <w:szCs w:val="20"/>
        </w:rPr>
        <w:t xml:space="preserve"> K, </w:t>
      </w:r>
      <w:proofErr w:type="spellStart"/>
      <w:r w:rsidRPr="006572CD">
        <w:rPr>
          <w:sz w:val="20"/>
          <w:szCs w:val="20"/>
        </w:rPr>
        <w:t>Aspelund</w:t>
      </w:r>
      <w:proofErr w:type="spellEnd"/>
      <w:r w:rsidRPr="006572CD">
        <w:rPr>
          <w:sz w:val="20"/>
          <w:szCs w:val="20"/>
        </w:rPr>
        <w:t xml:space="preserve"> T, Johansson H, </w:t>
      </w:r>
      <w:r w:rsidR="006572CD" w:rsidRPr="006572CD">
        <w:rPr>
          <w:sz w:val="20"/>
          <w:szCs w:val="20"/>
        </w:rPr>
        <w:t>et al.</w:t>
      </w:r>
      <w:r w:rsidRPr="006572CD">
        <w:rPr>
          <w:sz w:val="20"/>
          <w:szCs w:val="20"/>
        </w:rPr>
        <w:t xml:space="preserve"> </w:t>
      </w:r>
      <w:r w:rsidRPr="00777BB6">
        <w:rPr>
          <w:sz w:val="20"/>
          <w:szCs w:val="20"/>
        </w:rPr>
        <w:t xml:space="preserve">2014 </w:t>
      </w:r>
      <w:proofErr w:type="gramStart"/>
      <w:r w:rsidRPr="00777BB6">
        <w:rPr>
          <w:sz w:val="20"/>
          <w:szCs w:val="20"/>
        </w:rPr>
        <w:t>The</w:t>
      </w:r>
      <w:proofErr w:type="gramEnd"/>
      <w:r w:rsidRPr="00777BB6">
        <w:rPr>
          <w:sz w:val="20"/>
          <w:szCs w:val="20"/>
        </w:rPr>
        <w:t xml:space="preserve"> incidence of a first major osteoporotic fracture in Iceland and implications for FRAX.   Osteoporos </w:t>
      </w:r>
      <w:proofErr w:type="spellStart"/>
      <w:r w:rsidRPr="00777BB6">
        <w:rPr>
          <w:sz w:val="20"/>
          <w:szCs w:val="20"/>
        </w:rPr>
        <w:t>Int</w:t>
      </w:r>
      <w:proofErr w:type="spellEnd"/>
      <w:r w:rsidRPr="00777BB6">
        <w:rPr>
          <w:sz w:val="20"/>
          <w:szCs w:val="20"/>
        </w:rPr>
        <w:t xml:space="preserve"> 25: 2445-2451.</w:t>
      </w:r>
    </w:p>
    <w:p w14:paraId="32C891FD" w14:textId="41B584FE" w:rsidR="001A4BEA" w:rsidRPr="006572CD" w:rsidRDefault="001A4BEA" w:rsidP="00B76A92">
      <w:pPr>
        <w:spacing w:line="276" w:lineRule="auto"/>
        <w:ind w:left="567" w:hanging="567"/>
        <w:rPr>
          <w:sz w:val="20"/>
          <w:szCs w:val="20"/>
        </w:rPr>
      </w:pPr>
      <w:r>
        <w:rPr>
          <w:sz w:val="20"/>
          <w:szCs w:val="20"/>
        </w:rPr>
        <w:t>39.</w:t>
      </w:r>
      <w:r>
        <w:rPr>
          <w:sz w:val="20"/>
          <w:szCs w:val="20"/>
        </w:rPr>
        <w:tab/>
      </w:r>
      <w:r w:rsidRPr="00777BB6">
        <w:rPr>
          <w:sz w:val="20"/>
          <w:szCs w:val="20"/>
        </w:rPr>
        <w:t xml:space="preserve">Lam A, Leslie WD, </w:t>
      </w:r>
      <w:proofErr w:type="spellStart"/>
      <w:r w:rsidRPr="00777BB6">
        <w:rPr>
          <w:sz w:val="20"/>
          <w:szCs w:val="20"/>
        </w:rPr>
        <w:t>Lix</w:t>
      </w:r>
      <w:proofErr w:type="spellEnd"/>
      <w:r w:rsidRPr="00777BB6">
        <w:rPr>
          <w:sz w:val="20"/>
          <w:szCs w:val="20"/>
        </w:rPr>
        <w:t xml:space="preserve"> LM, </w:t>
      </w:r>
      <w:proofErr w:type="spellStart"/>
      <w:r w:rsidRPr="00777BB6">
        <w:rPr>
          <w:sz w:val="20"/>
          <w:szCs w:val="20"/>
        </w:rPr>
        <w:t>Yogendran</w:t>
      </w:r>
      <w:proofErr w:type="spellEnd"/>
      <w:r w:rsidRPr="00777BB6">
        <w:rPr>
          <w:sz w:val="20"/>
          <w:szCs w:val="20"/>
        </w:rPr>
        <w:t xml:space="preserve"> M, Morin SN, </w:t>
      </w:r>
      <w:proofErr w:type="spellStart"/>
      <w:r w:rsidRPr="00777BB6">
        <w:rPr>
          <w:sz w:val="20"/>
          <w:szCs w:val="20"/>
        </w:rPr>
        <w:t>Majumdar</w:t>
      </w:r>
      <w:proofErr w:type="spellEnd"/>
      <w:r w:rsidRPr="00777BB6">
        <w:rPr>
          <w:sz w:val="20"/>
          <w:szCs w:val="20"/>
        </w:rPr>
        <w:t xml:space="preserve"> SR</w:t>
      </w:r>
      <w:r w:rsidR="006572CD">
        <w:rPr>
          <w:sz w:val="20"/>
          <w:szCs w:val="20"/>
        </w:rPr>
        <w:t>.</w:t>
      </w:r>
      <w:r w:rsidRPr="00777BB6">
        <w:rPr>
          <w:sz w:val="20"/>
          <w:szCs w:val="20"/>
        </w:rPr>
        <w:t xml:space="preserve"> 2014 Major osteoporotic to hip fracture ratios in Canadian men and women with Swedish comparisons: a population-based analysis. </w:t>
      </w:r>
      <w:r w:rsidRPr="006572CD">
        <w:rPr>
          <w:sz w:val="20"/>
          <w:szCs w:val="20"/>
        </w:rPr>
        <w:t>J Bone Miner Res 29:1067-73.</w:t>
      </w:r>
    </w:p>
    <w:p w14:paraId="53955852" w14:textId="40B0D081" w:rsidR="001A4BEA" w:rsidRDefault="001A4BEA" w:rsidP="00B76A92">
      <w:pPr>
        <w:spacing w:line="276" w:lineRule="auto"/>
        <w:ind w:left="567" w:hanging="567"/>
        <w:rPr>
          <w:sz w:val="20"/>
          <w:szCs w:val="20"/>
        </w:rPr>
      </w:pPr>
      <w:r>
        <w:rPr>
          <w:sz w:val="20"/>
          <w:szCs w:val="20"/>
        </w:rPr>
        <w:t>40.</w:t>
      </w:r>
      <w:r>
        <w:rPr>
          <w:sz w:val="20"/>
          <w:szCs w:val="20"/>
        </w:rPr>
        <w:tab/>
      </w:r>
      <w:r w:rsidRPr="00777BB6">
        <w:rPr>
          <w:sz w:val="20"/>
          <w:szCs w:val="20"/>
        </w:rPr>
        <w:t xml:space="preserve">Leslie WD, </w:t>
      </w:r>
      <w:proofErr w:type="spellStart"/>
      <w:r w:rsidRPr="00777BB6">
        <w:rPr>
          <w:sz w:val="20"/>
          <w:szCs w:val="20"/>
        </w:rPr>
        <w:t>Lix</w:t>
      </w:r>
      <w:proofErr w:type="spellEnd"/>
      <w:r w:rsidRPr="00777BB6">
        <w:rPr>
          <w:sz w:val="20"/>
          <w:szCs w:val="20"/>
        </w:rPr>
        <w:t xml:space="preserve"> LM, Johansson H, Oden A, McCloskey E, Kanis JA</w:t>
      </w:r>
      <w:r w:rsidR="006572CD">
        <w:rPr>
          <w:sz w:val="20"/>
          <w:szCs w:val="20"/>
        </w:rPr>
        <w:t>.</w:t>
      </w:r>
      <w:r w:rsidRPr="00777BB6">
        <w:rPr>
          <w:sz w:val="20"/>
          <w:szCs w:val="20"/>
        </w:rPr>
        <w:t xml:space="preserve"> </w:t>
      </w:r>
      <w:proofErr w:type="gramStart"/>
      <w:r w:rsidRPr="00777BB6">
        <w:rPr>
          <w:sz w:val="20"/>
          <w:szCs w:val="20"/>
        </w:rPr>
        <w:t>2010 Manitoba bone density program.</w:t>
      </w:r>
      <w:proofErr w:type="gramEnd"/>
      <w:r w:rsidRPr="00777BB6">
        <w:rPr>
          <w:sz w:val="20"/>
          <w:szCs w:val="20"/>
        </w:rPr>
        <w:t xml:space="preserve"> Independent clinical validation of a Canadian </w:t>
      </w:r>
      <w:proofErr w:type="gramStart"/>
      <w:r w:rsidRPr="00777BB6">
        <w:rPr>
          <w:sz w:val="20"/>
          <w:szCs w:val="20"/>
        </w:rPr>
        <w:t>FRAX(</w:t>
      </w:r>
      <w:proofErr w:type="gramEnd"/>
      <w:r w:rsidRPr="00777BB6">
        <w:rPr>
          <w:sz w:val="20"/>
          <w:szCs w:val="20"/>
        </w:rPr>
        <w:t>(R)) tool: Fracture prediction and model calibration. J Bone Miner Res</w:t>
      </w:r>
      <w:r w:rsidR="006572CD">
        <w:rPr>
          <w:sz w:val="20"/>
          <w:szCs w:val="20"/>
        </w:rPr>
        <w:t xml:space="preserve"> </w:t>
      </w:r>
      <w:r w:rsidRPr="00777BB6">
        <w:rPr>
          <w:sz w:val="20"/>
          <w:szCs w:val="20"/>
        </w:rPr>
        <w:t>25: 2350-8.</w:t>
      </w:r>
    </w:p>
    <w:p w14:paraId="236A3196" w14:textId="429C1F76" w:rsidR="001A4BEA" w:rsidRPr="00777BB6" w:rsidRDefault="001A4BEA" w:rsidP="00B76A92">
      <w:pPr>
        <w:pStyle w:val="CommentText"/>
        <w:ind w:left="567" w:hanging="567"/>
      </w:pPr>
      <w:r>
        <w:t>41.</w:t>
      </w:r>
      <w:r>
        <w:tab/>
      </w:r>
      <w:r w:rsidRPr="00777BB6">
        <w:t xml:space="preserve">Brennan SL, Leslie WD, </w:t>
      </w:r>
      <w:proofErr w:type="spellStart"/>
      <w:r w:rsidRPr="00777BB6">
        <w:t>Lix</w:t>
      </w:r>
      <w:proofErr w:type="spellEnd"/>
      <w:r w:rsidRPr="00777BB6">
        <w:t xml:space="preserve"> LM</w:t>
      </w:r>
      <w:r w:rsidR="006572CD">
        <w:t xml:space="preserve">, et al. </w:t>
      </w:r>
      <w:r w:rsidRPr="00777BB6">
        <w:t xml:space="preserve">2014 FRAX provides robust </w:t>
      </w:r>
      <w:proofErr w:type="gramStart"/>
      <w:r w:rsidRPr="00777BB6">
        <w:t>fracture</w:t>
      </w:r>
      <w:proofErr w:type="gramEnd"/>
      <w:r w:rsidRPr="00777BB6">
        <w:t xml:space="preserve"> prediction regardless of socioeconomic adversity.  Osteoporos </w:t>
      </w:r>
      <w:proofErr w:type="spellStart"/>
      <w:r w:rsidRPr="00777BB6">
        <w:t>Int</w:t>
      </w:r>
      <w:proofErr w:type="spellEnd"/>
      <w:r w:rsidRPr="00777BB6">
        <w:t xml:space="preserve"> 25: 61-9.</w:t>
      </w:r>
    </w:p>
    <w:p w14:paraId="54CFB962" w14:textId="77777777" w:rsidR="00AF4CBC" w:rsidRPr="00AF4CBC" w:rsidRDefault="00AF4CBC" w:rsidP="00AF4CBC">
      <w:pPr>
        <w:autoSpaceDE w:val="0"/>
        <w:autoSpaceDN w:val="0"/>
        <w:adjustRightInd w:val="0"/>
        <w:spacing w:line="276" w:lineRule="auto"/>
        <w:rPr>
          <w:sz w:val="20"/>
          <w:szCs w:val="20"/>
        </w:rPr>
      </w:pPr>
    </w:p>
    <w:p w14:paraId="1E5AB8DE" w14:textId="77777777" w:rsidR="00AF4CBC" w:rsidRPr="00AF4CBC" w:rsidRDefault="00AF4CBC">
      <w:pPr>
        <w:rPr>
          <w:b/>
          <w:sz w:val="24"/>
          <w:szCs w:val="24"/>
        </w:rPr>
      </w:pPr>
    </w:p>
    <w:sectPr w:rsidR="00AF4CBC" w:rsidRPr="00AF4CB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C0DCA" w14:textId="77777777" w:rsidR="008D0623" w:rsidRDefault="008D0623" w:rsidP="00B84CF5">
      <w:pPr>
        <w:spacing w:after="0" w:line="240" w:lineRule="auto"/>
      </w:pPr>
      <w:r>
        <w:separator/>
      </w:r>
    </w:p>
  </w:endnote>
  <w:endnote w:type="continuationSeparator" w:id="0">
    <w:p w14:paraId="7F109009" w14:textId="77777777" w:rsidR="008D0623" w:rsidRDefault="008D0623" w:rsidP="00B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Pro-Regular">
    <w:altName w:val="MS Gothic"/>
    <w:panose1 w:val="00000000000000000000"/>
    <w:charset w:val="00"/>
    <w:family w:val="swiss"/>
    <w:notTrueType/>
    <w:pitch w:val="default"/>
    <w:sig w:usb0="00000001" w:usb1="08070000" w:usb2="00000010" w:usb3="00000000" w:csb0="0002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dvTT46dcae81">
    <w:altName w:val="Arial Unicode MS"/>
    <w:panose1 w:val="00000000000000000000"/>
    <w:charset w:val="00"/>
    <w:family w:val="auto"/>
    <w:notTrueType/>
    <w:pitch w:val="default"/>
    <w:sig w:usb0="00000003" w:usb1="09060000" w:usb2="00000010" w:usb3="00000000" w:csb0="00080001" w:csb1="00000000"/>
  </w:font>
  <w:font w:name="Berkeley-Book">
    <w:panose1 w:val="00000000000000000000"/>
    <w:charset w:val="00"/>
    <w:family w:val="roman"/>
    <w:notTrueType/>
    <w:pitch w:val="default"/>
    <w:sig w:usb0="00000003" w:usb1="00000000" w:usb2="00000000" w:usb3="00000000" w:csb0="00000001" w:csb1="00000000"/>
  </w:font>
  <w:font w:name="AdvTT3713a231">
    <w:altName w:val="Times New Roman"/>
    <w:charset w:val="00"/>
    <w:family w:val="roman"/>
    <w:pitch w:val="default"/>
    <w:sig w:usb0="00000003" w:usb1="00000000" w:usb2="00000000" w:usb3="00000000" w:csb0="00000001" w:csb1="00000000"/>
  </w:font>
  <w:font w:name="MyriadPro-Semibold">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dvTT5235d5a9">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400527"/>
      <w:docPartObj>
        <w:docPartGallery w:val="Page Numbers (Bottom of Page)"/>
        <w:docPartUnique/>
      </w:docPartObj>
    </w:sdtPr>
    <w:sdtEndPr>
      <w:rPr>
        <w:noProof/>
      </w:rPr>
    </w:sdtEndPr>
    <w:sdtContent>
      <w:p w14:paraId="5835165E" w14:textId="52A95A54" w:rsidR="008D0623" w:rsidRDefault="008D0623">
        <w:pPr>
          <w:pStyle w:val="Footer"/>
          <w:jc w:val="right"/>
        </w:pPr>
        <w:r>
          <w:fldChar w:fldCharType="begin"/>
        </w:r>
        <w:r>
          <w:instrText xml:space="preserve"> PAGE   \* MERGEFORMAT </w:instrText>
        </w:r>
        <w:r>
          <w:fldChar w:fldCharType="separate"/>
        </w:r>
        <w:r w:rsidR="001E5E62">
          <w:rPr>
            <w:noProof/>
          </w:rPr>
          <w:t>1</w:t>
        </w:r>
        <w:r>
          <w:rPr>
            <w:noProof/>
          </w:rPr>
          <w:fldChar w:fldCharType="end"/>
        </w:r>
      </w:p>
    </w:sdtContent>
  </w:sdt>
  <w:p w14:paraId="030CCA6F" w14:textId="77777777" w:rsidR="008D0623" w:rsidRDefault="008D06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EFD6E" w14:textId="77777777" w:rsidR="008D0623" w:rsidRDefault="008D0623" w:rsidP="00B84CF5">
      <w:pPr>
        <w:spacing w:after="0" w:line="240" w:lineRule="auto"/>
      </w:pPr>
      <w:r>
        <w:separator/>
      </w:r>
    </w:p>
  </w:footnote>
  <w:footnote w:type="continuationSeparator" w:id="0">
    <w:p w14:paraId="67E493F8" w14:textId="77777777" w:rsidR="008D0623" w:rsidRDefault="008D0623" w:rsidP="00B84C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10892"/>
    <w:multiLevelType w:val="hybridMultilevel"/>
    <w:tmpl w:val="4F7241D4"/>
    <w:lvl w:ilvl="0" w:tplc="4558A188">
      <w:start w:val="1"/>
      <w:numFmt w:val="bullet"/>
      <w:lvlText w:val=""/>
      <w:lvlJc w:val="left"/>
      <w:pPr>
        <w:ind w:left="720" w:hanging="360"/>
      </w:pPr>
      <w:rPr>
        <w:rFonts w:ascii="Symbol" w:eastAsiaTheme="minorHAnsi" w:hAnsi="Symbol" w:cs="MyriadPro-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47273A9"/>
    <w:multiLevelType w:val="hybridMultilevel"/>
    <w:tmpl w:val="C958B1C2"/>
    <w:lvl w:ilvl="0" w:tplc="0018DCE4">
      <w:start w:val="1"/>
      <w:numFmt w:val="bullet"/>
      <w:lvlText w:val=""/>
      <w:lvlJc w:val="left"/>
      <w:pPr>
        <w:ind w:left="720" w:hanging="360"/>
      </w:pPr>
      <w:rPr>
        <w:rFonts w:ascii="Symbol" w:eastAsiaTheme="minorHAnsi" w:hAnsi="Symbol" w:cs="MyriadPro-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C021392"/>
    <w:multiLevelType w:val="hybridMultilevel"/>
    <w:tmpl w:val="59349330"/>
    <w:lvl w:ilvl="0" w:tplc="4D6CA7C2">
      <w:start w:val="1"/>
      <w:numFmt w:val="bullet"/>
      <w:lvlText w:val=""/>
      <w:lvlJc w:val="left"/>
      <w:pPr>
        <w:ind w:left="720" w:hanging="360"/>
      </w:pPr>
      <w:rPr>
        <w:rFonts w:ascii="Symbol" w:eastAsiaTheme="minorHAnsi" w:hAnsi="Symbol" w:cs="MyriadPro-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D44"/>
    <w:rsid w:val="00035E50"/>
    <w:rsid w:val="00042BE6"/>
    <w:rsid w:val="0004626D"/>
    <w:rsid w:val="00062CF4"/>
    <w:rsid w:val="0006334A"/>
    <w:rsid w:val="00086124"/>
    <w:rsid w:val="000C0E62"/>
    <w:rsid w:val="000C21FB"/>
    <w:rsid w:val="000E4B90"/>
    <w:rsid w:val="00124CEF"/>
    <w:rsid w:val="00161703"/>
    <w:rsid w:val="00181BC3"/>
    <w:rsid w:val="0019719A"/>
    <w:rsid w:val="001A3C94"/>
    <w:rsid w:val="001A4BEA"/>
    <w:rsid w:val="001A70F7"/>
    <w:rsid w:val="001B5717"/>
    <w:rsid w:val="001B66DB"/>
    <w:rsid w:val="001D1D47"/>
    <w:rsid w:val="001E5E62"/>
    <w:rsid w:val="002850D8"/>
    <w:rsid w:val="002A584C"/>
    <w:rsid w:val="002B4367"/>
    <w:rsid w:val="003225FE"/>
    <w:rsid w:val="00345012"/>
    <w:rsid w:val="00350BC2"/>
    <w:rsid w:val="003915AE"/>
    <w:rsid w:val="003D4319"/>
    <w:rsid w:val="003F0F8B"/>
    <w:rsid w:val="003F249F"/>
    <w:rsid w:val="00412705"/>
    <w:rsid w:val="00417FC1"/>
    <w:rsid w:val="00442F40"/>
    <w:rsid w:val="00455071"/>
    <w:rsid w:val="00460377"/>
    <w:rsid w:val="00467769"/>
    <w:rsid w:val="004971BA"/>
    <w:rsid w:val="004B2C66"/>
    <w:rsid w:val="004D1858"/>
    <w:rsid w:val="005161B1"/>
    <w:rsid w:val="00520BC1"/>
    <w:rsid w:val="0053111B"/>
    <w:rsid w:val="00532D35"/>
    <w:rsid w:val="005446A1"/>
    <w:rsid w:val="00554D79"/>
    <w:rsid w:val="0058712E"/>
    <w:rsid w:val="00591EAB"/>
    <w:rsid w:val="005B5B30"/>
    <w:rsid w:val="005B6184"/>
    <w:rsid w:val="0061665F"/>
    <w:rsid w:val="006572CD"/>
    <w:rsid w:val="0069131E"/>
    <w:rsid w:val="00691415"/>
    <w:rsid w:val="00702948"/>
    <w:rsid w:val="007407BD"/>
    <w:rsid w:val="007426C7"/>
    <w:rsid w:val="007468DB"/>
    <w:rsid w:val="00746E8D"/>
    <w:rsid w:val="0075150C"/>
    <w:rsid w:val="00755F16"/>
    <w:rsid w:val="0076016E"/>
    <w:rsid w:val="00777BB6"/>
    <w:rsid w:val="007963B7"/>
    <w:rsid w:val="00803A6A"/>
    <w:rsid w:val="00824527"/>
    <w:rsid w:val="008325E8"/>
    <w:rsid w:val="00846652"/>
    <w:rsid w:val="00890899"/>
    <w:rsid w:val="008C0F7D"/>
    <w:rsid w:val="008C2A87"/>
    <w:rsid w:val="008D0623"/>
    <w:rsid w:val="008F5840"/>
    <w:rsid w:val="0095545E"/>
    <w:rsid w:val="00957B1B"/>
    <w:rsid w:val="0097765E"/>
    <w:rsid w:val="009B71B3"/>
    <w:rsid w:val="009F1C1A"/>
    <w:rsid w:val="00A41C7E"/>
    <w:rsid w:val="00A66722"/>
    <w:rsid w:val="00A75474"/>
    <w:rsid w:val="00AD1A92"/>
    <w:rsid w:val="00AE19C0"/>
    <w:rsid w:val="00AF4CBC"/>
    <w:rsid w:val="00AF63A6"/>
    <w:rsid w:val="00B11B3E"/>
    <w:rsid w:val="00B21D44"/>
    <w:rsid w:val="00B433F0"/>
    <w:rsid w:val="00B64AF0"/>
    <w:rsid w:val="00B76A92"/>
    <w:rsid w:val="00B82A35"/>
    <w:rsid w:val="00B84CF5"/>
    <w:rsid w:val="00BB4FAA"/>
    <w:rsid w:val="00BC1BC7"/>
    <w:rsid w:val="00BC6D07"/>
    <w:rsid w:val="00C03FC6"/>
    <w:rsid w:val="00C135D1"/>
    <w:rsid w:val="00C217E8"/>
    <w:rsid w:val="00C5090F"/>
    <w:rsid w:val="00C54300"/>
    <w:rsid w:val="00C54D7A"/>
    <w:rsid w:val="00C55BF0"/>
    <w:rsid w:val="00C570EB"/>
    <w:rsid w:val="00CA7F3B"/>
    <w:rsid w:val="00D1714B"/>
    <w:rsid w:val="00D362DE"/>
    <w:rsid w:val="00D67A98"/>
    <w:rsid w:val="00DC01A6"/>
    <w:rsid w:val="00DC3FEE"/>
    <w:rsid w:val="00DF0397"/>
    <w:rsid w:val="00E02C9B"/>
    <w:rsid w:val="00E23F32"/>
    <w:rsid w:val="00E443AA"/>
    <w:rsid w:val="00E46909"/>
    <w:rsid w:val="00E53D2C"/>
    <w:rsid w:val="00E64748"/>
    <w:rsid w:val="00E73909"/>
    <w:rsid w:val="00EB0749"/>
    <w:rsid w:val="00EE00AD"/>
    <w:rsid w:val="00F14FAA"/>
    <w:rsid w:val="00FB0560"/>
    <w:rsid w:val="00FD7583"/>
    <w:rsid w:val="00FE67EA"/>
    <w:rsid w:val="00FF1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C9B"/>
    <w:rPr>
      <w:sz w:val="16"/>
      <w:szCs w:val="16"/>
    </w:rPr>
  </w:style>
  <w:style w:type="paragraph" w:styleId="CommentText">
    <w:name w:val="annotation text"/>
    <w:basedOn w:val="Normal"/>
    <w:link w:val="CommentTextChar"/>
    <w:semiHidden/>
    <w:unhideWhenUsed/>
    <w:rsid w:val="00E02C9B"/>
    <w:pPr>
      <w:spacing w:line="240" w:lineRule="auto"/>
    </w:pPr>
    <w:rPr>
      <w:sz w:val="20"/>
      <w:szCs w:val="20"/>
    </w:rPr>
  </w:style>
  <w:style w:type="character" w:customStyle="1" w:styleId="CommentTextChar">
    <w:name w:val="Comment Text Char"/>
    <w:basedOn w:val="DefaultParagraphFont"/>
    <w:link w:val="CommentText"/>
    <w:semiHidden/>
    <w:rsid w:val="00E02C9B"/>
    <w:rPr>
      <w:sz w:val="20"/>
      <w:szCs w:val="20"/>
    </w:rPr>
  </w:style>
  <w:style w:type="paragraph" w:styleId="BalloonText">
    <w:name w:val="Balloon Text"/>
    <w:basedOn w:val="Normal"/>
    <w:link w:val="BalloonTextChar"/>
    <w:uiPriority w:val="99"/>
    <w:semiHidden/>
    <w:unhideWhenUsed/>
    <w:rsid w:val="00E02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C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B4FAA"/>
    <w:rPr>
      <w:b/>
      <w:bCs/>
    </w:rPr>
  </w:style>
  <w:style w:type="character" w:customStyle="1" w:styleId="CommentSubjectChar">
    <w:name w:val="Comment Subject Char"/>
    <w:basedOn w:val="CommentTextChar"/>
    <w:link w:val="CommentSubject"/>
    <w:uiPriority w:val="99"/>
    <w:semiHidden/>
    <w:rsid w:val="00BB4FAA"/>
    <w:rPr>
      <w:b/>
      <w:bCs/>
      <w:sz w:val="20"/>
      <w:szCs w:val="20"/>
    </w:rPr>
  </w:style>
  <w:style w:type="character" w:styleId="Hyperlink">
    <w:name w:val="Hyperlink"/>
    <w:basedOn w:val="DefaultParagraphFont"/>
    <w:uiPriority w:val="99"/>
    <w:unhideWhenUsed/>
    <w:rsid w:val="00BC6D07"/>
    <w:rPr>
      <w:color w:val="0563C1" w:themeColor="hyperlink"/>
      <w:u w:val="single"/>
    </w:rPr>
  </w:style>
  <w:style w:type="table" w:styleId="TableGrid">
    <w:name w:val="Table Grid"/>
    <w:basedOn w:val="TableNormal"/>
    <w:uiPriority w:val="59"/>
    <w:rsid w:val="00C13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4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CF5"/>
  </w:style>
  <w:style w:type="paragraph" w:styleId="Footer">
    <w:name w:val="footer"/>
    <w:basedOn w:val="Normal"/>
    <w:link w:val="FooterChar"/>
    <w:uiPriority w:val="99"/>
    <w:unhideWhenUsed/>
    <w:rsid w:val="00B84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CF5"/>
  </w:style>
  <w:style w:type="paragraph" w:styleId="ListParagraph">
    <w:name w:val="List Paragraph"/>
    <w:basedOn w:val="Normal"/>
    <w:uiPriority w:val="34"/>
    <w:qFormat/>
    <w:rsid w:val="00460377"/>
    <w:pPr>
      <w:ind w:left="720"/>
      <w:contextualSpacing/>
    </w:pPr>
  </w:style>
  <w:style w:type="table" w:customStyle="1" w:styleId="TableGrid1">
    <w:name w:val="Table Grid1"/>
    <w:basedOn w:val="TableNormal"/>
    <w:next w:val="TableGrid"/>
    <w:uiPriority w:val="59"/>
    <w:rsid w:val="00C55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C9B"/>
    <w:rPr>
      <w:sz w:val="16"/>
      <w:szCs w:val="16"/>
    </w:rPr>
  </w:style>
  <w:style w:type="paragraph" w:styleId="CommentText">
    <w:name w:val="annotation text"/>
    <w:basedOn w:val="Normal"/>
    <w:link w:val="CommentTextChar"/>
    <w:semiHidden/>
    <w:unhideWhenUsed/>
    <w:rsid w:val="00E02C9B"/>
    <w:pPr>
      <w:spacing w:line="240" w:lineRule="auto"/>
    </w:pPr>
    <w:rPr>
      <w:sz w:val="20"/>
      <w:szCs w:val="20"/>
    </w:rPr>
  </w:style>
  <w:style w:type="character" w:customStyle="1" w:styleId="CommentTextChar">
    <w:name w:val="Comment Text Char"/>
    <w:basedOn w:val="DefaultParagraphFont"/>
    <w:link w:val="CommentText"/>
    <w:semiHidden/>
    <w:rsid w:val="00E02C9B"/>
    <w:rPr>
      <w:sz w:val="20"/>
      <w:szCs w:val="20"/>
    </w:rPr>
  </w:style>
  <w:style w:type="paragraph" w:styleId="BalloonText">
    <w:name w:val="Balloon Text"/>
    <w:basedOn w:val="Normal"/>
    <w:link w:val="BalloonTextChar"/>
    <w:uiPriority w:val="99"/>
    <w:semiHidden/>
    <w:unhideWhenUsed/>
    <w:rsid w:val="00E02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C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B4FAA"/>
    <w:rPr>
      <w:b/>
      <w:bCs/>
    </w:rPr>
  </w:style>
  <w:style w:type="character" w:customStyle="1" w:styleId="CommentSubjectChar">
    <w:name w:val="Comment Subject Char"/>
    <w:basedOn w:val="CommentTextChar"/>
    <w:link w:val="CommentSubject"/>
    <w:uiPriority w:val="99"/>
    <w:semiHidden/>
    <w:rsid w:val="00BB4FAA"/>
    <w:rPr>
      <w:b/>
      <w:bCs/>
      <w:sz w:val="20"/>
      <w:szCs w:val="20"/>
    </w:rPr>
  </w:style>
  <w:style w:type="character" w:styleId="Hyperlink">
    <w:name w:val="Hyperlink"/>
    <w:basedOn w:val="DefaultParagraphFont"/>
    <w:uiPriority w:val="99"/>
    <w:unhideWhenUsed/>
    <w:rsid w:val="00BC6D07"/>
    <w:rPr>
      <w:color w:val="0563C1" w:themeColor="hyperlink"/>
      <w:u w:val="single"/>
    </w:rPr>
  </w:style>
  <w:style w:type="table" w:styleId="TableGrid">
    <w:name w:val="Table Grid"/>
    <w:basedOn w:val="TableNormal"/>
    <w:uiPriority w:val="59"/>
    <w:rsid w:val="00C13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4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CF5"/>
  </w:style>
  <w:style w:type="paragraph" w:styleId="Footer">
    <w:name w:val="footer"/>
    <w:basedOn w:val="Normal"/>
    <w:link w:val="FooterChar"/>
    <w:uiPriority w:val="99"/>
    <w:unhideWhenUsed/>
    <w:rsid w:val="00B84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CF5"/>
  </w:style>
  <w:style w:type="paragraph" w:styleId="ListParagraph">
    <w:name w:val="List Paragraph"/>
    <w:basedOn w:val="Normal"/>
    <w:uiPriority w:val="34"/>
    <w:qFormat/>
    <w:rsid w:val="00460377"/>
    <w:pPr>
      <w:ind w:left="720"/>
      <w:contextualSpacing/>
    </w:pPr>
  </w:style>
  <w:style w:type="table" w:customStyle="1" w:styleId="TableGrid1">
    <w:name w:val="Table Grid1"/>
    <w:basedOn w:val="TableNormal"/>
    <w:next w:val="TableGrid"/>
    <w:uiPriority w:val="59"/>
    <w:rsid w:val="00C55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fracture.org" TargetMode="External"/><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qfracture.org/Validation-of-QFracture-vs-FRAX-for-NICE-2011.pdf" TargetMode="Externa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garvan.org.au" TargetMode="External"/><Relationship Id="rId14" Type="http://schemas.openxmlformats.org/officeDocument/2006/relationships/hyperlink" Target="https://www.shef.ac.uk/FRAX/reference.aspx%2014%20July%20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4358</Words>
  <Characters>24847</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Kanis</dc:creator>
  <cp:lastModifiedBy>Karen Drake</cp:lastModifiedBy>
  <cp:revision>2</cp:revision>
  <cp:lastPrinted>2017-08-25T09:02:00Z</cp:lastPrinted>
  <dcterms:created xsi:type="dcterms:W3CDTF">2017-08-25T09:07:00Z</dcterms:created>
  <dcterms:modified xsi:type="dcterms:W3CDTF">2017-08-25T09:07:00Z</dcterms:modified>
</cp:coreProperties>
</file>