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5CCB6" w14:textId="2CE16BA6" w:rsidR="00554032" w:rsidRDefault="00A556B9">
      <w:r>
        <w:t>Special Meeting Proceedings:</w:t>
      </w:r>
    </w:p>
    <w:p w14:paraId="36A559AB" w14:textId="0483DD7B" w:rsidR="0055784C" w:rsidRDefault="008D0765">
      <w:r>
        <w:t>On March 1</w:t>
      </w:r>
      <w:r w:rsidRPr="008D0765">
        <w:rPr>
          <w:vertAlign w:val="superscript"/>
        </w:rPr>
        <w:t>st</w:t>
      </w:r>
      <w:r>
        <w:t>, 2017 the A</w:t>
      </w:r>
      <w:r w:rsidR="00316FE0">
        <w:t xml:space="preserve">merican </w:t>
      </w:r>
      <w:r>
        <w:t>C</w:t>
      </w:r>
      <w:r w:rsidR="00316FE0">
        <w:t xml:space="preserve">ontact </w:t>
      </w:r>
      <w:r>
        <w:t>D</w:t>
      </w:r>
      <w:r w:rsidR="00316FE0">
        <w:t xml:space="preserve">ermatitis </w:t>
      </w:r>
      <w:r>
        <w:t>S</w:t>
      </w:r>
      <w:r w:rsidR="00316FE0">
        <w:t>ociety</w:t>
      </w:r>
      <w:r w:rsidR="006F1D2C">
        <w:t xml:space="preserve"> (ACDS) </w:t>
      </w:r>
      <w:r>
        <w:t xml:space="preserve">held an afternoon meeting </w:t>
      </w:r>
      <w:r w:rsidR="006F1D2C">
        <w:t xml:space="preserve">in Orlando Florida </w:t>
      </w:r>
      <w:r>
        <w:t>“</w:t>
      </w:r>
      <w:r w:rsidRPr="0055784C">
        <w:rPr>
          <w:b/>
          <w:i/>
        </w:rPr>
        <w:t>Defining Gaps in Dermatitis Care</w:t>
      </w:r>
      <w:r>
        <w:t xml:space="preserve">”. This included an </w:t>
      </w:r>
      <w:r w:rsidRPr="0055784C">
        <w:rPr>
          <w:b/>
          <w:i/>
        </w:rPr>
        <w:t>Open Spaces</w:t>
      </w:r>
      <w:r w:rsidR="0055784C">
        <w:t>®</w:t>
      </w:r>
      <w:r>
        <w:t xml:space="preserve"> session.</w:t>
      </w:r>
    </w:p>
    <w:p w14:paraId="63E6234D" w14:textId="05EDCDFF" w:rsidR="006F1D2C" w:rsidRDefault="006F1D2C">
      <w:r>
        <w:t>This meeting the day prior to the Society’s annual scientific session was new and was publicized in ACDS news announcements. The planning committee also reached out to non-societal members with expertise in skin barrier, microbiome and cutaneous hypersensitivity to present data and participate in the interactive session. The Society also sponsored a patient and her mother to attend the session. Overall approximately 50 members attended in addition to the non-m</w:t>
      </w:r>
      <w:bookmarkStart w:id="0" w:name="_GoBack"/>
      <w:bookmarkEnd w:id="0"/>
      <w:r>
        <w:t>embers already described.</w:t>
      </w:r>
    </w:p>
    <w:p w14:paraId="006DD69B" w14:textId="61C0BF11" w:rsidR="008D0765" w:rsidRDefault="0055784C">
      <w:r>
        <w:t xml:space="preserve">The purpose of this meeting was to bring together a diversified group of physicians, researchers, </w:t>
      </w:r>
      <w:r w:rsidR="00A2002A">
        <w:t xml:space="preserve">and </w:t>
      </w:r>
      <w:r>
        <w:t xml:space="preserve">caregivers to take a global look at the issues surrounding </w:t>
      </w:r>
      <w:r w:rsidR="00260BB6">
        <w:t>d</w:t>
      </w:r>
      <w:r>
        <w:t xml:space="preserve">ermatitis </w:t>
      </w:r>
      <w:r w:rsidR="00260BB6">
        <w:t>c</w:t>
      </w:r>
      <w:r>
        <w:t xml:space="preserve">are.  Amber </w:t>
      </w:r>
      <w:proofErr w:type="spellStart"/>
      <w:r w:rsidR="006B5CA7">
        <w:t>Reck</w:t>
      </w:r>
      <w:proofErr w:type="spellEnd"/>
      <w:r w:rsidR="006B5CA7">
        <w:t xml:space="preserve"> </w:t>
      </w:r>
      <w:r>
        <w:t>Atwater MD opened the meeting</w:t>
      </w:r>
      <w:r w:rsidR="00260BB6">
        <w:t xml:space="preserve"> by</w:t>
      </w:r>
      <w:r>
        <w:t xml:space="preserve"> introducing the faculty and the format.  </w:t>
      </w:r>
      <w:r w:rsidR="003466AC">
        <w:t xml:space="preserve">Better definition of dermatitis was a gap that prompted the creation of this meeting. </w:t>
      </w:r>
      <w:r>
        <w:t xml:space="preserve"> </w:t>
      </w:r>
      <w:r w:rsidR="008D0765">
        <w:t>Susan Nedorost MD</w:t>
      </w:r>
      <w:r w:rsidR="003466AC">
        <w:t xml:space="preserve"> gave the first presentation and </w:t>
      </w:r>
      <w:r w:rsidR="008D0765">
        <w:t xml:space="preserve">discussed the interplay of </w:t>
      </w:r>
      <w:r w:rsidR="008D0765" w:rsidRPr="00317106">
        <w:rPr>
          <w:u w:val="single"/>
        </w:rPr>
        <w:t>skin barrier, microbiome, and allergic sensitization</w:t>
      </w:r>
      <w:r w:rsidR="008D0765">
        <w:t xml:space="preserve"> to create various phenotypes of dermatitis. Th</w:t>
      </w:r>
      <w:r w:rsidR="006B5CA7">
        <w:t xml:space="preserve">e </w:t>
      </w:r>
      <w:r w:rsidR="008D0765">
        <w:t>most chronic and severe forms of atopic and stasis dermatitis are most likely to require treatment aimed at all three factors. If all three factors are not addressed, then systemic immu</w:t>
      </w:r>
      <w:r w:rsidR="000E29F5">
        <w:t>no</w:t>
      </w:r>
      <w:r w:rsidR="008D0765">
        <w:t>suppression is sometimes required to decrease the inflammation and itch.</w:t>
      </w:r>
    </w:p>
    <w:p w14:paraId="10CEB7DA" w14:textId="3F272522" w:rsidR="00317106" w:rsidRDefault="008D0765">
      <w:r>
        <w:t xml:space="preserve">Peter Elias </w:t>
      </w:r>
      <w:proofErr w:type="gramStart"/>
      <w:r>
        <w:t xml:space="preserve">MD  </w:t>
      </w:r>
      <w:r w:rsidR="0055784C">
        <w:t>then</w:t>
      </w:r>
      <w:proofErr w:type="gramEnd"/>
      <w:r w:rsidR="0055784C">
        <w:t xml:space="preserve"> </w:t>
      </w:r>
      <w:r>
        <w:t xml:space="preserve">spoke about </w:t>
      </w:r>
      <w:r w:rsidRPr="00317106">
        <w:rPr>
          <w:u w:val="single"/>
        </w:rPr>
        <w:t>barrier</w:t>
      </w:r>
      <w:r>
        <w:t xml:space="preserve"> defects and the effect of pH</w:t>
      </w:r>
      <w:r w:rsidR="00260BB6">
        <w:t xml:space="preserve"> on the skin barrier</w:t>
      </w:r>
      <w:r>
        <w:t xml:space="preserve">.  Pranab Mukherjee MSc, </w:t>
      </w:r>
      <w:proofErr w:type="gramStart"/>
      <w:r>
        <w:t xml:space="preserve">PhD </w:t>
      </w:r>
      <w:r w:rsidR="00317106">
        <w:t xml:space="preserve"> </w:t>
      </w:r>
      <w:r>
        <w:t>spoke</w:t>
      </w:r>
      <w:proofErr w:type="gramEnd"/>
      <w:r>
        <w:t xml:space="preserve"> about the </w:t>
      </w:r>
      <w:r w:rsidR="00260BB6">
        <w:t xml:space="preserve">microbiome and </w:t>
      </w:r>
      <w:proofErr w:type="spellStart"/>
      <w:r w:rsidRPr="00317106">
        <w:rPr>
          <w:u w:val="single"/>
        </w:rPr>
        <w:t>mycobiome</w:t>
      </w:r>
      <w:proofErr w:type="spellEnd"/>
      <w:r w:rsidRPr="00317106">
        <w:rPr>
          <w:u w:val="single"/>
        </w:rPr>
        <w:t xml:space="preserve"> </w:t>
      </w:r>
      <w:r>
        <w:t>in dermatitis. Michael Ardern</w:t>
      </w:r>
      <w:r w:rsidR="00E94958">
        <w:t>-</w:t>
      </w:r>
      <w:r>
        <w:t>Jones</w:t>
      </w:r>
      <w:r w:rsidR="00317106">
        <w:t xml:space="preserve"> MBBS, DPhil explained his work in understanding the role of dendritic cells in </w:t>
      </w:r>
      <w:r w:rsidR="00317106" w:rsidRPr="00317106">
        <w:rPr>
          <w:u w:val="single"/>
        </w:rPr>
        <w:t>adaptive immunity</w:t>
      </w:r>
      <w:r w:rsidR="00317106">
        <w:t xml:space="preserve"> and cytokine responses as well as how microbes drive cutaneous immune response.</w:t>
      </w:r>
    </w:p>
    <w:p w14:paraId="656FDADE" w14:textId="30223107" w:rsidR="008D0765" w:rsidRDefault="0055784C">
      <w:r>
        <w:t xml:space="preserve">The meeting transitioned to a patient-centered </w:t>
      </w:r>
      <w:r w:rsidR="00260BB6">
        <w:t xml:space="preserve">discussion </w:t>
      </w:r>
      <w:r>
        <w:t xml:space="preserve">led by </w:t>
      </w:r>
      <w:r w:rsidR="00317106">
        <w:t xml:space="preserve">Golara Honari MD </w:t>
      </w:r>
      <w:r>
        <w:t xml:space="preserve">in which she </w:t>
      </w:r>
      <w:r w:rsidR="00260BB6">
        <w:t xml:space="preserve">interviewed </w:t>
      </w:r>
      <w:r>
        <w:t xml:space="preserve">a mother of a child with </w:t>
      </w:r>
      <w:r w:rsidR="00317106">
        <w:t xml:space="preserve">life-long eczema </w:t>
      </w:r>
      <w:r w:rsidR="00A67D07">
        <w:t xml:space="preserve">about </w:t>
      </w:r>
      <w:r>
        <w:t>her perspective on what she had heard from the scientific consortium.  The mother highlighted key concepts which she thought patients</w:t>
      </w:r>
      <w:r w:rsidR="00260BB6">
        <w:t xml:space="preserve"> and their </w:t>
      </w:r>
      <w:r>
        <w:t>families would benefit from understanding: the brick and mortar model</w:t>
      </w:r>
      <w:r w:rsidR="00260BB6">
        <w:t xml:space="preserve"> of skin barrier</w:t>
      </w:r>
      <w:r>
        <w:t xml:space="preserve">, that atopic dermatitis </w:t>
      </w:r>
      <w:r w:rsidR="00260BB6">
        <w:t xml:space="preserve">is </w:t>
      </w:r>
      <w:r>
        <w:t xml:space="preserve">a group of disorders with lipid based defects, and that defects in the barrier affected by microorganisms </w:t>
      </w:r>
      <w:r w:rsidR="00B60D02">
        <w:t>provide the set-up for allergy development</w:t>
      </w:r>
      <w:r>
        <w:t xml:space="preserve">.  She highlighted the significant need to educate PROVIDERS on these concepts, relating </w:t>
      </w:r>
      <w:r w:rsidR="00E94958">
        <w:t xml:space="preserve">to </w:t>
      </w:r>
      <w:r>
        <w:t>hav</w:t>
      </w:r>
      <w:r w:rsidR="00E94958">
        <w:t>ing</w:t>
      </w:r>
      <w:r>
        <w:t xml:space="preserve"> spent years of frustration and a near fortune searching for a provider who understood</w:t>
      </w:r>
      <w:r w:rsidR="00B60D02">
        <w:t xml:space="preserve"> her daughter’s condition</w:t>
      </w:r>
      <w:r>
        <w:t>.  She noted that she had accessed her</w:t>
      </w:r>
      <w:r w:rsidR="00ED1215">
        <w:t xml:space="preserve"> daughter’s</w:t>
      </w:r>
      <w:r>
        <w:t xml:space="preserve"> medical records and saw notations </w:t>
      </w:r>
      <w:r w:rsidR="00B60D02">
        <w:t>implicating</w:t>
      </w:r>
      <w:r>
        <w:t xml:space="preserve"> her </w:t>
      </w:r>
      <w:r w:rsidR="00B60D02">
        <w:t xml:space="preserve">as </w:t>
      </w:r>
      <w:r>
        <w:t>a challenge to caregivers for requesting information, and she said this made her</w:t>
      </w:r>
      <w:r w:rsidR="00B65FDA">
        <w:t xml:space="preserve"> even</w:t>
      </w:r>
      <w:r>
        <w:t xml:space="preserve"> more determined to learn what she could</w:t>
      </w:r>
      <w:r w:rsidR="00B65FDA">
        <w:t xml:space="preserve"> about the treatment of dermatitis</w:t>
      </w:r>
      <w:r>
        <w:t>.  She stated</w:t>
      </w:r>
      <w:r w:rsidR="00B65FDA">
        <w:t>,</w:t>
      </w:r>
      <w:r>
        <w:t xml:space="preserve"> </w:t>
      </w:r>
      <w:r w:rsidRPr="00025CE9">
        <w:t>“</w:t>
      </w:r>
      <w:r w:rsidR="00E02EB4" w:rsidRPr="00025CE9">
        <w:t xml:space="preserve">[As an English professor], </w:t>
      </w:r>
      <w:r w:rsidRPr="00025CE9">
        <w:t>I have access to far more resources tha</w:t>
      </w:r>
      <w:r w:rsidR="00E02EB4" w:rsidRPr="00025CE9">
        <w:t>n</w:t>
      </w:r>
      <w:r w:rsidRPr="00025CE9">
        <w:t xml:space="preserve"> other parents</w:t>
      </w:r>
      <w:r w:rsidR="00E02EB4" w:rsidRPr="00025CE9">
        <w:t>;</w:t>
      </w:r>
      <w:r w:rsidRPr="00025CE9">
        <w:t xml:space="preserve"> I don't even know how they begin to cope”.</w:t>
      </w:r>
      <w:r>
        <w:t xml:space="preserve">  </w:t>
      </w:r>
      <w:r w:rsidR="00ED1215">
        <w:t>H</w:t>
      </w:r>
      <w:r>
        <w:t>er daughter then told her story and explained how</w:t>
      </w:r>
      <w:r w:rsidR="00E02EB4">
        <w:t>,</w:t>
      </w:r>
      <w:r>
        <w:t xml:space="preserve"> after years of challenging treatments</w:t>
      </w:r>
      <w:r w:rsidR="00E02EB4">
        <w:t>,</w:t>
      </w:r>
      <w:r>
        <w:t xml:space="preserve"> her skin </w:t>
      </w:r>
      <w:r w:rsidR="00317106">
        <w:t>improved with</w:t>
      </w:r>
      <w:r w:rsidR="00E02EB4">
        <w:t xml:space="preserve"> a combination of</w:t>
      </w:r>
      <w:r w:rsidR="00317106">
        <w:t xml:space="preserve"> avoidance of allergens identified by patch testing</w:t>
      </w:r>
      <w:r w:rsidR="00E02EB4">
        <w:t>,</w:t>
      </w:r>
      <w:r w:rsidR="00317106">
        <w:t xml:space="preserve"> systemic antibiotics</w:t>
      </w:r>
      <w:r w:rsidR="00E02EB4">
        <w:t>,</w:t>
      </w:r>
      <w:r w:rsidR="00317106">
        <w:t xml:space="preserve"> topical antimicrobials</w:t>
      </w:r>
      <w:r w:rsidR="00E02EB4">
        <w:t>, and</w:t>
      </w:r>
      <w:r w:rsidR="00317106">
        <w:t xml:space="preserve"> acidic emollients.</w:t>
      </w:r>
    </w:p>
    <w:p w14:paraId="37CE4B48" w14:textId="37BFDFA2" w:rsidR="00724C4B" w:rsidRDefault="00317106">
      <w:r>
        <w:t>The group then identified gaps in dermatitis care for discussion using an Open Spaces</w:t>
      </w:r>
      <w:r w:rsidR="00724C4B">
        <w:t>®</w:t>
      </w:r>
      <w:r w:rsidR="0055784C">
        <w:t xml:space="preserve"> format, which allows participants to engage each other </w:t>
      </w:r>
      <w:r w:rsidR="003B6826">
        <w:t>in discussion of</w:t>
      </w:r>
      <w:r w:rsidR="0055784C">
        <w:t xml:space="preserve"> part</w:t>
      </w:r>
      <w:r w:rsidR="00B27069">
        <w:t>icipant</w:t>
      </w:r>
      <w:r w:rsidR="003B6826">
        <w:t>-identified</w:t>
      </w:r>
      <w:r w:rsidR="00B27069">
        <w:t xml:space="preserve"> topic</w:t>
      </w:r>
      <w:r w:rsidR="003B6826">
        <w:t>s</w:t>
      </w:r>
      <w:r w:rsidR="003F2608">
        <w:t xml:space="preserve">. </w:t>
      </w:r>
      <w:r w:rsidR="006F1D2C">
        <w:t>The small groups further identified gaps and suggested action plans for the</w:t>
      </w:r>
      <w:r w:rsidR="00B77ABD">
        <w:t xml:space="preserve"> ACDS to consider. The groups reported out at the end of the session. Consensus was not a requirement for action plans to be put forth. </w:t>
      </w:r>
      <w:r w:rsidR="00724C4B">
        <w:t>The chart below includes the topics and comments generated by the participants</w:t>
      </w:r>
      <w:r w:rsidR="00F67170">
        <w:t>; those who contributed notes for this summary are listed as authors, but about 50 attendees contributed.</w:t>
      </w:r>
      <w:r w:rsidR="007E45D4">
        <w:t xml:space="preserve"> </w:t>
      </w:r>
      <w:r w:rsidR="00724C4B">
        <w:t xml:space="preserve">The third column for potential </w:t>
      </w:r>
      <w:r w:rsidR="00724C4B">
        <w:lastRenderedPageBreak/>
        <w:t xml:space="preserve">action </w:t>
      </w:r>
      <w:r w:rsidR="002B1DC0">
        <w:t xml:space="preserve">includes some information from American Contact Dermatitis Society meetings over the subsequent two days that was </w:t>
      </w:r>
      <w:r w:rsidR="00724C4B">
        <w:t>added after the meeting</w:t>
      </w:r>
      <w:r w:rsidR="002B1DC0">
        <w:t xml:space="preserve"> </w:t>
      </w:r>
      <w:r w:rsidR="00724C4B">
        <w:t>by the author</w:t>
      </w:r>
      <w:r w:rsidR="002B1DC0">
        <w:t>s</w:t>
      </w:r>
      <w:r w:rsidR="00724C4B">
        <w:t>.</w:t>
      </w:r>
    </w:p>
    <w:p w14:paraId="0DD143E4" w14:textId="5399F345" w:rsidR="00B77ABD" w:rsidRDefault="00B77ABD">
      <w:r>
        <w:t xml:space="preserve">Many of the participants identified themselves as potential leaders for </w:t>
      </w:r>
      <w:r w:rsidR="003466AC">
        <w:t>ACDS task force</w:t>
      </w:r>
      <w:r>
        <w:t xml:space="preserve"> and committee work to further the proposed initiatives. </w:t>
      </w:r>
      <w:r w:rsidR="003466AC">
        <w:t>Feedback from the meeting evaluation</w:t>
      </w:r>
      <w:r w:rsidR="00C8299E">
        <w:t>s</w:t>
      </w:r>
      <w:r w:rsidR="003466AC">
        <w:t xml:space="preserve"> indicated that participants found inclusion of patients very helpful to better understand their perspective.</w:t>
      </w:r>
    </w:p>
    <w:p w14:paraId="002AED7D" w14:textId="77777777" w:rsidR="00ED1215" w:rsidRDefault="00ED1215"/>
    <w:p w14:paraId="5CDF8699" w14:textId="77777777" w:rsidR="00F67170" w:rsidRDefault="00F67170"/>
    <w:p w14:paraId="063B9532" w14:textId="77777777" w:rsidR="00F67170" w:rsidRDefault="00F67170"/>
    <w:p w14:paraId="36D74B13" w14:textId="77777777" w:rsidR="00F67170" w:rsidRDefault="00F67170"/>
    <w:p w14:paraId="09E59035" w14:textId="77777777" w:rsidR="00ED1215" w:rsidRDefault="00ED1215"/>
    <w:tbl>
      <w:tblPr>
        <w:tblStyle w:val="TableGrid"/>
        <w:tblW w:w="4995" w:type="pct"/>
        <w:tblLook w:val="04A0" w:firstRow="1" w:lastRow="0" w:firstColumn="1" w:lastColumn="0" w:noHBand="0" w:noVBand="1"/>
      </w:tblPr>
      <w:tblGrid>
        <w:gridCol w:w="3113"/>
        <w:gridCol w:w="3114"/>
        <w:gridCol w:w="3114"/>
      </w:tblGrid>
      <w:tr w:rsidR="00724C4B" w14:paraId="4B077FCD" w14:textId="77777777" w:rsidTr="00724C4B">
        <w:tc>
          <w:tcPr>
            <w:tcW w:w="1666" w:type="pct"/>
          </w:tcPr>
          <w:p w14:paraId="46D9F2C8" w14:textId="77777777" w:rsidR="00724C4B" w:rsidRPr="00724C4B" w:rsidRDefault="00724C4B">
            <w:pPr>
              <w:rPr>
                <w:b/>
              </w:rPr>
            </w:pPr>
            <w:r w:rsidRPr="00724C4B">
              <w:rPr>
                <w:b/>
              </w:rPr>
              <w:t>Topic</w:t>
            </w:r>
          </w:p>
        </w:tc>
        <w:tc>
          <w:tcPr>
            <w:tcW w:w="1667" w:type="pct"/>
          </w:tcPr>
          <w:p w14:paraId="3243CD59" w14:textId="77777777" w:rsidR="00724C4B" w:rsidRPr="00724C4B" w:rsidRDefault="00724C4B">
            <w:pPr>
              <w:rPr>
                <w:b/>
              </w:rPr>
            </w:pPr>
            <w:r w:rsidRPr="00724C4B">
              <w:rPr>
                <w:b/>
              </w:rPr>
              <w:t>Comments</w:t>
            </w:r>
          </w:p>
        </w:tc>
        <w:tc>
          <w:tcPr>
            <w:tcW w:w="1667" w:type="pct"/>
          </w:tcPr>
          <w:p w14:paraId="6E298CB2" w14:textId="77777777" w:rsidR="00724C4B" w:rsidRPr="00724C4B" w:rsidRDefault="00724C4B">
            <w:pPr>
              <w:rPr>
                <w:b/>
              </w:rPr>
            </w:pPr>
            <w:r w:rsidRPr="00724C4B">
              <w:rPr>
                <w:b/>
              </w:rPr>
              <w:t>Action Plan</w:t>
            </w:r>
          </w:p>
        </w:tc>
      </w:tr>
      <w:tr w:rsidR="00724C4B" w14:paraId="28E4F271" w14:textId="77777777" w:rsidTr="00724C4B">
        <w:tc>
          <w:tcPr>
            <w:tcW w:w="1666" w:type="pct"/>
          </w:tcPr>
          <w:p w14:paraId="79BEAE1E" w14:textId="77777777" w:rsidR="00724C4B" w:rsidRDefault="00724C4B"/>
        </w:tc>
        <w:tc>
          <w:tcPr>
            <w:tcW w:w="1667" w:type="pct"/>
          </w:tcPr>
          <w:p w14:paraId="232A9C27" w14:textId="77777777" w:rsidR="00724C4B" w:rsidRDefault="00724C4B"/>
        </w:tc>
        <w:tc>
          <w:tcPr>
            <w:tcW w:w="1667" w:type="pct"/>
          </w:tcPr>
          <w:p w14:paraId="34B54355" w14:textId="77777777" w:rsidR="00724C4B" w:rsidRDefault="00724C4B"/>
        </w:tc>
      </w:tr>
      <w:tr w:rsidR="00724C4B" w14:paraId="160708F3" w14:textId="77777777" w:rsidTr="00724C4B">
        <w:tc>
          <w:tcPr>
            <w:tcW w:w="1666" w:type="pct"/>
          </w:tcPr>
          <w:p w14:paraId="7235955E" w14:textId="77777777" w:rsidR="00724C4B" w:rsidRDefault="00724C4B">
            <w:r>
              <w:t>New allergen identification</w:t>
            </w:r>
          </w:p>
        </w:tc>
        <w:tc>
          <w:tcPr>
            <w:tcW w:w="1667" w:type="pct"/>
          </w:tcPr>
          <w:p w14:paraId="0CB01975" w14:textId="5222CBED" w:rsidR="00724C4B" w:rsidRDefault="007E45D4" w:rsidP="006B5CA7">
            <w:pPr>
              <w:pStyle w:val="ListParagraph"/>
              <w:numPr>
                <w:ilvl w:val="0"/>
                <w:numId w:val="1"/>
              </w:numPr>
              <w:ind w:left="142" w:hanging="180"/>
            </w:pPr>
            <w:r>
              <w:t>T</w:t>
            </w:r>
            <w:r w:rsidR="00724C4B">
              <w:t>hin layer chrom</w:t>
            </w:r>
            <w:r>
              <w:t>atography</w:t>
            </w:r>
            <w:r w:rsidR="00A43BD8">
              <w:t xml:space="preserve"> (TLC)</w:t>
            </w:r>
            <w:r w:rsidR="000A18EA">
              <w:t xml:space="preserve"> can be performed by dissolving an item suspected of causing allergy, and using the concentrated extract for TLC, then scraping away the silica gel and patch testing to the paper strip</w:t>
            </w:r>
            <w:r>
              <w:t>. Mass spectrometry is then needed to identify the allergenic band</w:t>
            </w:r>
          </w:p>
        </w:tc>
        <w:tc>
          <w:tcPr>
            <w:tcW w:w="1667" w:type="pct"/>
          </w:tcPr>
          <w:p w14:paraId="5ACD5CF8" w14:textId="4F0B063F" w:rsidR="007E45D4" w:rsidRDefault="000A18EA" w:rsidP="006B5CA7">
            <w:pPr>
              <w:pStyle w:val="ListParagraph"/>
              <w:numPr>
                <w:ilvl w:val="0"/>
                <w:numId w:val="1"/>
              </w:numPr>
              <w:ind w:left="142" w:hanging="180"/>
            </w:pPr>
            <w:r>
              <w:t>At the March 2</w:t>
            </w:r>
            <w:r w:rsidRPr="004C2F3C">
              <w:rPr>
                <w:vertAlign w:val="superscript"/>
              </w:rPr>
              <w:t>nd</w:t>
            </w:r>
            <w:r>
              <w:t xml:space="preserve"> 2017 ACDS meeting, Andy Scheman MD (Chicago</w:t>
            </w:r>
            <w:r w:rsidR="003F2608">
              <w:t>, IL</w:t>
            </w:r>
            <w:r>
              <w:t>) talked about his use of this technique as learned from Magnus Bruze MD (Malmo University, Sweden)</w:t>
            </w:r>
          </w:p>
          <w:p w14:paraId="13746A2B" w14:textId="454EB2A7" w:rsidR="007E45D4" w:rsidRDefault="007E45D4" w:rsidP="006B5CA7">
            <w:pPr>
              <w:pStyle w:val="ListParagraph"/>
              <w:numPr>
                <w:ilvl w:val="0"/>
                <w:numId w:val="1"/>
              </w:numPr>
              <w:ind w:left="142" w:hanging="180"/>
            </w:pPr>
            <w:r>
              <w:t>An ACDS grant to create a core lab</w:t>
            </w:r>
            <w:r w:rsidR="00A43BD8">
              <w:t>oratory</w:t>
            </w:r>
            <w:r>
              <w:t xml:space="preserve"> could support these services (TLC and mass spec</w:t>
            </w:r>
            <w:r w:rsidR="00A43BD8">
              <w:t>trometry</w:t>
            </w:r>
            <w:r>
              <w:t>)</w:t>
            </w:r>
          </w:p>
          <w:p w14:paraId="74199F74" w14:textId="77777777" w:rsidR="00724C4B" w:rsidRPr="002B1DC0" w:rsidRDefault="007E45D4" w:rsidP="006B5CA7">
            <w:pPr>
              <w:pStyle w:val="ListParagraph"/>
              <w:numPr>
                <w:ilvl w:val="0"/>
                <w:numId w:val="1"/>
              </w:numPr>
              <w:ind w:left="142" w:hanging="180"/>
            </w:pPr>
            <w:r w:rsidRPr="002B1DC0">
              <w:t>Requires a needs analysis –</w:t>
            </w:r>
            <w:r w:rsidR="004C2F3C">
              <w:t xml:space="preserve"> </w:t>
            </w:r>
            <w:r w:rsidRPr="002B1DC0">
              <w:t>a lead</w:t>
            </w:r>
            <w:r w:rsidR="002B1DC0">
              <w:t>er</w:t>
            </w:r>
            <w:r w:rsidRPr="002B1DC0">
              <w:t xml:space="preserve"> for this initiative should be identified</w:t>
            </w:r>
          </w:p>
        </w:tc>
      </w:tr>
      <w:tr w:rsidR="00724C4B" w14:paraId="19C42701" w14:textId="77777777" w:rsidTr="00724C4B">
        <w:tc>
          <w:tcPr>
            <w:tcW w:w="1666" w:type="pct"/>
          </w:tcPr>
          <w:p w14:paraId="26EF03A8" w14:textId="3A6EE50A" w:rsidR="00724C4B" w:rsidRDefault="00C25A8E" w:rsidP="00B77ABD">
            <w:r>
              <w:t xml:space="preserve">Education of non-specialist </w:t>
            </w:r>
            <w:r w:rsidR="00B77ABD">
              <w:t>providers</w:t>
            </w:r>
          </w:p>
        </w:tc>
        <w:tc>
          <w:tcPr>
            <w:tcW w:w="1667" w:type="pct"/>
          </w:tcPr>
          <w:p w14:paraId="3A6C1268" w14:textId="77777777" w:rsidR="004C2F3C" w:rsidRDefault="004C2F3C" w:rsidP="006B5CA7">
            <w:pPr>
              <w:pStyle w:val="ListParagraph"/>
              <w:numPr>
                <w:ilvl w:val="0"/>
                <w:numId w:val="2"/>
              </w:numPr>
              <w:ind w:left="142" w:hanging="180"/>
            </w:pPr>
            <w:r>
              <w:t>Target groups for additional education include dermatology residents, allergy fellows, practicing dermatologi</w:t>
            </w:r>
            <w:r w:rsidR="006B5CA7">
              <w:t>sts and allergists and patients</w:t>
            </w:r>
          </w:p>
          <w:p w14:paraId="43115AB1" w14:textId="77777777" w:rsidR="00C25A8E" w:rsidRDefault="00C25A8E" w:rsidP="006B5CA7">
            <w:pPr>
              <w:pStyle w:val="ListParagraph"/>
              <w:numPr>
                <w:ilvl w:val="0"/>
                <w:numId w:val="2"/>
              </w:numPr>
              <w:ind w:left="142" w:hanging="180"/>
            </w:pPr>
            <w:r>
              <w:t>ACDS mentorship and more career development options help dermatologists specialize</w:t>
            </w:r>
          </w:p>
          <w:p w14:paraId="6FDCB34C" w14:textId="0B522C55" w:rsidR="00300BBE" w:rsidRDefault="004C2F3C" w:rsidP="006B5CA7">
            <w:pPr>
              <w:pStyle w:val="ListParagraph"/>
              <w:numPr>
                <w:ilvl w:val="0"/>
                <w:numId w:val="2"/>
              </w:numPr>
              <w:ind w:left="142" w:hanging="180"/>
            </w:pPr>
            <w:r>
              <w:t>Detailed letters to referring physicians help to educate.</w:t>
            </w:r>
          </w:p>
          <w:p w14:paraId="00D763C6" w14:textId="77777777" w:rsidR="004C2F3C" w:rsidRDefault="004C2F3C" w:rsidP="006B5CA7">
            <w:pPr>
              <w:pStyle w:val="ListParagraph"/>
              <w:numPr>
                <w:ilvl w:val="0"/>
                <w:numId w:val="2"/>
              </w:numPr>
              <w:ind w:left="142" w:hanging="180"/>
            </w:pPr>
            <w:r>
              <w:t>There is a need to improve access to patient education resources, including diets</w:t>
            </w:r>
          </w:p>
        </w:tc>
        <w:tc>
          <w:tcPr>
            <w:tcW w:w="1667" w:type="pct"/>
          </w:tcPr>
          <w:p w14:paraId="621B4B77" w14:textId="4E1FCDFE" w:rsidR="004C2F3C" w:rsidRDefault="00C25A8E" w:rsidP="006B5CA7">
            <w:pPr>
              <w:pStyle w:val="ListParagraph"/>
              <w:numPr>
                <w:ilvl w:val="0"/>
                <w:numId w:val="2"/>
              </w:numPr>
              <w:ind w:left="142" w:hanging="180"/>
            </w:pPr>
            <w:r>
              <w:t>At a board meeting subsequent to the March 1</w:t>
            </w:r>
            <w:r w:rsidRPr="004C2F3C">
              <w:rPr>
                <w:vertAlign w:val="superscript"/>
              </w:rPr>
              <w:t>st</w:t>
            </w:r>
            <w:r>
              <w:t xml:space="preserve"> meeting, Dianne </w:t>
            </w:r>
            <w:proofErr w:type="spellStart"/>
            <w:r>
              <w:t>Silvestri</w:t>
            </w:r>
            <w:proofErr w:type="spellEnd"/>
            <w:r>
              <w:t xml:space="preserve"> MD (U Mass) agreed to oversee updating the </w:t>
            </w:r>
            <w:r w:rsidR="00B77ABD">
              <w:t>Contact Allergen Management Program (</w:t>
            </w:r>
            <w:r>
              <w:t>CAMP</w:t>
            </w:r>
            <w:r w:rsidR="00B77ABD">
              <w:t>)</w:t>
            </w:r>
            <w:r>
              <w:t xml:space="preserve"> narratives and perhaps publishing patient education pages on the ACDS pages in Dermatitis</w:t>
            </w:r>
          </w:p>
          <w:p w14:paraId="4C2AF856" w14:textId="4B557FC2" w:rsidR="00C25A8E" w:rsidRDefault="00C25A8E" w:rsidP="006B5CA7">
            <w:pPr>
              <w:pStyle w:val="ListParagraph"/>
              <w:numPr>
                <w:ilvl w:val="0"/>
                <w:numId w:val="2"/>
              </w:numPr>
              <w:ind w:left="142" w:hanging="180"/>
            </w:pPr>
            <w:r w:rsidRPr="002B1DC0">
              <w:t>L</w:t>
            </w:r>
            <w:r w:rsidR="00B77ABD">
              <w:t xml:space="preserve">ippincott </w:t>
            </w:r>
            <w:r w:rsidRPr="002B1DC0">
              <w:t>W</w:t>
            </w:r>
            <w:r w:rsidR="00B77ABD">
              <w:t xml:space="preserve">olters </w:t>
            </w:r>
            <w:proofErr w:type="gramStart"/>
            <w:r w:rsidR="00B77ABD">
              <w:t xml:space="preserve">Kluwer </w:t>
            </w:r>
            <w:r w:rsidRPr="002B1DC0">
              <w:t xml:space="preserve"> will</w:t>
            </w:r>
            <w:proofErr w:type="gramEnd"/>
            <w:r w:rsidRPr="002B1DC0">
              <w:t xml:space="preserve"> enable free access for one month to articles identified for a resident journal club curriculum.</w:t>
            </w:r>
            <w:r w:rsidRPr="004C2F3C">
              <w:rPr>
                <w:b/>
              </w:rPr>
              <w:t xml:space="preserve"> </w:t>
            </w:r>
            <w:r w:rsidRPr="002B1DC0">
              <w:t>This initiative requires a leader</w:t>
            </w:r>
          </w:p>
          <w:p w14:paraId="2785D3F6" w14:textId="77777777" w:rsidR="004C2F3C" w:rsidRDefault="004C2F3C" w:rsidP="006B5CA7">
            <w:pPr>
              <w:pStyle w:val="ListParagraph"/>
              <w:numPr>
                <w:ilvl w:val="0"/>
                <w:numId w:val="2"/>
              </w:numPr>
              <w:ind w:left="142" w:hanging="180"/>
            </w:pPr>
            <w:r>
              <w:lastRenderedPageBreak/>
              <w:t>Consider increasing education oppor</w:t>
            </w:r>
            <w:r w:rsidR="006B5CA7">
              <w:t>tunities via multiple platforms</w:t>
            </w:r>
          </w:p>
          <w:p w14:paraId="54213A3D" w14:textId="77777777" w:rsidR="004C2F3C" w:rsidRPr="006B5CA7" w:rsidRDefault="004C2F3C" w:rsidP="006B5CA7">
            <w:pPr>
              <w:pStyle w:val="ListParagraph"/>
              <w:numPr>
                <w:ilvl w:val="0"/>
                <w:numId w:val="2"/>
              </w:numPr>
              <w:ind w:left="142" w:hanging="180"/>
            </w:pPr>
            <w:r>
              <w:t>Organize ACDS website (for physicians) for easy access to patient education resources (diets, alternatives)</w:t>
            </w:r>
          </w:p>
        </w:tc>
      </w:tr>
      <w:tr w:rsidR="002B1DC0" w14:paraId="6643E127" w14:textId="77777777" w:rsidTr="00724C4B">
        <w:tc>
          <w:tcPr>
            <w:tcW w:w="1666" w:type="pct"/>
          </w:tcPr>
          <w:p w14:paraId="151919F9" w14:textId="77777777" w:rsidR="002B1DC0" w:rsidRDefault="002B1DC0">
            <w:r>
              <w:lastRenderedPageBreak/>
              <w:t>Education of peers for children with dermatitis</w:t>
            </w:r>
          </w:p>
        </w:tc>
        <w:tc>
          <w:tcPr>
            <w:tcW w:w="1667" w:type="pct"/>
          </w:tcPr>
          <w:p w14:paraId="7F06194E" w14:textId="74FB8383" w:rsidR="002B1DC0" w:rsidRDefault="002B1DC0" w:rsidP="006B5CA7">
            <w:pPr>
              <w:pStyle w:val="ListParagraph"/>
              <w:numPr>
                <w:ilvl w:val="0"/>
                <w:numId w:val="3"/>
              </w:numPr>
              <w:ind w:left="144" w:hanging="187"/>
            </w:pPr>
            <w:r>
              <w:t>This was suggested by our patient participant. Create an app showing photographs of skin with and without skin disease that can swipe over to stories written by kids on what is like to have the disease. Can explain not contagious, etc</w:t>
            </w:r>
            <w:r w:rsidR="003F2608">
              <w:t>.</w:t>
            </w:r>
          </w:p>
        </w:tc>
        <w:tc>
          <w:tcPr>
            <w:tcW w:w="1667" w:type="pct"/>
          </w:tcPr>
          <w:p w14:paraId="2805B9DA" w14:textId="1724605E" w:rsidR="002B1DC0" w:rsidRDefault="002B1DC0" w:rsidP="004C2F3C">
            <w:pPr>
              <w:pStyle w:val="ListParagraph"/>
              <w:numPr>
                <w:ilvl w:val="0"/>
                <w:numId w:val="3"/>
              </w:numPr>
              <w:ind w:left="142" w:hanging="180"/>
            </w:pPr>
            <w:r>
              <w:t>N</w:t>
            </w:r>
            <w:r w:rsidR="00B77ABD">
              <w:t xml:space="preserve">ational </w:t>
            </w:r>
            <w:r>
              <w:t>E</w:t>
            </w:r>
            <w:r w:rsidR="00B77ABD">
              <w:t xml:space="preserve">czema </w:t>
            </w:r>
            <w:r>
              <w:t>A</w:t>
            </w:r>
            <w:r w:rsidR="00B77ABD">
              <w:t>ssociation</w:t>
            </w:r>
            <w:r>
              <w:t xml:space="preserve"> might support</w:t>
            </w:r>
            <w:r w:rsidR="004C2F3C">
              <w:t>.</w:t>
            </w:r>
            <w:r>
              <w:t xml:space="preserve"> </w:t>
            </w:r>
          </w:p>
          <w:p w14:paraId="7EB7A50D" w14:textId="6A7B7FAF" w:rsidR="002B1DC0" w:rsidRDefault="002B1DC0" w:rsidP="004C2F3C">
            <w:pPr>
              <w:pStyle w:val="ListParagraph"/>
              <w:numPr>
                <w:ilvl w:val="0"/>
                <w:numId w:val="3"/>
              </w:numPr>
              <w:ind w:left="142" w:hanging="180"/>
            </w:pPr>
            <w:r>
              <w:t xml:space="preserve">Camp Discovery participants might help with content including other skin disease like alopecia </w:t>
            </w:r>
            <w:proofErr w:type="spellStart"/>
            <w:r>
              <w:t>areata</w:t>
            </w:r>
            <w:proofErr w:type="spellEnd"/>
            <w:r>
              <w:t xml:space="preserve">, </w:t>
            </w:r>
            <w:r w:rsidR="00A43BD8">
              <w:t>vitiligo</w:t>
            </w:r>
            <w:r>
              <w:t>, psoriasis, vascular malformations, sunburn, acne</w:t>
            </w:r>
          </w:p>
        </w:tc>
      </w:tr>
      <w:tr w:rsidR="00724C4B" w14:paraId="2BEF3E04" w14:textId="77777777" w:rsidTr="00724C4B">
        <w:tc>
          <w:tcPr>
            <w:tcW w:w="1666" w:type="pct"/>
          </w:tcPr>
          <w:p w14:paraId="552171B4" w14:textId="77777777" w:rsidR="00724C4B" w:rsidRDefault="00C25A8E">
            <w:r>
              <w:t>How to use antibiotics without increasing the risk of MRSA</w:t>
            </w:r>
          </w:p>
        </w:tc>
        <w:tc>
          <w:tcPr>
            <w:tcW w:w="1667" w:type="pct"/>
          </w:tcPr>
          <w:p w14:paraId="7F13ECBD" w14:textId="1EDE4F5E" w:rsidR="00724C4B" w:rsidRPr="006B5CA7" w:rsidRDefault="00C25A8E" w:rsidP="006B5CA7">
            <w:pPr>
              <w:pStyle w:val="ListParagraph"/>
              <w:numPr>
                <w:ilvl w:val="0"/>
                <w:numId w:val="4"/>
              </w:numPr>
              <w:shd w:val="clear" w:color="auto" w:fill="FFFFFF"/>
              <w:ind w:left="142" w:hanging="180"/>
              <w:rPr>
                <w:rFonts w:ascii="Arial" w:hAnsi="Arial" w:cs="Arial"/>
                <w:color w:val="000000"/>
                <w:sz w:val="16"/>
                <w:szCs w:val="16"/>
              </w:rPr>
            </w:pPr>
            <w:r>
              <w:t xml:space="preserve">Treat with systemic antibiotic for 10-14 days and then use topical anti-microbial e.g. </w:t>
            </w:r>
            <w:r w:rsidR="006B5CA7">
              <w:t>chlorhexidine</w:t>
            </w:r>
            <w:r>
              <w:t xml:space="preserve"> or bleach baths</w:t>
            </w:r>
            <w:r w:rsidR="004D7EBB">
              <w:t xml:space="preserve"> followed by low pH emollient </w:t>
            </w:r>
            <w:r w:rsidR="00300BBE">
              <w:t>(</w:t>
            </w:r>
            <w:hyperlink r:id="rId5" w:tooltip="Journal of drugs in dermatology : JDD." w:history="1">
              <w:r w:rsidR="00300BBE" w:rsidRPr="006B5CA7">
                <w:rPr>
                  <w:rStyle w:val="Hyperlink"/>
                  <w:rFonts w:ascii="Arial" w:hAnsi="Arial" w:cs="Arial"/>
                  <w:color w:val="660066"/>
                  <w:sz w:val="16"/>
                  <w:szCs w:val="16"/>
                </w:rPr>
                <w:t xml:space="preserve">J Drugs </w:t>
              </w:r>
              <w:proofErr w:type="spellStart"/>
              <w:r w:rsidR="00300BBE" w:rsidRPr="006B5CA7">
                <w:rPr>
                  <w:rStyle w:val="Hyperlink"/>
                  <w:rFonts w:ascii="Arial" w:hAnsi="Arial" w:cs="Arial"/>
                  <w:color w:val="660066"/>
                  <w:sz w:val="16"/>
                  <w:szCs w:val="16"/>
                </w:rPr>
                <w:t>Dermatol</w:t>
              </w:r>
              <w:proofErr w:type="spellEnd"/>
              <w:r w:rsidR="00300BBE" w:rsidRPr="006B5CA7">
                <w:rPr>
                  <w:rStyle w:val="Hyperlink"/>
                  <w:rFonts w:ascii="Arial" w:hAnsi="Arial" w:cs="Arial"/>
                  <w:color w:val="660066"/>
                  <w:sz w:val="16"/>
                  <w:szCs w:val="16"/>
                </w:rPr>
                <w:t>.</w:t>
              </w:r>
            </w:hyperlink>
            <w:r w:rsidR="00300BBE" w:rsidRPr="006B5CA7">
              <w:rPr>
                <w:rFonts w:ascii="Arial" w:hAnsi="Arial" w:cs="Arial"/>
                <w:color w:val="000000"/>
                <w:sz w:val="16"/>
                <w:szCs w:val="16"/>
              </w:rPr>
              <w:t> 2012 May;11(5):633-6</w:t>
            </w:r>
            <w:r w:rsidR="00300BBE">
              <w:t xml:space="preserve">) </w:t>
            </w:r>
            <w:r w:rsidR="004D7EBB">
              <w:t>or alternating with vinegar baths titrated to a pH of about 4.5 to reduce bacteria and yeast on the skin</w:t>
            </w:r>
          </w:p>
        </w:tc>
        <w:tc>
          <w:tcPr>
            <w:tcW w:w="1667" w:type="pct"/>
          </w:tcPr>
          <w:p w14:paraId="159249BA" w14:textId="26A96F32" w:rsidR="004D7EBB" w:rsidRDefault="004D7EBB" w:rsidP="006B5CA7">
            <w:pPr>
              <w:pStyle w:val="ListParagraph"/>
              <w:numPr>
                <w:ilvl w:val="0"/>
                <w:numId w:val="4"/>
              </w:numPr>
              <w:ind w:left="142" w:hanging="180"/>
            </w:pPr>
            <w:r>
              <w:t>Need more stud</w:t>
            </w:r>
            <w:r w:rsidR="00A43BD8">
              <w:t>ies investigating</w:t>
            </w:r>
            <w:r>
              <w:t xml:space="preserve"> the role of </w:t>
            </w:r>
            <w:proofErr w:type="spellStart"/>
            <w:r>
              <w:t>mupirocin</w:t>
            </w:r>
            <w:proofErr w:type="spellEnd"/>
            <w:r>
              <w:t>, which was suggested for patients and families. However, Hammond et al presented data at the March 2</w:t>
            </w:r>
            <w:r w:rsidRPr="006B5CA7">
              <w:rPr>
                <w:vertAlign w:val="superscript"/>
              </w:rPr>
              <w:t>nd</w:t>
            </w:r>
            <w:r>
              <w:t xml:space="preserve"> ACDS meeting that the absence of </w:t>
            </w:r>
            <w:proofErr w:type="spellStart"/>
            <w:r>
              <w:t>filaggrin</w:t>
            </w:r>
            <w:proofErr w:type="spellEnd"/>
            <w:r>
              <w:t xml:space="preserve"> in the nasal mucosae results in no particular predisposition to </w:t>
            </w:r>
            <w:r w:rsidR="00A43BD8" w:rsidRPr="00025CE9">
              <w:rPr>
                <w:i/>
              </w:rPr>
              <w:t>S</w:t>
            </w:r>
            <w:r w:rsidRPr="00025CE9">
              <w:rPr>
                <w:i/>
              </w:rPr>
              <w:t>taph</w:t>
            </w:r>
            <w:r w:rsidR="00A43BD8" w:rsidRPr="00025CE9">
              <w:rPr>
                <w:i/>
              </w:rPr>
              <w:t>ylococcus</w:t>
            </w:r>
            <w:r>
              <w:t xml:space="preserve"> nasal carriage in childhood onset dermatitis (aka “atopic dermatitis”)</w:t>
            </w:r>
          </w:p>
          <w:p w14:paraId="3A6E1382" w14:textId="4AEE5E76" w:rsidR="002E2B8F" w:rsidRDefault="002E2B8F" w:rsidP="006B5CA7">
            <w:pPr>
              <w:pStyle w:val="ListParagraph"/>
              <w:numPr>
                <w:ilvl w:val="0"/>
                <w:numId w:val="4"/>
              </w:numPr>
              <w:ind w:left="142" w:hanging="180"/>
            </w:pPr>
            <w:r>
              <w:t xml:space="preserve">Need to investigate the role of microbial biofilms (esp. fungal biofilms) in modulating skin colonization by MRSA </w:t>
            </w:r>
          </w:p>
        </w:tc>
      </w:tr>
      <w:tr w:rsidR="00724C4B" w14:paraId="38E3D850" w14:textId="77777777" w:rsidTr="00724C4B">
        <w:tc>
          <w:tcPr>
            <w:tcW w:w="1666" w:type="pct"/>
          </w:tcPr>
          <w:p w14:paraId="142AE67D" w14:textId="57DE43B8" w:rsidR="00724C4B" w:rsidRDefault="004D7EBB">
            <w:r>
              <w:t>Role of Bugs (</w:t>
            </w:r>
            <w:r w:rsidR="00357C3C">
              <w:t>M</w:t>
            </w:r>
            <w:r>
              <w:t>icrobiome</w:t>
            </w:r>
            <w:r w:rsidR="00357C3C">
              <w:t>/</w:t>
            </w:r>
            <w:proofErr w:type="spellStart"/>
            <w:r w:rsidR="00357C3C">
              <w:t>Mycobiome</w:t>
            </w:r>
            <w:proofErr w:type="spellEnd"/>
            <w:r>
              <w:t xml:space="preserve">) in </w:t>
            </w:r>
            <w:r w:rsidR="00357C3C">
              <w:t>D</w:t>
            </w:r>
            <w:r>
              <w:t>ermatitis</w:t>
            </w:r>
          </w:p>
        </w:tc>
        <w:tc>
          <w:tcPr>
            <w:tcW w:w="1667" w:type="pct"/>
          </w:tcPr>
          <w:p w14:paraId="7A26D02A" w14:textId="04D8CC14" w:rsidR="00724C4B" w:rsidRDefault="004D7EBB" w:rsidP="006B5CA7">
            <w:pPr>
              <w:pStyle w:val="ListParagraph"/>
              <w:numPr>
                <w:ilvl w:val="0"/>
                <w:numId w:val="5"/>
              </w:numPr>
              <w:ind w:left="142" w:hanging="180"/>
            </w:pPr>
            <w:r>
              <w:t>Fungus may create a scaffolding for bacterial</w:t>
            </w:r>
            <w:r w:rsidR="00A43BD8">
              <w:t xml:space="preserve"> biofilms</w:t>
            </w:r>
            <w:r>
              <w:t xml:space="preserve"> (</w:t>
            </w:r>
            <w:r w:rsidR="00A43BD8">
              <w:t xml:space="preserve">e.g. </w:t>
            </w:r>
            <w:r w:rsidR="00A43BD8" w:rsidRPr="00A2002A">
              <w:rPr>
                <w:i/>
                <w:iCs/>
              </w:rPr>
              <w:t>Staphylococc</w:t>
            </w:r>
            <w:r w:rsidR="00357C3C" w:rsidRPr="00A2002A">
              <w:rPr>
                <w:i/>
                <w:iCs/>
              </w:rPr>
              <w:t>us</w:t>
            </w:r>
            <w:r>
              <w:t>)</w:t>
            </w:r>
          </w:p>
          <w:p w14:paraId="2EA3AB2B" w14:textId="77777777" w:rsidR="002E2B8F" w:rsidRDefault="002E2B8F" w:rsidP="006B5CA7">
            <w:pPr>
              <w:pStyle w:val="ListParagraph"/>
              <w:numPr>
                <w:ilvl w:val="0"/>
                <w:numId w:val="5"/>
              </w:numPr>
              <w:ind w:left="142" w:hanging="180"/>
            </w:pPr>
            <w:r>
              <w:t>Changes in micro/</w:t>
            </w:r>
            <w:proofErr w:type="spellStart"/>
            <w:r>
              <w:t>mycobiome</w:t>
            </w:r>
            <w:proofErr w:type="spellEnd"/>
            <w:r>
              <w:t xml:space="preserve"> may influence the pH and barrier function</w:t>
            </w:r>
            <w:r w:rsidR="00FA56FE">
              <w:t>s</w:t>
            </w:r>
            <w:r>
              <w:t xml:space="preserve"> of skin</w:t>
            </w:r>
          </w:p>
          <w:p w14:paraId="172C9DE9" w14:textId="67C5B2E5" w:rsidR="00B727D9" w:rsidRDefault="00B727D9" w:rsidP="006B5CA7">
            <w:pPr>
              <w:pStyle w:val="ListParagraph"/>
              <w:numPr>
                <w:ilvl w:val="0"/>
                <w:numId w:val="5"/>
              </w:numPr>
              <w:ind w:left="142" w:hanging="180"/>
            </w:pPr>
            <w:r>
              <w:t>Micro/</w:t>
            </w:r>
            <w:proofErr w:type="spellStart"/>
            <w:r>
              <w:t>mycobiome</w:t>
            </w:r>
            <w:proofErr w:type="spellEnd"/>
            <w:r>
              <w:t xml:space="preserve"> interact with host immune system </w:t>
            </w:r>
            <w:r w:rsidR="00357C3C">
              <w:t>by inducing</w:t>
            </w:r>
            <w:r w:rsidR="00970BD1">
              <w:t>/attenuating</w:t>
            </w:r>
            <w:r w:rsidR="00357C3C">
              <w:t xml:space="preserve"> targeted changes in immune pathways</w:t>
            </w:r>
          </w:p>
          <w:p w14:paraId="4CD90461" w14:textId="71A9B90A" w:rsidR="00B727D9" w:rsidRDefault="00B727D9" w:rsidP="00025CE9">
            <w:pPr>
              <w:ind w:left="-38"/>
            </w:pPr>
          </w:p>
        </w:tc>
        <w:tc>
          <w:tcPr>
            <w:tcW w:w="1667" w:type="pct"/>
          </w:tcPr>
          <w:p w14:paraId="3C89D534" w14:textId="5976E326" w:rsidR="00724C4B" w:rsidRDefault="00357C3C" w:rsidP="006B5CA7">
            <w:pPr>
              <w:pStyle w:val="ListParagraph"/>
              <w:numPr>
                <w:ilvl w:val="0"/>
                <w:numId w:val="5"/>
              </w:numPr>
              <w:ind w:left="142" w:hanging="180"/>
            </w:pPr>
            <w:r>
              <w:t>Investigations into the role</w:t>
            </w:r>
            <w:r w:rsidR="004D7EBB">
              <w:t xml:space="preserve"> of biofilms as a source of antigen concentration </w:t>
            </w:r>
            <w:r>
              <w:t xml:space="preserve">(by </w:t>
            </w:r>
            <w:r w:rsidR="004D7EBB">
              <w:t>promoting commensal organisms</w:t>
            </w:r>
            <w:r>
              <w:t>, and attenuating harmful organisms)</w:t>
            </w:r>
            <w:r w:rsidR="004D7EBB">
              <w:t xml:space="preserve"> is needed</w:t>
            </w:r>
          </w:p>
          <w:p w14:paraId="0A96168B" w14:textId="65EB2D5A" w:rsidR="002E2B8F" w:rsidRDefault="002E2B8F" w:rsidP="006B5CA7">
            <w:pPr>
              <w:pStyle w:val="ListParagraph"/>
              <w:numPr>
                <w:ilvl w:val="0"/>
                <w:numId w:val="5"/>
              </w:numPr>
              <w:ind w:left="142" w:hanging="180"/>
            </w:pPr>
            <w:r>
              <w:t xml:space="preserve">Use of </w:t>
            </w:r>
            <w:proofErr w:type="spellStart"/>
            <w:r>
              <w:t>organotypic</w:t>
            </w:r>
            <w:proofErr w:type="spellEnd"/>
            <w:r>
              <w:t xml:space="preserve"> and animal models of dermatitis is likely to elucidate these mechanisms in greater details</w:t>
            </w:r>
          </w:p>
          <w:p w14:paraId="0EC50F2D" w14:textId="77777777" w:rsidR="004D7EBB" w:rsidRDefault="004D7EBB" w:rsidP="006B5CA7">
            <w:pPr>
              <w:pStyle w:val="ListParagraph"/>
              <w:numPr>
                <w:ilvl w:val="0"/>
                <w:numId w:val="5"/>
              </w:numPr>
              <w:ind w:left="142" w:hanging="180"/>
            </w:pPr>
            <w:r>
              <w:t>Further study of antimicrobials that will impact the biofilm is needed</w:t>
            </w:r>
          </w:p>
        </w:tc>
      </w:tr>
      <w:tr w:rsidR="00724C4B" w14:paraId="3C668556" w14:textId="77777777" w:rsidTr="00724C4B">
        <w:tc>
          <w:tcPr>
            <w:tcW w:w="1666" w:type="pct"/>
          </w:tcPr>
          <w:p w14:paraId="17EE39ED" w14:textId="77777777" w:rsidR="00724C4B" w:rsidRDefault="00300BBE">
            <w:r>
              <w:lastRenderedPageBreak/>
              <w:t>Improve u</w:t>
            </w:r>
            <w:r w:rsidR="004D7EBB">
              <w:t>nderst</w:t>
            </w:r>
            <w:r>
              <w:t xml:space="preserve">anding of occupational glove intolerance </w:t>
            </w:r>
          </w:p>
        </w:tc>
        <w:tc>
          <w:tcPr>
            <w:tcW w:w="1667" w:type="pct"/>
          </w:tcPr>
          <w:p w14:paraId="2930E9CE" w14:textId="77777777" w:rsidR="00724C4B" w:rsidRDefault="00724C4B"/>
        </w:tc>
        <w:tc>
          <w:tcPr>
            <w:tcW w:w="1667" w:type="pct"/>
          </w:tcPr>
          <w:p w14:paraId="548639DC" w14:textId="77777777" w:rsidR="00724C4B" w:rsidRDefault="00300BBE" w:rsidP="006B5CA7">
            <w:pPr>
              <w:pStyle w:val="ListParagraph"/>
              <w:numPr>
                <w:ilvl w:val="0"/>
                <w:numId w:val="6"/>
              </w:numPr>
              <w:ind w:left="193" w:hanging="193"/>
            </w:pPr>
            <w:r>
              <w:t>Further attention to irritant dermatitis and occlusion is needed. Dermatitis might try to publish more on this topic</w:t>
            </w:r>
          </w:p>
        </w:tc>
      </w:tr>
      <w:tr w:rsidR="00724C4B" w14:paraId="4F30F44F" w14:textId="77777777" w:rsidTr="00724C4B">
        <w:tc>
          <w:tcPr>
            <w:tcW w:w="1666" w:type="pct"/>
          </w:tcPr>
          <w:p w14:paraId="44161AF8" w14:textId="77777777" w:rsidR="00724C4B" w:rsidRDefault="00300BBE">
            <w:proofErr w:type="spellStart"/>
            <w:r>
              <w:t>Atopy</w:t>
            </w:r>
            <w:proofErr w:type="spellEnd"/>
            <w:r>
              <w:t xml:space="preserve"> patch tests</w:t>
            </w:r>
          </w:p>
        </w:tc>
        <w:tc>
          <w:tcPr>
            <w:tcW w:w="1667" w:type="pct"/>
          </w:tcPr>
          <w:p w14:paraId="1F15770F" w14:textId="77777777" w:rsidR="006B5CA7" w:rsidRDefault="00DF4C27" w:rsidP="006B5CA7">
            <w:pPr>
              <w:pStyle w:val="ListParagraph"/>
              <w:numPr>
                <w:ilvl w:val="0"/>
                <w:numId w:val="6"/>
              </w:numPr>
              <w:ind w:left="142" w:hanging="180"/>
            </w:pPr>
            <w:r>
              <w:t>This topic was identified as a gap but withdrawn due to competing topics of interest</w:t>
            </w:r>
          </w:p>
          <w:p w14:paraId="1585418F" w14:textId="4759497F" w:rsidR="00724C4B" w:rsidRDefault="00DF4C27" w:rsidP="006B5CA7">
            <w:pPr>
              <w:pStyle w:val="ListParagraph"/>
              <w:numPr>
                <w:ilvl w:val="0"/>
                <w:numId w:val="6"/>
              </w:numPr>
              <w:ind w:left="142" w:hanging="180"/>
            </w:pPr>
            <w:r>
              <w:t>Recent introduction of commercially available antigens should help standardize</w:t>
            </w:r>
            <w:r w:rsidR="00F0432A">
              <w:t xml:space="preserve"> </w:t>
            </w:r>
            <w:r>
              <w:t>reports in the literature</w:t>
            </w:r>
          </w:p>
        </w:tc>
        <w:tc>
          <w:tcPr>
            <w:tcW w:w="1667" w:type="pct"/>
          </w:tcPr>
          <w:p w14:paraId="3430CCE3" w14:textId="2A130820" w:rsidR="00724C4B" w:rsidRDefault="00DF4C27" w:rsidP="006B5CA7">
            <w:pPr>
              <w:pStyle w:val="ListParagraph"/>
              <w:numPr>
                <w:ilvl w:val="0"/>
                <w:numId w:val="6"/>
              </w:numPr>
              <w:ind w:left="142" w:hanging="180"/>
            </w:pPr>
            <w:r>
              <w:t>We do not know the risks of active sensitization in young children who have not had mucosal exposure to allow tolerance to develop</w:t>
            </w:r>
            <w:r w:rsidR="006B5CA7">
              <w:t>.  W</w:t>
            </w:r>
            <w:r>
              <w:t>e do not know how often to repeat testing to determine if the Th1 response has been lost.</w:t>
            </w:r>
          </w:p>
        </w:tc>
      </w:tr>
      <w:tr w:rsidR="00724C4B" w14:paraId="264CBE08" w14:textId="77777777" w:rsidTr="00724C4B">
        <w:tc>
          <w:tcPr>
            <w:tcW w:w="1666" w:type="pct"/>
          </w:tcPr>
          <w:p w14:paraId="24195E5B" w14:textId="476557C4" w:rsidR="00724C4B" w:rsidRDefault="0081558D">
            <w:r>
              <w:t>Better understand</w:t>
            </w:r>
            <w:r w:rsidR="00F0432A">
              <w:t>ing of</w:t>
            </w:r>
            <w:r>
              <w:t xml:space="preserve"> systemic contact dermatitis</w:t>
            </w:r>
            <w:r w:rsidR="00F0432A">
              <w:t xml:space="preserve"> (SCD)</w:t>
            </w:r>
          </w:p>
        </w:tc>
        <w:tc>
          <w:tcPr>
            <w:tcW w:w="1667" w:type="pct"/>
          </w:tcPr>
          <w:p w14:paraId="7C4592DC" w14:textId="15E4D0C0" w:rsidR="00724C4B" w:rsidRDefault="007D3AC2" w:rsidP="006B5CA7">
            <w:pPr>
              <w:pStyle w:val="ListParagraph"/>
              <w:numPr>
                <w:ilvl w:val="0"/>
                <w:numId w:val="7"/>
              </w:numPr>
              <w:ind w:left="142" w:hanging="180"/>
            </w:pPr>
            <w:r>
              <w:t>All patch test positive patients should avoid contact with allergens</w:t>
            </w:r>
            <w:r w:rsidR="00535BD7">
              <w:t xml:space="preserve"> topically</w:t>
            </w:r>
            <w:r>
              <w:t xml:space="preserve">, </w:t>
            </w:r>
            <w:r w:rsidR="00535BD7">
              <w:t xml:space="preserve">and when this does not help then patients </w:t>
            </w:r>
            <w:r>
              <w:t>need to avoid systemic exposure. Need to define best practice on how to explain this and share decision making with patients.</w:t>
            </w:r>
          </w:p>
          <w:p w14:paraId="141FFEE8" w14:textId="6E25F552" w:rsidR="006B5CA7" w:rsidRDefault="007D3AC2" w:rsidP="006B5CA7">
            <w:pPr>
              <w:pStyle w:val="ListParagraph"/>
              <w:numPr>
                <w:ilvl w:val="0"/>
                <w:numId w:val="7"/>
              </w:numPr>
              <w:ind w:left="142" w:hanging="180"/>
            </w:pPr>
            <w:r>
              <w:t xml:space="preserve">Need to define phenotypes of systemic contact dermatitis (often symmetrical, </w:t>
            </w:r>
            <w:r w:rsidR="00535BD7">
              <w:t xml:space="preserve">generalized, occasionally </w:t>
            </w:r>
            <w:r>
              <w:t>eyelid,</w:t>
            </w:r>
            <w:r w:rsidR="00535BD7">
              <w:t xml:space="preserve"> perioral dermatitis-like,</w:t>
            </w:r>
            <w:r>
              <w:t xml:space="preserve"> </w:t>
            </w:r>
            <w:proofErr w:type="spellStart"/>
            <w:r w:rsidR="00535BD7">
              <w:t>anogenital</w:t>
            </w:r>
            <w:proofErr w:type="spellEnd"/>
            <w:r>
              <w:t xml:space="preserve">, </w:t>
            </w:r>
            <w:r w:rsidR="00535BD7">
              <w:t>(</w:t>
            </w:r>
            <w:r>
              <w:t>nummular</w:t>
            </w:r>
            <w:r w:rsidR="00535BD7">
              <w:t xml:space="preserve"> is rare)</w:t>
            </w:r>
            <w:r>
              <w:t>).</w:t>
            </w:r>
          </w:p>
          <w:p w14:paraId="2A82BCDC" w14:textId="41412EE5" w:rsidR="007D3AC2" w:rsidRDefault="007D3AC2">
            <w:pPr>
              <w:pStyle w:val="ListParagraph"/>
              <w:numPr>
                <w:ilvl w:val="0"/>
                <w:numId w:val="7"/>
              </w:numPr>
              <w:ind w:left="142" w:hanging="180"/>
            </w:pPr>
            <w:r>
              <w:t xml:space="preserve">After the Th1 (positive patch test) resolves, there is often persistent immediate type </w:t>
            </w:r>
            <w:r w:rsidRPr="00F0432A">
              <w:t>I</w:t>
            </w:r>
            <w:r>
              <w:t xml:space="preserve"> or hive-like symptoms (probably Th2 driven) with positive prick test. Dr. </w:t>
            </w:r>
            <w:proofErr w:type="spellStart"/>
            <w:r>
              <w:t>Ardern-Jone’s</w:t>
            </w:r>
            <w:proofErr w:type="spellEnd"/>
            <w:r>
              <w:t xml:space="preserve"> work published in JID 2013 may explain this.</w:t>
            </w:r>
          </w:p>
        </w:tc>
        <w:tc>
          <w:tcPr>
            <w:tcW w:w="1667" w:type="pct"/>
          </w:tcPr>
          <w:p w14:paraId="74940EB3" w14:textId="7F45BC04" w:rsidR="00724C4B" w:rsidRDefault="007D3AC2" w:rsidP="006B5CA7">
            <w:pPr>
              <w:pStyle w:val="ListParagraph"/>
              <w:numPr>
                <w:ilvl w:val="0"/>
                <w:numId w:val="7"/>
              </w:numPr>
              <w:ind w:left="142" w:hanging="180"/>
            </w:pPr>
            <w:r>
              <w:t xml:space="preserve">Invite a gastroenterologist to attend the next ACDS meeting to discuss eosinophilic esophagitis and </w:t>
            </w:r>
            <w:proofErr w:type="spellStart"/>
            <w:r>
              <w:t>atopy</w:t>
            </w:r>
            <w:proofErr w:type="spellEnd"/>
            <w:r>
              <w:t xml:space="preserve"> patch testing as well as patch testing to fragrance incl</w:t>
            </w:r>
            <w:r w:rsidR="006B5CA7">
              <w:t>uding balsa</w:t>
            </w:r>
            <w:r w:rsidR="00535BD7">
              <w:t>m</w:t>
            </w:r>
            <w:r w:rsidR="006B5CA7">
              <w:t xml:space="preserve"> of </w:t>
            </w:r>
            <w:r w:rsidR="00535BD7">
              <w:t>P</w:t>
            </w:r>
            <w:r w:rsidR="006B5CA7">
              <w:t xml:space="preserve">eru, </w:t>
            </w:r>
            <w:proofErr w:type="spellStart"/>
            <w:r>
              <w:t>cinnamates</w:t>
            </w:r>
            <w:proofErr w:type="spellEnd"/>
            <w:r>
              <w:t xml:space="preserve">, carmine, </w:t>
            </w:r>
            <w:r w:rsidR="006B5CA7">
              <w:t>propylene glycol</w:t>
            </w:r>
            <w:r>
              <w:t>, metals</w:t>
            </w:r>
            <w:r w:rsidR="00535BD7">
              <w:t xml:space="preserve"> (nickel, cobalt, chromium)</w:t>
            </w:r>
            <w:r>
              <w:t xml:space="preserve">, </w:t>
            </w:r>
            <w:proofErr w:type="spellStart"/>
            <w:r>
              <w:t>sesquiterpene</w:t>
            </w:r>
            <w:proofErr w:type="spellEnd"/>
            <w:r>
              <w:t xml:space="preserve"> lactone</w:t>
            </w:r>
            <w:r w:rsidR="00535BD7">
              <w:t>/</w:t>
            </w:r>
            <w:proofErr w:type="spellStart"/>
            <w:r w:rsidR="00535BD7">
              <w:t>compositae</w:t>
            </w:r>
            <w:proofErr w:type="spellEnd"/>
            <w:r>
              <w:t xml:space="preserve">, </w:t>
            </w:r>
            <w:r w:rsidR="00535BD7">
              <w:t xml:space="preserve">formaldehyde (aspartame), </w:t>
            </w:r>
            <w:proofErr w:type="spellStart"/>
            <w:r w:rsidR="00535BD7">
              <w:t>gallates</w:t>
            </w:r>
            <w:proofErr w:type="spellEnd"/>
          </w:p>
          <w:p w14:paraId="5FDC0206" w14:textId="314AED09" w:rsidR="009B396E" w:rsidRDefault="007D3AC2" w:rsidP="006B5CA7">
            <w:pPr>
              <w:pStyle w:val="ListParagraph"/>
              <w:numPr>
                <w:ilvl w:val="0"/>
                <w:numId w:val="7"/>
              </w:numPr>
              <w:ind w:left="142" w:hanging="180"/>
            </w:pPr>
            <w:r>
              <w:t>Create a registr</w:t>
            </w:r>
            <w:r w:rsidR="006B5CA7">
              <w:t xml:space="preserve">y </w:t>
            </w:r>
            <w:r w:rsidR="00535BD7">
              <w:t>–</w:t>
            </w:r>
            <w:r w:rsidR="006B5CA7">
              <w:t xml:space="preserve"> </w:t>
            </w:r>
            <w:r>
              <w:t>this initiative requires the identification of a leader</w:t>
            </w:r>
            <w:r w:rsidR="009B396E">
              <w:t xml:space="preserve"> </w:t>
            </w:r>
          </w:p>
          <w:p w14:paraId="6F04CD81" w14:textId="5A0648FA" w:rsidR="007D3AC2" w:rsidRDefault="009B396E" w:rsidP="006B5CA7">
            <w:pPr>
              <w:pStyle w:val="ListParagraph"/>
              <w:numPr>
                <w:ilvl w:val="0"/>
                <w:numId w:val="7"/>
              </w:numPr>
              <w:ind w:left="142" w:hanging="180"/>
            </w:pPr>
            <w:r>
              <w:t xml:space="preserve"> Create questions on CAMP regarding possible S</w:t>
            </w:r>
            <w:r w:rsidR="00B77ABD">
              <w:t>ystemic Contact Dermatitis (S</w:t>
            </w:r>
            <w:r>
              <w:t>CD</w:t>
            </w:r>
            <w:r w:rsidR="00B77ABD">
              <w:t>)</w:t>
            </w:r>
          </w:p>
        </w:tc>
      </w:tr>
      <w:tr w:rsidR="00724C4B" w14:paraId="525B65F8" w14:textId="77777777" w:rsidTr="00724C4B">
        <w:tc>
          <w:tcPr>
            <w:tcW w:w="1666" w:type="pct"/>
          </w:tcPr>
          <w:p w14:paraId="69230F99" w14:textId="5033DC6F" w:rsidR="00724C4B" w:rsidRDefault="00300BBE">
            <w:r>
              <w:t>How do we engage patients?</w:t>
            </w:r>
          </w:p>
        </w:tc>
        <w:tc>
          <w:tcPr>
            <w:tcW w:w="1667" w:type="pct"/>
          </w:tcPr>
          <w:p w14:paraId="011A407F" w14:textId="77777777" w:rsidR="00724C4B" w:rsidRDefault="00300BBE" w:rsidP="006B5CA7">
            <w:pPr>
              <w:pStyle w:val="ListParagraph"/>
              <w:numPr>
                <w:ilvl w:val="0"/>
                <w:numId w:val="8"/>
              </w:numPr>
              <w:ind w:left="142" w:hanging="180"/>
            </w:pPr>
            <w:r>
              <w:t>Request funding for patient stories, either by attending meetings or video</w:t>
            </w:r>
          </w:p>
          <w:p w14:paraId="6728E86E" w14:textId="372B7484" w:rsidR="00300BBE" w:rsidRDefault="00300BBE" w:rsidP="006B5CA7">
            <w:pPr>
              <w:pStyle w:val="ListParagraph"/>
              <w:numPr>
                <w:ilvl w:val="0"/>
                <w:numId w:val="8"/>
              </w:numPr>
              <w:ind w:left="142" w:hanging="180"/>
            </w:pPr>
            <w:r>
              <w:t>ACDS to create a Patient Advisory Council to advise the Education and I</w:t>
            </w:r>
            <w:r w:rsidR="00554032">
              <w:t xml:space="preserve">nformation </w:t>
            </w:r>
            <w:proofErr w:type="spellStart"/>
            <w:r>
              <w:t>T</w:t>
            </w:r>
            <w:r w:rsidR="00554032">
              <w:t>echnology</w:t>
            </w:r>
            <w:r>
              <w:t>committees</w:t>
            </w:r>
            <w:proofErr w:type="spellEnd"/>
            <w:r>
              <w:t xml:space="preserve"> e.g. create an index for CAMP</w:t>
            </w:r>
          </w:p>
          <w:p w14:paraId="2769A8D1" w14:textId="77777777" w:rsidR="00300BBE" w:rsidRDefault="00300BBE" w:rsidP="006B5CA7">
            <w:pPr>
              <w:pStyle w:val="ListParagraph"/>
              <w:numPr>
                <w:ilvl w:val="0"/>
                <w:numId w:val="8"/>
              </w:numPr>
              <w:ind w:left="142" w:hanging="180"/>
            </w:pPr>
            <w:r>
              <w:t xml:space="preserve">ACDS to share best practices for patient education to increase efficiency of the </w:t>
            </w:r>
            <w:r>
              <w:lastRenderedPageBreak/>
              <w:t>complex office visits that dermatitis care entails</w:t>
            </w:r>
          </w:p>
        </w:tc>
        <w:tc>
          <w:tcPr>
            <w:tcW w:w="1667" w:type="pct"/>
          </w:tcPr>
          <w:p w14:paraId="1B7E2B9A" w14:textId="535CA367" w:rsidR="00724C4B" w:rsidRDefault="007D3AC2" w:rsidP="00213BA8">
            <w:pPr>
              <w:pStyle w:val="ListParagraph"/>
              <w:numPr>
                <w:ilvl w:val="0"/>
                <w:numId w:val="8"/>
              </w:numPr>
              <w:ind w:left="142" w:hanging="180"/>
            </w:pPr>
            <w:r>
              <w:lastRenderedPageBreak/>
              <w:t>Research planning committee to consider grants for patient engagement e.g. P</w:t>
            </w:r>
            <w:r w:rsidR="00B77ABD">
              <w:t xml:space="preserve">atient </w:t>
            </w:r>
            <w:r>
              <w:t>C</w:t>
            </w:r>
            <w:r w:rsidR="00B77ABD">
              <w:t xml:space="preserve">entered </w:t>
            </w:r>
            <w:r>
              <w:t>O</w:t>
            </w:r>
            <w:r w:rsidR="00B77ABD">
              <w:t xml:space="preserve">utcomes </w:t>
            </w:r>
            <w:r>
              <w:t>R</w:t>
            </w:r>
            <w:r w:rsidR="00B77ABD">
              <w:t>esearch Institute (PCORI</w:t>
            </w:r>
            <w:r w:rsidR="00554032">
              <w:t>)</w:t>
            </w:r>
            <w:r>
              <w:t>, industry</w:t>
            </w:r>
            <w:r w:rsidR="006C55E3">
              <w:t xml:space="preserve">, </w:t>
            </w:r>
            <w:r w:rsidR="00554032">
              <w:t>Agency for Healthcare Research and Quality (</w:t>
            </w:r>
            <w:r w:rsidR="006C55E3">
              <w:t>AHRQ</w:t>
            </w:r>
            <w:r w:rsidR="00554032">
              <w:t>)</w:t>
            </w:r>
          </w:p>
        </w:tc>
      </w:tr>
      <w:tr w:rsidR="00B27069" w14:paraId="1239454B" w14:textId="77777777" w:rsidTr="00724C4B">
        <w:tc>
          <w:tcPr>
            <w:tcW w:w="1666" w:type="pct"/>
          </w:tcPr>
          <w:p w14:paraId="1763CFAF" w14:textId="77777777" w:rsidR="00B27069" w:rsidRDefault="00B27069">
            <w:r>
              <w:t>Options for Acidification</w:t>
            </w:r>
          </w:p>
        </w:tc>
        <w:tc>
          <w:tcPr>
            <w:tcW w:w="1667" w:type="pct"/>
          </w:tcPr>
          <w:p w14:paraId="6B233853" w14:textId="77777777" w:rsidR="006B5CA7" w:rsidRDefault="00B27069" w:rsidP="006B5CA7">
            <w:pPr>
              <w:pStyle w:val="ListParagraph"/>
              <w:numPr>
                <w:ilvl w:val="0"/>
                <w:numId w:val="9"/>
              </w:numPr>
              <w:ind w:left="142" w:hanging="180"/>
            </w:pPr>
            <w:r>
              <w:t xml:space="preserve">Vinegar was most often the agent of choice (white, rice wine and apple cider vinegar). </w:t>
            </w:r>
          </w:p>
          <w:p w14:paraId="4134BA7E" w14:textId="1D6E4855" w:rsidR="00B27069" w:rsidRDefault="00B27069" w:rsidP="00554032">
            <w:pPr>
              <w:pStyle w:val="ListParagraph"/>
              <w:numPr>
                <w:ilvl w:val="0"/>
                <w:numId w:val="9"/>
              </w:numPr>
              <w:ind w:left="142" w:hanging="180"/>
            </w:pPr>
            <w:r>
              <w:t xml:space="preserve">Participants noted </w:t>
            </w:r>
            <w:proofErr w:type="gramStart"/>
            <w:r>
              <w:t xml:space="preserve">patients </w:t>
            </w:r>
            <w:r w:rsidR="00ED1215">
              <w:t xml:space="preserve"> with</w:t>
            </w:r>
            <w:proofErr w:type="gramEnd"/>
            <w:r w:rsidR="00ED1215">
              <w:t xml:space="preserve"> atopic and stasis dermatitis </w:t>
            </w:r>
            <w:r>
              <w:t>improv</w:t>
            </w:r>
            <w:r w:rsidR="00ED1215">
              <w:t>e</w:t>
            </w:r>
            <w:r>
              <w:t xml:space="preserve"> with this regimen</w:t>
            </w:r>
            <w:r w:rsidR="00ED1215">
              <w:t>.</w:t>
            </w:r>
            <w:r w:rsidR="00F0432A">
              <w:t xml:space="preserve"> </w:t>
            </w:r>
          </w:p>
        </w:tc>
        <w:tc>
          <w:tcPr>
            <w:tcW w:w="1667" w:type="pct"/>
          </w:tcPr>
          <w:p w14:paraId="1EE354CF" w14:textId="77777777" w:rsidR="00B27069" w:rsidRDefault="00B27069"/>
        </w:tc>
      </w:tr>
    </w:tbl>
    <w:p w14:paraId="3A241BA6" w14:textId="77777777" w:rsidR="00724C4B" w:rsidRDefault="00724C4B"/>
    <w:sectPr w:rsidR="00724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3336"/>
    <w:multiLevelType w:val="hybridMultilevel"/>
    <w:tmpl w:val="634E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37E7A"/>
    <w:multiLevelType w:val="hybridMultilevel"/>
    <w:tmpl w:val="5C0A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56FDF"/>
    <w:multiLevelType w:val="hybridMultilevel"/>
    <w:tmpl w:val="2E32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20CFC"/>
    <w:multiLevelType w:val="hybridMultilevel"/>
    <w:tmpl w:val="32AC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82495"/>
    <w:multiLevelType w:val="hybridMultilevel"/>
    <w:tmpl w:val="3CBA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D108E"/>
    <w:multiLevelType w:val="hybridMultilevel"/>
    <w:tmpl w:val="402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4664A"/>
    <w:multiLevelType w:val="hybridMultilevel"/>
    <w:tmpl w:val="5A04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966C6"/>
    <w:multiLevelType w:val="hybridMultilevel"/>
    <w:tmpl w:val="01B4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345FC"/>
    <w:multiLevelType w:val="hybridMultilevel"/>
    <w:tmpl w:val="2FA0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0"/>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65"/>
    <w:rsid w:val="00025CE9"/>
    <w:rsid w:val="000A18EA"/>
    <w:rsid w:val="000E29F5"/>
    <w:rsid w:val="00213BA8"/>
    <w:rsid w:val="00260BB6"/>
    <w:rsid w:val="002B1DC0"/>
    <w:rsid w:val="002E2B8F"/>
    <w:rsid w:val="00300BBE"/>
    <w:rsid w:val="00316FE0"/>
    <w:rsid w:val="00317106"/>
    <w:rsid w:val="003466AC"/>
    <w:rsid w:val="00357C3C"/>
    <w:rsid w:val="003B6826"/>
    <w:rsid w:val="003F2608"/>
    <w:rsid w:val="004C2F3C"/>
    <w:rsid w:val="004D7EBB"/>
    <w:rsid w:val="00535BD7"/>
    <w:rsid w:val="00554032"/>
    <w:rsid w:val="0055784C"/>
    <w:rsid w:val="00631540"/>
    <w:rsid w:val="006A43B6"/>
    <w:rsid w:val="006B5CA7"/>
    <w:rsid w:val="006C55E3"/>
    <w:rsid w:val="006F1D2C"/>
    <w:rsid w:val="00724C4B"/>
    <w:rsid w:val="007D3AC2"/>
    <w:rsid w:val="007E45D4"/>
    <w:rsid w:val="0081558D"/>
    <w:rsid w:val="008D0765"/>
    <w:rsid w:val="00970BD1"/>
    <w:rsid w:val="009B396E"/>
    <w:rsid w:val="00A2002A"/>
    <w:rsid w:val="00A43BD8"/>
    <w:rsid w:val="00A556B9"/>
    <w:rsid w:val="00A67D07"/>
    <w:rsid w:val="00B27069"/>
    <w:rsid w:val="00B60D02"/>
    <w:rsid w:val="00B65FDA"/>
    <w:rsid w:val="00B727D9"/>
    <w:rsid w:val="00B77ABD"/>
    <w:rsid w:val="00C25A8E"/>
    <w:rsid w:val="00C8299E"/>
    <w:rsid w:val="00D9467E"/>
    <w:rsid w:val="00DF4C27"/>
    <w:rsid w:val="00E02EB4"/>
    <w:rsid w:val="00E94958"/>
    <w:rsid w:val="00ED1215"/>
    <w:rsid w:val="00F0432A"/>
    <w:rsid w:val="00F67170"/>
    <w:rsid w:val="00FA56FE"/>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19A4D"/>
  <w15:docId w15:val="{06CC72FD-AF96-40CA-879C-D90A1E8B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17106"/>
    <w:rPr>
      <w:i/>
      <w:iCs/>
    </w:rPr>
  </w:style>
  <w:style w:type="table" w:styleId="TableGrid">
    <w:name w:val="Table Grid"/>
    <w:basedOn w:val="TableNormal"/>
    <w:uiPriority w:val="39"/>
    <w:rsid w:val="0072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0BBE"/>
    <w:rPr>
      <w:color w:val="0563C1"/>
      <w:u w:val="single"/>
    </w:rPr>
  </w:style>
  <w:style w:type="paragraph" w:styleId="BalloonText">
    <w:name w:val="Balloon Text"/>
    <w:basedOn w:val="Normal"/>
    <w:link w:val="BalloonTextChar"/>
    <w:uiPriority w:val="99"/>
    <w:semiHidden/>
    <w:unhideWhenUsed/>
    <w:rsid w:val="005578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84C"/>
    <w:rPr>
      <w:rFonts w:ascii="Lucida Grande" w:hAnsi="Lucida Grande" w:cs="Lucida Grande"/>
      <w:sz w:val="18"/>
      <w:szCs w:val="18"/>
    </w:rPr>
  </w:style>
  <w:style w:type="paragraph" w:styleId="ListParagraph">
    <w:name w:val="List Paragraph"/>
    <w:basedOn w:val="Normal"/>
    <w:uiPriority w:val="34"/>
    <w:qFormat/>
    <w:rsid w:val="004C2F3C"/>
    <w:pPr>
      <w:ind w:left="720"/>
      <w:contextualSpacing/>
    </w:pPr>
  </w:style>
  <w:style w:type="character" w:styleId="CommentReference">
    <w:name w:val="annotation reference"/>
    <w:basedOn w:val="DefaultParagraphFont"/>
    <w:uiPriority w:val="99"/>
    <w:semiHidden/>
    <w:unhideWhenUsed/>
    <w:rsid w:val="00A43BD8"/>
    <w:rPr>
      <w:sz w:val="16"/>
      <w:szCs w:val="16"/>
    </w:rPr>
  </w:style>
  <w:style w:type="paragraph" w:styleId="CommentText">
    <w:name w:val="annotation text"/>
    <w:basedOn w:val="Normal"/>
    <w:link w:val="CommentTextChar"/>
    <w:uiPriority w:val="99"/>
    <w:semiHidden/>
    <w:unhideWhenUsed/>
    <w:rsid w:val="00A43BD8"/>
    <w:pPr>
      <w:spacing w:line="240" w:lineRule="auto"/>
    </w:pPr>
    <w:rPr>
      <w:sz w:val="20"/>
      <w:szCs w:val="20"/>
    </w:rPr>
  </w:style>
  <w:style w:type="character" w:customStyle="1" w:styleId="CommentTextChar">
    <w:name w:val="Comment Text Char"/>
    <w:basedOn w:val="DefaultParagraphFont"/>
    <w:link w:val="CommentText"/>
    <w:uiPriority w:val="99"/>
    <w:semiHidden/>
    <w:rsid w:val="00A43BD8"/>
    <w:rPr>
      <w:sz w:val="20"/>
      <w:szCs w:val="20"/>
    </w:rPr>
  </w:style>
  <w:style w:type="paragraph" w:styleId="CommentSubject">
    <w:name w:val="annotation subject"/>
    <w:basedOn w:val="CommentText"/>
    <w:next w:val="CommentText"/>
    <w:link w:val="CommentSubjectChar"/>
    <w:uiPriority w:val="99"/>
    <w:semiHidden/>
    <w:unhideWhenUsed/>
    <w:rsid w:val="00A43BD8"/>
    <w:rPr>
      <w:b/>
      <w:bCs/>
    </w:rPr>
  </w:style>
  <w:style w:type="character" w:customStyle="1" w:styleId="CommentSubjectChar">
    <w:name w:val="Comment Subject Char"/>
    <w:basedOn w:val="CommentTextChar"/>
    <w:link w:val="CommentSubject"/>
    <w:uiPriority w:val="99"/>
    <w:semiHidden/>
    <w:rsid w:val="00A43B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2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term=A+comparison+of+physicochemical+properties+of+a+selection+of+modern+moisturizers%3A+hydrophilic+index+and+pH.+J+Drugs+Dermatol+2012%3B+11%3A+633%E2%80%936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Nedorost, Susan</dc:creator>
  <cp:keywords/>
  <dc:description/>
  <cp:lastModifiedBy>Ardern-Jones M.R.</cp:lastModifiedBy>
  <cp:revision>2</cp:revision>
  <dcterms:created xsi:type="dcterms:W3CDTF">2017-08-22T10:27:00Z</dcterms:created>
  <dcterms:modified xsi:type="dcterms:W3CDTF">2017-08-22T10:27:00Z</dcterms:modified>
</cp:coreProperties>
</file>