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AA3E04" w14:textId="77777777" w:rsidR="00C9482D" w:rsidRPr="00C9482D" w:rsidRDefault="00C9482D" w:rsidP="00C9482D">
      <w:pPr>
        <w:spacing w:after="120" w:line="360" w:lineRule="auto"/>
        <w:jc w:val="right"/>
        <w:rPr>
          <w:rFonts w:asciiTheme="minorHAnsi" w:hAnsiTheme="minorHAnsi" w:cs="Times New Roman"/>
          <w:i/>
          <w:color w:val="auto"/>
          <w:sz w:val="22"/>
          <w:szCs w:val="22"/>
          <w:lang w:val="en-GB"/>
        </w:rPr>
      </w:pPr>
      <w:bookmarkStart w:id="0" w:name="_GoBack"/>
      <w:bookmarkEnd w:id="0"/>
      <w:r w:rsidRPr="00C9482D">
        <w:rPr>
          <w:rFonts w:asciiTheme="minorHAnsi" w:hAnsiTheme="minorHAnsi" w:cs="Times New Roman"/>
          <w:i/>
          <w:color w:val="auto"/>
          <w:sz w:val="22"/>
          <w:szCs w:val="22"/>
          <w:lang w:val="en-GB"/>
        </w:rPr>
        <w:t>OSIN-D-17-00222R2</w:t>
      </w:r>
    </w:p>
    <w:p w14:paraId="45B85D8E" w14:textId="2D31983E" w:rsidR="00EA2ADA" w:rsidRPr="0009288C" w:rsidRDefault="00EA2ADA" w:rsidP="00380099">
      <w:pPr>
        <w:spacing w:after="120" w:line="360" w:lineRule="auto"/>
        <w:jc w:val="left"/>
        <w:rPr>
          <w:rFonts w:asciiTheme="minorHAnsi" w:hAnsiTheme="minorHAnsi" w:cs="Times New Roman"/>
          <w:b/>
          <w:color w:val="auto"/>
          <w:sz w:val="28"/>
          <w:szCs w:val="28"/>
        </w:rPr>
      </w:pPr>
      <w:r w:rsidRPr="0009288C">
        <w:rPr>
          <w:rFonts w:asciiTheme="minorHAnsi" w:hAnsiTheme="minorHAnsi" w:cs="Times New Roman"/>
          <w:b/>
          <w:color w:val="auto"/>
          <w:sz w:val="28"/>
          <w:szCs w:val="28"/>
        </w:rPr>
        <w:t>FRAX</w:t>
      </w:r>
      <w:r w:rsidR="009E6625">
        <w:rPr>
          <w:rFonts w:asciiTheme="minorHAnsi" w:hAnsiTheme="minorHAnsi" w:cs="Times New Roman"/>
          <w:b/>
          <w:color w:val="auto"/>
          <w:sz w:val="28"/>
          <w:szCs w:val="28"/>
        </w:rPr>
        <w:t>-</w:t>
      </w:r>
      <w:r w:rsidR="009E6625" w:rsidRPr="009E6625">
        <w:rPr>
          <w:rFonts w:asciiTheme="minorHAnsi" w:hAnsiTheme="minorHAnsi" w:cs="Times New Roman"/>
          <w:b/>
          <w:color w:val="auto"/>
          <w:sz w:val="28"/>
          <w:szCs w:val="28"/>
        </w:rPr>
        <w:t xml:space="preserve"> vs.</w:t>
      </w:r>
      <w:r w:rsidR="009E6625">
        <w:rPr>
          <w:rFonts w:asciiTheme="minorHAnsi" w:hAnsiTheme="minorHAnsi" w:cs="Times New Roman"/>
          <w:b/>
          <w:color w:val="auto"/>
          <w:sz w:val="28"/>
          <w:szCs w:val="28"/>
        </w:rPr>
        <w:t xml:space="preserve"> T-score-</w:t>
      </w:r>
      <w:r w:rsidRPr="0009288C">
        <w:rPr>
          <w:rFonts w:asciiTheme="minorHAnsi" w:hAnsiTheme="minorHAnsi" w:cs="Times New Roman"/>
          <w:b/>
          <w:color w:val="auto"/>
          <w:sz w:val="28"/>
          <w:szCs w:val="28"/>
        </w:rPr>
        <w:t>based intervention thresholds for osteoporosis</w:t>
      </w:r>
      <w:r w:rsidR="009E6625">
        <w:rPr>
          <w:rFonts w:asciiTheme="minorHAnsi" w:hAnsiTheme="minorHAnsi" w:cs="Times New Roman"/>
          <w:b/>
          <w:color w:val="auto"/>
          <w:sz w:val="28"/>
          <w:szCs w:val="28"/>
        </w:rPr>
        <w:t>.</w:t>
      </w:r>
      <w:r w:rsidRPr="0009288C">
        <w:rPr>
          <w:rFonts w:asciiTheme="minorHAnsi" w:hAnsiTheme="minorHAnsi" w:cs="Times New Roman"/>
          <w:b/>
          <w:color w:val="auto"/>
          <w:sz w:val="28"/>
          <w:szCs w:val="28"/>
        </w:rPr>
        <w:t xml:space="preserve"> </w:t>
      </w:r>
    </w:p>
    <w:p w14:paraId="45B85D8F" w14:textId="77777777" w:rsidR="00EA2ADA" w:rsidRPr="001B2299" w:rsidRDefault="00EA2ADA" w:rsidP="00380099">
      <w:pPr>
        <w:shd w:val="clear" w:color="auto" w:fill="FFFFFF"/>
        <w:spacing w:line="360" w:lineRule="auto"/>
        <w:jc w:val="left"/>
        <w:rPr>
          <w:rFonts w:ascii="Times New Roman" w:eastAsia="MS Mincho" w:hAnsi="Times New Roman" w:cs="Times New Roman"/>
          <w:color w:val="auto"/>
          <w:lang w:val="en-GB" w:eastAsia="ja-JP"/>
        </w:rPr>
      </w:pPr>
    </w:p>
    <w:p w14:paraId="45B85D90" w14:textId="48DA53B0" w:rsidR="00EA2ADA" w:rsidRPr="0009288C" w:rsidRDefault="00EA2ADA" w:rsidP="00380099">
      <w:pPr>
        <w:spacing w:line="360" w:lineRule="auto"/>
        <w:jc w:val="left"/>
        <w:rPr>
          <w:rFonts w:asciiTheme="minorHAnsi" w:eastAsia="MS Mincho" w:hAnsiTheme="minorHAnsi" w:cs="Times New Roman"/>
          <w:color w:val="auto"/>
          <w:lang w:val="en-GB" w:eastAsia="ja-JP"/>
        </w:rPr>
      </w:pPr>
      <w:r w:rsidRPr="0009288C">
        <w:rPr>
          <w:rFonts w:asciiTheme="minorHAnsi" w:hAnsiTheme="minorHAnsi" w:cs="Times New Roman"/>
          <w:color w:val="auto"/>
        </w:rPr>
        <w:t>Helena Johansson</w:t>
      </w:r>
      <w:r w:rsidR="00576FB4" w:rsidRPr="0009288C">
        <w:rPr>
          <w:rFonts w:asciiTheme="minorHAnsi" w:hAnsiTheme="minorHAnsi" w:cs="Times New Roman"/>
          <w:color w:val="auto"/>
          <w:vertAlign w:val="superscript"/>
        </w:rPr>
        <w:t>1</w:t>
      </w:r>
      <w:r w:rsidR="0009288C" w:rsidRPr="0009288C">
        <w:rPr>
          <w:rFonts w:asciiTheme="minorHAnsi" w:hAnsiTheme="minorHAnsi" w:cs="Times New Roman"/>
          <w:color w:val="auto"/>
        </w:rPr>
        <w:t>·</w:t>
      </w:r>
      <w:r w:rsidR="00576FB4" w:rsidRPr="0009288C">
        <w:rPr>
          <w:rFonts w:asciiTheme="minorHAnsi" w:hAnsiTheme="minorHAnsi" w:cs="Times New Roman"/>
          <w:color w:val="auto"/>
        </w:rPr>
        <w:t xml:space="preserve"> </w:t>
      </w:r>
      <w:r w:rsidR="00576FB4" w:rsidRPr="0009288C">
        <w:rPr>
          <w:rFonts w:asciiTheme="minorHAnsi" w:hAnsiTheme="minorHAnsi"/>
          <w:color w:val="auto"/>
        </w:rPr>
        <w:t>Fawaz Azizieh</w:t>
      </w:r>
      <w:r w:rsidR="00576FB4" w:rsidRPr="0009288C">
        <w:rPr>
          <w:rFonts w:asciiTheme="minorHAnsi" w:hAnsiTheme="minorHAnsi"/>
          <w:color w:val="auto"/>
          <w:vertAlign w:val="superscript"/>
        </w:rPr>
        <w:t>2</w:t>
      </w:r>
      <w:r w:rsidR="0009288C">
        <w:rPr>
          <w:rFonts w:asciiTheme="minorHAnsi" w:hAnsiTheme="minorHAnsi"/>
          <w:color w:val="auto"/>
        </w:rPr>
        <w:t xml:space="preserve"> </w:t>
      </w:r>
      <w:r w:rsidR="0009288C" w:rsidRPr="0009288C">
        <w:rPr>
          <w:rFonts w:asciiTheme="minorHAnsi" w:hAnsiTheme="minorHAnsi"/>
          <w:color w:val="auto"/>
        </w:rPr>
        <w:t>·</w:t>
      </w:r>
      <w:r w:rsidR="001B2299" w:rsidRPr="0009288C">
        <w:rPr>
          <w:rFonts w:asciiTheme="minorHAnsi" w:hAnsiTheme="minorHAnsi"/>
          <w:color w:val="auto"/>
        </w:rPr>
        <w:t xml:space="preserve"> </w:t>
      </w:r>
      <w:r w:rsidR="00DF51DD" w:rsidRPr="00DF51DD">
        <w:rPr>
          <w:rFonts w:asciiTheme="minorHAnsi" w:hAnsiTheme="minorHAnsi"/>
          <w:color w:val="auto"/>
        </w:rPr>
        <w:t>Nadia</w:t>
      </w:r>
      <w:r w:rsidR="00DF51DD">
        <w:rPr>
          <w:rFonts w:asciiTheme="minorHAnsi" w:hAnsiTheme="minorHAnsi"/>
          <w:color w:val="auto"/>
        </w:rPr>
        <w:t xml:space="preserve"> al Ali</w:t>
      </w:r>
      <w:r w:rsidR="00DF51DD" w:rsidRPr="00DF51DD">
        <w:rPr>
          <w:rFonts w:asciiTheme="minorHAnsi" w:hAnsiTheme="minorHAnsi"/>
          <w:color w:val="auto"/>
          <w:vertAlign w:val="superscript"/>
        </w:rPr>
        <w:t>3</w:t>
      </w:r>
      <w:r w:rsidR="00DF51DD">
        <w:rPr>
          <w:rFonts w:asciiTheme="minorHAnsi" w:hAnsiTheme="minorHAnsi"/>
          <w:color w:val="auto"/>
        </w:rPr>
        <w:t xml:space="preserve"> </w:t>
      </w:r>
      <w:r w:rsidR="00DF51DD" w:rsidRPr="00DF51DD">
        <w:rPr>
          <w:rFonts w:asciiTheme="minorHAnsi" w:hAnsiTheme="minorHAnsi"/>
          <w:color w:val="auto"/>
        </w:rPr>
        <w:t>· Thamer Alessa</w:t>
      </w:r>
      <w:r w:rsidR="00DF51DD" w:rsidRPr="00DF51DD">
        <w:rPr>
          <w:rFonts w:asciiTheme="minorHAnsi" w:hAnsiTheme="minorHAnsi"/>
          <w:color w:val="auto"/>
          <w:vertAlign w:val="superscript"/>
        </w:rPr>
        <w:t>4</w:t>
      </w:r>
      <w:r w:rsidR="00DF51DD" w:rsidRPr="00DF51DD">
        <w:rPr>
          <w:rFonts w:asciiTheme="minorHAnsi" w:hAnsiTheme="minorHAnsi"/>
          <w:color w:val="auto"/>
        </w:rPr>
        <w:t xml:space="preserve"> · </w:t>
      </w:r>
      <w:r w:rsidR="00576FB4" w:rsidRPr="0009288C">
        <w:rPr>
          <w:rFonts w:asciiTheme="minorHAnsi" w:hAnsiTheme="minorHAnsi" w:cs="Times New Roman"/>
          <w:color w:val="auto"/>
        </w:rPr>
        <w:t>Nicholas C Harvey</w:t>
      </w:r>
      <w:r w:rsidR="00DF51DD">
        <w:rPr>
          <w:rFonts w:asciiTheme="minorHAnsi" w:hAnsiTheme="minorHAnsi" w:cs="Times New Roman"/>
          <w:color w:val="auto"/>
          <w:vertAlign w:val="superscript"/>
        </w:rPr>
        <w:t>5</w:t>
      </w:r>
      <w:r w:rsidR="001B2299" w:rsidRPr="0009288C">
        <w:rPr>
          <w:rFonts w:asciiTheme="minorHAnsi" w:hAnsiTheme="minorHAnsi" w:cs="Times New Roman"/>
          <w:color w:val="auto"/>
          <w:vertAlign w:val="superscript"/>
        </w:rPr>
        <w:t>,</w:t>
      </w:r>
      <w:r w:rsidR="00DF51DD">
        <w:rPr>
          <w:rFonts w:asciiTheme="minorHAnsi" w:hAnsiTheme="minorHAnsi" w:cs="Times New Roman"/>
          <w:color w:val="auto"/>
          <w:vertAlign w:val="superscript"/>
        </w:rPr>
        <w:t>6</w:t>
      </w:r>
      <w:r w:rsidR="00401352">
        <w:rPr>
          <w:rFonts w:asciiTheme="minorHAnsi" w:hAnsiTheme="minorHAnsi" w:cs="Times New Roman"/>
          <w:color w:val="auto"/>
          <w:vertAlign w:val="superscript"/>
        </w:rPr>
        <w:t xml:space="preserve"> </w:t>
      </w:r>
      <w:r w:rsidR="0009288C" w:rsidRPr="0009288C">
        <w:rPr>
          <w:rFonts w:asciiTheme="minorHAnsi" w:hAnsiTheme="minorHAnsi" w:cs="Times New Roman"/>
          <w:color w:val="auto"/>
        </w:rPr>
        <w:t>·</w:t>
      </w:r>
      <w:r w:rsidR="00401352">
        <w:rPr>
          <w:rFonts w:asciiTheme="minorHAnsi" w:hAnsiTheme="minorHAnsi" w:cs="Times New Roman"/>
          <w:color w:val="auto"/>
        </w:rPr>
        <w:t xml:space="preserve"> </w:t>
      </w:r>
      <w:r w:rsidRPr="0009288C">
        <w:rPr>
          <w:rFonts w:asciiTheme="minorHAnsi" w:hAnsiTheme="minorHAnsi" w:cs="Times New Roman"/>
          <w:color w:val="auto"/>
        </w:rPr>
        <w:t>Eugene McCloskey</w:t>
      </w:r>
      <w:r w:rsidR="00DF51DD">
        <w:rPr>
          <w:rFonts w:asciiTheme="minorHAnsi" w:hAnsiTheme="minorHAnsi" w:cs="Times New Roman"/>
          <w:color w:val="auto"/>
          <w:vertAlign w:val="superscript"/>
        </w:rPr>
        <w:t>7</w:t>
      </w:r>
      <w:r w:rsidR="00401352">
        <w:rPr>
          <w:rFonts w:asciiTheme="minorHAnsi" w:hAnsiTheme="minorHAnsi" w:cs="Times New Roman"/>
          <w:color w:val="auto"/>
          <w:vertAlign w:val="superscript"/>
        </w:rPr>
        <w:t xml:space="preserve"> </w:t>
      </w:r>
      <w:r w:rsidR="0009288C" w:rsidRPr="0009288C">
        <w:rPr>
          <w:rFonts w:asciiTheme="minorHAnsi" w:hAnsiTheme="minorHAnsi" w:cs="Times New Roman"/>
          <w:color w:val="auto"/>
        </w:rPr>
        <w:t>·</w:t>
      </w:r>
      <w:r w:rsidR="0009288C">
        <w:rPr>
          <w:rFonts w:asciiTheme="minorHAnsi" w:hAnsiTheme="minorHAnsi" w:cs="Times New Roman"/>
          <w:color w:val="auto"/>
        </w:rPr>
        <w:t xml:space="preserve"> </w:t>
      </w:r>
      <w:r w:rsidR="00576FB4" w:rsidRPr="0009288C">
        <w:rPr>
          <w:rFonts w:asciiTheme="minorHAnsi" w:hAnsiTheme="minorHAnsi" w:cs="Times New Roman"/>
          <w:color w:val="auto"/>
        </w:rPr>
        <w:t>John A Kanis</w:t>
      </w:r>
      <w:r w:rsidR="001B2299" w:rsidRPr="0009288C">
        <w:rPr>
          <w:rFonts w:asciiTheme="minorHAnsi" w:hAnsiTheme="minorHAnsi" w:cs="Times New Roman"/>
          <w:color w:val="auto"/>
          <w:vertAlign w:val="superscript"/>
        </w:rPr>
        <w:t>1,</w:t>
      </w:r>
      <w:r w:rsidR="00DF51DD">
        <w:rPr>
          <w:rFonts w:asciiTheme="minorHAnsi" w:hAnsiTheme="minorHAnsi" w:cs="Times New Roman"/>
          <w:color w:val="auto"/>
          <w:vertAlign w:val="superscript"/>
        </w:rPr>
        <w:t>7</w:t>
      </w:r>
    </w:p>
    <w:p w14:paraId="45B85D91" w14:textId="77777777" w:rsidR="00EA2ADA" w:rsidRPr="0009288C" w:rsidRDefault="00EA2ADA" w:rsidP="00380099">
      <w:pPr>
        <w:spacing w:after="120" w:line="360" w:lineRule="auto"/>
        <w:ind w:firstLine="120"/>
        <w:jc w:val="left"/>
        <w:rPr>
          <w:rFonts w:asciiTheme="minorHAnsi" w:eastAsia="MS Mincho" w:hAnsiTheme="minorHAnsi" w:cs="Times New Roman"/>
          <w:color w:val="auto"/>
          <w:lang w:val="en-GB" w:eastAsia="ja-JP"/>
        </w:rPr>
      </w:pPr>
    </w:p>
    <w:p w14:paraId="45B85D92" w14:textId="77777777" w:rsidR="00EA2ADA" w:rsidRPr="0009288C" w:rsidRDefault="00EA2ADA" w:rsidP="0009288C">
      <w:pPr>
        <w:spacing w:after="120" w:line="360" w:lineRule="auto"/>
        <w:ind w:left="284" w:hanging="284"/>
        <w:jc w:val="left"/>
        <w:rPr>
          <w:rFonts w:asciiTheme="minorHAnsi" w:hAnsiTheme="minorHAnsi"/>
          <w:color w:val="auto"/>
        </w:rPr>
      </w:pPr>
      <w:r w:rsidRPr="0009288C">
        <w:rPr>
          <w:rFonts w:asciiTheme="minorHAnsi" w:eastAsia="MS Mincho" w:hAnsiTheme="minorHAnsi" w:cs="Times New Roman"/>
          <w:color w:val="auto"/>
          <w:vertAlign w:val="superscript"/>
          <w:lang w:val="en-GB" w:eastAsia="ja-JP"/>
        </w:rPr>
        <w:t>1</w:t>
      </w:r>
      <w:r w:rsidR="00576FB4" w:rsidRPr="0009288C">
        <w:rPr>
          <w:rFonts w:asciiTheme="minorHAnsi" w:hAnsiTheme="minorHAnsi"/>
          <w:color w:val="auto"/>
        </w:rPr>
        <w:t xml:space="preserve"> Institute for Health and Ageing, Catholic University of Australia, Melbourne.</w:t>
      </w:r>
    </w:p>
    <w:p w14:paraId="45B85D93" w14:textId="30A73FC0" w:rsidR="001B2299" w:rsidRDefault="001B2299" w:rsidP="0009288C">
      <w:pPr>
        <w:spacing w:line="360" w:lineRule="auto"/>
        <w:ind w:left="284" w:hanging="284"/>
        <w:jc w:val="left"/>
        <w:rPr>
          <w:rFonts w:asciiTheme="minorHAnsi" w:hAnsiTheme="minorHAnsi"/>
          <w:color w:val="auto"/>
        </w:rPr>
      </w:pPr>
      <w:r w:rsidRPr="0009288C">
        <w:rPr>
          <w:rFonts w:asciiTheme="minorHAnsi" w:hAnsiTheme="minorHAnsi"/>
          <w:color w:val="auto"/>
          <w:vertAlign w:val="superscript"/>
        </w:rPr>
        <w:t>2</w:t>
      </w:r>
      <w:r w:rsidRPr="0009288C">
        <w:rPr>
          <w:rFonts w:asciiTheme="minorHAnsi" w:hAnsiTheme="minorHAnsi"/>
          <w:color w:val="auto"/>
        </w:rPr>
        <w:t xml:space="preserve"> Department of Mathematics and Natural Sciences, Gulf University for Science and Technology, Kuwait. </w:t>
      </w:r>
    </w:p>
    <w:p w14:paraId="1B457E05" w14:textId="22DAED78" w:rsidR="00DF51DD" w:rsidRDefault="00DF51DD" w:rsidP="0009288C">
      <w:pPr>
        <w:spacing w:line="360" w:lineRule="auto"/>
        <w:ind w:left="284" w:hanging="284"/>
        <w:jc w:val="left"/>
        <w:rPr>
          <w:rFonts w:asciiTheme="minorHAnsi" w:hAnsiTheme="minorHAnsi"/>
          <w:color w:val="auto"/>
        </w:rPr>
      </w:pPr>
      <w:r w:rsidRPr="00DF51DD">
        <w:rPr>
          <w:rFonts w:asciiTheme="minorHAnsi" w:hAnsiTheme="minorHAnsi"/>
          <w:color w:val="auto"/>
          <w:vertAlign w:val="superscript"/>
        </w:rPr>
        <w:t>3</w:t>
      </w:r>
      <w:r w:rsidRPr="00DF51DD">
        <w:rPr>
          <w:rFonts w:asciiTheme="minorHAnsi" w:hAnsiTheme="minorHAnsi"/>
          <w:color w:val="auto"/>
        </w:rPr>
        <w:t>Unit of Endocrinology &amp; Metabolism</w:t>
      </w:r>
      <w:r>
        <w:rPr>
          <w:rFonts w:asciiTheme="minorHAnsi" w:hAnsiTheme="minorHAnsi"/>
          <w:color w:val="auto"/>
        </w:rPr>
        <w:t xml:space="preserve">, </w:t>
      </w:r>
      <w:r w:rsidRPr="00DF51DD">
        <w:rPr>
          <w:rFonts w:asciiTheme="minorHAnsi" w:hAnsiTheme="minorHAnsi"/>
          <w:color w:val="auto"/>
        </w:rPr>
        <w:t>Al-Amiri Hospital, Kuwait</w:t>
      </w:r>
    </w:p>
    <w:p w14:paraId="43D4DCC0" w14:textId="4A630B15" w:rsidR="00DF51DD" w:rsidRPr="0009288C" w:rsidRDefault="00DF51DD" w:rsidP="0009288C">
      <w:pPr>
        <w:spacing w:line="360" w:lineRule="auto"/>
        <w:ind w:left="284" w:hanging="284"/>
        <w:jc w:val="left"/>
        <w:rPr>
          <w:rFonts w:asciiTheme="minorHAnsi" w:hAnsiTheme="minorHAnsi"/>
          <w:color w:val="auto"/>
        </w:rPr>
      </w:pPr>
      <w:r w:rsidRPr="00DF51DD">
        <w:rPr>
          <w:rFonts w:asciiTheme="minorHAnsi" w:hAnsiTheme="minorHAnsi"/>
          <w:color w:val="auto"/>
          <w:vertAlign w:val="superscript"/>
        </w:rPr>
        <w:t>4</w:t>
      </w:r>
      <w:r w:rsidRPr="00DF51DD">
        <w:rPr>
          <w:rFonts w:asciiTheme="minorHAnsi" w:hAnsiTheme="minorHAnsi"/>
          <w:color w:val="auto"/>
        </w:rPr>
        <w:t>Endocrinology, Diabetes &amp; Metabolism</w:t>
      </w:r>
      <w:r>
        <w:rPr>
          <w:rFonts w:asciiTheme="minorHAnsi" w:hAnsiTheme="minorHAnsi"/>
          <w:color w:val="auto"/>
        </w:rPr>
        <w:t>,</w:t>
      </w:r>
      <w:r w:rsidRPr="00DF51DD">
        <w:rPr>
          <w:rFonts w:asciiTheme="minorHAnsi" w:hAnsiTheme="minorHAnsi"/>
          <w:color w:val="auto"/>
        </w:rPr>
        <w:t xml:space="preserve"> Mubarak Al-Kabeer Hospital, Kuwait</w:t>
      </w:r>
    </w:p>
    <w:p w14:paraId="45B85D94" w14:textId="0BF8D4B7" w:rsidR="001B2299" w:rsidRPr="0009288C" w:rsidRDefault="00DF51DD" w:rsidP="0009288C">
      <w:pPr>
        <w:spacing w:after="120" w:line="360" w:lineRule="auto"/>
        <w:ind w:left="284" w:hanging="284"/>
        <w:rPr>
          <w:rFonts w:asciiTheme="minorHAnsi" w:hAnsiTheme="minorHAnsi"/>
        </w:rPr>
      </w:pPr>
      <w:r>
        <w:rPr>
          <w:rFonts w:asciiTheme="minorHAnsi" w:hAnsiTheme="minorHAnsi"/>
          <w:vertAlign w:val="superscript"/>
        </w:rPr>
        <w:t>5</w:t>
      </w:r>
      <w:r w:rsidR="001B2299" w:rsidRPr="0009288C">
        <w:rPr>
          <w:rFonts w:asciiTheme="minorHAnsi" w:hAnsiTheme="minorHAnsi"/>
        </w:rPr>
        <w:t>MRC Lifecourse Epidemiology Unit, University of Southampton, Southampton, UK</w:t>
      </w:r>
    </w:p>
    <w:p w14:paraId="45B85D95" w14:textId="3226F3DE" w:rsidR="001B2299" w:rsidRPr="0009288C" w:rsidRDefault="00DF51DD" w:rsidP="0009288C">
      <w:pPr>
        <w:spacing w:after="120" w:line="360" w:lineRule="auto"/>
        <w:ind w:left="284" w:hanging="284"/>
        <w:jc w:val="left"/>
        <w:rPr>
          <w:rFonts w:asciiTheme="minorHAnsi" w:eastAsia="MS Mincho" w:hAnsiTheme="minorHAnsi" w:cs="Times New Roman"/>
          <w:color w:val="auto"/>
          <w:lang w:eastAsia="ja-JP"/>
        </w:rPr>
      </w:pPr>
      <w:r>
        <w:rPr>
          <w:rFonts w:asciiTheme="minorHAnsi" w:hAnsiTheme="minorHAnsi"/>
          <w:vertAlign w:val="superscript"/>
        </w:rPr>
        <w:t>6</w:t>
      </w:r>
      <w:r w:rsidR="0009288C">
        <w:rPr>
          <w:rFonts w:asciiTheme="minorHAnsi" w:hAnsiTheme="minorHAnsi"/>
          <w:vertAlign w:val="superscript"/>
        </w:rPr>
        <w:t xml:space="preserve"> </w:t>
      </w:r>
      <w:r w:rsidR="001B2299" w:rsidRPr="0009288C">
        <w:rPr>
          <w:rFonts w:asciiTheme="minorHAnsi" w:hAnsiTheme="minorHAnsi"/>
        </w:rPr>
        <w:t>NIHR Southampton Biomedical Research Centre, University of Southampton and University Hospital Southampton NHS Foundation Trust, Tremona Road, Southampton, UK</w:t>
      </w:r>
    </w:p>
    <w:p w14:paraId="45B85D96" w14:textId="6617BCD9" w:rsidR="00EA2ADA" w:rsidRPr="0009288C" w:rsidRDefault="00DF51DD" w:rsidP="0009288C">
      <w:pPr>
        <w:spacing w:line="360" w:lineRule="auto"/>
        <w:ind w:left="284" w:hanging="284"/>
        <w:jc w:val="left"/>
        <w:rPr>
          <w:rFonts w:asciiTheme="minorHAnsi" w:hAnsiTheme="minorHAnsi" w:cs="Times New Roman"/>
          <w:color w:val="auto"/>
        </w:rPr>
      </w:pPr>
      <w:r>
        <w:rPr>
          <w:rFonts w:asciiTheme="minorHAnsi" w:hAnsiTheme="minorHAnsi" w:cs="Times New Roman"/>
          <w:color w:val="auto"/>
          <w:vertAlign w:val="superscript"/>
        </w:rPr>
        <w:t>7</w:t>
      </w:r>
      <w:r w:rsidR="00EA2ADA" w:rsidRPr="0009288C">
        <w:rPr>
          <w:rFonts w:asciiTheme="minorHAnsi" w:hAnsiTheme="minorHAnsi" w:cs="Times New Roman"/>
          <w:color w:val="auto"/>
        </w:rPr>
        <w:t xml:space="preserve"> Centre for Metabolic Bone Diseases, University of Sheffield, UK</w:t>
      </w:r>
    </w:p>
    <w:p w14:paraId="1DF628F1" w14:textId="77777777" w:rsidR="00401352" w:rsidRDefault="00401352" w:rsidP="00380099">
      <w:pPr>
        <w:spacing w:after="120" w:line="360" w:lineRule="auto"/>
        <w:jc w:val="left"/>
        <w:rPr>
          <w:rFonts w:asciiTheme="minorHAnsi" w:eastAsia="MS Mincho" w:hAnsiTheme="minorHAnsi" w:cs="Times New Roman"/>
          <w:b/>
          <w:bCs/>
          <w:color w:val="auto"/>
          <w:lang w:val="en-GB" w:eastAsia="ja-JP"/>
        </w:rPr>
      </w:pPr>
    </w:p>
    <w:p w14:paraId="0275CCFF" w14:textId="77777777" w:rsidR="00401352" w:rsidRDefault="00401352" w:rsidP="00380099">
      <w:pPr>
        <w:spacing w:after="120" w:line="360" w:lineRule="auto"/>
        <w:jc w:val="left"/>
        <w:rPr>
          <w:rFonts w:asciiTheme="minorHAnsi" w:eastAsia="MS Mincho" w:hAnsiTheme="minorHAnsi" w:cs="Times New Roman"/>
          <w:b/>
          <w:bCs/>
          <w:color w:val="auto"/>
          <w:lang w:val="en-GB" w:eastAsia="ja-JP"/>
        </w:rPr>
      </w:pPr>
    </w:p>
    <w:p w14:paraId="4F365F8F" w14:textId="2AB87BE5" w:rsidR="0009288C" w:rsidRDefault="00C426A9" w:rsidP="00380099">
      <w:pPr>
        <w:spacing w:after="120" w:line="360" w:lineRule="auto"/>
        <w:jc w:val="left"/>
        <w:rPr>
          <w:rFonts w:ascii="Times New Roman" w:hAnsi="Times New Roman" w:cs="Times New Roman"/>
          <w:b/>
        </w:rPr>
      </w:pPr>
      <w:r w:rsidRPr="00C426A9">
        <w:rPr>
          <w:rFonts w:asciiTheme="minorHAnsi" w:eastAsia="MS Mincho" w:hAnsiTheme="minorHAnsi" w:cs="Times New Roman"/>
          <w:b/>
          <w:bCs/>
          <w:color w:val="auto"/>
          <w:lang w:val="en-GB" w:eastAsia="ja-JP"/>
        </w:rPr>
        <w:t>Address for Correspondence:</w:t>
      </w:r>
      <w:r w:rsidRPr="00C426A9">
        <w:rPr>
          <w:rFonts w:asciiTheme="minorHAnsi" w:eastAsia="MS Mincho" w:hAnsiTheme="minorHAnsi" w:cs="Times New Roman"/>
          <w:color w:val="auto"/>
          <w:lang w:val="en-GB" w:eastAsia="ja-JP"/>
        </w:rPr>
        <w:t xml:space="preserve"> John A Kanis, Centre for Metabolic Bone Diseases, University of Sheffield Medical School, Beech Hill Road, Sheffield S10 2RX, UK; Tel: +44 114 285 1109; Fax: +44 114 285 1813; </w:t>
      </w:r>
      <w:hyperlink r:id="rId9" w:history="1">
        <w:r w:rsidRPr="00C426A9">
          <w:rPr>
            <w:rStyle w:val="Hyperlink"/>
            <w:rFonts w:asciiTheme="minorHAnsi" w:eastAsia="MS Mincho" w:hAnsiTheme="minorHAnsi"/>
            <w:lang w:val="en-GB" w:eastAsia="ja-JP"/>
          </w:rPr>
          <w:t>w.j.pontefract@sheffield.ac.uk</w:t>
        </w:r>
      </w:hyperlink>
    </w:p>
    <w:p w14:paraId="4B2797B2" w14:textId="77777777" w:rsidR="0009288C" w:rsidRDefault="0009288C">
      <w:pPr>
        <w:autoSpaceDE/>
        <w:autoSpaceDN/>
        <w:adjustRightInd/>
        <w:spacing w:after="0" w:line="240" w:lineRule="auto"/>
        <w:jc w:val="left"/>
        <w:rPr>
          <w:rFonts w:ascii="Times New Roman" w:hAnsi="Times New Roman" w:cs="Times New Roman"/>
          <w:b/>
        </w:rPr>
      </w:pPr>
      <w:r>
        <w:rPr>
          <w:rFonts w:ascii="Times New Roman" w:hAnsi="Times New Roman" w:cs="Times New Roman"/>
          <w:b/>
        </w:rPr>
        <w:br w:type="page"/>
      </w:r>
    </w:p>
    <w:p w14:paraId="45B85D9B" w14:textId="29A889D2" w:rsidR="001E0F18" w:rsidRPr="000E11DF" w:rsidRDefault="000E11DF" w:rsidP="00C65E11">
      <w:pPr>
        <w:spacing w:after="120"/>
        <w:jc w:val="left"/>
        <w:rPr>
          <w:rFonts w:asciiTheme="minorHAnsi" w:hAnsiTheme="minorHAnsi" w:cs="Times New Roman"/>
          <w:bCs/>
        </w:rPr>
      </w:pPr>
      <w:r>
        <w:rPr>
          <w:rFonts w:asciiTheme="minorHAnsi" w:hAnsiTheme="minorHAnsi" w:cs="Times New Roman"/>
          <w:b/>
        </w:rPr>
        <w:lastRenderedPageBreak/>
        <w:t>Summary</w:t>
      </w:r>
    </w:p>
    <w:p w14:paraId="082FBAC9" w14:textId="2AD7539D" w:rsidR="00AF33B0" w:rsidRPr="00AF33B0" w:rsidRDefault="00AF33B0" w:rsidP="00C65E11">
      <w:pPr>
        <w:spacing w:after="120"/>
        <w:jc w:val="left"/>
        <w:rPr>
          <w:rFonts w:asciiTheme="minorHAnsi" w:hAnsiTheme="minorHAnsi" w:cs="Times New Roman"/>
          <w:b/>
          <w:bCs/>
        </w:rPr>
      </w:pPr>
      <w:r w:rsidRPr="00AF33B0">
        <w:rPr>
          <w:rFonts w:asciiTheme="minorHAnsi" w:hAnsiTheme="minorHAnsi" w:cs="Times New Roman"/>
          <w:bCs/>
        </w:rPr>
        <w:t xml:space="preserve">Many current guidelines for the assessment of osteoporosis, including those in Kuwait, </w:t>
      </w:r>
      <w:r w:rsidR="00377F8F">
        <w:rPr>
          <w:rFonts w:asciiTheme="minorHAnsi" w:hAnsiTheme="minorHAnsi" w:cs="Times New Roman"/>
          <w:bCs/>
        </w:rPr>
        <w:t>initiate fracture risk assessment</w:t>
      </w:r>
      <w:r w:rsidRPr="00AF33B0">
        <w:rPr>
          <w:rFonts w:asciiTheme="minorHAnsi" w:hAnsiTheme="minorHAnsi" w:cs="Times New Roman"/>
          <w:bCs/>
        </w:rPr>
        <w:t xml:space="preserve"> in men and women using BMD T-score</w:t>
      </w:r>
      <w:r w:rsidRPr="00AF33B0">
        <w:rPr>
          <w:rFonts w:asciiTheme="minorHAnsi" w:hAnsiTheme="minorHAnsi" w:cs="Times New Roman"/>
          <w:b/>
          <w:bCs/>
        </w:rPr>
        <w:t xml:space="preserve"> </w:t>
      </w:r>
      <w:r w:rsidRPr="00AF33B0">
        <w:rPr>
          <w:rFonts w:asciiTheme="minorHAnsi" w:hAnsiTheme="minorHAnsi" w:cs="Times New Roman"/>
          <w:bCs/>
        </w:rPr>
        <w:t>thresholds.  We compared the Kuwaiti guidelines with FRAX-based age-dependent intervention thresholds equivalent to that in women with a prior fragility fracture.  FRAX-based intervention thresholds identified women at higher fracture probability than fixed T-score thresholds, particularly in the elderly.</w:t>
      </w:r>
    </w:p>
    <w:p w14:paraId="45B85D9D" w14:textId="77777777" w:rsidR="001E0F18" w:rsidRPr="000E11DF" w:rsidRDefault="001E0F18" w:rsidP="00C65E11">
      <w:pPr>
        <w:spacing w:after="120"/>
        <w:jc w:val="left"/>
        <w:rPr>
          <w:rFonts w:asciiTheme="minorHAnsi" w:hAnsiTheme="minorHAnsi" w:cs="Times New Roman"/>
          <w:b/>
        </w:rPr>
      </w:pPr>
      <w:r w:rsidRPr="000E11DF">
        <w:rPr>
          <w:rFonts w:asciiTheme="minorHAnsi" w:hAnsiTheme="minorHAnsi" w:cs="Times New Roman"/>
          <w:b/>
        </w:rPr>
        <w:t>Abstract</w:t>
      </w:r>
    </w:p>
    <w:p w14:paraId="75F25627" w14:textId="77777777" w:rsidR="00AF33B0" w:rsidRPr="00E846D5" w:rsidRDefault="00AF33B0" w:rsidP="00C65E11">
      <w:pPr>
        <w:spacing w:after="120"/>
        <w:jc w:val="left"/>
        <w:rPr>
          <w:rFonts w:asciiTheme="minorHAnsi" w:hAnsiTheme="minorHAnsi" w:cs="Times New Roman"/>
          <w:b/>
        </w:rPr>
      </w:pPr>
      <w:r w:rsidRPr="00E846D5">
        <w:rPr>
          <w:rFonts w:asciiTheme="minorHAnsi" w:hAnsiTheme="minorHAnsi" w:cs="Times New Roman"/>
          <w:i/>
        </w:rPr>
        <w:t xml:space="preserve">Purpose </w:t>
      </w:r>
      <w:r>
        <w:rPr>
          <w:rFonts w:asciiTheme="minorHAnsi" w:hAnsiTheme="minorHAnsi" w:cs="Times New Roman"/>
        </w:rPr>
        <w:t xml:space="preserve">A </w:t>
      </w:r>
      <w:r w:rsidRPr="00E846D5">
        <w:rPr>
          <w:rFonts w:asciiTheme="minorHAnsi" w:hAnsiTheme="minorHAnsi" w:cs="Times New Roman"/>
        </w:rPr>
        <w:t xml:space="preserve">FRAX® </w:t>
      </w:r>
      <w:r>
        <w:rPr>
          <w:rFonts w:asciiTheme="minorHAnsi" w:hAnsiTheme="minorHAnsi" w:cs="Times New Roman"/>
        </w:rPr>
        <w:t>model</w:t>
      </w:r>
      <w:r w:rsidRPr="00E846D5">
        <w:rPr>
          <w:rFonts w:asciiTheme="minorHAnsi" w:hAnsiTheme="minorHAnsi" w:cs="Times New Roman"/>
        </w:rPr>
        <w:t xml:space="preserve"> been recently calibrated for Kuwait, but guidance is needed on how to </w:t>
      </w:r>
      <w:r>
        <w:rPr>
          <w:rFonts w:asciiTheme="minorHAnsi" w:hAnsiTheme="minorHAnsi" w:cs="Times New Roman"/>
        </w:rPr>
        <w:t>utilise</w:t>
      </w:r>
      <w:r w:rsidRPr="00E846D5">
        <w:rPr>
          <w:rFonts w:asciiTheme="minorHAnsi" w:hAnsiTheme="minorHAnsi" w:cs="Times New Roman"/>
        </w:rPr>
        <w:t xml:space="preserve"> fracture probabilities </w:t>
      </w:r>
      <w:r>
        <w:rPr>
          <w:rFonts w:asciiTheme="minorHAnsi" w:hAnsiTheme="minorHAnsi" w:cs="Times New Roman"/>
        </w:rPr>
        <w:t>in the assessment and treatment of patients</w:t>
      </w:r>
      <w:r w:rsidRPr="00E846D5">
        <w:rPr>
          <w:rFonts w:asciiTheme="minorHAnsi" w:hAnsiTheme="minorHAnsi" w:cs="Times New Roman"/>
        </w:rPr>
        <w:t xml:space="preserve">.  </w:t>
      </w:r>
    </w:p>
    <w:p w14:paraId="45B85D9F" w14:textId="6BED9273" w:rsidR="00EA2ADA" w:rsidRPr="00E846D5" w:rsidRDefault="00EA2ADA" w:rsidP="00C65E11">
      <w:pPr>
        <w:spacing w:after="120"/>
        <w:jc w:val="left"/>
        <w:rPr>
          <w:rFonts w:asciiTheme="minorHAnsi" w:hAnsiTheme="minorHAnsi" w:cs="Times New Roman"/>
        </w:rPr>
      </w:pPr>
      <w:r w:rsidRPr="00E846D5">
        <w:rPr>
          <w:rFonts w:asciiTheme="minorHAnsi" w:hAnsiTheme="minorHAnsi" w:cs="Times New Roman"/>
          <w:i/>
        </w:rPr>
        <w:t>Methods</w:t>
      </w:r>
      <w:r w:rsidRPr="00E846D5">
        <w:rPr>
          <w:rFonts w:asciiTheme="minorHAnsi" w:hAnsiTheme="minorHAnsi" w:cs="Times New Roman"/>
        </w:rPr>
        <w:t xml:space="preserve"> </w:t>
      </w:r>
      <w:r w:rsidR="00E846D5" w:rsidRPr="00E846D5">
        <w:rPr>
          <w:rFonts w:asciiTheme="minorHAnsi" w:hAnsiTheme="minorHAnsi" w:cs="Times New Roman"/>
        </w:rPr>
        <w:t>We compared</w:t>
      </w:r>
      <w:r w:rsidR="00E846D5" w:rsidRPr="00E846D5">
        <w:rPr>
          <w:rFonts w:asciiTheme="minorHAnsi" w:hAnsiTheme="minorHAnsi"/>
        </w:rPr>
        <w:t xml:space="preserve"> age-specific fracture probabilities</w:t>
      </w:r>
      <w:r w:rsidR="00F75FE2">
        <w:rPr>
          <w:rFonts w:asciiTheme="minorHAnsi" w:hAnsiTheme="minorHAnsi"/>
        </w:rPr>
        <w:t>,</w:t>
      </w:r>
      <w:r w:rsidR="00E846D5" w:rsidRPr="00E846D5">
        <w:rPr>
          <w:rFonts w:asciiTheme="minorHAnsi" w:hAnsiTheme="minorHAnsi"/>
        </w:rPr>
        <w:t xml:space="preserve"> </w:t>
      </w:r>
      <w:r w:rsidR="00E846D5" w:rsidRPr="00E846D5">
        <w:rPr>
          <w:rFonts w:asciiTheme="minorHAnsi" w:hAnsiTheme="minorHAnsi" w:cs="Times New Roman"/>
        </w:rPr>
        <w:t>equivalent to women with</w:t>
      </w:r>
      <w:r w:rsidR="00042031">
        <w:rPr>
          <w:rFonts w:asciiTheme="minorHAnsi" w:hAnsiTheme="minorHAnsi" w:cs="Times New Roman"/>
        </w:rPr>
        <w:t xml:space="preserve"> no clinical risk factors and</w:t>
      </w:r>
      <w:r w:rsidR="00E846D5" w:rsidRPr="00E846D5">
        <w:rPr>
          <w:rFonts w:asciiTheme="minorHAnsi" w:hAnsiTheme="minorHAnsi" w:cs="Times New Roman"/>
        </w:rPr>
        <w:t xml:space="preserve"> a prior fragility fracture (without BMD)</w:t>
      </w:r>
      <w:r w:rsidR="00F75FE2">
        <w:rPr>
          <w:rFonts w:asciiTheme="minorHAnsi" w:hAnsiTheme="minorHAnsi" w:cs="Times New Roman"/>
        </w:rPr>
        <w:t>,</w:t>
      </w:r>
      <w:r w:rsidR="00E846D5" w:rsidRPr="00E846D5">
        <w:rPr>
          <w:rFonts w:asciiTheme="minorHAnsi" w:hAnsiTheme="minorHAnsi" w:cs="Times New Roman"/>
        </w:rPr>
        <w:t xml:space="preserve"> with</w:t>
      </w:r>
      <w:r w:rsidRPr="00E846D5">
        <w:rPr>
          <w:rFonts w:asciiTheme="minorHAnsi" w:hAnsiTheme="minorHAnsi" w:cs="Times New Roman"/>
        </w:rPr>
        <w:t xml:space="preserve"> the age-specific fracture probabilities associated with femoral neck T-score</w:t>
      </w:r>
      <w:r w:rsidR="00245BF6">
        <w:rPr>
          <w:rFonts w:asciiTheme="minorHAnsi" w:hAnsiTheme="minorHAnsi" w:cs="Times New Roman"/>
        </w:rPr>
        <w:t>s</w:t>
      </w:r>
      <w:r w:rsidRPr="00E846D5">
        <w:rPr>
          <w:rFonts w:asciiTheme="minorHAnsi" w:hAnsiTheme="minorHAnsi" w:cs="Times New Roman"/>
        </w:rPr>
        <w:t xml:space="preserve"> of -2.5 SD</w:t>
      </w:r>
      <w:r w:rsidR="00042031">
        <w:rPr>
          <w:rFonts w:asciiTheme="minorHAnsi" w:hAnsiTheme="minorHAnsi" w:cs="Times New Roman"/>
        </w:rPr>
        <w:t xml:space="preserve"> and -1.5 SD</w:t>
      </w:r>
      <w:r w:rsidRPr="00E846D5">
        <w:rPr>
          <w:rFonts w:asciiTheme="minorHAnsi" w:hAnsiTheme="minorHAnsi" w:cs="Times New Roman"/>
        </w:rPr>
        <w:t xml:space="preserve">, in line with current guidelines in </w:t>
      </w:r>
      <w:r w:rsidR="007E7392" w:rsidRPr="00E846D5">
        <w:rPr>
          <w:rFonts w:asciiTheme="minorHAnsi" w:hAnsiTheme="minorHAnsi" w:cs="Times New Roman"/>
        </w:rPr>
        <w:t>Kuwait</w:t>
      </w:r>
      <w:r w:rsidRPr="00E846D5">
        <w:rPr>
          <w:rFonts w:asciiTheme="minorHAnsi" w:hAnsiTheme="minorHAnsi" w:cs="Times New Roman"/>
        </w:rPr>
        <w:t xml:space="preserve">. </w:t>
      </w:r>
      <w:r w:rsidR="00E846D5" w:rsidRPr="00E846D5">
        <w:rPr>
          <w:rFonts w:asciiTheme="minorHAnsi" w:hAnsiTheme="minorHAnsi" w:cs="Times New Roman"/>
        </w:rPr>
        <w:t>U</w:t>
      </w:r>
      <w:r w:rsidRPr="00E846D5">
        <w:rPr>
          <w:rFonts w:asciiTheme="minorHAnsi" w:hAnsiTheme="minorHAnsi" w:cs="Times New Roman"/>
        </w:rPr>
        <w:t>pper and lower assessment thresholds for BMD testing</w:t>
      </w:r>
      <w:r w:rsidR="00E846D5" w:rsidRPr="00E846D5">
        <w:rPr>
          <w:rFonts w:asciiTheme="minorHAnsi" w:hAnsiTheme="minorHAnsi" w:cs="Times New Roman"/>
        </w:rPr>
        <w:t xml:space="preserve"> were</w:t>
      </w:r>
      <w:r w:rsidRPr="00E846D5">
        <w:rPr>
          <w:rFonts w:asciiTheme="minorHAnsi" w:hAnsiTheme="minorHAnsi" w:cs="Times New Roman"/>
        </w:rPr>
        <w:t xml:space="preserve"> additionally explored</w:t>
      </w:r>
      <w:r w:rsidR="00245BF6">
        <w:rPr>
          <w:rFonts w:asciiTheme="minorHAnsi" w:hAnsiTheme="minorHAnsi" w:cs="Times New Roman"/>
        </w:rPr>
        <w:t xml:space="preserve"> using FRAX</w:t>
      </w:r>
      <w:r w:rsidRPr="00E846D5">
        <w:rPr>
          <w:rFonts w:asciiTheme="minorHAnsi" w:eastAsia="MS Mincho" w:hAnsiTheme="minorHAnsi" w:cs="Times New Roman"/>
          <w:lang w:eastAsia="ja-JP"/>
        </w:rPr>
        <w:t>.</w:t>
      </w:r>
    </w:p>
    <w:p w14:paraId="45B85DA0" w14:textId="55807561" w:rsidR="00EA2ADA" w:rsidRPr="00EF39E7" w:rsidRDefault="00EA2ADA" w:rsidP="00C65E11">
      <w:pPr>
        <w:spacing w:after="120"/>
        <w:jc w:val="left"/>
        <w:rPr>
          <w:rFonts w:asciiTheme="minorHAnsi" w:hAnsiTheme="minorHAnsi" w:cs="Times New Roman"/>
        </w:rPr>
      </w:pPr>
      <w:r w:rsidRPr="00EF39E7">
        <w:rPr>
          <w:rFonts w:asciiTheme="minorHAnsi" w:hAnsiTheme="minorHAnsi" w:cs="Times New Roman"/>
          <w:i/>
          <w:lang w:val="en-GB"/>
        </w:rPr>
        <w:t xml:space="preserve">Results </w:t>
      </w:r>
      <w:r w:rsidRPr="00EF39E7">
        <w:rPr>
          <w:rFonts w:asciiTheme="minorHAnsi" w:hAnsiTheme="minorHAnsi" w:cs="Times New Roman"/>
        </w:rPr>
        <w:t xml:space="preserve">When a BMD T-score </w:t>
      </w:r>
      <w:r w:rsidR="00AF33B0">
        <w:rPr>
          <w:rFonts w:asciiTheme="minorHAnsi" w:eastAsia="AdvTT3713a231+22" w:hAnsiTheme="minorHAnsi" w:cs="Times New Roman"/>
        </w:rPr>
        <w:t xml:space="preserve">of </w:t>
      </w:r>
      <w:r w:rsidRPr="00EF39E7">
        <w:rPr>
          <w:rFonts w:asciiTheme="minorHAnsi" w:eastAsia="AdvTT3713a231+22" w:hAnsiTheme="minorHAnsi" w:cs="Times New Roman"/>
        </w:rPr>
        <w:t>−</w:t>
      </w:r>
      <w:r w:rsidRPr="00EF39E7">
        <w:rPr>
          <w:rFonts w:asciiTheme="minorHAnsi" w:hAnsiTheme="minorHAnsi" w:cs="Times New Roman"/>
        </w:rPr>
        <w:t xml:space="preserve">2.5 SD was used as an intervention threshold, FRAX probabilities </w:t>
      </w:r>
      <w:r w:rsidR="00042031" w:rsidRPr="00EF39E7">
        <w:rPr>
          <w:rFonts w:asciiTheme="minorHAnsi" w:hAnsiTheme="minorHAnsi" w:cs="Times New Roman"/>
        </w:rPr>
        <w:t xml:space="preserve">of a major osteoporotic fracture </w:t>
      </w:r>
      <w:r w:rsidRPr="00EF39E7">
        <w:rPr>
          <w:rFonts w:asciiTheme="minorHAnsi" w:hAnsiTheme="minorHAnsi" w:cs="Times New Roman"/>
        </w:rPr>
        <w:t>i</w:t>
      </w:r>
      <w:r w:rsidRPr="00EF39E7">
        <w:rPr>
          <w:rFonts w:asciiTheme="minorHAnsi" w:hAnsiTheme="minorHAnsi" w:cs="Times New Roman"/>
          <w:lang w:val="en-GB"/>
        </w:rPr>
        <w:t xml:space="preserve">n women aged 50 years </w:t>
      </w:r>
      <w:r w:rsidR="00042031" w:rsidRPr="00EF39E7">
        <w:rPr>
          <w:rFonts w:asciiTheme="minorHAnsi" w:hAnsiTheme="minorHAnsi" w:cs="Times New Roman"/>
          <w:lang w:val="en-GB"/>
        </w:rPr>
        <w:t>were</w:t>
      </w:r>
      <w:r w:rsidRPr="00EF39E7">
        <w:rPr>
          <w:rFonts w:asciiTheme="minorHAnsi" w:hAnsiTheme="minorHAnsi" w:cs="Times New Roman"/>
          <w:lang w:val="en-GB"/>
        </w:rPr>
        <w:t xml:space="preserve"> approximately two-fold higher than in women of the same age but with an average BMD. The increase in risk associated with the BMD threshold decreased progressively with age such that, at the age of </w:t>
      </w:r>
      <w:r w:rsidR="0067304E" w:rsidRPr="00EF39E7">
        <w:rPr>
          <w:rFonts w:asciiTheme="minorHAnsi" w:hAnsiTheme="minorHAnsi" w:cs="Times New Roman"/>
          <w:lang w:val="en-GB"/>
        </w:rPr>
        <w:t>8</w:t>
      </w:r>
      <w:r w:rsidR="00F225E9">
        <w:rPr>
          <w:rFonts w:asciiTheme="minorHAnsi" w:hAnsiTheme="minorHAnsi" w:cs="Times New Roman"/>
          <w:lang w:val="en-GB"/>
        </w:rPr>
        <w:t>3</w:t>
      </w:r>
      <w:r w:rsidR="0067304E" w:rsidRPr="00EF39E7">
        <w:rPr>
          <w:rFonts w:asciiTheme="minorHAnsi" w:hAnsiTheme="minorHAnsi" w:cs="Times New Roman"/>
          <w:lang w:val="en-GB"/>
        </w:rPr>
        <w:t xml:space="preserve"> years or more</w:t>
      </w:r>
      <w:r w:rsidRPr="00EF39E7">
        <w:rPr>
          <w:rFonts w:asciiTheme="minorHAnsi" w:hAnsiTheme="minorHAnsi" w:cs="Times New Roman"/>
          <w:lang w:val="en-GB"/>
        </w:rPr>
        <w:t xml:space="preserve">, a T-score of -2.5 SD was </w:t>
      </w:r>
      <w:r w:rsidR="003B04ED">
        <w:rPr>
          <w:rFonts w:asciiTheme="minorHAnsi" w:hAnsiTheme="minorHAnsi" w:cs="Times New Roman"/>
          <w:lang w:val="en-GB"/>
        </w:rPr>
        <w:t xml:space="preserve">associated with a lower probability of fracture than that of the age-matched general population with no </w:t>
      </w:r>
      <w:r w:rsidR="00D230D9">
        <w:rPr>
          <w:rFonts w:asciiTheme="minorHAnsi" w:hAnsiTheme="minorHAnsi" w:cs="Times New Roman"/>
          <w:lang w:val="en-GB"/>
        </w:rPr>
        <w:t>clinical</w:t>
      </w:r>
      <w:r w:rsidR="003B04ED">
        <w:rPr>
          <w:rFonts w:asciiTheme="minorHAnsi" w:hAnsiTheme="minorHAnsi" w:cs="Times New Roman"/>
          <w:lang w:val="en-GB"/>
        </w:rPr>
        <w:t xml:space="preserve"> risk </w:t>
      </w:r>
      <w:r w:rsidR="00D230D9">
        <w:rPr>
          <w:rFonts w:asciiTheme="minorHAnsi" w:hAnsiTheme="minorHAnsi" w:cs="Times New Roman"/>
          <w:lang w:val="en-GB"/>
        </w:rPr>
        <w:t>factors.</w:t>
      </w:r>
      <w:r w:rsidRPr="00EF39E7">
        <w:rPr>
          <w:rFonts w:asciiTheme="minorHAnsi" w:hAnsiTheme="minorHAnsi" w:cs="Times New Roman"/>
          <w:lang w:val="en-GB"/>
        </w:rPr>
        <w:t xml:space="preserve"> </w:t>
      </w:r>
      <w:r w:rsidR="0044727E">
        <w:rPr>
          <w:rFonts w:asciiTheme="minorHAnsi" w:hAnsiTheme="minorHAnsi" w:cs="Times New Roman"/>
          <w:lang w:val="en-GB"/>
        </w:rPr>
        <w:t>T</w:t>
      </w:r>
      <w:r w:rsidR="003B04ED">
        <w:rPr>
          <w:rFonts w:asciiTheme="minorHAnsi" w:hAnsiTheme="minorHAnsi" w:cs="Times New Roman"/>
          <w:lang w:val="en-GB"/>
        </w:rPr>
        <w:t>he same phenomenon was observed</w:t>
      </w:r>
      <w:r w:rsidR="00AF33B0" w:rsidRPr="00EF39E7">
        <w:rPr>
          <w:rFonts w:asciiTheme="minorHAnsi" w:hAnsiTheme="minorHAnsi" w:cs="Times New Roman"/>
          <w:lang w:val="en-GB"/>
        </w:rPr>
        <w:t xml:space="preserve"> from the age of 6</w:t>
      </w:r>
      <w:r w:rsidR="00ED587A">
        <w:rPr>
          <w:rFonts w:asciiTheme="minorHAnsi" w:hAnsiTheme="minorHAnsi" w:cs="Times New Roman"/>
          <w:lang w:val="en-GB"/>
        </w:rPr>
        <w:t>6</w:t>
      </w:r>
      <w:r w:rsidR="00AF33B0" w:rsidRPr="00EF39E7">
        <w:rPr>
          <w:rFonts w:asciiTheme="minorHAnsi" w:hAnsiTheme="minorHAnsi" w:cs="Times New Roman"/>
          <w:lang w:val="en-GB"/>
        </w:rPr>
        <w:t xml:space="preserve"> years</w:t>
      </w:r>
      <w:r w:rsidR="0044727E" w:rsidRPr="0044727E">
        <w:rPr>
          <w:rFonts w:asciiTheme="minorHAnsi" w:hAnsiTheme="minorHAnsi" w:cs="Times New Roman"/>
          <w:lang w:val="en-GB"/>
        </w:rPr>
        <w:t xml:space="preserve"> </w:t>
      </w:r>
      <w:r w:rsidR="0044727E">
        <w:rPr>
          <w:rFonts w:asciiTheme="minorHAnsi" w:hAnsiTheme="minorHAnsi" w:cs="Times New Roman"/>
          <w:lang w:val="en-GB"/>
        </w:rPr>
        <w:t>at a</w:t>
      </w:r>
      <w:r w:rsidR="0044727E" w:rsidRPr="0044727E">
        <w:rPr>
          <w:rFonts w:asciiTheme="minorHAnsi" w:hAnsiTheme="minorHAnsi" w:cs="Times New Roman"/>
          <w:lang w:val="en-GB"/>
        </w:rPr>
        <w:t>T-score of -1.5 SD</w:t>
      </w:r>
      <w:r w:rsidR="00AF33B0" w:rsidRPr="00EF39E7">
        <w:rPr>
          <w:rFonts w:asciiTheme="minorHAnsi" w:hAnsiTheme="minorHAnsi" w:cs="Times New Roman"/>
          <w:lang w:val="en-GB"/>
        </w:rPr>
        <w:t xml:space="preserve">. </w:t>
      </w:r>
      <w:r w:rsidR="00AF33B0">
        <w:rPr>
          <w:rFonts w:asciiTheme="minorHAnsi" w:hAnsiTheme="minorHAnsi" w:cs="Times New Roman"/>
          <w:lang w:val="en-GB"/>
        </w:rPr>
        <w:t xml:space="preserve">A FRAX-based intervention threshold, defined as </w:t>
      </w:r>
      <w:r w:rsidR="00AF33B0">
        <w:rPr>
          <w:rFonts w:asciiTheme="minorHAnsi" w:hAnsiTheme="minorHAnsi" w:cs="Times New Roman"/>
          <w:lang w:eastAsia="ja-JP"/>
        </w:rPr>
        <w:t>t</w:t>
      </w:r>
      <w:r w:rsidR="00AF33B0" w:rsidRPr="00EF39E7">
        <w:rPr>
          <w:rFonts w:asciiTheme="minorHAnsi" w:hAnsiTheme="minorHAnsi" w:cs="Times New Roman"/>
          <w:lang w:eastAsia="ja-JP"/>
        </w:rPr>
        <w:t xml:space="preserve">he 10-year probability of a major osteoporotic fracture </w:t>
      </w:r>
      <w:r w:rsidR="00AF33B0">
        <w:rPr>
          <w:rFonts w:asciiTheme="minorHAnsi" w:hAnsiTheme="minorHAnsi" w:cs="Times New Roman"/>
          <w:lang w:eastAsia="ja-JP"/>
        </w:rPr>
        <w:t>in</w:t>
      </w:r>
      <w:r w:rsidR="00AF33B0" w:rsidRPr="00EF39E7">
        <w:rPr>
          <w:rFonts w:asciiTheme="minorHAnsi" w:hAnsiTheme="minorHAnsi" w:cs="Times New Roman"/>
          <w:lang w:eastAsia="ja-JP"/>
        </w:rPr>
        <w:t xml:space="preserve"> </w:t>
      </w:r>
      <w:r w:rsidR="00AF33B0">
        <w:rPr>
          <w:rFonts w:asciiTheme="minorHAnsi" w:hAnsiTheme="minorHAnsi" w:cs="Times New Roman"/>
          <w:lang w:eastAsia="ja-JP"/>
        </w:rPr>
        <w:t xml:space="preserve">a </w:t>
      </w:r>
      <w:r w:rsidR="00AF33B0" w:rsidRPr="00EF39E7">
        <w:rPr>
          <w:rFonts w:asciiTheme="minorHAnsi" w:hAnsiTheme="minorHAnsi" w:cs="Times New Roman"/>
          <w:lang w:eastAsia="ja-JP"/>
        </w:rPr>
        <w:t>wom</w:t>
      </w:r>
      <w:r w:rsidR="00AF33B0">
        <w:rPr>
          <w:rFonts w:asciiTheme="minorHAnsi" w:hAnsiTheme="minorHAnsi" w:cs="Times New Roman"/>
          <w:lang w:eastAsia="ja-JP"/>
        </w:rPr>
        <w:t>a</w:t>
      </w:r>
      <w:r w:rsidR="00AF33B0" w:rsidRPr="00EF39E7">
        <w:rPr>
          <w:rFonts w:asciiTheme="minorHAnsi" w:hAnsiTheme="minorHAnsi" w:cs="Times New Roman"/>
          <w:lang w:eastAsia="ja-JP"/>
        </w:rPr>
        <w:t xml:space="preserve">n </w:t>
      </w:r>
      <w:r w:rsidR="00AF33B0">
        <w:rPr>
          <w:rFonts w:asciiTheme="minorHAnsi" w:hAnsiTheme="minorHAnsi" w:cs="Times New Roman"/>
          <w:lang w:eastAsia="ja-JP"/>
        </w:rPr>
        <w:t xml:space="preserve">of average BMI </w:t>
      </w:r>
      <w:r w:rsidR="00AF33B0" w:rsidRPr="00EF39E7">
        <w:rPr>
          <w:rFonts w:asciiTheme="minorHAnsi" w:hAnsiTheme="minorHAnsi" w:cs="Times New Roman"/>
          <w:lang w:eastAsia="ja-JP"/>
        </w:rPr>
        <w:t>with a previous fracture</w:t>
      </w:r>
      <w:r w:rsidR="00AF33B0">
        <w:rPr>
          <w:rFonts w:asciiTheme="minorHAnsi" w:hAnsiTheme="minorHAnsi" w:cs="Times New Roman"/>
          <w:lang w:eastAsia="ja-JP"/>
        </w:rPr>
        <w:t>,</w:t>
      </w:r>
      <w:r w:rsidR="00AF33B0" w:rsidRPr="00EF39E7">
        <w:rPr>
          <w:rFonts w:asciiTheme="minorHAnsi" w:hAnsiTheme="minorHAnsi" w:cs="Times New Roman"/>
        </w:rPr>
        <w:t xml:space="preserve"> rose with age from 4.</w:t>
      </w:r>
      <w:r w:rsidR="00F225E9">
        <w:rPr>
          <w:rFonts w:asciiTheme="minorHAnsi" w:hAnsiTheme="minorHAnsi" w:cs="Times New Roman"/>
        </w:rPr>
        <w:t>3</w:t>
      </w:r>
      <w:r w:rsidR="00AF33B0" w:rsidRPr="00EF39E7">
        <w:rPr>
          <w:rFonts w:asciiTheme="minorHAnsi" w:hAnsiTheme="minorHAnsi" w:cs="Times New Roman"/>
        </w:rPr>
        <w:t>% at the age of 50 years to 2</w:t>
      </w:r>
      <w:r w:rsidR="00F225E9">
        <w:rPr>
          <w:rFonts w:asciiTheme="minorHAnsi" w:hAnsiTheme="minorHAnsi" w:cs="Times New Roman"/>
        </w:rPr>
        <w:t>3</w:t>
      </w:r>
      <w:r w:rsidR="00AF33B0" w:rsidRPr="00EF39E7">
        <w:rPr>
          <w:rFonts w:asciiTheme="minorHAnsi" w:hAnsiTheme="minorHAnsi" w:cs="Times New Roman"/>
        </w:rPr>
        <w:t>%, at the age of 90 years, and identified women at increased risk at all ages. Qualitatively comparable finding</w:t>
      </w:r>
      <w:r w:rsidR="00AF33B0">
        <w:rPr>
          <w:rFonts w:asciiTheme="minorHAnsi" w:hAnsiTheme="minorHAnsi" w:cs="Times New Roman"/>
        </w:rPr>
        <w:t>s</w:t>
      </w:r>
      <w:r w:rsidR="00AF33B0" w:rsidRPr="00EF39E7">
        <w:rPr>
          <w:rFonts w:asciiTheme="minorHAnsi" w:hAnsiTheme="minorHAnsi" w:cs="Times New Roman"/>
        </w:rPr>
        <w:t xml:space="preserve"> were observed in the case of hip fracture probability and in men.</w:t>
      </w:r>
    </w:p>
    <w:p w14:paraId="59E75495" w14:textId="77777777" w:rsidR="0099181A" w:rsidRPr="00EF39E7" w:rsidRDefault="0099181A" w:rsidP="0099181A">
      <w:pPr>
        <w:spacing w:after="120"/>
        <w:jc w:val="left"/>
        <w:rPr>
          <w:rFonts w:asciiTheme="minorHAnsi" w:hAnsiTheme="minorHAnsi" w:cs="Times New Roman"/>
        </w:rPr>
      </w:pPr>
      <w:r w:rsidRPr="00245BF6">
        <w:rPr>
          <w:rFonts w:asciiTheme="minorHAnsi" w:hAnsiTheme="minorHAnsi" w:cs="Times New Roman"/>
          <w:bCs/>
          <w:i/>
          <w:iCs/>
        </w:rPr>
        <w:t>Conclusion</w:t>
      </w:r>
      <w:r w:rsidRPr="00EF39E7">
        <w:rPr>
          <w:rFonts w:asciiTheme="minorHAnsi" w:hAnsiTheme="minorHAnsi" w:cs="Times New Roman"/>
          <w:bCs/>
        </w:rPr>
        <w:t xml:space="preserve"> Intervention thresholds based on BMD alone do not optimally target women at high</w:t>
      </w:r>
      <w:r>
        <w:rPr>
          <w:rFonts w:asciiTheme="minorHAnsi" w:hAnsiTheme="minorHAnsi" w:cs="Times New Roman"/>
          <w:bCs/>
        </w:rPr>
        <w:t>er</w:t>
      </w:r>
      <w:r w:rsidRPr="00EF39E7">
        <w:rPr>
          <w:rFonts w:asciiTheme="minorHAnsi" w:hAnsiTheme="minorHAnsi" w:cs="Times New Roman"/>
          <w:bCs/>
        </w:rPr>
        <w:t xml:space="preserve"> fracture risk</w:t>
      </w:r>
      <w:r>
        <w:rPr>
          <w:rFonts w:asciiTheme="minorHAnsi" w:hAnsiTheme="minorHAnsi" w:cs="Times New Roman"/>
          <w:bCs/>
        </w:rPr>
        <w:t xml:space="preserve"> than age-matched individuals without clinical risk factors</w:t>
      </w:r>
      <w:r w:rsidRPr="00EF39E7">
        <w:rPr>
          <w:rFonts w:asciiTheme="minorHAnsi" w:hAnsiTheme="minorHAnsi" w:cs="Times New Roman"/>
          <w:bCs/>
        </w:rPr>
        <w:t xml:space="preserve">, particularly in the elderly. In contrast, intervention thresholds based on fracture probabilities equivalent to a ‘fracture threshold’ </w:t>
      </w:r>
      <w:r>
        <w:rPr>
          <w:rFonts w:asciiTheme="minorHAnsi" w:hAnsiTheme="minorHAnsi" w:cs="Times New Roman"/>
          <w:bCs/>
        </w:rPr>
        <w:t xml:space="preserve">consistently </w:t>
      </w:r>
      <w:r w:rsidRPr="00EF39E7">
        <w:rPr>
          <w:rFonts w:asciiTheme="minorHAnsi" w:hAnsiTheme="minorHAnsi" w:cs="Times New Roman"/>
          <w:bCs/>
        </w:rPr>
        <w:t>target women at high</w:t>
      </w:r>
      <w:r>
        <w:rPr>
          <w:rFonts w:asciiTheme="minorHAnsi" w:hAnsiTheme="minorHAnsi" w:cs="Times New Roman"/>
          <w:bCs/>
        </w:rPr>
        <w:t>er</w:t>
      </w:r>
      <w:r w:rsidRPr="00EF39E7">
        <w:rPr>
          <w:rFonts w:asciiTheme="minorHAnsi" w:hAnsiTheme="minorHAnsi" w:cs="Times New Roman"/>
          <w:bCs/>
        </w:rPr>
        <w:t xml:space="preserve"> fracture risk</w:t>
      </w:r>
      <w:r>
        <w:rPr>
          <w:rFonts w:asciiTheme="minorHAnsi" w:hAnsiTheme="minorHAnsi" w:cs="Times New Roman"/>
          <w:bCs/>
        </w:rPr>
        <w:t>,</w:t>
      </w:r>
      <w:r w:rsidRPr="00EF39E7">
        <w:rPr>
          <w:rFonts w:asciiTheme="minorHAnsi" w:hAnsiTheme="minorHAnsi" w:cs="Times New Roman"/>
          <w:bCs/>
        </w:rPr>
        <w:t xml:space="preserve"> irrespective of age. </w:t>
      </w:r>
    </w:p>
    <w:p w14:paraId="45B85DA2" w14:textId="6181B0E0" w:rsidR="00EA2ADA" w:rsidRPr="00AD3AE8" w:rsidRDefault="00EA2ADA" w:rsidP="00C65E11">
      <w:pPr>
        <w:spacing w:after="120"/>
        <w:jc w:val="left"/>
        <w:rPr>
          <w:rFonts w:ascii="Times New Roman" w:hAnsi="Times New Roman" w:cs="Times New Roman"/>
          <w:b/>
        </w:rPr>
      </w:pPr>
    </w:p>
    <w:p w14:paraId="45B85DA3" w14:textId="77777777" w:rsidR="00EA2ADA" w:rsidRPr="00AD3AE8" w:rsidRDefault="00EA2ADA" w:rsidP="00C65E11">
      <w:pPr>
        <w:spacing w:after="120"/>
        <w:jc w:val="left"/>
        <w:rPr>
          <w:rFonts w:ascii="Times New Roman" w:hAnsi="Times New Roman" w:cs="Times New Roman"/>
          <w:b/>
          <w:bCs/>
        </w:rPr>
      </w:pPr>
    </w:p>
    <w:p w14:paraId="45B85DA4" w14:textId="0B31917E" w:rsidR="00C65E11" w:rsidRDefault="00EA2ADA" w:rsidP="00C65E11">
      <w:pPr>
        <w:spacing w:after="120"/>
        <w:jc w:val="left"/>
        <w:rPr>
          <w:rFonts w:asciiTheme="minorHAnsi" w:hAnsiTheme="minorHAnsi" w:cs="Times New Roman"/>
          <w:bCs/>
        </w:rPr>
      </w:pPr>
      <w:r w:rsidRPr="00E846D5">
        <w:rPr>
          <w:rFonts w:asciiTheme="minorHAnsi" w:hAnsiTheme="minorHAnsi" w:cs="Times New Roman"/>
          <w:b/>
          <w:bCs/>
        </w:rPr>
        <w:t xml:space="preserve">Key words: </w:t>
      </w:r>
      <w:r w:rsidRPr="00E846D5">
        <w:rPr>
          <w:rFonts w:asciiTheme="minorHAnsi" w:hAnsiTheme="minorHAnsi" w:cs="Times New Roman"/>
          <w:bCs/>
        </w:rPr>
        <w:t>FRAX</w:t>
      </w:r>
      <w:r w:rsidR="00E846D5" w:rsidRPr="00E846D5">
        <w:rPr>
          <w:rFonts w:asciiTheme="minorHAnsi" w:hAnsiTheme="minorHAnsi" w:cs="Times New Roman"/>
          <w:bCs/>
        </w:rPr>
        <w:t xml:space="preserve"> · </w:t>
      </w:r>
      <w:r w:rsidRPr="00E846D5">
        <w:rPr>
          <w:rFonts w:asciiTheme="minorHAnsi" w:hAnsiTheme="minorHAnsi" w:cs="Times New Roman"/>
          <w:bCs/>
        </w:rPr>
        <w:t>Fracture probability</w:t>
      </w:r>
      <w:r w:rsidR="00E846D5" w:rsidRPr="00E846D5">
        <w:rPr>
          <w:rFonts w:asciiTheme="minorHAnsi" w:hAnsiTheme="minorHAnsi" w:cs="Times New Roman"/>
          <w:bCs/>
        </w:rPr>
        <w:t xml:space="preserve"> · </w:t>
      </w:r>
      <w:r w:rsidRPr="00E846D5">
        <w:rPr>
          <w:rFonts w:asciiTheme="minorHAnsi" w:hAnsiTheme="minorHAnsi" w:cs="Times New Roman"/>
          <w:bCs/>
        </w:rPr>
        <w:t>Intervention threshold</w:t>
      </w:r>
      <w:r w:rsidR="00E846D5" w:rsidRPr="00E846D5">
        <w:rPr>
          <w:rFonts w:asciiTheme="minorHAnsi" w:hAnsiTheme="minorHAnsi" w:cs="Times New Roman"/>
          <w:bCs/>
        </w:rPr>
        <w:t xml:space="preserve"> · </w:t>
      </w:r>
      <w:r w:rsidRPr="00E846D5">
        <w:rPr>
          <w:rFonts w:asciiTheme="minorHAnsi" w:hAnsiTheme="minorHAnsi" w:cs="Times New Roman"/>
          <w:bCs/>
        </w:rPr>
        <w:t>Osteoporosis</w:t>
      </w:r>
      <w:r w:rsidR="00E846D5" w:rsidRPr="00E846D5">
        <w:rPr>
          <w:rFonts w:asciiTheme="minorHAnsi" w:hAnsiTheme="minorHAnsi" w:cs="Times New Roman"/>
          <w:bCs/>
        </w:rPr>
        <w:t xml:space="preserve"> · </w:t>
      </w:r>
      <w:r w:rsidR="007E7392" w:rsidRPr="00E846D5">
        <w:rPr>
          <w:rFonts w:asciiTheme="minorHAnsi" w:hAnsiTheme="minorHAnsi" w:cs="Times New Roman"/>
          <w:bCs/>
        </w:rPr>
        <w:t>Kuwait</w:t>
      </w:r>
    </w:p>
    <w:p w14:paraId="07A75822" w14:textId="77777777" w:rsidR="00C65E11" w:rsidRDefault="00C65E11">
      <w:pPr>
        <w:autoSpaceDE/>
        <w:autoSpaceDN/>
        <w:adjustRightInd/>
        <w:spacing w:after="0" w:line="240" w:lineRule="auto"/>
        <w:jc w:val="left"/>
        <w:rPr>
          <w:rFonts w:asciiTheme="minorHAnsi" w:hAnsiTheme="minorHAnsi" w:cs="Times New Roman"/>
          <w:bCs/>
        </w:rPr>
      </w:pPr>
      <w:r>
        <w:rPr>
          <w:rFonts w:asciiTheme="minorHAnsi" w:hAnsiTheme="minorHAnsi" w:cs="Times New Roman"/>
          <w:bCs/>
        </w:rPr>
        <w:br w:type="page"/>
      </w:r>
    </w:p>
    <w:p w14:paraId="55467634" w14:textId="77777777" w:rsidR="00EA2ADA" w:rsidRPr="00E846D5" w:rsidRDefault="00EA2ADA" w:rsidP="00C65E11">
      <w:pPr>
        <w:spacing w:after="120"/>
        <w:jc w:val="left"/>
        <w:rPr>
          <w:rFonts w:asciiTheme="minorHAnsi" w:hAnsiTheme="minorHAnsi" w:cs="Times New Roman"/>
          <w:b/>
          <w:bCs/>
        </w:rPr>
      </w:pPr>
    </w:p>
    <w:p w14:paraId="45B85DA5" w14:textId="77777777" w:rsidR="00EA2ADA" w:rsidRPr="00AD3AE8" w:rsidRDefault="00EA2ADA" w:rsidP="00380099">
      <w:pPr>
        <w:spacing w:after="120" w:line="360" w:lineRule="auto"/>
        <w:jc w:val="left"/>
        <w:rPr>
          <w:rFonts w:ascii="Times New Roman" w:hAnsi="Times New Roman" w:cs="Times New Roman"/>
          <w:b/>
        </w:rPr>
      </w:pPr>
    </w:p>
    <w:p w14:paraId="45B85DA6" w14:textId="179F131C" w:rsidR="00EA2ADA" w:rsidRPr="00F3275A" w:rsidRDefault="00EA2ADA" w:rsidP="00380099">
      <w:pPr>
        <w:spacing w:after="120" w:line="360" w:lineRule="auto"/>
        <w:jc w:val="left"/>
        <w:rPr>
          <w:rFonts w:asciiTheme="minorHAnsi" w:hAnsiTheme="minorHAnsi" w:cs="Times New Roman"/>
          <w:b/>
        </w:rPr>
      </w:pPr>
      <w:r w:rsidRPr="00F3275A">
        <w:rPr>
          <w:rFonts w:asciiTheme="minorHAnsi" w:hAnsiTheme="minorHAnsi" w:cs="Times New Roman"/>
          <w:b/>
        </w:rPr>
        <w:t>Introduction</w:t>
      </w:r>
    </w:p>
    <w:p w14:paraId="4CACC827" w14:textId="249E27B8" w:rsidR="00946923" w:rsidRPr="00F3275A" w:rsidRDefault="00946923" w:rsidP="00380099">
      <w:pPr>
        <w:spacing w:after="120" w:line="360" w:lineRule="auto"/>
        <w:jc w:val="left"/>
        <w:rPr>
          <w:rFonts w:asciiTheme="minorHAnsi" w:hAnsiTheme="minorHAnsi" w:cs="Times New Roman"/>
        </w:rPr>
      </w:pPr>
      <w:r w:rsidRPr="00F3275A">
        <w:rPr>
          <w:rFonts w:asciiTheme="minorHAnsi" w:hAnsiTheme="minorHAnsi" w:cs="Times New Roman"/>
        </w:rPr>
        <w:t xml:space="preserve">Osteoporosis is operationally defined </w:t>
      </w:r>
      <w:r w:rsidR="00F3275A" w:rsidRPr="00F3275A">
        <w:rPr>
          <w:rFonts w:asciiTheme="minorHAnsi" w:hAnsiTheme="minorHAnsi" w:cs="Times New Roman"/>
        </w:rPr>
        <w:t>based on</w:t>
      </w:r>
      <w:r w:rsidRPr="00F3275A">
        <w:rPr>
          <w:rFonts w:asciiTheme="minorHAnsi" w:hAnsiTheme="minorHAnsi" w:cs="Times New Roman"/>
        </w:rPr>
        <w:t xml:space="preserve"> </w:t>
      </w:r>
      <w:r w:rsidR="00F3275A" w:rsidRPr="00F3275A">
        <w:rPr>
          <w:rFonts w:asciiTheme="minorHAnsi" w:hAnsiTheme="minorHAnsi" w:cs="Times New Roman"/>
        </w:rPr>
        <w:t xml:space="preserve">the measurement of </w:t>
      </w:r>
      <w:r w:rsidRPr="00F3275A">
        <w:rPr>
          <w:rFonts w:asciiTheme="minorHAnsi" w:hAnsiTheme="minorHAnsi" w:cs="Times New Roman"/>
        </w:rPr>
        <w:t>bone mineral density (BMD) assessment</w:t>
      </w:r>
      <w:r w:rsidR="00F3275A" w:rsidRPr="00F3275A">
        <w:rPr>
          <w:rFonts w:asciiTheme="minorHAnsi" w:hAnsiTheme="minorHAnsi" w:cs="Times New Roman"/>
        </w:rPr>
        <w:t xml:space="preserve"> [</w:t>
      </w:r>
      <w:r w:rsidR="005D76E3">
        <w:rPr>
          <w:rFonts w:asciiTheme="minorHAnsi" w:hAnsiTheme="minorHAnsi" w:cs="Times New Roman"/>
        </w:rPr>
        <w:t>1</w:t>
      </w:r>
      <w:r w:rsidR="001B2311">
        <w:rPr>
          <w:rFonts w:asciiTheme="minorHAnsi" w:hAnsiTheme="minorHAnsi" w:cs="Times New Roman"/>
        </w:rPr>
        <w:t>]</w:t>
      </w:r>
      <w:r w:rsidRPr="00F3275A">
        <w:rPr>
          <w:rFonts w:asciiTheme="minorHAnsi" w:hAnsiTheme="minorHAnsi" w:cs="Times New Roman"/>
        </w:rPr>
        <w:t xml:space="preserve">, with recent refinements of the description </w:t>
      </w:r>
      <w:r w:rsidR="00F3275A">
        <w:rPr>
          <w:rFonts w:asciiTheme="minorHAnsi" w:hAnsiTheme="minorHAnsi" w:cs="Times New Roman"/>
        </w:rPr>
        <w:t xml:space="preserve">that </w:t>
      </w:r>
      <w:r w:rsidRPr="00F3275A">
        <w:rPr>
          <w:rFonts w:asciiTheme="minorHAnsi" w:hAnsiTheme="minorHAnsi" w:cs="Times New Roman"/>
        </w:rPr>
        <w:t>focus on measurements at the femoral neck as a reference standard</w:t>
      </w:r>
      <w:r w:rsidR="00F3275A">
        <w:rPr>
          <w:rFonts w:asciiTheme="minorHAnsi" w:hAnsiTheme="minorHAnsi" w:cs="Times New Roman"/>
        </w:rPr>
        <w:t xml:space="preserve"> </w:t>
      </w:r>
      <w:r w:rsidRPr="00F3275A">
        <w:rPr>
          <w:rFonts w:asciiTheme="minorHAnsi" w:hAnsiTheme="minorHAnsi" w:cs="Times New Roman"/>
        </w:rPr>
        <w:t>[</w:t>
      </w:r>
      <w:r w:rsidR="005D76E3">
        <w:rPr>
          <w:rFonts w:asciiTheme="minorHAnsi" w:hAnsiTheme="minorHAnsi" w:cs="Times New Roman"/>
        </w:rPr>
        <w:t>2</w:t>
      </w:r>
      <w:r w:rsidR="00DC4350" w:rsidRPr="00F3275A">
        <w:rPr>
          <w:rFonts w:asciiTheme="minorHAnsi" w:hAnsiTheme="minorHAnsi" w:cs="Times New Roman"/>
        </w:rPr>
        <w:t>].</w:t>
      </w:r>
      <w:r w:rsidR="00F3275A">
        <w:rPr>
          <w:rFonts w:asciiTheme="minorHAnsi" w:hAnsiTheme="minorHAnsi" w:cs="Times New Roman"/>
        </w:rPr>
        <w:t xml:space="preserve"> </w:t>
      </w:r>
      <w:r w:rsidRPr="00F3275A">
        <w:rPr>
          <w:rFonts w:asciiTheme="minorHAnsi" w:hAnsiTheme="minorHAnsi" w:cs="Times New Roman"/>
        </w:rPr>
        <w:t xml:space="preserve"> The WHO-defined T-score of </w:t>
      </w:r>
      <w:r w:rsidRPr="00D230D9">
        <w:rPr>
          <w:rFonts w:asciiTheme="minorHAnsi" w:hAnsiTheme="minorHAnsi" w:cs="Times New Roman"/>
          <w:u w:val="single"/>
        </w:rPr>
        <w:t>&lt;</w:t>
      </w:r>
      <w:r w:rsidRPr="00F3275A">
        <w:rPr>
          <w:rFonts w:asciiTheme="minorHAnsi" w:hAnsiTheme="minorHAnsi" w:cs="Times New Roman"/>
        </w:rPr>
        <w:t>-2.5 SD, originally designed as an epidemiological tool, has been widely adopted as both a diagnostic and intervention threshold.  The principal difficulty for fracture risk assessment is that this threshold has high specificity but low sensitivity, so that the majority of fragility fractures occur in individuals with BMD values above the osteoporosis threshold</w:t>
      </w:r>
      <w:r w:rsidR="005D76E3">
        <w:rPr>
          <w:rFonts w:asciiTheme="minorHAnsi" w:hAnsiTheme="minorHAnsi" w:cs="Times New Roman"/>
        </w:rPr>
        <w:t xml:space="preserve"> </w:t>
      </w:r>
      <w:r w:rsidRPr="00F3275A">
        <w:rPr>
          <w:rFonts w:asciiTheme="minorHAnsi" w:hAnsiTheme="minorHAnsi" w:cs="Times New Roman"/>
        </w:rPr>
        <w:t>[</w:t>
      </w:r>
      <w:r w:rsidR="005D76E3">
        <w:rPr>
          <w:rFonts w:asciiTheme="minorHAnsi" w:hAnsiTheme="minorHAnsi" w:cs="Times New Roman"/>
        </w:rPr>
        <w:t>3</w:t>
      </w:r>
      <w:r w:rsidRPr="00F3275A">
        <w:rPr>
          <w:rFonts w:asciiTheme="minorHAnsi" w:hAnsiTheme="minorHAnsi" w:cs="Times New Roman"/>
        </w:rPr>
        <w:t>]</w:t>
      </w:r>
      <w:r w:rsidR="005D76E3">
        <w:rPr>
          <w:rFonts w:asciiTheme="minorHAnsi" w:hAnsiTheme="minorHAnsi" w:cs="Times New Roman"/>
        </w:rPr>
        <w:t>.</w:t>
      </w:r>
      <w:r w:rsidRPr="00F3275A">
        <w:rPr>
          <w:rFonts w:asciiTheme="minorHAnsi" w:hAnsiTheme="minorHAnsi" w:cs="Times New Roman"/>
        </w:rPr>
        <w:t xml:space="preserve">  Over the last two decades, many risk factors have been identified that contribute to fracture risk, at least partly if not wholly independent of BMD</w:t>
      </w:r>
      <w:r w:rsidR="00F75FE2">
        <w:rPr>
          <w:rFonts w:asciiTheme="minorHAnsi" w:hAnsiTheme="minorHAnsi" w:cs="Times New Roman"/>
        </w:rPr>
        <w:t>:</w:t>
      </w:r>
      <w:r w:rsidRPr="00F3275A">
        <w:rPr>
          <w:rFonts w:asciiTheme="minorHAnsi" w:hAnsiTheme="minorHAnsi" w:cs="Times New Roman"/>
        </w:rPr>
        <w:t xml:space="preserve"> these include age, sex, a prior fracture</w:t>
      </w:r>
      <w:r w:rsidR="005D76E3">
        <w:rPr>
          <w:rFonts w:asciiTheme="minorHAnsi" w:hAnsiTheme="minorHAnsi" w:cs="Times New Roman"/>
        </w:rPr>
        <w:t xml:space="preserve"> </w:t>
      </w:r>
      <w:r w:rsidRPr="00F3275A">
        <w:rPr>
          <w:rFonts w:asciiTheme="minorHAnsi" w:hAnsiTheme="minorHAnsi" w:cs="Times New Roman"/>
        </w:rPr>
        <w:t>[</w:t>
      </w:r>
      <w:r w:rsidR="005D76E3">
        <w:rPr>
          <w:rFonts w:asciiTheme="minorHAnsi" w:hAnsiTheme="minorHAnsi" w:cs="Times New Roman"/>
        </w:rPr>
        <w:t>4</w:t>
      </w:r>
      <w:r w:rsidRPr="00F3275A">
        <w:rPr>
          <w:rFonts w:asciiTheme="minorHAnsi" w:hAnsiTheme="minorHAnsi" w:cs="Times New Roman"/>
        </w:rPr>
        <w:t>], a family history of fracture</w:t>
      </w:r>
      <w:r w:rsidR="00DC4350">
        <w:rPr>
          <w:rFonts w:asciiTheme="minorHAnsi" w:hAnsiTheme="minorHAnsi" w:cs="Times New Roman"/>
        </w:rPr>
        <w:t xml:space="preserve"> </w:t>
      </w:r>
      <w:r w:rsidRPr="00F3275A">
        <w:rPr>
          <w:rFonts w:asciiTheme="minorHAnsi" w:hAnsiTheme="minorHAnsi" w:cs="Times New Roman"/>
        </w:rPr>
        <w:t>[</w:t>
      </w:r>
      <w:r w:rsidR="005D76E3">
        <w:rPr>
          <w:rFonts w:asciiTheme="minorHAnsi" w:hAnsiTheme="minorHAnsi" w:cs="Times New Roman"/>
        </w:rPr>
        <w:t>5</w:t>
      </w:r>
      <w:r w:rsidRPr="00F3275A">
        <w:rPr>
          <w:rFonts w:asciiTheme="minorHAnsi" w:hAnsiTheme="minorHAnsi" w:cs="Times New Roman"/>
        </w:rPr>
        <w:t>], and lifestyle risk factors such as physical inactivity</w:t>
      </w:r>
      <w:r w:rsidR="001406BF" w:rsidRPr="001406BF">
        <w:rPr>
          <w:lang w:val="en-GB"/>
        </w:rPr>
        <w:t xml:space="preserve"> </w:t>
      </w:r>
      <w:r w:rsidR="001406BF">
        <w:rPr>
          <w:lang w:val="en-GB"/>
        </w:rPr>
        <w:t>[</w:t>
      </w:r>
      <w:r w:rsidR="005D76E3">
        <w:rPr>
          <w:lang w:val="en-GB"/>
        </w:rPr>
        <w:t>6</w:t>
      </w:r>
      <w:r w:rsidR="001406BF">
        <w:rPr>
          <w:rFonts w:asciiTheme="minorHAnsi" w:hAnsiTheme="minorHAnsi" w:cs="Times New Roman"/>
          <w:lang w:val="en-GB"/>
        </w:rPr>
        <w:t>]</w:t>
      </w:r>
      <w:r w:rsidR="001406BF">
        <w:rPr>
          <w:rFonts w:asciiTheme="minorHAnsi" w:hAnsiTheme="minorHAnsi" w:cs="Times New Roman"/>
        </w:rPr>
        <w:t xml:space="preserve"> </w:t>
      </w:r>
      <w:r w:rsidRPr="00F3275A">
        <w:rPr>
          <w:rFonts w:asciiTheme="minorHAnsi" w:hAnsiTheme="minorHAnsi" w:cs="Times New Roman"/>
        </w:rPr>
        <w:t>and smoking</w:t>
      </w:r>
      <w:r w:rsidR="003A0264">
        <w:rPr>
          <w:rFonts w:asciiTheme="minorHAnsi" w:hAnsiTheme="minorHAnsi" w:cs="Times New Roman"/>
        </w:rPr>
        <w:t xml:space="preserve"> </w:t>
      </w:r>
      <w:r w:rsidRPr="00F3275A">
        <w:rPr>
          <w:rFonts w:asciiTheme="minorHAnsi" w:hAnsiTheme="minorHAnsi" w:cs="Times New Roman"/>
        </w:rPr>
        <w:t>[</w:t>
      </w:r>
      <w:r w:rsidR="005D76E3">
        <w:rPr>
          <w:rFonts w:asciiTheme="minorHAnsi" w:hAnsiTheme="minorHAnsi" w:cs="Times New Roman"/>
        </w:rPr>
        <w:t>7</w:t>
      </w:r>
      <w:r w:rsidRPr="00F3275A">
        <w:rPr>
          <w:rFonts w:asciiTheme="minorHAnsi" w:hAnsiTheme="minorHAnsi" w:cs="Times New Roman"/>
        </w:rPr>
        <w:t>].  These and other factors have been combined in analyses of individual cohort studies to develop algorithms and scores to characterise future risk in an individual.</w:t>
      </w:r>
    </w:p>
    <w:p w14:paraId="6F58279B" w14:textId="13E44B92" w:rsidR="00946923" w:rsidRPr="001406BF" w:rsidRDefault="00F3275A" w:rsidP="00380099">
      <w:pPr>
        <w:spacing w:after="120" w:line="360" w:lineRule="auto"/>
        <w:jc w:val="left"/>
        <w:rPr>
          <w:rFonts w:asciiTheme="minorHAnsi" w:hAnsiTheme="minorHAnsi" w:cs="Times New Roman"/>
        </w:rPr>
      </w:pPr>
      <w:r w:rsidRPr="001406BF">
        <w:rPr>
          <w:rFonts w:asciiTheme="minorHAnsi" w:hAnsiTheme="minorHAnsi" w:cs="Times New Roman"/>
        </w:rPr>
        <w:t>T</w:t>
      </w:r>
      <w:r w:rsidR="00946923" w:rsidRPr="001406BF">
        <w:rPr>
          <w:rFonts w:asciiTheme="minorHAnsi" w:hAnsiTheme="minorHAnsi" w:cs="Times New Roman"/>
        </w:rPr>
        <w:t>he most widely validated and utilised fracture risk assessment tool</w:t>
      </w:r>
      <w:r w:rsidRPr="001406BF">
        <w:rPr>
          <w:rFonts w:asciiTheme="minorHAnsi" w:hAnsiTheme="minorHAnsi" w:cs="Times New Roman"/>
        </w:rPr>
        <w:t xml:space="preserve"> is</w:t>
      </w:r>
      <w:r w:rsidR="00946923" w:rsidRPr="001406BF">
        <w:rPr>
          <w:rFonts w:asciiTheme="minorHAnsi" w:hAnsiTheme="minorHAnsi" w:cs="Times New Roman"/>
        </w:rPr>
        <w:t xml:space="preserve"> FRAX® </w:t>
      </w:r>
      <w:r w:rsidRPr="001406BF">
        <w:rPr>
          <w:rFonts w:asciiTheme="minorHAnsi" w:hAnsiTheme="minorHAnsi" w:cs="Times New Roman"/>
        </w:rPr>
        <w:t xml:space="preserve">which was </w:t>
      </w:r>
      <w:r w:rsidR="00946923" w:rsidRPr="001406BF">
        <w:rPr>
          <w:rFonts w:asciiTheme="minorHAnsi" w:hAnsiTheme="minorHAnsi" w:cs="Times New Roman"/>
        </w:rPr>
        <w:t>developed by the former WHO Collaborating Centre at the University of Sheffield.</w:t>
      </w:r>
      <w:r w:rsidRPr="001406BF">
        <w:rPr>
          <w:rFonts w:asciiTheme="minorHAnsi" w:hAnsiTheme="minorHAnsi" w:cs="Times New Roman"/>
        </w:rPr>
        <w:t xml:space="preserve"> The FRAX tool integrates </w:t>
      </w:r>
      <w:r w:rsidR="001406BF" w:rsidRPr="001406BF">
        <w:rPr>
          <w:rFonts w:asciiTheme="minorHAnsi" w:hAnsiTheme="minorHAnsi" w:cs="Times New Roman"/>
        </w:rPr>
        <w:t>t</w:t>
      </w:r>
      <w:r w:rsidRPr="001406BF">
        <w:rPr>
          <w:rFonts w:asciiTheme="minorHAnsi" w:hAnsiTheme="minorHAnsi" w:cs="Times New Roman"/>
        </w:rPr>
        <w:t>he risk</w:t>
      </w:r>
      <w:r w:rsidR="001406BF" w:rsidRPr="001406BF">
        <w:rPr>
          <w:rFonts w:asciiTheme="minorHAnsi" w:hAnsiTheme="minorHAnsi" w:cs="Times New Roman"/>
        </w:rPr>
        <w:t>s</w:t>
      </w:r>
      <w:r w:rsidRPr="001406BF">
        <w:rPr>
          <w:rFonts w:asciiTheme="minorHAnsi" w:hAnsiTheme="minorHAnsi" w:cs="Times New Roman"/>
        </w:rPr>
        <w:t xml:space="preserve"> of </w:t>
      </w:r>
      <w:r w:rsidR="001406BF" w:rsidRPr="001406BF">
        <w:rPr>
          <w:rFonts w:asciiTheme="minorHAnsi" w:hAnsiTheme="minorHAnsi" w:cs="Times New Roman"/>
        </w:rPr>
        <w:t xml:space="preserve">fracture together with the risk of </w:t>
      </w:r>
      <w:r w:rsidRPr="001406BF">
        <w:rPr>
          <w:rFonts w:asciiTheme="minorHAnsi" w:hAnsiTheme="minorHAnsi" w:cs="Times New Roman"/>
        </w:rPr>
        <w:t>death</w:t>
      </w:r>
      <w:r w:rsidR="001406BF" w:rsidRPr="001406BF">
        <w:rPr>
          <w:rFonts w:asciiTheme="minorHAnsi" w:hAnsiTheme="minorHAnsi" w:cs="Times New Roman"/>
        </w:rPr>
        <w:t xml:space="preserve"> to provide the ten-year probability of hip fracture and major osteoporotic fracture (clinical spine, distal forearm, proximal humerus and hi</w:t>
      </w:r>
      <w:r w:rsidR="001406BF">
        <w:rPr>
          <w:rFonts w:asciiTheme="minorHAnsi" w:hAnsiTheme="minorHAnsi" w:cs="Times New Roman"/>
        </w:rPr>
        <w:t>p</w:t>
      </w:r>
      <w:r w:rsidR="001406BF" w:rsidRPr="001406BF">
        <w:rPr>
          <w:rFonts w:asciiTheme="minorHAnsi" w:hAnsiTheme="minorHAnsi" w:cs="Times New Roman"/>
        </w:rPr>
        <w:t xml:space="preserve"> fracture) [</w:t>
      </w:r>
      <w:r w:rsidR="004F7A6B">
        <w:rPr>
          <w:rFonts w:asciiTheme="minorHAnsi" w:hAnsiTheme="minorHAnsi" w:cs="Times New Roman"/>
        </w:rPr>
        <w:t>8, 9</w:t>
      </w:r>
      <w:r w:rsidR="001406BF" w:rsidRPr="001406BF">
        <w:rPr>
          <w:rFonts w:asciiTheme="minorHAnsi" w:hAnsiTheme="minorHAnsi" w:cs="Times New Roman"/>
        </w:rPr>
        <w:t>]</w:t>
      </w:r>
      <w:r w:rsidR="001406BF">
        <w:rPr>
          <w:rFonts w:asciiTheme="minorHAnsi" w:hAnsiTheme="minorHAnsi" w:cs="Times New Roman"/>
        </w:rPr>
        <w:t>.</w:t>
      </w:r>
    </w:p>
    <w:p w14:paraId="19DA1327" w14:textId="5D0509A1" w:rsidR="003A0264" w:rsidRDefault="001406BF" w:rsidP="00380099">
      <w:pPr>
        <w:spacing w:after="120" w:line="360" w:lineRule="auto"/>
        <w:jc w:val="left"/>
        <w:rPr>
          <w:rFonts w:asciiTheme="minorHAnsi" w:hAnsiTheme="minorHAnsi" w:cs="Times New Roman"/>
          <w:lang w:val="en-GB"/>
        </w:rPr>
      </w:pPr>
      <w:r w:rsidRPr="001406BF">
        <w:rPr>
          <w:rFonts w:asciiTheme="minorHAnsi" w:hAnsiTheme="minorHAnsi" w:cs="Times New Roman"/>
          <w:lang w:val="en-GB"/>
        </w:rPr>
        <w:t>T</w:t>
      </w:r>
      <w:r w:rsidR="00946923" w:rsidRPr="001406BF">
        <w:rPr>
          <w:rFonts w:asciiTheme="minorHAnsi" w:hAnsiTheme="minorHAnsi" w:cs="Times New Roman"/>
          <w:lang w:val="en-GB"/>
        </w:rPr>
        <w:t xml:space="preserve">he </w:t>
      </w:r>
      <w:r w:rsidR="00AF33B0" w:rsidRPr="00AF33B0">
        <w:rPr>
          <w:rFonts w:asciiTheme="minorHAnsi" w:hAnsiTheme="minorHAnsi" w:cs="Times New Roman"/>
          <w:lang w:val="en-GB"/>
        </w:rPr>
        <w:t xml:space="preserve">10-year </w:t>
      </w:r>
      <w:r w:rsidR="00946923" w:rsidRPr="001406BF">
        <w:rPr>
          <w:rFonts w:asciiTheme="minorHAnsi" w:hAnsiTheme="minorHAnsi" w:cs="Times New Roman"/>
          <w:lang w:val="en-GB"/>
        </w:rPr>
        <w:t xml:space="preserve">probabilities of fracture </w:t>
      </w:r>
      <w:r w:rsidR="00946923" w:rsidRPr="002371A7">
        <w:rPr>
          <w:rFonts w:asciiTheme="minorHAnsi" w:hAnsiTheme="minorHAnsi" w:cs="Times New Roman"/>
          <w:lang w:val="en-GB"/>
        </w:rPr>
        <w:fldChar w:fldCharType="begin"/>
      </w:r>
      <w:r w:rsidR="00946923" w:rsidRPr="00D230D9">
        <w:rPr>
          <w:rFonts w:asciiTheme="minorHAnsi" w:hAnsiTheme="minorHAnsi" w:cs="Times New Roman"/>
          <w:lang w:val="en-GB"/>
        </w:rPr>
        <w:instrText xml:space="preserve"> ADDIN EN.CITE &lt;EndNote&gt;&lt;Cite&gt;&lt;Author&gt;Kanis&lt;/Author&gt;&lt;Year&gt;2002&lt;/Year&gt;&lt;RecNum&gt;5053&lt;/RecNum&gt;&lt;DisplayText&gt;[17]&lt;/DisplayText&gt;&lt;record&gt;&lt;rec-number&gt;5053&lt;/rec-number&gt;&lt;foreign-keys&gt;&lt;key app="EN" db-id="xxvespv5fd5p0hepe51pt9r89wt0e2eezx25" timestamp="1322089795"&gt;5053&lt;/key&gt;&lt;/foreign-keys&gt;&lt;ref-type name="Journal Article"&gt;17&lt;/ref-type&gt;&lt;contributors&gt;&lt;authors&gt;&lt;author&gt;Kanis, J. A.&lt;/author&gt;&lt;author&gt;Johnell, O.&lt;/author&gt;&lt;author&gt;De Laet, C.&lt;/author&gt;&lt;author&gt;Jonsson, B.&lt;/author&gt;&lt;author&gt;Oden, A.&lt;/author&gt;&lt;author&gt;Ogelsby, A. K.&lt;/author&gt;&lt;/authors&gt;&lt;/contributors&gt;&lt;auth-address&gt;WHO Collaborating Center for Metabolic Bone Diseases, University of Sheffield Medical School, United Kingdom.&lt;/auth-address&gt;&lt;titles&gt;&lt;title&gt;International variations in hip fracture probabilities: implications for risk assessment&lt;/title&gt;&lt;secondary-title&gt;J Bone Miner Res&lt;/secondary-title&gt;&lt;/titles&gt;&lt;periodical&gt;&lt;full-title&gt;J Bone Miner Res&lt;/full-title&gt;&lt;/periodical&gt;&lt;pages&gt;1237-44&lt;/pages&gt;&lt;volume&gt;17&lt;/volume&gt;&lt;number&gt;7&lt;/number&gt;&lt;keywords&gt;&lt;keyword&gt;Aged&lt;/keyword&gt;&lt;keyword&gt;Aged, 80 and over&lt;/keyword&gt;&lt;keyword&gt;Female&lt;/keyword&gt;&lt;keyword&gt;Hip Fractures/*epidemiology/mortality&lt;/keyword&gt;&lt;keyword&gt;Humans&lt;/keyword&gt;&lt;keyword&gt;Incidence&lt;/keyword&gt;&lt;keyword&gt;Life Expectancy&lt;/keyword&gt;&lt;keyword&gt;Male&lt;/keyword&gt;&lt;keyword&gt;Middle Aged&lt;/keyword&gt;&lt;keyword&gt;Probability&lt;/keyword&gt;&lt;keyword&gt;Research Support, Non-U.S. Gov&amp;apos;t&lt;/keyword&gt;&lt;keyword&gt;Risk Assessment&lt;/keyword&gt;&lt;keyword&gt;*World Health&lt;/keyword&gt;&lt;/keywords&gt;&lt;dates&gt;&lt;year&gt;2002&lt;/year&gt;&lt;pub-dates&gt;&lt;date&gt;Jul&lt;/date&gt;&lt;/pub-dates&gt;&lt;/dates&gt;&lt;accession-num&gt;12096837&lt;/accession-num&gt;&lt;urls&gt;&lt;related-urls&gt;&lt;url&gt;http://www.ncbi.nlm.nih.gov/entrez/query.fcgi?cmd=Retrieve&amp;amp;db=PubMed&amp;amp;dopt=Citation&amp;amp;list_uids=12096837&lt;/url&gt;&lt;/related-urls&gt;&lt;/urls&gt;&lt;/record&gt;&lt;/Cite&gt;&lt;/EndNote&gt;</w:instrText>
      </w:r>
      <w:r w:rsidR="00946923" w:rsidRPr="002371A7">
        <w:rPr>
          <w:rFonts w:asciiTheme="minorHAnsi" w:hAnsiTheme="minorHAnsi" w:cs="Times New Roman"/>
          <w:lang w:val="en-GB"/>
        </w:rPr>
        <w:fldChar w:fldCharType="separate"/>
      </w:r>
      <w:r w:rsidR="00946923" w:rsidRPr="002371A7">
        <w:rPr>
          <w:rFonts w:asciiTheme="minorHAnsi" w:hAnsiTheme="minorHAnsi" w:cs="Times New Roman"/>
          <w:lang w:val="en-GB"/>
        </w:rPr>
        <w:t>[</w:t>
      </w:r>
      <w:r w:rsidR="004F7A6B" w:rsidRPr="00EB6C42">
        <w:rPr>
          <w:rFonts w:asciiTheme="minorHAnsi" w:hAnsiTheme="minorHAnsi" w:cs="Times New Roman"/>
          <w:lang w:val="en-GB"/>
        </w:rPr>
        <w:t>10</w:t>
      </w:r>
      <w:r w:rsidR="00946923" w:rsidRPr="00D230D9">
        <w:rPr>
          <w:rFonts w:asciiTheme="minorHAnsi" w:hAnsiTheme="minorHAnsi" w:cs="Times New Roman"/>
          <w:lang w:val="en-GB"/>
        </w:rPr>
        <w:t>]</w:t>
      </w:r>
      <w:r w:rsidR="00946923" w:rsidRPr="002371A7">
        <w:rPr>
          <w:rFonts w:asciiTheme="minorHAnsi" w:hAnsiTheme="minorHAnsi" w:cs="Times New Roman"/>
        </w:rPr>
        <w:fldChar w:fldCharType="end"/>
      </w:r>
      <w:r w:rsidR="00946923" w:rsidRPr="001406BF">
        <w:rPr>
          <w:rFonts w:asciiTheme="minorHAnsi" w:hAnsiTheme="minorHAnsi" w:cs="Times New Roman"/>
          <w:lang w:val="en-GB"/>
        </w:rPr>
        <w:t xml:space="preserve"> and death vary markedly </w:t>
      </w:r>
      <w:r w:rsidRPr="001406BF">
        <w:rPr>
          <w:rFonts w:asciiTheme="minorHAnsi" w:hAnsiTheme="minorHAnsi" w:cs="Times New Roman"/>
          <w:lang w:val="en-GB"/>
        </w:rPr>
        <w:t xml:space="preserve">in different regions of the world, </w:t>
      </w:r>
      <w:r w:rsidR="00946923" w:rsidRPr="001406BF">
        <w:rPr>
          <w:rFonts w:asciiTheme="minorHAnsi" w:hAnsiTheme="minorHAnsi" w:cs="Times New Roman"/>
          <w:lang w:val="en-GB"/>
        </w:rPr>
        <w:t>so that the FRAX models are calibrated to the known epidemiology of fracture and death.  This assumes that the relative importance of the risk factors and their interactions are the same as in the original material.  At present, 63 country models are available, and the tool currently provides coverage for over 80% of the global population</w:t>
      </w:r>
      <w:r>
        <w:rPr>
          <w:rFonts w:asciiTheme="minorHAnsi" w:hAnsiTheme="minorHAnsi" w:cs="Times New Roman"/>
          <w:lang w:val="en-GB"/>
        </w:rPr>
        <w:t xml:space="preserve"> </w:t>
      </w:r>
      <w:r w:rsidR="00946923" w:rsidRPr="001406BF">
        <w:rPr>
          <w:rFonts w:asciiTheme="minorHAnsi" w:hAnsiTheme="minorHAnsi" w:cs="Times New Roman"/>
          <w:lang w:val="en-GB"/>
        </w:rPr>
        <w:fldChar w:fldCharType="begin"/>
      </w:r>
      <w:r w:rsidR="00946923" w:rsidRPr="001406BF">
        <w:rPr>
          <w:rFonts w:asciiTheme="minorHAnsi" w:hAnsiTheme="minorHAnsi" w:cs="Times New Roman"/>
          <w:lang w:val="en-GB"/>
        </w:rPr>
        <w:instrText xml:space="preserve"> ADDIN EN.CITE &lt;EndNote&gt;&lt;Cite&gt;&lt;Author&gt;Oden&lt;/Author&gt;&lt;Year&gt;2015&lt;/Year&gt;&lt;RecNum&gt;36930&lt;/RecNum&gt;&lt;DisplayText&gt;[18]&lt;/DisplayText&gt;&lt;record&gt;&lt;rec-number&gt;36930&lt;/rec-number&gt;&lt;foreign-keys&gt;&lt;key app="EN" db-id="xxvespv5fd5p0hepe51pt9r89wt0e2eezx25" timestamp="1476110975"&gt;36930&lt;/key&gt;&lt;/foreign-keys&gt;&lt;ref-type name="Journal Article"&gt;17&lt;/ref-type&gt;&lt;contributors&gt;&lt;authors&gt;&lt;author&gt;Oden, A.&lt;/author&gt;&lt;author&gt;McCloskey, E. V.&lt;/author&gt;&lt;author&gt;Kanis, J. A.&lt;/author&gt;&lt;author&gt;Harvey, N. C.&lt;/author&gt;&lt;author&gt;Johansson, H.&lt;/author&gt;&lt;/authors&gt;&lt;/contributors&gt;&lt;auth-address&gt;Centre for Metabolic Bone Diseases, University of Sheffield Medical School, Beech Hill Road, Sheffield, S10 2RX, UK.&lt;/auth-address&gt;&lt;titles&gt;&lt;title&gt;Burden of high fracture probability worldwide: secular increases 2010-2040&lt;/title&gt;&lt;secondary-title&gt;Osteoporos Int&lt;/secondary-title&gt;&lt;/titles&gt;&lt;periodical&gt;&lt;full-title&gt;Osteoporos Int&lt;/full-title&gt;&lt;/periodical&gt;&lt;pages&gt;2243-8&lt;/pages&gt;&lt;volume&gt;26&lt;/volume&gt;&lt;number&gt;9&lt;/number&gt;&lt;keywords&gt;&lt;keyword&gt;Age Distribution&lt;/keyword&gt;&lt;keyword&gt;Aged&lt;/keyword&gt;&lt;keyword&gt;Aged, 80 and over&lt;/keyword&gt;&lt;keyword&gt;Cost of Illness&lt;/keyword&gt;&lt;keyword&gt;Female&lt;/keyword&gt;&lt;keyword&gt;Global Health/statistics &amp;amp; numerical data/*trends&lt;/keyword&gt;&lt;keyword&gt;Humans&lt;/keyword&gt;&lt;keyword&gt;Male&lt;/keyword&gt;&lt;keyword&gt;Middle Aged&lt;/keyword&gt;&lt;keyword&gt;Osteoporotic Fractures/*epidemiology&lt;/keyword&gt;&lt;keyword&gt;Risk Assessment/methods&lt;/keyword&gt;&lt;keyword&gt;Sex Distribution&lt;/keyword&gt;&lt;/keywords&gt;&lt;dates&gt;&lt;year&gt;2015&lt;/year&gt;&lt;pub-dates&gt;&lt;date&gt;Sep&lt;/date&gt;&lt;/pub-dates&gt;&lt;/dates&gt;&lt;isbn&gt;1433-2965 (Electronic)&amp;#xD;0937-941X (Linking)&lt;/isbn&gt;&lt;accession-num&gt;26018089&lt;/accession-num&gt;&lt;urls&gt;&lt;related-urls&gt;&lt;url&gt;https://www.ncbi.nlm.nih.gov/pubmed/26018089&lt;/url&gt;&lt;/related-urls&gt;&lt;/urls&gt;&lt;electronic-resource-num&gt;10.1007/s00198-015-3154-6&lt;/electronic-resource-num&gt;&lt;/record&gt;&lt;/Cite&gt;&lt;/EndNote&gt;</w:instrText>
      </w:r>
      <w:r w:rsidR="00946923" w:rsidRPr="001406BF">
        <w:rPr>
          <w:rFonts w:asciiTheme="minorHAnsi" w:hAnsiTheme="minorHAnsi" w:cs="Times New Roman"/>
          <w:lang w:val="en-GB"/>
        </w:rPr>
        <w:fldChar w:fldCharType="separate"/>
      </w:r>
      <w:r w:rsidR="00946923" w:rsidRPr="001406BF">
        <w:rPr>
          <w:rFonts w:asciiTheme="minorHAnsi" w:hAnsiTheme="minorHAnsi" w:cs="Times New Roman"/>
          <w:lang w:val="en-GB"/>
        </w:rPr>
        <w:t>[</w:t>
      </w:r>
      <w:r w:rsidR="004F7A6B">
        <w:rPr>
          <w:rFonts w:asciiTheme="minorHAnsi" w:hAnsiTheme="minorHAnsi" w:cs="Times New Roman"/>
          <w:lang w:val="en-GB"/>
        </w:rPr>
        <w:t>11</w:t>
      </w:r>
      <w:r w:rsidR="001B2311">
        <w:rPr>
          <w:rFonts w:asciiTheme="minorHAnsi" w:hAnsiTheme="minorHAnsi" w:cs="Times New Roman"/>
          <w:lang w:val="en-GB"/>
        </w:rPr>
        <w:t>]</w:t>
      </w:r>
      <w:r w:rsidR="00946923" w:rsidRPr="001406BF">
        <w:rPr>
          <w:rFonts w:asciiTheme="minorHAnsi" w:hAnsiTheme="minorHAnsi" w:cs="Times New Roman"/>
        </w:rPr>
        <w:fldChar w:fldCharType="end"/>
      </w:r>
      <w:r>
        <w:rPr>
          <w:rFonts w:asciiTheme="minorHAnsi" w:hAnsiTheme="minorHAnsi" w:cs="Times New Roman"/>
        </w:rPr>
        <w:t>.</w:t>
      </w:r>
      <w:r w:rsidR="00946923" w:rsidRPr="001406BF">
        <w:rPr>
          <w:rFonts w:asciiTheme="minorHAnsi" w:hAnsiTheme="minorHAnsi" w:cs="Times New Roman"/>
          <w:lang w:val="en-GB"/>
        </w:rPr>
        <w:t xml:space="preserve"> </w:t>
      </w:r>
    </w:p>
    <w:p w14:paraId="354DD39B" w14:textId="1BCEDBD7" w:rsidR="004C2612" w:rsidRDefault="00AF33B0" w:rsidP="00380099">
      <w:pPr>
        <w:spacing w:after="120" w:line="360" w:lineRule="auto"/>
        <w:jc w:val="left"/>
        <w:rPr>
          <w:rFonts w:asciiTheme="minorHAnsi" w:hAnsiTheme="minorHAnsi" w:cs="Times New Roman"/>
          <w:b/>
        </w:rPr>
      </w:pPr>
      <w:r>
        <w:rPr>
          <w:rFonts w:asciiTheme="minorHAnsi" w:hAnsiTheme="minorHAnsi" w:cs="Times New Roman"/>
          <w:lang w:val="en-GB"/>
        </w:rPr>
        <w:t>Historically, treatment has been targeted to patients with a prior fragility fracture, a WHO-defined T-score or both.</w:t>
      </w:r>
      <w:r w:rsidRPr="000E1F24">
        <w:rPr>
          <w:rFonts w:asciiTheme="minorHAnsi" w:hAnsiTheme="minorHAnsi" w:cs="Times New Roman"/>
        </w:rPr>
        <w:t xml:space="preserve">  Since its release, FRAX has been incorporated into more than 100 guidelines wor</w:t>
      </w:r>
      <w:r>
        <w:rPr>
          <w:rFonts w:asciiTheme="minorHAnsi" w:hAnsiTheme="minorHAnsi" w:cs="Times New Roman"/>
        </w:rPr>
        <w:t>l</w:t>
      </w:r>
      <w:r w:rsidRPr="000E1F24">
        <w:rPr>
          <w:rFonts w:asciiTheme="minorHAnsi" w:hAnsiTheme="minorHAnsi" w:cs="Times New Roman"/>
        </w:rPr>
        <w:t xml:space="preserve">dwide [12]. </w:t>
      </w:r>
      <w:r w:rsidRPr="00CD5D3C">
        <w:rPr>
          <w:rFonts w:asciiTheme="minorHAnsi" w:hAnsiTheme="minorHAnsi" w:cs="Times New Roman"/>
          <w:lang w:val="en-GB"/>
        </w:rPr>
        <w:t xml:space="preserve">The setting of universal intervention thresholds is problematic from </w:t>
      </w:r>
      <w:r w:rsidRPr="00CD5D3C">
        <w:rPr>
          <w:rFonts w:asciiTheme="minorHAnsi" w:hAnsiTheme="minorHAnsi" w:cs="Times New Roman"/>
          <w:lang w:val="en-GB"/>
        </w:rPr>
        <w:lastRenderedPageBreak/>
        <w:t>an international perspective since the risk of fracture, the cost</w:t>
      </w:r>
      <w:r>
        <w:rPr>
          <w:rFonts w:asciiTheme="minorHAnsi" w:hAnsiTheme="minorHAnsi" w:cs="Times New Roman"/>
          <w:lang w:val="en-GB"/>
        </w:rPr>
        <w:t>s</w:t>
      </w:r>
      <w:r w:rsidRPr="00CD5D3C">
        <w:rPr>
          <w:rFonts w:asciiTheme="minorHAnsi" w:hAnsiTheme="minorHAnsi" w:cs="Times New Roman"/>
          <w:lang w:val="en-GB"/>
        </w:rPr>
        <w:t xml:space="preserve"> of fracture</w:t>
      </w:r>
      <w:r>
        <w:rPr>
          <w:rFonts w:asciiTheme="minorHAnsi" w:hAnsiTheme="minorHAnsi" w:cs="Times New Roman"/>
          <w:lang w:val="en-GB"/>
        </w:rPr>
        <w:t xml:space="preserve"> and </w:t>
      </w:r>
      <w:r w:rsidRPr="00CD5D3C">
        <w:rPr>
          <w:rFonts w:asciiTheme="minorHAnsi" w:hAnsiTheme="minorHAnsi" w:cs="Times New Roman"/>
          <w:lang w:val="en-GB"/>
        </w:rPr>
        <w:t xml:space="preserve">treatment, reimbursement </w:t>
      </w:r>
      <w:r>
        <w:rPr>
          <w:rFonts w:asciiTheme="minorHAnsi" w:hAnsiTheme="minorHAnsi" w:cs="Times New Roman"/>
          <w:lang w:val="en-GB"/>
        </w:rPr>
        <w:t xml:space="preserve">policy </w:t>
      </w:r>
      <w:r w:rsidRPr="00CD5D3C">
        <w:rPr>
          <w:rFonts w:asciiTheme="minorHAnsi" w:hAnsiTheme="minorHAnsi" w:cs="Times New Roman"/>
          <w:lang w:val="en-GB"/>
        </w:rPr>
        <w:t>and willingness to pay, var</w:t>
      </w:r>
      <w:r w:rsidR="00401352">
        <w:rPr>
          <w:rFonts w:asciiTheme="minorHAnsi" w:hAnsiTheme="minorHAnsi" w:cs="Times New Roman"/>
          <w:lang w:val="en-GB"/>
        </w:rPr>
        <w:t>y</w:t>
      </w:r>
      <w:r w:rsidRPr="00CD5D3C">
        <w:rPr>
          <w:rFonts w:asciiTheme="minorHAnsi" w:hAnsiTheme="minorHAnsi" w:cs="Times New Roman"/>
          <w:lang w:val="en-GB"/>
        </w:rPr>
        <w:t xml:space="preserve"> in different countries. </w:t>
      </w:r>
      <w:r>
        <w:rPr>
          <w:rFonts w:asciiTheme="minorHAnsi" w:hAnsiTheme="minorHAnsi" w:cs="Times New Roman"/>
          <w:lang w:val="en-GB"/>
        </w:rPr>
        <w:t xml:space="preserve">In Kuwait, assessment guidelines are predominantly based on BMD and the presence of osteoporosis.  A FRAX model for Kuwait, </w:t>
      </w:r>
      <w:r w:rsidRPr="00341889">
        <w:rPr>
          <w:rFonts w:asciiTheme="minorHAnsi" w:hAnsiTheme="minorHAnsi" w:cs="Times New Roman"/>
          <w:lang w:val="en-GB"/>
        </w:rPr>
        <w:t>calibrated to the total Kuwaiti population</w:t>
      </w:r>
      <w:r>
        <w:rPr>
          <w:rFonts w:asciiTheme="minorHAnsi" w:hAnsiTheme="minorHAnsi" w:cs="Times New Roman"/>
          <w:lang w:val="en-GB"/>
        </w:rPr>
        <w:t xml:space="preserve">, </w:t>
      </w:r>
      <w:r w:rsidRPr="00341889">
        <w:rPr>
          <w:rFonts w:asciiTheme="minorHAnsi" w:hAnsiTheme="minorHAnsi" w:cs="Times New Roman"/>
          <w:lang w:val="en-GB"/>
        </w:rPr>
        <w:t>was released in March, 2016</w:t>
      </w:r>
      <w:r w:rsidR="001B2311">
        <w:rPr>
          <w:rFonts w:asciiTheme="minorHAnsi" w:hAnsiTheme="minorHAnsi" w:cs="Times New Roman"/>
          <w:lang w:val="en-GB"/>
        </w:rPr>
        <w:t xml:space="preserve"> </w:t>
      </w:r>
      <w:r w:rsidRPr="00341889">
        <w:rPr>
          <w:rFonts w:asciiTheme="minorHAnsi" w:hAnsiTheme="minorHAnsi" w:cs="Times New Roman"/>
          <w:lang w:val="en-GB"/>
        </w:rPr>
        <w:t>[</w:t>
      </w:r>
      <w:r>
        <w:rPr>
          <w:rFonts w:asciiTheme="minorHAnsi" w:hAnsiTheme="minorHAnsi" w:cs="Times New Roman"/>
          <w:lang w:val="en-GB"/>
        </w:rPr>
        <w:t>13</w:t>
      </w:r>
      <w:r w:rsidRPr="00341889">
        <w:rPr>
          <w:rFonts w:asciiTheme="minorHAnsi" w:hAnsiTheme="minorHAnsi" w:cs="Times New Roman"/>
          <w:lang w:val="en-GB"/>
        </w:rPr>
        <w:t>]</w:t>
      </w:r>
      <w:r>
        <w:rPr>
          <w:rFonts w:asciiTheme="minorHAnsi" w:hAnsiTheme="minorHAnsi" w:cs="Times New Roman"/>
          <w:lang w:val="en-GB"/>
        </w:rPr>
        <w:t>. T</w:t>
      </w:r>
      <w:r w:rsidRPr="00CD5D3C">
        <w:rPr>
          <w:rFonts w:asciiTheme="minorHAnsi" w:hAnsiTheme="minorHAnsi" w:cs="Times New Roman"/>
          <w:lang w:val="en-GB"/>
        </w:rPr>
        <w:t>he</w:t>
      </w:r>
      <w:r w:rsidRPr="009B1AE5">
        <w:rPr>
          <w:rFonts w:asciiTheme="minorHAnsi" w:hAnsiTheme="minorHAnsi" w:cs="Times New Roman"/>
        </w:rPr>
        <w:t xml:space="preserve"> aim of the present analysis was to explore FRAX-based intervention thresholds that might be used to identify men</w:t>
      </w:r>
      <w:r w:rsidR="00AF6DB3">
        <w:rPr>
          <w:rFonts w:asciiTheme="minorHAnsi" w:hAnsiTheme="minorHAnsi" w:cs="Times New Roman"/>
        </w:rPr>
        <w:t xml:space="preserve"> </w:t>
      </w:r>
      <w:r w:rsidR="00AF6DB3">
        <w:rPr>
          <w:rFonts w:asciiTheme="minorHAnsi" w:hAnsiTheme="minorHAnsi" w:cs="Times New Roman"/>
          <w:color w:val="FF0000"/>
        </w:rPr>
        <w:t>age 50 years or more</w:t>
      </w:r>
      <w:r w:rsidRPr="009B1AE5">
        <w:rPr>
          <w:rFonts w:asciiTheme="minorHAnsi" w:hAnsiTheme="minorHAnsi" w:cs="Times New Roman"/>
        </w:rPr>
        <w:t xml:space="preserve"> and </w:t>
      </w:r>
      <w:r w:rsidR="00AF6DB3" w:rsidRPr="00AF6DB3">
        <w:rPr>
          <w:rFonts w:asciiTheme="minorHAnsi" w:hAnsiTheme="minorHAnsi" w:cs="Times New Roman"/>
          <w:color w:val="FF0000"/>
        </w:rPr>
        <w:t>postmenopausal</w:t>
      </w:r>
      <w:r w:rsidR="00AF6DB3">
        <w:rPr>
          <w:rFonts w:asciiTheme="minorHAnsi" w:hAnsiTheme="minorHAnsi" w:cs="Times New Roman"/>
        </w:rPr>
        <w:t xml:space="preserve"> </w:t>
      </w:r>
      <w:r w:rsidRPr="009B1AE5">
        <w:rPr>
          <w:rFonts w:asciiTheme="minorHAnsi" w:hAnsiTheme="minorHAnsi" w:cs="Times New Roman"/>
        </w:rPr>
        <w:t>women from Kuwait at high fracture risk</w:t>
      </w:r>
      <w:r>
        <w:rPr>
          <w:rFonts w:asciiTheme="minorHAnsi" w:hAnsiTheme="minorHAnsi" w:cs="Times New Roman"/>
        </w:rPr>
        <w:t xml:space="preserve"> and to compare this strategy with the selection of individuals based on BMD.</w:t>
      </w:r>
    </w:p>
    <w:p w14:paraId="78587BC2" w14:textId="14E877EF" w:rsidR="00E64296" w:rsidRDefault="00E64296" w:rsidP="00380099">
      <w:pPr>
        <w:spacing w:after="120" w:line="360" w:lineRule="auto"/>
        <w:jc w:val="left"/>
        <w:rPr>
          <w:rFonts w:asciiTheme="minorHAnsi" w:hAnsiTheme="minorHAnsi" w:cs="Times New Roman"/>
          <w:b/>
        </w:rPr>
      </w:pPr>
      <w:r w:rsidRPr="00E64296">
        <w:rPr>
          <w:rFonts w:asciiTheme="minorHAnsi" w:hAnsiTheme="minorHAnsi" w:cs="Times New Roman"/>
          <w:b/>
        </w:rPr>
        <w:t>Methods</w:t>
      </w:r>
    </w:p>
    <w:p w14:paraId="09F3925F" w14:textId="6DDBCFD2" w:rsidR="00E64296" w:rsidRDefault="00E64296" w:rsidP="00380099">
      <w:pPr>
        <w:spacing w:after="120" w:line="360" w:lineRule="auto"/>
        <w:jc w:val="left"/>
        <w:rPr>
          <w:rFonts w:asciiTheme="minorHAnsi" w:hAnsiTheme="minorHAnsi" w:cs="Times New Roman"/>
          <w:i/>
        </w:rPr>
      </w:pPr>
      <w:r w:rsidRPr="00E64296">
        <w:rPr>
          <w:rFonts w:asciiTheme="minorHAnsi" w:hAnsiTheme="minorHAnsi" w:cs="Times New Roman"/>
          <w:i/>
        </w:rPr>
        <w:t>Guidelines in Kuwait</w:t>
      </w:r>
    </w:p>
    <w:p w14:paraId="40340F24" w14:textId="74D47488" w:rsidR="00E64296" w:rsidRPr="00E64296" w:rsidRDefault="00AF33B0" w:rsidP="00E64296">
      <w:pPr>
        <w:spacing w:after="120" w:line="360" w:lineRule="auto"/>
        <w:jc w:val="left"/>
        <w:rPr>
          <w:rFonts w:asciiTheme="minorHAnsi" w:hAnsiTheme="minorHAnsi" w:cs="Times New Roman"/>
        </w:rPr>
      </w:pPr>
      <w:r>
        <w:rPr>
          <w:rFonts w:asciiTheme="minorHAnsi" w:hAnsiTheme="minorHAnsi" w:cs="Times New Roman"/>
        </w:rPr>
        <w:t xml:space="preserve">The </w:t>
      </w:r>
      <w:r w:rsidR="00E64296" w:rsidRPr="00E64296">
        <w:rPr>
          <w:rFonts w:asciiTheme="minorHAnsi" w:hAnsiTheme="minorHAnsi" w:cs="Times New Roman"/>
        </w:rPr>
        <w:t>Kuwait Osteoporosis Society, adopted BMD-based criteria as intervention thresholds</w:t>
      </w:r>
      <w:r w:rsidR="00E64296">
        <w:rPr>
          <w:rFonts w:asciiTheme="minorHAnsi" w:hAnsiTheme="minorHAnsi" w:cs="Times New Roman"/>
        </w:rPr>
        <w:t xml:space="preserve"> in 2014 [</w:t>
      </w:r>
      <w:r w:rsidR="004F7A6B">
        <w:rPr>
          <w:rFonts w:asciiTheme="minorHAnsi" w:hAnsiTheme="minorHAnsi" w:cs="Times New Roman"/>
        </w:rPr>
        <w:t>14</w:t>
      </w:r>
      <w:r w:rsidR="00E64296">
        <w:rPr>
          <w:rFonts w:asciiTheme="minorHAnsi" w:hAnsiTheme="minorHAnsi" w:cs="Times New Roman"/>
        </w:rPr>
        <w:t>]</w:t>
      </w:r>
      <w:r w:rsidR="00E64296" w:rsidRPr="00E64296">
        <w:rPr>
          <w:rFonts w:asciiTheme="minorHAnsi" w:hAnsiTheme="minorHAnsi" w:cs="Times New Roman"/>
        </w:rPr>
        <w:t xml:space="preserve">. The strategy </w:t>
      </w:r>
      <w:r w:rsidR="00EF39E7">
        <w:rPr>
          <w:rFonts w:asciiTheme="minorHAnsi" w:hAnsiTheme="minorHAnsi" w:cs="Times New Roman"/>
        </w:rPr>
        <w:t>was</w:t>
      </w:r>
      <w:r w:rsidR="00E64296" w:rsidRPr="00E64296">
        <w:rPr>
          <w:rFonts w:asciiTheme="minorHAnsi" w:hAnsiTheme="minorHAnsi" w:cs="Times New Roman"/>
        </w:rPr>
        <w:t xml:space="preserve"> based on case-finding where men and women with one or more major risk factor (including fragility fracture after age 40 years, parental hip fracture, systemic glucocorticoid therapy, malabsorption, primary hyperparathyroidism, hypogonadism and osteopenia apparent on X-ray) or two or more minor risk factors are referred for densitometry. The currently </w:t>
      </w:r>
      <w:r w:rsidR="009477FD">
        <w:rPr>
          <w:rFonts w:asciiTheme="minorHAnsi" w:hAnsiTheme="minorHAnsi" w:cs="Times New Roman"/>
        </w:rPr>
        <w:t>published</w:t>
      </w:r>
      <w:r w:rsidR="00E64296" w:rsidRPr="00E64296">
        <w:rPr>
          <w:rFonts w:asciiTheme="minorHAnsi" w:hAnsiTheme="minorHAnsi" w:cs="Times New Roman"/>
        </w:rPr>
        <w:t xml:space="preserve"> criterion for treatment of osteoporosis in Kuwait is a BMD T-score </w:t>
      </w:r>
      <w:r w:rsidR="00E64296" w:rsidRPr="00E64296">
        <w:rPr>
          <w:rFonts w:asciiTheme="minorHAnsi" w:eastAsia="AdvTT3713a231+22" w:hAnsiTheme="minorHAnsi" w:cs="Times New Roman"/>
        </w:rPr>
        <w:t>≤−</w:t>
      </w:r>
      <w:r w:rsidR="00E64296" w:rsidRPr="00E64296">
        <w:rPr>
          <w:rFonts w:asciiTheme="minorHAnsi" w:hAnsiTheme="minorHAnsi" w:cs="Times New Roman"/>
        </w:rPr>
        <w:t>2.5 SD, though provision is made for treatment in patients with osteopenia using fixed FRAX probability thresholds of 20% for a major fracture and 3% for hip fracture. The guideline takes some elements from the guidelines of the National Osteoporosis Foundation in the US and those of the Scottish Intercollegiate Network in Scotland [</w:t>
      </w:r>
      <w:r w:rsidR="004F7A6B">
        <w:rPr>
          <w:rFonts w:asciiTheme="minorHAnsi" w:hAnsiTheme="minorHAnsi" w:cs="Times New Roman"/>
        </w:rPr>
        <w:t>15, 16</w:t>
      </w:r>
      <w:r w:rsidR="00E64296" w:rsidRPr="00E64296">
        <w:rPr>
          <w:rFonts w:asciiTheme="minorHAnsi" w:hAnsiTheme="minorHAnsi" w:cs="Times New Roman"/>
        </w:rPr>
        <w:t>].</w:t>
      </w:r>
    </w:p>
    <w:p w14:paraId="24C096BD" w14:textId="5D77282E" w:rsidR="00E64296" w:rsidRPr="00E64296" w:rsidRDefault="00E64296" w:rsidP="00380099">
      <w:pPr>
        <w:spacing w:after="120" w:line="360" w:lineRule="auto"/>
        <w:jc w:val="left"/>
        <w:rPr>
          <w:rFonts w:asciiTheme="minorHAnsi" w:hAnsiTheme="minorHAnsi" w:cs="Times New Roman"/>
          <w:i/>
          <w:lang w:val="en-GB"/>
        </w:rPr>
      </w:pPr>
      <w:r w:rsidRPr="00E64296">
        <w:rPr>
          <w:rFonts w:asciiTheme="minorHAnsi" w:hAnsiTheme="minorHAnsi" w:cs="Times New Roman"/>
          <w:i/>
          <w:lang w:val="en-GB"/>
        </w:rPr>
        <w:t xml:space="preserve">FRAX based intervention threshold </w:t>
      </w:r>
    </w:p>
    <w:p w14:paraId="3F490FE9" w14:textId="5272CB3A" w:rsidR="00E64296" w:rsidRDefault="00341889" w:rsidP="00380099">
      <w:pPr>
        <w:spacing w:after="120" w:line="360" w:lineRule="auto"/>
        <w:jc w:val="left"/>
        <w:rPr>
          <w:rFonts w:asciiTheme="minorHAnsi" w:hAnsiTheme="minorHAnsi"/>
          <w:lang w:val="en-GB"/>
        </w:rPr>
      </w:pPr>
      <w:r w:rsidRPr="00341889">
        <w:rPr>
          <w:rFonts w:asciiTheme="minorHAnsi" w:hAnsiTheme="minorHAnsi"/>
          <w:lang w:val="en-GB"/>
        </w:rPr>
        <w:t xml:space="preserve">The UK guidance for the identification of individuals at high fracture risk, </w:t>
      </w:r>
      <w:r w:rsidR="00CA3425">
        <w:rPr>
          <w:rFonts w:asciiTheme="minorHAnsi" w:hAnsiTheme="minorHAnsi"/>
          <w:lang w:val="en-GB"/>
        </w:rPr>
        <w:t xml:space="preserve">first </w:t>
      </w:r>
      <w:r w:rsidRPr="00341889">
        <w:rPr>
          <w:rFonts w:asciiTheme="minorHAnsi" w:hAnsiTheme="minorHAnsi"/>
          <w:lang w:val="en-GB"/>
        </w:rPr>
        <w:t>developed by the National Osteoporosis Guideline Group (NOGG), recommends that postmenopausal women with a prior fragility fracture may be considered for intervention without the necessity for a BMD test</w:t>
      </w:r>
      <w:r w:rsidR="004C2612">
        <w:rPr>
          <w:rFonts w:asciiTheme="minorHAnsi" w:hAnsiTheme="minorHAnsi"/>
          <w:lang w:val="en-GB"/>
        </w:rPr>
        <w:t xml:space="preserve"> [</w:t>
      </w:r>
      <w:r w:rsidR="006B520D">
        <w:rPr>
          <w:rFonts w:asciiTheme="minorHAnsi" w:hAnsiTheme="minorHAnsi"/>
          <w:lang w:val="en-GB"/>
        </w:rPr>
        <w:t>17, 18</w:t>
      </w:r>
      <w:r w:rsidR="004C2612">
        <w:rPr>
          <w:rFonts w:asciiTheme="minorHAnsi" w:hAnsiTheme="minorHAnsi"/>
          <w:lang w:val="en-GB"/>
        </w:rPr>
        <w:t>]</w:t>
      </w:r>
      <w:r w:rsidRPr="00341889">
        <w:rPr>
          <w:rFonts w:asciiTheme="minorHAnsi" w:hAnsiTheme="minorHAnsi"/>
          <w:lang w:val="en-GB"/>
        </w:rPr>
        <w:t xml:space="preserve">.  In </w:t>
      </w:r>
      <w:r w:rsidR="00AF6DB3">
        <w:rPr>
          <w:rFonts w:asciiTheme="minorHAnsi" w:hAnsiTheme="minorHAnsi"/>
          <w:color w:val="FF0000"/>
          <w:lang w:val="en-GB"/>
        </w:rPr>
        <w:t xml:space="preserve">postmenopausal </w:t>
      </w:r>
      <w:r w:rsidRPr="00341889">
        <w:rPr>
          <w:rFonts w:asciiTheme="minorHAnsi" w:hAnsiTheme="minorHAnsi"/>
          <w:lang w:val="en-GB"/>
        </w:rPr>
        <w:t xml:space="preserve">women without a fragility fracture but a FRAX risk factor, the intervention threshold set by NOGG is at the age-specific fracture probability equivalent to women with a prior fragility fracture. </w:t>
      </w:r>
      <w:r w:rsidR="0041378B">
        <w:rPr>
          <w:rFonts w:asciiTheme="minorHAnsi" w:hAnsiTheme="minorHAnsi"/>
          <w:lang w:val="en-GB"/>
        </w:rPr>
        <w:t xml:space="preserve">In this context, fragility fracture is defined as </w:t>
      </w:r>
      <w:r w:rsidR="0041378B" w:rsidRPr="0041378B">
        <w:rPr>
          <w:rFonts w:asciiTheme="minorHAnsi" w:hAnsiTheme="minorHAnsi"/>
          <w:lang w:val="en-GB"/>
        </w:rPr>
        <w:t>a previous fracture in adult life occurring spontaneously, or a fracture arising from trauma which, in a healthy individual, would not have resulted in a fracture</w:t>
      </w:r>
      <w:r w:rsidR="00CE229D">
        <w:rPr>
          <w:rFonts w:asciiTheme="minorHAnsi" w:hAnsiTheme="minorHAnsi"/>
          <w:lang w:val="en-GB"/>
        </w:rPr>
        <w:t xml:space="preserve"> </w:t>
      </w:r>
      <w:r w:rsidR="0041378B">
        <w:rPr>
          <w:rFonts w:asciiTheme="minorHAnsi" w:hAnsiTheme="minorHAnsi"/>
          <w:lang w:val="en-GB"/>
        </w:rPr>
        <w:lastRenderedPageBreak/>
        <w:t>(</w:t>
      </w:r>
      <w:hyperlink r:id="rId10" w:history="1">
        <w:r w:rsidR="0041378B" w:rsidRPr="00FC1C2D">
          <w:rPr>
            <w:rStyle w:val="Hyperlink"/>
            <w:rFonts w:asciiTheme="minorHAnsi" w:hAnsiTheme="minorHAnsi" w:cs="AdvTT50a2f13e.I"/>
            <w:lang w:val="en-GB"/>
          </w:rPr>
          <w:t>http://www.shef.ac.uk/FRAX/</w:t>
        </w:r>
      </w:hyperlink>
      <w:r w:rsidR="0041378B">
        <w:rPr>
          <w:rFonts w:asciiTheme="minorHAnsi" w:hAnsiTheme="minorHAnsi"/>
          <w:lang w:val="en-GB"/>
        </w:rPr>
        <w:t xml:space="preserve">). </w:t>
      </w:r>
      <w:r w:rsidR="00987976" w:rsidRPr="00987976">
        <w:rPr>
          <w:rFonts w:asciiTheme="minorHAnsi" w:hAnsiTheme="minorHAnsi"/>
          <w:lang w:val="en-GB"/>
        </w:rPr>
        <w:t xml:space="preserve">For example, using the NOGG guidance, a woman </w:t>
      </w:r>
      <w:r w:rsidR="00AF6DB3">
        <w:rPr>
          <w:rFonts w:asciiTheme="minorHAnsi" w:hAnsiTheme="minorHAnsi"/>
          <w:lang w:val="en-GB"/>
        </w:rPr>
        <w:t xml:space="preserve">at </w:t>
      </w:r>
      <w:r w:rsidR="00987976" w:rsidRPr="00987976">
        <w:rPr>
          <w:rFonts w:asciiTheme="minorHAnsi" w:hAnsiTheme="minorHAnsi"/>
          <w:lang w:val="en-GB"/>
        </w:rPr>
        <w:t>age 65 years (BMI 24kg/m</w:t>
      </w:r>
      <w:r w:rsidR="00987976" w:rsidRPr="00D230D9">
        <w:rPr>
          <w:rFonts w:asciiTheme="minorHAnsi" w:hAnsiTheme="minorHAnsi"/>
          <w:vertAlign w:val="superscript"/>
          <w:lang w:val="en-GB"/>
        </w:rPr>
        <w:t>2</w:t>
      </w:r>
      <w:r w:rsidR="00987976" w:rsidRPr="00987976">
        <w:rPr>
          <w:rFonts w:asciiTheme="minorHAnsi" w:hAnsiTheme="minorHAnsi"/>
          <w:lang w:val="en-GB"/>
        </w:rPr>
        <w:t>) with a prior fragility fracture has a 10-year probability of a major osteoporotic fracture of 17% and this forms the intervention threshold for that age.  A woman of the same age with no prior fracture but on glucocorticoids for rheumatoid arthritis has a fracture probability of 19%.  Thus, the latter would be eligible for treatment despite the absence of a prior fracture.</w:t>
      </w:r>
      <w:r w:rsidR="00987976">
        <w:rPr>
          <w:rFonts w:asciiTheme="minorHAnsi" w:hAnsiTheme="minorHAnsi"/>
          <w:lang w:val="en-GB"/>
        </w:rPr>
        <w:t xml:space="preserve"> </w:t>
      </w:r>
      <w:r w:rsidRPr="00341889">
        <w:rPr>
          <w:rFonts w:asciiTheme="minorHAnsi" w:hAnsiTheme="minorHAnsi"/>
          <w:lang w:val="en-GB"/>
        </w:rPr>
        <w:t>The same intervention threshold</w:t>
      </w:r>
      <w:r w:rsidR="00987976">
        <w:rPr>
          <w:rFonts w:asciiTheme="minorHAnsi" w:hAnsiTheme="minorHAnsi"/>
          <w:lang w:val="en-GB"/>
        </w:rPr>
        <w:t xml:space="preserve"> (17%)</w:t>
      </w:r>
      <w:r w:rsidRPr="00341889">
        <w:rPr>
          <w:rFonts w:asciiTheme="minorHAnsi" w:hAnsiTheme="minorHAnsi"/>
          <w:lang w:val="en-GB"/>
        </w:rPr>
        <w:t xml:space="preserve"> is applied to men</w:t>
      </w:r>
      <w:r w:rsidR="00987976">
        <w:rPr>
          <w:rFonts w:asciiTheme="minorHAnsi" w:hAnsiTheme="minorHAnsi"/>
          <w:lang w:val="en-GB"/>
        </w:rPr>
        <w:t xml:space="preserve"> of the same age</w:t>
      </w:r>
      <w:r w:rsidRPr="00341889">
        <w:rPr>
          <w:rFonts w:asciiTheme="minorHAnsi" w:hAnsiTheme="minorHAnsi"/>
          <w:lang w:val="en-GB"/>
        </w:rPr>
        <w:t>, since the effectiveness and cost-effectiveness of intervention in men is broadly similar to that in women for equivalent risk.</w:t>
      </w:r>
      <w:r w:rsidRPr="00341889">
        <w:rPr>
          <w:rFonts w:asciiTheme="minorHAnsi" w:hAnsiTheme="minorHAnsi"/>
          <w:vertAlign w:val="superscript"/>
          <w:lang w:val="en-GB"/>
        </w:rPr>
        <w:t xml:space="preserve"> </w:t>
      </w:r>
      <w:r>
        <w:rPr>
          <w:rFonts w:asciiTheme="minorHAnsi" w:hAnsiTheme="minorHAnsi"/>
          <w:lang w:val="en-GB"/>
        </w:rPr>
        <w:t>This approach was used to compare with the Kuwaiti guidance.</w:t>
      </w:r>
    </w:p>
    <w:p w14:paraId="1581BA2A" w14:textId="748E2505" w:rsidR="00F616F9" w:rsidRPr="00F616F9" w:rsidRDefault="00F616F9" w:rsidP="00380099">
      <w:pPr>
        <w:spacing w:after="120" w:line="360" w:lineRule="auto"/>
        <w:jc w:val="left"/>
        <w:rPr>
          <w:rFonts w:asciiTheme="minorHAnsi" w:hAnsiTheme="minorHAnsi"/>
          <w:i/>
          <w:lang w:val="en-GB"/>
        </w:rPr>
      </w:pPr>
      <w:r w:rsidRPr="00F616F9">
        <w:rPr>
          <w:rFonts w:asciiTheme="minorHAnsi" w:hAnsiTheme="minorHAnsi"/>
          <w:i/>
          <w:lang w:val="en-GB"/>
        </w:rPr>
        <w:t>Comparison</w:t>
      </w:r>
    </w:p>
    <w:p w14:paraId="16FD3E5F" w14:textId="6234A040" w:rsidR="00341889" w:rsidRDefault="00F616F9" w:rsidP="00380099">
      <w:pPr>
        <w:spacing w:after="120" w:line="360" w:lineRule="auto"/>
        <w:jc w:val="left"/>
        <w:rPr>
          <w:rFonts w:asciiTheme="minorHAnsi" w:hAnsiTheme="minorHAnsi"/>
        </w:rPr>
      </w:pPr>
      <w:r>
        <w:rPr>
          <w:rFonts w:asciiTheme="minorHAnsi" w:hAnsiTheme="minorHAnsi"/>
        </w:rPr>
        <w:t>Using the FRAX model for Kuwait we computed the 10-year probability of a major osteoporotic fracture</w:t>
      </w:r>
      <w:r w:rsidR="00CA3425">
        <w:rPr>
          <w:rFonts w:asciiTheme="minorHAnsi" w:hAnsiTheme="minorHAnsi"/>
        </w:rPr>
        <w:t xml:space="preserve"> and a hip fracture</w:t>
      </w:r>
      <w:r>
        <w:rPr>
          <w:rFonts w:asciiTheme="minorHAnsi" w:hAnsiTheme="minorHAnsi"/>
        </w:rPr>
        <w:t xml:space="preserve"> in men and women with a BMD T-score of -2.5 SD</w:t>
      </w:r>
      <w:r w:rsidR="00A30EC3">
        <w:rPr>
          <w:rFonts w:asciiTheme="minorHAnsi" w:hAnsiTheme="minorHAnsi"/>
        </w:rPr>
        <w:t xml:space="preserve"> at 5 year intervals from the age of 50 years. </w:t>
      </w:r>
      <w:r w:rsidR="00CA3425">
        <w:rPr>
          <w:rFonts w:asciiTheme="minorHAnsi" w:hAnsiTheme="minorHAnsi"/>
        </w:rPr>
        <w:t xml:space="preserve">We similarly </w:t>
      </w:r>
      <w:r w:rsidR="00CA3425" w:rsidRPr="00CA3425">
        <w:rPr>
          <w:rFonts w:asciiTheme="minorHAnsi" w:hAnsiTheme="minorHAnsi"/>
        </w:rPr>
        <w:t>computed the 10-year probability of a major osteoporotic fracture and a hip fracture with a BMD T-score of -</w:t>
      </w:r>
      <w:r w:rsidR="00CA3425">
        <w:rPr>
          <w:rFonts w:asciiTheme="minorHAnsi" w:hAnsiTheme="minorHAnsi"/>
        </w:rPr>
        <w:t>1</w:t>
      </w:r>
      <w:r w:rsidR="00CA3425" w:rsidRPr="00CA3425">
        <w:rPr>
          <w:rFonts w:asciiTheme="minorHAnsi" w:hAnsiTheme="minorHAnsi"/>
        </w:rPr>
        <w:t>.5 SD</w:t>
      </w:r>
      <w:r w:rsidR="00CA3425">
        <w:rPr>
          <w:rFonts w:asciiTheme="minorHAnsi" w:hAnsiTheme="minorHAnsi"/>
        </w:rPr>
        <w:t xml:space="preserve">.  The T-score of -1.5 SD was chosen to represent the mid-range of osteopenia. </w:t>
      </w:r>
      <w:r>
        <w:rPr>
          <w:rFonts w:asciiTheme="minorHAnsi" w:hAnsiTheme="minorHAnsi"/>
        </w:rPr>
        <w:t xml:space="preserve">  For comparison, fracture </w:t>
      </w:r>
      <w:r w:rsidR="00A30EC3">
        <w:rPr>
          <w:rFonts w:asciiTheme="minorHAnsi" w:hAnsiTheme="minorHAnsi"/>
        </w:rPr>
        <w:t>probabilities</w:t>
      </w:r>
      <w:r>
        <w:rPr>
          <w:rFonts w:asciiTheme="minorHAnsi" w:hAnsiTheme="minorHAnsi"/>
        </w:rPr>
        <w:t xml:space="preserve"> </w:t>
      </w:r>
      <w:r w:rsidR="00A30EC3">
        <w:rPr>
          <w:rFonts w:asciiTheme="minorHAnsi" w:hAnsiTheme="minorHAnsi"/>
        </w:rPr>
        <w:t xml:space="preserve">were computed </w:t>
      </w:r>
      <w:r w:rsidR="00A30EC3" w:rsidRPr="00A30EC3">
        <w:rPr>
          <w:rFonts w:asciiTheme="minorHAnsi" w:hAnsiTheme="minorHAnsi"/>
        </w:rPr>
        <w:t>(without the inclusion of BMD)</w:t>
      </w:r>
      <w:r w:rsidR="00A30EC3">
        <w:rPr>
          <w:rFonts w:asciiTheme="minorHAnsi" w:hAnsiTheme="minorHAnsi"/>
        </w:rPr>
        <w:t xml:space="preserve"> in women by age who had sustained a prior fragility fracture.  </w:t>
      </w:r>
      <w:r w:rsidR="00CA3425">
        <w:rPr>
          <w:rFonts w:asciiTheme="minorHAnsi" w:hAnsiTheme="minorHAnsi"/>
        </w:rPr>
        <w:t xml:space="preserve">Fracture probabilities by age were compared to age-specific probabilities in men and women with no clinical risk factors </w:t>
      </w:r>
      <w:r w:rsidR="00060A0E">
        <w:rPr>
          <w:rFonts w:asciiTheme="minorHAnsi" w:hAnsiTheme="minorHAnsi"/>
        </w:rPr>
        <w:t>(</w:t>
      </w:r>
      <w:r w:rsidR="00060A0E" w:rsidRPr="00060A0E">
        <w:rPr>
          <w:rFonts w:asciiTheme="minorHAnsi" w:hAnsiTheme="minorHAnsi"/>
        </w:rPr>
        <w:t>without the inclusion of BMD)</w:t>
      </w:r>
      <w:r w:rsidR="00060A0E">
        <w:rPr>
          <w:rFonts w:asciiTheme="minorHAnsi" w:hAnsiTheme="minorHAnsi"/>
        </w:rPr>
        <w:t xml:space="preserve">. </w:t>
      </w:r>
      <w:r w:rsidR="00060A0E" w:rsidRPr="00060A0E">
        <w:rPr>
          <w:rFonts w:asciiTheme="minorHAnsi" w:hAnsiTheme="minorHAnsi"/>
        </w:rPr>
        <w:t xml:space="preserve"> </w:t>
      </w:r>
      <w:r w:rsidR="00A30EC3">
        <w:rPr>
          <w:rFonts w:asciiTheme="minorHAnsi" w:hAnsiTheme="minorHAnsi"/>
        </w:rPr>
        <w:t>B</w:t>
      </w:r>
      <w:r>
        <w:rPr>
          <w:rFonts w:asciiTheme="minorHAnsi" w:hAnsiTheme="minorHAnsi"/>
        </w:rPr>
        <w:t xml:space="preserve">ody mass index was set at </w:t>
      </w:r>
      <w:r w:rsidR="00E062CE">
        <w:rPr>
          <w:rFonts w:asciiTheme="minorHAnsi" w:hAnsiTheme="minorHAnsi"/>
        </w:rPr>
        <w:t>30</w:t>
      </w:r>
      <w:r>
        <w:rPr>
          <w:rFonts w:asciiTheme="minorHAnsi" w:hAnsiTheme="minorHAnsi"/>
        </w:rPr>
        <w:t>kg/m</w:t>
      </w:r>
      <w:r w:rsidRPr="00F616F9">
        <w:rPr>
          <w:rFonts w:asciiTheme="minorHAnsi" w:hAnsiTheme="minorHAnsi"/>
          <w:vertAlign w:val="superscript"/>
        </w:rPr>
        <w:t>2</w:t>
      </w:r>
      <w:r w:rsidR="00A30EC3">
        <w:rPr>
          <w:rFonts w:asciiTheme="minorHAnsi" w:hAnsiTheme="minorHAnsi"/>
        </w:rPr>
        <w:t xml:space="preserve"> </w:t>
      </w:r>
      <w:r w:rsidR="00C56CB0">
        <w:rPr>
          <w:rFonts w:asciiTheme="minorHAnsi" w:hAnsiTheme="minorHAnsi"/>
        </w:rPr>
        <w:t>(the average value Kuwaiti women</w:t>
      </w:r>
      <w:r w:rsidR="00A34600">
        <w:rPr>
          <w:rFonts w:asciiTheme="minorHAnsi" w:hAnsiTheme="minorHAnsi"/>
        </w:rPr>
        <w:t xml:space="preserve"> [</w:t>
      </w:r>
      <w:r w:rsidR="004A2DCE">
        <w:rPr>
          <w:rFonts w:asciiTheme="minorHAnsi" w:hAnsiTheme="minorHAnsi"/>
        </w:rPr>
        <w:t>19</w:t>
      </w:r>
      <w:r w:rsidR="00A34600">
        <w:rPr>
          <w:rFonts w:asciiTheme="minorHAnsi" w:hAnsiTheme="minorHAnsi"/>
        </w:rPr>
        <w:t>]</w:t>
      </w:r>
      <w:r w:rsidR="00C56CB0">
        <w:rPr>
          <w:rFonts w:asciiTheme="minorHAnsi" w:hAnsiTheme="minorHAnsi"/>
        </w:rPr>
        <w:t xml:space="preserve">) </w:t>
      </w:r>
      <w:r w:rsidR="00A30EC3">
        <w:rPr>
          <w:rFonts w:asciiTheme="minorHAnsi" w:hAnsiTheme="minorHAnsi"/>
        </w:rPr>
        <w:t xml:space="preserve">for </w:t>
      </w:r>
      <w:r w:rsidR="00060A0E">
        <w:rPr>
          <w:rFonts w:asciiTheme="minorHAnsi" w:hAnsiTheme="minorHAnsi"/>
        </w:rPr>
        <w:t>all</w:t>
      </w:r>
      <w:r w:rsidR="00A30EC3">
        <w:rPr>
          <w:rFonts w:asciiTheme="minorHAnsi" w:hAnsiTheme="minorHAnsi"/>
        </w:rPr>
        <w:t xml:space="preserve"> scenarios and individuals were assumed to have no other FRAX risk variables.</w:t>
      </w:r>
    </w:p>
    <w:p w14:paraId="4DE4C081" w14:textId="7C65DAC1" w:rsidR="00A30EC3" w:rsidRPr="00A30EC3" w:rsidRDefault="00AF33B0" w:rsidP="00A30EC3">
      <w:pPr>
        <w:spacing w:after="120" w:line="360" w:lineRule="auto"/>
        <w:jc w:val="left"/>
        <w:rPr>
          <w:rFonts w:asciiTheme="minorHAnsi" w:hAnsiTheme="minorHAnsi"/>
        </w:rPr>
      </w:pPr>
      <w:r>
        <w:rPr>
          <w:rFonts w:asciiTheme="minorHAnsi" w:hAnsiTheme="minorHAnsi"/>
        </w:rPr>
        <w:t>In line with NOGG, we explored the setting of assessment thresholds for BMD.</w:t>
      </w:r>
      <w:r w:rsidRPr="00A30EC3">
        <w:rPr>
          <w:rFonts w:ascii="Times New Roman" w:eastAsia="MS Mincho" w:hAnsi="Times New Roman" w:cs="Times New Roman"/>
          <w:lang w:eastAsia="ja-JP"/>
        </w:rPr>
        <w:t xml:space="preserve"> </w:t>
      </w:r>
      <w:r w:rsidRPr="00A30EC3">
        <w:rPr>
          <w:rFonts w:asciiTheme="minorHAnsi" w:hAnsiTheme="minorHAnsi"/>
        </w:rPr>
        <w:t>The inclusion of BMD in the calculation of probability improves the accuracy of the assessment</w:t>
      </w:r>
      <w:r>
        <w:rPr>
          <w:rFonts w:asciiTheme="minorHAnsi" w:hAnsiTheme="minorHAnsi"/>
        </w:rPr>
        <w:t xml:space="preserve"> [</w:t>
      </w:r>
      <w:r w:rsidR="004A2DCE">
        <w:rPr>
          <w:rFonts w:asciiTheme="minorHAnsi" w:hAnsiTheme="minorHAnsi"/>
        </w:rPr>
        <w:t>20</w:t>
      </w:r>
      <w:r>
        <w:rPr>
          <w:rFonts w:asciiTheme="minorHAnsi" w:hAnsiTheme="minorHAnsi"/>
        </w:rPr>
        <w:t>]</w:t>
      </w:r>
      <w:r w:rsidRPr="00A30EC3">
        <w:rPr>
          <w:rFonts w:asciiTheme="minorHAnsi" w:hAnsiTheme="minorHAnsi"/>
        </w:rPr>
        <w:t xml:space="preserve"> but </w:t>
      </w:r>
      <w:r>
        <w:rPr>
          <w:rFonts w:asciiTheme="minorHAnsi" w:hAnsiTheme="minorHAnsi"/>
        </w:rPr>
        <w:t>its added value</w:t>
      </w:r>
      <w:r w:rsidRPr="00A30EC3">
        <w:rPr>
          <w:rFonts w:asciiTheme="minorHAnsi" w:hAnsiTheme="minorHAnsi"/>
        </w:rPr>
        <w:t xml:space="preserve"> is greatest </w:t>
      </w:r>
      <w:r>
        <w:rPr>
          <w:rFonts w:asciiTheme="minorHAnsi" w:hAnsiTheme="minorHAnsi"/>
        </w:rPr>
        <w:t>where</w:t>
      </w:r>
      <w:r w:rsidRPr="00A30EC3">
        <w:rPr>
          <w:rFonts w:asciiTheme="minorHAnsi" w:hAnsiTheme="minorHAnsi"/>
        </w:rPr>
        <w:t xml:space="preserve"> fracture probabilities lie close to an intervention </w:t>
      </w:r>
      <w:r w:rsidRPr="00A30EC3">
        <w:rPr>
          <w:rFonts w:asciiTheme="minorHAnsi" w:hAnsiTheme="minorHAnsi"/>
          <w:lang w:val="en-GB"/>
        </w:rPr>
        <w:t>threshold</w:t>
      </w:r>
      <w:r>
        <w:rPr>
          <w:rFonts w:asciiTheme="minorHAnsi" w:hAnsiTheme="minorHAnsi"/>
          <w:lang w:val="en-GB"/>
        </w:rPr>
        <w:t xml:space="preserve"> [</w:t>
      </w:r>
      <w:r>
        <w:rPr>
          <w:rFonts w:asciiTheme="minorHAnsi" w:hAnsiTheme="minorHAnsi"/>
        </w:rPr>
        <w:t>21</w:t>
      </w:r>
      <w:r w:rsidR="004A2DCE">
        <w:rPr>
          <w:rFonts w:asciiTheme="minorHAnsi" w:hAnsiTheme="minorHAnsi"/>
        </w:rPr>
        <w:t>-23</w:t>
      </w:r>
      <w:r>
        <w:rPr>
          <w:rFonts w:asciiTheme="minorHAnsi" w:hAnsiTheme="minorHAnsi"/>
          <w:lang w:val="en-GB"/>
        </w:rPr>
        <w:t xml:space="preserve">]. </w:t>
      </w:r>
      <w:r w:rsidR="00A30EC3" w:rsidRPr="00A30EC3">
        <w:rPr>
          <w:rFonts w:asciiTheme="minorHAnsi" w:hAnsiTheme="minorHAnsi"/>
        </w:rPr>
        <w:t xml:space="preserve">In other words, testing is confined to those in whom there is a reasonable likelihood that individuals at high (or low) risk would be reclassified at low (or high) risk </w:t>
      </w:r>
      <w:r w:rsidR="00916A7A" w:rsidRPr="00A30EC3">
        <w:rPr>
          <w:rFonts w:asciiTheme="minorHAnsi" w:hAnsiTheme="minorHAnsi"/>
        </w:rPr>
        <w:t>based on</w:t>
      </w:r>
      <w:r w:rsidR="00A30EC3" w:rsidRPr="00A30EC3">
        <w:rPr>
          <w:rFonts w:asciiTheme="minorHAnsi" w:hAnsiTheme="minorHAnsi"/>
        </w:rPr>
        <w:t xml:space="preserve"> the BMD test.  On this basis, we calculated two assessment thresholds which were applied to the </w:t>
      </w:r>
      <w:r w:rsidR="00A55BFD">
        <w:rPr>
          <w:rFonts w:asciiTheme="minorHAnsi" w:hAnsiTheme="minorHAnsi"/>
        </w:rPr>
        <w:t>FRAX-based</w:t>
      </w:r>
      <w:r w:rsidR="00A30EC3" w:rsidRPr="00A30EC3">
        <w:rPr>
          <w:rFonts w:asciiTheme="minorHAnsi" w:hAnsiTheme="minorHAnsi"/>
        </w:rPr>
        <w:t xml:space="preserve"> threshold</w:t>
      </w:r>
      <w:r w:rsidR="00A55BFD">
        <w:rPr>
          <w:rFonts w:asciiTheme="minorHAnsi" w:hAnsiTheme="minorHAnsi"/>
        </w:rPr>
        <w:t>s</w:t>
      </w:r>
      <w:r w:rsidR="00A30EC3" w:rsidRPr="00A30EC3">
        <w:rPr>
          <w:rFonts w:asciiTheme="minorHAnsi" w:hAnsiTheme="minorHAnsi"/>
        </w:rPr>
        <w:t xml:space="preserve"> described above:</w:t>
      </w:r>
    </w:p>
    <w:p w14:paraId="5BB9F4D8" w14:textId="77777777" w:rsidR="00A30EC3" w:rsidRPr="00A30EC3" w:rsidRDefault="00A30EC3" w:rsidP="00A55BFD">
      <w:pPr>
        <w:spacing w:after="120" w:line="360" w:lineRule="auto"/>
        <w:ind w:left="567"/>
        <w:jc w:val="left"/>
        <w:rPr>
          <w:rFonts w:asciiTheme="minorHAnsi" w:hAnsiTheme="minorHAnsi"/>
        </w:rPr>
      </w:pPr>
      <w:r w:rsidRPr="00A30EC3">
        <w:rPr>
          <w:rFonts w:asciiTheme="minorHAnsi" w:hAnsiTheme="minorHAnsi"/>
        </w:rPr>
        <w:lastRenderedPageBreak/>
        <w:t xml:space="preserve">The threshold probability below which neither treatment nor a BMD test should be considered (lower assessment threshold). </w:t>
      </w:r>
    </w:p>
    <w:p w14:paraId="07F2F676" w14:textId="77777777" w:rsidR="00A30EC3" w:rsidRPr="00A30EC3" w:rsidRDefault="00A30EC3" w:rsidP="00A55BFD">
      <w:pPr>
        <w:spacing w:after="120" w:line="360" w:lineRule="auto"/>
        <w:ind w:left="567"/>
        <w:jc w:val="left"/>
        <w:rPr>
          <w:rFonts w:asciiTheme="minorHAnsi" w:hAnsiTheme="minorHAnsi"/>
        </w:rPr>
      </w:pPr>
      <w:r w:rsidRPr="00A30EC3">
        <w:rPr>
          <w:rFonts w:asciiTheme="minorHAnsi" w:hAnsiTheme="minorHAnsi"/>
        </w:rPr>
        <w:t>The threshold probability above which treatment may be recommended without the need for BMD (upper assessment threshold).</w:t>
      </w:r>
    </w:p>
    <w:p w14:paraId="0EE5C73D" w14:textId="7DF5420E" w:rsidR="00A30EC3" w:rsidRPr="00A30EC3" w:rsidRDefault="00A30EC3" w:rsidP="00A30EC3">
      <w:pPr>
        <w:spacing w:after="120" w:line="360" w:lineRule="auto"/>
        <w:jc w:val="left"/>
        <w:rPr>
          <w:rFonts w:asciiTheme="minorHAnsi" w:hAnsiTheme="minorHAnsi"/>
        </w:rPr>
      </w:pPr>
      <w:r w:rsidRPr="00A30EC3">
        <w:rPr>
          <w:rFonts w:asciiTheme="minorHAnsi" w:hAnsiTheme="minorHAnsi"/>
        </w:rPr>
        <w:t xml:space="preserve">The lower assessment threshold was based on the 10-year probability </w:t>
      </w:r>
      <w:r w:rsidR="00AF33B0">
        <w:rPr>
          <w:rFonts w:asciiTheme="minorHAnsi" w:hAnsiTheme="minorHAnsi"/>
        </w:rPr>
        <w:t xml:space="preserve">(without BMD) </w:t>
      </w:r>
      <w:r w:rsidRPr="00A30EC3">
        <w:rPr>
          <w:rFonts w:asciiTheme="minorHAnsi" w:hAnsiTheme="minorHAnsi"/>
        </w:rPr>
        <w:t xml:space="preserve">of a major osteoporosis fracture equivalent to women without clinical risk factors (and a body mass index of </w:t>
      </w:r>
      <w:r w:rsidR="00E062CE">
        <w:rPr>
          <w:rFonts w:asciiTheme="minorHAnsi" w:hAnsiTheme="minorHAnsi"/>
        </w:rPr>
        <w:t>30</w:t>
      </w:r>
      <w:r w:rsidRPr="00A30EC3">
        <w:rPr>
          <w:rFonts w:asciiTheme="minorHAnsi" w:hAnsiTheme="minorHAnsi"/>
        </w:rPr>
        <w:t xml:space="preserve"> kg/m</w:t>
      </w:r>
      <w:r w:rsidRPr="00A30EC3">
        <w:rPr>
          <w:rFonts w:asciiTheme="minorHAnsi" w:hAnsiTheme="minorHAnsi"/>
          <w:vertAlign w:val="superscript"/>
        </w:rPr>
        <w:t>2</w:t>
      </w:r>
      <w:r w:rsidRPr="00A30EC3">
        <w:rPr>
          <w:rFonts w:asciiTheme="minorHAnsi" w:hAnsiTheme="minorHAnsi"/>
        </w:rPr>
        <w:t>). This is consistent with a view in most practice guidelines that individuals without clinical risk factors should not be considered eligible for assessment [</w:t>
      </w:r>
      <w:r w:rsidR="004A2DCE">
        <w:rPr>
          <w:rFonts w:asciiTheme="minorHAnsi" w:hAnsiTheme="minorHAnsi"/>
        </w:rPr>
        <w:t>12</w:t>
      </w:r>
      <w:r w:rsidRPr="00A30EC3">
        <w:rPr>
          <w:rFonts w:asciiTheme="minorHAnsi" w:hAnsiTheme="minorHAnsi"/>
        </w:rPr>
        <w:t>].</w:t>
      </w:r>
    </w:p>
    <w:p w14:paraId="201935BF" w14:textId="65526785" w:rsidR="00A30EC3" w:rsidRPr="007A52F7" w:rsidRDefault="00A30EC3" w:rsidP="00A30EC3">
      <w:pPr>
        <w:spacing w:after="120" w:line="360" w:lineRule="auto"/>
        <w:jc w:val="left"/>
        <w:rPr>
          <w:rFonts w:asciiTheme="minorHAnsi" w:hAnsiTheme="minorHAnsi"/>
          <w:color w:val="FF0000"/>
        </w:rPr>
      </w:pPr>
      <w:r w:rsidRPr="00A30EC3">
        <w:rPr>
          <w:rFonts w:asciiTheme="minorHAnsi" w:hAnsiTheme="minorHAnsi"/>
        </w:rPr>
        <w:t xml:space="preserve">The upper assessment threshold was set to optimize the </w:t>
      </w:r>
      <w:r w:rsidR="00377F8F">
        <w:rPr>
          <w:rFonts w:asciiTheme="minorHAnsi" w:hAnsiTheme="minorHAnsi"/>
        </w:rPr>
        <w:t>requirement for</w:t>
      </w:r>
      <w:r w:rsidRPr="00A30EC3">
        <w:rPr>
          <w:rFonts w:asciiTheme="minorHAnsi" w:hAnsiTheme="minorHAnsi"/>
        </w:rPr>
        <w:t xml:space="preserve"> BMD testing </w:t>
      </w:r>
      <w:r w:rsidR="00377F8F">
        <w:rPr>
          <w:rFonts w:asciiTheme="minorHAnsi" w:hAnsiTheme="minorHAnsi"/>
        </w:rPr>
        <w:t>[</w:t>
      </w:r>
      <w:r w:rsidR="003F0E6C">
        <w:rPr>
          <w:rFonts w:asciiTheme="minorHAnsi" w:hAnsiTheme="minorHAnsi"/>
        </w:rPr>
        <w:t>17</w:t>
      </w:r>
      <w:r w:rsidR="00377F8F">
        <w:rPr>
          <w:rFonts w:asciiTheme="minorHAnsi" w:hAnsiTheme="minorHAnsi"/>
        </w:rPr>
        <w:t>]</w:t>
      </w:r>
      <w:r w:rsidRPr="00A30EC3">
        <w:rPr>
          <w:rFonts w:asciiTheme="minorHAnsi" w:hAnsiTheme="minorHAnsi"/>
        </w:rPr>
        <w:t xml:space="preserve">.  As noted above, the risk of changing category from high risk to low risk or vice versa when adding BMD to the estimation of fracture probability is highest close to the </w:t>
      </w:r>
      <w:r w:rsidRPr="003F0E6C">
        <w:rPr>
          <w:rFonts w:asciiTheme="minorHAnsi" w:hAnsiTheme="minorHAnsi"/>
        </w:rPr>
        <w:t>threshold. When</w:t>
      </w:r>
      <w:r w:rsidRPr="00A30EC3">
        <w:rPr>
          <w:rFonts w:asciiTheme="minorHAnsi" w:hAnsiTheme="minorHAnsi"/>
        </w:rPr>
        <w:t xml:space="preserve"> patients have a fracture probability that is 20% or more than the intervention threshold, almost no individuals are reclassified when probabilities are recomputed with the addition of BMD to FRAX </w:t>
      </w:r>
      <w:r w:rsidR="00C17790">
        <w:rPr>
          <w:rFonts w:asciiTheme="minorHAnsi" w:hAnsiTheme="minorHAnsi"/>
        </w:rPr>
        <w:t>[17</w:t>
      </w:r>
      <w:r w:rsidR="00B73533" w:rsidRPr="00B73533">
        <w:rPr>
          <w:rFonts w:asciiTheme="minorHAnsi" w:hAnsiTheme="minorHAnsi"/>
        </w:rPr>
        <w:t>]</w:t>
      </w:r>
      <w:r w:rsidRPr="00A30EC3">
        <w:rPr>
          <w:rFonts w:asciiTheme="minorHAnsi" w:hAnsiTheme="minorHAnsi"/>
        </w:rPr>
        <w:t>. For this reason, the upper assessment threshold was set at 1.2 times the intervention threshold.</w:t>
      </w:r>
      <w:r w:rsidR="003D6A5E">
        <w:rPr>
          <w:rFonts w:asciiTheme="minorHAnsi" w:hAnsiTheme="minorHAnsi"/>
        </w:rPr>
        <w:t xml:space="preserve">  </w:t>
      </w:r>
      <w:r w:rsidR="003D6A5E" w:rsidRPr="007A52F7">
        <w:rPr>
          <w:rFonts w:asciiTheme="minorHAnsi" w:hAnsiTheme="minorHAnsi"/>
          <w:color w:val="FF0000"/>
        </w:rPr>
        <w:t xml:space="preserve">In some countries, assessment thresholds are based on hip fracture </w:t>
      </w:r>
      <w:r w:rsidR="007A52F7" w:rsidRPr="007A52F7">
        <w:rPr>
          <w:rFonts w:asciiTheme="minorHAnsi" w:hAnsiTheme="minorHAnsi"/>
          <w:color w:val="FF0000"/>
        </w:rPr>
        <w:t>probabilities</w:t>
      </w:r>
      <w:r w:rsidR="003D6A5E" w:rsidRPr="007A52F7">
        <w:rPr>
          <w:rFonts w:asciiTheme="minorHAnsi" w:hAnsiTheme="minorHAnsi"/>
          <w:color w:val="FF0000"/>
        </w:rPr>
        <w:t xml:space="preserve"> in addition to probabilities</w:t>
      </w:r>
      <w:r w:rsidR="007A52F7" w:rsidRPr="007A52F7">
        <w:rPr>
          <w:rFonts w:asciiTheme="minorHAnsi" w:hAnsiTheme="minorHAnsi"/>
          <w:color w:val="FF0000"/>
        </w:rPr>
        <w:t xml:space="preserve"> off a major osteoporotic fracture.</w:t>
      </w:r>
      <w:r w:rsidR="007A52F7">
        <w:rPr>
          <w:rFonts w:asciiTheme="minorHAnsi" w:hAnsiTheme="minorHAnsi"/>
          <w:color w:val="FF0000"/>
        </w:rPr>
        <w:t xml:space="preserve">  The methodology used in the present </w:t>
      </w:r>
      <w:r w:rsidR="005F5779">
        <w:rPr>
          <w:rFonts w:asciiTheme="minorHAnsi" w:hAnsiTheme="minorHAnsi"/>
          <w:color w:val="FF0000"/>
        </w:rPr>
        <w:t>report for</w:t>
      </w:r>
      <w:r w:rsidR="007A52F7">
        <w:rPr>
          <w:rFonts w:asciiTheme="minorHAnsi" w:hAnsiTheme="minorHAnsi"/>
          <w:color w:val="FF0000"/>
        </w:rPr>
        <w:t xml:space="preserve"> hip fracture was identical to that used for a major osteoporotic fracture. </w:t>
      </w:r>
    </w:p>
    <w:p w14:paraId="42D4900C" w14:textId="77777777" w:rsidR="00006210" w:rsidRDefault="00006210" w:rsidP="00380099">
      <w:pPr>
        <w:spacing w:after="120" w:line="360" w:lineRule="auto"/>
        <w:jc w:val="left"/>
        <w:rPr>
          <w:rFonts w:asciiTheme="minorHAnsi" w:hAnsiTheme="minorHAnsi"/>
          <w:b/>
        </w:rPr>
      </w:pPr>
    </w:p>
    <w:p w14:paraId="0D7BD238" w14:textId="65B0986E" w:rsidR="00A30EC3" w:rsidRPr="00B73533" w:rsidRDefault="00B73533" w:rsidP="00380099">
      <w:pPr>
        <w:spacing w:after="120" w:line="360" w:lineRule="auto"/>
        <w:jc w:val="left"/>
        <w:rPr>
          <w:rFonts w:asciiTheme="minorHAnsi" w:hAnsiTheme="minorHAnsi"/>
          <w:b/>
        </w:rPr>
      </w:pPr>
      <w:r w:rsidRPr="00B73533">
        <w:rPr>
          <w:rFonts w:asciiTheme="minorHAnsi" w:hAnsiTheme="minorHAnsi"/>
          <w:b/>
        </w:rPr>
        <w:t>Results</w:t>
      </w:r>
    </w:p>
    <w:p w14:paraId="7734CE08" w14:textId="63A32F6D" w:rsidR="0034604F" w:rsidRPr="007A52F7" w:rsidRDefault="00634A56" w:rsidP="00634A56">
      <w:pPr>
        <w:spacing w:after="120" w:line="360" w:lineRule="auto"/>
        <w:jc w:val="left"/>
        <w:rPr>
          <w:rFonts w:asciiTheme="minorHAnsi" w:hAnsiTheme="minorHAnsi"/>
          <w:color w:val="FF0000"/>
          <w:lang w:val="en-GB"/>
        </w:rPr>
      </w:pPr>
      <w:bookmarkStart w:id="1" w:name="OLE_LINK1"/>
      <w:bookmarkStart w:id="2" w:name="OLE_LINK2"/>
      <w:r w:rsidRPr="00916A7A">
        <w:rPr>
          <w:rFonts w:asciiTheme="minorHAnsi" w:hAnsiTheme="minorHAnsi"/>
          <w:lang w:val="en-GB"/>
        </w:rPr>
        <w:t>In women with no clinical risk factors</w:t>
      </w:r>
      <w:r w:rsidR="00916A7A" w:rsidRPr="00916A7A">
        <w:rPr>
          <w:rFonts w:asciiTheme="minorHAnsi" w:hAnsiTheme="minorHAnsi"/>
          <w:lang w:val="en-GB"/>
        </w:rPr>
        <w:t xml:space="preserve"> and an average BMD</w:t>
      </w:r>
      <w:r w:rsidR="00AF33B0">
        <w:rPr>
          <w:rFonts w:asciiTheme="minorHAnsi" w:hAnsiTheme="minorHAnsi"/>
          <w:lang w:val="en-GB"/>
        </w:rPr>
        <w:t xml:space="preserve"> for age</w:t>
      </w:r>
      <w:r w:rsidRPr="00916A7A">
        <w:rPr>
          <w:rFonts w:asciiTheme="minorHAnsi" w:hAnsiTheme="minorHAnsi"/>
          <w:lang w:val="en-GB"/>
        </w:rPr>
        <w:t xml:space="preserve">, </w:t>
      </w:r>
      <w:r w:rsidRPr="007A52F7">
        <w:rPr>
          <w:rFonts w:asciiTheme="minorHAnsi" w:hAnsiTheme="minorHAnsi"/>
          <w:color w:val="FF0000"/>
          <w:lang w:val="en-GB"/>
        </w:rPr>
        <w:t xml:space="preserve">probability </w:t>
      </w:r>
      <w:r w:rsidR="007A52F7" w:rsidRPr="007A52F7">
        <w:rPr>
          <w:rFonts w:asciiTheme="minorHAnsi" w:hAnsiTheme="minorHAnsi"/>
          <w:color w:val="FF0000"/>
          <w:lang w:val="en-GB"/>
        </w:rPr>
        <w:t>of a major osteoporotic fracture</w:t>
      </w:r>
      <w:r w:rsidR="007A52F7">
        <w:rPr>
          <w:rFonts w:asciiTheme="minorHAnsi" w:hAnsiTheme="minorHAnsi"/>
          <w:lang w:val="en-GB"/>
        </w:rPr>
        <w:t xml:space="preserve"> </w:t>
      </w:r>
      <w:r w:rsidRPr="00916A7A">
        <w:rPr>
          <w:rFonts w:asciiTheme="minorHAnsi" w:hAnsiTheme="minorHAnsi"/>
          <w:lang w:val="en-GB"/>
        </w:rPr>
        <w:t>rose with age from 1.</w:t>
      </w:r>
      <w:r w:rsidR="00592FB4">
        <w:rPr>
          <w:rFonts w:asciiTheme="minorHAnsi" w:hAnsiTheme="minorHAnsi"/>
          <w:lang w:val="en-GB"/>
        </w:rPr>
        <w:t>0</w:t>
      </w:r>
      <w:r w:rsidRPr="00916A7A">
        <w:rPr>
          <w:rFonts w:asciiTheme="minorHAnsi" w:hAnsiTheme="minorHAnsi"/>
          <w:lang w:val="en-GB"/>
        </w:rPr>
        <w:t xml:space="preserve">% at the age of </w:t>
      </w:r>
      <w:r w:rsidR="00916A7A" w:rsidRPr="00916A7A">
        <w:rPr>
          <w:rFonts w:asciiTheme="minorHAnsi" w:hAnsiTheme="minorHAnsi"/>
          <w:lang w:val="en-GB"/>
        </w:rPr>
        <w:t>4</w:t>
      </w:r>
      <w:r w:rsidRPr="00916A7A">
        <w:rPr>
          <w:rFonts w:asciiTheme="minorHAnsi" w:hAnsiTheme="minorHAnsi"/>
          <w:lang w:val="en-GB"/>
        </w:rPr>
        <w:t>0 years to 1</w:t>
      </w:r>
      <w:r w:rsidR="00592FB4">
        <w:rPr>
          <w:rFonts w:asciiTheme="minorHAnsi" w:hAnsiTheme="minorHAnsi"/>
          <w:lang w:val="en-GB"/>
        </w:rPr>
        <w:t>4</w:t>
      </w:r>
      <w:r w:rsidRPr="00916A7A">
        <w:rPr>
          <w:rFonts w:asciiTheme="minorHAnsi" w:hAnsiTheme="minorHAnsi"/>
          <w:lang w:val="en-GB"/>
        </w:rPr>
        <w:t xml:space="preserve">% at the age of 90 years </w:t>
      </w:r>
      <w:bookmarkEnd w:id="1"/>
      <w:bookmarkEnd w:id="2"/>
      <w:r w:rsidRPr="00916A7A">
        <w:rPr>
          <w:rFonts w:asciiTheme="minorHAnsi" w:hAnsiTheme="minorHAnsi"/>
          <w:lang w:val="en-GB"/>
        </w:rPr>
        <w:t xml:space="preserve">(Table 1). </w:t>
      </w:r>
      <w:r w:rsidR="007A52F7" w:rsidRPr="007A52F7">
        <w:rPr>
          <w:rFonts w:asciiTheme="minorHAnsi" w:hAnsiTheme="minorHAnsi"/>
          <w:color w:val="FF0000"/>
          <w:lang w:val="en-GB"/>
        </w:rPr>
        <w:t xml:space="preserve">Equivalent hip fracture probabilities </w:t>
      </w:r>
      <w:r w:rsidR="005F5779">
        <w:rPr>
          <w:rFonts w:asciiTheme="minorHAnsi" w:hAnsiTheme="minorHAnsi"/>
          <w:color w:val="FF0000"/>
          <w:lang w:val="en-GB"/>
        </w:rPr>
        <w:t>a</w:t>
      </w:r>
      <w:r w:rsidR="007A52F7" w:rsidRPr="007A52F7">
        <w:rPr>
          <w:rFonts w:asciiTheme="minorHAnsi" w:hAnsiTheme="minorHAnsi"/>
          <w:color w:val="FF0000"/>
          <w:lang w:val="en-GB"/>
        </w:rPr>
        <w:t>re given in supplementary information (Table A1)</w:t>
      </w:r>
      <w:r w:rsidR="007A52F7">
        <w:rPr>
          <w:rFonts w:asciiTheme="minorHAnsi" w:hAnsiTheme="minorHAnsi"/>
          <w:color w:val="FF0000"/>
          <w:lang w:val="en-GB"/>
        </w:rPr>
        <w:t>.</w:t>
      </w:r>
    </w:p>
    <w:p w14:paraId="4F564DB6" w14:textId="09A21CCE" w:rsidR="0034604F" w:rsidRPr="004444B1" w:rsidRDefault="0034604F" w:rsidP="0034604F">
      <w:pPr>
        <w:spacing w:after="0" w:line="360" w:lineRule="auto"/>
        <w:jc w:val="left"/>
        <w:rPr>
          <w:rFonts w:asciiTheme="minorHAnsi" w:hAnsiTheme="minorHAnsi"/>
          <w:sz w:val="22"/>
          <w:szCs w:val="22"/>
        </w:rPr>
      </w:pPr>
      <w:r w:rsidRPr="004444B1">
        <w:rPr>
          <w:rFonts w:asciiTheme="minorHAnsi" w:hAnsiTheme="minorHAnsi"/>
          <w:b/>
          <w:bCs/>
          <w:sz w:val="22"/>
          <w:szCs w:val="22"/>
        </w:rPr>
        <w:t>Table 1</w:t>
      </w:r>
      <w:r w:rsidRPr="004444B1">
        <w:rPr>
          <w:rFonts w:asciiTheme="minorHAnsi" w:hAnsiTheme="minorHAnsi"/>
          <w:sz w:val="22"/>
          <w:szCs w:val="22"/>
        </w:rPr>
        <w:t xml:space="preserve"> 10-year probabilities of a major fracture (hip, clinical spine, humerus and forearm) with the FRAX model for Kuwait for women. </w:t>
      </w:r>
      <w:r w:rsidR="00592FB4">
        <w:rPr>
          <w:rFonts w:asciiTheme="minorHAnsi" w:hAnsiTheme="minorHAnsi"/>
          <w:sz w:val="22"/>
          <w:szCs w:val="22"/>
        </w:rPr>
        <w:t xml:space="preserve"> BMI set to 30kg/m</w:t>
      </w:r>
      <w:r w:rsidR="00592FB4" w:rsidRPr="00592FB4">
        <w:rPr>
          <w:rFonts w:asciiTheme="minorHAnsi" w:hAnsiTheme="minorHAnsi"/>
          <w:sz w:val="22"/>
          <w:szCs w:val="22"/>
          <w:vertAlign w:val="superscript"/>
        </w:rPr>
        <w:t>2</w:t>
      </w:r>
      <w:r w:rsidR="00592FB4">
        <w:rPr>
          <w:rFonts w:asciiTheme="minorHAnsi" w:hAnsiTheme="minorHAnsi"/>
          <w:sz w:val="22"/>
          <w:szCs w:val="22"/>
        </w:rPr>
        <w:t>.</w:t>
      </w:r>
    </w:p>
    <w:tbl>
      <w:tblPr>
        <w:tblW w:w="9483" w:type="dxa"/>
        <w:tblInd w:w="93" w:type="dxa"/>
        <w:tblLayout w:type="fixed"/>
        <w:tblLook w:val="0000" w:firstRow="0" w:lastRow="0" w:firstColumn="0" w:lastColumn="0" w:noHBand="0" w:noVBand="0"/>
      </w:tblPr>
      <w:tblGrid>
        <w:gridCol w:w="2895"/>
        <w:gridCol w:w="598"/>
        <w:gridCol w:w="599"/>
        <w:gridCol w:w="599"/>
        <w:gridCol w:w="599"/>
        <w:gridCol w:w="599"/>
        <w:gridCol w:w="599"/>
        <w:gridCol w:w="599"/>
        <w:gridCol w:w="599"/>
        <w:gridCol w:w="599"/>
        <w:gridCol w:w="599"/>
        <w:gridCol w:w="599"/>
      </w:tblGrid>
      <w:tr w:rsidR="0034604F" w:rsidRPr="0034604F" w14:paraId="093451CD" w14:textId="77777777" w:rsidTr="001A3E83">
        <w:trPr>
          <w:trHeight w:val="300"/>
        </w:trPr>
        <w:tc>
          <w:tcPr>
            <w:tcW w:w="2895" w:type="dxa"/>
            <w:tcBorders>
              <w:top w:val="single" w:sz="12" w:space="0" w:color="auto"/>
            </w:tcBorders>
            <w:noWrap/>
            <w:vAlign w:val="bottom"/>
          </w:tcPr>
          <w:p w14:paraId="3CF0308F" w14:textId="77777777" w:rsidR="0034604F" w:rsidRPr="0034604F" w:rsidRDefault="0034604F" w:rsidP="0034604F">
            <w:pPr>
              <w:spacing w:after="120" w:line="360" w:lineRule="auto"/>
              <w:jc w:val="left"/>
              <w:rPr>
                <w:rFonts w:asciiTheme="minorHAnsi" w:hAnsiTheme="minorHAnsi"/>
                <w:sz w:val="22"/>
                <w:szCs w:val="22"/>
              </w:rPr>
            </w:pPr>
            <w:r w:rsidRPr="0034604F">
              <w:rPr>
                <w:rFonts w:asciiTheme="minorHAnsi" w:hAnsiTheme="minorHAnsi"/>
                <w:sz w:val="22"/>
                <w:szCs w:val="22"/>
              </w:rPr>
              <w:t> </w:t>
            </w:r>
          </w:p>
        </w:tc>
        <w:tc>
          <w:tcPr>
            <w:tcW w:w="6588" w:type="dxa"/>
            <w:gridSpan w:val="11"/>
            <w:tcBorders>
              <w:top w:val="single" w:sz="12" w:space="0" w:color="auto"/>
              <w:bottom w:val="single" w:sz="12" w:space="0" w:color="auto"/>
            </w:tcBorders>
          </w:tcPr>
          <w:p w14:paraId="6583B7F0" w14:textId="77777777" w:rsidR="0034604F" w:rsidRPr="0034604F" w:rsidRDefault="0034604F" w:rsidP="0034604F">
            <w:pPr>
              <w:spacing w:after="120" w:line="360" w:lineRule="auto"/>
              <w:jc w:val="left"/>
              <w:rPr>
                <w:rFonts w:asciiTheme="minorHAnsi" w:hAnsiTheme="minorHAnsi"/>
                <w:sz w:val="22"/>
                <w:szCs w:val="22"/>
              </w:rPr>
            </w:pPr>
            <w:r w:rsidRPr="0034604F">
              <w:rPr>
                <w:rFonts w:asciiTheme="minorHAnsi" w:hAnsiTheme="minorHAnsi"/>
                <w:sz w:val="22"/>
                <w:szCs w:val="22"/>
              </w:rPr>
              <w:t>Age (years)</w:t>
            </w:r>
          </w:p>
        </w:tc>
      </w:tr>
      <w:tr w:rsidR="0034604F" w:rsidRPr="0034604F" w14:paraId="7E2A86C1" w14:textId="77777777" w:rsidTr="001A3E83">
        <w:trPr>
          <w:trHeight w:val="315"/>
        </w:trPr>
        <w:tc>
          <w:tcPr>
            <w:tcW w:w="2895" w:type="dxa"/>
            <w:tcBorders>
              <w:bottom w:val="single" w:sz="12" w:space="0" w:color="auto"/>
            </w:tcBorders>
            <w:noWrap/>
            <w:vAlign w:val="bottom"/>
          </w:tcPr>
          <w:p w14:paraId="3732D042" w14:textId="77777777" w:rsidR="0034604F" w:rsidRPr="0034604F" w:rsidRDefault="0034604F" w:rsidP="0034604F">
            <w:pPr>
              <w:spacing w:after="120" w:line="360" w:lineRule="auto"/>
              <w:jc w:val="left"/>
              <w:rPr>
                <w:rFonts w:asciiTheme="minorHAnsi" w:hAnsiTheme="minorHAnsi"/>
                <w:sz w:val="22"/>
                <w:szCs w:val="22"/>
              </w:rPr>
            </w:pPr>
            <w:r w:rsidRPr="0034604F">
              <w:rPr>
                <w:rFonts w:asciiTheme="minorHAnsi" w:hAnsiTheme="minorHAnsi"/>
                <w:sz w:val="22"/>
                <w:szCs w:val="22"/>
              </w:rPr>
              <w:lastRenderedPageBreak/>
              <w:t> </w:t>
            </w:r>
          </w:p>
        </w:tc>
        <w:tc>
          <w:tcPr>
            <w:tcW w:w="598" w:type="dxa"/>
            <w:tcBorders>
              <w:top w:val="single" w:sz="12" w:space="0" w:color="auto"/>
              <w:bottom w:val="single" w:sz="12" w:space="0" w:color="auto"/>
            </w:tcBorders>
          </w:tcPr>
          <w:p w14:paraId="336C42F4" w14:textId="77777777" w:rsidR="0034604F" w:rsidRPr="0034604F" w:rsidRDefault="0034604F" w:rsidP="0034604F">
            <w:pPr>
              <w:spacing w:after="120" w:line="360" w:lineRule="auto"/>
              <w:jc w:val="left"/>
              <w:rPr>
                <w:rFonts w:asciiTheme="minorHAnsi" w:hAnsiTheme="minorHAnsi"/>
                <w:sz w:val="22"/>
                <w:szCs w:val="22"/>
              </w:rPr>
            </w:pPr>
            <w:r w:rsidRPr="0034604F">
              <w:rPr>
                <w:rFonts w:asciiTheme="minorHAnsi" w:hAnsiTheme="minorHAnsi"/>
                <w:sz w:val="22"/>
                <w:szCs w:val="22"/>
              </w:rPr>
              <w:t>40</w:t>
            </w:r>
          </w:p>
        </w:tc>
        <w:tc>
          <w:tcPr>
            <w:tcW w:w="599" w:type="dxa"/>
            <w:tcBorders>
              <w:top w:val="single" w:sz="12" w:space="0" w:color="auto"/>
              <w:bottom w:val="single" w:sz="12" w:space="0" w:color="auto"/>
            </w:tcBorders>
          </w:tcPr>
          <w:p w14:paraId="5B514F59" w14:textId="77777777" w:rsidR="0034604F" w:rsidRPr="0034604F" w:rsidRDefault="0034604F" w:rsidP="0034604F">
            <w:pPr>
              <w:spacing w:after="120" w:line="360" w:lineRule="auto"/>
              <w:jc w:val="left"/>
              <w:rPr>
                <w:rFonts w:asciiTheme="minorHAnsi" w:hAnsiTheme="minorHAnsi"/>
                <w:sz w:val="22"/>
                <w:szCs w:val="22"/>
              </w:rPr>
            </w:pPr>
            <w:r w:rsidRPr="0034604F">
              <w:rPr>
                <w:rFonts w:asciiTheme="minorHAnsi" w:hAnsiTheme="minorHAnsi"/>
                <w:sz w:val="22"/>
                <w:szCs w:val="22"/>
              </w:rPr>
              <w:t>45</w:t>
            </w:r>
          </w:p>
        </w:tc>
        <w:tc>
          <w:tcPr>
            <w:tcW w:w="599" w:type="dxa"/>
            <w:tcBorders>
              <w:top w:val="single" w:sz="12" w:space="0" w:color="auto"/>
              <w:bottom w:val="single" w:sz="12" w:space="0" w:color="auto"/>
            </w:tcBorders>
            <w:noWrap/>
            <w:vAlign w:val="center"/>
          </w:tcPr>
          <w:p w14:paraId="595DF8D3" w14:textId="77777777" w:rsidR="0034604F" w:rsidRPr="0034604F" w:rsidRDefault="0034604F" w:rsidP="0034604F">
            <w:pPr>
              <w:spacing w:after="120" w:line="360" w:lineRule="auto"/>
              <w:jc w:val="left"/>
              <w:rPr>
                <w:rFonts w:asciiTheme="minorHAnsi" w:hAnsiTheme="minorHAnsi"/>
                <w:sz w:val="22"/>
                <w:szCs w:val="22"/>
              </w:rPr>
            </w:pPr>
            <w:r w:rsidRPr="0034604F">
              <w:rPr>
                <w:rFonts w:asciiTheme="minorHAnsi" w:hAnsiTheme="minorHAnsi"/>
                <w:sz w:val="22"/>
                <w:szCs w:val="22"/>
              </w:rPr>
              <w:t>50</w:t>
            </w:r>
          </w:p>
        </w:tc>
        <w:tc>
          <w:tcPr>
            <w:tcW w:w="599" w:type="dxa"/>
            <w:tcBorders>
              <w:top w:val="single" w:sz="12" w:space="0" w:color="auto"/>
              <w:bottom w:val="single" w:sz="12" w:space="0" w:color="auto"/>
            </w:tcBorders>
            <w:noWrap/>
            <w:vAlign w:val="center"/>
          </w:tcPr>
          <w:p w14:paraId="051F9B49" w14:textId="77777777" w:rsidR="0034604F" w:rsidRPr="0034604F" w:rsidRDefault="0034604F" w:rsidP="0034604F">
            <w:pPr>
              <w:spacing w:after="120" w:line="360" w:lineRule="auto"/>
              <w:jc w:val="left"/>
              <w:rPr>
                <w:rFonts w:asciiTheme="minorHAnsi" w:hAnsiTheme="minorHAnsi"/>
                <w:sz w:val="22"/>
                <w:szCs w:val="22"/>
              </w:rPr>
            </w:pPr>
            <w:r w:rsidRPr="0034604F">
              <w:rPr>
                <w:rFonts w:asciiTheme="minorHAnsi" w:hAnsiTheme="minorHAnsi"/>
                <w:sz w:val="22"/>
                <w:szCs w:val="22"/>
              </w:rPr>
              <w:t>55</w:t>
            </w:r>
          </w:p>
        </w:tc>
        <w:tc>
          <w:tcPr>
            <w:tcW w:w="599" w:type="dxa"/>
            <w:tcBorders>
              <w:top w:val="single" w:sz="12" w:space="0" w:color="auto"/>
              <w:bottom w:val="single" w:sz="12" w:space="0" w:color="auto"/>
            </w:tcBorders>
            <w:noWrap/>
            <w:vAlign w:val="center"/>
          </w:tcPr>
          <w:p w14:paraId="2894F0D3" w14:textId="77777777" w:rsidR="0034604F" w:rsidRPr="0034604F" w:rsidRDefault="0034604F" w:rsidP="0034604F">
            <w:pPr>
              <w:spacing w:after="120" w:line="360" w:lineRule="auto"/>
              <w:jc w:val="left"/>
              <w:rPr>
                <w:rFonts w:asciiTheme="minorHAnsi" w:hAnsiTheme="minorHAnsi"/>
                <w:sz w:val="22"/>
                <w:szCs w:val="22"/>
              </w:rPr>
            </w:pPr>
            <w:r w:rsidRPr="0034604F">
              <w:rPr>
                <w:rFonts w:asciiTheme="minorHAnsi" w:hAnsiTheme="minorHAnsi"/>
                <w:sz w:val="22"/>
                <w:szCs w:val="22"/>
              </w:rPr>
              <w:t>60</w:t>
            </w:r>
          </w:p>
        </w:tc>
        <w:tc>
          <w:tcPr>
            <w:tcW w:w="599" w:type="dxa"/>
            <w:tcBorders>
              <w:top w:val="single" w:sz="12" w:space="0" w:color="auto"/>
              <w:bottom w:val="single" w:sz="12" w:space="0" w:color="auto"/>
            </w:tcBorders>
            <w:noWrap/>
            <w:vAlign w:val="center"/>
          </w:tcPr>
          <w:p w14:paraId="74E7960E" w14:textId="77777777" w:rsidR="0034604F" w:rsidRPr="0034604F" w:rsidRDefault="0034604F" w:rsidP="0034604F">
            <w:pPr>
              <w:spacing w:after="120" w:line="360" w:lineRule="auto"/>
              <w:jc w:val="left"/>
              <w:rPr>
                <w:rFonts w:asciiTheme="minorHAnsi" w:hAnsiTheme="minorHAnsi"/>
                <w:sz w:val="22"/>
                <w:szCs w:val="22"/>
              </w:rPr>
            </w:pPr>
            <w:r w:rsidRPr="0034604F">
              <w:rPr>
                <w:rFonts w:asciiTheme="minorHAnsi" w:hAnsiTheme="minorHAnsi"/>
                <w:sz w:val="22"/>
                <w:szCs w:val="22"/>
              </w:rPr>
              <w:t>65</w:t>
            </w:r>
          </w:p>
        </w:tc>
        <w:tc>
          <w:tcPr>
            <w:tcW w:w="599" w:type="dxa"/>
            <w:tcBorders>
              <w:top w:val="single" w:sz="12" w:space="0" w:color="auto"/>
              <w:bottom w:val="single" w:sz="12" w:space="0" w:color="auto"/>
            </w:tcBorders>
            <w:noWrap/>
            <w:vAlign w:val="center"/>
          </w:tcPr>
          <w:p w14:paraId="73749B42" w14:textId="77777777" w:rsidR="0034604F" w:rsidRPr="0034604F" w:rsidRDefault="0034604F" w:rsidP="0034604F">
            <w:pPr>
              <w:spacing w:after="120" w:line="360" w:lineRule="auto"/>
              <w:jc w:val="left"/>
              <w:rPr>
                <w:rFonts w:asciiTheme="minorHAnsi" w:hAnsiTheme="minorHAnsi"/>
                <w:sz w:val="22"/>
                <w:szCs w:val="22"/>
              </w:rPr>
            </w:pPr>
            <w:r w:rsidRPr="0034604F">
              <w:rPr>
                <w:rFonts w:asciiTheme="minorHAnsi" w:hAnsiTheme="minorHAnsi"/>
                <w:sz w:val="22"/>
                <w:szCs w:val="22"/>
              </w:rPr>
              <w:t>70</w:t>
            </w:r>
          </w:p>
        </w:tc>
        <w:tc>
          <w:tcPr>
            <w:tcW w:w="599" w:type="dxa"/>
            <w:tcBorders>
              <w:top w:val="single" w:sz="12" w:space="0" w:color="auto"/>
              <w:bottom w:val="single" w:sz="12" w:space="0" w:color="auto"/>
            </w:tcBorders>
            <w:noWrap/>
            <w:vAlign w:val="center"/>
          </w:tcPr>
          <w:p w14:paraId="5B751CB3" w14:textId="77777777" w:rsidR="0034604F" w:rsidRPr="0034604F" w:rsidRDefault="0034604F" w:rsidP="0034604F">
            <w:pPr>
              <w:spacing w:after="120" w:line="360" w:lineRule="auto"/>
              <w:jc w:val="left"/>
              <w:rPr>
                <w:rFonts w:asciiTheme="minorHAnsi" w:hAnsiTheme="minorHAnsi"/>
                <w:sz w:val="22"/>
                <w:szCs w:val="22"/>
              </w:rPr>
            </w:pPr>
            <w:r w:rsidRPr="0034604F">
              <w:rPr>
                <w:rFonts w:asciiTheme="minorHAnsi" w:hAnsiTheme="minorHAnsi"/>
                <w:sz w:val="22"/>
                <w:szCs w:val="22"/>
              </w:rPr>
              <w:t>75</w:t>
            </w:r>
          </w:p>
        </w:tc>
        <w:tc>
          <w:tcPr>
            <w:tcW w:w="599" w:type="dxa"/>
            <w:tcBorders>
              <w:top w:val="single" w:sz="12" w:space="0" w:color="auto"/>
              <w:bottom w:val="single" w:sz="12" w:space="0" w:color="auto"/>
            </w:tcBorders>
            <w:noWrap/>
            <w:vAlign w:val="center"/>
          </w:tcPr>
          <w:p w14:paraId="36DAE442" w14:textId="77777777" w:rsidR="0034604F" w:rsidRPr="0034604F" w:rsidRDefault="0034604F" w:rsidP="0034604F">
            <w:pPr>
              <w:spacing w:after="120" w:line="360" w:lineRule="auto"/>
              <w:jc w:val="left"/>
              <w:rPr>
                <w:rFonts w:asciiTheme="minorHAnsi" w:hAnsiTheme="minorHAnsi"/>
                <w:sz w:val="22"/>
                <w:szCs w:val="22"/>
              </w:rPr>
            </w:pPr>
            <w:r w:rsidRPr="0034604F">
              <w:rPr>
                <w:rFonts w:asciiTheme="minorHAnsi" w:hAnsiTheme="minorHAnsi"/>
                <w:sz w:val="22"/>
                <w:szCs w:val="22"/>
              </w:rPr>
              <w:t>80</w:t>
            </w:r>
          </w:p>
        </w:tc>
        <w:tc>
          <w:tcPr>
            <w:tcW w:w="599" w:type="dxa"/>
            <w:tcBorders>
              <w:top w:val="single" w:sz="12" w:space="0" w:color="auto"/>
              <w:bottom w:val="single" w:sz="12" w:space="0" w:color="auto"/>
            </w:tcBorders>
            <w:noWrap/>
            <w:vAlign w:val="center"/>
          </w:tcPr>
          <w:p w14:paraId="06737AAB" w14:textId="77777777" w:rsidR="0034604F" w:rsidRPr="0034604F" w:rsidRDefault="0034604F" w:rsidP="0034604F">
            <w:pPr>
              <w:spacing w:after="120" w:line="360" w:lineRule="auto"/>
              <w:jc w:val="left"/>
              <w:rPr>
                <w:rFonts w:asciiTheme="minorHAnsi" w:hAnsiTheme="minorHAnsi"/>
                <w:sz w:val="22"/>
                <w:szCs w:val="22"/>
              </w:rPr>
            </w:pPr>
            <w:r w:rsidRPr="0034604F">
              <w:rPr>
                <w:rFonts w:asciiTheme="minorHAnsi" w:hAnsiTheme="minorHAnsi"/>
                <w:sz w:val="22"/>
                <w:szCs w:val="22"/>
              </w:rPr>
              <w:t>85</w:t>
            </w:r>
          </w:p>
        </w:tc>
        <w:tc>
          <w:tcPr>
            <w:tcW w:w="599" w:type="dxa"/>
            <w:tcBorders>
              <w:top w:val="single" w:sz="12" w:space="0" w:color="auto"/>
              <w:bottom w:val="single" w:sz="12" w:space="0" w:color="auto"/>
            </w:tcBorders>
            <w:noWrap/>
            <w:vAlign w:val="center"/>
          </w:tcPr>
          <w:p w14:paraId="17359890" w14:textId="77777777" w:rsidR="0034604F" w:rsidRPr="0034604F" w:rsidRDefault="0034604F" w:rsidP="0034604F">
            <w:pPr>
              <w:spacing w:after="120" w:line="360" w:lineRule="auto"/>
              <w:jc w:val="left"/>
              <w:rPr>
                <w:rFonts w:asciiTheme="minorHAnsi" w:hAnsiTheme="minorHAnsi"/>
                <w:sz w:val="22"/>
                <w:szCs w:val="22"/>
              </w:rPr>
            </w:pPr>
            <w:r w:rsidRPr="0034604F">
              <w:rPr>
                <w:rFonts w:asciiTheme="minorHAnsi" w:hAnsiTheme="minorHAnsi"/>
                <w:sz w:val="22"/>
                <w:szCs w:val="22"/>
              </w:rPr>
              <w:t>90</w:t>
            </w:r>
          </w:p>
        </w:tc>
      </w:tr>
      <w:tr w:rsidR="0034604F" w:rsidRPr="0034604F" w14:paraId="154BD977" w14:textId="77777777" w:rsidTr="001A3E83">
        <w:trPr>
          <w:trHeight w:val="300"/>
        </w:trPr>
        <w:tc>
          <w:tcPr>
            <w:tcW w:w="2895" w:type="dxa"/>
            <w:tcBorders>
              <w:top w:val="single" w:sz="12" w:space="0" w:color="auto"/>
            </w:tcBorders>
            <w:noWrap/>
            <w:vAlign w:val="center"/>
          </w:tcPr>
          <w:p w14:paraId="40808E07" w14:textId="77777777" w:rsidR="0034604F" w:rsidRPr="0034604F" w:rsidRDefault="0034604F" w:rsidP="0034604F">
            <w:pPr>
              <w:spacing w:after="120" w:line="360" w:lineRule="auto"/>
              <w:jc w:val="left"/>
              <w:rPr>
                <w:rFonts w:asciiTheme="minorHAnsi" w:hAnsiTheme="minorHAnsi"/>
                <w:i/>
                <w:iCs/>
                <w:sz w:val="22"/>
                <w:szCs w:val="22"/>
              </w:rPr>
            </w:pPr>
            <w:r w:rsidRPr="0034604F">
              <w:rPr>
                <w:rFonts w:asciiTheme="minorHAnsi" w:hAnsiTheme="minorHAnsi"/>
                <w:i/>
                <w:iCs/>
                <w:sz w:val="22"/>
                <w:szCs w:val="22"/>
              </w:rPr>
              <w:t>Major fracture</w:t>
            </w:r>
          </w:p>
        </w:tc>
        <w:tc>
          <w:tcPr>
            <w:tcW w:w="598" w:type="dxa"/>
            <w:tcBorders>
              <w:top w:val="single" w:sz="12" w:space="0" w:color="auto"/>
            </w:tcBorders>
          </w:tcPr>
          <w:p w14:paraId="1ED57C62" w14:textId="77777777" w:rsidR="0034604F" w:rsidRPr="0034604F" w:rsidRDefault="0034604F" w:rsidP="0034604F">
            <w:pPr>
              <w:spacing w:after="120" w:line="360" w:lineRule="auto"/>
              <w:jc w:val="left"/>
              <w:rPr>
                <w:rFonts w:asciiTheme="minorHAnsi" w:hAnsiTheme="minorHAnsi"/>
                <w:sz w:val="22"/>
                <w:szCs w:val="22"/>
              </w:rPr>
            </w:pPr>
          </w:p>
        </w:tc>
        <w:tc>
          <w:tcPr>
            <w:tcW w:w="599" w:type="dxa"/>
            <w:tcBorders>
              <w:top w:val="single" w:sz="12" w:space="0" w:color="auto"/>
            </w:tcBorders>
          </w:tcPr>
          <w:p w14:paraId="7F118D45" w14:textId="77777777" w:rsidR="0034604F" w:rsidRPr="0034604F" w:rsidRDefault="0034604F" w:rsidP="0034604F">
            <w:pPr>
              <w:spacing w:after="120" w:line="360" w:lineRule="auto"/>
              <w:jc w:val="left"/>
              <w:rPr>
                <w:rFonts w:asciiTheme="minorHAnsi" w:hAnsiTheme="minorHAnsi"/>
                <w:sz w:val="22"/>
                <w:szCs w:val="22"/>
              </w:rPr>
            </w:pPr>
          </w:p>
        </w:tc>
        <w:tc>
          <w:tcPr>
            <w:tcW w:w="599" w:type="dxa"/>
            <w:tcBorders>
              <w:top w:val="single" w:sz="12" w:space="0" w:color="auto"/>
            </w:tcBorders>
            <w:noWrap/>
            <w:vAlign w:val="bottom"/>
          </w:tcPr>
          <w:p w14:paraId="5F658FD1" w14:textId="77777777" w:rsidR="0034604F" w:rsidRPr="0034604F" w:rsidRDefault="0034604F" w:rsidP="0034604F">
            <w:pPr>
              <w:spacing w:after="120" w:line="360" w:lineRule="auto"/>
              <w:jc w:val="left"/>
              <w:rPr>
                <w:rFonts w:asciiTheme="minorHAnsi" w:hAnsiTheme="minorHAnsi"/>
                <w:sz w:val="22"/>
                <w:szCs w:val="22"/>
              </w:rPr>
            </w:pPr>
          </w:p>
        </w:tc>
        <w:tc>
          <w:tcPr>
            <w:tcW w:w="599" w:type="dxa"/>
            <w:tcBorders>
              <w:top w:val="single" w:sz="12" w:space="0" w:color="auto"/>
            </w:tcBorders>
            <w:noWrap/>
            <w:vAlign w:val="bottom"/>
          </w:tcPr>
          <w:p w14:paraId="564B3997" w14:textId="77777777" w:rsidR="0034604F" w:rsidRPr="0034604F" w:rsidRDefault="0034604F" w:rsidP="0034604F">
            <w:pPr>
              <w:spacing w:after="120" w:line="360" w:lineRule="auto"/>
              <w:jc w:val="left"/>
              <w:rPr>
                <w:rFonts w:asciiTheme="minorHAnsi" w:hAnsiTheme="minorHAnsi"/>
                <w:sz w:val="22"/>
                <w:szCs w:val="22"/>
              </w:rPr>
            </w:pPr>
          </w:p>
        </w:tc>
        <w:tc>
          <w:tcPr>
            <w:tcW w:w="599" w:type="dxa"/>
            <w:tcBorders>
              <w:top w:val="single" w:sz="12" w:space="0" w:color="auto"/>
            </w:tcBorders>
            <w:noWrap/>
            <w:vAlign w:val="bottom"/>
          </w:tcPr>
          <w:p w14:paraId="1EED2894" w14:textId="77777777" w:rsidR="0034604F" w:rsidRPr="0034604F" w:rsidRDefault="0034604F" w:rsidP="0034604F">
            <w:pPr>
              <w:spacing w:after="120" w:line="360" w:lineRule="auto"/>
              <w:jc w:val="left"/>
              <w:rPr>
                <w:rFonts w:asciiTheme="minorHAnsi" w:hAnsiTheme="minorHAnsi"/>
                <w:sz w:val="22"/>
                <w:szCs w:val="22"/>
              </w:rPr>
            </w:pPr>
          </w:p>
        </w:tc>
        <w:tc>
          <w:tcPr>
            <w:tcW w:w="599" w:type="dxa"/>
            <w:tcBorders>
              <w:top w:val="single" w:sz="12" w:space="0" w:color="auto"/>
            </w:tcBorders>
            <w:noWrap/>
            <w:vAlign w:val="bottom"/>
          </w:tcPr>
          <w:p w14:paraId="0B3A7DA0" w14:textId="77777777" w:rsidR="0034604F" w:rsidRPr="0034604F" w:rsidRDefault="0034604F" w:rsidP="0034604F">
            <w:pPr>
              <w:spacing w:after="120" w:line="360" w:lineRule="auto"/>
              <w:jc w:val="left"/>
              <w:rPr>
                <w:rFonts w:asciiTheme="minorHAnsi" w:hAnsiTheme="minorHAnsi"/>
                <w:sz w:val="22"/>
                <w:szCs w:val="22"/>
              </w:rPr>
            </w:pPr>
          </w:p>
        </w:tc>
        <w:tc>
          <w:tcPr>
            <w:tcW w:w="599" w:type="dxa"/>
            <w:tcBorders>
              <w:top w:val="single" w:sz="12" w:space="0" w:color="auto"/>
            </w:tcBorders>
            <w:noWrap/>
            <w:vAlign w:val="bottom"/>
          </w:tcPr>
          <w:p w14:paraId="5DF21E04" w14:textId="77777777" w:rsidR="0034604F" w:rsidRPr="0034604F" w:rsidRDefault="0034604F" w:rsidP="0034604F">
            <w:pPr>
              <w:spacing w:after="120" w:line="360" w:lineRule="auto"/>
              <w:jc w:val="left"/>
              <w:rPr>
                <w:rFonts w:asciiTheme="minorHAnsi" w:hAnsiTheme="minorHAnsi"/>
                <w:sz w:val="22"/>
                <w:szCs w:val="22"/>
              </w:rPr>
            </w:pPr>
          </w:p>
        </w:tc>
        <w:tc>
          <w:tcPr>
            <w:tcW w:w="599" w:type="dxa"/>
            <w:tcBorders>
              <w:top w:val="single" w:sz="12" w:space="0" w:color="auto"/>
            </w:tcBorders>
            <w:noWrap/>
            <w:vAlign w:val="bottom"/>
          </w:tcPr>
          <w:p w14:paraId="2C7676D1" w14:textId="77777777" w:rsidR="0034604F" w:rsidRPr="0034604F" w:rsidRDefault="0034604F" w:rsidP="0034604F">
            <w:pPr>
              <w:spacing w:after="120" w:line="360" w:lineRule="auto"/>
              <w:jc w:val="left"/>
              <w:rPr>
                <w:rFonts w:asciiTheme="minorHAnsi" w:hAnsiTheme="minorHAnsi"/>
                <w:sz w:val="22"/>
                <w:szCs w:val="22"/>
              </w:rPr>
            </w:pPr>
          </w:p>
        </w:tc>
        <w:tc>
          <w:tcPr>
            <w:tcW w:w="599" w:type="dxa"/>
            <w:tcBorders>
              <w:top w:val="single" w:sz="12" w:space="0" w:color="auto"/>
            </w:tcBorders>
            <w:noWrap/>
            <w:vAlign w:val="bottom"/>
          </w:tcPr>
          <w:p w14:paraId="57B8F0F6" w14:textId="77777777" w:rsidR="0034604F" w:rsidRPr="0034604F" w:rsidRDefault="0034604F" w:rsidP="0034604F">
            <w:pPr>
              <w:spacing w:after="120" w:line="360" w:lineRule="auto"/>
              <w:jc w:val="left"/>
              <w:rPr>
                <w:rFonts w:asciiTheme="minorHAnsi" w:hAnsiTheme="minorHAnsi"/>
                <w:sz w:val="22"/>
                <w:szCs w:val="22"/>
              </w:rPr>
            </w:pPr>
          </w:p>
        </w:tc>
        <w:tc>
          <w:tcPr>
            <w:tcW w:w="599" w:type="dxa"/>
            <w:tcBorders>
              <w:top w:val="single" w:sz="12" w:space="0" w:color="auto"/>
            </w:tcBorders>
            <w:noWrap/>
            <w:vAlign w:val="bottom"/>
          </w:tcPr>
          <w:p w14:paraId="6D0100AE" w14:textId="77777777" w:rsidR="0034604F" w:rsidRPr="0034604F" w:rsidRDefault="0034604F" w:rsidP="0034604F">
            <w:pPr>
              <w:spacing w:after="120" w:line="360" w:lineRule="auto"/>
              <w:jc w:val="left"/>
              <w:rPr>
                <w:rFonts w:asciiTheme="minorHAnsi" w:hAnsiTheme="minorHAnsi"/>
                <w:sz w:val="22"/>
                <w:szCs w:val="22"/>
              </w:rPr>
            </w:pPr>
          </w:p>
        </w:tc>
        <w:tc>
          <w:tcPr>
            <w:tcW w:w="599" w:type="dxa"/>
            <w:tcBorders>
              <w:top w:val="single" w:sz="12" w:space="0" w:color="auto"/>
            </w:tcBorders>
            <w:noWrap/>
            <w:vAlign w:val="bottom"/>
          </w:tcPr>
          <w:p w14:paraId="5A8401F4" w14:textId="77777777" w:rsidR="0034604F" w:rsidRPr="0034604F" w:rsidRDefault="0034604F" w:rsidP="0034604F">
            <w:pPr>
              <w:spacing w:after="120" w:line="360" w:lineRule="auto"/>
              <w:jc w:val="left"/>
              <w:rPr>
                <w:rFonts w:asciiTheme="minorHAnsi" w:hAnsiTheme="minorHAnsi"/>
                <w:sz w:val="22"/>
                <w:szCs w:val="22"/>
              </w:rPr>
            </w:pPr>
          </w:p>
        </w:tc>
      </w:tr>
      <w:tr w:rsidR="0034604F" w:rsidRPr="00445857" w14:paraId="78932BCF" w14:textId="77777777" w:rsidTr="001A3E83">
        <w:trPr>
          <w:trHeight w:val="300"/>
        </w:trPr>
        <w:tc>
          <w:tcPr>
            <w:tcW w:w="2895" w:type="dxa"/>
            <w:noWrap/>
            <w:vAlign w:val="center"/>
          </w:tcPr>
          <w:p w14:paraId="19E26C52" w14:textId="77777777" w:rsidR="0034604F" w:rsidRPr="00226DBE" w:rsidRDefault="0034604F" w:rsidP="0034604F">
            <w:pPr>
              <w:spacing w:after="120" w:line="360" w:lineRule="auto"/>
              <w:jc w:val="left"/>
              <w:rPr>
                <w:rFonts w:asciiTheme="minorHAnsi" w:hAnsiTheme="minorHAnsi"/>
                <w:sz w:val="22"/>
                <w:szCs w:val="22"/>
              </w:rPr>
            </w:pPr>
            <w:r w:rsidRPr="00226DBE">
              <w:rPr>
                <w:rFonts w:asciiTheme="minorHAnsi" w:hAnsiTheme="minorHAnsi"/>
                <w:sz w:val="22"/>
                <w:szCs w:val="22"/>
              </w:rPr>
              <w:t xml:space="preserve"> No clinical risk factors</w:t>
            </w:r>
          </w:p>
        </w:tc>
        <w:tc>
          <w:tcPr>
            <w:tcW w:w="598" w:type="dxa"/>
          </w:tcPr>
          <w:p w14:paraId="1E624136" w14:textId="30A119B6" w:rsidR="0034604F" w:rsidRPr="001E1F2B" w:rsidRDefault="0034604F" w:rsidP="00CD7D2B">
            <w:pPr>
              <w:spacing w:after="120" w:line="360" w:lineRule="auto"/>
              <w:jc w:val="left"/>
              <w:rPr>
                <w:rFonts w:asciiTheme="minorHAnsi" w:hAnsiTheme="minorHAnsi"/>
                <w:sz w:val="22"/>
                <w:szCs w:val="22"/>
              </w:rPr>
            </w:pPr>
            <w:r w:rsidRPr="001E1F2B">
              <w:rPr>
                <w:rFonts w:asciiTheme="minorHAnsi" w:hAnsiTheme="minorHAnsi"/>
                <w:sz w:val="22"/>
                <w:szCs w:val="22"/>
              </w:rPr>
              <w:t>1.</w:t>
            </w:r>
            <w:r w:rsidR="00CD7D2B" w:rsidRPr="001E1F2B">
              <w:rPr>
                <w:rFonts w:asciiTheme="minorHAnsi" w:hAnsiTheme="minorHAnsi"/>
                <w:sz w:val="22"/>
                <w:szCs w:val="22"/>
              </w:rPr>
              <w:t>0</w:t>
            </w:r>
          </w:p>
        </w:tc>
        <w:tc>
          <w:tcPr>
            <w:tcW w:w="599" w:type="dxa"/>
          </w:tcPr>
          <w:p w14:paraId="3A6C69AB" w14:textId="2F641C28" w:rsidR="0034604F" w:rsidRPr="000157C6" w:rsidRDefault="0034604F" w:rsidP="00CD7D2B">
            <w:pPr>
              <w:spacing w:after="120" w:line="360" w:lineRule="auto"/>
              <w:jc w:val="left"/>
              <w:rPr>
                <w:rFonts w:asciiTheme="minorHAnsi" w:hAnsiTheme="minorHAnsi"/>
                <w:sz w:val="22"/>
                <w:szCs w:val="22"/>
              </w:rPr>
            </w:pPr>
            <w:r w:rsidRPr="001E1F2B">
              <w:rPr>
                <w:rFonts w:asciiTheme="minorHAnsi" w:hAnsiTheme="minorHAnsi"/>
                <w:sz w:val="22"/>
                <w:szCs w:val="22"/>
              </w:rPr>
              <w:t>1.</w:t>
            </w:r>
            <w:r w:rsidR="00CD7D2B" w:rsidRPr="001E1F2B">
              <w:rPr>
                <w:rFonts w:asciiTheme="minorHAnsi" w:hAnsiTheme="minorHAnsi"/>
                <w:sz w:val="22"/>
                <w:szCs w:val="22"/>
              </w:rPr>
              <w:t>4</w:t>
            </w:r>
          </w:p>
        </w:tc>
        <w:tc>
          <w:tcPr>
            <w:tcW w:w="599" w:type="dxa"/>
            <w:noWrap/>
            <w:vAlign w:val="center"/>
          </w:tcPr>
          <w:p w14:paraId="6C1E8FAC" w14:textId="2E98F77C" w:rsidR="0034604F" w:rsidRPr="00226DBE" w:rsidRDefault="0034604F" w:rsidP="00CD7D2B">
            <w:pPr>
              <w:spacing w:after="120" w:line="360" w:lineRule="auto"/>
              <w:jc w:val="left"/>
              <w:rPr>
                <w:rFonts w:asciiTheme="minorHAnsi" w:hAnsiTheme="minorHAnsi"/>
                <w:sz w:val="22"/>
                <w:szCs w:val="22"/>
              </w:rPr>
            </w:pPr>
            <w:r w:rsidRPr="00226DBE">
              <w:rPr>
                <w:rFonts w:asciiTheme="minorHAnsi" w:hAnsiTheme="minorHAnsi"/>
                <w:sz w:val="22"/>
                <w:szCs w:val="22"/>
              </w:rPr>
              <w:t>2.</w:t>
            </w:r>
            <w:r w:rsidR="00CD7D2B" w:rsidRPr="00226DBE">
              <w:rPr>
                <w:rFonts w:asciiTheme="minorHAnsi" w:hAnsiTheme="minorHAnsi"/>
                <w:sz w:val="22"/>
                <w:szCs w:val="22"/>
              </w:rPr>
              <w:t>0</w:t>
            </w:r>
          </w:p>
        </w:tc>
        <w:tc>
          <w:tcPr>
            <w:tcW w:w="599" w:type="dxa"/>
            <w:noWrap/>
            <w:vAlign w:val="center"/>
          </w:tcPr>
          <w:p w14:paraId="6B7AAF6B" w14:textId="3D5B186E" w:rsidR="0034604F" w:rsidRPr="00226DBE" w:rsidRDefault="0034604F" w:rsidP="00CD7D2B">
            <w:pPr>
              <w:spacing w:after="120" w:line="360" w:lineRule="auto"/>
              <w:jc w:val="left"/>
              <w:rPr>
                <w:rFonts w:asciiTheme="minorHAnsi" w:hAnsiTheme="minorHAnsi"/>
                <w:sz w:val="22"/>
                <w:szCs w:val="22"/>
              </w:rPr>
            </w:pPr>
            <w:r w:rsidRPr="00226DBE">
              <w:rPr>
                <w:rFonts w:asciiTheme="minorHAnsi" w:hAnsiTheme="minorHAnsi"/>
                <w:sz w:val="22"/>
                <w:szCs w:val="22"/>
              </w:rPr>
              <w:t>2.</w:t>
            </w:r>
            <w:r w:rsidR="00CD7D2B" w:rsidRPr="00226DBE">
              <w:rPr>
                <w:rFonts w:asciiTheme="minorHAnsi" w:hAnsiTheme="minorHAnsi"/>
                <w:sz w:val="22"/>
                <w:szCs w:val="22"/>
              </w:rPr>
              <w:t>5</w:t>
            </w:r>
          </w:p>
        </w:tc>
        <w:tc>
          <w:tcPr>
            <w:tcW w:w="599" w:type="dxa"/>
            <w:noWrap/>
            <w:vAlign w:val="center"/>
          </w:tcPr>
          <w:p w14:paraId="5CA8987A" w14:textId="6AC4F944" w:rsidR="0034604F" w:rsidRPr="00226DBE" w:rsidRDefault="0034604F" w:rsidP="00CD7D2B">
            <w:pPr>
              <w:spacing w:after="120" w:line="360" w:lineRule="auto"/>
              <w:jc w:val="left"/>
              <w:rPr>
                <w:rFonts w:asciiTheme="minorHAnsi" w:hAnsiTheme="minorHAnsi"/>
                <w:sz w:val="22"/>
                <w:szCs w:val="22"/>
              </w:rPr>
            </w:pPr>
            <w:r w:rsidRPr="00226DBE">
              <w:rPr>
                <w:rFonts w:asciiTheme="minorHAnsi" w:hAnsiTheme="minorHAnsi"/>
                <w:sz w:val="22"/>
                <w:szCs w:val="22"/>
              </w:rPr>
              <w:t>3.</w:t>
            </w:r>
            <w:r w:rsidR="00CD7D2B" w:rsidRPr="00226DBE">
              <w:rPr>
                <w:rFonts w:asciiTheme="minorHAnsi" w:hAnsiTheme="minorHAnsi"/>
                <w:sz w:val="22"/>
                <w:szCs w:val="22"/>
              </w:rPr>
              <w:t>1</w:t>
            </w:r>
          </w:p>
        </w:tc>
        <w:tc>
          <w:tcPr>
            <w:tcW w:w="599" w:type="dxa"/>
            <w:noWrap/>
            <w:vAlign w:val="center"/>
          </w:tcPr>
          <w:p w14:paraId="4AEE5CDB" w14:textId="219BA695" w:rsidR="0034604F" w:rsidRPr="00226DBE" w:rsidRDefault="00CD7D2B" w:rsidP="00CD7D2B">
            <w:pPr>
              <w:spacing w:after="120" w:line="360" w:lineRule="auto"/>
              <w:jc w:val="left"/>
              <w:rPr>
                <w:rFonts w:asciiTheme="minorHAnsi" w:hAnsiTheme="minorHAnsi"/>
                <w:sz w:val="22"/>
                <w:szCs w:val="22"/>
              </w:rPr>
            </w:pPr>
            <w:r w:rsidRPr="00226DBE">
              <w:rPr>
                <w:rFonts w:asciiTheme="minorHAnsi" w:hAnsiTheme="minorHAnsi"/>
                <w:sz w:val="22"/>
                <w:szCs w:val="22"/>
              </w:rPr>
              <w:t>3.8</w:t>
            </w:r>
          </w:p>
        </w:tc>
        <w:tc>
          <w:tcPr>
            <w:tcW w:w="599" w:type="dxa"/>
            <w:noWrap/>
            <w:vAlign w:val="center"/>
          </w:tcPr>
          <w:p w14:paraId="356D23E9" w14:textId="6B5265C9" w:rsidR="0034604F" w:rsidRPr="00226DBE" w:rsidRDefault="00CD7D2B" w:rsidP="00CD7D2B">
            <w:pPr>
              <w:spacing w:after="120" w:line="360" w:lineRule="auto"/>
              <w:jc w:val="left"/>
              <w:rPr>
                <w:rFonts w:asciiTheme="minorHAnsi" w:hAnsiTheme="minorHAnsi"/>
                <w:sz w:val="22"/>
                <w:szCs w:val="22"/>
              </w:rPr>
            </w:pPr>
            <w:r w:rsidRPr="00226DBE">
              <w:rPr>
                <w:rFonts w:asciiTheme="minorHAnsi" w:hAnsiTheme="minorHAnsi"/>
                <w:sz w:val="22"/>
                <w:szCs w:val="22"/>
              </w:rPr>
              <w:t>4.7</w:t>
            </w:r>
          </w:p>
        </w:tc>
        <w:tc>
          <w:tcPr>
            <w:tcW w:w="599" w:type="dxa"/>
            <w:noWrap/>
            <w:vAlign w:val="center"/>
          </w:tcPr>
          <w:p w14:paraId="37078021" w14:textId="5317D10C" w:rsidR="0034604F" w:rsidRPr="00226DBE" w:rsidRDefault="00CD7D2B" w:rsidP="00CD7D2B">
            <w:pPr>
              <w:spacing w:after="120" w:line="360" w:lineRule="auto"/>
              <w:jc w:val="left"/>
              <w:rPr>
                <w:rFonts w:asciiTheme="minorHAnsi" w:hAnsiTheme="minorHAnsi"/>
                <w:sz w:val="22"/>
                <w:szCs w:val="22"/>
              </w:rPr>
            </w:pPr>
            <w:r w:rsidRPr="00226DBE">
              <w:rPr>
                <w:rFonts w:asciiTheme="minorHAnsi" w:hAnsiTheme="minorHAnsi"/>
                <w:sz w:val="22"/>
                <w:szCs w:val="22"/>
              </w:rPr>
              <w:t>6.2</w:t>
            </w:r>
          </w:p>
        </w:tc>
        <w:tc>
          <w:tcPr>
            <w:tcW w:w="599" w:type="dxa"/>
            <w:noWrap/>
            <w:vAlign w:val="center"/>
          </w:tcPr>
          <w:p w14:paraId="35CB4DB4" w14:textId="53BB8B1B" w:rsidR="0034604F" w:rsidRPr="00226DBE" w:rsidRDefault="00CD7D2B" w:rsidP="00060592">
            <w:pPr>
              <w:spacing w:after="120" w:line="360" w:lineRule="auto"/>
              <w:jc w:val="left"/>
              <w:rPr>
                <w:rFonts w:asciiTheme="minorHAnsi" w:hAnsiTheme="minorHAnsi"/>
                <w:sz w:val="22"/>
                <w:szCs w:val="22"/>
              </w:rPr>
            </w:pPr>
            <w:r w:rsidRPr="00226DBE">
              <w:rPr>
                <w:rFonts w:asciiTheme="minorHAnsi" w:hAnsiTheme="minorHAnsi"/>
                <w:sz w:val="22"/>
                <w:szCs w:val="22"/>
              </w:rPr>
              <w:t>8</w:t>
            </w:r>
            <w:r w:rsidR="00060592" w:rsidRPr="00226DBE">
              <w:rPr>
                <w:rFonts w:asciiTheme="minorHAnsi" w:hAnsiTheme="minorHAnsi"/>
                <w:sz w:val="22"/>
                <w:szCs w:val="22"/>
              </w:rPr>
              <w:t>.</w:t>
            </w:r>
            <w:r w:rsidRPr="00226DBE">
              <w:rPr>
                <w:rFonts w:asciiTheme="minorHAnsi" w:hAnsiTheme="minorHAnsi"/>
                <w:sz w:val="22"/>
                <w:szCs w:val="22"/>
              </w:rPr>
              <w:t>5</w:t>
            </w:r>
          </w:p>
        </w:tc>
        <w:tc>
          <w:tcPr>
            <w:tcW w:w="599" w:type="dxa"/>
            <w:noWrap/>
            <w:vAlign w:val="center"/>
          </w:tcPr>
          <w:p w14:paraId="5370B274" w14:textId="5CD46B2A" w:rsidR="0034604F" w:rsidRPr="00226DBE" w:rsidRDefault="0034604F" w:rsidP="00CD7D2B">
            <w:pPr>
              <w:spacing w:after="120" w:line="360" w:lineRule="auto"/>
              <w:jc w:val="left"/>
              <w:rPr>
                <w:rFonts w:asciiTheme="minorHAnsi" w:hAnsiTheme="minorHAnsi"/>
                <w:sz w:val="22"/>
                <w:szCs w:val="22"/>
              </w:rPr>
            </w:pPr>
            <w:r w:rsidRPr="00226DBE">
              <w:rPr>
                <w:rFonts w:asciiTheme="minorHAnsi" w:hAnsiTheme="minorHAnsi"/>
                <w:sz w:val="22"/>
                <w:szCs w:val="22"/>
              </w:rPr>
              <w:t>1</w:t>
            </w:r>
            <w:r w:rsidR="00CD7D2B" w:rsidRPr="00226DBE">
              <w:rPr>
                <w:rFonts w:asciiTheme="minorHAnsi" w:hAnsiTheme="minorHAnsi"/>
                <w:sz w:val="22"/>
                <w:szCs w:val="22"/>
              </w:rPr>
              <w:t>2</w:t>
            </w:r>
          </w:p>
        </w:tc>
        <w:tc>
          <w:tcPr>
            <w:tcW w:w="599" w:type="dxa"/>
            <w:noWrap/>
            <w:vAlign w:val="center"/>
          </w:tcPr>
          <w:p w14:paraId="257AF198" w14:textId="5C201AB9" w:rsidR="0034604F" w:rsidRPr="00226DBE" w:rsidRDefault="0034604F" w:rsidP="00CD7D2B">
            <w:pPr>
              <w:spacing w:after="120" w:line="360" w:lineRule="auto"/>
              <w:jc w:val="left"/>
              <w:rPr>
                <w:rFonts w:asciiTheme="minorHAnsi" w:hAnsiTheme="minorHAnsi"/>
                <w:sz w:val="22"/>
                <w:szCs w:val="22"/>
              </w:rPr>
            </w:pPr>
            <w:r w:rsidRPr="00226DBE">
              <w:rPr>
                <w:rFonts w:asciiTheme="minorHAnsi" w:hAnsiTheme="minorHAnsi"/>
                <w:sz w:val="22"/>
                <w:szCs w:val="22"/>
              </w:rPr>
              <w:t>1</w:t>
            </w:r>
            <w:r w:rsidR="00CD7D2B" w:rsidRPr="00226DBE">
              <w:rPr>
                <w:rFonts w:asciiTheme="minorHAnsi" w:hAnsiTheme="minorHAnsi"/>
                <w:sz w:val="22"/>
                <w:szCs w:val="22"/>
              </w:rPr>
              <w:t>4</w:t>
            </w:r>
          </w:p>
        </w:tc>
      </w:tr>
      <w:tr w:rsidR="0034604F" w:rsidRPr="0034604F" w14:paraId="4E2E46CD" w14:textId="77777777" w:rsidTr="001A3E83">
        <w:trPr>
          <w:trHeight w:val="345"/>
        </w:trPr>
        <w:tc>
          <w:tcPr>
            <w:tcW w:w="2895" w:type="dxa"/>
            <w:noWrap/>
            <w:vAlign w:val="center"/>
          </w:tcPr>
          <w:p w14:paraId="41048B00" w14:textId="77777777" w:rsidR="0034604F" w:rsidRPr="00445857" w:rsidRDefault="0034604F" w:rsidP="0034604F">
            <w:pPr>
              <w:spacing w:after="120" w:line="360" w:lineRule="auto"/>
              <w:jc w:val="left"/>
              <w:rPr>
                <w:rFonts w:asciiTheme="minorHAnsi" w:hAnsiTheme="minorHAnsi"/>
                <w:sz w:val="22"/>
                <w:szCs w:val="22"/>
              </w:rPr>
            </w:pPr>
            <w:r w:rsidRPr="00445857">
              <w:rPr>
                <w:rFonts w:asciiTheme="minorHAnsi" w:hAnsiTheme="minorHAnsi"/>
                <w:sz w:val="22"/>
                <w:szCs w:val="22"/>
              </w:rPr>
              <w:t xml:space="preserve"> BMD T-Score -2.5 SD</w:t>
            </w:r>
            <w:r w:rsidRPr="00445857">
              <w:rPr>
                <w:rFonts w:asciiTheme="minorHAnsi" w:hAnsiTheme="minorHAnsi"/>
                <w:sz w:val="22"/>
                <w:szCs w:val="22"/>
                <w:vertAlign w:val="superscript"/>
              </w:rPr>
              <w:t>a</w:t>
            </w:r>
          </w:p>
        </w:tc>
        <w:tc>
          <w:tcPr>
            <w:tcW w:w="598" w:type="dxa"/>
          </w:tcPr>
          <w:p w14:paraId="665560EE" w14:textId="56AE1DB2" w:rsidR="0034604F" w:rsidRPr="00445857" w:rsidRDefault="0034604F" w:rsidP="00CD7D2B">
            <w:pPr>
              <w:spacing w:after="120" w:line="360" w:lineRule="auto"/>
              <w:jc w:val="left"/>
              <w:rPr>
                <w:rFonts w:asciiTheme="minorHAnsi" w:hAnsiTheme="minorHAnsi"/>
                <w:sz w:val="22"/>
                <w:szCs w:val="22"/>
              </w:rPr>
            </w:pPr>
            <w:r w:rsidRPr="00445857">
              <w:rPr>
                <w:rFonts w:asciiTheme="minorHAnsi" w:hAnsiTheme="minorHAnsi"/>
                <w:sz w:val="22"/>
                <w:szCs w:val="22"/>
              </w:rPr>
              <w:t>2.</w:t>
            </w:r>
            <w:r w:rsidR="00CD7D2B" w:rsidRPr="00445857">
              <w:rPr>
                <w:rFonts w:asciiTheme="minorHAnsi" w:hAnsiTheme="minorHAnsi"/>
                <w:sz w:val="22"/>
                <w:szCs w:val="22"/>
              </w:rPr>
              <w:t>6</w:t>
            </w:r>
          </w:p>
        </w:tc>
        <w:tc>
          <w:tcPr>
            <w:tcW w:w="599" w:type="dxa"/>
          </w:tcPr>
          <w:p w14:paraId="747473CF" w14:textId="70B6247B" w:rsidR="0034604F" w:rsidRPr="00445857" w:rsidRDefault="0034604F" w:rsidP="00CD7D2B">
            <w:pPr>
              <w:spacing w:after="120" w:line="360" w:lineRule="auto"/>
              <w:jc w:val="left"/>
              <w:rPr>
                <w:rFonts w:asciiTheme="minorHAnsi" w:hAnsiTheme="minorHAnsi"/>
                <w:sz w:val="22"/>
                <w:szCs w:val="22"/>
              </w:rPr>
            </w:pPr>
            <w:r w:rsidRPr="00445857">
              <w:rPr>
                <w:rFonts w:asciiTheme="minorHAnsi" w:hAnsiTheme="minorHAnsi"/>
                <w:sz w:val="22"/>
                <w:szCs w:val="22"/>
              </w:rPr>
              <w:t>3.</w:t>
            </w:r>
            <w:r w:rsidR="00CD7D2B" w:rsidRPr="00445857">
              <w:rPr>
                <w:rFonts w:asciiTheme="minorHAnsi" w:hAnsiTheme="minorHAnsi"/>
                <w:sz w:val="22"/>
                <w:szCs w:val="22"/>
              </w:rPr>
              <w:t>3</w:t>
            </w:r>
          </w:p>
        </w:tc>
        <w:tc>
          <w:tcPr>
            <w:tcW w:w="599" w:type="dxa"/>
            <w:noWrap/>
            <w:vAlign w:val="center"/>
          </w:tcPr>
          <w:p w14:paraId="328BB4E0" w14:textId="16A27554" w:rsidR="0034604F" w:rsidRPr="00445857" w:rsidRDefault="0034604F" w:rsidP="00CD7D2B">
            <w:pPr>
              <w:spacing w:after="120" w:line="360" w:lineRule="auto"/>
              <w:jc w:val="left"/>
              <w:rPr>
                <w:rFonts w:asciiTheme="minorHAnsi" w:hAnsiTheme="minorHAnsi"/>
                <w:sz w:val="22"/>
                <w:szCs w:val="22"/>
              </w:rPr>
            </w:pPr>
            <w:r w:rsidRPr="00445857">
              <w:rPr>
                <w:rFonts w:asciiTheme="minorHAnsi" w:hAnsiTheme="minorHAnsi"/>
                <w:sz w:val="22"/>
                <w:szCs w:val="22"/>
              </w:rPr>
              <w:t>4.</w:t>
            </w:r>
            <w:r w:rsidR="00CD7D2B" w:rsidRPr="00445857">
              <w:rPr>
                <w:rFonts w:asciiTheme="minorHAnsi" w:hAnsiTheme="minorHAnsi"/>
                <w:sz w:val="22"/>
                <w:szCs w:val="22"/>
              </w:rPr>
              <w:t>3</w:t>
            </w:r>
          </w:p>
        </w:tc>
        <w:tc>
          <w:tcPr>
            <w:tcW w:w="599" w:type="dxa"/>
            <w:noWrap/>
            <w:vAlign w:val="center"/>
          </w:tcPr>
          <w:p w14:paraId="34A6C5C6" w14:textId="717BC7B1" w:rsidR="0034604F" w:rsidRPr="00445857" w:rsidRDefault="0034604F" w:rsidP="00CD7D2B">
            <w:pPr>
              <w:spacing w:after="120" w:line="360" w:lineRule="auto"/>
              <w:jc w:val="left"/>
              <w:rPr>
                <w:rFonts w:asciiTheme="minorHAnsi" w:hAnsiTheme="minorHAnsi"/>
                <w:sz w:val="22"/>
                <w:szCs w:val="22"/>
              </w:rPr>
            </w:pPr>
            <w:r w:rsidRPr="00445857">
              <w:rPr>
                <w:rFonts w:asciiTheme="minorHAnsi" w:hAnsiTheme="minorHAnsi"/>
                <w:sz w:val="22"/>
                <w:szCs w:val="22"/>
              </w:rPr>
              <w:t>5.</w:t>
            </w:r>
            <w:r w:rsidR="00CD7D2B" w:rsidRPr="00445857">
              <w:rPr>
                <w:rFonts w:asciiTheme="minorHAnsi" w:hAnsiTheme="minorHAnsi"/>
                <w:sz w:val="22"/>
                <w:szCs w:val="22"/>
              </w:rPr>
              <w:t>3</w:t>
            </w:r>
          </w:p>
        </w:tc>
        <w:tc>
          <w:tcPr>
            <w:tcW w:w="599" w:type="dxa"/>
            <w:noWrap/>
            <w:vAlign w:val="center"/>
          </w:tcPr>
          <w:p w14:paraId="7CFE12F2" w14:textId="34A8C9A3" w:rsidR="0034604F" w:rsidRPr="00445857" w:rsidRDefault="0034604F" w:rsidP="00CD7D2B">
            <w:pPr>
              <w:spacing w:after="120" w:line="360" w:lineRule="auto"/>
              <w:jc w:val="left"/>
              <w:rPr>
                <w:rFonts w:asciiTheme="minorHAnsi" w:hAnsiTheme="minorHAnsi"/>
                <w:sz w:val="22"/>
                <w:szCs w:val="22"/>
              </w:rPr>
            </w:pPr>
            <w:r w:rsidRPr="00445857">
              <w:rPr>
                <w:rFonts w:asciiTheme="minorHAnsi" w:hAnsiTheme="minorHAnsi"/>
                <w:sz w:val="22"/>
                <w:szCs w:val="22"/>
              </w:rPr>
              <w:t>6.</w:t>
            </w:r>
            <w:r w:rsidR="00CD7D2B" w:rsidRPr="00445857">
              <w:rPr>
                <w:rFonts w:asciiTheme="minorHAnsi" w:hAnsiTheme="minorHAnsi"/>
                <w:sz w:val="22"/>
                <w:szCs w:val="22"/>
              </w:rPr>
              <w:t>0</w:t>
            </w:r>
          </w:p>
        </w:tc>
        <w:tc>
          <w:tcPr>
            <w:tcW w:w="599" w:type="dxa"/>
            <w:noWrap/>
            <w:vAlign w:val="center"/>
          </w:tcPr>
          <w:p w14:paraId="3A29BBD6" w14:textId="4A4C4144" w:rsidR="0034604F" w:rsidRPr="00445857" w:rsidRDefault="0034604F" w:rsidP="00CD7D2B">
            <w:pPr>
              <w:spacing w:after="120" w:line="360" w:lineRule="auto"/>
              <w:jc w:val="left"/>
              <w:rPr>
                <w:rFonts w:asciiTheme="minorHAnsi" w:hAnsiTheme="minorHAnsi"/>
                <w:sz w:val="22"/>
                <w:szCs w:val="22"/>
              </w:rPr>
            </w:pPr>
            <w:r w:rsidRPr="00445857">
              <w:rPr>
                <w:rFonts w:asciiTheme="minorHAnsi" w:hAnsiTheme="minorHAnsi"/>
                <w:sz w:val="22"/>
                <w:szCs w:val="22"/>
              </w:rPr>
              <w:t>6.</w:t>
            </w:r>
            <w:r w:rsidR="00CD7D2B" w:rsidRPr="00445857">
              <w:rPr>
                <w:rFonts w:asciiTheme="minorHAnsi" w:hAnsiTheme="minorHAnsi"/>
                <w:sz w:val="22"/>
                <w:szCs w:val="22"/>
              </w:rPr>
              <w:t>5</w:t>
            </w:r>
          </w:p>
        </w:tc>
        <w:tc>
          <w:tcPr>
            <w:tcW w:w="599" w:type="dxa"/>
            <w:noWrap/>
            <w:vAlign w:val="center"/>
          </w:tcPr>
          <w:p w14:paraId="6E17C633" w14:textId="6A709961" w:rsidR="0034604F" w:rsidRPr="00445857" w:rsidRDefault="0034604F" w:rsidP="00CD7D2B">
            <w:pPr>
              <w:spacing w:after="120" w:line="360" w:lineRule="auto"/>
              <w:jc w:val="left"/>
              <w:rPr>
                <w:rFonts w:asciiTheme="minorHAnsi" w:hAnsiTheme="minorHAnsi"/>
                <w:sz w:val="22"/>
                <w:szCs w:val="22"/>
              </w:rPr>
            </w:pPr>
            <w:r w:rsidRPr="00445857">
              <w:rPr>
                <w:rFonts w:asciiTheme="minorHAnsi" w:hAnsiTheme="minorHAnsi"/>
                <w:sz w:val="22"/>
                <w:szCs w:val="22"/>
              </w:rPr>
              <w:t>7.</w:t>
            </w:r>
            <w:r w:rsidR="00CD7D2B" w:rsidRPr="00445857">
              <w:rPr>
                <w:rFonts w:asciiTheme="minorHAnsi" w:hAnsiTheme="minorHAnsi"/>
                <w:sz w:val="22"/>
                <w:szCs w:val="22"/>
              </w:rPr>
              <w:t>1</w:t>
            </w:r>
          </w:p>
        </w:tc>
        <w:tc>
          <w:tcPr>
            <w:tcW w:w="599" w:type="dxa"/>
            <w:noWrap/>
            <w:vAlign w:val="center"/>
          </w:tcPr>
          <w:p w14:paraId="211B7AFB" w14:textId="7CB9099B" w:rsidR="0034604F" w:rsidRPr="00445857" w:rsidRDefault="0034604F" w:rsidP="00CD7D2B">
            <w:pPr>
              <w:spacing w:after="120" w:line="360" w:lineRule="auto"/>
              <w:jc w:val="left"/>
              <w:rPr>
                <w:rFonts w:asciiTheme="minorHAnsi" w:hAnsiTheme="minorHAnsi"/>
                <w:sz w:val="22"/>
                <w:szCs w:val="22"/>
              </w:rPr>
            </w:pPr>
            <w:r w:rsidRPr="00445857">
              <w:rPr>
                <w:rFonts w:asciiTheme="minorHAnsi" w:hAnsiTheme="minorHAnsi"/>
                <w:sz w:val="22"/>
                <w:szCs w:val="22"/>
              </w:rPr>
              <w:t>8.</w:t>
            </w:r>
            <w:r w:rsidR="00CD7D2B" w:rsidRPr="00445857">
              <w:rPr>
                <w:rFonts w:asciiTheme="minorHAnsi" w:hAnsiTheme="minorHAnsi"/>
                <w:sz w:val="22"/>
                <w:szCs w:val="22"/>
              </w:rPr>
              <w:t>0</w:t>
            </w:r>
          </w:p>
        </w:tc>
        <w:tc>
          <w:tcPr>
            <w:tcW w:w="599" w:type="dxa"/>
            <w:noWrap/>
            <w:vAlign w:val="center"/>
          </w:tcPr>
          <w:p w14:paraId="3649AAC1" w14:textId="61B28AAC" w:rsidR="0034604F" w:rsidRPr="00445857" w:rsidRDefault="00CD7D2B" w:rsidP="00CD7D2B">
            <w:pPr>
              <w:spacing w:after="120" w:line="360" w:lineRule="auto"/>
              <w:jc w:val="left"/>
              <w:rPr>
                <w:rFonts w:asciiTheme="minorHAnsi" w:hAnsiTheme="minorHAnsi"/>
                <w:sz w:val="22"/>
                <w:szCs w:val="22"/>
              </w:rPr>
            </w:pPr>
            <w:r w:rsidRPr="00445857">
              <w:rPr>
                <w:rFonts w:asciiTheme="minorHAnsi" w:hAnsiTheme="minorHAnsi"/>
                <w:sz w:val="22"/>
                <w:szCs w:val="22"/>
              </w:rPr>
              <w:t>9.5</w:t>
            </w:r>
          </w:p>
        </w:tc>
        <w:tc>
          <w:tcPr>
            <w:tcW w:w="599" w:type="dxa"/>
            <w:noWrap/>
            <w:vAlign w:val="center"/>
          </w:tcPr>
          <w:p w14:paraId="43287119" w14:textId="197EE2FF" w:rsidR="0034604F" w:rsidRPr="00445857" w:rsidRDefault="0034604F" w:rsidP="00CD7D2B">
            <w:pPr>
              <w:spacing w:after="120" w:line="360" w:lineRule="auto"/>
              <w:jc w:val="left"/>
              <w:rPr>
                <w:rFonts w:asciiTheme="minorHAnsi" w:hAnsiTheme="minorHAnsi"/>
                <w:sz w:val="22"/>
                <w:szCs w:val="22"/>
              </w:rPr>
            </w:pPr>
            <w:r w:rsidRPr="00445857">
              <w:rPr>
                <w:rFonts w:asciiTheme="minorHAnsi" w:hAnsiTheme="minorHAnsi"/>
                <w:sz w:val="22"/>
                <w:szCs w:val="22"/>
              </w:rPr>
              <w:t>1</w:t>
            </w:r>
            <w:r w:rsidR="00CD7D2B" w:rsidRPr="00445857">
              <w:rPr>
                <w:rFonts w:asciiTheme="minorHAnsi" w:hAnsiTheme="minorHAnsi"/>
                <w:sz w:val="22"/>
                <w:szCs w:val="22"/>
              </w:rPr>
              <w:t>1</w:t>
            </w:r>
          </w:p>
        </w:tc>
        <w:tc>
          <w:tcPr>
            <w:tcW w:w="599" w:type="dxa"/>
            <w:noWrap/>
            <w:vAlign w:val="center"/>
          </w:tcPr>
          <w:p w14:paraId="0187B4C3" w14:textId="77777777" w:rsidR="0034604F" w:rsidRPr="0034604F" w:rsidRDefault="0034604F" w:rsidP="0034604F">
            <w:pPr>
              <w:spacing w:after="120" w:line="360" w:lineRule="auto"/>
              <w:jc w:val="left"/>
              <w:rPr>
                <w:rFonts w:asciiTheme="minorHAnsi" w:hAnsiTheme="minorHAnsi"/>
                <w:sz w:val="22"/>
                <w:szCs w:val="22"/>
              </w:rPr>
            </w:pPr>
            <w:r w:rsidRPr="00445857">
              <w:rPr>
                <w:rFonts w:asciiTheme="minorHAnsi" w:hAnsiTheme="minorHAnsi"/>
                <w:sz w:val="22"/>
                <w:szCs w:val="22"/>
              </w:rPr>
              <w:t>13</w:t>
            </w:r>
          </w:p>
        </w:tc>
      </w:tr>
      <w:tr w:rsidR="0034604F" w:rsidRPr="0034604F" w14:paraId="3B63514F" w14:textId="77777777" w:rsidTr="001A3E83">
        <w:trPr>
          <w:trHeight w:val="345"/>
        </w:trPr>
        <w:tc>
          <w:tcPr>
            <w:tcW w:w="2895" w:type="dxa"/>
            <w:noWrap/>
            <w:vAlign w:val="center"/>
          </w:tcPr>
          <w:p w14:paraId="605EF586" w14:textId="77777777" w:rsidR="0034604F" w:rsidRPr="00487D01" w:rsidRDefault="0034604F" w:rsidP="0034604F">
            <w:pPr>
              <w:spacing w:after="120" w:line="360" w:lineRule="auto"/>
              <w:jc w:val="left"/>
              <w:rPr>
                <w:rFonts w:asciiTheme="minorHAnsi" w:hAnsiTheme="minorHAnsi"/>
                <w:sz w:val="22"/>
                <w:szCs w:val="22"/>
              </w:rPr>
            </w:pPr>
            <w:r w:rsidRPr="0034604F">
              <w:rPr>
                <w:rFonts w:asciiTheme="minorHAnsi" w:hAnsiTheme="minorHAnsi"/>
                <w:sz w:val="22"/>
                <w:szCs w:val="22"/>
              </w:rPr>
              <w:t xml:space="preserve"> </w:t>
            </w:r>
            <w:r w:rsidRPr="006842B5">
              <w:rPr>
                <w:rFonts w:asciiTheme="minorHAnsi" w:hAnsiTheme="minorHAnsi"/>
                <w:sz w:val="22"/>
                <w:szCs w:val="22"/>
              </w:rPr>
              <w:t>Previous fracture</w:t>
            </w:r>
            <w:r w:rsidRPr="00487D01">
              <w:rPr>
                <w:rFonts w:asciiTheme="minorHAnsi" w:hAnsiTheme="minorHAnsi"/>
                <w:sz w:val="22"/>
                <w:szCs w:val="22"/>
                <w:vertAlign w:val="superscript"/>
              </w:rPr>
              <w:t>a</w:t>
            </w:r>
          </w:p>
        </w:tc>
        <w:tc>
          <w:tcPr>
            <w:tcW w:w="598" w:type="dxa"/>
          </w:tcPr>
          <w:p w14:paraId="35FDECD2" w14:textId="33D70370" w:rsidR="0034604F" w:rsidRPr="001E1F2B" w:rsidRDefault="0034604F" w:rsidP="00CD7D2B">
            <w:pPr>
              <w:spacing w:after="120" w:line="360" w:lineRule="auto"/>
              <w:jc w:val="left"/>
              <w:rPr>
                <w:rFonts w:asciiTheme="minorHAnsi" w:hAnsiTheme="minorHAnsi"/>
                <w:sz w:val="22"/>
                <w:szCs w:val="22"/>
              </w:rPr>
            </w:pPr>
            <w:r w:rsidRPr="001E1F2B">
              <w:rPr>
                <w:rFonts w:asciiTheme="minorHAnsi" w:hAnsiTheme="minorHAnsi"/>
                <w:sz w:val="22"/>
                <w:szCs w:val="22"/>
              </w:rPr>
              <w:t>2.</w:t>
            </w:r>
            <w:r w:rsidR="00CD7D2B" w:rsidRPr="001E1F2B">
              <w:rPr>
                <w:rFonts w:asciiTheme="minorHAnsi" w:hAnsiTheme="minorHAnsi"/>
                <w:sz w:val="22"/>
                <w:szCs w:val="22"/>
              </w:rPr>
              <w:t>3</w:t>
            </w:r>
          </w:p>
        </w:tc>
        <w:tc>
          <w:tcPr>
            <w:tcW w:w="599" w:type="dxa"/>
          </w:tcPr>
          <w:p w14:paraId="697317A4" w14:textId="5AABBF5F" w:rsidR="0034604F" w:rsidRPr="000157C6" w:rsidRDefault="0034604F" w:rsidP="00CD7D2B">
            <w:pPr>
              <w:spacing w:after="120" w:line="360" w:lineRule="auto"/>
              <w:jc w:val="left"/>
              <w:rPr>
                <w:rFonts w:asciiTheme="minorHAnsi" w:hAnsiTheme="minorHAnsi"/>
                <w:sz w:val="22"/>
                <w:szCs w:val="22"/>
              </w:rPr>
            </w:pPr>
            <w:r w:rsidRPr="001E1F2B">
              <w:rPr>
                <w:rFonts w:asciiTheme="minorHAnsi" w:hAnsiTheme="minorHAnsi"/>
                <w:sz w:val="22"/>
                <w:szCs w:val="22"/>
              </w:rPr>
              <w:t>3.</w:t>
            </w:r>
            <w:r w:rsidR="00CD7D2B" w:rsidRPr="001E1F2B">
              <w:rPr>
                <w:rFonts w:asciiTheme="minorHAnsi" w:hAnsiTheme="minorHAnsi"/>
                <w:sz w:val="22"/>
                <w:szCs w:val="22"/>
              </w:rPr>
              <w:t>2</w:t>
            </w:r>
          </w:p>
        </w:tc>
        <w:tc>
          <w:tcPr>
            <w:tcW w:w="599" w:type="dxa"/>
            <w:noWrap/>
            <w:vAlign w:val="center"/>
          </w:tcPr>
          <w:p w14:paraId="7F5EE93B" w14:textId="09D977A2" w:rsidR="0034604F" w:rsidRPr="006842B5" w:rsidRDefault="0034604F" w:rsidP="00CD7D2B">
            <w:pPr>
              <w:spacing w:after="120" w:line="360" w:lineRule="auto"/>
              <w:jc w:val="left"/>
              <w:rPr>
                <w:rFonts w:asciiTheme="minorHAnsi" w:hAnsiTheme="minorHAnsi"/>
                <w:sz w:val="22"/>
                <w:szCs w:val="22"/>
              </w:rPr>
            </w:pPr>
            <w:r w:rsidRPr="006842B5">
              <w:rPr>
                <w:rFonts w:asciiTheme="minorHAnsi" w:hAnsiTheme="minorHAnsi"/>
                <w:sz w:val="22"/>
                <w:szCs w:val="22"/>
              </w:rPr>
              <w:t>4.</w:t>
            </w:r>
            <w:r w:rsidR="00CD7D2B" w:rsidRPr="006842B5">
              <w:rPr>
                <w:rFonts w:asciiTheme="minorHAnsi" w:hAnsiTheme="minorHAnsi"/>
                <w:sz w:val="22"/>
                <w:szCs w:val="22"/>
              </w:rPr>
              <w:t>3</w:t>
            </w:r>
          </w:p>
        </w:tc>
        <w:tc>
          <w:tcPr>
            <w:tcW w:w="599" w:type="dxa"/>
            <w:noWrap/>
            <w:vAlign w:val="center"/>
          </w:tcPr>
          <w:p w14:paraId="772689E5" w14:textId="76CF2657" w:rsidR="0034604F" w:rsidRPr="006842B5" w:rsidRDefault="00CD7D2B" w:rsidP="00CD7D2B">
            <w:pPr>
              <w:spacing w:after="120" w:line="360" w:lineRule="auto"/>
              <w:jc w:val="left"/>
              <w:rPr>
                <w:rFonts w:asciiTheme="minorHAnsi" w:hAnsiTheme="minorHAnsi"/>
                <w:sz w:val="22"/>
                <w:szCs w:val="22"/>
              </w:rPr>
            </w:pPr>
            <w:r w:rsidRPr="006842B5">
              <w:rPr>
                <w:rFonts w:asciiTheme="minorHAnsi" w:hAnsiTheme="minorHAnsi"/>
                <w:sz w:val="22"/>
                <w:szCs w:val="22"/>
              </w:rPr>
              <w:t>5.4</w:t>
            </w:r>
          </w:p>
        </w:tc>
        <w:tc>
          <w:tcPr>
            <w:tcW w:w="599" w:type="dxa"/>
            <w:noWrap/>
            <w:vAlign w:val="center"/>
          </w:tcPr>
          <w:p w14:paraId="1C851400" w14:textId="03FEC30F" w:rsidR="0034604F" w:rsidRPr="006842B5" w:rsidRDefault="00CD7D2B" w:rsidP="00CD7D2B">
            <w:pPr>
              <w:spacing w:after="120" w:line="360" w:lineRule="auto"/>
              <w:jc w:val="left"/>
              <w:rPr>
                <w:rFonts w:asciiTheme="minorHAnsi" w:hAnsiTheme="minorHAnsi"/>
                <w:sz w:val="22"/>
                <w:szCs w:val="22"/>
              </w:rPr>
            </w:pPr>
            <w:r w:rsidRPr="006842B5">
              <w:rPr>
                <w:rFonts w:asciiTheme="minorHAnsi" w:hAnsiTheme="minorHAnsi"/>
                <w:sz w:val="22"/>
                <w:szCs w:val="22"/>
              </w:rPr>
              <w:t>6.5</w:t>
            </w:r>
          </w:p>
        </w:tc>
        <w:tc>
          <w:tcPr>
            <w:tcW w:w="599" w:type="dxa"/>
            <w:noWrap/>
            <w:vAlign w:val="center"/>
          </w:tcPr>
          <w:p w14:paraId="385CF694" w14:textId="5F8DB5D8" w:rsidR="0034604F" w:rsidRPr="006842B5" w:rsidRDefault="00CD7D2B" w:rsidP="00CD7D2B">
            <w:pPr>
              <w:spacing w:after="120" w:line="360" w:lineRule="auto"/>
              <w:jc w:val="left"/>
              <w:rPr>
                <w:rFonts w:asciiTheme="minorHAnsi" w:hAnsiTheme="minorHAnsi"/>
                <w:sz w:val="22"/>
                <w:szCs w:val="22"/>
              </w:rPr>
            </w:pPr>
            <w:r w:rsidRPr="006842B5">
              <w:rPr>
                <w:rFonts w:asciiTheme="minorHAnsi" w:hAnsiTheme="minorHAnsi"/>
                <w:sz w:val="22"/>
                <w:szCs w:val="22"/>
              </w:rPr>
              <w:t>7.6</w:t>
            </w:r>
          </w:p>
        </w:tc>
        <w:tc>
          <w:tcPr>
            <w:tcW w:w="599" w:type="dxa"/>
            <w:noWrap/>
            <w:vAlign w:val="center"/>
          </w:tcPr>
          <w:p w14:paraId="616C568B" w14:textId="5A85FD6D" w:rsidR="0034604F" w:rsidRPr="006842B5" w:rsidRDefault="00CD7D2B" w:rsidP="00CD7D2B">
            <w:pPr>
              <w:spacing w:after="120" w:line="360" w:lineRule="auto"/>
              <w:jc w:val="left"/>
              <w:rPr>
                <w:rFonts w:asciiTheme="minorHAnsi" w:hAnsiTheme="minorHAnsi"/>
                <w:sz w:val="22"/>
                <w:szCs w:val="22"/>
              </w:rPr>
            </w:pPr>
            <w:r w:rsidRPr="006842B5">
              <w:rPr>
                <w:rFonts w:asciiTheme="minorHAnsi" w:hAnsiTheme="minorHAnsi"/>
                <w:sz w:val="22"/>
                <w:szCs w:val="22"/>
              </w:rPr>
              <w:t>9.0</w:t>
            </w:r>
          </w:p>
        </w:tc>
        <w:tc>
          <w:tcPr>
            <w:tcW w:w="599" w:type="dxa"/>
            <w:noWrap/>
            <w:vAlign w:val="center"/>
          </w:tcPr>
          <w:p w14:paraId="1440F6FA" w14:textId="61583642" w:rsidR="0034604F" w:rsidRPr="006842B5" w:rsidRDefault="0034604F" w:rsidP="00CD7D2B">
            <w:pPr>
              <w:spacing w:after="120" w:line="360" w:lineRule="auto"/>
              <w:jc w:val="left"/>
              <w:rPr>
                <w:rFonts w:asciiTheme="minorHAnsi" w:hAnsiTheme="minorHAnsi"/>
                <w:sz w:val="22"/>
                <w:szCs w:val="22"/>
              </w:rPr>
            </w:pPr>
            <w:r w:rsidRPr="006842B5">
              <w:rPr>
                <w:rFonts w:asciiTheme="minorHAnsi" w:hAnsiTheme="minorHAnsi"/>
                <w:sz w:val="22"/>
                <w:szCs w:val="22"/>
              </w:rPr>
              <w:t>1</w:t>
            </w:r>
            <w:r w:rsidR="00CD7D2B" w:rsidRPr="006842B5">
              <w:rPr>
                <w:rFonts w:asciiTheme="minorHAnsi" w:hAnsiTheme="minorHAnsi"/>
                <w:sz w:val="22"/>
                <w:szCs w:val="22"/>
              </w:rPr>
              <w:t>1</w:t>
            </w:r>
          </w:p>
        </w:tc>
        <w:tc>
          <w:tcPr>
            <w:tcW w:w="599" w:type="dxa"/>
            <w:noWrap/>
            <w:vAlign w:val="center"/>
          </w:tcPr>
          <w:p w14:paraId="1B4F9E8D" w14:textId="10265EE4" w:rsidR="0034604F" w:rsidRPr="006842B5" w:rsidRDefault="0034604F" w:rsidP="00CD7D2B">
            <w:pPr>
              <w:spacing w:after="120" w:line="360" w:lineRule="auto"/>
              <w:jc w:val="left"/>
              <w:rPr>
                <w:rFonts w:asciiTheme="minorHAnsi" w:hAnsiTheme="minorHAnsi"/>
                <w:sz w:val="22"/>
                <w:szCs w:val="22"/>
              </w:rPr>
            </w:pPr>
            <w:r w:rsidRPr="006842B5">
              <w:rPr>
                <w:rFonts w:asciiTheme="minorHAnsi" w:hAnsiTheme="minorHAnsi"/>
                <w:sz w:val="22"/>
                <w:szCs w:val="22"/>
              </w:rPr>
              <w:t>1</w:t>
            </w:r>
            <w:r w:rsidR="00CD7D2B" w:rsidRPr="006842B5">
              <w:rPr>
                <w:rFonts w:asciiTheme="minorHAnsi" w:hAnsiTheme="minorHAnsi"/>
                <w:sz w:val="22"/>
                <w:szCs w:val="22"/>
              </w:rPr>
              <w:t>4</w:t>
            </w:r>
          </w:p>
        </w:tc>
        <w:tc>
          <w:tcPr>
            <w:tcW w:w="599" w:type="dxa"/>
            <w:noWrap/>
            <w:vAlign w:val="center"/>
          </w:tcPr>
          <w:p w14:paraId="588256DF" w14:textId="2B130D4C" w:rsidR="0034604F" w:rsidRPr="006842B5" w:rsidRDefault="00CD7D2B" w:rsidP="00CD7D2B">
            <w:pPr>
              <w:spacing w:after="120" w:line="360" w:lineRule="auto"/>
              <w:jc w:val="left"/>
              <w:rPr>
                <w:rFonts w:asciiTheme="minorHAnsi" w:hAnsiTheme="minorHAnsi"/>
                <w:sz w:val="22"/>
                <w:szCs w:val="22"/>
              </w:rPr>
            </w:pPr>
            <w:r w:rsidRPr="006842B5">
              <w:rPr>
                <w:rFonts w:asciiTheme="minorHAnsi" w:hAnsiTheme="minorHAnsi"/>
                <w:sz w:val="22"/>
                <w:szCs w:val="22"/>
              </w:rPr>
              <w:t>19</w:t>
            </w:r>
          </w:p>
        </w:tc>
        <w:tc>
          <w:tcPr>
            <w:tcW w:w="599" w:type="dxa"/>
            <w:noWrap/>
            <w:vAlign w:val="center"/>
          </w:tcPr>
          <w:p w14:paraId="1B4B8613" w14:textId="14F1E67E" w:rsidR="0034604F" w:rsidRPr="0034604F" w:rsidRDefault="0034604F" w:rsidP="00CD7D2B">
            <w:pPr>
              <w:spacing w:after="120" w:line="360" w:lineRule="auto"/>
              <w:jc w:val="left"/>
              <w:rPr>
                <w:rFonts w:asciiTheme="minorHAnsi" w:hAnsiTheme="minorHAnsi"/>
                <w:sz w:val="22"/>
                <w:szCs w:val="22"/>
              </w:rPr>
            </w:pPr>
            <w:r w:rsidRPr="006842B5">
              <w:rPr>
                <w:rFonts w:asciiTheme="minorHAnsi" w:hAnsiTheme="minorHAnsi"/>
                <w:sz w:val="22"/>
                <w:szCs w:val="22"/>
              </w:rPr>
              <w:t>2</w:t>
            </w:r>
            <w:r w:rsidR="00CD7D2B" w:rsidRPr="006842B5">
              <w:rPr>
                <w:rFonts w:asciiTheme="minorHAnsi" w:hAnsiTheme="minorHAnsi"/>
                <w:sz w:val="22"/>
                <w:szCs w:val="22"/>
              </w:rPr>
              <w:t>3</w:t>
            </w:r>
          </w:p>
        </w:tc>
      </w:tr>
      <w:tr w:rsidR="0034604F" w:rsidRPr="0034604F" w14:paraId="5111E043" w14:textId="77777777" w:rsidTr="001A3E83">
        <w:trPr>
          <w:trHeight w:val="345"/>
        </w:trPr>
        <w:tc>
          <w:tcPr>
            <w:tcW w:w="2895" w:type="dxa"/>
            <w:noWrap/>
            <w:vAlign w:val="center"/>
          </w:tcPr>
          <w:p w14:paraId="6C330556" w14:textId="77777777" w:rsidR="0034604F" w:rsidRPr="00592FB4" w:rsidRDefault="0034604F" w:rsidP="0034604F">
            <w:pPr>
              <w:spacing w:after="120" w:line="360" w:lineRule="auto"/>
              <w:jc w:val="left"/>
              <w:rPr>
                <w:rFonts w:asciiTheme="minorHAnsi" w:hAnsiTheme="minorHAnsi"/>
                <w:sz w:val="22"/>
                <w:szCs w:val="22"/>
              </w:rPr>
            </w:pPr>
            <w:r w:rsidRPr="0034604F">
              <w:rPr>
                <w:rFonts w:asciiTheme="minorHAnsi" w:hAnsiTheme="minorHAnsi"/>
                <w:sz w:val="22"/>
                <w:szCs w:val="22"/>
              </w:rPr>
              <w:t xml:space="preserve"> </w:t>
            </w:r>
            <w:r w:rsidRPr="00226DBE">
              <w:rPr>
                <w:rFonts w:asciiTheme="minorHAnsi" w:hAnsiTheme="minorHAnsi"/>
                <w:sz w:val="22"/>
                <w:szCs w:val="22"/>
              </w:rPr>
              <w:t>BMD T-Score -1.5 SD</w:t>
            </w:r>
            <w:r w:rsidRPr="00226DBE">
              <w:rPr>
                <w:rFonts w:asciiTheme="minorHAnsi" w:hAnsiTheme="minorHAnsi"/>
                <w:sz w:val="22"/>
                <w:szCs w:val="22"/>
                <w:vertAlign w:val="superscript"/>
              </w:rPr>
              <w:t>a</w:t>
            </w:r>
          </w:p>
        </w:tc>
        <w:tc>
          <w:tcPr>
            <w:tcW w:w="598" w:type="dxa"/>
          </w:tcPr>
          <w:p w14:paraId="7C609293" w14:textId="77777777" w:rsidR="0034604F" w:rsidRPr="001E1F2B" w:rsidRDefault="0034604F" w:rsidP="0034604F">
            <w:pPr>
              <w:spacing w:after="120" w:line="360" w:lineRule="auto"/>
              <w:jc w:val="left"/>
              <w:rPr>
                <w:rFonts w:asciiTheme="minorHAnsi" w:hAnsiTheme="minorHAnsi"/>
                <w:sz w:val="22"/>
                <w:szCs w:val="22"/>
              </w:rPr>
            </w:pPr>
            <w:r w:rsidRPr="001E1F2B">
              <w:rPr>
                <w:rFonts w:asciiTheme="minorHAnsi" w:hAnsiTheme="minorHAnsi"/>
                <w:sz w:val="22"/>
                <w:szCs w:val="22"/>
              </w:rPr>
              <w:t>1.6</w:t>
            </w:r>
          </w:p>
        </w:tc>
        <w:tc>
          <w:tcPr>
            <w:tcW w:w="599" w:type="dxa"/>
          </w:tcPr>
          <w:p w14:paraId="1FE4059E" w14:textId="67691B31" w:rsidR="0034604F" w:rsidRPr="001E1F2B" w:rsidRDefault="0034604F" w:rsidP="00CD7D2B">
            <w:pPr>
              <w:spacing w:after="120" w:line="360" w:lineRule="auto"/>
              <w:jc w:val="left"/>
              <w:rPr>
                <w:rFonts w:asciiTheme="minorHAnsi" w:hAnsiTheme="minorHAnsi"/>
                <w:sz w:val="22"/>
                <w:szCs w:val="22"/>
              </w:rPr>
            </w:pPr>
            <w:r w:rsidRPr="001E1F2B">
              <w:rPr>
                <w:rFonts w:asciiTheme="minorHAnsi" w:hAnsiTheme="minorHAnsi"/>
                <w:sz w:val="22"/>
                <w:szCs w:val="22"/>
              </w:rPr>
              <w:t>2.</w:t>
            </w:r>
            <w:r w:rsidR="00CD7D2B" w:rsidRPr="001E1F2B">
              <w:rPr>
                <w:rFonts w:asciiTheme="minorHAnsi" w:hAnsiTheme="minorHAnsi"/>
                <w:sz w:val="22"/>
                <w:szCs w:val="22"/>
              </w:rPr>
              <w:t>1</w:t>
            </w:r>
          </w:p>
        </w:tc>
        <w:tc>
          <w:tcPr>
            <w:tcW w:w="599" w:type="dxa"/>
            <w:noWrap/>
            <w:vAlign w:val="center"/>
          </w:tcPr>
          <w:p w14:paraId="09B84DC0" w14:textId="77777777" w:rsidR="0034604F" w:rsidRPr="000157C6" w:rsidRDefault="0034604F" w:rsidP="0034604F">
            <w:pPr>
              <w:spacing w:after="120" w:line="360" w:lineRule="auto"/>
              <w:jc w:val="left"/>
              <w:rPr>
                <w:rFonts w:asciiTheme="minorHAnsi" w:hAnsiTheme="minorHAnsi"/>
                <w:sz w:val="22"/>
                <w:szCs w:val="22"/>
              </w:rPr>
            </w:pPr>
            <w:r w:rsidRPr="000157C6">
              <w:rPr>
                <w:rFonts w:asciiTheme="minorHAnsi" w:hAnsiTheme="minorHAnsi"/>
                <w:sz w:val="22"/>
                <w:szCs w:val="22"/>
              </w:rPr>
              <w:t>2.8</w:t>
            </w:r>
          </w:p>
        </w:tc>
        <w:tc>
          <w:tcPr>
            <w:tcW w:w="599" w:type="dxa"/>
            <w:noWrap/>
            <w:vAlign w:val="center"/>
          </w:tcPr>
          <w:p w14:paraId="7E8B7FEF" w14:textId="46450DD4" w:rsidR="0034604F" w:rsidRPr="00226DBE" w:rsidRDefault="0034604F" w:rsidP="00CD7D2B">
            <w:pPr>
              <w:spacing w:after="120" w:line="360" w:lineRule="auto"/>
              <w:jc w:val="left"/>
              <w:rPr>
                <w:rFonts w:asciiTheme="minorHAnsi" w:hAnsiTheme="minorHAnsi"/>
                <w:sz w:val="22"/>
                <w:szCs w:val="22"/>
              </w:rPr>
            </w:pPr>
            <w:r w:rsidRPr="00226DBE">
              <w:rPr>
                <w:rFonts w:asciiTheme="minorHAnsi" w:hAnsiTheme="minorHAnsi"/>
                <w:sz w:val="22"/>
                <w:szCs w:val="22"/>
              </w:rPr>
              <w:t>3.</w:t>
            </w:r>
            <w:r w:rsidR="00CD7D2B" w:rsidRPr="00226DBE">
              <w:rPr>
                <w:rFonts w:asciiTheme="minorHAnsi" w:hAnsiTheme="minorHAnsi"/>
                <w:sz w:val="22"/>
                <w:szCs w:val="22"/>
              </w:rPr>
              <w:t>3</w:t>
            </w:r>
          </w:p>
        </w:tc>
        <w:tc>
          <w:tcPr>
            <w:tcW w:w="599" w:type="dxa"/>
            <w:noWrap/>
            <w:vAlign w:val="center"/>
          </w:tcPr>
          <w:p w14:paraId="48B7F513" w14:textId="62304E7D" w:rsidR="0034604F" w:rsidRPr="00226DBE" w:rsidRDefault="0034604F" w:rsidP="00CD7D2B">
            <w:pPr>
              <w:spacing w:after="120" w:line="360" w:lineRule="auto"/>
              <w:jc w:val="left"/>
              <w:rPr>
                <w:rFonts w:asciiTheme="minorHAnsi" w:hAnsiTheme="minorHAnsi"/>
                <w:sz w:val="22"/>
                <w:szCs w:val="22"/>
              </w:rPr>
            </w:pPr>
            <w:r w:rsidRPr="00226DBE">
              <w:rPr>
                <w:rFonts w:asciiTheme="minorHAnsi" w:hAnsiTheme="minorHAnsi"/>
                <w:sz w:val="22"/>
                <w:szCs w:val="22"/>
              </w:rPr>
              <w:t>3.</w:t>
            </w:r>
            <w:r w:rsidR="00CD7D2B" w:rsidRPr="00226DBE">
              <w:rPr>
                <w:rFonts w:asciiTheme="minorHAnsi" w:hAnsiTheme="minorHAnsi"/>
                <w:sz w:val="22"/>
                <w:szCs w:val="22"/>
              </w:rPr>
              <w:t>7</w:t>
            </w:r>
          </w:p>
        </w:tc>
        <w:tc>
          <w:tcPr>
            <w:tcW w:w="599" w:type="dxa"/>
            <w:noWrap/>
            <w:vAlign w:val="center"/>
          </w:tcPr>
          <w:p w14:paraId="5441C07A" w14:textId="723FEE65" w:rsidR="0034604F" w:rsidRPr="00226DBE" w:rsidRDefault="0034604F" w:rsidP="00CD7D2B">
            <w:pPr>
              <w:spacing w:after="120" w:line="360" w:lineRule="auto"/>
              <w:jc w:val="left"/>
              <w:rPr>
                <w:rFonts w:asciiTheme="minorHAnsi" w:hAnsiTheme="minorHAnsi"/>
                <w:sz w:val="22"/>
                <w:szCs w:val="22"/>
              </w:rPr>
            </w:pPr>
            <w:r w:rsidRPr="00226DBE">
              <w:rPr>
                <w:rFonts w:asciiTheme="minorHAnsi" w:hAnsiTheme="minorHAnsi"/>
                <w:sz w:val="22"/>
                <w:szCs w:val="22"/>
              </w:rPr>
              <w:t>4.</w:t>
            </w:r>
            <w:r w:rsidR="00CD7D2B" w:rsidRPr="00226DBE">
              <w:rPr>
                <w:rFonts w:asciiTheme="minorHAnsi" w:hAnsiTheme="minorHAnsi"/>
                <w:sz w:val="22"/>
                <w:szCs w:val="22"/>
              </w:rPr>
              <w:t>0</w:t>
            </w:r>
          </w:p>
        </w:tc>
        <w:tc>
          <w:tcPr>
            <w:tcW w:w="599" w:type="dxa"/>
            <w:noWrap/>
            <w:vAlign w:val="center"/>
          </w:tcPr>
          <w:p w14:paraId="7981FBB5" w14:textId="19A9827E" w:rsidR="0034604F" w:rsidRPr="00226DBE" w:rsidRDefault="0034604F" w:rsidP="00CD7D2B">
            <w:pPr>
              <w:spacing w:after="120" w:line="360" w:lineRule="auto"/>
              <w:jc w:val="left"/>
              <w:rPr>
                <w:rFonts w:asciiTheme="minorHAnsi" w:hAnsiTheme="minorHAnsi"/>
                <w:sz w:val="22"/>
                <w:szCs w:val="22"/>
              </w:rPr>
            </w:pPr>
            <w:r w:rsidRPr="00226DBE">
              <w:rPr>
                <w:rFonts w:asciiTheme="minorHAnsi" w:hAnsiTheme="minorHAnsi"/>
                <w:sz w:val="22"/>
                <w:szCs w:val="22"/>
              </w:rPr>
              <w:t>4.</w:t>
            </w:r>
            <w:r w:rsidR="00CD7D2B" w:rsidRPr="00226DBE">
              <w:rPr>
                <w:rFonts w:asciiTheme="minorHAnsi" w:hAnsiTheme="minorHAnsi"/>
                <w:sz w:val="22"/>
                <w:szCs w:val="22"/>
              </w:rPr>
              <w:t>4</w:t>
            </w:r>
          </w:p>
        </w:tc>
        <w:tc>
          <w:tcPr>
            <w:tcW w:w="599" w:type="dxa"/>
            <w:noWrap/>
            <w:vAlign w:val="center"/>
          </w:tcPr>
          <w:p w14:paraId="0AA24478" w14:textId="77777777" w:rsidR="0034604F" w:rsidRPr="00226DBE" w:rsidRDefault="0034604F" w:rsidP="0034604F">
            <w:pPr>
              <w:spacing w:after="120" w:line="360" w:lineRule="auto"/>
              <w:jc w:val="left"/>
              <w:rPr>
                <w:rFonts w:asciiTheme="minorHAnsi" w:hAnsiTheme="minorHAnsi"/>
                <w:sz w:val="22"/>
                <w:szCs w:val="22"/>
              </w:rPr>
            </w:pPr>
            <w:r w:rsidRPr="00226DBE">
              <w:rPr>
                <w:rFonts w:asciiTheme="minorHAnsi" w:hAnsiTheme="minorHAnsi"/>
                <w:sz w:val="22"/>
                <w:szCs w:val="22"/>
              </w:rPr>
              <w:t>5.2</w:t>
            </w:r>
          </w:p>
        </w:tc>
        <w:tc>
          <w:tcPr>
            <w:tcW w:w="599" w:type="dxa"/>
            <w:noWrap/>
            <w:vAlign w:val="center"/>
          </w:tcPr>
          <w:p w14:paraId="0E2970DC" w14:textId="16FFE189" w:rsidR="0034604F" w:rsidRPr="00226DBE" w:rsidRDefault="0034604F" w:rsidP="00CD7D2B">
            <w:pPr>
              <w:spacing w:after="120" w:line="360" w:lineRule="auto"/>
              <w:jc w:val="left"/>
              <w:rPr>
                <w:rFonts w:asciiTheme="minorHAnsi" w:hAnsiTheme="minorHAnsi"/>
                <w:sz w:val="22"/>
                <w:szCs w:val="22"/>
              </w:rPr>
            </w:pPr>
            <w:r w:rsidRPr="00226DBE">
              <w:rPr>
                <w:rFonts w:asciiTheme="minorHAnsi" w:hAnsiTheme="minorHAnsi"/>
                <w:sz w:val="22"/>
                <w:szCs w:val="22"/>
              </w:rPr>
              <w:t>6.</w:t>
            </w:r>
            <w:r w:rsidR="00CD7D2B" w:rsidRPr="00226DBE">
              <w:rPr>
                <w:rFonts w:asciiTheme="minorHAnsi" w:hAnsiTheme="minorHAnsi"/>
                <w:sz w:val="22"/>
                <w:szCs w:val="22"/>
              </w:rPr>
              <w:t>4</w:t>
            </w:r>
          </w:p>
        </w:tc>
        <w:tc>
          <w:tcPr>
            <w:tcW w:w="599" w:type="dxa"/>
            <w:noWrap/>
            <w:vAlign w:val="center"/>
          </w:tcPr>
          <w:p w14:paraId="66DB636A" w14:textId="717BFC5D" w:rsidR="0034604F" w:rsidRPr="001E1F2B" w:rsidRDefault="00CD7D2B" w:rsidP="00487D01">
            <w:pPr>
              <w:spacing w:after="120" w:line="360" w:lineRule="auto"/>
              <w:jc w:val="left"/>
              <w:rPr>
                <w:rFonts w:asciiTheme="minorHAnsi" w:hAnsiTheme="minorHAnsi"/>
                <w:sz w:val="22"/>
                <w:szCs w:val="22"/>
              </w:rPr>
            </w:pPr>
            <w:r w:rsidRPr="00226DBE">
              <w:rPr>
                <w:rFonts w:asciiTheme="minorHAnsi" w:hAnsiTheme="minorHAnsi"/>
                <w:sz w:val="22"/>
                <w:szCs w:val="22"/>
              </w:rPr>
              <w:t>7</w:t>
            </w:r>
            <w:r w:rsidR="00487D01" w:rsidRPr="00226DBE">
              <w:rPr>
                <w:rFonts w:asciiTheme="minorHAnsi" w:hAnsiTheme="minorHAnsi"/>
                <w:sz w:val="22"/>
                <w:szCs w:val="22"/>
              </w:rPr>
              <w:t>.</w:t>
            </w:r>
            <w:r w:rsidRPr="00226DBE">
              <w:rPr>
                <w:rFonts w:asciiTheme="minorHAnsi" w:hAnsiTheme="minorHAnsi"/>
                <w:sz w:val="22"/>
                <w:szCs w:val="22"/>
              </w:rPr>
              <w:t>9</w:t>
            </w:r>
          </w:p>
        </w:tc>
        <w:tc>
          <w:tcPr>
            <w:tcW w:w="599" w:type="dxa"/>
            <w:noWrap/>
            <w:vAlign w:val="center"/>
          </w:tcPr>
          <w:p w14:paraId="0981BBE4" w14:textId="77777777" w:rsidR="0034604F" w:rsidRPr="0034604F" w:rsidRDefault="0034604F" w:rsidP="0034604F">
            <w:pPr>
              <w:spacing w:after="120" w:line="360" w:lineRule="auto"/>
              <w:jc w:val="left"/>
              <w:rPr>
                <w:rFonts w:asciiTheme="minorHAnsi" w:hAnsiTheme="minorHAnsi"/>
                <w:sz w:val="22"/>
                <w:szCs w:val="22"/>
              </w:rPr>
            </w:pPr>
            <w:r w:rsidRPr="001E1F2B">
              <w:rPr>
                <w:rFonts w:asciiTheme="minorHAnsi" w:hAnsiTheme="minorHAnsi"/>
                <w:sz w:val="22"/>
                <w:szCs w:val="22"/>
              </w:rPr>
              <w:t>9.2</w:t>
            </w:r>
          </w:p>
        </w:tc>
      </w:tr>
      <w:tr w:rsidR="0034604F" w:rsidRPr="0034604F" w14:paraId="5F6EE35B" w14:textId="77777777" w:rsidTr="001A3E83">
        <w:trPr>
          <w:trHeight w:val="345"/>
        </w:trPr>
        <w:tc>
          <w:tcPr>
            <w:tcW w:w="2895" w:type="dxa"/>
            <w:noWrap/>
            <w:vAlign w:val="center"/>
          </w:tcPr>
          <w:p w14:paraId="35D53A4A" w14:textId="77777777" w:rsidR="0034604F" w:rsidRPr="0034604F" w:rsidRDefault="0034604F" w:rsidP="0034604F">
            <w:pPr>
              <w:spacing w:after="120" w:line="360" w:lineRule="auto"/>
              <w:jc w:val="left"/>
              <w:rPr>
                <w:rFonts w:asciiTheme="minorHAnsi" w:hAnsiTheme="minorHAnsi"/>
                <w:i/>
                <w:sz w:val="22"/>
                <w:szCs w:val="22"/>
              </w:rPr>
            </w:pPr>
            <w:r w:rsidRPr="0034604F">
              <w:rPr>
                <w:rFonts w:asciiTheme="minorHAnsi" w:hAnsiTheme="minorHAnsi"/>
                <w:i/>
                <w:sz w:val="22"/>
                <w:szCs w:val="22"/>
              </w:rPr>
              <w:t>Ratios between probabilities</w:t>
            </w:r>
          </w:p>
        </w:tc>
        <w:tc>
          <w:tcPr>
            <w:tcW w:w="598" w:type="dxa"/>
          </w:tcPr>
          <w:p w14:paraId="5029FB74" w14:textId="77777777" w:rsidR="0034604F" w:rsidRPr="0034604F" w:rsidRDefault="0034604F" w:rsidP="0034604F">
            <w:pPr>
              <w:spacing w:after="120" w:line="360" w:lineRule="auto"/>
              <w:jc w:val="left"/>
              <w:rPr>
                <w:rFonts w:asciiTheme="minorHAnsi" w:hAnsiTheme="minorHAnsi"/>
                <w:sz w:val="22"/>
                <w:szCs w:val="22"/>
              </w:rPr>
            </w:pPr>
          </w:p>
        </w:tc>
        <w:tc>
          <w:tcPr>
            <w:tcW w:w="599" w:type="dxa"/>
          </w:tcPr>
          <w:p w14:paraId="75A0716C" w14:textId="77777777" w:rsidR="0034604F" w:rsidRPr="0034604F" w:rsidRDefault="0034604F" w:rsidP="0034604F">
            <w:pPr>
              <w:spacing w:after="120" w:line="360" w:lineRule="auto"/>
              <w:jc w:val="left"/>
              <w:rPr>
                <w:rFonts w:asciiTheme="minorHAnsi" w:hAnsiTheme="minorHAnsi"/>
                <w:sz w:val="22"/>
                <w:szCs w:val="22"/>
              </w:rPr>
            </w:pPr>
          </w:p>
        </w:tc>
        <w:tc>
          <w:tcPr>
            <w:tcW w:w="599" w:type="dxa"/>
            <w:noWrap/>
            <w:vAlign w:val="center"/>
          </w:tcPr>
          <w:p w14:paraId="272C25BC" w14:textId="77777777" w:rsidR="0034604F" w:rsidRPr="0034604F" w:rsidRDefault="0034604F" w:rsidP="0034604F">
            <w:pPr>
              <w:spacing w:after="120" w:line="360" w:lineRule="auto"/>
              <w:jc w:val="left"/>
              <w:rPr>
                <w:rFonts w:asciiTheme="minorHAnsi" w:hAnsiTheme="minorHAnsi"/>
                <w:sz w:val="22"/>
                <w:szCs w:val="22"/>
              </w:rPr>
            </w:pPr>
          </w:p>
        </w:tc>
        <w:tc>
          <w:tcPr>
            <w:tcW w:w="599" w:type="dxa"/>
            <w:noWrap/>
            <w:vAlign w:val="center"/>
          </w:tcPr>
          <w:p w14:paraId="63B06D8B" w14:textId="77777777" w:rsidR="0034604F" w:rsidRPr="0034604F" w:rsidRDefault="0034604F" w:rsidP="0034604F">
            <w:pPr>
              <w:spacing w:after="120" w:line="360" w:lineRule="auto"/>
              <w:jc w:val="left"/>
              <w:rPr>
                <w:rFonts w:asciiTheme="minorHAnsi" w:hAnsiTheme="minorHAnsi"/>
                <w:sz w:val="22"/>
                <w:szCs w:val="22"/>
              </w:rPr>
            </w:pPr>
          </w:p>
        </w:tc>
        <w:tc>
          <w:tcPr>
            <w:tcW w:w="599" w:type="dxa"/>
            <w:noWrap/>
            <w:vAlign w:val="center"/>
          </w:tcPr>
          <w:p w14:paraId="02675BF2" w14:textId="77777777" w:rsidR="0034604F" w:rsidRPr="00886C8E" w:rsidRDefault="0034604F" w:rsidP="0034604F">
            <w:pPr>
              <w:spacing w:after="120" w:line="360" w:lineRule="auto"/>
              <w:jc w:val="left"/>
              <w:rPr>
                <w:rFonts w:asciiTheme="minorHAnsi" w:hAnsiTheme="minorHAnsi"/>
                <w:sz w:val="22"/>
                <w:szCs w:val="22"/>
              </w:rPr>
            </w:pPr>
          </w:p>
        </w:tc>
        <w:tc>
          <w:tcPr>
            <w:tcW w:w="599" w:type="dxa"/>
            <w:noWrap/>
            <w:vAlign w:val="center"/>
          </w:tcPr>
          <w:p w14:paraId="523EFC59" w14:textId="77777777" w:rsidR="0034604F" w:rsidRPr="00886C8E" w:rsidRDefault="0034604F" w:rsidP="0034604F">
            <w:pPr>
              <w:spacing w:after="120" w:line="360" w:lineRule="auto"/>
              <w:jc w:val="left"/>
              <w:rPr>
                <w:rFonts w:asciiTheme="minorHAnsi" w:hAnsiTheme="minorHAnsi"/>
                <w:sz w:val="22"/>
                <w:szCs w:val="22"/>
              </w:rPr>
            </w:pPr>
          </w:p>
        </w:tc>
        <w:tc>
          <w:tcPr>
            <w:tcW w:w="599" w:type="dxa"/>
            <w:noWrap/>
            <w:vAlign w:val="center"/>
          </w:tcPr>
          <w:p w14:paraId="5563CD55" w14:textId="77777777" w:rsidR="0034604F" w:rsidRPr="00886C8E" w:rsidRDefault="0034604F" w:rsidP="0034604F">
            <w:pPr>
              <w:spacing w:after="120" w:line="360" w:lineRule="auto"/>
              <w:jc w:val="left"/>
              <w:rPr>
                <w:rFonts w:asciiTheme="minorHAnsi" w:hAnsiTheme="minorHAnsi"/>
                <w:sz w:val="22"/>
                <w:szCs w:val="22"/>
              </w:rPr>
            </w:pPr>
          </w:p>
        </w:tc>
        <w:tc>
          <w:tcPr>
            <w:tcW w:w="599" w:type="dxa"/>
            <w:noWrap/>
            <w:vAlign w:val="center"/>
          </w:tcPr>
          <w:p w14:paraId="70C90F0A" w14:textId="77777777" w:rsidR="0034604F" w:rsidRPr="00886C8E" w:rsidRDefault="0034604F" w:rsidP="0034604F">
            <w:pPr>
              <w:spacing w:after="120" w:line="360" w:lineRule="auto"/>
              <w:jc w:val="left"/>
              <w:rPr>
                <w:rFonts w:asciiTheme="minorHAnsi" w:hAnsiTheme="minorHAnsi"/>
                <w:sz w:val="22"/>
                <w:szCs w:val="22"/>
              </w:rPr>
            </w:pPr>
          </w:p>
        </w:tc>
        <w:tc>
          <w:tcPr>
            <w:tcW w:w="599" w:type="dxa"/>
            <w:noWrap/>
            <w:vAlign w:val="center"/>
          </w:tcPr>
          <w:p w14:paraId="6C52F8AD" w14:textId="77777777" w:rsidR="0034604F" w:rsidRPr="00886C8E" w:rsidRDefault="0034604F" w:rsidP="0034604F">
            <w:pPr>
              <w:spacing w:after="120" w:line="360" w:lineRule="auto"/>
              <w:jc w:val="left"/>
              <w:rPr>
                <w:rFonts w:asciiTheme="minorHAnsi" w:hAnsiTheme="minorHAnsi"/>
                <w:sz w:val="22"/>
                <w:szCs w:val="22"/>
              </w:rPr>
            </w:pPr>
          </w:p>
        </w:tc>
        <w:tc>
          <w:tcPr>
            <w:tcW w:w="599" w:type="dxa"/>
            <w:noWrap/>
            <w:vAlign w:val="center"/>
          </w:tcPr>
          <w:p w14:paraId="461B0367" w14:textId="77777777" w:rsidR="0034604F" w:rsidRPr="00886C8E" w:rsidRDefault="0034604F" w:rsidP="0034604F">
            <w:pPr>
              <w:spacing w:after="120" w:line="360" w:lineRule="auto"/>
              <w:jc w:val="left"/>
              <w:rPr>
                <w:rFonts w:asciiTheme="minorHAnsi" w:hAnsiTheme="minorHAnsi"/>
                <w:sz w:val="22"/>
                <w:szCs w:val="22"/>
              </w:rPr>
            </w:pPr>
          </w:p>
        </w:tc>
        <w:tc>
          <w:tcPr>
            <w:tcW w:w="599" w:type="dxa"/>
            <w:noWrap/>
            <w:vAlign w:val="center"/>
          </w:tcPr>
          <w:p w14:paraId="155E5851" w14:textId="77777777" w:rsidR="0034604F" w:rsidRPr="0034604F" w:rsidRDefault="0034604F" w:rsidP="0034604F">
            <w:pPr>
              <w:spacing w:after="120" w:line="360" w:lineRule="auto"/>
              <w:jc w:val="left"/>
              <w:rPr>
                <w:rFonts w:asciiTheme="minorHAnsi" w:hAnsiTheme="minorHAnsi"/>
                <w:sz w:val="22"/>
                <w:szCs w:val="22"/>
              </w:rPr>
            </w:pPr>
          </w:p>
        </w:tc>
      </w:tr>
      <w:tr w:rsidR="0034604F" w:rsidRPr="0034604F" w14:paraId="6013B4A1" w14:textId="77777777" w:rsidTr="003F512D">
        <w:trPr>
          <w:trHeight w:val="345"/>
        </w:trPr>
        <w:tc>
          <w:tcPr>
            <w:tcW w:w="2895" w:type="dxa"/>
            <w:noWrap/>
            <w:vAlign w:val="center"/>
          </w:tcPr>
          <w:p w14:paraId="3C150249" w14:textId="7BC99CFA" w:rsidR="0034604F" w:rsidRPr="0034604F" w:rsidRDefault="0034604F" w:rsidP="0034604F">
            <w:pPr>
              <w:spacing w:after="120" w:line="360" w:lineRule="auto"/>
              <w:jc w:val="left"/>
              <w:rPr>
                <w:rFonts w:asciiTheme="minorHAnsi" w:hAnsiTheme="minorHAnsi"/>
                <w:sz w:val="22"/>
                <w:szCs w:val="22"/>
              </w:rPr>
            </w:pPr>
            <w:r w:rsidRPr="0034604F">
              <w:rPr>
                <w:rFonts w:asciiTheme="minorHAnsi" w:hAnsiTheme="minorHAnsi"/>
                <w:sz w:val="22"/>
                <w:szCs w:val="22"/>
              </w:rPr>
              <w:t xml:space="preserve">T-score -2.5 vs. No </w:t>
            </w:r>
            <w:r w:rsidR="003F512D">
              <w:rPr>
                <w:rFonts w:asciiTheme="minorHAnsi" w:hAnsiTheme="minorHAnsi"/>
                <w:sz w:val="22"/>
                <w:szCs w:val="22"/>
              </w:rPr>
              <w:t>CRF</w:t>
            </w:r>
          </w:p>
        </w:tc>
        <w:tc>
          <w:tcPr>
            <w:tcW w:w="598" w:type="dxa"/>
          </w:tcPr>
          <w:p w14:paraId="0D057766" w14:textId="780602E3" w:rsidR="0034604F" w:rsidRPr="0034604F" w:rsidRDefault="0034604F" w:rsidP="00060592">
            <w:pPr>
              <w:spacing w:after="120" w:line="360" w:lineRule="auto"/>
              <w:jc w:val="left"/>
              <w:rPr>
                <w:rFonts w:asciiTheme="minorHAnsi" w:hAnsiTheme="minorHAnsi"/>
                <w:sz w:val="22"/>
                <w:szCs w:val="22"/>
              </w:rPr>
            </w:pPr>
            <w:r w:rsidRPr="0034604F">
              <w:rPr>
                <w:rFonts w:asciiTheme="minorHAnsi" w:hAnsiTheme="minorHAnsi"/>
                <w:sz w:val="22"/>
                <w:szCs w:val="22"/>
              </w:rPr>
              <w:t>2.</w:t>
            </w:r>
            <w:r w:rsidR="00060592">
              <w:rPr>
                <w:rFonts w:asciiTheme="minorHAnsi" w:hAnsiTheme="minorHAnsi"/>
                <w:sz w:val="22"/>
                <w:szCs w:val="22"/>
              </w:rPr>
              <w:t>6</w:t>
            </w:r>
          </w:p>
        </w:tc>
        <w:tc>
          <w:tcPr>
            <w:tcW w:w="599" w:type="dxa"/>
          </w:tcPr>
          <w:p w14:paraId="25C24578" w14:textId="362E5911" w:rsidR="0034604F" w:rsidRPr="0034604F" w:rsidRDefault="0034604F" w:rsidP="00060592">
            <w:pPr>
              <w:spacing w:after="120" w:line="360" w:lineRule="auto"/>
              <w:jc w:val="left"/>
              <w:rPr>
                <w:rFonts w:asciiTheme="minorHAnsi" w:hAnsiTheme="minorHAnsi"/>
                <w:sz w:val="22"/>
                <w:szCs w:val="22"/>
              </w:rPr>
            </w:pPr>
            <w:r w:rsidRPr="0034604F">
              <w:rPr>
                <w:rFonts w:asciiTheme="minorHAnsi" w:hAnsiTheme="minorHAnsi"/>
                <w:sz w:val="22"/>
                <w:szCs w:val="22"/>
              </w:rPr>
              <w:t>2.</w:t>
            </w:r>
            <w:r w:rsidR="00060592">
              <w:rPr>
                <w:rFonts w:asciiTheme="minorHAnsi" w:hAnsiTheme="minorHAnsi"/>
                <w:sz w:val="22"/>
                <w:szCs w:val="22"/>
              </w:rPr>
              <w:t>4</w:t>
            </w:r>
          </w:p>
        </w:tc>
        <w:tc>
          <w:tcPr>
            <w:tcW w:w="599" w:type="dxa"/>
            <w:noWrap/>
            <w:vAlign w:val="center"/>
          </w:tcPr>
          <w:p w14:paraId="28EFD606" w14:textId="3638F079" w:rsidR="0034604F" w:rsidRPr="0034604F" w:rsidRDefault="0034604F" w:rsidP="00060592">
            <w:pPr>
              <w:spacing w:after="120" w:line="360" w:lineRule="auto"/>
              <w:jc w:val="left"/>
              <w:rPr>
                <w:rFonts w:asciiTheme="minorHAnsi" w:hAnsiTheme="minorHAnsi"/>
                <w:sz w:val="22"/>
                <w:szCs w:val="22"/>
              </w:rPr>
            </w:pPr>
            <w:r w:rsidRPr="0034604F">
              <w:rPr>
                <w:rFonts w:asciiTheme="minorHAnsi" w:hAnsiTheme="minorHAnsi"/>
                <w:sz w:val="22"/>
                <w:szCs w:val="22"/>
              </w:rPr>
              <w:t>2.</w:t>
            </w:r>
            <w:r w:rsidR="00060592">
              <w:rPr>
                <w:rFonts w:asciiTheme="minorHAnsi" w:hAnsiTheme="minorHAnsi"/>
                <w:sz w:val="22"/>
                <w:szCs w:val="22"/>
              </w:rPr>
              <w:t>2</w:t>
            </w:r>
          </w:p>
        </w:tc>
        <w:tc>
          <w:tcPr>
            <w:tcW w:w="599" w:type="dxa"/>
            <w:noWrap/>
            <w:vAlign w:val="center"/>
          </w:tcPr>
          <w:p w14:paraId="13F27E52" w14:textId="5305DA66" w:rsidR="0034604F" w:rsidRPr="0034604F" w:rsidRDefault="00060592" w:rsidP="00060592">
            <w:pPr>
              <w:spacing w:after="120" w:line="360" w:lineRule="auto"/>
              <w:jc w:val="left"/>
              <w:rPr>
                <w:rFonts w:asciiTheme="minorHAnsi" w:hAnsiTheme="minorHAnsi"/>
                <w:sz w:val="22"/>
                <w:szCs w:val="22"/>
              </w:rPr>
            </w:pPr>
            <w:r>
              <w:rPr>
                <w:rFonts w:asciiTheme="minorHAnsi" w:hAnsiTheme="minorHAnsi"/>
                <w:sz w:val="22"/>
                <w:szCs w:val="22"/>
              </w:rPr>
              <w:t>2.1</w:t>
            </w:r>
          </w:p>
        </w:tc>
        <w:tc>
          <w:tcPr>
            <w:tcW w:w="599" w:type="dxa"/>
            <w:noWrap/>
            <w:vAlign w:val="center"/>
          </w:tcPr>
          <w:p w14:paraId="58E4D6F8" w14:textId="7583E00B" w:rsidR="0034604F" w:rsidRPr="00886C8E" w:rsidRDefault="0034604F" w:rsidP="00060592">
            <w:pPr>
              <w:spacing w:after="120" w:line="360" w:lineRule="auto"/>
              <w:jc w:val="left"/>
              <w:rPr>
                <w:rFonts w:asciiTheme="minorHAnsi" w:hAnsiTheme="minorHAnsi"/>
                <w:sz w:val="22"/>
                <w:szCs w:val="22"/>
              </w:rPr>
            </w:pPr>
            <w:r w:rsidRPr="00886C8E">
              <w:rPr>
                <w:rFonts w:asciiTheme="minorHAnsi" w:hAnsiTheme="minorHAnsi"/>
                <w:sz w:val="22"/>
                <w:szCs w:val="22"/>
              </w:rPr>
              <w:t>1.</w:t>
            </w:r>
            <w:r w:rsidR="00060592">
              <w:rPr>
                <w:rFonts w:asciiTheme="minorHAnsi" w:hAnsiTheme="minorHAnsi"/>
                <w:sz w:val="22"/>
                <w:szCs w:val="22"/>
              </w:rPr>
              <w:t>9</w:t>
            </w:r>
          </w:p>
        </w:tc>
        <w:tc>
          <w:tcPr>
            <w:tcW w:w="599" w:type="dxa"/>
            <w:noWrap/>
            <w:vAlign w:val="center"/>
          </w:tcPr>
          <w:p w14:paraId="5E17D75C" w14:textId="7694DA42" w:rsidR="0034604F" w:rsidRPr="00886C8E" w:rsidRDefault="0034604F" w:rsidP="00060592">
            <w:pPr>
              <w:spacing w:after="120" w:line="360" w:lineRule="auto"/>
              <w:jc w:val="left"/>
              <w:rPr>
                <w:rFonts w:asciiTheme="minorHAnsi" w:hAnsiTheme="minorHAnsi"/>
                <w:sz w:val="22"/>
                <w:szCs w:val="22"/>
              </w:rPr>
            </w:pPr>
            <w:r w:rsidRPr="00886C8E">
              <w:rPr>
                <w:rFonts w:asciiTheme="minorHAnsi" w:hAnsiTheme="minorHAnsi"/>
                <w:sz w:val="22"/>
                <w:szCs w:val="22"/>
              </w:rPr>
              <w:t>1.</w:t>
            </w:r>
            <w:r w:rsidR="00060592">
              <w:rPr>
                <w:rFonts w:asciiTheme="minorHAnsi" w:hAnsiTheme="minorHAnsi"/>
                <w:sz w:val="22"/>
                <w:szCs w:val="22"/>
              </w:rPr>
              <w:t>7</w:t>
            </w:r>
          </w:p>
        </w:tc>
        <w:tc>
          <w:tcPr>
            <w:tcW w:w="599" w:type="dxa"/>
            <w:noWrap/>
            <w:vAlign w:val="center"/>
          </w:tcPr>
          <w:p w14:paraId="53ADDA82" w14:textId="3757D79B" w:rsidR="0034604F" w:rsidRPr="00886C8E" w:rsidRDefault="0034604F" w:rsidP="00060592">
            <w:pPr>
              <w:spacing w:after="120" w:line="360" w:lineRule="auto"/>
              <w:jc w:val="left"/>
              <w:rPr>
                <w:rFonts w:asciiTheme="minorHAnsi" w:hAnsiTheme="minorHAnsi"/>
                <w:sz w:val="22"/>
                <w:szCs w:val="22"/>
              </w:rPr>
            </w:pPr>
            <w:r w:rsidRPr="00886C8E">
              <w:rPr>
                <w:rFonts w:asciiTheme="minorHAnsi" w:hAnsiTheme="minorHAnsi"/>
                <w:sz w:val="22"/>
                <w:szCs w:val="22"/>
              </w:rPr>
              <w:t>1.</w:t>
            </w:r>
            <w:r w:rsidR="00060592">
              <w:rPr>
                <w:rFonts w:asciiTheme="minorHAnsi" w:hAnsiTheme="minorHAnsi"/>
                <w:sz w:val="22"/>
                <w:szCs w:val="22"/>
              </w:rPr>
              <w:t>5</w:t>
            </w:r>
          </w:p>
        </w:tc>
        <w:tc>
          <w:tcPr>
            <w:tcW w:w="599" w:type="dxa"/>
            <w:noWrap/>
            <w:vAlign w:val="center"/>
          </w:tcPr>
          <w:p w14:paraId="4FA49141" w14:textId="68EC2C3D" w:rsidR="0034604F" w:rsidRPr="00886C8E" w:rsidRDefault="0034604F" w:rsidP="00060592">
            <w:pPr>
              <w:spacing w:after="120" w:line="360" w:lineRule="auto"/>
              <w:jc w:val="left"/>
              <w:rPr>
                <w:rFonts w:asciiTheme="minorHAnsi" w:hAnsiTheme="minorHAnsi"/>
                <w:sz w:val="22"/>
                <w:szCs w:val="22"/>
              </w:rPr>
            </w:pPr>
            <w:r w:rsidRPr="00886C8E">
              <w:rPr>
                <w:rFonts w:asciiTheme="minorHAnsi" w:hAnsiTheme="minorHAnsi"/>
                <w:sz w:val="22"/>
                <w:szCs w:val="22"/>
              </w:rPr>
              <w:t>1.</w:t>
            </w:r>
            <w:r w:rsidR="00060592">
              <w:rPr>
                <w:rFonts w:asciiTheme="minorHAnsi" w:hAnsiTheme="minorHAnsi"/>
                <w:sz w:val="22"/>
                <w:szCs w:val="22"/>
              </w:rPr>
              <w:t>3</w:t>
            </w:r>
          </w:p>
        </w:tc>
        <w:tc>
          <w:tcPr>
            <w:tcW w:w="599" w:type="dxa"/>
            <w:noWrap/>
            <w:vAlign w:val="center"/>
          </w:tcPr>
          <w:p w14:paraId="77655742" w14:textId="018F0DAC" w:rsidR="0034604F" w:rsidRPr="00886C8E" w:rsidRDefault="0034604F" w:rsidP="00060592">
            <w:pPr>
              <w:spacing w:after="120" w:line="360" w:lineRule="auto"/>
              <w:jc w:val="left"/>
              <w:rPr>
                <w:rFonts w:asciiTheme="minorHAnsi" w:hAnsiTheme="minorHAnsi"/>
                <w:sz w:val="22"/>
                <w:szCs w:val="22"/>
              </w:rPr>
            </w:pPr>
            <w:r w:rsidRPr="00886C8E">
              <w:rPr>
                <w:rFonts w:asciiTheme="minorHAnsi" w:hAnsiTheme="minorHAnsi"/>
                <w:sz w:val="22"/>
                <w:szCs w:val="22"/>
              </w:rPr>
              <w:t>1.</w:t>
            </w:r>
            <w:r w:rsidR="00060592">
              <w:rPr>
                <w:rFonts w:asciiTheme="minorHAnsi" w:hAnsiTheme="minorHAnsi"/>
                <w:sz w:val="22"/>
                <w:szCs w:val="22"/>
              </w:rPr>
              <w:t>1</w:t>
            </w:r>
          </w:p>
        </w:tc>
        <w:tc>
          <w:tcPr>
            <w:tcW w:w="599" w:type="dxa"/>
            <w:noWrap/>
            <w:vAlign w:val="center"/>
          </w:tcPr>
          <w:p w14:paraId="05D1675B" w14:textId="77777777" w:rsidR="0034604F" w:rsidRPr="00886C8E" w:rsidRDefault="0034604F" w:rsidP="0034604F">
            <w:pPr>
              <w:spacing w:after="120" w:line="360" w:lineRule="auto"/>
              <w:jc w:val="left"/>
              <w:rPr>
                <w:rFonts w:asciiTheme="minorHAnsi" w:hAnsiTheme="minorHAnsi"/>
                <w:sz w:val="22"/>
                <w:szCs w:val="22"/>
              </w:rPr>
            </w:pPr>
            <w:r w:rsidRPr="00886C8E">
              <w:rPr>
                <w:rFonts w:asciiTheme="minorHAnsi" w:hAnsiTheme="minorHAnsi"/>
                <w:sz w:val="22"/>
                <w:szCs w:val="22"/>
              </w:rPr>
              <w:t>0.9</w:t>
            </w:r>
          </w:p>
        </w:tc>
        <w:tc>
          <w:tcPr>
            <w:tcW w:w="599" w:type="dxa"/>
            <w:noWrap/>
            <w:vAlign w:val="center"/>
          </w:tcPr>
          <w:p w14:paraId="4D76C295" w14:textId="275FCB03" w:rsidR="0034604F" w:rsidRPr="0034604F" w:rsidRDefault="0034604F" w:rsidP="00060592">
            <w:pPr>
              <w:spacing w:after="120" w:line="360" w:lineRule="auto"/>
              <w:jc w:val="left"/>
              <w:rPr>
                <w:rFonts w:asciiTheme="minorHAnsi" w:hAnsiTheme="minorHAnsi"/>
                <w:sz w:val="22"/>
                <w:szCs w:val="22"/>
              </w:rPr>
            </w:pPr>
            <w:r w:rsidRPr="0034604F">
              <w:rPr>
                <w:rFonts w:asciiTheme="minorHAnsi" w:hAnsiTheme="minorHAnsi"/>
                <w:sz w:val="22"/>
                <w:szCs w:val="22"/>
              </w:rPr>
              <w:t>0.</w:t>
            </w:r>
            <w:r w:rsidR="00060592">
              <w:rPr>
                <w:rFonts w:asciiTheme="minorHAnsi" w:hAnsiTheme="minorHAnsi"/>
                <w:sz w:val="22"/>
                <w:szCs w:val="22"/>
              </w:rPr>
              <w:t>9</w:t>
            </w:r>
          </w:p>
        </w:tc>
      </w:tr>
      <w:tr w:rsidR="0034604F" w:rsidRPr="0034604F" w14:paraId="4E038F51" w14:textId="77777777" w:rsidTr="003F512D">
        <w:trPr>
          <w:trHeight w:val="345"/>
        </w:trPr>
        <w:tc>
          <w:tcPr>
            <w:tcW w:w="2895" w:type="dxa"/>
            <w:noWrap/>
            <w:vAlign w:val="center"/>
          </w:tcPr>
          <w:p w14:paraId="6F0570E8" w14:textId="77777777" w:rsidR="0034604F" w:rsidRPr="0034604F" w:rsidRDefault="0034604F" w:rsidP="0034604F">
            <w:pPr>
              <w:spacing w:after="120" w:line="360" w:lineRule="auto"/>
              <w:jc w:val="left"/>
              <w:rPr>
                <w:rFonts w:asciiTheme="minorHAnsi" w:hAnsiTheme="minorHAnsi"/>
                <w:sz w:val="22"/>
                <w:szCs w:val="22"/>
              </w:rPr>
            </w:pPr>
            <w:r w:rsidRPr="0034604F">
              <w:rPr>
                <w:rFonts w:asciiTheme="minorHAnsi" w:hAnsiTheme="minorHAnsi"/>
                <w:sz w:val="22"/>
                <w:szCs w:val="22"/>
              </w:rPr>
              <w:t>Previous fracture vs. No CRF</w:t>
            </w:r>
          </w:p>
        </w:tc>
        <w:tc>
          <w:tcPr>
            <w:tcW w:w="598" w:type="dxa"/>
          </w:tcPr>
          <w:p w14:paraId="3EC96E1D" w14:textId="77777777" w:rsidR="0034604F" w:rsidRPr="0034604F" w:rsidRDefault="0034604F" w:rsidP="0034604F">
            <w:pPr>
              <w:spacing w:after="120" w:line="360" w:lineRule="auto"/>
              <w:jc w:val="left"/>
              <w:rPr>
                <w:rFonts w:asciiTheme="minorHAnsi" w:hAnsiTheme="minorHAnsi"/>
                <w:sz w:val="22"/>
                <w:szCs w:val="22"/>
              </w:rPr>
            </w:pPr>
            <w:r w:rsidRPr="0034604F">
              <w:rPr>
                <w:rFonts w:asciiTheme="minorHAnsi" w:hAnsiTheme="minorHAnsi"/>
                <w:sz w:val="22"/>
                <w:szCs w:val="22"/>
              </w:rPr>
              <w:t>2.3</w:t>
            </w:r>
          </w:p>
        </w:tc>
        <w:tc>
          <w:tcPr>
            <w:tcW w:w="599" w:type="dxa"/>
          </w:tcPr>
          <w:p w14:paraId="509235DC" w14:textId="77777777" w:rsidR="0034604F" w:rsidRPr="0034604F" w:rsidRDefault="0034604F" w:rsidP="0034604F">
            <w:pPr>
              <w:spacing w:after="120" w:line="360" w:lineRule="auto"/>
              <w:jc w:val="left"/>
              <w:rPr>
                <w:rFonts w:asciiTheme="minorHAnsi" w:hAnsiTheme="minorHAnsi"/>
                <w:sz w:val="22"/>
                <w:szCs w:val="22"/>
              </w:rPr>
            </w:pPr>
            <w:r w:rsidRPr="0034604F">
              <w:rPr>
                <w:rFonts w:asciiTheme="minorHAnsi" w:hAnsiTheme="minorHAnsi"/>
                <w:sz w:val="22"/>
                <w:szCs w:val="22"/>
              </w:rPr>
              <w:t>2.3</w:t>
            </w:r>
          </w:p>
        </w:tc>
        <w:tc>
          <w:tcPr>
            <w:tcW w:w="599" w:type="dxa"/>
            <w:noWrap/>
            <w:vAlign w:val="center"/>
          </w:tcPr>
          <w:p w14:paraId="14292545" w14:textId="16835356" w:rsidR="0034604F" w:rsidRPr="0034604F" w:rsidRDefault="0034604F" w:rsidP="00445857">
            <w:pPr>
              <w:spacing w:after="120" w:line="360" w:lineRule="auto"/>
              <w:jc w:val="left"/>
              <w:rPr>
                <w:rFonts w:asciiTheme="minorHAnsi" w:hAnsiTheme="minorHAnsi"/>
                <w:sz w:val="22"/>
                <w:szCs w:val="22"/>
              </w:rPr>
            </w:pPr>
            <w:r w:rsidRPr="0034604F">
              <w:rPr>
                <w:rFonts w:asciiTheme="minorHAnsi" w:hAnsiTheme="minorHAnsi"/>
                <w:sz w:val="22"/>
                <w:szCs w:val="22"/>
              </w:rPr>
              <w:t>2.</w:t>
            </w:r>
            <w:r w:rsidR="00445857">
              <w:rPr>
                <w:rFonts w:asciiTheme="minorHAnsi" w:hAnsiTheme="minorHAnsi"/>
                <w:sz w:val="22"/>
                <w:szCs w:val="22"/>
              </w:rPr>
              <w:t>2</w:t>
            </w:r>
          </w:p>
        </w:tc>
        <w:tc>
          <w:tcPr>
            <w:tcW w:w="599" w:type="dxa"/>
            <w:noWrap/>
            <w:vAlign w:val="center"/>
          </w:tcPr>
          <w:p w14:paraId="09879492" w14:textId="77777777" w:rsidR="0034604F" w:rsidRPr="0034604F" w:rsidRDefault="0034604F" w:rsidP="0034604F">
            <w:pPr>
              <w:spacing w:after="120" w:line="360" w:lineRule="auto"/>
              <w:jc w:val="left"/>
              <w:rPr>
                <w:rFonts w:asciiTheme="minorHAnsi" w:hAnsiTheme="minorHAnsi"/>
                <w:sz w:val="22"/>
                <w:szCs w:val="22"/>
              </w:rPr>
            </w:pPr>
            <w:r w:rsidRPr="0034604F">
              <w:rPr>
                <w:rFonts w:asciiTheme="minorHAnsi" w:hAnsiTheme="minorHAnsi"/>
                <w:sz w:val="22"/>
                <w:szCs w:val="22"/>
              </w:rPr>
              <w:t>2.2</w:t>
            </w:r>
          </w:p>
        </w:tc>
        <w:tc>
          <w:tcPr>
            <w:tcW w:w="599" w:type="dxa"/>
            <w:noWrap/>
            <w:vAlign w:val="center"/>
          </w:tcPr>
          <w:p w14:paraId="315B69F9" w14:textId="77777777" w:rsidR="0034604F" w:rsidRPr="00886C8E" w:rsidRDefault="0034604F" w:rsidP="0034604F">
            <w:pPr>
              <w:spacing w:after="120" w:line="360" w:lineRule="auto"/>
              <w:jc w:val="left"/>
              <w:rPr>
                <w:rFonts w:asciiTheme="minorHAnsi" w:hAnsiTheme="minorHAnsi"/>
                <w:sz w:val="22"/>
                <w:szCs w:val="22"/>
              </w:rPr>
            </w:pPr>
            <w:r w:rsidRPr="00886C8E">
              <w:rPr>
                <w:rFonts w:asciiTheme="minorHAnsi" w:hAnsiTheme="minorHAnsi"/>
                <w:sz w:val="22"/>
                <w:szCs w:val="22"/>
              </w:rPr>
              <w:t>2.1</w:t>
            </w:r>
          </w:p>
        </w:tc>
        <w:tc>
          <w:tcPr>
            <w:tcW w:w="599" w:type="dxa"/>
            <w:noWrap/>
            <w:vAlign w:val="center"/>
          </w:tcPr>
          <w:p w14:paraId="1AFD537F" w14:textId="77777777" w:rsidR="0034604F" w:rsidRPr="00886C8E" w:rsidRDefault="0034604F" w:rsidP="0034604F">
            <w:pPr>
              <w:spacing w:after="120" w:line="360" w:lineRule="auto"/>
              <w:jc w:val="left"/>
              <w:rPr>
                <w:rFonts w:asciiTheme="minorHAnsi" w:hAnsiTheme="minorHAnsi"/>
                <w:sz w:val="22"/>
                <w:szCs w:val="22"/>
              </w:rPr>
            </w:pPr>
            <w:r w:rsidRPr="00886C8E">
              <w:rPr>
                <w:rFonts w:asciiTheme="minorHAnsi" w:hAnsiTheme="minorHAnsi"/>
                <w:sz w:val="22"/>
                <w:szCs w:val="22"/>
              </w:rPr>
              <w:t>2.0</w:t>
            </w:r>
          </w:p>
        </w:tc>
        <w:tc>
          <w:tcPr>
            <w:tcW w:w="599" w:type="dxa"/>
            <w:noWrap/>
            <w:vAlign w:val="center"/>
          </w:tcPr>
          <w:p w14:paraId="0378E10B" w14:textId="4720D64B" w:rsidR="0034604F" w:rsidRPr="00886C8E" w:rsidRDefault="00445857" w:rsidP="00445857">
            <w:pPr>
              <w:spacing w:after="120" w:line="360" w:lineRule="auto"/>
              <w:jc w:val="left"/>
              <w:rPr>
                <w:rFonts w:asciiTheme="minorHAnsi" w:hAnsiTheme="minorHAnsi"/>
                <w:sz w:val="22"/>
                <w:szCs w:val="22"/>
              </w:rPr>
            </w:pPr>
            <w:r>
              <w:rPr>
                <w:rFonts w:asciiTheme="minorHAnsi" w:hAnsiTheme="minorHAnsi"/>
                <w:sz w:val="22"/>
                <w:szCs w:val="22"/>
              </w:rPr>
              <w:t>1.9</w:t>
            </w:r>
          </w:p>
        </w:tc>
        <w:tc>
          <w:tcPr>
            <w:tcW w:w="599" w:type="dxa"/>
            <w:noWrap/>
            <w:vAlign w:val="center"/>
          </w:tcPr>
          <w:p w14:paraId="4F5E156C" w14:textId="77777777" w:rsidR="0034604F" w:rsidRPr="00886C8E" w:rsidRDefault="0034604F" w:rsidP="0034604F">
            <w:pPr>
              <w:spacing w:after="120" w:line="360" w:lineRule="auto"/>
              <w:jc w:val="left"/>
              <w:rPr>
                <w:rFonts w:asciiTheme="minorHAnsi" w:hAnsiTheme="minorHAnsi"/>
                <w:sz w:val="22"/>
                <w:szCs w:val="22"/>
              </w:rPr>
            </w:pPr>
            <w:r w:rsidRPr="00886C8E">
              <w:rPr>
                <w:rFonts w:asciiTheme="minorHAnsi" w:hAnsiTheme="minorHAnsi"/>
                <w:sz w:val="22"/>
                <w:szCs w:val="22"/>
              </w:rPr>
              <w:t>1.8</w:t>
            </w:r>
          </w:p>
        </w:tc>
        <w:tc>
          <w:tcPr>
            <w:tcW w:w="599" w:type="dxa"/>
            <w:noWrap/>
            <w:vAlign w:val="center"/>
          </w:tcPr>
          <w:p w14:paraId="6768B370" w14:textId="51C9E319" w:rsidR="0034604F" w:rsidRPr="00886C8E" w:rsidRDefault="0034604F" w:rsidP="00445857">
            <w:pPr>
              <w:spacing w:after="120" w:line="360" w:lineRule="auto"/>
              <w:jc w:val="left"/>
              <w:rPr>
                <w:rFonts w:asciiTheme="minorHAnsi" w:hAnsiTheme="minorHAnsi"/>
                <w:sz w:val="22"/>
                <w:szCs w:val="22"/>
              </w:rPr>
            </w:pPr>
            <w:r w:rsidRPr="00886C8E">
              <w:rPr>
                <w:rFonts w:asciiTheme="minorHAnsi" w:hAnsiTheme="minorHAnsi"/>
                <w:sz w:val="22"/>
                <w:szCs w:val="22"/>
              </w:rPr>
              <w:t>1.</w:t>
            </w:r>
            <w:r w:rsidR="00445857">
              <w:rPr>
                <w:rFonts w:asciiTheme="minorHAnsi" w:hAnsiTheme="minorHAnsi"/>
                <w:sz w:val="22"/>
                <w:szCs w:val="22"/>
              </w:rPr>
              <w:t>6</w:t>
            </w:r>
          </w:p>
        </w:tc>
        <w:tc>
          <w:tcPr>
            <w:tcW w:w="599" w:type="dxa"/>
            <w:noWrap/>
            <w:vAlign w:val="center"/>
          </w:tcPr>
          <w:p w14:paraId="36B8BC69" w14:textId="77777777" w:rsidR="0034604F" w:rsidRPr="00886C8E" w:rsidRDefault="0034604F" w:rsidP="0034604F">
            <w:pPr>
              <w:spacing w:after="120" w:line="360" w:lineRule="auto"/>
              <w:jc w:val="left"/>
              <w:rPr>
                <w:rFonts w:asciiTheme="minorHAnsi" w:hAnsiTheme="minorHAnsi"/>
                <w:sz w:val="22"/>
                <w:szCs w:val="22"/>
              </w:rPr>
            </w:pPr>
            <w:r w:rsidRPr="00886C8E">
              <w:rPr>
                <w:rFonts w:asciiTheme="minorHAnsi" w:hAnsiTheme="minorHAnsi"/>
                <w:sz w:val="22"/>
                <w:szCs w:val="22"/>
              </w:rPr>
              <w:t>1.6</w:t>
            </w:r>
          </w:p>
        </w:tc>
        <w:tc>
          <w:tcPr>
            <w:tcW w:w="599" w:type="dxa"/>
            <w:noWrap/>
            <w:vAlign w:val="center"/>
          </w:tcPr>
          <w:p w14:paraId="6820D11F" w14:textId="77777777" w:rsidR="0034604F" w:rsidRPr="0034604F" w:rsidRDefault="0034604F" w:rsidP="0034604F">
            <w:pPr>
              <w:spacing w:after="120" w:line="360" w:lineRule="auto"/>
              <w:jc w:val="left"/>
              <w:rPr>
                <w:rFonts w:asciiTheme="minorHAnsi" w:hAnsiTheme="minorHAnsi"/>
                <w:sz w:val="22"/>
                <w:szCs w:val="22"/>
              </w:rPr>
            </w:pPr>
            <w:r w:rsidRPr="0034604F">
              <w:rPr>
                <w:rFonts w:asciiTheme="minorHAnsi" w:hAnsiTheme="minorHAnsi"/>
                <w:sz w:val="22"/>
                <w:szCs w:val="22"/>
              </w:rPr>
              <w:t>1.6</w:t>
            </w:r>
          </w:p>
        </w:tc>
      </w:tr>
      <w:tr w:rsidR="0034604F" w:rsidRPr="0034604F" w14:paraId="70724726" w14:textId="77777777" w:rsidTr="003F512D">
        <w:trPr>
          <w:trHeight w:val="345"/>
        </w:trPr>
        <w:tc>
          <w:tcPr>
            <w:tcW w:w="2895" w:type="dxa"/>
            <w:tcBorders>
              <w:bottom w:val="single" w:sz="12" w:space="0" w:color="auto"/>
            </w:tcBorders>
            <w:noWrap/>
            <w:vAlign w:val="center"/>
          </w:tcPr>
          <w:p w14:paraId="799DF655" w14:textId="131EDA50" w:rsidR="0034604F" w:rsidRPr="0034604F" w:rsidRDefault="0034604F" w:rsidP="0034604F">
            <w:pPr>
              <w:spacing w:after="120" w:line="360" w:lineRule="auto"/>
              <w:jc w:val="left"/>
              <w:rPr>
                <w:rFonts w:asciiTheme="minorHAnsi" w:hAnsiTheme="minorHAnsi"/>
                <w:sz w:val="22"/>
                <w:szCs w:val="22"/>
              </w:rPr>
            </w:pPr>
            <w:r w:rsidRPr="0034604F">
              <w:rPr>
                <w:rFonts w:asciiTheme="minorHAnsi" w:hAnsiTheme="minorHAnsi"/>
                <w:sz w:val="22"/>
                <w:szCs w:val="22"/>
              </w:rPr>
              <w:t xml:space="preserve">T-score -1.5 vs. No </w:t>
            </w:r>
            <w:r w:rsidR="003F512D">
              <w:rPr>
                <w:rFonts w:asciiTheme="minorHAnsi" w:hAnsiTheme="minorHAnsi"/>
                <w:sz w:val="22"/>
                <w:szCs w:val="22"/>
              </w:rPr>
              <w:t>CRF</w:t>
            </w:r>
          </w:p>
        </w:tc>
        <w:tc>
          <w:tcPr>
            <w:tcW w:w="598" w:type="dxa"/>
            <w:tcBorders>
              <w:bottom w:val="single" w:sz="12" w:space="0" w:color="auto"/>
            </w:tcBorders>
          </w:tcPr>
          <w:p w14:paraId="3C0007E6" w14:textId="75BA3618" w:rsidR="0034604F" w:rsidRPr="0034604F" w:rsidRDefault="0034604F" w:rsidP="00487D01">
            <w:pPr>
              <w:spacing w:after="120" w:line="360" w:lineRule="auto"/>
              <w:jc w:val="left"/>
              <w:rPr>
                <w:rFonts w:asciiTheme="minorHAnsi" w:hAnsiTheme="minorHAnsi"/>
                <w:sz w:val="22"/>
                <w:szCs w:val="22"/>
              </w:rPr>
            </w:pPr>
            <w:r w:rsidRPr="0034604F">
              <w:rPr>
                <w:rFonts w:asciiTheme="minorHAnsi" w:hAnsiTheme="minorHAnsi"/>
                <w:sz w:val="22"/>
                <w:szCs w:val="22"/>
              </w:rPr>
              <w:t>1.</w:t>
            </w:r>
            <w:r w:rsidR="00487D01">
              <w:rPr>
                <w:rFonts w:asciiTheme="minorHAnsi" w:hAnsiTheme="minorHAnsi"/>
                <w:sz w:val="22"/>
                <w:szCs w:val="22"/>
              </w:rPr>
              <w:t>6</w:t>
            </w:r>
          </w:p>
        </w:tc>
        <w:tc>
          <w:tcPr>
            <w:tcW w:w="599" w:type="dxa"/>
            <w:tcBorders>
              <w:bottom w:val="single" w:sz="12" w:space="0" w:color="auto"/>
            </w:tcBorders>
          </w:tcPr>
          <w:p w14:paraId="683BE77B" w14:textId="03BA3EA5" w:rsidR="0034604F" w:rsidRPr="0034604F" w:rsidRDefault="0034604F" w:rsidP="00487D01">
            <w:pPr>
              <w:spacing w:after="120" w:line="360" w:lineRule="auto"/>
              <w:jc w:val="left"/>
              <w:rPr>
                <w:rFonts w:asciiTheme="minorHAnsi" w:hAnsiTheme="minorHAnsi"/>
                <w:sz w:val="22"/>
                <w:szCs w:val="22"/>
              </w:rPr>
            </w:pPr>
            <w:r w:rsidRPr="0034604F">
              <w:rPr>
                <w:rFonts w:asciiTheme="minorHAnsi" w:hAnsiTheme="minorHAnsi"/>
                <w:sz w:val="22"/>
                <w:szCs w:val="22"/>
              </w:rPr>
              <w:t>1.</w:t>
            </w:r>
            <w:r w:rsidR="00487D01">
              <w:rPr>
                <w:rFonts w:asciiTheme="minorHAnsi" w:hAnsiTheme="minorHAnsi"/>
                <w:sz w:val="22"/>
                <w:szCs w:val="22"/>
              </w:rPr>
              <w:t>5</w:t>
            </w:r>
          </w:p>
        </w:tc>
        <w:tc>
          <w:tcPr>
            <w:tcW w:w="599" w:type="dxa"/>
            <w:tcBorders>
              <w:bottom w:val="single" w:sz="12" w:space="0" w:color="auto"/>
            </w:tcBorders>
            <w:noWrap/>
            <w:vAlign w:val="center"/>
          </w:tcPr>
          <w:p w14:paraId="5D2C4D39" w14:textId="1B01E03D" w:rsidR="0034604F" w:rsidRPr="0034604F" w:rsidRDefault="0034604F" w:rsidP="00487D01">
            <w:pPr>
              <w:spacing w:after="120" w:line="360" w:lineRule="auto"/>
              <w:jc w:val="left"/>
              <w:rPr>
                <w:rFonts w:asciiTheme="minorHAnsi" w:hAnsiTheme="minorHAnsi"/>
                <w:sz w:val="22"/>
                <w:szCs w:val="22"/>
              </w:rPr>
            </w:pPr>
            <w:r w:rsidRPr="0034604F">
              <w:rPr>
                <w:rFonts w:asciiTheme="minorHAnsi" w:hAnsiTheme="minorHAnsi"/>
                <w:sz w:val="22"/>
                <w:szCs w:val="22"/>
              </w:rPr>
              <w:t>1.</w:t>
            </w:r>
            <w:r w:rsidR="00487D01">
              <w:rPr>
                <w:rFonts w:asciiTheme="minorHAnsi" w:hAnsiTheme="minorHAnsi"/>
                <w:sz w:val="22"/>
                <w:szCs w:val="22"/>
              </w:rPr>
              <w:t>4</w:t>
            </w:r>
          </w:p>
        </w:tc>
        <w:tc>
          <w:tcPr>
            <w:tcW w:w="599" w:type="dxa"/>
            <w:tcBorders>
              <w:bottom w:val="single" w:sz="12" w:space="0" w:color="auto"/>
            </w:tcBorders>
            <w:noWrap/>
            <w:vAlign w:val="center"/>
          </w:tcPr>
          <w:p w14:paraId="079B60FF" w14:textId="320442A7" w:rsidR="0034604F" w:rsidRPr="0034604F" w:rsidRDefault="0034604F" w:rsidP="00487D01">
            <w:pPr>
              <w:spacing w:after="120" w:line="360" w:lineRule="auto"/>
              <w:jc w:val="left"/>
              <w:rPr>
                <w:rFonts w:asciiTheme="minorHAnsi" w:hAnsiTheme="minorHAnsi"/>
                <w:sz w:val="22"/>
                <w:szCs w:val="22"/>
              </w:rPr>
            </w:pPr>
            <w:r w:rsidRPr="0034604F">
              <w:rPr>
                <w:rFonts w:asciiTheme="minorHAnsi" w:hAnsiTheme="minorHAnsi"/>
                <w:sz w:val="22"/>
                <w:szCs w:val="22"/>
              </w:rPr>
              <w:t>1.</w:t>
            </w:r>
            <w:r w:rsidR="00487D01">
              <w:rPr>
                <w:rFonts w:asciiTheme="minorHAnsi" w:hAnsiTheme="minorHAnsi"/>
                <w:sz w:val="22"/>
                <w:szCs w:val="22"/>
              </w:rPr>
              <w:t>3</w:t>
            </w:r>
          </w:p>
        </w:tc>
        <w:tc>
          <w:tcPr>
            <w:tcW w:w="599" w:type="dxa"/>
            <w:tcBorders>
              <w:bottom w:val="single" w:sz="12" w:space="0" w:color="auto"/>
            </w:tcBorders>
            <w:noWrap/>
            <w:vAlign w:val="center"/>
          </w:tcPr>
          <w:p w14:paraId="6EE4CF94" w14:textId="687DC6E0" w:rsidR="0034604F" w:rsidRPr="00886C8E" w:rsidRDefault="0034604F" w:rsidP="00487D01">
            <w:pPr>
              <w:spacing w:after="120" w:line="360" w:lineRule="auto"/>
              <w:jc w:val="left"/>
              <w:rPr>
                <w:rFonts w:asciiTheme="minorHAnsi" w:hAnsiTheme="minorHAnsi"/>
                <w:sz w:val="22"/>
                <w:szCs w:val="22"/>
              </w:rPr>
            </w:pPr>
            <w:r w:rsidRPr="00886C8E">
              <w:rPr>
                <w:rFonts w:asciiTheme="minorHAnsi" w:hAnsiTheme="minorHAnsi"/>
                <w:sz w:val="22"/>
                <w:szCs w:val="22"/>
              </w:rPr>
              <w:t>1.</w:t>
            </w:r>
            <w:r w:rsidR="00487D01">
              <w:rPr>
                <w:rFonts w:asciiTheme="minorHAnsi" w:hAnsiTheme="minorHAnsi"/>
                <w:sz w:val="22"/>
                <w:szCs w:val="22"/>
              </w:rPr>
              <w:t>2</w:t>
            </w:r>
          </w:p>
        </w:tc>
        <w:tc>
          <w:tcPr>
            <w:tcW w:w="599" w:type="dxa"/>
            <w:tcBorders>
              <w:bottom w:val="single" w:sz="12" w:space="0" w:color="auto"/>
            </w:tcBorders>
            <w:noWrap/>
            <w:vAlign w:val="center"/>
          </w:tcPr>
          <w:p w14:paraId="5AFC62C4" w14:textId="3C4360C8" w:rsidR="0034604F" w:rsidRPr="00886C8E" w:rsidRDefault="00487D01" w:rsidP="00487D01">
            <w:pPr>
              <w:spacing w:after="120" w:line="360" w:lineRule="auto"/>
              <w:jc w:val="left"/>
              <w:rPr>
                <w:rFonts w:asciiTheme="minorHAnsi" w:hAnsiTheme="minorHAnsi"/>
                <w:sz w:val="22"/>
                <w:szCs w:val="22"/>
              </w:rPr>
            </w:pPr>
            <w:r>
              <w:rPr>
                <w:rFonts w:asciiTheme="minorHAnsi" w:hAnsiTheme="minorHAnsi"/>
                <w:sz w:val="22"/>
                <w:szCs w:val="22"/>
              </w:rPr>
              <w:t>1.1</w:t>
            </w:r>
          </w:p>
        </w:tc>
        <w:tc>
          <w:tcPr>
            <w:tcW w:w="599" w:type="dxa"/>
            <w:tcBorders>
              <w:bottom w:val="single" w:sz="12" w:space="0" w:color="auto"/>
            </w:tcBorders>
            <w:noWrap/>
            <w:vAlign w:val="center"/>
          </w:tcPr>
          <w:p w14:paraId="1F65D8BD" w14:textId="7FE4B796" w:rsidR="0034604F" w:rsidRPr="00886C8E" w:rsidRDefault="0034604F" w:rsidP="00487D01">
            <w:pPr>
              <w:spacing w:after="120" w:line="360" w:lineRule="auto"/>
              <w:jc w:val="left"/>
              <w:rPr>
                <w:rFonts w:asciiTheme="minorHAnsi" w:hAnsiTheme="minorHAnsi"/>
                <w:sz w:val="22"/>
                <w:szCs w:val="22"/>
              </w:rPr>
            </w:pPr>
            <w:r w:rsidRPr="00886C8E">
              <w:rPr>
                <w:rFonts w:asciiTheme="minorHAnsi" w:hAnsiTheme="minorHAnsi"/>
                <w:sz w:val="22"/>
                <w:szCs w:val="22"/>
              </w:rPr>
              <w:t>0.</w:t>
            </w:r>
            <w:r w:rsidR="00487D01">
              <w:rPr>
                <w:rFonts w:asciiTheme="minorHAnsi" w:hAnsiTheme="minorHAnsi"/>
                <w:sz w:val="22"/>
                <w:szCs w:val="22"/>
              </w:rPr>
              <w:t>9</w:t>
            </w:r>
          </w:p>
        </w:tc>
        <w:tc>
          <w:tcPr>
            <w:tcW w:w="599" w:type="dxa"/>
            <w:tcBorders>
              <w:bottom w:val="single" w:sz="12" w:space="0" w:color="auto"/>
            </w:tcBorders>
            <w:noWrap/>
            <w:vAlign w:val="center"/>
          </w:tcPr>
          <w:p w14:paraId="213894D7" w14:textId="0463FB05" w:rsidR="0034604F" w:rsidRPr="00886C8E" w:rsidRDefault="0034604F" w:rsidP="00487D01">
            <w:pPr>
              <w:spacing w:after="120" w:line="360" w:lineRule="auto"/>
              <w:jc w:val="left"/>
              <w:rPr>
                <w:rFonts w:asciiTheme="minorHAnsi" w:hAnsiTheme="minorHAnsi"/>
                <w:sz w:val="22"/>
                <w:szCs w:val="22"/>
              </w:rPr>
            </w:pPr>
            <w:r w:rsidRPr="00886C8E">
              <w:rPr>
                <w:rFonts w:asciiTheme="minorHAnsi" w:hAnsiTheme="minorHAnsi"/>
                <w:sz w:val="22"/>
                <w:szCs w:val="22"/>
              </w:rPr>
              <w:t>0.</w:t>
            </w:r>
            <w:r w:rsidR="00487D01">
              <w:rPr>
                <w:rFonts w:asciiTheme="minorHAnsi" w:hAnsiTheme="minorHAnsi"/>
                <w:sz w:val="22"/>
                <w:szCs w:val="22"/>
              </w:rPr>
              <w:t>8</w:t>
            </w:r>
          </w:p>
        </w:tc>
        <w:tc>
          <w:tcPr>
            <w:tcW w:w="599" w:type="dxa"/>
            <w:tcBorders>
              <w:bottom w:val="single" w:sz="12" w:space="0" w:color="auto"/>
            </w:tcBorders>
            <w:noWrap/>
            <w:vAlign w:val="center"/>
          </w:tcPr>
          <w:p w14:paraId="12B2CF34" w14:textId="0AA1964F" w:rsidR="0034604F" w:rsidRPr="00886C8E" w:rsidRDefault="0034604F" w:rsidP="00487D01">
            <w:pPr>
              <w:spacing w:after="120" w:line="360" w:lineRule="auto"/>
              <w:jc w:val="left"/>
              <w:rPr>
                <w:rFonts w:asciiTheme="minorHAnsi" w:hAnsiTheme="minorHAnsi"/>
                <w:sz w:val="22"/>
                <w:szCs w:val="22"/>
              </w:rPr>
            </w:pPr>
            <w:r w:rsidRPr="00886C8E">
              <w:rPr>
                <w:rFonts w:asciiTheme="minorHAnsi" w:hAnsiTheme="minorHAnsi"/>
                <w:sz w:val="22"/>
                <w:szCs w:val="22"/>
              </w:rPr>
              <w:t>0.</w:t>
            </w:r>
            <w:r w:rsidR="00487D01">
              <w:rPr>
                <w:rFonts w:asciiTheme="minorHAnsi" w:hAnsiTheme="minorHAnsi"/>
                <w:sz w:val="22"/>
                <w:szCs w:val="22"/>
              </w:rPr>
              <w:t>8</w:t>
            </w:r>
          </w:p>
        </w:tc>
        <w:tc>
          <w:tcPr>
            <w:tcW w:w="599" w:type="dxa"/>
            <w:tcBorders>
              <w:bottom w:val="single" w:sz="12" w:space="0" w:color="auto"/>
            </w:tcBorders>
            <w:noWrap/>
            <w:vAlign w:val="center"/>
          </w:tcPr>
          <w:p w14:paraId="70C3C239" w14:textId="740FFD9B" w:rsidR="0034604F" w:rsidRPr="00886C8E" w:rsidRDefault="0034604F" w:rsidP="00487D01">
            <w:pPr>
              <w:spacing w:after="120" w:line="360" w:lineRule="auto"/>
              <w:jc w:val="left"/>
              <w:rPr>
                <w:rFonts w:asciiTheme="minorHAnsi" w:hAnsiTheme="minorHAnsi"/>
                <w:sz w:val="22"/>
                <w:szCs w:val="22"/>
              </w:rPr>
            </w:pPr>
            <w:r w:rsidRPr="00886C8E">
              <w:rPr>
                <w:rFonts w:asciiTheme="minorHAnsi" w:hAnsiTheme="minorHAnsi"/>
                <w:sz w:val="22"/>
                <w:szCs w:val="22"/>
              </w:rPr>
              <w:t>0.</w:t>
            </w:r>
            <w:r w:rsidR="00487D01">
              <w:rPr>
                <w:rFonts w:asciiTheme="minorHAnsi" w:hAnsiTheme="minorHAnsi"/>
                <w:sz w:val="22"/>
                <w:szCs w:val="22"/>
              </w:rPr>
              <w:t>7</w:t>
            </w:r>
          </w:p>
        </w:tc>
        <w:tc>
          <w:tcPr>
            <w:tcW w:w="599" w:type="dxa"/>
            <w:tcBorders>
              <w:bottom w:val="single" w:sz="12" w:space="0" w:color="auto"/>
            </w:tcBorders>
            <w:noWrap/>
            <w:vAlign w:val="center"/>
          </w:tcPr>
          <w:p w14:paraId="20FEF7B9" w14:textId="24812A42" w:rsidR="0034604F" w:rsidRPr="0034604F" w:rsidRDefault="0034604F" w:rsidP="00487D01">
            <w:pPr>
              <w:spacing w:after="120" w:line="360" w:lineRule="auto"/>
              <w:jc w:val="left"/>
              <w:rPr>
                <w:rFonts w:asciiTheme="minorHAnsi" w:hAnsiTheme="minorHAnsi"/>
                <w:sz w:val="22"/>
                <w:szCs w:val="22"/>
              </w:rPr>
            </w:pPr>
            <w:r w:rsidRPr="0034604F">
              <w:rPr>
                <w:rFonts w:asciiTheme="minorHAnsi" w:hAnsiTheme="minorHAnsi"/>
                <w:sz w:val="22"/>
                <w:szCs w:val="22"/>
              </w:rPr>
              <w:t>0.</w:t>
            </w:r>
            <w:r w:rsidR="00487D01">
              <w:rPr>
                <w:rFonts w:asciiTheme="minorHAnsi" w:hAnsiTheme="minorHAnsi"/>
                <w:sz w:val="22"/>
                <w:szCs w:val="22"/>
              </w:rPr>
              <w:t>7</w:t>
            </w:r>
          </w:p>
        </w:tc>
      </w:tr>
      <w:tr w:rsidR="0034604F" w:rsidRPr="0034604F" w14:paraId="58D8A281" w14:textId="77777777" w:rsidTr="001A3E83">
        <w:trPr>
          <w:trHeight w:val="345"/>
        </w:trPr>
        <w:tc>
          <w:tcPr>
            <w:tcW w:w="9483" w:type="dxa"/>
            <w:gridSpan w:val="12"/>
            <w:tcBorders>
              <w:top w:val="single" w:sz="12" w:space="0" w:color="auto"/>
            </w:tcBorders>
          </w:tcPr>
          <w:p w14:paraId="06CC7106" w14:textId="77777777" w:rsidR="0034604F" w:rsidRDefault="0034604F" w:rsidP="0034604F">
            <w:pPr>
              <w:spacing w:after="120" w:line="360" w:lineRule="auto"/>
              <w:jc w:val="left"/>
              <w:rPr>
                <w:rFonts w:asciiTheme="minorHAnsi" w:hAnsiTheme="minorHAnsi"/>
                <w:sz w:val="22"/>
                <w:szCs w:val="22"/>
              </w:rPr>
            </w:pPr>
            <w:r w:rsidRPr="0034604F">
              <w:rPr>
                <w:rFonts w:asciiTheme="minorHAnsi" w:hAnsiTheme="minorHAnsi"/>
                <w:sz w:val="22"/>
                <w:szCs w:val="22"/>
                <w:vertAlign w:val="superscript"/>
              </w:rPr>
              <w:t>a</w:t>
            </w:r>
            <w:r w:rsidRPr="0034604F">
              <w:rPr>
                <w:rFonts w:asciiTheme="minorHAnsi" w:hAnsiTheme="minorHAnsi"/>
                <w:sz w:val="22"/>
                <w:szCs w:val="22"/>
              </w:rPr>
              <w:t xml:space="preserve"> No other clinical risk factors</w:t>
            </w:r>
          </w:p>
          <w:p w14:paraId="6B207FED" w14:textId="4BA11DF0" w:rsidR="003F512D" w:rsidRPr="0034604F" w:rsidRDefault="003F512D" w:rsidP="0034604F">
            <w:pPr>
              <w:spacing w:after="120" w:line="360" w:lineRule="auto"/>
              <w:jc w:val="left"/>
              <w:rPr>
                <w:rFonts w:asciiTheme="minorHAnsi" w:hAnsiTheme="minorHAnsi"/>
                <w:sz w:val="22"/>
                <w:szCs w:val="22"/>
              </w:rPr>
            </w:pPr>
            <w:r>
              <w:rPr>
                <w:rFonts w:asciiTheme="minorHAnsi" w:hAnsiTheme="minorHAnsi"/>
                <w:sz w:val="22"/>
                <w:szCs w:val="22"/>
              </w:rPr>
              <w:t>CRF, clinical risk factors</w:t>
            </w:r>
          </w:p>
        </w:tc>
      </w:tr>
    </w:tbl>
    <w:p w14:paraId="61901F37" w14:textId="77777777" w:rsidR="00245BF6" w:rsidRDefault="00245BF6" w:rsidP="00245BF6">
      <w:pPr>
        <w:spacing w:after="120" w:line="360" w:lineRule="auto"/>
        <w:jc w:val="left"/>
        <w:rPr>
          <w:rFonts w:asciiTheme="minorHAnsi" w:hAnsiTheme="minorHAnsi"/>
          <w:i/>
          <w:lang w:val="en-GB"/>
        </w:rPr>
      </w:pPr>
    </w:p>
    <w:p w14:paraId="04BCE53A" w14:textId="56A06002" w:rsidR="00245BF6" w:rsidRPr="00245BF6" w:rsidRDefault="00245BF6" w:rsidP="00245BF6">
      <w:pPr>
        <w:spacing w:after="120" w:line="360" w:lineRule="auto"/>
        <w:jc w:val="left"/>
        <w:rPr>
          <w:rFonts w:asciiTheme="minorHAnsi" w:hAnsiTheme="minorHAnsi"/>
          <w:i/>
          <w:lang w:val="en-GB"/>
        </w:rPr>
      </w:pPr>
      <w:r w:rsidRPr="00245BF6">
        <w:rPr>
          <w:rFonts w:asciiTheme="minorHAnsi" w:hAnsiTheme="minorHAnsi"/>
          <w:i/>
          <w:lang w:val="en-GB"/>
        </w:rPr>
        <w:t>Intervention thresholds based on BMD</w:t>
      </w:r>
    </w:p>
    <w:p w14:paraId="254EFF89" w14:textId="45C481FB" w:rsidR="00634A56" w:rsidRDefault="00886C8E" w:rsidP="00634A56">
      <w:pPr>
        <w:spacing w:after="120" w:line="360" w:lineRule="auto"/>
        <w:jc w:val="left"/>
        <w:rPr>
          <w:noProof/>
          <w:lang w:val="en-GB" w:eastAsia="en-GB"/>
        </w:rPr>
      </w:pPr>
      <w:r w:rsidRPr="0034604F">
        <w:rPr>
          <w:rFonts w:asciiTheme="minorHAnsi" w:hAnsiTheme="minorHAnsi"/>
          <w:lang w:val="en-GB"/>
        </w:rPr>
        <w:t xml:space="preserve">In women age 50 years at the threshold of osteoporosis (a BMD T-score of -2.5 SD), fracture probability was </w:t>
      </w:r>
      <w:r w:rsidR="00D0317F">
        <w:rPr>
          <w:rFonts w:asciiTheme="minorHAnsi" w:hAnsiTheme="minorHAnsi"/>
          <w:lang w:val="en-GB"/>
        </w:rPr>
        <w:t>more than</w:t>
      </w:r>
      <w:r w:rsidRPr="0034604F">
        <w:rPr>
          <w:rFonts w:asciiTheme="minorHAnsi" w:hAnsiTheme="minorHAnsi"/>
          <w:lang w:val="en-GB"/>
        </w:rPr>
        <w:t xml:space="preserve"> two-fold higher than in women of the same age with</w:t>
      </w:r>
      <w:r>
        <w:rPr>
          <w:rFonts w:asciiTheme="minorHAnsi" w:hAnsiTheme="minorHAnsi"/>
          <w:lang w:val="en-GB"/>
        </w:rPr>
        <w:t>out any risk factors</w:t>
      </w:r>
      <w:r w:rsidRPr="0034604F">
        <w:rPr>
          <w:rFonts w:asciiTheme="minorHAnsi" w:hAnsiTheme="minorHAnsi"/>
          <w:lang w:val="en-GB"/>
        </w:rPr>
        <w:t xml:space="preserve">. The 10-year fracture probability rose progressively with age from </w:t>
      </w:r>
      <w:r>
        <w:rPr>
          <w:rFonts w:asciiTheme="minorHAnsi" w:hAnsiTheme="minorHAnsi"/>
          <w:lang w:val="en-GB"/>
        </w:rPr>
        <w:t>2.</w:t>
      </w:r>
      <w:r w:rsidR="00D0317F">
        <w:rPr>
          <w:rFonts w:asciiTheme="minorHAnsi" w:hAnsiTheme="minorHAnsi"/>
          <w:lang w:val="en-GB"/>
        </w:rPr>
        <w:t>6</w:t>
      </w:r>
      <w:r w:rsidRPr="0034604F">
        <w:rPr>
          <w:rFonts w:asciiTheme="minorHAnsi" w:hAnsiTheme="minorHAnsi"/>
          <w:lang w:val="en-GB"/>
        </w:rPr>
        <w:t xml:space="preserve">% at the age of </w:t>
      </w:r>
      <w:r>
        <w:rPr>
          <w:rFonts w:asciiTheme="minorHAnsi" w:hAnsiTheme="minorHAnsi"/>
          <w:lang w:val="en-GB"/>
        </w:rPr>
        <w:t>4</w:t>
      </w:r>
      <w:r w:rsidRPr="0034604F">
        <w:rPr>
          <w:rFonts w:asciiTheme="minorHAnsi" w:hAnsiTheme="minorHAnsi"/>
          <w:lang w:val="en-GB"/>
        </w:rPr>
        <w:t xml:space="preserve">0 years to 13% at the age of 90 years.  </w:t>
      </w:r>
      <w:r w:rsidR="007D49E2" w:rsidRPr="007D49E2">
        <w:rPr>
          <w:rFonts w:asciiTheme="minorHAnsi" w:hAnsiTheme="minorHAnsi"/>
          <w:lang w:val="en-GB"/>
        </w:rPr>
        <w:t>With advancing years, the difference in probability between women with a T-score of -2.5 SD and women of the same age without any risk factors decreased.</w:t>
      </w:r>
      <w:r w:rsidR="009739E6">
        <w:rPr>
          <w:rFonts w:asciiTheme="minorHAnsi" w:hAnsiTheme="minorHAnsi"/>
          <w:lang w:val="en-GB"/>
        </w:rPr>
        <w:t xml:space="preserve">  </w:t>
      </w:r>
      <w:r w:rsidR="008C4D3E" w:rsidRPr="0034604F">
        <w:rPr>
          <w:rFonts w:asciiTheme="minorHAnsi" w:hAnsiTheme="minorHAnsi"/>
          <w:lang w:val="en-GB"/>
        </w:rPr>
        <w:t>Above the age</w:t>
      </w:r>
      <w:r w:rsidR="00634A56" w:rsidRPr="0034604F">
        <w:rPr>
          <w:rFonts w:asciiTheme="minorHAnsi" w:hAnsiTheme="minorHAnsi"/>
          <w:lang w:val="en-GB"/>
        </w:rPr>
        <w:t xml:space="preserve"> of </w:t>
      </w:r>
      <w:r w:rsidR="008C4D3E" w:rsidRPr="0034604F">
        <w:rPr>
          <w:rFonts w:asciiTheme="minorHAnsi" w:hAnsiTheme="minorHAnsi"/>
          <w:lang w:val="en-GB"/>
        </w:rPr>
        <w:t>8</w:t>
      </w:r>
      <w:r w:rsidR="00F225E9">
        <w:rPr>
          <w:rFonts w:asciiTheme="minorHAnsi" w:hAnsiTheme="minorHAnsi"/>
          <w:lang w:val="en-GB"/>
        </w:rPr>
        <w:t>3</w:t>
      </w:r>
      <w:r w:rsidR="00634A56" w:rsidRPr="0034604F">
        <w:rPr>
          <w:rFonts w:asciiTheme="minorHAnsi" w:hAnsiTheme="minorHAnsi"/>
          <w:lang w:val="en-GB"/>
        </w:rPr>
        <w:t xml:space="preserve"> years, the fracture probability was lower than in women of the same age but with no risk factors (</w:t>
      </w:r>
      <w:r w:rsidR="008C4D3E" w:rsidRPr="0034604F">
        <w:rPr>
          <w:rFonts w:asciiTheme="minorHAnsi" w:hAnsiTheme="minorHAnsi"/>
          <w:lang w:val="en-GB"/>
        </w:rPr>
        <w:t>Figure 1)</w:t>
      </w:r>
      <w:r w:rsidR="00634A56" w:rsidRPr="0034604F">
        <w:rPr>
          <w:rFonts w:asciiTheme="minorHAnsi" w:hAnsiTheme="minorHAnsi"/>
          <w:lang w:val="en-GB"/>
        </w:rPr>
        <w:t>. Thus, the BMD criterion for intervention using a fixed T-score became less and less appropriate with advancing age.</w:t>
      </w:r>
      <w:r w:rsidR="008C4D3E" w:rsidRPr="0034604F">
        <w:rPr>
          <w:rFonts w:asciiTheme="minorHAnsi" w:hAnsiTheme="minorHAnsi"/>
          <w:lang w:val="en-GB"/>
        </w:rPr>
        <w:t xml:space="preserve"> </w:t>
      </w:r>
      <w:r w:rsidR="009739E6">
        <w:rPr>
          <w:rFonts w:asciiTheme="minorHAnsi" w:hAnsiTheme="minorHAnsi"/>
          <w:lang w:val="en-GB"/>
        </w:rPr>
        <w:t>At a</w:t>
      </w:r>
      <w:r w:rsidR="009739E6" w:rsidRPr="0034604F">
        <w:rPr>
          <w:rFonts w:asciiTheme="minorHAnsi" w:hAnsiTheme="minorHAnsi"/>
          <w:lang w:val="en-GB"/>
        </w:rPr>
        <w:t xml:space="preserve"> </w:t>
      </w:r>
      <w:r w:rsidR="008C4D3E" w:rsidRPr="0034604F">
        <w:rPr>
          <w:rFonts w:asciiTheme="minorHAnsi" w:hAnsiTheme="minorHAnsi"/>
          <w:lang w:val="en-GB"/>
        </w:rPr>
        <w:t>T-score of -1.5 SD</w:t>
      </w:r>
      <w:r w:rsidR="009739E6">
        <w:rPr>
          <w:rFonts w:asciiTheme="minorHAnsi" w:hAnsiTheme="minorHAnsi"/>
          <w:lang w:val="en-GB"/>
        </w:rPr>
        <w:t>,</w:t>
      </w:r>
      <w:r w:rsidR="009739E6" w:rsidRPr="009739E6">
        <w:rPr>
          <w:rFonts w:asciiTheme="minorHAnsi" w:hAnsiTheme="minorHAnsi"/>
          <w:lang w:val="en-GB"/>
        </w:rPr>
        <w:t xml:space="preserve"> the fracture probability was lower than in women of the same age but with no risk factors</w:t>
      </w:r>
      <w:r w:rsidR="008C4D3E" w:rsidRPr="0034604F">
        <w:rPr>
          <w:rFonts w:asciiTheme="minorHAnsi" w:hAnsiTheme="minorHAnsi"/>
          <w:lang w:val="en-GB"/>
        </w:rPr>
        <w:t xml:space="preserve"> from the age of 6</w:t>
      </w:r>
      <w:r w:rsidR="0050655F">
        <w:rPr>
          <w:rFonts w:asciiTheme="minorHAnsi" w:hAnsiTheme="minorHAnsi"/>
          <w:lang w:val="en-GB"/>
        </w:rPr>
        <w:t>6</w:t>
      </w:r>
      <w:r w:rsidR="004444B1">
        <w:rPr>
          <w:rFonts w:asciiTheme="minorHAnsi" w:hAnsiTheme="minorHAnsi"/>
          <w:lang w:val="en-GB"/>
        </w:rPr>
        <w:t xml:space="preserve"> </w:t>
      </w:r>
      <w:r w:rsidR="008C4D3E" w:rsidRPr="0034604F">
        <w:rPr>
          <w:rFonts w:asciiTheme="minorHAnsi" w:hAnsiTheme="minorHAnsi"/>
          <w:lang w:val="en-GB"/>
        </w:rPr>
        <w:t>years.</w:t>
      </w:r>
      <w:r w:rsidR="00A6237B" w:rsidRPr="00A6237B">
        <w:rPr>
          <w:noProof/>
          <w:lang w:val="en-GB" w:eastAsia="en-GB"/>
        </w:rPr>
        <w:t xml:space="preserve"> </w:t>
      </w:r>
    </w:p>
    <w:p w14:paraId="6198B6A4" w14:textId="2FBA34F1" w:rsidR="005252AC" w:rsidRDefault="00D62BE5" w:rsidP="00D62BE5">
      <w:pPr>
        <w:spacing w:after="120" w:line="360" w:lineRule="auto"/>
        <w:jc w:val="center"/>
        <w:rPr>
          <w:rFonts w:asciiTheme="minorHAnsi" w:hAnsiTheme="minorHAnsi"/>
          <w:lang w:val="en-GB"/>
        </w:rPr>
      </w:pPr>
      <w:r w:rsidRPr="00D62BE5">
        <w:rPr>
          <w:rFonts w:asciiTheme="minorHAnsi" w:hAnsiTheme="minorHAnsi"/>
          <w:noProof/>
          <w:lang w:val="en-GB" w:eastAsia="en-GB"/>
        </w:rPr>
        <w:lastRenderedPageBreak/>
        <w:drawing>
          <wp:inline distT="0" distB="0" distL="0" distR="0" wp14:anchorId="158DC0A5" wp14:editId="3C4A44C4">
            <wp:extent cx="4572000" cy="28321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12778" b="4630"/>
                    <a:stretch/>
                  </pic:blipFill>
                  <pic:spPr bwMode="auto">
                    <a:xfrm>
                      <a:off x="0" y="0"/>
                      <a:ext cx="4572396" cy="2832345"/>
                    </a:xfrm>
                    <a:prstGeom prst="rect">
                      <a:avLst/>
                    </a:prstGeom>
                    <a:ln>
                      <a:noFill/>
                    </a:ln>
                    <a:extLst>
                      <a:ext uri="{53640926-AAD7-44D8-BBD7-CCE9431645EC}">
                        <a14:shadowObscured xmlns:a14="http://schemas.microsoft.com/office/drawing/2010/main"/>
                      </a:ext>
                    </a:extLst>
                  </pic:spPr>
                </pic:pic>
              </a:graphicData>
            </a:graphic>
          </wp:inline>
        </w:drawing>
      </w:r>
    </w:p>
    <w:p w14:paraId="458F7BDF" w14:textId="65C819D2" w:rsidR="00DD5FDA" w:rsidRDefault="00DD5FDA" w:rsidP="00006210">
      <w:pPr>
        <w:spacing w:after="120" w:line="360" w:lineRule="auto"/>
        <w:jc w:val="center"/>
        <w:rPr>
          <w:rFonts w:asciiTheme="minorHAnsi" w:hAnsiTheme="minorHAnsi"/>
          <w:i/>
          <w:iCs/>
          <w:lang w:val="en-GB"/>
        </w:rPr>
      </w:pPr>
    </w:p>
    <w:p w14:paraId="027ABEAD" w14:textId="194DD167" w:rsidR="00006210" w:rsidRPr="004444B1" w:rsidRDefault="00006210" w:rsidP="00006210">
      <w:pPr>
        <w:spacing w:after="0" w:line="360" w:lineRule="auto"/>
        <w:ind w:left="993" w:right="1138"/>
        <w:jc w:val="left"/>
        <w:rPr>
          <w:rFonts w:asciiTheme="minorHAnsi" w:hAnsiTheme="minorHAnsi"/>
          <w:bCs/>
          <w:sz w:val="22"/>
          <w:szCs w:val="22"/>
          <w:lang w:val="en-GB"/>
        </w:rPr>
      </w:pPr>
      <w:r w:rsidRPr="004444B1">
        <w:rPr>
          <w:rFonts w:asciiTheme="minorHAnsi" w:hAnsiTheme="minorHAnsi"/>
          <w:b/>
          <w:bCs/>
          <w:sz w:val="22"/>
          <w:szCs w:val="22"/>
          <w:lang w:val="en-GB"/>
        </w:rPr>
        <w:t xml:space="preserve">Fig. 1 </w:t>
      </w:r>
      <w:r w:rsidRPr="004444B1">
        <w:rPr>
          <w:rFonts w:asciiTheme="minorHAnsi" w:hAnsiTheme="minorHAnsi"/>
          <w:bCs/>
          <w:sz w:val="22"/>
          <w:szCs w:val="22"/>
          <w:lang w:val="en-GB"/>
        </w:rPr>
        <w:t>10-year probabilities (%) of a major osteoporotic fracture for women from Kuwait at a T-score of -2.5 SD (open triangle), -1.5 SD (open square) and prior fracture (</w:t>
      </w:r>
      <w:r w:rsidR="003F512D" w:rsidRPr="004444B1">
        <w:rPr>
          <w:rFonts w:asciiTheme="minorHAnsi" w:hAnsiTheme="minorHAnsi"/>
          <w:bCs/>
          <w:sz w:val="22"/>
          <w:szCs w:val="22"/>
          <w:lang w:val="en-GB"/>
        </w:rPr>
        <w:t>open diamond</w:t>
      </w:r>
      <w:r w:rsidRPr="004444B1">
        <w:rPr>
          <w:rFonts w:asciiTheme="minorHAnsi" w:hAnsiTheme="minorHAnsi"/>
          <w:bCs/>
          <w:sz w:val="22"/>
          <w:szCs w:val="22"/>
          <w:lang w:val="en-GB"/>
        </w:rPr>
        <w:t xml:space="preserve">).  The shaded area </w:t>
      </w:r>
      <w:r w:rsidR="003A1844" w:rsidRPr="004444B1">
        <w:rPr>
          <w:rFonts w:asciiTheme="minorHAnsi" w:hAnsiTheme="minorHAnsi"/>
          <w:bCs/>
          <w:sz w:val="22"/>
          <w:szCs w:val="22"/>
          <w:lang w:val="en-GB"/>
        </w:rPr>
        <w:t>repres</w:t>
      </w:r>
      <w:r w:rsidRPr="004444B1">
        <w:rPr>
          <w:rFonts w:asciiTheme="minorHAnsi" w:hAnsiTheme="minorHAnsi"/>
          <w:bCs/>
          <w:sz w:val="22"/>
          <w:szCs w:val="22"/>
          <w:lang w:val="en-GB"/>
        </w:rPr>
        <w:t>ents fracture probabilities in women with no clinical risk factors and average BMD.</w:t>
      </w:r>
    </w:p>
    <w:p w14:paraId="23E49EB3" w14:textId="77777777" w:rsidR="00006210" w:rsidRDefault="00006210" w:rsidP="00634A56">
      <w:pPr>
        <w:spacing w:after="120" w:line="360" w:lineRule="auto"/>
        <w:jc w:val="left"/>
        <w:rPr>
          <w:rFonts w:asciiTheme="minorHAnsi" w:hAnsiTheme="minorHAnsi"/>
          <w:i/>
          <w:iCs/>
          <w:lang w:val="en-GB"/>
        </w:rPr>
      </w:pPr>
    </w:p>
    <w:p w14:paraId="23A67A4F" w14:textId="212C42A3" w:rsidR="00634A56" w:rsidRPr="00634A56" w:rsidRDefault="00634A56" w:rsidP="00634A56">
      <w:pPr>
        <w:spacing w:after="120" w:line="360" w:lineRule="auto"/>
        <w:jc w:val="left"/>
        <w:rPr>
          <w:rFonts w:asciiTheme="minorHAnsi" w:hAnsiTheme="minorHAnsi"/>
        </w:rPr>
      </w:pPr>
      <w:r w:rsidRPr="00634A56">
        <w:rPr>
          <w:rFonts w:asciiTheme="minorHAnsi" w:hAnsiTheme="minorHAnsi"/>
          <w:lang w:val="en-GB"/>
        </w:rPr>
        <w:t>The fracture probabilities equivalent to women with a previous fragility fracture are shown</w:t>
      </w:r>
      <w:r w:rsidRPr="00634A56">
        <w:rPr>
          <w:rFonts w:asciiTheme="minorHAnsi" w:hAnsiTheme="minorHAnsi"/>
        </w:rPr>
        <w:t xml:space="preserve"> in Table 1. The probability </w:t>
      </w:r>
      <w:r w:rsidR="00006210">
        <w:rPr>
          <w:rFonts w:asciiTheme="minorHAnsi" w:hAnsiTheme="minorHAnsi"/>
        </w:rPr>
        <w:t xml:space="preserve">of a major osteoporotic fracture </w:t>
      </w:r>
      <w:r w:rsidRPr="00634A56">
        <w:rPr>
          <w:rFonts w:asciiTheme="minorHAnsi" w:hAnsiTheme="minorHAnsi"/>
        </w:rPr>
        <w:t>rose with age, from 2.</w:t>
      </w:r>
      <w:r w:rsidR="00E167EF">
        <w:rPr>
          <w:rFonts w:asciiTheme="minorHAnsi" w:hAnsiTheme="minorHAnsi"/>
        </w:rPr>
        <w:t>3</w:t>
      </w:r>
      <w:r w:rsidRPr="00634A56">
        <w:rPr>
          <w:rFonts w:asciiTheme="minorHAnsi" w:hAnsiTheme="minorHAnsi"/>
        </w:rPr>
        <w:t xml:space="preserve">% at the age of </w:t>
      </w:r>
      <w:r w:rsidR="003F512D">
        <w:rPr>
          <w:rFonts w:asciiTheme="minorHAnsi" w:hAnsiTheme="minorHAnsi"/>
        </w:rPr>
        <w:t>4</w:t>
      </w:r>
      <w:r w:rsidRPr="00634A56">
        <w:rPr>
          <w:rFonts w:asciiTheme="minorHAnsi" w:hAnsiTheme="minorHAnsi"/>
        </w:rPr>
        <w:t>0 years to 2</w:t>
      </w:r>
      <w:r w:rsidR="00E167EF">
        <w:rPr>
          <w:rFonts w:asciiTheme="minorHAnsi" w:hAnsiTheme="minorHAnsi"/>
        </w:rPr>
        <w:t>3</w:t>
      </w:r>
      <w:r w:rsidRPr="00634A56">
        <w:rPr>
          <w:rFonts w:asciiTheme="minorHAnsi" w:hAnsiTheme="minorHAnsi"/>
        </w:rPr>
        <w:t>%, at the age of 90 years. Fracture probabilities were consistently higher than in women with no clinical risk factors.</w:t>
      </w:r>
    </w:p>
    <w:p w14:paraId="4B89D9FD" w14:textId="7DBE3916" w:rsidR="00006210" w:rsidRDefault="00006210" w:rsidP="00634A56">
      <w:pPr>
        <w:spacing w:after="120" w:line="360" w:lineRule="auto"/>
        <w:jc w:val="left"/>
        <w:rPr>
          <w:rFonts w:asciiTheme="minorHAnsi" w:hAnsiTheme="minorHAnsi"/>
          <w:iCs/>
        </w:rPr>
      </w:pPr>
      <w:r w:rsidRPr="00006210">
        <w:rPr>
          <w:rFonts w:asciiTheme="minorHAnsi" w:hAnsiTheme="minorHAnsi"/>
          <w:iCs/>
        </w:rPr>
        <w:t xml:space="preserve">When hip fracture probability was </w:t>
      </w:r>
      <w:r w:rsidR="00A21FA8" w:rsidRPr="00006210">
        <w:rPr>
          <w:rFonts w:asciiTheme="minorHAnsi" w:hAnsiTheme="minorHAnsi"/>
          <w:iCs/>
        </w:rPr>
        <w:t xml:space="preserve">used, </w:t>
      </w:r>
      <w:r w:rsidR="00A21FA8">
        <w:rPr>
          <w:rFonts w:asciiTheme="minorHAnsi" w:hAnsiTheme="minorHAnsi"/>
          <w:iCs/>
        </w:rPr>
        <w:t xml:space="preserve">the risk of hip fracture was </w:t>
      </w:r>
      <w:r w:rsidR="00D7276F">
        <w:rPr>
          <w:rFonts w:asciiTheme="minorHAnsi" w:hAnsiTheme="minorHAnsi"/>
          <w:iCs/>
        </w:rPr>
        <w:t>9</w:t>
      </w:r>
      <w:r w:rsidR="00A21FA8">
        <w:rPr>
          <w:rFonts w:asciiTheme="minorHAnsi" w:hAnsiTheme="minorHAnsi"/>
          <w:iCs/>
        </w:rPr>
        <w:t xml:space="preserve">-fold increased at the age of 50 years </w:t>
      </w:r>
      <w:r w:rsidR="003F512D" w:rsidRPr="003F512D">
        <w:rPr>
          <w:rFonts w:asciiTheme="minorHAnsi" w:hAnsiTheme="minorHAnsi"/>
          <w:iCs/>
        </w:rPr>
        <w:t xml:space="preserve">for women with T-score -2.5 </w:t>
      </w:r>
      <w:r w:rsidR="00A21FA8">
        <w:rPr>
          <w:rFonts w:asciiTheme="minorHAnsi" w:hAnsiTheme="minorHAnsi"/>
          <w:iCs/>
        </w:rPr>
        <w:t xml:space="preserve">compared to women with no clinical risk factors and average BMD </w:t>
      </w:r>
      <w:r w:rsidR="00D230D9">
        <w:rPr>
          <w:rFonts w:asciiTheme="minorHAnsi" w:hAnsiTheme="minorHAnsi"/>
          <w:iCs/>
        </w:rPr>
        <w:t xml:space="preserve">(albeit with low absolute probabilities in either scenario) </w:t>
      </w:r>
      <w:r w:rsidR="00A21FA8">
        <w:rPr>
          <w:rFonts w:asciiTheme="minorHAnsi" w:hAnsiTheme="minorHAnsi"/>
          <w:iCs/>
        </w:rPr>
        <w:t xml:space="preserve">and, as in the case of major osteoporotic fracture, decreased progressively with age. </w:t>
      </w:r>
      <w:r w:rsidR="002371A7" w:rsidRPr="002371A7">
        <w:rPr>
          <w:rFonts w:asciiTheme="minorHAnsi" w:hAnsiTheme="minorHAnsi"/>
          <w:iCs/>
        </w:rPr>
        <w:t>T</w:t>
      </w:r>
      <w:r w:rsidR="002371A7" w:rsidRPr="002371A7">
        <w:rPr>
          <w:rFonts w:asciiTheme="minorHAnsi" w:hAnsiTheme="minorHAnsi"/>
          <w:iCs/>
          <w:lang w:val="en-GB"/>
        </w:rPr>
        <w:t>he fracture probability was lower than in women of the same age but with no risk factors</w:t>
      </w:r>
      <w:r w:rsidR="002371A7" w:rsidRPr="002371A7">
        <w:rPr>
          <w:rFonts w:asciiTheme="minorHAnsi" w:hAnsiTheme="minorHAnsi"/>
          <w:iCs/>
        </w:rPr>
        <w:t xml:space="preserve"> from the age of 87 years (Figure 2).  For a T-score of -1.5 SD, the same phenomenon was observed for hip fracture from the age of 65 years (data not shown).</w:t>
      </w:r>
    </w:p>
    <w:p w14:paraId="2E3634E9" w14:textId="6B5D53BC" w:rsidR="002C0025" w:rsidRPr="00006210" w:rsidRDefault="002C0025" w:rsidP="00634A56">
      <w:pPr>
        <w:spacing w:after="120" w:line="360" w:lineRule="auto"/>
        <w:jc w:val="left"/>
        <w:rPr>
          <w:rFonts w:asciiTheme="minorHAnsi" w:hAnsiTheme="minorHAnsi"/>
          <w:iCs/>
        </w:rPr>
      </w:pPr>
      <w:r>
        <w:rPr>
          <w:rFonts w:asciiTheme="minorHAnsi" w:hAnsiTheme="minorHAnsi"/>
          <w:iCs/>
        </w:rPr>
        <w:lastRenderedPageBreak/>
        <w:t>In the case of men, the findings were similar.  For a major osteoporotic fracture,</w:t>
      </w:r>
      <w:r w:rsidRPr="002C0025">
        <w:rPr>
          <w:rFonts w:asciiTheme="minorHAnsi" w:hAnsiTheme="minorHAnsi"/>
          <w:iCs/>
        </w:rPr>
        <w:t xml:space="preserve"> </w:t>
      </w:r>
      <w:r>
        <w:rPr>
          <w:rFonts w:asciiTheme="minorHAnsi" w:hAnsiTheme="minorHAnsi"/>
          <w:iCs/>
        </w:rPr>
        <w:t>a</w:t>
      </w:r>
      <w:r w:rsidRPr="002C0025">
        <w:rPr>
          <w:rFonts w:asciiTheme="minorHAnsi" w:hAnsiTheme="minorHAnsi"/>
          <w:iCs/>
        </w:rPr>
        <w:t xml:space="preserve"> </w:t>
      </w:r>
      <w:r>
        <w:rPr>
          <w:rFonts w:asciiTheme="minorHAnsi" w:hAnsiTheme="minorHAnsi"/>
          <w:iCs/>
        </w:rPr>
        <w:t>T</w:t>
      </w:r>
      <w:r w:rsidRPr="002C0025">
        <w:rPr>
          <w:rFonts w:asciiTheme="minorHAnsi" w:hAnsiTheme="minorHAnsi"/>
          <w:iCs/>
        </w:rPr>
        <w:t>-score of -2.5 SD</w:t>
      </w:r>
      <w:r w:rsidR="00F6580C">
        <w:rPr>
          <w:rFonts w:asciiTheme="minorHAnsi" w:hAnsiTheme="minorHAnsi"/>
          <w:iCs/>
        </w:rPr>
        <w:t xml:space="preserve"> was associated with a </w:t>
      </w:r>
      <w:r w:rsidR="00F6580C" w:rsidRPr="00F6580C">
        <w:rPr>
          <w:rFonts w:asciiTheme="minorHAnsi" w:hAnsiTheme="minorHAnsi"/>
          <w:iCs/>
        </w:rPr>
        <w:t xml:space="preserve">fracture probability </w:t>
      </w:r>
      <w:r w:rsidR="00F6580C">
        <w:rPr>
          <w:rFonts w:asciiTheme="minorHAnsi" w:hAnsiTheme="minorHAnsi"/>
          <w:iCs/>
        </w:rPr>
        <w:t xml:space="preserve">that </w:t>
      </w:r>
      <w:r w:rsidR="00F6580C" w:rsidRPr="00F6580C">
        <w:rPr>
          <w:rFonts w:asciiTheme="minorHAnsi" w:hAnsiTheme="minorHAnsi"/>
          <w:iCs/>
        </w:rPr>
        <w:t>was lower than in men of the same age but with no risk factors</w:t>
      </w:r>
      <w:r w:rsidR="00F6580C">
        <w:rPr>
          <w:rFonts w:asciiTheme="minorHAnsi" w:hAnsiTheme="minorHAnsi"/>
          <w:iCs/>
        </w:rPr>
        <w:t xml:space="preserve"> </w:t>
      </w:r>
      <w:r w:rsidR="00F6580C" w:rsidRPr="00F6580C">
        <w:rPr>
          <w:rFonts w:asciiTheme="minorHAnsi" w:hAnsiTheme="minorHAnsi"/>
          <w:iCs/>
        </w:rPr>
        <w:t xml:space="preserve">from the age of </w:t>
      </w:r>
      <w:r w:rsidR="00F6580C">
        <w:rPr>
          <w:rFonts w:asciiTheme="minorHAnsi" w:hAnsiTheme="minorHAnsi"/>
          <w:iCs/>
        </w:rPr>
        <w:t>90</w:t>
      </w:r>
      <w:r w:rsidR="00F6580C" w:rsidRPr="00F6580C">
        <w:rPr>
          <w:rFonts w:asciiTheme="minorHAnsi" w:hAnsiTheme="minorHAnsi"/>
          <w:iCs/>
        </w:rPr>
        <w:t xml:space="preserve"> years</w:t>
      </w:r>
      <w:r w:rsidR="00205B09">
        <w:rPr>
          <w:rFonts w:asciiTheme="minorHAnsi" w:hAnsiTheme="minorHAnsi"/>
          <w:iCs/>
        </w:rPr>
        <w:t xml:space="preserve"> and for</w:t>
      </w:r>
      <w:r>
        <w:rPr>
          <w:rFonts w:asciiTheme="minorHAnsi" w:hAnsiTheme="minorHAnsi"/>
          <w:iCs/>
        </w:rPr>
        <w:t xml:space="preserve"> </w:t>
      </w:r>
      <w:r w:rsidRPr="002C0025">
        <w:rPr>
          <w:rFonts w:asciiTheme="minorHAnsi" w:hAnsiTheme="minorHAnsi"/>
          <w:iCs/>
        </w:rPr>
        <w:t>a</w:t>
      </w:r>
      <w:r>
        <w:rPr>
          <w:rFonts w:asciiTheme="minorHAnsi" w:hAnsiTheme="minorHAnsi"/>
          <w:iCs/>
        </w:rPr>
        <w:t xml:space="preserve"> T</w:t>
      </w:r>
      <w:r w:rsidRPr="002C0025">
        <w:rPr>
          <w:rFonts w:asciiTheme="minorHAnsi" w:hAnsiTheme="minorHAnsi"/>
          <w:iCs/>
        </w:rPr>
        <w:t>-score of -</w:t>
      </w:r>
      <w:r>
        <w:rPr>
          <w:rFonts w:asciiTheme="minorHAnsi" w:hAnsiTheme="minorHAnsi"/>
          <w:iCs/>
        </w:rPr>
        <w:t>1</w:t>
      </w:r>
      <w:r w:rsidRPr="002C0025">
        <w:rPr>
          <w:rFonts w:asciiTheme="minorHAnsi" w:hAnsiTheme="minorHAnsi"/>
          <w:iCs/>
        </w:rPr>
        <w:t>.5 SD</w:t>
      </w:r>
      <w:r w:rsidR="00205B09">
        <w:rPr>
          <w:rFonts w:asciiTheme="minorHAnsi" w:hAnsiTheme="minorHAnsi"/>
          <w:iCs/>
        </w:rPr>
        <w:t>,</w:t>
      </w:r>
      <w:r w:rsidRPr="002C0025">
        <w:rPr>
          <w:rFonts w:asciiTheme="minorHAnsi" w:hAnsiTheme="minorHAnsi"/>
          <w:iCs/>
        </w:rPr>
        <w:t xml:space="preserve"> at or above the age of </w:t>
      </w:r>
      <w:r w:rsidR="0035654D">
        <w:rPr>
          <w:rFonts w:asciiTheme="minorHAnsi" w:hAnsiTheme="minorHAnsi"/>
          <w:iCs/>
        </w:rPr>
        <w:t>80</w:t>
      </w:r>
      <w:r w:rsidRPr="002C0025">
        <w:rPr>
          <w:rFonts w:asciiTheme="minorHAnsi" w:hAnsiTheme="minorHAnsi"/>
          <w:iCs/>
        </w:rPr>
        <w:t xml:space="preserve"> years</w:t>
      </w:r>
      <w:r>
        <w:rPr>
          <w:rFonts w:asciiTheme="minorHAnsi" w:hAnsiTheme="minorHAnsi"/>
          <w:iCs/>
        </w:rPr>
        <w:t>.</w:t>
      </w:r>
      <w:r w:rsidRPr="002C0025">
        <w:rPr>
          <w:rFonts w:asciiTheme="minorHAnsi" w:hAnsiTheme="minorHAnsi"/>
          <w:iCs/>
        </w:rPr>
        <w:t xml:space="preserve"> </w:t>
      </w:r>
      <w:r>
        <w:rPr>
          <w:rFonts w:asciiTheme="minorHAnsi" w:hAnsiTheme="minorHAnsi"/>
          <w:iCs/>
        </w:rPr>
        <w:t>When hip fracture probability was used</w:t>
      </w:r>
      <w:r w:rsidRPr="002C0025">
        <w:rPr>
          <w:rFonts w:asciiTheme="minorHAnsi" w:hAnsiTheme="minorHAnsi"/>
          <w:iCs/>
        </w:rPr>
        <w:t xml:space="preserve">, </w:t>
      </w:r>
      <w:r w:rsidR="00205B09">
        <w:rPr>
          <w:rFonts w:asciiTheme="minorHAnsi" w:hAnsiTheme="minorHAnsi"/>
          <w:iCs/>
        </w:rPr>
        <w:t xml:space="preserve">the same </w:t>
      </w:r>
      <w:r w:rsidR="00D230D9">
        <w:rPr>
          <w:rFonts w:asciiTheme="minorHAnsi" w:hAnsiTheme="minorHAnsi"/>
          <w:iCs/>
        </w:rPr>
        <w:t>phenomena at</w:t>
      </w:r>
      <w:r w:rsidR="00205B09">
        <w:rPr>
          <w:rFonts w:asciiTheme="minorHAnsi" w:hAnsiTheme="minorHAnsi"/>
          <w:iCs/>
        </w:rPr>
        <w:t xml:space="preserve"> a</w:t>
      </w:r>
      <w:r w:rsidRPr="002C0025">
        <w:rPr>
          <w:rFonts w:asciiTheme="minorHAnsi" w:hAnsiTheme="minorHAnsi"/>
          <w:iCs/>
        </w:rPr>
        <w:t xml:space="preserve"> </w:t>
      </w:r>
      <w:r>
        <w:rPr>
          <w:rFonts w:asciiTheme="minorHAnsi" w:hAnsiTheme="minorHAnsi"/>
          <w:iCs/>
        </w:rPr>
        <w:t>T</w:t>
      </w:r>
      <w:r w:rsidRPr="002C0025">
        <w:rPr>
          <w:rFonts w:asciiTheme="minorHAnsi" w:hAnsiTheme="minorHAnsi"/>
          <w:iCs/>
        </w:rPr>
        <w:t xml:space="preserve">-score of -2.5 SD </w:t>
      </w:r>
      <w:r>
        <w:rPr>
          <w:rFonts w:asciiTheme="minorHAnsi" w:hAnsiTheme="minorHAnsi"/>
          <w:iCs/>
        </w:rPr>
        <w:t xml:space="preserve">in men </w:t>
      </w:r>
      <w:r w:rsidR="00205B09">
        <w:rPr>
          <w:rFonts w:asciiTheme="minorHAnsi" w:hAnsiTheme="minorHAnsi"/>
          <w:iCs/>
        </w:rPr>
        <w:t>noted</w:t>
      </w:r>
      <w:r w:rsidRPr="002C0025">
        <w:rPr>
          <w:rFonts w:asciiTheme="minorHAnsi" w:hAnsiTheme="minorHAnsi"/>
          <w:iCs/>
        </w:rPr>
        <w:t xml:space="preserve"> at or above the age of 8</w:t>
      </w:r>
      <w:r w:rsidR="005708D8">
        <w:rPr>
          <w:rFonts w:asciiTheme="minorHAnsi" w:hAnsiTheme="minorHAnsi"/>
          <w:iCs/>
        </w:rPr>
        <w:t>8</w:t>
      </w:r>
      <w:r w:rsidRPr="002C0025">
        <w:rPr>
          <w:rFonts w:asciiTheme="minorHAnsi" w:hAnsiTheme="minorHAnsi"/>
          <w:iCs/>
        </w:rPr>
        <w:t xml:space="preserve"> years </w:t>
      </w:r>
      <w:r>
        <w:rPr>
          <w:rFonts w:asciiTheme="minorHAnsi" w:hAnsiTheme="minorHAnsi"/>
          <w:iCs/>
        </w:rPr>
        <w:t xml:space="preserve">(see Figure 2) </w:t>
      </w:r>
      <w:r w:rsidRPr="002C0025">
        <w:rPr>
          <w:rFonts w:asciiTheme="minorHAnsi" w:hAnsiTheme="minorHAnsi"/>
          <w:iCs/>
        </w:rPr>
        <w:t>and</w:t>
      </w:r>
      <w:r w:rsidR="00205B09">
        <w:rPr>
          <w:rFonts w:asciiTheme="minorHAnsi" w:hAnsiTheme="minorHAnsi"/>
          <w:iCs/>
        </w:rPr>
        <w:t>,</w:t>
      </w:r>
      <w:r w:rsidRPr="002C0025">
        <w:rPr>
          <w:rFonts w:asciiTheme="minorHAnsi" w:hAnsiTheme="minorHAnsi"/>
          <w:iCs/>
        </w:rPr>
        <w:t xml:space="preserve"> </w:t>
      </w:r>
      <w:r w:rsidR="00205B09">
        <w:rPr>
          <w:rFonts w:asciiTheme="minorHAnsi" w:hAnsiTheme="minorHAnsi"/>
          <w:iCs/>
        </w:rPr>
        <w:t xml:space="preserve">with </w:t>
      </w:r>
      <w:r w:rsidRPr="002C0025">
        <w:rPr>
          <w:rFonts w:asciiTheme="minorHAnsi" w:hAnsiTheme="minorHAnsi"/>
          <w:iCs/>
        </w:rPr>
        <w:t xml:space="preserve">a </w:t>
      </w:r>
      <w:r w:rsidR="0037706E">
        <w:rPr>
          <w:rFonts w:asciiTheme="minorHAnsi" w:hAnsiTheme="minorHAnsi"/>
          <w:iCs/>
        </w:rPr>
        <w:t>T</w:t>
      </w:r>
      <w:r w:rsidRPr="002C0025">
        <w:rPr>
          <w:rFonts w:asciiTheme="minorHAnsi" w:hAnsiTheme="minorHAnsi"/>
          <w:iCs/>
        </w:rPr>
        <w:t>-score of -1.5 SD</w:t>
      </w:r>
      <w:r w:rsidR="00205B09">
        <w:rPr>
          <w:rFonts w:asciiTheme="minorHAnsi" w:hAnsiTheme="minorHAnsi"/>
          <w:iCs/>
        </w:rPr>
        <w:t>,</w:t>
      </w:r>
      <w:r w:rsidRPr="002C0025">
        <w:rPr>
          <w:rFonts w:asciiTheme="minorHAnsi" w:hAnsiTheme="minorHAnsi"/>
          <w:iCs/>
        </w:rPr>
        <w:t xml:space="preserve"> above the age of 7</w:t>
      </w:r>
      <w:r w:rsidR="005708D8">
        <w:rPr>
          <w:rFonts w:asciiTheme="minorHAnsi" w:hAnsiTheme="minorHAnsi"/>
          <w:iCs/>
        </w:rPr>
        <w:t>8</w:t>
      </w:r>
      <w:r w:rsidRPr="002C0025">
        <w:rPr>
          <w:rFonts w:asciiTheme="minorHAnsi" w:hAnsiTheme="minorHAnsi"/>
          <w:iCs/>
        </w:rPr>
        <w:t xml:space="preserve"> years.</w:t>
      </w:r>
    </w:p>
    <w:p w14:paraId="13167780" w14:textId="154B9142" w:rsidR="00006210" w:rsidRDefault="00BB7665" w:rsidP="00A21FA8">
      <w:pPr>
        <w:spacing w:after="120" w:line="360" w:lineRule="auto"/>
        <w:jc w:val="center"/>
        <w:rPr>
          <w:rFonts w:asciiTheme="minorHAnsi" w:hAnsiTheme="minorHAnsi"/>
          <w:iCs/>
        </w:rPr>
      </w:pPr>
      <w:r w:rsidRPr="00BB7665">
        <w:rPr>
          <w:rFonts w:asciiTheme="minorHAnsi" w:hAnsiTheme="minorHAnsi"/>
          <w:iCs/>
          <w:noProof/>
          <w:lang w:val="en-GB" w:eastAsia="en-GB"/>
        </w:rPr>
        <w:drawing>
          <wp:inline distT="0" distB="0" distL="0" distR="0" wp14:anchorId="0F105E61" wp14:editId="7425BBE6">
            <wp:extent cx="4571999" cy="2819400"/>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12592" b="5185"/>
                    <a:stretch/>
                  </pic:blipFill>
                  <pic:spPr bwMode="auto">
                    <a:xfrm>
                      <a:off x="0" y="0"/>
                      <a:ext cx="4572396" cy="2819645"/>
                    </a:xfrm>
                    <a:prstGeom prst="rect">
                      <a:avLst/>
                    </a:prstGeom>
                    <a:ln>
                      <a:noFill/>
                    </a:ln>
                    <a:extLst>
                      <a:ext uri="{53640926-AAD7-44D8-BBD7-CCE9431645EC}">
                        <a14:shadowObscured xmlns:a14="http://schemas.microsoft.com/office/drawing/2010/main"/>
                      </a:ext>
                    </a:extLst>
                  </pic:spPr>
                </pic:pic>
              </a:graphicData>
            </a:graphic>
          </wp:inline>
        </w:drawing>
      </w:r>
    </w:p>
    <w:p w14:paraId="5B907668" w14:textId="13250655" w:rsidR="003C17A6" w:rsidRPr="004444B1" w:rsidRDefault="003C17A6" w:rsidP="001A3E83">
      <w:pPr>
        <w:spacing w:after="120" w:line="360" w:lineRule="auto"/>
        <w:ind w:left="851" w:right="713"/>
        <w:jc w:val="left"/>
        <w:rPr>
          <w:rFonts w:asciiTheme="minorHAnsi" w:hAnsiTheme="minorHAnsi"/>
          <w:iCs/>
          <w:sz w:val="22"/>
          <w:szCs w:val="22"/>
        </w:rPr>
      </w:pPr>
      <w:r w:rsidRPr="004444B1">
        <w:rPr>
          <w:rFonts w:asciiTheme="minorHAnsi" w:hAnsiTheme="minorHAnsi"/>
          <w:b/>
          <w:iCs/>
          <w:sz w:val="22"/>
          <w:szCs w:val="22"/>
        </w:rPr>
        <w:t>Fig. 2</w:t>
      </w:r>
      <w:r w:rsidRPr="004444B1">
        <w:rPr>
          <w:rFonts w:asciiTheme="minorHAnsi" w:hAnsiTheme="minorHAnsi"/>
          <w:iCs/>
          <w:sz w:val="22"/>
          <w:szCs w:val="22"/>
        </w:rPr>
        <w:t xml:space="preserve">  The 10-year probability of fracture in men and women with a T-score equal to -2.5 SD divided by the age-specific probability in individuals with no clinical risk factors and an average BMD</w:t>
      </w:r>
      <w:r w:rsidR="00886C8E" w:rsidRPr="004444B1">
        <w:rPr>
          <w:rFonts w:asciiTheme="minorHAnsi" w:hAnsiTheme="minorHAnsi"/>
          <w:iCs/>
          <w:sz w:val="22"/>
          <w:szCs w:val="22"/>
        </w:rPr>
        <w:t xml:space="preserve"> for age</w:t>
      </w:r>
      <w:r w:rsidRPr="004444B1">
        <w:rPr>
          <w:rFonts w:asciiTheme="minorHAnsi" w:hAnsiTheme="minorHAnsi"/>
          <w:iCs/>
          <w:sz w:val="22"/>
          <w:szCs w:val="22"/>
        </w:rPr>
        <w:t>.  The horizontal line denotes a probability ratio of 1.0.  MOF; major osteoporotic fracture</w:t>
      </w:r>
      <w:r w:rsidR="001A3E83" w:rsidRPr="004444B1">
        <w:rPr>
          <w:rFonts w:asciiTheme="minorHAnsi" w:hAnsiTheme="minorHAnsi"/>
          <w:iCs/>
          <w:sz w:val="22"/>
          <w:szCs w:val="22"/>
        </w:rPr>
        <w:t>.</w:t>
      </w:r>
    </w:p>
    <w:p w14:paraId="4D65C68D" w14:textId="77777777" w:rsidR="00EC31E6" w:rsidRPr="00006210" w:rsidRDefault="00EC31E6" w:rsidP="001A3E83">
      <w:pPr>
        <w:spacing w:after="120" w:line="360" w:lineRule="auto"/>
        <w:ind w:left="851" w:right="713"/>
        <w:jc w:val="left"/>
        <w:rPr>
          <w:rFonts w:asciiTheme="minorHAnsi" w:hAnsiTheme="minorHAnsi"/>
          <w:iCs/>
        </w:rPr>
      </w:pPr>
    </w:p>
    <w:p w14:paraId="44AEDB80" w14:textId="29CE9932" w:rsidR="00634A56" w:rsidRPr="00971FE2" w:rsidRDefault="001A3E83" w:rsidP="00634A56">
      <w:pPr>
        <w:spacing w:after="120" w:line="360" w:lineRule="auto"/>
        <w:jc w:val="left"/>
        <w:rPr>
          <w:rFonts w:asciiTheme="minorHAnsi" w:hAnsiTheme="minorHAnsi"/>
          <w:i/>
          <w:iCs/>
        </w:rPr>
      </w:pPr>
      <w:r w:rsidRPr="00971FE2">
        <w:rPr>
          <w:rFonts w:asciiTheme="minorHAnsi" w:hAnsiTheme="minorHAnsi"/>
          <w:i/>
          <w:iCs/>
        </w:rPr>
        <w:t xml:space="preserve">Probability-based intervention thresholds and </w:t>
      </w:r>
      <w:r w:rsidR="00634A56" w:rsidRPr="00971FE2">
        <w:rPr>
          <w:rFonts w:asciiTheme="minorHAnsi" w:hAnsiTheme="minorHAnsi"/>
          <w:i/>
          <w:iCs/>
        </w:rPr>
        <w:t>BMD assessment thresholds</w:t>
      </w:r>
    </w:p>
    <w:p w14:paraId="03279D30" w14:textId="5DE3A31B" w:rsidR="00634A56" w:rsidRPr="00971FE2" w:rsidRDefault="00634A56" w:rsidP="00634A56">
      <w:pPr>
        <w:spacing w:after="120" w:line="360" w:lineRule="auto"/>
        <w:jc w:val="left"/>
        <w:rPr>
          <w:rFonts w:asciiTheme="minorHAnsi" w:hAnsiTheme="minorHAnsi"/>
        </w:rPr>
      </w:pPr>
      <w:r w:rsidRPr="00971FE2">
        <w:rPr>
          <w:rFonts w:asciiTheme="minorHAnsi" w:hAnsiTheme="minorHAnsi"/>
        </w:rPr>
        <w:t>The intervention threshold</w:t>
      </w:r>
      <w:r w:rsidR="00971FE2" w:rsidRPr="00971FE2">
        <w:rPr>
          <w:rFonts w:asciiTheme="minorHAnsi" w:hAnsiTheme="minorHAnsi"/>
        </w:rPr>
        <w:t xml:space="preserve"> was set at the age-dependent 10-year probability of a major osteoporotic fracture that was equivalent to a woman with a prior fragility fracture (see Figure 1).</w:t>
      </w:r>
      <w:r w:rsidRPr="00971FE2">
        <w:rPr>
          <w:rFonts w:asciiTheme="minorHAnsi" w:hAnsiTheme="minorHAnsi"/>
        </w:rPr>
        <w:t xml:space="preserve"> </w:t>
      </w:r>
      <w:r w:rsidR="00971FE2" w:rsidRPr="00971FE2">
        <w:rPr>
          <w:rFonts w:asciiTheme="minorHAnsi" w:hAnsiTheme="minorHAnsi"/>
        </w:rPr>
        <w:t xml:space="preserve"> As used in the NOGG guidance,</w:t>
      </w:r>
      <w:r w:rsidRPr="00971FE2">
        <w:rPr>
          <w:rFonts w:asciiTheme="minorHAnsi" w:hAnsiTheme="minorHAnsi"/>
          <w:lang w:val="en-GB"/>
        </w:rPr>
        <w:t xml:space="preserve"> </w:t>
      </w:r>
      <w:r w:rsidR="00971FE2" w:rsidRPr="00971FE2">
        <w:rPr>
          <w:rFonts w:asciiTheme="minorHAnsi" w:hAnsiTheme="minorHAnsi"/>
        </w:rPr>
        <w:t>t</w:t>
      </w:r>
      <w:r w:rsidRPr="00971FE2">
        <w:rPr>
          <w:rFonts w:asciiTheme="minorHAnsi" w:hAnsiTheme="minorHAnsi"/>
        </w:rPr>
        <w:t xml:space="preserve">he lower assessment threshold, below which BMD tests are of limited value, </w:t>
      </w:r>
      <w:r w:rsidR="00971FE2" w:rsidRPr="00971FE2">
        <w:rPr>
          <w:rFonts w:asciiTheme="minorHAnsi" w:hAnsiTheme="minorHAnsi"/>
        </w:rPr>
        <w:t xml:space="preserve">was set at </w:t>
      </w:r>
      <w:r w:rsidRPr="00971FE2">
        <w:rPr>
          <w:rFonts w:asciiTheme="minorHAnsi" w:hAnsiTheme="minorHAnsi"/>
        </w:rPr>
        <w:t xml:space="preserve">the age-specific probabilities in women with no clinical risk factors.  The upper assessment was set at 1.2 times the intervention threshold.  </w:t>
      </w:r>
      <w:r w:rsidR="00971FE2">
        <w:rPr>
          <w:rFonts w:asciiTheme="minorHAnsi" w:hAnsiTheme="minorHAnsi"/>
        </w:rPr>
        <w:t>The three thresholds are shown in table 2.</w:t>
      </w:r>
      <w:r w:rsidR="00C65E11">
        <w:rPr>
          <w:rFonts w:asciiTheme="minorHAnsi" w:hAnsiTheme="minorHAnsi"/>
        </w:rPr>
        <w:t xml:space="preserve"> </w:t>
      </w:r>
      <w:r w:rsidR="00C9482D" w:rsidRPr="00C9482D">
        <w:rPr>
          <w:rFonts w:asciiTheme="minorHAnsi" w:hAnsiTheme="minorHAnsi"/>
          <w:color w:val="FF0000"/>
        </w:rPr>
        <w:t xml:space="preserve">Intervention thresholds, based on hip fracture probability are shown in </w:t>
      </w:r>
      <w:r w:rsidR="00C9482D" w:rsidRPr="00C9482D">
        <w:rPr>
          <w:rFonts w:asciiTheme="minorHAnsi" w:hAnsiTheme="minorHAnsi"/>
          <w:color w:val="FF0000"/>
        </w:rPr>
        <w:lastRenderedPageBreak/>
        <w:t xml:space="preserve">the supplementary appendix (Table A2). </w:t>
      </w:r>
      <w:r w:rsidR="00C65E11">
        <w:rPr>
          <w:rFonts w:asciiTheme="minorHAnsi" w:hAnsiTheme="minorHAnsi"/>
        </w:rPr>
        <w:t>The practical applications of these thresholds for Kuwait are provided in the discussion below.</w:t>
      </w:r>
    </w:p>
    <w:p w14:paraId="0ED84DCA" w14:textId="1DA2EA26" w:rsidR="00971FE2" w:rsidRPr="004444B1" w:rsidRDefault="00971FE2" w:rsidP="00380099">
      <w:pPr>
        <w:spacing w:after="120" w:line="360" w:lineRule="auto"/>
        <w:jc w:val="left"/>
        <w:rPr>
          <w:rFonts w:asciiTheme="minorHAnsi" w:hAnsiTheme="minorHAnsi"/>
          <w:sz w:val="22"/>
          <w:szCs w:val="22"/>
        </w:rPr>
      </w:pPr>
      <w:r w:rsidRPr="004444B1">
        <w:rPr>
          <w:rFonts w:asciiTheme="minorHAnsi" w:hAnsiTheme="minorHAnsi"/>
          <w:b/>
          <w:sz w:val="22"/>
          <w:szCs w:val="22"/>
        </w:rPr>
        <w:t>Table 2.</w:t>
      </w:r>
      <w:r w:rsidRPr="004444B1">
        <w:rPr>
          <w:rFonts w:asciiTheme="minorHAnsi" w:hAnsiTheme="minorHAnsi"/>
          <w:sz w:val="22"/>
          <w:szCs w:val="22"/>
        </w:rPr>
        <w:t xml:space="preserve"> </w:t>
      </w:r>
      <w:r w:rsidR="002371A7" w:rsidRPr="004444B1">
        <w:rPr>
          <w:rFonts w:asciiTheme="minorHAnsi" w:hAnsiTheme="minorHAnsi"/>
          <w:sz w:val="22"/>
          <w:szCs w:val="22"/>
        </w:rPr>
        <w:t>Ten</w:t>
      </w:r>
      <w:r w:rsidR="002371A7">
        <w:rPr>
          <w:rFonts w:asciiTheme="minorHAnsi" w:hAnsiTheme="minorHAnsi"/>
          <w:sz w:val="22"/>
          <w:szCs w:val="22"/>
        </w:rPr>
        <w:t>-</w:t>
      </w:r>
      <w:r w:rsidRPr="004444B1">
        <w:rPr>
          <w:rFonts w:asciiTheme="minorHAnsi" w:hAnsiTheme="minorHAnsi"/>
          <w:sz w:val="22"/>
          <w:szCs w:val="22"/>
        </w:rPr>
        <w:t xml:space="preserve">year probabilities of a major osteoporotic fracture (%) in </w:t>
      </w:r>
      <w:r w:rsidR="00DB7CAA">
        <w:rPr>
          <w:rFonts w:asciiTheme="minorHAnsi" w:hAnsiTheme="minorHAnsi"/>
          <w:sz w:val="22"/>
          <w:szCs w:val="22"/>
        </w:rPr>
        <w:t xml:space="preserve">postmenopausal </w:t>
      </w:r>
      <w:r w:rsidRPr="004444B1">
        <w:rPr>
          <w:rFonts w:asciiTheme="minorHAnsi" w:hAnsiTheme="minorHAnsi"/>
          <w:sz w:val="22"/>
          <w:szCs w:val="22"/>
        </w:rPr>
        <w:t>women by age to show the intervention threshold together with the upper assessment threshold and lower assessment threshold</w:t>
      </w:r>
      <w:r w:rsidR="00886C8E" w:rsidRPr="004444B1">
        <w:rPr>
          <w:rFonts w:asciiTheme="minorHAnsi" w:hAnsiTheme="minorHAnsi"/>
          <w:sz w:val="22"/>
          <w:szCs w:val="22"/>
        </w:rPr>
        <w:t xml:space="preserve">, derived using the Kuwaiti FRAX model. </w:t>
      </w:r>
      <w:r w:rsidRPr="004444B1">
        <w:rPr>
          <w:rFonts w:asciiTheme="minorHAnsi" w:hAnsiTheme="minorHAnsi"/>
          <w:sz w:val="22"/>
          <w:szCs w:val="22"/>
        </w:rPr>
        <w:t xml:space="preserve">  Under this scheme, BMD testing would be recommended at probabilities lying </w:t>
      </w:r>
      <w:r w:rsidR="00C578B8" w:rsidRPr="004444B1">
        <w:rPr>
          <w:rFonts w:asciiTheme="minorHAnsi" w:hAnsiTheme="minorHAnsi"/>
          <w:sz w:val="22"/>
          <w:szCs w:val="22"/>
        </w:rPr>
        <w:t>between the</w:t>
      </w:r>
      <w:r w:rsidRPr="004444B1">
        <w:rPr>
          <w:rFonts w:asciiTheme="minorHAnsi" w:hAnsiTheme="minorHAnsi"/>
          <w:sz w:val="22"/>
          <w:szCs w:val="22"/>
        </w:rPr>
        <w:t xml:space="preserve"> </w:t>
      </w:r>
      <w:r w:rsidR="00C578B8" w:rsidRPr="004444B1">
        <w:rPr>
          <w:rFonts w:asciiTheme="minorHAnsi" w:hAnsiTheme="minorHAnsi"/>
          <w:sz w:val="22"/>
          <w:szCs w:val="22"/>
        </w:rPr>
        <w:t>upper and lower assessment thresholds.</w:t>
      </w:r>
    </w:p>
    <w:tbl>
      <w:tblPr>
        <w:tblW w:w="0" w:type="auto"/>
        <w:jc w:val="center"/>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1850"/>
        <w:gridCol w:w="1850"/>
        <w:gridCol w:w="1962"/>
        <w:gridCol w:w="2127"/>
      </w:tblGrid>
      <w:tr w:rsidR="001A3E83" w:rsidRPr="001A3E83" w14:paraId="202B8327" w14:textId="77777777" w:rsidTr="001A3E83">
        <w:trPr>
          <w:trHeight w:val="290"/>
          <w:jc w:val="center"/>
        </w:trPr>
        <w:tc>
          <w:tcPr>
            <w:tcW w:w="1850" w:type="dxa"/>
            <w:tcBorders>
              <w:top w:val="single" w:sz="4" w:space="0" w:color="auto"/>
              <w:bottom w:val="single" w:sz="4" w:space="0" w:color="auto"/>
            </w:tcBorders>
          </w:tcPr>
          <w:p w14:paraId="4BFB0F43" w14:textId="4F50EC95" w:rsidR="001A3E83" w:rsidRPr="001A3E83" w:rsidRDefault="001A3E83" w:rsidP="001A3E83">
            <w:pPr>
              <w:spacing w:after="120" w:line="360" w:lineRule="auto"/>
              <w:jc w:val="left"/>
              <w:rPr>
                <w:rFonts w:asciiTheme="minorHAnsi" w:hAnsiTheme="minorHAnsi"/>
                <w:lang w:val="en-GB"/>
              </w:rPr>
            </w:pPr>
            <w:r w:rsidRPr="001A3E83">
              <w:rPr>
                <w:rFonts w:asciiTheme="minorHAnsi" w:hAnsiTheme="minorHAnsi"/>
                <w:lang w:val="en-GB"/>
              </w:rPr>
              <w:t>Age (years)</w:t>
            </w:r>
          </w:p>
        </w:tc>
        <w:tc>
          <w:tcPr>
            <w:tcW w:w="1850" w:type="dxa"/>
            <w:tcBorders>
              <w:top w:val="single" w:sz="4" w:space="0" w:color="auto"/>
              <w:bottom w:val="single" w:sz="4" w:space="0" w:color="auto"/>
            </w:tcBorders>
          </w:tcPr>
          <w:p w14:paraId="79855886" w14:textId="77609D86" w:rsidR="001A3E83" w:rsidRPr="001A3E83" w:rsidRDefault="001A3E83" w:rsidP="001A3E83">
            <w:pPr>
              <w:spacing w:after="120" w:line="360" w:lineRule="auto"/>
              <w:jc w:val="center"/>
              <w:rPr>
                <w:rFonts w:asciiTheme="minorHAnsi" w:hAnsiTheme="minorHAnsi"/>
                <w:lang w:val="en-GB"/>
              </w:rPr>
            </w:pPr>
            <w:r w:rsidRPr="001A3E83">
              <w:rPr>
                <w:rFonts w:asciiTheme="minorHAnsi" w:hAnsiTheme="minorHAnsi"/>
                <w:lang w:val="en-GB"/>
              </w:rPr>
              <w:t>Intervention threshold</w:t>
            </w:r>
          </w:p>
        </w:tc>
        <w:tc>
          <w:tcPr>
            <w:tcW w:w="1962" w:type="dxa"/>
            <w:tcBorders>
              <w:top w:val="single" w:sz="4" w:space="0" w:color="auto"/>
              <w:bottom w:val="single" w:sz="4" w:space="0" w:color="auto"/>
            </w:tcBorders>
          </w:tcPr>
          <w:p w14:paraId="0BA20F0F" w14:textId="79938950" w:rsidR="001A3E83" w:rsidRPr="001A3E83" w:rsidRDefault="001A3E83" w:rsidP="001A3E83">
            <w:pPr>
              <w:spacing w:after="120" w:line="360" w:lineRule="auto"/>
              <w:jc w:val="center"/>
              <w:rPr>
                <w:rFonts w:asciiTheme="minorHAnsi" w:hAnsiTheme="minorHAnsi"/>
                <w:lang w:val="en-GB"/>
              </w:rPr>
            </w:pPr>
            <w:r w:rsidRPr="001A3E83">
              <w:rPr>
                <w:rFonts w:asciiTheme="minorHAnsi" w:hAnsiTheme="minorHAnsi"/>
                <w:lang w:val="en-GB"/>
              </w:rPr>
              <w:t>Lower assessment threshold</w:t>
            </w:r>
          </w:p>
        </w:tc>
        <w:tc>
          <w:tcPr>
            <w:tcW w:w="2127" w:type="dxa"/>
            <w:tcBorders>
              <w:top w:val="single" w:sz="4" w:space="0" w:color="auto"/>
              <w:bottom w:val="single" w:sz="4" w:space="0" w:color="auto"/>
            </w:tcBorders>
          </w:tcPr>
          <w:p w14:paraId="63286805" w14:textId="3991D860" w:rsidR="001A3E83" w:rsidRPr="001A3E83" w:rsidRDefault="001A3E83" w:rsidP="001A3E83">
            <w:pPr>
              <w:spacing w:after="120" w:line="360" w:lineRule="auto"/>
              <w:jc w:val="center"/>
              <w:rPr>
                <w:rFonts w:asciiTheme="minorHAnsi" w:hAnsiTheme="minorHAnsi"/>
                <w:lang w:val="en-GB"/>
              </w:rPr>
            </w:pPr>
            <w:r w:rsidRPr="001A3E83">
              <w:rPr>
                <w:rFonts w:asciiTheme="minorHAnsi" w:hAnsiTheme="minorHAnsi"/>
                <w:lang w:val="en-GB"/>
              </w:rPr>
              <w:t>Upper assessment threshold</w:t>
            </w:r>
          </w:p>
        </w:tc>
      </w:tr>
      <w:tr w:rsidR="001A3E83" w:rsidRPr="001A3E83" w14:paraId="24119B8B" w14:textId="77777777" w:rsidTr="001A3E83">
        <w:trPr>
          <w:trHeight w:val="290"/>
          <w:jc w:val="center"/>
        </w:trPr>
        <w:tc>
          <w:tcPr>
            <w:tcW w:w="1850" w:type="dxa"/>
            <w:tcBorders>
              <w:top w:val="single" w:sz="4" w:space="0" w:color="auto"/>
            </w:tcBorders>
          </w:tcPr>
          <w:p w14:paraId="09A6CAB7" w14:textId="77777777" w:rsidR="001A3E83" w:rsidRPr="001A3E83" w:rsidRDefault="001A3E83" w:rsidP="001A3E83">
            <w:pPr>
              <w:spacing w:after="120" w:line="360" w:lineRule="auto"/>
              <w:jc w:val="left"/>
              <w:rPr>
                <w:rFonts w:asciiTheme="minorHAnsi" w:hAnsiTheme="minorHAnsi"/>
                <w:lang w:val="en-GB"/>
              </w:rPr>
            </w:pPr>
            <w:r w:rsidRPr="001A3E83">
              <w:rPr>
                <w:rFonts w:asciiTheme="minorHAnsi" w:hAnsiTheme="minorHAnsi"/>
                <w:lang w:val="en-GB"/>
              </w:rPr>
              <w:t>40</w:t>
            </w:r>
          </w:p>
        </w:tc>
        <w:tc>
          <w:tcPr>
            <w:tcW w:w="1850" w:type="dxa"/>
            <w:tcBorders>
              <w:top w:val="single" w:sz="4" w:space="0" w:color="auto"/>
            </w:tcBorders>
          </w:tcPr>
          <w:p w14:paraId="5EBB7B5C" w14:textId="2B956187" w:rsidR="001A3E83" w:rsidRPr="001A3E83" w:rsidRDefault="001A3E83" w:rsidP="00BA1473">
            <w:pPr>
              <w:spacing w:after="120" w:line="360" w:lineRule="auto"/>
              <w:jc w:val="center"/>
              <w:rPr>
                <w:rFonts w:asciiTheme="minorHAnsi" w:hAnsiTheme="minorHAnsi"/>
                <w:lang w:val="en-GB"/>
              </w:rPr>
            </w:pPr>
            <w:r w:rsidRPr="001A3E83">
              <w:rPr>
                <w:rFonts w:asciiTheme="minorHAnsi" w:hAnsiTheme="minorHAnsi"/>
                <w:lang w:val="en-GB"/>
              </w:rPr>
              <w:t>2.</w:t>
            </w:r>
            <w:r w:rsidR="00BA1473">
              <w:rPr>
                <w:rFonts w:asciiTheme="minorHAnsi" w:hAnsiTheme="minorHAnsi"/>
                <w:lang w:val="en-GB"/>
              </w:rPr>
              <w:t>3</w:t>
            </w:r>
          </w:p>
        </w:tc>
        <w:tc>
          <w:tcPr>
            <w:tcW w:w="1962" w:type="dxa"/>
            <w:tcBorders>
              <w:top w:val="single" w:sz="4" w:space="0" w:color="auto"/>
            </w:tcBorders>
          </w:tcPr>
          <w:p w14:paraId="5978710E" w14:textId="1CCB4260" w:rsidR="001A3E83" w:rsidRPr="001A3E83" w:rsidRDefault="001A3E83" w:rsidP="00BA1473">
            <w:pPr>
              <w:spacing w:after="120" w:line="360" w:lineRule="auto"/>
              <w:jc w:val="center"/>
              <w:rPr>
                <w:rFonts w:asciiTheme="minorHAnsi" w:hAnsiTheme="minorHAnsi"/>
                <w:lang w:val="en-GB"/>
              </w:rPr>
            </w:pPr>
            <w:r w:rsidRPr="001A3E83">
              <w:rPr>
                <w:rFonts w:asciiTheme="minorHAnsi" w:hAnsiTheme="minorHAnsi"/>
                <w:lang w:val="en-GB"/>
              </w:rPr>
              <w:t>1.</w:t>
            </w:r>
            <w:r w:rsidR="00BA1473">
              <w:rPr>
                <w:rFonts w:asciiTheme="minorHAnsi" w:hAnsiTheme="minorHAnsi"/>
                <w:lang w:val="en-GB"/>
              </w:rPr>
              <w:t>0</w:t>
            </w:r>
          </w:p>
        </w:tc>
        <w:tc>
          <w:tcPr>
            <w:tcW w:w="2127" w:type="dxa"/>
            <w:tcBorders>
              <w:top w:val="single" w:sz="4" w:space="0" w:color="auto"/>
            </w:tcBorders>
          </w:tcPr>
          <w:p w14:paraId="7C9610DB" w14:textId="3CBE178B" w:rsidR="001A3E83" w:rsidRPr="001A3E83" w:rsidRDefault="00806278" w:rsidP="00806278">
            <w:pPr>
              <w:spacing w:after="120" w:line="360" w:lineRule="auto"/>
              <w:jc w:val="center"/>
              <w:rPr>
                <w:rFonts w:asciiTheme="minorHAnsi" w:hAnsiTheme="minorHAnsi"/>
                <w:lang w:val="en-GB"/>
              </w:rPr>
            </w:pPr>
            <w:r>
              <w:rPr>
                <w:rFonts w:asciiTheme="minorHAnsi" w:hAnsiTheme="minorHAnsi"/>
                <w:lang w:val="en-GB"/>
              </w:rPr>
              <w:t>2.8</w:t>
            </w:r>
          </w:p>
        </w:tc>
      </w:tr>
      <w:tr w:rsidR="001A3E83" w:rsidRPr="001A3E83" w14:paraId="30DC394C" w14:textId="77777777" w:rsidTr="001A3E83">
        <w:trPr>
          <w:trHeight w:val="290"/>
          <w:jc w:val="center"/>
        </w:trPr>
        <w:tc>
          <w:tcPr>
            <w:tcW w:w="1850" w:type="dxa"/>
          </w:tcPr>
          <w:p w14:paraId="5288F23F" w14:textId="77777777" w:rsidR="001A3E83" w:rsidRPr="001A3E83" w:rsidRDefault="001A3E83" w:rsidP="001A3E83">
            <w:pPr>
              <w:spacing w:after="120" w:line="360" w:lineRule="auto"/>
              <w:jc w:val="left"/>
              <w:rPr>
                <w:rFonts w:asciiTheme="minorHAnsi" w:hAnsiTheme="minorHAnsi"/>
                <w:lang w:val="en-GB"/>
              </w:rPr>
            </w:pPr>
            <w:r w:rsidRPr="001A3E83">
              <w:rPr>
                <w:rFonts w:asciiTheme="minorHAnsi" w:hAnsiTheme="minorHAnsi"/>
                <w:lang w:val="en-GB"/>
              </w:rPr>
              <w:t>45</w:t>
            </w:r>
          </w:p>
        </w:tc>
        <w:tc>
          <w:tcPr>
            <w:tcW w:w="1850" w:type="dxa"/>
          </w:tcPr>
          <w:p w14:paraId="6AC2310D" w14:textId="639A11F3" w:rsidR="001A3E83" w:rsidRPr="001A3E83" w:rsidRDefault="001A3E83" w:rsidP="00BA1473">
            <w:pPr>
              <w:spacing w:after="120" w:line="360" w:lineRule="auto"/>
              <w:jc w:val="center"/>
              <w:rPr>
                <w:rFonts w:asciiTheme="minorHAnsi" w:hAnsiTheme="minorHAnsi"/>
                <w:lang w:val="en-GB"/>
              </w:rPr>
            </w:pPr>
            <w:r w:rsidRPr="001A3E83">
              <w:rPr>
                <w:rFonts w:asciiTheme="minorHAnsi" w:hAnsiTheme="minorHAnsi"/>
                <w:lang w:val="en-GB"/>
              </w:rPr>
              <w:t>3.</w:t>
            </w:r>
            <w:r w:rsidR="00BA1473">
              <w:rPr>
                <w:rFonts w:asciiTheme="minorHAnsi" w:hAnsiTheme="minorHAnsi"/>
                <w:lang w:val="en-GB"/>
              </w:rPr>
              <w:t>2</w:t>
            </w:r>
          </w:p>
        </w:tc>
        <w:tc>
          <w:tcPr>
            <w:tcW w:w="1962" w:type="dxa"/>
          </w:tcPr>
          <w:p w14:paraId="36E0BB94" w14:textId="28AF8B0B" w:rsidR="001A3E83" w:rsidRPr="001A3E83" w:rsidRDefault="001A3E83" w:rsidP="00BA1473">
            <w:pPr>
              <w:spacing w:after="120" w:line="360" w:lineRule="auto"/>
              <w:jc w:val="center"/>
              <w:rPr>
                <w:rFonts w:asciiTheme="minorHAnsi" w:hAnsiTheme="minorHAnsi"/>
                <w:lang w:val="en-GB"/>
              </w:rPr>
            </w:pPr>
            <w:r w:rsidRPr="001A3E83">
              <w:rPr>
                <w:rFonts w:asciiTheme="minorHAnsi" w:hAnsiTheme="minorHAnsi"/>
                <w:lang w:val="en-GB"/>
              </w:rPr>
              <w:t>1.</w:t>
            </w:r>
            <w:r w:rsidR="00BA1473">
              <w:rPr>
                <w:rFonts w:asciiTheme="minorHAnsi" w:hAnsiTheme="minorHAnsi"/>
                <w:lang w:val="en-GB"/>
              </w:rPr>
              <w:t>4</w:t>
            </w:r>
          </w:p>
        </w:tc>
        <w:tc>
          <w:tcPr>
            <w:tcW w:w="2127" w:type="dxa"/>
          </w:tcPr>
          <w:p w14:paraId="66890045" w14:textId="7175F0D2" w:rsidR="001A3E83" w:rsidRPr="001A3E83" w:rsidRDefault="00806278" w:rsidP="00806278">
            <w:pPr>
              <w:spacing w:after="120" w:line="360" w:lineRule="auto"/>
              <w:jc w:val="center"/>
              <w:rPr>
                <w:rFonts w:asciiTheme="minorHAnsi" w:hAnsiTheme="minorHAnsi"/>
                <w:lang w:val="en-GB"/>
              </w:rPr>
            </w:pPr>
            <w:r>
              <w:rPr>
                <w:rFonts w:asciiTheme="minorHAnsi" w:hAnsiTheme="minorHAnsi"/>
                <w:lang w:val="en-GB"/>
              </w:rPr>
              <w:t>3.8</w:t>
            </w:r>
          </w:p>
        </w:tc>
      </w:tr>
      <w:tr w:rsidR="001A3E83" w:rsidRPr="001A3E83" w14:paraId="1F8CE162" w14:textId="77777777" w:rsidTr="001A3E83">
        <w:trPr>
          <w:trHeight w:val="290"/>
          <w:jc w:val="center"/>
        </w:trPr>
        <w:tc>
          <w:tcPr>
            <w:tcW w:w="1850" w:type="dxa"/>
          </w:tcPr>
          <w:p w14:paraId="0B8EF779" w14:textId="77777777" w:rsidR="001A3E83" w:rsidRPr="001A3E83" w:rsidRDefault="001A3E83" w:rsidP="001A3E83">
            <w:pPr>
              <w:spacing w:after="120" w:line="360" w:lineRule="auto"/>
              <w:jc w:val="left"/>
              <w:rPr>
                <w:rFonts w:asciiTheme="minorHAnsi" w:hAnsiTheme="minorHAnsi"/>
                <w:lang w:val="en-GB"/>
              </w:rPr>
            </w:pPr>
            <w:r w:rsidRPr="001A3E83">
              <w:rPr>
                <w:rFonts w:asciiTheme="minorHAnsi" w:hAnsiTheme="minorHAnsi"/>
                <w:lang w:val="en-GB"/>
              </w:rPr>
              <w:t>50</w:t>
            </w:r>
          </w:p>
        </w:tc>
        <w:tc>
          <w:tcPr>
            <w:tcW w:w="1850" w:type="dxa"/>
          </w:tcPr>
          <w:p w14:paraId="06B88ECA" w14:textId="54A4A199" w:rsidR="001A3E83" w:rsidRPr="001A3E83" w:rsidRDefault="001A3E83" w:rsidP="00BA1473">
            <w:pPr>
              <w:spacing w:after="120" w:line="360" w:lineRule="auto"/>
              <w:jc w:val="center"/>
              <w:rPr>
                <w:rFonts w:asciiTheme="minorHAnsi" w:hAnsiTheme="minorHAnsi"/>
                <w:lang w:val="en-GB"/>
              </w:rPr>
            </w:pPr>
            <w:r w:rsidRPr="001A3E83">
              <w:rPr>
                <w:rFonts w:asciiTheme="minorHAnsi" w:hAnsiTheme="minorHAnsi"/>
                <w:lang w:val="en-GB"/>
              </w:rPr>
              <w:t>4.</w:t>
            </w:r>
            <w:r w:rsidR="00BA1473">
              <w:rPr>
                <w:rFonts w:asciiTheme="minorHAnsi" w:hAnsiTheme="minorHAnsi"/>
                <w:lang w:val="en-GB"/>
              </w:rPr>
              <w:t>3</w:t>
            </w:r>
          </w:p>
        </w:tc>
        <w:tc>
          <w:tcPr>
            <w:tcW w:w="1962" w:type="dxa"/>
          </w:tcPr>
          <w:p w14:paraId="714A86D7" w14:textId="4AD8476B" w:rsidR="001A3E83" w:rsidRPr="001A3E83" w:rsidRDefault="001A3E83" w:rsidP="00BA1473">
            <w:pPr>
              <w:spacing w:after="120" w:line="360" w:lineRule="auto"/>
              <w:jc w:val="center"/>
              <w:rPr>
                <w:rFonts w:asciiTheme="minorHAnsi" w:hAnsiTheme="minorHAnsi"/>
                <w:lang w:val="en-GB"/>
              </w:rPr>
            </w:pPr>
            <w:r w:rsidRPr="001A3E83">
              <w:rPr>
                <w:rFonts w:asciiTheme="minorHAnsi" w:hAnsiTheme="minorHAnsi"/>
                <w:lang w:val="en-GB"/>
              </w:rPr>
              <w:t>2.</w:t>
            </w:r>
            <w:r w:rsidR="00BA1473">
              <w:rPr>
                <w:rFonts w:asciiTheme="minorHAnsi" w:hAnsiTheme="minorHAnsi"/>
                <w:lang w:val="en-GB"/>
              </w:rPr>
              <w:t>0</w:t>
            </w:r>
          </w:p>
        </w:tc>
        <w:tc>
          <w:tcPr>
            <w:tcW w:w="2127" w:type="dxa"/>
          </w:tcPr>
          <w:p w14:paraId="5323CD6E" w14:textId="6638AFBB" w:rsidR="001A3E83" w:rsidRPr="001A3E83" w:rsidRDefault="001A3E83" w:rsidP="00806278">
            <w:pPr>
              <w:spacing w:after="120" w:line="360" w:lineRule="auto"/>
              <w:jc w:val="center"/>
              <w:rPr>
                <w:rFonts w:asciiTheme="minorHAnsi" w:hAnsiTheme="minorHAnsi"/>
                <w:lang w:val="en-GB"/>
              </w:rPr>
            </w:pPr>
            <w:r w:rsidRPr="001A3E83">
              <w:rPr>
                <w:rFonts w:asciiTheme="minorHAnsi" w:hAnsiTheme="minorHAnsi"/>
                <w:lang w:val="en-GB"/>
              </w:rPr>
              <w:t>5.</w:t>
            </w:r>
            <w:r w:rsidR="00806278">
              <w:rPr>
                <w:rFonts w:asciiTheme="minorHAnsi" w:hAnsiTheme="minorHAnsi"/>
                <w:lang w:val="en-GB"/>
              </w:rPr>
              <w:t>1</w:t>
            </w:r>
          </w:p>
        </w:tc>
      </w:tr>
      <w:tr w:rsidR="001A3E83" w:rsidRPr="001A3E83" w14:paraId="28432F7B" w14:textId="77777777" w:rsidTr="001A3E83">
        <w:trPr>
          <w:trHeight w:val="290"/>
          <w:jc w:val="center"/>
        </w:trPr>
        <w:tc>
          <w:tcPr>
            <w:tcW w:w="1850" w:type="dxa"/>
          </w:tcPr>
          <w:p w14:paraId="7AAF4012" w14:textId="77777777" w:rsidR="001A3E83" w:rsidRPr="001A3E83" w:rsidRDefault="001A3E83" w:rsidP="001A3E83">
            <w:pPr>
              <w:spacing w:after="120" w:line="360" w:lineRule="auto"/>
              <w:jc w:val="left"/>
              <w:rPr>
                <w:rFonts w:asciiTheme="minorHAnsi" w:hAnsiTheme="minorHAnsi"/>
                <w:lang w:val="en-GB"/>
              </w:rPr>
            </w:pPr>
            <w:r w:rsidRPr="001A3E83">
              <w:rPr>
                <w:rFonts w:asciiTheme="minorHAnsi" w:hAnsiTheme="minorHAnsi"/>
                <w:lang w:val="en-GB"/>
              </w:rPr>
              <w:t>55</w:t>
            </w:r>
          </w:p>
        </w:tc>
        <w:tc>
          <w:tcPr>
            <w:tcW w:w="1850" w:type="dxa"/>
          </w:tcPr>
          <w:p w14:paraId="3039D9B7" w14:textId="27BA8D4D" w:rsidR="001A3E83" w:rsidRPr="001A3E83" w:rsidRDefault="00BA1473" w:rsidP="00BA1473">
            <w:pPr>
              <w:spacing w:after="120" w:line="360" w:lineRule="auto"/>
              <w:jc w:val="center"/>
              <w:rPr>
                <w:rFonts w:asciiTheme="minorHAnsi" w:hAnsiTheme="minorHAnsi"/>
                <w:lang w:val="en-GB"/>
              </w:rPr>
            </w:pPr>
            <w:r>
              <w:rPr>
                <w:rFonts w:asciiTheme="minorHAnsi" w:hAnsiTheme="minorHAnsi"/>
                <w:lang w:val="en-GB"/>
              </w:rPr>
              <w:t>5.4</w:t>
            </w:r>
          </w:p>
        </w:tc>
        <w:tc>
          <w:tcPr>
            <w:tcW w:w="1962" w:type="dxa"/>
          </w:tcPr>
          <w:p w14:paraId="36621FF7" w14:textId="3ACB79D2" w:rsidR="001A3E83" w:rsidRPr="001A3E83" w:rsidRDefault="001A3E83" w:rsidP="00BA1473">
            <w:pPr>
              <w:spacing w:after="120" w:line="360" w:lineRule="auto"/>
              <w:jc w:val="center"/>
              <w:rPr>
                <w:rFonts w:asciiTheme="minorHAnsi" w:hAnsiTheme="minorHAnsi"/>
                <w:lang w:val="en-GB"/>
              </w:rPr>
            </w:pPr>
            <w:r w:rsidRPr="001A3E83">
              <w:rPr>
                <w:rFonts w:asciiTheme="minorHAnsi" w:hAnsiTheme="minorHAnsi"/>
                <w:lang w:val="en-GB"/>
              </w:rPr>
              <w:t>2.</w:t>
            </w:r>
            <w:r w:rsidR="00BA1473">
              <w:rPr>
                <w:rFonts w:asciiTheme="minorHAnsi" w:hAnsiTheme="minorHAnsi"/>
                <w:lang w:val="en-GB"/>
              </w:rPr>
              <w:t>5</w:t>
            </w:r>
          </w:p>
        </w:tc>
        <w:tc>
          <w:tcPr>
            <w:tcW w:w="2127" w:type="dxa"/>
          </w:tcPr>
          <w:p w14:paraId="6D712271" w14:textId="3735113F" w:rsidR="001A3E83" w:rsidRPr="001A3E83" w:rsidRDefault="00806278" w:rsidP="00806278">
            <w:pPr>
              <w:spacing w:after="120" w:line="360" w:lineRule="auto"/>
              <w:jc w:val="center"/>
              <w:rPr>
                <w:rFonts w:asciiTheme="minorHAnsi" w:hAnsiTheme="minorHAnsi"/>
                <w:lang w:val="en-GB"/>
              </w:rPr>
            </w:pPr>
            <w:r>
              <w:rPr>
                <w:rFonts w:asciiTheme="minorHAnsi" w:hAnsiTheme="minorHAnsi"/>
                <w:lang w:val="en-GB"/>
              </w:rPr>
              <w:t>6.5</w:t>
            </w:r>
          </w:p>
        </w:tc>
      </w:tr>
      <w:tr w:rsidR="001A3E83" w:rsidRPr="001A3E83" w14:paraId="15D771BD" w14:textId="77777777" w:rsidTr="001A3E83">
        <w:trPr>
          <w:trHeight w:val="290"/>
          <w:jc w:val="center"/>
        </w:trPr>
        <w:tc>
          <w:tcPr>
            <w:tcW w:w="1850" w:type="dxa"/>
          </w:tcPr>
          <w:p w14:paraId="348140D9" w14:textId="77777777" w:rsidR="001A3E83" w:rsidRPr="001A3E83" w:rsidRDefault="001A3E83" w:rsidP="001A3E83">
            <w:pPr>
              <w:spacing w:after="120" w:line="360" w:lineRule="auto"/>
              <w:jc w:val="left"/>
              <w:rPr>
                <w:rFonts w:asciiTheme="minorHAnsi" w:hAnsiTheme="minorHAnsi"/>
                <w:lang w:val="en-GB"/>
              </w:rPr>
            </w:pPr>
            <w:r w:rsidRPr="001A3E83">
              <w:rPr>
                <w:rFonts w:asciiTheme="minorHAnsi" w:hAnsiTheme="minorHAnsi"/>
                <w:lang w:val="en-GB"/>
              </w:rPr>
              <w:t>60</w:t>
            </w:r>
          </w:p>
        </w:tc>
        <w:tc>
          <w:tcPr>
            <w:tcW w:w="1850" w:type="dxa"/>
          </w:tcPr>
          <w:p w14:paraId="5DA1A364" w14:textId="773E2330" w:rsidR="001A3E83" w:rsidRPr="001A3E83" w:rsidRDefault="00BA1473" w:rsidP="00BA1473">
            <w:pPr>
              <w:spacing w:after="120" w:line="360" w:lineRule="auto"/>
              <w:jc w:val="center"/>
              <w:rPr>
                <w:rFonts w:asciiTheme="minorHAnsi" w:hAnsiTheme="minorHAnsi"/>
                <w:lang w:val="en-GB"/>
              </w:rPr>
            </w:pPr>
            <w:r>
              <w:rPr>
                <w:rFonts w:asciiTheme="minorHAnsi" w:hAnsiTheme="minorHAnsi"/>
                <w:lang w:val="en-GB"/>
              </w:rPr>
              <w:t>6.5</w:t>
            </w:r>
          </w:p>
        </w:tc>
        <w:tc>
          <w:tcPr>
            <w:tcW w:w="1962" w:type="dxa"/>
          </w:tcPr>
          <w:p w14:paraId="1D061603" w14:textId="25D8D443" w:rsidR="001A3E83" w:rsidRPr="001A3E83" w:rsidRDefault="001A3E83" w:rsidP="00BA1473">
            <w:pPr>
              <w:spacing w:after="120" w:line="360" w:lineRule="auto"/>
              <w:jc w:val="center"/>
              <w:rPr>
                <w:rFonts w:asciiTheme="minorHAnsi" w:hAnsiTheme="minorHAnsi"/>
                <w:lang w:val="en-GB"/>
              </w:rPr>
            </w:pPr>
            <w:r w:rsidRPr="001A3E83">
              <w:rPr>
                <w:rFonts w:asciiTheme="minorHAnsi" w:hAnsiTheme="minorHAnsi"/>
                <w:lang w:val="en-GB"/>
              </w:rPr>
              <w:t>3.</w:t>
            </w:r>
            <w:r w:rsidR="00BA1473">
              <w:rPr>
                <w:rFonts w:asciiTheme="minorHAnsi" w:hAnsiTheme="minorHAnsi"/>
                <w:lang w:val="en-GB"/>
              </w:rPr>
              <w:t>1</w:t>
            </w:r>
          </w:p>
        </w:tc>
        <w:tc>
          <w:tcPr>
            <w:tcW w:w="2127" w:type="dxa"/>
          </w:tcPr>
          <w:p w14:paraId="0D872D09" w14:textId="0A53D081" w:rsidR="001A3E83" w:rsidRPr="001A3E83" w:rsidRDefault="00806278" w:rsidP="00806278">
            <w:pPr>
              <w:spacing w:after="120" w:line="360" w:lineRule="auto"/>
              <w:jc w:val="center"/>
              <w:rPr>
                <w:rFonts w:asciiTheme="minorHAnsi" w:hAnsiTheme="minorHAnsi"/>
                <w:lang w:val="en-GB"/>
              </w:rPr>
            </w:pPr>
            <w:r>
              <w:rPr>
                <w:rFonts w:asciiTheme="minorHAnsi" w:hAnsiTheme="minorHAnsi"/>
                <w:lang w:val="en-GB"/>
              </w:rPr>
              <w:t>7.8</w:t>
            </w:r>
          </w:p>
        </w:tc>
      </w:tr>
      <w:tr w:rsidR="001A3E83" w:rsidRPr="001A3E83" w14:paraId="2B393BF0" w14:textId="77777777" w:rsidTr="001A3E83">
        <w:trPr>
          <w:trHeight w:val="290"/>
          <w:jc w:val="center"/>
        </w:trPr>
        <w:tc>
          <w:tcPr>
            <w:tcW w:w="1850" w:type="dxa"/>
          </w:tcPr>
          <w:p w14:paraId="05330D5F" w14:textId="77777777" w:rsidR="001A3E83" w:rsidRPr="001A3E83" w:rsidRDefault="001A3E83" w:rsidP="001A3E83">
            <w:pPr>
              <w:spacing w:after="120" w:line="360" w:lineRule="auto"/>
              <w:jc w:val="left"/>
              <w:rPr>
                <w:rFonts w:asciiTheme="minorHAnsi" w:hAnsiTheme="minorHAnsi"/>
                <w:lang w:val="en-GB"/>
              </w:rPr>
            </w:pPr>
            <w:r w:rsidRPr="001A3E83">
              <w:rPr>
                <w:rFonts w:asciiTheme="minorHAnsi" w:hAnsiTheme="minorHAnsi"/>
                <w:lang w:val="en-GB"/>
              </w:rPr>
              <w:t>65</w:t>
            </w:r>
          </w:p>
        </w:tc>
        <w:tc>
          <w:tcPr>
            <w:tcW w:w="1850" w:type="dxa"/>
          </w:tcPr>
          <w:p w14:paraId="1294A159" w14:textId="4C72A740" w:rsidR="001A3E83" w:rsidRPr="001A3E83" w:rsidRDefault="00BA1473" w:rsidP="00BA1473">
            <w:pPr>
              <w:spacing w:after="120" w:line="360" w:lineRule="auto"/>
              <w:jc w:val="center"/>
              <w:rPr>
                <w:rFonts w:asciiTheme="minorHAnsi" w:hAnsiTheme="minorHAnsi"/>
                <w:lang w:val="en-GB"/>
              </w:rPr>
            </w:pPr>
            <w:r>
              <w:rPr>
                <w:rFonts w:asciiTheme="minorHAnsi" w:hAnsiTheme="minorHAnsi"/>
                <w:lang w:val="en-GB"/>
              </w:rPr>
              <w:t>7.6</w:t>
            </w:r>
          </w:p>
        </w:tc>
        <w:tc>
          <w:tcPr>
            <w:tcW w:w="1962" w:type="dxa"/>
          </w:tcPr>
          <w:p w14:paraId="6AFE90C5" w14:textId="6587198A" w:rsidR="001A3E83" w:rsidRPr="001A3E83" w:rsidRDefault="00BA1473" w:rsidP="00BA1473">
            <w:pPr>
              <w:spacing w:after="120" w:line="360" w:lineRule="auto"/>
              <w:jc w:val="center"/>
              <w:rPr>
                <w:rFonts w:asciiTheme="minorHAnsi" w:hAnsiTheme="minorHAnsi"/>
                <w:lang w:val="en-GB"/>
              </w:rPr>
            </w:pPr>
            <w:r>
              <w:rPr>
                <w:rFonts w:asciiTheme="minorHAnsi" w:hAnsiTheme="minorHAnsi"/>
                <w:lang w:val="en-GB"/>
              </w:rPr>
              <w:t>3.8</w:t>
            </w:r>
          </w:p>
        </w:tc>
        <w:tc>
          <w:tcPr>
            <w:tcW w:w="2127" w:type="dxa"/>
          </w:tcPr>
          <w:p w14:paraId="4304D3AC" w14:textId="0AEBB46E" w:rsidR="001A3E83" w:rsidRPr="001A3E83" w:rsidRDefault="00806278" w:rsidP="00806278">
            <w:pPr>
              <w:spacing w:after="120" w:line="360" w:lineRule="auto"/>
              <w:jc w:val="center"/>
              <w:rPr>
                <w:rFonts w:asciiTheme="minorHAnsi" w:hAnsiTheme="minorHAnsi"/>
                <w:lang w:val="en-GB"/>
              </w:rPr>
            </w:pPr>
            <w:r>
              <w:rPr>
                <w:rFonts w:asciiTheme="minorHAnsi" w:hAnsiTheme="minorHAnsi"/>
                <w:lang w:val="en-GB"/>
              </w:rPr>
              <w:t>9.1</w:t>
            </w:r>
          </w:p>
        </w:tc>
      </w:tr>
      <w:tr w:rsidR="001A3E83" w:rsidRPr="001A3E83" w14:paraId="02763712" w14:textId="77777777" w:rsidTr="001A3E83">
        <w:trPr>
          <w:trHeight w:val="290"/>
          <w:jc w:val="center"/>
        </w:trPr>
        <w:tc>
          <w:tcPr>
            <w:tcW w:w="1850" w:type="dxa"/>
          </w:tcPr>
          <w:p w14:paraId="4DBD207B" w14:textId="77777777" w:rsidR="001A3E83" w:rsidRPr="001A3E83" w:rsidRDefault="001A3E83" w:rsidP="001A3E83">
            <w:pPr>
              <w:spacing w:after="120" w:line="360" w:lineRule="auto"/>
              <w:jc w:val="left"/>
              <w:rPr>
                <w:rFonts w:asciiTheme="minorHAnsi" w:hAnsiTheme="minorHAnsi"/>
                <w:lang w:val="en-GB"/>
              </w:rPr>
            </w:pPr>
            <w:r w:rsidRPr="001A3E83">
              <w:rPr>
                <w:rFonts w:asciiTheme="minorHAnsi" w:hAnsiTheme="minorHAnsi"/>
                <w:lang w:val="en-GB"/>
              </w:rPr>
              <w:t>70</w:t>
            </w:r>
          </w:p>
        </w:tc>
        <w:tc>
          <w:tcPr>
            <w:tcW w:w="1850" w:type="dxa"/>
          </w:tcPr>
          <w:p w14:paraId="6B93F4A9" w14:textId="0F7585A7" w:rsidR="001A3E83" w:rsidRPr="001A3E83" w:rsidRDefault="00BA1473" w:rsidP="00BA1473">
            <w:pPr>
              <w:spacing w:after="120" w:line="360" w:lineRule="auto"/>
              <w:jc w:val="center"/>
              <w:rPr>
                <w:rFonts w:asciiTheme="minorHAnsi" w:hAnsiTheme="minorHAnsi"/>
                <w:lang w:val="en-GB"/>
              </w:rPr>
            </w:pPr>
            <w:r>
              <w:rPr>
                <w:rFonts w:asciiTheme="minorHAnsi" w:hAnsiTheme="minorHAnsi"/>
                <w:lang w:val="en-GB"/>
              </w:rPr>
              <w:t>9.0</w:t>
            </w:r>
          </w:p>
        </w:tc>
        <w:tc>
          <w:tcPr>
            <w:tcW w:w="1962" w:type="dxa"/>
          </w:tcPr>
          <w:p w14:paraId="261DD967" w14:textId="2A951928" w:rsidR="001A3E83" w:rsidRPr="001A3E83" w:rsidRDefault="00BA1473" w:rsidP="00BA1473">
            <w:pPr>
              <w:spacing w:after="120" w:line="360" w:lineRule="auto"/>
              <w:jc w:val="center"/>
              <w:rPr>
                <w:rFonts w:asciiTheme="minorHAnsi" w:hAnsiTheme="minorHAnsi"/>
                <w:lang w:val="en-GB"/>
              </w:rPr>
            </w:pPr>
            <w:r>
              <w:rPr>
                <w:rFonts w:asciiTheme="minorHAnsi" w:hAnsiTheme="minorHAnsi"/>
                <w:lang w:val="en-GB"/>
              </w:rPr>
              <w:t>4.7</w:t>
            </w:r>
          </w:p>
        </w:tc>
        <w:tc>
          <w:tcPr>
            <w:tcW w:w="2127" w:type="dxa"/>
          </w:tcPr>
          <w:p w14:paraId="622A0E5F" w14:textId="34F2E3EE" w:rsidR="001A3E83" w:rsidRPr="001A3E83" w:rsidRDefault="001A3E83" w:rsidP="00806278">
            <w:pPr>
              <w:spacing w:after="120" w:line="360" w:lineRule="auto"/>
              <w:jc w:val="center"/>
              <w:rPr>
                <w:rFonts w:asciiTheme="minorHAnsi" w:hAnsiTheme="minorHAnsi"/>
                <w:lang w:val="en-GB"/>
              </w:rPr>
            </w:pPr>
            <w:r w:rsidRPr="001A3E83">
              <w:rPr>
                <w:rFonts w:asciiTheme="minorHAnsi" w:hAnsiTheme="minorHAnsi"/>
                <w:lang w:val="en-GB"/>
              </w:rPr>
              <w:t>1</w:t>
            </w:r>
            <w:r w:rsidR="00806278">
              <w:rPr>
                <w:rFonts w:asciiTheme="minorHAnsi" w:hAnsiTheme="minorHAnsi"/>
                <w:lang w:val="en-GB"/>
              </w:rPr>
              <w:t>1</w:t>
            </w:r>
          </w:p>
        </w:tc>
      </w:tr>
      <w:tr w:rsidR="001A3E83" w:rsidRPr="001A3E83" w14:paraId="0E4D56F0" w14:textId="77777777" w:rsidTr="001A3E83">
        <w:trPr>
          <w:trHeight w:val="290"/>
          <w:jc w:val="center"/>
        </w:trPr>
        <w:tc>
          <w:tcPr>
            <w:tcW w:w="1850" w:type="dxa"/>
          </w:tcPr>
          <w:p w14:paraId="0C2B57E1" w14:textId="77777777" w:rsidR="001A3E83" w:rsidRPr="001A3E83" w:rsidRDefault="001A3E83" w:rsidP="001A3E83">
            <w:pPr>
              <w:spacing w:after="120" w:line="360" w:lineRule="auto"/>
              <w:jc w:val="left"/>
              <w:rPr>
                <w:rFonts w:asciiTheme="minorHAnsi" w:hAnsiTheme="minorHAnsi"/>
                <w:lang w:val="en-GB"/>
              </w:rPr>
            </w:pPr>
            <w:r w:rsidRPr="001A3E83">
              <w:rPr>
                <w:rFonts w:asciiTheme="minorHAnsi" w:hAnsiTheme="minorHAnsi"/>
                <w:lang w:val="en-GB"/>
              </w:rPr>
              <w:t>75</w:t>
            </w:r>
          </w:p>
        </w:tc>
        <w:tc>
          <w:tcPr>
            <w:tcW w:w="1850" w:type="dxa"/>
          </w:tcPr>
          <w:p w14:paraId="75D6F7E7" w14:textId="651EF77A" w:rsidR="001A3E83" w:rsidRPr="001A3E83" w:rsidRDefault="00BA1473" w:rsidP="00BA1473">
            <w:pPr>
              <w:spacing w:after="120" w:line="360" w:lineRule="auto"/>
              <w:jc w:val="center"/>
              <w:rPr>
                <w:rFonts w:asciiTheme="minorHAnsi" w:hAnsiTheme="minorHAnsi"/>
                <w:lang w:val="en-GB"/>
              </w:rPr>
            </w:pPr>
            <w:r>
              <w:rPr>
                <w:rFonts w:asciiTheme="minorHAnsi" w:hAnsiTheme="minorHAnsi"/>
                <w:lang w:val="en-GB"/>
              </w:rPr>
              <w:t>11</w:t>
            </w:r>
          </w:p>
        </w:tc>
        <w:tc>
          <w:tcPr>
            <w:tcW w:w="1962" w:type="dxa"/>
          </w:tcPr>
          <w:p w14:paraId="52F14D59" w14:textId="7008F13D" w:rsidR="001A3E83" w:rsidRPr="001A3E83" w:rsidRDefault="00BA1473" w:rsidP="00BA1473">
            <w:pPr>
              <w:spacing w:after="120" w:line="360" w:lineRule="auto"/>
              <w:jc w:val="center"/>
              <w:rPr>
                <w:rFonts w:asciiTheme="minorHAnsi" w:hAnsiTheme="minorHAnsi"/>
                <w:lang w:val="en-GB"/>
              </w:rPr>
            </w:pPr>
            <w:r>
              <w:rPr>
                <w:rFonts w:asciiTheme="minorHAnsi" w:hAnsiTheme="minorHAnsi"/>
                <w:lang w:val="en-GB"/>
              </w:rPr>
              <w:t>6.2</w:t>
            </w:r>
          </w:p>
        </w:tc>
        <w:tc>
          <w:tcPr>
            <w:tcW w:w="2127" w:type="dxa"/>
          </w:tcPr>
          <w:p w14:paraId="0E312461" w14:textId="221B9CE9" w:rsidR="001A3E83" w:rsidRPr="001A3E83" w:rsidRDefault="001A3E83" w:rsidP="00806278">
            <w:pPr>
              <w:spacing w:after="120" w:line="360" w:lineRule="auto"/>
              <w:jc w:val="center"/>
              <w:rPr>
                <w:rFonts w:asciiTheme="minorHAnsi" w:hAnsiTheme="minorHAnsi"/>
                <w:lang w:val="en-GB"/>
              </w:rPr>
            </w:pPr>
            <w:r w:rsidRPr="001A3E83">
              <w:rPr>
                <w:rFonts w:asciiTheme="minorHAnsi" w:hAnsiTheme="minorHAnsi"/>
                <w:lang w:val="en-GB"/>
              </w:rPr>
              <w:t>1</w:t>
            </w:r>
            <w:r w:rsidR="00806278">
              <w:rPr>
                <w:rFonts w:asciiTheme="minorHAnsi" w:hAnsiTheme="minorHAnsi"/>
                <w:lang w:val="en-GB"/>
              </w:rPr>
              <w:t>3</w:t>
            </w:r>
          </w:p>
        </w:tc>
      </w:tr>
      <w:tr w:rsidR="001A3E83" w:rsidRPr="001A3E83" w14:paraId="2EBFC3A9" w14:textId="77777777" w:rsidTr="001A3E83">
        <w:trPr>
          <w:trHeight w:val="290"/>
          <w:jc w:val="center"/>
        </w:trPr>
        <w:tc>
          <w:tcPr>
            <w:tcW w:w="1850" w:type="dxa"/>
          </w:tcPr>
          <w:p w14:paraId="480CE36B" w14:textId="77777777" w:rsidR="001A3E83" w:rsidRPr="001A3E83" w:rsidRDefault="001A3E83" w:rsidP="001A3E83">
            <w:pPr>
              <w:spacing w:after="120" w:line="360" w:lineRule="auto"/>
              <w:jc w:val="left"/>
              <w:rPr>
                <w:rFonts w:asciiTheme="minorHAnsi" w:hAnsiTheme="minorHAnsi"/>
                <w:lang w:val="en-GB"/>
              </w:rPr>
            </w:pPr>
            <w:r w:rsidRPr="001A3E83">
              <w:rPr>
                <w:rFonts w:asciiTheme="minorHAnsi" w:hAnsiTheme="minorHAnsi"/>
                <w:lang w:val="en-GB"/>
              </w:rPr>
              <w:t>80</w:t>
            </w:r>
          </w:p>
        </w:tc>
        <w:tc>
          <w:tcPr>
            <w:tcW w:w="1850" w:type="dxa"/>
          </w:tcPr>
          <w:p w14:paraId="317D5C7C" w14:textId="185F51EA" w:rsidR="001A3E83" w:rsidRPr="001A3E83" w:rsidRDefault="00BA1473" w:rsidP="00BA1473">
            <w:pPr>
              <w:spacing w:after="120" w:line="360" w:lineRule="auto"/>
              <w:jc w:val="center"/>
              <w:rPr>
                <w:rFonts w:asciiTheme="minorHAnsi" w:hAnsiTheme="minorHAnsi"/>
                <w:lang w:val="en-GB"/>
              </w:rPr>
            </w:pPr>
            <w:r>
              <w:rPr>
                <w:rFonts w:asciiTheme="minorHAnsi" w:hAnsiTheme="minorHAnsi"/>
                <w:lang w:val="en-GB"/>
              </w:rPr>
              <w:t>14</w:t>
            </w:r>
          </w:p>
        </w:tc>
        <w:tc>
          <w:tcPr>
            <w:tcW w:w="1962" w:type="dxa"/>
          </w:tcPr>
          <w:p w14:paraId="3151C801" w14:textId="1BD64B7C" w:rsidR="001A3E83" w:rsidRPr="001A3E83" w:rsidRDefault="00BA1473" w:rsidP="00BA1473">
            <w:pPr>
              <w:spacing w:after="120" w:line="360" w:lineRule="auto"/>
              <w:jc w:val="center"/>
              <w:rPr>
                <w:rFonts w:asciiTheme="minorHAnsi" w:hAnsiTheme="minorHAnsi"/>
                <w:lang w:val="en-GB"/>
              </w:rPr>
            </w:pPr>
            <w:r>
              <w:rPr>
                <w:rFonts w:asciiTheme="minorHAnsi" w:hAnsiTheme="minorHAnsi"/>
                <w:lang w:val="en-GB"/>
              </w:rPr>
              <w:t>8.5</w:t>
            </w:r>
          </w:p>
        </w:tc>
        <w:tc>
          <w:tcPr>
            <w:tcW w:w="2127" w:type="dxa"/>
          </w:tcPr>
          <w:p w14:paraId="2972A8BA" w14:textId="071AA6D9" w:rsidR="001A3E83" w:rsidRPr="001A3E83" w:rsidRDefault="00806278" w:rsidP="00806278">
            <w:pPr>
              <w:spacing w:after="120" w:line="360" w:lineRule="auto"/>
              <w:jc w:val="center"/>
              <w:rPr>
                <w:rFonts w:asciiTheme="minorHAnsi" w:hAnsiTheme="minorHAnsi"/>
                <w:lang w:val="en-GB"/>
              </w:rPr>
            </w:pPr>
            <w:r>
              <w:rPr>
                <w:rFonts w:asciiTheme="minorHAnsi" w:hAnsiTheme="minorHAnsi"/>
                <w:lang w:val="en-GB"/>
              </w:rPr>
              <w:t>17</w:t>
            </w:r>
          </w:p>
        </w:tc>
      </w:tr>
      <w:tr w:rsidR="001A3E83" w:rsidRPr="001A3E83" w14:paraId="1144F668" w14:textId="77777777" w:rsidTr="001A3E83">
        <w:trPr>
          <w:trHeight w:val="290"/>
          <w:jc w:val="center"/>
        </w:trPr>
        <w:tc>
          <w:tcPr>
            <w:tcW w:w="1850" w:type="dxa"/>
          </w:tcPr>
          <w:p w14:paraId="0DC1E6F1" w14:textId="77777777" w:rsidR="001A3E83" w:rsidRPr="001A3E83" w:rsidRDefault="001A3E83" w:rsidP="001A3E83">
            <w:pPr>
              <w:spacing w:after="120" w:line="360" w:lineRule="auto"/>
              <w:jc w:val="left"/>
              <w:rPr>
                <w:rFonts w:asciiTheme="minorHAnsi" w:hAnsiTheme="minorHAnsi"/>
                <w:lang w:val="en-GB"/>
              </w:rPr>
            </w:pPr>
            <w:r w:rsidRPr="001A3E83">
              <w:rPr>
                <w:rFonts w:asciiTheme="minorHAnsi" w:hAnsiTheme="minorHAnsi"/>
                <w:lang w:val="en-GB"/>
              </w:rPr>
              <w:t>85</w:t>
            </w:r>
          </w:p>
        </w:tc>
        <w:tc>
          <w:tcPr>
            <w:tcW w:w="1850" w:type="dxa"/>
          </w:tcPr>
          <w:p w14:paraId="62C55609" w14:textId="247F7B4C" w:rsidR="001A3E83" w:rsidRPr="001A3E83" w:rsidRDefault="00BA1473" w:rsidP="00BA1473">
            <w:pPr>
              <w:spacing w:after="120" w:line="360" w:lineRule="auto"/>
              <w:jc w:val="center"/>
              <w:rPr>
                <w:rFonts w:asciiTheme="minorHAnsi" w:hAnsiTheme="minorHAnsi"/>
                <w:lang w:val="en-GB"/>
              </w:rPr>
            </w:pPr>
            <w:r>
              <w:rPr>
                <w:rFonts w:asciiTheme="minorHAnsi" w:hAnsiTheme="minorHAnsi"/>
                <w:lang w:val="en-GB"/>
              </w:rPr>
              <w:t>19</w:t>
            </w:r>
          </w:p>
        </w:tc>
        <w:tc>
          <w:tcPr>
            <w:tcW w:w="1962" w:type="dxa"/>
          </w:tcPr>
          <w:p w14:paraId="478270BC" w14:textId="49A9C962" w:rsidR="001A3E83" w:rsidRPr="001A3E83" w:rsidRDefault="001A3E83" w:rsidP="00BA1473">
            <w:pPr>
              <w:spacing w:after="120" w:line="360" w:lineRule="auto"/>
              <w:jc w:val="center"/>
              <w:rPr>
                <w:rFonts w:asciiTheme="minorHAnsi" w:hAnsiTheme="minorHAnsi"/>
                <w:lang w:val="en-GB"/>
              </w:rPr>
            </w:pPr>
            <w:r w:rsidRPr="001A3E83">
              <w:rPr>
                <w:rFonts w:asciiTheme="minorHAnsi" w:hAnsiTheme="minorHAnsi"/>
                <w:lang w:val="en-GB"/>
              </w:rPr>
              <w:t>1</w:t>
            </w:r>
            <w:r w:rsidR="00BA1473">
              <w:rPr>
                <w:rFonts w:asciiTheme="minorHAnsi" w:hAnsiTheme="minorHAnsi"/>
                <w:lang w:val="en-GB"/>
              </w:rPr>
              <w:t>2</w:t>
            </w:r>
          </w:p>
        </w:tc>
        <w:tc>
          <w:tcPr>
            <w:tcW w:w="2127" w:type="dxa"/>
          </w:tcPr>
          <w:p w14:paraId="722BB17D" w14:textId="119F85FA" w:rsidR="001A3E83" w:rsidRPr="001A3E83" w:rsidRDefault="001A3E83" w:rsidP="00806278">
            <w:pPr>
              <w:spacing w:after="120" w:line="360" w:lineRule="auto"/>
              <w:jc w:val="center"/>
              <w:rPr>
                <w:rFonts w:asciiTheme="minorHAnsi" w:hAnsiTheme="minorHAnsi"/>
                <w:lang w:val="en-GB"/>
              </w:rPr>
            </w:pPr>
            <w:r w:rsidRPr="001A3E83">
              <w:rPr>
                <w:rFonts w:asciiTheme="minorHAnsi" w:hAnsiTheme="minorHAnsi"/>
                <w:lang w:val="en-GB"/>
              </w:rPr>
              <w:t>2</w:t>
            </w:r>
            <w:r w:rsidR="00806278">
              <w:rPr>
                <w:rFonts w:asciiTheme="minorHAnsi" w:hAnsiTheme="minorHAnsi"/>
                <w:lang w:val="en-GB"/>
              </w:rPr>
              <w:t>3</w:t>
            </w:r>
          </w:p>
        </w:tc>
      </w:tr>
      <w:tr w:rsidR="001A3E83" w:rsidRPr="001A3E83" w14:paraId="0B3CB817" w14:textId="77777777" w:rsidTr="001A3E83">
        <w:trPr>
          <w:trHeight w:val="290"/>
          <w:jc w:val="center"/>
        </w:trPr>
        <w:tc>
          <w:tcPr>
            <w:tcW w:w="1850" w:type="dxa"/>
          </w:tcPr>
          <w:p w14:paraId="1DADC023" w14:textId="77777777" w:rsidR="001A3E83" w:rsidRPr="001A3E83" w:rsidRDefault="001A3E83" w:rsidP="001A3E83">
            <w:pPr>
              <w:spacing w:after="120" w:line="360" w:lineRule="auto"/>
              <w:jc w:val="left"/>
              <w:rPr>
                <w:rFonts w:asciiTheme="minorHAnsi" w:hAnsiTheme="minorHAnsi"/>
                <w:lang w:val="en-GB"/>
              </w:rPr>
            </w:pPr>
            <w:r w:rsidRPr="001A3E83">
              <w:rPr>
                <w:rFonts w:asciiTheme="minorHAnsi" w:hAnsiTheme="minorHAnsi"/>
                <w:lang w:val="en-GB"/>
              </w:rPr>
              <w:t>90</w:t>
            </w:r>
          </w:p>
        </w:tc>
        <w:tc>
          <w:tcPr>
            <w:tcW w:w="1850" w:type="dxa"/>
          </w:tcPr>
          <w:p w14:paraId="2DB0B5B7" w14:textId="2FE38556" w:rsidR="001A3E83" w:rsidRPr="001A3E83" w:rsidRDefault="00BA1473" w:rsidP="00BA1473">
            <w:pPr>
              <w:spacing w:after="120" w:line="360" w:lineRule="auto"/>
              <w:jc w:val="center"/>
              <w:rPr>
                <w:rFonts w:asciiTheme="minorHAnsi" w:hAnsiTheme="minorHAnsi"/>
                <w:lang w:val="en-GB"/>
              </w:rPr>
            </w:pPr>
            <w:r>
              <w:rPr>
                <w:rFonts w:asciiTheme="minorHAnsi" w:hAnsiTheme="minorHAnsi"/>
                <w:lang w:val="en-GB"/>
              </w:rPr>
              <w:t>23</w:t>
            </w:r>
          </w:p>
        </w:tc>
        <w:tc>
          <w:tcPr>
            <w:tcW w:w="1962" w:type="dxa"/>
          </w:tcPr>
          <w:p w14:paraId="6F37ED64" w14:textId="467F12F4" w:rsidR="001A3E83" w:rsidRPr="001A3E83" w:rsidRDefault="001A3E83" w:rsidP="00BA1473">
            <w:pPr>
              <w:spacing w:after="120" w:line="360" w:lineRule="auto"/>
              <w:jc w:val="center"/>
              <w:rPr>
                <w:rFonts w:asciiTheme="minorHAnsi" w:hAnsiTheme="minorHAnsi"/>
                <w:lang w:val="en-GB"/>
              </w:rPr>
            </w:pPr>
            <w:r w:rsidRPr="001A3E83">
              <w:rPr>
                <w:rFonts w:asciiTheme="minorHAnsi" w:hAnsiTheme="minorHAnsi"/>
                <w:lang w:val="en-GB"/>
              </w:rPr>
              <w:t>1</w:t>
            </w:r>
            <w:r w:rsidR="00BA1473">
              <w:rPr>
                <w:rFonts w:asciiTheme="minorHAnsi" w:hAnsiTheme="minorHAnsi"/>
                <w:lang w:val="en-GB"/>
              </w:rPr>
              <w:t>4</w:t>
            </w:r>
          </w:p>
        </w:tc>
        <w:tc>
          <w:tcPr>
            <w:tcW w:w="2127" w:type="dxa"/>
          </w:tcPr>
          <w:p w14:paraId="4F9B1335" w14:textId="6787FF41" w:rsidR="001A3E83" w:rsidRPr="001A3E83" w:rsidRDefault="00806278" w:rsidP="00806278">
            <w:pPr>
              <w:spacing w:after="120" w:line="360" w:lineRule="auto"/>
              <w:jc w:val="center"/>
              <w:rPr>
                <w:rFonts w:asciiTheme="minorHAnsi" w:hAnsiTheme="minorHAnsi"/>
                <w:lang w:val="en-GB"/>
              </w:rPr>
            </w:pPr>
            <w:r>
              <w:rPr>
                <w:rFonts w:asciiTheme="minorHAnsi" w:hAnsiTheme="minorHAnsi"/>
                <w:lang w:val="en-GB"/>
              </w:rPr>
              <w:t>27</w:t>
            </w:r>
          </w:p>
        </w:tc>
      </w:tr>
    </w:tbl>
    <w:p w14:paraId="0902FAE6" w14:textId="77777777" w:rsidR="001A3E83" w:rsidRDefault="001A3E83" w:rsidP="00380099">
      <w:pPr>
        <w:spacing w:after="120" w:line="360" w:lineRule="auto"/>
        <w:jc w:val="left"/>
      </w:pPr>
    </w:p>
    <w:p w14:paraId="6075B34C" w14:textId="5D68D8C0" w:rsidR="006D5B62" w:rsidRDefault="006D5B62" w:rsidP="004444B1">
      <w:pPr>
        <w:spacing w:after="120" w:line="360" w:lineRule="auto"/>
        <w:jc w:val="left"/>
        <w:rPr>
          <w:rFonts w:asciiTheme="minorHAnsi" w:hAnsiTheme="minorHAnsi"/>
          <w:b/>
        </w:rPr>
      </w:pPr>
    </w:p>
    <w:p w14:paraId="1D77B06A" w14:textId="6D5E948C" w:rsidR="00E64296" w:rsidRPr="00C578B8" w:rsidRDefault="00C578B8" w:rsidP="00380099">
      <w:pPr>
        <w:spacing w:after="120" w:line="360" w:lineRule="auto"/>
        <w:jc w:val="left"/>
        <w:rPr>
          <w:rFonts w:asciiTheme="minorHAnsi" w:hAnsiTheme="minorHAnsi"/>
          <w:b/>
        </w:rPr>
      </w:pPr>
      <w:r w:rsidRPr="00C578B8">
        <w:rPr>
          <w:rFonts w:asciiTheme="minorHAnsi" w:hAnsiTheme="minorHAnsi"/>
          <w:b/>
        </w:rPr>
        <w:t>Discussion</w:t>
      </w:r>
    </w:p>
    <w:p w14:paraId="4445A5DF" w14:textId="4DC4D804" w:rsidR="00C578B8" w:rsidRDefault="00C578B8" w:rsidP="00F329AA">
      <w:pPr>
        <w:spacing w:after="0" w:line="360" w:lineRule="auto"/>
        <w:jc w:val="left"/>
        <w:rPr>
          <w:rFonts w:asciiTheme="minorHAnsi" w:hAnsiTheme="minorHAnsi"/>
          <w:iCs/>
          <w:lang w:val="en-GB"/>
        </w:rPr>
      </w:pPr>
      <w:r w:rsidRPr="00C578B8">
        <w:rPr>
          <w:rFonts w:asciiTheme="minorHAnsi" w:hAnsiTheme="minorHAnsi"/>
        </w:rPr>
        <w:t xml:space="preserve">Bone mineral density (BMD) measured by dual X-ray absorptiometry (DXA) is the current reference standard for the diagnosis of osteoporosis. </w:t>
      </w:r>
      <w:r w:rsidR="000F1C22">
        <w:rPr>
          <w:rFonts w:asciiTheme="minorHAnsi" w:hAnsiTheme="minorHAnsi"/>
        </w:rPr>
        <w:t>S</w:t>
      </w:r>
      <w:r w:rsidRPr="00C578B8">
        <w:rPr>
          <w:rFonts w:asciiTheme="minorHAnsi" w:hAnsiTheme="minorHAnsi"/>
        </w:rPr>
        <w:t>ince BMD is one of the strongest predictors of fracture risk [</w:t>
      </w:r>
      <w:r w:rsidR="003F0E6C">
        <w:rPr>
          <w:rFonts w:asciiTheme="minorHAnsi" w:hAnsiTheme="minorHAnsi"/>
        </w:rPr>
        <w:t>24, 25</w:t>
      </w:r>
      <w:r w:rsidRPr="00C578B8">
        <w:rPr>
          <w:rFonts w:asciiTheme="minorHAnsi" w:hAnsiTheme="minorHAnsi"/>
        </w:rPr>
        <w:t xml:space="preserve">], many agencies worldwide have adopted BMD-based criteria </w:t>
      </w:r>
      <w:r w:rsidRPr="00C578B8">
        <w:rPr>
          <w:rFonts w:asciiTheme="minorHAnsi" w:hAnsiTheme="minorHAnsi"/>
        </w:rPr>
        <w:lastRenderedPageBreak/>
        <w:t>as intervention thresholds.</w:t>
      </w:r>
      <w:r w:rsidR="000F1C22">
        <w:rPr>
          <w:rFonts w:asciiTheme="minorHAnsi" w:hAnsiTheme="minorHAnsi"/>
        </w:rPr>
        <w:t xml:space="preserve">  The present study demonstrates weaknesses in the use of fixed BMD thresholds </w:t>
      </w:r>
      <w:r w:rsidR="00931B4A">
        <w:rPr>
          <w:rFonts w:asciiTheme="minorHAnsi" w:hAnsiTheme="minorHAnsi"/>
          <w:lang w:val="en-GB"/>
        </w:rPr>
        <w:t>as</w:t>
      </w:r>
      <w:r w:rsidR="00FC3F4D" w:rsidRPr="00FC3F4D">
        <w:rPr>
          <w:rFonts w:asciiTheme="minorHAnsi" w:hAnsiTheme="minorHAnsi"/>
          <w:lang w:val="en-GB"/>
        </w:rPr>
        <w:t xml:space="preserve"> intervention thresholds.  </w:t>
      </w:r>
      <w:r w:rsidR="00886C8E" w:rsidRPr="00886C8E">
        <w:rPr>
          <w:rFonts w:asciiTheme="minorHAnsi" w:hAnsiTheme="minorHAnsi"/>
        </w:rPr>
        <w:t xml:space="preserve">Whereas a T-score threshold of -2.5 SD was a strong risk factor for fracture at younger ages, with advancing age, the association with </w:t>
      </w:r>
      <w:r w:rsidR="00256980">
        <w:rPr>
          <w:rFonts w:asciiTheme="minorHAnsi" w:hAnsiTheme="minorHAnsi"/>
        </w:rPr>
        <w:t xml:space="preserve">high </w:t>
      </w:r>
      <w:r w:rsidR="00886C8E" w:rsidRPr="00886C8E">
        <w:rPr>
          <w:rFonts w:asciiTheme="minorHAnsi" w:hAnsiTheme="minorHAnsi"/>
        </w:rPr>
        <w:t xml:space="preserve">risk decreased progressively with age.  The effect was even more marked at a less stringent T-score threshold. </w:t>
      </w:r>
      <w:r w:rsidR="0037706E">
        <w:rPr>
          <w:rFonts w:asciiTheme="minorHAnsi" w:hAnsiTheme="minorHAnsi"/>
        </w:rPr>
        <w:t xml:space="preserve">  For example, </w:t>
      </w:r>
      <w:r w:rsidR="0037706E">
        <w:rPr>
          <w:rFonts w:asciiTheme="minorHAnsi" w:hAnsiTheme="minorHAnsi"/>
          <w:iCs/>
        </w:rPr>
        <w:t>a</w:t>
      </w:r>
      <w:r w:rsidR="0037706E" w:rsidRPr="0037706E">
        <w:rPr>
          <w:rFonts w:asciiTheme="minorHAnsi" w:hAnsiTheme="minorHAnsi"/>
          <w:iCs/>
        </w:rPr>
        <w:t xml:space="preserve"> T-score of -1.5 SD was a </w:t>
      </w:r>
      <w:r w:rsidR="00205B09">
        <w:rPr>
          <w:rFonts w:asciiTheme="minorHAnsi" w:hAnsiTheme="minorHAnsi"/>
          <w:iCs/>
        </w:rPr>
        <w:t>“</w:t>
      </w:r>
      <w:r w:rsidR="0037706E" w:rsidRPr="0037706E">
        <w:rPr>
          <w:rFonts w:asciiTheme="minorHAnsi" w:hAnsiTheme="minorHAnsi"/>
          <w:iCs/>
        </w:rPr>
        <w:t>protective factor</w:t>
      </w:r>
      <w:r w:rsidR="00205B09">
        <w:rPr>
          <w:rFonts w:asciiTheme="minorHAnsi" w:hAnsiTheme="minorHAnsi"/>
          <w:iCs/>
        </w:rPr>
        <w:t>”</w:t>
      </w:r>
      <w:r w:rsidR="0037706E" w:rsidRPr="0037706E">
        <w:rPr>
          <w:rFonts w:asciiTheme="minorHAnsi" w:hAnsiTheme="minorHAnsi"/>
          <w:iCs/>
        </w:rPr>
        <w:t xml:space="preserve"> </w:t>
      </w:r>
      <w:r w:rsidR="0037706E">
        <w:rPr>
          <w:rFonts w:asciiTheme="minorHAnsi" w:hAnsiTheme="minorHAnsi"/>
          <w:iCs/>
        </w:rPr>
        <w:t xml:space="preserve">for hip fracture </w:t>
      </w:r>
      <w:r w:rsidR="0037706E" w:rsidRPr="0037706E">
        <w:rPr>
          <w:rFonts w:asciiTheme="minorHAnsi" w:hAnsiTheme="minorHAnsi"/>
          <w:iCs/>
        </w:rPr>
        <w:t>from the age of 6</w:t>
      </w:r>
      <w:r w:rsidR="00F941D8">
        <w:rPr>
          <w:rFonts w:asciiTheme="minorHAnsi" w:hAnsiTheme="minorHAnsi"/>
          <w:iCs/>
        </w:rPr>
        <w:t>5</w:t>
      </w:r>
      <w:r w:rsidR="0037706E" w:rsidRPr="0037706E">
        <w:rPr>
          <w:rFonts w:asciiTheme="minorHAnsi" w:hAnsiTheme="minorHAnsi"/>
          <w:iCs/>
        </w:rPr>
        <w:t xml:space="preserve"> years</w:t>
      </w:r>
      <w:r w:rsidR="0037706E">
        <w:rPr>
          <w:rFonts w:asciiTheme="minorHAnsi" w:hAnsiTheme="minorHAnsi"/>
          <w:iCs/>
        </w:rPr>
        <w:t xml:space="preserve"> in that fracture probabilities were lower than in women in the ‘general’ population (i.e. women with no clinical risk factors and average BMD for age).</w:t>
      </w:r>
      <w:r w:rsidR="0037706E" w:rsidRPr="0037706E">
        <w:rPr>
          <w:rFonts w:ascii="SnmmggAdvPTimes" w:hAnsi="SnmmggAdvPTimes" w:cs="SnmmggAdvPTimes"/>
          <w:color w:val="auto"/>
          <w:sz w:val="20"/>
          <w:szCs w:val="20"/>
          <w:lang w:val="en-GB"/>
        </w:rPr>
        <w:t xml:space="preserve"> </w:t>
      </w:r>
      <w:r w:rsidR="0037706E" w:rsidRPr="0037706E">
        <w:rPr>
          <w:rFonts w:asciiTheme="minorHAnsi" w:hAnsiTheme="minorHAnsi"/>
          <w:iCs/>
          <w:lang w:val="en-GB"/>
        </w:rPr>
        <w:t>The reason relate</w:t>
      </w:r>
      <w:r w:rsidR="00790538">
        <w:rPr>
          <w:rFonts w:asciiTheme="minorHAnsi" w:hAnsiTheme="minorHAnsi"/>
          <w:iCs/>
          <w:lang w:val="en-GB"/>
        </w:rPr>
        <w:t>s</w:t>
      </w:r>
      <w:r w:rsidR="0037706E" w:rsidRPr="0037706E">
        <w:rPr>
          <w:rFonts w:asciiTheme="minorHAnsi" w:hAnsiTheme="minorHAnsi"/>
          <w:iCs/>
          <w:lang w:val="en-GB"/>
        </w:rPr>
        <w:t xml:space="preserve"> to the decreasing BMD in the</w:t>
      </w:r>
      <w:r w:rsidR="00F329AA">
        <w:rPr>
          <w:rFonts w:asciiTheme="minorHAnsi" w:hAnsiTheme="minorHAnsi"/>
          <w:iCs/>
          <w:lang w:val="en-GB"/>
        </w:rPr>
        <w:t xml:space="preserve"> </w:t>
      </w:r>
      <w:r w:rsidR="0037706E" w:rsidRPr="0037706E">
        <w:rPr>
          <w:rFonts w:asciiTheme="minorHAnsi" w:hAnsiTheme="minorHAnsi"/>
          <w:iCs/>
          <w:lang w:val="en-GB"/>
        </w:rPr>
        <w:t>general population with age.</w:t>
      </w:r>
      <w:r w:rsidR="00FE5E26">
        <w:rPr>
          <w:rFonts w:asciiTheme="minorHAnsi" w:hAnsiTheme="minorHAnsi"/>
          <w:iCs/>
          <w:lang w:val="en-GB"/>
        </w:rPr>
        <w:t xml:space="preserve">  The phenomenon has been noted in the case of major osteoporotic fractures in women from the Romania, UK and US [</w:t>
      </w:r>
      <w:r w:rsidR="001268AD">
        <w:rPr>
          <w:rFonts w:asciiTheme="minorHAnsi" w:hAnsiTheme="minorHAnsi"/>
          <w:iCs/>
          <w:lang w:val="en-GB"/>
        </w:rPr>
        <w:t>2</w:t>
      </w:r>
      <w:r w:rsidR="003F0E6C">
        <w:rPr>
          <w:rFonts w:asciiTheme="minorHAnsi" w:hAnsiTheme="minorHAnsi"/>
          <w:iCs/>
          <w:lang w:val="en-GB"/>
        </w:rPr>
        <w:t>6-</w:t>
      </w:r>
      <w:r w:rsidR="001268AD">
        <w:rPr>
          <w:rFonts w:asciiTheme="minorHAnsi" w:hAnsiTheme="minorHAnsi"/>
          <w:iCs/>
          <w:lang w:val="en-GB"/>
        </w:rPr>
        <w:t xml:space="preserve"> 27</w:t>
      </w:r>
      <w:r w:rsidR="00FE5E26">
        <w:rPr>
          <w:rFonts w:asciiTheme="minorHAnsi" w:hAnsiTheme="minorHAnsi"/>
          <w:iCs/>
          <w:lang w:val="en-GB"/>
        </w:rPr>
        <w:t xml:space="preserve">].  The present </w:t>
      </w:r>
      <w:r w:rsidR="005C2382" w:rsidRPr="00256980">
        <w:rPr>
          <w:rFonts w:asciiTheme="minorHAnsi" w:hAnsiTheme="minorHAnsi"/>
          <w:iCs/>
          <w:lang w:val="en-GB"/>
        </w:rPr>
        <w:t xml:space="preserve">analysis </w:t>
      </w:r>
      <w:r w:rsidR="005C2382">
        <w:rPr>
          <w:rFonts w:asciiTheme="minorHAnsi" w:hAnsiTheme="minorHAnsi"/>
          <w:iCs/>
          <w:lang w:val="en-GB"/>
        </w:rPr>
        <w:t>identifies</w:t>
      </w:r>
      <w:r w:rsidR="001268AD">
        <w:rPr>
          <w:rFonts w:asciiTheme="minorHAnsi" w:hAnsiTheme="minorHAnsi"/>
          <w:iCs/>
          <w:lang w:val="en-GB"/>
        </w:rPr>
        <w:t xml:space="preserve"> that</w:t>
      </w:r>
      <w:r w:rsidR="00FE5E26">
        <w:rPr>
          <w:rFonts w:asciiTheme="minorHAnsi" w:hAnsiTheme="minorHAnsi"/>
          <w:iCs/>
          <w:lang w:val="en-GB"/>
        </w:rPr>
        <w:t xml:space="preserve"> the same phenomenon </w:t>
      </w:r>
      <w:r w:rsidR="00EC31E6">
        <w:rPr>
          <w:rFonts w:asciiTheme="minorHAnsi" w:hAnsiTheme="minorHAnsi"/>
          <w:iCs/>
          <w:lang w:val="en-GB"/>
        </w:rPr>
        <w:t xml:space="preserve">holds true </w:t>
      </w:r>
      <w:r w:rsidR="00FE5E26">
        <w:rPr>
          <w:rFonts w:asciiTheme="minorHAnsi" w:hAnsiTheme="minorHAnsi"/>
          <w:iCs/>
          <w:lang w:val="en-GB"/>
        </w:rPr>
        <w:t>for hip fracture prediction and in men.</w:t>
      </w:r>
    </w:p>
    <w:p w14:paraId="57C2864C" w14:textId="77777777" w:rsidR="004444B1" w:rsidRDefault="004444B1" w:rsidP="00F329AA">
      <w:pPr>
        <w:spacing w:after="0" w:line="360" w:lineRule="auto"/>
        <w:jc w:val="left"/>
        <w:rPr>
          <w:rFonts w:asciiTheme="minorHAnsi" w:hAnsiTheme="minorHAnsi"/>
        </w:rPr>
      </w:pPr>
    </w:p>
    <w:p w14:paraId="33C23B83" w14:textId="2EC096FD" w:rsidR="00273970" w:rsidRDefault="000B35E5" w:rsidP="00273970">
      <w:pPr>
        <w:spacing w:after="120" w:line="360" w:lineRule="auto"/>
        <w:jc w:val="left"/>
        <w:rPr>
          <w:rFonts w:asciiTheme="minorHAnsi" w:hAnsiTheme="minorHAnsi"/>
          <w:lang w:val="en-GB"/>
        </w:rPr>
      </w:pPr>
      <w:r>
        <w:rPr>
          <w:rFonts w:asciiTheme="minorHAnsi" w:hAnsiTheme="minorHAnsi"/>
          <w:lang w:val="en-GB"/>
        </w:rPr>
        <w:t>I</w:t>
      </w:r>
      <w:r w:rsidRPr="000B35E5">
        <w:rPr>
          <w:rFonts w:asciiTheme="minorHAnsi" w:hAnsiTheme="minorHAnsi"/>
          <w:lang w:val="en-GB"/>
        </w:rPr>
        <w:t>n the context of the current guidelines in Kuwait</w:t>
      </w:r>
      <w:r w:rsidR="00C578B8" w:rsidRPr="00C578B8">
        <w:rPr>
          <w:rFonts w:asciiTheme="minorHAnsi" w:hAnsiTheme="minorHAnsi"/>
          <w:lang w:val="en-GB"/>
        </w:rPr>
        <w:t xml:space="preserve">, several </w:t>
      </w:r>
      <w:r>
        <w:rPr>
          <w:rFonts w:asciiTheme="minorHAnsi" w:hAnsiTheme="minorHAnsi"/>
          <w:lang w:val="en-GB"/>
        </w:rPr>
        <w:t xml:space="preserve">additional </w:t>
      </w:r>
      <w:r w:rsidR="00C578B8" w:rsidRPr="00C578B8">
        <w:rPr>
          <w:rFonts w:asciiTheme="minorHAnsi" w:hAnsiTheme="minorHAnsi"/>
          <w:lang w:val="en-GB"/>
        </w:rPr>
        <w:t xml:space="preserve">factors </w:t>
      </w:r>
      <w:r w:rsidRPr="00C578B8">
        <w:rPr>
          <w:rFonts w:asciiTheme="minorHAnsi" w:hAnsiTheme="minorHAnsi"/>
          <w:lang w:val="en-GB"/>
        </w:rPr>
        <w:t>make</w:t>
      </w:r>
      <w:r>
        <w:rPr>
          <w:rFonts w:asciiTheme="minorHAnsi" w:hAnsiTheme="minorHAnsi"/>
          <w:lang w:val="en-GB"/>
        </w:rPr>
        <w:t xml:space="preserve"> </w:t>
      </w:r>
      <w:r w:rsidRPr="00C578B8">
        <w:rPr>
          <w:rFonts w:asciiTheme="minorHAnsi" w:hAnsiTheme="minorHAnsi"/>
          <w:lang w:val="en-GB"/>
        </w:rPr>
        <w:t>the</w:t>
      </w:r>
      <w:r w:rsidR="00C578B8" w:rsidRPr="00C578B8">
        <w:rPr>
          <w:rFonts w:asciiTheme="minorHAnsi" w:hAnsiTheme="minorHAnsi"/>
          <w:lang w:val="en-GB"/>
        </w:rPr>
        <w:t xml:space="preserve"> use of th</w:t>
      </w:r>
      <w:r>
        <w:rPr>
          <w:rFonts w:asciiTheme="minorHAnsi" w:hAnsiTheme="minorHAnsi"/>
          <w:lang w:val="en-GB"/>
        </w:rPr>
        <w:t>e</w:t>
      </w:r>
      <w:r w:rsidR="00C578B8" w:rsidRPr="00C578B8">
        <w:rPr>
          <w:rFonts w:asciiTheme="minorHAnsi" w:hAnsiTheme="minorHAnsi"/>
          <w:lang w:val="en-GB"/>
        </w:rPr>
        <w:t xml:space="preserve"> T-score problematic as the major </w:t>
      </w:r>
      <w:r>
        <w:rPr>
          <w:rFonts w:asciiTheme="minorHAnsi" w:hAnsiTheme="minorHAnsi"/>
          <w:lang w:val="en-GB"/>
        </w:rPr>
        <w:t>gateway to targeting individuals at high fracture risk</w:t>
      </w:r>
      <w:r w:rsidR="00C578B8" w:rsidRPr="00C578B8">
        <w:rPr>
          <w:rFonts w:asciiTheme="minorHAnsi" w:hAnsiTheme="minorHAnsi"/>
          <w:lang w:val="en-GB"/>
        </w:rPr>
        <w:t xml:space="preserve">. </w:t>
      </w:r>
      <w:r>
        <w:rPr>
          <w:rFonts w:asciiTheme="minorHAnsi" w:hAnsiTheme="minorHAnsi"/>
          <w:lang w:val="en-GB"/>
        </w:rPr>
        <w:t xml:space="preserve">Whereas a prior fragility fracture confers a risk that is </w:t>
      </w:r>
      <w:r w:rsidR="00273970">
        <w:rPr>
          <w:rFonts w:asciiTheme="minorHAnsi" w:hAnsiTheme="minorHAnsi"/>
          <w:lang w:val="en-GB"/>
        </w:rPr>
        <w:t>significant at all</w:t>
      </w:r>
      <w:r>
        <w:rPr>
          <w:rFonts w:asciiTheme="minorHAnsi" w:hAnsiTheme="minorHAnsi"/>
          <w:lang w:val="en-GB"/>
        </w:rPr>
        <w:t xml:space="preserve"> age</w:t>
      </w:r>
      <w:r w:rsidR="003D683B">
        <w:rPr>
          <w:rFonts w:asciiTheme="minorHAnsi" w:hAnsiTheme="minorHAnsi"/>
          <w:lang w:val="en-GB"/>
        </w:rPr>
        <w:t>s</w:t>
      </w:r>
      <w:r w:rsidR="00273970">
        <w:rPr>
          <w:rFonts w:asciiTheme="minorHAnsi" w:hAnsiTheme="minorHAnsi"/>
          <w:lang w:val="en-GB"/>
        </w:rPr>
        <w:t xml:space="preserve"> and independent of BMD</w:t>
      </w:r>
      <w:r>
        <w:rPr>
          <w:rFonts w:asciiTheme="minorHAnsi" w:hAnsiTheme="minorHAnsi"/>
          <w:lang w:val="en-GB"/>
        </w:rPr>
        <w:t xml:space="preserve">, this increase in risk is </w:t>
      </w:r>
      <w:r w:rsidR="00273970">
        <w:rPr>
          <w:rFonts w:asciiTheme="minorHAnsi" w:hAnsiTheme="minorHAnsi"/>
          <w:lang w:val="en-GB"/>
        </w:rPr>
        <w:t>ignored</w:t>
      </w:r>
      <w:r w:rsidR="00D70BCA">
        <w:rPr>
          <w:rFonts w:asciiTheme="minorHAnsi" w:hAnsiTheme="minorHAnsi"/>
          <w:lang w:val="en-GB"/>
        </w:rPr>
        <w:t xml:space="preserve"> in that treatment is recommended only where the BMD T-score </w:t>
      </w:r>
      <w:r w:rsidR="00D70BCA" w:rsidRPr="00D70BCA">
        <w:rPr>
          <w:rFonts w:asciiTheme="minorHAnsi" w:hAnsiTheme="minorHAnsi"/>
          <w:u w:val="single"/>
          <w:lang w:val="en-GB"/>
        </w:rPr>
        <w:t>&lt;</w:t>
      </w:r>
      <w:r w:rsidR="00D70BCA">
        <w:rPr>
          <w:rFonts w:asciiTheme="minorHAnsi" w:hAnsiTheme="minorHAnsi"/>
          <w:lang w:val="en-GB"/>
        </w:rPr>
        <w:t xml:space="preserve"> -2.5 SD. </w:t>
      </w:r>
      <w:r>
        <w:rPr>
          <w:rFonts w:asciiTheme="minorHAnsi" w:hAnsiTheme="minorHAnsi"/>
          <w:lang w:val="en-GB"/>
        </w:rPr>
        <w:t xml:space="preserve"> </w:t>
      </w:r>
      <w:r w:rsidR="003D683B">
        <w:rPr>
          <w:rFonts w:asciiTheme="minorHAnsi" w:hAnsiTheme="minorHAnsi"/>
          <w:lang w:val="en-GB"/>
        </w:rPr>
        <w:t xml:space="preserve">The same is true for all major risk </w:t>
      </w:r>
      <w:r w:rsidR="00235063">
        <w:rPr>
          <w:rFonts w:asciiTheme="minorHAnsi" w:hAnsiTheme="minorHAnsi"/>
          <w:lang w:val="en-GB"/>
        </w:rPr>
        <w:t>factors. Thus, t</w:t>
      </w:r>
      <w:r w:rsidR="00273970" w:rsidRPr="00273970">
        <w:rPr>
          <w:rFonts w:asciiTheme="minorHAnsi" w:hAnsiTheme="minorHAnsi"/>
          <w:lang w:val="en-GB"/>
        </w:rPr>
        <w:t>he guideline does not</w:t>
      </w:r>
      <w:r w:rsidR="00235063">
        <w:rPr>
          <w:rFonts w:asciiTheme="minorHAnsi" w:hAnsiTheme="minorHAnsi"/>
          <w:lang w:val="en-GB"/>
        </w:rPr>
        <w:t xml:space="preserve"> </w:t>
      </w:r>
      <w:r w:rsidR="00273970" w:rsidRPr="00273970">
        <w:rPr>
          <w:rFonts w:asciiTheme="minorHAnsi" w:hAnsiTheme="minorHAnsi"/>
          <w:lang w:val="en-GB"/>
        </w:rPr>
        <w:t>use the information provided</w:t>
      </w:r>
      <w:r w:rsidR="00235063">
        <w:rPr>
          <w:rFonts w:asciiTheme="minorHAnsi" w:hAnsiTheme="minorHAnsi"/>
          <w:lang w:val="en-GB"/>
        </w:rPr>
        <w:t xml:space="preserve"> by the presence of strong risk factors. </w:t>
      </w:r>
      <w:r w:rsidR="00EC31E6">
        <w:rPr>
          <w:rFonts w:asciiTheme="minorHAnsi" w:hAnsiTheme="minorHAnsi"/>
          <w:lang w:val="en-GB"/>
        </w:rPr>
        <w:t xml:space="preserve">  </w:t>
      </w:r>
      <w:r w:rsidR="00273970" w:rsidRPr="00273970">
        <w:rPr>
          <w:rFonts w:asciiTheme="minorHAnsi" w:hAnsiTheme="minorHAnsi"/>
          <w:lang w:val="en-GB"/>
        </w:rPr>
        <w:t>Bizarre but not improbable scenarios arise. For example,</w:t>
      </w:r>
      <w:r w:rsidR="00235063">
        <w:rPr>
          <w:rFonts w:asciiTheme="minorHAnsi" w:hAnsiTheme="minorHAnsi"/>
          <w:lang w:val="en-GB"/>
        </w:rPr>
        <w:t xml:space="preserve"> </w:t>
      </w:r>
      <w:r w:rsidR="00273970" w:rsidRPr="00273970">
        <w:rPr>
          <w:rFonts w:asciiTheme="minorHAnsi" w:hAnsiTheme="minorHAnsi"/>
          <w:lang w:val="en-GB"/>
        </w:rPr>
        <w:t xml:space="preserve">consider a 65-year old woman (BMI set at </w:t>
      </w:r>
      <w:r w:rsidR="00E062CE">
        <w:rPr>
          <w:rFonts w:asciiTheme="minorHAnsi" w:hAnsiTheme="minorHAnsi"/>
          <w:lang w:val="en-GB"/>
        </w:rPr>
        <w:t>30</w:t>
      </w:r>
      <w:r w:rsidR="00273970" w:rsidRPr="00273970">
        <w:rPr>
          <w:rFonts w:asciiTheme="minorHAnsi" w:hAnsiTheme="minorHAnsi"/>
          <w:lang w:val="en-GB"/>
        </w:rPr>
        <w:t xml:space="preserve"> kg/m</w:t>
      </w:r>
      <w:r w:rsidR="00273970" w:rsidRPr="00235063">
        <w:rPr>
          <w:rFonts w:asciiTheme="minorHAnsi" w:hAnsiTheme="minorHAnsi"/>
          <w:vertAlign w:val="superscript"/>
          <w:lang w:val="en-GB"/>
        </w:rPr>
        <w:t>2</w:t>
      </w:r>
      <w:r w:rsidR="00273970" w:rsidRPr="00273970">
        <w:rPr>
          <w:rFonts w:asciiTheme="minorHAnsi" w:hAnsiTheme="minorHAnsi"/>
          <w:lang w:val="en-GB"/>
        </w:rPr>
        <w:t>)</w:t>
      </w:r>
      <w:r w:rsidR="00235063" w:rsidRPr="00273970">
        <w:rPr>
          <w:rFonts w:asciiTheme="minorHAnsi" w:hAnsiTheme="minorHAnsi"/>
          <w:lang w:val="en-GB"/>
        </w:rPr>
        <w:t xml:space="preserve"> </w:t>
      </w:r>
      <w:r w:rsidR="00273970" w:rsidRPr="00273970">
        <w:rPr>
          <w:rFonts w:asciiTheme="minorHAnsi" w:hAnsiTheme="minorHAnsi"/>
          <w:lang w:val="en-GB"/>
        </w:rPr>
        <w:t>whose mother had sustained a hip fracture</w:t>
      </w:r>
      <w:r w:rsidR="00A26637">
        <w:rPr>
          <w:rFonts w:asciiTheme="minorHAnsi" w:hAnsiTheme="minorHAnsi"/>
          <w:lang w:val="en-GB"/>
        </w:rPr>
        <w:t xml:space="preserve"> (Table 3)</w:t>
      </w:r>
      <w:r w:rsidR="00273970" w:rsidRPr="00273970">
        <w:rPr>
          <w:rFonts w:asciiTheme="minorHAnsi" w:hAnsiTheme="minorHAnsi"/>
          <w:lang w:val="en-GB"/>
        </w:rPr>
        <w:t xml:space="preserve">. </w:t>
      </w:r>
      <w:r w:rsidR="008B032F">
        <w:rPr>
          <w:rFonts w:asciiTheme="minorHAnsi" w:hAnsiTheme="minorHAnsi"/>
          <w:lang w:val="en-GB"/>
        </w:rPr>
        <w:t>Under existing guidelines h</w:t>
      </w:r>
      <w:r w:rsidR="00273970" w:rsidRPr="00273970">
        <w:rPr>
          <w:rFonts w:asciiTheme="minorHAnsi" w:hAnsiTheme="minorHAnsi"/>
          <w:lang w:val="en-GB"/>
        </w:rPr>
        <w:t xml:space="preserve">er </w:t>
      </w:r>
      <w:r w:rsidR="00235063">
        <w:rPr>
          <w:rFonts w:asciiTheme="minorHAnsi" w:hAnsiTheme="minorHAnsi"/>
          <w:lang w:val="en-GB"/>
        </w:rPr>
        <w:t xml:space="preserve">risk </w:t>
      </w:r>
      <w:r w:rsidR="008B032F">
        <w:rPr>
          <w:rFonts w:asciiTheme="minorHAnsi" w:hAnsiTheme="minorHAnsi"/>
          <w:lang w:val="en-GB"/>
        </w:rPr>
        <w:t>factor</w:t>
      </w:r>
      <w:r w:rsidR="008B032F" w:rsidRPr="00273970">
        <w:rPr>
          <w:rFonts w:asciiTheme="minorHAnsi" w:hAnsiTheme="minorHAnsi"/>
          <w:lang w:val="en-GB"/>
        </w:rPr>
        <w:t xml:space="preserve"> earns</w:t>
      </w:r>
      <w:r w:rsidR="00273970" w:rsidRPr="00273970">
        <w:rPr>
          <w:rFonts w:asciiTheme="minorHAnsi" w:hAnsiTheme="minorHAnsi"/>
          <w:lang w:val="en-GB"/>
        </w:rPr>
        <w:t xml:space="preserve"> her a BMD test</w:t>
      </w:r>
      <w:r w:rsidR="002371A7">
        <w:rPr>
          <w:rFonts w:asciiTheme="minorHAnsi" w:hAnsiTheme="minorHAnsi"/>
          <w:lang w:val="en-GB"/>
        </w:rPr>
        <w:t xml:space="preserve"> and t</w:t>
      </w:r>
      <w:r w:rsidR="002371A7" w:rsidRPr="00273970">
        <w:rPr>
          <w:rFonts w:asciiTheme="minorHAnsi" w:hAnsiTheme="minorHAnsi"/>
          <w:lang w:val="en-GB"/>
        </w:rPr>
        <w:t>he</w:t>
      </w:r>
      <w:r w:rsidR="002371A7">
        <w:rPr>
          <w:rFonts w:asciiTheme="minorHAnsi" w:hAnsiTheme="minorHAnsi"/>
          <w:lang w:val="en-GB"/>
        </w:rPr>
        <w:t xml:space="preserve"> </w:t>
      </w:r>
      <w:r w:rsidR="00273970" w:rsidRPr="00273970">
        <w:rPr>
          <w:rFonts w:asciiTheme="minorHAnsi" w:hAnsiTheme="minorHAnsi"/>
          <w:lang w:val="en-GB"/>
        </w:rPr>
        <w:t>decision to treat rests solely on her T-score. At a T-score of</w:t>
      </w:r>
      <w:r w:rsidR="00235063">
        <w:rPr>
          <w:rFonts w:asciiTheme="minorHAnsi" w:hAnsiTheme="minorHAnsi"/>
          <w:lang w:val="en-GB"/>
        </w:rPr>
        <w:t xml:space="preserve"> </w:t>
      </w:r>
      <w:r w:rsidR="00273970" w:rsidRPr="00273970">
        <w:rPr>
          <w:rFonts w:asciiTheme="minorHAnsi" w:hAnsiTheme="minorHAnsi"/>
          <w:lang w:val="en-GB"/>
        </w:rPr>
        <w:t>-2.5 SD, the threshold of osteoporosis, she can be offered</w:t>
      </w:r>
      <w:r w:rsidR="00235063">
        <w:rPr>
          <w:rFonts w:asciiTheme="minorHAnsi" w:hAnsiTheme="minorHAnsi"/>
          <w:lang w:val="en-GB"/>
        </w:rPr>
        <w:t xml:space="preserve"> </w:t>
      </w:r>
      <w:r w:rsidR="00273970" w:rsidRPr="00273970">
        <w:rPr>
          <w:rFonts w:asciiTheme="minorHAnsi" w:hAnsiTheme="minorHAnsi"/>
          <w:lang w:val="en-GB"/>
        </w:rPr>
        <w:t xml:space="preserve">treatment </w:t>
      </w:r>
      <w:r w:rsidR="0099358A">
        <w:rPr>
          <w:rFonts w:asciiTheme="minorHAnsi" w:hAnsiTheme="minorHAnsi"/>
          <w:lang w:val="en-GB"/>
        </w:rPr>
        <w:t xml:space="preserve">(equivalent to </w:t>
      </w:r>
      <w:r w:rsidR="0099358A" w:rsidRPr="0099358A">
        <w:rPr>
          <w:rFonts w:asciiTheme="minorHAnsi" w:hAnsiTheme="minorHAnsi"/>
          <w:lang w:val="en-GB"/>
        </w:rPr>
        <w:t xml:space="preserve">a 10-year probability of a major osteoporotic fracture of </w:t>
      </w:r>
      <w:r w:rsidR="005B601E">
        <w:rPr>
          <w:rFonts w:asciiTheme="minorHAnsi" w:hAnsiTheme="minorHAnsi"/>
          <w:lang w:val="en-GB"/>
        </w:rPr>
        <w:t>11</w:t>
      </w:r>
      <w:r w:rsidR="00CB79E9">
        <w:rPr>
          <w:rFonts w:asciiTheme="minorHAnsi" w:hAnsiTheme="minorHAnsi"/>
          <w:lang w:val="en-GB"/>
        </w:rPr>
        <w:t xml:space="preserve"> </w:t>
      </w:r>
      <w:r w:rsidR="0099358A">
        <w:rPr>
          <w:rFonts w:asciiTheme="minorHAnsi" w:hAnsiTheme="minorHAnsi"/>
          <w:lang w:val="en-GB"/>
        </w:rPr>
        <w:t xml:space="preserve">%) </w:t>
      </w:r>
      <w:r w:rsidR="00273970" w:rsidRPr="00273970">
        <w:rPr>
          <w:rFonts w:asciiTheme="minorHAnsi" w:hAnsiTheme="minorHAnsi"/>
          <w:lang w:val="en-GB"/>
        </w:rPr>
        <w:t>but is denied treatment with a T-score of -2.0</w:t>
      </w:r>
      <w:r w:rsidR="00235063">
        <w:rPr>
          <w:rFonts w:asciiTheme="minorHAnsi" w:hAnsiTheme="minorHAnsi"/>
          <w:lang w:val="en-GB"/>
        </w:rPr>
        <w:t xml:space="preserve"> </w:t>
      </w:r>
      <w:r w:rsidR="00273970" w:rsidRPr="00273970">
        <w:rPr>
          <w:rFonts w:asciiTheme="minorHAnsi" w:hAnsiTheme="minorHAnsi"/>
          <w:lang w:val="en-GB"/>
        </w:rPr>
        <w:t xml:space="preserve">SD, even though her </w:t>
      </w:r>
      <w:r w:rsidR="0099358A">
        <w:rPr>
          <w:rFonts w:asciiTheme="minorHAnsi" w:hAnsiTheme="minorHAnsi"/>
          <w:lang w:val="en-GB"/>
        </w:rPr>
        <w:t>fracture probability</w:t>
      </w:r>
      <w:r w:rsidR="00273970" w:rsidRPr="00273970">
        <w:rPr>
          <w:rFonts w:asciiTheme="minorHAnsi" w:hAnsiTheme="minorHAnsi"/>
          <w:lang w:val="en-GB"/>
        </w:rPr>
        <w:t xml:space="preserve"> is higher than the </w:t>
      </w:r>
      <w:r w:rsidR="0099358A">
        <w:rPr>
          <w:rFonts w:asciiTheme="minorHAnsi" w:hAnsiTheme="minorHAnsi"/>
          <w:lang w:val="en-GB"/>
        </w:rPr>
        <w:t xml:space="preserve">BMD-based </w:t>
      </w:r>
      <w:r w:rsidR="0099358A" w:rsidRPr="0099358A">
        <w:rPr>
          <w:rFonts w:asciiTheme="minorHAnsi" w:hAnsiTheme="minorHAnsi"/>
          <w:lang w:val="en-GB"/>
        </w:rPr>
        <w:t>threshold</w:t>
      </w:r>
      <w:r w:rsidR="00273970" w:rsidRPr="0099358A">
        <w:rPr>
          <w:rFonts w:asciiTheme="minorHAnsi" w:hAnsiTheme="minorHAnsi"/>
          <w:lang w:val="en-GB"/>
        </w:rPr>
        <w:t xml:space="preserve"> (</w:t>
      </w:r>
      <w:r w:rsidR="0099358A" w:rsidRPr="0099358A">
        <w:rPr>
          <w:rFonts w:asciiTheme="minorHAnsi" w:hAnsiTheme="minorHAnsi"/>
          <w:lang w:val="en-GB"/>
        </w:rPr>
        <w:t>9.</w:t>
      </w:r>
      <w:r w:rsidR="00B4421F">
        <w:rPr>
          <w:rFonts w:asciiTheme="minorHAnsi" w:hAnsiTheme="minorHAnsi"/>
          <w:lang w:val="en-GB"/>
        </w:rPr>
        <w:t>1</w:t>
      </w:r>
      <w:r w:rsidR="00273970" w:rsidRPr="0099358A">
        <w:rPr>
          <w:rFonts w:asciiTheme="minorHAnsi" w:hAnsiTheme="minorHAnsi"/>
          <w:lang w:val="en-GB"/>
        </w:rPr>
        <w:t xml:space="preserve"> </w:t>
      </w:r>
      <w:r w:rsidR="0099358A" w:rsidRPr="0099358A">
        <w:rPr>
          <w:rFonts w:asciiTheme="minorHAnsi" w:hAnsiTheme="minorHAnsi"/>
          <w:lang w:val="en-GB"/>
        </w:rPr>
        <w:t>vs.</w:t>
      </w:r>
      <w:r w:rsidR="00273970" w:rsidRPr="0099358A">
        <w:rPr>
          <w:rFonts w:asciiTheme="minorHAnsi" w:hAnsiTheme="minorHAnsi"/>
          <w:lang w:val="en-GB"/>
        </w:rPr>
        <w:t xml:space="preserve"> </w:t>
      </w:r>
      <w:r w:rsidR="0099358A" w:rsidRPr="0099358A">
        <w:rPr>
          <w:rFonts w:asciiTheme="minorHAnsi" w:hAnsiTheme="minorHAnsi"/>
          <w:lang w:val="en-GB"/>
        </w:rPr>
        <w:t>6.</w:t>
      </w:r>
      <w:r w:rsidR="00B4421F">
        <w:rPr>
          <w:rFonts w:asciiTheme="minorHAnsi" w:hAnsiTheme="minorHAnsi"/>
          <w:lang w:val="en-GB"/>
        </w:rPr>
        <w:t>5</w:t>
      </w:r>
      <w:r w:rsidR="00273970" w:rsidRPr="0099358A">
        <w:rPr>
          <w:rFonts w:asciiTheme="minorHAnsi" w:hAnsiTheme="minorHAnsi"/>
          <w:lang w:val="en-GB"/>
        </w:rPr>
        <w:t xml:space="preserve"> %).</w:t>
      </w:r>
    </w:p>
    <w:p w14:paraId="795E5DD2" w14:textId="77777777" w:rsidR="00787F76" w:rsidRDefault="00787F76" w:rsidP="00273970">
      <w:pPr>
        <w:spacing w:after="120" w:line="360" w:lineRule="auto"/>
        <w:jc w:val="left"/>
        <w:rPr>
          <w:rFonts w:asciiTheme="minorHAnsi" w:hAnsiTheme="minorHAnsi"/>
          <w:b/>
          <w:sz w:val="22"/>
          <w:szCs w:val="22"/>
          <w:lang w:val="en-GB"/>
        </w:rPr>
      </w:pPr>
    </w:p>
    <w:p w14:paraId="5FC3A38C" w14:textId="6B6EEB32" w:rsidR="00BA2EF6" w:rsidRDefault="00BA2EF6" w:rsidP="00273970">
      <w:pPr>
        <w:spacing w:after="120" w:line="360" w:lineRule="auto"/>
        <w:jc w:val="left"/>
        <w:rPr>
          <w:rFonts w:asciiTheme="minorHAnsi" w:hAnsiTheme="minorHAnsi"/>
          <w:sz w:val="22"/>
          <w:szCs w:val="22"/>
          <w:lang w:val="en-GB"/>
        </w:rPr>
      </w:pPr>
      <w:r w:rsidRPr="00D230D9">
        <w:rPr>
          <w:rFonts w:asciiTheme="minorHAnsi" w:hAnsiTheme="minorHAnsi"/>
          <w:b/>
          <w:sz w:val="22"/>
          <w:szCs w:val="22"/>
          <w:lang w:val="en-GB"/>
        </w:rPr>
        <w:t>Table 3</w:t>
      </w:r>
      <w:r>
        <w:rPr>
          <w:rFonts w:asciiTheme="minorHAnsi" w:hAnsiTheme="minorHAnsi"/>
          <w:b/>
          <w:sz w:val="22"/>
          <w:szCs w:val="22"/>
          <w:lang w:val="en-GB"/>
        </w:rPr>
        <w:t>.</w:t>
      </w:r>
      <w:r w:rsidRPr="00D230D9">
        <w:rPr>
          <w:rFonts w:asciiTheme="minorHAnsi" w:hAnsiTheme="minorHAnsi"/>
          <w:sz w:val="22"/>
          <w:szCs w:val="22"/>
          <w:lang w:val="en-GB"/>
        </w:rPr>
        <w:t xml:space="preserve"> Ten-year probability of a major osteoporotic fracture</w:t>
      </w:r>
      <w:r w:rsidR="0044727E">
        <w:rPr>
          <w:rFonts w:asciiTheme="minorHAnsi" w:hAnsiTheme="minorHAnsi"/>
          <w:sz w:val="22"/>
          <w:szCs w:val="22"/>
          <w:lang w:val="en-GB"/>
        </w:rPr>
        <w:t xml:space="preserve"> (%)</w:t>
      </w:r>
      <w:r w:rsidRPr="00D230D9">
        <w:rPr>
          <w:rFonts w:asciiTheme="minorHAnsi" w:hAnsiTheme="minorHAnsi"/>
          <w:sz w:val="22"/>
          <w:szCs w:val="22"/>
          <w:lang w:val="en-GB"/>
        </w:rPr>
        <w:t xml:space="preserve"> in women age 65 years from Kuwait (BMI set to 30 kg/m</w:t>
      </w:r>
      <w:r w:rsidRPr="00D230D9">
        <w:rPr>
          <w:rFonts w:asciiTheme="minorHAnsi" w:hAnsiTheme="minorHAnsi"/>
          <w:sz w:val="22"/>
          <w:szCs w:val="22"/>
          <w:vertAlign w:val="superscript"/>
          <w:lang w:val="en-GB"/>
        </w:rPr>
        <w:t>2</w:t>
      </w:r>
      <w:r w:rsidRPr="00D230D9">
        <w:rPr>
          <w:rFonts w:asciiTheme="minorHAnsi" w:hAnsiTheme="minorHAnsi"/>
          <w:sz w:val="22"/>
          <w:szCs w:val="22"/>
          <w:lang w:val="en-GB"/>
        </w:rPr>
        <w:t>)</w:t>
      </w:r>
      <w:r>
        <w:rPr>
          <w:rFonts w:asciiTheme="minorHAnsi" w:hAnsiTheme="minorHAnsi"/>
          <w:sz w:val="22"/>
          <w:szCs w:val="22"/>
          <w:lang w:val="en-GB"/>
        </w:rPr>
        <w:t xml:space="preserve"> </w:t>
      </w:r>
      <w:r w:rsidR="00A26637">
        <w:rPr>
          <w:rFonts w:asciiTheme="minorHAnsi" w:hAnsiTheme="minorHAnsi"/>
          <w:sz w:val="22"/>
          <w:szCs w:val="22"/>
          <w:lang w:val="en-GB"/>
        </w:rPr>
        <w:t>for</w:t>
      </w:r>
      <w:r>
        <w:rPr>
          <w:rFonts w:asciiTheme="minorHAnsi" w:hAnsiTheme="minorHAnsi"/>
          <w:sz w:val="22"/>
          <w:szCs w:val="22"/>
          <w:lang w:val="en-GB"/>
        </w:rPr>
        <w:t xml:space="preserve"> different clinical scenarios.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1559"/>
        <w:gridCol w:w="3118"/>
        <w:gridCol w:w="1991"/>
      </w:tblGrid>
      <w:tr w:rsidR="00A26637" w14:paraId="58EFE8B9" w14:textId="77777777" w:rsidTr="00D230D9">
        <w:tc>
          <w:tcPr>
            <w:tcW w:w="988" w:type="dxa"/>
            <w:tcBorders>
              <w:top w:val="single" w:sz="4" w:space="0" w:color="auto"/>
              <w:bottom w:val="single" w:sz="4" w:space="0" w:color="auto"/>
            </w:tcBorders>
            <w:shd w:val="clear" w:color="auto" w:fill="auto"/>
          </w:tcPr>
          <w:p w14:paraId="4C63B580" w14:textId="50E71939" w:rsidR="00A26637" w:rsidRDefault="00A26637" w:rsidP="00273970">
            <w:pPr>
              <w:spacing w:after="120" w:line="360" w:lineRule="auto"/>
              <w:jc w:val="left"/>
              <w:rPr>
                <w:rFonts w:asciiTheme="minorHAnsi" w:hAnsiTheme="minorHAnsi"/>
                <w:sz w:val="22"/>
                <w:szCs w:val="22"/>
                <w:lang w:val="en-GB"/>
              </w:rPr>
            </w:pPr>
            <w:r>
              <w:rPr>
                <w:rFonts w:asciiTheme="minorHAnsi" w:hAnsiTheme="minorHAnsi"/>
                <w:sz w:val="22"/>
                <w:szCs w:val="22"/>
                <w:lang w:val="en-GB"/>
              </w:rPr>
              <w:t>Scenario</w:t>
            </w:r>
          </w:p>
        </w:tc>
        <w:tc>
          <w:tcPr>
            <w:tcW w:w="1559" w:type="dxa"/>
            <w:tcBorders>
              <w:top w:val="single" w:sz="4" w:space="0" w:color="auto"/>
              <w:bottom w:val="single" w:sz="4" w:space="0" w:color="auto"/>
            </w:tcBorders>
            <w:shd w:val="clear" w:color="auto" w:fill="auto"/>
          </w:tcPr>
          <w:p w14:paraId="052FDC10" w14:textId="5D1D6976" w:rsidR="00A26637" w:rsidRDefault="00A26637" w:rsidP="00273970">
            <w:pPr>
              <w:spacing w:after="120" w:line="360" w:lineRule="auto"/>
              <w:jc w:val="left"/>
              <w:rPr>
                <w:rFonts w:asciiTheme="minorHAnsi" w:hAnsiTheme="minorHAnsi"/>
                <w:sz w:val="22"/>
                <w:szCs w:val="22"/>
                <w:lang w:val="en-GB"/>
              </w:rPr>
            </w:pPr>
            <w:r>
              <w:rPr>
                <w:rFonts w:asciiTheme="minorHAnsi" w:hAnsiTheme="minorHAnsi"/>
                <w:sz w:val="22"/>
                <w:szCs w:val="22"/>
                <w:lang w:val="en-GB"/>
              </w:rPr>
              <w:t>BMD T--score</w:t>
            </w:r>
          </w:p>
        </w:tc>
        <w:tc>
          <w:tcPr>
            <w:tcW w:w="3118" w:type="dxa"/>
            <w:tcBorders>
              <w:top w:val="single" w:sz="4" w:space="0" w:color="auto"/>
              <w:bottom w:val="single" w:sz="4" w:space="0" w:color="auto"/>
            </w:tcBorders>
            <w:shd w:val="clear" w:color="auto" w:fill="auto"/>
          </w:tcPr>
          <w:p w14:paraId="181A1061" w14:textId="45A41248" w:rsidR="00A26637" w:rsidRDefault="00A26637" w:rsidP="00273970">
            <w:pPr>
              <w:spacing w:after="120" w:line="360" w:lineRule="auto"/>
              <w:jc w:val="left"/>
              <w:rPr>
                <w:rFonts w:asciiTheme="minorHAnsi" w:hAnsiTheme="minorHAnsi"/>
                <w:sz w:val="22"/>
                <w:szCs w:val="22"/>
                <w:lang w:val="en-GB"/>
              </w:rPr>
            </w:pPr>
            <w:r>
              <w:rPr>
                <w:rFonts w:asciiTheme="minorHAnsi" w:hAnsiTheme="minorHAnsi"/>
                <w:sz w:val="22"/>
                <w:szCs w:val="22"/>
                <w:lang w:val="en-GB"/>
              </w:rPr>
              <w:t>CRF</w:t>
            </w:r>
          </w:p>
        </w:tc>
        <w:tc>
          <w:tcPr>
            <w:tcW w:w="1991" w:type="dxa"/>
            <w:tcBorders>
              <w:top w:val="single" w:sz="4" w:space="0" w:color="auto"/>
              <w:bottom w:val="single" w:sz="4" w:space="0" w:color="auto"/>
            </w:tcBorders>
            <w:shd w:val="clear" w:color="auto" w:fill="auto"/>
          </w:tcPr>
          <w:p w14:paraId="3AF3266A" w14:textId="191D06E8" w:rsidR="00A26637" w:rsidRDefault="00A26637" w:rsidP="00273970">
            <w:pPr>
              <w:spacing w:after="120" w:line="360" w:lineRule="auto"/>
              <w:jc w:val="left"/>
              <w:rPr>
                <w:rFonts w:asciiTheme="minorHAnsi" w:hAnsiTheme="minorHAnsi"/>
                <w:sz w:val="22"/>
                <w:szCs w:val="22"/>
                <w:lang w:val="en-GB"/>
              </w:rPr>
            </w:pPr>
            <w:r w:rsidRPr="007D2A4B">
              <w:rPr>
                <w:rFonts w:asciiTheme="minorHAnsi" w:hAnsiTheme="minorHAnsi"/>
                <w:sz w:val="22"/>
                <w:szCs w:val="22"/>
                <w:lang w:val="en-GB"/>
              </w:rPr>
              <w:t xml:space="preserve">Fracture probability </w:t>
            </w:r>
            <w:r w:rsidRPr="007D2A4B">
              <w:rPr>
                <w:rFonts w:asciiTheme="minorHAnsi" w:hAnsiTheme="minorHAnsi"/>
                <w:sz w:val="22"/>
                <w:szCs w:val="22"/>
                <w:lang w:val="en-GB"/>
              </w:rPr>
              <w:lastRenderedPageBreak/>
              <w:t>(%)</w:t>
            </w:r>
          </w:p>
        </w:tc>
      </w:tr>
      <w:tr w:rsidR="00A26637" w14:paraId="25F42940" w14:textId="77777777" w:rsidTr="00D230D9">
        <w:tc>
          <w:tcPr>
            <w:tcW w:w="988" w:type="dxa"/>
            <w:tcBorders>
              <w:top w:val="single" w:sz="4" w:space="0" w:color="auto"/>
            </w:tcBorders>
            <w:shd w:val="clear" w:color="auto" w:fill="auto"/>
          </w:tcPr>
          <w:p w14:paraId="56FC959D" w14:textId="5D5FA3FF" w:rsidR="00A26637" w:rsidRDefault="00A26637" w:rsidP="00273970">
            <w:pPr>
              <w:spacing w:after="120" w:line="360" w:lineRule="auto"/>
              <w:jc w:val="left"/>
              <w:rPr>
                <w:rFonts w:asciiTheme="minorHAnsi" w:hAnsiTheme="minorHAnsi"/>
                <w:sz w:val="22"/>
                <w:szCs w:val="22"/>
                <w:lang w:val="en-GB"/>
              </w:rPr>
            </w:pPr>
            <w:r>
              <w:rPr>
                <w:rFonts w:asciiTheme="minorHAnsi" w:hAnsiTheme="minorHAnsi"/>
                <w:sz w:val="22"/>
                <w:szCs w:val="22"/>
                <w:lang w:val="en-GB"/>
              </w:rPr>
              <w:lastRenderedPageBreak/>
              <w:t>A</w:t>
            </w:r>
          </w:p>
        </w:tc>
        <w:tc>
          <w:tcPr>
            <w:tcW w:w="1559" w:type="dxa"/>
            <w:tcBorders>
              <w:top w:val="single" w:sz="4" w:space="0" w:color="auto"/>
            </w:tcBorders>
            <w:shd w:val="clear" w:color="auto" w:fill="auto"/>
          </w:tcPr>
          <w:p w14:paraId="06BFE0AB" w14:textId="2836BCFA" w:rsidR="00A26637" w:rsidRDefault="00A26637" w:rsidP="00273970">
            <w:pPr>
              <w:spacing w:after="120" w:line="360" w:lineRule="auto"/>
              <w:jc w:val="left"/>
              <w:rPr>
                <w:rFonts w:asciiTheme="minorHAnsi" w:hAnsiTheme="minorHAnsi"/>
                <w:sz w:val="22"/>
                <w:szCs w:val="22"/>
                <w:lang w:val="en-GB"/>
              </w:rPr>
            </w:pPr>
            <w:r>
              <w:rPr>
                <w:rFonts w:asciiTheme="minorHAnsi" w:hAnsiTheme="minorHAnsi"/>
                <w:sz w:val="22"/>
                <w:szCs w:val="22"/>
                <w:lang w:val="en-GB"/>
              </w:rPr>
              <w:t>-2.5</w:t>
            </w:r>
          </w:p>
        </w:tc>
        <w:tc>
          <w:tcPr>
            <w:tcW w:w="3118" w:type="dxa"/>
            <w:tcBorders>
              <w:top w:val="single" w:sz="4" w:space="0" w:color="auto"/>
            </w:tcBorders>
            <w:shd w:val="clear" w:color="auto" w:fill="auto"/>
          </w:tcPr>
          <w:p w14:paraId="0A1AC356" w14:textId="32C6D172" w:rsidR="00A26637" w:rsidRDefault="00A26637" w:rsidP="00273970">
            <w:pPr>
              <w:spacing w:after="120" w:line="360" w:lineRule="auto"/>
              <w:jc w:val="left"/>
              <w:rPr>
                <w:rFonts w:asciiTheme="minorHAnsi" w:hAnsiTheme="minorHAnsi"/>
                <w:sz w:val="22"/>
                <w:szCs w:val="22"/>
                <w:lang w:val="en-GB"/>
              </w:rPr>
            </w:pPr>
            <w:r>
              <w:rPr>
                <w:rFonts w:asciiTheme="minorHAnsi" w:hAnsiTheme="minorHAnsi"/>
                <w:sz w:val="22"/>
                <w:szCs w:val="22"/>
                <w:lang w:val="en-GB"/>
              </w:rPr>
              <w:t>None</w:t>
            </w:r>
          </w:p>
        </w:tc>
        <w:tc>
          <w:tcPr>
            <w:tcW w:w="1991" w:type="dxa"/>
            <w:tcBorders>
              <w:top w:val="single" w:sz="4" w:space="0" w:color="auto"/>
            </w:tcBorders>
            <w:shd w:val="clear" w:color="auto" w:fill="auto"/>
          </w:tcPr>
          <w:p w14:paraId="3FC46B19" w14:textId="09589DD3" w:rsidR="00A26637" w:rsidRDefault="00A26637" w:rsidP="00273970">
            <w:pPr>
              <w:spacing w:after="120" w:line="360" w:lineRule="auto"/>
              <w:jc w:val="left"/>
              <w:rPr>
                <w:rFonts w:asciiTheme="minorHAnsi" w:hAnsiTheme="minorHAnsi"/>
                <w:sz w:val="22"/>
                <w:szCs w:val="22"/>
                <w:lang w:val="en-GB"/>
              </w:rPr>
            </w:pPr>
            <w:r>
              <w:rPr>
                <w:rFonts w:asciiTheme="minorHAnsi" w:hAnsiTheme="minorHAnsi"/>
                <w:sz w:val="22"/>
                <w:szCs w:val="22"/>
                <w:lang w:val="en-GB"/>
              </w:rPr>
              <w:t>6.5</w:t>
            </w:r>
          </w:p>
        </w:tc>
      </w:tr>
      <w:tr w:rsidR="00A26637" w14:paraId="7A31B330" w14:textId="77777777" w:rsidTr="00D230D9">
        <w:tc>
          <w:tcPr>
            <w:tcW w:w="988" w:type="dxa"/>
            <w:shd w:val="clear" w:color="auto" w:fill="auto"/>
          </w:tcPr>
          <w:p w14:paraId="531070D8" w14:textId="2D0A85DA" w:rsidR="00A26637" w:rsidRPr="00787F76" w:rsidRDefault="00A26637" w:rsidP="00273970">
            <w:pPr>
              <w:spacing w:after="120" w:line="360" w:lineRule="auto"/>
              <w:jc w:val="left"/>
              <w:rPr>
                <w:rFonts w:asciiTheme="minorHAnsi" w:hAnsiTheme="minorHAnsi"/>
                <w:sz w:val="22"/>
                <w:szCs w:val="22"/>
                <w:lang w:val="en-GB"/>
              </w:rPr>
            </w:pPr>
            <w:r>
              <w:rPr>
                <w:rFonts w:asciiTheme="minorHAnsi" w:hAnsiTheme="minorHAnsi"/>
                <w:sz w:val="22"/>
                <w:szCs w:val="22"/>
                <w:lang w:val="en-GB"/>
              </w:rPr>
              <w:t>B</w:t>
            </w:r>
          </w:p>
        </w:tc>
        <w:tc>
          <w:tcPr>
            <w:tcW w:w="1559" w:type="dxa"/>
            <w:shd w:val="clear" w:color="auto" w:fill="auto"/>
          </w:tcPr>
          <w:p w14:paraId="22DF37BF" w14:textId="33049D39" w:rsidR="00A26637" w:rsidRDefault="00A26637" w:rsidP="00273970">
            <w:pPr>
              <w:spacing w:after="120" w:line="360" w:lineRule="auto"/>
              <w:jc w:val="left"/>
              <w:rPr>
                <w:rFonts w:asciiTheme="minorHAnsi" w:hAnsiTheme="minorHAnsi"/>
                <w:sz w:val="22"/>
                <w:szCs w:val="22"/>
                <w:lang w:val="en-GB"/>
              </w:rPr>
            </w:pPr>
            <w:r w:rsidRPr="00787F76">
              <w:rPr>
                <w:rFonts w:asciiTheme="minorHAnsi" w:hAnsiTheme="minorHAnsi"/>
                <w:sz w:val="22"/>
                <w:szCs w:val="22"/>
                <w:lang w:val="en-GB"/>
              </w:rPr>
              <w:t>-2.5</w:t>
            </w:r>
          </w:p>
        </w:tc>
        <w:tc>
          <w:tcPr>
            <w:tcW w:w="3118" w:type="dxa"/>
            <w:shd w:val="clear" w:color="auto" w:fill="auto"/>
          </w:tcPr>
          <w:p w14:paraId="686A5667" w14:textId="5AE14952" w:rsidR="00A26637" w:rsidRDefault="00A26637" w:rsidP="00273970">
            <w:pPr>
              <w:spacing w:after="120" w:line="360" w:lineRule="auto"/>
              <w:jc w:val="left"/>
              <w:rPr>
                <w:rFonts w:asciiTheme="minorHAnsi" w:hAnsiTheme="minorHAnsi"/>
                <w:sz w:val="22"/>
                <w:szCs w:val="22"/>
                <w:lang w:val="en-GB"/>
              </w:rPr>
            </w:pPr>
            <w:r>
              <w:rPr>
                <w:rFonts w:asciiTheme="minorHAnsi" w:hAnsiTheme="minorHAnsi"/>
                <w:sz w:val="22"/>
                <w:szCs w:val="22"/>
                <w:lang w:val="en-GB"/>
              </w:rPr>
              <w:t>Parental history of hip fracture</w:t>
            </w:r>
          </w:p>
        </w:tc>
        <w:tc>
          <w:tcPr>
            <w:tcW w:w="1991" w:type="dxa"/>
            <w:shd w:val="clear" w:color="auto" w:fill="auto"/>
          </w:tcPr>
          <w:p w14:paraId="52819A37" w14:textId="505A231F" w:rsidR="00A26637" w:rsidRDefault="00A26637" w:rsidP="00273970">
            <w:pPr>
              <w:spacing w:after="120" w:line="360" w:lineRule="auto"/>
              <w:jc w:val="left"/>
              <w:rPr>
                <w:rFonts w:asciiTheme="minorHAnsi" w:hAnsiTheme="minorHAnsi"/>
                <w:sz w:val="22"/>
                <w:szCs w:val="22"/>
                <w:lang w:val="en-GB"/>
              </w:rPr>
            </w:pPr>
            <w:r>
              <w:rPr>
                <w:rFonts w:asciiTheme="minorHAnsi" w:hAnsiTheme="minorHAnsi"/>
                <w:sz w:val="22"/>
                <w:szCs w:val="22"/>
                <w:lang w:val="en-GB"/>
              </w:rPr>
              <w:t>11.0</w:t>
            </w:r>
          </w:p>
        </w:tc>
      </w:tr>
      <w:tr w:rsidR="00A26637" w14:paraId="1242BE76" w14:textId="77777777" w:rsidTr="00D230D9">
        <w:tc>
          <w:tcPr>
            <w:tcW w:w="988" w:type="dxa"/>
            <w:shd w:val="clear" w:color="auto" w:fill="auto"/>
          </w:tcPr>
          <w:p w14:paraId="1A291EFD" w14:textId="53535D40" w:rsidR="00A26637" w:rsidRDefault="00A26637" w:rsidP="00787F76">
            <w:pPr>
              <w:spacing w:after="120" w:line="360" w:lineRule="auto"/>
              <w:jc w:val="left"/>
              <w:rPr>
                <w:rFonts w:asciiTheme="minorHAnsi" w:hAnsiTheme="minorHAnsi"/>
                <w:sz w:val="22"/>
                <w:szCs w:val="22"/>
                <w:lang w:val="en-GB"/>
              </w:rPr>
            </w:pPr>
            <w:r>
              <w:rPr>
                <w:rFonts w:asciiTheme="minorHAnsi" w:hAnsiTheme="minorHAnsi"/>
                <w:sz w:val="22"/>
                <w:szCs w:val="22"/>
                <w:lang w:val="en-GB"/>
              </w:rPr>
              <w:t>C</w:t>
            </w:r>
          </w:p>
        </w:tc>
        <w:tc>
          <w:tcPr>
            <w:tcW w:w="1559" w:type="dxa"/>
            <w:shd w:val="clear" w:color="auto" w:fill="auto"/>
          </w:tcPr>
          <w:p w14:paraId="5FB42203" w14:textId="38C5DFD7" w:rsidR="00A26637" w:rsidRDefault="00A26637" w:rsidP="00787F76">
            <w:pPr>
              <w:spacing w:after="120" w:line="360" w:lineRule="auto"/>
              <w:jc w:val="left"/>
              <w:rPr>
                <w:rFonts w:asciiTheme="minorHAnsi" w:hAnsiTheme="minorHAnsi"/>
                <w:sz w:val="22"/>
                <w:szCs w:val="22"/>
                <w:lang w:val="en-GB"/>
              </w:rPr>
            </w:pPr>
            <w:r>
              <w:rPr>
                <w:rFonts w:asciiTheme="minorHAnsi" w:hAnsiTheme="minorHAnsi"/>
                <w:sz w:val="22"/>
                <w:szCs w:val="22"/>
                <w:lang w:val="en-GB"/>
              </w:rPr>
              <w:t>-2.0</w:t>
            </w:r>
          </w:p>
        </w:tc>
        <w:tc>
          <w:tcPr>
            <w:tcW w:w="3118" w:type="dxa"/>
            <w:shd w:val="clear" w:color="auto" w:fill="auto"/>
          </w:tcPr>
          <w:p w14:paraId="1C89A462" w14:textId="111C1B0F" w:rsidR="00A26637" w:rsidRDefault="00A26637" w:rsidP="00787F76">
            <w:pPr>
              <w:spacing w:after="120" w:line="360" w:lineRule="auto"/>
              <w:jc w:val="left"/>
              <w:rPr>
                <w:rFonts w:asciiTheme="minorHAnsi" w:hAnsiTheme="minorHAnsi"/>
                <w:sz w:val="22"/>
                <w:szCs w:val="22"/>
                <w:lang w:val="en-GB"/>
              </w:rPr>
            </w:pPr>
            <w:r>
              <w:rPr>
                <w:rFonts w:asciiTheme="minorHAnsi" w:hAnsiTheme="minorHAnsi"/>
                <w:sz w:val="22"/>
                <w:szCs w:val="22"/>
                <w:lang w:val="en-GB"/>
              </w:rPr>
              <w:t>None</w:t>
            </w:r>
          </w:p>
        </w:tc>
        <w:tc>
          <w:tcPr>
            <w:tcW w:w="1991" w:type="dxa"/>
            <w:shd w:val="clear" w:color="auto" w:fill="auto"/>
          </w:tcPr>
          <w:p w14:paraId="67740E87" w14:textId="7F5E6612" w:rsidR="00A26637" w:rsidRDefault="00A26637" w:rsidP="00787F76">
            <w:pPr>
              <w:spacing w:after="120" w:line="360" w:lineRule="auto"/>
              <w:jc w:val="left"/>
              <w:rPr>
                <w:rFonts w:asciiTheme="minorHAnsi" w:hAnsiTheme="minorHAnsi"/>
                <w:sz w:val="22"/>
                <w:szCs w:val="22"/>
                <w:lang w:val="en-GB"/>
              </w:rPr>
            </w:pPr>
            <w:r>
              <w:rPr>
                <w:rFonts w:asciiTheme="minorHAnsi" w:hAnsiTheme="minorHAnsi"/>
                <w:sz w:val="22"/>
                <w:szCs w:val="22"/>
                <w:lang w:val="en-GB"/>
              </w:rPr>
              <w:t>5.0</w:t>
            </w:r>
          </w:p>
        </w:tc>
      </w:tr>
      <w:tr w:rsidR="00A26637" w14:paraId="450ADA3F" w14:textId="77777777" w:rsidTr="00D230D9">
        <w:tc>
          <w:tcPr>
            <w:tcW w:w="988" w:type="dxa"/>
            <w:shd w:val="clear" w:color="auto" w:fill="auto"/>
          </w:tcPr>
          <w:p w14:paraId="47F6163B" w14:textId="0B94AE8C" w:rsidR="00A26637" w:rsidRPr="00787F76" w:rsidRDefault="00A26637" w:rsidP="00787F76">
            <w:pPr>
              <w:spacing w:after="120" w:line="360" w:lineRule="auto"/>
              <w:jc w:val="left"/>
              <w:rPr>
                <w:rFonts w:asciiTheme="minorHAnsi" w:hAnsiTheme="minorHAnsi"/>
                <w:sz w:val="22"/>
                <w:szCs w:val="22"/>
                <w:lang w:val="en-GB"/>
              </w:rPr>
            </w:pPr>
            <w:r>
              <w:rPr>
                <w:rFonts w:asciiTheme="minorHAnsi" w:hAnsiTheme="minorHAnsi"/>
                <w:sz w:val="22"/>
                <w:szCs w:val="22"/>
                <w:lang w:val="en-GB"/>
              </w:rPr>
              <w:t>D</w:t>
            </w:r>
          </w:p>
        </w:tc>
        <w:tc>
          <w:tcPr>
            <w:tcW w:w="1559" w:type="dxa"/>
            <w:shd w:val="clear" w:color="auto" w:fill="auto"/>
          </w:tcPr>
          <w:p w14:paraId="25916486" w14:textId="36968842" w:rsidR="00A26637" w:rsidRDefault="00A26637" w:rsidP="00787F76">
            <w:pPr>
              <w:spacing w:after="120" w:line="360" w:lineRule="auto"/>
              <w:jc w:val="left"/>
              <w:rPr>
                <w:rFonts w:asciiTheme="minorHAnsi" w:hAnsiTheme="minorHAnsi"/>
                <w:sz w:val="22"/>
                <w:szCs w:val="22"/>
                <w:lang w:val="en-GB"/>
              </w:rPr>
            </w:pPr>
            <w:r w:rsidRPr="00787F76">
              <w:rPr>
                <w:rFonts w:asciiTheme="minorHAnsi" w:hAnsiTheme="minorHAnsi"/>
                <w:sz w:val="22"/>
                <w:szCs w:val="22"/>
                <w:lang w:val="en-GB"/>
              </w:rPr>
              <w:t>-2.</w:t>
            </w:r>
            <w:r>
              <w:rPr>
                <w:rFonts w:asciiTheme="minorHAnsi" w:hAnsiTheme="minorHAnsi"/>
                <w:sz w:val="22"/>
                <w:szCs w:val="22"/>
                <w:lang w:val="en-GB"/>
              </w:rPr>
              <w:t>0</w:t>
            </w:r>
          </w:p>
        </w:tc>
        <w:tc>
          <w:tcPr>
            <w:tcW w:w="3118" w:type="dxa"/>
            <w:shd w:val="clear" w:color="auto" w:fill="auto"/>
          </w:tcPr>
          <w:p w14:paraId="55CA303C" w14:textId="7E46D314" w:rsidR="00A26637" w:rsidRDefault="00A26637" w:rsidP="00787F76">
            <w:pPr>
              <w:spacing w:after="120" w:line="360" w:lineRule="auto"/>
              <w:jc w:val="left"/>
              <w:rPr>
                <w:rFonts w:asciiTheme="minorHAnsi" w:hAnsiTheme="minorHAnsi"/>
                <w:sz w:val="22"/>
                <w:szCs w:val="22"/>
                <w:lang w:val="en-GB"/>
              </w:rPr>
            </w:pPr>
            <w:r>
              <w:rPr>
                <w:rFonts w:asciiTheme="minorHAnsi" w:hAnsiTheme="minorHAnsi"/>
                <w:sz w:val="22"/>
                <w:szCs w:val="22"/>
                <w:lang w:val="en-GB"/>
              </w:rPr>
              <w:t>Parental history of hip fracture</w:t>
            </w:r>
          </w:p>
        </w:tc>
        <w:tc>
          <w:tcPr>
            <w:tcW w:w="1991" w:type="dxa"/>
            <w:shd w:val="clear" w:color="auto" w:fill="auto"/>
          </w:tcPr>
          <w:p w14:paraId="48A9598B" w14:textId="0E92F8EE" w:rsidR="00A26637" w:rsidRDefault="00A26637" w:rsidP="00787F76">
            <w:pPr>
              <w:spacing w:after="120" w:line="360" w:lineRule="auto"/>
              <w:jc w:val="left"/>
              <w:rPr>
                <w:rFonts w:asciiTheme="minorHAnsi" w:hAnsiTheme="minorHAnsi"/>
                <w:sz w:val="22"/>
                <w:szCs w:val="22"/>
                <w:lang w:val="en-GB"/>
              </w:rPr>
            </w:pPr>
            <w:r>
              <w:rPr>
                <w:rFonts w:asciiTheme="minorHAnsi" w:hAnsiTheme="minorHAnsi"/>
                <w:sz w:val="22"/>
                <w:szCs w:val="22"/>
                <w:lang w:val="en-GB"/>
              </w:rPr>
              <w:t>9.1</w:t>
            </w:r>
          </w:p>
        </w:tc>
      </w:tr>
      <w:tr w:rsidR="00A26637" w14:paraId="072A3FCD" w14:textId="77777777" w:rsidTr="00D230D9">
        <w:trPr>
          <w:trHeight w:val="175"/>
        </w:trPr>
        <w:tc>
          <w:tcPr>
            <w:tcW w:w="988" w:type="dxa"/>
            <w:shd w:val="clear" w:color="auto" w:fill="auto"/>
          </w:tcPr>
          <w:p w14:paraId="42BC81B7" w14:textId="2F1833D9" w:rsidR="00A26637" w:rsidRDefault="00A26637" w:rsidP="00273970">
            <w:pPr>
              <w:spacing w:after="120" w:line="360" w:lineRule="auto"/>
              <w:jc w:val="left"/>
              <w:rPr>
                <w:rFonts w:asciiTheme="minorHAnsi" w:hAnsiTheme="minorHAnsi"/>
                <w:sz w:val="22"/>
                <w:szCs w:val="22"/>
                <w:lang w:val="en-GB"/>
              </w:rPr>
            </w:pPr>
            <w:r>
              <w:rPr>
                <w:rFonts w:asciiTheme="minorHAnsi" w:hAnsiTheme="minorHAnsi"/>
                <w:sz w:val="22"/>
                <w:szCs w:val="22"/>
                <w:lang w:val="en-GB"/>
              </w:rPr>
              <w:t>E</w:t>
            </w:r>
          </w:p>
        </w:tc>
        <w:tc>
          <w:tcPr>
            <w:tcW w:w="1559" w:type="dxa"/>
            <w:shd w:val="clear" w:color="auto" w:fill="auto"/>
          </w:tcPr>
          <w:p w14:paraId="4C637109" w14:textId="46BFAF7F" w:rsidR="00A26637" w:rsidRDefault="00A26637" w:rsidP="00273970">
            <w:pPr>
              <w:spacing w:after="120" w:line="360" w:lineRule="auto"/>
              <w:jc w:val="left"/>
              <w:rPr>
                <w:rFonts w:asciiTheme="minorHAnsi" w:hAnsiTheme="minorHAnsi"/>
                <w:sz w:val="22"/>
                <w:szCs w:val="22"/>
                <w:lang w:val="en-GB"/>
              </w:rPr>
            </w:pPr>
            <w:r>
              <w:rPr>
                <w:rFonts w:asciiTheme="minorHAnsi" w:hAnsiTheme="minorHAnsi"/>
                <w:sz w:val="22"/>
                <w:szCs w:val="22"/>
                <w:lang w:val="en-GB"/>
              </w:rPr>
              <w:t>No BMD</w:t>
            </w:r>
          </w:p>
        </w:tc>
        <w:tc>
          <w:tcPr>
            <w:tcW w:w="3118" w:type="dxa"/>
            <w:shd w:val="clear" w:color="auto" w:fill="auto"/>
          </w:tcPr>
          <w:p w14:paraId="1DF4516B" w14:textId="6174A309" w:rsidR="00A26637" w:rsidRDefault="00A26637" w:rsidP="00273970">
            <w:pPr>
              <w:spacing w:after="120" w:line="360" w:lineRule="auto"/>
              <w:jc w:val="left"/>
              <w:rPr>
                <w:rFonts w:asciiTheme="minorHAnsi" w:hAnsiTheme="minorHAnsi"/>
                <w:sz w:val="22"/>
                <w:szCs w:val="22"/>
                <w:lang w:val="en-GB"/>
              </w:rPr>
            </w:pPr>
            <w:r>
              <w:rPr>
                <w:rFonts w:asciiTheme="minorHAnsi" w:hAnsiTheme="minorHAnsi"/>
                <w:sz w:val="22"/>
                <w:szCs w:val="22"/>
                <w:lang w:val="en-GB"/>
              </w:rPr>
              <w:t>Prior fracture</w:t>
            </w:r>
          </w:p>
        </w:tc>
        <w:tc>
          <w:tcPr>
            <w:tcW w:w="1991" w:type="dxa"/>
            <w:shd w:val="clear" w:color="auto" w:fill="auto"/>
          </w:tcPr>
          <w:p w14:paraId="40E445F8" w14:textId="1D14B707" w:rsidR="00A26637" w:rsidRDefault="00A26637" w:rsidP="00273970">
            <w:pPr>
              <w:spacing w:after="120" w:line="360" w:lineRule="auto"/>
              <w:jc w:val="left"/>
              <w:rPr>
                <w:rFonts w:asciiTheme="minorHAnsi" w:hAnsiTheme="minorHAnsi"/>
                <w:sz w:val="22"/>
                <w:szCs w:val="22"/>
                <w:lang w:val="en-GB"/>
              </w:rPr>
            </w:pPr>
            <w:r>
              <w:rPr>
                <w:rFonts w:asciiTheme="minorHAnsi" w:hAnsiTheme="minorHAnsi"/>
                <w:sz w:val="22"/>
                <w:szCs w:val="22"/>
                <w:lang w:val="en-GB"/>
              </w:rPr>
              <w:t>7.6</w:t>
            </w:r>
          </w:p>
        </w:tc>
      </w:tr>
    </w:tbl>
    <w:p w14:paraId="5335A759" w14:textId="4ED1C01B" w:rsidR="001E278E" w:rsidRPr="00D230D9" w:rsidRDefault="00BA2EF6" w:rsidP="00273970">
      <w:pPr>
        <w:spacing w:after="120" w:line="360" w:lineRule="auto"/>
        <w:jc w:val="left"/>
        <w:rPr>
          <w:rFonts w:asciiTheme="minorHAnsi" w:hAnsiTheme="minorHAnsi"/>
          <w:sz w:val="22"/>
          <w:szCs w:val="22"/>
          <w:lang w:val="en-GB"/>
        </w:rPr>
      </w:pPr>
      <w:r w:rsidRPr="00D230D9">
        <w:rPr>
          <w:rFonts w:asciiTheme="minorHAnsi" w:hAnsiTheme="minorHAnsi"/>
          <w:sz w:val="22"/>
          <w:szCs w:val="22"/>
          <w:lang w:val="en-GB"/>
        </w:rPr>
        <w:t xml:space="preserve"> </w:t>
      </w:r>
    </w:p>
    <w:p w14:paraId="74864AAC" w14:textId="3FDB16E3" w:rsidR="00131969" w:rsidRDefault="00131969" w:rsidP="00131969">
      <w:pPr>
        <w:spacing w:after="120" w:line="360" w:lineRule="auto"/>
        <w:jc w:val="left"/>
        <w:rPr>
          <w:rFonts w:asciiTheme="minorHAnsi" w:hAnsiTheme="minorHAnsi"/>
        </w:rPr>
      </w:pPr>
      <w:r>
        <w:rPr>
          <w:rFonts w:asciiTheme="minorHAnsi" w:hAnsiTheme="minorHAnsi"/>
          <w:lang w:val="en-GB"/>
        </w:rPr>
        <w:t>A final consideration concerns the availability of densitometers in many countries.</w:t>
      </w:r>
      <w:r w:rsidRPr="00131969">
        <w:rPr>
          <w:rFonts w:asciiTheme="minorHAnsi" w:hAnsiTheme="minorHAnsi"/>
        </w:rPr>
        <w:t xml:space="preserve"> The policy assumes that all prospective patients should have a BMD test and the availability of BMD equipment is limited. In a recent </w:t>
      </w:r>
      <w:r w:rsidR="00712C1E" w:rsidRPr="00131969">
        <w:rPr>
          <w:rFonts w:asciiTheme="minorHAnsi" w:hAnsiTheme="minorHAnsi"/>
        </w:rPr>
        <w:t>survey,</w:t>
      </w:r>
      <w:r w:rsidRPr="00131969">
        <w:rPr>
          <w:rFonts w:asciiTheme="minorHAnsi" w:hAnsiTheme="minorHAnsi"/>
        </w:rPr>
        <w:t xml:space="preserve"> there were 7.5 DXA machines per million of the general Kuwaiti population </w:t>
      </w:r>
      <w:r w:rsidR="009031E2">
        <w:rPr>
          <w:rFonts w:asciiTheme="minorHAnsi" w:hAnsiTheme="minorHAnsi"/>
        </w:rPr>
        <w:t>(</w:t>
      </w:r>
      <w:r w:rsidRPr="00131969">
        <w:rPr>
          <w:rFonts w:asciiTheme="minorHAnsi" w:hAnsiTheme="minorHAnsi"/>
        </w:rPr>
        <w:t>JA</w:t>
      </w:r>
      <w:r w:rsidR="009031E2">
        <w:rPr>
          <w:rFonts w:asciiTheme="minorHAnsi" w:hAnsiTheme="minorHAnsi"/>
        </w:rPr>
        <w:t xml:space="preserve"> </w:t>
      </w:r>
      <w:r w:rsidRPr="00131969">
        <w:rPr>
          <w:rFonts w:asciiTheme="minorHAnsi" w:hAnsiTheme="minorHAnsi"/>
        </w:rPr>
        <w:t>K</w:t>
      </w:r>
      <w:r w:rsidR="009031E2">
        <w:rPr>
          <w:rFonts w:asciiTheme="minorHAnsi" w:hAnsiTheme="minorHAnsi"/>
        </w:rPr>
        <w:t>anis</w:t>
      </w:r>
      <w:r w:rsidRPr="00131969">
        <w:rPr>
          <w:rFonts w:asciiTheme="minorHAnsi" w:hAnsiTheme="minorHAnsi"/>
        </w:rPr>
        <w:t xml:space="preserve"> 2014 personal comm</w:t>
      </w:r>
      <w:r w:rsidR="009031E2">
        <w:rPr>
          <w:rFonts w:asciiTheme="minorHAnsi" w:hAnsiTheme="minorHAnsi"/>
        </w:rPr>
        <w:t>unication)</w:t>
      </w:r>
      <w:r w:rsidRPr="00131969">
        <w:rPr>
          <w:rFonts w:asciiTheme="minorHAnsi" w:hAnsiTheme="minorHAnsi"/>
        </w:rPr>
        <w:t>, whereas 11 or more is considered appropriate to service the needs of a case-finding strategy</w:t>
      </w:r>
      <w:r>
        <w:rPr>
          <w:rFonts w:asciiTheme="minorHAnsi" w:hAnsiTheme="minorHAnsi"/>
        </w:rPr>
        <w:t xml:space="preserve"> [</w:t>
      </w:r>
      <w:r w:rsidR="003F0E6C">
        <w:rPr>
          <w:rFonts w:asciiTheme="minorHAnsi" w:hAnsiTheme="minorHAnsi"/>
        </w:rPr>
        <w:t>29</w:t>
      </w:r>
      <w:r>
        <w:rPr>
          <w:rFonts w:asciiTheme="minorHAnsi" w:hAnsiTheme="minorHAnsi"/>
        </w:rPr>
        <w:t>]</w:t>
      </w:r>
      <w:r w:rsidRPr="00131969">
        <w:rPr>
          <w:rFonts w:asciiTheme="minorHAnsi" w:hAnsiTheme="minorHAnsi"/>
        </w:rPr>
        <w:t>.</w:t>
      </w:r>
    </w:p>
    <w:p w14:paraId="0E8F08EC" w14:textId="4531EAA9" w:rsidR="00792A70" w:rsidRDefault="001E7B12" w:rsidP="00131969">
      <w:pPr>
        <w:spacing w:after="120" w:line="360" w:lineRule="auto"/>
        <w:jc w:val="left"/>
        <w:rPr>
          <w:rFonts w:asciiTheme="minorHAnsi" w:hAnsiTheme="minorHAnsi"/>
          <w:lang w:val="en-GB"/>
        </w:rPr>
      </w:pPr>
      <w:r>
        <w:rPr>
          <w:rFonts w:asciiTheme="minorHAnsi" w:hAnsiTheme="minorHAnsi"/>
        </w:rPr>
        <w:t>The advent of FRAX has provided an opportunity to base intervention thresholds based on fracture probability</w:t>
      </w:r>
      <w:r w:rsidR="00262F96">
        <w:rPr>
          <w:rFonts w:asciiTheme="minorHAnsi" w:hAnsiTheme="minorHAnsi"/>
        </w:rPr>
        <w:t>,</w:t>
      </w:r>
      <w:r>
        <w:rPr>
          <w:rFonts w:asciiTheme="minorHAnsi" w:hAnsiTheme="minorHAnsi"/>
        </w:rPr>
        <w:t xml:space="preserve"> which increases the sensitivity o</w:t>
      </w:r>
      <w:r w:rsidR="009B053C">
        <w:rPr>
          <w:rFonts w:asciiTheme="minorHAnsi" w:hAnsiTheme="minorHAnsi"/>
        </w:rPr>
        <w:t>f</w:t>
      </w:r>
      <w:r>
        <w:rPr>
          <w:rFonts w:asciiTheme="minorHAnsi" w:hAnsiTheme="minorHAnsi"/>
        </w:rPr>
        <w:t xml:space="preserve"> fracture </w:t>
      </w:r>
      <w:r w:rsidR="009B053C">
        <w:rPr>
          <w:rFonts w:asciiTheme="minorHAnsi" w:hAnsiTheme="minorHAnsi"/>
        </w:rPr>
        <w:t>prediction compared to the use of BMD alone [</w:t>
      </w:r>
      <w:r w:rsidR="003F0E6C">
        <w:rPr>
          <w:rFonts w:asciiTheme="minorHAnsi" w:hAnsiTheme="minorHAnsi"/>
        </w:rPr>
        <w:t>20</w:t>
      </w:r>
      <w:r w:rsidR="009B053C">
        <w:rPr>
          <w:rFonts w:asciiTheme="minorHAnsi" w:hAnsiTheme="minorHAnsi"/>
        </w:rPr>
        <w:t>].</w:t>
      </w:r>
      <w:r>
        <w:rPr>
          <w:rFonts w:asciiTheme="minorHAnsi" w:hAnsiTheme="minorHAnsi"/>
        </w:rPr>
        <w:t xml:space="preserve">  </w:t>
      </w:r>
      <w:r w:rsidR="009B053C">
        <w:rPr>
          <w:rFonts w:asciiTheme="minorHAnsi" w:hAnsiTheme="minorHAnsi"/>
        </w:rPr>
        <w:t>FRAX has been incorporated into more than 100 guidelines worldwide, but</w:t>
      </w:r>
      <w:r w:rsidR="009B053C" w:rsidRPr="009B053C">
        <w:rPr>
          <w:rFonts w:asciiTheme="minorHAnsi" w:hAnsiTheme="minorHAnsi"/>
        </w:rPr>
        <w:t xml:space="preserve"> the </w:t>
      </w:r>
      <w:r w:rsidR="00D62D64" w:rsidRPr="009B053C">
        <w:rPr>
          <w:rFonts w:asciiTheme="minorHAnsi" w:hAnsiTheme="minorHAnsi"/>
        </w:rPr>
        <w:t>way</w:t>
      </w:r>
      <w:r w:rsidR="009B053C" w:rsidRPr="009B053C">
        <w:rPr>
          <w:rFonts w:asciiTheme="minorHAnsi" w:hAnsiTheme="minorHAnsi"/>
        </w:rPr>
        <w:t xml:space="preserve"> FRAX is used to identify cases for treatment varies. </w:t>
      </w:r>
      <w:r w:rsidR="00D62D64">
        <w:rPr>
          <w:rFonts w:asciiTheme="minorHAnsi" w:hAnsiTheme="minorHAnsi"/>
        </w:rPr>
        <w:t>An increasing number of</w:t>
      </w:r>
      <w:r w:rsidR="009B053C" w:rsidRPr="009B053C">
        <w:rPr>
          <w:rFonts w:asciiTheme="minorHAnsi" w:hAnsiTheme="minorHAnsi"/>
        </w:rPr>
        <w:t xml:space="preserve"> guidance documents have recommended the use of intervention thresholds that are based on age-specific fracture probabilities equivalent to a woman with a prior fragility fracture </w:t>
      </w:r>
      <w:r w:rsidR="00262F96">
        <w:rPr>
          <w:rFonts w:asciiTheme="minorHAnsi" w:hAnsiTheme="minorHAnsi"/>
        </w:rPr>
        <w:t>[</w:t>
      </w:r>
      <w:r w:rsidR="003F0E6C">
        <w:rPr>
          <w:rFonts w:asciiTheme="minorHAnsi" w:hAnsiTheme="minorHAnsi"/>
        </w:rPr>
        <w:t>30, 31</w:t>
      </w:r>
      <w:r w:rsidR="009B053C">
        <w:rPr>
          <w:rFonts w:asciiTheme="minorHAnsi" w:hAnsiTheme="minorHAnsi"/>
        </w:rPr>
        <w:t>], first espoused by the National Osteoporosis Guideline group (NOGG) in the UK</w:t>
      </w:r>
      <w:r w:rsidR="00262F96">
        <w:rPr>
          <w:rFonts w:asciiTheme="minorHAnsi" w:hAnsiTheme="minorHAnsi"/>
        </w:rPr>
        <w:t xml:space="preserve"> [18</w:t>
      </w:r>
      <w:r w:rsidR="005B601E">
        <w:rPr>
          <w:rFonts w:asciiTheme="minorHAnsi" w:hAnsiTheme="minorHAnsi"/>
        </w:rPr>
        <w:t>].</w:t>
      </w:r>
      <w:r w:rsidR="00D62D64">
        <w:rPr>
          <w:rFonts w:asciiTheme="minorHAnsi" w:hAnsiTheme="minorHAnsi"/>
        </w:rPr>
        <w:t xml:space="preserve"> In the present paper, we have compared the </w:t>
      </w:r>
      <w:r w:rsidR="00256980">
        <w:rPr>
          <w:rFonts w:asciiTheme="minorHAnsi" w:hAnsiTheme="minorHAnsi"/>
        </w:rPr>
        <w:t xml:space="preserve">performance of the </w:t>
      </w:r>
      <w:r w:rsidR="00D62D64">
        <w:rPr>
          <w:rFonts w:asciiTheme="minorHAnsi" w:hAnsiTheme="minorHAnsi"/>
        </w:rPr>
        <w:t>NOGG approach applied to the Kuwaiti population using the Kuwait specific FRAX model.</w:t>
      </w:r>
      <w:r w:rsidR="000A744E">
        <w:rPr>
          <w:rFonts w:asciiTheme="minorHAnsi" w:hAnsiTheme="minorHAnsi"/>
        </w:rPr>
        <w:t xml:space="preserve">  The intervention threshold using this approach varied from 4.</w:t>
      </w:r>
      <w:r w:rsidR="006D4BF7">
        <w:rPr>
          <w:rFonts w:asciiTheme="minorHAnsi" w:hAnsiTheme="minorHAnsi"/>
        </w:rPr>
        <w:t>3</w:t>
      </w:r>
      <w:r w:rsidR="000A744E">
        <w:rPr>
          <w:rFonts w:asciiTheme="minorHAnsi" w:hAnsiTheme="minorHAnsi"/>
        </w:rPr>
        <w:t xml:space="preserve"> % at the age of 50 years to 2</w:t>
      </w:r>
      <w:r w:rsidR="006D4BF7">
        <w:rPr>
          <w:rFonts w:asciiTheme="minorHAnsi" w:hAnsiTheme="minorHAnsi"/>
        </w:rPr>
        <w:t>3</w:t>
      </w:r>
      <w:r w:rsidR="000A744E">
        <w:rPr>
          <w:rFonts w:asciiTheme="minorHAnsi" w:hAnsiTheme="minorHAnsi"/>
        </w:rPr>
        <w:t xml:space="preserve"> % at the age of 90 years.  </w:t>
      </w:r>
      <w:r w:rsidR="00792A70" w:rsidRPr="00792A70">
        <w:rPr>
          <w:rFonts w:asciiTheme="minorHAnsi" w:hAnsiTheme="minorHAnsi"/>
        </w:rPr>
        <w:t xml:space="preserve">Thus, men and women who have a fracture probability that is equal or exceeds that of a woman with a prior fracture would be eligible for treatment even in the absence of a fracture history.  </w:t>
      </w:r>
      <w:r w:rsidR="00792A70">
        <w:rPr>
          <w:rFonts w:asciiTheme="minorHAnsi" w:hAnsiTheme="minorHAnsi"/>
        </w:rPr>
        <w:t xml:space="preserve">These intervention thresholds are developed without the use of BMD in the FRAX model. </w:t>
      </w:r>
      <w:r w:rsidR="00792A70" w:rsidRPr="00792A70">
        <w:rPr>
          <w:rFonts w:asciiTheme="minorHAnsi" w:hAnsiTheme="minorHAnsi"/>
          <w:lang w:val="en-GB"/>
        </w:rPr>
        <w:t>Notwithstanding, the categorisation of patients at high</w:t>
      </w:r>
      <w:r w:rsidR="00792A70" w:rsidRPr="00792A70">
        <w:rPr>
          <w:rFonts w:asciiTheme="minorHAnsi" w:hAnsiTheme="minorHAnsi"/>
        </w:rPr>
        <w:t xml:space="preserve"> or low risk is improved using BMD. For this reason, </w:t>
      </w:r>
      <w:r w:rsidR="00792A70" w:rsidRPr="00792A70">
        <w:rPr>
          <w:rFonts w:asciiTheme="minorHAnsi" w:hAnsiTheme="minorHAnsi"/>
          <w:lang w:val="en-GB"/>
        </w:rPr>
        <w:t>the present study provided assessment thresholds for the use of BMD tests</w:t>
      </w:r>
      <w:r w:rsidR="00E52023">
        <w:rPr>
          <w:rFonts w:asciiTheme="minorHAnsi" w:hAnsiTheme="minorHAnsi"/>
          <w:lang w:val="en-GB"/>
        </w:rPr>
        <w:t xml:space="preserve"> </w:t>
      </w:r>
      <w:r w:rsidR="00792A70">
        <w:rPr>
          <w:rFonts w:asciiTheme="minorHAnsi" w:hAnsiTheme="minorHAnsi"/>
          <w:lang w:val="en-GB"/>
        </w:rPr>
        <w:t>in a manner similar to that of NOGG.</w:t>
      </w:r>
      <w:r w:rsidR="00E52023">
        <w:rPr>
          <w:rFonts w:asciiTheme="minorHAnsi" w:hAnsiTheme="minorHAnsi"/>
          <w:lang w:val="en-GB"/>
        </w:rPr>
        <w:t xml:space="preserve">  The approach capitalises on the improved risk assessment </w:t>
      </w:r>
      <w:r w:rsidR="00E52023">
        <w:rPr>
          <w:rFonts w:asciiTheme="minorHAnsi" w:hAnsiTheme="minorHAnsi"/>
          <w:lang w:val="en-GB"/>
        </w:rPr>
        <w:lastRenderedPageBreak/>
        <w:t>provided by BMD tests but decreases the number of tests required when BMD is used as the principal gateway for assessment [</w:t>
      </w:r>
      <w:r w:rsidR="0064234E">
        <w:rPr>
          <w:rFonts w:asciiTheme="minorHAnsi" w:hAnsiTheme="minorHAnsi"/>
          <w:lang w:val="en-GB"/>
        </w:rPr>
        <w:t>3</w:t>
      </w:r>
      <w:r w:rsidR="003F0E6C">
        <w:rPr>
          <w:rFonts w:asciiTheme="minorHAnsi" w:hAnsiTheme="minorHAnsi"/>
          <w:lang w:val="en-GB"/>
        </w:rPr>
        <w:t>2</w:t>
      </w:r>
      <w:r w:rsidR="00E52023">
        <w:rPr>
          <w:rFonts w:asciiTheme="minorHAnsi" w:hAnsiTheme="minorHAnsi"/>
          <w:lang w:val="en-GB"/>
        </w:rPr>
        <w:t>].</w:t>
      </w:r>
    </w:p>
    <w:p w14:paraId="752D9E4F" w14:textId="77777777" w:rsidR="00C65E11" w:rsidRDefault="00C65E11" w:rsidP="00E52023">
      <w:pPr>
        <w:spacing w:after="120" w:line="360" w:lineRule="auto"/>
        <w:jc w:val="left"/>
        <w:rPr>
          <w:rFonts w:asciiTheme="minorHAnsi" w:hAnsiTheme="minorHAnsi"/>
          <w:lang w:val="en-GB"/>
        </w:rPr>
      </w:pPr>
    </w:p>
    <w:p w14:paraId="6F7DC4F4" w14:textId="6AEF8FE0" w:rsidR="00C65E11" w:rsidRPr="00C65E11" w:rsidRDefault="00C65E11" w:rsidP="00E52023">
      <w:pPr>
        <w:spacing w:after="120" w:line="360" w:lineRule="auto"/>
        <w:jc w:val="left"/>
        <w:rPr>
          <w:rFonts w:asciiTheme="minorHAnsi" w:hAnsiTheme="minorHAnsi"/>
          <w:i/>
          <w:lang w:val="en-GB"/>
        </w:rPr>
      </w:pPr>
      <w:r w:rsidRPr="00C65E11">
        <w:rPr>
          <w:rFonts w:asciiTheme="minorHAnsi" w:hAnsiTheme="minorHAnsi"/>
          <w:i/>
          <w:lang w:val="en-GB"/>
        </w:rPr>
        <w:t>Practical application</w:t>
      </w:r>
    </w:p>
    <w:p w14:paraId="40FA1D0E" w14:textId="7C088FB3" w:rsidR="00E52023" w:rsidRDefault="00E52023" w:rsidP="00E52023">
      <w:pPr>
        <w:spacing w:after="120" w:line="360" w:lineRule="auto"/>
        <w:jc w:val="left"/>
        <w:rPr>
          <w:rFonts w:asciiTheme="minorHAnsi" w:hAnsiTheme="minorHAnsi"/>
          <w:lang w:val="en-GB"/>
        </w:rPr>
      </w:pPr>
      <w:r w:rsidRPr="00E52023">
        <w:rPr>
          <w:rFonts w:asciiTheme="minorHAnsi" w:hAnsiTheme="minorHAnsi"/>
          <w:lang w:val="en-GB"/>
        </w:rPr>
        <w:t>The concept of assessment thresholds can be illustrated in terms of the management pathway. The management process begins with the assessment of fracture probability and the categorisation of fracture risk on the basis of age, sex, BMI and the clinical risk factors. On this information alone, some patients at high risk may be offered treatment without recourse to BMD testing. For example, as noted above, most guidelines in Europe and North America recommend treatment in the absence of BMD in women with a previous fragility fracture. Many would perform a BMD test, but frequently this is for reasons other than to decide on intervention (e.g. as a baseline for monitoring treatment). There will be other instances where the probability will be so low that a decision not to treat can be made without BMD. An example might be the well woman at menopause with no clinical risk factors. Thus, not all individuals require a BMD test.</w:t>
      </w:r>
    </w:p>
    <w:p w14:paraId="3908EED0" w14:textId="222F4E82" w:rsidR="00E26B3B" w:rsidRPr="00E26B3B" w:rsidRDefault="00E26B3B" w:rsidP="00E26B3B">
      <w:pPr>
        <w:spacing w:after="120" w:line="360" w:lineRule="auto"/>
        <w:jc w:val="left"/>
        <w:rPr>
          <w:rFonts w:asciiTheme="minorHAnsi" w:hAnsiTheme="minorHAnsi"/>
          <w:lang w:val="en-GB"/>
        </w:rPr>
      </w:pPr>
      <w:r w:rsidRPr="00E26B3B">
        <w:rPr>
          <w:rFonts w:asciiTheme="minorHAnsi" w:hAnsiTheme="minorHAnsi"/>
          <w:lang w:val="en-GB"/>
        </w:rPr>
        <w:t>The use of assessment thresholds is illustrated in the management algorithm given in Figure 3 and outlined below [</w:t>
      </w:r>
      <w:r w:rsidR="0064234E">
        <w:rPr>
          <w:rFonts w:asciiTheme="minorHAnsi" w:hAnsiTheme="minorHAnsi"/>
          <w:u w:val="single"/>
          <w:lang w:val="en-GB"/>
        </w:rPr>
        <w:t>30</w:t>
      </w:r>
      <w:r w:rsidRPr="00E26B3B">
        <w:rPr>
          <w:rFonts w:asciiTheme="minorHAnsi" w:hAnsiTheme="minorHAnsi"/>
          <w:lang w:val="en-GB"/>
        </w:rPr>
        <w:t>].</w:t>
      </w:r>
    </w:p>
    <w:p w14:paraId="26BE6620" w14:textId="77777777" w:rsidR="00E26B3B" w:rsidRPr="00E26B3B" w:rsidRDefault="00E26B3B" w:rsidP="00E26B3B">
      <w:pPr>
        <w:spacing w:after="120" w:line="360" w:lineRule="auto"/>
        <w:jc w:val="left"/>
        <w:rPr>
          <w:rFonts w:asciiTheme="minorHAnsi" w:hAnsiTheme="minorHAnsi"/>
          <w:lang w:val="en-GB"/>
        </w:rPr>
      </w:pPr>
      <w:r w:rsidRPr="00E26B3B">
        <w:rPr>
          <w:rFonts w:asciiTheme="minorHAnsi" w:hAnsiTheme="minorHAnsi"/>
          <w:lang w:val="en-GB"/>
        </w:rPr>
        <w:t xml:space="preserve">1. </w:t>
      </w:r>
      <w:r w:rsidRPr="00E26B3B">
        <w:rPr>
          <w:rFonts w:asciiTheme="minorHAnsi" w:hAnsiTheme="minorHAnsi"/>
          <w:lang w:val="en-GB"/>
        </w:rPr>
        <w:tab/>
        <w:t xml:space="preserve">Women with a prior fragility fracture should be considered for treatment. </w:t>
      </w:r>
    </w:p>
    <w:p w14:paraId="716094D1" w14:textId="42C36CEC" w:rsidR="00E26B3B" w:rsidRPr="00E26B3B" w:rsidRDefault="00E26B3B" w:rsidP="00E26B3B">
      <w:pPr>
        <w:spacing w:after="120" w:line="360" w:lineRule="auto"/>
        <w:jc w:val="left"/>
        <w:rPr>
          <w:rFonts w:asciiTheme="minorHAnsi" w:hAnsiTheme="minorHAnsi"/>
          <w:lang w:val="en-GB"/>
        </w:rPr>
      </w:pPr>
      <w:r w:rsidRPr="00E26B3B">
        <w:rPr>
          <w:rFonts w:asciiTheme="minorHAnsi" w:hAnsiTheme="minorHAnsi"/>
          <w:lang w:val="en-GB"/>
        </w:rPr>
        <w:t xml:space="preserve">2. </w:t>
      </w:r>
      <w:r w:rsidRPr="00E26B3B">
        <w:rPr>
          <w:rFonts w:asciiTheme="minorHAnsi" w:hAnsiTheme="minorHAnsi"/>
          <w:lang w:val="en-GB"/>
        </w:rPr>
        <w:tab/>
        <w:t xml:space="preserve">Postmenopausal </w:t>
      </w:r>
      <w:r>
        <w:rPr>
          <w:rFonts w:asciiTheme="minorHAnsi" w:hAnsiTheme="minorHAnsi"/>
          <w:lang w:val="en-GB"/>
        </w:rPr>
        <w:t xml:space="preserve">men and </w:t>
      </w:r>
      <w:r w:rsidRPr="00E26B3B">
        <w:rPr>
          <w:rFonts w:asciiTheme="minorHAnsi" w:hAnsiTheme="minorHAnsi"/>
          <w:lang w:val="en-GB"/>
        </w:rPr>
        <w:t>women with a clinical risk factor should have fracture probability assessed using the FRAX tool without measurement of BMD.</w:t>
      </w:r>
    </w:p>
    <w:p w14:paraId="213A02CC" w14:textId="2900D786" w:rsidR="00E26B3B" w:rsidRPr="00E26B3B" w:rsidRDefault="00E26B3B" w:rsidP="00E26B3B">
      <w:pPr>
        <w:spacing w:after="120" w:line="360" w:lineRule="auto"/>
        <w:jc w:val="left"/>
        <w:rPr>
          <w:rFonts w:asciiTheme="minorHAnsi" w:hAnsiTheme="minorHAnsi"/>
          <w:lang w:val="en-GB"/>
        </w:rPr>
      </w:pPr>
      <w:r w:rsidRPr="00E26B3B">
        <w:rPr>
          <w:rFonts w:asciiTheme="minorHAnsi" w:hAnsiTheme="minorHAnsi"/>
          <w:lang w:val="en-GB"/>
        </w:rPr>
        <w:t xml:space="preserve">3. </w:t>
      </w:r>
      <w:r w:rsidRPr="00E26B3B">
        <w:rPr>
          <w:rFonts w:asciiTheme="minorHAnsi" w:hAnsiTheme="minorHAnsi"/>
          <w:lang w:val="en-GB"/>
        </w:rPr>
        <w:tab/>
        <w:t xml:space="preserve">Individuals with probabilities of a major osteoporotic fracture below the lower assessment threshold given in Figure </w:t>
      </w:r>
      <w:r w:rsidR="005B601E">
        <w:rPr>
          <w:rFonts w:asciiTheme="minorHAnsi" w:hAnsiTheme="minorHAnsi"/>
          <w:lang w:val="en-GB"/>
        </w:rPr>
        <w:t>3</w:t>
      </w:r>
      <w:r w:rsidRPr="00E26B3B">
        <w:rPr>
          <w:rFonts w:asciiTheme="minorHAnsi" w:hAnsiTheme="minorHAnsi"/>
          <w:lang w:val="en-GB"/>
        </w:rPr>
        <w:t xml:space="preserve"> can be reassured. A further assessment may be recommended in 5 years or less depending on the clinical context.</w:t>
      </w:r>
    </w:p>
    <w:p w14:paraId="498A231A" w14:textId="679BB10F" w:rsidR="00E26B3B" w:rsidRPr="00E26B3B" w:rsidRDefault="00E26B3B" w:rsidP="00E26B3B">
      <w:pPr>
        <w:spacing w:after="120" w:line="360" w:lineRule="auto"/>
        <w:jc w:val="left"/>
        <w:rPr>
          <w:rFonts w:asciiTheme="minorHAnsi" w:hAnsiTheme="minorHAnsi"/>
          <w:lang w:val="en-GB"/>
        </w:rPr>
      </w:pPr>
      <w:r w:rsidRPr="00E26B3B">
        <w:rPr>
          <w:rFonts w:asciiTheme="minorHAnsi" w:hAnsiTheme="minorHAnsi"/>
          <w:lang w:val="en-GB"/>
        </w:rPr>
        <w:t xml:space="preserve">4. </w:t>
      </w:r>
      <w:r w:rsidRPr="00E26B3B">
        <w:rPr>
          <w:rFonts w:asciiTheme="minorHAnsi" w:hAnsiTheme="minorHAnsi"/>
          <w:lang w:val="en-GB"/>
        </w:rPr>
        <w:tab/>
      </w:r>
      <w:r>
        <w:rPr>
          <w:rFonts w:asciiTheme="minorHAnsi" w:hAnsiTheme="minorHAnsi"/>
          <w:lang w:val="en-GB"/>
        </w:rPr>
        <w:t>Men and w</w:t>
      </w:r>
      <w:r w:rsidRPr="00E26B3B">
        <w:rPr>
          <w:rFonts w:asciiTheme="minorHAnsi" w:hAnsiTheme="minorHAnsi"/>
          <w:lang w:val="en-GB"/>
        </w:rPr>
        <w:t xml:space="preserve">omen with probabilities of a major osteoporotic fracture above the upper assessment threshold </w:t>
      </w:r>
      <w:r>
        <w:rPr>
          <w:rFonts w:asciiTheme="minorHAnsi" w:hAnsiTheme="minorHAnsi"/>
          <w:lang w:val="en-GB"/>
        </w:rPr>
        <w:t>(</w:t>
      </w:r>
      <w:r w:rsidRPr="00E26B3B">
        <w:rPr>
          <w:rFonts w:asciiTheme="minorHAnsi" w:hAnsiTheme="minorHAnsi"/>
          <w:lang w:val="en-GB"/>
        </w:rPr>
        <w:t xml:space="preserve">or with probabilities of a hip fracture above the upper </w:t>
      </w:r>
      <w:r w:rsidR="005B601E" w:rsidRPr="00E26B3B">
        <w:rPr>
          <w:rFonts w:asciiTheme="minorHAnsi" w:hAnsiTheme="minorHAnsi"/>
          <w:lang w:val="en-GB"/>
        </w:rPr>
        <w:t>limit</w:t>
      </w:r>
      <w:r w:rsidR="005B601E">
        <w:rPr>
          <w:rFonts w:asciiTheme="minorHAnsi" w:hAnsiTheme="minorHAnsi"/>
          <w:lang w:val="en-GB"/>
        </w:rPr>
        <w:t xml:space="preserve">) </w:t>
      </w:r>
      <w:r w:rsidR="005B601E" w:rsidRPr="00E26B3B">
        <w:rPr>
          <w:rFonts w:asciiTheme="minorHAnsi" w:hAnsiTheme="minorHAnsi"/>
          <w:lang w:val="en-GB"/>
        </w:rPr>
        <w:t>can</w:t>
      </w:r>
      <w:r w:rsidRPr="00E26B3B">
        <w:rPr>
          <w:rFonts w:asciiTheme="minorHAnsi" w:hAnsiTheme="minorHAnsi"/>
          <w:lang w:val="en-GB"/>
        </w:rPr>
        <w:t xml:space="preserve"> be considered for treatment without BMD testing.</w:t>
      </w:r>
    </w:p>
    <w:p w14:paraId="537171DD" w14:textId="304D90E8" w:rsidR="00E26B3B" w:rsidRDefault="00E26B3B" w:rsidP="00E26B3B">
      <w:pPr>
        <w:spacing w:after="120" w:line="360" w:lineRule="auto"/>
        <w:jc w:val="left"/>
        <w:rPr>
          <w:rFonts w:asciiTheme="minorHAnsi" w:hAnsiTheme="minorHAnsi"/>
          <w:lang w:val="en-GB"/>
        </w:rPr>
      </w:pPr>
      <w:r w:rsidRPr="00E26B3B">
        <w:rPr>
          <w:rFonts w:asciiTheme="minorHAnsi" w:hAnsiTheme="minorHAnsi"/>
          <w:lang w:val="en-GB"/>
        </w:rPr>
        <w:lastRenderedPageBreak/>
        <w:t xml:space="preserve">5. </w:t>
      </w:r>
      <w:r w:rsidRPr="00E26B3B">
        <w:rPr>
          <w:rFonts w:asciiTheme="minorHAnsi" w:hAnsiTheme="minorHAnsi"/>
          <w:lang w:val="en-GB"/>
        </w:rPr>
        <w:tab/>
        <w:t xml:space="preserve">Individuals with probabilities of a major osteoporotic fracture within the limits of the assessment thresholds given in Figure </w:t>
      </w:r>
      <w:r>
        <w:rPr>
          <w:rFonts w:asciiTheme="minorHAnsi" w:hAnsiTheme="minorHAnsi"/>
          <w:lang w:val="en-GB"/>
        </w:rPr>
        <w:t>3</w:t>
      </w:r>
      <w:r w:rsidRPr="00E26B3B">
        <w:rPr>
          <w:rFonts w:asciiTheme="minorHAnsi" w:hAnsiTheme="minorHAnsi"/>
          <w:lang w:val="en-GB"/>
        </w:rPr>
        <w:t xml:space="preserve"> should have a BMD test and probabilities recomputed. If probabilities exceed the treatment threshold, intervention should be considered. </w:t>
      </w:r>
    </w:p>
    <w:p w14:paraId="3EF0F3B1" w14:textId="6B97462F" w:rsidR="005B5450" w:rsidRDefault="00BB7665" w:rsidP="00E52023">
      <w:pPr>
        <w:spacing w:after="120" w:line="360" w:lineRule="auto"/>
        <w:jc w:val="left"/>
        <w:rPr>
          <w:rFonts w:asciiTheme="minorHAnsi" w:hAnsiTheme="minorHAnsi"/>
          <w:b/>
          <w:bCs/>
        </w:rPr>
      </w:pPr>
      <w:r w:rsidRPr="00BB7665">
        <w:rPr>
          <w:rFonts w:asciiTheme="minorHAnsi" w:hAnsiTheme="minorHAnsi"/>
          <w:b/>
          <w:bCs/>
          <w:noProof/>
          <w:lang w:val="en-GB" w:eastAsia="en-GB"/>
        </w:rPr>
        <w:drawing>
          <wp:inline distT="0" distB="0" distL="0" distR="0" wp14:anchorId="256C7409" wp14:editId="1D4B164D">
            <wp:extent cx="4571999" cy="2749550"/>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10926" b="8889"/>
                    <a:stretch/>
                  </pic:blipFill>
                  <pic:spPr bwMode="auto">
                    <a:xfrm>
                      <a:off x="0" y="0"/>
                      <a:ext cx="4572396" cy="2749789"/>
                    </a:xfrm>
                    <a:prstGeom prst="rect">
                      <a:avLst/>
                    </a:prstGeom>
                    <a:ln>
                      <a:noFill/>
                    </a:ln>
                    <a:extLst>
                      <a:ext uri="{53640926-AAD7-44D8-BBD7-CCE9431645EC}">
                        <a14:shadowObscured xmlns:a14="http://schemas.microsoft.com/office/drawing/2010/main"/>
                      </a:ext>
                    </a:extLst>
                  </pic:spPr>
                </pic:pic>
              </a:graphicData>
            </a:graphic>
          </wp:inline>
        </w:drawing>
      </w:r>
    </w:p>
    <w:p w14:paraId="1F8005F5" w14:textId="01BF15EA" w:rsidR="00E52023" w:rsidRPr="004444B1" w:rsidRDefault="00E52023" w:rsidP="004444B1">
      <w:pPr>
        <w:spacing w:after="120" w:line="360" w:lineRule="auto"/>
        <w:ind w:left="567" w:right="2414"/>
        <w:jc w:val="left"/>
        <w:rPr>
          <w:rFonts w:asciiTheme="minorHAnsi" w:hAnsiTheme="minorHAnsi"/>
          <w:sz w:val="22"/>
          <w:szCs w:val="22"/>
        </w:rPr>
      </w:pPr>
      <w:r w:rsidRPr="004444B1">
        <w:rPr>
          <w:rFonts w:asciiTheme="minorHAnsi" w:hAnsiTheme="minorHAnsi"/>
          <w:b/>
          <w:bCs/>
          <w:sz w:val="22"/>
          <w:szCs w:val="22"/>
        </w:rPr>
        <w:t xml:space="preserve">Fig. 3 </w:t>
      </w:r>
      <w:r w:rsidRPr="004444B1">
        <w:rPr>
          <w:rFonts w:asciiTheme="minorHAnsi" w:hAnsiTheme="minorHAnsi"/>
          <w:sz w:val="22"/>
          <w:szCs w:val="22"/>
        </w:rPr>
        <w:t xml:space="preserve"> Intervention thresholds for Kuwait as set by FRAX-based 10-year probabilities (%) of a major osteoporotic fracture. The red area is where treatment could be recommended, the green area is where treatment would not be recommended and the orange area is where BMD could be measured (where available) to enhance the estimation of fracture risk.</w:t>
      </w:r>
      <w:r w:rsidR="00104BF9" w:rsidRPr="004444B1">
        <w:rPr>
          <w:rFonts w:asciiTheme="minorHAnsi" w:hAnsiTheme="minorHAnsi"/>
          <w:sz w:val="22"/>
          <w:szCs w:val="22"/>
        </w:rPr>
        <w:t xml:space="preserve"> UAT, upper assessment threshold; IT, intervention threshold; LAT, lower assessment threshold</w:t>
      </w:r>
    </w:p>
    <w:p w14:paraId="45B85E40" w14:textId="2F3C2039" w:rsidR="00EA2ADA" w:rsidRDefault="00EA2ADA" w:rsidP="00380099">
      <w:pPr>
        <w:spacing w:after="0" w:line="360" w:lineRule="auto"/>
        <w:jc w:val="left"/>
        <w:rPr>
          <w:rFonts w:asciiTheme="minorHAnsi" w:hAnsiTheme="minorHAnsi" w:cs="Times New Roman"/>
        </w:rPr>
      </w:pPr>
      <w:r w:rsidRPr="005A495F">
        <w:rPr>
          <w:rFonts w:asciiTheme="minorHAnsi" w:hAnsiTheme="minorHAnsi" w:cs="Times New Roman"/>
        </w:rPr>
        <w:t>The intervention thresholds proposed abov</w:t>
      </w:r>
      <w:r w:rsidR="00CB462C" w:rsidRPr="005A495F">
        <w:rPr>
          <w:rFonts w:asciiTheme="minorHAnsi" w:hAnsiTheme="minorHAnsi" w:cs="Times New Roman"/>
        </w:rPr>
        <w:t xml:space="preserve">e are not without limitations. </w:t>
      </w:r>
      <w:r w:rsidRPr="005A495F">
        <w:rPr>
          <w:rFonts w:asciiTheme="minorHAnsi" w:eastAsia="MS Mincho" w:hAnsiTheme="minorHAnsi" w:cs="Times New Roman"/>
          <w:lang w:val="en-GB" w:eastAsia="ja-JP"/>
        </w:rPr>
        <w:t>The consequences of assessment and intervention thresholds on the requirements for BMD t</w:t>
      </w:r>
      <w:r w:rsidR="00CB462C" w:rsidRPr="005A495F">
        <w:rPr>
          <w:rFonts w:asciiTheme="minorHAnsi" w:eastAsia="MS Mincho" w:hAnsiTheme="minorHAnsi" w:cs="Times New Roman"/>
          <w:lang w:val="en-GB" w:eastAsia="ja-JP"/>
        </w:rPr>
        <w:t xml:space="preserve">esting have not been explored. </w:t>
      </w:r>
      <w:r w:rsidRPr="005A495F">
        <w:rPr>
          <w:rFonts w:asciiTheme="minorHAnsi" w:eastAsia="MS Mincho" w:hAnsiTheme="minorHAnsi" w:cs="Times New Roman"/>
          <w:lang w:val="en-GB" w:eastAsia="ja-JP"/>
        </w:rPr>
        <w:t>It will also be important to explore the cost-effectiveness of intervention and the budget impact of any changes in reimbursement policy</w:t>
      </w:r>
      <w:r w:rsidR="00CB462C" w:rsidRPr="005A495F">
        <w:rPr>
          <w:rFonts w:asciiTheme="minorHAnsi" w:eastAsia="MS Mincho" w:hAnsiTheme="minorHAnsi" w:cs="Times New Roman"/>
          <w:lang w:val="en-GB" w:eastAsia="ja-JP"/>
        </w:rPr>
        <w:t xml:space="preserve">. </w:t>
      </w:r>
      <w:r w:rsidRPr="005A495F">
        <w:rPr>
          <w:rFonts w:asciiTheme="minorHAnsi" w:eastAsia="MS Mincho" w:hAnsiTheme="minorHAnsi" w:cs="Times New Roman"/>
          <w:lang w:val="en-GB" w:eastAsia="ja-JP"/>
        </w:rPr>
        <w:t>Despite these gaps, intervention strategies based on fracture probabilities are more effective than strategies reliant on the use of BMD alone in identifying high risk individuals for treatment and avoiding inte</w:t>
      </w:r>
      <w:r w:rsidR="00CB462C" w:rsidRPr="005A495F">
        <w:rPr>
          <w:rFonts w:asciiTheme="minorHAnsi" w:eastAsia="MS Mincho" w:hAnsiTheme="minorHAnsi" w:cs="Times New Roman"/>
          <w:lang w:val="en-GB" w:eastAsia="ja-JP"/>
        </w:rPr>
        <w:t xml:space="preserve">rvention in those at low risk. </w:t>
      </w:r>
      <w:r w:rsidRPr="005A495F">
        <w:rPr>
          <w:rFonts w:asciiTheme="minorHAnsi" w:eastAsia="MS Mincho" w:hAnsiTheme="minorHAnsi" w:cs="Times New Roman"/>
          <w:lang w:val="en-GB" w:eastAsia="ja-JP"/>
        </w:rPr>
        <w:t>An added advantage is that BMD testing is not a prerequisit</w:t>
      </w:r>
      <w:r w:rsidR="00CB462C" w:rsidRPr="005A495F">
        <w:rPr>
          <w:rFonts w:asciiTheme="minorHAnsi" w:eastAsia="MS Mincho" w:hAnsiTheme="minorHAnsi" w:cs="Times New Roman"/>
          <w:lang w:val="en-GB" w:eastAsia="ja-JP"/>
        </w:rPr>
        <w:t xml:space="preserve">e for assessment or treatment. </w:t>
      </w:r>
      <w:r w:rsidRPr="005A495F">
        <w:rPr>
          <w:rFonts w:asciiTheme="minorHAnsi" w:hAnsiTheme="minorHAnsi" w:cs="Times New Roman"/>
        </w:rPr>
        <w:t xml:space="preserve">This feature would be particularly useful in areas of </w:t>
      </w:r>
      <w:r w:rsidR="007E7392" w:rsidRPr="005A495F">
        <w:rPr>
          <w:rFonts w:asciiTheme="minorHAnsi" w:hAnsiTheme="minorHAnsi" w:cs="Times New Roman"/>
        </w:rPr>
        <w:t>Kuwait</w:t>
      </w:r>
      <w:r w:rsidR="00CB462C" w:rsidRPr="005A495F">
        <w:rPr>
          <w:rFonts w:asciiTheme="minorHAnsi" w:hAnsiTheme="minorHAnsi" w:cs="Times New Roman"/>
        </w:rPr>
        <w:t xml:space="preserve"> with limited access to DXA. </w:t>
      </w:r>
      <w:r w:rsidR="005A495F">
        <w:rPr>
          <w:rFonts w:asciiTheme="minorHAnsi" w:hAnsiTheme="minorHAnsi" w:cs="Times New Roman"/>
        </w:rPr>
        <w:t xml:space="preserve">It should be noted that the algorithms proposed are specific for Kuwait but the same </w:t>
      </w:r>
      <w:r w:rsidR="005A495F">
        <w:rPr>
          <w:rFonts w:asciiTheme="minorHAnsi" w:hAnsiTheme="minorHAnsi" w:cs="Times New Roman"/>
        </w:rPr>
        <w:lastRenderedPageBreak/>
        <w:t xml:space="preserve">principles can be applied to any country where a FRAX model </w:t>
      </w:r>
      <w:r w:rsidR="005A495F" w:rsidRPr="00635698">
        <w:rPr>
          <w:rFonts w:asciiTheme="minorHAnsi" w:hAnsiTheme="minorHAnsi" w:cs="Times New Roman"/>
        </w:rPr>
        <w:t>is available.</w:t>
      </w:r>
      <w:r w:rsidR="002C7B62" w:rsidRPr="00635698">
        <w:rPr>
          <w:rFonts w:asciiTheme="minorHAnsi" w:hAnsiTheme="minorHAnsi"/>
        </w:rPr>
        <w:t xml:space="preserve"> More generally, </w:t>
      </w:r>
      <w:r w:rsidR="002C7B62" w:rsidRPr="00635698">
        <w:rPr>
          <w:rFonts w:asciiTheme="minorHAnsi" w:hAnsiTheme="minorHAnsi" w:cs="Times New Roman"/>
        </w:rPr>
        <w:t>the</w:t>
      </w:r>
      <w:r w:rsidR="002C7B62" w:rsidRPr="002C7B62">
        <w:rPr>
          <w:rFonts w:asciiTheme="minorHAnsi" w:hAnsiTheme="minorHAnsi" w:cs="Times New Roman"/>
        </w:rPr>
        <w:t xml:space="preserve"> mean BMI in Kuwaiti women is 30kg/m</w:t>
      </w:r>
      <w:r w:rsidR="002C7B62" w:rsidRPr="00D230D9">
        <w:rPr>
          <w:rFonts w:asciiTheme="minorHAnsi" w:hAnsiTheme="minorHAnsi" w:cs="Times New Roman"/>
          <w:vertAlign w:val="superscript"/>
        </w:rPr>
        <w:t>2</w:t>
      </w:r>
      <w:r w:rsidR="002C7B62" w:rsidRPr="002C7B62">
        <w:rPr>
          <w:rFonts w:asciiTheme="minorHAnsi" w:hAnsiTheme="minorHAnsi" w:cs="Times New Roman"/>
        </w:rPr>
        <w:t xml:space="preserve"> which will have an impact in lowering the treatment threshold </w:t>
      </w:r>
      <w:r w:rsidR="002C7B62">
        <w:rPr>
          <w:rFonts w:asciiTheme="minorHAnsi" w:hAnsiTheme="minorHAnsi" w:cs="Times New Roman"/>
        </w:rPr>
        <w:t>compared with many countries</w:t>
      </w:r>
      <w:r w:rsidR="002C7B62" w:rsidRPr="002C7B62">
        <w:rPr>
          <w:rFonts w:asciiTheme="minorHAnsi" w:hAnsiTheme="minorHAnsi" w:cs="Times New Roman"/>
        </w:rPr>
        <w:t xml:space="preserve">.  More importantly, the thresholds derived depend critically on the hazards of fracture and death in Kuwait. Thus, each FRAX model is country specific.  Notwithstanding, these factors do not nullify the general conclusion that age-dependent FRAX-based intervention thresholds identify women at higher fracture probability than fixed T-score thresholds.   </w:t>
      </w:r>
    </w:p>
    <w:p w14:paraId="6E320AAE" w14:textId="77777777" w:rsidR="005A495F" w:rsidRDefault="005A495F" w:rsidP="00380099">
      <w:pPr>
        <w:spacing w:after="0" w:line="360" w:lineRule="auto"/>
        <w:jc w:val="left"/>
        <w:rPr>
          <w:rFonts w:asciiTheme="minorHAnsi" w:hAnsiTheme="minorHAnsi" w:cs="Times New Roman"/>
        </w:rPr>
      </w:pPr>
    </w:p>
    <w:p w14:paraId="26962318" w14:textId="61B930A8" w:rsidR="005A495F" w:rsidRDefault="005A495F" w:rsidP="00380099">
      <w:pPr>
        <w:spacing w:after="0" w:line="360" w:lineRule="auto"/>
        <w:jc w:val="left"/>
        <w:rPr>
          <w:rFonts w:asciiTheme="minorHAnsi" w:hAnsiTheme="minorHAnsi" w:cs="Times New Roman"/>
        </w:rPr>
      </w:pPr>
      <w:r>
        <w:rPr>
          <w:rFonts w:asciiTheme="minorHAnsi" w:hAnsiTheme="minorHAnsi" w:cs="Times New Roman"/>
        </w:rPr>
        <w:t xml:space="preserve">We conclude that </w:t>
      </w:r>
      <w:r w:rsidRPr="005A495F">
        <w:rPr>
          <w:rFonts w:asciiTheme="minorHAnsi" w:hAnsiTheme="minorHAnsi" w:cs="Times New Roman"/>
        </w:rPr>
        <w:t>FRAX-based intervention thresholds identif</w:t>
      </w:r>
      <w:r>
        <w:rPr>
          <w:rFonts w:asciiTheme="minorHAnsi" w:hAnsiTheme="minorHAnsi" w:cs="Times New Roman"/>
        </w:rPr>
        <w:t>y</w:t>
      </w:r>
      <w:r w:rsidRPr="005A495F">
        <w:rPr>
          <w:rFonts w:asciiTheme="minorHAnsi" w:hAnsiTheme="minorHAnsi" w:cs="Times New Roman"/>
        </w:rPr>
        <w:t xml:space="preserve"> </w:t>
      </w:r>
      <w:r>
        <w:rPr>
          <w:rFonts w:asciiTheme="minorHAnsi" w:hAnsiTheme="minorHAnsi" w:cs="Times New Roman"/>
        </w:rPr>
        <w:t xml:space="preserve">men and </w:t>
      </w:r>
      <w:r w:rsidRPr="005A495F">
        <w:rPr>
          <w:rFonts w:asciiTheme="minorHAnsi" w:hAnsiTheme="minorHAnsi" w:cs="Times New Roman"/>
        </w:rPr>
        <w:t>women at higher fracture probability than fixed T-score thresholds, particularly in the elderly.</w:t>
      </w:r>
    </w:p>
    <w:p w14:paraId="188C91C6" w14:textId="77777777" w:rsidR="004444B1" w:rsidRDefault="004444B1" w:rsidP="00380099">
      <w:pPr>
        <w:spacing w:after="0" w:line="360" w:lineRule="auto"/>
        <w:jc w:val="left"/>
        <w:rPr>
          <w:rFonts w:asciiTheme="minorHAnsi" w:hAnsiTheme="minorHAnsi" w:cs="Times New Roman"/>
        </w:rPr>
      </w:pPr>
    </w:p>
    <w:p w14:paraId="0E1307CE" w14:textId="4A1B9FF9" w:rsidR="005A495F" w:rsidRPr="007E46C9" w:rsidRDefault="007E46C9" w:rsidP="00380099">
      <w:pPr>
        <w:spacing w:after="0" w:line="360" w:lineRule="auto"/>
        <w:jc w:val="left"/>
        <w:rPr>
          <w:rFonts w:asciiTheme="minorHAnsi" w:hAnsiTheme="minorHAnsi" w:cs="Times New Roman"/>
          <w:b/>
        </w:rPr>
      </w:pPr>
      <w:r w:rsidRPr="007E46C9">
        <w:rPr>
          <w:rFonts w:asciiTheme="minorHAnsi" w:hAnsiTheme="minorHAnsi" w:cs="Times New Roman"/>
          <w:b/>
        </w:rPr>
        <w:t>Compliance with ethical stand</w:t>
      </w:r>
      <w:r>
        <w:rPr>
          <w:rFonts w:asciiTheme="minorHAnsi" w:hAnsiTheme="minorHAnsi" w:cs="Times New Roman"/>
          <w:b/>
        </w:rPr>
        <w:t>a</w:t>
      </w:r>
      <w:r w:rsidRPr="007E46C9">
        <w:rPr>
          <w:rFonts w:asciiTheme="minorHAnsi" w:hAnsiTheme="minorHAnsi" w:cs="Times New Roman"/>
          <w:b/>
        </w:rPr>
        <w:t>rds</w:t>
      </w:r>
    </w:p>
    <w:p w14:paraId="45B85E45" w14:textId="5149331E" w:rsidR="00EA2ADA" w:rsidRPr="007E46C9" w:rsidRDefault="00273970" w:rsidP="00380099">
      <w:pPr>
        <w:autoSpaceDE/>
        <w:autoSpaceDN/>
        <w:adjustRightInd/>
        <w:spacing w:after="0" w:line="360" w:lineRule="auto"/>
        <w:jc w:val="left"/>
        <w:rPr>
          <w:rFonts w:asciiTheme="minorHAnsi" w:hAnsiTheme="minorHAnsi" w:cs="Times New Roman"/>
          <w:b/>
          <w:color w:val="auto"/>
          <w:sz w:val="22"/>
          <w:szCs w:val="22"/>
        </w:rPr>
      </w:pPr>
      <w:r w:rsidRPr="007E46C9">
        <w:rPr>
          <w:rFonts w:asciiTheme="minorHAnsi" w:hAnsiTheme="minorHAnsi" w:cs="Times New Roman"/>
          <w:b/>
          <w:color w:val="auto"/>
          <w:sz w:val="22"/>
          <w:szCs w:val="22"/>
          <w:shd w:val="clear" w:color="auto" w:fill="FFFFFF"/>
        </w:rPr>
        <w:t>Competing interests</w:t>
      </w:r>
      <w:r w:rsidR="00EA2ADA" w:rsidRPr="007E46C9">
        <w:rPr>
          <w:rFonts w:asciiTheme="minorHAnsi" w:hAnsiTheme="minorHAnsi" w:cs="Times New Roman"/>
          <w:b/>
          <w:color w:val="auto"/>
          <w:sz w:val="22"/>
          <w:szCs w:val="22"/>
          <w:shd w:val="clear" w:color="auto" w:fill="FFFFFF"/>
        </w:rPr>
        <w:t xml:space="preserve"> </w:t>
      </w:r>
    </w:p>
    <w:p w14:paraId="2AEC9FB6" w14:textId="6D9B5A35" w:rsidR="00C426A9" w:rsidRDefault="00273970" w:rsidP="00C426A9">
      <w:pPr>
        <w:autoSpaceDE/>
        <w:autoSpaceDN/>
        <w:adjustRightInd/>
        <w:spacing w:after="0" w:line="360" w:lineRule="auto"/>
        <w:jc w:val="left"/>
        <w:rPr>
          <w:rFonts w:asciiTheme="minorHAnsi" w:hAnsiTheme="minorHAnsi" w:cs="Times New Roman"/>
          <w:color w:val="auto"/>
          <w:lang w:val="en-GB"/>
        </w:rPr>
      </w:pPr>
      <w:r w:rsidRPr="007E46C9">
        <w:rPr>
          <w:rFonts w:asciiTheme="minorHAnsi" w:hAnsiTheme="minorHAnsi" w:cs="Times New Roman"/>
          <w:color w:val="auto"/>
          <w:sz w:val="22"/>
          <w:szCs w:val="22"/>
          <w:lang w:val="en-GB"/>
        </w:rPr>
        <w:t>Professor Kanis led the team that developed</w:t>
      </w:r>
      <w:r w:rsidR="005A495F" w:rsidRPr="007E46C9">
        <w:rPr>
          <w:rFonts w:asciiTheme="minorHAnsi" w:hAnsiTheme="minorHAnsi" w:cs="Times New Roman"/>
          <w:color w:val="auto"/>
          <w:sz w:val="22"/>
          <w:szCs w:val="22"/>
          <w:lang w:val="en-GB"/>
        </w:rPr>
        <w:t xml:space="preserve"> </w:t>
      </w:r>
      <w:r w:rsidRPr="007E46C9">
        <w:rPr>
          <w:rFonts w:asciiTheme="minorHAnsi" w:hAnsiTheme="minorHAnsi" w:cs="Times New Roman"/>
          <w:color w:val="auto"/>
          <w:sz w:val="22"/>
          <w:szCs w:val="22"/>
          <w:lang w:val="en-GB"/>
        </w:rPr>
        <w:t xml:space="preserve">FRAX as director of the </w:t>
      </w:r>
      <w:r w:rsidR="00EB6C42">
        <w:rPr>
          <w:rFonts w:asciiTheme="minorHAnsi" w:hAnsiTheme="minorHAnsi" w:cs="Times New Roman"/>
          <w:color w:val="auto"/>
          <w:sz w:val="22"/>
          <w:szCs w:val="22"/>
          <w:lang w:val="en-GB"/>
        </w:rPr>
        <w:t xml:space="preserve">then </w:t>
      </w:r>
      <w:r w:rsidRPr="007E46C9">
        <w:rPr>
          <w:rFonts w:asciiTheme="minorHAnsi" w:hAnsiTheme="minorHAnsi" w:cs="Times New Roman"/>
          <w:color w:val="auto"/>
          <w:sz w:val="22"/>
          <w:szCs w:val="22"/>
          <w:lang w:val="en-GB"/>
        </w:rPr>
        <w:t>WHO Collaborating Centre for Metabolic</w:t>
      </w:r>
      <w:r w:rsidR="005A495F" w:rsidRPr="007E46C9">
        <w:rPr>
          <w:rFonts w:asciiTheme="minorHAnsi" w:hAnsiTheme="minorHAnsi" w:cs="Times New Roman"/>
          <w:color w:val="auto"/>
          <w:sz w:val="22"/>
          <w:szCs w:val="22"/>
          <w:lang w:val="en-GB"/>
        </w:rPr>
        <w:t xml:space="preserve"> </w:t>
      </w:r>
      <w:r w:rsidRPr="007E46C9">
        <w:rPr>
          <w:rFonts w:asciiTheme="minorHAnsi" w:hAnsiTheme="minorHAnsi" w:cs="Times New Roman"/>
          <w:color w:val="auto"/>
          <w:sz w:val="22"/>
          <w:szCs w:val="22"/>
          <w:lang w:val="en-GB"/>
        </w:rPr>
        <w:t>Bone Diseases; he has no financial interest in FRAX. Professors</w:t>
      </w:r>
      <w:r w:rsidR="005A495F" w:rsidRPr="007E46C9">
        <w:rPr>
          <w:rFonts w:asciiTheme="minorHAnsi" w:hAnsiTheme="minorHAnsi" w:cs="Times New Roman"/>
          <w:color w:val="auto"/>
          <w:sz w:val="22"/>
          <w:szCs w:val="22"/>
          <w:lang w:val="en-GB"/>
        </w:rPr>
        <w:t xml:space="preserve"> </w:t>
      </w:r>
      <w:r w:rsidRPr="007E46C9">
        <w:rPr>
          <w:rFonts w:asciiTheme="minorHAnsi" w:hAnsiTheme="minorHAnsi" w:cs="Times New Roman"/>
          <w:color w:val="auto"/>
          <w:sz w:val="22"/>
          <w:szCs w:val="22"/>
          <w:lang w:val="en-GB"/>
        </w:rPr>
        <w:t>McCloskey, Oden, Harvey and Dr Johansson are members of the</w:t>
      </w:r>
      <w:r w:rsidR="005A495F" w:rsidRPr="007E46C9">
        <w:rPr>
          <w:rFonts w:asciiTheme="minorHAnsi" w:hAnsiTheme="minorHAnsi" w:cs="Times New Roman"/>
          <w:color w:val="auto"/>
          <w:sz w:val="22"/>
          <w:szCs w:val="22"/>
          <w:lang w:val="en-GB"/>
        </w:rPr>
        <w:t xml:space="preserve"> </w:t>
      </w:r>
      <w:r w:rsidRPr="007E46C9">
        <w:rPr>
          <w:rFonts w:asciiTheme="minorHAnsi" w:hAnsiTheme="minorHAnsi" w:cs="Times New Roman"/>
          <w:color w:val="auto"/>
          <w:sz w:val="22"/>
          <w:szCs w:val="22"/>
          <w:lang w:val="en-GB"/>
        </w:rPr>
        <w:t xml:space="preserve">FRAX team. </w:t>
      </w:r>
      <w:r w:rsidR="00C426A9" w:rsidRPr="007E46C9">
        <w:rPr>
          <w:rFonts w:asciiTheme="minorHAnsi" w:hAnsiTheme="minorHAnsi" w:cs="Times New Roman"/>
          <w:color w:val="auto"/>
          <w:sz w:val="22"/>
          <w:szCs w:val="22"/>
          <w:lang w:val="en-GB"/>
        </w:rPr>
        <w:t>Professors Harvey, Kanis and McCloskey are members</w:t>
      </w:r>
      <w:r w:rsidRPr="007E46C9">
        <w:rPr>
          <w:rFonts w:asciiTheme="minorHAnsi" w:hAnsiTheme="minorHAnsi" w:cs="Times New Roman"/>
          <w:color w:val="auto"/>
          <w:sz w:val="22"/>
          <w:szCs w:val="22"/>
          <w:lang w:val="en-GB"/>
        </w:rPr>
        <w:t xml:space="preserve"> of </w:t>
      </w:r>
      <w:r w:rsidR="00C426A9" w:rsidRPr="007E46C9">
        <w:rPr>
          <w:rFonts w:asciiTheme="minorHAnsi" w:hAnsiTheme="minorHAnsi" w:cs="Times New Roman"/>
          <w:color w:val="auto"/>
          <w:sz w:val="22"/>
          <w:szCs w:val="22"/>
          <w:lang w:val="en-GB"/>
        </w:rPr>
        <w:t xml:space="preserve">the Expert Advisory Group of </w:t>
      </w:r>
      <w:r w:rsidRPr="007E46C9">
        <w:rPr>
          <w:rFonts w:asciiTheme="minorHAnsi" w:hAnsiTheme="minorHAnsi" w:cs="Times New Roman"/>
          <w:color w:val="auto"/>
          <w:sz w:val="22"/>
          <w:szCs w:val="22"/>
          <w:lang w:val="en-GB"/>
        </w:rPr>
        <w:t>the National</w:t>
      </w:r>
      <w:r w:rsidR="00C426A9" w:rsidRPr="007E46C9">
        <w:rPr>
          <w:rFonts w:asciiTheme="minorHAnsi" w:hAnsiTheme="minorHAnsi" w:cs="Times New Roman"/>
          <w:color w:val="auto"/>
          <w:sz w:val="22"/>
          <w:szCs w:val="22"/>
          <w:lang w:val="en-GB"/>
        </w:rPr>
        <w:t xml:space="preserve"> </w:t>
      </w:r>
      <w:r w:rsidRPr="007E46C9">
        <w:rPr>
          <w:rFonts w:asciiTheme="minorHAnsi" w:hAnsiTheme="minorHAnsi" w:cs="Times New Roman"/>
          <w:color w:val="auto"/>
          <w:sz w:val="22"/>
          <w:szCs w:val="22"/>
          <w:lang w:val="en-GB"/>
        </w:rPr>
        <w:t>Osteoporosis Guideline Group, UK</w:t>
      </w:r>
      <w:r w:rsidR="00C426A9" w:rsidRPr="007E46C9">
        <w:rPr>
          <w:rFonts w:asciiTheme="minorHAnsi" w:hAnsiTheme="minorHAnsi" w:cs="Times New Roman"/>
          <w:color w:val="auto"/>
          <w:sz w:val="22"/>
          <w:szCs w:val="22"/>
          <w:lang w:val="en-GB"/>
        </w:rPr>
        <w:t>.</w:t>
      </w:r>
    </w:p>
    <w:p w14:paraId="51726568" w14:textId="77777777" w:rsidR="00C426A9" w:rsidRDefault="00C426A9" w:rsidP="00C426A9">
      <w:pPr>
        <w:autoSpaceDE/>
        <w:autoSpaceDN/>
        <w:adjustRightInd/>
        <w:spacing w:after="0" w:line="360" w:lineRule="auto"/>
        <w:jc w:val="left"/>
        <w:rPr>
          <w:rFonts w:asciiTheme="minorHAnsi" w:hAnsiTheme="minorHAnsi" w:cs="Times New Roman"/>
          <w:color w:val="auto"/>
          <w:lang w:val="en-GB"/>
        </w:rPr>
      </w:pPr>
    </w:p>
    <w:p w14:paraId="5C9615E2" w14:textId="356F4811" w:rsidR="00273970" w:rsidRPr="00C426A9" w:rsidRDefault="00C426A9" w:rsidP="00C426A9">
      <w:pPr>
        <w:autoSpaceDE/>
        <w:autoSpaceDN/>
        <w:adjustRightInd/>
        <w:spacing w:after="0" w:line="360" w:lineRule="auto"/>
        <w:jc w:val="left"/>
        <w:rPr>
          <w:rFonts w:asciiTheme="minorHAnsi" w:hAnsiTheme="minorHAnsi" w:cs="Times New Roman"/>
          <w:b/>
          <w:color w:val="auto"/>
        </w:rPr>
      </w:pPr>
      <w:r w:rsidRPr="00C426A9">
        <w:rPr>
          <w:rFonts w:asciiTheme="minorHAnsi" w:hAnsiTheme="minorHAnsi" w:cs="Times New Roman"/>
          <w:b/>
          <w:color w:val="auto"/>
          <w:lang w:val="en-GB"/>
        </w:rPr>
        <w:t xml:space="preserve">References </w:t>
      </w:r>
    </w:p>
    <w:p w14:paraId="45B85E46" w14:textId="77777777" w:rsidR="00EA2ADA" w:rsidRDefault="00EA2ADA" w:rsidP="00380099">
      <w:pPr>
        <w:autoSpaceDE/>
        <w:autoSpaceDN/>
        <w:adjustRightInd/>
        <w:spacing w:after="0" w:line="360" w:lineRule="auto"/>
        <w:jc w:val="left"/>
        <w:rPr>
          <w:rFonts w:ascii="Times New Roman" w:hAnsi="Times New Roman" w:cs="Times New Roman"/>
          <w:b/>
          <w:color w:val="auto"/>
        </w:rPr>
      </w:pPr>
    </w:p>
    <w:p w14:paraId="5EFFC475" w14:textId="77777777" w:rsidR="00DC4350" w:rsidRDefault="00DC4350" w:rsidP="00C0580C">
      <w:pPr>
        <w:spacing w:after="0" w:line="360" w:lineRule="auto"/>
        <w:ind w:left="720" w:hanging="720"/>
        <w:jc w:val="left"/>
        <w:rPr>
          <w:rFonts w:ascii="Times New Roman" w:hAnsi="Times New Roman" w:cs="Times New Roman"/>
          <w:noProof/>
          <w:szCs w:val="21"/>
        </w:rPr>
      </w:pPr>
    </w:p>
    <w:p w14:paraId="66A57984" w14:textId="79B94684" w:rsidR="00335489" w:rsidRDefault="005D76E3" w:rsidP="00DC4350">
      <w:pPr>
        <w:spacing w:line="360" w:lineRule="auto"/>
        <w:ind w:left="720" w:hanging="720"/>
        <w:jc w:val="left"/>
        <w:rPr>
          <w:rFonts w:asciiTheme="minorHAnsi" w:hAnsiTheme="minorHAnsi" w:cs="Times New Roman"/>
          <w:noProof/>
        </w:rPr>
      </w:pPr>
      <w:r>
        <w:rPr>
          <w:rFonts w:asciiTheme="minorHAnsi" w:hAnsiTheme="minorHAnsi" w:cs="Times New Roman"/>
          <w:noProof/>
          <w:lang w:val="en-GB"/>
        </w:rPr>
        <w:t>1.</w:t>
      </w:r>
      <w:r>
        <w:rPr>
          <w:rFonts w:asciiTheme="minorHAnsi" w:hAnsiTheme="minorHAnsi" w:cs="Times New Roman"/>
          <w:noProof/>
          <w:lang w:val="en-GB"/>
        </w:rPr>
        <w:tab/>
      </w:r>
      <w:r w:rsidR="00335489" w:rsidRPr="00335489">
        <w:rPr>
          <w:rFonts w:asciiTheme="minorHAnsi" w:hAnsiTheme="minorHAnsi" w:cs="Times New Roman"/>
          <w:noProof/>
          <w:lang w:val="en-GB"/>
        </w:rPr>
        <w:t>Kanis JA, Melton LJ, Christiansen C, Johnston C, Khaltaev N (1994) The diagnosis of osteoporosis. J Bone Miner Res 9: 1137-1141.</w:t>
      </w:r>
    </w:p>
    <w:p w14:paraId="725754BD" w14:textId="27A24566" w:rsidR="00DC4350" w:rsidRPr="004C2612" w:rsidRDefault="005D76E3" w:rsidP="00DC4350">
      <w:pPr>
        <w:spacing w:line="360" w:lineRule="auto"/>
        <w:ind w:left="720" w:hanging="720"/>
        <w:jc w:val="left"/>
        <w:rPr>
          <w:rFonts w:asciiTheme="minorHAnsi" w:hAnsiTheme="minorHAnsi" w:cs="Times New Roman"/>
          <w:noProof/>
        </w:rPr>
      </w:pPr>
      <w:r>
        <w:rPr>
          <w:rFonts w:asciiTheme="minorHAnsi" w:hAnsiTheme="minorHAnsi" w:cs="Times New Roman"/>
          <w:noProof/>
        </w:rPr>
        <w:t>2.</w:t>
      </w:r>
      <w:r>
        <w:rPr>
          <w:rFonts w:asciiTheme="minorHAnsi" w:hAnsiTheme="minorHAnsi" w:cs="Times New Roman"/>
          <w:noProof/>
        </w:rPr>
        <w:tab/>
      </w:r>
      <w:r w:rsidR="00DC4350" w:rsidRPr="004C2612">
        <w:rPr>
          <w:rFonts w:asciiTheme="minorHAnsi" w:hAnsiTheme="minorHAnsi" w:cs="Times New Roman"/>
          <w:noProof/>
        </w:rPr>
        <w:t>Kanis JA, McCloskey EV, Johansson H, Oden A, Melton LJ, 3rd, Khaltaev N (2008) A reference standard for the description of osteoporosis. Bone 42:</w:t>
      </w:r>
      <w:r w:rsidR="00104BF9">
        <w:rPr>
          <w:rFonts w:asciiTheme="minorHAnsi" w:hAnsiTheme="minorHAnsi" w:cs="Times New Roman"/>
          <w:noProof/>
        </w:rPr>
        <w:t xml:space="preserve"> </w:t>
      </w:r>
      <w:r w:rsidR="00DC4350" w:rsidRPr="004C2612">
        <w:rPr>
          <w:rFonts w:asciiTheme="minorHAnsi" w:hAnsiTheme="minorHAnsi" w:cs="Times New Roman"/>
          <w:noProof/>
        </w:rPr>
        <w:t xml:space="preserve">467-475 </w:t>
      </w:r>
    </w:p>
    <w:p w14:paraId="002090FF" w14:textId="0108570B" w:rsidR="00712C1E" w:rsidRPr="00D648D7" w:rsidRDefault="005D76E3" w:rsidP="00712C1E">
      <w:pPr>
        <w:spacing w:line="360" w:lineRule="auto"/>
        <w:ind w:left="720" w:hanging="720"/>
        <w:jc w:val="left"/>
        <w:rPr>
          <w:rFonts w:asciiTheme="minorHAnsi" w:hAnsiTheme="minorHAnsi" w:cs="Times New Roman"/>
          <w:noProof/>
        </w:rPr>
      </w:pPr>
      <w:r>
        <w:rPr>
          <w:rFonts w:asciiTheme="minorHAnsi" w:hAnsiTheme="minorHAnsi" w:cs="Times New Roman"/>
          <w:noProof/>
          <w:lang w:val="en-GB"/>
        </w:rPr>
        <w:t xml:space="preserve">3. </w:t>
      </w:r>
      <w:r>
        <w:rPr>
          <w:rFonts w:asciiTheme="minorHAnsi" w:hAnsiTheme="minorHAnsi" w:cs="Times New Roman"/>
          <w:noProof/>
          <w:lang w:val="en-GB"/>
        </w:rPr>
        <w:tab/>
      </w:r>
      <w:r w:rsidR="00D648D7" w:rsidRPr="00D648D7">
        <w:rPr>
          <w:rFonts w:asciiTheme="minorHAnsi" w:hAnsiTheme="minorHAnsi" w:cs="Times New Roman"/>
          <w:noProof/>
          <w:lang w:val="en-GB"/>
        </w:rPr>
        <w:t>World Health Organisation</w:t>
      </w:r>
      <w:r w:rsidR="00DC4350" w:rsidRPr="00D648D7">
        <w:rPr>
          <w:rFonts w:asciiTheme="minorHAnsi" w:hAnsiTheme="minorHAnsi" w:cs="Times New Roman"/>
          <w:noProof/>
        </w:rPr>
        <w:t xml:space="preserve"> (1994) Assessment of fracture risk and its application to screening for postmenopausal</w:t>
      </w:r>
      <w:r w:rsidR="00D648D7" w:rsidRPr="00D648D7">
        <w:rPr>
          <w:rFonts w:asciiTheme="minorHAnsi" w:hAnsiTheme="minorHAnsi" w:cs="Times New Roman"/>
          <w:noProof/>
        </w:rPr>
        <w:t xml:space="preserve"> </w:t>
      </w:r>
      <w:r w:rsidR="00712C1E" w:rsidRPr="00D648D7">
        <w:rPr>
          <w:rFonts w:asciiTheme="minorHAnsi" w:hAnsiTheme="minorHAnsi" w:cs="Times New Roman"/>
          <w:noProof/>
          <w:lang w:val="en-GB"/>
        </w:rPr>
        <w:t>osteoporosis.</w:t>
      </w:r>
      <w:r w:rsidR="00D648D7" w:rsidRPr="00D648D7">
        <w:rPr>
          <w:rFonts w:asciiTheme="minorHAnsi" w:hAnsiTheme="minorHAnsi" w:cs="Times New Roman"/>
          <w:noProof/>
          <w:lang w:val="en-GB"/>
        </w:rPr>
        <w:t xml:space="preserve"> </w:t>
      </w:r>
      <w:r w:rsidR="00712C1E" w:rsidRPr="00D648D7">
        <w:rPr>
          <w:rFonts w:asciiTheme="minorHAnsi" w:hAnsiTheme="minorHAnsi" w:cs="Times New Roman"/>
          <w:noProof/>
          <w:lang w:val="en-GB"/>
        </w:rPr>
        <w:t>WHO Technical Report Series 843. 1994. WHO, Geneva</w:t>
      </w:r>
      <w:r w:rsidR="00D648D7">
        <w:rPr>
          <w:rFonts w:asciiTheme="minorHAnsi" w:hAnsiTheme="minorHAnsi" w:cs="Times New Roman"/>
          <w:noProof/>
          <w:lang w:val="en-GB"/>
        </w:rPr>
        <w:t>.</w:t>
      </w:r>
    </w:p>
    <w:p w14:paraId="20185DBE" w14:textId="7632C8C3" w:rsidR="00DC4350" w:rsidRDefault="005D76E3" w:rsidP="00DC4350">
      <w:pPr>
        <w:spacing w:line="360" w:lineRule="auto"/>
        <w:ind w:left="720" w:hanging="720"/>
        <w:jc w:val="left"/>
        <w:rPr>
          <w:rFonts w:asciiTheme="minorHAnsi" w:hAnsiTheme="minorHAnsi" w:cs="Times New Roman"/>
          <w:noProof/>
        </w:rPr>
      </w:pPr>
      <w:r>
        <w:rPr>
          <w:rFonts w:asciiTheme="minorHAnsi" w:hAnsiTheme="minorHAnsi" w:cs="Times New Roman"/>
          <w:noProof/>
        </w:rPr>
        <w:t xml:space="preserve">4. </w:t>
      </w:r>
      <w:r>
        <w:rPr>
          <w:rFonts w:asciiTheme="minorHAnsi" w:hAnsiTheme="minorHAnsi" w:cs="Times New Roman"/>
          <w:noProof/>
        </w:rPr>
        <w:tab/>
      </w:r>
      <w:r w:rsidR="00DC4350" w:rsidRPr="004C2612">
        <w:rPr>
          <w:rFonts w:asciiTheme="minorHAnsi" w:hAnsiTheme="minorHAnsi" w:cs="Times New Roman"/>
          <w:noProof/>
        </w:rPr>
        <w:t>Kanis JA, Johnell O, De Laet C et al  (2004a) A meta-analysis of previous fracture and subsequent fracture risk. Bone 35:</w:t>
      </w:r>
      <w:r w:rsidR="00104BF9">
        <w:rPr>
          <w:rFonts w:asciiTheme="minorHAnsi" w:hAnsiTheme="minorHAnsi" w:cs="Times New Roman"/>
          <w:noProof/>
        </w:rPr>
        <w:t xml:space="preserve"> </w:t>
      </w:r>
      <w:r w:rsidR="00DC4350" w:rsidRPr="004C2612">
        <w:rPr>
          <w:rFonts w:asciiTheme="minorHAnsi" w:hAnsiTheme="minorHAnsi" w:cs="Times New Roman"/>
          <w:noProof/>
        </w:rPr>
        <w:t>375-382</w:t>
      </w:r>
      <w:r w:rsidR="00104BF9">
        <w:rPr>
          <w:rFonts w:asciiTheme="minorHAnsi" w:hAnsiTheme="minorHAnsi" w:cs="Times New Roman"/>
          <w:noProof/>
        </w:rPr>
        <w:t>.</w:t>
      </w:r>
      <w:r w:rsidR="00DC4350" w:rsidRPr="004C2612">
        <w:rPr>
          <w:rFonts w:asciiTheme="minorHAnsi" w:hAnsiTheme="minorHAnsi" w:cs="Times New Roman"/>
          <w:noProof/>
        </w:rPr>
        <w:t xml:space="preserve"> </w:t>
      </w:r>
    </w:p>
    <w:p w14:paraId="2D85C86B" w14:textId="600FFAB5" w:rsidR="005D76E3" w:rsidRPr="004C2612" w:rsidRDefault="005D76E3" w:rsidP="00DC4350">
      <w:pPr>
        <w:spacing w:line="360" w:lineRule="auto"/>
        <w:ind w:left="720" w:hanging="720"/>
        <w:jc w:val="left"/>
        <w:rPr>
          <w:rFonts w:asciiTheme="minorHAnsi" w:hAnsiTheme="minorHAnsi" w:cs="Times New Roman"/>
          <w:noProof/>
        </w:rPr>
      </w:pPr>
      <w:r>
        <w:rPr>
          <w:rFonts w:asciiTheme="minorHAnsi" w:hAnsiTheme="minorHAnsi" w:cs="Times New Roman"/>
          <w:noProof/>
        </w:rPr>
        <w:t>5.</w:t>
      </w:r>
      <w:r>
        <w:rPr>
          <w:rFonts w:asciiTheme="minorHAnsi" w:hAnsiTheme="minorHAnsi" w:cs="Times New Roman"/>
          <w:noProof/>
        </w:rPr>
        <w:tab/>
      </w:r>
      <w:r w:rsidR="00104BF9" w:rsidRPr="00104BF9">
        <w:rPr>
          <w:rFonts w:asciiTheme="minorHAnsi" w:hAnsiTheme="minorHAnsi" w:cs="Times New Roman"/>
          <w:noProof/>
        </w:rPr>
        <w:t xml:space="preserve">Kanis JA, Johansson H, Oden A, </w:t>
      </w:r>
      <w:r w:rsidR="00104BF9">
        <w:rPr>
          <w:rFonts w:asciiTheme="minorHAnsi" w:hAnsiTheme="minorHAnsi" w:cs="Times New Roman"/>
          <w:noProof/>
        </w:rPr>
        <w:t xml:space="preserve">et al </w:t>
      </w:r>
      <w:r w:rsidR="00104BF9" w:rsidRPr="00104BF9">
        <w:rPr>
          <w:rFonts w:asciiTheme="minorHAnsi" w:hAnsiTheme="minorHAnsi" w:cs="Times New Roman"/>
          <w:noProof/>
        </w:rPr>
        <w:t xml:space="preserve"> (2004) A family history of fracture and fracture risk: a meta-analysis. Bone 35: 1029-1037.</w:t>
      </w:r>
    </w:p>
    <w:p w14:paraId="613819C8" w14:textId="02B8F1A8" w:rsidR="00DC4350" w:rsidRPr="004C2612" w:rsidRDefault="005D76E3" w:rsidP="00DC4350">
      <w:pPr>
        <w:spacing w:line="360" w:lineRule="auto"/>
        <w:ind w:left="720" w:hanging="720"/>
        <w:jc w:val="left"/>
        <w:rPr>
          <w:rFonts w:asciiTheme="minorHAnsi" w:hAnsiTheme="minorHAnsi" w:cs="Times New Roman"/>
          <w:noProof/>
          <w:lang w:val="en-GB"/>
        </w:rPr>
      </w:pPr>
      <w:r>
        <w:rPr>
          <w:rFonts w:asciiTheme="minorHAnsi" w:hAnsiTheme="minorHAnsi" w:cs="Times New Roman"/>
          <w:noProof/>
          <w:lang w:val="en-GB"/>
        </w:rPr>
        <w:t>6.</w:t>
      </w:r>
      <w:r>
        <w:rPr>
          <w:rFonts w:asciiTheme="minorHAnsi" w:hAnsiTheme="minorHAnsi" w:cs="Times New Roman"/>
          <w:noProof/>
          <w:lang w:val="en-GB"/>
        </w:rPr>
        <w:tab/>
      </w:r>
      <w:r w:rsidR="00DC4350" w:rsidRPr="004C2612">
        <w:rPr>
          <w:rFonts w:asciiTheme="minorHAnsi" w:hAnsiTheme="minorHAnsi" w:cs="Times New Roman"/>
          <w:noProof/>
          <w:lang w:val="en-GB"/>
        </w:rPr>
        <w:t>Feskanich D, Willett W, Colditz G (2002) Walking and leisure-time activity and risk of hip fracture in postmenopausal women. J</w:t>
      </w:r>
      <w:r w:rsidR="00104BF9">
        <w:rPr>
          <w:rFonts w:asciiTheme="minorHAnsi" w:hAnsiTheme="minorHAnsi" w:cs="Times New Roman"/>
          <w:noProof/>
          <w:lang w:val="en-GB"/>
        </w:rPr>
        <w:t>AMA</w:t>
      </w:r>
      <w:r w:rsidR="00DC4350" w:rsidRPr="004C2612">
        <w:rPr>
          <w:rFonts w:asciiTheme="minorHAnsi" w:hAnsiTheme="minorHAnsi" w:cs="Times New Roman"/>
          <w:noProof/>
          <w:lang w:val="en-GB"/>
        </w:rPr>
        <w:t xml:space="preserve"> 288:</w:t>
      </w:r>
      <w:r w:rsidR="00104BF9">
        <w:rPr>
          <w:rFonts w:asciiTheme="minorHAnsi" w:hAnsiTheme="minorHAnsi" w:cs="Times New Roman"/>
          <w:noProof/>
          <w:lang w:val="en-GB"/>
        </w:rPr>
        <w:t xml:space="preserve"> </w:t>
      </w:r>
      <w:r w:rsidR="00DC4350" w:rsidRPr="004C2612">
        <w:rPr>
          <w:rFonts w:asciiTheme="minorHAnsi" w:hAnsiTheme="minorHAnsi" w:cs="Times New Roman"/>
          <w:noProof/>
          <w:lang w:val="en-GB"/>
        </w:rPr>
        <w:t>2300-2306</w:t>
      </w:r>
      <w:r w:rsidR="00104BF9">
        <w:rPr>
          <w:rFonts w:asciiTheme="minorHAnsi" w:hAnsiTheme="minorHAnsi" w:cs="Times New Roman"/>
          <w:noProof/>
          <w:lang w:val="en-GB"/>
        </w:rPr>
        <w:t>.</w:t>
      </w:r>
    </w:p>
    <w:p w14:paraId="3A3DBB97" w14:textId="5D3A30E4" w:rsidR="00DC4350" w:rsidRDefault="005D76E3" w:rsidP="00DC4350">
      <w:pPr>
        <w:spacing w:line="360" w:lineRule="auto"/>
        <w:ind w:left="720" w:hanging="720"/>
        <w:jc w:val="left"/>
        <w:rPr>
          <w:rFonts w:asciiTheme="minorHAnsi" w:hAnsiTheme="minorHAnsi" w:cs="Times New Roman"/>
          <w:noProof/>
        </w:rPr>
      </w:pPr>
      <w:r>
        <w:rPr>
          <w:rFonts w:asciiTheme="minorHAnsi" w:hAnsiTheme="minorHAnsi" w:cs="Times New Roman"/>
          <w:noProof/>
        </w:rPr>
        <w:t>7.</w:t>
      </w:r>
      <w:r>
        <w:rPr>
          <w:rFonts w:asciiTheme="minorHAnsi" w:hAnsiTheme="minorHAnsi" w:cs="Times New Roman"/>
          <w:noProof/>
        </w:rPr>
        <w:tab/>
      </w:r>
      <w:r w:rsidR="00DC4350" w:rsidRPr="004C2612">
        <w:rPr>
          <w:rFonts w:asciiTheme="minorHAnsi" w:hAnsiTheme="minorHAnsi" w:cs="Times New Roman"/>
          <w:noProof/>
        </w:rPr>
        <w:t xml:space="preserve">Kanis JA, Johnell O, Oden A, </w:t>
      </w:r>
      <w:r w:rsidR="00104BF9">
        <w:rPr>
          <w:rFonts w:asciiTheme="minorHAnsi" w:hAnsiTheme="minorHAnsi" w:cs="Times New Roman"/>
          <w:noProof/>
        </w:rPr>
        <w:t>et al</w:t>
      </w:r>
      <w:r w:rsidR="00DC4350" w:rsidRPr="004C2612">
        <w:rPr>
          <w:rFonts w:asciiTheme="minorHAnsi" w:hAnsiTheme="minorHAnsi" w:cs="Times New Roman"/>
          <w:noProof/>
        </w:rPr>
        <w:t xml:space="preserve"> (2005) Smoking and fracture risk: a meta-analysis. Osteoporos Int 16:</w:t>
      </w:r>
      <w:r w:rsidR="00104BF9">
        <w:rPr>
          <w:rFonts w:asciiTheme="minorHAnsi" w:hAnsiTheme="minorHAnsi" w:cs="Times New Roman"/>
          <w:noProof/>
        </w:rPr>
        <w:t xml:space="preserve"> </w:t>
      </w:r>
      <w:r w:rsidR="00DC4350" w:rsidRPr="004C2612">
        <w:rPr>
          <w:rFonts w:asciiTheme="minorHAnsi" w:hAnsiTheme="minorHAnsi" w:cs="Times New Roman"/>
          <w:noProof/>
        </w:rPr>
        <w:t>155-162</w:t>
      </w:r>
      <w:r w:rsidR="00104BF9">
        <w:rPr>
          <w:rFonts w:asciiTheme="minorHAnsi" w:hAnsiTheme="minorHAnsi" w:cs="Times New Roman"/>
          <w:noProof/>
        </w:rPr>
        <w:t>.</w:t>
      </w:r>
    </w:p>
    <w:p w14:paraId="71FE1474" w14:textId="1DADEC61" w:rsidR="00335489" w:rsidRDefault="004F7A6B" w:rsidP="00DC4350">
      <w:pPr>
        <w:spacing w:line="360" w:lineRule="auto"/>
        <w:ind w:left="720" w:hanging="720"/>
        <w:jc w:val="left"/>
        <w:rPr>
          <w:rFonts w:asciiTheme="minorHAnsi" w:hAnsiTheme="minorHAnsi" w:cs="Times New Roman"/>
          <w:noProof/>
          <w:lang w:val="en-GB"/>
        </w:rPr>
      </w:pPr>
      <w:r>
        <w:rPr>
          <w:rFonts w:asciiTheme="minorHAnsi" w:hAnsiTheme="minorHAnsi" w:cs="Times New Roman"/>
          <w:bCs/>
          <w:noProof/>
          <w:lang w:val="en-GB"/>
        </w:rPr>
        <w:t>8.</w:t>
      </w:r>
      <w:r>
        <w:rPr>
          <w:rFonts w:asciiTheme="minorHAnsi" w:hAnsiTheme="minorHAnsi" w:cs="Times New Roman"/>
          <w:bCs/>
          <w:noProof/>
          <w:lang w:val="en-GB"/>
        </w:rPr>
        <w:tab/>
      </w:r>
      <w:r w:rsidR="00335489" w:rsidRPr="00335489">
        <w:rPr>
          <w:rFonts w:asciiTheme="minorHAnsi" w:hAnsiTheme="minorHAnsi" w:cs="Times New Roman"/>
          <w:bCs/>
          <w:noProof/>
          <w:lang w:val="en-GB"/>
        </w:rPr>
        <w:t>Kanis JA</w:t>
      </w:r>
      <w:r w:rsidR="00335489" w:rsidRPr="00335489">
        <w:rPr>
          <w:rFonts w:asciiTheme="minorHAnsi" w:hAnsiTheme="minorHAnsi" w:cs="Times New Roman"/>
          <w:noProof/>
          <w:lang w:val="en-GB"/>
        </w:rPr>
        <w:t xml:space="preserve"> on behalf of the World Health Organization Scientific Group (2008</w:t>
      </w:r>
      <w:r w:rsidR="00335489">
        <w:rPr>
          <w:rFonts w:asciiTheme="minorHAnsi" w:hAnsiTheme="minorHAnsi" w:cs="Times New Roman"/>
          <w:noProof/>
          <w:lang w:val="en-GB"/>
        </w:rPr>
        <w:t>a</w:t>
      </w:r>
      <w:r w:rsidR="00335489" w:rsidRPr="00335489">
        <w:rPr>
          <w:rFonts w:asciiTheme="minorHAnsi" w:hAnsiTheme="minorHAnsi" w:cs="Times New Roman"/>
          <w:noProof/>
          <w:lang w:val="en-GB"/>
        </w:rPr>
        <w:t>) Assessment of osteoporosis at the primary health-care level. Technical Report.  WHO Collaborating Centre, University of Sheffield, UK.</w:t>
      </w:r>
    </w:p>
    <w:p w14:paraId="46889400" w14:textId="62A00268" w:rsidR="00335489" w:rsidRDefault="004F7A6B" w:rsidP="00DC4350">
      <w:pPr>
        <w:spacing w:line="360" w:lineRule="auto"/>
        <w:ind w:left="720" w:hanging="720"/>
        <w:jc w:val="left"/>
        <w:rPr>
          <w:rFonts w:asciiTheme="minorHAnsi" w:hAnsiTheme="minorHAnsi" w:cs="Times New Roman"/>
          <w:noProof/>
          <w:lang w:val="en-GB"/>
        </w:rPr>
      </w:pPr>
      <w:r>
        <w:rPr>
          <w:rFonts w:asciiTheme="minorHAnsi" w:hAnsiTheme="minorHAnsi" w:cs="Times New Roman"/>
          <w:noProof/>
          <w:lang w:val="en-GB"/>
        </w:rPr>
        <w:t>9.</w:t>
      </w:r>
      <w:r>
        <w:rPr>
          <w:rFonts w:asciiTheme="minorHAnsi" w:hAnsiTheme="minorHAnsi" w:cs="Times New Roman"/>
          <w:noProof/>
          <w:lang w:val="en-GB"/>
        </w:rPr>
        <w:tab/>
      </w:r>
      <w:r w:rsidR="00335489" w:rsidRPr="00335489">
        <w:rPr>
          <w:rFonts w:asciiTheme="minorHAnsi" w:hAnsiTheme="minorHAnsi" w:cs="Times New Roman"/>
          <w:noProof/>
          <w:lang w:val="en-GB"/>
        </w:rPr>
        <w:t>Kanis JA, Johnell O, Oden A, Johansson H, McCloskey E. (2008</w:t>
      </w:r>
      <w:r w:rsidR="00335489">
        <w:rPr>
          <w:rFonts w:asciiTheme="minorHAnsi" w:hAnsiTheme="minorHAnsi" w:cs="Times New Roman"/>
          <w:noProof/>
          <w:lang w:val="en-GB"/>
        </w:rPr>
        <w:t>b</w:t>
      </w:r>
      <w:r w:rsidR="00335489" w:rsidRPr="00335489">
        <w:rPr>
          <w:rFonts w:asciiTheme="minorHAnsi" w:hAnsiTheme="minorHAnsi" w:cs="Times New Roman"/>
          <w:noProof/>
          <w:lang w:val="en-GB"/>
        </w:rPr>
        <w:t>) FRAX™ and the assessment of fracture probability in men and women from the UK. Osteoporos Int</w:t>
      </w:r>
      <w:r w:rsidR="00104BF9">
        <w:rPr>
          <w:rFonts w:asciiTheme="minorHAnsi" w:hAnsiTheme="minorHAnsi" w:cs="Times New Roman"/>
          <w:noProof/>
          <w:lang w:val="en-GB"/>
        </w:rPr>
        <w:t xml:space="preserve"> </w:t>
      </w:r>
      <w:r w:rsidR="00335489" w:rsidRPr="00335489">
        <w:rPr>
          <w:rFonts w:asciiTheme="minorHAnsi" w:hAnsiTheme="minorHAnsi" w:cs="Times New Roman"/>
          <w:noProof/>
          <w:lang w:val="en-GB"/>
        </w:rPr>
        <w:t>19: 385-397.</w:t>
      </w:r>
    </w:p>
    <w:p w14:paraId="55641E48" w14:textId="04AF70C8" w:rsidR="00335489" w:rsidRPr="004C2612" w:rsidRDefault="004F7A6B" w:rsidP="00DC4350">
      <w:pPr>
        <w:spacing w:line="360" w:lineRule="auto"/>
        <w:ind w:left="720" w:hanging="720"/>
        <w:jc w:val="left"/>
        <w:rPr>
          <w:rFonts w:asciiTheme="minorHAnsi" w:hAnsiTheme="minorHAnsi" w:cs="Times New Roman"/>
          <w:noProof/>
        </w:rPr>
      </w:pPr>
      <w:r>
        <w:rPr>
          <w:rFonts w:asciiTheme="minorHAnsi" w:hAnsiTheme="minorHAnsi" w:cs="Times New Roman"/>
          <w:bCs/>
          <w:noProof/>
          <w:lang w:val="en-GB"/>
        </w:rPr>
        <w:t>10.</w:t>
      </w:r>
      <w:r>
        <w:rPr>
          <w:rFonts w:asciiTheme="minorHAnsi" w:hAnsiTheme="minorHAnsi" w:cs="Times New Roman"/>
          <w:bCs/>
          <w:noProof/>
          <w:lang w:val="en-GB"/>
        </w:rPr>
        <w:tab/>
      </w:r>
      <w:r w:rsidR="00335489" w:rsidRPr="00335489">
        <w:rPr>
          <w:rFonts w:asciiTheme="minorHAnsi" w:hAnsiTheme="minorHAnsi" w:cs="Times New Roman"/>
          <w:bCs/>
          <w:noProof/>
          <w:lang w:val="en-GB"/>
        </w:rPr>
        <w:t>Kanis JA</w:t>
      </w:r>
      <w:r w:rsidR="00335489" w:rsidRPr="00335489">
        <w:rPr>
          <w:rFonts w:asciiTheme="minorHAnsi" w:hAnsiTheme="minorHAnsi" w:cs="Times New Roman"/>
          <w:noProof/>
          <w:lang w:val="en-GB"/>
        </w:rPr>
        <w:t>, Odén A, McCloskey EV, Johansson H, Wahl D, Cyrus Cooper C  on behalf of the IOF Working Group on Epidemiology and Quality of Life (2012) A systematic review of hip fracture incidence and probability of fracture worldwide. Osteoporos Int</w:t>
      </w:r>
      <w:r w:rsidR="00104BF9">
        <w:rPr>
          <w:rFonts w:asciiTheme="minorHAnsi" w:hAnsiTheme="minorHAnsi" w:cs="Times New Roman"/>
          <w:noProof/>
          <w:lang w:val="en-GB"/>
        </w:rPr>
        <w:t xml:space="preserve"> </w:t>
      </w:r>
      <w:r w:rsidR="00335489" w:rsidRPr="00335489">
        <w:rPr>
          <w:rFonts w:asciiTheme="minorHAnsi" w:hAnsiTheme="minorHAnsi" w:cs="Times New Roman"/>
          <w:noProof/>
          <w:lang w:val="en-GB"/>
        </w:rPr>
        <w:t xml:space="preserve">23: 2239-2256.  </w:t>
      </w:r>
    </w:p>
    <w:p w14:paraId="1E8B693B" w14:textId="72C16BD0" w:rsidR="003A0264" w:rsidRPr="004C2612" w:rsidRDefault="004F7A6B" w:rsidP="00DC4350">
      <w:pPr>
        <w:spacing w:line="360" w:lineRule="auto"/>
        <w:ind w:left="720" w:hanging="720"/>
        <w:jc w:val="left"/>
        <w:rPr>
          <w:rFonts w:asciiTheme="minorHAnsi" w:hAnsiTheme="minorHAnsi" w:cs="Times New Roman"/>
          <w:noProof/>
        </w:rPr>
      </w:pPr>
      <w:r>
        <w:rPr>
          <w:rFonts w:asciiTheme="minorHAnsi" w:hAnsiTheme="minorHAnsi" w:cs="Times New Roman"/>
          <w:noProof/>
          <w:lang w:val="en-GB"/>
        </w:rPr>
        <w:t>11.</w:t>
      </w:r>
      <w:r>
        <w:rPr>
          <w:rFonts w:asciiTheme="minorHAnsi" w:hAnsiTheme="minorHAnsi" w:cs="Times New Roman"/>
          <w:noProof/>
          <w:lang w:val="en-GB"/>
        </w:rPr>
        <w:tab/>
      </w:r>
      <w:r w:rsidR="003A0264" w:rsidRPr="004C2612">
        <w:rPr>
          <w:rFonts w:asciiTheme="minorHAnsi" w:hAnsiTheme="minorHAnsi" w:cs="Times New Roman"/>
          <w:noProof/>
          <w:lang w:val="en-GB"/>
        </w:rPr>
        <w:t>Oden A, McCloskey EV, Kanis JA, Harvey NC, Johansson H (2015) Burden of high fracture probability worldwide: secular increases 2010-2040. Osteoporos Int 26:</w:t>
      </w:r>
      <w:r w:rsidR="00104BF9">
        <w:rPr>
          <w:rFonts w:asciiTheme="minorHAnsi" w:hAnsiTheme="minorHAnsi" w:cs="Times New Roman"/>
          <w:noProof/>
          <w:lang w:val="en-GB"/>
        </w:rPr>
        <w:t xml:space="preserve"> </w:t>
      </w:r>
      <w:r w:rsidR="003A0264" w:rsidRPr="004C2612">
        <w:rPr>
          <w:rFonts w:asciiTheme="minorHAnsi" w:hAnsiTheme="minorHAnsi" w:cs="Times New Roman"/>
          <w:noProof/>
          <w:lang w:val="en-GB"/>
        </w:rPr>
        <w:t xml:space="preserve">2243-2248  </w:t>
      </w:r>
    </w:p>
    <w:p w14:paraId="5610C428" w14:textId="5630DE1B" w:rsidR="00DC4350" w:rsidRPr="004C2612" w:rsidRDefault="004F7A6B" w:rsidP="00DC4350">
      <w:pPr>
        <w:spacing w:line="360" w:lineRule="auto"/>
        <w:ind w:left="720" w:hanging="720"/>
        <w:jc w:val="left"/>
        <w:rPr>
          <w:rFonts w:asciiTheme="minorHAnsi" w:hAnsiTheme="minorHAnsi" w:cs="Times New Roman"/>
          <w:noProof/>
        </w:rPr>
      </w:pPr>
      <w:r>
        <w:rPr>
          <w:rFonts w:asciiTheme="minorHAnsi" w:hAnsiTheme="minorHAnsi" w:cs="Times New Roman"/>
          <w:noProof/>
        </w:rPr>
        <w:t>12.</w:t>
      </w:r>
      <w:r>
        <w:rPr>
          <w:rFonts w:asciiTheme="minorHAnsi" w:hAnsiTheme="minorHAnsi" w:cs="Times New Roman"/>
          <w:noProof/>
        </w:rPr>
        <w:tab/>
      </w:r>
      <w:r w:rsidR="00CD5D3C" w:rsidRPr="004C2612">
        <w:rPr>
          <w:rFonts w:asciiTheme="minorHAnsi" w:hAnsiTheme="minorHAnsi" w:cs="Times New Roman"/>
          <w:noProof/>
        </w:rPr>
        <w:t>Kanis JA, Harvey NC, Cooper C, Johansson H, Odén A, McCloskey EV and the Advisory Board of the National Osteoporosis Guideline Group</w:t>
      </w:r>
      <w:r w:rsidR="00104BF9">
        <w:rPr>
          <w:rFonts w:asciiTheme="minorHAnsi" w:hAnsiTheme="minorHAnsi" w:cs="Times New Roman"/>
          <w:noProof/>
        </w:rPr>
        <w:t xml:space="preserve"> (</w:t>
      </w:r>
      <w:r w:rsidR="00CD5D3C" w:rsidRPr="004C2612">
        <w:rPr>
          <w:rFonts w:asciiTheme="minorHAnsi" w:hAnsiTheme="minorHAnsi" w:cs="Times New Roman"/>
          <w:noProof/>
        </w:rPr>
        <w:t>2016</w:t>
      </w:r>
      <w:r w:rsidR="00104BF9">
        <w:rPr>
          <w:rFonts w:asciiTheme="minorHAnsi" w:hAnsiTheme="minorHAnsi" w:cs="Times New Roman"/>
          <w:noProof/>
        </w:rPr>
        <w:t>)</w:t>
      </w:r>
      <w:r w:rsidR="00CD5D3C" w:rsidRPr="004C2612">
        <w:rPr>
          <w:rFonts w:asciiTheme="minorHAnsi" w:hAnsiTheme="minorHAnsi" w:cs="Times New Roman"/>
          <w:noProof/>
        </w:rPr>
        <w:t xml:space="preserve"> A systematic review of intervention thresholds based on FRAX. Arch Osteoporos</w:t>
      </w:r>
      <w:r w:rsidR="000F4BE7">
        <w:rPr>
          <w:rFonts w:asciiTheme="minorHAnsi" w:hAnsiTheme="minorHAnsi" w:cs="Times New Roman"/>
          <w:noProof/>
        </w:rPr>
        <w:t xml:space="preserve"> </w:t>
      </w:r>
      <w:r w:rsidR="00CD5D3C" w:rsidRPr="004C2612">
        <w:rPr>
          <w:rFonts w:asciiTheme="minorHAnsi" w:hAnsiTheme="minorHAnsi" w:cs="Times New Roman"/>
          <w:noProof/>
        </w:rPr>
        <w:t>11(1):25</w:t>
      </w:r>
    </w:p>
    <w:p w14:paraId="13D65E45" w14:textId="27BA5497" w:rsidR="00DC4350" w:rsidRPr="004C2612" w:rsidRDefault="004F7A6B" w:rsidP="00DC4350">
      <w:pPr>
        <w:spacing w:line="360" w:lineRule="auto"/>
        <w:ind w:left="720" w:hanging="720"/>
        <w:jc w:val="left"/>
        <w:rPr>
          <w:rFonts w:asciiTheme="minorHAnsi" w:hAnsiTheme="minorHAnsi" w:cs="Times New Roman"/>
          <w:noProof/>
        </w:rPr>
      </w:pPr>
      <w:r>
        <w:rPr>
          <w:rFonts w:asciiTheme="minorHAnsi" w:hAnsiTheme="minorHAnsi" w:cs="Times New Roman"/>
          <w:noProof/>
        </w:rPr>
        <w:t>13.</w:t>
      </w:r>
      <w:r>
        <w:rPr>
          <w:rFonts w:asciiTheme="minorHAnsi" w:hAnsiTheme="minorHAnsi" w:cs="Times New Roman"/>
          <w:noProof/>
        </w:rPr>
        <w:tab/>
      </w:r>
      <w:r w:rsidR="00341889" w:rsidRPr="004C2612">
        <w:rPr>
          <w:rFonts w:asciiTheme="minorHAnsi" w:hAnsiTheme="minorHAnsi" w:cs="Times New Roman"/>
          <w:noProof/>
        </w:rPr>
        <w:t>Azizieh FY</w:t>
      </w:r>
      <w:r w:rsidR="00D230D9">
        <w:rPr>
          <w:rFonts w:asciiTheme="minorHAnsi" w:hAnsiTheme="minorHAnsi" w:cs="Times New Roman"/>
          <w:noProof/>
        </w:rPr>
        <w:t xml:space="preserve"> (2015)</w:t>
      </w:r>
      <w:r w:rsidR="00341889" w:rsidRPr="004C2612">
        <w:rPr>
          <w:rFonts w:asciiTheme="minorHAnsi" w:hAnsiTheme="minorHAnsi" w:cs="Times New Roman"/>
          <w:noProof/>
        </w:rPr>
        <w:t xml:space="preserve"> Incidence of </w:t>
      </w:r>
      <w:r w:rsidR="005D572D">
        <w:rPr>
          <w:rFonts w:asciiTheme="minorHAnsi" w:hAnsiTheme="minorHAnsi" w:cs="Times New Roman"/>
          <w:noProof/>
        </w:rPr>
        <w:t>h</w:t>
      </w:r>
      <w:r w:rsidR="005D572D" w:rsidRPr="004C2612">
        <w:rPr>
          <w:rFonts w:asciiTheme="minorHAnsi" w:hAnsiTheme="minorHAnsi" w:cs="Times New Roman"/>
          <w:noProof/>
        </w:rPr>
        <w:t xml:space="preserve">ip </w:t>
      </w:r>
      <w:r w:rsidR="005D572D">
        <w:rPr>
          <w:rFonts w:asciiTheme="minorHAnsi" w:hAnsiTheme="minorHAnsi" w:cs="Times New Roman"/>
          <w:noProof/>
        </w:rPr>
        <w:t>f</w:t>
      </w:r>
      <w:r w:rsidR="005D572D" w:rsidRPr="004C2612">
        <w:rPr>
          <w:rFonts w:asciiTheme="minorHAnsi" w:hAnsiTheme="minorHAnsi" w:cs="Times New Roman"/>
          <w:noProof/>
        </w:rPr>
        <w:t xml:space="preserve">racture </w:t>
      </w:r>
      <w:r w:rsidR="00341889" w:rsidRPr="004C2612">
        <w:rPr>
          <w:rFonts w:asciiTheme="minorHAnsi" w:hAnsiTheme="minorHAnsi" w:cs="Times New Roman"/>
          <w:noProof/>
        </w:rPr>
        <w:t xml:space="preserve">in Kuwait: a national registry-based </w:t>
      </w:r>
      <w:r w:rsidR="005D572D" w:rsidRPr="004C2612">
        <w:rPr>
          <w:rFonts w:asciiTheme="minorHAnsi" w:hAnsiTheme="minorHAnsi" w:cs="Times New Roman"/>
          <w:noProof/>
        </w:rPr>
        <w:t>s</w:t>
      </w:r>
      <w:r w:rsidR="005D572D">
        <w:rPr>
          <w:rFonts w:asciiTheme="minorHAnsi" w:hAnsiTheme="minorHAnsi" w:cs="Times New Roman"/>
          <w:noProof/>
        </w:rPr>
        <w:t>t</w:t>
      </w:r>
      <w:r w:rsidR="005D572D" w:rsidRPr="004C2612">
        <w:rPr>
          <w:rFonts w:asciiTheme="minorHAnsi" w:hAnsiTheme="minorHAnsi" w:cs="Times New Roman"/>
          <w:noProof/>
        </w:rPr>
        <w:t xml:space="preserve">udy </w:t>
      </w:r>
      <w:r w:rsidR="00341889" w:rsidRPr="000F4BE7">
        <w:rPr>
          <w:rFonts w:asciiTheme="minorHAnsi" w:hAnsiTheme="minorHAnsi" w:cs="Times New Roman"/>
          <w:noProof/>
        </w:rPr>
        <w:t>Arch Osteoporos</w:t>
      </w:r>
      <w:r w:rsidR="00341889" w:rsidRPr="004C2612">
        <w:rPr>
          <w:rFonts w:asciiTheme="minorHAnsi" w:hAnsiTheme="minorHAnsi" w:cs="Times New Roman"/>
          <w:noProof/>
        </w:rPr>
        <w:t xml:space="preserve"> 10:</w:t>
      </w:r>
      <w:r w:rsidR="000F4BE7">
        <w:rPr>
          <w:rFonts w:asciiTheme="minorHAnsi" w:hAnsiTheme="minorHAnsi" w:cs="Times New Roman"/>
          <w:noProof/>
        </w:rPr>
        <w:t xml:space="preserve"> </w:t>
      </w:r>
      <w:r w:rsidR="00341889" w:rsidRPr="004C2612">
        <w:rPr>
          <w:rFonts w:asciiTheme="minorHAnsi" w:hAnsiTheme="minorHAnsi" w:cs="Times New Roman"/>
          <w:noProof/>
        </w:rPr>
        <w:t>40</w:t>
      </w:r>
    </w:p>
    <w:p w14:paraId="32D6AE5A" w14:textId="289FBB23" w:rsidR="004C2612" w:rsidRDefault="004F7A6B" w:rsidP="00DC4350">
      <w:pPr>
        <w:spacing w:line="360" w:lineRule="auto"/>
        <w:ind w:left="720" w:hanging="720"/>
        <w:jc w:val="left"/>
        <w:rPr>
          <w:rStyle w:val="Hyperlink"/>
          <w:rFonts w:asciiTheme="minorHAnsi" w:hAnsiTheme="minorHAnsi"/>
          <w:noProof/>
        </w:rPr>
      </w:pPr>
      <w:r>
        <w:rPr>
          <w:rFonts w:asciiTheme="minorHAnsi" w:hAnsiTheme="minorHAnsi" w:cs="Times New Roman"/>
          <w:noProof/>
        </w:rPr>
        <w:t>14.</w:t>
      </w:r>
      <w:r>
        <w:rPr>
          <w:rFonts w:asciiTheme="minorHAnsi" w:hAnsiTheme="minorHAnsi" w:cs="Times New Roman"/>
          <w:noProof/>
        </w:rPr>
        <w:tab/>
      </w:r>
      <w:r w:rsidR="004C2612" w:rsidRPr="004C2612">
        <w:rPr>
          <w:rFonts w:asciiTheme="minorHAnsi" w:hAnsiTheme="minorHAnsi" w:cs="Times New Roman"/>
          <w:noProof/>
        </w:rPr>
        <w:t xml:space="preserve">Kuwait Osteoporosis Society (2014) 2014 Kuwait Osteoporosis Society Guidelines for the </w:t>
      </w:r>
      <w:r w:rsidR="005D572D">
        <w:rPr>
          <w:rFonts w:asciiTheme="minorHAnsi" w:hAnsiTheme="minorHAnsi" w:cs="Times New Roman"/>
          <w:noProof/>
        </w:rPr>
        <w:t>s</w:t>
      </w:r>
      <w:r w:rsidR="005D572D" w:rsidRPr="004C2612">
        <w:rPr>
          <w:rFonts w:asciiTheme="minorHAnsi" w:hAnsiTheme="minorHAnsi" w:cs="Times New Roman"/>
          <w:noProof/>
        </w:rPr>
        <w:t xml:space="preserve">creening </w:t>
      </w:r>
      <w:r w:rsidR="004C2612" w:rsidRPr="004C2612">
        <w:rPr>
          <w:rFonts w:asciiTheme="minorHAnsi" w:hAnsiTheme="minorHAnsi" w:cs="Times New Roman"/>
          <w:noProof/>
        </w:rPr>
        <w:t xml:space="preserve">and </w:t>
      </w:r>
      <w:r w:rsidR="005D572D">
        <w:rPr>
          <w:rFonts w:asciiTheme="minorHAnsi" w:hAnsiTheme="minorHAnsi" w:cs="Times New Roman"/>
          <w:noProof/>
        </w:rPr>
        <w:t>t</w:t>
      </w:r>
      <w:r w:rsidR="005D572D" w:rsidRPr="004C2612">
        <w:rPr>
          <w:rFonts w:asciiTheme="minorHAnsi" w:hAnsiTheme="minorHAnsi" w:cs="Times New Roman"/>
          <w:noProof/>
        </w:rPr>
        <w:t xml:space="preserve">reatment </w:t>
      </w:r>
      <w:r w:rsidR="004C2612" w:rsidRPr="004C2612">
        <w:rPr>
          <w:rFonts w:asciiTheme="minorHAnsi" w:hAnsiTheme="minorHAnsi" w:cs="Times New Roman"/>
          <w:noProof/>
        </w:rPr>
        <w:t xml:space="preserve">of </w:t>
      </w:r>
      <w:r w:rsidR="00CA5051">
        <w:rPr>
          <w:rFonts w:asciiTheme="minorHAnsi" w:hAnsiTheme="minorHAnsi" w:cs="Times New Roman"/>
          <w:noProof/>
        </w:rPr>
        <w:t>o</w:t>
      </w:r>
      <w:r w:rsidR="00CA5051" w:rsidRPr="004C2612">
        <w:rPr>
          <w:rFonts w:asciiTheme="minorHAnsi" w:hAnsiTheme="minorHAnsi" w:cs="Times New Roman"/>
          <w:noProof/>
        </w:rPr>
        <w:t>steoporosis</w:t>
      </w:r>
      <w:r w:rsidR="004C2612" w:rsidRPr="004C2612">
        <w:rPr>
          <w:rFonts w:asciiTheme="minorHAnsi" w:hAnsiTheme="minorHAnsi" w:cs="Times New Roman"/>
          <w:noProof/>
        </w:rPr>
        <w:t xml:space="preserve">. Accessed 28 Sept 2016, </w:t>
      </w:r>
      <w:hyperlink r:id="rId14" w:history="1">
        <w:r w:rsidR="004C2612" w:rsidRPr="004C2612">
          <w:rPr>
            <w:rStyle w:val="Hyperlink"/>
            <w:rFonts w:asciiTheme="minorHAnsi" w:hAnsiTheme="minorHAnsi"/>
            <w:noProof/>
          </w:rPr>
          <w:t>www.kops-kw.org/GuideLines.aspx</w:t>
        </w:r>
      </w:hyperlink>
    </w:p>
    <w:p w14:paraId="23F0D45C" w14:textId="662937A9" w:rsidR="00C80E91" w:rsidRDefault="004F7A6B" w:rsidP="00C80E91">
      <w:pPr>
        <w:spacing w:line="360" w:lineRule="auto"/>
        <w:ind w:left="720" w:hanging="720"/>
        <w:jc w:val="left"/>
        <w:rPr>
          <w:rFonts w:asciiTheme="minorHAnsi" w:hAnsiTheme="minorHAnsi" w:cs="Times New Roman"/>
          <w:noProof/>
        </w:rPr>
      </w:pPr>
      <w:r>
        <w:rPr>
          <w:rFonts w:asciiTheme="minorHAnsi" w:hAnsiTheme="minorHAnsi" w:cs="Times New Roman"/>
          <w:noProof/>
        </w:rPr>
        <w:t>15.</w:t>
      </w:r>
      <w:r>
        <w:rPr>
          <w:rFonts w:asciiTheme="minorHAnsi" w:hAnsiTheme="minorHAnsi" w:cs="Times New Roman"/>
          <w:noProof/>
        </w:rPr>
        <w:tab/>
      </w:r>
      <w:r w:rsidR="00C80E91" w:rsidRPr="00C80E91">
        <w:rPr>
          <w:rFonts w:asciiTheme="minorHAnsi" w:hAnsiTheme="minorHAnsi" w:cs="Times New Roman"/>
          <w:noProof/>
        </w:rPr>
        <w:t xml:space="preserve">Cosman F, de Beur SJ, LeBoff MS, </w:t>
      </w:r>
      <w:r w:rsidR="000F4BE7">
        <w:rPr>
          <w:rFonts w:asciiTheme="minorHAnsi" w:hAnsiTheme="minorHAnsi" w:cs="Times New Roman"/>
          <w:noProof/>
        </w:rPr>
        <w:t>et al</w:t>
      </w:r>
      <w:r w:rsidR="00C80E91">
        <w:rPr>
          <w:rFonts w:asciiTheme="minorHAnsi" w:hAnsiTheme="minorHAnsi" w:cs="Times New Roman"/>
          <w:noProof/>
        </w:rPr>
        <w:t xml:space="preserve"> (2014) </w:t>
      </w:r>
      <w:r w:rsidR="00C80E91" w:rsidRPr="00C80E91">
        <w:rPr>
          <w:rFonts w:asciiTheme="minorHAnsi" w:hAnsiTheme="minorHAnsi" w:cs="Times New Roman"/>
          <w:noProof/>
        </w:rPr>
        <w:t>Clinician’s guide to prevention and treatment of</w:t>
      </w:r>
      <w:r w:rsidR="00C80E91">
        <w:rPr>
          <w:rFonts w:asciiTheme="minorHAnsi" w:hAnsiTheme="minorHAnsi" w:cs="Times New Roman"/>
          <w:noProof/>
        </w:rPr>
        <w:t xml:space="preserve"> </w:t>
      </w:r>
      <w:r w:rsidR="00C80E91" w:rsidRPr="00C80E91">
        <w:rPr>
          <w:rFonts w:asciiTheme="minorHAnsi" w:hAnsiTheme="minorHAnsi" w:cs="Times New Roman"/>
          <w:noProof/>
        </w:rPr>
        <w:t>osteoporosis. Osteoporos Int</w:t>
      </w:r>
      <w:r w:rsidR="000F4BE7">
        <w:rPr>
          <w:rFonts w:asciiTheme="minorHAnsi" w:hAnsiTheme="minorHAnsi" w:cs="Times New Roman"/>
          <w:noProof/>
        </w:rPr>
        <w:t xml:space="preserve"> </w:t>
      </w:r>
      <w:r w:rsidR="00C80E91" w:rsidRPr="00C80E91">
        <w:rPr>
          <w:rFonts w:asciiTheme="minorHAnsi" w:hAnsiTheme="minorHAnsi" w:cs="Times New Roman"/>
          <w:noProof/>
        </w:rPr>
        <w:t>25:</w:t>
      </w:r>
      <w:r w:rsidR="000F4BE7">
        <w:rPr>
          <w:rFonts w:asciiTheme="minorHAnsi" w:hAnsiTheme="minorHAnsi" w:cs="Times New Roman"/>
          <w:noProof/>
        </w:rPr>
        <w:t xml:space="preserve"> </w:t>
      </w:r>
      <w:r w:rsidR="00C80E91" w:rsidRPr="00C80E91">
        <w:rPr>
          <w:rFonts w:asciiTheme="minorHAnsi" w:hAnsiTheme="minorHAnsi" w:cs="Times New Roman"/>
          <w:noProof/>
        </w:rPr>
        <w:t>2359–81.</w:t>
      </w:r>
    </w:p>
    <w:p w14:paraId="1A0BB811" w14:textId="376B3A49" w:rsidR="00C80E91" w:rsidRPr="004C2612" w:rsidRDefault="004F7A6B" w:rsidP="00C80E91">
      <w:pPr>
        <w:spacing w:line="360" w:lineRule="auto"/>
        <w:ind w:left="720" w:hanging="720"/>
        <w:jc w:val="left"/>
        <w:rPr>
          <w:rFonts w:asciiTheme="minorHAnsi" w:hAnsiTheme="minorHAnsi" w:cs="Times New Roman"/>
          <w:noProof/>
        </w:rPr>
      </w:pPr>
      <w:r>
        <w:rPr>
          <w:rFonts w:asciiTheme="minorHAnsi" w:hAnsiTheme="minorHAnsi" w:cs="Times New Roman"/>
          <w:noProof/>
          <w:lang w:val="en-GB"/>
        </w:rPr>
        <w:t>16.</w:t>
      </w:r>
      <w:r>
        <w:rPr>
          <w:rFonts w:asciiTheme="minorHAnsi" w:hAnsiTheme="minorHAnsi" w:cs="Times New Roman"/>
          <w:noProof/>
          <w:lang w:val="en-GB"/>
        </w:rPr>
        <w:tab/>
      </w:r>
      <w:r w:rsidR="00C80E91" w:rsidRPr="00C80E91">
        <w:rPr>
          <w:rFonts w:asciiTheme="minorHAnsi" w:hAnsiTheme="minorHAnsi" w:cs="Times New Roman"/>
          <w:noProof/>
          <w:lang w:val="en-GB"/>
        </w:rPr>
        <w:t>Scottish Intercollegiate Guidelines Network (SIGN) (2015) Management of osteoporosis and the prevention of fragility</w:t>
      </w:r>
      <w:r w:rsidR="00C80E91">
        <w:rPr>
          <w:rFonts w:asciiTheme="minorHAnsi" w:hAnsiTheme="minorHAnsi" w:cs="Times New Roman"/>
          <w:noProof/>
          <w:lang w:val="en-GB"/>
        </w:rPr>
        <w:t xml:space="preserve"> </w:t>
      </w:r>
      <w:r w:rsidR="00C80E91" w:rsidRPr="00C80E91">
        <w:rPr>
          <w:rFonts w:asciiTheme="minorHAnsi" w:hAnsiTheme="minorHAnsi" w:cs="Times New Roman"/>
          <w:noProof/>
          <w:lang w:val="en-GB"/>
        </w:rPr>
        <w:t>fractures. Edinburgh: SIGN; 2015. (SIGN publication no. 142).</w:t>
      </w:r>
      <w:r w:rsidR="00C80E91">
        <w:rPr>
          <w:rFonts w:asciiTheme="minorHAnsi" w:hAnsiTheme="minorHAnsi" w:cs="Times New Roman"/>
          <w:noProof/>
          <w:lang w:val="en-GB"/>
        </w:rPr>
        <w:t xml:space="preserve"> </w:t>
      </w:r>
      <w:r w:rsidR="00C80E91" w:rsidRPr="00C80E91">
        <w:rPr>
          <w:rFonts w:asciiTheme="minorHAnsi" w:hAnsiTheme="minorHAnsi" w:cs="Times New Roman"/>
          <w:noProof/>
          <w:lang w:val="en-GB"/>
        </w:rPr>
        <w:t>http://www.sign.ac.uk. Accessed May 11 2015</w:t>
      </w:r>
    </w:p>
    <w:p w14:paraId="000DEE6C" w14:textId="552AC13B" w:rsidR="004C2612" w:rsidRPr="004C2612" w:rsidRDefault="006B520D" w:rsidP="004C2612">
      <w:pPr>
        <w:spacing w:line="360" w:lineRule="auto"/>
        <w:ind w:left="720" w:hanging="720"/>
        <w:jc w:val="left"/>
        <w:rPr>
          <w:rFonts w:asciiTheme="minorHAnsi" w:hAnsiTheme="minorHAnsi" w:cs="Times New Roman"/>
          <w:noProof/>
          <w:lang w:val="en-GB"/>
        </w:rPr>
      </w:pPr>
      <w:r>
        <w:rPr>
          <w:rFonts w:asciiTheme="minorHAnsi" w:hAnsiTheme="minorHAnsi" w:cs="Times New Roman"/>
          <w:noProof/>
          <w:lang w:val="en-GB"/>
        </w:rPr>
        <w:t>17.</w:t>
      </w:r>
      <w:r>
        <w:rPr>
          <w:rFonts w:asciiTheme="minorHAnsi" w:hAnsiTheme="minorHAnsi" w:cs="Times New Roman"/>
          <w:noProof/>
          <w:lang w:val="en-GB"/>
        </w:rPr>
        <w:tab/>
      </w:r>
      <w:r w:rsidR="004C2612" w:rsidRPr="004C2612">
        <w:rPr>
          <w:rFonts w:asciiTheme="minorHAnsi" w:hAnsiTheme="minorHAnsi" w:cs="Times New Roman"/>
          <w:noProof/>
          <w:lang w:val="en-GB"/>
        </w:rPr>
        <w:t>Kanis JA, McCloskey EV, Johansson H, Strom O, Borgstrom F, Oden A and the National Osteoporosis Guideline Group</w:t>
      </w:r>
      <w:r w:rsidR="000F4BE7">
        <w:rPr>
          <w:rFonts w:asciiTheme="minorHAnsi" w:hAnsiTheme="minorHAnsi" w:cs="Times New Roman"/>
          <w:noProof/>
          <w:lang w:val="en-GB"/>
        </w:rPr>
        <w:t xml:space="preserve"> (</w:t>
      </w:r>
      <w:r w:rsidR="004C2612" w:rsidRPr="004C2612">
        <w:rPr>
          <w:rFonts w:asciiTheme="minorHAnsi" w:hAnsiTheme="minorHAnsi" w:cs="Times New Roman"/>
          <w:noProof/>
          <w:lang w:val="en-GB"/>
        </w:rPr>
        <w:t>2008</w:t>
      </w:r>
      <w:r>
        <w:rPr>
          <w:rFonts w:asciiTheme="minorHAnsi" w:hAnsiTheme="minorHAnsi" w:cs="Times New Roman"/>
          <w:noProof/>
          <w:lang w:val="en-GB"/>
        </w:rPr>
        <w:t>c</w:t>
      </w:r>
      <w:r w:rsidR="000F4BE7">
        <w:rPr>
          <w:rFonts w:asciiTheme="minorHAnsi" w:hAnsiTheme="minorHAnsi" w:cs="Times New Roman"/>
          <w:noProof/>
          <w:lang w:val="en-GB"/>
        </w:rPr>
        <w:t>)</w:t>
      </w:r>
      <w:r w:rsidR="004C2612" w:rsidRPr="004C2612">
        <w:rPr>
          <w:rFonts w:asciiTheme="minorHAnsi" w:hAnsiTheme="minorHAnsi" w:cs="Times New Roman"/>
          <w:noProof/>
          <w:lang w:val="en-GB"/>
        </w:rPr>
        <w:t xml:space="preserve"> Case finding for the management of osteoporosis with FRAX</w:t>
      </w:r>
      <w:r w:rsidR="004C2612" w:rsidRPr="004C2612">
        <w:rPr>
          <w:rFonts w:asciiTheme="minorHAnsi" w:hAnsiTheme="minorHAnsi" w:cs="Times New Roman"/>
          <w:noProof/>
          <w:vertAlign w:val="superscript"/>
          <w:lang w:val="en-GB"/>
        </w:rPr>
        <w:t>®</w:t>
      </w:r>
      <w:r w:rsidR="004C2612" w:rsidRPr="004C2612">
        <w:rPr>
          <w:rFonts w:asciiTheme="minorHAnsi" w:hAnsiTheme="minorHAnsi" w:cs="Times New Roman"/>
          <w:noProof/>
          <w:lang w:val="en-GB"/>
        </w:rPr>
        <w:t xml:space="preserve"> - Assessment and intervention thresholds for the UK</w:t>
      </w:r>
      <w:r w:rsidR="004C2612" w:rsidRPr="000F4BE7">
        <w:rPr>
          <w:rFonts w:asciiTheme="minorHAnsi" w:hAnsiTheme="minorHAnsi" w:cs="Times New Roman"/>
          <w:noProof/>
          <w:lang w:val="en-GB"/>
        </w:rPr>
        <w:t>. Osteoporos Int</w:t>
      </w:r>
      <w:r w:rsidR="004C2612" w:rsidRPr="004C2612">
        <w:rPr>
          <w:rFonts w:asciiTheme="minorHAnsi" w:hAnsiTheme="minorHAnsi" w:cs="Times New Roman"/>
          <w:noProof/>
          <w:lang w:val="en-GB"/>
        </w:rPr>
        <w:t xml:space="preserve"> 19: 1395-1408 Erratum 2009. </w:t>
      </w:r>
      <w:r w:rsidR="004C2612" w:rsidRPr="000F4BE7">
        <w:rPr>
          <w:rFonts w:asciiTheme="minorHAnsi" w:hAnsiTheme="minorHAnsi" w:cs="Times New Roman"/>
          <w:noProof/>
          <w:lang w:val="en-GB"/>
        </w:rPr>
        <w:t>Osteoporos Int</w:t>
      </w:r>
      <w:r w:rsidR="004C2612" w:rsidRPr="004C2612">
        <w:rPr>
          <w:rFonts w:asciiTheme="minorHAnsi" w:hAnsiTheme="minorHAnsi" w:cs="Times New Roman"/>
          <w:noProof/>
          <w:lang w:val="en-GB"/>
        </w:rPr>
        <w:t xml:space="preserve"> </w:t>
      </w:r>
      <w:r w:rsidR="004C2612" w:rsidRPr="004C2612">
        <w:rPr>
          <w:rFonts w:asciiTheme="minorHAnsi" w:hAnsiTheme="minorHAnsi" w:cs="Times New Roman"/>
          <w:bCs/>
          <w:noProof/>
          <w:lang w:val="en-GB"/>
        </w:rPr>
        <w:t>20</w:t>
      </w:r>
      <w:r w:rsidR="004C2612" w:rsidRPr="004C2612">
        <w:rPr>
          <w:rFonts w:asciiTheme="minorHAnsi" w:hAnsiTheme="minorHAnsi" w:cs="Times New Roman"/>
          <w:noProof/>
          <w:lang w:val="en-GB"/>
        </w:rPr>
        <w:t>: 499-502.</w:t>
      </w:r>
    </w:p>
    <w:p w14:paraId="33371CCD" w14:textId="1A792ACE" w:rsidR="004C2612" w:rsidRDefault="006B520D" w:rsidP="004C2612">
      <w:pPr>
        <w:spacing w:line="360" w:lineRule="auto"/>
        <w:ind w:left="720" w:hanging="720"/>
        <w:jc w:val="left"/>
        <w:rPr>
          <w:rFonts w:asciiTheme="minorHAnsi" w:hAnsiTheme="minorHAnsi" w:cs="Times New Roman"/>
          <w:bCs/>
          <w:iCs/>
          <w:noProof/>
          <w:lang w:val="en-GB"/>
        </w:rPr>
      </w:pPr>
      <w:r>
        <w:rPr>
          <w:rFonts w:asciiTheme="minorHAnsi" w:hAnsiTheme="minorHAnsi" w:cs="Times New Roman"/>
          <w:bCs/>
          <w:iCs/>
          <w:noProof/>
          <w:lang w:val="en-GB"/>
        </w:rPr>
        <w:t>18.</w:t>
      </w:r>
      <w:r>
        <w:rPr>
          <w:rFonts w:asciiTheme="minorHAnsi" w:hAnsiTheme="minorHAnsi" w:cs="Times New Roman"/>
          <w:bCs/>
          <w:iCs/>
          <w:noProof/>
          <w:lang w:val="en-GB"/>
        </w:rPr>
        <w:tab/>
      </w:r>
      <w:r w:rsidR="004C2612" w:rsidRPr="004C2612">
        <w:rPr>
          <w:rFonts w:asciiTheme="minorHAnsi" w:hAnsiTheme="minorHAnsi" w:cs="Times New Roman"/>
          <w:bCs/>
          <w:iCs/>
          <w:noProof/>
          <w:lang w:val="en-GB"/>
        </w:rPr>
        <w:t xml:space="preserve">Compston J, Cooper A, Cooper C et al, on behalf of the National Osteoporosis Guideline Group (NOGG). 2009. Guidelines for the diagnosis and management of osteoporosis in </w:t>
      </w:r>
      <w:r w:rsidR="004C2612" w:rsidRPr="00916A7A">
        <w:rPr>
          <w:rFonts w:asciiTheme="minorHAnsi" w:hAnsiTheme="minorHAnsi" w:cs="Times New Roman"/>
          <w:bCs/>
          <w:iCs/>
          <w:noProof/>
          <w:lang w:val="en-GB"/>
        </w:rPr>
        <w:t xml:space="preserve">postmenopausal women and men from the age of 50 years in the UK. </w:t>
      </w:r>
      <w:r w:rsidR="004C2612" w:rsidRPr="000F4BE7">
        <w:rPr>
          <w:rFonts w:asciiTheme="minorHAnsi" w:hAnsiTheme="minorHAnsi" w:cs="Times New Roman"/>
          <w:bCs/>
          <w:iCs/>
          <w:noProof/>
          <w:lang w:val="en-GB"/>
        </w:rPr>
        <w:t xml:space="preserve">Maturitas </w:t>
      </w:r>
      <w:r w:rsidR="004C2612" w:rsidRPr="00916A7A">
        <w:rPr>
          <w:rFonts w:asciiTheme="minorHAnsi" w:hAnsiTheme="minorHAnsi" w:cs="Times New Roman"/>
          <w:iCs/>
          <w:noProof/>
          <w:lang w:val="en-GB"/>
        </w:rPr>
        <w:t>62</w:t>
      </w:r>
      <w:r w:rsidR="004C2612" w:rsidRPr="00916A7A">
        <w:rPr>
          <w:rFonts w:asciiTheme="minorHAnsi" w:hAnsiTheme="minorHAnsi" w:cs="Times New Roman"/>
          <w:bCs/>
          <w:iCs/>
          <w:noProof/>
          <w:lang w:val="en-GB"/>
        </w:rPr>
        <w:t>:</w:t>
      </w:r>
      <w:r w:rsidR="000F4BE7">
        <w:rPr>
          <w:rFonts w:asciiTheme="minorHAnsi" w:hAnsiTheme="minorHAnsi" w:cs="Times New Roman"/>
          <w:bCs/>
          <w:iCs/>
          <w:noProof/>
          <w:lang w:val="en-GB"/>
        </w:rPr>
        <w:t xml:space="preserve"> </w:t>
      </w:r>
      <w:r w:rsidR="004C2612" w:rsidRPr="00916A7A">
        <w:rPr>
          <w:rFonts w:asciiTheme="minorHAnsi" w:hAnsiTheme="minorHAnsi" w:cs="Times New Roman"/>
          <w:bCs/>
          <w:iCs/>
          <w:noProof/>
          <w:lang w:val="en-GB"/>
        </w:rPr>
        <w:t>105-108.</w:t>
      </w:r>
    </w:p>
    <w:p w14:paraId="508B9D8A" w14:textId="2E67FAE0" w:rsidR="00A34600" w:rsidRPr="00A34600" w:rsidRDefault="003F0E6C" w:rsidP="00A34600">
      <w:pPr>
        <w:spacing w:line="360" w:lineRule="auto"/>
        <w:ind w:left="720" w:hanging="720"/>
        <w:jc w:val="left"/>
        <w:rPr>
          <w:rFonts w:asciiTheme="minorHAnsi" w:hAnsiTheme="minorHAnsi" w:cs="Times New Roman"/>
          <w:bCs/>
          <w:iCs/>
          <w:noProof/>
        </w:rPr>
      </w:pPr>
      <w:r>
        <w:rPr>
          <w:rFonts w:asciiTheme="minorHAnsi" w:hAnsiTheme="minorHAnsi" w:cs="Times New Roman"/>
          <w:bCs/>
          <w:iCs/>
          <w:noProof/>
          <w:lang w:val="en-GB"/>
        </w:rPr>
        <w:t>19.</w:t>
      </w:r>
      <w:r w:rsidR="00A34600">
        <w:rPr>
          <w:rFonts w:asciiTheme="minorHAnsi" w:hAnsiTheme="minorHAnsi" w:cs="Times New Roman"/>
          <w:bCs/>
          <w:iCs/>
          <w:noProof/>
          <w:lang w:val="en-GB"/>
        </w:rPr>
        <w:tab/>
      </w:r>
      <w:r w:rsidR="00A34600" w:rsidRPr="00A34600">
        <w:rPr>
          <w:rFonts w:asciiTheme="minorHAnsi" w:hAnsiTheme="minorHAnsi" w:cs="Times New Roman"/>
          <w:bCs/>
          <w:iCs/>
          <w:noProof/>
        </w:rPr>
        <w:t xml:space="preserve">Newkuwat. The public authority for civil information. </w:t>
      </w:r>
      <w:hyperlink r:id="rId15" w:history="1">
        <w:r w:rsidR="00A34600" w:rsidRPr="00A34600">
          <w:rPr>
            <w:rStyle w:val="Hyperlink"/>
            <w:rFonts w:asciiTheme="minorHAnsi" w:hAnsiTheme="minorHAnsi"/>
            <w:noProof/>
          </w:rPr>
          <w:t>https://www.paci.gov.kw/</w:t>
        </w:r>
      </w:hyperlink>
      <w:r w:rsidR="00A34600">
        <w:rPr>
          <w:rFonts w:asciiTheme="minorHAnsi" w:hAnsiTheme="minorHAnsi" w:cs="Times New Roman"/>
          <w:bCs/>
          <w:iCs/>
          <w:noProof/>
        </w:rPr>
        <w:t xml:space="preserve"> accessed </w:t>
      </w:r>
      <w:r w:rsidR="00A34600" w:rsidRPr="00A34600">
        <w:rPr>
          <w:rFonts w:asciiTheme="minorHAnsi" w:hAnsiTheme="minorHAnsi" w:cs="Times New Roman"/>
          <w:bCs/>
          <w:iCs/>
          <w:noProof/>
        </w:rPr>
        <w:t>30 jun</w:t>
      </w:r>
      <w:r w:rsidR="00A34600">
        <w:rPr>
          <w:rFonts w:asciiTheme="minorHAnsi" w:hAnsiTheme="minorHAnsi" w:cs="Times New Roman"/>
          <w:bCs/>
          <w:iCs/>
          <w:noProof/>
        </w:rPr>
        <w:t>e</w:t>
      </w:r>
      <w:r w:rsidR="00A34600" w:rsidRPr="00A34600">
        <w:rPr>
          <w:rFonts w:asciiTheme="minorHAnsi" w:hAnsiTheme="minorHAnsi" w:cs="Times New Roman"/>
          <w:bCs/>
          <w:iCs/>
          <w:noProof/>
        </w:rPr>
        <w:t xml:space="preserve"> 2106</w:t>
      </w:r>
    </w:p>
    <w:p w14:paraId="73A67390" w14:textId="59DECA1B" w:rsidR="00A55BFD" w:rsidRDefault="003F0E6C" w:rsidP="00A55BFD">
      <w:pPr>
        <w:spacing w:line="360" w:lineRule="auto"/>
        <w:ind w:left="720" w:hanging="720"/>
        <w:jc w:val="left"/>
        <w:rPr>
          <w:rFonts w:asciiTheme="minorHAnsi" w:hAnsiTheme="minorHAnsi" w:cs="Times New Roman"/>
          <w:bCs/>
          <w:iCs/>
          <w:noProof/>
        </w:rPr>
      </w:pPr>
      <w:r>
        <w:rPr>
          <w:rFonts w:asciiTheme="minorHAnsi" w:hAnsiTheme="minorHAnsi" w:cs="Times New Roman"/>
          <w:bCs/>
          <w:iCs/>
          <w:noProof/>
        </w:rPr>
        <w:t>20</w:t>
      </w:r>
      <w:r w:rsidR="006B520D">
        <w:rPr>
          <w:rFonts w:asciiTheme="minorHAnsi" w:hAnsiTheme="minorHAnsi" w:cs="Times New Roman"/>
          <w:bCs/>
          <w:iCs/>
          <w:noProof/>
        </w:rPr>
        <w:t>.</w:t>
      </w:r>
      <w:r w:rsidR="006B520D">
        <w:rPr>
          <w:rFonts w:asciiTheme="minorHAnsi" w:hAnsiTheme="minorHAnsi" w:cs="Times New Roman"/>
          <w:bCs/>
          <w:iCs/>
          <w:noProof/>
        </w:rPr>
        <w:tab/>
      </w:r>
      <w:r w:rsidR="00A55BFD" w:rsidRPr="00A55BFD">
        <w:rPr>
          <w:rFonts w:asciiTheme="minorHAnsi" w:hAnsiTheme="minorHAnsi" w:cs="Times New Roman"/>
          <w:bCs/>
          <w:iCs/>
          <w:noProof/>
        </w:rPr>
        <w:t>Kanis JA, Oden A, Johnell O, et al</w:t>
      </w:r>
      <w:r w:rsidR="000F4BE7">
        <w:rPr>
          <w:rFonts w:asciiTheme="minorHAnsi" w:hAnsiTheme="minorHAnsi" w:cs="Times New Roman"/>
          <w:bCs/>
          <w:iCs/>
          <w:noProof/>
        </w:rPr>
        <w:t xml:space="preserve"> (2007)</w:t>
      </w:r>
      <w:r w:rsidR="00A55BFD" w:rsidRPr="00A55BFD">
        <w:rPr>
          <w:rFonts w:asciiTheme="minorHAnsi" w:hAnsiTheme="minorHAnsi" w:cs="Times New Roman"/>
          <w:bCs/>
          <w:iCs/>
          <w:noProof/>
        </w:rPr>
        <w:t xml:space="preserve"> The use of clinical risk factors enhances the performance of BMD in the prediction of hip and osteoporotic fractures in men and women. </w:t>
      </w:r>
      <w:r w:rsidR="00A55BFD" w:rsidRPr="000F4BE7">
        <w:rPr>
          <w:rFonts w:asciiTheme="minorHAnsi" w:hAnsiTheme="minorHAnsi" w:cs="Times New Roman"/>
          <w:bCs/>
          <w:iCs/>
          <w:noProof/>
        </w:rPr>
        <w:t xml:space="preserve">Osteoporos Int </w:t>
      </w:r>
      <w:r w:rsidR="000F4BE7">
        <w:rPr>
          <w:rFonts w:asciiTheme="minorHAnsi" w:hAnsiTheme="minorHAnsi" w:cs="Times New Roman"/>
          <w:bCs/>
          <w:iCs/>
          <w:noProof/>
        </w:rPr>
        <w:t>1</w:t>
      </w:r>
      <w:r w:rsidR="00A55BFD" w:rsidRPr="00A55BFD">
        <w:rPr>
          <w:rFonts w:asciiTheme="minorHAnsi" w:hAnsiTheme="minorHAnsi" w:cs="Times New Roman"/>
          <w:bCs/>
          <w:iCs/>
          <w:noProof/>
        </w:rPr>
        <w:t>8</w:t>
      </w:r>
      <w:r w:rsidR="000F4BE7">
        <w:rPr>
          <w:rFonts w:asciiTheme="minorHAnsi" w:hAnsiTheme="minorHAnsi" w:cs="Times New Roman"/>
          <w:bCs/>
          <w:iCs/>
          <w:noProof/>
        </w:rPr>
        <w:t xml:space="preserve">: </w:t>
      </w:r>
      <w:r w:rsidR="00A55BFD" w:rsidRPr="00A55BFD">
        <w:rPr>
          <w:rFonts w:asciiTheme="minorHAnsi" w:hAnsiTheme="minorHAnsi" w:cs="Times New Roman"/>
          <w:bCs/>
          <w:iCs/>
          <w:noProof/>
        </w:rPr>
        <w:t>1033-46.</w:t>
      </w:r>
    </w:p>
    <w:p w14:paraId="56FA592B" w14:textId="53226D27" w:rsidR="00A55BFD" w:rsidRPr="00A55BFD" w:rsidRDefault="003F0E6C" w:rsidP="00A55BFD">
      <w:pPr>
        <w:spacing w:line="360" w:lineRule="auto"/>
        <w:ind w:left="720" w:hanging="720"/>
        <w:jc w:val="left"/>
        <w:rPr>
          <w:rFonts w:asciiTheme="minorHAnsi" w:hAnsiTheme="minorHAnsi" w:cs="Times New Roman"/>
          <w:bCs/>
          <w:iCs/>
          <w:noProof/>
        </w:rPr>
      </w:pPr>
      <w:bookmarkStart w:id="3" w:name="_Hlk486674186"/>
      <w:r>
        <w:rPr>
          <w:rFonts w:asciiTheme="minorHAnsi" w:hAnsiTheme="minorHAnsi" w:cs="Times New Roman"/>
          <w:bCs/>
          <w:iCs/>
          <w:noProof/>
        </w:rPr>
        <w:t>21</w:t>
      </w:r>
      <w:r w:rsidR="006B520D">
        <w:rPr>
          <w:rFonts w:asciiTheme="minorHAnsi" w:hAnsiTheme="minorHAnsi" w:cs="Times New Roman"/>
          <w:bCs/>
          <w:iCs/>
          <w:noProof/>
        </w:rPr>
        <w:t>.</w:t>
      </w:r>
      <w:r w:rsidR="006B520D">
        <w:rPr>
          <w:rFonts w:asciiTheme="minorHAnsi" w:hAnsiTheme="minorHAnsi" w:cs="Times New Roman"/>
          <w:bCs/>
          <w:iCs/>
          <w:noProof/>
        </w:rPr>
        <w:tab/>
      </w:r>
      <w:r w:rsidR="00A55BFD" w:rsidRPr="00A55BFD">
        <w:rPr>
          <w:rFonts w:asciiTheme="minorHAnsi" w:hAnsiTheme="minorHAnsi" w:cs="Times New Roman"/>
          <w:bCs/>
          <w:iCs/>
          <w:noProof/>
        </w:rPr>
        <w:t>Johansson H, Oden A, Johnell O et al</w:t>
      </w:r>
      <w:r w:rsidR="000F4BE7">
        <w:rPr>
          <w:rFonts w:asciiTheme="minorHAnsi" w:hAnsiTheme="minorHAnsi" w:cs="Times New Roman"/>
          <w:bCs/>
          <w:iCs/>
          <w:noProof/>
        </w:rPr>
        <w:t xml:space="preserve"> (2004) </w:t>
      </w:r>
      <w:r w:rsidR="00A55BFD" w:rsidRPr="00A55BFD">
        <w:rPr>
          <w:rFonts w:asciiTheme="minorHAnsi" w:hAnsiTheme="minorHAnsi" w:cs="Times New Roman"/>
          <w:bCs/>
          <w:iCs/>
          <w:noProof/>
        </w:rPr>
        <w:t>Optimization of BMD measurements to identify high risk groups for treatment--a test analysis</w:t>
      </w:r>
      <w:r w:rsidR="00A55BFD" w:rsidRPr="000F4BE7">
        <w:rPr>
          <w:rFonts w:asciiTheme="minorHAnsi" w:hAnsiTheme="minorHAnsi" w:cs="Times New Roman"/>
          <w:bCs/>
          <w:iCs/>
          <w:noProof/>
        </w:rPr>
        <w:t>. J Bone Miner Res</w:t>
      </w:r>
      <w:r w:rsidR="00A55BFD" w:rsidRPr="00A55BFD">
        <w:rPr>
          <w:rFonts w:asciiTheme="minorHAnsi" w:hAnsiTheme="minorHAnsi" w:cs="Times New Roman"/>
          <w:bCs/>
          <w:iCs/>
          <w:noProof/>
        </w:rPr>
        <w:t xml:space="preserve"> 19</w:t>
      </w:r>
      <w:r w:rsidR="000F4BE7">
        <w:rPr>
          <w:rFonts w:asciiTheme="minorHAnsi" w:hAnsiTheme="minorHAnsi" w:cs="Times New Roman"/>
          <w:bCs/>
          <w:iCs/>
          <w:noProof/>
        </w:rPr>
        <w:t xml:space="preserve">: </w:t>
      </w:r>
      <w:r w:rsidR="00A55BFD" w:rsidRPr="00A55BFD">
        <w:rPr>
          <w:rFonts w:asciiTheme="minorHAnsi" w:hAnsiTheme="minorHAnsi" w:cs="Times New Roman"/>
          <w:bCs/>
          <w:iCs/>
          <w:noProof/>
        </w:rPr>
        <w:t>906-13.</w:t>
      </w:r>
    </w:p>
    <w:p w14:paraId="5D3BBCEE" w14:textId="3E035533" w:rsidR="00A55BFD" w:rsidRDefault="006B520D" w:rsidP="00A55BFD">
      <w:pPr>
        <w:spacing w:line="360" w:lineRule="auto"/>
        <w:ind w:left="720" w:hanging="720"/>
        <w:jc w:val="left"/>
        <w:rPr>
          <w:rFonts w:asciiTheme="minorHAnsi" w:hAnsiTheme="minorHAnsi" w:cs="Times New Roman"/>
          <w:bCs/>
          <w:iCs/>
          <w:noProof/>
        </w:rPr>
      </w:pPr>
      <w:r>
        <w:rPr>
          <w:rFonts w:asciiTheme="minorHAnsi" w:hAnsiTheme="minorHAnsi" w:cs="Times New Roman"/>
          <w:bCs/>
          <w:iCs/>
          <w:noProof/>
        </w:rPr>
        <w:t>2</w:t>
      </w:r>
      <w:r w:rsidR="003F0E6C">
        <w:rPr>
          <w:rFonts w:asciiTheme="minorHAnsi" w:hAnsiTheme="minorHAnsi" w:cs="Times New Roman"/>
          <w:bCs/>
          <w:iCs/>
          <w:noProof/>
        </w:rPr>
        <w:t>2</w:t>
      </w:r>
      <w:r>
        <w:rPr>
          <w:rFonts w:asciiTheme="minorHAnsi" w:hAnsiTheme="minorHAnsi" w:cs="Times New Roman"/>
          <w:bCs/>
          <w:iCs/>
          <w:noProof/>
        </w:rPr>
        <w:t>.</w:t>
      </w:r>
      <w:r>
        <w:rPr>
          <w:rFonts w:asciiTheme="minorHAnsi" w:hAnsiTheme="minorHAnsi" w:cs="Times New Roman"/>
          <w:bCs/>
          <w:iCs/>
          <w:noProof/>
        </w:rPr>
        <w:tab/>
      </w:r>
      <w:r w:rsidR="00A55BFD" w:rsidRPr="00A55BFD">
        <w:rPr>
          <w:rFonts w:asciiTheme="minorHAnsi" w:hAnsiTheme="minorHAnsi" w:cs="Times New Roman"/>
          <w:bCs/>
          <w:iCs/>
          <w:noProof/>
        </w:rPr>
        <w:t>Leslie WD, Majumdar SR, Lix LM, et al</w:t>
      </w:r>
      <w:r w:rsidR="000F4BE7">
        <w:rPr>
          <w:rFonts w:asciiTheme="minorHAnsi" w:hAnsiTheme="minorHAnsi" w:cs="Times New Roman"/>
          <w:bCs/>
          <w:iCs/>
          <w:noProof/>
        </w:rPr>
        <w:t xml:space="preserve"> (2012)v</w:t>
      </w:r>
      <w:r w:rsidR="00A55BFD" w:rsidRPr="00A55BFD">
        <w:rPr>
          <w:rFonts w:asciiTheme="minorHAnsi" w:hAnsiTheme="minorHAnsi" w:cs="Times New Roman"/>
          <w:bCs/>
          <w:iCs/>
          <w:noProof/>
        </w:rPr>
        <w:t xml:space="preserve">High fracture probability with FRAX usually indicates densitometric osteoporosis: implications for clinical practice. </w:t>
      </w:r>
      <w:r w:rsidR="00A55BFD" w:rsidRPr="000F4BE7">
        <w:rPr>
          <w:rFonts w:asciiTheme="minorHAnsi" w:hAnsiTheme="minorHAnsi" w:cs="Times New Roman"/>
          <w:bCs/>
          <w:iCs/>
          <w:noProof/>
        </w:rPr>
        <w:t>Osteoporos Int</w:t>
      </w:r>
      <w:r w:rsidR="00A55BFD" w:rsidRPr="00A55BFD">
        <w:rPr>
          <w:rFonts w:asciiTheme="minorHAnsi" w:hAnsiTheme="minorHAnsi" w:cs="Times New Roman"/>
          <w:bCs/>
          <w:iCs/>
          <w:noProof/>
        </w:rPr>
        <w:t xml:space="preserve"> 23</w:t>
      </w:r>
      <w:r w:rsidR="000F4BE7">
        <w:rPr>
          <w:rFonts w:asciiTheme="minorHAnsi" w:hAnsiTheme="minorHAnsi" w:cs="Times New Roman"/>
          <w:bCs/>
          <w:iCs/>
          <w:noProof/>
        </w:rPr>
        <w:t xml:space="preserve">: </w:t>
      </w:r>
      <w:r w:rsidR="00A55BFD" w:rsidRPr="00A55BFD">
        <w:rPr>
          <w:rFonts w:asciiTheme="minorHAnsi" w:hAnsiTheme="minorHAnsi" w:cs="Times New Roman"/>
          <w:bCs/>
          <w:iCs/>
          <w:noProof/>
        </w:rPr>
        <w:t>391-7.</w:t>
      </w:r>
    </w:p>
    <w:bookmarkEnd w:id="3"/>
    <w:p w14:paraId="6740F43B" w14:textId="7E6947BB" w:rsidR="00B73533" w:rsidRDefault="006B520D" w:rsidP="00A55BFD">
      <w:pPr>
        <w:spacing w:line="360" w:lineRule="auto"/>
        <w:ind w:left="720" w:hanging="720"/>
        <w:jc w:val="left"/>
        <w:rPr>
          <w:rFonts w:asciiTheme="minorHAnsi" w:hAnsiTheme="minorHAnsi" w:cs="Times New Roman"/>
          <w:bCs/>
          <w:iCs/>
          <w:noProof/>
        </w:rPr>
      </w:pPr>
      <w:r>
        <w:rPr>
          <w:rFonts w:asciiTheme="minorHAnsi" w:hAnsiTheme="minorHAnsi" w:cs="Times New Roman"/>
          <w:bCs/>
          <w:iCs/>
          <w:noProof/>
        </w:rPr>
        <w:t>2</w:t>
      </w:r>
      <w:r w:rsidR="003F0E6C">
        <w:rPr>
          <w:rFonts w:asciiTheme="minorHAnsi" w:hAnsiTheme="minorHAnsi" w:cs="Times New Roman"/>
          <w:bCs/>
          <w:iCs/>
          <w:noProof/>
        </w:rPr>
        <w:t>3</w:t>
      </w:r>
      <w:r>
        <w:rPr>
          <w:rFonts w:asciiTheme="minorHAnsi" w:hAnsiTheme="minorHAnsi" w:cs="Times New Roman"/>
          <w:bCs/>
          <w:iCs/>
          <w:noProof/>
        </w:rPr>
        <w:t>.</w:t>
      </w:r>
      <w:r>
        <w:rPr>
          <w:rFonts w:asciiTheme="minorHAnsi" w:hAnsiTheme="minorHAnsi" w:cs="Times New Roman"/>
          <w:bCs/>
          <w:iCs/>
          <w:noProof/>
        </w:rPr>
        <w:tab/>
      </w:r>
      <w:r w:rsidR="00B73533" w:rsidRPr="00B73533">
        <w:rPr>
          <w:rFonts w:asciiTheme="minorHAnsi" w:hAnsiTheme="minorHAnsi" w:cs="Times New Roman"/>
          <w:bCs/>
          <w:iCs/>
          <w:noProof/>
        </w:rPr>
        <w:t>Kanis JA, McCloskey E, Johansson H, Oden A, Leslie WD</w:t>
      </w:r>
      <w:r w:rsidR="000F4BE7">
        <w:rPr>
          <w:rFonts w:asciiTheme="minorHAnsi" w:hAnsiTheme="minorHAnsi" w:cs="Times New Roman"/>
          <w:bCs/>
          <w:iCs/>
          <w:noProof/>
        </w:rPr>
        <w:t xml:space="preserve"> (2012) </w:t>
      </w:r>
      <w:r w:rsidR="00B73533" w:rsidRPr="00B73533">
        <w:rPr>
          <w:rFonts w:asciiTheme="minorHAnsi" w:hAnsiTheme="minorHAnsi" w:cs="Times New Roman"/>
          <w:bCs/>
          <w:iCs/>
          <w:noProof/>
        </w:rPr>
        <w:t xml:space="preserve">FRAX((R)) with and without bone mineral density. </w:t>
      </w:r>
      <w:r w:rsidR="00B73533" w:rsidRPr="000F4BE7">
        <w:rPr>
          <w:rFonts w:asciiTheme="minorHAnsi" w:hAnsiTheme="minorHAnsi" w:cs="Times New Roman"/>
          <w:bCs/>
          <w:iCs/>
          <w:noProof/>
        </w:rPr>
        <w:t xml:space="preserve">Calcif Tissue Int </w:t>
      </w:r>
      <w:r w:rsidR="00B73533" w:rsidRPr="00B73533">
        <w:rPr>
          <w:rFonts w:asciiTheme="minorHAnsi" w:hAnsiTheme="minorHAnsi" w:cs="Times New Roman"/>
          <w:bCs/>
          <w:iCs/>
          <w:noProof/>
        </w:rPr>
        <w:t>90</w:t>
      </w:r>
      <w:r w:rsidR="000F4BE7">
        <w:rPr>
          <w:rFonts w:asciiTheme="minorHAnsi" w:hAnsiTheme="minorHAnsi" w:cs="Times New Roman"/>
          <w:bCs/>
          <w:iCs/>
          <w:noProof/>
        </w:rPr>
        <w:t xml:space="preserve">: </w:t>
      </w:r>
      <w:r w:rsidR="00B73533" w:rsidRPr="00B73533">
        <w:rPr>
          <w:rFonts w:asciiTheme="minorHAnsi" w:hAnsiTheme="minorHAnsi" w:cs="Times New Roman"/>
          <w:bCs/>
          <w:iCs/>
          <w:noProof/>
        </w:rPr>
        <w:t>1-13.</w:t>
      </w:r>
    </w:p>
    <w:p w14:paraId="1CAA4C5A" w14:textId="70D68F27" w:rsidR="00C17790" w:rsidRPr="00E062CE" w:rsidRDefault="00C17790" w:rsidP="00C17790">
      <w:pPr>
        <w:spacing w:line="360" w:lineRule="auto"/>
        <w:ind w:left="720" w:hanging="720"/>
        <w:jc w:val="left"/>
        <w:rPr>
          <w:rFonts w:asciiTheme="minorHAnsi" w:hAnsiTheme="minorHAnsi" w:cs="Times New Roman"/>
          <w:noProof/>
          <w:szCs w:val="21"/>
        </w:rPr>
      </w:pPr>
      <w:r w:rsidRPr="00C17790">
        <w:rPr>
          <w:rFonts w:asciiTheme="minorHAnsi" w:hAnsiTheme="minorHAnsi" w:cs="Times New Roman"/>
          <w:noProof/>
          <w:szCs w:val="21"/>
        </w:rPr>
        <w:t>2</w:t>
      </w:r>
      <w:r w:rsidR="003F0E6C">
        <w:rPr>
          <w:rFonts w:asciiTheme="minorHAnsi" w:hAnsiTheme="minorHAnsi" w:cs="Times New Roman"/>
          <w:noProof/>
          <w:szCs w:val="21"/>
        </w:rPr>
        <w:t>4</w:t>
      </w:r>
      <w:r w:rsidRPr="00C17790">
        <w:rPr>
          <w:rFonts w:asciiTheme="minorHAnsi" w:hAnsiTheme="minorHAnsi" w:cs="Times New Roman"/>
          <w:noProof/>
          <w:szCs w:val="21"/>
        </w:rPr>
        <w:t xml:space="preserve">. </w:t>
      </w:r>
      <w:r w:rsidRPr="00C17790">
        <w:rPr>
          <w:rFonts w:asciiTheme="minorHAnsi" w:hAnsiTheme="minorHAnsi" w:cs="Times New Roman"/>
          <w:noProof/>
          <w:szCs w:val="21"/>
        </w:rPr>
        <w:tab/>
        <w:t>Marshall D, Johnell O, Wedel H</w:t>
      </w:r>
      <w:r w:rsidR="000F4BE7">
        <w:rPr>
          <w:rFonts w:asciiTheme="minorHAnsi" w:hAnsiTheme="minorHAnsi" w:cs="Times New Roman"/>
          <w:noProof/>
          <w:szCs w:val="21"/>
        </w:rPr>
        <w:t xml:space="preserve"> (1996)b</w:t>
      </w:r>
      <w:r w:rsidRPr="00C17790">
        <w:rPr>
          <w:rFonts w:asciiTheme="minorHAnsi" w:hAnsiTheme="minorHAnsi" w:cs="Times New Roman"/>
          <w:noProof/>
          <w:szCs w:val="21"/>
        </w:rPr>
        <w:t xml:space="preserve">Meta-analysis of how well measures of bone mineral density predict occurrence of osteoporotic fractures. </w:t>
      </w:r>
      <w:r w:rsidRPr="00E062CE">
        <w:rPr>
          <w:rFonts w:asciiTheme="minorHAnsi" w:hAnsiTheme="minorHAnsi" w:cs="Times New Roman"/>
          <w:noProof/>
          <w:szCs w:val="21"/>
        </w:rPr>
        <w:t>B</w:t>
      </w:r>
      <w:r w:rsidR="000F4BE7" w:rsidRPr="00E062CE">
        <w:rPr>
          <w:rFonts w:asciiTheme="minorHAnsi" w:hAnsiTheme="minorHAnsi" w:cs="Times New Roman"/>
          <w:noProof/>
          <w:szCs w:val="21"/>
        </w:rPr>
        <w:t xml:space="preserve">r Med J </w:t>
      </w:r>
      <w:r w:rsidRPr="00E062CE">
        <w:rPr>
          <w:rFonts w:asciiTheme="minorHAnsi" w:hAnsiTheme="minorHAnsi" w:cs="Times New Roman"/>
          <w:noProof/>
          <w:szCs w:val="21"/>
        </w:rPr>
        <w:t>312(7041):1254-9.</w:t>
      </w:r>
    </w:p>
    <w:p w14:paraId="4C3FE2A6" w14:textId="0FD66472" w:rsidR="00C17790" w:rsidRDefault="00C17790" w:rsidP="00C17790">
      <w:pPr>
        <w:spacing w:line="360" w:lineRule="auto"/>
        <w:ind w:left="720" w:hanging="720"/>
        <w:jc w:val="left"/>
        <w:rPr>
          <w:rFonts w:asciiTheme="minorHAnsi" w:hAnsiTheme="minorHAnsi" w:cs="Times New Roman"/>
          <w:noProof/>
          <w:szCs w:val="21"/>
        </w:rPr>
      </w:pPr>
      <w:r w:rsidRPr="00E062CE">
        <w:rPr>
          <w:rFonts w:asciiTheme="minorHAnsi" w:hAnsiTheme="minorHAnsi" w:cs="Times New Roman"/>
          <w:noProof/>
          <w:szCs w:val="21"/>
        </w:rPr>
        <w:t>2</w:t>
      </w:r>
      <w:r w:rsidR="003F0E6C">
        <w:rPr>
          <w:rFonts w:asciiTheme="minorHAnsi" w:hAnsiTheme="minorHAnsi" w:cs="Times New Roman"/>
          <w:noProof/>
          <w:szCs w:val="21"/>
        </w:rPr>
        <w:t>5</w:t>
      </w:r>
      <w:r w:rsidRPr="00E062CE">
        <w:rPr>
          <w:rFonts w:asciiTheme="minorHAnsi" w:hAnsiTheme="minorHAnsi" w:cs="Times New Roman"/>
          <w:noProof/>
          <w:szCs w:val="21"/>
        </w:rPr>
        <w:t xml:space="preserve">. </w:t>
      </w:r>
      <w:r w:rsidRPr="00E062CE">
        <w:rPr>
          <w:rFonts w:asciiTheme="minorHAnsi" w:hAnsiTheme="minorHAnsi" w:cs="Times New Roman"/>
          <w:noProof/>
          <w:szCs w:val="21"/>
        </w:rPr>
        <w:tab/>
        <w:t>Johnell O, Kanis JA, Oden A, Johansson H, De Laet C, Delmas P, et al</w:t>
      </w:r>
      <w:r w:rsidR="000F4BE7" w:rsidRPr="00E062CE">
        <w:rPr>
          <w:rFonts w:asciiTheme="minorHAnsi" w:hAnsiTheme="minorHAnsi" w:cs="Times New Roman"/>
          <w:noProof/>
          <w:szCs w:val="21"/>
        </w:rPr>
        <w:t xml:space="preserve"> (2005)</w:t>
      </w:r>
      <w:r w:rsidRPr="00E062CE">
        <w:rPr>
          <w:rFonts w:asciiTheme="minorHAnsi" w:hAnsiTheme="minorHAnsi" w:cs="Times New Roman"/>
          <w:noProof/>
          <w:szCs w:val="21"/>
        </w:rPr>
        <w:t xml:space="preserve"> </w:t>
      </w:r>
      <w:r w:rsidRPr="00C17790">
        <w:rPr>
          <w:rFonts w:asciiTheme="minorHAnsi" w:hAnsiTheme="minorHAnsi" w:cs="Times New Roman"/>
          <w:noProof/>
          <w:szCs w:val="21"/>
        </w:rPr>
        <w:t xml:space="preserve">Predictive value of BMD for hip and other fractures. </w:t>
      </w:r>
      <w:r w:rsidRPr="000F4BE7">
        <w:rPr>
          <w:rFonts w:asciiTheme="minorHAnsi" w:hAnsiTheme="minorHAnsi" w:cs="Times New Roman"/>
          <w:noProof/>
          <w:szCs w:val="21"/>
        </w:rPr>
        <w:t>J Bone Miner Res</w:t>
      </w:r>
      <w:r w:rsidRPr="00C17790">
        <w:rPr>
          <w:rFonts w:asciiTheme="minorHAnsi" w:hAnsiTheme="minorHAnsi" w:cs="Times New Roman"/>
          <w:noProof/>
          <w:szCs w:val="21"/>
        </w:rPr>
        <w:t xml:space="preserve"> 20</w:t>
      </w:r>
      <w:r w:rsidR="000F4BE7">
        <w:rPr>
          <w:rFonts w:asciiTheme="minorHAnsi" w:hAnsiTheme="minorHAnsi" w:cs="Times New Roman"/>
          <w:noProof/>
          <w:szCs w:val="21"/>
        </w:rPr>
        <w:t xml:space="preserve">: </w:t>
      </w:r>
      <w:r w:rsidRPr="00C17790">
        <w:rPr>
          <w:rFonts w:asciiTheme="minorHAnsi" w:hAnsiTheme="minorHAnsi" w:cs="Times New Roman"/>
          <w:noProof/>
          <w:szCs w:val="21"/>
        </w:rPr>
        <w:t>1185-94.</w:t>
      </w:r>
    </w:p>
    <w:p w14:paraId="7B6E40CB" w14:textId="6349024D" w:rsidR="00C17790" w:rsidRDefault="001268AD" w:rsidP="00C17790">
      <w:pPr>
        <w:spacing w:line="360" w:lineRule="auto"/>
        <w:ind w:left="720" w:hanging="720"/>
        <w:jc w:val="left"/>
        <w:rPr>
          <w:rFonts w:asciiTheme="minorHAnsi" w:hAnsiTheme="minorHAnsi" w:cs="Times New Roman"/>
          <w:noProof/>
          <w:szCs w:val="21"/>
          <w:lang w:val="en-GB"/>
        </w:rPr>
      </w:pPr>
      <w:r>
        <w:rPr>
          <w:rFonts w:asciiTheme="minorHAnsi" w:hAnsiTheme="minorHAnsi" w:cs="Times New Roman"/>
          <w:noProof/>
          <w:szCs w:val="21"/>
          <w:lang w:val="en-GB"/>
        </w:rPr>
        <w:t>2</w:t>
      </w:r>
      <w:r w:rsidR="003F0E6C">
        <w:rPr>
          <w:rFonts w:asciiTheme="minorHAnsi" w:hAnsiTheme="minorHAnsi" w:cs="Times New Roman"/>
          <w:noProof/>
          <w:szCs w:val="21"/>
          <w:lang w:val="en-GB"/>
        </w:rPr>
        <w:t>6</w:t>
      </w:r>
      <w:r>
        <w:rPr>
          <w:rFonts w:asciiTheme="minorHAnsi" w:hAnsiTheme="minorHAnsi" w:cs="Times New Roman"/>
          <w:noProof/>
          <w:szCs w:val="21"/>
          <w:lang w:val="en-GB"/>
        </w:rPr>
        <w:t>.</w:t>
      </w:r>
      <w:r>
        <w:rPr>
          <w:rFonts w:asciiTheme="minorHAnsi" w:hAnsiTheme="minorHAnsi" w:cs="Times New Roman"/>
          <w:noProof/>
          <w:szCs w:val="21"/>
          <w:lang w:val="en-GB"/>
        </w:rPr>
        <w:tab/>
      </w:r>
      <w:r w:rsidR="00536712" w:rsidRPr="00536712">
        <w:rPr>
          <w:rFonts w:asciiTheme="minorHAnsi" w:hAnsiTheme="minorHAnsi" w:cs="Times New Roman"/>
          <w:noProof/>
          <w:szCs w:val="21"/>
          <w:lang w:val="en-GB"/>
        </w:rPr>
        <w:t xml:space="preserve">Grigorie D, Sucaliuc1 A, Johansson H, Kanis JA, McCloskey E (2013) FRAX-based intervention and assessment thresholds for osteoporosis in Romania. Arch Osteoporos 8:164.  </w:t>
      </w:r>
    </w:p>
    <w:p w14:paraId="0365ED65" w14:textId="342A94A6" w:rsidR="001268AD" w:rsidRDefault="001268AD" w:rsidP="00C17790">
      <w:pPr>
        <w:spacing w:line="360" w:lineRule="auto"/>
        <w:ind w:left="720" w:hanging="720"/>
        <w:jc w:val="left"/>
        <w:rPr>
          <w:rFonts w:asciiTheme="minorHAnsi" w:hAnsiTheme="minorHAnsi" w:cs="Times New Roman"/>
          <w:noProof/>
          <w:szCs w:val="21"/>
          <w:lang w:val="en-GB"/>
        </w:rPr>
      </w:pPr>
      <w:r>
        <w:rPr>
          <w:rFonts w:asciiTheme="minorHAnsi" w:hAnsiTheme="minorHAnsi" w:cs="Times New Roman"/>
          <w:noProof/>
          <w:szCs w:val="21"/>
          <w:lang w:val="en-GB"/>
        </w:rPr>
        <w:t>2</w:t>
      </w:r>
      <w:r w:rsidR="003F0E6C">
        <w:rPr>
          <w:rFonts w:asciiTheme="minorHAnsi" w:hAnsiTheme="minorHAnsi" w:cs="Times New Roman"/>
          <w:noProof/>
          <w:szCs w:val="21"/>
          <w:lang w:val="en-GB"/>
        </w:rPr>
        <w:t>7</w:t>
      </w:r>
      <w:r>
        <w:rPr>
          <w:rFonts w:asciiTheme="minorHAnsi" w:hAnsiTheme="minorHAnsi" w:cs="Times New Roman"/>
          <w:noProof/>
          <w:szCs w:val="21"/>
          <w:lang w:val="en-GB"/>
        </w:rPr>
        <w:t>.</w:t>
      </w:r>
      <w:r>
        <w:rPr>
          <w:rFonts w:asciiTheme="minorHAnsi" w:hAnsiTheme="minorHAnsi" w:cs="Times New Roman"/>
          <w:noProof/>
          <w:szCs w:val="21"/>
          <w:lang w:val="en-GB"/>
        </w:rPr>
        <w:tab/>
      </w:r>
      <w:r w:rsidR="00536712" w:rsidRPr="00536712">
        <w:rPr>
          <w:rFonts w:asciiTheme="minorHAnsi" w:hAnsiTheme="minorHAnsi" w:cs="Times New Roman"/>
          <w:bCs/>
          <w:noProof/>
          <w:szCs w:val="21"/>
          <w:lang w:val="en-GB"/>
        </w:rPr>
        <w:t>Kanis JA, Compston J, Cooper C, Harvey NC Johansson H, Odén A, McCloskey EV (2016) SIGN Guidelines for Scotland: BMD Versus FRAX Versus QFracture.  Calcif Tissue Int 98: 417-25.</w:t>
      </w:r>
    </w:p>
    <w:p w14:paraId="4DE8A681" w14:textId="7B38995B" w:rsidR="001268AD" w:rsidRPr="00C17790" w:rsidRDefault="001268AD" w:rsidP="00C17790">
      <w:pPr>
        <w:spacing w:line="360" w:lineRule="auto"/>
        <w:ind w:left="720" w:hanging="720"/>
        <w:jc w:val="left"/>
        <w:rPr>
          <w:rFonts w:asciiTheme="minorHAnsi" w:hAnsiTheme="minorHAnsi" w:cs="Times New Roman"/>
          <w:noProof/>
          <w:szCs w:val="21"/>
          <w:lang w:val="en-GB"/>
        </w:rPr>
      </w:pPr>
      <w:r>
        <w:rPr>
          <w:rFonts w:asciiTheme="minorHAnsi" w:hAnsiTheme="minorHAnsi" w:cs="Times New Roman"/>
          <w:noProof/>
          <w:szCs w:val="21"/>
          <w:lang w:val="en-GB"/>
        </w:rPr>
        <w:t>2</w:t>
      </w:r>
      <w:r w:rsidR="003F0E6C">
        <w:rPr>
          <w:rFonts w:asciiTheme="minorHAnsi" w:hAnsiTheme="minorHAnsi" w:cs="Times New Roman"/>
          <w:noProof/>
          <w:szCs w:val="21"/>
          <w:lang w:val="en-GB"/>
        </w:rPr>
        <w:t>8</w:t>
      </w:r>
      <w:r>
        <w:rPr>
          <w:rFonts w:asciiTheme="minorHAnsi" w:hAnsiTheme="minorHAnsi" w:cs="Times New Roman"/>
          <w:noProof/>
          <w:szCs w:val="21"/>
          <w:lang w:val="en-GB"/>
        </w:rPr>
        <w:t>.</w:t>
      </w:r>
      <w:r>
        <w:rPr>
          <w:rFonts w:asciiTheme="minorHAnsi" w:hAnsiTheme="minorHAnsi" w:cs="Times New Roman"/>
          <w:noProof/>
          <w:szCs w:val="21"/>
          <w:lang w:val="en-GB"/>
        </w:rPr>
        <w:tab/>
      </w:r>
      <w:r w:rsidR="00536712" w:rsidRPr="00536712">
        <w:rPr>
          <w:rFonts w:asciiTheme="minorHAnsi" w:hAnsiTheme="minorHAnsi" w:cs="Times New Roman"/>
          <w:bCs/>
          <w:iCs/>
          <w:noProof/>
          <w:szCs w:val="21"/>
          <w:lang w:val="en-GB"/>
        </w:rPr>
        <w:t>Kanis JA, McCloskey EV, Harvey NC, Johansson H, Leslie WD (2015) Intervention thresholds and the diagnosis of osteoporosis. J Bone Miner Res 30: 1747-1753.</w:t>
      </w:r>
    </w:p>
    <w:p w14:paraId="0724D780" w14:textId="29D2091A" w:rsidR="00131969" w:rsidRPr="00131969" w:rsidRDefault="001268AD" w:rsidP="00131969">
      <w:pPr>
        <w:spacing w:line="360" w:lineRule="auto"/>
        <w:ind w:left="720" w:hanging="720"/>
        <w:jc w:val="left"/>
        <w:rPr>
          <w:rFonts w:asciiTheme="minorHAnsi" w:hAnsiTheme="minorHAnsi" w:cs="Times New Roman"/>
          <w:bCs/>
          <w:iCs/>
          <w:noProof/>
        </w:rPr>
      </w:pPr>
      <w:r>
        <w:rPr>
          <w:rFonts w:asciiTheme="minorHAnsi" w:hAnsiTheme="minorHAnsi" w:cs="Times New Roman"/>
          <w:bCs/>
          <w:iCs/>
          <w:noProof/>
        </w:rPr>
        <w:t>2</w:t>
      </w:r>
      <w:r w:rsidR="003F0E6C">
        <w:rPr>
          <w:rFonts w:asciiTheme="minorHAnsi" w:hAnsiTheme="minorHAnsi" w:cs="Times New Roman"/>
          <w:bCs/>
          <w:iCs/>
          <w:noProof/>
        </w:rPr>
        <w:t>9</w:t>
      </w:r>
      <w:r>
        <w:rPr>
          <w:rFonts w:asciiTheme="minorHAnsi" w:hAnsiTheme="minorHAnsi" w:cs="Times New Roman"/>
          <w:bCs/>
          <w:iCs/>
          <w:noProof/>
        </w:rPr>
        <w:t>.</w:t>
      </w:r>
      <w:r>
        <w:rPr>
          <w:rFonts w:asciiTheme="minorHAnsi" w:hAnsiTheme="minorHAnsi" w:cs="Times New Roman"/>
          <w:bCs/>
          <w:iCs/>
          <w:noProof/>
        </w:rPr>
        <w:tab/>
      </w:r>
      <w:r w:rsidR="00131969" w:rsidRPr="00131969">
        <w:rPr>
          <w:rFonts w:asciiTheme="minorHAnsi" w:hAnsiTheme="minorHAnsi" w:cs="Times New Roman"/>
          <w:bCs/>
          <w:iCs/>
          <w:noProof/>
        </w:rPr>
        <w:t>Kanis JA, Johnell O</w:t>
      </w:r>
      <w:r w:rsidR="00536712">
        <w:rPr>
          <w:rFonts w:asciiTheme="minorHAnsi" w:hAnsiTheme="minorHAnsi" w:cs="Times New Roman"/>
          <w:bCs/>
          <w:iCs/>
          <w:noProof/>
        </w:rPr>
        <w:t xml:space="preserve"> (2005) </w:t>
      </w:r>
      <w:r w:rsidR="00131969" w:rsidRPr="00131969">
        <w:rPr>
          <w:rFonts w:asciiTheme="minorHAnsi" w:hAnsiTheme="minorHAnsi" w:cs="Times New Roman"/>
          <w:bCs/>
          <w:iCs/>
          <w:noProof/>
        </w:rPr>
        <w:t xml:space="preserve">Requirements for DXA for the management of osteoporosis in Europe. </w:t>
      </w:r>
      <w:r w:rsidR="00131969" w:rsidRPr="00536712">
        <w:rPr>
          <w:rFonts w:asciiTheme="minorHAnsi" w:hAnsiTheme="minorHAnsi" w:cs="Times New Roman"/>
          <w:bCs/>
          <w:iCs/>
          <w:noProof/>
        </w:rPr>
        <w:t>Osteoporos Int</w:t>
      </w:r>
      <w:r w:rsidR="00131969" w:rsidRPr="00131969">
        <w:rPr>
          <w:rFonts w:asciiTheme="minorHAnsi" w:hAnsiTheme="minorHAnsi" w:cs="Times New Roman"/>
          <w:bCs/>
          <w:iCs/>
          <w:noProof/>
        </w:rPr>
        <w:t xml:space="preserve"> 16</w:t>
      </w:r>
      <w:r w:rsidR="00536712">
        <w:rPr>
          <w:rFonts w:asciiTheme="minorHAnsi" w:hAnsiTheme="minorHAnsi" w:cs="Times New Roman"/>
          <w:bCs/>
          <w:iCs/>
          <w:noProof/>
        </w:rPr>
        <w:t xml:space="preserve">: </w:t>
      </w:r>
      <w:r w:rsidR="00131969" w:rsidRPr="00131969">
        <w:rPr>
          <w:rFonts w:asciiTheme="minorHAnsi" w:hAnsiTheme="minorHAnsi" w:cs="Times New Roman"/>
          <w:bCs/>
          <w:iCs/>
          <w:noProof/>
        </w:rPr>
        <w:t>229-38.</w:t>
      </w:r>
    </w:p>
    <w:p w14:paraId="51DC90E8" w14:textId="55BA0B54" w:rsidR="00262F96" w:rsidRPr="00262F96" w:rsidRDefault="003F0E6C" w:rsidP="00262F96">
      <w:pPr>
        <w:spacing w:line="360" w:lineRule="auto"/>
        <w:ind w:left="720" w:hanging="720"/>
        <w:jc w:val="left"/>
        <w:rPr>
          <w:rFonts w:asciiTheme="minorHAnsi" w:hAnsiTheme="minorHAnsi" w:cs="Times New Roman"/>
          <w:noProof/>
          <w:szCs w:val="21"/>
        </w:rPr>
      </w:pPr>
      <w:r>
        <w:rPr>
          <w:rFonts w:asciiTheme="minorHAnsi" w:hAnsiTheme="minorHAnsi" w:cs="Times New Roman"/>
          <w:noProof/>
          <w:szCs w:val="21"/>
        </w:rPr>
        <w:t>30</w:t>
      </w:r>
      <w:r w:rsidR="00262F96" w:rsidRPr="00262F96">
        <w:rPr>
          <w:rFonts w:asciiTheme="minorHAnsi" w:hAnsiTheme="minorHAnsi" w:cs="Times New Roman"/>
          <w:noProof/>
          <w:szCs w:val="21"/>
        </w:rPr>
        <w:t>.</w:t>
      </w:r>
      <w:r w:rsidR="0064234E">
        <w:rPr>
          <w:rFonts w:asciiTheme="minorHAnsi" w:hAnsiTheme="minorHAnsi" w:cs="Times New Roman"/>
          <w:noProof/>
          <w:szCs w:val="21"/>
        </w:rPr>
        <w:tab/>
      </w:r>
      <w:r w:rsidR="00262F96" w:rsidRPr="00262F96">
        <w:rPr>
          <w:rFonts w:asciiTheme="minorHAnsi" w:hAnsiTheme="minorHAnsi" w:cs="Times New Roman"/>
          <w:noProof/>
          <w:szCs w:val="21"/>
        </w:rPr>
        <w:t>Lekamwasam S, Adachi JD, Agnusdei D, et al</w:t>
      </w:r>
      <w:r w:rsidR="00536712">
        <w:rPr>
          <w:rFonts w:asciiTheme="minorHAnsi" w:hAnsiTheme="minorHAnsi" w:cs="Times New Roman"/>
          <w:noProof/>
          <w:szCs w:val="21"/>
        </w:rPr>
        <w:t xml:space="preserve"> (2012) </w:t>
      </w:r>
      <w:r w:rsidR="00262F96" w:rsidRPr="00262F96">
        <w:rPr>
          <w:rFonts w:asciiTheme="minorHAnsi" w:hAnsiTheme="minorHAnsi" w:cs="Times New Roman"/>
          <w:noProof/>
          <w:szCs w:val="21"/>
        </w:rPr>
        <w:t xml:space="preserve">A framework for the development of guidelines for the management of glucocorticoid-induced osteoporosis. </w:t>
      </w:r>
      <w:r w:rsidR="00262F96" w:rsidRPr="00536712">
        <w:rPr>
          <w:rFonts w:asciiTheme="minorHAnsi" w:hAnsiTheme="minorHAnsi" w:cs="Times New Roman"/>
          <w:noProof/>
          <w:szCs w:val="21"/>
        </w:rPr>
        <w:t>Osteoporos Int</w:t>
      </w:r>
      <w:r w:rsidR="00262F96" w:rsidRPr="00262F96">
        <w:rPr>
          <w:rFonts w:asciiTheme="minorHAnsi" w:hAnsiTheme="minorHAnsi" w:cs="Times New Roman"/>
          <w:noProof/>
          <w:szCs w:val="21"/>
        </w:rPr>
        <w:t xml:space="preserve"> 23</w:t>
      </w:r>
      <w:r w:rsidR="00536712">
        <w:rPr>
          <w:rFonts w:asciiTheme="minorHAnsi" w:hAnsiTheme="minorHAnsi" w:cs="Times New Roman"/>
          <w:noProof/>
          <w:szCs w:val="21"/>
        </w:rPr>
        <w:t xml:space="preserve">: </w:t>
      </w:r>
      <w:r w:rsidR="00262F96" w:rsidRPr="00262F96">
        <w:rPr>
          <w:rFonts w:asciiTheme="minorHAnsi" w:hAnsiTheme="minorHAnsi" w:cs="Times New Roman"/>
          <w:noProof/>
          <w:szCs w:val="21"/>
        </w:rPr>
        <w:t>2257-76.</w:t>
      </w:r>
    </w:p>
    <w:p w14:paraId="15AFFF22" w14:textId="30986E1E" w:rsidR="00262F96" w:rsidRDefault="00262F96" w:rsidP="00262F96">
      <w:pPr>
        <w:spacing w:line="360" w:lineRule="auto"/>
        <w:ind w:left="720" w:hanging="720"/>
        <w:jc w:val="left"/>
        <w:rPr>
          <w:rFonts w:asciiTheme="minorHAnsi" w:hAnsiTheme="minorHAnsi" w:cs="Times New Roman"/>
          <w:noProof/>
          <w:szCs w:val="21"/>
        </w:rPr>
      </w:pPr>
      <w:r w:rsidRPr="00262F96">
        <w:rPr>
          <w:rFonts w:asciiTheme="minorHAnsi" w:hAnsiTheme="minorHAnsi" w:cs="Times New Roman"/>
          <w:noProof/>
          <w:szCs w:val="21"/>
        </w:rPr>
        <w:t>3</w:t>
      </w:r>
      <w:r w:rsidR="003F0E6C">
        <w:rPr>
          <w:rFonts w:asciiTheme="minorHAnsi" w:hAnsiTheme="minorHAnsi" w:cs="Times New Roman"/>
          <w:noProof/>
          <w:szCs w:val="21"/>
        </w:rPr>
        <w:t>1</w:t>
      </w:r>
      <w:r w:rsidRPr="00262F96">
        <w:rPr>
          <w:rFonts w:asciiTheme="minorHAnsi" w:hAnsiTheme="minorHAnsi" w:cs="Times New Roman"/>
          <w:noProof/>
          <w:szCs w:val="21"/>
        </w:rPr>
        <w:t xml:space="preserve">. </w:t>
      </w:r>
      <w:r w:rsidR="0064234E">
        <w:rPr>
          <w:rFonts w:asciiTheme="minorHAnsi" w:hAnsiTheme="minorHAnsi" w:cs="Times New Roman"/>
          <w:noProof/>
          <w:szCs w:val="21"/>
        </w:rPr>
        <w:tab/>
      </w:r>
      <w:r w:rsidRPr="00262F96">
        <w:rPr>
          <w:rFonts w:asciiTheme="minorHAnsi" w:hAnsiTheme="minorHAnsi" w:cs="Times New Roman"/>
          <w:noProof/>
          <w:szCs w:val="21"/>
        </w:rPr>
        <w:t>Kanis JA, McCloskey EV, Johansson H, Cooper C, Rizzoli R, Reginster JY</w:t>
      </w:r>
      <w:r w:rsidR="00536712">
        <w:rPr>
          <w:rFonts w:asciiTheme="minorHAnsi" w:hAnsiTheme="minorHAnsi" w:cs="Times New Roman"/>
          <w:noProof/>
          <w:szCs w:val="21"/>
        </w:rPr>
        <w:t xml:space="preserve"> (2013) </w:t>
      </w:r>
      <w:r w:rsidRPr="00262F96">
        <w:rPr>
          <w:rFonts w:asciiTheme="minorHAnsi" w:hAnsiTheme="minorHAnsi" w:cs="Times New Roman"/>
          <w:noProof/>
          <w:szCs w:val="21"/>
        </w:rPr>
        <w:t xml:space="preserve">European guidance for the diagnosis and management of osteoporosis in postmenopausal women. </w:t>
      </w:r>
      <w:r w:rsidRPr="00536712">
        <w:rPr>
          <w:rFonts w:asciiTheme="minorHAnsi" w:hAnsiTheme="minorHAnsi" w:cs="Times New Roman"/>
          <w:noProof/>
          <w:szCs w:val="21"/>
        </w:rPr>
        <w:t>Osteoporos Int</w:t>
      </w:r>
      <w:r w:rsidRPr="00262F96">
        <w:rPr>
          <w:rFonts w:asciiTheme="minorHAnsi" w:hAnsiTheme="minorHAnsi" w:cs="Times New Roman"/>
          <w:noProof/>
          <w:szCs w:val="21"/>
        </w:rPr>
        <w:t xml:space="preserve"> 24</w:t>
      </w:r>
      <w:r w:rsidR="00536712">
        <w:rPr>
          <w:rFonts w:asciiTheme="minorHAnsi" w:hAnsiTheme="minorHAnsi" w:cs="Times New Roman"/>
          <w:noProof/>
          <w:szCs w:val="21"/>
        </w:rPr>
        <w:t xml:space="preserve">: </w:t>
      </w:r>
      <w:r w:rsidRPr="00262F96">
        <w:rPr>
          <w:rFonts w:asciiTheme="minorHAnsi" w:hAnsiTheme="minorHAnsi" w:cs="Times New Roman"/>
          <w:noProof/>
          <w:szCs w:val="21"/>
        </w:rPr>
        <w:t>23-57.</w:t>
      </w:r>
    </w:p>
    <w:p w14:paraId="529D7860" w14:textId="77777777" w:rsidR="007A52F7" w:rsidRDefault="0064234E" w:rsidP="0064234E">
      <w:pPr>
        <w:spacing w:line="360" w:lineRule="auto"/>
        <w:ind w:left="720" w:hanging="720"/>
        <w:jc w:val="left"/>
        <w:rPr>
          <w:rFonts w:asciiTheme="minorHAnsi" w:hAnsiTheme="minorHAnsi" w:cs="Times New Roman"/>
          <w:bCs/>
          <w:noProof/>
          <w:szCs w:val="21"/>
          <w:lang w:val="en-GB"/>
        </w:rPr>
      </w:pPr>
      <w:r>
        <w:rPr>
          <w:rFonts w:asciiTheme="minorHAnsi" w:hAnsiTheme="minorHAnsi" w:cs="Times New Roman"/>
          <w:noProof/>
          <w:szCs w:val="21"/>
          <w:lang w:val="en-GB"/>
        </w:rPr>
        <w:t>3</w:t>
      </w:r>
      <w:r w:rsidR="003F0E6C">
        <w:rPr>
          <w:rFonts w:asciiTheme="minorHAnsi" w:hAnsiTheme="minorHAnsi" w:cs="Times New Roman"/>
          <w:noProof/>
          <w:szCs w:val="21"/>
          <w:lang w:val="en-GB"/>
        </w:rPr>
        <w:t>2</w:t>
      </w:r>
      <w:r>
        <w:rPr>
          <w:rFonts w:asciiTheme="minorHAnsi" w:hAnsiTheme="minorHAnsi" w:cs="Times New Roman"/>
          <w:noProof/>
          <w:szCs w:val="21"/>
          <w:lang w:val="en-GB"/>
        </w:rPr>
        <w:t>.</w:t>
      </w:r>
      <w:r>
        <w:rPr>
          <w:rFonts w:asciiTheme="minorHAnsi" w:hAnsiTheme="minorHAnsi" w:cs="Times New Roman"/>
          <w:noProof/>
          <w:szCs w:val="21"/>
          <w:lang w:val="en-GB"/>
        </w:rPr>
        <w:tab/>
      </w:r>
      <w:r w:rsidR="00536712" w:rsidRPr="00536712">
        <w:rPr>
          <w:rFonts w:asciiTheme="minorHAnsi" w:hAnsiTheme="minorHAnsi" w:cs="Times New Roman"/>
          <w:bCs/>
          <w:noProof/>
          <w:szCs w:val="21"/>
          <w:lang w:val="en-GB"/>
        </w:rPr>
        <w:t>Johansson H, Kanis JA, Oden A, Compston J, McCloskey E (2012) A comparison of case-finding strategies in the UK for the management of hip fractures. Osteoporos Int</w:t>
      </w:r>
      <w:r w:rsidR="00536712">
        <w:rPr>
          <w:rFonts w:asciiTheme="minorHAnsi" w:hAnsiTheme="minorHAnsi" w:cs="Times New Roman"/>
          <w:bCs/>
          <w:noProof/>
          <w:szCs w:val="21"/>
          <w:lang w:val="en-GB"/>
        </w:rPr>
        <w:t xml:space="preserve"> </w:t>
      </w:r>
      <w:r w:rsidR="00536712" w:rsidRPr="00536712">
        <w:rPr>
          <w:rFonts w:asciiTheme="minorHAnsi" w:hAnsiTheme="minorHAnsi" w:cs="Times New Roman"/>
          <w:bCs/>
          <w:noProof/>
          <w:szCs w:val="21"/>
          <w:lang w:val="en-GB"/>
        </w:rPr>
        <w:t>23: 907-915.</w:t>
      </w:r>
    </w:p>
    <w:p w14:paraId="160397C4" w14:textId="77777777" w:rsidR="007A52F7" w:rsidRDefault="007A52F7" w:rsidP="0064234E">
      <w:pPr>
        <w:spacing w:line="360" w:lineRule="auto"/>
        <w:ind w:left="720" w:hanging="720"/>
        <w:jc w:val="left"/>
        <w:rPr>
          <w:rFonts w:asciiTheme="minorHAnsi" w:hAnsiTheme="minorHAnsi" w:cs="Times New Roman"/>
          <w:bCs/>
          <w:noProof/>
          <w:color w:val="FF0000"/>
          <w:szCs w:val="21"/>
          <w:lang w:val="en-GB"/>
        </w:rPr>
      </w:pPr>
    </w:p>
    <w:p w14:paraId="4B46BB4B" w14:textId="77777777" w:rsidR="007A52F7" w:rsidRDefault="007A52F7" w:rsidP="0064234E">
      <w:pPr>
        <w:spacing w:line="360" w:lineRule="auto"/>
        <w:ind w:left="720" w:hanging="720"/>
        <w:jc w:val="left"/>
        <w:rPr>
          <w:rFonts w:asciiTheme="minorHAnsi" w:hAnsiTheme="minorHAnsi" w:cs="Times New Roman"/>
          <w:bCs/>
          <w:noProof/>
          <w:color w:val="FF0000"/>
          <w:szCs w:val="21"/>
          <w:lang w:val="en-GB"/>
        </w:rPr>
      </w:pPr>
    </w:p>
    <w:p w14:paraId="540550E0" w14:textId="77777777" w:rsidR="007A52F7" w:rsidRDefault="007A52F7" w:rsidP="0064234E">
      <w:pPr>
        <w:spacing w:line="360" w:lineRule="auto"/>
        <w:ind w:left="720" w:hanging="720"/>
        <w:jc w:val="left"/>
        <w:rPr>
          <w:rFonts w:asciiTheme="minorHAnsi" w:hAnsiTheme="minorHAnsi" w:cs="Times New Roman"/>
          <w:bCs/>
          <w:noProof/>
          <w:color w:val="FF0000"/>
          <w:szCs w:val="21"/>
          <w:lang w:val="en-GB"/>
        </w:rPr>
      </w:pPr>
    </w:p>
    <w:p w14:paraId="5EAFBA6E" w14:textId="77777777" w:rsidR="007A52F7" w:rsidRDefault="007A52F7" w:rsidP="0064234E">
      <w:pPr>
        <w:spacing w:line="360" w:lineRule="auto"/>
        <w:ind w:left="720" w:hanging="720"/>
        <w:jc w:val="left"/>
        <w:rPr>
          <w:rFonts w:asciiTheme="minorHAnsi" w:hAnsiTheme="minorHAnsi" w:cs="Times New Roman"/>
          <w:bCs/>
          <w:noProof/>
          <w:color w:val="FF0000"/>
          <w:szCs w:val="21"/>
          <w:lang w:val="en-GB"/>
        </w:rPr>
      </w:pPr>
    </w:p>
    <w:p w14:paraId="7C0B4E2A" w14:textId="77777777" w:rsidR="007A52F7" w:rsidRDefault="007A52F7" w:rsidP="0064234E">
      <w:pPr>
        <w:spacing w:line="360" w:lineRule="auto"/>
        <w:ind w:left="720" w:hanging="720"/>
        <w:jc w:val="left"/>
        <w:rPr>
          <w:rFonts w:asciiTheme="minorHAnsi" w:hAnsiTheme="minorHAnsi" w:cs="Times New Roman"/>
          <w:bCs/>
          <w:noProof/>
          <w:color w:val="FF0000"/>
          <w:szCs w:val="21"/>
          <w:lang w:val="en-GB"/>
        </w:rPr>
      </w:pPr>
    </w:p>
    <w:p w14:paraId="7C3BC097" w14:textId="77777777" w:rsidR="007A52F7" w:rsidRDefault="007A52F7" w:rsidP="0064234E">
      <w:pPr>
        <w:spacing w:line="360" w:lineRule="auto"/>
        <w:ind w:left="720" w:hanging="720"/>
        <w:jc w:val="left"/>
        <w:rPr>
          <w:rFonts w:asciiTheme="minorHAnsi" w:hAnsiTheme="minorHAnsi" w:cs="Times New Roman"/>
          <w:bCs/>
          <w:noProof/>
          <w:color w:val="FF0000"/>
          <w:szCs w:val="21"/>
          <w:lang w:val="en-GB"/>
        </w:rPr>
      </w:pPr>
    </w:p>
    <w:p w14:paraId="46CA0490" w14:textId="77777777" w:rsidR="007A52F7" w:rsidRDefault="007A52F7" w:rsidP="0064234E">
      <w:pPr>
        <w:spacing w:line="360" w:lineRule="auto"/>
        <w:ind w:left="720" w:hanging="720"/>
        <w:jc w:val="left"/>
        <w:rPr>
          <w:rFonts w:asciiTheme="minorHAnsi" w:hAnsiTheme="minorHAnsi" w:cs="Times New Roman"/>
          <w:bCs/>
          <w:noProof/>
          <w:color w:val="FF0000"/>
          <w:szCs w:val="21"/>
          <w:lang w:val="en-GB"/>
        </w:rPr>
      </w:pPr>
    </w:p>
    <w:p w14:paraId="6BB5AF35" w14:textId="77777777" w:rsidR="007A52F7" w:rsidRDefault="007A52F7" w:rsidP="0064234E">
      <w:pPr>
        <w:spacing w:line="360" w:lineRule="auto"/>
        <w:ind w:left="720" w:hanging="720"/>
        <w:jc w:val="left"/>
        <w:rPr>
          <w:rFonts w:asciiTheme="minorHAnsi" w:hAnsiTheme="minorHAnsi" w:cs="Times New Roman"/>
          <w:bCs/>
          <w:noProof/>
          <w:color w:val="FF0000"/>
          <w:szCs w:val="21"/>
          <w:lang w:val="en-GB"/>
        </w:rPr>
      </w:pPr>
    </w:p>
    <w:p w14:paraId="7B371597" w14:textId="77777777" w:rsidR="007A52F7" w:rsidRDefault="007A52F7" w:rsidP="0064234E">
      <w:pPr>
        <w:spacing w:line="360" w:lineRule="auto"/>
        <w:ind w:left="720" w:hanging="720"/>
        <w:jc w:val="left"/>
        <w:rPr>
          <w:rFonts w:asciiTheme="minorHAnsi" w:hAnsiTheme="minorHAnsi" w:cs="Times New Roman"/>
          <w:bCs/>
          <w:noProof/>
          <w:color w:val="FF0000"/>
          <w:szCs w:val="21"/>
          <w:lang w:val="en-GB"/>
        </w:rPr>
      </w:pPr>
    </w:p>
    <w:p w14:paraId="595395B0" w14:textId="77777777" w:rsidR="007A52F7" w:rsidRDefault="007A52F7" w:rsidP="0064234E">
      <w:pPr>
        <w:spacing w:line="360" w:lineRule="auto"/>
        <w:ind w:left="720" w:hanging="720"/>
        <w:jc w:val="left"/>
        <w:rPr>
          <w:rFonts w:asciiTheme="minorHAnsi" w:hAnsiTheme="minorHAnsi" w:cs="Times New Roman"/>
          <w:bCs/>
          <w:noProof/>
          <w:color w:val="FF0000"/>
          <w:szCs w:val="21"/>
          <w:lang w:val="en-GB"/>
        </w:rPr>
      </w:pPr>
    </w:p>
    <w:p w14:paraId="4DF3E908" w14:textId="77777777" w:rsidR="007A52F7" w:rsidRDefault="007A52F7" w:rsidP="0064234E">
      <w:pPr>
        <w:spacing w:line="360" w:lineRule="auto"/>
        <w:ind w:left="720" w:hanging="720"/>
        <w:jc w:val="left"/>
        <w:rPr>
          <w:rFonts w:asciiTheme="minorHAnsi" w:hAnsiTheme="minorHAnsi" w:cs="Times New Roman"/>
          <w:bCs/>
          <w:noProof/>
          <w:color w:val="FF0000"/>
          <w:szCs w:val="21"/>
          <w:lang w:val="en-GB"/>
        </w:rPr>
      </w:pPr>
    </w:p>
    <w:p w14:paraId="26817741" w14:textId="77777777" w:rsidR="007A52F7" w:rsidRDefault="007A52F7" w:rsidP="0064234E">
      <w:pPr>
        <w:spacing w:line="360" w:lineRule="auto"/>
        <w:ind w:left="720" w:hanging="720"/>
        <w:jc w:val="left"/>
        <w:rPr>
          <w:rFonts w:asciiTheme="minorHAnsi" w:hAnsiTheme="minorHAnsi" w:cs="Times New Roman"/>
          <w:bCs/>
          <w:noProof/>
          <w:color w:val="FF0000"/>
          <w:szCs w:val="21"/>
          <w:lang w:val="en-GB"/>
        </w:rPr>
      </w:pPr>
    </w:p>
    <w:p w14:paraId="31E9F8D0" w14:textId="77777777" w:rsidR="007A52F7" w:rsidRDefault="007A52F7" w:rsidP="0064234E">
      <w:pPr>
        <w:spacing w:line="360" w:lineRule="auto"/>
        <w:ind w:left="720" w:hanging="720"/>
        <w:jc w:val="left"/>
        <w:rPr>
          <w:rFonts w:asciiTheme="minorHAnsi" w:hAnsiTheme="minorHAnsi" w:cs="Times New Roman"/>
          <w:bCs/>
          <w:noProof/>
          <w:color w:val="FF0000"/>
          <w:szCs w:val="21"/>
          <w:lang w:val="en-GB"/>
        </w:rPr>
      </w:pPr>
    </w:p>
    <w:p w14:paraId="3B0B4D30" w14:textId="77777777" w:rsidR="007A52F7" w:rsidRDefault="007A52F7" w:rsidP="0064234E">
      <w:pPr>
        <w:spacing w:line="360" w:lineRule="auto"/>
        <w:ind w:left="720" w:hanging="720"/>
        <w:jc w:val="left"/>
        <w:rPr>
          <w:rFonts w:asciiTheme="minorHAnsi" w:hAnsiTheme="minorHAnsi" w:cs="Times New Roman"/>
          <w:bCs/>
          <w:noProof/>
          <w:color w:val="FF0000"/>
          <w:szCs w:val="21"/>
          <w:lang w:val="en-GB"/>
        </w:rPr>
      </w:pPr>
    </w:p>
    <w:p w14:paraId="7789913B" w14:textId="77777777" w:rsidR="007A52F7" w:rsidRDefault="007A52F7" w:rsidP="0064234E">
      <w:pPr>
        <w:spacing w:line="360" w:lineRule="auto"/>
        <w:ind w:left="720" w:hanging="720"/>
        <w:jc w:val="left"/>
        <w:rPr>
          <w:rFonts w:asciiTheme="minorHAnsi" w:hAnsiTheme="minorHAnsi" w:cs="Times New Roman"/>
          <w:bCs/>
          <w:noProof/>
          <w:color w:val="FF0000"/>
          <w:szCs w:val="21"/>
          <w:lang w:val="en-GB"/>
        </w:rPr>
      </w:pPr>
    </w:p>
    <w:p w14:paraId="2A8ACA21" w14:textId="34212B5E" w:rsidR="0064234E" w:rsidRPr="007A52F7" w:rsidRDefault="007A52F7" w:rsidP="0064234E">
      <w:pPr>
        <w:spacing w:line="360" w:lineRule="auto"/>
        <w:ind w:left="720" w:hanging="720"/>
        <w:jc w:val="left"/>
        <w:rPr>
          <w:rFonts w:asciiTheme="minorHAnsi" w:hAnsiTheme="minorHAnsi" w:cs="Times New Roman"/>
          <w:b/>
          <w:bCs/>
          <w:noProof/>
          <w:szCs w:val="21"/>
          <w:lang w:val="en-GB"/>
        </w:rPr>
      </w:pPr>
      <w:r w:rsidRPr="007A52F7">
        <w:rPr>
          <w:rFonts w:asciiTheme="minorHAnsi" w:hAnsiTheme="minorHAnsi" w:cs="Times New Roman"/>
          <w:b/>
          <w:bCs/>
          <w:noProof/>
          <w:color w:val="FF0000"/>
          <w:szCs w:val="21"/>
          <w:lang w:val="en-GB"/>
        </w:rPr>
        <w:t>Supplementary tables</w:t>
      </w:r>
      <w:r w:rsidR="00536712" w:rsidRPr="007A52F7">
        <w:rPr>
          <w:rFonts w:asciiTheme="minorHAnsi" w:hAnsiTheme="minorHAnsi" w:cs="Times New Roman"/>
          <w:b/>
          <w:bCs/>
          <w:noProof/>
          <w:szCs w:val="21"/>
          <w:lang w:val="en-GB"/>
        </w:rPr>
        <w:t xml:space="preserve">  </w:t>
      </w:r>
    </w:p>
    <w:p w14:paraId="527328BA" w14:textId="77777777" w:rsidR="007A52F7" w:rsidRPr="007A52F7" w:rsidRDefault="007A52F7" w:rsidP="007A52F7">
      <w:pPr>
        <w:spacing w:line="360" w:lineRule="auto"/>
        <w:ind w:left="720" w:hanging="720"/>
        <w:jc w:val="left"/>
        <w:rPr>
          <w:rFonts w:asciiTheme="minorHAnsi" w:hAnsiTheme="minorHAnsi" w:cs="Times New Roman"/>
          <w:noProof/>
          <w:szCs w:val="21"/>
        </w:rPr>
      </w:pPr>
      <w:r w:rsidRPr="007A52F7">
        <w:rPr>
          <w:rFonts w:asciiTheme="minorHAnsi" w:hAnsiTheme="minorHAnsi" w:cs="Times New Roman"/>
          <w:b/>
          <w:bCs/>
          <w:noProof/>
          <w:szCs w:val="21"/>
        </w:rPr>
        <w:t>Table A1</w:t>
      </w:r>
      <w:r w:rsidRPr="007A52F7">
        <w:rPr>
          <w:rFonts w:asciiTheme="minorHAnsi" w:hAnsiTheme="minorHAnsi" w:cs="Times New Roman"/>
          <w:noProof/>
          <w:szCs w:val="21"/>
        </w:rPr>
        <w:t xml:space="preserve"> 10-year probabilities of a hip fracture with the FRAX model for Kuwait for women.  BMI set to 30kg/m</w:t>
      </w:r>
      <w:r w:rsidRPr="007A52F7">
        <w:rPr>
          <w:rFonts w:asciiTheme="minorHAnsi" w:hAnsiTheme="minorHAnsi" w:cs="Times New Roman"/>
          <w:noProof/>
          <w:szCs w:val="21"/>
          <w:vertAlign w:val="superscript"/>
        </w:rPr>
        <w:t>2</w:t>
      </w:r>
      <w:r w:rsidRPr="007A52F7">
        <w:rPr>
          <w:rFonts w:asciiTheme="minorHAnsi" w:hAnsiTheme="minorHAnsi" w:cs="Times New Roman"/>
          <w:noProof/>
          <w:szCs w:val="21"/>
        </w:rPr>
        <w:t>.</w:t>
      </w:r>
    </w:p>
    <w:tbl>
      <w:tblPr>
        <w:tblW w:w="9483" w:type="dxa"/>
        <w:tblInd w:w="93" w:type="dxa"/>
        <w:tblLayout w:type="fixed"/>
        <w:tblLook w:val="0000" w:firstRow="0" w:lastRow="0" w:firstColumn="0" w:lastColumn="0" w:noHBand="0" w:noVBand="0"/>
      </w:tblPr>
      <w:tblGrid>
        <w:gridCol w:w="2895"/>
        <w:gridCol w:w="598"/>
        <w:gridCol w:w="599"/>
        <w:gridCol w:w="599"/>
        <w:gridCol w:w="599"/>
        <w:gridCol w:w="599"/>
        <w:gridCol w:w="599"/>
        <w:gridCol w:w="599"/>
        <w:gridCol w:w="599"/>
        <w:gridCol w:w="599"/>
        <w:gridCol w:w="599"/>
        <w:gridCol w:w="599"/>
      </w:tblGrid>
      <w:tr w:rsidR="007A52F7" w:rsidRPr="007A52F7" w14:paraId="25624F0A" w14:textId="77777777" w:rsidTr="007A52F7">
        <w:trPr>
          <w:trHeight w:val="300"/>
        </w:trPr>
        <w:tc>
          <w:tcPr>
            <w:tcW w:w="2895" w:type="dxa"/>
            <w:tcBorders>
              <w:top w:val="single" w:sz="12" w:space="0" w:color="auto"/>
            </w:tcBorders>
            <w:noWrap/>
            <w:vAlign w:val="bottom"/>
          </w:tcPr>
          <w:p w14:paraId="26EE4874" w14:textId="77777777" w:rsidR="007A52F7" w:rsidRPr="007A52F7" w:rsidRDefault="007A52F7" w:rsidP="007A52F7">
            <w:pPr>
              <w:spacing w:line="360" w:lineRule="auto"/>
              <w:ind w:left="720" w:hanging="720"/>
              <w:jc w:val="left"/>
              <w:rPr>
                <w:rFonts w:asciiTheme="minorHAnsi" w:hAnsiTheme="minorHAnsi" w:cs="Times New Roman"/>
                <w:noProof/>
                <w:szCs w:val="21"/>
              </w:rPr>
            </w:pPr>
            <w:r w:rsidRPr="007A52F7">
              <w:rPr>
                <w:rFonts w:asciiTheme="minorHAnsi" w:hAnsiTheme="minorHAnsi" w:cs="Times New Roman"/>
                <w:noProof/>
                <w:szCs w:val="21"/>
              </w:rPr>
              <w:t> </w:t>
            </w:r>
          </w:p>
        </w:tc>
        <w:tc>
          <w:tcPr>
            <w:tcW w:w="6588" w:type="dxa"/>
            <w:gridSpan w:val="11"/>
            <w:tcBorders>
              <w:top w:val="single" w:sz="12" w:space="0" w:color="auto"/>
              <w:bottom w:val="single" w:sz="12" w:space="0" w:color="auto"/>
            </w:tcBorders>
          </w:tcPr>
          <w:p w14:paraId="1E5E5EAA" w14:textId="77777777" w:rsidR="007A52F7" w:rsidRPr="007A52F7" w:rsidRDefault="007A52F7" w:rsidP="007A52F7">
            <w:pPr>
              <w:spacing w:line="360" w:lineRule="auto"/>
              <w:ind w:left="720" w:hanging="720"/>
              <w:jc w:val="left"/>
              <w:rPr>
                <w:rFonts w:asciiTheme="minorHAnsi" w:hAnsiTheme="minorHAnsi" w:cs="Times New Roman"/>
                <w:noProof/>
                <w:szCs w:val="21"/>
              </w:rPr>
            </w:pPr>
            <w:r w:rsidRPr="007A52F7">
              <w:rPr>
                <w:rFonts w:asciiTheme="minorHAnsi" w:hAnsiTheme="minorHAnsi" w:cs="Times New Roman"/>
                <w:noProof/>
                <w:szCs w:val="21"/>
              </w:rPr>
              <w:t>Age (years)</w:t>
            </w:r>
          </w:p>
        </w:tc>
      </w:tr>
      <w:tr w:rsidR="007A52F7" w:rsidRPr="007A52F7" w14:paraId="79E42064" w14:textId="77777777" w:rsidTr="007A52F7">
        <w:trPr>
          <w:trHeight w:val="315"/>
        </w:trPr>
        <w:tc>
          <w:tcPr>
            <w:tcW w:w="2895" w:type="dxa"/>
            <w:tcBorders>
              <w:bottom w:val="single" w:sz="12" w:space="0" w:color="auto"/>
            </w:tcBorders>
            <w:noWrap/>
            <w:vAlign w:val="bottom"/>
          </w:tcPr>
          <w:p w14:paraId="477EFDB6" w14:textId="77777777" w:rsidR="007A52F7" w:rsidRPr="007A52F7" w:rsidRDefault="007A52F7" w:rsidP="007A52F7">
            <w:pPr>
              <w:spacing w:line="360" w:lineRule="auto"/>
              <w:ind w:left="720" w:hanging="720"/>
              <w:jc w:val="left"/>
              <w:rPr>
                <w:rFonts w:asciiTheme="minorHAnsi" w:hAnsiTheme="minorHAnsi" w:cs="Times New Roman"/>
                <w:noProof/>
                <w:szCs w:val="21"/>
              </w:rPr>
            </w:pPr>
            <w:r w:rsidRPr="007A52F7">
              <w:rPr>
                <w:rFonts w:asciiTheme="minorHAnsi" w:hAnsiTheme="minorHAnsi" w:cs="Times New Roman"/>
                <w:noProof/>
                <w:szCs w:val="21"/>
              </w:rPr>
              <w:t> </w:t>
            </w:r>
          </w:p>
        </w:tc>
        <w:tc>
          <w:tcPr>
            <w:tcW w:w="598" w:type="dxa"/>
            <w:tcBorders>
              <w:top w:val="single" w:sz="12" w:space="0" w:color="auto"/>
              <w:bottom w:val="single" w:sz="12" w:space="0" w:color="auto"/>
            </w:tcBorders>
          </w:tcPr>
          <w:p w14:paraId="6DD8091B" w14:textId="77777777" w:rsidR="007A52F7" w:rsidRPr="007A52F7" w:rsidRDefault="007A52F7" w:rsidP="007A52F7">
            <w:pPr>
              <w:spacing w:line="360" w:lineRule="auto"/>
              <w:ind w:left="720" w:hanging="720"/>
              <w:jc w:val="left"/>
              <w:rPr>
                <w:rFonts w:asciiTheme="minorHAnsi" w:hAnsiTheme="minorHAnsi" w:cs="Times New Roman"/>
                <w:noProof/>
                <w:szCs w:val="21"/>
              </w:rPr>
            </w:pPr>
            <w:r w:rsidRPr="007A52F7">
              <w:rPr>
                <w:rFonts w:asciiTheme="minorHAnsi" w:hAnsiTheme="minorHAnsi" w:cs="Times New Roman"/>
                <w:noProof/>
                <w:szCs w:val="21"/>
              </w:rPr>
              <w:t>40</w:t>
            </w:r>
          </w:p>
        </w:tc>
        <w:tc>
          <w:tcPr>
            <w:tcW w:w="599" w:type="dxa"/>
            <w:tcBorders>
              <w:top w:val="single" w:sz="12" w:space="0" w:color="auto"/>
              <w:bottom w:val="single" w:sz="12" w:space="0" w:color="auto"/>
            </w:tcBorders>
          </w:tcPr>
          <w:p w14:paraId="13E2306C" w14:textId="77777777" w:rsidR="007A52F7" w:rsidRPr="007A52F7" w:rsidRDefault="007A52F7" w:rsidP="007A52F7">
            <w:pPr>
              <w:spacing w:line="360" w:lineRule="auto"/>
              <w:ind w:left="720" w:hanging="720"/>
              <w:jc w:val="left"/>
              <w:rPr>
                <w:rFonts w:asciiTheme="minorHAnsi" w:hAnsiTheme="minorHAnsi" w:cs="Times New Roman"/>
                <w:noProof/>
                <w:szCs w:val="21"/>
              </w:rPr>
            </w:pPr>
            <w:r w:rsidRPr="007A52F7">
              <w:rPr>
                <w:rFonts w:asciiTheme="minorHAnsi" w:hAnsiTheme="minorHAnsi" w:cs="Times New Roman"/>
                <w:noProof/>
                <w:szCs w:val="21"/>
              </w:rPr>
              <w:t>45</w:t>
            </w:r>
          </w:p>
        </w:tc>
        <w:tc>
          <w:tcPr>
            <w:tcW w:w="599" w:type="dxa"/>
            <w:tcBorders>
              <w:top w:val="single" w:sz="12" w:space="0" w:color="auto"/>
              <w:bottom w:val="single" w:sz="12" w:space="0" w:color="auto"/>
            </w:tcBorders>
            <w:noWrap/>
            <w:vAlign w:val="center"/>
          </w:tcPr>
          <w:p w14:paraId="67684A04" w14:textId="77777777" w:rsidR="007A52F7" w:rsidRPr="007A52F7" w:rsidRDefault="007A52F7" w:rsidP="007A52F7">
            <w:pPr>
              <w:spacing w:line="360" w:lineRule="auto"/>
              <w:ind w:left="720" w:hanging="720"/>
              <w:jc w:val="left"/>
              <w:rPr>
                <w:rFonts w:asciiTheme="minorHAnsi" w:hAnsiTheme="minorHAnsi" w:cs="Times New Roman"/>
                <w:noProof/>
                <w:szCs w:val="21"/>
              </w:rPr>
            </w:pPr>
            <w:r w:rsidRPr="007A52F7">
              <w:rPr>
                <w:rFonts w:asciiTheme="minorHAnsi" w:hAnsiTheme="minorHAnsi" w:cs="Times New Roman"/>
                <w:noProof/>
                <w:szCs w:val="21"/>
              </w:rPr>
              <w:t>50</w:t>
            </w:r>
          </w:p>
        </w:tc>
        <w:tc>
          <w:tcPr>
            <w:tcW w:w="599" w:type="dxa"/>
            <w:tcBorders>
              <w:top w:val="single" w:sz="12" w:space="0" w:color="auto"/>
              <w:bottom w:val="single" w:sz="12" w:space="0" w:color="auto"/>
            </w:tcBorders>
            <w:noWrap/>
            <w:vAlign w:val="center"/>
          </w:tcPr>
          <w:p w14:paraId="26EC70CB" w14:textId="77777777" w:rsidR="007A52F7" w:rsidRPr="007A52F7" w:rsidRDefault="007A52F7" w:rsidP="007A52F7">
            <w:pPr>
              <w:spacing w:line="360" w:lineRule="auto"/>
              <w:ind w:left="720" w:hanging="720"/>
              <w:jc w:val="left"/>
              <w:rPr>
                <w:rFonts w:asciiTheme="minorHAnsi" w:hAnsiTheme="minorHAnsi" w:cs="Times New Roman"/>
                <w:noProof/>
                <w:szCs w:val="21"/>
              </w:rPr>
            </w:pPr>
            <w:r w:rsidRPr="007A52F7">
              <w:rPr>
                <w:rFonts w:asciiTheme="minorHAnsi" w:hAnsiTheme="minorHAnsi" w:cs="Times New Roman"/>
                <w:noProof/>
                <w:szCs w:val="21"/>
              </w:rPr>
              <w:t>55</w:t>
            </w:r>
          </w:p>
        </w:tc>
        <w:tc>
          <w:tcPr>
            <w:tcW w:w="599" w:type="dxa"/>
            <w:tcBorders>
              <w:top w:val="single" w:sz="12" w:space="0" w:color="auto"/>
              <w:bottom w:val="single" w:sz="12" w:space="0" w:color="auto"/>
            </w:tcBorders>
            <w:noWrap/>
            <w:vAlign w:val="center"/>
          </w:tcPr>
          <w:p w14:paraId="57AFE074" w14:textId="77777777" w:rsidR="007A52F7" w:rsidRPr="007A52F7" w:rsidRDefault="007A52F7" w:rsidP="007A52F7">
            <w:pPr>
              <w:spacing w:line="360" w:lineRule="auto"/>
              <w:ind w:left="720" w:hanging="720"/>
              <w:jc w:val="left"/>
              <w:rPr>
                <w:rFonts w:asciiTheme="minorHAnsi" w:hAnsiTheme="minorHAnsi" w:cs="Times New Roman"/>
                <w:noProof/>
                <w:szCs w:val="21"/>
              </w:rPr>
            </w:pPr>
            <w:r w:rsidRPr="007A52F7">
              <w:rPr>
                <w:rFonts w:asciiTheme="minorHAnsi" w:hAnsiTheme="minorHAnsi" w:cs="Times New Roman"/>
                <w:noProof/>
                <w:szCs w:val="21"/>
              </w:rPr>
              <w:t>60</w:t>
            </w:r>
          </w:p>
        </w:tc>
        <w:tc>
          <w:tcPr>
            <w:tcW w:w="599" w:type="dxa"/>
            <w:tcBorders>
              <w:top w:val="single" w:sz="12" w:space="0" w:color="auto"/>
              <w:bottom w:val="single" w:sz="12" w:space="0" w:color="auto"/>
            </w:tcBorders>
            <w:noWrap/>
            <w:vAlign w:val="center"/>
          </w:tcPr>
          <w:p w14:paraId="1142B1A3" w14:textId="77777777" w:rsidR="007A52F7" w:rsidRPr="007A52F7" w:rsidRDefault="007A52F7" w:rsidP="007A52F7">
            <w:pPr>
              <w:spacing w:line="360" w:lineRule="auto"/>
              <w:ind w:left="720" w:hanging="720"/>
              <w:jc w:val="left"/>
              <w:rPr>
                <w:rFonts w:asciiTheme="minorHAnsi" w:hAnsiTheme="minorHAnsi" w:cs="Times New Roman"/>
                <w:noProof/>
                <w:szCs w:val="21"/>
              </w:rPr>
            </w:pPr>
            <w:r w:rsidRPr="007A52F7">
              <w:rPr>
                <w:rFonts w:asciiTheme="minorHAnsi" w:hAnsiTheme="minorHAnsi" w:cs="Times New Roman"/>
                <w:noProof/>
                <w:szCs w:val="21"/>
              </w:rPr>
              <w:t>65</w:t>
            </w:r>
          </w:p>
        </w:tc>
        <w:tc>
          <w:tcPr>
            <w:tcW w:w="599" w:type="dxa"/>
            <w:tcBorders>
              <w:top w:val="single" w:sz="12" w:space="0" w:color="auto"/>
              <w:bottom w:val="single" w:sz="12" w:space="0" w:color="auto"/>
            </w:tcBorders>
            <w:noWrap/>
            <w:vAlign w:val="center"/>
          </w:tcPr>
          <w:p w14:paraId="46A5787B" w14:textId="77777777" w:rsidR="007A52F7" w:rsidRPr="007A52F7" w:rsidRDefault="007A52F7" w:rsidP="007A52F7">
            <w:pPr>
              <w:spacing w:line="360" w:lineRule="auto"/>
              <w:ind w:left="720" w:hanging="720"/>
              <w:jc w:val="left"/>
              <w:rPr>
                <w:rFonts w:asciiTheme="minorHAnsi" w:hAnsiTheme="minorHAnsi" w:cs="Times New Roman"/>
                <w:noProof/>
                <w:szCs w:val="21"/>
              </w:rPr>
            </w:pPr>
            <w:r w:rsidRPr="007A52F7">
              <w:rPr>
                <w:rFonts w:asciiTheme="minorHAnsi" w:hAnsiTheme="minorHAnsi" w:cs="Times New Roman"/>
                <w:noProof/>
                <w:szCs w:val="21"/>
              </w:rPr>
              <w:t>70</w:t>
            </w:r>
          </w:p>
        </w:tc>
        <w:tc>
          <w:tcPr>
            <w:tcW w:w="599" w:type="dxa"/>
            <w:tcBorders>
              <w:top w:val="single" w:sz="12" w:space="0" w:color="auto"/>
              <w:bottom w:val="single" w:sz="12" w:space="0" w:color="auto"/>
            </w:tcBorders>
            <w:noWrap/>
            <w:vAlign w:val="center"/>
          </w:tcPr>
          <w:p w14:paraId="550BDE59" w14:textId="77777777" w:rsidR="007A52F7" w:rsidRPr="007A52F7" w:rsidRDefault="007A52F7" w:rsidP="007A52F7">
            <w:pPr>
              <w:spacing w:line="360" w:lineRule="auto"/>
              <w:ind w:left="720" w:hanging="720"/>
              <w:jc w:val="left"/>
              <w:rPr>
                <w:rFonts w:asciiTheme="minorHAnsi" w:hAnsiTheme="minorHAnsi" w:cs="Times New Roman"/>
                <w:noProof/>
                <w:szCs w:val="21"/>
              </w:rPr>
            </w:pPr>
            <w:r w:rsidRPr="007A52F7">
              <w:rPr>
                <w:rFonts w:asciiTheme="minorHAnsi" w:hAnsiTheme="minorHAnsi" w:cs="Times New Roman"/>
                <w:noProof/>
                <w:szCs w:val="21"/>
              </w:rPr>
              <w:t>75</w:t>
            </w:r>
          </w:p>
        </w:tc>
        <w:tc>
          <w:tcPr>
            <w:tcW w:w="599" w:type="dxa"/>
            <w:tcBorders>
              <w:top w:val="single" w:sz="12" w:space="0" w:color="auto"/>
              <w:bottom w:val="single" w:sz="12" w:space="0" w:color="auto"/>
            </w:tcBorders>
            <w:noWrap/>
            <w:vAlign w:val="center"/>
          </w:tcPr>
          <w:p w14:paraId="435DEA1A" w14:textId="77777777" w:rsidR="007A52F7" w:rsidRPr="007A52F7" w:rsidRDefault="007A52F7" w:rsidP="007A52F7">
            <w:pPr>
              <w:spacing w:line="360" w:lineRule="auto"/>
              <w:ind w:left="720" w:hanging="720"/>
              <w:jc w:val="left"/>
              <w:rPr>
                <w:rFonts w:asciiTheme="minorHAnsi" w:hAnsiTheme="minorHAnsi" w:cs="Times New Roman"/>
                <w:noProof/>
                <w:szCs w:val="21"/>
              </w:rPr>
            </w:pPr>
            <w:r w:rsidRPr="007A52F7">
              <w:rPr>
                <w:rFonts w:asciiTheme="minorHAnsi" w:hAnsiTheme="minorHAnsi" w:cs="Times New Roman"/>
                <w:noProof/>
                <w:szCs w:val="21"/>
              </w:rPr>
              <w:t>80</w:t>
            </w:r>
          </w:p>
        </w:tc>
        <w:tc>
          <w:tcPr>
            <w:tcW w:w="599" w:type="dxa"/>
            <w:tcBorders>
              <w:top w:val="single" w:sz="12" w:space="0" w:color="auto"/>
              <w:bottom w:val="single" w:sz="12" w:space="0" w:color="auto"/>
            </w:tcBorders>
            <w:noWrap/>
            <w:vAlign w:val="center"/>
          </w:tcPr>
          <w:p w14:paraId="04EAC542" w14:textId="77777777" w:rsidR="007A52F7" w:rsidRPr="007A52F7" w:rsidRDefault="007A52F7" w:rsidP="007A52F7">
            <w:pPr>
              <w:spacing w:line="360" w:lineRule="auto"/>
              <w:ind w:left="720" w:hanging="720"/>
              <w:jc w:val="left"/>
              <w:rPr>
                <w:rFonts w:asciiTheme="minorHAnsi" w:hAnsiTheme="minorHAnsi" w:cs="Times New Roman"/>
                <w:noProof/>
                <w:szCs w:val="21"/>
              </w:rPr>
            </w:pPr>
            <w:r w:rsidRPr="007A52F7">
              <w:rPr>
                <w:rFonts w:asciiTheme="minorHAnsi" w:hAnsiTheme="minorHAnsi" w:cs="Times New Roman"/>
                <w:noProof/>
                <w:szCs w:val="21"/>
              </w:rPr>
              <w:t>85</w:t>
            </w:r>
          </w:p>
        </w:tc>
        <w:tc>
          <w:tcPr>
            <w:tcW w:w="599" w:type="dxa"/>
            <w:tcBorders>
              <w:top w:val="single" w:sz="12" w:space="0" w:color="auto"/>
              <w:bottom w:val="single" w:sz="12" w:space="0" w:color="auto"/>
            </w:tcBorders>
            <w:noWrap/>
            <w:vAlign w:val="center"/>
          </w:tcPr>
          <w:p w14:paraId="3D9E3856" w14:textId="77777777" w:rsidR="007A52F7" w:rsidRPr="007A52F7" w:rsidRDefault="007A52F7" w:rsidP="007A52F7">
            <w:pPr>
              <w:spacing w:line="360" w:lineRule="auto"/>
              <w:ind w:left="720" w:hanging="720"/>
              <w:jc w:val="left"/>
              <w:rPr>
                <w:rFonts w:asciiTheme="minorHAnsi" w:hAnsiTheme="minorHAnsi" w:cs="Times New Roman"/>
                <w:noProof/>
                <w:szCs w:val="21"/>
              </w:rPr>
            </w:pPr>
            <w:r w:rsidRPr="007A52F7">
              <w:rPr>
                <w:rFonts w:asciiTheme="minorHAnsi" w:hAnsiTheme="minorHAnsi" w:cs="Times New Roman"/>
                <w:noProof/>
                <w:szCs w:val="21"/>
              </w:rPr>
              <w:t>90</w:t>
            </w:r>
          </w:p>
        </w:tc>
      </w:tr>
      <w:tr w:rsidR="007A52F7" w:rsidRPr="007A52F7" w14:paraId="34EC4A47" w14:textId="77777777" w:rsidTr="007A52F7">
        <w:trPr>
          <w:trHeight w:val="300"/>
        </w:trPr>
        <w:tc>
          <w:tcPr>
            <w:tcW w:w="2895" w:type="dxa"/>
            <w:tcBorders>
              <w:top w:val="single" w:sz="12" w:space="0" w:color="auto"/>
            </w:tcBorders>
            <w:noWrap/>
            <w:vAlign w:val="center"/>
          </w:tcPr>
          <w:p w14:paraId="3FBBA4C6" w14:textId="77777777" w:rsidR="007A52F7" w:rsidRPr="007A52F7" w:rsidRDefault="007A52F7" w:rsidP="007A52F7">
            <w:pPr>
              <w:spacing w:after="0" w:line="360" w:lineRule="auto"/>
              <w:ind w:left="720" w:hanging="720"/>
              <w:jc w:val="left"/>
              <w:rPr>
                <w:rFonts w:asciiTheme="minorHAnsi" w:hAnsiTheme="minorHAnsi" w:cs="Times New Roman"/>
                <w:i/>
                <w:iCs/>
                <w:noProof/>
                <w:szCs w:val="21"/>
              </w:rPr>
            </w:pPr>
            <w:r w:rsidRPr="007A52F7">
              <w:rPr>
                <w:rFonts w:asciiTheme="minorHAnsi" w:hAnsiTheme="minorHAnsi" w:cs="Times New Roman"/>
                <w:i/>
                <w:iCs/>
                <w:noProof/>
                <w:szCs w:val="21"/>
              </w:rPr>
              <w:t>Hip fracture</w:t>
            </w:r>
          </w:p>
        </w:tc>
        <w:tc>
          <w:tcPr>
            <w:tcW w:w="598" w:type="dxa"/>
            <w:tcBorders>
              <w:top w:val="single" w:sz="12" w:space="0" w:color="auto"/>
            </w:tcBorders>
          </w:tcPr>
          <w:p w14:paraId="1CAD10EE"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p>
        </w:tc>
        <w:tc>
          <w:tcPr>
            <w:tcW w:w="599" w:type="dxa"/>
            <w:tcBorders>
              <w:top w:val="single" w:sz="12" w:space="0" w:color="auto"/>
            </w:tcBorders>
          </w:tcPr>
          <w:p w14:paraId="366F3B80"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p>
        </w:tc>
        <w:tc>
          <w:tcPr>
            <w:tcW w:w="599" w:type="dxa"/>
            <w:tcBorders>
              <w:top w:val="single" w:sz="12" w:space="0" w:color="auto"/>
            </w:tcBorders>
            <w:noWrap/>
            <w:vAlign w:val="bottom"/>
          </w:tcPr>
          <w:p w14:paraId="644A6A73"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p>
        </w:tc>
        <w:tc>
          <w:tcPr>
            <w:tcW w:w="599" w:type="dxa"/>
            <w:tcBorders>
              <w:top w:val="single" w:sz="12" w:space="0" w:color="auto"/>
            </w:tcBorders>
            <w:noWrap/>
            <w:vAlign w:val="bottom"/>
          </w:tcPr>
          <w:p w14:paraId="15E2AC86"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p>
        </w:tc>
        <w:tc>
          <w:tcPr>
            <w:tcW w:w="599" w:type="dxa"/>
            <w:tcBorders>
              <w:top w:val="single" w:sz="12" w:space="0" w:color="auto"/>
            </w:tcBorders>
            <w:noWrap/>
            <w:vAlign w:val="bottom"/>
          </w:tcPr>
          <w:p w14:paraId="340155FD"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p>
        </w:tc>
        <w:tc>
          <w:tcPr>
            <w:tcW w:w="599" w:type="dxa"/>
            <w:tcBorders>
              <w:top w:val="single" w:sz="12" w:space="0" w:color="auto"/>
            </w:tcBorders>
            <w:noWrap/>
            <w:vAlign w:val="bottom"/>
          </w:tcPr>
          <w:p w14:paraId="324CA56D"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p>
        </w:tc>
        <w:tc>
          <w:tcPr>
            <w:tcW w:w="599" w:type="dxa"/>
            <w:tcBorders>
              <w:top w:val="single" w:sz="12" w:space="0" w:color="auto"/>
            </w:tcBorders>
            <w:noWrap/>
            <w:vAlign w:val="bottom"/>
          </w:tcPr>
          <w:p w14:paraId="41730A42"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p>
        </w:tc>
        <w:tc>
          <w:tcPr>
            <w:tcW w:w="599" w:type="dxa"/>
            <w:tcBorders>
              <w:top w:val="single" w:sz="12" w:space="0" w:color="auto"/>
            </w:tcBorders>
            <w:noWrap/>
            <w:vAlign w:val="bottom"/>
          </w:tcPr>
          <w:p w14:paraId="755D60A3"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p>
        </w:tc>
        <w:tc>
          <w:tcPr>
            <w:tcW w:w="599" w:type="dxa"/>
            <w:tcBorders>
              <w:top w:val="single" w:sz="12" w:space="0" w:color="auto"/>
            </w:tcBorders>
            <w:noWrap/>
            <w:vAlign w:val="bottom"/>
          </w:tcPr>
          <w:p w14:paraId="1A51452D"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p>
        </w:tc>
        <w:tc>
          <w:tcPr>
            <w:tcW w:w="599" w:type="dxa"/>
            <w:tcBorders>
              <w:top w:val="single" w:sz="12" w:space="0" w:color="auto"/>
            </w:tcBorders>
            <w:noWrap/>
            <w:vAlign w:val="bottom"/>
          </w:tcPr>
          <w:p w14:paraId="3AD7A1D8"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p>
        </w:tc>
        <w:tc>
          <w:tcPr>
            <w:tcW w:w="599" w:type="dxa"/>
            <w:tcBorders>
              <w:top w:val="single" w:sz="12" w:space="0" w:color="auto"/>
            </w:tcBorders>
            <w:noWrap/>
            <w:vAlign w:val="bottom"/>
          </w:tcPr>
          <w:p w14:paraId="7D68B4C8"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p>
        </w:tc>
      </w:tr>
      <w:tr w:rsidR="007A52F7" w:rsidRPr="007A52F7" w14:paraId="1EC7DC2B" w14:textId="77777777" w:rsidTr="007A52F7">
        <w:trPr>
          <w:trHeight w:val="300"/>
        </w:trPr>
        <w:tc>
          <w:tcPr>
            <w:tcW w:w="2895" w:type="dxa"/>
            <w:noWrap/>
            <w:vAlign w:val="center"/>
          </w:tcPr>
          <w:p w14:paraId="67EA55BD"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r w:rsidRPr="007A52F7">
              <w:rPr>
                <w:rFonts w:asciiTheme="minorHAnsi" w:hAnsiTheme="minorHAnsi" w:cs="Times New Roman"/>
                <w:noProof/>
                <w:szCs w:val="21"/>
              </w:rPr>
              <w:t xml:space="preserve"> No clinical risk factors</w:t>
            </w:r>
          </w:p>
        </w:tc>
        <w:tc>
          <w:tcPr>
            <w:tcW w:w="598" w:type="dxa"/>
          </w:tcPr>
          <w:p w14:paraId="23E82C99"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r w:rsidRPr="007A52F7">
              <w:rPr>
                <w:rFonts w:asciiTheme="minorHAnsi" w:hAnsiTheme="minorHAnsi" w:cs="Times New Roman"/>
                <w:noProof/>
                <w:szCs w:val="21"/>
              </w:rPr>
              <w:t>0.04</w:t>
            </w:r>
          </w:p>
        </w:tc>
        <w:tc>
          <w:tcPr>
            <w:tcW w:w="599" w:type="dxa"/>
          </w:tcPr>
          <w:p w14:paraId="1D03A381"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r w:rsidRPr="007A52F7">
              <w:rPr>
                <w:rFonts w:asciiTheme="minorHAnsi" w:hAnsiTheme="minorHAnsi" w:cs="Times New Roman"/>
                <w:noProof/>
                <w:szCs w:val="21"/>
              </w:rPr>
              <w:t>0.07</w:t>
            </w:r>
          </w:p>
        </w:tc>
        <w:tc>
          <w:tcPr>
            <w:tcW w:w="599" w:type="dxa"/>
            <w:noWrap/>
            <w:vAlign w:val="center"/>
          </w:tcPr>
          <w:p w14:paraId="2FA44F00"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r w:rsidRPr="007A52F7">
              <w:rPr>
                <w:rFonts w:asciiTheme="minorHAnsi" w:hAnsiTheme="minorHAnsi" w:cs="Times New Roman"/>
                <w:noProof/>
                <w:szCs w:val="21"/>
              </w:rPr>
              <w:t>0.14</w:t>
            </w:r>
          </w:p>
        </w:tc>
        <w:tc>
          <w:tcPr>
            <w:tcW w:w="599" w:type="dxa"/>
            <w:noWrap/>
            <w:vAlign w:val="center"/>
          </w:tcPr>
          <w:p w14:paraId="4D77833F"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r w:rsidRPr="007A52F7">
              <w:rPr>
                <w:rFonts w:asciiTheme="minorHAnsi" w:hAnsiTheme="minorHAnsi" w:cs="Times New Roman"/>
                <w:noProof/>
                <w:szCs w:val="21"/>
              </w:rPr>
              <w:t>0.27</w:t>
            </w:r>
          </w:p>
        </w:tc>
        <w:tc>
          <w:tcPr>
            <w:tcW w:w="599" w:type="dxa"/>
            <w:noWrap/>
            <w:vAlign w:val="center"/>
          </w:tcPr>
          <w:p w14:paraId="7CF2F654"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r w:rsidRPr="007A52F7">
              <w:rPr>
                <w:rFonts w:asciiTheme="minorHAnsi" w:hAnsiTheme="minorHAnsi" w:cs="Times New Roman"/>
                <w:noProof/>
                <w:szCs w:val="21"/>
              </w:rPr>
              <w:t>0.49</w:t>
            </w:r>
          </w:p>
        </w:tc>
        <w:tc>
          <w:tcPr>
            <w:tcW w:w="599" w:type="dxa"/>
            <w:noWrap/>
            <w:vAlign w:val="center"/>
          </w:tcPr>
          <w:p w14:paraId="0FE0EAAE"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r w:rsidRPr="007A52F7">
              <w:rPr>
                <w:rFonts w:asciiTheme="minorHAnsi" w:hAnsiTheme="minorHAnsi" w:cs="Times New Roman"/>
                <w:noProof/>
                <w:szCs w:val="21"/>
              </w:rPr>
              <w:t>0.82</w:t>
            </w:r>
          </w:p>
        </w:tc>
        <w:tc>
          <w:tcPr>
            <w:tcW w:w="599" w:type="dxa"/>
            <w:noWrap/>
            <w:vAlign w:val="center"/>
          </w:tcPr>
          <w:p w14:paraId="4297D9EC"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r w:rsidRPr="007A52F7">
              <w:rPr>
                <w:rFonts w:asciiTheme="minorHAnsi" w:hAnsiTheme="minorHAnsi" w:cs="Times New Roman"/>
                <w:noProof/>
                <w:szCs w:val="21"/>
              </w:rPr>
              <w:t>1.32</w:t>
            </w:r>
          </w:p>
        </w:tc>
        <w:tc>
          <w:tcPr>
            <w:tcW w:w="599" w:type="dxa"/>
            <w:noWrap/>
            <w:vAlign w:val="center"/>
          </w:tcPr>
          <w:p w14:paraId="568FFBDD"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r w:rsidRPr="007A52F7">
              <w:rPr>
                <w:rFonts w:asciiTheme="minorHAnsi" w:hAnsiTheme="minorHAnsi" w:cs="Times New Roman"/>
                <w:noProof/>
                <w:szCs w:val="21"/>
              </w:rPr>
              <w:t>2.04</w:t>
            </w:r>
          </w:p>
        </w:tc>
        <w:tc>
          <w:tcPr>
            <w:tcW w:w="599" w:type="dxa"/>
            <w:noWrap/>
            <w:vAlign w:val="center"/>
          </w:tcPr>
          <w:p w14:paraId="6CBE31E9"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r w:rsidRPr="007A52F7">
              <w:rPr>
                <w:rFonts w:asciiTheme="minorHAnsi" w:hAnsiTheme="minorHAnsi" w:cs="Times New Roman"/>
                <w:noProof/>
                <w:szCs w:val="21"/>
              </w:rPr>
              <w:t>3.16</w:t>
            </w:r>
          </w:p>
        </w:tc>
        <w:tc>
          <w:tcPr>
            <w:tcW w:w="599" w:type="dxa"/>
            <w:noWrap/>
            <w:vAlign w:val="center"/>
          </w:tcPr>
          <w:p w14:paraId="578DB5AC"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r w:rsidRPr="007A52F7">
              <w:rPr>
                <w:rFonts w:asciiTheme="minorHAnsi" w:hAnsiTheme="minorHAnsi" w:cs="Times New Roman"/>
                <w:noProof/>
                <w:szCs w:val="21"/>
              </w:rPr>
              <w:t>4.80</w:t>
            </w:r>
          </w:p>
        </w:tc>
        <w:tc>
          <w:tcPr>
            <w:tcW w:w="599" w:type="dxa"/>
            <w:noWrap/>
            <w:vAlign w:val="center"/>
          </w:tcPr>
          <w:p w14:paraId="727F7567"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r w:rsidRPr="007A52F7">
              <w:rPr>
                <w:rFonts w:asciiTheme="minorHAnsi" w:hAnsiTheme="minorHAnsi" w:cs="Times New Roman"/>
                <w:noProof/>
                <w:szCs w:val="21"/>
              </w:rPr>
              <w:t>6.72</w:t>
            </w:r>
          </w:p>
        </w:tc>
      </w:tr>
      <w:tr w:rsidR="007A52F7" w:rsidRPr="007A52F7" w14:paraId="25AB6F0F" w14:textId="77777777" w:rsidTr="007A52F7">
        <w:trPr>
          <w:trHeight w:val="345"/>
        </w:trPr>
        <w:tc>
          <w:tcPr>
            <w:tcW w:w="2895" w:type="dxa"/>
            <w:noWrap/>
            <w:vAlign w:val="center"/>
          </w:tcPr>
          <w:p w14:paraId="745618E3"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r w:rsidRPr="007A52F7">
              <w:rPr>
                <w:rFonts w:asciiTheme="minorHAnsi" w:hAnsiTheme="minorHAnsi" w:cs="Times New Roman"/>
                <w:noProof/>
                <w:szCs w:val="21"/>
              </w:rPr>
              <w:t xml:space="preserve"> BMD T-Score -2.5 SD</w:t>
            </w:r>
            <w:r w:rsidRPr="007A52F7">
              <w:rPr>
                <w:rFonts w:asciiTheme="minorHAnsi" w:hAnsiTheme="minorHAnsi" w:cs="Times New Roman"/>
                <w:noProof/>
                <w:szCs w:val="21"/>
                <w:vertAlign w:val="superscript"/>
              </w:rPr>
              <w:t>a</w:t>
            </w:r>
          </w:p>
        </w:tc>
        <w:tc>
          <w:tcPr>
            <w:tcW w:w="598" w:type="dxa"/>
          </w:tcPr>
          <w:p w14:paraId="2605B04E"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r w:rsidRPr="007A52F7">
              <w:rPr>
                <w:rFonts w:asciiTheme="minorHAnsi" w:hAnsiTheme="minorHAnsi" w:cs="Times New Roman"/>
                <w:noProof/>
                <w:szCs w:val="21"/>
              </w:rPr>
              <w:t>1.02</w:t>
            </w:r>
          </w:p>
        </w:tc>
        <w:tc>
          <w:tcPr>
            <w:tcW w:w="599" w:type="dxa"/>
          </w:tcPr>
          <w:p w14:paraId="43497348"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r w:rsidRPr="007A52F7">
              <w:rPr>
                <w:rFonts w:asciiTheme="minorHAnsi" w:hAnsiTheme="minorHAnsi" w:cs="Times New Roman"/>
                <w:noProof/>
                <w:szCs w:val="21"/>
              </w:rPr>
              <w:t>1.10</w:t>
            </w:r>
          </w:p>
        </w:tc>
        <w:tc>
          <w:tcPr>
            <w:tcW w:w="599" w:type="dxa"/>
            <w:noWrap/>
            <w:vAlign w:val="center"/>
          </w:tcPr>
          <w:p w14:paraId="73D86DEA"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r w:rsidRPr="007A52F7">
              <w:rPr>
                <w:rFonts w:asciiTheme="minorHAnsi" w:hAnsiTheme="minorHAnsi" w:cs="Times New Roman"/>
                <w:noProof/>
                <w:szCs w:val="21"/>
              </w:rPr>
              <w:t>1.32</w:t>
            </w:r>
          </w:p>
        </w:tc>
        <w:tc>
          <w:tcPr>
            <w:tcW w:w="599" w:type="dxa"/>
            <w:noWrap/>
            <w:vAlign w:val="center"/>
          </w:tcPr>
          <w:p w14:paraId="50FDA544"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r w:rsidRPr="007A52F7">
              <w:rPr>
                <w:rFonts w:asciiTheme="minorHAnsi" w:hAnsiTheme="minorHAnsi" w:cs="Times New Roman"/>
                <w:noProof/>
                <w:szCs w:val="21"/>
              </w:rPr>
              <w:t>1.67</w:t>
            </w:r>
          </w:p>
        </w:tc>
        <w:tc>
          <w:tcPr>
            <w:tcW w:w="599" w:type="dxa"/>
            <w:noWrap/>
            <w:vAlign w:val="center"/>
          </w:tcPr>
          <w:p w14:paraId="2DB9F3E7"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r w:rsidRPr="007A52F7">
              <w:rPr>
                <w:rFonts w:asciiTheme="minorHAnsi" w:hAnsiTheme="minorHAnsi" w:cs="Times New Roman"/>
                <w:noProof/>
                <w:szCs w:val="21"/>
              </w:rPr>
              <w:t>2.02</w:t>
            </w:r>
          </w:p>
        </w:tc>
        <w:tc>
          <w:tcPr>
            <w:tcW w:w="599" w:type="dxa"/>
            <w:noWrap/>
            <w:vAlign w:val="center"/>
          </w:tcPr>
          <w:p w14:paraId="51CEA25C"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r w:rsidRPr="007A52F7">
              <w:rPr>
                <w:rFonts w:asciiTheme="minorHAnsi" w:hAnsiTheme="minorHAnsi" w:cs="Times New Roman"/>
                <w:noProof/>
                <w:szCs w:val="21"/>
              </w:rPr>
              <w:t>2.31</w:t>
            </w:r>
          </w:p>
        </w:tc>
        <w:tc>
          <w:tcPr>
            <w:tcW w:w="599" w:type="dxa"/>
            <w:noWrap/>
            <w:vAlign w:val="center"/>
          </w:tcPr>
          <w:p w14:paraId="7F377B29"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r w:rsidRPr="007A52F7">
              <w:rPr>
                <w:rFonts w:asciiTheme="minorHAnsi" w:hAnsiTheme="minorHAnsi" w:cs="Times New Roman"/>
                <w:noProof/>
                <w:szCs w:val="21"/>
              </w:rPr>
              <w:t>2.59</w:t>
            </w:r>
          </w:p>
        </w:tc>
        <w:tc>
          <w:tcPr>
            <w:tcW w:w="599" w:type="dxa"/>
            <w:noWrap/>
            <w:vAlign w:val="center"/>
          </w:tcPr>
          <w:p w14:paraId="0E7CC8A3"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r w:rsidRPr="007A52F7">
              <w:rPr>
                <w:rFonts w:asciiTheme="minorHAnsi" w:hAnsiTheme="minorHAnsi" w:cs="Times New Roman"/>
                <w:noProof/>
                <w:szCs w:val="21"/>
              </w:rPr>
              <w:t>2.95</w:t>
            </w:r>
          </w:p>
        </w:tc>
        <w:tc>
          <w:tcPr>
            <w:tcW w:w="599" w:type="dxa"/>
            <w:noWrap/>
            <w:vAlign w:val="center"/>
          </w:tcPr>
          <w:p w14:paraId="6429C8B0"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r w:rsidRPr="007A52F7">
              <w:rPr>
                <w:rFonts w:asciiTheme="minorHAnsi" w:hAnsiTheme="minorHAnsi" w:cs="Times New Roman"/>
                <w:noProof/>
                <w:szCs w:val="21"/>
              </w:rPr>
              <w:t>3.49</w:t>
            </w:r>
          </w:p>
        </w:tc>
        <w:tc>
          <w:tcPr>
            <w:tcW w:w="599" w:type="dxa"/>
            <w:noWrap/>
            <w:vAlign w:val="center"/>
          </w:tcPr>
          <w:p w14:paraId="3204FFF9"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r w:rsidRPr="007A52F7">
              <w:rPr>
                <w:rFonts w:asciiTheme="minorHAnsi" w:hAnsiTheme="minorHAnsi" w:cs="Times New Roman"/>
                <w:noProof/>
                <w:szCs w:val="21"/>
              </w:rPr>
              <w:t>4.28</w:t>
            </w:r>
          </w:p>
        </w:tc>
        <w:tc>
          <w:tcPr>
            <w:tcW w:w="599" w:type="dxa"/>
            <w:noWrap/>
            <w:vAlign w:val="center"/>
          </w:tcPr>
          <w:p w14:paraId="04DCCCDA"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r w:rsidRPr="007A52F7">
              <w:rPr>
                <w:rFonts w:asciiTheme="minorHAnsi" w:hAnsiTheme="minorHAnsi" w:cs="Times New Roman"/>
                <w:noProof/>
                <w:szCs w:val="21"/>
              </w:rPr>
              <w:t>5.22</w:t>
            </w:r>
          </w:p>
        </w:tc>
      </w:tr>
      <w:tr w:rsidR="007A52F7" w:rsidRPr="007A52F7" w14:paraId="0F289098" w14:textId="77777777" w:rsidTr="007A52F7">
        <w:trPr>
          <w:trHeight w:val="345"/>
        </w:trPr>
        <w:tc>
          <w:tcPr>
            <w:tcW w:w="2895" w:type="dxa"/>
            <w:noWrap/>
            <w:vAlign w:val="center"/>
          </w:tcPr>
          <w:p w14:paraId="3CD05E34"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r w:rsidRPr="007A52F7">
              <w:rPr>
                <w:rFonts w:asciiTheme="minorHAnsi" w:hAnsiTheme="minorHAnsi" w:cs="Times New Roman"/>
                <w:noProof/>
                <w:szCs w:val="21"/>
              </w:rPr>
              <w:t xml:space="preserve"> Previous fracture</w:t>
            </w:r>
            <w:r w:rsidRPr="007A52F7">
              <w:rPr>
                <w:rFonts w:asciiTheme="minorHAnsi" w:hAnsiTheme="minorHAnsi" w:cs="Times New Roman"/>
                <w:noProof/>
                <w:szCs w:val="21"/>
                <w:vertAlign w:val="superscript"/>
              </w:rPr>
              <w:t>a</w:t>
            </w:r>
          </w:p>
        </w:tc>
        <w:tc>
          <w:tcPr>
            <w:tcW w:w="598" w:type="dxa"/>
          </w:tcPr>
          <w:p w14:paraId="20BABCDF"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r w:rsidRPr="007A52F7">
              <w:rPr>
                <w:rFonts w:asciiTheme="minorHAnsi" w:hAnsiTheme="minorHAnsi" w:cs="Times New Roman"/>
                <w:noProof/>
                <w:szCs w:val="21"/>
              </w:rPr>
              <w:t>0.23</w:t>
            </w:r>
          </w:p>
        </w:tc>
        <w:tc>
          <w:tcPr>
            <w:tcW w:w="599" w:type="dxa"/>
          </w:tcPr>
          <w:p w14:paraId="36EC7188"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r w:rsidRPr="007A52F7">
              <w:rPr>
                <w:rFonts w:asciiTheme="minorHAnsi" w:hAnsiTheme="minorHAnsi" w:cs="Times New Roman"/>
                <w:noProof/>
                <w:szCs w:val="21"/>
              </w:rPr>
              <w:t>0.35</w:t>
            </w:r>
          </w:p>
        </w:tc>
        <w:tc>
          <w:tcPr>
            <w:tcW w:w="599" w:type="dxa"/>
            <w:noWrap/>
            <w:vAlign w:val="center"/>
          </w:tcPr>
          <w:p w14:paraId="27CC42ED"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r w:rsidRPr="007A52F7">
              <w:rPr>
                <w:rFonts w:asciiTheme="minorHAnsi" w:hAnsiTheme="minorHAnsi" w:cs="Times New Roman"/>
                <w:noProof/>
                <w:szCs w:val="21"/>
              </w:rPr>
              <w:t>0.56</w:t>
            </w:r>
          </w:p>
        </w:tc>
        <w:tc>
          <w:tcPr>
            <w:tcW w:w="599" w:type="dxa"/>
            <w:noWrap/>
            <w:vAlign w:val="center"/>
          </w:tcPr>
          <w:p w14:paraId="623053BD"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r w:rsidRPr="007A52F7">
              <w:rPr>
                <w:rFonts w:asciiTheme="minorHAnsi" w:hAnsiTheme="minorHAnsi" w:cs="Times New Roman"/>
                <w:noProof/>
                <w:szCs w:val="21"/>
              </w:rPr>
              <w:t>0.91</w:t>
            </w:r>
          </w:p>
        </w:tc>
        <w:tc>
          <w:tcPr>
            <w:tcW w:w="599" w:type="dxa"/>
            <w:noWrap/>
            <w:vAlign w:val="center"/>
          </w:tcPr>
          <w:p w14:paraId="73096B19"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r w:rsidRPr="007A52F7">
              <w:rPr>
                <w:rFonts w:asciiTheme="minorHAnsi" w:hAnsiTheme="minorHAnsi" w:cs="Times New Roman"/>
                <w:noProof/>
                <w:szCs w:val="21"/>
              </w:rPr>
              <w:t>1.43</w:t>
            </w:r>
          </w:p>
        </w:tc>
        <w:tc>
          <w:tcPr>
            <w:tcW w:w="599" w:type="dxa"/>
            <w:noWrap/>
            <w:vAlign w:val="center"/>
          </w:tcPr>
          <w:p w14:paraId="4B5E9E6F"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r w:rsidRPr="007A52F7">
              <w:rPr>
                <w:rFonts w:asciiTheme="minorHAnsi" w:hAnsiTheme="minorHAnsi" w:cs="Times New Roman"/>
                <w:noProof/>
                <w:szCs w:val="21"/>
              </w:rPr>
              <w:t>2.04</w:t>
            </w:r>
          </w:p>
        </w:tc>
        <w:tc>
          <w:tcPr>
            <w:tcW w:w="599" w:type="dxa"/>
            <w:noWrap/>
            <w:vAlign w:val="center"/>
          </w:tcPr>
          <w:p w14:paraId="07F0E803"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r w:rsidRPr="007A52F7">
              <w:rPr>
                <w:rFonts w:asciiTheme="minorHAnsi" w:hAnsiTheme="minorHAnsi" w:cs="Times New Roman"/>
                <w:noProof/>
                <w:szCs w:val="21"/>
              </w:rPr>
              <w:t>2.79</w:t>
            </w:r>
          </w:p>
        </w:tc>
        <w:tc>
          <w:tcPr>
            <w:tcW w:w="599" w:type="dxa"/>
            <w:noWrap/>
            <w:vAlign w:val="center"/>
          </w:tcPr>
          <w:p w14:paraId="40016CD8"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r w:rsidRPr="007A52F7">
              <w:rPr>
                <w:rFonts w:asciiTheme="minorHAnsi" w:hAnsiTheme="minorHAnsi" w:cs="Times New Roman"/>
                <w:noProof/>
                <w:szCs w:val="21"/>
              </w:rPr>
              <w:t>3.70</w:t>
            </w:r>
          </w:p>
        </w:tc>
        <w:tc>
          <w:tcPr>
            <w:tcW w:w="599" w:type="dxa"/>
            <w:noWrap/>
            <w:vAlign w:val="center"/>
          </w:tcPr>
          <w:p w14:paraId="11B96553"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r w:rsidRPr="007A52F7">
              <w:rPr>
                <w:rFonts w:asciiTheme="minorHAnsi" w:hAnsiTheme="minorHAnsi" w:cs="Times New Roman"/>
                <w:noProof/>
                <w:szCs w:val="21"/>
              </w:rPr>
              <w:t>4.87</w:t>
            </w:r>
          </w:p>
        </w:tc>
        <w:tc>
          <w:tcPr>
            <w:tcW w:w="599" w:type="dxa"/>
            <w:noWrap/>
            <w:vAlign w:val="center"/>
          </w:tcPr>
          <w:p w14:paraId="1070E63D"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r w:rsidRPr="007A52F7">
              <w:rPr>
                <w:rFonts w:asciiTheme="minorHAnsi" w:hAnsiTheme="minorHAnsi" w:cs="Times New Roman"/>
                <w:noProof/>
                <w:szCs w:val="21"/>
              </w:rPr>
              <w:t>7.35</w:t>
            </w:r>
          </w:p>
        </w:tc>
        <w:tc>
          <w:tcPr>
            <w:tcW w:w="599" w:type="dxa"/>
            <w:noWrap/>
            <w:vAlign w:val="center"/>
          </w:tcPr>
          <w:p w14:paraId="563D77C4"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r w:rsidRPr="007A52F7">
              <w:rPr>
                <w:rFonts w:asciiTheme="minorHAnsi" w:hAnsiTheme="minorHAnsi" w:cs="Times New Roman"/>
                <w:noProof/>
                <w:szCs w:val="21"/>
              </w:rPr>
              <w:t>10.2</w:t>
            </w:r>
          </w:p>
        </w:tc>
      </w:tr>
      <w:tr w:rsidR="007A52F7" w:rsidRPr="007A52F7" w14:paraId="706981C5" w14:textId="77777777" w:rsidTr="007A52F7">
        <w:trPr>
          <w:trHeight w:val="345"/>
        </w:trPr>
        <w:tc>
          <w:tcPr>
            <w:tcW w:w="2895" w:type="dxa"/>
            <w:noWrap/>
            <w:vAlign w:val="center"/>
          </w:tcPr>
          <w:p w14:paraId="223FCA66"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r w:rsidRPr="007A52F7">
              <w:rPr>
                <w:rFonts w:asciiTheme="minorHAnsi" w:hAnsiTheme="minorHAnsi" w:cs="Times New Roman"/>
                <w:noProof/>
                <w:szCs w:val="21"/>
              </w:rPr>
              <w:t xml:space="preserve"> BMD T-Score -1.5 SD</w:t>
            </w:r>
            <w:r w:rsidRPr="007A52F7">
              <w:rPr>
                <w:rFonts w:asciiTheme="minorHAnsi" w:hAnsiTheme="minorHAnsi" w:cs="Times New Roman"/>
                <w:noProof/>
                <w:szCs w:val="21"/>
                <w:vertAlign w:val="superscript"/>
              </w:rPr>
              <w:t>a</w:t>
            </w:r>
          </w:p>
        </w:tc>
        <w:tc>
          <w:tcPr>
            <w:tcW w:w="598" w:type="dxa"/>
          </w:tcPr>
          <w:p w14:paraId="044460DB"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r w:rsidRPr="007A52F7">
              <w:rPr>
                <w:rFonts w:asciiTheme="minorHAnsi" w:hAnsiTheme="minorHAnsi" w:cs="Times New Roman"/>
                <w:noProof/>
                <w:szCs w:val="21"/>
              </w:rPr>
              <w:t>0.21</w:t>
            </w:r>
          </w:p>
        </w:tc>
        <w:tc>
          <w:tcPr>
            <w:tcW w:w="599" w:type="dxa"/>
          </w:tcPr>
          <w:p w14:paraId="4E447512"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r w:rsidRPr="007A52F7">
              <w:rPr>
                <w:rFonts w:asciiTheme="minorHAnsi" w:hAnsiTheme="minorHAnsi" w:cs="Times New Roman"/>
                <w:noProof/>
                <w:szCs w:val="21"/>
              </w:rPr>
              <w:t>0.26</w:t>
            </w:r>
          </w:p>
        </w:tc>
        <w:tc>
          <w:tcPr>
            <w:tcW w:w="599" w:type="dxa"/>
            <w:noWrap/>
            <w:vAlign w:val="center"/>
          </w:tcPr>
          <w:p w14:paraId="334C0044"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r w:rsidRPr="007A52F7">
              <w:rPr>
                <w:rFonts w:asciiTheme="minorHAnsi" w:hAnsiTheme="minorHAnsi" w:cs="Times New Roman"/>
                <w:noProof/>
                <w:szCs w:val="21"/>
              </w:rPr>
              <w:t>0.34</w:t>
            </w:r>
          </w:p>
        </w:tc>
        <w:tc>
          <w:tcPr>
            <w:tcW w:w="599" w:type="dxa"/>
            <w:noWrap/>
            <w:vAlign w:val="center"/>
          </w:tcPr>
          <w:p w14:paraId="05B30A8C"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r w:rsidRPr="007A52F7">
              <w:rPr>
                <w:rFonts w:asciiTheme="minorHAnsi" w:hAnsiTheme="minorHAnsi" w:cs="Times New Roman"/>
                <w:noProof/>
                <w:szCs w:val="21"/>
              </w:rPr>
              <w:t>0.48</w:t>
            </w:r>
          </w:p>
        </w:tc>
        <w:tc>
          <w:tcPr>
            <w:tcW w:w="599" w:type="dxa"/>
            <w:noWrap/>
            <w:vAlign w:val="center"/>
          </w:tcPr>
          <w:p w14:paraId="40A8482B"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r w:rsidRPr="007A52F7">
              <w:rPr>
                <w:rFonts w:asciiTheme="minorHAnsi" w:hAnsiTheme="minorHAnsi" w:cs="Times New Roman"/>
                <w:noProof/>
                <w:szCs w:val="21"/>
              </w:rPr>
              <w:t>0.63</w:t>
            </w:r>
          </w:p>
        </w:tc>
        <w:tc>
          <w:tcPr>
            <w:tcW w:w="599" w:type="dxa"/>
            <w:noWrap/>
            <w:vAlign w:val="center"/>
          </w:tcPr>
          <w:p w14:paraId="12E57303"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r w:rsidRPr="007A52F7">
              <w:rPr>
                <w:rFonts w:asciiTheme="minorHAnsi" w:hAnsiTheme="minorHAnsi" w:cs="Times New Roman"/>
                <w:noProof/>
                <w:szCs w:val="21"/>
              </w:rPr>
              <w:t>0.78</w:t>
            </w:r>
          </w:p>
        </w:tc>
        <w:tc>
          <w:tcPr>
            <w:tcW w:w="599" w:type="dxa"/>
            <w:noWrap/>
            <w:vAlign w:val="center"/>
          </w:tcPr>
          <w:p w14:paraId="077A0852"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r w:rsidRPr="007A52F7">
              <w:rPr>
                <w:rFonts w:asciiTheme="minorHAnsi" w:hAnsiTheme="minorHAnsi" w:cs="Times New Roman"/>
                <w:noProof/>
                <w:szCs w:val="21"/>
              </w:rPr>
              <w:t>0.97</w:t>
            </w:r>
          </w:p>
        </w:tc>
        <w:tc>
          <w:tcPr>
            <w:tcW w:w="599" w:type="dxa"/>
            <w:noWrap/>
            <w:vAlign w:val="center"/>
          </w:tcPr>
          <w:p w14:paraId="6F9DD72D"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r w:rsidRPr="007A52F7">
              <w:rPr>
                <w:rFonts w:asciiTheme="minorHAnsi" w:hAnsiTheme="minorHAnsi" w:cs="Times New Roman"/>
                <w:noProof/>
                <w:szCs w:val="21"/>
              </w:rPr>
              <w:t>1.23</w:t>
            </w:r>
          </w:p>
        </w:tc>
        <w:tc>
          <w:tcPr>
            <w:tcW w:w="599" w:type="dxa"/>
            <w:noWrap/>
            <w:vAlign w:val="center"/>
          </w:tcPr>
          <w:p w14:paraId="1554CBB1"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r w:rsidRPr="007A52F7">
              <w:rPr>
                <w:rFonts w:asciiTheme="minorHAnsi" w:hAnsiTheme="minorHAnsi" w:cs="Times New Roman"/>
                <w:noProof/>
                <w:szCs w:val="21"/>
              </w:rPr>
              <w:t>1.65</w:t>
            </w:r>
          </w:p>
        </w:tc>
        <w:tc>
          <w:tcPr>
            <w:tcW w:w="599" w:type="dxa"/>
            <w:noWrap/>
            <w:vAlign w:val="center"/>
          </w:tcPr>
          <w:p w14:paraId="7116FFF8"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r w:rsidRPr="007A52F7">
              <w:rPr>
                <w:rFonts w:asciiTheme="minorHAnsi" w:hAnsiTheme="minorHAnsi" w:cs="Times New Roman"/>
                <w:noProof/>
                <w:szCs w:val="21"/>
              </w:rPr>
              <w:t>2.30</w:t>
            </w:r>
          </w:p>
        </w:tc>
        <w:tc>
          <w:tcPr>
            <w:tcW w:w="599" w:type="dxa"/>
            <w:noWrap/>
            <w:vAlign w:val="center"/>
          </w:tcPr>
          <w:p w14:paraId="1A66AF8D"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r w:rsidRPr="007A52F7">
              <w:rPr>
                <w:rFonts w:asciiTheme="minorHAnsi" w:hAnsiTheme="minorHAnsi" w:cs="Times New Roman"/>
                <w:noProof/>
                <w:szCs w:val="21"/>
              </w:rPr>
              <w:t>3.19</w:t>
            </w:r>
          </w:p>
        </w:tc>
      </w:tr>
      <w:tr w:rsidR="007A52F7" w:rsidRPr="007A52F7" w14:paraId="0DF0819F" w14:textId="77777777" w:rsidTr="007A52F7">
        <w:trPr>
          <w:trHeight w:val="345"/>
        </w:trPr>
        <w:tc>
          <w:tcPr>
            <w:tcW w:w="2895" w:type="dxa"/>
            <w:noWrap/>
            <w:vAlign w:val="center"/>
          </w:tcPr>
          <w:p w14:paraId="1AA462B2" w14:textId="77777777" w:rsidR="007A52F7" w:rsidRPr="007A52F7" w:rsidRDefault="007A52F7" w:rsidP="007A52F7">
            <w:pPr>
              <w:spacing w:after="0" w:line="360" w:lineRule="auto"/>
              <w:ind w:left="720" w:hanging="720"/>
              <w:jc w:val="left"/>
              <w:rPr>
                <w:rFonts w:asciiTheme="minorHAnsi" w:hAnsiTheme="minorHAnsi" w:cs="Times New Roman"/>
                <w:i/>
                <w:noProof/>
                <w:szCs w:val="21"/>
              </w:rPr>
            </w:pPr>
            <w:r w:rsidRPr="007A52F7">
              <w:rPr>
                <w:rFonts w:asciiTheme="minorHAnsi" w:hAnsiTheme="minorHAnsi" w:cs="Times New Roman"/>
                <w:i/>
                <w:noProof/>
                <w:szCs w:val="21"/>
              </w:rPr>
              <w:t>Ratios between probabilities</w:t>
            </w:r>
          </w:p>
        </w:tc>
        <w:tc>
          <w:tcPr>
            <w:tcW w:w="598" w:type="dxa"/>
          </w:tcPr>
          <w:p w14:paraId="2F6B1185"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p>
        </w:tc>
        <w:tc>
          <w:tcPr>
            <w:tcW w:w="599" w:type="dxa"/>
          </w:tcPr>
          <w:p w14:paraId="398BE067"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p>
        </w:tc>
        <w:tc>
          <w:tcPr>
            <w:tcW w:w="599" w:type="dxa"/>
            <w:noWrap/>
            <w:vAlign w:val="center"/>
          </w:tcPr>
          <w:p w14:paraId="462C9507"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p>
        </w:tc>
        <w:tc>
          <w:tcPr>
            <w:tcW w:w="599" w:type="dxa"/>
            <w:noWrap/>
            <w:vAlign w:val="center"/>
          </w:tcPr>
          <w:p w14:paraId="375DFD91"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p>
        </w:tc>
        <w:tc>
          <w:tcPr>
            <w:tcW w:w="599" w:type="dxa"/>
            <w:noWrap/>
            <w:vAlign w:val="center"/>
          </w:tcPr>
          <w:p w14:paraId="2BD57D37"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p>
        </w:tc>
        <w:tc>
          <w:tcPr>
            <w:tcW w:w="599" w:type="dxa"/>
            <w:noWrap/>
            <w:vAlign w:val="center"/>
          </w:tcPr>
          <w:p w14:paraId="38318325"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p>
        </w:tc>
        <w:tc>
          <w:tcPr>
            <w:tcW w:w="599" w:type="dxa"/>
            <w:noWrap/>
            <w:vAlign w:val="center"/>
          </w:tcPr>
          <w:p w14:paraId="5E80E5F3"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p>
        </w:tc>
        <w:tc>
          <w:tcPr>
            <w:tcW w:w="599" w:type="dxa"/>
            <w:noWrap/>
            <w:vAlign w:val="center"/>
          </w:tcPr>
          <w:p w14:paraId="12028E5F"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p>
        </w:tc>
        <w:tc>
          <w:tcPr>
            <w:tcW w:w="599" w:type="dxa"/>
            <w:noWrap/>
            <w:vAlign w:val="center"/>
          </w:tcPr>
          <w:p w14:paraId="071C85FE"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p>
        </w:tc>
        <w:tc>
          <w:tcPr>
            <w:tcW w:w="599" w:type="dxa"/>
            <w:noWrap/>
            <w:vAlign w:val="center"/>
          </w:tcPr>
          <w:p w14:paraId="6C4D0C94"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p>
        </w:tc>
        <w:tc>
          <w:tcPr>
            <w:tcW w:w="599" w:type="dxa"/>
            <w:noWrap/>
            <w:vAlign w:val="center"/>
          </w:tcPr>
          <w:p w14:paraId="62E88984"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p>
        </w:tc>
      </w:tr>
      <w:tr w:rsidR="007A52F7" w:rsidRPr="007A52F7" w14:paraId="1B4AD99F" w14:textId="77777777" w:rsidTr="007A52F7">
        <w:trPr>
          <w:trHeight w:val="345"/>
        </w:trPr>
        <w:tc>
          <w:tcPr>
            <w:tcW w:w="2895" w:type="dxa"/>
            <w:noWrap/>
            <w:vAlign w:val="center"/>
          </w:tcPr>
          <w:p w14:paraId="5EA95D1E"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r w:rsidRPr="007A52F7">
              <w:rPr>
                <w:rFonts w:asciiTheme="minorHAnsi" w:hAnsiTheme="minorHAnsi" w:cs="Times New Roman"/>
                <w:noProof/>
                <w:szCs w:val="21"/>
              </w:rPr>
              <w:t>T-score -2.5 vs. No CRF</w:t>
            </w:r>
          </w:p>
        </w:tc>
        <w:tc>
          <w:tcPr>
            <w:tcW w:w="598" w:type="dxa"/>
          </w:tcPr>
          <w:p w14:paraId="2266361F"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r w:rsidRPr="007A52F7">
              <w:rPr>
                <w:rFonts w:asciiTheme="minorHAnsi" w:hAnsiTheme="minorHAnsi" w:cs="Times New Roman"/>
                <w:noProof/>
                <w:szCs w:val="21"/>
              </w:rPr>
              <w:t>26</w:t>
            </w:r>
          </w:p>
        </w:tc>
        <w:tc>
          <w:tcPr>
            <w:tcW w:w="599" w:type="dxa"/>
          </w:tcPr>
          <w:p w14:paraId="4636FE28"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r w:rsidRPr="007A52F7">
              <w:rPr>
                <w:rFonts w:asciiTheme="minorHAnsi" w:hAnsiTheme="minorHAnsi" w:cs="Times New Roman"/>
                <w:noProof/>
                <w:szCs w:val="21"/>
              </w:rPr>
              <w:t>16</w:t>
            </w:r>
          </w:p>
        </w:tc>
        <w:tc>
          <w:tcPr>
            <w:tcW w:w="599" w:type="dxa"/>
            <w:noWrap/>
            <w:vAlign w:val="center"/>
          </w:tcPr>
          <w:p w14:paraId="46C11587"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r w:rsidRPr="007A52F7">
              <w:rPr>
                <w:rFonts w:asciiTheme="minorHAnsi" w:hAnsiTheme="minorHAnsi" w:cs="Times New Roman"/>
                <w:noProof/>
                <w:szCs w:val="21"/>
              </w:rPr>
              <w:t>9.4</w:t>
            </w:r>
          </w:p>
        </w:tc>
        <w:tc>
          <w:tcPr>
            <w:tcW w:w="599" w:type="dxa"/>
            <w:noWrap/>
            <w:vAlign w:val="center"/>
          </w:tcPr>
          <w:p w14:paraId="7863C371"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r w:rsidRPr="007A52F7">
              <w:rPr>
                <w:rFonts w:asciiTheme="minorHAnsi" w:hAnsiTheme="minorHAnsi" w:cs="Times New Roman"/>
                <w:noProof/>
                <w:szCs w:val="21"/>
              </w:rPr>
              <w:t>6.2</w:t>
            </w:r>
          </w:p>
        </w:tc>
        <w:tc>
          <w:tcPr>
            <w:tcW w:w="599" w:type="dxa"/>
            <w:noWrap/>
            <w:vAlign w:val="center"/>
          </w:tcPr>
          <w:p w14:paraId="264DB95E"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r w:rsidRPr="007A52F7">
              <w:rPr>
                <w:rFonts w:asciiTheme="minorHAnsi" w:hAnsiTheme="minorHAnsi" w:cs="Times New Roman"/>
                <w:noProof/>
                <w:szCs w:val="21"/>
              </w:rPr>
              <w:t>4.1</w:t>
            </w:r>
          </w:p>
        </w:tc>
        <w:tc>
          <w:tcPr>
            <w:tcW w:w="599" w:type="dxa"/>
            <w:noWrap/>
            <w:vAlign w:val="center"/>
          </w:tcPr>
          <w:p w14:paraId="0ECD139C"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r w:rsidRPr="007A52F7">
              <w:rPr>
                <w:rFonts w:asciiTheme="minorHAnsi" w:hAnsiTheme="minorHAnsi" w:cs="Times New Roman"/>
                <w:noProof/>
                <w:szCs w:val="21"/>
              </w:rPr>
              <w:t>2.8</w:t>
            </w:r>
          </w:p>
        </w:tc>
        <w:tc>
          <w:tcPr>
            <w:tcW w:w="599" w:type="dxa"/>
            <w:noWrap/>
            <w:vAlign w:val="center"/>
          </w:tcPr>
          <w:p w14:paraId="6C75ED95"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r w:rsidRPr="007A52F7">
              <w:rPr>
                <w:rFonts w:asciiTheme="minorHAnsi" w:hAnsiTheme="minorHAnsi" w:cs="Times New Roman"/>
                <w:noProof/>
                <w:szCs w:val="21"/>
              </w:rPr>
              <w:t>2.0</w:t>
            </w:r>
          </w:p>
        </w:tc>
        <w:tc>
          <w:tcPr>
            <w:tcW w:w="599" w:type="dxa"/>
            <w:noWrap/>
            <w:vAlign w:val="center"/>
          </w:tcPr>
          <w:p w14:paraId="032869E3"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r w:rsidRPr="007A52F7">
              <w:rPr>
                <w:rFonts w:asciiTheme="minorHAnsi" w:hAnsiTheme="minorHAnsi" w:cs="Times New Roman"/>
                <w:noProof/>
                <w:szCs w:val="21"/>
              </w:rPr>
              <w:t>1.4</w:t>
            </w:r>
          </w:p>
        </w:tc>
        <w:tc>
          <w:tcPr>
            <w:tcW w:w="599" w:type="dxa"/>
            <w:noWrap/>
            <w:vAlign w:val="center"/>
          </w:tcPr>
          <w:p w14:paraId="4072ED93"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r w:rsidRPr="007A52F7">
              <w:rPr>
                <w:rFonts w:asciiTheme="minorHAnsi" w:hAnsiTheme="minorHAnsi" w:cs="Times New Roman"/>
                <w:noProof/>
                <w:szCs w:val="21"/>
              </w:rPr>
              <w:t>1.1</w:t>
            </w:r>
          </w:p>
        </w:tc>
        <w:tc>
          <w:tcPr>
            <w:tcW w:w="599" w:type="dxa"/>
            <w:noWrap/>
            <w:vAlign w:val="center"/>
          </w:tcPr>
          <w:p w14:paraId="1410FE85"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r w:rsidRPr="007A52F7">
              <w:rPr>
                <w:rFonts w:asciiTheme="minorHAnsi" w:hAnsiTheme="minorHAnsi" w:cs="Times New Roman"/>
                <w:noProof/>
                <w:szCs w:val="21"/>
              </w:rPr>
              <w:t>0.9</w:t>
            </w:r>
          </w:p>
        </w:tc>
        <w:tc>
          <w:tcPr>
            <w:tcW w:w="599" w:type="dxa"/>
            <w:noWrap/>
            <w:vAlign w:val="center"/>
          </w:tcPr>
          <w:p w14:paraId="6B00DDD3"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r w:rsidRPr="007A52F7">
              <w:rPr>
                <w:rFonts w:asciiTheme="minorHAnsi" w:hAnsiTheme="minorHAnsi" w:cs="Times New Roman"/>
                <w:noProof/>
                <w:szCs w:val="21"/>
              </w:rPr>
              <w:t>0.8</w:t>
            </w:r>
          </w:p>
        </w:tc>
      </w:tr>
      <w:tr w:rsidR="007A52F7" w:rsidRPr="007A52F7" w14:paraId="674E385F" w14:textId="77777777" w:rsidTr="007A52F7">
        <w:trPr>
          <w:trHeight w:val="345"/>
        </w:trPr>
        <w:tc>
          <w:tcPr>
            <w:tcW w:w="2895" w:type="dxa"/>
            <w:noWrap/>
            <w:vAlign w:val="center"/>
          </w:tcPr>
          <w:p w14:paraId="218B66E1"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r w:rsidRPr="007A52F7">
              <w:rPr>
                <w:rFonts w:asciiTheme="minorHAnsi" w:hAnsiTheme="minorHAnsi" w:cs="Times New Roman"/>
                <w:noProof/>
                <w:szCs w:val="21"/>
              </w:rPr>
              <w:t>Previous fracture vs. No CRF</w:t>
            </w:r>
          </w:p>
        </w:tc>
        <w:tc>
          <w:tcPr>
            <w:tcW w:w="598" w:type="dxa"/>
          </w:tcPr>
          <w:p w14:paraId="7BF68F77"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r w:rsidRPr="007A52F7">
              <w:rPr>
                <w:rFonts w:asciiTheme="minorHAnsi" w:hAnsiTheme="minorHAnsi" w:cs="Times New Roman"/>
                <w:noProof/>
                <w:szCs w:val="21"/>
              </w:rPr>
              <w:t>5.8</w:t>
            </w:r>
          </w:p>
        </w:tc>
        <w:tc>
          <w:tcPr>
            <w:tcW w:w="599" w:type="dxa"/>
          </w:tcPr>
          <w:p w14:paraId="3CEABE3E"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r w:rsidRPr="007A52F7">
              <w:rPr>
                <w:rFonts w:asciiTheme="minorHAnsi" w:hAnsiTheme="minorHAnsi" w:cs="Times New Roman"/>
                <w:noProof/>
                <w:szCs w:val="21"/>
              </w:rPr>
              <w:t>5.0</w:t>
            </w:r>
          </w:p>
        </w:tc>
        <w:tc>
          <w:tcPr>
            <w:tcW w:w="599" w:type="dxa"/>
            <w:noWrap/>
            <w:vAlign w:val="center"/>
          </w:tcPr>
          <w:p w14:paraId="14912DAA"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r w:rsidRPr="007A52F7">
              <w:rPr>
                <w:rFonts w:asciiTheme="minorHAnsi" w:hAnsiTheme="minorHAnsi" w:cs="Times New Roman"/>
                <w:noProof/>
                <w:szCs w:val="21"/>
              </w:rPr>
              <w:t>4.0</w:t>
            </w:r>
          </w:p>
        </w:tc>
        <w:tc>
          <w:tcPr>
            <w:tcW w:w="599" w:type="dxa"/>
            <w:noWrap/>
            <w:vAlign w:val="center"/>
          </w:tcPr>
          <w:p w14:paraId="20917DC5"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r w:rsidRPr="007A52F7">
              <w:rPr>
                <w:rFonts w:asciiTheme="minorHAnsi" w:hAnsiTheme="minorHAnsi" w:cs="Times New Roman"/>
                <w:noProof/>
                <w:szCs w:val="21"/>
              </w:rPr>
              <w:t>3.4</w:t>
            </w:r>
          </w:p>
        </w:tc>
        <w:tc>
          <w:tcPr>
            <w:tcW w:w="599" w:type="dxa"/>
            <w:noWrap/>
            <w:vAlign w:val="center"/>
          </w:tcPr>
          <w:p w14:paraId="0892AC16"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r w:rsidRPr="007A52F7">
              <w:rPr>
                <w:rFonts w:asciiTheme="minorHAnsi" w:hAnsiTheme="minorHAnsi" w:cs="Times New Roman"/>
                <w:noProof/>
                <w:szCs w:val="21"/>
              </w:rPr>
              <w:t>2.9</w:t>
            </w:r>
          </w:p>
        </w:tc>
        <w:tc>
          <w:tcPr>
            <w:tcW w:w="599" w:type="dxa"/>
            <w:noWrap/>
            <w:vAlign w:val="center"/>
          </w:tcPr>
          <w:p w14:paraId="7DE08056"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r w:rsidRPr="007A52F7">
              <w:rPr>
                <w:rFonts w:asciiTheme="minorHAnsi" w:hAnsiTheme="minorHAnsi" w:cs="Times New Roman"/>
                <w:noProof/>
                <w:szCs w:val="21"/>
              </w:rPr>
              <w:t>2.5</w:t>
            </w:r>
          </w:p>
        </w:tc>
        <w:tc>
          <w:tcPr>
            <w:tcW w:w="599" w:type="dxa"/>
            <w:noWrap/>
            <w:vAlign w:val="center"/>
          </w:tcPr>
          <w:p w14:paraId="28A853DC"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r w:rsidRPr="007A52F7">
              <w:rPr>
                <w:rFonts w:asciiTheme="minorHAnsi" w:hAnsiTheme="minorHAnsi" w:cs="Times New Roman"/>
                <w:noProof/>
                <w:szCs w:val="21"/>
              </w:rPr>
              <w:t>2.1</w:t>
            </w:r>
          </w:p>
        </w:tc>
        <w:tc>
          <w:tcPr>
            <w:tcW w:w="599" w:type="dxa"/>
            <w:noWrap/>
            <w:vAlign w:val="center"/>
          </w:tcPr>
          <w:p w14:paraId="5CA5F90F"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r w:rsidRPr="007A52F7">
              <w:rPr>
                <w:rFonts w:asciiTheme="minorHAnsi" w:hAnsiTheme="minorHAnsi" w:cs="Times New Roman"/>
                <w:noProof/>
                <w:szCs w:val="21"/>
              </w:rPr>
              <w:t>1.8</w:t>
            </w:r>
          </w:p>
        </w:tc>
        <w:tc>
          <w:tcPr>
            <w:tcW w:w="599" w:type="dxa"/>
            <w:noWrap/>
            <w:vAlign w:val="center"/>
          </w:tcPr>
          <w:p w14:paraId="6650A1FE"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r w:rsidRPr="007A52F7">
              <w:rPr>
                <w:rFonts w:asciiTheme="minorHAnsi" w:hAnsiTheme="minorHAnsi" w:cs="Times New Roman"/>
                <w:noProof/>
                <w:szCs w:val="21"/>
              </w:rPr>
              <w:t>1.5</w:t>
            </w:r>
          </w:p>
        </w:tc>
        <w:tc>
          <w:tcPr>
            <w:tcW w:w="599" w:type="dxa"/>
            <w:noWrap/>
            <w:vAlign w:val="center"/>
          </w:tcPr>
          <w:p w14:paraId="3E637C8B"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r w:rsidRPr="007A52F7">
              <w:rPr>
                <w:rFonts w:asciiTheme="minorHAnsi" w:hAnsiTheme="minorHAnsi" w:cs="Times New Roman"/>
                <w:noProof/>
                <w:szCs w:val="21"/>
              </w:rPr>
              <w:t>1.5</w:t>
            </w:r>
          </w:p>
        </w:tc>
        <w:tc>
          <w:tcPr>
            <w:tcW w:w="599" w:type="dxa"/>
            <w:noWrap/>
            <w:vAlign w:val="center"/>
          </w:tcPr>
          <w:p w14:paraId="09ADB039"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r w:rsidRPr="007A52F7">
              <w:rPr>
                <w:rFonts w:asciiTheme="minorHAnsi" w:hAnsiTheme="minorHAnsi" w:cs="Times New Roman"/>
                <w:noProof/>
                <w:szCs w:val="21"/>
              </w:rPr>
              <w:t>1.5</w:t>
            </w:r>
          </w:p>
        </w:tc>
      </w:tr>
      <w:tr w:rsidR="007A52F7" w:rsidRPr="007A52F7" w14:paraId="5FF02C6D" w14:textId="77777777" w:rsidTr="007A52F7">
        <w:trPr>
          <w:trHeight w:val="345"/>
        </w:trPr>
        <w:tc>
          <w:tcPr>
            <w:tcW w:w="2895" w:type="dxa"/>
            <w:tcBorders>
              <w:bottom w:val="single" w:sz="12" w:space="0" w:color="auto"/>
            </w:tcBorders>
            <w:noWrap/>
            <w:vAlign w:val="center"/>
          </w:tcPr>
          <w:p w14:paraId="3ED58128"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r w:rsidRPr="007A52F7">
              <w:rPr>
                <w:rFonts w:asciiTheme="minorHAnsi" w:hAnsiTheme="minorHAnsi" w:cs="Times New Roman"/>
                <w:noProof/>
                <w:szCs w:val="21"/>
              </w:rPr>
              <w:t>T-score -1.5 vs. No CRF</w:t>
            </w:r>
          </w:p>
        </w:tc>
        <w:tc>
          <w:tcPr>
            <w:tcW w:w="598" w:type="dxa"/>
            <w:tcBorders>
              <w:bottom w:val="single" w:sz="12" w:space="0" w:color="auto"/>
            </w:tcBorders>
          </w:tcPr>
          <w:p w14:paraId="1FC8C3E9"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r w:rsidRPr="007A52F7">
              <w:rPr>
                <w:rFonts w:asciiTheme="minorHAnsi" w:hAnsiTheme="minorHAnsi" w:cs="Times New Roman"/>
                <w:noProof/>
                <w:szCs w:val="21"/>
              </w:rPr>
              <w:t>5.3</w:t>
            </w:r>
          </w:p>
        </w:tc>
        <w:tc>
          <w:tcPr>
            <w:tcW w:w="599" w:type="dxa"/>
            <w:tcBorders>
              <w:bottom w:val="single" w:sz="12" w:space="0" w:color="auto"/>
            </w:tcBorders>
          </w:tcPr>
          <w:p w14:paraId="74107617"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r w:rsidRPr="007A52F7">
              <w:rPr>
                <w:rFonts w:asciiTheme="minorHAnsi" w:hAnsiTheme="minorHAnsi" w:cs="Times New Roman"/>
                <w:noProof/>
                <w:szCs w:val="21"/>
              </w:rPr>
              <w:t>3.7</w:t>
            </w:r>
          </w:p>
        </w:tc>
        <w:tc>
          <w:tcPr>
            <w:tcW w:w="599" w:type="dxa"/>
            <w:tcBorders>
              <w:bottom w:val="single" w:sz="12" w:space="0" w:color="auto"/>
            </w:tcBorders>
            <w:noWrap/>
            <w:vAlign w:val="center"/>
          </w:tcPr>
          <w:p w14:paraId="368F5641"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r w:rsidRPr="007A52F7">
              <w:rPr>
                <w:rFonts w:asciiTheme="minorHAnsi" w:hAnsiTheme="minorHAnsi" w:cs="Times New Roman"/>
                <w:noProof/>
                <w:szCs w:val="21"/>
              </w:rPr>
              <w:t>2.4</w:t>
            </w:r>
          </w:p>
        </w:tc>
        <w:tc>
          <w:tcPr>
            <w:tcW w:w="599" w:type="dxa"/>
            <w:tcBorders>
              <w:bottom w:val="single" w:sz="12" w:space="0" w:color="auto"/>
            </w:tcBorders>
            <w:noWrap/>
            <w:vAlign w:val="center"/>
          </w:tcPr>
          <w:p w14:paraId="33ECC5DE"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r w:rsidRPr="007A52F7">
              <w:rPr>
                <w:rFonts w:asciiTheme="minorHAnsi" w:hAnsiTheme="minorHAnsi" w:cs="Times New Roman"/>
                <w:noProof/>
                <w:szCs w:val="21"/>
              </w:rPr>
              <w:t>1.8</w:t>
            </w:r>
          </w:p>
        </w:tc>
        <w:tc>
          <w:tcPr>
            <w:tcW w:w="599" w:type="dxa"/>
            <w:tcBorders>
              <w:bottom w:val="single" w:sz="12" w:space="0" w:color="auto"/>
            </w:tcBorders>
            <w:noWrap/>
            <w:vAlign w:val="center"/>
          </w:tcPr>
          <w:p w14:paraId="1D6FAFB7"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r w:rsidRPr="007A52F7">
              <w:rPr>
                <w:rFonts w:asciiTheme="minorHAnsi" w:hAnsiTheme="minorHAnsi" w:cs="Times New Roman"/>
                <w:noProof/>
                <w:szCs w:val="21"/>
              </w:rPr>
              <w:t>1.3</w:t>
            </w:r>
          </w:p>
        </w:tc>
        <w:tc>
          <w:tcPr>
            <w:tcW w:w="599" w:type="dxa"/>
            <w:tcBorders>
              <w:bottom w:val="single" w:sz="12" w:space="0" w:color="auto"/>
            </w:tcBorders>
            <w:noWrap/>
            <w:vAlign w:val="center"/>
          </w:tcPr>
          <w:p w14:paraId="60B4BFB1"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r w:rsidRPr="007A52F7">
              <w:rPr>
                <w:rFonts w:asciiTheme="minorHAnsi" w:hAnsiTheme="minorHAnsi" w:cs="Times New Roman"/>
                <w:noProof/>
                <w:szCs w:val="21"/>
              </w:rPr>
              <w:t>1.0</w:t>
            </w:r>
          </w:p>
        </w:tc>
        <w:tc>
          <w:tcPr>
            <w:tcW w:w="599" w:type="dxa"/>
            <w:tcBorders>
              <w:bottom w:val="single" w:sz="12" w:space="0" w:color="auto"/>
            </w:tcBorders>
            <w:noWrap/>
            <w:vAlign w:val="center"/>
          </w:tcPr>
          <w:p w14:paraId="112ADCB2"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r w:rsidRPr="007A52F7">
              <w:rPr>
                <w:rFonts w:asciiTheme="minorHAnsi" w:hAnsiTheme="minorHAnsi" w:cs="Times New Roman"/>
                <w:noProof/>
                <w:szCs w:val="21"/>
              </w:rPr>
              <w:t>0.7</w:t>
            </w:r>
          </w:p>
        </w:tc>
        <w:tc>
          <w:tcPr>
            <w:tcW w:w="599" w:type="dxa"/>
            <w:tcBorders>
              <w:bottom w:val="single" w:sz="12" w:space="0" w:color="auto"/>
            </w:tcBorders>
            <w:noWrap/>
            <w:vAlign w:val="center"/>
          </w:tcPr>
          <w:p w14:paraId="346141A7"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r w:rsidRPr="007A52F7">
              <w:rPr>
                <w:rFonts w:asciiTheme="minorHAnsi" w:hAnsiTheme="minorHAnsi" w:cs="Times New Roman"/>
                <w:noProof/>
                <w:szCs w:val="21"/>
              </w:rPr>
              <w:t>0.6</w:t>
            </w:r>
          </w:p>
        </w:tc>
        <w:tc>
          <w:tcPr>
            <w:tcW w:w="599" w:type="dxa"/>
            <w:tcBorders>
              <w:bottom w:val="single" w:sz="12" w:space="0" w:color="auto"/>
            </w:tcBorders>
            <w:noWrap/>
            <w:vAlign w:val="center"/>
          </w:tcPr>
          <w:p w14:paraId="122064DC"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r w:rsidRPr="007A52F7">
              <w:rPr>
                <w:rFonts w:asciiTheme="minorHAnsi" w:hAnsiTheme="minorHAnsi" w:cs="Times New Roman"/>
                <w:noProof/>
                <w:szCs w:val="21"/>
              </w:rPr>
              <w:t>0.5</w:t>
            </w:r>
          </w:p>
        </w:tc>
        <w:tc>
          <w:tcPr>
            <w:tcW w:w="599" w:type="dxa"/>
            <w:tcBorders>
              <w:bottom w:val="single" w:sz="12" w:space="0" w:color="auto"/>
            </w:tcBorders>
            <w:noWrap/>
            <w:vAlign w:val="center"/>
          </w:tcPr>
          <w:p w14:paraId="7FCA0071"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r w:rsidRPr="007A52F7">
              <w:rPr>
                <w:rFonts w:asciiTheme="minorHAnsi" w:hAnsiTheme="minorHAnsi" w:cs="Times New Roman"/>
                <w:noProof/>
                <w:szCs w:val="21"/>
              </w:rPr>
              <w:t>0.5</w:t>
            </w:r>
          </w:p>
        </w:tc>
        <w:tc>
          <w:tcPr>
            <w:tcW w:w="599" w:type="dxa"/>
            <w:tcBorders>
              <w:bottom w:val="single" w:sz="12" w:space="0" w:color="auto"/>
            </w:tcBorders>
            <w:noWrap/>
            <w:vAlign w:val="center"/>
          </w:tcPr>
          <w:p w14:paraId="037FFBEC" w14:textId="77777777" w:rsidR="007A52F7" w:rsidRPr="007A52F7" w:rsidRDefault="007A52F7" w:rsidP="007A52F7">
            <w:pPr>
              <w:spacing w:after="0" w:line="360" w:lineRule="auto"/>
              <w:ind w:left="720" w:hanging="720"/>
              <w:jc w:val="left"/>
              <w:rPr>
                <w:rFonts w:asciiTheme="minorHAnsi" w:hAnsiTheme="minorHAnsi" w:cs="Times New Roman"/>
                <w:noProof/>
                <w:szCs w:val="21"/>
              </w:rPr>
            </w:pPr>
            <w:r w:rsidRPr="007A52F7">
              <w:rPr>
                <w:rFonts w:asciiTheme="minorHAnsi" w:hAnsiTheme="minorHAnsi" w:cs="Times New Roman"/>
                <w:noProof/>
                <w:szCs w:val="21"/>
              </w:rPr>
              <w:t>0.5</w:t>
            </w:r>
          </w:p>
        </w:tc>
      </w:tr>
      <w:tr w:rsidR="007A52F7" w:rsidRPr="007A52F7" w14:paraId="75D7F71F" w14:textId="77777777" w:rsidTr="007A52F7">
        <w:trPr>
          <w:trHeight w:val="345"/>
        </w:trPr>
        <w:tc>
          <w:tcPr>
            <w:tcW w:w="9483" w:type="dxa"/>
            <w:gridSpan w:val="12"/>
            <w:tcBorders>
              <w:top w:val="single" w:sz="12" w:space="0" w:color="auto"/>
            </w:tcBorders>
          </w:tcPr>
          <w:p w14:paraId="1BE54B6F" w14:textId="77777777" w:rsidR="007A52F7" w:rsidRPr="007A52F7" w:rsidRDefault="007A52F7" w:rsidP="007A52F7">
            <w:pPr>
              <w:spacing w:line="360" w:lineRule="auto"/>
              <w:ind w:left="720" w:hanging="720"/>
              <w:jc w:val="left"/>
              <w:rPr>
                <w:rFonts w:asciiTheme="minorHAnsi" w:hAnsiTheme="minorHAnsi" w:cs="Times New Roman"/>
                <w:noProof/>
                <w:szCs w:val="21"/>
              </w:rPr>
            </w:pPr>
            <w:r w:rsidRPr="007A52F7">
              <w:rPr>
                <w:rFonts w:asciiTheme="minorHAnsi" w:hAnsiTheme="minorHAnsi" w:cs="Times New Roman"/>
                <w:noProof/>
                <w:szCs w:val="21"/>
                <w:vertAlign w:val="superscript"/>
              </w:rPr>
              <w:t>a</w:t>
            </w:r>
            <w:r w:rsidRPr="007A52F7">
              <w:rPr>
                <w:rFonts w:asciiTheme="minorHAnsi" w:hAnsiTheme="minorHAnsi" w:cs="Times New Roman"/>
                <w:noProof/>
                <w:szCs w:val="21"/>
              </w:rPr>
              <w:t xml:space="preserve"> No other clinical risk factors</w:t>
            </w:r>
          </w:p>
          <w:p w14:paraId="468BA223" w14:textId="77777777" w:rsidR="007A52F7" w:rsidRPr="007A52F7" w:rsidRDefault="007A52F7" w:rsidP="007A52F7">
            <w:pPr>
              <w:spacing w:line="360" w:lineRule="auto"/>
              <w:ind w:left="720" w:hanging="720"/>
              <w:jc w:val="left"/>
              <w:rPr>
                <w:rFonts w:asciiTheme="minorHAnsi" w:hAnsiTheme="minorHAnsi" w:cs="Times New Roman"/>
                <w:noProof/>
                <w:szCs w:val="21"/>
              </w:rPr>
            </w:pPr>
            <w:r w:rsidRPr="007A52F7">
              <w:rPr>
                <w:rFonts w:asciiTheme="minorHAnsi" w:hAnsiTheme="minorHAnsi" w:cs="Times New Roman"/>
                <w:noProof/>
                <w:szCs w:val="21"/>
              </w:rPr>
              <w:t>CRF, clinical risk factors</w:t>
            </w:r>
          </w:p>
        </w:tc>
      </w:tr>
    </w:tbl>
    <w:p w14:paraId="79305B5E" w14:textId="77777777" w:rsidR="007A52F7" w:rsidRPr="007A52F7" w:rsidRDefault="007A52F7" w:rsidP="007A52F7">
      <w:pPr>
        <w:spacing w:line="360" w:lineRule="auto"/>
        <w:ind w:left="720" w:hanging="720"/>
        <w:jc w:val="left"/>
        <w:rPr>
          <w:rFonts w:asciiTheme="minorHAnsi" w:hAnsiTheme="minorHAnsi" w:cs="Times New Roman"/>
          <w:i/>
          <w:noProof/>
          <w:szCs w:val="21"/>
          <w:lang w:val="en-GB"/>
        </w:rPr>
      </w:pPr>
    </w:p>
    <w:p w14:paraId="4F2E0FC5" w14:textId="77777777" w:rsidR="007A52F7" w:rsidRPr="007A52F7" w:rsidRDefault="007A52F7" w:rsidP="007A52F7">
      <w:pPr>
        <w:spacing w:line="360" w:lineRule="auto"/>
        <w:ind w:left="720" w:hanging="720"/>
        <w:jc w:val="left"/>
        <w:rPr>
          <w:rFonts w:asciiTheme="minorHAnsi" w:hAnsiTheme="minorHAnsi" w:cs="Times New Roman"/>
          <w:b/>
          <w:noProof/>
          <w:szCs w:val="21"/>
        </w:rPr>
      </w:pPr>
      <w:r w:rsidRPr="007A52F7">
        <w:rPr>
          <w:rFonts w:asciiTheme="minorHAnsi" w:hAnsiTheme="minorHAnsi" w:cs="Times New Roman"/>
          <w:b/>
          <w:noProof/>
          <w:szCs w:val="21"/>
        </w:rPr>
        <w:br w:type="page"/>
      </w:r>
    </w:p>
    <w:p w14:paraId="351FE4B0" w14:textId="77777777" w:rsidR="007A52F7" w:rsidRPr="007A52F7" w:rsidRDefault="007A52F7" w:rsidP="007A52F7">
      <w:pPr>
        <w:spacing w:line="360" w:lineRule="auto"/>
        <w:ind w:left="720" w:hanging="720"/>
        <w:jc w:val="left"/>
        <w:rPr>
          <w:rFonts w:asciiTheme="minorHAnsi" w:hAnsiTheme="minorHAnsi" w:cs="Times New Roman"/>
          <w:noProof/>
          <w:szCs w:val="21"/>
        </w:rPr>
      </w:pPr>
      <w:r w:rsidRPr="007A52F7">
        <w:rPr>
          <w:rFonts w:asciiTheme="minorHAnsi" w:hAnsiTheme="minorHAnsi" w:cs="Times New Roman"/>
          <w:b/>
          <w:noProof/>
          <w:szCs w:val="21"/>
        </w:rPr>
        <w:t>Table A2.</w:t>
      </w:r>
      <w:r w:rsidRPr="007A52F7">
        <w:rPr>
          <w:rFonts w:asciiTheme="minorHAnsi" w:hAnsiTheme="minorHAnsi" w:cs="Times New Roman"/>
          <w:noProof/>
          <w:szCs w:val="21"/>
        </w:rPr>
        <w:t xml:space="preserve"> Ten-year probabilities of a hip fracture (%) in postmenopausal women by age to show the intervention threshold together with the upper assessment threshold and lower assessment threshold, derived using the Kuwaiti FRAX model.   Under this scheme, BMD testing would be recommended at probabilities lying between the upper and lower assessment thresholds.</w:t>
      </w:r>
    </w:p>
    <w:tbl>
      <w:tblPr>
        <w:tblW w:w="0" w:type="auto"/>
        <w:jc w:val="center"/>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1850"/>
        <w:gridCol w:w="1850"/>
        <w:gridCol w:w="1962"/>
        <w:gridCol w:w="2127"/>
      </w:tblGrid>
      <w:tr w:rsidR="007A52F7" w:rsidRPr="007A52F7" w14:paraId="567DE475" w14:textId="77777777" w:rsidTr="007A52F7">
        <w:trPr>
          <w:trHeight w:val="290"/>
          <w:jc w:val="center"/>
        </w:trPr>
        <w:tc>
          <w:tcPr>
            <w:tcW w:w="1850" w:type="dxa"/>
            <w:tcBorders>
              <w:top w:val="single" w:sz="4" w:space="0" w:color="auto"/>
              <w:bottom w:val="single" w:sz="4" w:space="0" w:color="auto"/>
            </w:tcBorders>
          </w:tcPr>
          <w:p w14:paraId="239511E6" w14:textId="77777777" w:rsidR="007A52F7" w:rsidRPr="007A52F7" w:rsidRDefault="007A52F7" w:rsidP="007A52F7">
            <w:pPr>
              <w:spacing w:line="360" w:lineRule="auto"/>
              <w:ind w:left="720" w:hanging="720"/>
              <w:jc w:val="left"/>
              <w:rPr>
                <w:rFonts w:asciiTheme="minorHAnsi" w:hAnsiTheme="minorHAnsi" w:cs="Times New Roman"/>
                <w:noProof/>
                <w:szCs w:val="21"/>
                <w:lang w:val="en-GB"/>
              </w:rPr>
            </w:pPr>
            <w:r w:rsidRPr="007A52F7">
              <w:rPr>
                <w:rFonts w:asciiTheme="minorHAnsi" w:hAnsiTheme="minorHAnsi" w:cs="Times New Roman"/>
                <w:noProof/>
                <w:szCs w:val="21"/>
                <w:lang w:val="en-GB"/>
              </w:rPr>
              <w:t>Age (years)</w:t>
            </w:r>
          </w:p>
        </w:tc>
        <w:tc>
          <w:tcPr>
            <w:tcW w:w="1850" w:type="dxa"/>
            <w:tcBorders>
              <w:top w:val="single" w:sz="4" w:space="0" w:color="auto"/>
              <w:bottom w:val="single" w:sz="4" w:space="0" w:color="auto"/>
            </w:tcBorders>
          </w:tcPr>
          <w:p w14:paraId="28DC75DB" w14:textId="77777777" w:rsidR="007A52F7" w:rsidRPr="007A52F7" w:rsidRDefault="007A52F7" w:rsidP="007A52F7">
            <w:pPr>
              <w:spacing w:line="360" w:lineRule="auto"/>
              <w:ind w:left="720" w:hanging="720"/>
              <w:jc w:val="left"/>
              <w:rPr>
                <w:rFonts w:asciiTheme="minorHAnsi" w:hAnsiTheme="minorHAnsi" w:cs="Times New Roman"/>
                <w:noProof/>
                <w:szCs w:val="21"/>
                <w:lang w:val="en-GB"/>
              </w:rPr>
            </w:pPr>
            <w:r w:rsidRPr="007A52F7">
              <w:rPr>
                <w:rFonts w:asciiTheme="minorHAnsi" w:hAnsiTheme="minorHAnsi" w:cs="Times New Roman"/>
                <w:noProof/>
                <w:szCs w:val="21"/>
                <w:lang w:val="en-GB"/>
              </w:rPr>
              <w:t>Intervention threshold</w:t>
            </w:r>
          </w:p>
        </w:tc>
        <w:tc>
          <w:tcPr>
            <w:tcW w:w="1962" w:type="dxa"/>
            <w:tcBorders>
              <w:top w:val="single" w:sz="4" w:space="0" w:color="auto"/>
              <w:bottom w:val="single" w:sz="4" w:space="0" w:color="auto"/>
            </w:tcBorders>
          </w:tcPr>
          <w:p w14:paraId="2CA2091C" w14:textId="77777777" w:rsidR="007A52F7" w:rsidRPr="007A52F7" w:rsidRDefault="007A52F7" w:rsidP="007A52F7">
            <w:pPr>
              <w:spacing w:line="360" w:lineRule="auto"/>
              <w:ind w:left="720" w:hanging="720"/>
              <w:jc w:val="left"/>
              <w:rPr>
                <w:rFonts w:asciiTheme="minorHAnsi" w:hAnsiTheme="minorHAnsi" w:cs="Times New Roman"/>
                <w:noProof/>
                <w:szCs w:val="21"/>
                <w:lang w:val="en-GB"/>
              </w:rPr>
            </w:pPr>
            <w:r w:rsidRPr="007A52F7">
              <w:rPr>
                <w:rFonts w:asciiTheme="minorHAnsi" w:hAnsiTheme="minorHAnsi" w:cs="Times New Roman"/>
                <w:noProof/>
                <w:szCs w:val="21"/>
                <w:lang w:val="en-GB"/>
              </w:rPr>
              <w:t>Lower assessment threshold</w:t>
            </w:r>
          </w:p>
        </w:tc>
        <w:tc>
          <w:tcPr>
            <w:tcW w:w="2127" w:type="dxa"/>
            <w:tcBorders>
              <w:top w:val="single" w:sz="4" w:space="0" w:color="auto"/>
              <w:bottom w:val="single" w:sz="4" w:space="0" w:color="auto"/>
            </w:tcBorders>
          </w:tcPr>
          <w:p w14:paraId="5F4433A3" w14:textId="77777777" w:rsidR="007A52F7" w:rsidRPr="007A52F7" w:rsidRDefault="007A52F7" w:rsidP="007A52F7">
            <w:pPr>
              <w:spacing w:line="360" w:lineRule="auto"/>
              <w:ind w:left="720" w:hanging="720"/>
              <w:jc w:val="left"/>
              <w:rPr>
                <w:rFonts w:asciiTheme="minorHAnsi" w:hAnsiTheme="minorHAnsi" w:cs="Times New Roman"/>
                <w:noProof/>
                <w:szCs w:val="21"/>
                <w:lang w:val="en-GB"/>
              </w:rPr>
            </w:pPr>
            <w:r w:rsidRPr="007A52F7">
              <w:rPr>
                <w:rFonts w:asciiTheme="minorHAnsi" w:hAnsiTheme="minorHAnsi" w:cs="Times New Roman"/>
                <w:noProof/>
                <w:szCs w:val="21"/>
                <w:lang w:val="en-GB"/>
              </w:rPr>
              <w:t>Upper assessment threshold</w:t>
            </w:r>
          </w:p>
        </w:tc>
      </w:tr>
      <w:tr w:rsidR="007A52F7" w:rsidRPr="007A52F7" w14:paraId="7E1D04DC" w14:textId="77777777" w:rsidTr="007A52F7">
        <w:trPr>
          <w:trHeight w:val="290"/>
          <w:jc w:val="center"/>
        </w:trPr>
        <w:tc>
          <w:tcPr>
            <w:tcW w:w="1850" w:type="dxa"/>
            <w:tcBorders>
              <w:top w:val="single" w:sz="4" w:space="0" w:color="auto"/>
            </w:tcBorders>
          </w:tcPr>
          <w:p w14:paraId="36B23A17" w14:textId="77777777" w:rsidR="007A52F7" w:rsidRPr="007A52F7" w:rsidRDefault="007A52F7" w:rsidP="007A52F7">
            <w:pPr>
              <w:spacing w:line="360" w:lineRule="auto"/>
              <w:ind w:left="720" w:hanging="720"/>
              <w:jc w:val="left"/>
              <w:rPr>
                <w:rFonts w:asciiTheme="minorHAnsi" w:hAnsiTheme="minorHAnsi" w:cs="Times New Roman"/>
                <w:noProof/>
                <w:szCs w:val="21"/>
                <w:lang w:val="en-GB"/>
              </w:rPr>
            </w:pPr>
            <w:r w:rsidRPr="007A52F7">
              <w:rPr>
                <w:rFonts w:asciiTheme="minorHAnsi" w:hAnsiTheme="minorHAnsi" w:cs="Times New Roman"/>
                <w:noProof/>
                <w:szCs w:val="21"/>
                <w:lang w:val="en-GB"/>
              </w:rPr>
              <w:t>40</w:t>
            </w:r>
          </w:p>
        </w:tc>
        <w:tc>
          <w:tcPr>
            <w:tcW w:w="1850" w:type="dxa"/>
            <w:tcBorders>
              <w:top w:val="single" w:sz="4" w:space="0" w:color="auto"/>
            </w:tcBorders>
          </w:tcPr>
          <w:p w14:paraId="6E6B592C" w14:textId="77777777" w:rsidR="007A52F7" w:rsidRPr="007A52F7" w:rsidRDefault="007A52F7" w:rsidP="007A52F7">
            <w:pPr>
              <w:spacing w:line="360" w:lineRule="auto"/>
              <w:ind w:left="720" w:hanging="720"/>
              <w:jc w:val="left"/>
              <w:rPr>
                <w:rFonts w:asciiTheme="minorHAnsi" w:hAnsiTheme="minorHAnsi" w:cs="Times New Roman"/>
                <w:noProof/>
                <w:szCs w:val="21"/>
                <w:lang w:val="en-GB"/>
              </w:rPr>
            </w:pPr>
            <w:r w:rsidRPr="007A52F7">
              <w:rPr>
                <w:rFonts w:asciiTheme="minorHAnsi" w:hAnsiTheme="minorHAnsi" w:cs="Times New Roman"/>
                <w:noProof/>
                <w:szCs w:val="21"/>
              </w:rPr>
              <w:t>0.23</w:t>
            </w:r>
          </w:p>
        </w:tc>
        <w:tc>
          <w:tcPr>
            <w:tcW w:w="1962" w:type="dxa"/>
            <w:tcBorders>
              <w:top w:val="single" w:sz="4" w:space="0" w:color="auto"/>
            </w:tcBorders>
          </w:tcPr>
          <w:p w14:paraId="2748DE81" w14:textId="77777777" w:rsidR="007A52F7" w:rsidRPr="007A52F7" w:rsidRDefault="007A52F7" w:rsidP="007A52F7">
            <w:pPr>
              <w:spacing w:line="360" w:lineRule="auto"/>
              <w:ind w:left="720" w:hanging="720"/>
              <w:jc w:val="left"/>
              <w:rPr>
                <w:rFonts w:asciiTheme="minorHAnsi" w:hAnsiTheme="minorHAnsi" w:cs="Times New Roman"/>
                <w:noProof/>
                <w:szCs w:val="21"/>
                <w:lang w:val="en-GB"/>
              </w:rPr>
            </w:pPr>
            <w:r w:rsidRPr="007A52F7">
              <w:rPr>
                <w:rFonts w:asciiTheme="minorHAnsi" w:hAnsiTheme="minorHAnsi" w:cs="Times New Roman"/>
                <w:noProof/>
                <w:szCs w:val="21"/>
              </w:rPr>
              <w:t>0.04</w:t>
            </w:r>
          </w:p>
        </w:tc>
        <w:tc>
          <w:tcPr>
            <w:tcW w:w="2127" w:type="dxa"/>
            <w:tcBorders>
              <w:top w:val="single" w:sz="4" w:space="0" w:color="auto"/>
            </w:tcBorders>
          </w:tcPr>
          <w:p w14:paraId="318CB589" w14:textId="77777777" w:rsidR="007A52F7" w:rsidRPr="007A52F7" w:rsidRDefault="007A52F7" w:rsidP="007A52F7">
            <w:pPr>
              <w:spacing w:line="360" w:lineRule="auto"/>
              <w:ind w:left="720" w:hanging="720"/>
              <w:jc w:val="left"/>
              <w:rPr>
                <w:rFonts w:asciiTheme="minorHAnsi" w:hAnsiTheme="minorHAnsi" w:cs="Times New Roman"/>
                <w:noProof/>
                <w:szCs w:val="21"/>
                <w:lang w:val="en-GB"/>
              </w:rPr>
            </w:pPr>
            <w:r w:rsidRPr="007A52F7">
              <w:rPr>
                <w:rFonts w:asciiTheme="minorHAnsi" w:hAnsiTheme="minorHAnsi" w:cs="Times New Roman"/>
                <w:noProof/>
                <w:szCs w:val="21"/>
                <w:lang w:val="en-GB"/>
              </w:rPr>
              <w:t>0.28</w:t>
            </w:r>
          </w:p>
        </w:tc>
      </w:tr>
      <w:tr w:rsidR="007A52F7" w:rsidRPr="007A52F7" w14:paraId="627E1DC5" w14:textId="77777777" w:rsidTr="007A52F7">
        <w:trPr>
          <w:trHeight w:val="290"/>
          <w:jc w:val="center"/>
        </w:trPr>
        <w:tc>
          <w:tcPr>
            <w:tcW w:w="1850" w:type="dxa"/>
          </w:tcPr>
          <w:p w14:paraId="3A505FB0" w14:textId="77777777" w:rsidR="007A52F7" w:rsidRPr="007A52F7" w:rsidRDefault="007A52F7" w:rsidP="007A52F7">
            <w:pPr>
              <w:spacing w:line="360" w:lineRule="auto"/>
              <w:ind w:left="720" w:hanging="720"/>
              <w:jc w:val="left"/>
              <w:rPr>
                <w:rFonts w:asciiTheme="minorHAnsi" w:hAnsiTheme="minorHAnsi" w:cs="Times New Roman"/>
                <w:noProof/>
                <w:szCs w:val="21"/>
                <w:lang w:val="en-GB"/>
              </w:rPr>
            </w:pPr>
            <w:r w:rsidRPr="007A52F7">
              <w:rPr>
                <w:rFonts w:asciiTheme="minorHAnsi" w:hAnsiTheme="minorHAnsi" w:cs="Times New Roman"/>
                <w:noProof/>
                <w:szCs w:val="21"/>
                <w:lang w:val="en-GB"/>
              </w:rPr>
              <w:t>45</w:t>
            </w:r>
          </w:p>
        </w:tc>
        <w:tc>
          <w:tcPr>
            <w:tcW w:w="1850" w:type="dxa"/>
          </w:tcPr>
          <w:p w14:paraId="3873AED7" w14:textId="77777777" w:rsidR="007A52F7" w:rsidRPr="007A52F7" w:rsidRDefault="007A52F7" w:rsidP="007A52F7">
            <w:pPr>
              <w:spacing w:line="360" w:lineRule="auto"/>
              <w:ind w:left="720" w:hanging="720"/>
              <w:jc w:val="left"/>
              <w:rPr>
                <w:rFonts w:asciiTheme="minorHAnsi" w:hAnsiTheme="minorHAnsi" w:cs="Times New Roman"/>
                <w:noProof/>
                <w:szCs w:val="21"/>
                <w:lang w:val="en-GB"/>
              </w:rPr>
            </w:pPr>
            <w:r w:rsidRPr="007A52F7">
              <w:rPr>
                <w:rFonts w:asciiTheme="minorHAnsi" w:hAnsiTheme="minorHAnsi" w:cs="Times New Roman"/>
                <w:noProof/>
                <w:szCs w:val="21"/>
              </w:rPr>
              <w:t>0.35</w:t>
            </w:r>
          </w:p>
        </w:tc>
        <w:tc>
          <w:tcPr>
            <w:tcW w:w="1962" w:type="dxa"/>
          </w:tcPr>
          <w:p w14:paraId="49074805" w14:textId="77777777" w:rsidR="007A52F7" w:rsidRPr="007A52F7" w:rsidRDefault="007A52F7" w:rsidP="007A52F7">
            <w:pPr>
              <w:spacing w:line="360" w:lineRule="auto"/>
              <w:ind w:left="720" w:hanging="720"/>
              <w:jc w:val="left"/>
              <w:rPr>
                <w:rFonts w:asciiTheme="minorHAnsi" w:hAnsiTheme="minorHAnsi" w:cs="Times New Roman"/>
                <w:noProof/>
                <w:szCs w:val="21"/>
                <w:lang w:val="en-GB"/>
              </w:rPr>
            </w:pPr>
            <w:r w:rsidRPr="007A52F7">
              <w:rPr>
                <w:rFonts w:asciiTheme="minorHAnsi" w:hAnsiTheme="minorHAnsi" w:cs="Times New Roman"/>
                <w:noProof/>
                <w:szCs w:val="21"/>
              </w:rPr>
              <w:t>0.07</w:t>
            </w:r>
          </w:p>
        </w:tc>
        <w:tc>
          <w:tcPr>
            <w:tcW w:w="2127" w:type="dxa"/>
          </w:tcPr>
          <w:p w14:paraId="3762C075" w14:textId="77777777" w:rsidR="007A52F7" w:rsidRPr="007A52F7" w:rsidRDefault="007A52F7" w:rsidP="007A52F7">
            <w:pPr>
              <w:spacing w:line="360" w:lineRule="auto"/>
              <w:ind w:left="720" w:hanging="720"/>
              <w:jc w:val="left"/>
              <w:rPr>
                <w:rFonts w:asciiTheme="minorHAnsi" w:hAnsiTheme="minorHAnsi" w:cs="Times New Roman"/>
                <w:noProof/>
                <w:szCs w:val="21"/>
                <w:lang w:val="en-GB"/>
              </w:rPr>
            </w:pPr>
            <w:r w:rsidRPr="007A52F7">
              <w:rPr>
                <w:rFonts w:asciiTheme="minorHAnsi" w:hAnsiTheme="minorHAnsi" w:cs="Times New Roman"/>
                <w:noProof/>
                <w:szCs w:val="21"/>
                <w:lang w:val="en-GB"/>
              </w:rPr>
              <w:t>0.42</w:t>
            </w:r>
          </w:p>
        </w:tc>
      </w:tr>
      <w:tr w:rsidR="007A52F7" w:rsidRPr="007A52F7" w14:paraId="1CCC6F55" w14:textId="77777777" w:rsidTr="007A52F7">
        <w:trPr>
          <w:trHeight w:val="290"/>
          <w:jc w:val="center"/>
        </w:trPr>
        <w:tc>
          <w:tcPr>
            <w:tcW w:w="1850" w:type="dxa"/>
          </w:tcPr>
          <w:p w14:paraId="1B490388" w14:textId="77777777" w:rsidR="007A52F7" w:rsidRPr="007A52F7" w:rsidRDefault="007A52F7" w:rsidP="007A52F7">
            <w:pPr>
              <w:spacing w:line="360" w:lineRule="auto"/>
              <w:ind w:left="720" w:hanging="720"/>
              <w:jc w:val="left"/>
              <w:rPr>
                <w:rFonts w:asciiTheme="minorHAnsi" w:hAnsiTheme="minorHAnsi" w:cs="Times New Roman"/>
                <w:noProof/>
                <w:szCs w:val="21"/>
                <w:lang w:val="en-GB"/>
              </w:rPr>
            </w:pPr>
            <w:r w:rsidRPr="007A52F7">
              <w:rPr>
                <w:rFonts w:asciiTheme="minorHAnsi" w:hAnsiTheme="minorHAnsi" w:cs="Times New Roman"/>
                <w:noProof/>
                <w:szCs w:val="21"/>
                <w:lang w:val="en-GB"/>
              </w:rPr>
              <w:t>50</w:t>
            </w:r>
          </w:p>
        </w:tc>
        <w:tc>
          <w:tcPr>
            <w:tcW w:w="1850" w:type="dxa"/>
          </w:tcPr>
          <w:p w14:paraId="5B1940A3" w14:textId="77777777" w:rsidR="007A52F7" w:rsidRPr="007A52F7" w:rsidRDefault="007A52F7" w:rsidP="007A52F7">
            <w:pPr>
              <w:spacing w:line="360" w:lineRule="auto"/>
              <w:ind w:left="720" w:hanging="720"/>
              <w:jc w:val="left"/>
              <w:rPr>
                <w:rFonts w:asciiTheme="minorHAnsi" w:hAnsiTheme="minorHAnsi" w:cs="Times New Roman"/>
                <w:noProof/>
                <w:szCs w:val="21"/>
                <w:lang w:val="en-GB"/>
              </w:rPr>
            </w:pPr>
            <w:r w:rsidRPr="007A52F7">
              <w:rPr>
                <w:rFonts w:asciiTheme="minorHAnsi" w:hAnsiTheme="minorHAnsi" w:cs="Times New Roman"/>
                <w:noProof/>
                <w:szCs w:val="21"/>
              </w:rPr>
              <w:t>0.56</w:t>
            </w:r>
          </w:p>
        </w:tc>
        <w:tc>
          <w:tcPr>
            <w:tcW w:w="1962" w:type="dxa"/>
          </w:tcPr>
          <w:p w14:paraId="72D18AF3" w14:textId="77777777" w:rsidR="007A52F7" w:rsidRPr="007A52F7" w:rsidRDefault="007A52F7" w:rsidP="007A52F7">
            <w:pPr>
              <w:spacing w:line="360" w:lineRule="auto"/>
              <w:ind w:left="720" w:hanging="720"/>
              <w:jc w:val="left"/>
              <w:rPr>
                <w:rFonts w:asciiTheme="minorHAnsi" w:hAnsiTheme="minorHAnsi" w:cs="Times New Roman"/>
                <w:noProof/>
                <w:szCs w:val="21"/>
                <w:lang w:val="en-GB"/>
              </w:rPr>
            </w:pPr>
            <w:r w:rsidRPr="007A52F7">
              <w:rPr>
                <w:rFonts w:asciiTheme="minorHAnsi" w:hAnsiTheme="minorHAnsi" w:cs="Times New Roman"/>
                <w:noProof/>
                <w:szCs w:val="21"/>
              </w:rPr>
              <w:t>0.14</w:t>
            </w:r>
          </w:p>
        </w:tc>
        <w:tc>
          <w:tcPr>
            <w:tcW w:w="2127" w:type="dxa"/>
          </w:tcPr>
          <w:p w14:paraId="6BCC6F08" w14:textId="77777777" w:rsidR="007A52F7" w:rsidRPr="007A52F7" w:rsidRDefault="007A52F7" w:rsidP="007A52F7">
            <w:pPr>
              <w:spacing w:line="360" w:lineRule="auto"/>
              <w:ind w:left="720" w:hanging="720"/>
              <w:jc w:val="left"/>
              <w:rPr>
                <w:rFonts w:asciiTheme="minorHAnsi" w:hAnsiTheme="minorHAnsi" w:cs="Times New Roman"/>
                <w:noProof/>
                <w:szCs w:val="21"/>
                <w:lang w:val="en-GB"/>
              </w:rPr>
            </w:pPr>
            <w:r w:rsidRPr="007A52F7">
              <w:rPr>
                <w:rFonts w:asciiTheme="minorHAnsi" w:hAnsiTheme="minorHAnsi" w:cs="Times New Roman"/>
                <w:noProof/>
                <w:szCs w:val="21"/>
                <w:lang w:val="en-GB"/>
              </w:rPr>
              <w:t>0.67</w:t>
            </w:r>
          </w:p>
        </w:tc>
      </w:tr>
      <w:tr w:rsidR="007A52F7" w:rsidRPr="007A52F7" w14:paraId="096A10BE" w14:textId="77777777" w:rsidTr="007A52F7">
        <w:trPr>
          <w:trHeight w:val="290"/>
          <w:jc w:val="center"/>
        </w:trPr>
        <w:tc>
          <w:tcPr>
            <w:tcW w:w="1850" w:type="dxa"/>
          </w:tcPr>
          <w:p w14:paraId="69D7D93B" w14:textId="77777777" w:rsidR="007A52F7" w:rsidRPr="007A52F7" w:rsidRDefault="007A52F7" w:rsidP="007A52F7">
            <w:pPr>
              <w:spacing w:line="360" w:lineRule="auto"/>
              <w:ind w:left="720" w:hanging="720"/>
              <w:jc w:val="left"/>
              <w:rPr>
                <w:rFonts w:asciiTheme="minorHAnsi" w:hAnsiTheme="minorHAnsi" w:cs="Times New Roman"/>
                <w:noProof/>
                <w:szCs w:val="21"/>
                <w:lang w:val="en-GB"/>
              </w:rPr>
            </w:pPr>
            <w:r w:rsidRPr="007A52F7">
              <w:rPr>
                <w:rFonts w:asciiTheme="minorHAnsi" w:hAnsiTheme="minorHAnsi" w:cs="Times New Roman"/>
                <w:noProof/>
                <w:szCs w:val="21"/>
                <w:lang w:val="en-GB"/>
              </w:rPr>
              <w:t>55</w:t>
            </w:r>
          </w:p>
        </w:tc>
        <w:tc>
          <w:tcPr>
            <w:tcW w:w="1850" w:type="dxa"/>
          </w:tcPr>
          <w:p w14:paraId="18B5A5F8" w14:textId="77777777" w:rsidR="007A52F7" w:rsidRPr="007A52F7" w:rsidRDefault="007A52F7" w:rsidP="007A52F7">
            <w:pPr>
              <w:spacing w:line="360" w:lineRule="auto"/>
              <w:ind w:left="720" w:hanging="720"/>
              <w:jc w:val="left"/>
              <w:rPr>
                <w:rFonts w:asciiTheme="minorHAnsi" w:hAnsiTheme="minorHAnsi" w:cs="Times New Roman"/>
                <w:noProof/>
                <w:szCs w:val="21"/>
                <w:lang w:val="en-GB"/>
              </w:rPr>
            </w:pPr>
            <w:r w:rsidRPr="007A52F7">
              <w:rPr>
                <w:rFonts w:asciiTheme="minorHAnsi" w:hAnsiTheme="minorHAnsi" w:cs="Times New Roman"/>
                <w:noProof/>
                <w:szCs w:val="21"/>
              </w:rPr>
              <w:t>0.91</w:t>
            </w:r>
          </w:p>
        </w:tc>
        <w:tc>
          <w:tcPr>
            <w:tcW w:w="1962" w:type="dxa"/>
          </w:tcPr>
          <w:p w14:paraId="0BACE666" w14:textId="77777777" w:rsidR="007A52F7" w:rsidRPr="007A52F7" w:rsidRDefault="007A52F7" w:rsidP="007A52F7">
            <w:pPr>
              <w:spacing w:line="360" w:lineRule="auto"/>
              <w:ind w:left="720" w:hanging="720"/>
              <w:jc w:val="left"/>
              <w:rPr>
                <w:rFonts w:asciiTheme="minorHAnsi" w:hAnsiTheme="minorHAnsi" w:cs="Times New Roman"/>
                <w:noProof/>
                <w:szCs w:val="21"/>
                <w:lang w:val="en-GB"/>
              </w:rPr>
            </w:pPr>
            <w:r w:rsidRPr="007A52F7">
              <w:rPr>
                <w:rFonts w:asciiTheme="minorHAnsi" w:hAnsiTheme="minorHAnsi" w:cs="Times New Roman"/>
                <w:noProof/>
                <w:szCs w:val="21"/>
              </w:rPr>
              <w:t>0.27</w:t>
            </w:r>
          </w:p>
        </w:tc>
        <w:tc>
          <w:tcPr>
            <w:tcW w:w="2127" w:type="dxa"/>
          </w:tcPr>
          <w:p w14:paraId="030F9F97" w14:textId="77777777" w:rsidR="007A52F7" w:rsidRPr="007A52F7" w:rsidRDefault="007A52F7" w:rsidP="007A52F7">
            <w:pPr>
              <w:spacing w:line="360" w:lineRule="auto"/>
              <w:ind w:left="720" w:hanging="720"/>
              <w:jc w:val="left"/>
              <w:rPr>
                <w:rFonts w:asciiTheme="minorHAnsi" w:hAnsiTheme="minorHAnsi" w:cs="Times New Roman"/>
                <w:noProof/>
                <w:szCs w:val="21"/>
                <w:lang w:val="en-GB"/>
              </w:rPr>
            </w:pPr>
            <w:r w:rsidRPr="007A52F7">
              <w:rPr>
                <w:rFonts w:asciiTheme="minorHAnsi" w:hAnsiTheme="minorHAnsi" w:cs="Times New Roman"/>
                <w:noProof/>
                <w:szCs w:val="21"/>
                <w:lang w:val="en-GB"/>
              </w:rPr>
              <w:t>1.09</w:t>
            </w:r>
          </w:p>
        </w:tc>
      </w:tr>
      <w:tr w:rsidR="007A52F7" w:rsidRPr="007A52F7" w14:paraId="06153799" w14:textId="77777777" w:rsidTr="007A52F7">
        <w:trPr>
          <w:trHeight w:val="290"/>
          <w:jc w:val="center"/>
        </w:trPr>
        <w:tc>
          <w:tcPr>
            <w:tcW w:w="1850" w:type="dxa"/>
          </w:tcPr>
          <w:p w14:paraId="4510F4EF" w14:textId="77777777" w:rsidR="007A52F7" w:rsidRPr="007A52F7" w:rsidRDefault="007A52F7" w:rsidP="007A52F7">
            <w:pPr>
              <w:spacing w:line="360" w:lineRule="auto"/>
              <w:ind w:left="720" w:hanging="720"/>
              <w:jc w:val="left"/>
              <w:rPr>
                <w:rFonts w:asciiTheme="minorHAnsi" w:hAnsiTheme="minorHAnsi" w:cs="Times New Roman"/>
                <w:noProof/>
                <w:szCs w:val="21"/>
                <w:lang w:val="en-GB"/>
              </w:rPr>
            </w:pPr>
            <w:r w:rsidRPr="007A52F7">
              <w:rPr>
                <w:rFonts w:asciiTheme="minorHAnsi" w:hAnsiTheme="minorHAnsi" w:cs="Times New Roman"/>
                <w:noProof/>
                <w:szCs w:val="21"/>
                <w:lang w:val="en-GB"/>
              </w:rPr>
              <w:t>60</w:t>
            </w:r>
          </w:p>
        </w:tc>
        <w:tc>
          <w:tcPr>
            <w:tcW w:w="1850" w:type="dxa"/>
          </w:tcPr>
          <w:p w14:paraId="3691503A" w14:textId="77777777" w:rsidR="007A52F7" w:rsidRPr="007A52F7" w:rsidRDefault="007A52F7" w:rsidP="007A52F7">
            <w:pPr>
              <w:spacing w:line="360" w:lineRule="auto"/>
              <w:ind w:left="720" w:hanging="720"/>
              <w:jc w:val="left"/>
              <w:rPr>
                <w:rFonts w:asciiTheme="minorHAnsi" w:hAnsiTheme="minorHAnsi" w:cs="Times New Roman"/>
                <w:noProof/>
                <w:szCs w:val="21"/>
                <w:lang w:val="en-GB"/>
              </w:rPr>
            </w:pPr>
            <w:r w:rsidRPr="007A52F7">
              <w:rPr>
                <w:rFonts w:asciiTheme="minorHAnsi" w:hAnsiTheme="minorHAnsi" w:cs="Times New Roman"/>
                <w:noProof/>
                <w:szCs w:val="21"/>
              </w:rPr>
              <w:t>1.43</w:t>
            </w:r>
          </w:p>
        </w:tc>
        <w:tc>
          <w:tcPr>
            <w:tcW w:w="1962" w:type="dxa"/>
          </w:tcPr>
          <w:p w14:paraId="7FBFA2B3" w14:textId="77777777" w:rsidR="007A52F7" w:rsidRPr="007A52F7" w:rsidRDefault="007A52F7" w:rsidP="007A52F7">
            <w:pPr>
              <w:spacing w:line="360" w:lineRule="auto"/>
              <w:ind w:left="720" w:hanging="720"/>
              <w:jc w:val="left"/>
              <w:rPr>
                <w:rFonts w:asciiTheme="minorHAnsi" w:hAnsiTheme="minorHAnsi" w:cs="Times New Roman"/>
                <w:noProof/>
                <w:szCs w:val="21"/>
                <w:lang w:val="en-GB"/>
              </w:rPr>
            </w:pPr>
            <w:r w:rsidRPr="007A52F7">
              <w:rPr>
                <w:rFonts w:asciiTheme="minorHAnsi" w:hAnsiTheme="minorHAnsi" w:cs="Times New Roman"/>
                <w:noProof/>
                <w:szCs w:val="21"/>
              </w:rPr>
              <w:t>0.49</w:t>
            </w:r>
          </w:p>
        </w:tc>
        <w:tc>
          <w:tcPr>
            <w:tcW w:w="2127" w:type="dxa"/>
          </w:tcPr>
          <w:p w14:paraId="75D1A0DD" w14:textId="77777777" w:rsidR="007A52F7" w:rsidRPr="007A52F7" w:rsidRDefault="007A52F7" w:rsidP="007A52F7">
            <w:pPr>
              <w:spacing w:line="360" w:lineRule="auto"/>
              <w:ind w:left="720" w:hanging="720"/>
              <w:jc w:val="left"/>
              <w:rPr>
                <w:rFonts w:asciiTheme="minorHAnsi" w:hAnsiTheme="minorHAnsi" w:cs="Times New Roman"/>
                <w:noProof/>
                <w:szCs w:val="21"/>
                <w:lang w:val="en-GB"/>
              </w:rPr>
            </w:pPr>
            <w:r w:rsidRPr="007A52F7">
              <w:rPr>
                <w:rFonts w:asciiTheme="minorHAnsi" w:hAnsiTheme="minorHAnsi" w:cs="Times New Roman"/>
                <w:noProof/>
                <w:szCs w:val="21"/>
                <w:lang w:val="en-GB"/>
              </w:rPr>
              <w:t>1.72</w:t>
            </w:r>
          </w:p>
        </w:tc>
      </w:tr>
      <w:tr w:rsidR="007A52F7" w:rsidRPr="007A52F7" w14:paraId="2D4E3A7D" w14:textId="77777777" w:rsidTr="007A52F7">
        <w:trPr>
          <w:trHeight w:val="290"/>
          <w:jc w:val="center"/>
        </w:trPr>
        <w:tc>
          <w:tcPr>
            <w:tcW w:w="1850" w:type="dxa"/>
          </w:tcPr>
          <w:p w14:paraId="77029F0D" w14:textId="77777777" w:rsidR="007A52F7" w:rsidRPr="007A52F7" w:rsidRDefault="007A52F7" w:rsidP="007A52F7">
            <w:pPr>
              <w:spacing w:line="360" w:lineRule="auto"/>
              <w:ind w:left="720" w:hanging="720"/>
              <w:jc w:val="left"/>
              <w:rPr>
                <w:rFonts w:asciiTheme="minorHAnsi" w:hAnsiTheme="minorHAnsi" w:cs="Times New Roman"/>
                <w:noProof/>
                <w:szCs w:val="21"/>
                <w:lang w:val="en-GB"/>
              </w:rPr>
            </w:pPr>
            <w:r w:rsidRPr="007A52F7">
              <w:rPr>
                <w:rFonts w:asciiTheme="minorHAnsi" w:hAnsiTheme="minorHAnsi" w:cs="Times New Roman"/>
                <w:noProof/>
                <w:szCs w:val="21"/>
                <w:lang w:val="en-GB"/>
              </w:rPr>
              <w:t>65</w:t>
            </w:r>
          </w:p>
        </w:tc>
        <w:tc>
          <w:tcPr>
            <w:tcW w:w="1850" w:type="dxa"/>
          </w:tcPr>
          <w:p w14:paraId="3A9CB7F3" w14:textId="77777777" w:rsidR="007A52F7" w:rsidRPr="007A52F7" w:rsidRDefault="007A52F7" w:rsidP="007A52F7">
            <w:pPr>
              <w:spacing w:line="360" w:lineRule="auto"/>
              <w:ind w:left="720" w:hanging="720"/>
              <w:jc w:val="left"/>
              <w:rPr>
                <w:rFonts w:asciiTheme="minorHAnsi" w:hAnsiTheme="minorHAnsi" w:cs="Times New Roman"/>
                <w:noProof/>
                <w:szCs w:val="21"/>
                <w:lang w:val="en-GB"/>
              </w:rPr>
            </w:pPr>
            <w:r w:rsidRPr="007A52F7">
              <w:rPr>
                <w:rFonts w:asciiTheme="minorHAnsi" w:hAnsiTheme="minorHAnsi" w:cs="Times New Roman"/>
                <w:noProof/>
                <w:szCs w:val="21"/>
              </w:rPr>
              <w:t>2.04</w:t>
            </w:r>
          </w:p>
        </w:tc>
        <w:tc>
          <w:tcPr>
            <w:tcW w:w="1962" w:type="dxa"/>
          </w:tcPr>
          <w:p w14:paraId="2949B36E" w14:textId="77777777" w:rsidR="007A52F7" w:rsidRPr="007A52F7" w:rsidRDefault="007A52F7" w:rsidP="007A52F7">
            <w:pPr>
              <w:spacing w:line="360" w:lineRule="auto"/>
              <w:ind w:left="720" w:hanging="720"/>
              <w:jc w:val="left"/>
              <w:rPr>
                <w:rFonts w:asciiTheme="minorHAnsi" w:hAnsiTheme="minorHAnsi" w:cs="Times New Roman"/>
                <w:noProof/>
                <w:szCs w:val="21"/>
                <w:lang w:val="en-GB"/>
              </w:rPr>
            </w:pPr>
            <w:r w:rsidRPr="007A52F7">
              <w:rPr>
                <w:rFonts w:asciiTheme="minorHAnsi" w:hAnsiTheme="minorHAnsi" w:cs="Times New Roman"/>
                <w:noProof/>
                <w:szCs w:val="21"/>
              </w:rPr>
              <w:t>0.82</w:t>
            </w:r>
          </w:p>
        </w:tc>
        <w:tc>
          <w:tcPr>
            <w:tcW w:w="2127" w:type="dxa"/>
          </w:tcPr>
          <w:p w14:paraId="0B7547C0" w14:textId="77777777" w:rsidR="007A52F7" w:rsidRPr="007A52F7" w:rsidRDefault="007A52F7" w:rsidP="007A52F7">
            <w:pPr>
              <w:spacing w:line="360" w:lineRule="auto"/>
              <w:ind w:left="720" w:hanging="720"/>
              <w:jc w:val="left"/>
              <w:rPr>
                <w:rFonts w:asciiTheme="minorHAnsi" w:hAnsiTheme="minorHAnsi" w:cs="Times New Roman"/>
                <w:noProof/>
                <w:szCs w:val="21"/>
                <w:lang w:val="en-GB"/>
              </w:rPr>
            </w:pPr>
            <w:r w:rsidRPr="007A52F7">
              <w:rPr>
                <w:rFonts w:asciiTheme="minorHAnsi" w:hAnsiTheme="minorHAnsi" w:cs="Times New Roman"/>
                <w:noProof/>
                <w:szCs w:val="21"/>
                <w:lang w:val="en-GB"/>
              </w:rPr>
              <w:t>2.44</w:t>
            </w:r>
          </w:p>
        </w:tc>
      </w:tr>
      <w:tr w:rsidR="007A52F7" w:rsidRPr="007A52F7" w14:paraId="1E69BCDD" w14:textId="77777777" w:rsidTr="007A52F7">
        <w:trPr>
          <w:trHeight w:val="290"/>
          <w:jc w:val="center"/>
        </w:trPr>
        <w:tc>
          <w:tcPr>
            <w:tcW w:w="1850" w:type="dxa"/>
          </w:tcPr>
          <w:p w14:paraId="2D26878E" w14:textId="77777777" w:rsidR="007A52F7" w:rsidRPr="007A52F7" w:rsidRDefault="007A52F7" w:rsidP="007A52F7">
            <w:pPr>
              <w:spacing w:line="360" w:lineRule="auto"/>
              <w:ind w:left="720" w:hanging="720"/>
              <w:jc w:val="left"/>
              <w:rPr>
                <w:rFonts w:asciiTheme="minorHAnsi" w:hAnsiTheme="minorHAnsi" w:cs="Times New Roman"/>
                <w:noProof/>
                <w:szCs w:val="21"/>
                <w:lang w:val="en-GB"/>
              </w:rPr>
            </w:pPr>
            <w:r w:rsidRPr="007A52F7">
              <w:rPr>
                <w:rFonts w:asciiTheme="minorHAnsi" w:hAnsiTheme="minorHAnsi" w:cs="Times New Roman"/>
                <w:noProof/>
                <w:szCs w:val="21"/>
                <w:lang w:val="en-GB"/>
              </w:rPr>
              <w:t>70</w:t>
            </w:r>
          </w:p>
        </w:tc>
        <w:tc>
          <w:tcPr>
            <w:tcW w:w="1850" w:type="dxa"/>
          </w:tcPr>
          <w:p w14:paraId="3A2B2AA1" w14:textId="77777777" w:rsidR="007A52F7" w:rsidRPr="007A52F7" w:rsidRDefault="007A52F7" w:rsidP="007A52F7">
            <w:pPr>
              <w:spacing w:line="360" w:lineRule="auto"/>
              <w:ind w:left="720" w:hanging="720"/>
              <w:jc w:val="left"/>
              <w:rPr>
                <w:rFonts w:asciiTheme="minorHAnsi" w:hAnsiTheme="minorHAnsi" w:cs="Times New Roman"/>
                <w:noProof/>
                <w:szCs w:val="21"/>
                <w:lang w:val="en-GB"/>
              </w:rPr>
            </w:pPr>
            <w:r w:rsidRPr="007A52F7">
              <w:rPr>
                <w:rFonts w:asciiTheme="minorHAnsi" w:hAnsiTheme="minorHAnsi" w:cs="Times New Roman"/>
                <w:noProof/>
                <w:szCs w:val="21"/>
              </w:rPr>
              <w:t>2.79</w:t>
            </w:r>
          </w:p>
        </w:tc>
        <w:tc>
          <w:tcPr>
            <w:tcW w:w="1962" w:type="dxa"/>
          </w:tcPr>
          <w:p w14:paraId="250F2660" w14:textId="77777777" w:rsidR="007A52F7" w:rsidRPr="007A52F7" w:rsidRDefault="007A52F7" w:rsidP="007A52F7">
            <w:pPr>
              <w:spacing w:line="360" w:lineRule="auto"/>
              <w:ind w:left="720" w:hanging="720"/>
              <w:jc w:val="left"/>
              <w:rPr>
                <w:rFonts w:asciiTheme="minorHAnsi" w:hAnsiTheme="minorHAnsi" w:cs="Times New Roman"/>
                <w:noProof/>
                <w:szCs w:val="21"/>
                <w:lang w:val="en-GB"/>
              </w:rPr>
            </w:pPr>
            <w:r w:rsidRPr="007A52F7">
              <w:rPr>
                <w:rFonts w:asciiTheme="minorHAnsi" w:hAnsiTheme="minorHAnsi" w:cs="Times New Roman"/>
                <w:noProof/>
                <w:szCs w:val="21"/>
              </w:rPr>
              <w:t>1.32</w:t>
            </w:r>
          </w:p>
        </w:tc>
        <w:tc>
          <w:tcPr>
            <w:tcW w:w="2127" w:type="dxa"/>
          </w:tcPr>
          <w:p w14:paraId="513FFA14" w14:textId="77777777" w:rsidR="007A52F7" w:rsidRPr="007A52F7" w:rsidRDefault="007A52F7" w:rsidP="007A52F7">
            <w:pPr>
              <w:spacing w:line="360" w:lineRule="auto"/>
              <w:ind w:left="720" w:hanging="720"/>
              <w:jc w:val="left"/>
              <w:rPr>
                <w:rFonts w:asciiTheme="minorHAnsi" w:hAnsiTheme="minorHAnsi" w:cs="Times New Roman"/>
                <w:noProof/>
                <w:szCs w:val="21"/>
                <w:lang w:val="en-GB"/>
              </w:rPr>
            </w:pPr>
            <w:r w:rsidRPr="007A52F7">
              <w:rPr>
                <w:rFonts w:asciiTheme="minorHAnsi" w:hAnsiTheme="minorHAnsi" w:cs="Times New Roman"/>
                <w:noProof/>
                <w:szCs w:val="21"/>
                <w:lang w:val="en-GB"/>
              </w:rPr>
              <w:t>3.35</w:t>
            </w:r>
          </w:p>
        </w:tc>
      </w:tr>
      <w:tr w:rsidR="007A52F7" w:rsidRPr="007A52F7" w14:paraId="4CDD2D4A" w14:textId="77777777" w:rsidTr="007A52F7">
        <w:trPr>
          <w:trHeight w:val="290"/>
          <w:jc w:val="center"/>
        </w:trPr>
        <w:tc>
          <w:tcPr>
            <w:tcW w:w="1850" w:type="dxa"/>
          </w:tcPr>
          <w:p w14:paraId="597F3DD4" w14:textId="77777777" w:rsidR="007A52F7" w:rsidRPr="007A52F7" w:rsidRDefault="007A52F7" w:rsidP="007A52F7">
            <w:pPr>
              <w:spacing w:line="360" w:lineRule="auto"/>
              <w:ind w:left="720" w:hanging="720"/>
              <w:jc w:val="left"/>
              <w:rPr>
                <w:rFonts w:asciiTheme="minorHAnsi" w:hAnsiTheme="minorHAnsi" w:cs="Times New Roman"/>
                <w:noProof/>
                <w:szCs w:val="21"/>
                <w:lang w:val="en-GB"/>
              </w:rPr>
            </w:pPr>
            <w:r w:rsidRPr="007A52F7">
              <w:rPr>
                <w:rFonts w:asciiTheme="minorHAnsi" w:hAnsiTheme="minorHAnsi" w:cs="Times New Roman"/>
                <w:noProof/>
                <w:szCs w:val="21"/>
                <w:lang w:val="en-GB"/>
              </w:rPr>
              <w:t>75</w:t>
            </w:r>
          </w:p>
        </w:tc>
        <w:tc>
          <w:tcPr>
            <w:tcW w:w="1850" w:type="dxa"/>
          </w:tcPr>
          <w:p w14:paraId="0173DC2A" w14:textId="77777777" w:rsidR="007A52F7" w:rsidRPr="007A52F7" w:rsidRDefault="007A52F7" w:rsidP="007A52F7">
            <w:pPr>
              <w:spacing w:line="360" w:lineRule="auto"/>
              <w:ind w:left="720" w:hanging="720"/>
              <w:jc w:val="left"/>
              <w:rPr>
                <w:rFonts w:asciiTheme="minorHAnsi" w:hAnsiTheme="minorHAnsi" w:cs="Times New Roman"/>
                <w:noProof/>
                <w:szCs w:val="21"/>
                <w:lang w:val="en-GB"/>
              </w:rPr>
            </w:pPr>
            <w:r w:rsidRPr="007A52F7">
              <w:rPr>
                <w:rFonts w:asciiTheme="minorHAnsi" w:hAnsiTheme="minorHAnsi" w:cs="Times New Roman"/>
                <w:noProof/>
                <w:szCs w:val="21"/>
              </w:rPr>
              <w:t>3.70</w:t>
            </w:r>
          </w:p>
        </w:tc>
        <w:tc>
          <w:tcPr>
            <w:tcW w:w="1962" w:type="dxa"/>
          </w:tcPr>
          <w:p w14:paraId="54D1EB2F" w14:textId="77777777" w:rsidR="007A52F7" w:rsidRPr="007A52F7" w:rsidRDefault="007A52F7" w:rsidP="007A52F7">
            <w:pPr>
              <w:spacing w:line="360" w:lineRule="auto"/>
              <w:ind w:left="720" w:hanging="720"/>
              <w:jc w:val="left"/>
              <w:rPr>
                <w:rFonts w:asciiTheme="minorHAnsi" w:hAnsiTheme="minorHAnsi" w:cs="Times New Roman"/>
                <w:noProof/>
                <w:szCs w:val="21"/>
                <w:lang w:val="en-GB"/>
              </w:rPr>
            </w:pPr>
            <w:r w:rsidRPr="007A52F7">
              <w:rPr>
                <w:rFonts w:asciiTheme="minorHAnsi" w:hAnsiTheme="minorHAnsi" w:cs="Times New Roman"/>
                <w:noProof/>
                <w:szCs w:val="21"/>
              </w:rPr>
              <w:t>2.04</w:t>
            </w:r>
          </w:p>
        </w:tc>
        <w:tc>
          <w:tcPr>
            <w:tcW w:w="2127" w:type="dxa"/>
          </w:tcPr>
          <w:p w14:paraId="14383F32" w14:textId="77777777" w:rsidR="007A52F7" w:rsidRPr="007A52F7" w:rsidRDefault="007A52F7" w:rsidP="007A52F7">
            <w:pPr>
              <w:spacing w:line="360" w:lineRule="auto"/>
              <w:ind w:left="720" w:hanging="720"/>
              <w:jc w:val="left"/>
              <w:rPr>
                <w:rFonts w:asciiTheme="minorHAnsi" w:hAnsiTheme="minorHAnsi" w:cs="Times New Roman"/>
                <w:noProof/>
                <w:szCs w:val="21"/>
                <w:lang w:val="en-GB"/>
              </w:rPr>
            </w:pPr>
            <w:r w:rsidRPr="007A52F7">
              <w:rPr>
                <w:rFonts w:asciiTheme="minorHAnsi" w:hAnsiTheme="minorHAnsi" w:cs="Times New Roman"/>
                <w:noProof/>
                <w:szCs w:val="21"/>
                <w:lang w:val="en-GB"/>
              </w:rPr>
              <w:t>4.44</w:t>
            </w:r>
          </w:p>
        </w:tc>
      </w:tr>
      <w:tr w:rsidR="007A52F7" w:rsidRPr="007A52F7" w14:paraId="18147D0E" w14:textId="77777777" w:rsidTr="007A52F7">
        <w:trPr>
          <w:trHeight w:val="290"/>
          <w:jc w:val="center"/>
        </w:trPr>
        <w:tc>
          <w:tcPr>
            <w:tcW w:w="1850" w:type="dxa"/>
          </w:tcPr>
          <w:p w14:paraId="5C1F5EB3" w14:textId="77777777" w:rsidR="007A52F7" w:rsidRPr="007A52F7" w:rsidRDefault="007A52F7" w:rsidP="007A52F7">
            <w:pPr>
              <w:spacing w:line="360" w:lineRule="auto"/>
              <w:ind w:left="720" w:hanging="720"/>
              <w:jc w:val="left"/>
              <w:rPr>
                <w:rFonts w:asciiTheme="minorHAnsi" w:hAnsiTheme="minorHAnsi" w:cs="Times New Roman"/>
                <w:noProof/>
                <w:szCs w:val="21"/>
                <w:lang w:val="en-GB"/>
              </w:rPr>
            </w:pPr>
            <w:r w:rsidRPr="007A52F7">
              <w:rPr>
                <w:rFonts w:asciiTheme="minorHAnsi" w:hAnsiTheme="minorHAnsi" w:cs="Times New Roman"/>
                <w:noProof/>
                <w:szCs w:val="21"/>
                <w:lang w:val="en-GB"/>
              </w:rPr>
              <w:t>80</w:t>
            </w:r>
          </w:p>
        </w:tc>
        <w:tc>
          <w:tcPr>
            <w:tcW w:w="1850" w:type="dxa"/>
          </w:tcPr>
          <w:p w14:paraId="3A80EBAB" w14:textId="77777777" w:rsidR="007A52F7" w:rsidRPr="007A52F7" w:rsidRDefault="007A52F7" w:rsidP="007A52F7">
            <w:pPr>
              <w:spacing w:line="360" w:lineRule="auto"/>
              <w:ind w:left="720" w:hanging="720"/>
              <w:jc w:val="left"/>
              <w:rPr>
                <w:rFonts w:asciiTheme="minorHAnsi" w:hAnsiTheme="minorHAnsi" w:cs="Times New Roman"/>
                <w:noProof/>
                <w:szCs w:val="21"/>
                <w:lang w:val="en-GB"/>
              </w:rPr>
            </w:pPr>
            <w:r w:rsidRPr="007A52F7">
              <w:rPr>
                <w:rFonts w:asciiTheme="minorHAnsi" w:hAnsiTheme="minorHAnsi" w:cs="Times New Roman"/>
                <w:noProof/>
                <w:szCs w:val="21"/>
              </w:rPr>
              <w:t>4.87</w:t>
            </w:r>
          </w:p>
        </w:tc>
        <w:tc>
          <w:tcPr>
            <w:tcW w:w="1962" w:type="dxa"/>
          </w:tcPr>
          <w:p w14:paraId="7EDDD583" w14:textId="77777777" w:rsidR="007A52F7" w:rsidRPr="007A52F7" w:rsidRDefault="007A52F7" w:rsidP="007A52F7">
            <w:pPr>
              <w:spacing w:line="360" w:lineRule="auto"/>
              <w:ind w:left="720" w:hanging="720"/>
              <w:jc w:val="left"/>
              <w:rPr>
                <w:rFonts w:asciiTheme="minorHAnsi" w:hAnsiTheme="minorHAnsi" w:cs="Times New Roman"/>
                <w:noProof/>
                <w:szCs w:val="21"/>
                <w:lang w:val="en-GB"/>
              </w:rPr>
            </w:pPr>
            <w:r w:rsidRPr="007A52F7">
              <w:rPr>
                <w:rFonts w:asciiTheme="minorHAnsi" w:hAnsiTheme="minorHAnsi" w:cs="Times New Roman"/>
                <w:noProof/>
                <w:szCs w:val="21"/>
              </w:rPr>
              <w:t>3.16</w:t>
            </w:r>
          </w:p>
        </w:tc>
        <w:tc>
          <w:tcPr>
            <w:tcW w:w="2127" w:type="dxa"/>
          </w:tcPr>
          <w:p w14:paraId="1F54ECFE" w14:textId="77777777" w:rsidR="007A52F7" w:rsidRPr="007A52F7" w:rsidRDefault="007A52F7" w:rsidP="007A52F7">
            <w:pPr>
              <w:spacing w:line="360" w:lineRule="auto"/>
              <w:ind w:left="720" w:hanging="720"/>
              <w:jc w:val="left"/>
              <w:rPr>
                <w:rFonts w:asciiTheme="minorHAnsi" w:hAnsiTheme="minorHAnsi" w:cs="Times New Roman"/>
                <w:noProof/>
                <w:szCs w:val="21"/>
                <w:lang w:val="en-GB"/>
              </w:rPr>
            </w:pPr>
            <w:r w:rsidRPr="007A52F7">
              <w:rPr>
                <w:rFonts w:asciiTheme="minorHAnsi" w:hAnsiTheme="minorHAnsi" w:cs="Times New Roman"/>
                <w:noProof/>
                <w:szCs w:val="21"/>
                <w:lang w:val="en-GB"/>
              </w:rPr>
              <w:t>5.84</w:t>
            </w:r>
          </w:p>
        </w:tc>
      </w:tr>
      <w:tr w:rsidR="007A52F7" w:rsidRPr="007A52F7" w14:paraId="1C45D120" w14:textId="77777777" w:rsidTr="007A52F7">
        <w:trPr>
          <w:trHeight w:val="290"/>
          <w:jc w:val="center"/>
        </w:trPr>
        <w:tc>
          <w:tcPr>
            <w:tcW w:w="1850" w:type="dxa"/>
          </w:tcPr>
          <w:p w14:paraId="650E3F13" w14:textId="77777777" w:rsidR="007A52F7" w:rsidRPr="007A52F7" w:rsidRDefault="007A52F7" w:rsidP="007A52F7">
            <w:pPr>
              <w:spacing w:line="360" w:lineRule="auto"/>
              <w:ind w:left="720" w:hanging="720"/>
              <w:jc w:val="left"/>
              <w:rPr>
                <w:rFonts w:asciiTheme="minorHAnsi" w:hAnsiTheme="minorHAnsi" w:cs="Times New Roman"/>
                <w:noProof/>
                <w:szCs w:val="21"/>
                <w:lang w:val="en-GB"/>
              </w:rPr>
            </w:pPr>
            <w:r w:rsidRPr="007A52F7">
              <w:rPr>
                <w:rFonts w:asciiTheme="minorHAnsi" w:hAnsiTheme="minorHAnsi" w:cs="Times New Roman"/>
                <w:noProof/>
                <w:szCs w:val="21"/>
                <w:lang w:val="en-GB"/>
              </w:rPr>
              <w:t>85</w:t>
            </w:r>
          </w:p>
        </w:tc>
        <w:tc>
          <w:tcPr>
            <w:tcW w:w="1850" w:type="dxa"/>
          </w:tcPr>
          <w:p w14:paraId="6E96B68F" w14:textId="77777777" w:rsidR="007A52F7" w:rsidRPr="007A52F7" w:rsidRDefault="007A52F7" w:rsidP="007A52F7">
            <w:pPr>
              <w:spacing w:line="360" w:lineRule="auto"/>
              <w:ind w:left="720" w:hanging="720"/>
              <w:jc w:val="left"/>
              <w:rPr>
                <w:rFonts w:asciiTheme="minorHAnsi" w:hAnsiTheme="minorHAnsi" w:cs="Times New Roman"/>
                <w:noProof/>
                <w:szCs w:val="21"/>
                <w:lang w:val="en-GB"/>
              </w:rPr>
            </w:pPr>
            <w:r w:rsidRPr="007A52F7">
              <w:rPr>
                <w:rFonts w:asciiTheme="minorHAnsi" w:hAnsiTheme="minorHAnsi" w:cs="Times New Roman"/>
                <w:noProof/>
                <w:szCs w:val="21"/>
              </w:rPr>
              <w:t>7.35</w:t>
            </w:r>
          </w:p>
        </w:tc>
        <w:tc>
          <w:tcPr>
            <w:tcW w:w="1962" w:type="dxa"/>
          </w:tcPr>
          <w:p w14:paraId="26E6730D" w14:textId="77777777" w:rsidR="007A52F7" w:rsidRPr="007A52F7" w:rsidRDefault="007A52F7" w:rsidP="007A52F7">
            <w:pPr>
              <w:spacing w:line="360" w:lineRule="auto"/>
              <w:ind w:left="720" w:hanging="720"/>
              <w:jc w:val="left"/>
              <w:rPr>
                <w:rFonts w:asciiTheme="minorHAnsi" w:hAnsiTheme="minorHAnsi" w:cs="Times New Roman"/>
                <w:noProof/>
                <w:szCs w:val="21"/>
                <w:lang w:val="en-GB"/>
              </w:rPr>
            </w:pPr>
            <w:r w:rsidRPr="007A52F7">
              <w:rPr>
                <w:rFonts w:asciiTheme="minorHAnsi" w:hAnsiTheme="minorHAnsi" w:cs="Times New Roman"/>
                <w:noProof/>
                <w:szCs w:val="21"/>
              </w:rPr>
              <w:t>4.8</w:t>
            </w:r>
          </w:p>
        </w:tc>
        <w:tc>
          <w:tcPr>
            <w:tcW w:w="2127" w:type="dxa"/>
          </w:tcPr>
          <w:p w14:paraId="71D89129" w14:textId="77777777" w:rsidR="007A52F7" w:rsidRPr="007A52F7" w:rsidRDefault="007A52F7" w:rsidP="007A52F7">
            <w:pPr>
              <w:spacing w:line="360" w:lineRule="auto"/>
              <w:ind w:left="720" w:hanging="720"/>
              <w:jc w:val="left"/>
              <w:rPr>
                <w:rFonts w:asciiTheme="minorHAnsi" w:hAnsiTheme="minorHAnsi" w:cs="Times New Roman"/>
                <w:noProof/>
                <w:szCs w:val="21"/>
                <w:lang w:val="en-GB"/>
              </w:rPr>
            </w:pPr>
            <w:r w:rsidRPr="007A52F7">
              <w:rPr>
                <w:rFonts w:asciiTheme="minorHAnsi" w:hAnsiTheme="minorHAnsi" w:cs="Times New Roman"/>
                <w:noProof/>
                <w:szCs w:val="21"/>
                <w:lang w:val="en-GB"/>
              </w:rPr>
              <w:t>8.82</w:t>
            </w:r>
          </w:p>
        </w:tc>
      </w:tr>
      <w:tr w:rsidR="007A52F7" w:rsidRPr="007A52F7" w14:paraId="56581B1A" w14:textId="77777777" w:rsidTr="007A52F7">
        <w:trPr>
          <w:trHeight w:val="290"/>
          <w:jc w:val="center"/>
        </w:trPr>
        <w:tc>
          <w:tcPr>
            <w:tcW w:w="1850" w:type="dxa"/>
          </w:tcPr>
          <w:p w14:paraId="3D747C96" w14:textId="77777777" w:rsidR="007A52F7" w:rsidRPr="007A52F7" w:rsidRDefault="007A52F7" w:rsidP="007A52F7">
            <w:pPr>
              <w:spacing w:line="360" w:lineRule="auto"/>
              <w:ind w:left="720" w:hanging="720"/>
              <w:jc w:val="left"/>
              <w:rPr>
                <w:rFonts w:asciiTheme="minorHAnsi" w:hAnsiTheme="minorHAnsi" w:cs="Times New Roman"/>
                <w:noProof/>
                <w:szCs w:val="21"/>
                <w:lang w:val="en-GB"/>
              </w:rPr>
            </w:pPr>
            <w:r w:rsidRPr="007A52F7">
              <w:rPr>
                <w:rFonts w:asciiTheme="minorHAnsi" w:hAnsiTheme="minorHAnsi" w:cs="Times New Roman"/>
                <w:noProof/>
                <w:szCs w:val="21"/>
                <w:lang w:val="en-GB"/>
              </w:rPr>
              <w:t>90</w:t>
            </w:r>
          </w:p>
        </w:tc>
        <w:tc>
          <w:tcPr>
            <w:tcW w:w="1850" w:type="dxa"/>
          </w:tcPr>
          <w:p w14:paraId="38DC56AB" w14:textId="77777777" w:rsidR="007A52F7" w:rsidRPr="007A52F7" w:rsidRDefault="007A52F7" w:rsidP="007A52F7">
            <w:pPr>
              <w:spacing w:line="360" w:lineRule="auto"/>
              <w:ind w:left="720" w:hanging="720"/>
              <w:jc w:val="left"/>
              <w:rPr>
                <w:rFonts w:asciiTheme="minorHAnsi" w:hAnsiTheme="minorHAnsi" w:cs="Times New Roman"/>
                <w:noProof/>
                <w:szCs w:val="21"/>
                <w:lang w:val="en-GB"/>
              </w:rPr>
            </w:pPr>
            <w:r w:rsidRPr="007A52F7">
              <w:rPr>
                <w:rFonts w:asciiTheme="minorHAnsi" w:hAnsiTheme="minorHAnsi" w:cs="Times New Roman"/>
                <w:noProof/>
                <w:szCs w:val="21"/>
              </w:rPr>
              <w:t>10.2</w:t>
            </w:r>
          </w:p>
        </w:tc>
        <w:tc>
          <w:tcPr>
            <w:tcW w:w="1962" w:type="dxa"/>
          </w:tcPr>
          <w:p w14:paraId="77F59F3B" w14:textId="77777777" w:rsidR="007A52F7" w:rsidRPr="007A52F7" w:rsidRDefault="007A52F7" w:rsidP="007A52F7">
            <w:pPr>
              <w:spacing w:line="360" w:lineRule="auto"/>
              <w:ind w:left="720" w:hanging="720"/>
              <w:jc w:val="left"/>
              <w:rPr>
                <w:rFonts w:asciiTheme="minorHAnsi" w:hAnsiTheme="minorHAnsi" w:cs="Times New Roman"/>
                <w:noProof/>
                <w:szCs w:val="21"/>
                <w:lang w:val="en-GB"/>
              </w:rPr>
            </w:pPr>
            <w:r w:rsidRPr="007A52F7">
              <w:rPr>
                <w:rFonts w:asciiTheme="minorHAnsi" w:hAnsiTheme="minorHAnsi" w:cs="Times New Roman"/>
                <w:noProof/>
                <w:szCs w:val="21"/>
              </w:rPr>
              <w:t>6.72</w:t>
            </w:r>
          </w:p>
        </w:tc>
        <w:tc>
          <w:tcPr>
            <w:tcW w:w="2127" w:type="dxa"/>
          </w:tcPr>
          <w:p w14:paraId="24EA94B8" w14:textId="77777777" w:rsidR="007A52F7" w:rsidRPr="007A52F7" w:rsidRDefault="007A52F7" w:rsidP="007A52F7">
            <w:pPr>
              <w:spacing w:line="360" w:lineRule="auto"/>
              <w:ind w:left="720" w:hanging="720"/>
              <w:jc w:val="left"/>
              <w:rPr>
                <w:rFonts w:asciiTheme="minorHAnsi" w:hAnsiTheme="minorHAnsi" w:cs="Times New Roman"/>
                <w:noProof/>
                <w:szCs w:val="21"/>
                <w:lang w:val="en-GB"/>
              </w:rPr>
            </w:pPr>
            <w:r w:rsidRPr="007A52F7">
              <w:rPr>
                <w:rFonts w:asciiTheme="minorHAnsi" w:hAnsiTheme="minorHAnsi" w:cs="Times New Roman"/>
                <w:noProof/>
                <w:szCs w:val="21"/>
                <w:lang w:val="en-GB"/>
              </w:rPr>
              <w:t>12.2</w:t>
            </w:r>
          </w:p>
        </w:tc>
      </w:tr>
    </w:tbl>
    <w:p w14:paraId="0D14A07F" w14:textId="77777777" w:rsidR="007A52F7" w:rsidRPr="007A52F7" w:rsidRDefault="007A52F7" w:rsidP="007A52F7">
      <w:pPr>
        <w:spacing w:line="360" w:lineRule="auto"/>
        <w:ind w:left="720" w:hanging="720"/>
        <w:jc w:val="left"/>
        <w:rPr>
          <w:rFonts w:asciiTheme="minorHAnsi" w:hAnsiTheme="minorHAnsi" w:cs="Times New Roman"/>
          <w:noProof/>
          <w:szCs w:val="21"/>
        </w:rPr>
      </w:pPr>
    </w:p>
    <w:p w14:paraId="6B5DD8C3" w14:textId="77777777" w:rsidR="007A52F7" w:rsidRPr="007A52F7" w:rsidRDefault="007A52F7" w:rsidP="007A52F7">
      <w:pPr>
        <w:spacing w:line="360" w:lineRule="auto"/>
        <w:ind w:left="720" w:hanging="720"/>
        <w:jc w:val="left"/>
        <w:rPr>
          <w:rFonts w:asciiTheme="minorHAnsi" w:hAnsiTheme="minorHAnsi" w:cs="Times New Roman"/>
          <w:b/>
          <w:noProof/>
          <w:szCs w:val="21"/>
        </w:rPr>
      </w:pPr>
    </w:p>
    <w:p w14:paraId="354DA3CA" w14:textId="54786B6D" w:rsidR="007A52F7" w:rsidRPr="00262F96" w:rsidRDefault="007A52F7" w:rsidP="0064234E">
      <w:pPr>
        <w:spacing w:line="360" w:lineRule="auto"/>
        <w:ind w:left="720" w:hanging="720"/>
        <w:jc w:val="left"/>
        <w:rPr>
          <w:rFonts w:asciiTheme="minorHAnsi" w:hAnsiTheme="minorHAnsi" w:cs="Times New Roman"/>
          <w:noProof/>
          <w:szCs w:val="21"/>
        </w:rPr>
      </w:pPr>
    </w:p>
    <w:sectPr w:rsidR="007A52F7" w:rsidRPr="00262F96" w:rsidSect="001274B9">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D2DA53" w14:textId="77777777" w:rsidR="007A52F7" w:rsidRDefault="007A52F7" w:rsidP="0072457C">
      <w:pPr>
        <w:spacing w:after="0" w:line="240" w:lineRule="auto"/>
      </w:pPr>
      <w:r>
        <w:separator/>
      </w:r>
    </w:p>
  </w:endnote>
  <w:endnote w:type="continuationSeparator" w:id="0">
    <w:p w14:paraId="20D70404" w14:textId="77777777" w:rsidR="007A52F7" w:rsidRDefault="007A52F7" w:rsidP="00724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dvTT50a2f13e.I">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dvTT3713a231+22">
    <w:altName w:val="MS Mincho"/>
    <w:panose1 w:val="00000000000000000000"/>
    <w:charset w:val="80"/>
    <w:family w:val="auto"/>
    <w:notTrueType/>
    <w:pitch w:val="default"/>
    <w:sig w:usb0="00000001" w:usb1="08070000" w:usb2="00000010" w:usb3="00000000" w:csb0="00020000" w:csb1="00000000"/>
  </w:font>
  <w:font w:name="SnmmggAdvPTimes">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B85E71" w14:textId="284FFDE9" w:rsidR="007A52F7" w:rsidRDefault="007A52F7">
    <w:pPr>
      <w:pStyle w:val="Footer"/>
      <w:jc w:val="right"/>
    </w:pPr>
    <w:r>
      <w:fldChar w:fldCharType="begin"/>
    </w:r>
    <w:r>
      <w:instrText xml:space="preserve"> PAGE   \* MERGEFORMAT </w:instrText>
    </w:r>
    <w:r>
      <w:fldChar w:fldCharType="separate"/>
    </w:r>
    <w:r w:rsidR="00A75A44">
      <w:rPr>
        <w:noProof/>
      </w:rPr>
      <w:t>1</w:t>
    </w:r>
    <w:r>
      <w:rPr>
        <w:noProof/>
      </w:rPr>
      <w:fldChar w:fldCharType="end"/>
    </w:r>
  </w:p>
  <w:p w14:paraId="45B85E72" w14:textId="77777777" w:rsidR="007A52F7" w:rsidRDefault="007A52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F324DC" w14:textId="77777777" w:rsidR="007A52F7" w:rsidRDefault="007A52F7" w:rsidP="0072457C">
      <w:pPr>
        <w:spacing w:after="0" w:line="240" w:lineRule="auto"/>
      </w:pPr>
      <w:r>
        <w:separator/>
      </w:r>
    </w:p>
  </w:footnote>
  <w:footnote w:type="continuationSeparator" w:id="0">
    <w:p w14:paraId="34708821" w14:textId="77777777" w:rsidR="007A52F7" w:rsidRDefault="007A52F7" w:rsidP="007245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67E4D"/>
    <w:multiLevelType w:val="hybridMultilevel"/>
    <w:tmpl w:val="65003F0E"/>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
    <w:nsid w:val="517C477A"/>
    <w:multiLevelType w:val="hybridMultilevel"/>
    <w:tmpl w:val="CC2C694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nsid w:val="7CDA0C53"/>
    <w:multiLevelType w:val="hybridMultilevel"/>
    <w:tmpl w:val="F8D0C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Brit Medical J&lt;/Style&gt;&lt;LeftDelim&gt;{&lt;/LeftDelim&gt;&lt;RightDelim&gt;}&lt;/RightDelim&gt;&lt;FontName&gt;AdvTT50a2f13e.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wx09d9szpxxvp1et0zkxdf2ixz5efdfww9xa&quot;&gt;Fracture&lt;record-ids&gt;&lt;item&gt;2&lt;/item&gt;&lt;item&gt;7&lt;/item&gt;&lt;item&gt;15&lt;/item&gt;&lt;item&gt;21&lt;/item&gt;&lt;item&gt;28&lt;/item&gt;&lt;item&gt;39&lt;/item&gt;&lt;item&gt;45&lt;/item&gt;&lt;item&gt;53&lt;/item&gt;&lt;item&gt;58&lt;/item&gt;&lt;item&gt;139&lt;/item&gt;&lt;item&gt;525&lt;/item&gt;&lt;item&gt;531&lt;/item&gt;&lt;item&gt;553&lt;/item&gt;&lt;item&gt;618&lt;/item&gt;&lt;item&gt;632&lt;/item&gt;&lt;item&gt;647&lt;/item&gt;&lt;item&gt;699&lt;/item&gt;&lt;item&gt;700&lt;/item&gt;&lt;item&gt;704&lt;/item&gt;&lt;/record-ids&gt;&lt;/item&gt;&lt;/Libraries&gt;"/>
  </w:docVars>
  <w:rsids>
    <w:rsidRoot w:val="004379B6"/>
    <w:rsid w:val="00000A2D"/>
    <w:rsid w:val="00002F15"/>
    <w:rsid w:val="000032C4"/>
    <w:rsid w:val="000060C1"/>
    <w:rsid w:val="00006210"/>
    <w:rsid w:val="00007362"/>
    <w:rsid w:val="000113C5"/>
    <w:rsid w:val="00011E88"/>
    <w:rsid w:val="000157C6"/>
    <w:rsid w:val="0002143D"/>
    <w:rsid w:val="00025BF4"/>
    <w:rsid w:val="00026BA3"/>
    <w:rsid w:val="00036121"/>
    <w:rsid w:val="00036F52"/>
    <w:rsid w:val="00042031"/>
    <w:rsid w:val="000455BD"/>
    <w:rsid w:val="00053394"/>
    <w:rsid w:val="0005794A"/>
    <w:rsid w:val="00060592"/>
    <w:rsid w:val="00060A0E"/>
    <w:rsid w:val="0006220C"/>
    <w:rsid w:val="00074B9A"/>
    <w:rsid w:val="00076E6D"/>
    <w:rsid w:val="00077382"/>
    <w:rsid w:val="00077E59"/>
    <w:rsid w:val="000835B5"/>
    <w:rsid w:val="0008433D"/>
    <w:rsid w:val="0008466F"/>
    <w:rsid w:val="00091DBA"/>
    <w:rsid w:val="00091EA8"/>
    <w:rsid w:val="0009288C"/>
    <w:rsid w:val="000A744E"/>
    <w:rsid w:val="000A7D91"/>
    <w:rsid w:val="000B35E5"/>
    <w:rsid w:val="000C1BEC"/>
    <w:rsid w:val="000C2377"/>
    <w:rsid w:val="000C26F9"/>
    <w:rsid w:val="000C7253"/>
    <w:rsid w:val="000D076A"/>
    <w:rsid w:val="000D260C"/>
    <w:rsid w:val="000D4365"/>
    <w:rsid w:val="000D4DCD"/>
    <w:rsid w:val="000E11DF"/>
    <w:rsid w:val="000F1C22"/>
    <w:rsid w:val="000F4BE7"/>
    <w:rsid w:val="00104BF9"/>
    <w:rsid w:val="00105A02"/>
    <w:rsid w:val="00112D45"/>
    <w:rsid w:val="001151C4"/>
    <w:rsid w:val="00115CD1"/>
    <w:rsid w:val="001268AD"/>
    <w:rsid w:val="0012746C"/>
    <w:rsid w:val="001274B9"/>
    <w:rsid w:val="00130A9E"/>
    <w:rsid w:val="00131969"/>
    <w:rsid w:val="00132A65"/>
    <w:rsid w:val="00134FED"/>
    <w:rsid w:val="001406BF"/>
    <w:rsid w:val="00176FFE"/>
    <w:rsid w:val="001872DB"/>
    <w:rsid w:val="0019050D"/>
    <w:rsid w:val="00192302"/>
    <w:rsid w:val="00197B0D"/>
    <w:rsid w:val="001A12AD"/>
    <w:rsid w:val="001A26CF"/>
    <w:rsid w:val="001A3E83"/>
    <w:rsid w:val="001A733F"/>
    <w:rsid w:val="001B2299"/>
    <w:rsid w:val="001B2311"/>
    <w:rsid w:val="001C14AD"/>
    <w:rsid w:val="001D3108"/>
    <w:rsid w:val="001E0F18"/>
    <w:rsid w:val="001E1F2B"/>
    <w:rsid w:val="001E278E"/>
    <w:rsid w:val="001E44A9"/>
    <w:rsid w:val="001E6464"/>
    <w:rsid w:val="001E74A9"/>
    <w:rsid w:val="001E7B12"/>
    <w:rsid w:val="001F1702"/>
    <w:rsid w:val="001F2A88"/>
    <w:rsid w:val="001F69AC"/>
    <w:rsid w:val="00205B09"/>
    <w:rsid w:val="00207BAD"/>
    <w:rsid w:val="00211AC2"/>
    <w:rsid w:val="00213DD3"/>
    <w:rsid w:val="002155F3"/>
    <w:rsid w:val="00215B8A"/>
    <w:rsid w:val="002218CD"/>
    <w:rsid w:val="00222319"/>
    <w:rsid w:val="002223EF"/>
    <w:rsid w:val="00226DBE"/>
    <w:rsid w:val="00232E6E"/>
    <w:rsid w:val="00235063"/>
    <w:rsid w:val="002361F8"/>
    <w:rsid w:val="002371A7"/>
    <w:rsid w:val="002403E2"/>
    <w:rsid w:val="00241B8D"/>
    <w:rsid w:val="00245BF6"/>
    <w:rsid w:val="00247802"/>
    <w:rsid w:val="00256980"/>
    <w:rsid w:val="002600F3"/>
    <w:rsid w:val="00261F73"/>
    <w:rsid w:val="00262F96"/>
    <w:rsid w:val="00273970"/>
    <w:rsid w:val="002760CE"/>
    <w:rsid w:val="002760EE"/>
    <w:rsid w:val="0028564A"/>
    <w:rsid w:val="00286031"/>
    <w:rsid w:val="002943D1"/>
    <w:rsid w:val="002B2BE5"/>
    <w:rsid w:val="002B44EF"/>
    <w:rsid w:val="002C0025"/>
    <w:rsid w:val="002C2562"/>
    <w:rsid w:val="002C6CC4"/>
    <w:rsid w:val="002C7B62"/>
    <w:rsid w:val="002D26A9"/>
    <w:rsid w:val="002E2EE9"/>
    <w:rsid w:val="002E6D4F"/>
    <w:rsid w:val="002F00CC"/>
    <w:rsid w:val="002F1029"/>
    <w:rsid w:val="002F3591"/>
    <w:rsid w:val="002F60D7"/>
    <w:rsid w:val="00305FC0"/>
    <w:rsid w:val="00311899"/>
    <w:rsid w:val="00311EC7"/>
    <w:rsid w:val="00313A91"/>
    <w:rsid w:val="003150B2"/>
    <w:rsid w:val="00315A24"/>
    <w:rsid w:val="0031666C"/>
    <w:rsid w:val="003249EE"/>
    <w:rsid w:val="00324E92"/>
    <w:rsid w:val="00327546"/>
    <w:rsid w:val="0033125B"/>
    <w:rsid w:val="00331C38"/>
    <w:rsid w:val="00335489"/>
    <w:rsid w:val="00336FE0"/>
    <w:rsid w:val="003412F7"/>
    <w:rsid w:val="00341889"/>
    <w:rsid w:val="003432AD"/>
    <w:rsid w:val="0034604F"/>
    <w:rsid w:val="00350404"/>
    <w:rsid w:val="00351161"/>
    <w:rsid w:val="0035134D"/>
    <w:rsid w:val="0035654D"/>
    <w:rsid w:val="00361B56"/>
    <w:rsid w:val="00362F45"/>
    <w:rsid w:val="00363A63"/>
    <w:rsid w:val="003642BA"/>
    <w:rsid w:val="00370786"/>
    <w:rsid w:val="0037706E"/>
    <w:rsid w:val="00377F8F"/>
    <w:rsid w:val="00380099"/>
    <w:rsid w:val="00383A64"/>
    <w:rsid w:val="003847FF"/>
    <w:rsid w:val="003866E4"/>
    <w:rsid w:val="0039008C"/>
    <w:rsid w:val="00392AD5"/>
    <w:rsid w:val="00395C29"/>
    <w:rsid w:val="003A0264"/>
    <w:rsid w:val="003A0787"/>
    <w:rsid w:val="003A15B2"/>
    <w:rsid w:val="003A1844"/>
    <w:rsid w:val="003A218E"/>
    <w:rsid w:val="003A528E"/>
    <w:rsid w:val="003A6729"/>
    <w:rsid w:val="003A7FAA"/>
    <w:rsid w:val="003B04ED"/>
    <w:rsid w:val="003B3CD7"/>
    <w:rsid w:val="003B73B9"/>
    <w:rsid w:val="003C17A6"/>
    <w:rsid w:val="003C4F05"/>
    <w:rsid w:val="003C55C3"/>
    <w:rsid w:val="003C635E"/>
    <w:rsid w:val="003D683B"/>
    <w:rsid w:val="003D6A5E"/>
    <w:rsid w:val="003E0AD2"/>
    <w:rsid w:val="003F0E6C"/>
    <w:rsid w:val="003F3DCA"/>
    <w:rsid w:val="003F512D"/>
    <w:rsid w:val="003F65C6"/>
    <w:rsid w:val="003F77C6"/>
    <w:rsid w:val="00401352"/>
    <w:rsid w:val="004040A1"/>
    <w:rsid w:val="004061DD"/>
    <w:rsid w:val="00407ACD"/>
    <w:rsid w:val="00412D04"/>
    <w:rsid w:val="0041378B"/>
    <w:rsid w:val="004175BA"/>
    <w:rsid w:val="00421EDB"/>
    <w:rsid w:val="00427CC5"/>
    <w:rsid w:val="00434DC7"/>
    <w:rsid w:val="004379B6"/>
    <w:rsid w:val="00443C36"/>
    <w:rsid w:val="004444B1"/>
    <w:rsid w:val="00445857"/>
    <w:rsid w:val="0044727E"/>
    <w:rsid w:val="004546C3"/>
    <w:rsid w:val="004546DF"/>
    <w:rsid w:val="00456926"/>
    <w:rsid w:val="00463BE3"/>
    <w:rsid w:val="0047291F"/>
    <w:rsid w:val="00475651"/>
    <w:rsid w:val="0048270F"/>
    <w:rsid w:val="00484581"/>
    <w:rsid w:val="00487D01"/>
    <w:rsid w:val="00491EFE"/>
    <w:rsid w:val="00493CC4"/>
    <w:rsid w:val="004968EF"/>
    <w:rsid w:val="0049716F"/>
    <w:rsid w:val="004A1057"/>
    <w:rsid w:val="004A2DCE"/>
    <w:rsid w:val="004B2F9C"/>
    <w:rsid w:val="004C2612"/>
    <w:rsid w:val="004D096B"/>
    <w:rsid w:val="004D0A46"/>
    <w:rsid w:val="004D4331"/>
    <w:rsid w:val="004E1A85"/>
    <w:rsid w:val="004E6D3F"/>
    <w:rsid w:val="004F061D"/>
    <w:rsid w:val="004F7A6B"/>
    <w:rsid w:val="005020D3"/>
    <w:rsid w:val="0050655F"/>
    <w:rsid w:val="00512A45"/>
    <w:rsid w:val="00512BCC"/>
    <w:rsid w:val="005252AC"/>
    <w:rsid w:val="00525A75"/>
    <w:rsid w:val="005265E5"/>
    <w:rsid w:val="00536676"/>
    <w:rsid w:val="00536712"/>
    <w:rsid w:val="00536FE8"/>
    <w:rsid w:val="00540F12"/>
    <w:rsid w:val="005462D1"/>
    <w:rsid w:val="00547695"/>
    <w:rsid w:val="00555B05"/>
    <w:rsid w:val="00556E18"/>
    <w:rsid w:val="00560464"/>
    <w:rsid w:val="005623EA"/>
    <w:rsid w:val="005655B8"/>
    <w:rsid w:val="005656DF"/>
    <w:rsid w:val="00567B1B"/>
    <w:rsid w:val="005708D8"/>
    <w:rsid w:val="005730C9"/>
    <w:rsid w:val="0057555C"/>
    <w:rsid w:val="00575CBC"/>
    <w:rsid w:val="00576FB4"/>
    <w:rsid w:val="00577A17"/>
    <w:rsid w:val="00580226"/>
    <w:rsid w:val="00592FB4"/>
    <w:rsid w:val="00593471"/>
    <w:rsid w:val="005972B2"/>
    <w:rsid w:val="005976BB"/>
    <w:rsid w:val="005A495F"/>
    <w:rsid w:val="005B2A04"/>
    <w:rsid w:val="005B5450"/>
    <w:rsid w:val="005B601E"/>
    <w:rsid w:val="005C2382"/>
    <w:rsid w:val="005C35D6"/>
    <w:rsid w:val="005C67B2"/>
    <w:rsid w:val="005D3212"/>
    <w:rsid w:val="005D572D"/>
    <w:rsid w:val="005D76E3"/>
    <w:rsid w:val="005E4808"/>
    <w:rsid w:val="005F10C8"/>
    <w:rsid w:val="005F534E"/>
    <w:rsid w:val="005F5779"/>
    <w:rsid w:val="0060199E"/>
    <w:rsid w:val="006042AA"/>
    <w:rsid w:val="00614FED"/>
    <w:rsid w:val="00615428"/>
    <w:rsid w:val="006169DD"/>
    <w:rsid w:val="00624C1F"/>
    <w:rsid w:val="006337C2"/>
    <w:rsid w:val="00634A56"/>
    <w:rsid w:val="0063506A"/>
    <w:rsid w:val="00635698"/>
    <w:rsid w:val="006421B1"/>
    <w:rsid w:val="0064234E"/>
    <w:rsid w:val="006427D1"/>
    <w:rsid w:val="006440B4"/>
    <w:rsid w:val="00644407"/>
    <w:rsid w:val="006469C4"/>
    <w:rsid w:val="0065011C"/>
    <w:rsid w:val="00651217"/>
    <w:rsid w:val="00654953"/>
    <w:rsid w:val="00654E3C"/>
    <w:rsid w:val="006556E4"/>
    <w:rsid w:val="00657A92"/>
    <w:rsid w:val="00660F1C"/>
    <w:rsid w:val="0067304E"/>
    <w:rsid w:val="00675DF7"/>
    <w:rsid w:val="006842B5"/>
    <w:rsid w:val="00684A3D"/>
    <w:rsid w:val="006857EF"/>
    <w:rsid w:val="006920F4"/>
    <w:rsid w:val="00693D3C"/>
    <w:rsid w:val="006B520D"/>
    <w:rsid w:val="006B7928"/>
    <w:rsid w:val="006B7E17"/>
    <w:rsid w:val="006C322F"/>
    <w:rsid w:val="006D4BF7"/>
    <w:rsid w:val="006D5B62"/>
    <w:rsid w:val="006D5D81"/>
    <w:rsid w:val="006D7AC5"/>
    <w:rsid w:val="006E233F"/>
    <w:rsid w:val="006E262C"/>
    <w:rsid w:val="006E2784"/>
    <w:rsid w:val="006F48A4"/>
    <w:rsid w:val="006F4CA5"/>
    <w:rsid w:val="006F7281"/>
    <w:rsid w:val="0070232C"/>
    <w:rsid w:val="00705241"/>
    <w:rsid w:val="007056DC"/>
    <w:rsid w:val="00706079"/>
    <w:rsid w:val="00712C1E"/>
    <w:rsid w:val="007179A7"/>
    <w:rsid w:val="00717AF4"/>
    <w:rsid w:val="0072457C"/>
    <w:rsid w:val="00724CEE"/>
    <w:rsid w:val="00727751"/>
    <w:rsid w:val="0073663B"/>
    <w:rsid w:val="00736B97"/>
    <w:rsid w:val="00737DD1"/>
    <w:rsid w:val="00741857"/>
    <w:rsid w:val="00742A87"/>
    <w:rsid w:val="00750450"/>
    <w:rsid w:val="007539D8"/>
    <w:rsid w:val="00757C27"/>
    <w:rsid w:val="00770D33"/>
    <w:rsid w:val="00775A71"/>
    <w:rsid w:val="0077622F"/>
    <w:rsid w:val="00777BEB"/>
    <w:rsid w:val="00781E98"/>
    <w:rsid w:val="00782948"/>
    <w:rsid w:val="00785DF4"/>
    <w:rsid w:val="00787A52"/>
    <w:rsid w:val="00787F76"/>
    <w:rsid w:val="00790538"/>
    <w:rsid w:val="00792A70"/>
    <w:rsid w:val="00796019"/>
    <w:rsid w:val="00796F5F"/>
    <w:rsid w:val="00797F8F"/>
    <w:rsid w:val="007A52F7"/>
    <w:rsid w:val="007B447F"/>
    <w:rsid w:val="007D148A"/>
    <w:rsid w:val="007D2A4B"/>
    <w:rsid w:val="007D3647"/>
    <w:rsid w:val="007D3C9F"/>
    <w:rsid w:val="007D49E2"/>
    <w:rsid w:val="007E00A1"/>
    <w:rsid w:val="007E46C9"/>
    <w:rsid w:val="007E4A51"/>
    <w:rsid w:val="007E5D3E"/>
    <w:rsid w:val="007E7392"/>
    <w:rsid w:val="007F05A8"/>
    <w:rsid w:val="007F099B"/>
    <w:rsid w:val="007F5F12"/>
    <w:rsid w:val="00801558"/>
    <w:rsid w:val="00805E9E"/>
    <w:rsid w:val="00806278"/>
    <w:rsid w:val="008146F2"/>
    <w:rsid w:val="00814776"/>
    <w:rsid w:val="008162A1"/>
    <w:rsid w:val="00816E6E"/>
    <w:rsid w:val="00822ECE"/>
    <w:rsid w:val="00823944"/>
    <w:rsid w:val="00823CD1"/>
    <w:rsid w:val="00830AE8"/>
    <w:rsid w:val="00845BB1"/>
    <w:rsid w:val="00845C82"/>
    <w:rsid w:val="008513CC"/>
    <w:rsid w:val="00852C73"/>
    <w:rsid w:val="008530AE"/>
    <w:rsid w:val="008542D9"/>
    <w:rsid w:val="00857BC5"/>
    <w:rsid w:val="008619E2"/>
    <w:rsid w:val="008659B5"/>
    <w:rsid w:val="008660B3"/>
    <w:rsid w:val="008811D8"/>
    <w:rsid w:val="00886C8E"/>
    <w:rsid w:val="008900A9"/>
    <w:rsid w:val="00895E80"/>
    <w:rsid w:val="00896C4E"/>
    <w:rsid w:val="008B032F"/>
    <w:rsid w:val="008B0B5A"/>
    <w:rsid w:val="008C404D"/>
    <w:rsid w:val="008C4693"/>
    <w:rsid w:val="008C4D3E"/>
    <w:rsid w:val="008D6B0D"/>
    <w:rsid w:val="008D6BF1"/>
    <w:rsid w:val="008D7F64"/>
    <w:rsid w:val="008E08C8"/>
    <w:rsid w:val="008E0F4A"/>
    <w:rsid w:val="008E147E"/>
    <w:rsid w:val="008E6422"/>
    <w:rsid w:val="008F028B"/>
    <w:rsid w:val="00902BB7"/>
    <w:rsid w:val="009031E2"/>
    <w:rsid w:val="0090408F"/>
    <w:rsid w:val="009126D5"/>
    <w:rsid w:val="00915A3B"/>
    <w:rsid w:val="00916A7A"/>
    <w:rsid w:val="009208A1"/>
    <w:rsid w:val="00923B04"/>
    <w:rsid w:val="00923BA8"/>
    <w:rsid w:val="009302DE"/>
    <w:rsid w:val="00931B4A"/>
    <w:rsid w:val="009340FE"/>
    <w:rsid w:val="00937E6A"/>
    <w:rsid w:val="00946923"/>
    <w:rsid w:val="009477FD"/>
    <w:rsid w:val="0095449A"/>
    <w:rsid w:val="00956AB1"/>
    <w:rsid w:val="00957D7B"/>
    <w:rsid w:val="00962E8D"/>
    <w:rsid w:val="009649A3"/>
    <w:rsid w:val="00971FE2"/>
    <w:rsid w:val="00972030"/>
    <w:rsid w:val="009739E6"/>
    <w:rsid w:val="00973B72"/>
    <w:rsid w:val="00976BFC"/>
    <w:rsid w:val="009779FB"/>
    <w:rsid w:val="00987285"/>
    <w:rsid w:val="00987976"/>
    <w:rsid w:val="0099108A"/>
    <w:rsid w:val="0099181A"/>
    <w:rsid w:val="0099358A"/>
    <w:rsid w:val="00997976"/>
    <w:rsid w:val="009A0E1D"/>
    <w:rsid w:val="009A23CD"/>
    <w:rsid w:val="009A4AD0"/>
    <w:rsid w:val="009B053C"/>
    <w:rsid w:val="009B08F5"/>
    <w:rsid w:val="009B1AE5"/>
    <w:rsid w:val="009B6505"/>
    <w:rsid w:val="009B7AA3"/>
    <w:rsid w:val="009C6B24"/>
    <w:rsid w:val="009D0001"/>
    <w:rsid w:val="009D0A27"/>
    <w:rsid w:val="009D3261"/>
    <w:rsid w:val="009D5DB5"/>
    <w:rsid w:val="009D7F85"/>
    <w:rsid w:val="009E0FE8"/>
    <w:rsid w:val="009E6625"/>
    <w:rsid w:val="00A01C80"/>
    <w:rsid w:val="00A02E92"/>
    <w:rsid w:val="00A03390"/>
    <w:rsid w:val="00A07D9B"/>
    <w:rsid w:val="00A11EBC"/>
    <w:rsid w:val="00A21457"/>
    <w:rsid w:val="00A21E9A"/>
    <w:rsid w:val="00A21FA8"/>
    <w:rsid w:val="00A22105"/>
    <w:rsid w:val="00A25456"/>
    <w:rsid w:val="00A26637"/>
    <w:rsid w:val="00A27B59"/>
    <w:rsid w:val="00A30EC3"/>
    <w:rsid w:val="00A31752"/>
    <w:rsid w:val="00A34600"/>
    <w:rsid w:val="00A3604A"/>
    <w:rsid w:val="00A41D0F"/>
    <w:rsid w:val="00A51051"/>
    <w:rsid w:val="00A529FB"/>
    <w:rsid w:val="00A54B90"/>
    <w:rsid w:val="00A55BFD"/>
    <w:rsid w:val="00A57698"/>
    <w:rsid w:val="00A60101"/>
    <w:rsid w:val="00A6237B"/>
    <w:rsid w:val="00A723E0"/>
    <w:rsid w:val="00A72639"/>
    <w:rsid w:val="00A72EB0"/>
    <w:rsid w:val="00A73CF1"/>
    <w:rsid w:val="00A75A44"/>
    <w:rsid w:val="00A82931"/>
    <w:rsid w:val="00A8302D"/>
    <w:rsid w:val="00A831C1"/>
    <w:rsid w:val="00A8338D"/>
    <w:rsid w:val="00A84457"/>
    <w:rsid w:val="00A851F0"/>
    <w:rsid w:val="00A859C7"/>
    <w:rsid w:val="00A86CF3"/>
    <w:rsid w:val="00AA5D5D"/>
    <w:rsid w:val="00AA7DE3"/>
    <w:rsid w:val="00AB2150"/>
    <w:rsid w:val="00AB2269"/>
    <w:rsid w:val="00AB5A1C"/>
    <w:rsid w:val="00AB7324"/>
    <w:rsid w:val="00AC1101"/>
    <w:rsid w:val="00AC3521"/>
    <w:rsid w:val="00AC37CC"/>
    <w:rsid w:val="00AC79FB"/>
    <w:rsid w:val="00AD22FC"/>
    <w:rsid w:val="00AD3AE8"/>
    <w:rsid w:val="00AE020F"/>
    <w:rsid w:val="00AE244B"/>
    <w:rsid w:val="00AE66E1"/>
    <w:rsid w:val="00AE706F"/>
    <w:rsid w:val="00AE79D7"/>
    <w:rsid w:val="00AF0680"/>
    <w:rsid w:val="00AF33B0"/>
    <w:rsid w:val="00AF66F3"/>
    <w:rsid w:val="00AF6DB3"/>
    <w:rsid w:val="00B005D9"/>
    <w:rsid w:val="00B06C82"/>
    <w:rsid w:val="00B1021A"/>
    <w:rsid w:val="00B21300"/>
    <w:rsid w:val="00B22204"/>
    <w:rsid w:val="00B244F0"/>
    <w:rsid w:val="00B271B7"/>
    <w:rsid w:val="00B37103"/>
    <w:rsid w:val="00B37533"/>
    <w:rsid w:val="00B378C5"/>
    <w:rsid w:val="00B41748"/>
    <w:rsid w:val="00B4421F"/>
    <w:rsid w:val="00B50A1A"/>
    <w:rsid w:val="00B536AC"/>
    <w:rsid w:val="00B53859"/>
    <w:rsid w:val="00B541C9"/>
    <w:rsid w:val="00B650EC"/>
    <w:rsid w:val="00B6538F"/>
    <w:rsid w:val="00B7046C"/>
    <w:rsid w:val="00B727A5"/>
    <w:rsid w:val="00B72F42"/>
    <w:rsid w:val="00B73533"/>
    <w:rsid w:val="00B81D35"/>
    <w:rsid w:val="00B84007"/>
    <w:rsid w:val="00B843F8"/>
    <w:rsid w:val="00B86E35"/>
    <w:rsid w:val="00B87E2F"/>
    <w:rsid w:val="00B922E8"/>
    <w:rsid w:val="00B95D6C"/>
    <w:rsid w:val="00BA0DAD"/>
    <w:rsid w:val="00BA1473"/>
    <w:rsid w:val="00BA2EF6"/>
    <w:rsid w:val="00BA6382"/>
    <w:rsid w:val="00BA68F1"/>
    <w:rsid w:val="00BA6B27"/>
    <w:rsid w:val="00BB38A6"/>
    <w:rsid w:val="00BB3C96"/>
    <w:rsid w:val="00BB7665"/>
    <w:rsid w:val="00BC063B"/>
    <w:rsid w:val="00BC32BD"/>
    <w:rsid w:val="00BD799D"/>
    <w:rsid w:val="00BE1B39"/>
    <w:rsid w:val="00BE228D"/>
    <w:rsid w:val="00BE3234"/>
    <w:rsid w:val="00BF4B2F"/>
    <w:rsid w:val="00BF5760"/>
    <w:rsid w:val="00C0048B"/>
    <w:rsid w:val="00C02E68"/>
    <w:rsid w:val="00C0580C"/>
    <w:rsid w:val="00C07854"/>
    <w:rsid w:val="00C10C6C"/>
    <w:rsid w:val="00C1257D"/>
    <w:rsid w:val="00C1379C"/>
    <w:rsid w:val="00C17790"/>
    <w:rsid w:val="00C23177"/>
    <w:rsid w:val="00C26668"/>
    <w:rsid w:val="00C3440D"/>
    <w:rsid w:val="00C37B64"/>
    <w:rsid w:val="00C426A9"/>
    <w:rsid w:val="00C43733"/>
    <w:rsid w:val="00C51201"/>
    <w:rsid w:val="00C55FD9"/>
    <w:rsid w:val="00C56CB0"/>
    <w:rsid w:val="00C578B8"/>
    <w:rsid w:val="00C62EF2"/>
    <w:rsid w:val="00C65E11"/>
    <w:rsid w:val="00C679C1"/>
    <w:rsid w:val="00C71B17"/>
    <w:rsid w:val="00C74947"/>
    <w:rsid w:val="00C76442"/>
    <w:rsid w:val="00C77026"/>
    <w:rsid w:val="00C80E91"/>
    <w:rsid w:val="00C835D5"/>
    <w:rsid w:val="00C93387"/>
    <w:rsid w:val="00C9482D"/>
    <w:rsid w:val="00C95B6F"/>
    <w:rsid w:val="00C96C79"/>
    <w:rsid w:val="00CA3425"/>
    <w:rsid w:val="00CA4932"/>
    <w:rsid w:val="00CA4AA2"/>
    <w:rsid w:val="00CA5051"/>
    <w:rsid w:val="00CB05B5"/>
    <w:rsid w:val="00CB1EDC"/>
    <w:rsid w:val="00CB462C"/>
    <w:rsid w:val="00CB79E9"/>
    <w:rsid w:val="00CC0096"/>
    <w:rsid w:val="00CC7F39"/>
    <w:rsid w:val="00CD0595"/>
    <w:rsid w:val="00CD5D3C"/>
    <w:rsid w:val="00CD5F47"/>
    <w:rsid w:val="00CD7D2B"/>
    <w:rsid w:val="00CE229D"/>
    <w:rsid w:val="00CE2C50"/>
    <w:rsid w:val="00CE63B7"/>
    <w:rsid w:val="00CE7FFD"/>
    <w:rsid w:val="00CF0456"/>
    <w:rsid w:val="00CF0A13"/>
    <w:rsid w:val="00CF5490"/>
    <w:rsid w:val="00D0317F"/>
    <w:rsid w:val="00D13E9C"/>
    <w:rsid w:val="00D14EF8"/>
    <w:rsid w:val="00D167FA"/>
    <w:rsid w:val="00D230D9"/>
    <w:rsid w:val="00D31272"/>
    <w:rsid w:val="00D365B6"/>
    <w:rsid w:val="00D41D58"/>
    <w:rsid w:val="00D513F1"/>
    <w:rsid w:val="00D52D9E"/>
    <w:rsid w:val="00D60236"/>
    <w:rsid w:val="00D6086F"/>
    <w:rsid w:val="00D62BE5"/>
    <w:rsid w:val="00D62D64"/>
    <w:rsid w:val="00D648D7"/>
    <w:rsid w:val="00D64E41"/>
    <w:rsid w:val="00D658DC"/>
    <w:rsid w:val="00D67124"/>
    <w:rsid w:val="00D70BCA"/>
    <w:rsid w:val="00D713E7"/>
    <w:rsid w:val="00D7276F"/>
    <w:rsid w:val="00D82B99"/>
    <w:rsid w:val="00D91267"/>
    <w:rsid w:val="00D91657"/>
    <w:rsid w:val="00D92CC8"/>
    <w:rsid w:val="00D957B5"/>
    <w:rsid w:val="00DA19CE"/>
    <w:rsid w:val="00DB086C"/>
    <w:rsid w:val="00DB7CAA"/>
    <w:rsid w:val="00DB7D17"/>
    <w:rsid w:val="00DC0C64"/>
    <w:rsid w:val="00DC1E9A"/>
    <w:rsid w:val="00DC21CF"/>
    <w:rsid w:val="00DC4350"/>
    <w:rsid w:val="00DD59C1"/>
    <w:rsid w:val="00DD5FDA"/>
    <w:rsid w:val="00DE0D72"/>
    <w:rsid w:val="00DF030D"/>
    <w:rsid w:val="00DF51DD"/>
    <w:rsid w:val="00E01486"/>
    <w:rsid w:val="00E039A2"/>
    <w:rsid w:val="00E062CE"/>
    <w:rsid w:val="00E167EF"/>
    <w:rsid w:val="00E26B3B"/>
    <w:rsid w:val="00E342DB"/>
    <w:rsid w:val="00E364D9"/>
    <w:rsid w:val="00E463BF"/>
    <w:rsid w:val="00E5037D"/>
    <w:rsid w:val="00E508ED"/>
    <w:rsid w:val="00E52023"/>
    <w:rsid w:val="00E52CDC"/>
    <w:rsid w:val="00E6056B"/>
    <w:rsid w:val="00E6343C"/>
    <w:rsid w:val="00E64296"/>
    <w:rsid w:val="00E76F70"/>
    <w:rsid w:val="00E82BC9"/>
    <w:rsid w:val="00E846D5"/>
    <w:rsid w:val="00E94FDE"/>
    <w:rsid w:val="00E95EAC"/>
    <w:rsid w:val="00EA2ADA"/>
    <w:rsid w:val="00EB1B56"/>
    <w:rsid w:val="00EB2128"/>
    <w:rsid w:val="00EB6C42"/>
    <w:rsid w:val="00EC31E6"/>
    <w:rsid w:val="00EC48BD"/>
    <w:rsid w:val="00EC6D86"/>
    <w:rsid w:val="00ED492E"/>
    <w:rsid w:val="00ED587A"/>
    <w:rsid w:val="00ED6302"/>
    <w:rsid w:val="00EE6D9D"/>
    <w:rsid w:val="00EF1A1F"/>
    <w:rsid w:val="00EF39E7"/>
    <w:rsid w:val="00EF7622"/>
    <w:rsid w:val="00F01734"/>
    <w:rsid w:val="00F077CF"/>
    <w:rsid w:val="00F20C46"/>
    <w:rsid w:val="00F225E9"/>
    <w:rsid w:val="00F23797"/>
    <w:rsid w:val="00F248BE"/>
    <w:rsid w:val="00F3193A"/>
    <w:rsid w:val="00F31C80"/>
    <w:rsid w:val="00F3275A"/>
    <w:rsid w:val="00F329AA"/>
    <w:rsid w:val="00F500FC"/>
    <w:rsid w:val="00F616F9"/>
    <w:rsid w:val="00F6580C"/>
    <w:rsid w:val="00F70F4C"/>
    <w:rsid w:val="00F716B2"/>
    <w:rsid w:val="00F72733"/>
    <w:rsid w:val="00F758DB"/>
    <w:rsid w:val="00F75FE2"/>
    <w:rsid w:val="00F813FF"/>
    <w:rsid w:val="00F941D8"/>
    <w:rsid w:val="00F96F7A"/>
    <w:rsid w:val="00FB4F24"/>
    <w:rsid w:val="00FC3C0E"/>
    <w:rsid w:val="00FC3F4D"/>
    <w:rsid w:val="00FC6E03"/>
    <w:rsid w:val="00FD7067"/>
    <w:rsid w:val="00FE1735"/>
    <w:rsid w:val="00FE5E26"/>
    <w:rsid w:val="00FE7ECB"/>
    <w:rsid w:val="00FF03FB"/>
    <w:rsid w:val="00FF2246"/>
    <w:rsid w:val="00FF4CDE"/>
    <w:rsid w:val="00FF59D1"/>
    <w:rsid w:val="00FF625C"/>
    <w:rsid w:val="00FF7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B85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B3B"/>
    <w:pPr>
      <w:autoSpaceDE w:val="0"/>
      <w:autoSpaceDN w:val="0"/>
      <w:adjustRightInd w:val="0"/>
      <w:spacing w:after="240" w:line="276" w:lineRule="auto"/>
      <w:jc w:val="both"/>
    </w:pPr>
    <w:rPr>
      <w:rFonts w:ascii="AdvTT50a2f13e.I" w:hAnsi="AdvTT50a2f13e.I" w:cs="AdvTT50a2f13e.I"/>
      <w:color w:val="13141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536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536AC"/>
    <w:rPr>
      <w:rFonts w:ascii="Tahoma" w:hAnsi="Tahoma" w:cs="Tahoma"/>
      <w:color w:val="131413"/>
      <w:sz w:val="16"/>
      <w:szCs w:val="16"/>
    </w:rPr>
  </w:style>
  <w:style w:type="character" w:styleId="Hyperlink">
    <w:name w:val="Hyperlink"/>
    <w:basedOn w:val="DefaultParagraphFont"/>
    <w:uiPriority w:val="99"/>
    <w:rsid w:val="006F7281"/>
    <w:rPr>
      <w:rFonts w:cs="Times New Roman"/>
      <w:color w:val="0000FF"/>
      <w:u w:val="single"/>
    </w:rPr>
  </w:style>
  <w:style w:type="character" w:styleId="CommentReference">
    <w:name w:val="annotation reference"/>
    <w:basedOn w:val="DefaultParagraphFont"/>
    <w:uiPriority w:val="99"/>
    <w:semiHidden/>
    <w:rsid w:val="00132A65"/>
    <w:rPr>
      <w:rFonts w:cs="Times New Roman"/>
      <w:sz w:val="16"/>
      <w:szCs w:val="16"/>
    </w:rPr>
  </w:style>
  <w:style w:type="paragraph" w:styleId="CommentText">
    <w:name w:val="annotation text"/>
    <w:basedOn w:val="Normal"/>
    <w:link w:val="CommentTextChar"/>
    <w:uiPriority w:val="99"/>
    <w:semiHidden/>
    <w:rsid w:val="00132A6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132A65"/>
    <w:rPr>
      <w:rFonts w:ascii="AdvTT50a2f13e.I" w:hAnsi="AdvTT50a2f13e.I" w:cs="AdvTT50a2f13e.I"/>
      <w:color w:val="131413"/>
      <w:sz w:val="20"/>
      <w:szCs w:val="20"/>
    </w:rPr>
  </w:style>
  <w:style w:type="paragraph" w:styleId="CommentSubject">
    <w:name w:val="annotation subject"/>
    <w:basedOn w:val="CommentText"/>
    <w:next w:val="CommentText"/>
    <w:link w:val="CommentSubjectChar"/>
    <w:uiPriority w:val="99"/>
    <w:semiHidden/>
    <w:rsid w:val="00132A65"/>
    <w:rPr>
      <w:b/>
      <w:bCs/>
    </w:rPr>
  </w:style>
  <w:style w:type="character" w:customStyle="1" w:styleId="CommentSubjectChar">
    <w:name w:val="Comment Subject Char"/>
    <w:basedOn w:val="CommentTextChar"/>
    <w:link w:val="CommentSubject"/>
    <w:uiPriority w:val="99"/>
    <w:semiHidden/>
    <w:locked/>
    <w:rsid w:val="00132A65"/>
    <w:rPr>
      <w:rFonts w:ascii="AdvTT50a2f13e.I" w:hAnsi="AdvTT50a2f13e.I" w:cs="AdvTT50a2f13e.I"/>
      <w:b/>
      <w:bCs/>
      <w:color w:val="131413"/>
      <w:sz w:val="20"/>
      <w:szCs w:val="20"/>
    </w:rPr>
  </w:style>
  <w:style w:type="paragraph" w:styleId="Header">
    <w:name w:val="header"/>
    <w:basedOn w:val="Normal"/>
    <w:link w:val="HeaderChar"/>
    <w:uiPriority w:val="99"/>
    <w:semiHidden/>
    <w:rsid w:val="0072457C"/>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72457C"/>
    <w:rPr>
      <w:rFonts w:ascii="AdvTT50a2f13e.I" w:hAnsi="AdvTT50a2f13e.I" w:cs="AdvTT50a2f13e.I"/>
      <w:color w:val="131413"/>
      <w:sz w:val="24"/>
      <w:szCs w:val="24"/>
    </w:rPr>
  </w:style>
  <w:style w:type="paragraph" w:styleId="Footer">
    <w:name w:val="footer"/>
    <w:basedOn w:val="Normal"/>
    <w:link w:val="FooterChar"/>
    <w:uiPriority w:val="99"/>
    <w:rsid w:val="0072457C"/>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72457C"/>
    <w:rPr>
      <w:rFonts w:ascii="AdvTT50a2f13e.I" w:hAnsi="AdvTT50a2f13e.I" w:cs="AdvTT50a2f13e.I"/>
      <w:color w:val="131413"/>
      <w:sz w:val="24"/>
      <w:szCs w:val="24"/>
    </w:rPr>
  </w:style>
  <w:style w:type="paragraph" w:styleId="Revision">
    <w:name w:val="Revision"/>
    <w:hidden/>
    <w:uiPriority w:val="99"/>
    <w:semiHidden/>
    <w:rsid w:val="00491EFE"/>
    <w:rPr>
      <w:rFonts w:ascii="AdvTT50a2f13e.I" w:hAnsi="AdvTT50a2f13e.I" w:cs="AdvTT50a2f13e.I"/>
      <w:color w:val="131413"/>
      <w:sz w:val="24"/>
      <w:szCs w:val="24"/>
    </w:rPr>
  </w:style>
  <w:style w:type="paragraph" w:styleId="NormalWeb">
    <w:name w:val="Normal (Web)"/>
    <w:basedOn w:val="Normal"/>
    <w:uiPriority w:val="99"/>
    <w:semiHidden/>
    <w:unhideWhenUsed/>
    <w:rsid w:val="008146F2"/>
    <w:pPr>
      <w:autoSpaceDE/>
      <w:autoSpaceDN/>
      <w:adjustRightInd/>
      <w:spacing w:before="100" w:beforeAutospacing="1" w:after="100" w:afterAutospacing="1" w:line="240" w:lineRule="auto"/>
      <w:jc w:val="left"/>
    </w:pPr>
    <w:rPr>
      <w:rFonts w:ascii="Times New Roman" w:eastAsiaTheme="minorEastAsia" w:hAnsi="Times New Roman" w:cs="Times New Roman"/>
      <w:color w:val="auto"/>
      <w:lang w:val="sv-SE" w:eastAsia="sv-SE"/>
    </w:rPr>
  </w:style>
  <w:style w:type="paragraph" w:styleId="ListParagraph">
    <w:name w:val="List Paragraph"/>
    <w:basedOn w:val="Normal"/>
    <w:uiPriority w:val="34"/>
    <w:qFormat/>
    <w:rsid w:val="00E846D5"/>
    <w:pPr>
      <w:ind w:left="720"/>
      <w:contextualSpacing/>
    </w:pPr>
  </w:style>
  <w:style w:type="character" w:customStyle="1" w:styleId="tablecaption-label">
    <w:name w:val="table__caption-label"/>
    <w:basedOn w:val="DefaultParagraphFont"/>
    <w:rsid w:val="00886C8E"/>
  </w:style>
  <w:style w:type="character" w:customStyle="1" w:styleId="Mention">
    <w:name w:val="Mention"/>
    <w:basedOn w:val="DefaultParagraphFont"/>
    <w:uiPriority w:val="99"/>
    <w:semiHidden/>
    <w:unhideWhenUsed/>
    <w:rsid w:val="0041378B"/>
    <w:rPr>
      <w:color w:val="2B579A"/>
      <w:shd w:val="clear" w:color="auto" w:fill="E6E6E6"/>
    </w:rPr>
  </w:style>
  <w:style w:type="table" w:styleId="TableGrid">
    <w:name w:val="Table Grid"/>
    <w:basedOn w:val="TableNormal"/>
    <w:locked/>
    <w:rsid w:val="00BA2E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B3B"/>
    <w:pPr>
      <w:autoSpaceDE w:val="0"/>
      <w:autoSpaceDN w:val="0"/>
      <w:adjustRightInd w:val="0"/>
      <w:spacing w:after="240" w:line="276" w:lineRule="auto"/>
      <w:jc w:val="both"/>
    </w:pPr>
    <w:rPr>
      <w:rFonts w:ascii="AdvTT50a2f13e.I" w:hAnsi="AdvTT50a2f13e.I" w:cs="AdvTT50a2f13e.I"/>
      <w:color w:val="13141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536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536AC"/>
    <w:rPr>
      <w:rFonts w:ascii="Tahoma" w:hAnsi="Tahoma" w:cs="Tahoma"/>
      <w:color w:val="131413"/>
      <w:sz w:val="16"/>
      <w:szCs w:val="16"/>
    </w:rPr>
  </w:style>
  <w:style w:type="character" w:styleId="Hyperlink">
    <w:name w:val="Hyperlink"/>
    <w:basedOn w:val="DefaultParagraphFont"/>
    <w:uiPriority w:val="99"/>
    <w:rsid w:val="006F7281"/>
    <w:rPr>
      <w:rFonts w:cs="Times New Roman"/>
      <w:color w:val="0000FF"/>
      <w:u w:val="single"/>
    </w:rPr>
  </w:style>
  <w:style w:type="character" w:styleId="CommentReference">
    <w:name w:val="annotation reference"/>
    <w:basedOn w:val="DefaultParagraphFont"/>
    <w:uiPriority w:val="99"/>
    <w:semiHidden/>
    <w:rsid w:val="00132A65"/>
    <w:rPr>
      <w:rFonts w:cs="Times New Roman"/>
      <w:sz w:val="16"/>
      <w:szCs w:val="16"/>
    </w:rPr>
  </w:style>
  <w:style w:type="paragraph" w:styleId="CommentText">
    <w:name w:val="annotation text"/>
    <w:basedOn w:val="Normal"/>
    <w:link w:val="CommentTextChar"/>
    <w:uiPriority w:val="99"/>
    <w:semiHidden/>
    <w:rsid w:val="00132A6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132A65"/>
    <w:rPr>
      <w:rFonts w:ascii="AdvTT50a2f13e.I" w:hAnsi="AdvTT50a2f13e.I" w:cs="AdvTT50a2f13e.I"/>
      <w:color w:val="131413"/>
      <w:sz w:val="20"/>
      <w:szCs w:val="20"/>
    </w:rPr>
  </w:style>
  <w:style w:type="paragraph" w:styleId="CommentSubject">
    <w:name w:val="annotation subject"/>
    <w:basedOn w:val="CommentText"/>
    <w:next w:val="CommentText"/>
    <w:link w:val="CommentSubjectChar"/>
    <w:uiPriority w:val="99"/>
    <w:semiHidden/>
    <w:rsid w:val="00132A65"/>
    <w:rPr>
      <w:b/>
      <w:bCs/>
    </w:rPr>
  </w:style>
  <w:style w:type="character" w:customStyle="1" w:styleId="CommentSubjectChar">
    <w:name w:val="Comment Subject Char"/>
    <w:basedOn w:val="CommentTextChar"/>
    <w:link w:val="CommentSubject"/>
    <w:uiPriority w:val="99"/>
    <w:semiHidden/>
    <w:locked/>
    <w:rsid w:val="00132A65"/>
    <w:rPr>
      <w:rFonts w:ascii="AdvTT50a2f13e.I" w:hAnsi="AdvTT50a2f13e.I" w:cs="AdvTT50a2f13e.I"/>
      <w:b/>
      <w:bCs/>
      <w:color w:val="131413"/>
      <w:sz w:val="20"/>
      <w:szCs w:val="20"/>
    </w:rPr>
  </w:style>
  <w:style w:type="paragraph" w:styleId="Header">
    <w:name w:val="header"/>
    <w:basedOn w:val="Normal"/>
    <w:link w:val="HeaderChar"/>
    <w:uiPriority w:val="99"/>
    <w:semiHidden/>
    <w:rsid w:val="0072457C"/>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72457C"/>
    <w:rPr>
      <w:rFonts w:ascii="AdvTT50a2f13e.I" w:hAnsi="AdvTT50a2f13e.I" w:cs="AdvTT50a2f13e.I"/>
      <w:color w:val="131413"/>
      <w:sz w:val="24"/>
      <w:szCs w:val="24"/>
    </w:rPr>
  </w:style>
  <w:style w:type="paragraph" w:styleId="Footer">
    <w:name w:val="footer"/>
    <w:basedOn w:val="Normal"/>
    <w:link w:val="FooterChar"/>
    <w:uiPriority w:val="99"/>
    <w:rsid w:val="0072457C"/>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72457C"/>
    <w:rPr>
      <w:rFonts w:ascii="AdvTT50a2f13e.I" w:hAnsi="AdvTT50a2f13e.I" w:cs="AdvTT50a2f13e.I"/>
      <w:color w:val="131413"/>
      <w:sz w:val="24"/>
      <w:szCs w:val="24"/>
    </w:rPr>
  </w:style>
  <w:style w:type="paragraph" w:styleId="Revision">
    <w:name w:val="Revision"/>
    <w:hidden/>
    <w:uiPriority w:val="99"/>
    <w:semiHidden/>
    <w:rsid w:val="00491EFE"/>
    <w:rPr>
      <w:rFonts w:ascii="AdvTT50a2f13e.I" w:hAnsi="AdvTT50a2f13e.I" w:cs="AdvTT50a2f13e.I"/>
      <w:color w:val="131413"/>
      <w:sz w:val="24"/>
      <w:szCs w:val="24"/>
    </w:rPr>
  </w:style>
  <w:style w:type="paragraph" w:styleId="NormalWeb">
    <w:name w:val="Normal (Web)"/>
    <w:basedOn w:val="Normal"/>
    <w:uiPriority w:val="99"/>
    <w:semiHidden/>
    <w:unhideWhenUsed/>
    <w:rsid w:val="008146F2"/>
    <w:pPr>
      <w:autoSpaceDE/>
      <w:autoSpaceDN/>
      <w:adjustRightInd/>
      <w:spacing w:before="100" w:beforeAutospacing="1" w:after="100" w:afterAutospacing="1" w:line="240" w:lineRule="auto"/>
      <w:jc w:val="left"/>
    </w:pPr>
    <w:rPr>
      <w:rFonts w:ascii="Times New Roman" w:eastAsiaTheme="minorEastAsia" w:hAnsi="Times New Roman" w:cs="Times New Roman"/>
      <w:color w:val="auto"/>
      <w:lang w:val="sv-SE" w:eastAsia="sv-SE"/>
    </w:rPr>
  </w:style>
  <w:style w:type="paragraph" w:styleId="ListParagraph">
    <w:name w:val="List Paragraph"/>
    <w:basedOn w:val="Normal"/>
    <w:uiPriority w:val="34"/>
    <w:qFormat/>
    <w:rsid w:val="00E846D5"/>
    <w:pPr>
      <w:ind w:left="720"/>
      <w:contextualSpacing/>
    </w:pPr>
  </w:style>
  <w:style w:type="character" w:customStyle="1" w:styleId="tablecaption-label">
    <w:name w:val="table__caption-label"/>
    <w:basedOn w:val="DefaultParagraphFont"/>
    <w:rsid w:val="00886C8E"/>
  </w:style>
  <w:style w:type="character" w:customStyle="1" w:styleId="Mention">
    <w:name w:val="Mention"/>
    <w:basedOn w:val="DefaultParagraphFont"/>
    <w:uiPriority w:val="99"/>
    <w:semiHidden/>
    <w:unhideWhenUsed/>
    <w:rsid w:val="0041378B"/>
    <w:rPr>
      <w:color w:val="2B579A"/>
      <w:shd w:val="clear" w:color="auto" w:fill="E6E6E6"/>
    </w:rPr>
  </w:style>
  <w:style w:type="table" w:styleId="TableGrid">
    <w:name w:val="Table Grid"/>
    <w:basedOn w:val="TableNormal"/>
    <w:locked/>
    <w:rsid w:val="00BA2E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339058">
      <w:bodyDiv w:val="1"/>
      <w:marLeft w:val="0"/>
      <w:marRight w:val="0"/>
      <w:marTop w:val="0"/>
      <w:marBottom w:val="0"/>
      <w:divBdr>
        <w:top w:val="none" w:sz="0" w:space="0" w:color="auto"/>
        <w:left w:val="none" w:sz="0" w:space="0" w:color="auto"/>
        <w:bottom w:val="none" w:sz="0" w:space="0" w:color="auto"/>
        <w:right w:val="none" w:sz="0" w:space="0" w:color="auto"/>
      </w:divBdr>
    </w:div>
    <w:div w:id="1072314417">
      <w:bodyDiv w:val="1"/>
      <w:marLeft w:val="0"/>
      <w:marRight w:val="0"/>
      <w:marTop w:val="0"/>
      <w:marBottom w:val="0"/>
      <w:divBdr>
        <w:top w:val="none" w:sz="0" w:space="0" w:color="auto"/>
        <w:left w:val="none" w:sz="0" w:space="0" w:color="auto"/>
        <w:bottom w:val="none" w:sz="0" w:space="0" w:color="auto"/>
        <w:right w:val="none" w:sz="0" w:space="0" w:color="auto"/>
      </w:divBdr>
    </w:div>
    <w:div w:id="1212497736">
      <w:bodyDiv w:val="1"/>
      <w:marLeft w:val="0"/>
      <w:marRight w:val="0"/>
      <w:marTop w:val="0"/>
      <w:marBottom w:val="0"/>
      <w:divBdr>
        <w:top w:val="none" w:sz="0" w:space="0" w:color="auto"/>
        <w:left w:val="none" w:sz="0" w:space="0" w:color="auto"/>
        <w:bottom w:val="none" w:sz="0" w:space="0" w:color="auto"/>
        <w:right w:val="none" w:sz="0" w:space="0" w:color="auto"/>
      </w:divBdr>
      <w:divsChild>
        <w:div w:id="1005403956">
          <w:marLeft w:val="0"/>
          <w:marRight w:val="1"/>
          <w:marTop w:val="0"/>
          <w:marBottom w:val="0"/>
          <w:divBdr>
            <w:top w:val="none" w:sz="0" w:space="0" w:color="auto"/>
            <w:left w:val="none" w:sz="0" w:space="0" w:color="auto"/>
            <w:bottom w:val="none" w:sz="0" w:space="0" w:color="auto"/>
            <w:right w:val="none" w:sz="0" w:space="0" w:color="auto"/>
          </w:divBdr>
          <w:divsChild>
            <w:div w:id="932323639">
              <w:marLeft w:val="0"/>
              <w:marRight w:val="0"/>
              <w:marTop w:val="0"/>
              <w:marBottom w:val="0"/>
              <w:divBdr>
                <w:top w:val="none" w:sz="0" w:space="0" w:color="auto"/>
                <w:left w:val="none" w:sz="0" w:space="0" w:color="auto"/>
                <w:bottom w:val="none" w:sz="0" w:space="0" w:color="auto"/>
                <w:right w:val="none" w:sz="0" w:space="0" w:color="auto"/>
              </w:divBdr>
              <w:divsChild>
                <w:div w:id="1951160474">
                  <w:marLeft w:val="0"/>
                  <w:marRight w:val="1"/>
                  <w:marTop w:val="0"/>
                  <w:marBottom w:val="0"/>
                  <w:divBdr>
                    <w:top w:val="none" w:sz="0" w:space="0" w:color="auto"/>
                    <w:left w:val="none" w:sz="0" w:space="0" w:color="auto"/>
                    <w:bottom w:val="none" w:sz="0" w:space="0" w:color="auto"/>
                    <w:right w:val="none" w:sz="0" w:space="0" w:color="auto"/>
                  </w:divBdr>
                  <w:divsChild>
                    <w:div w:id="474034095">
                      <w:marLeft w:val="0"/>
                      <w:marRight w:val="0"/>
                      <w:marTop w:val="0"/>
                      <w:marBottom w:val="0"/>
                      <w:divBdr>
                        <w:top w:val="none" w:sz="0" w:space="0" w:color="auto"/>
                        <w:left w:val="none" w:sz="0" w:space="0" w:color="auto"/>
                        <w:bottom w:val="none" w:sz="0" w:space="0" w:color="auto"/>
                        <w:right w:val="none" w:sz="0" w:space="0" w:color="auto"/>
                      </w:divBdr>
                      <w:divsChild>
                        <w:div w:id="727142593">
                          <w:marLeft w:val="0"/>
                          <w:marRight w:val="0"/>
                          <w:marTop w:val="0"/>
                          <w:marBottom w:val="0"/>
                          <w:divBdr>
                            <w:top w:val="none" w:sz="0" w:space="0" w:color="auto"/>
                            <w:left w:val="none" w:sz="0" w:space="0" w:color="auto"/>
                            <w:bottom w:val="none" w:sz="0" w:space="0" w:color="auto"/>
                            <w:right w:val="none" w:sz="0" w:space="0" w:color="auto"/>
                          </w:divBdr>
                          <w:divsChild>
                            <w:div w:id="1156651291">
                              <w:marLeft w:val="0"/>
                              <w:marRight w:val="0"/>
                              <w:marTop w:val="120"/>
                              <w:marBottom w:val="360"/>
                              <w:divBdr>
                                <w:top w:val="none" w:sz="0" w:space="0" w:color="auto"/>
                                <w:left w:val="none" w:sz="0" w:space="0" w:color="auto"/>
                                <w:bottom w:val="none" w:sz="0" w:space="0" w:color="auto"/>
                                <w:right w:val="none" w:sz="0" w:space="0" w:color="auto"/>
                              </w:divBdr>
                              <w:divsChild>
                                <w:div w:id="126943506">
                                  <w:marLeft w:val="0"/>
                                  <w:marRight w:val="0"/>
                                  <w:marTop w:val="0"/>
                                  <w:marBottom w:val="0"/>
                                  <w:divBdr>
                                    <w:top w:val="none" w:sz="0" w:space="0" w:color="auto"/>
                                    <w:left w:val="none" w:sz="0" w:space="0" w:color="auto"/>
                                    <w:bottom w:val="none" w:sz="0" w:space="0" w:color="auto"/>
                                    <w:right w:val="none" w:sz="0" w:space="0" w:color="auto"/>
                                  </w:divBdr>
                                </w:div>
                                <w:div w:id="60557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296241">
      <w:marLeft w:val="0"/>
      <w:marRight w:val="0"/>
      <w:marTop w:val="0"/>
      <w:marBottom w:val="0"/>
      <w:divBdr>
        <w:top w:val="none" w:sz="0" w:space="0" w:color="auto"/>
        <w:left w:val="none" w:sz="0" w:space="0" w:color="auto"/>
        <w:bottom w:val="none" w:sz="0" w:space="0" w:color="auto"/>
        <w:right w:val="none" w:sz="0" w:space="0" w:color="auto"/>
      </w:divBdr>
    </w:div>
    <w:div w:id="1795296250">
      <w:marLeft w:val="0"/>
      <w:marRight w:val="0"/>
      <w:marTop w:val="0"/>
      <w:marBottom w:val="0"/>
      <w:divBdr>
        <w:top w:val="none" w:sz="0" w:space="0" w:color="auto"/>
        <w:left w:val="none" w:sz="0" w:space="0" w:color="auto"/>
        <w:bottom w:val="none" w:sz="0" w:space="0" w:color="auto"/>
        <w:right w:val="none" w:sz="0" w:space="0" w:color="auto"/>
      </w:divBdr>
      <w:divsChild>
        <w:div w:id="1795296247">
          <w:marLeft w:val="0"/>
          <w:marRight w:val="0"/>
          <w:marTop w:val="0"/>
          <w:marBottom w:val="0"/>
          <w:divBdr>
            <w:top w:val="none" w:sz="0" w:space="0" w:color="auto"/>
            <w:left w:val="none" w:sz="0" w:space="0" w:color="auto"/>
            <w:bottom w:val="none" w:sz="0" w:space="0" w:color="auto"/>
            <w:right w:val="none" w:sz="0" w:space="0" w:color="auto"/>
          </w:divBdr>
          <w:divsChild>
            <w:div w:id="1795296246">
              <w:marLeft w:val="0"/>
              <w:marRight w:val="0"/>
              <w:marTop w:val="0"/>
              <w:marBottom w:val="0"/>
              <w:divBdr>
                <w:top w:val="none" w:sz="0" w:space="0" w:color="auto"/>
                <w:left w:val="none" w:sz="0" w:space="0" w:color="auto"/>
                <w:bottom w:val="none" w:sz="0" w:space="0" w:color="auto"/>
                <w:right w:val="none" w:sz="0" w:space="0" w:color="auto"/>
              </w:divBdr>
              <w:divsChild>
                <w:div w:id="1795296245">
                  <w:marLeft w:val="0"/>
                  <w:marRight w:val="0"/>
                  <w:marTop w:val="0"/>
                  <w:marBottom w:val="0"/>
                  <w:divBdr>
                    <w:top w:val="none" w:sz="0" w:space="0" w:color="auto"/>
                    <w:left w:val="none" w:sz="0" w:space="0" w:color="auto"/>
                    <w:bottom w:val="none" w:sz="0" w:space="0" w:color="auto"/>
                    <w:right w:val="none" w:sz="0" w:space="0" w:color="auto"/>
                  </w:divBdr>
                  <w:divsChild>
                    <w:div w:id="1795296242">
                      <w:marLeft w:val="0"/>
                      <w:marRight w:val="0"/>
                      <w:marTop w:val="0"/>
                      <w:marBottom w:val="0"/>
                      <w:divBdr>
                        <w:top w:val="none" w:sz="0" w:space="0" w:color="auto"/>
                        <w:left w:val="none" w:sz="0" w:space="0" w:color="auto"/>
                        <w:bottom w:val="none" w:sz="0" w:space="0" w:color="auto"/>
                        <w:right w:val="none" w:sz="0" w:space="0" w:color="auto"/>
                      </w:divBdr>
                      <w:divsChild>
                        <w:div w:id="1795296248">
                          <w:marLeft w:val="0"/>
                          <w:marRight w:val="0"/>
                          <w:marTop w:val="0"/>
                          <w:marBottom w:val="0"/>
                          <w:divBdr>
                            <w:top w:val="none" w:sz="0" w:space="0" w:color="auto"/>
                            <w:left w:val="none" w:sz="0" w:space="0" w:color="auto"/>
                            <w:bottom w:val="none" w:sz="0" w:space="0" w:color="auto"/>
                            <w:right w:val="none" w:sz="0" w:space="0" w:color="auto"/>
                          </w:divBdr>
                          <w:divsChild>
                            <w:div w:id="1795296249">
                              <w:marLeft w:val="0"/>
                              <w:marRight w:val="0"/>
                              <w:marTop w:val="0"/>
                              <w:marBottom w:val="0"/>
                              <w:divBdr>
                                <w:top w:val="none" w:sz="0" w:space="0" w:color="auto"/>
                                <w:left w:val="none" w:sz="0" w:space="0" w:color="auto"/>
                                <w:bottom w:val="none" w:sz="0" w:space="0" w:color="auto"/>
                                <w:right w:val="none" w:sz="0" w:space="0" w:color="auto"/>
                              </w:divBdr>
                              <w:divsChild>
                                <w:div w:id="1795296244">
                                  <w:marLeft w:val="0"/>
                                  <w:marRight w:val="0"/>
                                  <w:marTop w:val="0"/>
                                  <w:marBottom w:val="0"/>
                                  <w:divBdr>
                                    <w:top w:val="none" w:sz="0" w:space="0" w:color="auto"/>
                                    <w:left w:val="none" w:sz="0" w:space="0" w:color="auto"/>
                                    <w:bottom w:val="none" w:sz="0" w:space="0" w:color="auto"/>
                                    <w:right w:val="none" w:sz="0" w:space="0" w:color="auto"/>
                                  </w:divBdr>
                                  <w:divsChild>
                                    <w:div w:id="179529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s://www.paci.gov.kw/" TargetMode="External"/><Relationship Id="rId10" Type="http://schemas.openxmlformats.org/officeDocument/2006/relationships/hyperlink" Target="http://www.shef.ac.uk/FRAX/" TargetMode="External"/><Relationship Id="rId4" Type="http://schemas.microsoft.com/office/2007/relationships/stylesWithEffects" Target="stylesWithEffects.xml"/><Relationship Id="rId9" Type="http://schemas.openxmlformats.org/officeDocument/2006/relationships/hyperlink" Target="mailto:w.j.pontefract@sheffield.ac.uk" TargetMode="External"/><Relationship Id="rId14" Type="http://schemas.openxmlformats.org/officeDocument/2006/relationships/hyperlink" Target="http://www.kops-kw.org/GuideLin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05A3B5-E4C2-4725-8ADE-1A89EEC0A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5588</Words>
  <Characters>31853</Characters>
  <Application>Microsoft Office Word</Application>
  <DocSecurity>4</DocSecurity>
  <Lines>265</Lines>
  <Paragraphs>74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The application of FRAX® to determine intervention thresholds for postmenopausal osteoporosis in Romania</vt:lpstr>
      <vt:lpstr>The application of FRAX® to determine intervention thresholds for postmenopausal osteoporosis in Romania</vt:lpstr>
    </vt:vector>
  </TitlesOfParts>
  <Company>DEXTER</Company>
  <LinksUpToDate>false</LinksUpToDate>
  <CharactersWithSpaces>37367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application of FRAX® to determine intervention thresholds for postmenopausal osteoporosis in Romania</dc:title>
  <dc:creator>DEXTER</dc:creator>
  <cp:lastModifiedBy>Karen Drake</cp:lastModifiedBy>
  <cp:revision>2</cp:revision>
  <cp:lastPrinted>2017-02-16T10:38:00Z</cp:lastPrinted>
  <dcterms:created xsi:type="dcterms:W3CDTF">2017-09-04T10:04:00Z</dcterms:created>
  <dcterms:modified xsi:type="dcterms:W3CDTF">2017-09-04T10:04:00Z</dcterms:modified>
</cp:coreProperties>
</file>