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74A" w:rsidRPr="00240D66" w:rsidRDefault="0093374A" w:rsidP="00240D66">
      <w:pPr>
        <w:spacing w:line="360" w:lineRule="auto"/>
        <w:rPr>
          <w:rFonts w:asciiTheme="majorBidi" w:hAnsiTheme="majorBidi" w:cstheme="majorBidi"/>
          <w:b/>
          <w:bCs/>
          <w:sz w:val="24"/>
          <w:szCs w:val="24"/>
        </w:rPr>
      </w:pPr>
      <w:bookmarkStart w:id="0" w:name="_GoBack"/>
      <w:bookmarkEnd w:id="0"/>
      <w:r w:rsidRPr="00240D66">
        <w:rPr>
          <w:rFonts w:asciiTheme="majorBidi" w:hAnsiTheme="majorBidi" w:cstheme="majorBidi"/>
          <w:b/>
          <w:bCs/>
          <w:sz w:val="24"/>
          <w:szCs w:val="24"/>
        </w:rPr>
        <w:t>Keeping expertise in its place: Understanding arms-length bodies as boundary organizations</w:t>
      </w:r>
      <w:r w:rsidR="00CF306C">
        <w:rPr>
          <w:rStyle w:val="FootnoteReference"/>
          <w:rFonts w:asciiTheme="majorBidi" w:hAnsiTheme="majorBidi" w:cstheme="majorBidi"/>
          <w:b/>
          <w:bCs/>
          <w:sz w:val="24"/>
          <w:szCs w:val="24"/>
        </w:rPr>
        <w:footnoteReference w:id="1"/>
      </w:r>
    </w:p>
    <w:p w:rsidR="0093374A" w:rsidRPr="00240D66" w:rsidRDefault="0093374A"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John Boswell, Politics and International Relations, University of Southampton</w:t>
      </w:r>
    </w:p>
    <w:p w:rsidR="004A3205" w:rsidRPr="00240D66" w:rsidRDefault="004A3205" w:rsidP="00240D66">
      <w:pPr>
        <w:spacing w:line="360" w:lineRule="auto"/>
        <w:rPr>
          <w:rFonts w:asciiTheme="majorBidi" w:hAnsiTheme="majorBidi" w:cstheme="majorBidi"/>
          <w:sz w:val="24"/>
          <w:szCs w:val="24"/>
        </w:rPr>
      </w:pPr>
    </w:p>
    <w:p w:rsidR="0093374A" w:rsidRPr="00240D66" w:rsidRDefault="004A3205" w:rsidP="00240D66">
      <w:pPr>
        <w:spacing w:line="360" w:lineRule="auto"/>
        <w:rPr>
          <w:rFonts w:asciiTheme="majorBidi" w:hAnsiTheme="majorBidi" w:cstheme="majorBidi"/>
          <w:b/>
          <w:bCs/>
          <w:sz w:val="24"/>
          <w:szCs w:val="24"/>
        </w:rPr>
      </w:pPr>
      <w:r w:rsidRPr="00240D66">
        <w:rPr>
          <w:rFonts w:asciiTheme="majorBidi" w:hAnsiTheme="majorBidi" w:cstheme="majorBidi"/>
          <w:b/>
          <w:bCs/>
          <w:sz w:val="24"/>
          <w:szCs w:val="24"/>
        </w:rPr>
        <w:t>Abstract</w:t>
      </w:r>
    </w:p>
    <w:p w:rsidR="004A3205" w:rsidRPr="00240D66" w:rsidRDefault="004A3205" w:rsidP="00240D66">
      <w:pPr>
        <w:spacing w:line="360" w:lineRule="auto"/>
        <w:rPr>
          <w:rFonts w:asciiTheme="majorBidi" w:hAnsiTheme="majorBidi" w:cstheme="majorBidi"/>
          <w:i/>
          <w:iCs/>
          <w:sz w:val="24"/>
          <w:szCs w:val="24"/>
        </w:rPr>
      </w:pPr>
      <w:r w:rsidRPr="00240D66">
        <w:rPr>
          <w:rFonts w:asciiTheme="majorBidi" w:hAnsiTheme="majorBidi" w:cstheme="majorBidi"/>
          <w:i/>
          <w:iCs/>
          <w:sz w:val="24"/>
          <w:szCs w:val="24"/>
        </w:rPr>
        <w:t xml:space="preserve">Policy and administration scholars have struggled to explain the waxing and waning of arms-length bodies over time and across contexts. This article draws on the </w:t>
      </w:r>
      <w:r w:rsidR="00B548F6">
        <w:rPr>
          <w:rFonts w:asciiTheme="majorBidi" w:hAnsiTheme="majorBidi" w:cstheme="majorBidi"/>
          <w:i/>
          <w:iCs/>
          <w:sz w:val="24"/>
          <w:szCs w:val="24"/>
        </w:rPr>
        <w:t>Science and Technology Studies'</w:t>
      </w:r>
      <w:r w:rsidRPr="00240D66">
        <w:rPr>
          <w:rFonts w:asciiTheme="majorBidi" w:hAnsiTheme="majorBidi" w:cstheme="majorBidi"/>
          <w:i/>
          <w:iCs/>
          <w:sz w:val="24"/>
          <w:szCs w:val="24"/>
        </w:rPr>
        <w:t xml:space="preserve"> concept of boundary work — understood as practices which both demarcate and enable collaboration across distinct areas of expertise - to help explain variation in these institutional arrangements. Conceptualising arms-length bodies as boundary organizations shows how their authority rests on their capacity to enable ongoing coordination while preserving the authority and autonomy of relevant expert spheres. The article demonstrates this analytical purchase through reference to two cases in contemporary British government.</w:t>
      </w:r>
    </w:p>
    <w:p w:rsidR="004A3205" w:rsidRPr="00240D66" w:rsidRDefault="004A3205" w:rsidP="00240D66">
      <w:pPr>
        <w:spacing w:line="360" w:lineRule="auto"/>
        <w:rPr>
          <w:rFonts w:asciiTheme="majorBidi" w:hAnsiTheme="majorBidi" w:cstheme="majorBidi"/>
          <w:b/>
          <w:bCs/>
          <w:sz w:val="24"/>
          <w:szCs w:val="24"/>
        </w:rPr>
      </w:pPr>
    </w:p>
    <w:p w:rsidR="004A3205" w:rsidRPr="00240D66" w:rsidRDefault="004A3205" w:rsidP="00240D66">
      <w:pPr>
        <w:spacing w:line="360" w:lineRule="auto"/>
        <w:rPr>
          <w:rFonts w:asciiTheme="majorBidi" w:hAnsiTheme="majorBidi" w:cstheme="majorBidi"/>
          <w:b/>
          <w:bCs/>
          <w:sz w:val="24"/>
          <w:szCs w:val="24"/>
        </w:rPr>
      </w:pPr>
      <w:r w:rsidRPr="00240D66">
        <w:rPr>
          <w:rFonts w:asciiTheme="majorBidi" w:hAnsiTheme="majorBidi" w:cstheme="majorBidi"/>
          <w:b/>
          <w:bCs/>
          <w:sz w:val="24"/>
          <w:szCs w:val="24"/>
        </w:rPr>
        <w:t>Key words</w:t>
      </w:r>
    </w:p>
    <w:p w:rsidR="004A3205" w:rsidRPr="00240D66" w:rsidRDefault="004A3205"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boundary work; science and technology studies; administrative reform; agencies</w:t>
      </w:r>
    </w:p>
    <w:p w:rsidR="004A3205" w:rsidRPr="00240D66" w:rsidRDefault="004A3205" w:rsidP="00240D66">
      <w:pPr>
        <w:spacing w:line="360" w:lineRule="auto"/>
        <w:rPr>
          <w:rFonts w:asciiTheme="majorBidi" w:hAnsiTheme="majorBidi" w:cstheme="majorBidi"/>
          <w:b/>
          <w:bCs/>
          <w:sz w:val="24"/>
          <w:szCs w:val="24"/>
        </w:rPr>
      </w:pPr>
    </w:p>
    <w:p w:rsidR="004A3205" w:rsidRPr="00240D66" w:rsidRDefault="004A3205" w:rsidP="00240D66">
      <w:pPr>
        <w:spacing w:line="360" w:lineRule="auto"/>
        <w:rPr>
          <w:rFonts w:asciiTheme="majorBidi" w:hAnsiTheme="majorBidi" w:cstheme="majorBidi"/>
          <w:b/>
          <w:bCs/>
          <w:sz w:val="24"/>
          <w:szCs w:val="24"/>
        </w:rPr>
      </w:pPr>
      <w:r w:rsidRPr="00240D66">
        <w:rPr>
          <w:rFonts w:asciiTheme="majorBidi" w:hAnsiTheme="majorBidi" w:cstheme="majorBidi"/>
          <w:b/>
          <w:bCs/>
          <w:sz w:val="24"/>
          <w:szCs w:val="24"/>
        </w:rPr>
        <w:t>Acknowledgments</w:t>
      </w:r>
    </w:p>
    <w:p w:rsidR="004A3205" w:rsidRPr="00240D66" w:rsidRDefault="004A3205"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I would like to thank Anna Wesselink, Hal Colebatch and Rod Rhodes for advice on earlier drafts, and the editor, Felicity Matthews, and the three anonymous reviewers for their very helpful comments during the revision process.</w:t>
      </w:r>
    </w:p>
    <w:p w:rsidR="0093374A" w:rsidRPr="00240D66" w:rsidRDefault="0093374A" w:rsidP="00240D66">
      <w:pPr>
        <w:spacing w:line="360" w:lineRule="auto"/>
        <w:rPr>
          <w:rFonts w:asciiTheme="majorBidi" w:hAnsiTheme="majorBidi" w:cstheme="majorBidi"/>
          <w:sz w:val="24"/>
          <w:szCs w:val="24"/>
        </w:rPr>
      </w:pPr>
    </w:p>
    <w:p w:rsidR="0093374A" w:rsidRPr="00240D66" w:rsidRDefault="0093374A" w:rsidP="00240D66">
      <w:pPr>
        <w:spacing w:line="360" w:lineRule="auto"/>
        <w:rPr>
          <w:rFonts w:asciiTheme="majorBidi" w:hAnsiTheme="majorBidi" w:cstheme="majorBidi"/>
          <w:sz w:val="24"/>
          <w:szCs w:val="24"/>
        </w:rPr>
      </w:pPr>
    </w:p>
    <w:p w:rsidR="00240D66" w:rsidRPr="00240D66" w:rsidRDefault="00240D66" w:rsidP="00240D66">
      <w:pPr>
        <w:spacing w:line="360" w:lineRule="auto"/>
        <w:rPr>
          <w:rFonts w:asciiTheme="majorBidi" w:hAnsiTheme="majorBidi" w:cstheme="majorBidi"/>
          <w:b/>
          <w:bCs/>
          <w:sz w:val="24"/>
          <w:szCs w:val="24"/>
        </w:rPr>
      </w:pPr>
      <w:r w:rsidRPr="00240D66">
        <w:rPr>
          <w:rFonts w:asciiTheme="majorBidi" w:hAnsiTheme="majorBidi" w:cstheme="majorBidi"/>
          <w:b/>
          <w:bCs/>
          <w:sz w:val="24"/>
          <w:szCs w:val="24"/>
        </w:rPr>
        <w:br w:type="page"/>
      </w:r>
    </w:p>
    <w:p w:rsidR="001319FE" w:rsidRPr="00240D66" w:rsidRDefault="00541058" w:rsidP="00240D66">
      <w:pPr>
        <w:spacing w:line="360" w:lineRule="auto"/>
        <w:rPr>
          <w:rFonts w:asciiTheme="majorBidi" w:hAnsiTheme="majorBidi" w:cstheme="majorBidi"/>
          <w:sz w:val="24"/>
          <w:szCs w:val="24"/>
        </w:rPr>
      </w:pPr>
      <w:r w:rsidRPr="00240D66">
        <w:rPr>
          <w:rFonts w:asciiTheme="majorBidi" w:hAnsiTheme="majorBidi" w:cstheme="majorBidi"/>
          <w:b/>
          <w:bCs/>
          <w:sz w:val="24"/>
          <w:szCs w:val="24"/>
        </w:rPr>
        <w:lastRenderedPageBreak/>
        <w:t>Introduction</w:t>
      </w:r>
    </w:p>
    <w:p w:rsidR="00541058" w:rsidRPr="00240D66" w:rsidRDefault="00541058"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As renewed pledges of ‘quangocide’ culminate in less radical reform</w:t>
      </w:r>
      <w:r w:rsidR="00324035" w:rsidRPr="00240D66">
        <w:rPr>
          <w:rFonts w:asciiTheme="majorBidi" w:hAnsiTheme="majorBidi" w:cstheme="majorBidi"/>
          <w:sz w:val="24"/>
          <w:szCs w:val="24"/>
        </w:rPr>
        <w:t>s</w:t>
      </w:r>
      <w:r w:rsidRPr="00240D66">
        <w:rPr>
          <w:rFonts w:asciiTheme="majorBidi" w:hAnsiTheme="majorBidi" w:cstheme="majorBidi"/>
          <w:sz w:val="24"/>
          <w:szCs w:val="24"/>
        </w:rPr>
        <w:t xml:space="preserve"> </w:t>
      </w:r>
      <w:r w:rsidR="009D6CF5" w:rsidRPr="00240D66">
        <w:rPr>
          <w:rFonts w:asciiTheme="majorBidi" w:hAnsiTheme="majorBidi" w:cstheme="majorBidi"/>
          <w:sz w:val="24"/>
          <w:szCs w:val="24"/>
        </w:rPr>
        <w:t xml:space="preserve">across Europe and beyond </w:t>
      </w:r>
      <w:r w:rsidR="00235E58" w:rsidRPr="00240D66">
        <w:rPr>
          <w:rFonts w:asciiTheme="majorBidi" w:hAnsiTheme="majorBidi" w:cstheme="majorBidi"/>
          <w:sz w:val="24"/>
          <w:szCs w:val="24"/>
        </w:rPr>
        <w:t>(</w:t>
      </w:r>
      <w:r w:rsidR="00636814" w:rsidRPr="00240D66">
        <w:rPr>
          <w:rFonts w:asciiTheme="majorBidi" w:hAnsiTheme="majorBidi" w:cstheme="majorBidi"/>
          <w:sz w:val="24"/>
          <w:szCs w:val="24"/>
        </w:rPr>
        <w:t>Verhoest et al.</w:t>
      </w:r>
      <w:r w:rsidR="009D6CF5" w:rsidRPr="00240D66">
        <w:rPr>
          <w:rFonts w:asciiTheme="majorBidi" w:hAnsiTheme="majorBidi" w:cstheme="majorBidi"/>
          <w:sz w:val="24"/>
          <w:szCs w:val="24"/>
        </w:rPr>
        <w:t xml:space="preserve"> 2012</w:t>
      </w:r>
      <w:r w:rsidR="00286D99" w:rsidRPr="00240D66">
        <w:rPr>
          <w:rFonts w:asciiTheme="majorBidi" w:hAnsiTheme="majorBidi" w:cstheme="majorBidi"/>
          <w:sz w:val="24"/>
          <w:szCs w:val="24"/>
        </w:rPr>
        <w:t>)</w:t>
      </w:r>
      <w:r w:rsidRPr="00240D66">
        <w:rPr>
          <w:rFonts w:asciiTheme="majorBidi" w:hAnsiTheme="majorBidi" w:cstheme="majorBidi"/>
          <w:sz w:val="24"/>
          <w:szCs w:val="24"/>
        </w:rPr>
        <w:t xml:space="preserve">, scholars </w:t>
      </w:r>
      <w:r w:rsidR="00324035" w:rsidRPr="00240D66">
        <w:rPr>
          <w:rFonts w:asciiTheme="majorBidi" w:hAnsiTheme="majorBidi" w:cstheme="majorBidi"/>
          <w:sz w:val="24"/>
          <w:szCs w:val="24"/>
        </w:rPr>
        <w:t>are still</w:t>
      </w:r>
      <w:r w:rsidRPr="00240D66">
        <w:rPr>
          <w:rFonts w:asciiTheme="majorBidi" w:hAnsiTheme="majorBidi" w:cstheme="majorBidi"/>
          <w:sz w:val="24"/>
          <w:szCs w:val="24"/>
        </w:rPr>
        <w:t xml:space="preserve"> trying to make sense of </w:t>
      </w:r>
      <w:r w:rsidR="00324035" w:rsidRPr="00240D66">
        <w:rPr>
          <w:rFonts w:asciiTheme="majorBidi" w:hAnsiTheme="majorBidi" w:cstheme="majorBidi"/>
          <w:sz w:val="24"/>
          <w:szCs w:val="24"/>
        </w:rPr>
        <w:t>w</w:t>
      </w:r>
      <w:r w:rsidR="00AE638B" w:rsidRPr="00240D66">
        <w:rPr>
          <w:rFonts w:asciiTheme="majorBidi" w:hAnsiTheme="majorBidi" w:cstheme="majorBidi"/>
          <w:sz w:val="24"/>
          <w:szCs w:val="24"/>
        </w:rPr>
        <w:t>hat sustain</w:t>
      </w:r>
      <w:r w:rsidR="00324035" w:rsidRPr="00240D66">
        <w:rPr>
          <w:rFonts w:asciiTheme="majorBidi" w:hAnsiTheme="majorBidi" w:cstheme="majorBidi"/>
          <w:sz w:val="24"/>
          <w:szCs w:val="24"/>
        </w:rPr>
        <w:t>s</w:t>
      </w:r>
      <w:r w:rsidRPr="00240D66">
        <w:rPr>
          <w:rFonts w:asciiTheme="majorBidi" w:hAnsiTheme="majorBidi" w:cstheme="majorBidi"/>
          <w:sz w:val="24"/>
          <w:szCs w:val="24"/>
        </w:rPr>
        <w:t xml:space="preserve"> arms-length governing</w:t>
      </w:r>
      <w:r w:rsidR="00AE638B" w:rsidRPr="00240D66">
        <w:rPr>
          <w:rFonts w:asciiTheme="majorBidi" w:hAnsiTheme="majorBidi" w:cstheme="majorBidi"/>
          <w:sz w:val="24"/>
          <w:szCs w:val="24"/>
        </w:rPr>
        <w:t xml:space="preserve"> arrangements</w:t>
      </w:r>
      <w:r w:rsidRPr="00240D66">
        <w:rPr>
          <w:rFonts w:asciiTheme="majorBidi" w:hAnsiTheme="majorBidi" w:cstheme="majorBidi"/>
          <w:sz w:val="24"/>
          <w:szCs w:val="24"/>
        </w:rPr>
        <w:t>. The most commonly rehearsed story relates to the New Public Management reforms of the</w:t>
      </w:r>
      <w:r w:rsidR="0047469D" w:rsidRPr="00240D66">
        <w:rPr>
          <w:rFonts w:asciiTheme="majorBidi" w:hAnsiTheme="majorBidi" w:cstheme="majorBidi"/>
          <w:sz w:val="24"/>
          <w:szCs w:val="24"/>
        </w:rPr>
        <w:t xml:space="preserve"> 198</w:t>
      </w:r>
      <w:r w:rsidRPr="00240D66">
        <w:rPr>
          <w:rFonts w:asciiTheme="majorBidi" w:hAnsiTheme="majorBidi" w:cstheme="majorBidi"/>
          <w:sz w:val="24"/>
          <w:szCs w:val="24"/>
        </w:rPr>
        <w:t xml:space="preserve">0s and onwards: arms-length </w:t>
      </w:r>
      <w:r w:rsidR="00324035" w:rsidRPr="00240D66">
        <w:rPr>
          <w:rFonts w:asciiTheme="majorBidi" w:hAnsiTheme="majorBidi" w:cstheme="majorBidi"/>
          <w:sz w:val="24"/>
          <w:szCs w:val="24"/>
        </w:rPr>
        <w:t>bodies</w:t>
      </w:r>
      <w:r w:rsidRPr="00240D66">
        <w:rPr>
          <w:rFonts w:asciiTheme="majorBidi" w:hAnsiTheme="majorBidi" w:cstheme="majorBidi"/>
          <w:sz w:val="24"/>
          <w:szCs w:val="24"/>
        </w:rPr>
        <w:t xml:space="preserve"> are associated with the imp</w:t>
      </w:r>
      <w:r w:rsidR="00060697" w:rsidRPr="00240D66">
        <w:rPr>
          <w:rFonts w:asciiTheme="majorBidi" w:hAnsiTheme="majorBidi" w:cstheme="majorBidi"/>
          <w:sz w:val="24"/>
          <w:szCs w:val="24"/>
        </w:rPr>
        <w:t>ortation</w:t>
      </w:r>
      <w:r w:rsidRPr="00240D66">
        <w:rPr>
          <w:rFonts w:asciiTheme="majorBidi" w:hAnsiTheme="majorBidi" w:cstheme="majorBidi"/>
          <w:sz w:val="24"/>
          <w:szCs w:val="24"/>
        </w:rPr>
        <w:t xml:space="preserve"> of private sector </w:t>
      </w:r>
      <w:r w:rsidR="00060697" w:rsidRPr="00240D66">
        <w:rPr>
          <w:rFonts w:asciiTheme="majorBidi" w:hAnsiTheme="majorBidi" w:cstheme="majorBidi"/>
          <w:sz w:val="24"/>
          <w:szCs w:val="24"/>
        </w:rPr>
        <w:t>norms</w:t>
      </w:r>
      <w:r w:rsidRPr="00240D66">
        <w:rPr>
          <w:rFonts w:asciiTheme="majorBidi" w:hAnsiTheme="majorBidi" w:cstheme="majorBidi"/>
          <w:sz w:val="24"/>
          <w:szCs w:val="24"/>
        </w:rPr>
        <w:t xml:space="preserve"> such as specialisation and efficiency. Others</w:t>
      </w:r>
      <w:r w:rsidR="00460744" w:rsidRPr="00240D66">
        <w:rPr>
          <w:rFonts w:asciiTheme="majorBidi" w:hAnsiTheme="majorBidi" w:cstheme="majorBidi"/>
          <w:sz w:val="24"/>
          <w:szCs w:val="24"/>
        </w:rPr>
        <w:t xml:space="preserve"> </w:t>
      </w:r>
      <w:r w:rsidRPr="00240D66">
        <w:rPr>
          <w:rFonts w:asciiTheme="majorBidi" w:hAnsiTheme="majorBidi" w:cstheme="majorBidi"/>
          <w:sz w:val="24"/>
          <w:szCs w:val="24"/>
        </w:rPr>
        <w:t>situate reforms within a broader account of depoliticisation</w:t>
      </w:r>
      <w:r w:rsidR="0004294F" w:rsidRPr="00240D66">
        <w:rPr>
          <w:rFonts w:asciiTheme="majorBidi" w:hAnsiTheme="majorBidi" w:cstheme="majorBidi"/>
          <w:sz w:val="24"/>
          <w:szCs w:val="24"/>
        </w:rPr>
        <w:t xml:space="preserve"> that </w:t>
      </w:r>
      <w:r w:rsidR="00324035" w:rsidRPr="00240D66">
        <w:rPr>
          <w:rFonts w:asciiTheme="majorBidi" w:hAnsiTheme="majorBidi" w:cstheme="majorBidi"/>
          <w:sz w:val="24"/>
          <w:szCs w:val="24"/>
        </w:rPr>
        <w:t>explains</w:t>
      </w:r>
      <w:r w:rsidR="001C68F1" w:rsidRPr="00240D66">
        <w:rPr>
          <w:rFonts w:asciiTheme="majorBidi" w:hAnsiTheme="majorBidi" w:cstheme="majorBidi"/>
          <w:sz w:val="24"/>
          <w:szCs w:val="24"/>
        </w:rPr>
        <w:t xml:space="preserve"> </w:t>
      </w:r>
      <w:r w:rsidR="009F2BAD" w:rsidRPr="00240D66">
        <w:rPr>
          <w:rFonts w:asciiTheme="majorBidi" w:hAnsiTheme="majorBidi" w:cstheme="majorBidi"/>
          <w:sz w:val="24"/>
          <w:szCs w:val="24"/>
        </w:rPr>
        <w:t>a</w:t>
      </w:r>
      <w:r w:rsidR="00783FA7" w:rsidRPr="00240D66">
        <w:rPr>
          <w:rFonts w:asciiTheme="majorBidi" w:hAnsiTheme="majorBidi" w:cstheme="majorBidi"/>
          <w:sz w:val="24"/>
          <w:szCs w:val="24"/>
        </w:rPr>
        <w:t>rms-length arrangements</w:t>
      </w:r>
      <w:r w:rsidR="009F2BAD" w:rsidRPr="00240D66">
        <w:rPr>
          <w:rFonts w:asciiTheme="majorBidi" w:hAnsiTheme="majorBidi" w:cstheme="majorBidi"/>
          <w:sz w:val="24"/>
          <w:szCs w:val="24"/>
        </w:rPr>
        <w:t xml:space="preserve"> </w:t>
      </w:r>
      <w:r w:rsidR="00324035" w:rsidRPr="00240D66">
        <w:rPr>
          <w:rFonts w:asciiTheme="majorBidi" w:hAnsiTheme="majorBidi" w:cstheme="majorBidi"/>
          <w:sz w:val="24"/>
          <w:szCs w:val="24"/>
        </w:rPr>
        <w:t>as</w:t>
      </w:r>
      <w:r w:rsidRPr="00240D66">
        <w:rPr>
          <w:rFonts w:asciiTheme="majorBidi" w:hAnsiTheme="majorBidi" w:cstheme="majorBidi"/>
          <w:sz w:val="24"/>
          <w:szCs w:val="24"/>
        </w:rPr>
        <w:t xml:space="preserve"> mechanisms by whic</w:t>
      </w:r>
      <w:r w:rsidR="00460744" w:rsidRPr="00240D66">
        <w:rPr>
          <w:rFonts w:asciiTheme="majorBidi" w:hAnsiTheme="majorBidi" w:cstheme="majorBidi"/>
          <w:sz w:val="24"/>
          <w:szCs w:val="24"/>
        </w:rPr>
        <w:t>h governing elites</w:t>
      </w:r>
      <w:r w:rsidRPr="00240D66">
        <w:rPr>
          <w:rFonts w:asciiTheme="majorBidi" w:hAnsiTheme="majorBidi" w:cstheme="majorBidi"/>
          <w:sz w:val="24"/>
          <w:szCs w:val="24"/>
        </w:rPr>
        <w:t xml:space="preserve"> </w:t>
      </w:r>
      <w:r w:rsidR="000C61FD" w:rsidRPr="00240D66">
        <w:rPr>
          <w:rFonts w:asciiTheme="majorBidi" w:hAnsiTheme="majorBidi" w:cstheme="majorBidi"/>
          <w:sz w:val="24"/>
          <w:szCs w:val="24"/>
        </w:rPr>
        <w:t>remove</w:t>
      </w:r>
      <w:r w:rsidRPr="00240D66">
        <w:rPr>
          <w:rFonts w:asciiTheme="majorBidi" w:hAnsiTheme="majorBidi" w:cstheme="majorBidi"/>
          <w:sz w:val="24"/>
          <w:szCs w:val="24"/>
        </w:rPr>
        <w:t xml:space="preserve"> complex and contested issues</w:t>
      </w:r>
      <w:r w:rsidR="000C61FD" w:rsidRPr="00240D66">
        <w:rPr>
          <w:rFonts w:asciiTheme="majorBidi" w:hAnsiTheme="majorBidi" w:cstheme="majorBidi"/>
          <w:sz w:val="24"/>
          <w:szCs w:val="24"/>
        </w:rPr>
        <w:t xml:space="preserve"> from the public agenda</w:t>
      </w:r>
      <w:r w:rsidRPr="00240D66">
        <w:rPr>
          <w:rFonts w:asciiTheme="majorBidi" w:hAnsiTheme="majorBidi" w:cstheme="majorBidi"/>
          <w:sz w:val="24"/>
          <w:szCs w:val="24"/>
        </w:rPr>
        <w:t xml:space="preserve">. </w:t>
      </w:r>
      <w:r w:rsidR="00460744" w:rsidRPr="00240D66">
        <w:rPr>
          <w:rFonts w:asciiTheme="majorBidi" w:hAnsiTheme="majorBidi" w:cstheme="majorBidi"/>
          <w:sz w:val="24"/>
          <w:szCs w:val="24"/>
        </w:rPr>
        <w:t>Though both acc</w:t>
      </w:r>
      <w:r w:rsidR="0083585C" w:rsidRPr="00240D66">
        <w:rPr>
          <w:rFonts w:asciiTheme="majorBidi" w:hAnsiTheme="majorBidi" w:cstheme="majorBidi"/>
          <w:sz w:val="24"/>
          <w:szCs w:val="24"/>
        </w:rPr>
        <w:t xml:space="preserve">ounts offer </w:t>
      </w:r>
      <w:r w:rsidR="007F3F90" w:rsidRPr="00240D66">
        <w:rPr>
          <w:rFonts w:asciiTheme="majorBidi" w:hAnsiTheme="majorBidi" w:cstheme="majorBidi"/>
          <w:sz w:val="24"/>
          <w:szCs w:val="24"/>
        </w:rPr>
        <w:t xml:space="preserve">broad-brushed insights </w:t>
      </w:r>
      <w:r w:rsidR="00AE638B" w:rsidRPr="00240D66">
        <w:rPr>
          <w:rFonts w:asciiTheme="majorBidi" w:hAnsiTheme="majorBidi" w:cstheme="majorBidi"/>
          <w:sz w:val="24"/>
          <w:szCs w:val="24"/>
        </w:rPr>
        <w:t>into the factors underpinning the proliferation</w:t>
      </w:r>
      <w:r w:rsidR="00E83653" w:rsidRPr="00240D66">
        <w:rPr>
          <w:rFonts w:asciiTheme="majorBidi" w:hAnsiTheme="majorBidi" w:cstheme="majorBidi"/>
          <w:sz w:val="24"/>
          <w:szCs w:val="24"/>
        </w:rPr>
        <w:t xml:space="preserve"> of arms-</w:t>
      </w:r>
      <w:r w:rsidR="00AE638B" w:rsidRPr="00240D66">
        <w:rPr>
          <w:rFonts w:asciiTheme="majorBidi" w:hAnsiTheme="majorBidi" w:cstheme="majorBidi"/>
          <w:sz w:val="24"/>
          <w:szCs w:val="24"/>
        </w:rPr>
        <w:t>length arrangements</w:t>
      </w:r>
      <w:r w:rsidR="00324035" w:rsidRPr="00240D66">
        <w:rPr>
          <w:rFonts w:asciiTheme="majorBidi" w:hAnsiTheme="majorBidi" w:cstheme="majorBidi"/>
          <w:sz w:val="24"/>
          <w:szCs w:val="24"/>
        </w:rPr>
        <w:t xml:space="preserve">, neither </w:t>
      </w:r>
      <w:r w:rsidR="007F3F90" w:rsidRPr="00240D66">
        <w:rPr>
          <w:rFonts w:asciiTheme="majorBidi" w:hAnsiTheme="majorBidi" w:cstheme="majorBidi"/>
          <w:sz w:val="24"/>
          <w:szCs w:val="24"/>
        </w:rPr>
        <w:t>explain</w:t>
      </w:r>
      <w:r w:rsidR="00324035" w:rsidRPr="00240D66">
        <w:rPr>
          <w:rFonts w:asciiTheme="majorBidi" w:hAnsiTheme="majorBidi" w:cstheme="majorBidi"/>
          <w:sz w:val="24"/>
          <w:szCs w:val="24"/>
        </w:rPr>
        <w:t>s</w:t>
      </w:r>
      <w:r w:rsidR="00783FA7" w:rsidRPr="00240D66">
        <w:rPr>
          <w:rFonts w:asciiTheme="majorBidi" w:hAnsiTheme="majorBidi" w:cstheme="majorBidi"/>
          <w:sz w:val="24"/>
          <w:szCs w:val="24"/>
        </w:rPr>
        <w:t xml:space="preserve"> the</w:t>
      </w:r>
      <w:r w:rsidR="007F3F90" w:rsidRPr="00240D66">
        <w:rPr>
          <w:rFonts w:asciiTheme="majorBidi" w:hAnsiTheme="majorBidi" w:cstheme="majorBidi"/>
          <w:sz w:val="24"/>
          <w:szCs w:val="24"/>
        </w:rPr>
        <w:t xml:space="preserve"> </w:t>
      </w:r>
      <w:r w:rsidR="00E83653" w:rsidRPr="00240D66">
        <w:rPr>
          <w:rFonts w:asciiTheme="majorBidi" w:hAnsiTheme="majorBidi" w:cstheme="majorBidi"/>
          <w:sz w:val="24"/>
          <w:szCs w:val="24"/>
        </w:rPr>
        <w:t>variable fortunes</w:t>
      </w:r>
      <w:r w:rsidR="00783FA7" w:rsidRPr="00240D66">
        <w:rPr>
          <w:rFonts w:asciiTheme="majorBidi" w:hAnsiTheme="majorBidi" w:cstheme="majorBidi"/>
          <w:sz w:val="24"/>
          <w:szCs w:val="24"/>
        </w:rPr>
        <w:t xml:space="preserve"> of </w:t>
      </w:r>
      <w:r w:rsidR="00AE638B" w:rsidRPr="00240D66">
        <w:rPr>
          <w:rFonts w:asciiTheme="majorBidi" w:hAnsiTheme="majorBidi" w:cstheme="majorBidi"/>
          <w:sz w:val="24"/>
          <w:szCs w:val="24"/>
        </w:rPr>
        <w:t xml:space="preserve">these bodies as they wax and wane </w:t>
      </w:r>
      <w:r w:rsidR="007F3F90" w:rsidRPr="00240D66">
        <w:rPr>
          <w:rFonts w:asciiTheme="majorBidi" w:hAnsiTheme="majorBidi" w:cstheme="majorBidi"/>
          <w:sz w:val="24"/>
          <w:szCs w:val="24"/>
        </w:rPr>
        <w:t>in practice</w:t>
      </w:r>
      <w:r w:rsidR="00783FA7" w:rsidRPr="00240D66">
        <w:rPr>
          <w:rFonts w:asciiTheme="majorBidi" w:hAnsiTheme="majorBidi" w:cstheme="majorBidi"/>
          <w:sz w:val="24"/>
          <w:szCs w:val="24"/>
        </w:rPr>
        <w:t>.</w:t>
      </w:r>
      <w:r w:rsidR="00AE638B" w:rsidRPr="00240D66">
        <w:rPr>
          <w:rFonts w:asciiTheme="majorBidi" w:hAnsiTheme="majorBidi" w:cstheme="majorBidi"/>
          <w:sz w:val="24"/>
          <w:szCs w:val="24"/>
        </w:rPr>
        <w:t xml:space="preserve"> Attempts to drill down into drivers of this varia</w:t>
      </w:r>
      <w:r w:rsidR="00324035" w:rsidRPr="00240D66">
        <w:rPr>
          <w:rFonts w:asciiTheme="majorBidi" w:hAnsiTheme="majorBidi" w:cstheme="majorBidi"/>
          <w:sz w:val="24"/>
          <w:szCs w:val="24"/>
        </w:rPr>
        <w:t>tion have found no clear</w:t>
      </w:r>
      <w:r w:rsidR="00AE638B" w:rsidRPr="00240D66">
        <w:rPr>
          <w:rFonts w:asciiTheme="majorBidi" w:hAnsiTheme="majorBidi" w:cstheme="majorBidi"/>
          <w:sz w:val="24"/>
          <w:szCs w:val="24"/>
        </w:rPr>
        <w:t xml:space="preserve"> patterns (van</w:t>
      </w:r>
      <w:r w:rsidR="00636814" w:rsidRPr="00240D66">
        <w:rPr>
          <w:rFonts w:asciiTheme="majorBidi" w:hAnsiTheme="majorBidi" w:cstheme="majorBidi"/>
          <w:sz w:val="24"/>
          <w:szCs w:val="24"/>
        </w:rPr>
        <w:t xml:space="preserve"> Thiel 2012</w:t>
      </w:r>
      <w:r w:rsidR="00AE638B" w:rsidRPr="00240D66">
        <w:rPr>
          <w:rFonts w:asciiTheme="majorBidi" w:hAnsiTheme="majorBidi" w:cstheme="majorBidi"/>
          <w:sz w:val="24"/>
          <w:szCs w:val="24"/>
        </w:rPr>
        <w:t>; Howard 2016).</w:t>
      </w:r>
      <w:r w:rsidR="00460744" w:rsidRPr="00240D66">
        <w:rPr>
          <w:rFonts w:asciiTheme="majorBidi" w:hAnsiTheme="majorBidi" w:cstheme="majorBidi"/>
          <w:sz w:val="24"/>
          <w:szCs w:val="24"/>
        </w:rPr>
        <w:t xml:space="preserve"> </w:t>
      </w:r>
      <w:r w:rsidR="00222D20" w:rsidRPr="00240D66">
        <w:rPr>
          <w:rFonts w:asciiTheme="majorBidi" w:hAnsiTheme="majorBidi" w:cstheme="majorBidi"/>
          <w:sz w:val="24"/>
          <w:szCs w:val="24"/>
        </w:rPr>
        <w:t>A</w:t>
      </w:r>
      <w:r w:rsidR="00460744" w:rsidRPr="00240D66">
        <w:rPr>
          <w:rFonts w:asciiTheme="majorBidi" w:hAnsiTheme="majorBidi" w:cstheme="majorBidi"/>
          <w:sz w:val="24"/>
          <w:szCs w:val="24"/>
        </w:rPr>
        <w:t xml:space="preserve"> new analytical device </w:t>
      </w:r>
      <w:r w:rsidR="008E320D" w:rsidRPr="00240D66">
        <w:rPr>
          <w:rFonts w:asciiTheme="majorBidi" w:hAnsiTheme="majorBidi" w:cstheme="majorBidi"/>
          <w:sz w:val="24"/>
          <w:szCs w:val="24"/>
        </w:rPr>
        <w:t>is emerging</w:t>
      </w:r>
      <w:r w:rsidR="00F35FCE" w:rsidRPr="00240D66">
        <w:rPr>
          <w:rFonts w:asciiTheme="majorBidi" w:hAnsiTheme="majorBidi" w:cstheme="majorBidi"/>
          <w:sz w:val="24"/>
          <w:szCs w:val="24"/>
        </w:rPr>
        <w:t xml:space="preserve"> </w:t>
      </w:r>
      <w:r w:rsidR="00460744" w:rsidRPr="00240D66">
        <w:rPr>
          <w:rFonts w:asciiTheme="majorBidi" w:hAnsiTheme="majorBidi" w:cstheme="majorBidi"/>
          <w:sz w:val="24"/>
          <w:szCs w:val="24"/>
        </w:rPr>
        <w:t xml:space="preserve">that </w:t>
      </w:r>
      <w:r w:rsidR="007F3F90" w:rsidRPr="00240D66">
        <w:rPr>
          <w:rFonts w:asciiTheme="majorBidi" w:hAnsiTheme="majorBidi" w:cstheme="majorBidi"/>
          <w:sz w:val="24"/>
          <w:szCs w:val="24"/>
        </w:rPr>
        <w:t xml:space="preserve">can </w:t>
      </w:r>
      <w:r w:rsidR="00460744" w:rsidRPr="00240D66">
        <w:rPr>
          <w:rFonts w:asciiTheme="majorBidi" w:hAnsiTheme="majorBidi" w:cstheme="majorBidi"/>
          <w:sz w:val="24"/>
          <w:szCs w:val="24"/>
        </w:rPr>
        <w:t xml:space="preserve">shed </w:t>
      </w:r>
      <w:r w:rsidR="008E320D" w:rsidRPr="00240D66">
        <w:rPr>
          <w:rFonts w:asciiTheme="majorBidi" w:hAnsiTheme="majorBidi" w:cstheme="majorBidi"/>
          <w:sz w:val="24"/>
          <w:szCs w:val="24"/>
        </w:rPr>
        <w:t>vital</w:t>
      </w:r>
      <w:r w:rsidR="0004294F" w:rsidRPr="00240D66">
        <w:rPr>
          <w:rFonts w:asciiTheme="majorBidi" w:hAnsiTheme="majorBidi" w:cstheme="majorBidi"/>
          <w:sz w:val="24"/>
          <w:szCs w:val="24"/>
        </w:rPr>
        <w:t xml:space="preserve"> </w:t>
      </w:r>
      <w:r w:rsidR="008E320D" w:rsidRPr="00240D66">
        <w:rPr>
          <w:rFonts w:asciiTheme="majorBidi" w:hAnsiTheme="majorBidi" w:cstheme="majorBidi"/>
          <w:sz w:val="24"/>
          <w:szCs w:val="24"/>
        </w:rPr>
        <w:t xml:space="preserve">new </w:t>
      </w:r>
      <w:r w:rsidR="00460744" w:rsidRPr="00240D66">
        <w:rPr>
          <w:rFonts w:asciiTheme="majorBidi" w:hAnsiTheme="majorBidi" w:cstheme="majorBidi"/>
          <w:sz w:val="24"/>
          <w:szCs w:val="24"/>
        </w:rPr>
        <w:t>light on</w:t>
      </w:r>
      <w:r w:rsidR="0033040B" w:rsidRPr="00240D66">
        <w:rPr>
          <w:rFonts w:asciiTheme="majorBidi" w:hAnsiTheme="majorBidi" w:cstheme="majorBidi"/>
          <w:sz w:val="24"/>
          <w:szCs w:val="24"/>
        </w:rPr>
        <w:t xml:space="preserve"> these fluctuation</w:t>
      </w:r>
      <w:r w:rsidR="007F3F90" w:rsidRPr="00240D66">
        <w:rPr>
          <w:rFonts w:asciiTheme="majorBidi" w:hAnsiTheme="majorBidi" w:cstheme="majorBidi"/>
          <w:sz w:val="24"/>
          <w:szCs w:val="24"/>
        </w:rPr>
        <w:t>s</w:t>
      </w:r>
      <w:r w:rsidR="00460744" w:rsidRPr="00240D66">
        <w:rPr>
          <w:rFonts w:asciiTheme="majorBidi" w:hAnsiTheme="majorBidi" w:cstheme="majorBidi"/>
          <w:sz w:val="24"/>
          <w:szCs w:val="24"/>
        </w:rPr>
        <w:t>: boundary work</w:t>
      </w:r>
      <w:r w:rsidR="005B2781" w:rsidRPr="00240D66">
        <w:rPr>
          <w:rFonts w:asciiTheme="majorBidi" w:hAnsiTheme="majorBidi" w:cstheme="majorBidi"/>
          <w:sz w:val="24"/>
          <w:szCs w:val="24"/>
        </w:rPr>
        <w:t>.</w:t>
      </w:r>
    </w:p>
    <w:p w:rsidR="00460744" w:rsidRPr="00240D66" w:rsidRDefault="00B72599"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In fact,</w:t>
      </w:r>
      <w:r w:rsidR="00460744" w:rsidRPr="00240D66">
        <w:rPr>
          <w:rFonts w:asciiTheme="majorBidi" w:hAnsiTheme="majorBidi" w:cstheme="majorBidi"/>
          <w:sz w:val="24"/>
          <w:szCs w:val="24"/>
        </w:rPr>
        <w:t xml:space="preserve"> boundary work has long represented the orthodox </w:t>
      </w:r>
      <w:r w:rsidR="007F3F90" w:rsidRPr="00240D66">
        <w:rPr>
          <w:rFonts w:asciiTheme="majorBidi" w:hAnsiTheme="majorBidi" w:cstheme="majorBidi"/>
          <w:sz w:val="24"/>
          <w:szCs w:val="24"/>
        </w:rPr>
        <w:t xml:space="preserve">approach to </w:t>
      </w:r>
      <w:r w:rsidR="00235E58" w:rsidRPr="00240D66">
        <w:rPr>
          <w:rFonts w:asciiTheme="majorBidi" w:hAnsiTheme="majorBidi" w:cstheme="majorBidi"/>
          <w:sz w:val="24"/>
          <w:szCs w:val="24"/>
        </w:rPr>
        <w:t>detailed examination of</w:t>
      </w:r>
      <w:r w:rsidR="007F3F90" w:rsidRPr="00240D66">
        <w:rPr>
          <w:rFonts w:asciiTheme="majorBidi" w:hAnsiTheme="majorBidi" w:cstheme="majorBidi"/>
          <w:sz w:val="24"/>
          <w:szCs w:val="24"/>
        </w:rPr>
        <w:t xml:space="preserve"> </w:t>
      </w:r>
      <w:r w:rsidR="004058E9" w:rsidRPr="00240D66">
        <w:rPr>
          <w:rFonts w:asciiTheme="majorBidi" w:hAnsiTheme="majorBidi" w:cstheme="majorBidi"/>
          <w:sz w:val="24"/>
          <w:szCs w:val="24"/>
        </w:rPr>
        <w:t>arms-length governance</w:t>
      </w:r>
      <w:r w:rsidR="00460744" w:rsidRPr="00240D66">
        <w:rPr>
          <w:rFonts w:asciiTheme="majorBidi" w:hAnsiTheme="majorBidi" w:cstheme="majorBidi"/>
          <w:sz w:val="24"/>
          <w:szCs w:val="24"/>
        </w:rPr>
        <w:t xml:space="preserve"> </w:t>
      </w:r>
      <w:r w:rsidR="007F3F90" w:rsidRPr="00240D66">
        <w:rPr>
          <w:rFonts w:asciiTheme="majorBidi" w:hAnsiTheme="majorBidi" w:cstheme="majorBidi"/>
          <w:sz w:val="24"/>
          <w:szCs w:val="24"/>
        </w:rPr>
        <w:t xml:space="preserve">arrangements </w:t>
      </w:r>
      <w:r w:rsidR="00460744" w:rsidRPr="00240D66">
        <w:rPr>
          <w:rFonts w:asciiTheme="majorBidi" w:hAnsiTheme="majorBidi" w:cstheme="majorBidi"/>
          <w:sz w:val="24"/>
          <w:szCs w:val="24"/>
        </w:rPr>
        <w:t xml:space="preserve">in the cognate discipline of science and technology studies (STS). For STS scholars, </w:t>
      </w:r>
      <w:r w:rsidR="00783FA7" w:rsidRPr="00240D66">
        <w:rPr>
          <w:rFonts w:asciiTheme="majorBidi" w:hAnsiTheme="majorBidi" w:cstheme="majorBidi"/>
          <w:sz w:val="24"/>
          <w:szCs w:val="24"/>
        </w:rPr>
        <w:t>such arrangements</w:t>
      </w:r>
      <w:r w:rsidR="00BF29F1" w:rsidRPr="00240D66">
        <w:rPr>
          <w:rFonts w:asciiTheme="majorBidi" w:hAnsiTheme="majorBidi" w:cstheme="majorBidi"/>
          <w:sz w:val="24"/>
          <w:szCs w:val="24"/>
        </w:rPr>
        <w:t xml:space="preserve"> </w:t>
      </w:r>
      <w:r w:rsidR="00AF0DA3" w:rsidRPr="00240D66">
        <w:rPr>
          <w:rFonts w:asciiTheme="majorBidi" w:hAnsiTheme="majorBidi" w:cstheme="majorBidi"/>
          <w:sz w:val="24"/>
          <w:szCs w:val="24"/>
        </w:rPr>
        <w:t>are</w:t>
      </w:r>
      <w:r w:rsidR="00460744" w:rsidRPr="00240D66">
        <w:rPr>
          <w:rFonts w:asciiTheme="majorBidi" w:hAnsiTheme="majorBidi" w:cstheme="majorBidi"/>
          <w:sz w:val="24"/>
          <w:szCs w:val="24"/>
        </w:rPr>
        <w:t xml:space="preserve"> less products of a drive for specialisation or issue containment and more an institutional outlet through which the boundaries between science, politics and practice can be contested and remade. That is to say, </w:t>
      </w:r>
      <w:r w:rsidR="00783FA7" w:rsidRPr="00240D66">
        <w:rPr>
          <w:rFonts w:asciiTheme="majorBidi" w:hAnsiTheme="majorBidi" w:cstheme="majorBidi"/>
          <w:sz w:val="24"/>
          <w:szCs w:val="24"/>
        </w:rPr>
        <w:t>arms-length bodies</w:t>
      </w:r>
      <w:r w:rsidR="00460744" w:rsidRPr="00240D66">
        <w:rPr>
          <w:rFonts w:asciiTheme="majorBidi" w:hAnsiTheme="majorBidi" w:cstheme="majorBidi"/>
          <w:sz w:val="24"/>
          <w:szCs w:val="24"/>
        </w:rPr>
        <w:t xml:space="preserve"> are seen not as management instruments for the efficient, uncontentious delivery of services but as institutional </w:t>
      </w:r>
      <w:r w:rsidR="0004294F" w:rsidRPr="00240D66">
        <w:rPr>
          <w:rFonts w:asciiTheme="majorBidi" w:hAnsiTheme="majorBidi" w:cstheme="majorBidi"/>
          <w:sz w:val="24"/>
          <w:szCs w:val="24"/>
        </w:rPr>
        <w:t>configurations</w:t>
      </w:r>
      <w:r w:rsidR="00460744" w:rsidRPr="00240D66">
        <w:rPr>
          <w:rFonts w:asciiTheme="majorBidi" w:hAnsiTheme="majorBidi" w:cstheme="majorBidi"/>
          <w:sz w:val="24"/>
          <w:szCs w:val="24"/>
        </w:rPr>
        <w:t xml:space="preserve"> which redefine technical issues of scientific or administrative knowledge from pragmatic issues of expert practice as from normative i</w:t>
      </w:r>
      <w:r w:rsidR="0004294F" w:rsidRPr="00240D66">
        <w:rPr>
          <w:rFonts w:asciiTheme="majorBidi" w:hAnsiTheme="majorBidi" w:cstheme="majorBidi"/>
          <w:sz w:val="24"/>
          <w:szCs w:val="24"/>
        </w:rPr>
        <w:t>ssues of political calculation. I</w:t>
      </w:r>
      <w:r w:rsidR="00460744" w:rsidRPr="00240D66">
        <w:rPr>
          <w:rFonts w:asciiTheme="majorBidi" w:hAnsiTheme="majorBidi" w:cstheme="majorBidi"/>
          <w:sz w:val="24"/>
          <w:szCs w:val="24"/>
        </w:rPr>
        <w:t>n the process</w:t>
      </w:r>
      <w:r w:rsidR="0004294F" w:rsidRPr="00240D66">
        <w:rPr>
          <w:rFonts w:asciiTheme="majorBidi" w:hAnsiTheme="majorBidi" w:cstheme="majorBidi"/>
          <w:sz w:val="24"/>
          <w:szCs w:val="24"/>
        </w:rPr>
        <w:t>, they reproduce</w:t>
      </w:r>
      <w:r w:rsidR="00806B96" w:rsidRPr="00240D66">
        <w:rPr>
          <w:rFonts w:asciiTheme="majorBidi" w:hAnsiTheme="majorBidi" w:cstheme="majorBidi"/>
          <w:sz w:val="24"/>
          <w:szCs w:val="24"/>
        </w:rPr>
        <w:t xml:space="preserve"> the ‘s</w:t>
      </w:r>
      <w:r w:rsidR="00460744" w:rsidRPr="00240D66">
        <w:rPr>
          <w:rFonts w:asciiTheme="majorBidi" w:hAnsiTheme="majorBidi" w:cstheme="majorBidi"/>
          <w:sz w:val="24"/>
          <w:szCs w:val="24"/>
        </w:rPr>
        <w:t>a</w:t>
      </w:r>
      <w:r w:rsidR="00806B96" w:rsidRPr="00240D66">
        <w:rPr>
          <w:rFonts w:asciiTheme="majorBidi" w:hAnsiTheme="majorBidi" w:cstheme="majorBidi"/>
          <w:sz w:val="24"/>
          <w:szCs w:val="24"/>
        </w:rPr>
        <w:t>c</w:t>
      </w:r>
      <w:r w:rsidR="00460744" w:rsidRPr="00240D66">
        <w:rPr>
          <w:rFonts w:asciiTheme="majorBidi" w:hAnsiTheme="majorBidi" w:cstheme="majorBidi"/>
          <w:sz w:val="24"/>
          <w:szCs w:val="24"/>
        </w:rPr>
        <w:t>red stories’ of each sphere and reinforc</w:t>
      </w:r>
      <w:r w:rsidR="00060697" w:rsidRPr="00240D66">
        <w:rPr>
          <w:rFonts w:asciiTheme="majorBidi" w:hAnsiTheme="majorBidi" w:cstheme="majorBidi"/>
          <w:sz w:val="24"/>
          <w:szCs w:val="24"/>
        </w:rPr>
        <w:t>e</w:t>
      </w:r>
      <w:r w:rsidR="00460744" w:rsidRPr="00240D66">
        <w:rPr>
          <w:rFonts w:asciiTheme="majorBidi" w:hAnsiTheme="majorBidi" w:cstheme="majorBidi"/>
          <w:sz w:val="24"/>
          <w:szCs w:val="24"/>
        </w:rPr>
        <w:t xml:space="preserve"> the authority of the scientists, practitioners an</w:t>
      </w:r>
      <w:r w:rsidR="0004294F" w:rsidRPr="00240D66">
        <w:rPr>
          <w:rFonts w:asciiTheme="majorBidi" w:hAnsiTheme="majorBidi" w:cstheme="majorBidi"/>
          <w:sz w:val="24"/>
          <w:szCs w:val="24"/>
        </w:rPr>
        <w:t xml:space="preserve">d policymakers </w:t>
      </w:r>
      <w:r w:rsidR="00324035" w:rsidRPr="00240D66">
        <w:rPr>
          <w:rFonts w:asciiTheme="majorBidi" w:hAnsiTheme="majorBidi" w:cstheme="majorBidi"/>
          <w:sz w:val="24"/>
          <w:szCs w:val="24"/>
        </w:rPr>
        <w:t>in</w:t>
      </w:r>
      <w:r w:rsidR="0004294F" w:rsidRPr="00240D66">
        <w:rPr>
          <w:rFonts w:asciiTheme="majorBidi" w:hAnsiTheme="majorBidi" w:cstheme="majorBidi"/>
          <w:sz w:val="24"/>
          <w:szCs w:val="24"/>
        </w:rPr>
        <w:t xml:space="preserve"> each</w:t>
      </w:r>
      <w:r w:rsidR="00C4477F" w:rsidRPr="00240D66">
        <w:rPr>
          <w:rFonts w:asciiTheme="majorBidi" w:hAnsiTheme="majorBidi" w:cstheme="majorBidi"/>
          <w:sz w:val="24"/>
          <w:szCs w:val="24"/>
        </w:rPr>
        <w:t>.</w:t>
      </w:r>
      <w:r w:rsidR="00F35FCE" w:rsidRPr="00240D66">
        <w:rPr>
          <w:rFonts w:asciiTheme="majorBidi" w:hAnsiTheme="majorBidi" w:cstheme="majorBidi"/>
          <w:sz w:val="24"/>
          <w:szCs w:val="24"/>
        </w:rPr>
        <w:t xml:space="preserve"> </w:t>
      </w:r>
    </w:p>
    <w:p w:rsidR="0004294F" w:rsidRPr="00240D66" w:rsidRDefault="00324035"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This paper</w:t>
      </w:r>
      <w:r w:rsidR="008E320D" w:rsidRPr="00240D66">
        <w:rPr>
          <w:rFonts w:asciiTheme="majorBidi" w:hAnsiTheme="majorBidi" w:cstheme="majorBidi"/>
          <w:sz w:val="24"/>
          <w:szCs w:val="24"/>
        </w:rPr>
        <w:t xml:space="preserve"> argu</w:t>
      </w:r>
      <w:r w:rsidRPr="00240D66">
        <w:rPr>
          <w:rFonts w:asciiTheme="majorBidi" w:hAnsiTheme="majorBidi" w:cstheme="majorBidi"/>
          <w:sz w:val="24"/>
          <w:szCs w:val="24"/>
        </w:rPr>
        <w:t>es</w:t>
      </w:r>
      <w:r w:rsidR="0004294F" w:rsidRPr="00240D66">
        <w:rPr>
          <w:rFonts w:asciiTheme="majorBidi" w:hAnsiTheme="majorBidi" w:cstheme="majorBidi"/>
          <w:sz w:val="24"/>
          <w:szCs w:val="24"/>
        </w:rPr>
        <w:t xml:space="preserve"> that </w:t>
      </w:r>
      <w:r w:rsidR="0033040B" w:rsidRPr="00240D66">
        <w:rPr>
          <w:rFonts w:asciiTheme="majorBidi" w:hAnsiTheme="majorBidi" w:cstheme="majorBidi"/>
          <w:sz w:val="24"/>
          <w:szCs w:val="24"/>
        </w:rPr>
        <w:t>boundary work</w:t>
      </w:r>
      <w:r w:rsidR="0004294F" w:rsidRPr="00240D66">
        <w:rPr>
          <w:rFonts w:asciiTheme="majorBidi" w:hAnsiTheme="majorBidi" w:cstheme="majorBidi"/>
          <w:sz w:val="24"/>
          <w:szCs w:val="24"/>
        </w:rPr>
        <w:t xml:space="preserve"> </w:t>
      </w:r>
      <w:r w:rsidR="008E320D" w:rsidRPr="00240D66">
        <w:rPr>
          <w:rFonts w:asciiTheme="majorBidi" w:hAnsiTheme="majorBidi" w:cstheme="majorBidi"/>
          <w:sz w:val="24"/>
          <w:szCs w:val="24"/>
        </w:rPr>
        <w:t>can provide great purchase for analysts hoping to understand</w:t>
      </w:r>
      <w:r w:rsidR="0004294F" w:rsidRPr="00240D66">
        <w:rPr>
          <w:rFonts w:asciiTheme="majorBidi" w:hAnsiTheme="majorBidi" w:cstheme="majorBidi"/>
          <w:sz w:val="24"/>
          <w:szCs w:val="24"/>
        </w:rPr>
        <w:t xml:space="preserve"> the </w:t>
      </w:r>
      <w:r w:rsidR="00AE638B" w:rsidRPr="00240D66">
        <w:rPr>
          <w:rFonts w:asciiTheme="majorBidi" w:hAnsiTheme="majorBidi" w:cstheme="majorBidi"/>
          <w:sz w:val="24"/>
          <w:szCs w:val="24"/>
        </w:rPr>
        <w:t xml:space="preserve">vicissitudes </w:t>
      </w:r>
      <w:r w:rsidR="0004294F" w:rsidRPr="00240D66">
        <w:rPr>
          <w:rFonts w:asciiTheme="majorBidi" w:hAnsiTheme="majorBidi" w:cstheme="majorBidi"/>
          <w:sz w:val="24"/>
          <w:szCs w:val="24"/>
        </w:rPr>
        <w:t xml:space="preserve">of </w:t>
      </w:r>
      <w:r w:rsidR="009D226B" w:rsidRPr="00240D66">
        <w:rPr>
          <w:rFonts w:asciiTheme="majorBidi" w:hAnsiTheme="majorBidi" w:cstheme="majorBidi"/>
          <w:sz w:val="24"/>
          <w:szCs w:val="24"/>
        </w:rPr>
        <w:t>administrative</w:t>
      </w:r>
      <w:r w:rsidR="0004294F" w:rsidRPr="00240D66">
        <w:rPr>
          <w:rFonts w:asciiTheme="majorBidi" w:hAnsiTheme="majorBidi" w:cstheme="majorBidi"/>
          <w:sz w:val="24"/>
          <w:szCs w:val="24"/>
        </w:rPr>
        <w:t xml:space="preserve"> reform. </w:t>
      </w:r>
      <w:r w:rsidR="00060697" w:rsidRPr="00240D66">
        <w:rPr>
          <w:rFonts w:asciiTheme="majorBidi" w:hAnsiTheme="majorBidi" w:cstheme="majorBidi"/>
          <w:sz w:val="24"/>
          <w:szCs w:val="24"/>
        </w:rPr>
        <w:t xml:space="preserve">The logic of boundary work helps to explain </w:t>
      </w:r>
      <w:r w:rsidR="001B1E74" w:rsidRPr="00240D66">
        <w:rPr>
          <w:rFonts w:asciiTheme="majorBidi" w:hAnsiTheme="majorBidi" w:cstheme="majorBidi"/>
          <w:sz w:val="24"/>
          <w:szCs w:val="24"/>
        </w:rPr>
        <w:t xml:space="preserve">arms-length bodies as </w:t>
      </w:r>
      <w:r w:rsidR="001B1E74" w:rsidRPr="00240D66">
        <w:rPr>
          <w:rFonts w:asciiTheme="majorBidi" w:hAnsiTheme="majorBidi" w:cstheme="majorBidi"/>
          <w:i/>
          <w:iCs/>
          <w:sz w:val="24"/>
          <w:szCs w:val="24"/>
        </w:rPr>
        <w:t>boundary organisations</w:t>
      </w:r>
      <w:r w:rsidR="001B1E74" w:rsidRPr="00240D66">
        <w:rPr>
          <w:rFonts w:asciiTheme="majorBidi" w:hAnsiTheme="majorBidi" w:cstheme="majorBidi"/>
          <w:sz w:val="24"/>
          <w:szCs w:val="24"/>
        </w:rPr>
        <w:t xml:space="preserve">—it shows </w:t>
      </w:r>
      <w:r w:rsidR="00060697" w:rsidRPr="00240D66">
        <w:rPr>
          <w:rFonts w:asciiTheme="majorBidi" w:hAnsiTheme="majorBidi" w:cstheme="majorBidi"/>
          <w:sz w:val="24"/>
          <w:szCs w:val="24"/>
        </w:rPr>
        <w:t>how and why a</w:t>
      </w:r>
      <w:r w:rsidR="007F3F90" w:rsidRPr="00240D66">
        <w:rPr>
          <w:rFonts w:asciiTheme="majorBidi" w:hAnsiTheme="majorBidi" w:cstheme="majorBidi"/>
          <w:sz w:val="24"/>
          <w:szCs w:val="24"/>
        </w:rPr>
        <w:t>rm</w:t>
      </w:r>
      <w:r w:rsidR="00060697" w:rsidRPr="00240D66">
        <w:rPr>
          <w:rFonts w:asciiTheme="majorBidi" w:hAnsiTheme="majorBidi" w:cstheme="majorBidi"/>
          <w:sz w:val="24"/>
          <w:szCs w:val="24"/>
        </w:rPr>
        <w:t>s</w:t>
      </w:r>
      <w:r w:rsidR="007F3F90" w:rsidRPr="00240D66">
        <w:rPr>
          <w:rFonts w:asciiTheme="majorBidi" w:hAnsiTheme="majorBidi" w:cstheme="majorBidi"/>
          <w:sz w:val="24"/>
          <w:szCs w:val="24"/>
        </w:rPr>
        <w:t>-length bodies</w:t>
      </w:r>
      <w:r w:rsidR="00060697" w:rsidRPr="00240D66">
        <w:rPr>
          <w:rFonts w:asciiTheme="majorBidi" w:hAnsiTheme="majorBidi" w:cstheme="majorBidi"/>
          <w:sz w:val="24"/>
          <w:szCs w:val="24"/>
        </w:rPr>
        <w:t xml:space="preserve"> appeal to a range of influential policy actors</w:t>
      </w:r>
      <w:r w:rsidR="00806B96" w:rsidRPr="00240D66">
        <w:rPr>
          <w:rFonts w:asciiTheme="majorBidi" w:hAnsiTheme="majorBidi" w:cstheme="majorBidi"/>
          <w:sz w:val="24"/>
          <w:szCs w:val="24"/>
        </w:rPr>
        <w:t xml:space="preserve"> (in and beyond the state)</w:t>
      </w:r>
      <w:r w:rsidR="00060697" w:rsidRPr="00240D66">
        <w:rPr>
          <w:rFonts w:asciiTheme="majorBidi" w:hAnsiTheme="majorBidi" w:cstheme="majorBidi"/>
          <w:sz w:val="24"/>
          <w:szCs w:val="24"/>
        </w:rPr>
        <w:t>, and persist</w:t>
      </w:r>
      <w:r w:rsidR="00286D99" w:rsidRPr="00240D66">
        <w:rPr>
          <w:rFonts w:asciiTheme="majorBidi" w:hAnsiTheme="majorBidi" w:cstheme="majorBidi"/>
          <w:sz w:val="24"/>
          <w:szCs w:val="24"/>
        </w:rPr>
        <w:t xml:space="preserve"> or dissolve</w:t>
      </w:r>
      <w:r w:rsidR="00060697" w:rsidRPr="00240D66">
        <w:rPr>
          <w:rFonts w:asciiTheme="majorBidi" w:hAnsiTheme="majorBidi" w:cstheme="majorBidi"/>
          <w:sz w:val="24"/>
          <w:szCs w:val="24"/>
        </w:rPr>
        <w:t xml:space="preserve"> in the messy, contested context of networked governance. </w:t>
      </w:r>
      <w:r w:rsidR="00577AC8" w:rsidRPr="00240D66">
        <w:rPr>
          <w:rFonts w:asciiTheme="majorBidi" w:hAnsiTheme="majorBidi" w:cstheme="majorBidi"/>
          <w:sz w:val="24"/>
          <w:szCs w:val="24"/>
        </w:rPr>
        <w:t>As such</w:t>
      </w:r>
      <w:r w:rsidR="0083585C" w:rsidRPr="00240D66">
        <w:rPr>
          <w:rFonts w:asciiTheme="majorBidi" w:hAnsiTheme="majorBidi" w:cstheme="majorBidi"/>
          <w:sz w:val="24"/>
          <w:szCs w:val="24"/>
        </w:rPr>
        <w:t xml:space="preserve">, </w:t>
      </w:r>
      <w:r w:rsidR="00600491" w:rsidRPr="00240D66">
        <w:rPr>
          <w:rFonts w:asciiTheme="majorBidi" w:hAnsiTheme="majorBidi" w:cstheme="majorBidi"/>
          <w:sz w:val="24"/>
          <w:szCs w:val="24"/>
        </w:rPr>
        <w:t xml:space="preserve">boundary work </w:t>
      </w:r>
      <w:r w:rsidR="002E7757" w:rsidRPr="00240D66">
        <w:rPr>
          <w:rFonts w:asciiTheme="majorBidi" w:hAnsiTheme="majorBidi" w:cstheme="majorBidi"/>
          <w:sz w:val="24"/>
          <w:szCs w:val="24"/>
        </w:rPr>
        <w:t xml:space="preserve">offers insight into the instabilities and fluctuations that have come to characterise </w:t>
      </w:r>
      <w:r w:rsidR="0083585C" w:rsidRPr="00240D66">
        <w:rPr>
          <w:rFonts w:asciiTheme="majorBidi" w:hAnsiTheme="majorBidi" w:cstheme="majorBidi"/>
          <w:sz w:val="24"/>
          <w:szCs w:val="24"/>
        </w:rPr>
        <w:t xml:space="preserve">arms-length </w:t>
      </w:r>
      <w:r w:rsidR="00783FA7" w:rsidRPr="00240D66">
        <w:rPr>
          <w:rFonts w:asciiTheme="majorBidi" w:hAnsiTheme="majorBidi" w:cstheme="majorBidi"/>
          <w:sz w:val="24"/>
          <w:szCs w:val="24"/>
        </w:rPr>
        <w:t>arrangements</w:t>
      </w:r>
      <w:r w:rsidR="000B0861" w:rsidRPr="00240D66">
        <w:rPr>
          <w:rFonts w:asciiTheme="majorBidi" w:hAnsiTheme="majorBidi" w:cstheme="majorBidi"/>
          <w:sz w:val="24"/>
          <w:szCs w:val="24"/>
        </w:rPr>
        <w:t>. The crux</w:t>
      </w:r>
      <w:r w:rsidR="002E7757" w:rsidRPr="00240D66">
        <w:rPr>
          <w:rFonts w:asciiTheme="majorBidi" w:hAnsiTheme="majorBidi" w:cstheme="majorBidi"/>
          <w:sz w:val="24"/>
          <w:szCs w:val="24"/>
        </w:rPr>
        <w:t xml:space="preserve"> is that boundary work implies no simple institutional fix.</w:t>
      </w:r>
      <w:r w:rsidR="00577AC8" w:rsidRPr="00240D66">
        <w:rPr>
          <w:rFonts w:asciiTheme="majorBidi" w:hAnsiTheme="majorBidi" w:cstheme="majorBidi"/>
          <w:sz w:val="24"/>
          <w:szCs w:val="24"/>
        </w:rPr>
        <w:t xml:space="preserve"> Many </w:t>
      </w:r>
      <w:r w:rsidR="00577AC8" w:rsidRPr="00240D66">
        <w:rPr>
          <w:rFonts w:asciiTheme="majorBidi" w:hAnsiTheme="majorBidi" w:cstheme="majorBidi"/>
          <w:sz w:val="24"/>
          <w:szCs w:val="24"/>
        </w:rPr>
        <w:lastRenderedPageBreak/>
        <w:t>attem</w:t>
      </w:r>
      <w:r w:rsidR="000B0861" w:rsidRPr="00240D66">
        <w:rPr>
          <w:rFonts w:asciiTheme="majorBidi" w:hAnsiTheme="majorBidi" w:cstheme="majorBidi"/>
          <w:sz w:val="24"/>
          <w:szCs w:val="24"/>
        </w:rPr>
        <w:t>pts to coordinate boundary work</w:t>
      </w:r>
      <w:r w:rsidR="001B1E74" w:rsidRPr="00240D66">
        <w:rPr>
          <w:rFonts w:asciiTheme="majorBidi" w:hAnsiTheme="majorBidi" w:cstheme="majorBidi"/>
          <w:sz w:val="24"/>
          <w:szCs w:val="24"/>
        </w:rPr>
        <w:t xml:space="preserve"> </w:t>
      </w:r>
      <w:r w:rsidR="00577AC8" w:rsidRPr="00240D66">
        <w:rPr>
          <w:rFonts w:asciiTheme="majorBidi" w:hAnsiTheme="majorBidi" w:cstheme="majorBidi"/>
          <w:sz w:val="24"/>
          <w:szCs w:val="24"/>
        </w:rPr>
        <w:t>are resisted or eroded by the expert scientists, practitioners</w:t>
      </w:r>
      <w:r w:rsidR="005E39B9" w:rsidRPr="00240D66">
        <w:rPr>
          <w:rFonts w:asciiTheme="majorBidi" w:hAnsiTheme="majorBidi" w:cstheme="majorBidi"/>
          <w:sz w:val="24"/>
          <w:szCs w:val="24"/>
        </w:rPr>
        <w:t>, or corporate</w:t>
      </w:r>
      <w:r w:rsidR="00577AC8" w:rsidRPr="00240D66">
        <w:rPr>
          <w:rFonts w:asciiTheme="majorBidi" w:hAnsiTheme="majorBidi" w:cstheme="majorBidi"/>
          <w:sz w:val="24"/>
          <w:szCs w:val="24"/>
        </w:rPr>
        <w:t xml:space="preserve"> or political elites involved. </w:t>
      </w:r>
    </w:p>
    <w:p w:rsidR="00146C58" w:rsidRPr="00240D66" w:rsidRDefault="002E7757"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Th</w:t>
      </w:r>
      <w:r w:rsidR="00E3407D" w:rsidRPr="00240D66">
        <w:rPr>
          <w:rFonts w:asciiTheme="majorBidi" w:hAnsiTheme="majorBidi" w:cstheme="majorBidi"/>
          <w:sz w:val="24"/>
          <w:szCs w:val="24"/>
        </w:rPr>
        <w:t xml:space="preserve">is </w:t>
      </w:r>
      <w:r w:rsidRPr="00240D66">
        <w:rPr>
          <w:rFonts w:asciiTheme="majorBidi" w:hAnsiTheme="majorBidi" w:cstheme="majorBidi"/>
          <w:sz w:val="24"/>
          <w:szCs w:val="24"/>
        </w:rPr>
        <w:t>paper</w:t>
      </w:r>
      <w:r w:rsidR="000B0861" w:rsidRPr="00240D66">
        <w:rPr>
          <w:rFonts w:asciiTheme="majorBidi" w:hAnsiTheme="majorBidi" w:cstheme="majorBidi"/>
          <w:sz w:val="24"/>
          <w:szCs w:val="24"/>
        </w:rPr>
        <w:t xml:space="preserve"> </w:t>
      </w:r>
      <w:r w:rsidR="009273D7" w:rsidRPr="00240D66">
        <w:rPr>
          <w:rFonts w:asciiTheme="majorBidi" w:hAnsiTheme="majorBidi" w:cstheme="majorBidi"/>
          <w:sz w:val="24"/>
          <w:szCs w:val="24"/>
        </w:rPr>
        <w:t>provide</w:t>
      </w:r>
      <w:r w:rsidR="00E3407D" w:rsidRPr="00240D66">
        <w:rPr>
          <w:rFonts w:asciiTheme="majorBidi" w:hAnsiTheme="majorBidi" w:cstheme="majorBidi"/>
          <w:sz w:val="24"/>
          <w:szCs w:val="24"/>
        </w:rPr>
        <w:t>s</w:t>
      </w:r>
      <w:r w:rsidR="009273D7" w:rsidRPr="00240D66">
        <w:rPr>
          <w:rFonts w:asciiTheme="majorBidi" w:hAnsiTheme="majorBidi" w:cstheme="majorBidi"/>
          <w:sz w:val="24"/>
          <w:szCs w:val="24"/>
        </w:rPr>
        <w:t xml:space="preserve"> a conceptual account and empirical illustration of</w:t>
      </w:r>
      <w:r w:rsidR="00E3407D" w:rsidRPr="00240D66">
        <w:rPr>
          <w:rFonts w:asciiTheme="majorBidi" w:hAnsiTheme="majorBidi" w:cstheme="majorBidi"/>
          <w:sz w:val="24"/>
          <w:szCs w:val="24"/>
        </w:rPr>
        <w:t xml:space="preserve"> this argument</w:t>
      </w:r>
      <w:r w:rsidR="009273D7" w:rsidRPr="00240D66">
        <w:rPr>
          <w:rFonts w:asciiTheme="majorBidi" w:hAnsiTheme="majorBidi" w:cstheme="majorBidi"/>
          <w:sz w:val="24"/>
          <w:szCs w:val="24"/>
        </w:rPr>
        <w:t xml:space="preserve">. </w:t>
      </w:r>
      <w:r w:rsidR="0033040B" w:rsidRPr="00240D66">
        <w:rPr>
          <w:rFonts w:asciiTheme="majorBidi" w:hAnsiTheme="majorBidi" w:cstheme="majorBidi"/>
          <w:sz w:val="24"/>
          <w:szCs w:val="24"/>
        </w:rPr>
        <w:t>The first section</w:t>
      </w:r>
      <w:r w:rsidR="009273D7" w:rsidRPr="00240D66">
        <w:rPr>
          <w:rFonts w:asciiTheme="majorBidi" w:hAnsiTheme="majorBidi" w:cstheme="majorBidi"/>
          <w:sz w:val="24"/>
          <w:szCs w:val="24"/>
        </w:rPr>
        <w:t xml:space="preserve"> s</w:t>
      </w:r>
      <w:r w:rsidR="0033040B" w:rsidRPr="00240D66">
        <w:rPr>
          <w:rFonts w:asciiTheme="majorBidi" w:hAnsiTheme="majorBidi" w:cstheme="majorBidi"/>
          <w:sz w:val="24"/>
          <w:szCs w:val="24"/>
        </w:rPr>
        <w:t>ets out</w:t>
      </w:r>
      <w:r w:rsidR="009273D7" w:rsidRPr="00240D66">
        <w:rPr>
          <w:rFonts w:asciiTheme="majorBidi" w:hAnsiTheme="majorBidi" w:cstheme="majorBidi"/>
          <w:sz w:val="24"/>
          <w:szCs w:val="24"/>
        </w:rPr>
        <w:t xml:space="preserve"> and explor</w:t>
      </w:r>
      <w:r w:rsidR="0033040B" w:rsidRPr="00240D66">
        <w:rPr>
          <w:rFonts w:asciiTheme="majorBidi" w:hAnsiTheme="majorBidi" w:cstheme="majorBidi"/>
          <w:sz w:val="24"/>
          <w:szCs w:val="24"/>
        </w:rPr>
        <w:t>es</w:t>
      </w:r>
      <w:r w:rsidR="009273D7" w:rsidRPr="00240D66">
        <w:rPr>
          <w:rFonts w:asciiTheme="majorBidi" w:hAnsiTheme="majorBidi" w:cstheme="majorBidi"/>
          <w:sz w:val="24"/>
          <w:szCs w:val="24"/>
        </w:rPr>
        <w:t xml:space="preserve"> the limitations of </w:t>
      </w:r>
      <w:r w:rsidR="0033040B" w:rsidRPr="00240D66">
        <w:rPr>
          <w:rFonts w:asciiTheme="majorBidi" w:hAnsiTheme="majorBidi" w:cstheme="majorBidi"/>
          <w:sz w:val="24"/>
          <w:szCs w:val="24"/>
        </w:rPr>
        <w:t>existing</w:t>
      </w:r>
      <w:r w:rsidR="007F3F90" w:rsidRPr="00240D66">
        <w:rPr>
          <w:rFonts w:asciiTheme="majorBidi" w:hAnsiTheme="majorBidi" w:cstheme="majorBidi"/>
          <w:sz w:val="24"/>
          <w:szCs w:val="24"/>
        </w:rPr>
        <w:t xml:space="preserve"> </w:t>
      </w:r>
      <w:r w:rsidR="009273D7" w:rsidRPr="00240D66">
        <w:rPr>
          <w:rFonts w:asciiTheme="majorBidi" w:hAnsiTheme="majorBidi" w:cstheme="majorBidi"/>
          <w:sz w:val="24"/>
          <w:szCs w:val="24"/>
        </w:rPr>
        <w:t xml:space="preserve">explanations of </w:t>
      </w:r>
      <w:r w:rsidR="00783FA7" w:rsidRPr="00240D66">
        <w:rPr>
          <w:rFonts w:asciiTheme="majorBidi" w:hAnsiTheme="majorBidi" w:cstheme="majorBidi"/>
          <w:sz w:val="24"/>
          <w:szCs w:val="24"/>
        </w:rPr>
        <w:t>governance reform</w:t>
      </w:r>
      <w:r w:rsidR="00600491" w:rsidRPr="00240D66">
        <w:rPr>
          <w:rFonts w:asciiTheme="majorBidi" w:hAnsiTheme="majorBidi" w:cstheme="majorBidi"/>
          <w:sz w:val="24"/>
          <w:szCs w:val="24"/>
        </w:rPr>
        <w:t xml:space="preserve">. </w:t>
      </w:r>
      <w:r w:rsidR="0033040B" w:rsidRPr="00240D66">
        <w:rPr>
          <w:rFonts w:asciiTheme="majorBidi" w:hAnsiTheme="majorBidi" w:cstheme="majorBidi"/>
          <w:sz w:val="24"/>
          <w:szCs w:val="24"/>
        </w:rPr>
        <w:t>The second</w:t>
      </w:r>
      <w:r w:rsidR="00600491" w:rsidRPr="00240D66">
        <w:rPr>
          <w:rFonts w:asciiTheme="majorBidi" w:hAnsiTheme="majorBidi" w:cstheme="majorBidi"/>
          <w:sz w:val="24"/>
          <w:szCs w:val="24"/>
        </w:rPr>
        <w:t xml:space="preserve"> introduce</w:t>
      </w:r>
      <w:r w:rsidR="0033040B" w:rsidRPr="00240D66">
        <w:rPr>
          <w:rFonts w:asciiTheme="majorBidi" w:hAnsiTheme="majorBidi" w:cstheme="majorBidi"/>
          <w:sz w:val="24"/>
          <w:szCs w:val="24"/>
        </w:rPr>
        <w:t>s</w:t>
      </w:r>
      <w:r w:rsidR="009273D7" w:rsidRPr="00240D66">
        <w:rPr>
          <w:rFonts w:asciiTheme="majorBidi" w:hAnsiTheme="majorBidi" w:cstheme="majorBidi"/>
          <w:sz w:val="24"/>
          <w:szCs w:val="24"/>
        </w:rPr>
        <w:t xml:space="preserve"> boundary work </w:t>
      </w:r>
      <w:r w:rsidR="00E3407D" w:rsidRPr="00240D66">
        <w:rPr>
          <w:rFonts w:asciiTheme="majorBidi" w:hAnsiTheme="majorBidi" w:cstheme="majorBidi"/>
          <w:sz w:val="24"/>
          <w:szCs w:val="24"/>
        </w:rPr>
        <w:t>to develop</w:t>
      </w:r>
      <w:r w:rsidR="0033040B" w:rsidRPr="00240D66">
        <w:rPr>
          <w:rFonts w:asciiTheme="majorBidi" w:hAnsiTheme="majorBidi" w:cstheme="majorBidi"/>
          <w:sz w:val="24"/>
          <w:szCs w:val="24"/>
        </w:rPr>
        <w:t xml:space="preserve"> an analytical framework</w:t>
      </w:r>
      <w:r w:rsidR="00E3407D" w:rsidRPr="00240D66">
        <w:rPr>
          <w:rFonts w:asciiTheme="majorBidi" w:hAnsiTheme="majorBidi" w:cstheme="majorBidi"/>
          <w:sz w:val="24"/>
          <w:szCs w:val="24"/>
        </w:rPr>
        <w:t xml:space="preserve"> that</w:t>
      </w:r>
      <w:r w:rsidR="0033040B" w:rsidRPr="00240D66">
        <w:rPr>
          <w:rFonts w:asciiTheme="majorBidi" w:hAnsiTheme="majorBidi" w:cstheme="majorBidi"/>
          <w:sz w:val="24"/>
          <w:szCs w:val="24"/>
        </w:rPr>
        <w:t xml:space="preserve"> better account</w:t>
      </w:r>
      <w:r w:rsidR="00E3407D" w:rsidRPr="00240D66">
        <w:rPr>
          <w:rFonts w:asciiTheme="majorBidi" w:hAnsiTheme="majorBidi" w:cstheme="majorBidi"/>
          <w:sz w:val="24"/>
          <w:szCs w:val="24"/>
        </w:rPr>
        <w:t>s</w:t>
      </w:r>
      <w:r w:rsidR="0033040B" w:rsidRPr="00240D66">
        <w:rPr>
          <w:rFonts w:asciiTheme="majorBidi" w:hAnsiTheme="majorBidi" w:cstheme="majorBidi"/>
          <w:sz w:val="24"/>
          <w:szCs w:val="24"/>
        </w:rPr>
        <w:t xml:space="preserve"> for these fluctuations. The third and fourth</w:t>
      </w:r>
      <w:r w:rsidR="009273D7" w:rsidRPr="00240D66">
        <w:rPr>
          <w:rFonts w:asciiTheme="majorBidi" w:hAnsiTheme="majorBidi" w:cstheme="majorBidi"/>
          <w:sz w:val="24"/>
          <w:szCs w:val="24"/>
        </w:rPr>
        <w:t xml:space="preserve"> illustrate the benefits of adopting this approach by comparing two of the best-canvassed cases of arms-length governance in Britain: the National Institute for Health and C</w:t>
      </w:r>
      <w:r w:rsidR="00286D99" w:rsidRPr="00240D66">
        <w:rPr>
          <w:rFonts w:asciiTheme="majorBidi" w:hAnsiTheme="majorBidi" w:cstheme="majorBidi"/>
          <w:sz w:val="24"/>
          <w:szCs w:val="24"/>
        </w:rPr>
        <w:t>are</w:t>
      </w:r>
      <w:r w:rsidR="009273D7" w:rsidRPr="00240D66">
        <w:rPr>
          <w:rFonts w:asciiTheme="majorBidi" w:hAnsiTheme="majorBidi" w:cstheme="majorBidi"/>
          <w:sz w:val="24"/>
          <w:szCs w:val="24"/>
        </w:rPr>
        <w:t xml:space="preserve"> Excellence (NICE) and the Food Standards Agency (the FSA). </w:t>
      </w:r>
      <w:r w:rsidR="0033040B" w:rsidRPr="00240D66">
        <w:rPr>
          <w:rFonts w:asciiTheme="majorBidi" w:hAnsiTheme="majorBidi" w:cstheme="majorBidi"/>
          <w:sz w:val="24"/>
          <w:szCs w:val="24"/>
        </w:rPr>
        <w:t>The fifth spells out the unique insights that the boundary work framework provides in explaining the divergent trajectories of these apparently similar bodies</w:t>
      </w:r>
      <w:r w:rsidR="008D272A" w:rsidRPr="00240D66">
        <w:rPr>
          <w:rFonts w:asciiTheme="majorBidi" w:hAnsiTheme="majorBidi" w:cstheme="majorBidi"/>
          <w:sz w:val="24"/>
          <w:szCs w:val="24"/>
        </w:rPr>
        <w:t>.</w:t>
      </w:r>
      <w:r w:rsidR="00B0017C" w:rsidRPr="00240D66">
        <w:rPr>
          <w:rFonts w:asciiTheme="majorBidi" w:hAnsiTheme="majorBidi" w:cstheme="majorBidi"/>
          <w:sz w:val="24"/>
          <w:szCs w:val="24"/>
        </w:rPr>
        <w:t xml:space="preserve"> </w:t>
      </w:r>
      <w:r w:rsidR="0033040B" w:rsidRPr="00240D66">
        <w:rPr>
          <w:rFonts w:asciiTheme="majorBidi" w:hAnsiTheme="majorBidi" w:cstheme="majorBidi"/>
          <w:sz w:val="24"/>
          <w:szCs w:val="24"/>
        </w:rPr>
        <w:t>The paper concludes</w:t>
      </w:r>
      <w:r w:rsidR="00BC4035" w:rsidRPr="00240D66">
        <w:rPr>
          <w:rFonts w:asciiTheme="majorBidi" w:hAnsiTheme="majorBidi" w:cstheme="majorBidi"/>
          <w:sz w:val="24"/>
          <w:szCs w:val="24"/>
        </w:rPr>
        <w:t xml:space="preserve"> by outlining</w:t>
      </w:r>
      <w:r w:rsidR="00B0017C" w:rsidRPr="00240D66">
        <w:rPr>
          <w:rFonts w:asciiTheme="majorBidi" w:hAnsiTheme="majorBidi" w:cstheme="majorBidi"/>
          <w:sz w:val="24"/>
          <w:szCs w:val="24"/>
        </w:rPr>
        <w:t xml:space="preserve"> a new research agenda</w:t>
      </w:r>
      <w:r w:rsidR="00600491" w:rsidRPr="00240D66">
        <w:rPr>
          <w:rFonts w:asciiTheme="majorBidi" w:hAnsiTheme="majorBidi" w:cstheme="majorBidi"/>
          <w:sz w:val="24"/>
          <w:szCs w:val="24"/>
        </w:rPr>
        <w:t xml:space="preserve"> </w:t>
      </w:r>
      <w:r w:rsidR="00E3407D" w:rsidRPr="00240D66">
        <w:rPr>
          <w:rFonts w:asciiTheme="majorBidi" w:hAnsiTheme="majorBidi" w:cstheme="majorBidi"/>
          <w:sz w:val="24"/>
          <w:szCs w:val="24"/>
        </w:rPr>
        <w:t>to</w:t>
      </w:r>
      <w:r w:rsidR="00B0017C" w:rsidRPr="00240D66">
        <w:rPr>
          <w:rFonts w:asciiTheme="majorBidi" w:hAnsiTheme="majorBidi" w:cstheme="majorBidi"/>
          <w:sz w:val="24"/>
          <w:szCs w:val="24"/>
        </w:rPr>
        <w:t xml:space="preserve"> s</w:t>
      </w:r>
      <w:r w:rsidR="00E3407D" w:rsidRPr="00240D66">
        <w:rPr>
          <w:rFonts w:asciiTheme="majorBidi" w:hAnsiTheme="majorBidi" w:cstheme="majorBidi"/>
          <w:sz w:val="24"/>
          <w:szCs w:val="24"/>
        </w:rPr>
        <w:t>hed</w:t>
      </w:r>
      <w:r w:rsidR="0033040B" w:rsidRPr="00240D66">
        <w:rPr>
          <w:rFonts w:asciiTheme="majorBidi" w:hAnsiTheme="majorBidi" w:cstheme="majorBidi"/>
          <w:sz w:val="24"/>
          <w:szCs w:val="24"/>
        </w:rPr>
        <w:t xml:space="preserve"> light on variation in administrative reform by</w:t>
      </w:r>
      <w:r w:rsidR="00B0017C" w:rsidRPr="00240D66">
        <w:rPr>
          <w:rFonts w:asciiTheme="majorBidi" w:hAnsiTheme="majorBidi" w:cstheme="majorBidi"/>
          <w:sz w:val="24"/>
          <w:szCs w:val="24"/>
        </w:rPr>
        <w:t xml:space="preserve"> </w:t>
      </w:r>
      <w:r w:rsidR="00E3407D" w:rsidRPr="00240D66">
        <w:rPr>
          <w:rFonts w:asciiTheme="majorBidi" w:hAnsiTheme="majorBidi" w:cstheme="majorBidi"/>
          <w:sz w:val="24"/>
          <w:szCs w:val="24"/>
        </w:rPr>
        <w:t>focusing on how</w:t>
      </w:r>
      <w:r w:rsidR="0033040B" w:rsidRPr="00240D66">
        <w:rPr>
          <w:rFonts w:asciiTheme="majorBidi" w:hAnsiTheme="majorBidi" w:cstheme="majorBidi"/>
          <w:sz w:val="24"/>
          <w:szCs w:val="24"/>
        </w:rPr>
        <w:t xml:space="preserve"> arms-length arrangements enact boundary work</w:t>
      </w:r>
      <w:r w:rsidR="00B0017C" w:rsidRPr="00240D66">
        <w:rPr>
          <w:rFonts w:asciiTheme="majorBidi" w:hAnsiTheme="majorBidi" w:cstheme="majorBidi"/>
          <w:sz w:val="24"/>
          <w:szCs w:val="24"/>
        </w:rPr>
        <w:t>.</w:t>
      </w:r>
    </w:p>
    <w:p w:rsidR="00806B96" w:rsidRPr="00240D66" w:rsidRDefault="00806B96" w:rsidP="00240D66">
      <w:pPr>
        <w:spacing w:line="360" w:lineRule="auto"/>
        <w:rPr>
          <w:rFonts w:asciiTheme="majorBidi" w:hAnsiTheme="majorBidi" w:cstheme="majorBidi"/>
          <w:sz w:val="24"/>
          <w:szCs w:val="24"/>
        </w:rPr>
      </w:pPr>
    </w:p>
    <w:p w:rsidR="001319FE" w:rsidRPr="00240D66" w:rsidRDefault="00A65BBC" w:rsidP="00240D66">
      <w:pPr>
        <w:spacing w:line="360" w:lineRule="auto"/>
        <w:rPr>
          <w:rFonts w:asciiTheme="majorBidi" w:hAnsiTheme="majorBidi" w:cstheme="majorBidi"/>
          <w:sz w:val="24"/>
          <w:szCs w:val="24"/>
        </w:rPr>
      </w:pPr>
      <w:r w:rsidRPr="00240D66">
        <w:rPr>
          <w:rFonts w:asciiTheme="majorBidi" w:hAnsiTheme="majorBidi" w:cstheme="majorBidi"/>
          <w:b/>
          <w:bCs/>
          <w:sz w:val="24"/>
          <w:szCs w:val="24"/>
        </w:rPr>
        <w:t xml:space="preserve">Explaining </w:t>
      </w:r>
      <w:r w:rsidR="006A0E4A" w:rsidRPr="00240D66">
        <w:rPr>
          <w:rFonts w:asciiTheme="majorBidi" w:hAnsiTheme="majorBidi" w:cstheme="majorBidi"/>
          <w:b/>
          <w:bCs/>
          <w:sz w:val="24"/>
          <w:szCs w:val="24"/>
        </w:rPr>
        <w:t>patterns of arms-length governance</w:t>
      </w:r>
    </w:p>
    <w:p w:rsidR="00060697" w:rsidRPr="00240D66" w:rsidRDefault="00060697"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Christopher Hood </w:t>
      </w:r>
      <w:r w:rsidR="00286D99" w:rsidRPr="00240D66">
        <w:rPr>
          <w:rFonts w:asciiTheme="majorBidi" w:hAnsiTheme="majorBidi" w:cstheme="majorBidi"/>
          <w:sz w:val="24"/>
          <w:szCs w:val="24"/>
        </w:rPr>
        <w:t xml:space="preserve">(1980) </w:t>
      </w:r>
      <w:r w:rsidR="00E6624D" w:rsidRPr="00240D66">
        <w:rPr>
          <w:rFonts w:asciiTheme="majorBidi" w:hAnsiTheme="majorBidi" w:cstheme="majorBidi"/>
          <w:sz w:val="24"/>
          <w:szCs w:val="24"/>
        </w:rPr>
        <w:t>has</w:t>
      </w:r>
      <w:r w:rsidRPr="00240D66">
        <w:rPr>
          <w:rFonts w:asciiTheme="majorBidi" w:hAnsiTheme="majorBidi" w:cstheme="majorBidi"/>
          <w:sz w:val="24"/>
          <w:szCs w:val="24"/>
        </w:rPr>
        <w:t xml:space="preserve"> </w:t>
      </w:r>
      <w:r w:rsidR="00F35FCE" w:rsidRPr="00240D66">
        <w:rPr>
          <w:rFonts w:asciiTheme="majorBidi" w:hAnsiTheme="majorBidi" w:cstheme="majorBidi"/>
          <w:sz w:val="24"/>
          <w:szCs w:val="24"/>
        </w:rPr>
        <w:t xml:space="preserve">famously </w:t>
      </w:r>
      <w:r w:rsidRPr="00240D66">
        <w:rPr>
          <w:rFonts w:asciiTheme="majorBidi" w:hAnsiTheme="majorBidi" w:cstheme="majorBidi"/>
          <w:sz w:val="24"/>
          <w:szCs w:val="24"/>
        </w:rPr>
        <w:t xml:space="preserve">described arms-length </w:t>
      </w:r>
      <w:r w:rsidR="006A0E4A" w:rsidRPr="00240D66">
        <w:rPr>
          <w:rFonts w:asciiTheme="majorBidi" w:hAnsiTheme="majorBidi" w:cstheme="majorBidi"/>
          <w:sz w:val="24"/>
          <w:szCs w:val="24"/>
        </w:rPr>
        <w:t xml:space="preserve">bodies </w:t>
      </w:r>
      <w:r w:rsidRPr="00240D66">
        <w:rPr>
          <w:rFonts w:asciiTheme="majorBidi" w:hAnsiTheme="majorBidi" w:cstheme="majorBidi"/>
          <w:sz w:val="24"/>
          <w:szCs w:val="24"/>
        </w:rPr>
        <w:t xml:space="preserve">as enduringly ‘useful’ in public administration, but precisely what provides that perception of usefulness remains contested. This is particularly so in light of renewed interest in the subject since </w:t>
      </w:r>
      <w:r w:rsidR="006A0E4A" w:rsidRPr="00240D66">
        <w:rPr>
          <w:rFonts w:asciiTheme="majorBidi" w:hAnsiTheme="majorBidi" w:cstheme="majorBidi"/>
          <w:sz w:val="24"/>
          <w:szCs w:val="24"/>
        </w:rPr>
        <w:t>such bodies</w:t>
      </w:r>
      <w:r w:rsidRPr="00240D66">
        <w:rPr>
          <w:rFonts w:asciiTheme="majorBidi" w:hAnsiTheme="majorBidi" w:cstheme="majorBidi"/>
          <w:sz w:val="24"/>
          <w:szCs w:val="24"/>
        </w:rPr>
        <w:t xml:space="preserve"> became a target of recent austerity measures in Western Europe and the Anglo sphere. Again, observers note, </w:t>
      </w:r>
      <w:r w:rsidR="006A0E4A" w:rsidRPr="00240D66">
        <w:rPr>
          <w:rFonts w:asciiTheme="majorBidi" w:hAnsiTheme="majorBidi" w:cstheme="majorBidi"/>
          <w:sz w:val="24"/>
          <w:szCs w:val="24"/>
        </w:rPr>
        <w:t>many such bodies</w:t>
      </w:r>
      <w:r w:rsidRPr="00240D66">
        <w:rPr>
          <w:rFonts w:asciiTheme="majorBidi" w:hAnsiTheme="majorBidi" w:cstheme="majorBidi"/>
          <w:sz w:val="24"/>
          <w:szCs w:val="24"/>
        </w:rPr>
        <w:t xml:space="preserve"> have survived another bout of </w:t>
      </w:r>
      <w:r w:rsidR="00911F09" w:rsidRPr="00240D66">
        <w:rPr>
          <w:rFonts w:asciiTheme="majorBidi" w:hAnsiTheme="majorBidi" w:cstheme="majorBidi"/>
          <w:sz w:val="24"/>
          <w:szCs w:val="24"/>
        </w:rPr>
        <w:t>‘quangocide’</w:t>
      </w:r>
      <w:r w:rsidR="0033040B" w:rsidRPr="00240D66">
        <w:rPr>
          <w:rFonts w:asciiTheme="majorBidi" w:hAnsiTheme="majorBidi" w:cstheme="majorBidi"/>
          <w:sz w:val="24"/>
          <w:szCs w:val="24"/>
        </w:rPr>
        <w:t xml:space="preserve"> (see Dommett and Flinders 2015)</w:t>
      </w:r>
      <w:r w:rsidR="00911F09" w:rsidRPr="00240D66">
        <w:rPr>
          <w:rFonts w:asciiTheme="majorBidi" w:hAnsiTheme="majorBidi" w:cstheme="majorBidi"/>
          <w:sz w:val="24"/>
          <w:szCs w:val="24"/>
        </w:rPr>
        <w:t>. Though reigned in</w:t>
      </w:r>
      <w:r w:rsidRPr="00240D66">
        <w:rPr>
          <w:rFonts w:asciiTheme="majorBidi" w:hAnsiTheme="majorBidi" w:cstheme="majorBidi"/>
          <w:sz w:val="24"/>
          <w:szCs w:val="24"/>
        </w:rPr>
        <w:t xml:space="preserve"> and slimmed down, arms-length </w:t>
      </w:r>
      <w:r w:rsidR="006A0E4A" w:rsidRPr="00240D66">
        <w:rPr>
          <w:rFonts w:asciiTheme="majorBidi" w:hAnsiTheme="majorBidi" w:cstheme="majorBidi"/>
          <w:sz w:val="24"/>
          <w:szCs w:val="24"/>
        </w:rPr>
        <w:t xml:space="preserve">bodies </w:t>
      </w:r>
      <w:r w:rsidRPr="00240D66">
        <w:rPr>
          <w:rFonts w:asciiTheme="majorBidi" w:hAnsiTheme="majorBidi" w:cstheme="majorBidi"/>
          <w:sz w:val="24"/>
          <w:szCs w:val="24"/>
        </w:rPr>
        <w:t xml:space="preserve">remain an important feature of contemporary </w:t>
      </w:r>
      <w:r w:rsidR="000B0861" w:rsidRPr="00240D66">
        <w:rPr>
          <w:rFonts w:asciiTheme="majorBidi" w:hAnsiTheme="majorBidi" w:cstheme="majorBidi"/>
          <w:sz w:val="24"/>
          <w:szCs w:val="24"/>
        </w:rPr>
        <w:t>governance</w:t>
      </w:r>
      <w:r w:rsidRPr="00240D66">
        <w:rPr>
          <w:rFonts w:asciiTheme="majorBidi" w:hAnsiTheme="majorBidi" w:cstheme="majorBidi"/>
          <w:sz w:val="24"/>
          <w:szCs w:val="24"/>
        </w:rPr>
        <w:t xml:space="preserve">. And, as such, questions remain about how bouts of </w:t>
      </w:r>
      <w:r w:rsidR="006A0E4A" w:rsidRPr="00240D66">
        <w:rPr>
          <w:rFonts w:asciiTheme="majorBidi" w:hAnsiTheme="majorBidi" w:cstheme="majorBidi"/>
          <w:sz w:val="24"/>
          <w:szCs w:val="24"/>
        </w:rPr>
        <w:t>instantiation</w:t>
      </w:r>
      <w:r w:rsidRPr="00240D66">
        <w:rPr>
          <w:rFonts w:asciiTheme="majorBidi" w:hAnsiTheme="majorBidi" w:cstheme="majorBidi"/>
          <w:sz w:val="24"/>
          <w:szCs w:val="24"/>
        </w:rPr>
        <w:t>, reform</w:t>
      </w:r>
      <w:r w:rsidR="000B0861" w:rsidRPr="00240D66">
        <w:rPr>
          <w:rFonts w:asciiTheme="majorBidi" w:hAnsiTheme="majorBidi" w:cstheme="majorBidi"/>
          <w:sz w:val="24"/>
          <w:szCs w:val="24"/>
        </w:rPr>
        <w:t xml:space="preserve"> and </w:t>
      </w:r>
      <w:r w:rsidR="00F36BEF" w:rsidRPr="00240D66">
        <w:rPr>
          <w:rFonts w:asciiTheme="majorBidi" w:hAnsiTheme="majorBidi" w:cstheme="majorBidi"/>
          <w:sz w:val="24"/>
          <w:szCs w:val="24"/>
        </w:rPr>
        <w:t>termination</w:t>
      </w:r>
      <w:r w:rsidRPr="00240D66">
        <w:rPr>
          <w:rFonts w:asciiTheme="majorBidi" w:hAnsiTheme="majorBidi" w:cstheme="majorBidi"/>
          <w:sz w:val="24"/>
          <w:szCs w:val="24"/>
        </w:rPr>
        <w:t xml:space="preserve"> might be </w:t>
      </w:r>
      <w:r w:rsidR="00E23008" w:rsidRPr="00240D66">
        <w:rPr>
          <w:rFonts w:asciiTheme="majorBidi" w:hAnsiTheme="majorBidi" w:cstheme="majorBidi"/>
          <w:sz w:val="24"/>
          <w:szCs w:val="24"/>
        </w:rPr>
        <w:t xml:space="preserve">best </w:t>
      </w:r>
      <w:r w:rsidRPr="00240D66">
        <w:rPr>
          <w:rFonts w:asciiTheme="majorBidi" w:hAnsiTheme="majorBidi" w:cstheme="majorBidi"/>
          <w:sz w:val="24"/>
          <w:szCs w:val="24"/>
        </w:rPr>
        <w:t>explained.</w:t>
      </w:r>
    </w:p>
    <w:p w:rsidR="00CE4220" w:rsidRPr="00240D66" w:rsidRDefault="00060697"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The orthodoxy</w:t>
      </w:r>
      <w:r w:rsidR="000B0861" w:rsidRPr="00240D66">
        <w:rPr>
          <w:rFonts w:asciiTheme="majorBidi" w:hAnsiTheme="majorBidi" w:cstheme="majorBidi"/>
          <w:sz w:val="24"/>
          <w:szCs w:val="24"/>
        </w:rPr>
        <w:t xml:space="preserve"> </w:t>
      </w:r>
      <w:r w:rsidRPr="00240D66">
        <w:rPr>
          <w:rFonts w:asciiTheme="majorBidi" w:hAnsiTheme="majorBidi" w:cstheme="majorBidi"/>
          <w:sz w:val="24"/>
          <w:szCs w:val="24"/>
        </w:rPr>
        <w:t xml:space="preserve">ties </w:t>
      </w:r>
      <w:r w:rsidR="006A0E4A" w:rsidRPr="00240D66">
        <w:rPr>
          <w:rFonts w:asciiTheme="majorBidi" w:hAnsiTheme="majorBidi" w:cstheme="majorBidi"/>
          <w:sz w:val="24"/>
          <w:szCs w:val="24"/>
        </w:rPr>
        <w:t>these developments</w:t>
      </w:r>
      <w:r w:rsidRPr="00240D66">
        <w:rPr>
          <w:rFonts w:asciiTheme="majorBidi" w:hAnsiTheme="majorBidi" w:cstheme="majorBidi"/>
          <w:sz w:val="24"/>
          <w:szCs w:val="24"/>
        </w:rPr>
        <w:t xml:space="preserve"> to the New Public Management reforms </w:t>
      </w:r>
      <w:r w:rsidR="0047469D" w:rsidRPr="00240D66">
        <w:rPr>
          <w:rFonts w:asciiTheme="majorBidi" w:hAnsiTheme="majorBidi" w:cstheme="majorBidi"/>
          <w:sz w:val="24"/>
          <w:szCs w:val="24"/>
        </w:rPr>
        <w:t>of the 1980s and onwards</w:t>
      </w:r>
      <w:r w:rsidR="00F35FCE" w:rsidRPr="00240D66">
        <w:rPr>
          <w:rFonts w:asciiTheme="majorBidi" w:hAnsiTheme="majorBidi" w:cstheme="majorBidi"/>
          <w:sz w:val="24"/>
          <w:szCs w:val="24"/>
        </w:rPr>
        <w:t xml:space="preserve"> (eg. Dunleavy et al. 2006</w:t>
      </w:r>
      <w:r w:rsidR="00286D99" w:rsidRPr="00240D66">
        <w:rPr>
          <w:rFonts w:asciiTheme="majorBidi" w:hAnsiTheme="majorBidi" w:cstheme="majorBidi"/>
          <w:sz w:val="24"/>
          <w:szCs w:val="24"/>
        </w:rPr>
        <w:t>)</w:t>
      </w:r>
      <w:r w:rsidRPr="00240D66">
        <w:rPr>
          <w:rFonts w:asciiTheme="majorBidi" w:hAnsiTheme="majorBidi" w:cstheme="majorBidi"/>
          <w:sz w:val="24"/>
          <w:szCs w:val="24"/>
        </w:rPr>
        <w:t xml:space="preserve">. </w:t>
      </w:r>
      <w:r w:rsidR="006A0E4A" w:rsidRPr="00240D66">
        <w:rPr>
          <w:rFonts w:asciiTheme="majorBidi" w:hAnsiTheme="majorBidi" w:cstheme="majorBidi"/>
          <w:sz w:val="24"/>
          <w:szCs w:val="24"/>
        </w:rPr>
        <w:t>A</w:t>
      </w:r>
      <w:r w:rsidR="00806B96" w:rsidRPr="00240D66">
        <w:rPr>
          <w:rFonts w:asciiTheme="majorBidi" w:hAnsiTheme="majorBidi" w:cstheme="majorBidi"/>
          <w:sz w:val="24"/>
          <w:szCs w:val="24"/>
        </w:rPr>
        <w:t>rms-length bodies</w:t>
      </w:r>
      <w:r w:rsidRPr="00240D66">
        <w:rPr>
          <w:rFonts w:asciiTheme="majorBidi" w:hAnsiTheme="majorBidi" w:cstheme="majorBidi"/>
          <w:sz w:val="24"/>
          <w:szCs w:val="24"/>
        </w:rPr>
        <w:t xml:space="preserve">, in this account, appealed to governing elites as </w:t>
      </w:r>
      <w:r w:rsidR="00911F09" w:rsidRPr="00240D66">
        <w:rPr>
          <w:rFonts w:asciiTheme="majorBidi" w:hAnsiTheme="majorBidi" w:cstheme="majorBidi"/>
          <w:sz w:val="24"/>
          <w:szCs w:val="24"/>
        </w:rPr>
        <w:t>a way</w:t>
      </w:r>
      <w:r w:rsidRPr="00240D66">
        <w:rPr>
          <w:rFonts w:asciiTheme="majorBidi" w:hAnsiTheme="majorBidi" w:cstheme="majorBidi"/>
          <w:sz w:val="24"/>
          <w:szCs w:val="24"/>
        </w:rPr>
        <w:t xml:space="preserve"> of realising private sector ideals of specialisation and efficiency in the administration of public services. </w:t>
      </w:r>
      <w:r w:rsidR="0033040B" w:rsidRPr="00240D66">
        <w:rPr>
          <w:rFonts w:asciiTheme="majorBidi" w:hAnsiTheme="majorBidi" w:cstheme="majorBidi"/>
          <w:sz w:val="24"/>
          <w:szCs w:val="24"/>
        </w:rPr>
        <w:t>Despite</w:t>
      </w:r>
      <w:r w:rsidRPr="00240D66">
        <w:rPr>
          <w:rFonts w:asciiTheme="majorBidi" w:hAnsiTheme="majorBidi" w:cstheme="majorBidi"/>
          <w:sz w:val="24"/>
          <w:szCs w:val="24"/>
        </w:rPr>
        <w:t xml:space="preserve"> considerable </w:t>
      </w:r>
      <w:r w:rsidR="004058E9" w:rsidRPr="00240D66">
        <w:rPr>
          <w:rFonts w:asciiTheme="majorBidi" w:hAnsiTheme="majorBidi" w:cstheme="majorBidi"/>
          <w:sz w:val="24"/>
          <w:szCs w:val="24"/>
        </w:rPr>
        <w:t>appeal</w:t>
      </w:r>
      <w:r w:rsidR="0033040B" w:rsidRPr="00240D66">
        <w:rPr>
          <w:rFonts w:asciiTheme="majorBidi" w:hAnsiTheme="majorBidi" w:cstheme="majorBidi"/>
          <w:sz w:val="24"/>
          <w:szCs w:val="24"/>
        </w:rPr>
        <w:t>,</w:t>
      </w:r>
      <w:r w:rsidRPr="00240D66">
        <w:rPr>
          <w:rFonts w:asciiTheme="majorBidi" w:hAnsiTheme="majorBidi" w:cstheme="majorBidi"/>
          <w:sz w:val="24"/>
          <w:szCs w:val="24"/>
        </w:rPr>
        <w:t xml:space="preserve"> </w:t>
      </w:r>
      <w:r w:rsidR="00531B1E" w:rsidRPr="00240D66">
        <w:rPr>
          <w:rFonts w:asciiTheme="majorBidi" w:hAnsiTheme="majorBidi" w:cstheme="majorBidi"/>
          <w:sz w:val="24"/>
          <w:szCs w:val="24"/>
        </w:rPr>
        <w:t>ther</w:t>
      </w:r>
      <w:r w:rsidR="0033040B" w:rsidRPr="00240D66">
        <w:rPr>
          <w:rFonts w:asciiTheme="majorBidi" w:hAnsiTheme="majorBidi" w:cstheme="majorBidi"/>
          <w:sz w:val="24"/>
          <w:szCs w:val="24"/>
        </w:rPr>
        <w:t>e is growing recognition that this</w:t>
      </w:r>
      <w:r w:rsidR="00531B1E" w:rsidRPr="00240D66">
        <w:rPr>
          <w:rFonts w:asciiTheme="majorBidi" w:hAnsiTheme="majorBidi" w:cstheme="majorBidi"/>
          <w:sz w:val="24"/>
          <w:szCs w:val="24"/>
        </w:rPr>
        <w:t xml:space="preserve"> is</w:t>
      </w:r>
      <w:r w:rsidRPr="00240D66">
        <w:rPr>
          <w:rFonts w:asciiTheme="majorBidi" w:hAnsiTheme="majorBidi" w:cstheme="majorBidi"/>
          <w:sz w:val="24"/>
          <w:szCs w:val="24"/>
        </w:rPr>
        <w:t xml:space="preserve"> an overly simplistic narrative. </w:t>
      </w:r>
      <w:r w:rsidR="00AE638B" w:rsidRPr="00240D66">
        <w:rPr>
          <w:rFonts w:asciiTheme="majorBidi" w:hAnsiTheme="majorBidi" w:cstheme="majorBidi"/>
          <w:sz w:val="24"/>
          <w:szCs w:val="24"/>
        </w:rPr>
        <w:t>It neither</w:t>
      </w:r>
      <w:r w:rsidR="00531B1E" w:rsidRPr="00240D66">
        <w:rPr>
          <w:rFonts w:asciiTheme="majorBidi" w:hAnsiTheme="majorBidi" w:cstheme="majorBidi"/>
          <w:sz w:val="24"/>
          <w:szCs w:val="24"/>
        </w:rPr>
        <w:t xml:space="preserve"> address</w:t>
      </w:r>
      <w:r w:rsidR="00AE638B" w:rsidRPr="00240D66">
        <w:rPr>
          <w:rFonts w:asciiTheme="majorBidi" w:hAnsiTheme="majorBidi" w:cstheme="majorBidi"/>
          <w:sz w:val="24"/>
          <w:szCs w:val="24"/>
        </w:rPr>
        <w:t>es</w:t>
      </w:r>
      <w:r w:rsidR="00531B1E" w:rsidRPr="00240D66">
        <w:rPr>
          <w:rFonts w:asciiTheme="majorBidi" w:hAnsiTheme="majorBidi" w:cstheme="majorBidi"/>
          <w:sz w:val="24"/>
          <w:szCs w:val="24"/>
        </w:rPr>
        <w:t xml:space="preserve"> the tremendous variability that typifies the nature and resilience of arms-length institutions</w:t>
      </w:r>
      <w:r w:rsidRPr="00240D66">
        <w:rPr>
          <w:rFonts w:asciiTheme="majorBidi" w:hAnsiTheme="majorBidi" w:cstheme="majorBidi"/>
          <w:sz w:val="24"/>
          <w:szCs w:val="24"/>
        </w:rPr>
        <w:t xml:space="preserve"> </w:t>
      </w:r>
      <w:r w:rsidR="00AE638B" w:rsidRPr="00240D66">
        <w:rPr>
          <w:rFonts w:asciiTheme="majorBidi" w:hAnsiTheme="majorBidi" w:cstheme="majorBidi"/>
          <w:sz w:val="24"/>
          <w:szCs w:val="24"/>
        </w:rPr>
        <w:t>across contexts,</w:t>
      </w:r>
      <w:r w:rsidR="00531B1E" w:rsidRPr="00240D66">
        <w:rPr>
          <w:rFonts w:asciiTheme="majorBidi" w:hAnsiTheme="majorBidi" w:cstheme="majorBidi"/>
          <w:sz w:val="24"/>
          <w:szCs w:val="24"/>
        </w:rPr>
        <w:t xml:space="preserve"> </w:t>
      </w:r>
      <w:r w:rsidR="00AE638B" w:rsidRPr="00240D66">
        <w:rPr>
          <w:rFonts w:asciiTheme="majorBidi" w:hAnsiTheme="majorBidi" w:cstheme="majorBidi"/>
          <w:sz w:val="24"/>
          <w:szCs w:val="24"/>
        </w:rPr>
        <w:t xml:space="preserve">nor </w:t>
      </w:r>
      <w:r w:rsidR="00531B1E" w:rsidRPr="00240D66">
        <w:rPr>
          <w:rFonts w:asciiTheme="majorBidi" w:hAnsiTheme="majorBidi" w:cstheme="majorBidi"/>
          <w:sz w:val="24"/>
          <w:szCs w:val="24"/>
        </w:rPr>
        <w:t>explain</w:t>
      </w:r>
      <w:r w:rsidR="00AE638B" w:rsidRPr="00240D66">
        <w:rPr>
          <w:rFonts w:asciiTheme="majorBidi" w:hAnsiTheme="majorBidi" w:cstheme="majorBidi"/>
          <w:sz w:val="24"/>
          <w:szCs w:val="24"/>
        </w:rPr>
        <w:t>s</w:t>
      </w:r>
      <w:r w:rsidR="00531B1E" w:rsidRPr="00240D66">
        <w:rPr>
          <w:rFonts w:asciiTheme="majorBidi" w:hAnsiTheme="majorBidi" w:cstheme="majorBidi"/>
          <w:sz w:val="24"/>
          <w:szCs w:val="24"/>
        </w:rPr>
        <w:t xml:space="preserve"> </w:t>
      </w:r>
      <w:r w:rsidRPr="00240D66">
        <w:rPr>
          <w:rFonts w:asciiTheme="majorBidi" w:hAnsiTheme="majorBidi" w:cstheme="majorBidi"/>
          <w:sz w:val="24"/>
          <w:szCs w:val="24"/>
        </w:rPr>
        <w:t>the durability of arms-length</w:t>
      </w:r>
      <w:r w:rsidR="006A0E4A" w:rsidRPr="00240D66">
        <w:rPr>
          <w:rFonts w:asciiTheme="majorBidi" w:hAnsiTheme="majorBidi" w:cstheme="majorBidi"/>
          <w:sz w:val="24"/>
          <w:szCs w:val="24"/>
        </w:rPr>
        <w:t xml:space="preserve"> bodies</w:t>
      </w:r>
      <w:r w:rsidRPr="00240D66">
        <w:rPr>
          <w:rFonts w:asciiTheme="majorBidi" w:hAnsiTheme="majorBidi" w:cstheme="majorBidi"/>
          <w:sz w:val="24"/>
          <w:szCs w:val="24"/>
        </w:rPr>
        <w:t xml:space="preserve"> that analysts note in a post-NPM era. </w:t>
      </w:r>
      <w:r w:rsidR="00D87B3E" w:rsidRPr="00240D66">
        <w:rPr>
          <w:rFonts w:asciiTheme="majorBidi" w:hAnsiTheme="majorBidi" w:cstheme="majorBidi"/>
          <w:sz w:val="24"/>
          <w:szCs w:val="24"/>
        </w:rPr>
        <w:t xml:space="preserve">An alternative </w:t>
      </w:r>
      <w:r w:rsidR="00912E7E" w:rsidRPr="00240D66">
        <w:rPr>
          <w:rFonts w:asciiTheme="majorBidi" w:hAnsiTheme="majorBidi" w:cstheme="majorBidi"/>
          <w:sz w:val="24"/>
          <w:szCs w:val="24"/>
        </w:rPr>
        <w:t xml:space="preserve">narrative </w:t>
      </w:r>
      <w:r w:rsidR="00D87B3E" w:rsidRPr="00240D66">
        <w:rPr>
          <w:rFonts w:asciiTheme="majorBidi" w:hAnsiTheme="majorBidi" w:cstheme="majorBidi"/>
          <w:sz w:val="24"/>
          <w:szCs w:val="24"/>
        </w:rPr>
        <w:t xml:space="preserve">situates the NPM account within a broader story about </w:t>
      </w:r>
      <w:r w:rsidR="00AE1C30" w:rsidRPr="00240D66">
        <w:rPr>
          <w:rFonts w:asciiTheme="majorBidi" w:hAnsiTheme="majorBidi" w:cstheme="majorBidi"/>
          <w:sz w:val="24"/>
          <w:szCs w:val="24"/>
        </w:rPr>
        <w:t>socio-political forces</w:t>
      </w:r>
      <w:r w:rsidR="00D87B3E" w:rsidRPr="00240D66">
        <w:rPr>
          <w:rFonts w:asciiTheme="majorBidi" w:hAnsiTheme="majorBidi" w:cstheme="majorBidi"/>
          <w:sz w:val="24"/>
          <w:szCs w:val="24"/>
        </w:rPr>
        <w:t xml:space="preserve">. </w:t>
      </w:r>
      <w:r w:rsidR="00130B3A" w:rsidRPr="00240D66">
        <w:rPr>
          <w:rFonts w:asciiTheme="majorBidi" w:hAnsiTheme="majorBidi" w:cstheme="majorBidi"/>
          <w:sz w:val="24"/>
          <w:szCs w:val="24"/>
        </w:rPr>
        <w:t xml:space="preserve">In this view, NPM </w:t>
      </w:r>
      <w:r w:rsidR="00AE1C30" w:rsidRPr="00240D66">
        <w:rPr>
          <w:rFonts w:asciiTheme="majorBidi" w:hAnsiTheme="majorBidi" w:cstheme="majorBidi"/>
          <w:sz w:val="24"/>
          <w:szCs w:val="24"/>
        </w:rPr>
        <w:t>has simply been a manifestation of a</w:t>
      </w:r>
      <w:r w:rsidR="00130B3A" w:rsidRPr="00240D66">
        <w:rPr>
          <w:rFonts w:asciiTheme="majorBidi" w:hAnsiTheme="majorBidi" w:cstheme="majorBidi"/>
          <w:sz w:val="24"/>
          <w:szCs w:val="24"/>
        </w:rPr>
        <w:t xml:space="preserve"> broader </w:t>
      </w:r>
      <w:r w:rsidR="00AE1C30" w:rsidRPr="00240D66">
        <w:rPr>
          <w:rFonts w:asciiTheme="majorBidi" w:hAnsiTheme="majorBidi" w:cstheme="majorBidi"/>
          <w:sz w:val="24"/>
          <w:szCs w:val="24"/>
        </w:rPr>
        <w:t>shift towards depoliticisation</w:t>
      </w:r>
      <w:r w:rsidR="00286D99" w:rsidRPr="00240D66">
        <w:rPr>
          <w:rFonts w:asciiTheme="majorBidi" w:hAnsiTheme="majorBidi" w:cstheme="majorBidi"/>
          <w:sz w:val="24"/>
          <w:szCs w:val="24"/>
        </w:rPr>
        <w:t xml:space="preserve"> (see </w:t>
      </w:r>
      <w:r w:rsidR="008F2BBD" w:rsidRPr="00240D66">
        <w:rPr>
          <w:rFonts w:asciiTheme="majorBidi" w:hAnsiTheme="majorBidi" w:cstheme="majorBidi"/>
          <w:sz w:val="24"/>
          <w:szCs w:val="24"/>
        </w:rPr>
        <w:t>Flinders 2008</w:t>
      </w:r>
      <w:r w:rsidR="00F35FCE" w:rsidRPr="00240D66">
        <w:rPr>
          <w:rFonts w:asciiTheme="majorBidi" w:hAnsiTheme="majorBidi" w:cstheme="majorBidi"/>
          <w:sz w:val="24"/>
          <w:szCs w:val="24"/>
        </w:rPr>
        <w:t>; Roberts 2010</w:t>
      </w:r>
      <w:r w:rsidR="00286D99" w:rsidRPr="00240D66">
        <w:rPr>
          <w:rFonts w:asciiTheme="majorBidi" w:hAnsiTheme="majorBidi" w:cstheme="majorBidi"/>
          <w:sz w:val="24"/>
          <w:szCs w:val="24"/>
        </w:rPr>
        <w:t>)</w:t>
      </w:r>
      <w:r w:rsidR="00AE1C30" w:rsidRPr="00240D66">
        <w:rPr>
          <w:rFonts w:asciiTheme="majorBidi" w:hAnsiTheme="majorBidi" w:cstheme="majorBidi"/>
          <w:sz w:val="24"/>
          <w:szCs w:val="24"/>
        </w:rPr>
        <w:t xml:space="preserve">. This broader story entails the </w:t>
      </w:r>
      <w:r w:rsidR="00130B3A" w:rsidRPr="00240D66">
        <w:rPr>
          <w:rFonts w:asciiTheme="majorBidi" w:hAnsiTheme="majorBidi" w:cstheme="majorBidi"/>
          <w:sz w:val="24"/>
          <w:szCs w:val="24"/>
        </w:rPr>
        <w:t>reassign</w:t>
      </w:r>
      <w:r w:rsidR="00AE1C30" w:rsidRPr="00240D66">
        <w:rPr>
          <w:rFonts w:asciiTheme="majorBidi" w:hAnsiTheme="majorBidi" w:cstheme="majorBidi"/>
          <w:sz w:val="24"/>
          <w:szCs w:val="24"/>
        </w:rPr>
        <w:t>ment of</w:t>
      </w:r>
      <w:r w:rsidR="00130B3A" w:rsidRPr="00240D66">
        <w:rPr>
          <w:rFonts w:asciiTheme="majorBidi" w:hAnsiTheme="majorBidi" w:cstheme="majorBidi"/>
          <w:sz w:val="24"/>
          <w:szCs w:val="24"/>
        </w:rPr>
        <w:t xml:space="preserve"> contentious issues </w:t>
      </w:r>
      <w:r w:rsidR="00AE1C30" w:rsidRPr="00240D66">
        <w:rPr>
          <w:rFonts w:asciiTheme="majorBidi" w:hAnsiTheme="majorBidi" w:cstheme="majorBidi"/>
          <w:sz w:val="24"/>
          <w:szCs w:val="24"/>
        </w:rPr>
        <w:t xml:space="preserve">from the public realm </w:t>
      </w:r>
      <w:r w:rsidR="00130B3A" w:rsidRPr="00240D66">
        <w:rPr>
          <w:rFonts w:asciiTheme="majorBidi" w:hAnsiTheme="majorBidi" w:cstheme="majorBidi"/>
          <w:sz w:val="24"/>
          <w:szCs w:val="24"/>
        </w:rPr>
        <w:t>to the domain of experts or the market</w:t>
      </w:r>
      <w:r w:rsidR="00AE1C30" w:rsidRPr="00240D66">
        <w:rPr>
          <w:rFonts w:asciiTheme="majorBidi" w:hAnsiTheme="majorBidi" w:cstheme="majorBidi"/>
          <w:sz w:val="24"/>
          <w:szCs w:val="24"/>
        </w:rPr>
        <w:t xml:space="preserve">. </w:t>
      </w:r>
      <w:r w:rsidR="00130B3A" w:rsidRPr="00240D66">
        <w:rPr>
          <w:rFonts w:asciiTheme="majorBidi" w:hAnsiTheme="majorBidi" w:cstheme="majorBidi"/>
          <w:sz w:val="24"/>
          <w:szCs w:val="24"/>
        </w:rPr>
        <w:t xml:space="preserve">Arms-length governance, in this sense, is an apt phrase for </w:t>
      </w:r>
      <w:r w:rsidR="00E23008" w:rsidRPr="00240D66">
        <w:rPr>
          <w:rFonts w:asciiTheme="majorBidi" w:hAnsiTheme="majorBidi" w:cstheme="majorBidi"/>
          <w:sz w:val="24"/>
          <w:szCs w:val="24"/>
        </w:rPr>
        <w:t>political</w:t>
      </w:r>
      <w:r w:rsidR="00130B3A" w:rsidRPr="00240D66">
        <w:rPr>
          <w:rFonts w:asciiTheme="majorBidi" w:hAnsiTheme="majorBidi" w:cstheme="majorBidi"/>
          <w:sz w:val="24"/>
          <w:szCs w:val="24"/>
        </w:rPr>
        <w:t xml:space="preserve"> elites who w</w:t>
      </w:r>
      <w:r w:rsidR="00B001CD" w:rsidRPr="00240D66">
        <w:rPr>
          <w:rFonts w:asciiTheme="majorBidi" w:hAnsiTheme="majorBidi" w:cstheme="majorBidi"/>
          <w:sz w:val="24"/>
          <w:szCs w:val="24"/>
        </w:rPr>
        <w:t>ish to distance themselves from</w:t>
      </w:r>
      <w:r w:rsidR="00AE1C30" w:rsidRPr="00240D66">
        <w:rPr>
          <w:rFonts w:asciiTheme="majorBidi" w:hAnsiTheme="majorBidi" w:cstheme="majorBidi"/>
          <w:sz w:val="24"/>
          <w:szCs w:val="24"/>
        </w:rPr>
        <w:t xml:space="preserve"> problematic</w:t>
      </w:r>
      <w:r w:rsidR="00E23008" w:rsidRPr="00240D66">
        <w:rPr>
          <w:rFonts w:asciiTheme="majorBidi" w:hAnsiTheme="majorBidi" w:cstheme="majorBidi"/>
          <w:sz w:val="24"/>
          <w:szCs w:val="24"/>
        </w:rPr>
        <w:t xml:space="preserve"> politics</w:t>
      </w:r>
      <w:r w:rsidR="00CE4220" w:rsidRPr="00240D66">
        <w:rPr>
          <w:rFonts w:asciiTheme="majorBidi" w:hAnsiTheme="majorBidi" w:cstheme="majorBidi"/>
          <w:sz w:val="24"/>
          <w:szCs w:val="24"/>
        </w:rPr>
        <w:t xml:space="preserve">. </w:t>
      </w:r>
      <w:r w:rsidR="00E3407D" w:rsidRPr="00240D66">
        <w:rPr>
          <w:rFonts w:asciiTheme="majorBidi" w:hAnsiTheme="majorBidi" w:cstheme="majorBidi"/>
          <w:sz w:val="24"/>
          <w:szCs w:val="24"/>
        </w:rPr>
        <w:t>Both</w:t>
      </w:r>
      <w:r w:rsidR="00CE4220" w:rsidRPr="00240D66">
        <w:rPr>
          <w:rFonts w:asciiTheme="majorBidi" w:hAnsiTheme="majorBidi" w:cstheme="majorBidi"/>
          <w:sz w:val="24"/>
          <w:szCs w:val="24"/>
        </w:rPr>
        <w:t xml:space="preserve"> </w:t>
      </w:r>
      <w:r w:rsidR="00D87B3E" w:rsidRPr="00240D66">
        <w:rPr>
          <w:rFonts w:asciiTheme="majorBidi" w:hAnsiTheme="majorBidi" w:cstheme="majorBidi"/>
          <w:sz w:val="24"/>
          <w:szCs w:val="24"/>
        </w:rPr>
        <w:t>accounts</w:t>
      </w:r>
      <w:r w:rsidR="00624CC2" w:rsidRPr="00240D66">
        <w:rPr>
          <w:rFonts w:asciiTheme="majorBidi" w:hAnsiTheme="majorBidi" w:cstheme="majorBidi"/>
          <w:sz w:val="24"/>
          <w:szCs w:val="24"/>
        </w:rPr>
        <w:t xml:space="preserve"> provide important purchase</w:t>
      </w:r>
      <w:r w:rsidR="00E3407D" w:rsidRPr="00240D66">
        <w:rPr>
          <w:rFonts w:asciiTheme="majorBidi" w:hAnsiTheme="majorBidi" w:cstheme="majorBidi"/>
          <w:sz w:val="24"/>
          <w:szCs w:val="24"/>
        </w:rPr>
        <w:t xml:space="preserve"> about the broad</w:t>
      </w:r>
      <w:r w:rsidR="00624CC2" w:rsidRPr="00240D66">
        <w:rPr>
          <w:rFonts w:asciiTheme="majorBidi" w:hAnsiTheme="majorBidi" w:cstheme="majorBidi"/>
          <w:sz w:val="24"/>
          <w:szCs w:val="24"/>
        </w:rPr>
        <w:t xml:space="preserve"> trends driving the spread of arms-length arrangements</w:t>
      </w:r>
      <w:r w:rsidR="00D87B3E" w:rsidRPr="00240D66">
        <w:rPr>
          <w:rFonts w:asciiTheme="majorBidi" w:hAnsiTheme="majorBidi" w:cstheme="majorBidi"/>
          <w:sz w:val="24"/>
          <w:szCs w:val="24"/>
        </w:rPr>
        <w:t xml:space="preserve">. Yet </w:t>
      </w:r>
      <w:r w:rsidR="00531B1E" w:rsidRPr="00240D66">
        <w:rPr>
          <w:rFonts w:asciiTheme="majorBidi" w:hAnsiTheme="majorBidi" w:cstheme="majorBidi"/>
          <w:sz w:val="24"/>
          <w:szCs w:val="24"/>
        </w:rPr>
        <w:t xml:space="preserve">still </w:t>
      </w:r>
      <w:r w:rsidR="00E3407D" w:rsidRPr="00240D66">
        <w:rPr>
          <w:rFonts w:asciiTheme="majorBidi" w:hAnsiTheme="majorBidi" w:cstheme="majorBidi"/>
          <w:sz w:val="24"/>
          <w:szCs w:val="24"/>
        </w:rPr>
        <w:t>neither can</w:t>
      </w:r>
      <w:r w:rsidR="00624CC2" w:rsidRPr="00240D66">
        <w:rPr>
          <w:rFonts w:asciiTheme="majorBidi" w:hAnsiTheme="majorBidi" w:cstheme="majorBidi"/>
          <w:sz w:val="24"/>
          <w:szCs w:val="24"/>
        </w:rPr>
        <w:t xml:space="preserve"> explain the complex waxing and waning of arms-leng</w:t>
      </w:r>
      <w:r w:rsidR="00BA0BD5" w:rsidRPr="00240D66">
        <w:rPr>
          <w:rFonts w:asciiTheme="majorBidi" w:hAnsiTheme="majorBidi" w:cstheme="majorBidi"/>
          <w:sz w:val="24"/>
          <w:szCs w:val="24"/>
        </w:rPr>
        <w:t>th arrangements</w:t>
      </w:r>
      <w:r w:rsidR="00624CC2" w:rsidRPr="00240D66">
        <w:rPr>
          <w:rFonts w:asciiTheme="majorBidi" w:hAnsiTheme="majorBidi" w:cstheme="majorBidi"/>
          <w:sz w:val="24"/>
          <w:szCs w:val="24"/>
        </w:rPr>
        <w:t xml:space="preserve"> in practice</w:t>
      </w:r>
      <w:r w:rsidR="002A6132" w:rsidRPr="00240D66">
        <w:rPr>
          <w:rFonts w:asciiTheme="majorBidi" w:hAnsiTheme="majorBidi" w:cstheme="majorBidi"/>
          <w:sz w:val="24"/>
          <w:szCs w:val="24"/>
        </w:rPr>
        <w:t>.</w:t>
      </w:r>
      <w:r w:rsidR="00624CC2" w:rsidRPr="00240D66">
        <w:rPr>
          <w:rFonts w:asciiTheme="majorBidi" w:hAnsiTheme="majorBidi" w:cstheme="majorBidi"/>
          <w:sz w:val="24"/>
          <w:szCs w:val="24"/>
        </w:rPr>
        <w:t xml:space="preserve"> </w:t>
      </w:r>
    </w:p>
    <w:p w:rsidR="00624CC2" w:rsidRPr="00240D66" w:rsidRDefault="00CE4220"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There is a large body of </w:t>
      </w:r>
      <w:r w:rsidR="00531B1E" w:rsidRPr="00240D66">
        <w:rPr>
          <w:rFonts w:asciiTheme="majorBidi" w:hAnsiTheme="majorBidi" w:cstheme="majorBidi"/>
          <w:sz w:val="24"/>
          <w:szCs w:val="24"/>
        </w:rPr>
        <w:t>more grounded empirical work</w:t>
      </w:r>
      <w:r w:rsidRPr="00240D66">
        <w:rPr>
          <w:rFonts w:asciiTheme="majorBidi" w:hAnsiTheme="majorBidi" w:cstheme="majorBidi"/>
          <w:sz w:val="24"/>
          <w:szCs w:val="24"/>
        </w:rPr>
        <w:t xml:space="preserve"> that seeks to identify the</w:t>
      </w:r>
      <w:r w:rsidR="00624CC2" w:rsidRPr="00240D66">
        <w:rPr>
          <w:rFonts w:asciiTheme="majorBidi" w:hAnsiTheme="majorBidi" w:cstheme="majorBidi"/>
          <w:sz w:val="24"/>
          <w:szCs w:val="24"/>
        </w:rPr>
        <w:t xml:space="preserve"> factors th</w:t>
      </w:r>
      <w:r w:rsidRPr="00240D66">
        <w:rPr>
          <w:rFonts w:asciiTheme="majorBidi" w:hAnsiTheme="majorBidi" w:cstheme="majorBidi"/>
          <w:sz w:val="24"/>
          <w:szCs w:val="24"/>
        </w:rPr>
        <w:t xml:space="preserve">at explain </w:t>
      </w:r>
      <w:r w:rsidR="00BA0BD5" w:rsidRPr="00240D66">
        <w:rPr>
          <w:rFonts w:asciiTheme="majorBidi" w:hAnsiTheme="majorBidi" w:cstheme="majorBidi"/>
          <w:sz w:val="24"/>
          <w:szCs w:val="24"/>
        </w:rPr>
        <w:t>this variation</w:t>
      </w:r>
      <w:r w:rsidRPr="00240D66">
        <w:rPr>
          <w:rFonts w:asciiTheme="majorBidi" w:hAnsiTheme="majorBidi" w:cstheme="majorBidi"/>
          <w:sz w:val="24"/>
          <w:szCs w:val="24"/>
        </w:rPr>
        <w:t xml:space="preserve">. </w:t>
      </w:r>
      <w:r w:rsidR="00531B1E" w:rsidRPr="00240D66">
        <w:rPr>
          <w:rFonts w:asciiTheme="majorBidi" w:hAnsiTheme="majorBidi" w:cstheme="majorBidi"/>
          <w:sz w:val="24"/>
          <w:szCs w:val="24"/>
        </w:rPr>
        <w:t>Behavioralists</w:t>
      </w:r>
      <w:r w:rsidR="009D6CF5" w:rsidRPr="00240D66">
        <w:rPr>
          <w:rFonts w:asciiTheme="majorBidi" w:hAnsiTheme="majorBidi" w:cstheme="majorBidi"/>
          <w:sz w:val="24"/>
          <w:szCs w:val="24"/>
        </w:rPr>
        <w:t xml:space="preserve"> have sought to identify universal patterns in the incentives that drive or resist efforts towards delegation – though, as Howard (2016) explains, this scholarship has struggled to deliver robust fi</w:t>
      </w:r>
      <w:r w:rsidR="009D226B" w:rsidRPr="00240D66">
        <w:rPr>
          <w:rFonts w:asciiTheme="majorBidi" w:hAnsiTheme="majorBidi" w:cstheme="majorBidi"/>
          <w:sz w:val="24"/>
          <w:szCs w:val="24"/>
        </w:rPr>
        <w:t>ndings</w:t>
      </w:r>
      <w:r w:rsidR="009D6CF5" w:rsidRPr="00240D66">
        <w:rPr>
          <w:rFonts w:asciiTheme="majorBidi" w:hAnsiTheme="majorBidi" w:cstheme="majorBidi"/>
          <w:sz w:val="24"/>
          <w:szCs w:val="24"/>
        </w:rPr>
        <w:t xml:space="preserve">. </w:t>
      </w:r>
      <w:r w:rsidR="00531B1E" w:rsidRPr="00240D66">
        <w:rPr>
          <w:rFonts w:asciiTheme="majorBidi" w:hAnsiTheme="majorBidi" w:cstheme="majorBidi"/>
          <w:sz w:val="24"/>
          <w:szCs w:val="24"/>
        </w:rPr>
        <w:t>Elsewhere, institutionalist</w:t>
      </w:r>
      <w:r w:rsidR="009D6CF5" w:rsidRPr="00240D66">
        <w:rPr>
          <w:rFonts w:asciiTheme="majorBidi" w:hAnsiTheme="majorBidi" w:cstheme="majorBidi"/>
          <w:sz w:val="24"/>
          <w:szCs w:val="24"/>
        </w:rPr>
        <w:t>s have</w:t>
      </w:r>
      <w:r w:rsidR="00624CC2" w:rsidRPr="00240D66">
        <w:rPr>
          <w:rFonts w:asciiTheme="majorBidi" w:hAnsiTheme="majorBidi" w:cstheme="majorBidi"/>
          <w:sz w:val="24"/>
          <w:szCs w:val="24"/>
        </w:rPr>
        <w:t xml:space="preserve"> focus</w:t>
      </w:r>
      <w:r w:rsidR="009D6CF5" w:rsidRPr="00240D66">
        <w:rPr>
          <w:rFonts w:asciiTheme="majorBidi" w:hAnsiTheme="majorBidi" w:cstheme="majorBidi"/>
          <w:sz w:val="24"/>
          <w:szCs w:val="24"/>
        </w:rPr>
        <w:t>ed</w:t>
      </w:r>
      <w:r w:rsidR="00624CC2" w:rsidRPr="00240D66">
        <w:rPr>
          <w:rFonts w:asciiTheme="majorBidi" w:hAnsiTheme="majorBidi" w:cstheme="majorBidi"/>
          <w:sz w:val="24"/>
          <w:szCs w:val="24"/>
        </w:rPr>
        <w:t xml:space="preserve"> on the impact of formal administrative configurations</w:t>
      </w:r>
      <w:r w:rsidRPr="00240D66">
        <w:rPr>
          <w:rFonts w:asciiTheme="majorBidi" w:hAnsiTheme="majorBidi" w:cstheme="majorBidi"/>
          <w:sz w:val="24"/>
          <w:szCs w:val="24"/>
        </w:rPr>
        <w:t>, especially on the experience of different types of arms-length bodies</w:t>
      </w:r>
      <w:r w:rsidR="0023366A" w:rsidRPr="00240D66">
        <w:rPr>
          <w:rFonts w:asciiTheme="majorBidi" w:hAnsiTheme="majorBidi" w:cstheme="majorBidi"/>
          <w:sz w:val="24"/>
          <w:szCs w:val="24"/>
        </w:rPr>
        <w:t xml:space="preserve"> </w:t>
      </w:r>
      <w:r w:rsidR="009D6CF5" w:rsidRPr="00240D66">
        <w:rPr>
          <w:rFonts w:asciiTheme="majorBidi" w:hAnsiTheme="majorBidi" w:cstheme="majorBidi"/>
          <w:sz w:val="24"/>
          <w:szCs w:val="24"/>
        </w:rPr>
        <w:t>(</w:t>
      </w:r>
      <w:r w:rsidR="0074384B" w:rsidRPr="00240D66">
        <w:rPr>
          <w:rFonts w:asciiTheme="majorBidi" w:hAnsiTheme="majorBidi" w:cstheme="majorBidi"/>
          <w:sz w:val="24"/>
          <w:szCs w:val="24"/>
        </w:rPr>
        <w:t>eg.</w:t>
      </w:r>
      <w:r w:rsidR="009D6CF5" w:rsidRPr="00240D66">
        <w:rPr>
          <w:rFonts w:asciiTheme="majorBidi" w:hAnsiTheme="majorBidi" w:cstheme="majorBidi"/>
          <w:sz w:val="24"/>
          <w:szCs w:val="24"/>
        </w:rPr>
        <w:t xml:space="preserve"> Pollitt and Talbot 2004)</w:t>
      </w:r>
      <w:r w:rsidR="0033040B" w:rsidRPr="00240D66">
        <w:rPr>
          <w:rFonts w:asciiTheme="majorBidi" w:hAnsiTheme="majorBidi" w:cstheme="majorBidi"/>
          <w:sz w:val="24"/>
          <w:szCs w:val="24"/>
        </w:rPr>
        <w:t>,</w:t>
      </w:r>
      <w:r w:rsidR="0074384B" w:rsidRPr="00240D66">
        <w:rPr>
          <w:rFonts w:asciiTheme="majorBidi" w:hAnsiTheme="majorBidi" w:cstheme="majorBidi"/>
          <w:sz w:val="24"/>
          <w:szCs w:val="24"/>
        </w:rPr>
        <w:t xml:space="preserve"> </w:t>
      </w:r>
      <w:r w:rsidR="009D6CF5" w:rsidRPr="00240D66">
        <w:rPr>
          <w:rFonts w:asciiTheme="majorBidi" w:hAnsiTheme="majorBidi" w:cstheme="majorBidi"/>
          <w:sz w:val="24"/>
          <w:szCs w:val="24"/>
        </w:rPr>
        <w:t>or else</w:t>
      </w:r>
      <w:r w:rsidR="0074384B" w:rsidRPr="00240D66">
        <w:rPr>
          <w:rFonts w:asciiTheme="majorBidi" w:hAnsiTheme="majorBidi" w:cstheme="majorBidi"/>
          <w:sz w:val="24"/>
          <w:szCs w:val="24"/>
        </w:rPr>
        <w:t xml:space="preserve"> </w:t>
      </w:r>
      <w:r w:rsidR="00E3407D" w:rsidRPr="00240D66">
        <w:rPr>
          <w:rFonts w:asciiTheme="majorBidi" w:hAnsiTheme="majorBidi" w:cstheme="majorBidi"/>
          <w:sz w:val="24"/>
          <w:szCs w:val="24"/>
        </w:rPr>
        <w:t>on</w:t>
      </w:r>
      <w:r w:rsidR="009D6CF5" w:rsidRPr="00240D66">
        <w:rPr>
          <w:rFonts w:asciiTheme="majorBidi" w:hAnsiTheme="majorBidi" w:cstheme="majorBidi"/>
          <w:sz w:val="24"/>
          <w:szCs w:val="24"/>
        </w:rPr>
        <w:t xml:space="preserve"> determinants in different jurisdictions and sectors</w:t>
      </w:r>
      <w:r w:rsidRPr="00240D66">
        <w:rPr>
          <w:rFonts w:asciiTheme="majorBidi" w:hAnsiTheme="majorBidi" w:cstheme="majorBidi"/>
          <w:sz w:val="24"/>
          <w:szCs w:val="24"/>
        </w:rPr>
        <w:t xml:space="preserve"> </w:t>
      </w:r>
      <w:r w:rsidR="00636814" w:rsidRPr="00240D66">
        <w:rPr>
          <w:rFonts w:asciiTheme="majorBidi" w:hAnsiTheme="majorBidi" w:cstheme="majorBidi"/>
          <w:sz w:val="24"/>
          <w:szCs w:val="24"/>
        </w:rPr>
        <w:t>(eg. Verhoest et al. 2012</w:t>
      </w:r>
      <w:r w:rsidRPr="00240D66">
        <w:rPr>
          <w:rFonts w:asciiTheme="majorBidi" w:hAnsiTheme="majorBidi" w:cstheme="majorBidi"/>
          <w:sz w:val="24"/>
          <w:szCs w:val="24"/>
        </w:rPr>
        <w:t>). All of this work is immensely useful in pointing to a greater variety of factors in the complex dynamics that characterise arms-length arrangements.</w:t>
      </w:r>
      <w:r w:rsidR="0074384B" w:rsidRPr="00240D66">
        <w:rPr>
          <w:rFonts w:asciiTheme="majorBidi" w:hAnsiTheme="majorBidi" w:cstheme="majorBidi"/>
          <w:sz w:val="24"/>
          <w:szCs w:val="24"/>
        </w:rPr>
        <w:t xml:space="preserve"> But it reveal</w:t>
      </w:r>
      <w:r w:rsidR="00E3407D" w:rsidRPr="00240D66">
        <w:rPr>
          <w:rFonts w:asciiTheme="majorBidi" w:hAnsiTheme="majorBidi" w:cstheme="majorBidi"/>
          <w:sz w:val="24"/>
          <w:szCs w:val="24"/>
        </w:rPr>
        <w:t>s little</w:t>
      </w:r>
      <w:r w:rsidR="0074384B" w:rsidRPr="00240D66">
        <w:rPr>
          <w:rFonts w:asciiTheme="majorBidi" w:hAnsiTheme="majorBidi" w:cstheme="majorBidi"/>
          <w:sz w:val="24"/>
          <w:szCs w:val="24"/>
        </w:rPr>
        <w:t xml:space="preserve"> in the way of clear patterns – indeed, </w:t>
      </w:r>
      <w:r w:rsidR="00531B1E" w:rsidRPr="00240D66">
        <w:rPr>
          <w:rFonts w:asciiTheme="majorBidi" w:hAnsiTheme="majorBidi" w:cstheme="majorBidi"/>
          <w:sz w:val="24"/>
          <w:szCs w:val="24"/>
        </w:rPr>
        <w:t>amid the complex mish-mash of findings</w:t>
      </w:r>
      <w:r w:rsidR="0074384B" w:rsidRPr="00240D66">
        <w:rPr>
          <w:rFonts w:asciiTheme="majorBidi" w:hAnsiTheme="majorBidi" w:cstheme="majorBidi"/>
          <w:sz w:val="24"/>
          <w:szCs w:val="24"/>
        </w:rPr>
        <w:t xml:space="preserve">, the fate of specific arms-length bodies </w:t>
      </w:r>
      <w:r w:rsidR="00E3407D" w:rsidRPr="00240D66">
        <w:rPr>
          <w:rFonts w:asciiTheme="majorBidi" w:hAnsiTheme="majorBidi" w:cstheme="majorBidi"/>
          <w:sz w:val="24"/>
          <w:szCs w:val="24"/>
        </w:rPr>
        <w:t>is</w:t>
      </w:r>
      <w:r w:rsidR="0074384B" w:rsidRPr="00240D66">
        <w:rPr>
          <w:rFonts w:asciiTheme="majorBidi" w:hAnsiTheme="majorBidi" w:cstheme="majorBidi"/>
          <w:sz w:val="24"/>
          <w:szCs w:val="24"/>
        </w:rPr>
        <w:t xml:space="preserve"> written off as ‘random’ (van Thiel 2012). </w:t>
      </w:r>
      <w:r w:rsidRPr="00240D66">
        <w:rPr>
          <w:rFonts w:asciiTheme="majorBidi" w:hAnsiTheme="majorBidi" w:cstheme="majorBidi"/>
          <w:sz w:val="24"/>
          <w:szCs w:val="24"/>
        </w:rPr>
        <w:t xml:space="preserve"> Yet</w:t>
      </w:r>
      <w:r w:rsidR="0074384B" w:rsidRPr="00240D66">
        <w:rPr>
          <w:rFonts w:asciiTheme="majorBidi" w:hAnsiTheme="majorBidi" w:cstheme="majorBidi"/>
          <w:sz w:val="24"/>
          <w:szCs w:val="24"/>
        </w:rPr>
        <w:t xml:space="preserve"> there may be hope for greater understanding if we expand</w:t>
      </w:r>
      <w:r w:rsidRPr="00240D66">
        <w:rPr>
          <w:rFonts w:asciiTheme="majorBidi" w:hAnsiTheme="majorBidi" w:cstheme="majorBidi"/>
          <w:sz w:val="24"/>
          <w:szCs w:val="24"/>
        </w:rPr>
        <w:t xml:space="preserve"> analytic horizons</w:t>
      </w:r>
      <w:r w:rsidR="00E3407D" w:rsidRPr="00240D66">
        <w:rPr>
          <w:rFonts w:asciiTheme="majorBidi" w:hAnsiTheme="majorBidi" w:cstheme="majorBidi"/>
          <w:sz w:val="24"/>
          <w:szCs w:val="24"/>
        </w:rPr>
        <w:t xml:space="preserve"> in two key</w:t>
      </w:r>
      <w:r w:rsidRPr="00240D66">
        <w:rPr>
          <w:rFonts w:asciiTheme="majorBidi" w:hAnsiTheme="majorBidi" w:cstheme="majorBidi"/>
          <w:sz w:val="24"/>
          <w:szCs w:val="24"/>
        </w:rPr>
        <w:t xml:space="preserve"> ways.</w:t>
      </w:r>
    </w:p>
    <w:p w:rsidR="00A82661" w:rsidRPr="00240D66" w:rsidRDefault="00BA0BD5"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First, </w:t>
      </w:r>
      <w:r w:rsidR="009D226B" w:rsidRPr="00240D66">
        <w:rPr>
          <w:rFonts w:asciiTheme="majorBidi" w:hAnsiTheme="majorBidi" w:cstheme="majorBidi"/>
          <w:sz w:val="24"/>
          <w:szCs w:val="24"/>
        </w:rPr>
        <w:t>in an age of networked governing complexity,</w:t>
      </w:r>
      <w:r w:rsidRPr="00240D66">
        <w:rPr>
          <w:rFonts w:asciiTheme="majorBidi" w:hAnsiTheme="majorBidi" w:cstheme="majorBidi"/>
          <w:sz w:val="24"/>
          <w:szCs w:val="24"/>
        </w:rPr>
        <w:t xml:space="preserve"> </w:t>
      </w:r>
      <w:r w:rsidR="00C355B5" w:rsidRPr="00240D66">
        <w:rPr>
          <w:rFonts w:asciiTheme="majorBidi" w:hAnsiTheme="majorBidi" w:cstheme="majorBidi"/>
          <w:sz w:val="24"/>
          <w:szCs w:val="24"/>
        </w:rPr>
        <w:t xml:space="preserve">there is a greater need to understand </w:t>
      </w:r>
      <w:r w:rsidRPr="00240D66">
        <w:rPr>
          <w:rFonts w:asciiTheme="majorBidi" w:hAnsiTheme="majorBidi" w:cstheme="majorBidi"/>
          <w:sz w:val="24"/>
          <w:szCs w:val="24"/>
        </w:rPr>
        <w:t xml:space="preserve">institutional autonomy and legitimacy </w:t>
      </w:r>
      <w:r w:rsidR="00C355B5" w:rsidRPr="00240D66">
        <w:rPr>
          <w:rFonts w:asciiTheme="majorBidi" w:hAnsiTheme="majorBidi" w:cstheme="majorBidi"/>
          <w:sz w:val="24"/>
          <w:szCs w:val="24"/>
        </w:rPr>
        <w:t>not</w:t>
      </w:r>
      <w:r w:rsidR="009D226B" w:rsidRPr="00240D66">
        <w:rPr>
          <w:rFonts w:asciiTheme="majorBidi" w:hAnsiTheme="majorBidi" w:cstheme="majorBidi"/>
          <w:sz w:val="24"/>
          <w:szCs w:val="24"/>
        </w:rPr>
        <w:t xml:space="preserve"> as given but as </w:t>
      </w:r>
      <w:r w:rsidR="009D226B" w:rsidRPr="00240D66">
        <w:rPr>
          <w:rFonts w:asciiTheme="majorBidi" w:hAnsiTheme="majorBidi" w:cstheme="majorBidi"/>
          <w:i/>
          <w:iCs/>
          <w:sz w:val="24"/>
          <w:szCs w:val="24"/>
        </w:rPr>
        <w:t>performed</w:t>
      </w:r>
      <w:r w:rsidR="009D226B" w:rsidRPr="00240D66">
        <w:rPr>
          <w:rFonts w:asciiTheme="majorBidi" w:hAnsiTheme="majorBidi" w:cstheme="majorBidi"/>
          <w:sz w:val="24"/>
          <w:szCs w:val="24"/>
        </w:rPr>
        <w:t xml:space="preserve"> </w:t>
      </w:r>
      <w:r w:rsidRPr="00240D66">
        <w:rPr>
          <w:rFonts w:asciiTheme="majorBidi" w:hAnsiTheme="majorBidi" w:cstheme="majorBidi"/>
          <w:sz w:val="24"/>
          <w:szCs w:val="24"/>
        </w:rPr>
        <w:t xml:space="preserve">(see especially Howard 2016). </w:t>
      </w:r>
      <w:r w:rsidR="009D226B" w:rsidRPr="00240D66">
        <w:rPr>
          <w:rFonts w:asciiTheme="majorBidi" w:hAnsiTheme="majorBidi" w:cstheme="majorBidi"/>
          <w:sz w:val="24"/>
          <w:szCs w:val="24"/>
        </w:rPr>
        <w:t>O</w:t>
      </w:r>
      <w:r w:rsidR="00A82661" w:rsidRPr="00240D66">
        <w:rPr>
          <w:rFonts w:asciiTheme="majorBidi" w:hAnsiTheme="majorBidi" w:cstheme="majorBidi"/>
          <w:sz w:val="24"/>
          <w:szCs w:val="24"/>
        </w:rPr>
        <w:t>rthodox approaches</w:t>
      </w:r>
      <w:r w:rsidR="00CE4220" w:rsidRPr="00240D66">
        <w:rPr>
          <w:rFonts w:asciiTheme="majorBidi" w:hAnsiTheme="majorBidi" w:cstheme="majorBidi"/>
          <w:sz w:val="24"/>
          <w:szCs w:val="24"/>
        </w:rPr>
        <w:t xml:space="preserve"> risk </w:t>
      </w:r>
      <w:r w:rsidR="00D87B3E" w:rsidRPr="00240D66">
        <w:rPr>
          <w:rFonts w:asciiTheme="majorBidi" w:hAnsiTheme="majorBidi" w:cstheme="majorBidi"/>
          <w:sz w:val="24"/>
          <w:szCs w:val="24"/>
        </w:rPr>
        <w:t>imbu</w:t>
      </w:r>
      <w:r w:rsidR="00CE4220" w:rsidRPr="00240D66">
        <w:rPr>
          <w:rFonts w:asciiTheme="majorBidi" w:hAnsiTheme="majorBidi" w:cstheme="majorBidi"/>
          <w:sz w:val="24"/>
          <w:szCs w:val="24"/>
        </w:rPr>
        <w:t>ing</w:t>
      </w:r>
      <w:r w:rsidR="00D87B3E" w:rsidRPr="00240D66">
        <w:rPr>
          <w:rFonts w:asciiTheme="majorBidi" w:hAnsiTheme="majorBidi" w:cstheme="majorBidi"/>
          <w:sz w:val="24"/>
          <w:szCs w:val="24"/>
        </w:rPr>
        <w:t xml:space="preserve"> </w:t>
      </w:r>
      <w:r w:rsidR="006A0E4A" w:rsidRPr="00240D66">
        <w:rPr>
          <w:rFonts w:asciiTheme="majorBidi" w:hAnsiTheme="majorBidi" w:cstheme="majorBidi"/>
          <w:sz w:val="24"/>
          <w:szCs w:val="24"/>
        </w:rPr>
        <w:t>policymakers</w:t>
      </w:r>
      <w:r w:rsidR="00D87B3E" w:rsidRPr="00240D66">
        <w:rPr>
          <w:rFonts w:asciiTheme="majorBidi" w:hAnsiTheme="majorBidi" w:cstheme="majorBidi"/>
          <w:sz w:val="24"/>
          <w:szCs w:val="24"/>
        </w:rPr>
        <w:t xml:space="preserve"> with a capacity to engineer institutional architecture that</w:t>
      </w:r>
      <w:r w:rsidR="00060697" w:rsidRPr="00240D66">
        <w:rPr>
          <w:rFonts w:asciiTheme="majorBidi" w:hAnsiTheme="majorBidi" w:cstheme="majorBidi"/>
          <w:sz w:val="24"/>
          <w:szCs w:val="24"/>
        </w:rPr>
        <w:t xml:space="preserve"> fails to recognise </w:t>
      </w:r>
      <w:r w:rsidR="00D87B3E" w:rsidRPr="00240D66">
        <w:rPr>
          <w:rFonts w:asciiTheme="majorBidi" w:hAnsiTheme="majorBidi" w:cstheme="majorBidi"/>
          <w:sz w:val="24"/>
          <w:szCs w:val="24"/>
        </w:rPr>
        <w:t xml:space="preserve">the </w:t>
      </w:r>
      <w:r w:rsidR="00060697" w:rsidRPr="00240D66">
        <w:rPr>
          <w:rFonts w:asciiTheme="majorBidi" w:hAnsiTheme="majorBidi" w:cstheme="majorBidi"/>
          <w:sz w:val="24"/>
          <w:szCs w:val="24"/>
        </w:rPr>
        <w:t>limits to government autonomy (v</w:t>
      </w:r>
      <w:r w:rsidR="00D87B3E" w:rsidRPr="00240D66">
        <w:rPr>
          <w:rFonts w:asciiTheme="majorBidi" w:hAnsiTheme="majorBidi" w:cstheme="majorBidi"/>
          <w:sz w:val="24"/>
          <w:szCs w:val="24"/>
        </w:rPr>
        <w:t>is-à-vis other powerful actors).</w:t>
      </w:r>
      <w:r w:rsidR="00060697" w:rsidRPr="00240D66">
        <w:rPr>
          <w:rFonts w:asciiTheme="majorBidi" w:hAnsiTheme="majorBidi" w:cstheme="majorBidi"/>
          <w:sz w:val="24"/>
          <w:szCs w:val="24"/>
        </w:rPr>
        <w:t xml:space="preserve"> </w:t>
      </w:r>
      <w:r w:rsidR="006A0E4A" w:rsidRPr="00240D66">
        <w:rPr>
          <w:rFonts w:asciiTheme="majorBidi" w:hAnsiTheme="majorBidi" w:cstheme="majorBidi"/>
          <w:sz w:val="24"/>
          <w:szCs w:val="24"/>
        </w:rPr>
        <w:t>Policymakers</w:t>
      </w:r>
      <w:r w:rsidR="00130B3A" w:rsidRPr="00240D66">
        <w:rPr>
          <w:rFonts w:asciiTheme="majorBidi" w:hAnsiTheme="majorBidi" w:cstheme="majorBidi"/>
          <w:sz w:val="24"/>
          <w:szCs w:val="24"/>
        </w:rPr>
        <w:t xml:space="preserve"> </w:t>
      </w:r>
      <w:r w:rsidR="00032615" w:rsidRPr="00240D66">
        <w:rPr>
          <w:rFonts w:asciiTheme="majorBidi" w:hAnsiTheme="majorBidi" w:cstheme="majorBidi"/>
          <w:sz w:val="24"/>
          <w:szCs w:val="24"/>
        </w:rPr>
        <w:t>cannot simply</w:t>
      </w:r>
      <w:r w:rsidR="0047469D" w:rsidRPr="00240D66">
        <w:rPr>
          <w:rFonts w:asciiTheme="majorBidi" w:hAnsiTheme="majorBidi" w:cstheme="majorBidi"/>
          <w:sz w:val="24"/>
          <w:szCs w:val="24"/>
        </w:rPr>
        <w:t xml:space="preserve"> </w:t>
      </w:r>
      <w:r w:rsidR="00D87B3E" w:rsidRPr="00240D66">
        <w:rPr>
          <w:rFonts w:asciiTheme="majorBidi" w:hAnsiTheme="majorBidi" w:cstheme="majorBidi"/>
          <w:sz w:val="24"/>
          <w:szCs w:val="24"/>
        </w:rPr>
        <w:t>depoliticise complex issues cynically in the face of stakeholder opposition.</w:t>
      </w:r>
      <w:r w:rsidR="00E23008" w:rsidRPr="00240D66">
        <w:rPr>
          <w:rFonts w:asciiTheme="majorBidi" w:hAnsiTheme="majorBidi" w:cstheme="majorBidi"/>
          <w:sz w:val="24"/>
          <w:szCs w:val="24"/>
        </w:rPr>
        <w:t xml:space="preserve"> Nor would such institutions be tolerated if they were not deemed valuable by the diversity of actors who interact with them.</w:t>
      </w:r>
      <w:r w:rsidR="00D87B3E" w:rsidRPr="00240D66">
        <w:rPr>
          <w:rFonts w:asciiTheme="majorBidi" w:hAnsiTheme="majorBidi" w:cstheme="majorBidi"/>
          <w:sz w:val="24"/>
          <w:szCs w:val="24"/>
        </w:rPr>
        <w:t xml:space="preserve"> A fuller and more convincing account of reform</w:t>
      </w:r>
      <w:r w:rsidR="00BA795E" w:rsidRPr="00240D66">
        <w:rPr>
          <w:rFonts w:asciiTheme="majorBidi" w:hAnsiTheme="majorBidi" w:cstheme="majorBidi"/>
          <w:sz w:val="24"/>
          <w:szCs w:val="24"/>
        </w:rPr>
        <w:t xml:space="preserve"> must</w:t>
      </w:r>
      <w:r w:rsidR="00D87B3E" w:rsidRPr="00240D66">
        <w:rPr>
          <w:rFonts w:asciiTheme="majorBidi" w:hAnsiTheme="majorBidi" w:cstheme="majorBidi"/>
          <w:sz w:val="24"/>
          <w:szCs w:val="24"/>
        </w:rPr>
        <w:t xml:space="preserve"> be attentive to the ways in which arms-length bodies a</w:t>
      </w:r>
      <w:r w:rsidR="009D226B" w:rsidRPr="00240D66">
        <w:rPr>
          <w:rFonts w:asciiTheme="majorBidi" w:hAnsiTheme="majorBidi" w:cstheme="majorBidi"/>
          <w:sz w:val="24"/>
          <w:szCs w:val="24"/>
        </w:rPr>
        <w:t>re</w:t>
      </w:r>
      <w:r w:rsidRPr="00240D66">
        <w:rPr>
          <w:rFonts w:asciiTheme="majorBidi" w:hAnsiTheme="majorBidi" w:cstheme="majorBidi"/>
          <w:sz w:val="24"/>
          <w:szCs w:val="24"/>
        </w:rPr>
        <w:t xml:space="preserve"> enacted to appeal</w:t>
      </w:r>
      <w:r w:rsidR="00D87B3E" w:rsidRPr="00240D66">
        <w:rPr>
          <w:rFonts w:asciiTheme="majorBidi" w:hAnsiTheme="majorBidi" w:cstheme="majorBidi"/>
          <w:sz w:val="24"/>
          <w:szCs w:val="24"/>
        </w:rPr>
        <w:t xml:space="preserve"> to key stakeholders</w:t>
      </w:r>
      <w:r w:rsidR="00032615" w:rsidRPr="00240D66">
        <w:rPr>
          <w:rFonts w:asciiTheme="majorBidi" w:hAnsiTheme="majorBidi" w:cstheme="majorBidi"/>
          <w:sz w:val="24"/>
          <w:szCs w:val="24"/>
        </w:rPr>
        <w:t xml:space="preserve"> </w:t>
      </w:r>
      <w:r w:rsidR="00D87B3E" w:rsidRPr="00240D66">
        <w:rPr>
          <w:rFonts w:asciiTheme="majorBidi" w:hAnsiTheme="majorBidi" w:cstheme="majorBidi"/>
          <w:sz w:val="24"/>
          <w:szCs w:val="24"/>
        </w:rPr>
        <w:t xml:space="preserve">as legitimate or, in Hood’s phrase, ‘useful’, too. </w:t>
      </w:r>
      <w:r w:rsidR="00E23008" w:rsidRPr="00240D66">
        <w:rPr>
          <w:rFonts w:asciiTheme="majorBidi" w:hAnsiTheme="majorBidi" w:cstheme="majorBidi"/>
          <w:sz w:val="24"/>
          <w:szCs w:val="24"/>
        </w:rPr>
        <w:t xml:space="preserve"> </w:t>
      </w:r>
    </w:p>
    <w:p w:rsidR="00E215B0" w:rsidRPr="00240D66" w:rsidRDefault="009D226B"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Second, </w:t>
      </w:r>
      <w:r w:rsidR="00C355B5" w:rsidRPr="00240D66">
        <w:rPr>
          <w:rFonts w:asciiTheme="majorBidi" w:hAnsiTheme="majorBidi" w:cstheme="majorBidi"/>
          <w:sz w:val="24"/>
          <w:szCs w:val="24"/>
        </w:rPr>
        <w:t>c</w:t>
      </w:r>
      <w:r w:rsidR="00A82661" w:rsidRPr="00240D66">
        <w:rPr>
          <w:rFonts w:asciiTheme="majorBidi" w:hAnsiTheme="majorBidi" w:cstheme="majorBidi"/>
          <w:sz w:val="24"/>
          <w:szCs w:val="24"/>
        </w:rPr>
        <w:t>areful cas</w:t>
      </w:r>
      <w:r w:rsidR="00E3407D" w:rsidRPr="00240D66">
        <w:rPr>
          <w:rFonts w:asciiTheme="majorBidi" w:hAnsiTheme="majorBidi" w:cstheme="majorBidi"/>
          <w:sz w:val="24"/>
          <w:szCs w:val="24"/>
        </w:rPr>
        <w:t xml:space="preserve">e studies show that broad-brush </w:t>
      </w:r>
      <w:r w:rsidR="00A82661" w:rsidRPr="00240D66">
        <w:rPr>
          <w:rFonts w:asciiTheme="majorBidi" w:hAnsiTheme="majorBidi" w:cstheme="majorBidi"/>
          <w:sz w:val="24"/>
          <w:szCs w:val="24"/>
        </w:rPr>
        <w:t>assertions</w:t>
      </w:r>
      <w:r w:rsidR="00C355B5" w:rsidRPr="00240D66">
        <w:rPr>
          <w:rFonts w:asciiTheme="majorBidi" w:hAnsiTheme="majorBidi" w:cstheme="majorBidi"/>
          <w:sz w:val="24"/>
          <w:szCs w:val="24"/>
        </w:rPr>
        <w:t xml:space="preserve"> about what factors determine institutional autonomy</w:t>
      </w:r>
      <w:r w:rsidR="009000CD" w:rsidRPr="00240D66">
        <w:rPr>
          <w:rFonts w:asciiTheme="majorBidi" w:hAnsiTheme="majorBidi" w:cstheme="majorBidi"/>
          <w:sz w:val="24"/>
          <w:szCs w:val="24"/>
        </w:rPr>
        <w:t xml:space="preserve"> </w:t>
      </w:r>
      <w:r w:rsidR="00032615" w:rsidRPr="00240D66">
        <w:rPr>
          <w:rFonts w:asciiTheme="majorBidi" w:hAnsiTheme="majorBidi" w:cstheme="majorBidi"/>
          <w:sz w:val="24"/>
          <w:szCs w:val="24"/>
        </w:rPr>
        <w:t>can mislead</w:t>
      </w:r>
      <w:r w:rsidR="009000CD" w:rsidRPr="00240D66">
        <w:rPr>
          <w:rFonts w:asciiTheme="majorBidi" w:hAnsiTheme="majorBidi" w:cstheme="majorBidi"/>
          <w:sz w:val="24"/>
          <w:szCs w:val="24"/>
        </w:rPr>
        <w:t xml:space="preserve">. Recent studies, for example, debunk the </w:t>
      </w:r>
      <w:r w:rsidR="00032615" w:rsidRPr="00240D66">
        <w:rPr>
          <w:rFonts w:asciiTheme="majorBidi" w:hAnsiTheme="majorBidi" w:cstheme="majorBidi"/>
          <w:sz w:val="24"/>
          <w:szCs w:val="24"/>
        </w:rPr>
        <w:t xml:space="preserve">widespread </w:t>
      </w:r>
      <w:r w:rsidR="009000CD" w:rsidRPr="00240D66">
        <w:rPr>
          <w:rFonts w:asciiTheme="majorBidi" w:hAnsiTheme="majorBidi" w:cstheme="majorBidi"/>
          <w:sz w:val="24"/>
          <w:szCs w:val="24"/>
        </w:rPr>
        <w:t xml:space="preserve">notion that </w:t>
      </w:r>
      <w:r w:rsidR="003A2030" w:rsidRPr="00240D66">
        <w:rPr>
          <w:rFonts w:asciiTheme="majorBidi" w:hAnsiTheme="majorBidi" w:cstheme="majorBidi"/>
          <w:sz w:val="24"/>
          <w:szCs w:val="24"/>
        </w:rPr>
        <w:t>institutional</w:t>
      </w:r>
      <w:r w:rsidR="009000CD" w:rsidRPr="00240D66">
        <w:rPr>
          <w:rFonts w:asciiTheme="majorBidi" w:hAnsiTheme="majorBidi" w:cstheme="majorBidi"/>
          <w:sz w:val="24"/>
          <w:szCs w:val="24"/>
        </w:rPr>
        <w:t xml:space="preserve"> size has</w:t>
      </w:r>
      <w:r w:rsidR="002361A0" w:rsidRPr="00240D66">
        <w:rPr>
          <w:rFonts w:asciiTheme="majorBidi" w:hAnsiTheme="majorBidi" w:cstheme="majorBidi"/>
          <w:sz w:val="24"/>
          <w:szCs w:val="24"/>
        </w:rPr>
        <w:t xml:space="preserve"> a monotonic relationship with </w:t>
      </w:r>
      <w:r w:rsidR="003A2030" w:rsidRPr="00240D66">
        <w:rPr>
          <w:rFonts w:asciiTheme="majorBidi" w:hAnsiTheme="majorBidi" w:cstheme="majorBidi"/>
          <w:sz w:val="24"/>
          <w:szCs w:val="24"/>
        </w:rPr>
        <w:t>institutional</w:t>
      </w:r>
      <w:r w:rsidR="002361A0" w:rsidRPr="00240D66">
        <w:rPr>
          <w:rFonts w:asciiTheme="majorBidi" w:hAnsiTheme="majorBidi" w:cstheme="majorBidi"/>
          <w:sz w:val="24"/>
          <w:szCs w:val="24"/>
        </w:rPr>
        <w:t xml:space="preserve"> success (see Corbett and Howard 2016)</w:t>
      </w:r>
      <w:r w:rsidR="009000CD" w:rsidRPr="00240D66">
        <w:rPr>
          <w:rFonts w:asciiTheme="majorBidi" w:hAnsiTheme="majorBidi" w:cstheme="majorBidi"/>
          <w:sz w:val="24"/>
          <w:szCs w:val="24"/>
        </w:rPr>
        <w:t xml:space="preserve"> or challenge the presumption that </w:t>
      </w:r>
      <w:r w:rsidR="003A2030" w:rsidRPr="00240D66">
        <w:rPr>
          <w:rFonts w:asciiTheme="majorBidi" w:hAnsiTheme="majorBidi" w:cstheme="majorBidi"/>
          <w:sz w:val="24"/>
          <w:szCs w:val="24"/>
        </w:rPr>
        <w:t>institutional</w:t>
      </w:r>
      <w:r w:rsidR="005C7FD6" w:rsidRPr="00240D66">
        <w:rPr>
          <w:rFonts w:asciiTheme="majorBidi" w:hAnsiTheme="majorBidi" w:cstheme="majorBidi"/>
          <w:sz w:val="24"/>
          <w:szCs w:val="24"/>
        </w:rPr>
        <w:t xml:space="preserve"> </w:t>
      </w:r>
      <w:r w:rsidR="003A2030" w:rsidRPr="00240D66">
        <w:rPr>
          <w:rFonts w:asciiTheme="majorBidi" w:hAnsiTheme="majorBidi" w:cstheme="majorBidi"/>
          <w:sz w:val="24"/>
          <w:szCs w:val="24"/>
        </w:rPr>
        <w:t>autonomy</w:t>
      </w:r>
      <w:r w:rsidR="009000CD" w:rsidRPr="00240D66">
        <w:rPr>
          <w:rFonts w:asciiTheme="majorBidi" w:hAnsiTheme="majorBidi" w:cstheme="majorBidi"/>
          <w:sz w:val="24"/>
          <w:szCs w:val="24"/>
        </w:rPr>
        <w:t xml:space="preserve"> is </w:t>
      </w:r>
      <w:r w:rsidR="005C7FD6" w:rsidRPr="00240D66">
        <w:rPr>
          <w:rFonts w:asciiTheme="majorBidi" w:hAnsiTheme="majorBidi" w:cstheme="majorBidi"/>
          <w:sz w:val="24"/>
          <w:szCs w:val="24"/>
        </w:rPr>
        <w:t>eroded by</w:t>
      </w:r>
      <w:r w:rsidR="009000CD" w:rsidRPr="00240D66">
        <w:rPr>
          <w:rFonts w:asciiTheme="majorBidi" w:hAnsiTheme="majorBidi" w:cstheme="majorBidi"/>
          <w:sz w:val="24"/>
          <w:szCs w:val="24"/>
        </w:rPr>
        <w:t xml:space="preserve"> political salience (see Wood 2014)</w:t>
      </w:r>
      <w:r w:rsidR="00A82661" w:rsidRPr="00240D66">
        <w:rPr>
          <w:rFonts w:asciiTheme="majorBidi" w:hAnsiTheme="majorBidi" w:cstheme="majorBidi"/>
          <w:sz w:val="24"/>
          <w:szCs w:val="24"/>
        </w:rPr>
        <w:t xml:space="preserve">. There is a need for an analytical approach that can better peer inside the </w:t>
      </w:r>
      <w:r w:rsidRPr="00240D66">
        <w:rPr>
          <w:rFonts w:asciiTheme="majorBidi" w:hAnsiTheme="majorBidi" w:cstheme="majorBidi"/>
          <w:sz w:val="24"/>
          <w:szCs w:val="24"/>
        </w:rPr>
        <w:t>‘black box’</w:t>
      </w:r>
      <w:r w:rsidR="00A82661" w:rsidRPr="00240D66">
        <w:rPr>
          <w:rFonts w:asciiTheme="majorBidi" w:hAnsiTheme="majorBidi" w:cstheme="majorBidi"/>
          <w:sz w:val="24"/>
          <w:szCs w:val="24"/>
        </w:rPr>
        <w:t xml:space="preserve"> to explore and unpack the contingent dynamics that sustai</w:t>
      </w:r>
      <w:r w:rsidRPr="00240D66">
        <w:rPr>
          <w:rFonts w:asciiTheme="majorBidi" w:hAnsiTheme="majorBidi" w:cstheme="majorBidi"/>
          <w:sz w:val="24"/>
          <w:szCs w:val="24"/>
        </w:rPr>
        <w:t>n or erode autonomy</w:t>
      </w:r>
      <w:r w:rsidR="00A82661" w:rsidRPr="00240D66">
        <w:rPr>
          <w:rFonts w:asciiTheme="majorBidi" w:hAnsiTheme="majorBidi" w:cstheme="majorBidi"/>
          <w:sz w:val="24"/>
          <w:szCs w:val="24"/>
        </w:rPr>
        <w:t>.</w:t>
      </w:r>
    </w:p>
    <w:p w:rsidR="00060697" w:rsidRPr="00240D66" w:rsidRDefault="00060697" w:rsidP="00240D66">
      <w:pPr>
        <w:spacing w:line="360" w:lineRule="auto"/>
        <w:rPr>
          <w:rFonts w:asciiTheme="majorBidi" w:hAnsiTheme="majorBidi" w:cstheme="majorBidi"/>
          <w:sz w:val="24"/>
          <w:szCs w:val="24"/>
        </w:rPr>
      </w:pPr>
    </w:p>
    <w:p w:rsidR="001319FE" w:rsidRPr="00240D66" w:rsidRDefault="00060697" w:rsidP="00240D66">
      <w:pPr>
        <w:spacing w:line="360" w:lineRule="auto"/>
        <w:rPr>
          <w:rFonts w:asciiTheme="majorBidi" w:hAnsiTheme="majorBidi" w:cstheme="majorBidi"/>
          <w:sz w:val="24"/>
          <w:szCs w:val="24"/>
        </w:rPr>
      </w:pPr>
      <w:r w:rsidRPr="00240D66">
        <w:rPr>
          <w:rFonts w:asciiTheme="majorBidi" w:hAnsiTheme="majorBidi" w:cstheme="majorBidi"/>
          <w:b/>
          <w:bCs/>
          <w:sz w:val="24"/>
          <w:szCs w:val="24"/>
        </w:rPr>
        <w:t>Introducing b</w:t>
      </w:r>
      <w:r w:rsidR="00C93ACD" w:rsidRPr="00240D66">
        <w:rPr>
          <w:rFonts w:asciiTheme="majorBidi" w:hAnsiTheme="majorBidi" w:cstheme="majorBidi"/>
          <w:b/>
          <w:bCs/>
          <w:sz w:val="24"/>
          <w:szCs w:val="24"/>
        </w:rPr>
        <w:t>oundary work</w:t>
      </w:r>
    </w:p>
    <w:p w:rsidR="00D539A4" w:rsidRPr="00240D66" w:rsidRDefault="00DE4B45"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The notion of boundary work has developed over the last couple of decades in the field of STS</w:t>
      </w:r>
      <w:r w:rsidR="00286D99" w:rsidRPr="00240D66">
        <w:rPr>
          <w:rFonts w:asciiTheme="majorBidi" w:hAnsiTheme="majorBidi" w:cstheme="majorBidi"/>
          <w:sz w:val="24"/>
          <w:szCs w:val="24"/>
        </w:rPr>
        <w:t xml:space="preserve"> (see </w:t>
      </w:r>
      <w:r w:rsidR="006A0E4A" w:rsidRPr="00240D66">
        <w:rPr>
          <w:rFonts w:asciiTheme="majorBidi" w:hAnsiTheme="majorBidi" w:cstheme="majorBidi"/>
          <w:sz w:val="24"/>
          <w:szCs w:val="24"/>
        </w:rPr>
        <w:t xml:space="preserve">Gieryn 1983; </w:t>
      </w:r>
      <w:r w:rsidR="00D539A4" w:rsidRPr="00240D66">
        <w:rPr>
          <w:rFonts w:asciiTheme="majorBidi" w:hAnsiTheme="majorBidi" w:cstheme="majorBidi"/>
          <w:sz w:val="24"/>
          <w:szCs w:val="24"/>
        </w:rPr>
        <w:t xml:space="preserve">Shapin 1992; </w:t>
      </w:r>
      <w:r w:rsidR="00286D99" w:rsidRPr="00240D66">
        <w:rPr>
          <w:rFonts w:asciiTheme="majorBidi" w:hAnsiTheme="majorBidi" w:cstheme="majorBidi"/>
          <w:sz w:val="24"/>
          <w:szCs w:val="24"/>
        </w:rPr>
        <w:t>Jasanoff</w:t>
      </w:r>
      <w:r w:rsidR="00AA2ED3" w:rsidRPr="00240D66">
        <w:rPr>
          <w:rFonts w:asciiTheme="majorBidi" w:hAnsiTheme="majorBidi" w:cstheme="majorBidi"/>
          <w:sz w:val="24"/>
          <w:szCs w:val="24"/>
        </w:rPr>
        <w:t xml:space="preserve"> 1996; Guston 2001</w:t>
      </w:r>
      <w:r w:rsidR="00D539A4" w:rsidRPr="00240D66">
        <w:rPr>
          <w:rFonts w:asciiTheme="majorBidi" w:hAnsiTheme="majorBidi" w:cstheme="majorBidi"/>
          <w:sz w:val="24"/>
          <w:szCs w:val="24"/>
        </w:rPr>
        <w:t>; Halffman 200</w:t>
      </w:r>
      <w:r w:rsidR="00221F2A" w:rsidRPr="00240D66">
        <w:rPr>
          <w:rFonts w:asciiTheme="majorBidi" w:hAnsiTheme="majorBidi" w:cstheme="majorBidi"/>
          <w:sz w:val="24"/>
          <w:szCs w:val="24"/>
        </w:rPr>
        <w:t>2</w:t>
      </w:r>
      <w:r w:rsidR="00286D99" w:rsidRPr="00240D66">
        <w:rPr>
          <w:rFonts w:asciiTheme="majorBidi" w:hAnsiTheme="majorBidi" w:cstheme="majorBidi"/>
          <w:sz w:val="24"/>
          <w:szCs w:val="24"/>
        </w:rPr>
        <w:t>)</w:t>
      </w:r>
      <w:r w:rsidR="00911F09" w:rsidRPr="00240D66">
        <w:rPr>
          <w:rFonts w:asciiTheme="majorBidi" w:hAnsiTheme="majorBidi" w:cstheme="majorBidi"/>
          <w:sz w:val="24"/>
          <w:szCs w:val="24"/>
        </w:rPr>
        <w:t>.</w:t>
      </w:r>
      <w:r w:rsidRPr="00240D66">
        <w:rPr>
          <w:rFonts w:asciiTheme="majorBidi" w:hAnsiTheme="majorBidi" w:cstheme="majorBidi"/>
          <w:sz w:val="24"/>
          <w:szCs w:val="24"/>
        </w:rPr>
        <w:t xml:space="preserve"> It capture</w:t>
      </w:r>
      <w:r w:rsidR="00B728D2" w:rsidRPr="00240D66">
        <w:rPr>
          <w:rFonts w:asciiTheme="majorBidi" w:hAnsiTheme="majorBidi" w:cstheme="majorBidi"/>
          <w:sz w:val="24"/>
          <w:szCs w:val="24"/>
        </w:rPr>
        <w:t>s</w:t>
      </w:r>
      <w:r w:rsidRPr="00240D66">
        <w:rPr>
          <w:rFonts w:asciiTheme="majorBidi" w:hAnsiTheme="majorBidi" w:cstheme="majorBidi"/>
          <w:sz w:val="24"/>
          <w:szCs w:val="24"/>
        </w:rPr>
        <w:t xml:space="preserve"> the ways in which scientific knowledge is mobilised and reinforced vis-a-vis other </w:t>
      </w:r>
      <w:r w:rsidR="00BA795E" w:rsidRPr="00240D66">
        <w:rPr>
          <w:rFonts w:asciiTheme="majorBidi" w:hAnsiTheme="majorBidi" w:cstheme="majorBidi"/>
          <w:sz w:val="24"/>
          <w:szCs w:val="24"/>
        </w:rPr>
        <w:t xml:space="preserve">social </w:t>
      </w:r>
      <w:r w:rsidRPr="00240D66">
        <w:rPr>
          <w:rFonts w:asciiTheme="majorBidi" w:hAnsiTheme="majorBidi" w:cstheme="majorBidi"/>
          <w:sz w:val="24"/>
          <w:szCs w:val="24"/>
        </w:rPr>
        <w:t xml:space="preserve">spheres. </w:t>
      </w:r>
      <w:r w:rsidR="00E3407D" w:rsidRPr="00240D66">
        <w:rPr>
          <w:rFonts w:asciiTheme="majorBidi" w:hAnsiTheme="majorBidi" w:cstheme="majorBidi"/>
          <w:sz w:val="24"/>
          <w:szCs w:val="24"/>
        </w:rPr>
        <w:t>‘T</w:t>
      </w:r>
      <w:r w:rsidRPr="00240D66">
        <w:rPr>
          <w:rFonts w:asciiTheme="majorBidi" w:hAnsiTheme="majorBidi" w:cstheme="majorBidi"/>
          <w:sz w:val="24"/>
          <w:szCs w:val="24"/>
        </w:rPr>
        <w:t>he scientific’ is not given; it represents a social sphere</w:t>
      </w:r>
      <w:r w:rsidR="00F12B3B" w:rsidRPr="00240D66">
        <w:rPr>
          <w:rFonts w:asciiTheme="majorBidi" w:hAnsiTheme="majorBidi" w:cstheme="majorBidi"/>
          <w:sz w:val="24"/>
          <w:szCs w:val="24"/>
        </w:rPr>
        <w:t xml:space="preserve"> </w:t>
      </w:r>
      <w:r w:rsidR="006A0E4A" w:rsidRPr="00240D66">
        <w:rPr>
          <w:rFonts w:asciiTheme="majorBidi" w:hAnsiTheme="majorBidi" w:cstheme="majorBidi"/>
          <w:sz w:val="24"/>
          <w:szCs w:val="24"/>
        </w:rPr>
        <w:t>with fuzzy, porous borders</w:t>
      </w:r>
      <w:r w:rsidR="00F12B3B" w:rsidRPr="00240D66">
        <w:rPr>
          <w:rFonts w:asciiTheme="majorBidi" w:hAnsiTheme="majorBidi" w:cstheme="majorBidi"/>
          <w:sz w:val="24"/>
          <w:szCs w:val="24"/>
        </w:rPr>
        <w:t>. W</w:t>
      </w:r>
      <w:r w:rsidR="006A0E4A" w:rsidRPr="00240D66">
        <w:rPr>
          <w:rFonts w:asciiTheme="majorBidi" w:hAnsiTheme="majorBidi" w:cstheme="majorBidi"/>
          <w:sz w:val="24"/>
          <w:szCs w:val="24"/>
        </w:rPr>
        <w:t xml:space="preserve">hat counts as science is not a philosophical question </w:t>
      </w:r>
      <w:r w:rsidR="00F12B3B" w:rsidRPr="00240D66">
        <w:rPr>
          <w:rFonts w:asciiTheme="majorBidi" w:hAnsiTheme="majorBidi" w:cstheme="majorBidi"/>
          <w:sz w:val="24"/>
          <w:szCs w:val="24"/>
        </w:rPr>
        <w:t>but</w:t>
      </w:r>
      <w:r w:rsidR="006A0E4A" w:rsidRPr="00240D66">
        <w:rPr>
          <w:rFonts w:asciiTheme="majorBidi" w:hAnsiTheme="majorBidi" w:cstheme="majorBidi"/>
          <w:sz w:val="24"/>
          <w:szCs w:val="24"/>
        </w:rPr>
        <w:t xml:space="preserve"> a practical one, </w:t>
      </w:r>
      <w:r w:rsidR="000B0861" w:rsidRPr="00240D66">
        <w:rPr>
          <w:rFonts w:asciiTheme="majorBidi" w:hAnsiTheme="majorBidi" w:cstheme="majorBidi"/>
          <w:sz w:val="24"/>
          <w:szCs w:val="24"/>
        </w:rPr>
        <w:t>negotiated by</w:t>
      </w:r>
      <w:r w:rsidR="006A0E4A" w:rsidRPr="00240D66">
        <w:rPr>
          <w:rFonts w:asciiTheme="majorBidi" w:hAnsiTheme="majorBidi" w:cstheme="majorBidi"/>
          <w:sz w:val="24"/>
          <w:szCs w:val="24"/>
        </w:rPr>
        <w:t xml:space="preserve"> situated actors to buttress their authority (Gieryn 1983)</w:t>
      </w:r>
      <w:r w:rsidRPr="00240D66">
        <w:rPr>
          <w:rFonts w:asciiTheme="majorBidi" w:hAnsiTheme="majorBidi" w:cstheme="majorBidi"/>
          <w:sz w:val="24"/>
          <w:szCs w:val="24"/>
        </w:rPr>
        <w:t xml:space="preserve">. </w:t>
      </w:r>
      <w:r w:rsidR="006A0E4A" w:rsidRPr="00240D66">
        <w:rPr>
          <w:rFonts w:asciiTheme="majorBidi" w:hAnsiTheme="majorBidi" w:cstheme="majorBidi"/>
          <w:sz w:val="24"/>
          <w:szCs w:val="24"/>
        </w:rPr>
        <w:t>Boundary problems emerge when the distinctiveness of the sphere comes into question</w:t>
      </w:r>
      <w:r w:rsidR="00C41EEC" w:rsidRPr="00240D66">
        <w:rPr>
          <w:rFonts w:asciiTheme="majorBidi" w:hAnsiTheme="majorBidi" w:cstheme="majorBidi"/>
          <w:sz w:val="24"/>
          <w:szCs w:val="24"/>
        </w:rPr>
        <w:t xml:space="preserve">—when “pseudoscientists” try to claim </w:t>
      </w:r>
      <w:r w:rsidR="000B0861" w:rsidRPr="00240D66">
        <w:rPr>
          <w:rFonts w:asciiTheme="majorBidi" w:hAnsiTheme="majorBidi" w:cstheme="majorBidi"/>
          <w:sz w:val="24"/>
          <w:szCs w:val="24"/>
        </w:rPr>
        <w:t xml:space="preserve">that </w:t>
      </w:r>
      <w:r w:rsidR="00C41EEC" w:rsidRPr="00240D66">
        <w:rPr>
          <w:rFonts w:asciiTheme="majorBidi" w:hAnsiTheme="majorBidi" w:cstheme="majorBidi"/>
          <w:sz w:val="24"/>
          <w:szCs w:val="24"/>
        </w:rPr>
        <w:t>authority or when th</w:t>
      </w:r>
      <w:r w:rsidR="000B0861" w:rsidRPr="00240D66">
        <w:rPr>
          <w:rFonts w:asciiTheme="majorBidi" w:hAnsiTheme="majorBidi" w:cstheme="majorBidi"/>
          <w:sz w:val="24"/>
          <w:szCs w:val="24"/>
        </w:rPr>
        <w:t>e</w:t>
      </w:r>
      <w:r w:rsidR="00C41EEC" w:rsidRPr="00240D66">
        <w:rPr>
          <w:rFonts w:asciiTheme="majorBidi" w:hAnsiTheme="majorBidi" w:cstheme="majorBidi"/>
          <w:sz w:val="24"/>
          <w:szCs w:val="24"/>
        </w:rPr>
        <w:t xml:space="preserve"> features perceived to be distinct to this sphere (such as objectivity) are challenged.  </w:t>
      </w:r>
      <w:r w:rsidR="009F2BAD" w:rsidRPr="00240D66">
        <w:rPr>
          <w:rFonts w:asciiTheme="majorBidi" w:hAnsiTheme="majorBidi" w:cstheme="majorBidi"/>
          <w:sz w:val="24"/>
          <w:szCs w:val="24"/>
        </w:rPr>
        <w:t xml:space="preserve">Boundary work is </w:t>
      </w:r>
      <w:r w:rsidR="00912E7E" w:rsidRPr="00240D66">
        <w:rPr>
          <w:rFonts w:asciiTheme="majorBidi" w:hAnsiTheme="majorBidi" w:cstheme="majorBidi"/>
          <w:sz w:val="24"/>
          <w:szCs w:val="24"/>
        </w:rPr>
        <w:t>what happens in</w:t>
      </w:r>
      <w:r w:rsidR="009F2BAD" w:rsidRPr="00240D66">
        <w:rPr>
          <w:rFonts w:asciiTheme="majorBidi" w:hAnsiTheme="majorBidi" w:cstheme="majorBidi"/>
          <w:sz w:val="24"/>
          <w:szCs w:val="24"/>
        </w:rPr>
        <w:t xml:space="preserve"> respon</w:t>
      </w:r>
      <w:r w:rsidR="00912E7E" w:rsidRPr="00240D66">
        <w:rPr>
          <w:rFonts w:asciiTheme="majorBidi" w:hAnsiTheme="majorBidi" w:cstheme="majorBidi"/>
          <w:sz w:val="24"/>
          <w:szCs w:val="24"/>
        </w:rPr>
        <w:t xml:space="preserve">se </w:t>
      </w:r>
      <w:r w:rsidR="009F2BAD" w:rsidRPr="00240D66">
        <w:rPr>
          <w:rFonts w:asciiTheme="majorBidi" w:hAnsiTheme="majorBidi" w:cstheme="majorBidi"/>
          <w:sz w:val="24"/>
          <w:szCs w:val="24"/>
        </w:rPr>
        <w:t>to the emergence of such boundary problems. It</w:t>
      </w:r>
      <w:r w:rsidRPr="00240D66">
        <w:rPr>
          <w:rFonts w:asciiTheme="majorBidi" w:hAnsiTheme="majorBidi" w:cstheme="majorBidi"/>
          <w:sz w:val="24"/>
          <w:szCs w:val="24"/>
        </w:rPr>
        <w:t xml:space="preserve"> </w:t>
      </w:r>
      <w:r w:rsidR="00DF3BB7" w:rsidRPr="00240D66">
        <w:rPr>
          <w:rFonts w:asciiTheme="majorBidi" w:hAnsiTheme="majorBidi" w:cstheme="majorBidi"/>
          <w:sz w:val="24"/>
          <w:szCs w:val="24"/>
        </w:rPr>
        <w:t>is</w:t>
      </w:r>
      <w:r w:rsidRPr="00240D66">
        <w:rPr>
          <w:rFonts w:asciiTheme="majorBidi" w:hAnsiTheme="majorBidi" w:cstheme="majorBidi"/>
          <w:sz w:val="24"/>
          <w:szCs w:val="24"/>
        </w:rPr>
        <w:t xml:space="preserve"> the </w:t>
      </w:r>
      <w:r w:rsidR="009F2BAD" w:rsidRPr="00240D66">
        <w:rPr>
          <w:rFonts w:asciiTheme="majorBidi" w:hAnsiTheme="majorBidi" w:cstheme="majorBidi"/>
          <w:sz w:val="24"/>
          <w:szCs w:val="24"/>
        </w:rPr>
        <w:t>practices through</w:t>
      </w:r>
      <w:r w:rsidRPr="00240D66">
        <w:rPr>
          <w:rFonts w:asciiTheme="majorBidi" w:hAnsiTheme="majorBidi" w:cstheme="majorBidi"/>
          <w:sz w:val="24"/>
          <w:szCs w:val="24"/>
        </w:rPr>
        <w:t xml:space="preserve"> which the boundaries of</w:t>
      </w:r>
      <w:r w:rsidR="009F2BAD" w:rsidRPr="00240D66">
        <w:rPr>
          <w:rFonts w:asciiTheme="majorBidi" w:hAnsiTheme="majorBidi" w:cstheme="majorBidi"/>
          <w:sz w:val="24"/>
          <w:szCs w:val="24"/>
        </w:rPr>
        <w:t xml:space="preserve"> distinct </w:t>
      </w:r>
      <w:r w:rsidR="003A2030" w:rsidRPr="00240D66">
        <w:rPr>
          <w:rFonts w:asciiTheme="majorBidi" w:hAnsiTheme="majorBidi" w:cstheme="majorBidi"/>
          <w:sz w:val="24"/>
          <w:szCs w:val="24"/>
        </w:rPr>
        <w:t xml:space="preserve">social </w:t>
      </w:r>
      <w:r w:rsidR="009F2BAD" w:rsidRPr="00240D66">
        <w:rPr>
          <w:rFonts w:asciiTheme="majorBidi" w:hAnsiTheme="majorBidi" w:cstheme="majorBidi"/>
          <w:sz w:val="24"/>
          <w:szCs w:val="24"/>
        </w:rPr>
        <w:t>spheres like</w:t>
      </w:r>
      <w:r w:rsidRPr="00240D66">
        <w:rPr>
          <w:rFonts w:asciiTheme="majorBidi" w:hAnsiTheme="majorBidi" w:cstheme="majorBidi"/>
          <w:sz w:val="24"/>
          <w:szCs w:val="24"/>
        </w:rPr>
        <w:t xml:space="preserve"> ‘the scientific’</w:t>
      </w:r>
      <w:r w:rsidR="005044B5" w:rsidRPr="00240D66">
        <w:rPr>
          <w:rFonts w:asciiTheme="majorBidi" w:hAnsiTheme="majorBidi" w:cstheme="majorBidi"/>
          <w:sz w:val="24"/>
          <w:szCs w:val="24"/>
        </w:rPr>
        <w:t xml:space="preserve"> are </w:t>
      </w:r>
      <w:r w:rsidR="00F12B3B" w:rsidRPr="00240D66">
        <w:rPr>
          <w:rFonts w:asciiTheme="majorBidi" w:hAnsiTheme="majorBidi" w:cstheme="majorBidi"/>
          <w:sz w:val="24"/>
          <w:szCs w:val="24"/>
        </w:rPr>
        <w:t>reproduced</w:t>
      </w:r>
      <w:r w:rsidRPr="00240D66">
        <w:rPr>
          <w:rFonts w:asciiTheme="majorBidi" w:hAnsiTheme="majorBidi" w:cstheme="majorBidi"/>
          <w:sz w:val="24"/>
          <w:szCs w:val="24"/>
        </w:rPr>
        <w:t xml:space="preserve"> and</w:t>
      </w:r>
      <w:r w:rsidR="005044B5" w:rsidRPr="00240D66">
        <w:rPr>
          <w:rFonts w:asciiTheme="majorBidi" w:hAnsiTheme="majorBidi" w:cstheme="majorBidi"/>
          <w:sz w:val="24"/>
          <w:szCs w:val="24"/>
        </w:rPr>
        <w:t xml:space="preserve"> </w:t>
      </w:r>
      <w:r w:rsidRPr="00240D66">
        <w:rPr>
          <w:rFonts w:asciiTheme="majorBidi" w:hAnsiTheme="majorBidi" w:cstheme="majorBidi"/>
          <w:sz w:val="24"/>
          <w:szCs w:val="24"/>
        </w:rPr>
        <w:t>maintai</w:t>
      </w:r>
      <w:r w:rsidR="00D539A4" w:rsidRPr="00240D66">
        <w:rPr>
          <w:rFonts w:asciiTheme="majorBidi" w:hAnsiTheme="majorBidi" w:cstheme="majorBidi"/>
          <w:sz w:val="24"/>
          <w:szCs w:val="24"/>
        </w:rPr>
        <w:t>ned.</w:t>
      </w:r>
    </w:p>
    <w:p w:rsidR="00DE4B45" w:rsidRPr="00240D66" w:rsidRDefault="00B2486F"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STS scholars,</w:t>
      </w:r>
      <w:r w:rsidR="00223670" w:rsidRPr="00240D66">
        <w:rPr>
          <w:rFonts w:asciiTheme="majorBidi" w:hAnsiTheme="majorBidi" w:cstheme="majorBidi"/>
          <w:sz w:val="24"/>
          <w:szCs w:val="24"/>
        </w:rPr>
        <w:t xml:space="preserve"> and those who have borrowed from </w:t>
      </w:r>
      <w:r w:rsidRPr="00240D66">
        <w:rPr>
          <w:rFonts w:asciiTheme="majorBidi" w:hAnsiTheme="majorBidi" w:cstheme="majorBidi"/>
          <w:sz w:val="24"/>
          <w:szCs w:val="24"/>
        </w:rPr>
        <w:t>this literature,</w:t>
      </w:r>
      <w:r w:rsidR="00223670" w:rsidRPr="00240D66">
        <w:rPr>
          <w:rFonts w:asciiTheme="majorBidi" w:hAnsiTheme="majorBidi" w:cstheme="majorBidi"/>
          <w:sz w:val="24"/>
          <w:szCs w:val="24"/>
        </w:rPr>
        <w:t xml:space="preserve"> have </w:t>
      </w:r>
      <w:r w:rsidR="00E3407D" w:rsidRPr="00240D66">
        <w:rPr>
          <w:rFonts w:asciiTheme="majorBidi" w:hAnsiTheme="majorBidi" w:cstheme="majorBidi"/>
          <w:sz w:val="24"/>
          <w:szCs w:val="24"/>
        </w:rPr>
        <w:t>applied</w:t>
      </w:r>
      <w:r w:rsidR="00223670" w:rsidRPr="00240D66">
        <w:rPr>
          <w:rFonts w:asciiTheme="majorBidi" w:hAnsiTheme="majorBidi" w:cstheme="majorBidi"/>
          <w:sz w:val="24"/>
          <w:szCs w:val="24"/>
        </w:rPr>
        <w:t xml:space="preserve"> boundary work in different ways. Some </w:t>
      </w:r>
      <w:r w:rsidR="009D226B" w:rsidRPr="00240D66">
        <w:rPr>
          <w:rFonts w:asciiTheme="majorBidi" w:hAnsiTheme="majorBidi" w:cstheme="majorBidi"/>
          <w:sz w:val="24"/>
          <w:szCs w:val="24"/>
        </w:rPr>
        <w:t>make the normative</w:t>
      </w:r>
      <w:r w:rsidR="00BA0BD5" w:rsidRPr="00240D66">
        <w:rPr>
          <w:rFonts w:asciiTheme="majorBidi" w:hAnsiTheme="majorBidi" w:cstheme="majorBidi"/>
          <w:sz w:val="24"/>
          <w:szCs w:val="24"/>
        </w:rPr>
        <w:t xml:space="preserve"> case for</w:t>
      </w:r>
      <w:r w:rsidR="00223670" w:rsidRPr="00240D66">
        <w:rPr>
          <w:rFonts w:asciiTheme="majorBidi" w:hAnsiTheme="majorBidi" w:cstheme="majorBidi"/>
          <w:sz w:val="24"/>
          <w:szCs w:val="24"/>
        </w:rPr>
        <w:t xml:space="preserve"> boundary work in </w:t>
      </w:r>
      <w:r w:rsidR="00531B1E" w:rsidRPr="00240D66">
        <w:rPr>
          <w:rFonts w:asciiTheme="majorBidi" w:hAnsiTheme="majorBidi" w:cstheme="majorBidi"/>
          <w:sz w:val="24"/>
          <w:szCs w:val="24"/>
        </w:rPr>
        <w:t>moderating</w:t>
      </w:r>
      <w:r w:rsidR="00223670" w:rsidRPr="00240D66">
        <w:rPr>
          <w:rFonts w:asciiTheme="majorBidi" w:hAnsiTheme="majorBidi" w:cstheme="majorBidi"/>
          <w:sz w:val="24"/>
          <w:szCs w:val="24"/>
        </w:rPr>
        <w:t xml:space="preserve"> the influence of science and other sources of traditional authority (see eg. Backstrand 2003; Hulme 2008). </w:t>
      </w:r>
      <w:r w:rsidR="009D226B" w:rsidRPr="00240D66">
        <w:rPr>
          <w:rFonts w:asciiTheme="majorBidi" w:hAnsiTheme="majorBidi" w:cstheme="majorBidi"/>
          <w:sz w:val="24"/>
          <w:szCs w:val="24"/>
        </w:rPr>
        <w:t>Others present</w:t>
      </w:r>
      <w:r w:rsidR="00BA0BD5" w:rsidRPr="00240D66">
        <w:rPr>
          <w:rFonts w:asciiTheme="majorBidi" w:hAnsiTheme="majorBidi" w:cstheme="majorBidi"/>
          <w:sz w:val="24"/>
          <w:szCs w:val="24"/>
        </w:rPr>
        <w:t xml:space="preserve"> boundary work as a</w:t>
      </w:r>
      <w:r w:rsidR="00D619A4" w:rsidRPr="00240D66">
        <w:rPr>
          <w:rFonts w:asciiTheme="majorBidi" w:hAnsiTheme="majorBidi" w:cstheme="majorBidi"/>
          <w:sz w:val="24"/>
          <w:szCs w:val="24"/>
        </w:rPr>
        <w:t xml:space="preserve"> strategy deployed by actors to manage conflicts between scientists and those occupying other spheres (see Hoppe 1999). </w:t>
      </w:r>
      <w:r w:rsidR="00223670" w:rsidRPr="00240D66">
        <w:rPr>
          <w:rFonts w:asciiTheme="majorBidi" w:hAnsiTheme="majorBidi" w:cstheme="majorBidi"/>
          <w:sz w:val="24"/>
          <w:szCs w:val="24"/>
        </w:rPr>
        <w:t>The focus employed in this paper, ho</w:t>
      </w:r>
      <w:r w:rsidR="00E3407D" w:rsidRPr="00240D66">
        <w:rPr>
          <w:rFonts w:asciiTheme="majorBidi" w:hAnsiTheme="majorBidi" w:cstheme="majorBidi"/>
          <w:sz w:val="24"/>
          <w:szCs w:val="24"/>
        </w:rPr>
        <w:t>wever, aligns with the</w:t>
      </w:r>
      <w:r w:rsidR="00223670" w:rsidRPr="00240D66">
        <w:rPr>
          <w:rFonts w:asciiTheme="majorBidi" w:hAnsiTheme="majorBidi" w:cstheme="majorBidi"/>
          <w:sz w:val="24"/>
          <w:szCs w:val="24"/>
        </w:rPr>
        <w:t xml:space="preserve"> bulk of work in this field which uses </w:t>
      </w:r>
      <w:r w:rsidR="00E3407D" w:rsidRPr="00240D66">
        <w:rPr>
          <w:rFonts w:asciiTheme="majorBidi" w:hAnsiTheme="majorBidi" w:cstheme="majorBidi"/>
          <w:sz w:val="24"/>
          <w:szCs w:val="24"/>
        </w:rPr>
        <w:t xml:space="preserve">boundary work as an </w:t>
      </w:r>
      <w:r w:rsidR="00E83653" w:rsidRPr="00240D66">
        <w:rPr>
          <w:rFonts w:asciiTheme="majorBidi" w:hAnsiTheme="majorBidi" w:cstheme="majorBidi"/>
          <w:sz w:val="24"/>
          <w:szCs w:val="24"/>
        </w:rPr>
        <w:t xml:space="preserve">analytical tool to identify the </w:t>
      </w:r>
      <w:r w:rsidR="00223670" w:rsidRPr="00240D66">
        <w:rPr>
          <w:rFonts w:asciiTheme="majorBidi" w:hAnsiTheme="majorBidi" w:cstheme="majorBidi"/>
          <w:sz w:val="24"/>
          <w:szCs w:val="24"/>
        </w:rPr>
        <w:t xml:space="preserve">empirically observable </w:t>
      </w:r>
      <w:r w:rsidR="00E41059" w:rsidRPr="00240D66">
        <w:rPr>
          <w:rFonts w:asciiTheme="majorBidi" w:hAnsiTheme="majorBidi" w:cstheme="majorBidi"/>
          <w:sz w:val="24"/>
          <w:szCs w:val="24"/>
        </w:rPr>
        <w:t xml:space="preserve">practices that </w:t>
      </w:r>
      <w:r w:rsidR="00223670" w:rsidRPr="00240D66">
        <w:rPr>
          <w:rFonts w:asciiTheme="majorBidi" w:hAnsiTheme="majorBidi" w:cstheme="majorBidi"/>
          <w:sz w:val="24"/>
          <w:szCs w:val="24"/>
        </w:rPr>
        <w:t xml:space="preserve">demarcate and </w:t>
      </w:r>
      <w:r w:rsidR="00C41EEC" w:rsidRPr="00240D66">
        <w:rPr>
          <w:rFonts w:asciiTheme="majorBidi" w:hAnsiTheme="majorBidi" w:cstheme="majorBidi"/>
          <w:sz w:val="24"/>
          <w:szCs w:val="24"/>
        </w:rPr>
        <w:t>buttress the</w:t>
      </w:r>
      <w:r w:rsidR="00E41059" w:rsidRPr="00240D66">
        <w:rPr>
          <w:rFonts w:asciiTheme="majorBidi" w:hAnsiTheme="majorBidi" w:cstheme="majorBidi"/>
          <w:sz w:val="24"/>
          <w:szCs w:val="24"/>
        </w:rPr>
        <w:t xml:space="preserve"> scientific sphere</w:t>
      </w:r>
      <w:r w:rsidR="003A2030" w:rsidRPr="00240D66">
        <w:rPr>
          <w:rFonts w:asciiTheme="majorBidi" w:hAnsiTheme="majorBidi" w:cstheme="majorBidi"/>
          <w:sz w:val="24"/>
          <w:szCs w:val="24"/>
        </w:rPr>
        <w:t xml:space="preserve"> (see </w:t>
      </w:r>
      <w:r w:rsidR="00E3407D" w:rsidRPr="00240D66">
        <w:rPr>
          <w:rFonts w:asciiTheme="majorBidi" w:hAnsiTheme="majorBidi" w:cstheme="majorBidi"/>
          <w:sz w:val="24"/>
          <w:szCs w:val="24"/>
        </w:rPr>
        <w:t xml:space="preserve">Jasanoff 1990; </w:t>
      </w:r>
      <w:r w:rsidR="003A2030" w:rsidRPr="00240D66">
        <w:rPr>
          <w:rFonts w:asciiTheme="majorBidi" w:hAnsiTheme="majorBidi" w:cstheme="majorBidi"/>
          <w:sz w:val="24"/>
          <w:szCs w:val="24"/>
        </w:rPr>
        <w:t xml:space="preserve">Guston 2001; </w:t>
      </w:r>
      <w:r w:rsidR="00221F2A" w:rsidRPr="00240D66">
        <w:rPr>
          <w:rFonts w:asciiTheme="majorBidi" w:hAnsiTheme="majorBidi" w:cstheme="majorBidi"/>
          <w:sz w:val="24"/>
          <w:szCs w:val="24"/>
        </w:rPr>
        <w:t>Halffman 2002</w:t>
      </w:r>
      <w:r w:rsidR="003A2030" w:rsidRPr="00240D66">
        <w:rPr>
          <w:rFonts w:asciiTheme="majorBidi" w:hAnsiTheme="majorBidi" w:cstheme="majorBidi"/>
          <w:sz w:val="24"/>
          <w:szCs w:val="24"/>
        </w:rPr>
        <w:t>)</w:t>
      </w:r>
      <w:r w:rsidR="00E41059" w:rsidRPr="00240D66">
        <w:rPr>
          <w:rFonts w:asciiTheme="majorBidi" w:hAnsiTheme="majorBidi" w:cstheme="majorBidi"/>
          <w:sz w:val="24"/>
          <w:szCs w:val="24"/>
        </w:rPr>
        <w:t xml:space="preserve">. </w:t>
      </w:r>
    </w:p>
    <w:p w:rsidR="002202B9" w:rsidRPr="00240D66" w:rsidRDefault="00600491"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Despite</w:t>
      </w:r>
      <w:r w:rsidR="005044B5" w:rsidRPr="00240D66">
        <w:rPr>
          <w:rFonts w:asciiTheme="majorBidi" w:hAnsiTheme="majorBidi" w:cstheme="majorBidi"/>
          <w:sz w:val="24"/>
          <w:szCs w:val="24"/>
        </w:rPr>
        <w:t xml:space="preserve"> </w:t>
      </w:r>
      <w:r w:rsidR="0035434E" w:rsidRPr="00240D66">
        <w:rPr>
          <w:rFonts w:asciiTheme="majorBidi" w:hAnsiTheme="majorBidi" w:cstheme="majorBidi"/>
          <w:sz w:val="24"/>
          <w:szCs w:val="24"/>
        </w:rPr>
        <w:t xml:space="preserve">clear affinities </w:t>
      </w:r>
      <w:r w:rsidR="003E7A2E" w:rsidRPr="00240D66">
        <w:rPr>
          <w:rFonts w:asciiTheme="majorBidi" w:hAnsiTheme="majorBidi" w:cstheme="majorBidi"/>
          <w:sz w:val="24"/>
          <w:szCs w:val="24"/>
        </w:rPr>
        <w:t>between</w:t>
      </w:r>
      <w:r w:rsidR="0074384B" w:rsidRPr="00240D66">
        <w:rPr>
          <w:rFonts w:asciiTheme="majorBidi" w:hAnsiTheme="majorBidi" w:cstheme="majorBidi"/>
          <w:sz w:val="24"/>
          <w:szCs w:val="24"/>
        </w:rPr>
        <w:t xml:space="preserve"> boundar</w:t>
      </w:r>
      <w:r w:rsidR="009D226B" w:rsidRPr="00240D66">
        <w:rPr>
          <w:rFonts w:asciiTheme="majorBidi" w:hAnsiTheme="majorBidi" w:cstheme="majorBidi"/>
          <w:sz w:val="24"/>
          <w:szCs w:val="24"/>
        </w:rPr>
        <w:t>y organizations</w:t>
      </w:r>
      <w:r w:rsidR="0074384B" w:rsidRPr="00240D66">
        <w:rPr>
          <w:rFonts w:asciiTheme="majorBidi" w:hAnsiTheme="majorBidi" w:cstheme="majorBidi"/>
          <w:sz w:val="24"/>
          <w:szCs w:val="24"/>
        </w:rPr>
        <w:t xml:space="preserve"> and</w:t>
      </w:r>
      <w:r w:rsidR="0035434E" w:rsidRPr="00240D66">
        <w:rPr>
          <w:rFonts w:asciiTheme="majorBidi" w:hAnsiTheme="majorBidi" w:cstheme="majorBidi"/>
          <w:sz w:val="24"/>
          <w:szCs w:val="24"/>
        </w:rPr>
        <w:t xml:space="preserve"> institutions of arms-length governance</w:t>
      </w:r>
      <w:r w:rsidR="005044B5" w:rsidRPr="00240D66">
        <w:rPr>
          <w:rFonts w:asciiTheme="majorBidi" w:hAnsiTheme="majorBidi" w:cstheme="majorBidi"/>
          <w:sz w:val="24"/>
          <w:szCs w:val="24"/>
        </w:rPr>
        <w:t xml:space="preserve">, scholars of public policy </w:t>
      </w:r>
      <w:r w:rsidR="00C41EEC" w:rsidRPr="00240D66">
        <w:rPr>
          <w:rFonts w:asciiTheme="majorBidi" w:hAnsiTheme="majorBidi" w:cstheme="majorBidi"/>
          <w:sz w:val="24"/>
          <w:szCs w:val="24"/>
        </w:rPr>
        <w:t>have only recently begun</w:t>
      </w:r>
      <w:r w:rsidR="00A84040" w:rsidRPr="00240D66">
        <w:rPr>
          <w:rFonts w:asciiTheme="majorBidi" w:hAnsiTheme="majorBidi" w:cstheme="majorBidi"/>
          <w:sz w:val="24"/>
          <w:szCs w:val="24"/>
        </w:rPr>
        <w:t xml:space="preserve"> </w:t>
      </w:r>
      <w:r w:rsidR="005044B5" w:rsidRPr="00240D66">
        <w:rPr>
          <w:rFonts w:asciiTheme="majorBidi" w:hAnsiTheme="majorBidi" w:cstheme="majorBidi"/>
          <w:sz w:val="24"/>
          <w:szCs w:val="24"/>
        </w:rPr>
        <w:t>to make use of boundary work to make sense of the science-policy nexus</w:t>
      </w:r>
      <w:r w:rsidR="005730E6" w:rsidRPr="00240D66">
        <w:rPr>
          <w:rFonts w:asciiTheme="majorBidi" w:hAnsiTheme="majorBidi" w:cstheme="majorBidi"/>
          <w:sz w:val="24"/>
          <w:szCs w:val="24"/>
        </w:rPr>
        <w:t xml:space="preserve">. </w:t>
      </w:r>
      <w:r w:rsidR="00C41EEC" w:rsidRPr="00240D66">
        <w:rPr>
          <w:rFonts w:asciiTheme="majorBidi" w:hAnsiTheme="majorBidi" w:cstheme="majorBidi"/>
          <w:sz w:val="24"/>
          <w:szCs w:val="24"/>
        </w:rPr>
        <w:t>I</w:t>
      </w:r>
      <w:r w:rsidRPr="00240D66">
        <w:rPr>
          <w:rFonts w:asciiTheme="majorBidi" w:hAnsiTheme="majorBidi" w:cstheme="majorBidi"/>
          <w:sz w:val="24"/>
          <w:szCs w:val="24"/>
        </w:rPr>
        <w:t>n</w:t>
      </w:r>
      <w:r w:rsidR="005730E6" w:rsidRPr="00240D66">
        <w:rPr>
          <w:rFonts w:asciiTheme="majorBidi" w:hAnsiTheme="majorBidi" w:cstheme="majorBidi"/>
          <w:sz w:val="24"/>
          <w:szCs w:val="24"/>
        </w:rPr>
        <w:t xml:space="preserve">terpretive scholars </w:t>
      </w:r>
      <w:r w:rsidR="005044B5" w:rsidRPr="00240D66">
        <w:rPr>
          <w:rFonts w:asciiTheme="majorBidi" w:hAnsiTheme="majorBidi" w:cstheme="majorBidi"/>
          <w:sz w:val="24"/>
          <w:szCs w:val="24"/>
        </w:rPr>
        <w:t>have led the cha</w:t>
      </w:r>
      <w:r w:rsidR="00F12B3B" w:rsidRPr="00240D66">
        <w:rPr>
          <w:rFonts w:asciiTheme="majorBidi" w:hAnsiTheme="majorBidi" w:cstheme="majorBidi"/>
          <w:sz w:val="24"/>
          <w:szCs w:val="24"/>
        </w:rPr>
        <w:t xml:space="preserve">rge, </w:t>
      </w:r>
      <w:r w:rsidR="005730E6" w:rsidRPr="00240D66">
        <w:rPr>
          <w:rFonts w:asciiTheme="majorBidi" w:hAnsiTheme="majorBidi" w:cstheme="majorBidi"/>
          <w:sz w:val="24"/>
          <w:szCs w:val="24"/>
        </w:rPr>
        <w:t>unsurprising</w:t>
      </w:r>
      <w:r w:rsidR="00F12B3B" w:rsidRPr="00240D66">
        <w:rPr>
          <w:rFonts w:asciiTheme="majorBidi" w:hAnsiTheme="majorBidi" w:cstheme="majorBidi"/>
          <w:sz w:val="24"/>
          <w:szCs w:val="24"/>
        </w:rPr>
        <w:t>ly</w:t>
      </w:r>
      <w:r w:rsidR="005730E6" w:rsidRPr="00240D66">
        <w:rPr>
          <w:rFonts w:asciiTheme="majorBidi" w:hAnsiTheme="majorBidi" w:cstheme="majorBidi"/>
          <w:sz w:val="24"/>
          <w:szCs w:val="24"/>
        </w:rPr>
        <w:t xml:space="preserve"> given</w:t>
      </w:r>
      <w:r w:rsidR="00F12B3B" w:rsidRPr="00240D66">
        <w:rPr>
          <w:rFonts w:asciiTheme="majorBidi" w:hAnsiTheme="majorBidi" w:cstheme="majorBidi"/>
          <w:sz w:val="24"/>
          <w:szCs w:val="24"/>
        </w:rPr>
        <w:t xml:space="preserve"> the</w:t>
      </w:r>
      <w:r w:rsidR="00E3407D" w:rsidRPr="00240D66">
        <w:rPr>
          <w:rFonts w:asciiTheme="majorBidi" w:hAnsiTheme="majorBidi" w:cstheme="majorBidi"/>
          <w:sz w:val="24"/>
          <w:szCs w:val="24"/>
        </w:rPr>
        <w:t>ir shared</w:t>
      </w:r>
      <w:r w:rsidR="005730E6" w:rsidRPr="00240D66">
        <w:rPr>
          <w:rFonts w:asciiTheme="majorBidi" w:hAnsiTheme="majorBidi" w:cstheme="majorBidi"/>
          <w:sz w:val="24"/>
          <w:szCs w:val="24"/>
        </w:rPr>
        <w:t xml:space="preserve"> interest in the meanings and practices through which scientific expertise relates to </w:t>
      </w:r>
      <w:r w:rsidR="00911F09" w:rsidRPr="00240D66">
        <w:rPr>
          <w:rFonts w:asciiTheme="majorBidi" w:hAnsiTheme="majorBidi" w:cstheme="majorBidi"/>
          <w:sz w:val="24"/>
          <w:szCs w:val="24"/>
        </w:rPr>
        <w:t>policy work</w:t>
      </w:r>
      <w:r w:rsidR="005730E6" w:rsidRPr="00240D66">
        <w:rPr>
          <w:rFonts w:asciiTheme="majorBidi" w:hAnsiTheme="majorBidi" w:cstheme="majorBidi"/>
          <w:sz w:val="24"/>
          <w:szCs w:val="24"/>
        </w:rPr>
        <w:t xml:space="preserve"> (see </w:t>
      </w:r>
      <w:r w:rsidR="00BA0BD5" w:rsidRPr="00240D66">
        <w:rPr>
          <w:rFonts w:asciiTheme="majorBidi" w:hAnsiTheme="majorBidi" w:cstheme="majorBidi"/>
          <w:sz w:val="24"/>
          <w:szCs w:val="24"/>
        </w:rPr>
        <w:t>Metze 2008</w:t>
      </w:r>
      <w:r w:rsidR="005730E6" w:rsidRPr="00240D66">
        <w:rPr>
          <w:rFonts w:asciiTheme="majorBidi" w:hAnsiTheme="majorBidi" w:cstheme="majorBidi"/>
          <w:sz w:val="24"/>
          <w:szCs w:val="24"/>
        </w:rPr>
        <w:t xml:space="preserve">). </w:t>
      </w:r>
      <w:r w:rsidR="00502173" w:rsidRPr="00240D66">
        <w:rPr>
          <w:rFonts w:asciiTheme="majorBidi" w:hAnsiTheme="majorBidi" w:cstheme="majorBidi"/>
          <w:sz w:val="24"/>
          <w:szCs w:val="24"/>
        </w:rPr>
        <w:t xml:space="preserve">One useful move has been to decouple the notion of boundary from its tight association with science (understandably, given its origins in the STS literature) and begin to see other social spheres such as administration and politics as equally </w:t>
      </w:r>
      <w:r w:rsidR="00B2486F" w:rsidRPr="00240D66">
        <w:rPr>
          <w:rFonts w:asciiTheme="majorBidi" w:hAnsiTheme="majorBidi" w:cstheme="majorBidi"/>
          <w:sz w:val="24"/>
          <w:szCs w:val="24"/>
        </w:rPr>
        <w:t xml:space="preserve">being </w:t>
      </w:r>
      <w:r w:rsidR="00502173" w:rsidRPr="00240D66">
        <w:rPr>
          <w:rFonts w:asciiTheme="majorBidi" w:hAnsiTheme="majorBidi" w:cstheme="majorBidi"/>
          <w:sz w:val="24"/>
          <w:szCs w:val="24"/>
        </w:rPr>
        <w:t>defined and redefined by boundary work (eg. Meyer and Hammerschmid 2006). Another</w:t>
      </w:r>
      <w:r w:rsidR="005044B5" w:rsidRPr="00240D66">
        <w:rPr>
          <w:rFonts w:asciiTheme="majorBidi" w:hAnsiTheme="majorBidi" w:cstheme="majorBidi"/>
          <w:sz w:val="24"/>
          <w:szCs w:val="24"/>
        </w:rPr>
        <w:t xml:space="preserve"> </w:t>
      </w:r>
      <w:r w:rsidR="00502173" w:rsidRPr="00240D66">
        <w:rPr>
          <w:rFonts w:asciiTheme="majorBidi" w:hAnsiTheme="majorBidi" w:cstheme="majorBidi"/>
          <w:sz w:val="24"/>
          <w:szCs w:val="24"/>
        </w:rPr>
        <w:t xml:space="preserve">has </w:t>
      </w:r>
      <w:r w:rsidR="005044B5" w:rsidRPr="00240D66">
        <w:rPr>
          <w:rFonts w:asciiTheme="majorBidi" w:hAnsiTheme="majorBidi" w:cstheme="majorBidi"/>
          <w:sz w:val="24"/>
          <w:szCs w:val="24"/>
        </w:rPr>
        <w:t xml:space="preserve">been </w:t>
      </w:r>
      <w:r w:rsidR="00B2486F" w:rsidRPr="00240D66">
        <w:rPr>
          <w:rFonts w:asciiTheme="majorBidi" w:hAnsiTheme="majorBidi" w:cstheme="majorBidi"/>
          <w:sz w:val="24"/>
          <w:szCs w:val="24"/>
        </w:rPr>
        <w:t xml:space="preserve">to </w:t>
      </w:r>
      <w:r w:rsidR="005044B5" w:rsidRPr="00240D66">
        <w:rPr>
          <w:rFonts w:asciiTheme="majorBidi" w:hAnsiTheme="majorBidi" w:cstheme="majorBidi"/>
          <w:sz w:val="24"/>
          <w:szCs w:val="24"/>
        </w:rPr>
        <w:t>extend</w:t>
      </w:r>
      <w:r w:rsidR="00502173" w:rsidRPr="00240D66">
        <w:rPr>
          <w:rFonts w:asciiTheme="majorBidi" w:hAnsiTheme="majorBidi" w:cstheme="majorBidi"/>
          <w:sz w:val="24"/>
          <w:szCs w:val="24"/>
        </w:rPr>
        <w:t xml:space="preserve"> the focus of boundary work</w:t>
      </w:r>
      <w:r w:rsidR="005044B5" w:rsidRPr="00240D66">
        <w:rPr>
          <w:rFonts w:asciiTheme="majorBidi" w:hAnsiTheme="majorBidi" w:cstheme="majorBidi"/>
          <w:sz w:val="24"/>
          <w:szCs w:val="24"/>
        </w:rPr>
        <w:t xml:space="preserve"> to </w:t>
      </w:r>
      <w:r w:rsidR="00502173" w:rsidRPr="00240D66">
        <w:rPr>
          <w:rFonts w:asciiTheme="majorBidi" w:hAnsiTheme="majorBidi" w:cstheme="majorBidi"/>
          <w:sz w:val="24"/>
          <w:szCs w:val="24"/>
        </w:rPr>
        <w:t xml:space="preserve">understanding </w:t>
      </w:r>
      <w:r w:rsidR="00C41EEC" w:rsidRPr="00240D66">
        <w:rPr>
          <w:rFonts w:asciiTheme="majorBidi" w:hAnsiTheme="majorBidi" w:cstheme="majorBidi"/>
          <w:sz w:val="24"/>
          <w:szCs w:val="24"/>
        </w:rPr>
        <w:t>governance arrangements themselves</w:t>
      </w:r>
      <w:r w:rsidR="005044B5" w:rsidRPr="00240D66">
        <w:rPr>
          <w:rFonts w:asciiTheme="majorBidi" w:hAnsiTheme="majorBidi" w:cstheme="majorBidi"/>
          <w:sz w:val="24"/>
          <w:szCs w:val="24"/>
        </w:rPr>
        <w:t xml:space="preserve">. Hoppe </w:t>
      </w:r>
      <w:r w:rsidR="00AA2ED3" w:rsidRPr="00240D66">
        <w:rPr>
          <w:rFonts w:asciiTheme="majorBidi" w:hAnsiTheme="majorBidi" w:cstheme="majorBidi"/>
          <w:sz w:val="24"/>
          <w:szCs w:val="24"/>
        </w:rPr>
        <w:t>et al. (2013)</w:t>
      </w:r>
      <w:r w:rsidR="005044B5" w:rsidRPr="00240D66">
        <w:rPr>
          <w:rFonts w:asciiTheme="majorBidi" w:hAnsiTheme="majorBidi" w:cstheme="majorBidi"/>
          <w:sz w:val="24"/>
          <w:szCs w:val="24"/>
        </w:rPr>
        <w:t xml:space="preserve">, for instance, draw on the notion of boundary </w:t>
      </w:r>
      <w:r w:rsidR="00AA2ED3" w:rsidRPr="00240D66">
        <w:rPr>
          <w:rFonts w:asciiTheme="majorBidi" w:hAnsiTheme="majorBidi" w:cstheme="majorBidi"/>
          <w:sz w:val="24"/>
          <w:szCs w:val="24"/>
        </w:rPr>
        <w:t>work to explain developments in the institutionalisation of global climate governance</w:t>
      </w:r>
      <w:r w:rsidR="002202B9" w:rsidRPr="00240D66">
        <w:rPr>
          <w:rFonts w:asciiTheme="majorBidi" w:hAnsiTheme="majorBidi" w:cstheme="majorBidi"/>
          <w:sz w:val="24"/>
          <w:szCs w:val="24"/>
        </w:rPr>
        <w:t xml:space="preserve">. Most germane to this paper, </w:t>
      </w:r>
      <w:r w:rsidR="00AA2ED3" w:rsidRPr="00240D66">
        <w:rPr>
          <w:rFonts w:asciiTheme="majorBidi" w:hAnsiTheme="majorBidi" w:cstheme="majorBidi"/>
          <w:sz w:val="24"/>
          <w:szCs w:val="24"/>
        </w:rPr>
        <w:t>Koriket and Veit</w:t>
      </w:r>
      <w:r w:rsidR="002202B9" w:rsidRPr="00240D66">
        <w:rPr>
          <w:rFonts w:asciiTheme="majorBidi" w:hAnsiTheme="majorBidi" w:cstheme="majorBidi"/>
          <w:sz w:val="24"/>
          <w:szCs w:val="24"/>
        </w:rPr>
        <w:t xml:space="preserve"> </w:t>
      </w:r>
      <w:r w:rsidR="0011519F" w:rsidRPr="00240D66">
        <w:rPr>
          <w:rFonts w:asciiTheme="majorBidi" w:hAnsiTheme="majorBidi" w:cstheme="majorBidi"/>
          <w:sz w:val="24"/>
          <w:szCs w:val="24"/>
        </w:rPr>
        <w:t xml:space="preserve">(2015) </w:t>
      </w:r>
      <w:r w:rsidR="002202B9" w:rsidRPr="00240D66">
        <w:rPr>
          <w:rFonts w:asciiTheme="majorBidi" w:hAnsiTheme="majorBidi" w:cstheme="majorBidi"/>
          <w:sz w:val="24"/>
          <w:szCs w:val="24"/>
        </w:rPr>
        <w:t xml:space="preserve">use </w:t>
      </w:r>
      <w:r w:rsidRPr="00240D66">
        <w:rPr>
          <w:rFonts w:asciiTheme="majorBidi" w:hAnsiTheme="majorBidi" w:cstheme="majorBidi"/>
          <w:sz w:val="24"/>
          <w:szCs w:val="24"/>
        </w:rPr>
        <w:t>boundary work</w:t>
      </w:r>
      <w:r w:rsidR="002202B9" w:rsidRPr="00240D66">
        <w:rPr>
          <w:rFonts w:asciiTheme="majorBidi" w:hAnsiTheme="majorBidi" w:cstheme="majorBidi"/>
          <w:sz w:val="24"/>
          <w:szCs w:val="24"/>
        </w:rPr>
        <w:t xml:space="preserve"> to make sense of the </w:t>
      </w:r>
      <w:r w:rsidR="00AA2ED3" w:rsidRPr="00240D66">
        <w:rPr>
          <w:rFonts w:asciiTheme="majorBidi" w:hAnsiTheme="majorBidi" w:cstheme="majorBidi"/>
          <w:sz w:val="24"/>
          <w:szCs w:val="24"/>
        </w:rPr>
        <w:t>interaction between th</w:t>
      </w:r>
      <w:r w:rsidR="00196209" w:rsidRPr="00240D66">
        <w:rPr>
          <w:rFonts w:asciiTheme="majorBidi" w:hAnsiTheme="majorBidi" w:cstheme="majorBidi"/>
          <w:sz w:val="24"/>
          <w:szCs w:val="24"/>
        </w:rPr>
        <w:t>e Food Standards Agency and central</w:t>
      </w:r>
      <w:r w:rsidR="00AA2ED3" w:rsidRPr="00240D66">
        <w:rPr>
          <w:rFonts w:asciiTheme="majorBidi" w:hAnsiTheme="majorBidi" w:cstheme="majorBidi"/>
          <w:sz w:val="24"/>
          <w:szCs w:val="24"/>
        </w:rPr>
        <w:t xml:space="preserve"> Min</w:t>
      </w:r>
      <w:r w:rsidR="00196209" w:rsidRPr="00240D66">
        <w:rPr>
          <w:rFonts w:asciiTheme="majorBidi" w:hAnsiTheme="majorBidi" w:cstheme="majorBidi"/>
          <w:sz w:val="24"/>
          <w:szCs w:val="24"/>
        </w:rPr>
        <w:t>i</w:t>
      </w:r>
      <w:r w:rsidR="00AA2ED3" w:rsidRPr="00240D66">
        <w:rPr>
          <w:rFonts w:asciiTheme="majorBidi" w:hAnsiTheme="majorBidi" w:cstheme="majorBidi"/>
          <w:sz w:val="24"/>
          <w:szCs w:val="24"/>
        </w:rPr>
        <w:t>stries in German governance</w:t>
      </w:r>
      <w:r w:rsidR="00EF0BDB" w:rsidRPr="00240D66">
        <w:rPr>
          <w:rFonts w:asciiTheme="majorBidi" w:hAnsiTheme="majorBidi" w:cstheme="majorBidi"/>
          <w:sz w:val="24"/>
          <w:szCs w:val="24"/>
        </w:rPr>
        <w:t>, showing how this institution of arms-length governance contains the boundary problems of nutrition and food safety science, policy and practice</w:t>
      </w:r>
      <w:r w:rsidR="002202B9" w:rsidRPr="00240D66">
        <w:rPr>
          <w:rFonts w:asciiTheme="majorBidi" w:hAnsiTheme="majorBidi" w:cstheme="majorBidi"/>
          <w:sz w:val="24"/>
          <w:szCs w:val="24"/>
        </w:rPr>
        <w:t>.</w:t>
      </w:r>
    </w:p>
    <w:p w:rsidR="002202B9" w:rsidRPr="00240D66" w:rsidRDefault="002202B9"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This work is encouraging. </w:t>
      </w:r>
      <w:r w:rsidR="008E320D" w:rsidRPr="00240D66">
        <w:rPr>
          <w:rFonts w:asciiTheme="majorBidi" w:hAnsiTheme="majorBidi" w:cstheme="majorBidi"/>
          <w:sz w:val="24"/>
          <w:szCs w:val="24"/>
        </w:rPr>
        <w:t xml:space="preserve">But its sights remain limited to explaining the micro-dynamics of particular cases. </w:t>
      </w:r>
      <w:r w:rsidR="003E7A2E" w:rsidRPr="00240D66">
        <w:rPr>
          <w:rFonts w:asciiTheme="majorBidi" w:hAnsiTheme="majorBidi" w:cstheme="majorBidi"/>
          <w:sz w:val="24"/>
          <w:szCs w:val="24"/>
        </w:rPr>
        <w:t>This paper asserts a</w:t>
      </w:r>
      <w:r w:rsidR="008E320D" w:rsidRPr="00240D66">
        <w:rPr>
          <w:rFonts w:asciiTheme="majorBidi" w:hAnsiTheme="majorBidi" w:cstheme="majorBidi"/>
          <w:sz w:val="24"/>
          <w:szCs w:val="24"/>
        </w:rPr>
        <w:t xml:space="preserve"> more general value </w:t>
      </w:r>
      <w:r w:rsidR="003E7A2E" w:rsidRPr="00240D66">
        <w:rPr>
          <w:rFonts w:asciiTheme="majorBidi" w:hAnsiTheme="majorBidi" w:cstheme="majorBidi"/>
          <w:sz w:val="24"/>
          <w:szCs w:val="24"/>
        </w:rPr>
        <w:t>in</w:t>
      </w:r>
      <w:r w:rsidR="008E320D" w:rsidRPr="00240D66">
        <w:rPr>
          <w:rFonts w:asciiTheme="majorBidi" w:hAnsiTheme="majorBidi" w:cstheme="majorBidi"/>
          <w:sz w:val="24"/>
          <w:szCs w:val="24"/>
        </w:rPr>
        <w:t xml:space="preserve"> using boundary work to understand practices of </w:t>
      </w:r>
      <w:r w:rsidRPr="00240D66">
        <w:rPr>
          <w:rFonts w:asciiTheme="majorBidi" w:hAnsiTheme="majorBidi" w:cstheme="majorBidi"/>
          <w:sz w:val="24"/>
          <w:szCs w:val="24"/>
        </w:rPr>
        <w:t>arms-length governance</w:t>
      </w:r>
      <w:r w:rsidR="008E320D" w:rsidRPr="00240D66">
        <w:rPr>
          <w:rFonts w:asciiTheme="majorBidi" w:hAnsiTheme="majorBidi" w:cstheme="majorBidi"/>
          <w:sz w:val="24"/>
          <w:szCs w:val="24"/>
        </w:rPr>
        <w:t xml:space="preserve">. The key here is that </w:t>
      </w:r>
      <w:r w:rsidR="00912E7E" w:rsidRPr="00240D66">
        <w:rPr>
          <w:rFonts w:asciiTheme="majorBidi" w:hAnsiTheme="majorBidi" w:cstheme="majorBidi"/>
          <w:sz w:val="24"/>
          <w:szCs w:val="24"/>
        </w:rPr>
        <w:t xml:space="preserve">though </w:t>
      </w:r>
      <w:r w:rsidR="008E320D" w:rsidRPr="00240D66">
        <w:rPr>
          <w:rFonts w:asciiTheme="majorBidi" w:hAnsiTheme="majorBidi" w:cstheme="majorBidi"/>
          <w:sz w:val="24"/>
          <w:szCs w:val="24"/>
        </w:rPr>
        <w:t xml:space="preserve">clearly </w:t>
      </w:r>
      <w:r w:rsidR="00821DCE" w:rsidRPr="00240D66">
        <w:rPr>
          <w:rFonts w:asciiTheme="majorBidi" w:hAnsiTheme="majorBidi" w:cstheme="majorBidi"/>
          <w:sz w:val="24"/>
          <w:szCs w:val="24"/>
        </w:rPr>
        <w:t xml:space="preserve">arms-length </w:t>
      </w:r>
      <w:r w:rsidR="00EF0BDB" w:rsidRPr="00240D66">
        <w:rPr>
          <w:rFonts w:asciiTheme="majorBidi" w:hAnsiTheme="majorBidi" w:cstheme="majorBidi"/>
          <w:sz w:val="24"/>
          <w:szCs w:val="24"/>
        </w:rPr>
        <w:t xml:space="preserve">governance </w:t>
      </w:r>
      <w:r w:rsidR="00821DCE" w:rsidRPr="00240D66">
        <w:rPr>
          <w:rFonts w:asciiTheme="majorBidi" w:hAnsiTheme="majorBidi" w:cstheme="majorBidi"/>
          <w:sz w:val="24"/>
          <w:szCs w:val="24"/>
        </w:rPr>
        <w:t>arrangements can</w:t>
      </w:r>
      <w:r w:rsidR="00912E7E" w:rsidRPr="00240D66">
        <w:rPr>
          <w:rFonts w:asciiTheme="majorBidi" w:hAnsiTheme="majorBidi" w:cstheme="majorBidi"/>
          <w:sz w:val="24"/>
          <w:szCs w:val="24"/>
        </w:rPr>
        <w:t xml:space="preserve"> contain </w:t>
      </w:r>
      <w:r w:rsidR="00C41EEC" w:rsidRPr="00240D66">
        <w:rPr>
          <w:rFonts w:asciiTheme="majorBidi" w:hAnsiTheme="majorBidi" w:cstheme="majorBidi"/>
          <w:sz w:val="24"/>
          <w:szCs w:val="24"/>
        </w:rPr>
        <w:t xml:space="preserve">the </w:t>
      </w:r>
      <w:r w:rsidR="00912E7E" w:rsidRPr="00240D66">
        <w:rPr>
          <w:rFonts w:asciiTheme="majorBidi" w:hAnsiTheme="majorBidi" w:cstheme="majorBidi"/>
          <w:sz w:val="24"/>
          <w:szCs w:val="24"/>
        </w:rPr>
        <w:t>boundary problems</w:t>
      </w:r>
      <w:r w:rsidR="00C41EEC" w:rsidRPr="00240D66">
        <w:rPr>
          <w:rFonts w:asciiTheme="majorBidi" w:hAnsiTheme="majorBidi" w:cstheme="majorBidi"/>
          <w:sz w:val="24"/>
          <w:szCs w:val="24"/>
        </w:rPr>
        <w:t xml:space="preserve"> that inevitably emerge in relation to such problems</w:t>
      </w:r>
      <w:r w:rsidR="00912E7E" w:rsidRPr="00240D66">
        <w:rPr>
          <w:rFonts w:asciiTheme="majorBidi" w:hAnsiTheme="majorBidi" w:cstheme="majorBidi"/>
          <w:sz w:val="24"/>
          <w:szCs w:val="24"/>
        </w:rPr>
        <w:t xml:space="preserve">, they do </w:t>
      </w:r>
      <w:r w:rsidR="00821DCE" w:rsidRPr="00240D66">
        <w:rPr>
          <w:rFonts w:asciiTheme="majorBidi" w:hAnsiTheme="majorBidi" w:cstheme="majorBidi"/>
          <w:sz w:val="24"/>
          <w:szCs w:val="24"/>
        </w:rPr>
        <w:t xml:space="preserve">not </w:t>
      </w:r>
      <w:r w:rsidR="00912E7E" w:rsidRPr="00240D66">
        <w:rPr>
          <w:rFonts w:asciiTheme="majorBidi" w:hAnsiTheme="majorBidi" w:cstheme="majorBidi"/>
          <w:sz w:val="24"/>
          <w:szCs w:val="24"/>
        </w:rPr>
        <w:t>always do so</w:t>
      </w:r>
      <w:r w:rsidR="00286D99" w:rsidRPr="00240D66">
        <w:rPr>
          <w:rFonts w:asciiTheme="majorBidi" w:hAnsiTheme="majorBidi" w:cstheme="majorBidi"/>
          <w:sz w:val="24"/>
          <w:szCs w:val="24"/>
        </w:rPr>
        <w:t xml:space="preserve">. </w:t>
      </w:r>
      <w:r w:rsidR="008E320D" w:rsidRPr="00240D66">
        <w:rPr>
          <w:rFonts w:asciiTheme="majorBidi" w:hAnsiTheme="majorBidi" w:cstheme="majorBidi"/>
          <w:sz w:val="24"/>
          <w:szCs w:val="24"/>
        </w:rPr>
        <w:t xml:space="preserve">How and why is boundary work successfully </w:t>
      </w:r>
      <w:r w:rsidR="009000CD" w:rsidRPr="00240D66">
        <w:rPr>
          <w:rFonts w:asciiTheme="majorBidi" w:hAnsiTheme="majorBidi" w:cstheme="majorBidi"/>
          <w:sz w:val="24"/>
          <w:szCs w:val="24"/>
        </w:rPr>
        <w:t xml:space="preserve">performed </w:t>
      </w:r>
      <w:r w:rsidR="008E320D" w:rsidRPr="00240D66">
        <w:rPr>
          <w:rFonts w:asciiTheme="majorBidi" w:hAnsiTheme="majorBidi" w:cstheme="majorBidi"/>
          <w:sz w:val="24"/>
          <w:szCs w:val="24"/>
        </w:rPr>
        <w:t>and sustained</w:t>
      </w:r>
      <w:r w:rsidR="00912E7E" w:rsidRPr="00240D66">
        <w:rPr>
          <w:rFonts w:asciiTheme="majorBidi" w:hAnsiTheme="majorBidi" w:cstheme="majorBidi"/>
          <w:sz w:val="24"/>
          <w:szCs w:val="24"/>
        </w:rPr>
        <w:t xml:space="preserve"> in some circumstances</w:t>
      </w:r>
      <w:r w:rsidR="008E320D" w:rsidRPr="00240D66">
        <w:rPr>
          <w:rFonts w:asciiTheme="majorBidi" w:hAnsiTheme="majorBidi" w:cstheme="majorBidi"/>
          <w:sz w:val="24"/>
          <w:szCs w:val="24"/>
        </w:rPr>
        <w:t>?</w:t>
      </w:r>
      <w:r w:rsidR="00C85758" w:rsidRPr="00240D66">
        <w:rPr>
          <w:rFonts w:asciiTheme="majorBidi" w:hAnsiTheme="majorBidi" w:cstheme="majorBidi"/>
          <w:sz w:val="24"/>
          <w:szCs w:val="24"/>
        </w:rPr>
        <w:t xml:space="preserve"> And how and why is it not</w:t>
      </w:r>
      <w:r w:rsidR="00912E7E" w:rsidRPr="00240D66">
        <w:rPr>
          <w:rFonts w:asciiTheme="majorBidi" w:hAnsiTheme="majorBidi" w:cstheme="majorBidi"/>
          <w:sz w:val="24"/>
          <w:szCs w:val="24"/>
        </w:rPr>
        <w:t xml:space="preserve"> in others</w:t>
      </w:r>
      <w:r w:rsidR="00C85758" w:rsidRPr="00240D66">
        <w:rPr>
          <w:rFonts w:asciiTheme="majorBidi" w:hAnsiTheme="majorBidi" w:cstheme="majorBidi"/>
          <w:sz w:val="24"/>
          <w:szCs w:val="24"/>
        </w:rPr>
        <w:t>?</w:t>
      </w:r>
      <w:r w:rsidR="008E320D" w:rsidRPr="00240D66">
        <w:rPr>
          <w:rFonts w:asciiTheme="majorBidi" w:hAnsiTheme="majorBidi" w:cstheme="majorBidi"/>
          <w:sz w:val="24"/>
          <w:szCs w:val="24"/>
        </w:rPr>
        <w:t xml:space="preserve"> </w:t>
      </w:r>
      <w:r w:rsidR="00C85758" w:rsidRPr="00240D66">
        <w:rPr>
          <w:rFonts w:asciiTheme="majorBidi" w:hAnsiTheme="majorBidi" w:cstheme="majorBidi"/>
          <w:sz w:val="24"/>
          <w:szCs w:val="24"/>
        </w:rPr>
        <w:t>Answering the</w:t>
      </w:r>
      <w:r w:rsidRPr="00240D66">
        <w:rPr>
          <w:rFonts w:asciiTheme="majorBidi" w:hAnsiTheme="majorBidi" w:cstheme="majorBidi"/>
          <w:sz w:val="24"/>
          <w:szCs w:val="24"/>
        </w:rPr>
        <w:t>s</w:t>
      </w:r>
      <w:r w:rsidR="00C85758" w:rsidRPr="00240D66">
        <w:rPr>
          <w:rFonts w:asciiTheme="majorBidi" w:hAnsiTheme="majorBidi" w:cstheme="majorBidi"/>
          <w:sz w:val="24"/>
          <w:szCs w:val="24"/>
        </w:rPr>
        <w:t>e</w:t>
      </w:r>
      <w:r w:rsidRPr="00240D66">
        <w:rPr>
          <w:rFonts w:asciiTheme="majorBidi" w:hAnsiTheme="majorBidi" w:cstheme="majorBidi"/>
          <w:sz w:val="24"/>
          <w:szCs w:val="24"/>
        </w:rPr>
        <w:t xml:space="preserve"> question</w:t>
      </w:r>
      <w:r w:rsidR="00C85758" w:rsidRPr="00240D66">
        <w:rPr>
          <w:rFonts w:asciiTheme="majorBidi" w:hAnsiTheme="majorBidi" w:cstheme="majorBidi"/>
          <w:sz w:val="24"/>
          <w:szCs w:val="24"/>
        </w:rPr>
        <w:t>s</w:t>
      </w:r>
      <w:r w:rsidRPr="00240D66">
        <w:rPr>
          <w:rFonts w:asciiTheme="majorBidi" w:hAnsiTheme="majorBidi" w:cstheme="majorBidi"/>
          <w:sz w:val="24"/>
          <w:szCs w:val="24"/>
        </w:rPr>
        <w:t xml:space="preserve"> </w:t>
      </w:r>
      <w:r w:rsidR="00BA0BD5" w:rsidRPr="00240D66">
        <w:rPr>
          <w:rFonts w:asciiTheme="majorBidi" w:hAnsiTheme="majorBidi" w:cstheme="majorBidi"/>
          <w:sz w:val="24"/>
          <w:szCs w:val="24"/>
        </w:rPr>
        <w:t xml:space="preserve">helps to get a better grip on the seemingly ‘random’ variation exhibited in </w:t>
      </w:r>
      <w:r w:rsidRPr="00240D66">
        <w:rPr>
          <w:rFonts w:asciiTheme="majorBidi" w:hAnsiTheme="majorBidi" w:cstheme="majorBidi"/>
          <w:sz w:val="24"/>
          <w:szCs w:val="24"/>
        </w:rPr>
        <w:t>arms-length governanc</w:t>
      </w:r>
      <w:r w:rsidR="00821DCE" w:rsidRPr="00240D66">
        <w:rPr>
          <w:rFonts w:asciiTheme="majorBidi" w:hAnsiTheme="majorBidi" w:cstheme="majorBidi"/>
          <w:sz w:val="24"/>
          <w:szCs w:val="24"/>
        </w:rPr>
        <w:t>e</w:t>
      </w:r>
      <w:r w:rsidR="00E3407D" w:rsidRPr="00240D66">
        <w:rPr>
          <w:rFonts w:asciiTheme="majorBidi" w:hAnsiTheme="majorBidi" w:cstheme="majorBidi"/>
          <w:sz w:val="24"/>
          <w:szCs w:val="24"/>
        </w:rPr>
        <w:t xml:space="preserve"> arrangements. </w:t>
      </w:r>
    </w:p>
    <w:p w:rsidR="002202B9" w:rsidRPr="00240D66" w:rsidRDefault="002202B9"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First, </w:t>
      </w:r>
      <w:r w:rsidR="00BA0BD5" w:rsidRPr="00240D66">
        <w:rPr>
          <w:rFonts w:asciiTheme="majorBidi" w:hAnsiTheme="majorBidi" w:cstheme="majorBidi"/>
          <w:sz w:val="24"/>
          <w:szCs w:val="24"/>
        </w:rPr>
        <w:t>boundary work makes space</w:t>
      </w:r>
      <w:r w:rsidRPr="00240D66">
        <w:rPr>
          <w:rFonts w:asciiTheme="majorBidi" w:hAnsiTheme="majorBidi" w:cstheme="majorBidi"/>
          <w:sz w:val="24"/>
          <w:szCs w:val="24"/>
        </w:rPr>
        <w:t xml:space="preserve"> for the diversity of actors involved in contemporary governance. A</w:t>
      </w:r>
      <w:r w:rsidR="00C41EEC" w:rsidRPr="00240D66">
        <w:rPr>
          <w:rFonts w:asciiTheme="majorBidi" w:hAnsiTheme="majorBidi" w:cstheme="majorBidi"/>
          <w:sz w:val="24"/>
          <w:szCs w:val="24"/>
        </w:rPr>
        <w:t>rm</w:t>
      </w:r>
      <w:r w:rsidRPr="00240D66">
        <w:rPr>
          <w:rFonts w:asciiTheme="majorBidi" w:hAnsiTheme="majorBidi" w:cstheme="majorBidi"/>
          <w:sz w:val="24"/>
          <w:szCs w:val="24"/>
        </w:rPr>
        <w:t>s</w:t>
      </w:r>
      <w:r w:rsidR="00C41EEC" w:rsidRPr="00240D66">
        <w:rPr>
          <w:rFonts w:asciiTheme="majorBidi" w:hAnsiTheme="majorBidi" w:cstheme="majorBidi"/>
          <w:sz w:val="24"/>
          <w:szCs w:val="24"/>
        </w:rPr>
        <w:t>-length bodies</w:t>
      </w:r>
      <w:r w:rsidRPr="00240D66">
        <w:rPr>
          <w:rFonts w:asciiTheme="majorBidi" w:hAnsiTheme="majorBidi" w:cstheme="majorBidi"/>
          <w:sz w:val="24"/>
          <w:szCs w:val="24"/>
        </w:rPr>
        <w:t xml:space="preserve"> emerge to enable boundary work in the context of expert and stakeholder demands</w:t>
      </w:r>
      <w:r w:rsidR="00F8794E" w:rsidRPr="00240D66">
        <w:rPr>
          <w:rFonts w:asciiTheme="majorBidi" w:hAnsiTheme="majorBidi" w:cstheme="majorBidi"/>
          <w:sz w:val="24"/>
          <w:szCs w:val="24"/>
        </w:rPr>
        <w:t xml:space="preserve">; they are a solution that ‘works’ not just for </w:t>
      </w:r>
      <w:r w:rsidR="00A84040" w:rsidRPr="00240D66">
        <w:rPr>
          <w:rFonts w:asciiTheme="majorBidi" w:hAnsiTheme="majorBidi" w:cstheme="majorBidi"/>
          <w:sz w:val="24"/>
          <w:szCs w:val="24"/>
        </w:rPr>
        <w:t>political elites</w:t>
      </w:r>
      <w:r w:rsidR="00F8794E" w:rsidRPr="00240D66">
        <w:rPr>
          <w:rFonts w:asciiTheme="majorBidi" w:hAnsiTheme="majorBidi" w:cstheme="majorBidi"/>
          <w:sz w:val="24"/>
          <w:szCs w:val="24"/>
        </w:rPr>
        <w:t>, but for the range of actors involved</w:t>
      </w:r>
      <w:r w:rsidR="00502173" w:rsidRPr="00240D66">
        <w:rPr>
          <w:rFonts w:asciiTheme="majorBidi" w:hAnsiTheme="majorBidi" w:cstheme="majorBidi"/>
          <w:sz w:val="24"/>
          <w:szCs w:val="24"/>
        </w:rPr>
        <w:t>, and the range of different spheres that they inhabit or comprise.</w:t>
      </w:r>
      <w:r w:rsidR="00F8794E" w:rsidRPr="00240D66">
        <w:rPr>
          <w:rFonts w:asciiTheme="majorBidi" w:hAnsiTheme="majorBidi" w:cstheme="majorBidi"/>
          <w:sz w:val="24"/>
          <w:szCs w:val="24"/>
        </w:rPr>
        <w:t xml:space="preserve"> The</w:t>
      </w:r>
      <w:r w:rsidR="00502173" w:rsidRPr="00240D66">
        <w:rPr>
          <w:rFonts w:asciiTheme="majorBidi" w:hAnsiTheme="majorBidi" w:cstheme="majorBidi"/>
          <w:sz w:val="24"/>
          <w:szCs w:val="24"/>
        </w:rPr>
        <w:t>se institutional forms</w:t>
      </w:r>
      <w:r w:rsidR="00F8794E" w:rsidRPr="00240D66">
        <w:rPr>
          <w:rFonts w:asciiTheme="majorBidi" w:hAnsiTheme="majorBidi" w:cstheme="majorBidi"/>
          <w:sz w:val="24"/>
          <w:szCs w:val="24"/>
        </w:rPr>
        <w:t xml:space="preserve"> persist on the basis that they </w:t>
      </w:r>
      <w:r w:rsidR="00821DCE" w:rsidRPr="00240D66">
        <w:rPr>
          <w:rFonts w:asciiTheme="majorBidi" w:hAnsiTheme="majorBidi" w:cstheme="majorBidi"/>
          <w:sz w:val="24"/>
          <w:szCs w:val="24"/>
        </w:rPr>
        <w:t xml:space="preserve">successfully contain </w:t>
      </w:r>
      <w:r w:rsidR="00821DCE" w:rsidRPr="00240D66">
        <w:rPr>
          <w:rFonts w:asciiTheme="majorBidi" w:hAnsiTheme="majorBidi" w:cstheme="majorBidi"/>
          <w:i/>
          <w:iCs/>
          <w:sz w:val="24"/>
          <w:szCs w:val="24"/>
        </w:rPr>
        <w:t>boundary problems</w:t>
      </w:r>
      <w:r w:rsidR="00F8794E" w:rsidRPr="00240D66">
        <w:rPr>
          <w:rFonts w:asciiTheme="majorBidi" w:hAnsiTheme="majorBidi" w:cstheme="majorBidi"/>
          <w:sz w:val="24"/>
          <w:szCs w:val="24"/>
        </w:rPr>
        <w:t xml:space="preserve">. </w:t>
      </w:r>
    </w:p>
    <w:p w:rsidR="001C68F1" w:rsidRPr="00240D66" w:rsidRDefault="00F8794E"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Second, </w:t>
      </w:r>
      <w:r w:rsidR="005C7FD6" w:rsidRPr="00240D66">
        <w:rPr>
          <w:rFonts w:asciiTheme="majorBidi" w:hAnsiTheme="majorBidi" w:cstheme="majorBidi"/>
          <w:sz w:val="24"/>
          <w:szCs w:val="24"/>
        </w:rPr>
        <w:t>extant approaches to studying and unveiling boundary work provide the tools to understand the complex dynamics of legitimation. They allow analysts to probe beneath factors typically taken to be determining of the success or failure of arms-length bodies—</w:t>
      </w:r>
      <w:r w:rsidR="00D619A4" w:rsidRPr="00240D66">
        <w:rPr>
          <w:rFonts w:asciiTheme="majorBidi" w:hAnsiTheme="majorBidi" w:cstheme="majorBidi"/>
          <w:sz w:val="24"/>
          <w:szCs w:val="24"/>
        </w:rPr>
        <w:t xml:space="preserve">such as </w:t>
      </w:r>
      <w:r w:rsidR="005C7FD6" w:rsidRPr="00240D66">
        <w:rPr>
          <w:rFonts w:asciiTheme="majorBidi" w:hAnsiTheme="majorBidi" w:cstheme="majorBidi"/>
          <w:sz w:val="24"/>
          <w:szCs w:val="24"/>
        </w:rPr>
        <w:t>formal institutional types, basic organizational variables (size, budget, etc), sponsorship and accountability arrangements—to reveal the ways in which arms-length arrangements are performed in practice by all the actors involved. The pay-off is</w:t>
      </w:r>
      <w:r w:rsidR="00B2486F" w:rsidRPr="00240D66">
        <w:rPr>
          <w:rFonts w:asciiTheme="majorBidi" w:hAnsiTheme="majorBidi" w:cstheme="majorBidi"/>
          <w:sz w:val="24"/>
          <w:szCs w:val="24"/>
        </w:rPr>
        <w:t xml:space="preserve"> </w:t>
      </w:r>
      <w:r w:rsidR="005C7FD6" w:rsidRPr="00240D66">
        <w:rPr>
          <w:rFonts w:asciiTheme="majorBidi" w:hAnsiTheme="majorBidi" w:cstheme="majorBidi"/>
          <w:sz w:val="24"/>
          <w:szCs w:val="24"/>
        </w:rPr>
        <w:t>nuanced insig</w:t>
      </w:r>
      <w:r w:rsidR="006609F4" w:rsidRPr="00240D66">
        <w:rPr>
          <w:rFonts w:asciiTheme="majorBidi" w:hAnsiTheme="majorBidi" w:cstheme="majorBidi"/>
          <w:sz w:val="24"/>
          <w:szCs w:val="24"/>
        </w:rPr>
        <w:t xml:space="preserve">ht into </w:t>
      </w:r>
      <w:r w:rsidR="009D226B" w:rsidRPr="00240D66">
        <w:rPr>
          <w:rFonts w:asciiTheme="majorBidi" w:hAnsiTheme="majorBidi" w:cstheme="majorBidi"/>
          <w:sz w:val="24"/>
          <w:szCs w:val="24"/>
        </w:rPr>
        <w:t>how and why particular</w:t>
      </w:r>
      <w:r w:rsidR="006609F4" w:rsidRPr="00240D66">
        <w:rPr>
          <w:rFonts w:asciiTheme="majorBidi" w:hAnsiTheme="majorBidi" w:cstheme="majorBidi"/>
          <w:sz w:val="24"/>
          <w:szCs w:val="24"/>
        </w:rPr>
        <w:t xml:space="preserve"> arms-length </w:t>
      </w:r>
      <w:r w:rsidR="009D226B" w:rsidRPr="00240D66">
        <w:rPr>
          <w:rFonts w:asciiTheme="majorBidi" w:hAnsiTheme="majorBidi" w:cstheme="majorBidi"/>
          <w:sz w:val="24"/>
          <w:szCs w:val="24"/>
        </w:rPr>
        <w:t>bodies</w:t>
      </w:r>
      <w:r w:rsidR="006609F4" w:rsidRPr="00240D66">
        <w:rPr>
          <w:rFonts w:asciiTheme="majorBidi" w:hAnsiTheme="majorBidi" w:cstheme="majorBidi"/>
          <w:sz w:val="24"/>
          <w:szCs w:val="24"/>
        </w:rPr>
        <w:t xml:space="preserve"> build and retain legitimacy better than others.</w:t>
      </w:r>
      <w:r w:rsidR="005C7FD6" w:rsidRPr="00240D66">
        <w:rPr>
          <w:rFonts w:asciiTheme="majorBidi" w:hAnsiTheme="majorBidi" w:cstheme="majorBidi"/>
          <w:sz w:val="24"/>
          <w:szCs w:val="24"/>
        </w:rPr>
        <w:t xml:space="preserve"> </w:t>
      </w:r>
    </w:p>
    <w:p w:rsidR="00E83653" w:rsidRPr="00240D66" w:rsidRDefault="009D226B"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Halffman (2002) identifies</w:t>
      </w:r>
      <w:r w:rsidR="005730E6" w:rsidRPr="00240D66">
        <w:rPr>
          <w:rFonts w:asciiTheme="majorBidi" w:hAnsiTheme="majorBidi" w:cstheme="majorBidi"/>
          <w:sz w:val="24"/>
          <w:szCs w:val="24"/>
        </w:rPr>
        <w:t xml:space="preserve"> two key functions in boundary work: </w:t>
      </w:r>
      <w:r w:rsidR="005730E6" w:rsidRPr="00240D66">
        <w:rPr>
          <w:rFonts w:asciiTheme="majorBidi" w:hAnsiTheme="majorBidi" w:cstheme="majorBidi"/>
          <w:i/>
          <w:iCs/>
          <w:sz w:val="24"/>
          <w:szCs w:val="24"/>
        </w:rPr>
        <w:t>demarcation</w:t>
      </w:r>
      <w:r w:rsidR="005730E6" w:rsidRPr="00240D66">
        <w:rPr>
          <w:rFonts w:asciiTheme="majorBidi" w:hAnsiTheme="majorBidi" w:cstheme="majorBidi"/>
          <w:sz w:val="24"/>
          <w:szCs w:val="24"/>
        </w:rPr>
        <w:t xml:space="preserve"> and </w:t>
      </w:r>
      <w:r w:rsidR="005730E6" w:rsidRPr="00240D66">
        <w:rPr>
          <w:rFonts w:asciiTheme="majorBidi" w:hAnsiTheme="majorBidi" w:cstheme="majorBidi"/>
          <w:i/>
          <w:iCs/>
          <w:sz w:val="24"/>
          <w:szCs w:val="24"/>
        </w:rPr>
        <w:t>coordination</w:t>
      </w:r>
      <w:r w:rsidR="00B728D2" w:rsidRPr="00240D66">
        <w:rPr>
          <w:rFonts w:asciiTheme="majorBidi" w:hAnsiTheme="majorBidi" w:cstheme="majorBidi"/>
          <w:sz w:val="24"/>
          <w:szCs w:val="24"/>
        </w:rPr>
        <w:t>.</w:t>
      </w:r>
      <w:r w:rsidR="005730E6" w:rsidRPr="00240D66">
        <w:rPr>
          <w:rFonts w:asciiTheme="majorBidi" w:hAnsiTheme="majorBidi" w:cstheme="majorBidi"/>
          <w:sz w:val="24"/>
          <w:szCs w:val="24"/>
        </w:rPr>
        <w:t xml:space="preserve"> </w:t>
      </w:r>
      <w:r w:rsidR="005730E6" w:rsidRPr="00240D66">
        <w:rPr>
          <w:rFonts w:asciiTheme="majorBidi" w:hAnsiTheme="majorBidi" w:cstheme="majorBidi"/>
          <w:i/>
          <w:iCs/>
          <w:sz w:val="24"/>
          <w:szCs w:val="24"/>
        </w:rPr>
        <w:t xml:space="preserve">Demarcation </w:t>
      </w:r>
      <w:r w:rsidR="005730E6" w:rsidRPr="00240D66">
        <w:rPr>
          <w:rFonts w:asciiTheme="majorBidi" w:hAnsiTheme="majorBidi" w:cstheme="majorBidi"/>
          <w:sz w:val="24"/>
          <w:szCs w:val="24"/>
        </w:rPr>
        <w:t>refers to the protection and sustenance of discrete social spheres.</w:t>
      </w:r>
      <w:r w:rsidR="00443F1F" w:rsidRPr="00240D66">
        <w:rPr>
          <w:rFonts w:asciiTheme="majorBidi" w:hAnsiTheme="majorBidi" w:cstheme="majorBidi"/>
          <w:sz w:val="24"/>
          <w:szCs w:val="24"/>
        </w:rPr>
        <w:t xml:space="preserve"> </w:t>
      </w:r>
      <w:r w:rsidR="00492DE3" w:rsidRPr="00240D66">
        <w:rPr>
          <w:rFonts w:asciiTheme="majorBidi" w:hAnsiTheme="majorBidi" w:cstheme="majorBidi"/>
          <w:sz w:val="24"/>
          <w:szCs w:val="24"/>
        </w:rPr>
        <w:t xml:space="preserve">Demarcation represents the (re-)establishment of sites of interaction across these spheres that concentrate and contain the negotiation of boundary problems. </w:t>
      </w:r>
      <w:r w:rsidR="00F12B3B" w:rsidRPr="00240D66">
        <w:rPr>
          <w:rFonts w:asciiTheme="majorBidi" w:hAnsiTheme="majorBidi" w:cstheme="majorBidi"/>
          <w:sz w:val="24"/>
          <w:szCs w:val="24"/>
        </w:rPr>
        <w:t>It is through these institutional arrangements that contestation among spheres is seen to be funnelled and made intelligible, and compromise forged and cascaded. They</w:t>
      </w:r>
      <w:r w:rsidR="00DF3BB7" w:rsidRPr="00240D66">
        <w:rPr>
          <w:rFonts w:asciiTheme="majorBidi" w:hAnsiTheme="majorBidi" w:cstheme="majorBidi"/>
          <w:sz w:val="24"/>
          <w:szCs w:val="24"/>
        </w:rPr>
        <w:t xml:space="preserve"> provide</w:t>
      </w:r>
      <w:r w:rsidR="00443F1F" w:rsidRPr="00240D66">
        <w:rPr>
          <w:rFonts w:asciiTheme="majorBidi" w:hAnsiTheme="majorBidi" w:cstheme="majorBidi"/>
          <w:sz w:val="24"/>
          <w:szCs w:val="24"/>
        </w:rPr>
        <w:t xml:space="preserve"> space for the </w:t>
      </w:r>
      <w:r w:rsidR="00443F1F" w:rsidRPr="00240D66">
        <w:rPr>
          <w:rFonts w:asciiTheme="majorBidi" w:hAnsiTheme="majorBidi" w:cstheme="majorBidi"/>
          <w:i/>
          <w:iCs/>
          <w:sz w:val="24"/>
          <w:szCs w:val="24"/>
        </w:rPr>
        <w:t>performance</w:t>
      </w:r>
      <w:r w:rsidR="00443F1F" w:rsidRPr="00240D66">
        <w:rPr>
          <w:rFonts w:asciiTheme="majorBidi" w:hAnsiTheme="majorBidi" w:cstheme="majorBidi"/>
          <w:sz w:val="24"/>
          <w:szCs w:val="24"/>
        </w:rPr>
        <w:t xml:space="preserve"> of boundary work—meant both in the sense of where it happens, </w:t>
      </w:r>
      <w:r w:rsidR="003C29BF" w:rsidRPr="00240D66">
        <w:rPr>
          <w:rFonts w:asciiTheme="majorBidi" w:hAnsiTheme="majorBidi" w:cstheme="majorBidi"/>
          <w:sz w:val="24"/>
          <w:szCs w:val="24"/>
        </w:rPr>
        <w:t>and</w:t>
      </w:r>
      <w:r w:rsidR="00443F1F" w:rsidRPr="00240D66">
        <w:rPr>
          <w:rFonts w:asciiTheme="majorBidi" w:hAnsiTheme="majorBidi" w:cstheme="majorBidi"/>
          <w:sz w:val="24"/>
          <w:szCs w:val="24"/>
        </w:rPr>
        <w:t xml:space="preserve"> where </w:t>
      </w:r>
      <w:r w:rsidR="00443F1F" w:rsidRPr="00240D66">
        <w:rPr>
          <w:rFonts w:asciiTheme="majorBidi" w:hAnsiTheme="majorBidi" w:cstheme="majorBidi"/>
          <w:i/>
          <w:iCs/>
          <w:sz w:val="24"/>
          <w:szCs w:val="24"/>
        </w:rPr>
        <w:t>it is seen to happen</w:t>
      </w:r>
      <w:r w:rsidR="00443F1F" w:rsidRPr="00240D66">
        <w:rPr>
          <w:rFonts w:asciiTheme="majorBidi" w:hAnsiTheme="majorBidi" w:cstheme="majorBidi"/>
          <w:sz w:val="24"/>
          <w:szCs w:val="24"/>
        </w:rPr>
        <w:t xml:space="preserve">. </w:t>
      </w:r>
      <w:r w:rsidR="006609F4" w:rsidRPr="00240D66">
        <w:rPr>
          <w:rFonts w:asciiTheme="majorBidi" w:hAnsiTheme="majorBidi" w:cstheme="majorBidi"/>
          <w:sz w:val="24"/>
          <w:szCs w:val="24"/>
        </w:rPr>
        <w:t>It is the enactment of boundaries through discourse and public perfo</w:t>
      </w:r>
      <w:r w:rsidR="00901E12" w:rsidRPr="00240D66">
        <w:rPr>
          <w:rFonts w:asciiTheme="majorBidi" w:hAnsiTheme="majorBidi" w:cstheme="majorBidi"/>
          <w:sz w:val="24"/>
          <w:szCs w:val="24"/>
        </w:rPr>
        <w:t>rmance (see Mol 2002; Metze 2008</w:t>
      </w:r>
      <w:r w:rsidR="006609F4" w:rsidRPr="00240D66">
        <w:rPr>
          <w:rFonts w:asciiTheme="majorBidi" w:hAnsiTheme="majorBidi" w:cstheme="majorBidi"/>
          <w:sz w:val="24"/>
          <w:szCs w:val="24"/>
        </w:rPr>
        <w:t xml:space="preserve">). </w:t>
      </w:r>
      <w:r w:rsidR="00E70695" w:rsidRPr="00240D66">
        <w:rPr>
          <w:rFonts w:asciiTheme="majorBidi" w:hAnsiTheme="majorBidi" w:cstheme="majorBidi"/>
          <w:sz w:val="24"/>
          <w:szCs w:val="24"/>
        </w:rPr>
        <w:t xml:space="preserve">In practice, the </w:t>
      </w:r>
      <w:r w:rsidR="006609F4" w:rsidRPr="00240D66">
        <w:rPr>
          <w:rFonts w:asciiTheme="majorBidi" w:hAnsiTheme="majorBidi" w:cstheme="majorBidi"/>
          <w:sz w:val="24"/>
          <w:szCs w:val="24"/>
        </w:rPr>
        <w:t xml:space="preserve">performance </w:t>
      </w:r>
      <w:r w:rsidR="00E70695" w:rsidRPr="00240D66">
        <w:rPr>
          <w:rFonts w:asciiTheme="majorBidi" w:hAnsiTheme="majorBidi" w:cstheme="majorBidi"/>
          <w:sz w:val="24"/>
          <w:szCs w:val="24"/>
        </w:rPr>
        <w:t xml:space="preserve">of demarcation </w:t>
      </w:r>
      <w:r w:rsidR="00AD7EBC" w:rsidRPr="00240D66">
        <w:rPr>
          <w:rFonts w:asciiTheme="majorBidi" w:hAnsiTheme="majorBidi" w:cstheme="majorBidi"/>
          <w:sz w:val="24"/>
          <w:szCs w:val="24"/>
        </w:rPr>
        <w:t xml:space="preserve">often </w:t>
      </w:r>
      <w:r w:rsidR="00E70695" w:rsidRPr="00240D66">
        <w:rPr>
          <w:rFonts w:asciiTheme="majorBidi" w:hAnsiTheme="majorBidi" w:cstheme="majorBidi"/>
          <w:sz w:val="24"/>
          <w:szCs w:val="24"/>
        </w:rPr>
        <w:t xml:space="preserve">takes on a familiar form for </w:t>
      </w:r>
      <w:r w:rsidR="00443F1F" w:rsidRPr="00240D66">
        <w:rPr>
          <w:rFonts w:asciiTheme="majorBidi" w:hAnsiTheme="majorBidi" w:cstheme="majorBidi"/>
          <w:sz w:val="24"/>
          <w:szCs w:val="24"/>
        </w:rPr>
        <w:t>policy and administration</w:t>
      </w:r>
      <w:r w:rsidR="00E70695" w:rsidRPr="00240D66">
        <w:rPr>
          <w:rFonts w:asciiTheme="majorBidi" w:hAnsiTheme="majorBidi" w:cstheme="majorBidi"/>
          <w:sz w:val="24"/>
          <w:szCs w:val="24"/>
        </w:rPr>
        <w:t xml:space="preserve"> scholars—the establishment of a committee, a specialist task force, a steering</w:t>
      </w:r>
      <w:r w:rsidR="00AE02AA" w:rsidRPr="00240D66">
        <w:rPr>
          <w:rFonts w:asciiTheme="majorBidi" w:hAnsiTheme="majorBidi" w:cstheme="majorBidi"/>
          <w:sz w:val="24"/>
          <w:szCs w:val="24"/>
        </w:rPr>
        <w:t xml:space="preserve"> group, or a board of directors</w:t>
      </w:r>
      <w:r w:rsidR="00E70695" w:rsidRPr="00240D66">
        <w:rPr>
          <w:rFonts w:asciiTheme="majorBidi" w:hAnsiTheme="majorBidi" w:cstheme="majorBidi"/>
          <w:sz w:val="24"/>
          <w:szCs w:val="24"/>
        </w:rPr>
        <w:t xml:space="preserve"> </w:t>
      </w:r>
      <w:r w:rsidR="00AE02AA" w:rsidRPr="00240D66">
        <w:rPr>
          <w:rFonts w:asciiTheme="majorBidi" w:hAnsiTheme="majorBidi" w:cstheme="majorBidi"/>
          <w:sz w:val="24"/>
          <w:szCs w:val="24"/>
        </w:rPr>
        <w:t xml:space="preserve">as </w:t>
      </w:r>
      <w:r w:rsidR="00E70695" w:rsidRPr="00240D66">
        <w:rPr>
          <w:rFonts w:asciiTheme="majorBidi" w:hAnsiTheme="majorBidi" w:cstheme="majorBidi"/>
          <w:sz w:val="24"/>
          <w:szCs w:val="24"/>
        </w:rPr>
        <w:t>compon</w:t>
      </w:r>
      <w:r w:rsidR="00AE02AA" w:rsidRPr="00240D66">
        <w:rPr>
          <w:rFonts w:asciiTheme="majorBidi" w:hAnsiTheme="majorBidi" w:cstheme="majorBidi"/>
          <w:sz w:val="24"/>
          <w:szCs w:val="24"/>
        </w:rPr>
        <w:t>ents of</w:t>
      </w:r>
      <w:r w:rsidR="001D5892" w:rsidRPr="00240D66">
        <w:rPr>
          <w:rFonts w:asciiTheme="majorBidi" w:hAnsiTheme="majorBidi" w:cstheme="majorBidi"/>
          <w:sz w:val="24"/>
          <w:szCs w:val="24"/>
        </w:rPr>
        <w:t xml:space="preserve"> a semi-autonomous </w:t>
      </w:r>
      <w:r w:rsidR="00AE02AA" w:rsidRPr="00240D66">
        <w:rPr>
          <w:rFonts w:asciiTheme="majorBidi" w:hAnsiTheme="majorBidi" w:cstheme="majorBidi"/>
          <w:sz w:val="24"/>
          <w:szCs w:val="24"/>
        </w:rPr>
        <w:t>body</w:t>
      </w:r>
      <w:r w:rsidR="00BA795E" w:rsidRPr="00240D66">
        <w:rPr>
          <w:rFonts w:asciiTheme="majorBidi" w:hAnsiTheme="majorBidi" w:cstheme="majorBidi"/>
          <w:sz w:val="24"/>
          <w:szCs w:val="24"/>
        </w:rPr>
        <w:t xml:space="preserve">. </w:t>
      </w:r>
      <w:r w:rsidR="005730E6" w:rsidRPr="00240D66">
        <w:rPr>
          <w:rFonts w:asciiTheme="majorBidi" w:hAnsiTheme="majorBidi" w:cstheme="majorBidi"/>
          <w:i/>
          <w:iCs/>
          <w:sz w:val="24"/>
          <w:szCs w:val="24"/>
        </w:rPr>
        <w:t xml:space="preserve">Coordination </w:t>
      </w:r>
      <w:r w:rsidR="005730E6" w:rsidRPr="00240D66">
        <w:rPr>
          <w:rFonts w:asciiTheme="majorBidi" w:hAnsiTheme="majorBidi" w:cstheme="majorBidi"/>
          <w:sz w:val="24"/>
          <w:szCs w:val="24"/>
        </w:rPr>
        <w:t xml:space="preserve">refers to the </w:t>
      </w:r>
      <w:r w:rsidR="001D5892" w:rsidRPr="00240D66">
        <w:rPr>
          <w:rFonts w:asciiTheme="majorBidi" w:hAnsiTheme="majorBidi" w:cstheme="majorBidi"/>
          <w:sz w:val="24"/>
          <w:szCs w:val="24"/>
        </w:rPr>
        <w:t>ways</w:t>
      </w:r>
      <w:r w:rsidR="005730E6" w:rsidRPr="00240D66">
        <w:rPr>
          <w:rFonts w:asciiTheme="majorBidi" w:hAnsiTheme="majorBidi" w:cstheme="majorBidi"/>
          <w:sz w:val="24"/>
          <w:szCs w:val="24"/>
        </w:rPr>
        <w:t xml:space="preserve"> by which such inter</w:t>
      </w:r>
      <w:r w:rsidR="001D5892" w:rsidRPr="00240D66">
        <w:rPr>
          <w:rFonts w:asciiTheme="majorBidi" w:hAnsiTheme="majorBidi" w:cstheme="majorBidi"/>
          <w:sz w:val="24"/>
          <w:szCs w:val="24"/>
        </w:rPr>
        <w:t>action is undertaken</w:t>
      </w:r>
      <w:r w:rsidR="005730E6" w:rsidRPr="00240D66">
        <w:rPr>
          <w:rFonts w:asciiTheme="majorBidi" w:hAnsiTheme="majorBidi" w:cstheme="majorBidi"/>
          <w:sz w:val="24"/>
          <w:szCs w:val="24"/>
        </w:rPr>
        <w:t>.</w:t>
      </w:r>
      <w:r w:rsidR="003C29BF" w:rsidRPr="00240D66">
        <w:rPr>
          <w:rFonts w:asciiTheme="majorBidi" w:hAnsiTheme="majorBidi" w:cstheme="majorBidi"/>
          <w:sz w:val="24"/>
          <w:szCs w:val="24"/>
        </w:rPr>
        <w:t xml:space="preserve"> It </w:t>
      </w:r>
      <w:r w:rsidR="001D5892" w:rsidRPr="00240D66">
        <w:rPr>
          <w:rFonts w:asciiTheme="majorBidi" w:hAnsiTheme="majorBidi" w:cstheme="majorBidi"/>
          <w:sz w:val="24"/>
          <w:szCs w:val="24"/>
        </w:rPr>
        <w:t xml:space="preserve">is the adoption and adaptation of new practices </w:t>
      </w:r>
      <w:r w:rsidR="00492DE3" w:rsidRPr="00240D66">
        <w:rPr>
          <w:rFonts w:asciiTheme="majorBidi" w:hAnsiTheme="majorBidi" w:cstheme="majorBidi"/>
          <w:sz w:val="24"/>
          <w:szCs w:val="24"/>
        </w:rPr>
        <w:t>that can be seen as</w:t>
      </w:r>
      <w:r w:rsidR="002E1D78" w:rsidRPr="00240D66">
        <w:rPr>
          <w:rFonts w:asciiTheme="majorBidi" w:hAnsiTheme="majorBidi" w:cstheme="majorBidi"/>
          <w:sz w:val="24"/>
          <w:szCs w:val="24"/>
        </w:rPr>
        <w:t xml:space="preserve"> enabling</w:t>
      </w:r>
      <w:r w:rsidR="001D5892" w:rsidRPr="00240D66">
        <w:rPr>
          <w:rFonts w:asciiTheme="majorBidi" w:hAnsiTheme="majorBidi" w:cstheme="majorBidi"/>
          <w:sz w:val="24"/>
          <w:szCs w:val="24"/>
        </w:rPr>
        <w:t xml:space="preserve"> and sustain</w:t>
      </w:r>
      <w:r w:rsidR="002E1D78" w:rsidRPr="00240D66">
        <w:rPr>
          <w:rFonts w:asciiTheme="majorBidi" w:hAnsiTheme="majorBidi" w:cstheme="majorBidi"/>
          <w:sz w:val="24"/>
          <w:szCs w:val="24"/>
        </w:rPr>
        <w:t>ing these new configurations</w:t>
      </w:r>
      <w:r w:rsidR="00221F2A" w:rsidRPr="00240D66">
        <w:rPr>
          <w:rFonts w:asciiTheme="majorBidi" w:hAnsiTheme="majorBidi" w:cstheme="majorBidi"/>
          <w:sz w:val="24"/>
          <w:szCs w:val="24"/>
        </w:rPr>
        <w:t xml:space="preserve"> (Halffman 2002</w:t>
      </w:r>
      <w:r w:rsidR="006609F4" w:rsidRPr="00240D66">
        <w:rPr>
          <w:rFonts w:asciiTheme="majorBidi" w:hAnsiTheme="majorBidi" w:cstheme="majorBidi"/>
          <w:sz w:val="24"/>
          <w:szCs w:val="24"/>
        </w:rPr>
        <w:t>)</w:t>
      </w:r>
      <w:r w:rsidR="00493450" w:rsidRPr="00240D66">
        <w:rPr>
          <w:rFonts w:asciiTheme="majorBidi" w:hAnsiTheme="majorBidi" w:cstheme="majorBidi"/>
          <w:sz w:val="24"/>
          <w:szCs w:val="24"/>
        </w:rPr>
        <w:t>. It encompasse</w:t>
      </w:r>
      <w:r w:rsidR="001D5892" w:rsidRPr="00240D66">
        <w:rPr>
          <w:rFonts w:asciiTheme="majorBidi" w:hAnsiTheme="majorBidi" w:cstheme="majorBidi"/>
          <w:sz w:val="24"/>
          <w:szCs w:val="24"/>
        </w:rPr>
        <w:t>s the practice</w:t>
      </w:r>
      <w:r w:rsidR="00493450" w:rsidRPr="00240D66">
        <w:rPr>
          <w:rFonts w:asciiTheme="majorBidi" w:hAnsiTheme="majorBidi" w:cstheme="majorBidi"/>
          <w:sz w:val="24"/>
          <w:szCs w:val="24"/>
        </w:rPr>
        <w:t>s</w:t>
      </w:r>
      <w:r w:rsidR="001D5892" w:rsidRPr="00240D66">
        <w:rPr>
          <w:rFonts w:asciiTheme="majorBidi" w:hAnsiTheme="majorBidi" w:cstheme="majorBidi"/>
          <w:sz w:val="24"/>
          <w:szCs w:val="24"/>
        </w:rPr>
        <w:t xml:space="preserve"> of communication across spheres—</w:t>
      </w:r>
      <w:r w:rsidR="00493450" w:rsidRPr="00240D66">
        <w:rPr>
          <w:rFonts w:asciiTheme="majorBidi" w:hAnsiTheme="majorBidi" w:cstheme="majorBidi"/>
          <w:sz w:val="24"/>
          <w:szCs w:val="24"/>
        </w:rPr>
        <w:t>engaging in dialogue and produci</w:t>
      </w:r>
      <w:r w:rsidR="001D5892" w:rsidRPr="00240D66">
        <w:rPr>
          <w:rFonts w:asciiTheme="majorBidi" w:hAnsiTheme="majorBidi" w:cstheme="majorBidi"/>
          <w:sz w:val="24"/>
          <w:szCs w:val="24"/>
        </w:rPr>
        <w:t>n</w:t>
      </w:r>
      <w:r w:rsidR="00493450" w:rsidRPr="00240D66">
        <w:rPr>
          <w:rFonts w:asciiTheme="majorBidi" w:hAnsiTheme="majorBidi" w:cstheme="majorBidi"/>
          <w:sz w:val="24"/>
          <w:szCs w:val="24"/>
        </w:rPr>
        <w:t>g</w:t>
      </w:r>
      <w:r w:rsidR="001D5892" w:rsidRPr="00240D66">
        <w:rPr>
          <w:rFonts w:asciiTheme="majorBidi" w:hAnsiTheme="majorBidi" w:cstheme="majorBidi"/>
          <w:sz w:val="24"/>
          <w:szCs w:val="24"/>
        </w:rPr>
        <w:t xml:space="preserve"> </w:t>
      </w:r>
      <w:r w:rsidR="00493450" w:rsidRPr="00240D66">
        <w:rPr>
          <w:rFonts w:asciiTheme="majorBidi" w:hAnsiTheme="majorBidi" w:cstheme="majorBidi"/>
          <w:sz w:val="24"/>
          <w:szCs w:val="24"/>
        </w:rPr>
        <w:t>(or translati</w:t>
      </w:r>
      <w:r w:rsidR="001D5892" w:rsidRPr="00240D66">
        <w:rPr>
          <w:rFonts w:asciiTheme="majorBidi" w:hAnsiTheme="majorBidi" w:cstheme="majorBidi"/>
          <w:sz w:val="24"/>
          <w:szCs w:val="24"/>
        </w:rPr>
        <w:t>n</w:t>
      </w:r>
      <w:r w:rsidR="00493450" w:rsidRPr="00240D66">
        <w:rPr>
          <w:rFonts w:asciiTheme="majorBidi" w:hAnsiTheme="majorBidi" w:cstheme="majorBidi"/>
          <w:sz w:val="24"/>
          <w:szCs w:val="24"/>
        </w:rPr>
        <w:t>g</w:t>
      </w:r>
      <w:r w:rsidR="001D5892" w:rsidRPr="00240D66">
        <w:rPr>
          <w:rFonts w:asciiTheme="majorBidi" w:hAnsiTheme="majorBidi" w:cstheme="majorBidi"/>
          <w:sz w:val="24"/>
          <w:szCs w:val="24"/>
        </w:rPr>
        <w:t xml:space="preserve">) </w:t>
      </w:r>
      <w:r w:rsidR="00493450" w:rsidRPr="00240D66">
        <w:rPr>
          <w:rFonts w:asciiTheme="majorBidi" w:hAnsiTheme="majorBidi" w:cstheme="majorBidi"/>
          <w:sz w:val="24"/>
          <w:szCs w:val="24"/>
        </w:rPr>
        <w:t>artefacts</w:t>
      </w:r>
      <w:r w:rsidR="001D5892" w:rsidRPr="00240D66">
        <w:rPr>
          <w:rFonts w:asciiTheme="majorBidi" w:hAnsiTheme="majorBidi" w:cstheme="majorBidi"/>
          <w:sz w:val="24"/>
          <w:szCs w:val="24"/>
        </w:rPr>
        <w:t xml:space="preserve"> that are </w:t>
      </w:r>
      <w:r w:rsidR="00493450" w:rsidRPr="00240D66">
        <w:rPr>
          <w:rFonts w:asciiTheme="majorBidi" w:hAnsiTheme="majorBidi" w:cstheme="majorBidi"/>
          <w:sz w:val="24"/>
          <w:szCs w:val="24"/>
        </w:rPr>
        <w:t xml:space="preserve">digestible for diverse audiences. Again, in terms familiar to </w:t>
      </w:r>
      <w:r w:rsidR="00443F1F" w:rsidRPr="00240D66">
        <w:rPr>
          <w:rFonts w:asciiTheme="majorBidi" w:hAnsiTheme="majorBidi" w:cstheme="majorBidi"/>
          <w:sz w:val="24"/>
          <w:szCs w:val="24"/>
        </w:rPr>
        <w:t xml:space="preserve">policy and </w:t>
      </w:r>
      <w:r w:rsidR="00493450" w:rsidRPr="00240D66">
        <w:rPr>
          <w:rFonts w:asciiTheme="majorBidi" w:hAnsiTheme="majorBidi" w:cstheme="majorBidi"/>
          <w:sz w:val="24"/>
          <w:szCs w:val="24"/>
        </w:rPr>
        <w:t xml:space="preserve">administration scholars, these are the practices of committee work, of developing technical documents, of </w:t>
      </w:r>
      <w:r w:rsidR="009F48FA" w:rsidRPr="00240D66">
        <w:rPr>
          <w:rFonts w:asciiTheme="majorBidi" w:hAnsiTheme="majorBidi" w:cstheme="majorBidi"/>
          <w:sz w:val="24"/>
          <w:szCs w:val="24"/>
        </w:rPr>
        <w:t xml:space="preserve">reporting to and engaging with </w:t>
      </w:r>
      <w:r w:rsidR="00492DE3" w:rsidRPr="00240D66">
        <w:rPr>
          <w:rFonts w:asciiTheme="majorBidi" w:hAnsiTheme="majorBidi" w:cstheme="majorBidi"/>
          <w:sz w:val="24"/>
          <w:szCs w:val="24"/>
        </w:rPr>
        <w:t>stakeholders</w:t>
      </w:r>
      <w:r w:rsidR="00493450" w:rsidRPr="00240D66">
        <w:rPr>
          <w:rFonts w:asciiTheme="majorBidi" w:hAnsiTheme="majorBidi" w:cstheme="majorBidi"/>
          <w:sz w:val="24"/>
          <w:szCs w:val="24"/>
        </w:rPr>
        <w:t xml:space="preserve">.  </w:t>
      </w:r>
    </w:p>
    <w:p w:rsidR="00821DCE" w:rsidRPr="00240D66" w:rsidRDefault="001376DC" w:rsidP="00240D66">
      <w:pPr>
        <w:spacing w:line="360" w:lineRule="auto"/>
        <w:rPr>
          <w:rFonts w:asciiTheme="majorBidi" w:hAnsiTheme="majorBidi" w:cstheme="majorBidi"/>
          <w:b/>
          <w:bCs/>
          <w:sz w:val="24"/>
          <w:szCs w:val="24"/>
        </w:rPr>
      </w:pPr>
      <w:r w:rsidRPr="00240D66">
        <w:rPr>
          <w:rFonts w:asciiTheme="majorBidi" w:hAnsiTheme="majorBidi" w:cstheme="majorBidi"/>
          <w:b/>
          <w:bCs/>
          <w:sz w:val="24"/>
          <w:szCs w:val="24"/>
        </w:rPr>
        <w:t xml:space="preserve">Table 1: </w:t>
      </w:r>
      <w:r w:rsidR="0035434E" w:rsidRPr="00240D66">
        <w:rPr>
          <w:rFonts w:asciiTheme="majorBidi" w:hAnsiTheme="majorBidi" w:cstheme="majorBidi"/>
          <w:b/>
          <w:bCs/>
          <w:sz w:val="24"/>
          <w:szCs w:val="24"/>
        </w:rPr>
        <w:t>A Boundary Work Framework for understanding the dynamics of arms-length bodies</w:t>
      </w:r>
    </w:p>
    <w:tbl>
      <w:tblPr>
        <w:tblStyle w:val="TableGrid"/>
        <w:tblW w:w="0" w:type="auto"/>
        <w:tblLook w:val="04A0" w:firstRow="1" w:lastRow="0" w:firstColumn="1" w:lastColumn="0" w:noHBand="0" w:noVBand="1"/>
      </w:tblPr>
      <w:tblGrid>
        <w:gridCol w:w="2208"/>
        <w:gridCol w:w="3447"/>
        <w:gridCol w:w="3361"/>
      </w:tblGrid>
      <w:tr w:rsidR="0035434E" w:rsidRPr="00240D66" w:rsidTr="00E83653">
        <w:tc>
          <w:tcPr>
            <w:tcW w:w="2235" w:type="dxa"/>
          </w:tcPr>
          <w:p w:rsidR="0035434E" w:rsidRPr="00240D66" w:rsidRDefault="0035434E" w:rsidP="00240D66">
            <w:pPr>
              <w:rPr>
                <w:rFonts w:asciiTheme="majorBidi" w:hAnsiTheme="majorBidi" w:cstheme="majorBidi"/>
                <w:sz w:val="24"/>
                <w:szCs w:val="24"/>
              </w:rPr>
            </w:pPr>
          </w:p>
        </w:tc>
        <w:tc>
          <w:tcPr>
            <w:tcW w:w="3543" w:type="dxa"/>
          </w:tcPr>
          <w:p w:rsidR="0035434E" w:rsidRPr="00240D66" w:rsidRDefault="004B3F5F" w:rsidP="00240D66">
            <w:pPr>
              <w:rPr>
                <w:rFonts w:asciiTheme="majorBidi" w:hAnsiTheme="majorBidi" w:cstheme="majorBidi"/>
                <w:b/>
                <w:bCs/>
                <w:sz w:val="24"/>
                <w:szCs w:val="24"/>
              </w:rPr>
            </w:pPr>
            <w:r w:rsidRPr="00240D66">
              <w:rPr>
                <w:rFonts w:asciiTheme="majorBidi" w:hAnsiTheme="majorBidi" w:cstheme="majorBidi"/>
                <w:b/>
                <w:bCs/>
                <w:sz w:val="24"/>
                <w:szCs w:val="24"/>
              </w:rPr>
              <w:t>Prevailing</w:t>
            </w:r>
            <w:r w:rsidR="001376DC" w:rsidRPr="00240D66">
              <w:rPr>
                <w:rFonts w:asciiTheme="majorBidi" w:hAnsiTheme="majorBidi" w:cstheme="majorBidi"/>
                <w:b/>
                <w:bCs/>
                <w:sz w:val="24"/>
                <w:szCs w:val="24"/>
              </w:rPr>
              <w:t xml:space="preserve"> perspectives</w:t>
            </w:r>
          </w:p>
        </w:tc>
        <w:tc>
          <w:tcPr>
            <w:tcW w:w="3464" w:type="dxa"/>
          </w:tcPr>
          <w:p w:rsidR="0035434E" w:rsidRPr="00240D66" w:rsidRDefault="0035434E" w:rsidP="00240D66">
            <w:pPr>
              <w:rPr>
                <w:rFonts w:asciiTheme="majorBidi" w:hAnsiTheme="majorBidi" w:cstheme="majorBidi"/>
                <w:b/>
                <w:bCs/>
                <w:sz w:val="24"/>
                <w:szCs w:val="24"/>
              </w:rPr>
            </w:pPr>
            <w:r w:rsidRPr="00240D66">
              <w:rPr>
                <w:rFonts w:asciiTheme="majorBidi" w:hAnsiTheme="majorBidi" w:cstheme="majorBidi"/>
                <w:b/>
                <w:bCs/>
                <w:sz w:val="24"/>
                <w:szCs w:val="24"/>
              </w:rPr>
              <w:t>A boundary work perspective</w:t>
            </w:r>
          </w:p>
        </w:tc>
      </w:tr>
      <w:tr w:rsidR="0035434E" w:rsidRPr="00240D66" w:rsidTr="00E83653">
        <w:tc>
          <w:tcPr>
            <w:tcW w:w="2235" w:type="dxa"/>
          </w:tcPr>
          <w:p w:rsidR="0035434E" w:rsidRPr="00240D66" w:rsidRDefault="003E7A2E" w:rsidP="00240D66">
            <w:pPr>
              <w:rPr>
                <w:rFonts w:asciiTheme="majorBidi" w:hAnsiTheme="majorBidi" w:cstheme="majorBidi"/>
                <w:b/>
                <w:bCs/>
                <w:sz w:val="24"/>
                <w:szCs w:val="24"/>
              </w:rPr>
            </w:pPr>
            <w:r w:rsidRPr="00240D66">
              <w:rPr>
                <w:rFonts w:asciiTheme="majorBidi" w:hAnsiTheme="majorBidi" w:cstheme="majorBidi"/>
                <w:b/>
                <w:bCs/>
                <w:sz w:val="24"/>
                <w:szCs w:val="24"/>
              </w:rPr>
              <w:t>Understanding the appeal of arms-length arrangements</w:t>
            </w:r>
          </w:p>
        </w:tc>
        <w:tc>
          <w:tcPr>
            <w:tcW w:w="3543" w:type="dxa"/>
          </w:tcPr>
          <w:p w:rsidR="004B3F5F" w:rsidRPr="00240D66" w:rsidRDefault="004B3F5F" w:rsidP="00240D66">
            <w:pPr>
              <w:rPr>
                <w:rFonts w:asciiTheme="majorBidi" w:hAnsiTheme="majorBidi" w:cstheme="majorBidi"/>
                <w:sz w:val="24"/>
                <w:szCs w:val="24"/>
              </w:rPr>
            </w:pPr>
            <w:r w:rsidRPr="00240D66">
              <w:rPr>
                <w:rFonts w:asciiTheme="majorBidi" w:hAnsiTheme="majorBidi" w:cstheme="majorBidi"/>
                <w:sz w:val="24"/>
                <w:szCs w:val="24"/>
              </w:rPr>
              <w:t>Link</w:t>
            </w:r>
            <w:r w:rsidR="00D732A2" w:rsidRPr="00240D66">
              <w:rPr>
                <w:rFonts w:asciiTheme="majorBidi" w:hAnsiTheme="majorBidi" w:cstheme="majorBidi"/>
                <w:sz w:val="24"/>
                <w:szCs w:val="24"/>
              </w:rPr>
              <w:t>ed</w:t>
            </w:r>
            <w:r w:rsidRPr="00240D66">
              <w:rPr>
                <w:rFonts w:asciiTheme="majorBidi" w:hAnsiTheme="majorBidi" w:cstheme="majorBidi"/>
                <w:sz w:val="24"/>
                <w:szCs w:val="24"/>
              </w:rPr>
              <w:t xml:space="preserve"> to</w:t>
            </w:r>
            <w:r w:rsidR="0035434E" w:rsidRPr="00240D66">
              <w:rPr>
                <w:rFonts w:asciiTheme="majorBidi" w:hAnsiTheme="majorBidi" w:cstheme="majorBidi"/>
                <w:sz w:val="24"/>
                <w:szCs w:val="24"/>
              </w:rPr>
              <w:t xml:space="preserve"> broad socio-political </w:t>
            </w:r>
            <w:r w:rsidRPr="00240D66">
              <w:rPr>
                <w:rFonts w:asciiTheme="majorBidi" w:hAnsiTheme="majorBidi" w:cstheme="majorBidi"/>
                <w:sz w:val="24"/>
                <w:szCs w:val="24"/>
              </w:rPr>
              <w:t>trends</w:t>
            </w:r>
            <w:r w:rsidR="003E7A2E" w:rsidRPr="00240D66">
              <w:rPr>
                <w:rFonts w:asciiTheme="majorBidi" w:hAnsiTheme="majorBidi" w:cstheme="majorBidi"/>
                <w:sz w:val="24"/>
                <w:szCs w:val="24"/>
              </w:rPr>
              <w:t xml:space="preserve"> (depoliticisation)</w:t>
            </w:r>
            <w:r w:rsidRPr="00240D66">
              <w:rPr>
                <w:rFonts w:asciiTheme="majorBidi" w:hAnsiTheme="majorBidi" w:cstheme="majorBidi"/>
                <w:sz w:val="24"/>
                <w:szCs w:val="24"/>
              </w:rPr>
              <w:t xml:space="preserve"> and </w:t>
            </w:r>
            <w:r w:rsidR="0035434E" w:rsidRPr="00240D66">
              <w:rPr>
                <w:rFonts w:asciiTheme="majorBidi" w:hAnsiTheme="majorBidi" w:cstheme="majorBidi"/>
                <w:sz w:val="24"/>
                <w:szCs w:val="24"/>
              </w:rPr>
              <w:t>governing strategies</w:t>
            </w:r>
            <w:r w:rsidR="003E7A2E" w:rsidRPr="00240D66">
              <w:rPr>
                <w:rFonts w:asciiTheme="majorBidi" w:hAnsiTheme="majorBidi" w:cstheme="majorBidi"/>
                <w:sz w:val="24"/>
                <w:szCs w:val="24"/>
              </w:rPr>
              <w:t xml:space="preserve"> (NPM)</w:t>
            </w:r>
          </w:p>
        </w:tc>
        <w:tc>
          <w:tcPr>
            <w:tcW w:w="3464" w:type="dxa"/>
          </w:tcPr>
          <w:p w:rsidR="0035434E" w:rsidRPr="00240D66" w:rsidRDefault="0035434E" w:rsidP="00240D66">
            <w:pPr>
              <w:rPr>
                <w:rFonts w:asciiTheme="majorBidi" w:hAnsiTheme="majorBidi" w:cstheme="majorBidi"/>
                <w:sz w:val="24"/>
                <w:szCs w:val="24"/>
              </w:rPr>
            </w:pPr>
            <w:r w:rsidRPr="00240D66">
              <w:rPr>
                <w:rFonts w:asciiTheme="majorBidi" w:hAnsiTheme="majorBidi" w:cstheme="majorBidi"/>
                <w:sz w:val="24"/>
                <w:szCs w:val="24"/>
              </w:rPr>
              <w:t>Ground</w:t>
            </w:r>
            <w:r w:rsidR="00D732A2" w:rsidRPr="00240D66">
              <w:rPr>
                <w:rFonts w:asciiTheme="majorBidi" w:hAnsiTheme="majorBidi" w:cstheme="majorBidi"/>
                <w:sz w:val="24"/>
                <w:szCs w:val="24"/>
              </w:rPr>
              <w:t xml:space="preserve">ed </w:t>
            </w:r>
            <w:r w:rsidRPr="00240D66">
              <w:rPr>
                <w:rFonts w:asciiTheme="majorBidi" w:hAnsiTheme="majorBidi" w:cstheme="majorBidi"/>
                <w:sz w:val="24"/>
                <w:szCs w:val="24"/>
              </w:rPr>
              <w:t xml:space="preserve">in contextual emergence of </w:t>
            </w:r>
            <w:r w:rsidR="004170BF" w:rsidRPr="00240D66">
              <w:rPr>
                <w:rFonts w:asciiTheme="majorBidi" w:hAnsiTheme="majorBidi" w:cstheme="majorBidi"/>
                <w:sz w:val="24"/>
                <w:szCs w:val="24"/>
              </w:rPr>
              <w:t>‘</w:t>
            </w:r>
            <w:r w:rsidRPr="00240D66">
              <w:rPr>
                <w:rFonts w:asciiTheme="majorBidi" w:hAnsiTheme="majorBidi" w:cstheme="majorBidi"/>
                <w:sz w:val="24"/>
                <w:szCs w:val="24"/>
              </w:rPr>
              <w:t>boundary problems</w:t>
            </w:r>
            <w:r w:rsidR="004170BF" w:rsidRPr="00240D66">
              <w:rPr>
                <w:rFonts w:asciiTheme="majorBidi" w:hAnsiTheme="majorBidi" w:cstheme="majorBidi"/>
                <w:sz w:val="24"/>
                <w:szCs w:val="24"/>
              </w:rPr>
              <w:t>’</w:t>
            </w:r>
          </w:p>
          <w:p w:rsidR="00225F14" w:rsidRPr="00240D66" w:rsidRDefault="00B170B3" w:rsidP="00240D66">
            <w:pPr>
              <w:rPr>
                <w:rFonts w:asciiTheme="majorBidi" w:hAnsiTheme="majorBidi" w:cstheme="majorBidi"/>
                <w:i/>
                <w:iCs/>
                <w:sz w:val="24"/>
                <w:szCs w:val="24"/>
              </w:rPr>
            </w:pPr>
            <w:r w:rsidRPr="00240D66">
              <w:rPr>
                <w:rFonts w:asciiTheme="majorBidi" w:hAnsiTheme="majorBidi" w:cstheme="majorBidi"/>
                <w:i/>
                <w:iCs/>
                <w:sz w:val="24"/>
                <w:szCs w:val="24"/>
              </w:rPr>
              <w:t>- Blurring of science, regulation, politics and beyond (see Jasanoff 1990)</w:t>
            </w:r>
          </w:p>
          <w:p w:rsidR="00D732A2" w:rsidRPr="00240D66" w:rsidRDefault="00D732A2" w:rsidP="00240D66">
            <w:pPr>
              <w:rPr>
                <w:rFonts w:asciiTheme="majorBidi" w:hAnsiTheme="majorBidi" w:cstheme="majorBidi"/>
                <w:i/>
                <w:iCs/>
                <w:sz w:val="24"/>
                <w:szCs w:val="24"/>
              </w:rPr>
            </w:pPr>
          </w:p>
        </w:tc>
      </w:tr>
      <w:tr w:rsidR="0035434E" w:rsidRPr="00240D66" w:rsidTr="00E83653">
        <w:tc>
          <w:tcPr>
            <w:tcW w:w="2235" w:type="dxa"/>
          </w:tcPr>
          <w:p w:rsidR="0035434E" w:rsidRPr="00240D66" w:rsidRDefault="003E7A2E" w:rsidP="00240D66">
            <w:pPr>
              <w:rPr>
                <w:rFonts w:asciiTheme="majorBidi" w:hAnsiTheme="majorBidi" w:cstheme="majorBidi"/>
                <w:b/>
                <w:bCs/>
                <w:sz w:val="24"/>
                <w:szCs w:val="24"/>
              </w:rPr>
            </w:pPr>
            <w:r w:rsidRPr="00240D66">
              <w:rPr>
                <w:rFonts w:asciiTheme="majorBidi" w:hAnsiTheme="majorBidi" w:cstheme="majorBidi"/>
                <w:b/>
                <w:bCs/>
                <w:sz w:val="24"/>
                <w:szCs w:val="24"/>
              </w:rPr>
              <w:t xml:space="preserve">Understanding processes of delegation </w:t>
            </w:r>
          </w:p>
        </w:tc>
        <w:tc>
          <w:tcPr>
            <w:tcW w:w="3543" w:type="dxa"/>
          </w:tcPr>
          <w:p w:rsidR="0035434E" w:rsidRPr="00240D66" w:rsidRDefault="00B2486F" w:rsidP="00240D66">
            <w:pPr>
              <w:rPr>
                <w:rFonts w:asciiTheme="majorBidi" w:hAnsiTheme="majorBidi" w:cstheme="majorBidi"/>
                <w:sz w:val="24"/>
                <w:szCs w:val="24"/>
              </w:rPr>
            </w:pPr>
            <w:r w:rsidRPr="00240D66">
              <w:rPr>
                <w:rFonts w:asciiTheme="majorBidi" w:hAnsiTheme="majorBidi" w:cstheme="majorBidi"/>
                <w:sz w:val="24"/>
                <w:szCs w:val="24"/>
              </w:rPr>
              <w:t>Identifying</w:t>
            </w:r>
            <w:r w:rsidR="003E7A2E" w:rsidRPr="00240D66">
              <w:rPr>
                <w:rFonts w:asciiTheme="majorBidi" w:hAnsiTheme="majorBidi" w:cstheme="majorBidi"/>
                <w:sz w:val="24"/>
                <w:szCs w:val="24"/>
              </w:rPr>
              <w:t xml:space="preserve"> behavioural</w:t>
            </w:r>
            <w:r w:rsidR="00527524" w:rsidRPr="00240D66">
              <w:rPr>
                <w:rFonts w:asciiTheme="majorBidi" w:hAnsiTheme="majorBidi" w:cstheme="majorBidi"/>
                <w:sz w:val="24"/>
                <w:szCs w:val="24"/>
              </w:rPr>
              <w:t xml:space="preserve"> drivers or f</w:t>
            </w:r>
            <w:r w:rsidR="0035434E" w:rsidRPr="00240D66">
              <w:rPr>
                <w:rFonts w:asciiTheme="majorBidi" w:hAnsiTheme="majorBidi" w:cstheme="majorBidi"/>
                <w:sz w:val="24"/>
                <w:szCs w:val="24"/>
              </w:rPr>
              <w:t>ormal</w:t>
            </w:r>
            <w:r w:rsidR="00D732A2" w:rsidRPr="00240D66">
              <w:rPr>
                <w:rFonts w:asciiTheme="majorBidi" w:hAnsiTheme="majorBidi" w:cstheme="majorBidi"/>
                <w:sz w:val="24"/>
                <w:szCs w:val="24"/>
              </w:rPr>
              <w:t xml:space="preserve"> </w:t>
            </w:r>
            <w:r w:rsidR="0035434E" w:rsidRPr="00240D66">
              <w:rPr>
                <w:rFonts w:asciiTheme="majorBidi" w:hAnsiTheme="majorBidi" w:cstheme="majorBidi"/>
                <w:sz w:val="24"/>
                <w:szCs w:val="24"/>
              </w:rPr>
              <w:t>institutional configuration</w:t>
            </w:r>
            <w:r w:rsidR="001376DC" w:rsidRPr="00240D66">
              <w:rPr>
                <w:rFonts w:asciiTheme="majorBidi" w:hAnsiTheme="majorBidi" w:cstheme="majorBidi"/>
                <w:sz w:val="24"/>
                <w:szCs w:val="24"/>
              </w:rPr>
              <w:t>s</w:t>
            </w:r>
          </w:p>
          <w:p w:rsidR="004170BF" w:rsidRPr="00240D66" w:rsidRDefault="004170BF" w:rsidP="00240D66">
            <w:pPr>
              <w:rPr>
                <w:rFonts w:asciiTheme="majorBidi" w:hAnsiTheme="majorBidi" w:cstheme="majorBidi"/>
                <w:i/>
                <w:iCs/>
                <w:sz w:val="24"/>
                <w:szCs w:val="24"/>
              </w:rPr>
            </w:pPr>
          </w:p>
          <w:p w:rsidR="001376DC" w:rsidRPr="00240D66" w:rsidRDefault="001376DC" w:rsidP="00240D66">
            <w:pPr>
              <w:rPr>
                <w:rFonts w:asciiTheme="majorBidi" w:hAnsiTheme="majorBidi" w:cstheme="majorBidi"/>
                <w:i/>
                <w:iCs/>
                <w:sz w:val="24"/>
                <w:szCs w:val="24"/>
              </w:rPr>
            </w:pPr>
          </w:p>
        </w:tc>
        <w:tc>
          <w:tcPr>
            <w:tcW w:w="3464" w:type="dxa"/>
          </w:tcPr>
          <w:p w:rsidR="004170BF" w:rsidRPr="00240D66" w:rsidRDefault="00B2486F" w:rsidP="00240D66">
            <w:pPr>
              <w:rPr>
                <w:rFonts w:asciiTheme="majorBidi" w:hAnsiTheme="majorBidi" w:cstheme="majorBidi"/>
                <w:sz w:val="24"/>
                <w:szCs w:val="24"/>
              </w:rPr>
            </w:pPr>
            <w:r w:rsidRPr="00240D66">
              <w:rPr>
                <w:rFonts w:asciiTheme="majorBidi" w:hAnsiTheme="majorBidi" w:cstheme="majorBidi"/>
                <w:sz w:val="24"/>
                <w:szCs w:val="24"/>
              </w:rPr>
              <w:t>Examining</w:t>
            </w:r>
            <w:r w:rsidR="00D732A2" w:rsidRPr="00240D66">
              <w:rPr>
                <w:rFonts w:asciiTheme="majorBidi" w:hAnsiTheme="majorBidi" w:cstheme="majorBidi"/>
                <w:sz w:val="24"/>
                <w:szCs w:val="24"/>
              </w:rPr>
              <w:t xml:space="preserve"> p</w:t>
            </w:r>
            <w:r w:rsidR="0035434E" w:rsidRPr="00240D66">
              <w:rPr>
                <w:rFonts w:asciiTheme="majorBidi" w:hAnsiTheme="majorBidi" w:cstheme="majorBidi"/>
                <w:sz w:val="24"/>
                <w:szCs w:val="24"/>
              </w:rPr>
              <w:t>erformance</w:t>
            </w:r>
            <w:r w:rsidRPr="00240D66">
              <w:rPr>
                <w:rFonts w:asciiTheme="majorBidi" w:hAnsiTheme="majorBidi" w:cstheme="majorBidi"/>
                <w:sz w:val="24"/>
                <w:szCs w:val="24"/>
              </w:rPr>
              <w:t>s</w:t>
            </w:r>
            <w:r w:rsidR="0035434E" w:rsidRPr="00240D66">
              <w:rPr>
                <w:rFonts w:asciiTheme="majorBidi" w:hAnsiTheme="majorBidi" w:cstheme="majorBidi"/>
                <w:sz w:val="24"/>
                <w:szCs w:val="24"/>
              </w:rPr>
              <w:t xml:space="preserve"> of demarcation</w:t>
            </w:r>
          </w:p>
          <w:p w:rsidR="00225F14" w:rsidRPr="00240D66" w:rsidRDefault="004170BF" w:rsidP="00240D66">
            <w:pPr>
              <w:rPr>
                <w:rFonts w:asciiTheme="majorBidi" w:hAnsiTheme="majorBidi" w:cstheme="majorBidi"/>
                <w:i/>
                <w:iCs/>
                <w:sz w:val="24"/>
                <w:szCs w:val="24"/>
              </w:rPr>
            </w:pPr>
            <w:r w:rsidRPr="00240D66">
              <w:rPr>
                <w:rFonts w:asciiTheme="majorBidi" w:hAnsiTheme="majorBidi" w:cstheme="majorBidi"/>
                <w:i/>
                <w:iCs/>
                <w:sz w:val="24"/>
                <w:szCs w:val="24"/>
              </w:rPr>
              <w:t xml:space="preserve">- </w:t>
            </w:r>
            <w:r w:rsidR="00B170B3" w:rsidRPr="00240D66">
              <w:rPr>
                <w:rFonts w:asciiTheme="majorBidi" w:hAnsiTheme="majorBidi" w:cstheme="majorBidi"/>
                <w:i/>
                <w:iCs/>
                <w:sz w:val="24"/>
                <w:szCs w:val="24"/>
              </w:rPr>
              <w:t>Understanding how boundaries are</w:t>
            </w:r>
            <w:r w:rsidR="00225F14" w:rsidRPr="00240D66">
              <w:rPr>
                <w:rFonts w:asciiTheme="majorBidi" w:hAnsiTheme="majorBidi" w:cstheme="majorBidi"/>
                <w:i/>
                <w:iCs/>
                <w:sz w:val="24"/>
                <w:szCs w:val="24"/>
              </w:rPr>
              <w:t xml:space="preserve"> ‘enacted’ through </w:t>
            </w:r>
            <w:r w:rsidR="00B170B3" w:rsidRPr="00240D66">
              <w:rPr>
                <w:rFonts w:asciiTheme="majorBidi" w:hAnsiTheme="majorBidi" w:cstheme="majorBidi"/>
                <w:i/>
                <w:iCs/>
                <w:sz w:val="24"/>
                <w:szCs w:val="24"/>
              </w:rPr>
              <w:t>discourse and public performance (see Mol 2002)</w:t>
            </w:r>
          </w:p>
        </w:tc>
      </w:tr>
      <w:tr w:rsidR="0035434E" w:rsidRPr="00240D66" w:rsidTr="00E83653">
        <w:tc>
          <w:tcPr>
            <w:tcW w:w="2235" w:type="dxa"/>
          </w:tcPr>
          <w:p w:rsidR="0035434E" w:rsidRPr="00240D66" w:rsidRDefault="003E7A2E" w:rsidP="00240D66">
            <w:pPr>
              <w:rPr>
                <w:rFonts w:asciiTheme="majorBidi" w:hAnsiTheme="majorBidi" w:cstheme="majorBidi"/>
                <w:b/>
                <w:bCs/>
                <w:sz w:val="24"/>
                <w:szCs w:val="24"/>
              </w:rPr>
            </w:pPr>
            <w:r w:rsidRPr="00240D66">
              <w:rPr>
                <w:rFonts w:asciiTheme="majorBidi" w:hAnsiTheme="majorBidi" w:cstheme="majorBidi"/>
                <w:b/>
                <w:bCs/>
                <w:sz w:val="24"/>
                <w:szCs w:val="24"/>
              </w:rPr>
              <w:t>Understanding</w:t>
            </w:r>
            <w:r w:rsidR="00D732A2" w:rsidRPr="00240D66">
              <w:rPr>
                <w:rFonts w:asciiTheme="majorBidi" w:hAnsiTheme="majorBidi" w:cstheme="majorBidi"/>
                <w:b/>
                <w:bCs/>
                <w:sz w:val="24"/>
                <w:szCs w:val="24"/>
              </w:rPr>
              <w:t xml:space="preserve"> </w:t>
            </w:r>
            <w:r w:rsidRPr="00240D66">
              <w:rPr>
                <w:rFonts w:asciiTheme="majorBidi" w:hAnsiTheme="majorBidi" w:cstheme="majorBidi"/>
                <w:b/>
                <w:bCs/>
                <w:sz w:val="24"/>
                <w:szCs w:val="24"/>
              </w:rPr>
              <w:t>variation in practice</w:t>
            </w:r>
          </w:p>
        </w:tc>
        <w:tc>
          <w:tcPr>
            <w:tcW w:w="3543" w:type="dxa"/>
          </w:tcPr>
          <w:p w:rsidR="0035434E" w:rsidRPr="00240D66" w:rsidRDefault="00D732A2" w:rsidP="00240D66">
            <w:pPr>
              <w:rPr>
                <w:rFonts w:asciiTheme="majorBidi" w:hAnsiTheme="majorBidi" w:cstheme="majorBidi"/>
                <w:sz w:val="24"/>
                <w:szCs w:val="24"/>
              </w:rPr>
            </w:pPr>
            <w:r w:rsidRPr="00240D66">
              <w:rPr>
                <w:rFonts w:asciiTheme="majorBidi" w:hAnsiTheme="majorBidi" w:cstheme="majorBidi"/>
                <w:sz w:val="24"/>
                <w:szCs w:val="24"/>
              </w:rPr>
              <w:t>E</w:t>
            </w:r>
            <w:r w:rsidR="0035434E" w:rsidRPr="00240D66">
              <w:rPr>
                <w:rFonts w:asciiTheme="majorBidi" w:hAnsiTheme="majorBidi" w:cstheme="majorBidi"/>
                <w:sz w:val="24"/>
                <w:szCs w:val="24"/>
              </w:rPr>
              <w:t>stablish</w:t>
            </w:r>
            <w:r w:rsidRPr="00240D66">
              <w:rPr>
                <w:rFonts w:asciiTheme="majorBidi" w:hAnsiTheme="majorBidi" w:cstheme="majorBidi"/>
                <w:sz w:val="24"/>
                <w:szCs w:val="24"/>
              </w:rPr>
              <w:t>ing</w:t>
            </w:r>
            <w:r w:rsidR="003E7A2E" w:rsidRPr="00240D66">
              <w:rPr>
                <w:rFonts w:asciiTheme="majorBidi" w:hAnsiTheme="majorBidi" w:cstheme="majorBidi"/>
                <w:sz w:val="24"/>
                <w:szCs w:val="24"/>
              </w:rPr>
              <w:t xml:space="preserve"> political, cultural or institutional</w:t>
            </w:r>
            <w:r w:rsidR="0035434E" w:rsidRPr="00240D66">
              <w:rPr>
                <w:rFonts w:asciiTheme="majorBidi" w:hAnsiTheme="majorBidi" w:cstheme="majorBidi"/>
                <w:sz w:val="24"/>
                <w:szCs w:val="24"/>
              </w:rPr>
              <w:t xml:space="preserve"> determinants of survival/failure</w:t>
            </w:r>
          </w:p>
          <w:p w:rsidR="001376DC" w:rsidRPr="00240D66" w:rsidRDefault="001376DC" w:rsidP="00240D66">
            <w:pPr>
              <w:rPr>
                <w:rFonts w:asciiTheme="majorBidi" w:hAnsiTheme="majorBidi" w:cstheme="majorBidi"/>
                <w:sz w:val="24"/>
                <w:szCs w:val="24"/>
              </w:rPr>
            </w:pPr>
          </w:p>
        </w:tc>
        <w:tc>
          <w:tcPr>
            <w:tcW w:w="3464" w:type="dxa"/>
          </w:tcPr>
          <w:p w:rsidR="0035434E" w:rsidRPr="00240D66" w:rsidRDefault="00D732A2" w:rsidP="00240D66">
            <w:pPr>
              <w:rPr>
                <w:rFonts w:asciiTheme="majorBidi" w:hAnsiTheme="majorBidi" w:cstheme="majorBidi"/>
                <w:sz w:val="24"/>
                <w:szCs w:val="24"/>
              </w:rPr>
            </w:pPr>
            <w:r w:rsidRPr="00240D66">
              <w:rPr>
                <w:rFonts w:asciiTheme="majorBidi" w:hAnsiTheme="majorBidi" w:cstheme="majorBidi"/>
                <w:sz w:val="24"/>
                <w:szCs w:val="24"/>
              </w:rPr>
              <w:t>Exploring</w:t>
            </w:r>
            <w:r w:rsidR="0035434E" w:rsidRPr="00240D66">
              <w:rPr>
                <w:rFonts w:asciiTheme="majorBidi" w:hAnsiTheme="majorBidi" w:cstheme="majorBidi"/>
                <w:sz w:val="24"/>
                <w:szCs w:val="24"/>
              </w:rPr>
              <w:t xml:space="preserve"> </w:t>
            </w:r>
            <w:r w:rsidRPr="00240D66">
              <w:rPr>
                <w:rFonts w:asciiTheme="majorBidi" w:hAnsiTheme="majorBidi" w:cstheme="majorBidi"/>
                <w:sz w:val="24"/>
                <w:szCs w:val="24"/>
              </w:rPr>
              <w:t>modes</w:t>
            </w:r>
            <w:r w:rsidR="0035434E" w:rsidRPr="00240D66">
              <w:rPr>
                <w:rFonts w:asciiTheme="majorBidi" w:hAnsiTheme="majorBidi" w:cstheme="majorBidi"/>
                <w:sz w:val="24"/>
                <w:szCs w:val="24"/>
              </w:rPr>
              <w:t xml:space="preserve"> of coordination</w:t>
            </w:r>
          </w:p>
          <w:p w:rsidR="004170BF" w:rsidRPr="00240D66" w:rsidRDefault="00B170B3" w:rsidP="00240D66">
            <w:pPr>
              <w:rPr>
                <w:rFonts w:asciiTheme="majorBidi" w:hAnsiTheme="majorBidi" w:cstheme="majorBidi"/>
                <w:i/>
                <w:iCs/>
                <w:sz w:val="24"/>
                <w:szCs w:val="24"/>
              </w:rPr>
            </w:pPr>
            <w:r w:rsidRPr="00240D66">
              <w:rPr>
                <w:rFonts w:asciiTheme="majorBidi" w:hAnsiTheme="majorBidi" w:cstheme="majorBidi"/>
                <w:i/>
                <w:iCs/>
                <w:sz w:val="24"/>
                <w:szCs w:val="24"/>
              </w:rPr>
              <w:t>- Identifying the common practices through which interaction across spheres is made possible and intelligible</w:t>
            </w:r>
            <w:r w:rsidR="004170BF" w:rsidRPr="00240D66">
              <w:rPr>
                <w:rFonts w:asciiTheme="majorBidi" w:hAnsiTheme="majorBidi" w:cstheme="majorBidi"/>
                <w:i/>
                <w:iCs/>
                <w:sz w:val="24"/>
                <w:szCs w:val="24"/>
              </w:rPr>
              <w:t xml:space="preserve"> (</w:t>
            </w:r>
            <w:r w:rsidRPr="00240D66">
              <w:rPr>
                <w:rFonts w:asciiTheme="majorBidi" w:hAnsiTheme="majorBidi" w:cstheme="majorBidi"/>
                <w:i/>
                <w:iCs/>
                <w:sz w:val="24"/>
                <w:szCs w:val="24"/>
              </w:rPr>
              <w:t xml:space="preserve">see </w:t>
            </w:r>
            <w:r w:rsidR="00221F2A" w:rsidRPr="00240D66">
              <w:rPr>
                <w:rFonts w:asciiTheme="majorBidi" w:hAnsiTheme="majorBidi" w:cstheme="majorBidi"/>
                <w:i/>
                <w:iCs/>
                <w:sz w:val="24"/>
                <w:szCs w:val="24"/>
              </w:rPr>
              <w:t>Halffman 2002</w:t>
            </w:r>
            <w:r w:rsidR="004170BF" w:rsidRPr="00240D66">
              <w:rPr>
                <w:rFonts w:asciiTheme="majorBidi" w:hAnsiTheme="majorBidi" w:cstheme="majorBidi"/>
                <w:i/>
                <w:iCs/>
                <w:sz w:val="24"/>
                <w:szCs w:val="24"/>
              </w:rPr>
              <w:t>)</w:t>
            </w:r>
          </w:p>
        </w:tc>
      </w:tr>
    </w:tbl>
    <w:p w:rsidR="00B2486F" w:rsidRPr="00240D66" w:rsidRDefault="00B2486F" w:rsidP="00240D66">
      <w:pPr>
        <w:spacing w:line="360" w:lineRule="auto"/>
        <w:rPr>
          <w:rFonts w:asciiTheme="majorBidi" w:hAnsiTheme="majorBidi" w:cstheme="majorBidi"/>
          <w:sz w:val="24"/>
          <w:szCs w:val="24"/>
        </w:rPr>
      </w:pPr>
    </w:p>
    <w:p w:rsidR="00821DCE" w:rsidRPr="00240D66" w:rsidRDefault="00D32DDE" w:rsidP="00240D66">
      <w:pPr>
        <w:spacing w:line="360" w:lineRule="auto"/>
        <w:rPr>
          <w:rFonts w:asciiTheme="majorBidi" w:hAnsiTheme="majorBidi" w:cstheme="majorBidi"/>
          <w:sz w:val="24"/>
          <w:szCs w:val="24"/>
        </w:rPr>
      </w:pPr>
      <w:r w:rsidRPr="00240D66">
        <w:rPr>
          <w:rFonts w:asciiTheme="majorBidi" w:hAnsiTheme="majorBidi" w:cstheme="majorBidi"/>
          <w:b/>
          <w:bCs/>
          <w:sz w:val="24"/>
          <w:szCs w:val="24"/>
        </w:rPr>
        <w:t>Approach: Implementing the boundary work framework</w:t>
      </w:r>
    </w:p>
    <w:p w:rsidR="005C48B3" w:rsidRPr="00240D66" w:rsidRDefault="00D619A4"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Having</w:t>
      </w:r>
      <w:r w:rsidR="005E4014" w:rsidRPr="00240D66">
        <w:rPr>
          <w:rFonts w:asciiTheme="majorBidi" w:hAnsiTheme="majorBidi" w:cstheme="majorBidi"/>
          <w:sz w:val="24"/>
          <w:szCs w:val="24"/>
        </w:rPr>
        <w:t xml:space="preserve"> clarified the </w:t>
      </w:r>
      <w:r w:rsidR="003C29BF" w:rsidRPr="00240D66">
        <w:rPr>
          <w:rFonts w:asciiTheme="majorBidi" w:hAnsiTheme="majorBidi" w:cstheme="majorBidi"/>
          <w:sz w:val="24"/>
          <w:szCs w:val="24"/>
        </w:rPr>
        <w:t>boundary work framework</w:t>
      </w:r>
      <w:r w:rsidRPr="00240D66">
        <w:rPr>
          <w:rFonts w:asciiTheme="majorBidi" w:hAnsiTheme="majorBidi" w:cstheme="majorBidi"/>
          <w:sz w:val="24"/>
          <w:szCs w:val="24"/>
        </w:rPr>
        <w:t>,</w:t>
      </w:r>
      <w:r w:rsidR="005E4014" w:rsidRPr="00240D66">
        <w:rPr>
          <w:rFonts w:asciiTheme="majorBidi" w:hAnsiTheme="majorBidi" w:cstheme="majorBidi"/>
          <w:sz w:val="24"/>
          <w:szCs w:val="24"/>
        </w:rPr>
        <w:t xml:space="preserve"> </w:t>
      </w:r>
      <w:r w:rsidRPr="00240D66">
        <w:rPr>
          <w:rFonts w:asciiTheme="majorBidi" w:hAnsiTheme="majorBidi" w:cstheme="majorBidi"/>
          <w:sz w:val="24"/>
          <w:szCs w:val="24"/>
        </w:rPr>
        <w:t>t</w:t>
      </w:r>
      <w:r w:rsidR="005E4014" w:rsidRPr="00240D66">
        <w:rPr>
          <w:rFonts w:asciiTheme="majorBidi" w:hAnsiTheme="majorBidi" w:cstheme="majorBidi"/>
          <w:sz w:val="24"/>
          <w:szCs w:val="24"/>
        </w:rPr>
        <w:t xml:space="preserve">he next step is to </w:t>
      </w:r>
      <w:r w:rsidR="00821DCE" w:rsidRPr="00240D66">
        <w:rPr>
          <w:rFonts w:asciiTheme="majorBidi" w:hAnsiTheme="majorBidi" w:cstheme="majorBidi"/>
          <w:sz w:val="24"/>
          <w:szCs w:val="24"/>
        </w:rPr>
        <w:t xml:space="preserve">apply </w:t>
      </w:r>
      <w:r w:rsidR="003C29BF" w:rsidRPr="00240D66">
        <w:rPr>
          <w:rFonts w:asciiTheme="majorBidi" w:hAnsiTheme="majorBidi" w:cstheme="majorBidi"/>
          <w:sz w:val="24"/>
          <w:szCs w:val="24"/>
        </w:rPr>
        <w:t>it</w:t>
      </w:r>
      <w:r w:rsidR="00821DCE" w:rsidRPr="00240D66">
        <w:rPr>
          <w:rFonts w:asciiTheme="majorBidi" w:hAnsiTheme="majorBidi" w:cstheme="majorBidi"/>
          <w:sz w:val="24"/>
          <w:szCs w:val="24"/>
        </w:rPr>
        <w:t xml:space="preserve"> in a comparative</w:t>
      </w:r>
      <w:r w:rsidR="00DB7DDE" w:rsidRPr="00240D66">
        <w:rPr>
          <w:rFonts w:asciiTheme="majorBidi" w:hAnsiTheme="majorBidi" w:cstheme="majorBidi"/>
          <w:sz w:val="24"/>
          <w:szCs w:val="24"/>
        </w:rPr>
        <w:t xml:space="preserve"> analysis of </w:t>
      </w:r>
      <w:r w:rsidR="00821DCE" w:rsidRPr="00240D66">
        <w:rPr>
          <w:rFonts w:asciiTheme="majorBidi" w:hAnsiTheme="majorBidi" w:cstheme="majorBidi"/>
          <w:sz w:val="24"/>
          <w:szCs w:val="24"/>
        </w:rPr>
        <w:t>the Food Standards Agency (FSA) and the</w:t>
      </w:r>
      <w:r w:rsidR="001439B1" w:rsidRPr="00240D66">
        <w:rPr>
          <w:rFonts w:asciiTheme="majorBidi" w:hAnsiTheme="majorBidi" w:cstheme="majorBidi"/>
          <w:sz w:val="24"/>
          <w:szCs w:val="24"/>
        </w:rPr>
        <w:t xml:space="preserve"> </w:t>
      </w:r>
      <w:r w:rsidR="00821DCE" w:rsidRPr="00240D66">
        <w:rPr>
          <w:rFonts w:asciiTheme="majorBidi" w:hAnsiTheme="majorBidi" w:cstheme="majorBidi"/>
          <w:sz w:val="24"/>
          <w:szCs w:val="24"/>
        </w:rPr>
        <w:t xml:space="preserve">National Institute for Health and Care Excellence (NICE). </w:t>
      </w:r>
      <w:r w:rsidRPr="00240D66">
        <w:rPr>
          <w:rFonts w:asciiTheme="majorBidi" w:hAnsiTheme="majorBidi" w:cstheme="majorBidi"/>
          <w:sz w:val="24"/>
          <w:szCs w:val="24"/>
        </w:rPr>
        <w:t xml:space="preserve">This section </w:t>
      </w:r>
      <w:r w:rsidR="005C48B3" w:rsidRPr="00240D66">
        <w:rPr>
          <w:rFonts w:asciiTheme="majorBidi" w:hAnsiTheme="majorBidi" w:cstheme="majorBidi"/>
          <w:sz w:val="24"/>
          <w:szCs w:val="24"/>
        </w:rPr>
        <w:t>justif</w:t>
      </w:r>
      <w:r w:rsidRPr="00240D66">
        <w:rPr>
          <w:rFonts w:asciiTheme="majorBidi" w:hAnsiTheme="majorBidi" w:cstheme="majorBidi"/>
          <w:sz w:val="24"/>
          <w:szCs w:val="24"/>
        </w:rPr>
        <w:t>ies</w:t>
      </w:r>
      <w:r w:rsidR="005C48B3" w:rsidRPr="00240D66">
        <w:rPr>
          <w:rFonts w:asciiTheme="majorBidi" w:hAnsiTheme="majorBidi" w:cstheme="majorBidi"/>
          <w:sz w:val="24"/>
          <w:szCs w:val="24"/>
        </w:rPr>
        <w:t xml:space="preserve"> this case selection, outline</w:t>
      </w:r>
      <w:r w:rsidRPr="00240D66">
        <w:rPr>
          <w:rFonts w:asciiTheme="majorBidi" w:hAnsiTheme="majorBidi" w:cstheme="majorBidi"/>
          <w:sz w:val="24"/>
          <w:szCs w:val="24"/>
        </w:rPr>
        <w:t>s</w:t>
      </w:r>
      <w:r w:rsidR="005C48B3" w:rsidRPr="00240D66">
        <w:rPr>
          <w:rFonts w:asciiTheme="majorBidi" w:hAnsiTheme="majorBidi" w:cstheme="majorBidi"/>
          <w:sz w:val="24"/>
          <w:szCs w:val="24"/>
        </w:rPr>
        <w:t xml:space="preserve"> the data collection, and discuss</w:t>
      </w:r>
      <w:r w:rsidRPr="00240D66">
        <w:rPr>
          <w:rFonts w:asciiTheme="majorBidi" w:hAnsiTheme="majorBidi" w:cstheme="majorBidi"/>
          <w:sz w:val="24"/>
          <w:szCs w:val="24"/>
        </w:rPr>
        <w:t>es</w:t>
      </w:r>
      <w:r w:rsidR="005C48B3" w:rsidRPr="00240D66">
        <w:rPr>
          <w:rFonts w:asciiTheme="majorBidi" w:hAnsiTheme="majorBidi" w:cstheme="majorBidi"/>
          <w:sz w:val="24"/>
          <w:szCs w:val="24"/>
        </w:rPr>
        <w:t xml:space="preserve"> the analysis.</w:t>
      </w:r>
    </w:p>
    <w:p w:rsidR="002D5DC3" w:rsidRPr="00240D66" w:rsidRDefault="008A56F3"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T</w:t>
      </w:r>
      <w:r w:rsidR="005C48B3" w:rsidRPr="00240D66">
        <w:rPr>
          <w:rFonts w:asciiTheme="majorBidi" w:hAnsiTheme="majorBidi" w:cstheme="majorBidi"/>
          <w:sz w:val="24"/>
          <w:szCs w:val="24"/>
        </w:rPr>
        <w:t>he</w:t>
      </w:r>
      <w:r w:rsidR="00493450" w:rsidRPr="00240D66">
        <w:rPr>
          <w:rFonts w:asciiTheme="majorBidi" w:hAnsiTheme="majorBidi" w:cstheme="majorBidi"/>
          <w:sz w:val="24"/>
          <w:szCs w:val="24"/>
        </w:rPr>
        <w:t>se</w:t>
      </w:r>
      <w:r w:rsidR="005C48B3" w:rsidRPr="00240D66">
        <w:rPr>
          <w:rFonts w:asciiTheme="majorBidi" w:hAnsiTheme="majorBidi" w:cstheme="majorBidi"/>
          <w:sz w:val="24"/>
          <w:szCs w:val="24"/>
        </w:rPr>
        <w:t xml:space="preserve"> cases w</w:t>
      </w:r>
      <w:r w:rsidR="002E1D78" w:rsidRPr="00240D66">
        <w:rPr>
          <w:rFonts w:asciiTheme="majorBidi" w:hAnsiTheme="majorBidi" w:cstheme="majorBidi"/>
          <w:sz w:val="24"/>
          <w:szCs w:val="24"/>
        </w:rPr>
        <w:t>ere selected on the basis of a ‘</w:t>
      </w:r>
      <w:r w:rsidR="005C48B3" w:rsidRPr="00240D66">
        <w:rPr>
          <w:rFonts w:asciiTheme="majorBidi" w:hAnsiTheme="majorBidi" w:cstheme="majorBidi"/>
          <w:sz w:val="24"/>
          <w:szCs w:val="24"/>
        </w:rPr>
        <w:t>most similar’ research design.</w:t>
      </w:r>
      <w:r w:rsidR="00493450" w:rsidRPr="00240D66">
        <w:rPr>
          <w:rFonts w:asciiTheme="majorBidi" w:hAnsiTheme="majorBidi" w:cstheme="majorBidi"/>
          <w:sz w:val="24"/>
          <w:szCs w:val="24"/>
        </w:rPr>
        <w:t xml:space="preserve"> </w:t>
      </w:r>
      <w:r w:rsidR="00AD6F23" w:rsidRPr="00240D66">
        <w:rPr>
          <w:rFonts w:asciiTheme="majorBidi" w:hAnsiTheme="majorBidi" w:cstheme="majorBidi"/>
          <w:sz w:val="24"/>
          <w:szCs w:val="24"/>
        </w:rPr>
        <w:t>Both arms-length bodies have a (primarily) regulatory function, drawing on natural science to make technical policy judgment</w:t>
      </w:r>
      <w:r w:rsidR="00527524" w:rsidRPr="00240D66">
        <w:rPr>
          <w:rFonts w:asciiTheme="majorBidi" w:hAnsiTheme="majorBidi" w:cstheme="majorBidi"/>
          <w:sz w:val="24"/>
          <w:szCs w:val="24"/>
        </w:rPr>
        <w:t>s. T</w:t>
      </w:r>
      <w:r w:rsidR="00AD6F23" w:rsidRPr="00240D66">
        <w:rPr>
          <w:rFonts w:asciiTheme="majorBidi" w:hAnsiTheme="majorBidi" w:cstheme="majorBidi"/>
          <w:sz w:val="24"/>
          <w:szCs w:val="24"/>
        </w:rPr>
        <w:t>hey are, in this sense, both reminiscent of organizations at the centre of existing STS scholarship on boundary work</w:t>
      </w:r>
      <w:r w:rsidR="00527524" w:rsidRPr="00240D66">
        <w:rPr>
          <w:rFonts w:asciiTheme="majorBidi" w:hAnsiTheme="majorBidi" w:cstheme="majorBidi"/>
          <w:sz w:val="24"/>
          <w:szCs w:val="24"/>
        </w:rPr>
        <w:t>,</w:t>
      </w:r>
      <w:r w:rsidR="00AD6F23" w:rsidRPr="00240D66">
        <w:rPr>
          <w:rFonts w:asciiTheme="majorBidi" w:hAnsiTheme="majorBidi" w:cstheme="majorBidi"/>
          <w:sz w:val="24"/>
          <w:szCs w:val="24"/>
        </w:rPr>
        <w:t xml:space="preserve"> </w:t>
      </w:r>
      <w:r w:rsidR="00527524" w:rsidRPr="00240D66">
        <w:rPr>
          <w:rFonts w:asciiTheme="majorBidi" w:hAnsiTheme="majorBidi" w:cstheme="majorBidi"/>
          <w:sz w:val="24"/>
          <w:szCs w:val="24"/>
        </w:rPr>
        <w:t>and so they appeal as good candidates for an exploratory study</w:t>
      </w:r>
      <w:r w:rsidR="00AD7EBC" w:rsidRPr="00240D66">
        <w:rPr>
          <w:rFonts w:asciiTheme="majorBidi" w:hAnsiTheme="majorBidi" w:cstheme="majorBidi"/>
          <w:sz w:val="24"/>
          <w:szCs w:val="24"/>
        </w:rPr>
        <w:t xml:space="preserve"> (</w:t>
      </w:r>
      <w:r w:rsidR="00AD6F23" w:rsidRPr="00240D66">
        <w:rPr>
          <w:rFonts w:asciiTheme="majorBidi" w:hAnsiTheme="majorBidi" w:cstheme="majorBidi"/>
          <w:sz w:val="24"/>
          <w:szCs w:val="24"/>
        </w:rPr>
        <w:t xml:space="preserve">albeit that this </w:t>
      </w:r>
      <w:r w:rsidR="00527524" w:rsidRPr="00240D66">
        <w:rPr>
          <w:rFonts w:asciiTheme="majorBidi" w:hAnsiTheme="majorBidi" w:cstheme="majorBidi"/>
          <w:sz w:val="24"/>
          <w:szCs w:val="24"/>
        </w:rPr>
        <w:t xml:space="preserve">methodological choice also </w:t>
      </w:r>
      <w:r w:rsidR="00AD6F23" w:rsidRPr="00240D66">
        <w:rPr>
          <w:rFonts w:asciiTheme="majorBidi" w:hAnsiTheme="majorBidi" w:cstheme="majorBidi"/>
          <w:sz w:val="24"/>
          <w:szCs w:val="24"/>
        </w:rPr>
        <w:t>raises questions of the broader generalizability of the c</w:t>
      </w:r>
      <w:r w:rsidR="00527524" w:rsidRPr="00240D66">
        <w:rPr>
          <w:rFonts w:asciiTheme="majorBidi" w:hAnsiTheme="majorBidi" w:cstheme="majorBidi"/>
          <w:sz w:val="24"/>
          <w:szCs w:val="24"/>
        </w:rPr>
        <w:t>omparison</w:t>
      </w:r>
      <w:r w:rsidR="00AD6F23" w:rsidRPr="00240D66">
        <w:rPr>
          <w:rFonts w:asciiTheme="majorBidi" w:hAnsiTheme="majorBidi" w:cstheme="majorBidi"/>
          <w:sz w:val="24"/>
          <w:szCs w:val="24"/>
        </w:rPr>
        <w:t>, which I revisit in the conclusion</w:t>
      </w:r>
      <w:r w:rsidR="00AD7EBC" w:rsidRPr="00240D66">
        <w:rPr>
          <w:rFonts w:asciiTheme="majorBidi" w:hAnsiTheme="majorBidi" w:cstheme="majorBidi"/>
          <w:sz w:val="24"/>
          <w:szCs w:val="24"/>
        </w:rPr>
        <w:t>)</w:t>
      </w:r>
      <w:r w:rsidR="00AD6F23" w:rsidRPr="00240D66">
        <w:rPr>
          <w:rFonts w:asciiTheme="majorBidi" w:hAnsiTheme="majorBidi" w:cstheme="majorBidi"/>
          <w:sz w:val="24"/>
          <w:szCs w:val="24"/>
        </w:rPr>
        <w:t xml:space="preserve">. </w:t>
      </w:r>
      <w:r w:rsidR="00493450" w:rsidRPr="00240D66">
        <w:rPr>
          <w:rFonts w:asciiTheme="majorBidi" w:hAnsiTheme="majorBidi" w:cstheme="majorBidi"/>
          <w:sz w:val="24"/>
          <w:szCs w:val="24"/>
        </w:rPr>
        <w:t xml:space="preserve">Both </w:t>
      </w:r>
      <w:r w:rsidR="00AD7EBC" w:rsidRPr="00240D66">
        <w:rPr>
          <w:rFonts w:asciiTheme="majorBidi" w:hAnsiTheme="majorBidi" w:cstheme="majorBidi"/>
          <w:sz w:val="24"/>
          <w:szCs w:val="24"/>
        </w:rPr>
        <w:t>were established</w:t>
      </w:r>
      <w:r w:rsidR="00493450" w:rsidRPr="00240D66">
        <w:rPr>
          <w:rFonts w:asciiTheme="majorBidi" w:hAnsiTheme="majorBidi" w:cstheme="majorBidi"/>
          <w:sz w:val="24"/>
          <w:szCs w:val="24"/>
        </w:rPr>
        <w:t xml:space="preserve"> </w:t>
      </w:r>
      <w:r w:rsidR="009F036D" w:rsidRPr="00240D66">
        <w:rPr>
          <w:rFonts w:asciiTheme="majorBidi" w:hAnsiTheme="majorBidi" w:cstheme="majorBidi"/>
          <w:sz w:val="24"/>
          <w:szCs w:val="24"/>
        </w:rPr>
        <w:t>during the first term of the New Labour</w:t>
      </w:r>
      <w:r w:rsidR="00AE02AA" w:rsidRPr="00240D66">
        <w:rPr>
          <w:rFonts w:asciiTheme="majorBidi" w:hAnsiTheme="majorBidi" w:cstheme="majorBidi"/>
          <w:sz w:val="24"/>
          <w:szCs w:val="24"/>
        </w:rPr>
        <w:t xml:space="preserve"> government. </w:t>
      </w:r>
      <w:r w:rsidR="004C745C" w:rsidRPr="00240D66">
        <w:rPr>
          <w:rFonts w:asciiTheme="majorBidi" w:hAnsiTheme="majorBidi" w:cstheme="majorBidi"/>
          <w:sz w:val="24"/>
          <w:szCs w:val="24"/>
        </w:rPr>
        <w:t xml:space="preserve">Both bodies also emerged in similar circumstances of high-profile crisis in the mid-1990s, as boundary problems emerged across the spheres of </w:t>
      </w:r>
      <w:r w:rsidR="00443F1F" w:rsidRPr="00240D66">
        <w:rPr>
          <w:rFonts w:asciiTheme="majorBidi" w:hAnsiTheme="majorBidi" w:cstheme="majorBidi"/>
          <w:sz w:val="24"/>
          <w:szCs w:val="24"/>
        </w:rPr>
        <w:t>science, administration</w:t>
      </w:r>
      <w:r w:rsidR="004C745C" w:rsidRPr="00240D66">
        <w:rPr>
          <w:rFonts w:asciiTheme="majorBidi" w:hAnsiTheme="majorBidi" w:cstheme="majorBidi"/>
          <w:sz w:val="24"/>
          <w:szCs w:val="24"/>
        </w:rPr>
        <w:t>,</w:t>
      </w:r>
      <w:r w:rsidR="00443F1F" w:rsidRPr="00240D66">
        <w:rPr>
          <w:rFonts w:asciiTheme="majorBidi" w:hAnsiTheme="majorBidi" w:cstheme="majorBidi"/>
          <w:sz w:val="24"/>
          <w:szCs w:val="24"/>
        </w:rPr>
        <w:t xml:space="preserve"> industry</w:t>
      </w:r>
      <w:r w:rsidR="004C745C" w:rsidRPr="00240D66">
        <w:rPr>
          <w:rFonts w:asciiTheme="majorBidi" w:hAnsiTheme="majorBidi" w:cstheme="majorBidi"/>
          <w:sz w:val="24"/>
          <w:szCs w:val="24"/>
        </w:rPr>
        <w:t xml:space="preserve"> and politics. Both</w:t>
      </w:r>
      <w:r w:rsidR="009F036D" w:rsidRPr="00240D66">
        <w:rPr>
          <w:rFonts w:asciiTheme="majorBidi" w:hAnsiTheme="majorBidi" w:cstheme="majorBidi"/>
          <w:sz w:val="24"/>
          <w:szCs w:val="24"/>
        </w:rPr>
        <w:t xml:space="preserve"> have </w:t>
      </w:r>
      <w:r w:rsidR="004C745C" w:rsidRPr="00240D66">
        <w:rPr>
          <w:rFonts w:asciiTheme="majorBidi" w:hAnsiTheme="majorBidi" w:cstheme="majorBidi"/>
          <w:sz w:val="24"/>
          <w:szCs w:val="24"/>
        </w:rPr>
        <w:t xml:space="preserve">also </w:t>
      </w:r>
      <w:r w:rsidR="009F036D" w:rsidRPr="00240D66">
        <w:rPr>
          <w:rFonts w:asciiTheme="majorBidi" w:hAnsiTheme="majorBidi" w:cstheme="majorBidi"/>
          <w:sz w:val="24"/>
          <w:szCs w:val="24"/>
        </w:rPr>
        <w:t>shar</w:t>
      </w:r>
      <w:r w:rsidR="002E1D78" w:rsidRPr="00240D66">
        <w:rPr>
          <w:rFonts w:asciiTheme="majorBidi" w:hAnsiTheme="majorBidi" w:cstheme="majorBidi"/>
          <w:sz w:val="24"/>
          <w:szCs w:val="24"/>
        </w:rPr>
        <w:t>ed the same government sponsor</w:t>
      </w:r>
      <w:r w:rsidR="009F036D" w:rsidRPr="00240D66">
        <w:rPr>
          <w:rFonts w:asciiTheme="majorBidi" w:hAnsiTheme="majorBidi" w:cstheme="majorBidi"/>
          <w:sz w:val="24"/>
          <w:szCs w:val="24"/>
        </w:rPr>
        <w:t>, in the form of the Department of Health</w:t>
      </w:r>
      <w:r w:rsidR="004C745C" w:rsidRPr="00240D66">
        <w:rPr>
          <w:rFonts w:asciiTheme="majorBidi" w:hAnsiTheme="majorBidi" w:cstheme="majorBidi"/>
          <w:sz w:val="24"/>
          <w:szCs w:val="24"/>
        </w:rPr>
        <w:t>—a point</w:t>
      </w:r>
      <w:r w:rsidR="009F036D" w:rsidRPr="00240D66">
        <w:rPr>
          <w:rFonts w:asciiTheme="majorBidi" w:hAnsiTheme="majorBidi" w:cstheme="majorBidi"/>
          <w:sz w:val="24"/>
          <w:szCs w:val="24"/>
        </w:rPr>
        <w:t xml:space="preserve"> significant both because of the overlap in actors involved, and because recent research has also emphasised the importance of cultural </w:t>
      </w:r>
      <w:r w:rsidR="004C745C" w:rsidRPr="00240D66">
        <w:rPr>
          <w:rFonts w:asciiTheme="majorBidi" w:hAnsiTheme="majorBidi" w:cstheme="majorBidi"/>
          <w:sz w:val="24"/>
          <w:szCs w:val="24"/>
        </w:rPr>
        <w:t xml:space="preserve">features, </w:t>
      </w:r>
      <w:r w:rsidR="009F036D" w:rsidRPr="00240D66">
        <w:rPr>
          <w:rFonts w:asciiTheme="majorBidi" w:hAnsiTheme="majorBidi" w:cstheme="majorBidi"/>
          <w:sz w:val="24"/>
          <w:szCs w:val="24"/>
        </w:rPr>
        <w:t>understood i</w:t>
      </w:r>
      <w:r w:rsidR="009C590F" w:rsidRPr="00240D66">
        <w:rPr>
          <w:rFonts w:asciiTheme="majorBidi" w:hAnsiTheme="majorBidi" w:cstheme="majorBidi"/>
          <w:sz w:val="24"/>
          <w:szCs w:val="24"/>
        </w:rPr>
        <w:t>n sectoral as well as nation</w:t>
      </w:r>
      <w:r w:rsidR="004C745C" w:rsidRPr="00240D66">
        <w:rPr>
          <w:rFonts w:asciiTheme="majorBidi" w:hAnsiTheme="majorBidi" w:cstheme="majorBidi"/>
          <w:sz w:val="24"/>
          <w:szCs w:val="24"/>
        </w:rPr>
        <w:t xml:space="preserve">al terms, </w:t>
      </w:r>
      <w:r w:rsidR="009F036D" w:rsidRPr="00240D66">
        <w:rPr>
          <w:rFonts w:asciiTheme="majorBidi" w:hAnsiTheme="majorBidi" w:cstheme="majorBidi"/>
          <w:sz w:val="24"/>
          <w:szCs w:val="24"/>
        </w:rPr>
        <w:t>in influencing the manner in which boundary work manifests</w:t>
      </w:r>
      <w:r w:rsidR="002E1D78" w:rsidRPr="00240D66">
        <w:rPr>
          <w:rFonts w:asciiTheme="majorBidi" w:hAnsiTheme="majorBidi" w:cstheme="majorBidi"/>
          <w:sz w:val="24"/>
          <w:szCs w:val="24"/>
        </w:rPr>
        <w:t xml:space="preserve"> (eg. Hoppe </w:t>
      </w:r>
      <w:r w:rsidR="00542A75" w:rsidRPr="00240D66">
        <w:rPr>
          <w:rFonts w:asciiTheme="majorBidi" w:hAnsiTheme="majorBidi" w:cstheme="majorBidi"/>
          <w:sz w:val="24"/>
          <w:szCs w:val="24"/>
        </w:rPr>
        <w:t>et al.</w:t>
      </w:r>
      <w:r w:rsidR="002E1D78" w:rsidRPr="00240D66">
        <w:rPr>
          <w:rFonts w:asciiTheme="majorBidi" w:hAnsiTheme="majorBidi" w:cstheme="majorBidi"/>
          <w:sz w:val="24"/>
          <w:szCs w:val="24"/>
        </w:rPr>
        <w:t xml:space="preserve"> 2013)</w:t>
      </w:r>
      <w:r w:rsidR="009F036D" w:rsidRPr="00240D66">
        <w:rPr>
          <w:rFonts w:asciiTheme="majorBidi" w:hAnsiTheme="majorBidi" w:cstheme="majorBidi"/>
          <w:sz w:val="24"/>
          <w:szCs w:val="24"/>
        </w:rPr>
        <w:t>.</w:t>
      </w:r>
      <w:r w:rsidR="00F12B3B" w:rsidRPr="00240D66">
        <w:rPr>
          <w:rFonts w:asciiTheme="majorBidi" w:hAnsiTheme="majorBidi" w:cstheme="majorBidi"/>
          <w:sz w:val="24"/>
          <w:szCs w:val="24"/>
        </w:rPr>
        <w:t xml:space="preserve"> </w:t>
      </w:r>
      <w:r w:rsidR="002D5DC3" w:rsidRPr="00240D66">
        <w:rPr>
          <w:rFonts w:asciiTheme="majorBidi" w:hAnsiTheme="majorBidi" w:cstheme="majorBidi"/>
          <w:sz w:val="24"/>
          <w:szCs w:val="24"/>
        </w:rPr>
        <w:t xml:space="preserve">However, for all these similarities, </w:t>
      </w:r>
      <w:r w:rsidR="00AD7EBC" w:rsidRPr="00240D66">
        <w:rPr>
          <w:rFonts w:asciiTheme="majorBidi" w:hAnsiTheme="majorBidi" w:cstheme="majorBidi"/>
          <w:sz w:val="24"/>
          <w:szCs w:val="24"/>
        </w:rPr>
        <w:t xml:space="preserve">their stories are quite different: </w:t>
      </w:r>
      <w:r w:rsidR="002D5DC3" w:rsidRPr="00240D66">
        <w:rPr>
          <w:rFonts w:asciiTheme="majorBidi" w:hAnsiTheme="majorBidi" w:cstheme="majorBidi"/>
          <w:sz w:val="24"/>
          <w:szCs w:val="24"/>
        </w:rPr>
        <w:t>t</w:t>
      </w:r>
      <w:r w:rsidR="004C745C" w:rsidRPr="00240D66">
        <w:rPr>
          <w:rFonts w:asciiTheme="majorBidi" w:hAnsiTheme="majorBidi" w:cstheme="majorBidi"/>
          <w:sz w:val="24"/>
          <w:szCs w:val="24"/>
        </w:rPr>
        <w:t>he FSA’s powers have become slowly eroded, while NICE has gradually consolida</w:t>
      </w:r>
      <w:r w:rsidR="00DF3BB7" w:rsidRPr="00240D66">
        <w:rPr>
          <w:rFonts w:asciiTheme="majorBidi" w:hAnsiTheme="majorBidi" w:cstheme="majorBidi"/>
          <w:sz w:val="24"/>
          <w:szCs w:val="24"/>
        </w:rPr>
        <w:t>ted its position and influence</w:t>
      </w:r>
      <w:r w:rsidR="002D5DC3" w:rsidRPr="00240D66">
        <w:rPr>
          <w:rFonts w:asciiTheme="majorBidi" w:hAnsiTheme="majorBidi" w:cstheme="majorBidi"/>
          <w:sz w:val="24"/>
          <w:szCs w:val="24"/>
        </w:rPr>
        <w:t>.</w:t>
      </w:r>
      <w:r w:rsidR="00AD7EBC" w:rsidRPr="00240D66">
        <w:rPr>
          <w:rFonts w:asciiTheme="majorBidi" w:hAnsiTheme="majorBidi" w:cstheme="majorBidi"/>
          <w:sz w:val="24"/>
          <w:szCs w:val="24"/>
        </w:rPr>
        <w:t xml:space="preserve"> There is thus particular value in seeking to explain the</w:t>
      </w:r>
      <w:r w:rsidR="00B2486F" w:rsidRPr="00240D66">
        <w:rPr>
          <w:rFonts w:asciiTheme="majorBidi" w:hAnsiTheme="majorBidi" w:cstheme="majorBidi"/>
          <w:sz w:val="24"/>
          <w:szCs w:val="24"/>
        </w:rPr>
        <w:t>se</w:t>
      </w:r>
      <w:r w:rsidR="00AD7EBC" w:rsidRPr="00240D66">
        <w:rPr>
          <w:rFonts w:asciiTheme="majorBidi" w:hAnsiTheme="majorBidi" w:cstheme="majorBidi"/>
          <w:sz w:val="24"/>
          <w:szCs w:val="24"/>
        </w:rPr>
        <w:t xml:space="preserve"> contrasting</w:t>
      </w:r>
      <w:r w:rsidR="00B2486F" w:rsidRPr="00240D66">
        <w:rPr>
          <w:rFonts w:asciiTheme="majorBidi" w:hAnsiTheme="majorBidi" w:cstheme="majorBidi"/>
          <w:sz w:val="24"/>
          <w:szCs w:val="24"/>
        </w:rPr>
        <w:t xml:space="preserve"> trajectories</w:t>
      </w:r>
      <w:r w:rsidR="00AD7EBC" w:rsidRPr="00240D66">
        <w:rPr>
          <w:rFonts w:asciiTheme="majorBidi" w:hAnsiTheme="majorBidi" w:cstheme="majorBidi"/>
          <w:sz w:val="24"/>
          <w:szCs w:val="24"/>
        </w:rPr>
        <w:t xml:space="preserve">. </w:t>
      </w:r>
    </w:p>
    <w:p w:rsidR="005E4014" w:rsidRPr="00240D66" w:rsidRDefault="00D619A4"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The</w:t>
      </w:r>
      <w:r w:rsidR="005E4014" w:rsidRPr="00240D66">
        <w:rPr>
          <w:rFonts w:asciiTheme="majorBidi" w:hAnsiTheme="majorBidi" w:cstheme="majorBidi"/>
          <w:sz w:val="24"/>
          <w:szCs w:val="24"/>
        </w:rPr>
        <w:t xml:space="preserve"> </w:t>
      </w:r>
      <w:r w:rsidR="00BF0D16" w:rsidRPr="00240D66">
        <w:rPr>
          <w:rFonts w:asciiTheme="majorBidi" w:hAnsiTheme="majorBidi" w:cstheme="majorBidi"/>
          <w:sz w:val="24"/>
          <w:szCs w:val="24"/>
        </w:rPr>
        <w:t xml:space="preserve">analysis </w:t>
      </w:r>
      <w:r w:rsidRPr="00240D66">
        <w:rPr>
          <w:rFonts w:asciiTheme="majorBidi" w:hAnsiTheme="majorBidi" w:cstheme="majorBidi"/>
          <w:sz w:val="24"/>
          <w:szCs w:val="24"/>
        </w:rPr>
        <w:t xml:space="preserve">is based </w:t>
      </w:r>
      <w:r w:rsidR="00821DCE" w:rsidRPr="00240D66">
        <w:rPr>
          <w:rFonts w:asciiTheme="majorBidi" w:hAnsiTheme="majorBidi" w:cstheme="majorBidi"/>
          <w:sz w:val="24"/>
          <w:szCs w:val="24"/>
        </w:rPr>
        <w:t xml:space="preserve">primarily on </w:t>
      </w:r>
      <w:r w:rsidR="00BF0D16" w:rsidRPr="00240D66">
        <w:rPr>
          <w:rFonts w:asciiTheme="majorBidi" w:hAnsiTheme="majorBidi" w:cstheme="majorBidi"/>
          <w:sz w:val="24"/>
          <w:szCs w:val="24"/>
        </w:rPr>
        <w:t>archival</w:t>
      </w:r>
      <w:r w:rsidR="00821DCE" w:rsidRPr="00240D66">
        <w:rPr>
          <w:rFonts w:asciiTheme="majorBidi" w:hAnsiTheme="majorBidi" w:cstheme="majorBidi"/>
          <w:sz w:val="24"/>
          <w:szCs w:val="24"/>
        </w:rPr>
        <w:t xml:space="preserve"> material</w:t>
      </w:r>
      <w:r w:rsidR="00BF0D16" w:rsidRPr="00240D66">
        <w:rPr>
          <w:rFonts w:asciiTheme="majorBidi" w:hAnsiTheme="majorBidi" w:cstheme="majorBidi"/>
          <w:sz w:val="24"/>
          <w:szCs w:val="24"/>
        </w:rPr>
        <w:t xml:space="preserve"> in the form of documentation, including </w:t>
      </w:r>
      <w:r w:rsidR="005E4014" w:rsidRPr="00240D66">
        <w:rPr>
          <w:rFonts w:asciiTheme="majorBidi" w:hAnsiTheme="majorBidi" w:cstheme="majorBidi"/>
          <w:sz w:val="24"/>
          <w:szCs w:val="24"/>
        </w:rPr>
        <w:t xml:space="preserve">internal reports, </w:t>
      </w:r>
      <w:r w:rsidR="00BF0D16" w:rsidRPr="00240D66">
        <w:rPr>
          <w:rFonts w:asciiTheme="majorBidi" w:hAnsiTheme="majorBidi" w:cstheme="majorBidi"/>
          <w:sz w:val="24"/>
          <w:szCs w:val="24"/>
        </w:rPr>
        <w:t>Parliamentary reviews of both institution</w:t>
      </w:r>
      <w:r w:rsidR="005E4014" w:rsidRPr="00240D66">
        <w:rPr>
          <w:rFonts w:asciiTheme="majorBidi" w:hAnsiTheme="majorBidi" w:cstheme="majorBidi"/>
          <w:sz w:val="24"/>
          <w:szCs w:val="24"/>
        </w:rPr>
        <w:t>s</w:t>
      </w:r>
      <w:r w:rsidR="00037851" w:rsidRPr="00240D66">
        <w:rPr>
          <w:rFonts w:asciiTheme="majorBidi" w:hAnsiTheme="majorBidi" w:cstheme="majorBidi"/>
          <w:sz w:val="24"/>
          <w:szCs w:val="24"/>
        </w:rPr>
        <w:t xml:space="preserve"> and government responses</w:t>
      </w:r>
      <w:r w:rsidR="005E4014" w:rsidRPr="00240D66">
        <w:rPr>
          <w:rFonts w:asciiTheme="majorBidi" w:hAnsiTheme="majorBidi" w:cstheme="majorBidi"/>
          <w:sz w:val="24"/>
          <w:szCs w:val="24"/>
        </w:rPr>
        <w:t xml:space="preserve">, and newspaper coverage in </w:t>
      </w:r>
      <w:r w:rsidR="00911F09" w:rsidRPr="00240D66">
        <w:rPr>
          <w:rFonts w:asciiTheme="majorBidi" w:hAnsiTheme="majorBidi" w:cstheme="majorBidi"/>
          <w:i/>
          <w:iCs/>
          <w:sz w:val="24"/>
          <w:szCs w:val="24"/>
        </w:rPr>
        <w:t>The Guardian</w:t>
      </w:r>
      <w:r w:rsidR="00911F09" w:rsidRPr="00240D66">
        <w:rPr>
          <w:rFonts w:asciiTheme="majorBidi" w:hAnsiTheme="majorBidi" w:cstheme="majorBidi"/>
          <w:sz w:val="24"/>
          <w:szCs w:val="24"/>
        </w:rPr>
        <w:t xml:space="preserve"> and</w:t>
      </w:r>
      <w:r w:rsidR="00037851" w:rsidRPr="00240D66">
        <w:rPr>
          <w:rFonts w:asciiTheme="majorBidi" w:hAnsiTheme="majorBidi" w:cstheme="majorBidi"/>
          <w:sz w:val="24"/>
          <w:szCs w:val="24"/>
        </w:rPr>
        <w:t xml:space="preserve"> </w:t>
      </w:r>
      <w:r w:rsidR="00037851" w:rsidRPr="00240D66">
        <w:rPr>
          <w:rFonts w:asciiTheme="majorBidi" w:hAnsiTheme="majorBidi" w:cstheme="majorBidi"/>
          <w:i/>
          <w:iCs/>
          <w:sz w:val="24"/>
          <w:szCs w:val="24"/>
        </w:rPr>
        <w:t>The Telegraph</w:t>
      </w:r>
      <w:r w:rsidR="00037851" w:rsidRPr="00240D66">
        <w:rPr>
          <w:rFonts w:asciiTheme="majorBidi" w:hAnsiTheme="majorBidi" w:cstheme="majorBidi"/>
          <w:sz w:val="24"/>
          <w:szCs w:val="24"/>
        </w:rPr>
        <w:t xml:space="preserve"> (in practice this totalled over 100 documents in relation to each case). </w:t>
      </w:r>
      <w:r w:rsidRPr="00240D66">
        <w:rPr>
          <w:rFonts w:asciiTheme="majorBidi" w:hAnsiTheme="majorBidi" w:cstheme="majorBidi"/>
          <w:sz w:val="24"/>
          <w:szCs w:val="24"/>
        </w:rPr>
        <w:t>It also</w:t>
      </w:r>
      <w:r w:rsidR="005E4014" w:rsidRPr="00240D66">
        <w:rPr>
          <w:rFonts w:asciiTheme="majorBidi" w:hAnsiTheme="majorBidi" w:cstheme="majorBidi"/>
          <w:sz w:val="24"/>
          <w:szCs w:val="24"/>
        </w:rPr>
        <w:t xml:space="preserve"> draw</w:t>
      </w:r>
      <w:r w:rsidRPr="00240D66">
        <w:rPr>
          <w:rFonts w:asciiTheme="majorBidi" w:hAnsiTheme="majorBidi" w:cstheme="majorBidi"/>
          <w:sz w:val="24"/>
          <w:szCs w:val="24"/>
        </w:rPr>
        <w:t>s</w:t>
      </w:r>
      <w:r w:rsidR="005E4014" w:rsidRPr="00240D66">
        <w:rPr>
          <w:rFonts w:asciiTheme="majorBidi" w:hAnsiTheme="majorBidi" w:cstheme="majorBidi"/>
          <w:sz w:val="24"/>
          <w:szCs w:val="24"/>
        </w:rPr>
        <w:t xml:space="preserve"> on extensive video archives of the board meetings of the FSA</w:t>
      </w:r>
      <w:r w:rsidR="00464A27" w:rsidRPr="00240D66">
        <w:rPr>
          <w:rFonts w:asciiTheme="majorBidi" w:hAnsiTheme="majorBidi" w:cstheme="majorBidi"/>
          <w:sz w:val="24"/>
          <w:szCs w:val="24"/>
        </w:rPr>
        <w:t xml:space="preserve"> between 2004</w:t>
      </w:r>
      <w:r w:rsidR="00443F1F" w:rsidRPr="00240D66">
        <w:rPr>
          <w:rFonts w:asciiTheme="majorBidi" w:hAnsiTheme="majorBidi" w:cstheme="majorBidi"/>
          <w:sz w:val="24"/>
          <w:szCs w:val="24"/>
        </w:rPr>
        <w:t xml:space="preserve"> and 2013 (around 25 hours of footage)</w:t>
      </w:r>
      <w:r w:rsidR="005E4014" w:rsidRPr="00240D66">
        <w:rPr>
          <w:rFonts w:asciiTheme="majorBidi" w:hAnsiTheme="majorBidi" w:cstheme="majorBidi"/>
          <w:sz w:val="24"/>
          <w:szCs w:val="24"/>
        </w:rPr>
        <w:t>.</w:t>
      </w:r>
      <w:r w:rsidR="00BF0D16" w:rsidRPr="00240D66">
        <w:rPr>
          <w:rFonts w:asciiTheme="majorBidi" w:hAnsiTheme="majorBidi" w:cstheme="majorBidi"/>
          <w:sz w:val="24"/>
          <w:szCs w:val="24"/>
        </w:rPr>
        <w:t xml:space="preserve"> Though not directly related, </w:t>
      </w:r>
      <w:r w:rsidR="00D539A4" w:rsidRPr="00240D66">
        <w:rPr>
          <w:rFonts w:asciiTheme="majorBidi" w:hAnsiTheme="majorBidi" w:cstheme="majorBidi"/>
          <w:sz w:val="24"/>
          <w:szCs w:val="24"/>
        </w:rPr>
        <w:t xml:space="preserve">insights </w:t>
      </w:r>
      <w:r w:rsidR="00BF0D16" w:rsidRPr="00240D66">
        <w:rPr>
          <w:rFonts w:asciiTheme="majorBidi" w:hAnsiTheme="majorBidi" w:cstheme="majorBidi"/>
          <w:sz w:val="24"/>
          <w:szCs w:val="24"/>
        </w:rPr>
        <w:t xml:space="preserve">are informed by interviews with a handful of officials, scientists, charity and food industry representatives from </w:t>
      </w:r>
      <w:r w:rsidR="00D539A4" w:rsidRPr="00240D66">
        <w:rPr>
          <w:rFonts w:asciiTheme="majorBidi" w:hAnsiTheme="majorBidi" w:cstheme="majorBidi"/>
          <w:sz w:val="24"/>
          <w:szCs w:val="24"/>
        </w:rPr>
        <w:t>a previous qualitative project on the UK’s obesity politics</w:t>
      </w:r>
      <w:r w:rsidR="002B0948" w:rsidRPr="00240D66">
        <w:rPr>
          <w:rFonts w:asciiTheme="majorBidi" w:hAnsiTheme="majorBidi" w:cstheme="majorBidi"/>
          <w:sz w:val="24"/>
          <w:szCs w:val="24"/>
        </w:rPr>
        <w:t xml:space="preserve"> (see </w:t>
      </w:r>
      <w:r w:rsidR="00240D66">
        <w:rPr>
          <w:rFonts w:asciiTheme="majorBidi" w:hAnsiTheme="majorBidi" w:cstheme="majorBidi"/>
          <w:sz w:val="24"/>
          <w:szCs w:val="24"/>
        </w:rPr>
        <w:t>Boswell 2016</w:t>
      </w:r>
      <w:r w:rsidR="002B0948" w:rsidRPr="00240D66">
        <w:rPr>
          <w:rFonts w:asciiTheme="majorBidi" w:hAnsiTheme="majorBidi" w:cstheme="majorBidi"/>
          <w:sz w:val="24"/>
          <w:szCs w:val="24"/>
        </w:rPr>
        <w:t>)</w:t>
      </w:r>
      <w:r w:rsidR="005E4014" w:rsidRPr="00240D66">
        <w:rPr>
          <w:rFonts w:asciiTheme="majorBidi" w:hAnsiTheme="majorBidi" w:cstheme="majorBidi"/>
          <w:sz w:val="24"/>
          <w:szCs w:val="24"/>
        </w:rPr>
        <w:t>—a project</w:t>
      </w:r>
      <w:r w:rsidR="00404CAE" w:rsidRPr="00240D66">
        <w:rPr>
          <w:rFonts w:asciiTheme="majorBidi" w:hAnsiTheme="majorBidi" w:cstheme="majorBidi"/>
          <w:sz w:val="24"/>
          <w:szCs w:val="24"/>
        </w:rPr>
        <w:t xml:space="preserve"> </w:t>
      </w:r>
      <w:r w:rsidR="00D539A4" w:rsidRPr="00240D66">
        <w:rPr>
          <w:rFonts w:asciiTheme="majorBidi" w:hAnsiTheme="majorBidi" w:cstheme="majorBidi"/>
          <w:sz w:val="24"/>
          <w:szCs w:val="24"/>
        </w:rPr>
        <w:t>which intersected with both agencies</w:t>
      </w:r>
      <w:r w:rsidR="005E4014" w:rsidRPr="00240D66">
        <w:rPr>
          <w:rFonts w:asciiTheme="majorBidi" w:hAnsiTheme="majorBidi" w:cstheme="majorBidi"/>
          <w:sz w:val="24"/>
          <w:szCs w:val="24"/>
        </w:rPr>
        <w:t>.</w:t>
      </w:r>
    </w:p>
    <w:p w:rsidR="00FB618A" w:rsidRPr="00240D66" w:rsidRDefault="00D619A4"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T</w:t>
      </w:r>
      <w:r w:rsidR="005E4014" w:rsidRPr="00240D66">
        <w:rPr>
          <w:rFonts w:asciiTheme="majorBidi" w:hAnsiTheme="majorBidi" w:cstheme="majorBidi"/>
          <w:sz w:val="24"/>
          <w:szCs w:val="24"/>
        </w:rPr>
        <w:t xml:space="preserve">hese complex institutional stories </w:t>
      </w:r>
      <w:r w:rsidRPr="00240D66">
        <w:rPr>
          <w:rFonts w:asciiTheme="majorBidi" w:hAnsiTheme="majorBidi" w:cstheme="majorBidi"/>
          <w:sz w:val="24"/>
          <w:szCs w:val="24"/>
        </w:rPr>
        <w:t>ar</w:t>
      </w:r>
      <w:r w:rsidR="008E4BBC" w:rsidRPr="00240D66">
        <w:rPr>
          <w:rFonts w:asciiTheme="majorBidi" w:hAnsiTheme="majorBidi" w:cstheme="majorBidi"/>
          <w:sz w:val="24"/>
          <w:szCs w:val="24"/>
        </w:rPr>
        <w:t>e analysed using the framework developed earlier</w:t>
      </w:r>
      <w:r w:rsidR="005E4014" w:rsidRPr="00240D66">
        <w:rPr>
          <w:rFonts w:asciiTheme="majorBidi" w:hAnsiTheme="majorBidi" w:cstheme="majorBidi"/>
          <w:sz w:val="24"/>
          <w:szCs w:val="24"/>
        </w:rPr>
        <w:t xml:space="preserve">. </w:t>
      </w:r>
      <w:r w:rsidRPr="00240D66">
        <w:rPr>
          <w:rFonts w:asciiTheme="majorBidi" w:hAnsiTheme="majorBidi" w:cstheme="majorBidi"/>
          <w:sz w:val="24"/>
          <w:szCs w:val="24"/>
        </w:rPr>
        <w:t xml:space="preserve">The </w:t>
      </w:r>
      <w:r w:rsidR="00FA1FC9" w:rsidRPr="00240D66">
        <w:rPr>
          <w:rFonts w:asciiTheme="majorBidi" w:hAnsiTheme="majorBidi" w:cstheme="majorBidi"/>
          <w:sz w:val="24"/>
          <w:szCs w:val="24"/>
        </w:rPr>
        <w:t>analysis focused on</w:t>
      </w:r>
      <w:r w:rsidR="005E4014" w:rsidRPr="00240D66">
        <w:rPr>
          <w:rFonts w:asciiTheme="majorBidi" w:hAnsiTheme="majorBidi" w:cstheme="majorBidi"/>
          <w:sz w:val="24"/>
          <w:szCs w:val="24"/>
        </w:rPr>
        <w:t xml:space="preserve"> the emergence of </w:t>
      </w:r>
      <w:r w:rsidR="005E4014" w:rsidRPr="00240D66">
        <w:rPr>
          <w:rFonts w:asciiTheme="majorBidi" w:hAnsiTheme="majorBidi" w:cstheme="majorBidi"/>
          <w:i/>
          <w:iCs/>
          <w:sz w:val="24"/>
          <w:szCs w:val="24"/>
        </w:rPr>
        <w:t>boundary problems</w:t>
      </w:r>
      <w:r w:rsidR="005E4014" w:rsidRPr="00240D66">
        <w:rPr>
          <w:rFonts w:asciiTheme="majorBidi" w:hAnsiTheme="majorBidi" w:cstheme="majorBidi"/>
          <w:sz w:val="24"/>
          <w:szCs w:val="24"/>
        </w:rPr>
        <w:t xml:space="preserve"> which instigated the establishment of the two bodies. </w:t>
      </w:r>
      <w:r w:rsidR="00FA1FC9" w:rsidRPr="00240D66">
        <w:rPr>
          <w:rFonts w:asciiTheme="majorBidi" w:hAnsiTheme="majorBidi" w:cstheme="majorBidi"/>
          <w:sz w:val="24"/>
          <w:szCs w:val="24"/>
        </w:rPr>
        <w:t>It then</w:t>
      </w:r>
      <w:r w:rsidR="005E4014" w:rsidRPr="00240D66">
        <w:rPr>
          <w:rFonts w:asciiTheme="majorBidi" w:hAnsiTheme="majorBidi" w:cstheme="majorBidi"/>
          <w:sz w:val="24"/>
          <w:szCs w:val="24"/>
        </w:rPr>
        <w:t xml:space="preserve"> identif</w:t>
      </w:r>
      <w:r w:rsidRPr="00240D66">
        <w:rPr>
          <w:rFonts w:asciiTheme="majorBidi" w:hAnsiTheme="majorBidi" w:cstheme="majorBidi"/>
          <w:sz w:val="24"/>
          <w:szCs w:val="24"/>
        </w:rPr>
        <w:t>ies</w:t>
      </w:r>
      <w:r w:rsidR="005E4014" w:rsidRPr="00240D66">
        <w:rPr>
          <w:rFonts w:asciiTheme="majorBidi" w:hAnsiTheme="majorBidi" w:cstheme="majorBidi"/>
          <w:sz w:val="24"/>
          <w:szCs w:val="24"/>
        </w:rPr>
        <w:t xml:space="preserve"> the</w:t>
      </w:r>
      <w:r w:rsidR="00527524" w:rsidRPr="00240D66">
        <w:rPr>
          <w:rFonts w:asciiTheme="majorBidi" w:hAnsiTheme="majorBidi" w:cstheme="majorBidi"/>
          <w:sz w:val="24"/>
          <w:szCs w:val="24"/>
        </w:rPr>
        <w:t xml:space="preserve"> performances</w:t>
      </w:r>
      <w:r w:rsidR="005E4014" w:rsidRPr="00240D66">
        <w:rPr>
          <w:rFonts w:asciiTheme="majorBidi" w:hAnsiTheme="majorBidi" w:cstheme="majorBidi"/>
          <w:sz w:val="24"/>
          <w:szCs w:val="24"/>
        </w:rPr>
        <w:t xml:space="preserve"> of </w:t>
      </w:r>
      <w:r w:rsidR="005E4014" w:rsidRPr="00240D66">
        <w:rPr>
          <w:rFonts w:asciiTheme="majorBidi" w:hAnsiTheme="majorBidi" w:cstheme="majorBidi"/>
          <w:i/>
          <w:iCs/>
          <w:sz w:val="24"/>
          <w:szCs w:val="24"/>
        </w:rPr>
        <w:t xml:space="preserve">demarcation </w:t>
      </w:r>
      <w:r w:rsidR="005E4014" w:rsidRPr="00240D66">
        <w:rPr>
          <w:rFonts w:asciiTheme="majorBidi" w:hAnsiTheme="majorBidi" w:cstheme="majorBidi"/>
          <w:sz w:val="24"/>
          <w:szCs w:val="24"/>
        </w:rPr>
        <w:t xml:space="preserve">which </w:t>
      </w:r>
      <w:r w:rsidR="00527524" w:rsidRPr="00240D66">
        <w:rPr>
          <w:rFonts w:asciiTheme="majorBidi" w:hAnsiTheme="majorBidi" w:cstheme="majorBidi"/>
          <w:sz w:val="24"/>
          <w:szCs w:val="24"/>
        </w:rPr>
        <w:t>enable</w:t>
      </w:r>
      <w:r w:rsidR="005E4014" w:rsidRPr="00240D66">
        <w:rPr>
          <w:rFonts w:asciiTheme="majorBidi" w:hAnsiTheme="majorBidi" w:cstheme="majorBidi"/>
          <w:sz w:val="24"/>
          <w:szCs w:val="24"/>
        </w:rPr>
        <w:t xml:space="preserve"> the institutions </w:t>
      </w:r>
      <w:r w:rsidR="00527524" w:rsidRPr="00240D66">
        <w:rPr>
          <w:rFonts w:asciiTheme="majorBidi" w:hAnsiTheme="majorBidi" w:cstheme="majorBidi"/>
          <w:sz w:val="24"/>
          <w:szCs w:val="24"/>
        </w:rPr>
        <w:t xml:space="preserve">to </w:t>
      </w:r>
      <w:r w:rsidR="005E4014" w:rsidRPr="00240D66">
        <w:rPr>
          <w:rFonts w:asciiTheme="majorBidi" w:hAnsiTheme="majorBidi" w:cstheme="majorBidi"/>
          <w:sz w:val="24"/>
          <w:szCs w:val="24"/>
        </w:rPr>
        <w:t xml:space="preserve">come into being. </w:t>
      </w:r>
      <w:r w:rsidRPr="00240D66">
        <w:rPr>
          <w:rFonts w:asciiTheme="majorBidi" w:hAnsiTheme="majorBidi" w:cstheme="majorBidi"/>
          <w:sz w:val="24"/>
          <w:szCs w:val="24"/>
        </w:rPr>
        <w:t>M</w:t>
      </w:r>
      <w:r w:rsidR="005E4014" w:rsidRPr="00240D66">
        <w:rPr>
          <w:rFonts w:asciiTheme="majorBidi" w:hAnsiTheme="majorBidi" w:cstheme="majorBidi"/>
          <w:sz w:val="24"/>
          <w:szCs w:val="24"/>
        </w:rPr>
        <w:t xml:space="preserve">ost attention, however, </w:t>
      </w:r>
      <w:r w:rsidRPr="00240D66">
        <w:rPr>
          <w:rFonts w:asciiTheme="majorBidi" w:hAnsiTheme="majorBidi" w:cstheme="majorBidi"/>
          <w:sz w:val="24"/>
          <w:szCs w:val="24"/>
        </w:rPr>
        <w:t xml:space="preserve">is focused </w:t>
      </w:r>
      <w:r w:rsidR="005E4014" w:rsidRPr="00240D66">
        <w:rPr>
          <w:rFonts w:asciiTheme="majorBidi" w:hAnsiTheme="majorBidi" w:cstheme="majorBidi"/>
          <w:sz w:val="24"/>
          <w:szCs w:val="24"/>
        </w:rPr>
        <w:t xml:space="preserve">on the </w:t>
      </w:r>
      <w:r w:rsidR="008D0F71" w:rsidRPr="00240D66">
        <w:rPr>
          <w:rFonts w:asciiTheme="majorBidi" w:hAnsiTheme="majorBidi" w:cstheme="majorBidi"/>
          <w:sz w:val="24"/>
          <w:szCs w:val="24"/>
        </w:rPr>
        <w:t>mod</w:t>
      </w:r>
      <w:r w:rsidR="005E4014" w:rsidRPr="00240D66">
        <w:rPr>
          <w:rFonts w:asciiTheme="majorBidi" w:hAnsiTheme="majorBidi" w:cstheme="majorBidi"/>
          <w:sz w:val="24"/>
          <w:szCs w:val="24"/>
        </w:rPr>
        <w:t xml:space="preserve">es of </w:t>
      </w:r>
      <w:r w:rsidR="005E4014" w:rsidRPr="00240D66">
        <w:rPr>
          <w:rFonts w:asciiTheme="majorBidi" w:hAnsiTheme="majorBidi" w:cstheme="majorBidi"/>
          <w:i/>
          <w:iCs/>
          <w:sz w:val="24"/>
          <w:szCs w:val="24"/>
        </w:rPr>
        <w:t>coo</w:t>
      </w:r>
      <w:r w:rsidR="002E1D78" w:rsidRPr="00240D66">
        <w:rPr>
          <w:rFonts w:asciiTheme="majorBidi" w:hAnsiTheme="majorBidi" w:cstheme="majorBidi"/>
          <w:i/>
          <w:iCs/>
          <w:sz w:val="24"/>
          <w:szCs w:val="24"/>
        </w:rPr>
        <w:t>rdin</w:t>
      </w:r>
      <w:r w:rsidR="005E4014" w:rsidRPr="00240D66">
        <w:rPr>
          <w:rFonts w:asciiTheme="majorBidi" w:hAnsiTheme="majorBidi" w:cstheme="majorBidi"/>
          <w:i/>
          <w:iCs/>
          <w:sz w:val="24"/>
          <w:szCs w:val="24"/>
        </w:rPr>
        <w:t>ation</w:t>
      </w:r>
      <w:r w:rsidR="005E4014" w:rsidRPr="00240D66">
        <w:rPr>
          <w:rFonts w:asciiTheme="majorBidi" w:hAnsiTheme="majorBidi" w:cstheme="majorBidi"/>
          <w:sz w:val="24"/>
          <w:szCs w:val="24"/>
        </w:rPr>
        <w:t xml:space="preserve"> that these institutions </w:t>
      </w:r>
      <w:r w:rsidR="00527524" w:rsidRPr="00240D66">
        <w:rPr>
          <w:rFonts w:asciiTheme="majorBidi" w:hAnsiTheme="majorBidi" w:cstheme="majorBidi"/>
          <w:sz w:val="24"/>
          <w:szCs w:val="24"/>
        </w:rPr>
        <w:t xml:space="preserve">subsequently </w:t>
      </w:r>
      <w:r w:rsidR="00DF3BB7" w:rsidRPr="00240D66">
        <w:rPr>
          <w:rFonts w:asciiTheme="majorBidi" w:hAnsiTheme="majorBidi" w:cstheme="majorBidi"/>
          <w:sz w:val="24"/>
          <w:szCs w:val="24"/>
        </w:rPr>
        <w:t>perform</w:t>
      </w:r>
      <w:r w:rsidR="005E4014" w:rsidRPr="00240D66">
        <w:rPr>
          <w:rFonts w:asciiTheme="majorBidi" w:hAnsiTheme="majorBidi" w:cstheme="majorBidi"/>
          <w:sz w:val="24"/>
          <w:szCs w:val="24"/>
        </w:rPr>
        <w:t xml:space="preserve"> to maintain the boundaries between distinct spheres. </w:t>
      </w:r>
    </w:p>
    <w:p w:rsidR="00FB618A" w:rsidRPr="00240D66" w:rsidRDefault="00FB618A" w:rsidP="00240D66">
      <w:pPr>
        <w:spacing w:line="360" w:lineRule="auto"/>
        <w:rPr>
          <w:rFonts w:asciiTheme="majorBidi" w:hAnsiTheme="majorBidi" w:cstheme="majorBidi"/>
          <w:sz w:val="24"/>
          <w:szCs w:val="24"/>
        </w:rPr>
      </w:pPr>
    </w:p>
    <w:p w:rsidR="00E41059" w:rsidRPr="00240D66" w:rsidRDefault="00BF29F1" w:rsidP="00240D66">
      <w:pPr>
        <w:spacing w:line="360" w:lineRule="auto"/>
        <w:rPr>
          <w:rFonts w:asciiTheme="majorBidi" w:hAnsiTheme="majorBidi" w:cstheme="majorBidi"/>
          <w:i/>
          <w:iCs/>
          <w:sz w:val="24"/>
          <w:szCs w:val="24"/>
        </w:rPr>
      </w:pPr>
      <w:r w:rsidRPr="00240D66">
        <w:rPr>
          <w:rFonts w:asciiTheme="majorBidi" w:hAnsiTheme="majorBidi" w:cstheme="majorBidi"/>
          <w:b/>
          <w:bCs/>
          <w:sz w:val="24"/>
          <w:szCs w:val="24"/>
        </w:rPr>
        <w:t>The F</w:t>
      </w:r>
      <w:r w:rsidR="005B215C" w:rsidRPr="00240D66">
        <w:rPr>
          <w:rFonts w:asciiTheme="majorBidi" w:hAnsiTheme="majorBidi" w:cstheme="majorBidi"/>
          <w:b/>
          <w:bCs/>
          <w:sz w:val="24"/>
          <w:szCs w:val="24"/>
        </w:rPr>
        <w:t xml:space="preserve">ood </w:t>
      </w:r>
      <w:r w:rsidRPr="00240D66">
        <w:rPr>
          <w:rFonts w:asciiTheme="majorBidi" w:hAnsiTheme="majorBidi" w:cstheme="majorBidi"/>
          <w:b/>
          <w:bCs/>
          <w:sz w:val="24"/>
          <w:szCs w:val="24"/>
        </w:rPr>
        <w:t>S</w:t>
      </w:r>
      <w:r w:rsidR="005B215C" w:rsidRPr="00240D66">
        <w:rPr>
          <w:rFonts w:asciiTheme="majorBidi" w:hAnsiTheme="majorBidi" w:cstheme="majorBidi"/>
          <w:b/>
          <w:bCs/>
          <w:sz w:val="24"/>
          <w:szCs w:val="24"/>
        </w:rPr>
        <w:t xml:space="preserve">tandards </w:t>
      </w:r>
      <w:r w:rsidRPr="00240D66">
        <w:rPr>
          <w:rFonts w:asciiTheme="majorBidi" w:hAnsiTheme="majorBidi" w:cstheme="majorBidi"/>
          <w:b/>
          <w:bCs/>
          <w:sz w:val="24"/>
          <w:szCs w:val="24"/>
        </w:rPr>
        <w:t>A</w:t>
      </w:r>
      <w:r w:rsidR="005B215C" w:rsidRPr="00240D66">
        <w:rPr>
          <w:rFonts w:asciiTheme="majorBidi" w:hAnsiTheme="majorBidi" w:cstheme="majorBidi"/>
          <w:b/>
          <w:bCs/>
          <w:sz w:val="24"/>
          <w:szCs w:val="24"/>
        </w:rPr>
        <w:t>gency (FSA)</w:t>
      </w:r>
    </w:p>
    <w:p w:rsidR="001F3FCA" w:rsidRPr="00240D66" w:rsidRDefault="00E41059" w:rsidP="00240D66">
      <w:pPr>
        <w:spacing w:line="360" w:lineRule="auto"/>
        <w:rPr>
          <w:rFonts w:asciiTheme="majorBidi" w:hAnsiTheme="majorBidi" w:cstheme="majorBidi"/>
          <w:i/>
          <w:iCs/>
          <w:sz w:val="24"/>
          <w:szCs w:val="24"/>
        </w:rPr>
      </w:pPr>
      <w:r w:rsidRPr="00240D66">
        <w:rPr>
          <w:rFonts w:asciiTheme="majorBidi" w:hAnsiTheme="majorBidi" w:cstheme="majorBidi"/>
          <w:i/>
          <w:iCs/>
          <w:sz w:val="24"/>
          <w:szCs w:val="24"/>
        </w:rPr>
        <w:t xml:space="preserve">The emergence of </w:t>
      </w:r>
      <w:r w:rsidR="00D32DDE" w:rsidRPr="00240D66">
        <w:rPr>
          <w:rFonts w:asciiTheme="majorBidi" w:hAnsiTheme="majorBidi" w:cstheme="majorBidi"/>
          <w:i/>
          <w:iCs/>
          <w:sz w:val="24"/>
          <w:szCs w:val="24"/>
        </w:rPr>
        <w:t xml:space="preserve">a </w:t>
      </w:r>
      <w:r w:rsidRPr="00240D66">
        <w:rPr>
          <w:rFonts w:asciiTheme="majorBidi" w:hAnsiTheme="majorBidi" w:cstheme="majorBidi"/>
          <w:i/>
          <w:iCs/>
          <w:sz w:val="24"/>
          <w:szCs w:val="24"/>
        </w:rPr>
        <w:t>boundary problem</w:t>
      </w:r>
    </w:p>
    <w:p w:rsidR="00D32DDE" w:rsidRPr="00240D66" w:rsidRDefault="00D32DDE" w:rsidP="00240D66">
      <w:pPr>
        <w:spacing w:line="360" w:lineRule="auto"/>
        <w:ind w:left="720"/>
        <w:rPr>
          <w:rFonts w:asciiTheme="majorBidi" w:hAnsiTheme="majorBidi" w:cstheme="majorBidi"/>
          <w:i/>
          <w:iCs/>
          <w:sz w:val="24"/>
          <w:szCs w:val="24"/>
        </w:rPr>
      </w:pPr>
      <w:r w:rsidRPr="00240D66">
        <w:rPr>
          <w:rFonts w:asciiTheme="majorBidi" w:hAnsiTheme="majorBidi" w:cstheme="majorBidi"/>
          <w:sz w:val="24"/>
          <w:szCs w:val="24"/>
        </w:rPr>
        <w:t>The public has the right to expect the very highest standards of food safety. Confidence in the safety of the food we eat has been severely undermined in recent years and I am determined to rebuild that trust</w:t>
      </w:r>
      <w:r w:rsidRPr="00240D66">
        <w:rPr>
          <w:rFonts w:asciiTheme="majorBidi" w:hAnsiTheme="majorBidi" w:cstheme="majorBidi"/>
          <w:i/>
          <w:iCs/>
          <w:sz w:val="24"/>
          <w:szCs w:val="24"/>
        </w:rPr>
        <w:t xml:space="preserve"> </w:t>
      </w:r>
      <w:r w:rsidRPr="00240D66">
        <w:rPr>
          <w:rFonts w:asciiTheme="majorBidi" w:hAnsiTheme="majorBidi" w:cstheme="majorBidi"/>
          <w:sz w:val="24"/>
          <w:szCs w:val="24"/>
        </w:rPr>
        <w:t>(Tony Blair, May 1997).</w:t>
      </w:r>
    </w:p>
    <w:p w:rsidR="00A84040" w:rsidRPr="00240D66" w:rsidRDefault="009B11C3"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The FSA </w:t>
      </w:r>
      <w:r w:rsidR="001B15B1" w:rsidRPr="00240D66">
        <w:rPr>
          <w:rFonts w:asciiTheme="majorBidi" w:hAnsiTheme="majorBidi" w:cstheme="majorBidi"/>
          <w:sz w:val="24"/>
          <w:szCs w:val="24"/>
        </w:rPr>
        <w:t>emerged in the wake of food safety crise</w:t>
      </w:r>
      <w:r w:rsidR="00FB618A" w:rsidRPr="00240D66">
        <w:rPr>
          <w:rFonts w:asciiTheme="majorBidi" w:hAnsiTheme="majorBidi" w:cstheme="majorBidi"/>
          <w:sz w:val="24"/>
          <w:szCs w:val="24"/>
        </w:rPr>
        <w:t xml:space="preserve">s </w:t>
      </w:r>
      <w:r w:rsidR="001B15B1" w:rsidRPr="00240D66">
        <w:rPr>
          <w:rFonts w:asciiTheme="majorBidi" w:hAnsiTheme="majorBidi" w:cstheme="majorBidi"/>
          <w:sz w:val="24"/>
          <w:szCs w:val="24"/>
        </w:rPr>
        <w:t xml:space="preserve">in Britain in the 1990s, especially the </w:t>
      </w:r>
      <w:r w:rsidR="001B15B1" w:rsidRPr="00240D66">
        <w:rPr>
          <w:rFonts w:asciiTheme="majorBidi" w:hAnsiTheme="majorBidi" w:cstheme="majorBidi"/>
          <w:i/>
          <w:iCs/>
          <w:sz w:val="24"/>
          <w:szCs w:val="24"/>
        </w:rPr>
        <w:t xml:space="preserve">bovine spongiform encephalopathy </w:t>
      </w:r>
      <w:r w:rsidR="001B15B1" w:rsidRPr="00240D66">
        <w:rPr>
          <w:rFonts w:asciiTheme="majorBidi" w:hAnsiTheme="majorBidi" w:cstheme="majorBidi"/>
          <w:sz w:val="24"/>
          <w:szCs w:val="24"/>
        </w:rPr>
        <w:t xml:space="preserve">(BSE) scare affecting British </w:t>
      </w:r>
      <w:r w:rsidR="00997E69" w:rsidRPr="00240D66">
        <w:rPr>
          <w:rFonts w:asciiTheme="majorBidi" w:hAnsiTheme="majorBidi" w:cstheme="majorBidi"/>
          <w:sz w:val="24"/>
          <w:szCs w:val="24"/>
        </w:rPr>
        <w:t>cattle</w:t>
      </w:r>
      <w:r w:rsidR="001B15B1" w:rsidRPr="00240D66">
        <w:rPr>
          <w:rFonts w:asciiTheme="majorBidi" w:hAnsiTheme="majorBidi" w:cstheme="majorBidi"/>
          <w:sz w:val="24"/>
          <w:szCs w:val="24"/>
        </w:rPr>
        <w:t xml:space="preserve"> stock</w:t>
      </w:r>
      <w:r w:rsidRPr="00240D66">
        <w:rPr>
          <w:rFonts w:asciiTheme="majorBidi" w:hAnsiTheme="majorBidi" w:cstheme="majorBidi"/>
          <w:sz w:val="24"/>
          <w:szCs w:val="24"/>
        </w:rPr>
        <w:t>. The context was</w:t>
      </w:r>
      <w:r w:rsidR="00FB618A" w:rsidRPr="00240D66">
        <w:rPr>
          <w:rFonts w:asciiTheme="majorBidi" w:hAnsiTheme="majorBidi" w:cstheme="majorBidi"/>
          <w:sz w:val="24"/>
          <w:szCs w:val="24"/>
        </w:rPr>
        <w:t xml:space="preserve"> a </w:t>
      </w:r>
      <w:r w:rsidRPr="00240D66">
        <w:rPr>
          <w:rFonts w:asciiTheme="majorBidi" w:hAnsiTheme="majorBidi" w:cstheme="majorBidi"/>
          <w:sz w:val="24"/>
          <w:szCs w:val="24"/>
        </w:rPr>
        <w:t>messy political scandal</w:t>
      </w:r>
      <w:r w:rsidR="004C745C" w:rsidRPr="00240D66">
        <w:rPr>
          <w:rFonts w:asciiTheme="majorBidi" w:hAnsiTheme="majorBidi" w:cstheme="majorBidi"/>
          <w:sz w:val="24"/>
          <w:szCs w:val="24"/>
        </w:rPr>
        <w:t>, in which</w:t>
      </w:r>
      <w:r w:rsidR="00FB618A" w:rsidRPr="00240D66">
        <w:rPr>
          <w:rFonts w:asciiTheme="majorBidi" w:hAnsiTheme="majorBidi" w:cstheme="majorBidi"/>
          <w:sz w:val="24"/>
          <w:szCs w:val="24"/>
        </w:rPr>
        <w:t xml:space="preserve"> the </w:t>
      </w:r>
      <w:r w:rsidR="004C745C" w:rsidRPr="00240D66">
        <w:rPr>
          <w:rFonts w:asciiTheme="majorBidi" w:hAnsiTheme="majorBidi" w:cstheme="majorBidi"/>
          <w:sz w:val="24"/>
          <w:szCs w:val="24"/>
        </w:rPr>
        <w:t xml:space="preserve">cosy </w:t>
      </w:r>
      <w:r w:rsidR="00FB618A" w:rsidRPr="00240D66">
        <w:rPr>
          <w:rFonts w:asciiTheme="majorBidi" w:hAnsiTheme="majorBidi" w:cstheme="majorBidi"/>
          <w:sz w:val="24"/>
          <w:szCs w:val="24"/>
        </w:rPr>
        <w:t>relation</w:t>
      </w:r>
      <w:r w:rsidR="004C745C" w:rsidRPr="00240D66">
        <w:rPr>
          <w:rFonts w:asciiTheme="majorBidi" w:hAnsiTheme="majorBidi" w:cstheme="majorBidi"/>
          <w:sz w:val="24"/>
          <w:szCs w:val="24"/>
        </w:rPr>
        <w:t>ship between</w:t>
      </w:r>
      <w:r w:rsidR="00787831" w:rsidRPr="00240D66">
        <w:rPr>
          <w:rFonts w:asciiTheme="majorBidi" w:hAnsiTheme="majorBidi" w:cstheme="majorBidi"/>
          <w:sz w:val="24"/>
          <w:szCs w:val="24"/>
        </w:rPr>
        <w:t xml:space="preserve"> agribusiness</w:t>
      </w:r>
      <w:r w:rsidR="004C745C" w:rsidRPr="00240D66">
        <w:rPr>
          <w:rFonts w:asciiTheme="majorBidi" w:hAnsiTheme="majorBidi" w:cstheme="majorBidi"/>
          <w:sz w:val="24"/>
          <w:szCs w:val="24"/>
        </w:rPr>
        <w:t xml:space="preserve"> </w:t>
      </w:r>
      <w:r w:rsidR="001B15B1" w:rsidRPr="00240D66">
        <w:rPr>
          <w:rFonts w:asciiTheme="majorBidi" w:hAnsiTheme="majorBidi" w:cstheme="majorBidi"/>
          <w:sz w:val="24"/>
          <w:szCs w:val="24"/>
        </w:rPr>
        <w:t>and the Min</w:t>
      </w:r>
      <w:r w:rsidR="00F443AE" w:rsidRPr="00240D66">
        <w:rPr>
          <w:rFonts w:asciiTheme="majorBidi" w:hAnsiTheme="majorBidi" w:cstheme="majorBidi"/>
          <w:sz w:val="24"/>
          <w:szCs w:val="24"/>
        </w:rPr>
        <w:t>istry of Agriculture, F</w:t>
      </w:r>
      <w:r w:rsidR="001B15B1" w:rsidRPr="00240D66">
        <w:rPr>
          <w:rFonts w:asciiTheme="majorBidi" w:hAnsiTheme="majorBidi" w:cstheme="majorBidi"/>
          <w:sz w:val="24"/>
          <w:szCs w:val="24"/>
        </w:rPr>
        <w:t>arms and Fisheries</w:t>
      </w:r>
      <w:r w:rsidRPr="00240D66">
        <w:rPr>
          <w:rFonts w:asciiTheme="majorBidi" w:hAnsiTheme="majorBidi" w:cstheme="majorBidi"/>
          <w:sz w:val="24"/>
          <w:szCs w:val="24"/>
        </w:rPr>
        <w:t xml:space="preserve"> </w:t>
      </w:r>
      <w:r w:rsidR="00F443AE" w:rsidRPr="00240D66">
        <w:rPr>
          <w:rFonts w:asciiTheme="majorBidi" w:hAnsiTheme="majorBidi" w:cstheme="majorBidi"/>
          <w:sz w:val="24"/>
          <w:szCs w:val="24"/>
        </w:rPr>
        <w:t xml:space="preserve">(MAFF) </w:t>
      </w:r>
      <w:r w:rsidR="004058E9" w:rsidRPr="00240D66">
        <w:rPr>
          <w:rFonts w:asciiTheme="majorBidi" w:hAnsiTheme="majorBidi" w:cstheme="majorBidi"/>
          <w:sz w:val="24"/>
          <w:szCs w:val="24"/>
        </w:rPr>
        <w:t>was seen to have</w:t>
      </w:r>
      <w:r w:rsidRPr="00240D66">
        <w:rPr>
          <w:rFonts w:asciiTheme="majorBidi" w:hAnsiTheme="majorBidi" w:cstheme="majorBidi"/>
          <w:sz w:val="24"/>
          <w:szCs w:val="24"/>
        </w:rPr>
        <w:t xml:space="preserve"> compromised safety standards</w:t>
      </w:r>
      <w:r w:rsidR="004C745C" w:rsidRPr="00240D66">
        <w:rPr>
          <w:rFonts w:asciiTheme="majorBidi" w:hAnsiTheme="majorBidi" w:cstheme="majorBidi"/>
          <w:sz w:val="24"/>
          <w:szCs w:val="24"/>
        </w:rPr>
        <w:t xml:space="preserve">. </w:t>
      </w:r>
      <w:r w:rsidR="00F443AE" w:rsidRPr="00240D66">
        <w:rPr>
          <w:rFonts w:asciiTheme="majorBidi" w:hAnsiTheme="majorBidi" w:cstheme="majorBidi"/>
          <w:sz w:val="24"/>
          <w:szCs w:val="24"/>
        </w:rPr>
        <w:t>T</w:t>
      </w:r>
      <w:r w:rsidR="002B0948" w:rsidRPr="00240D66">
        <w:rPr>
          <w:rFonts w:asciiTheme="majorBidi" w:hAnsiTheme="majorBidi" w:cstheme="majorBidi"/>
          <w:sz w:val="24"/>
          <w:szCs w:val="24"/>
        </w:rPr>
        <w:t xml:space="preserve">he initial response to the crisis was one of angry denial from the </w:t>
      </w:r>
      <w:r w:rsidR="006D3E5F" w:rsidRPr="00240D66">
        <w:rPr>
          <w:rFonts w:asciiTheme="majorBidi" w:hAnsiTheme="majorBidi" w:cstheme="majorBidi"/>
          <w:sz w:val="24"/>
          <w:szCs w:val="24"/>
        </w:rPr>
        <w:t xml:space="preserve">Conservative </w:t>
      </w:r>
      <w:r w:rsidR="002B0948" w:rsidRPr="00240D66">
        <w:rPr>
          <w:rFonts w:asciiTheme="majorBidi" w:hAnsiTheme="majorBidi" w:cstheme="majorBidi"/>
          <w:sz w:val="24"/>
          <w:szCs w:val="24"/>
        </w:rPr>
        <w:t>Major</w:t>
      </w:r>
      <w:r w:rsidR="00FB618A" w:rsidRPr="00240D66">
        <w:rPr>
          <w:rFonts w:asciiTheme="majorBidi" w:hAnsiTheme="majorBidi" w:cstheme="majorBidi"/>
          <w:sz w:val="24"/>
          <w:szCs w:val="24"/>
        </w:rPr>
        <w:t xml:space="preserve"> government</w:t>
      </w:r>
      <w:r w:rsidR="00F443AE" w:rsidRPr="00240D66">
        <w:rPr>
          <w:rFonts w:asciiTheme="majorBidi" w:hAnsiTheme="majorBidi" w:cstheme="majorBidi"/>
          <w:sz w:val="24"/>
          <w:szCs w:val="24"/>
        </w:rPr>
        <w:t>. However,</w:t>
      </w:r>
      <w:r w:rsidRPr="00240D66">
        <w:rPr>
          <w:rFonts w:asciiTheme="majorBidi" w:hAnsiTheme="majorBidi" w:cstheme="majorBidi"/>
          <w:sz w:val="24"/>
          <w:szCs w:val="24"/>
        </w:rPr>
        <w:t xml:space="preserve"> </w:t>
      </w:r>
      <w:r w:rsidR="002B0948" w:rsidRPr="00240D66">
        <w:rPr>
          <w:rFonts w:asciiTheme="majorBidi" w:hAnsiTheme="majorBidi" w:cstheme="majorBidi"/>
          <w:sz w:val="24"/>
          <w:szCs w:val="24"/>
        </w:rPr>
        <w:t xml:space="preserve">pressure </w:t>
      </w:r>
      <w:r w:rsidR="00113CE3" w:rsidRPr="00240D66">
        <w:rPr>
          <w:rFonts w:asciiTheme="majorBidi" w:hAnsiTheme="majorBidi" w:cstheme="majorBidi"/>
          <w:sz w:val="24"/>
          <w:szCs w:val="24"/>
        </w:rPr>
        <w:t xml:space="preserve">mounted </w:t>
      </w:r>
      <w:r w:rsidR="002B0948" w:rsidRPr="00240D66">
        <w:rPr>
          <w:rFonts w:asciiTheme="majorBidi" w:hAnsiTheme="majorBidi" w:cstheme="majorBidi"/>
          <w:sz w:val="24"/>
          <w:szCs w:val="24"/>
        </w:rPr>
        <w:t>from consumers and</w:t>
      </w:r>
      <w:r w:rsidR="001B15B1" w:rsidRPr="00240D66">
        <w:rPr>
          <w:rFonts w:asciiTheme="majorBidi" w:hAnsiTheme="majorBidi" w:cstheme="majorBidi"/>
          <w:sz w:val="24"/>
          <w:szCs w:val="24"/>
        </w:rPr>
        <w:t xml:space="preserve"> powerful </w:t>
      </w:r>
      <w:r w:rsidR="002B0948" w:rsidRPr="00240D66">
        <w:rPr>
          <w:rFonts w:asciiTheme="majorBidi" w:hAnsiTheme="majorBidi" w:cstheme="majorBidi"/>
          <w:sz w:val="24"/>
          <w:szCs w:val="24"/>
        </w:rPr>
        <w:t>food retailers</w:t>
      </w:r>
      <w:r w:rsidR="001B15B1" w:rsidRPr="00240D66">
        <w:rPr>
          <w:rFonts w:asciiTheme="majorBidi" w:hAnsiTheme="majorBidi" w:cstheme="majorBidi"/>
          <w:sz w:val="24"/>
          <w:szCs w:val="24"/>
        </w:rPr>
        <w:t xml:space="preserve">, </w:t>
      </w:r>
      <w:r w:rsidR="002B0948" w:rsidRPr="00240D66">
        <w:rPr>
          <w:rFonts w:asciiTheme="majorBidi" w:hAnsiTheme="majorBidi" w:cstheme="majorBidi"/>
          <w:sz w:val="24"/>
          <w:szCs w:val="24"/>
        </w:rPr>
        <w:t>inflamed by intensive media coverage about the dangers of British beef</w:t>
      </w:r>
      <w:r w:rsidR="004C745C" w:rsidRPr="00240D66">
        <w:rPr>
          <w:rFonts w:asciiTheme="majorBidi" w:hAnsiTheme="majorBidi" w:cstheme="majorBidi"/>
          <w:sz w:val="24"/>
          <w:szCs w:val="24"/>
        </w:rPr>
        <w:t xml:space="preserve"> (for background, see Wales et al. 2006)</w:t>
      </w:r>
      <w:r w:rsidR="00113CE3" w:rsidRPr="00240D66">
        <w:rPr>
          <w:rFonts w:asciiTheme="majorBidi" w:hAnsiTheme="majorBidi" w:cstheme="majorBidi"/>
          <w:sz w:val="24"/>
          <w:szCs w:val="24"/>
        </w:rPr>
        <w:t>.</w:t>
      </w:r>
      <w:r w:rsidR="00DF3BB7" w:rsidRPr="00240D66">
        <w:rPr>
          <w:rFonts w:asciiTheme="majorBidi" w:hAnsiTheme="majorBidi" w:cstheme="majorBidi"/>
          <w:sz w:val="24"/>
          <w:szCs w:val="24"/>
        </w:rPr>
        <w:t xml:space="preserve"> </w:t>
      </w:r>
      <w:r w:rsidR="00A84040" w:rsidRPr="00240D66">
        <w:rPr>
          <w:rFonts w:asciiTheme="majorBidi" w:hAnsiTheme="majorBidi" w:cstheme="majorBidi"/>
          <w:sz w:val="24"/>
          <w:szCs w:val="24"/>
        </w:rPr>
        <w:t>A</w:t>
      </w:r>
      <w:r w:rsidR="002B0948" w:rsidRPr="00240D66">
        <w:rPr>
          <w:rFonts w:asciiTheme="majorBidi" w:hAnsiTheme="majorBidi" w:cstheme="majorBidi"/>
          <w:sz w:val="24"/>
          <w:szCs w:val="24"/>
        </w:rPr>
        <w:t xml:space="preserve"> perception of crisis in Britain’s food system</w:t>
      </w:r>
      <w:r w:rsidR="00A84040" w:rsidRPr="00240D66">
        <w:rPr>
          <w:rFonts w:asciiTheme="majorBidi" w:hAnsiTheme="majorBidi" w:cstheme="majorBidi"/>
          <w:sz w:val="24"/>
          <w:szCs w:val="24"/>
        </w:rPr>
        <w:t xml:space="preserve"> spread. The boundaries </w:t>
      </w:r>
      <w:r w:rsidR="00657509" w:rsidRPr="00240D66">
        <w:rPr>
          <w:rFonts w:asciiTheme="majorBidi" w:hAnsiTheme="majorBidi" w:cstheme="majorBidi"/>
          <w:sz w:val="24"/>
          <w:szCs w:val="24"/>
        </w:rPr>
        <w:t>across agribusiness, scien</w:t>
      </w:r>
      <w:r w:rsidR="00A84040" w:rsidRPr="00240D66">
        <w:rPr>
          <w:rFonts w:asciiTheme="majorBidi" w:hAnsiTheme="majorBidi" w:cstheme="majorBidi"/>
          <w:sz w:val="24"/>
          <w:szCs w:val="24"/>
        </w:rPr>
        <w:t xml:space="preserve">ce, politics and administration </w:t>
      </w:r>
      <w:r w:rsidR="004058E9" w:rsidRPr="00240D66">
        <w:rPr>
          <w:rFonts w:asciiTheme="majorBidi" w:hAnsiTheme="majorBidi" w:cstheme="majorBidi"/>
          <w:sz w:val="24"/>
          <w:szCs w:val="24"/>
        </w:rPr>
        <w:t>became</w:t>
      </w:r>
      <w:r w:rsidR="00A84040" w:rsidRPr="00240D66">
        <w:rPr>
          <w:rFonts w:asciiTheme="majorBidi" w:hAnsiTheme="majorBidi" w:cstheme="majorBidi"/>
          <w:sz w:val="24"/>
          <w:szCs w:val="24"/>
        </w:rPr>
        <w:t xml:space="preserve"> blurred. </w:t>
      </w:r>
      <w:r w:rsidR="001B15B1" w:rsidRPr="00240D66">
        <w:rPr>
          <w:rFonts w:asciiTheme="majorBidi" w:hAnsiTheme="majorBidi" w:cstheme="majorBidi"/>
          <w:sz w:val="24"/>
          <w:szCs w:val="24"/>
        </w:rPr>
        <w:t xml:space="preserve">And, </w:t>
      </w:r>
      <w:r w:rsidR="00A84040" w:rsidRPr="00240D66">
        <w:rPr>
          <w:rFonts w:asciiTheme="majorBidi" w:hAnsiTheme="majorBidi" w:cstheme="majorBidi"/>
          <w:sz w:val="24"/>
          <w:szCs w:val="24"/>
        </w:rPr>
        <w:t>in the context of declining trust</w:t>
      </w:r>
      <w:r w:rsidR="001B15B1" w:rsidRPr="00240D66">
        <w:rPr>
          <w:rFonts w:asciiTheme="majorBidi" w:hAnsiTheme="majorBidi" w:cstheme="majorBidi"/>
          <w:sz w:val="24"/>
          <w:szCs w:val="24"/>
        </w:rPr>
        <w:t xml:space="preserve">, the incoming Blair government </w:t>
      </w:r>
      <w:r w:rsidR="006D3E5F" w:rsidRPr="00240D66">
        <w:rPr>
          <w:rFonts w:asciiTheme="majorBidi" w:hAnsiTheme="majorBidi" w:cstheme="majorBidi"/>
          <w:sz w:val="24"/>
          <w:szCs w:val="24"/>
        </w:rPr>
        <w:t>established</w:t>
      </w:r>
      <w:r w:rsidR="001B15B1" w:rsidRPr="00240D66">
        <w:rPr>
          <w:rFonts w:asciiTheme="majorBidi" w:hAnsiTheme="majorBidi" w:cstheme="majorBidi"/>
          <w:sz w:val="24"/>
          <w:szCs w:val="24"/>
        </w:rPr>
        <w:t xml:space="preserve"> </w:t>
      </w:r>
      <w:r w:rsidR="006D3E5F" w:rsidRPr="00240D66">
        <w:rPr>
          <w:rFonts w:asciiTheme="majorBidi" w:hAnsiTheme="majorBidi" w:cstheme="majorBidi"/>
          <w:sz w:val="24"/>
          <w:szCs w:val="24"/>
        </w:rPr>
        <w:t>a public BSE Inquiry</w:t>
      </w:r>
      <w:r w:rsidR="00F03A99" w:rsidRPr="00240D66">
        <w:rPr>
          <w:rFonts w:asciiTheme="majorBidi" w:hAnsiTheme="majorBidi" w:cstheme="majorBidi"/>
          <w:sz w:val="24"/>
          <w:szCs w:val="24"/>
        </w:rPr>
        <w:t>.</w:t>
      </w:r>
    </w:p>
    <w:p w:rsidR="00AE02AA" w:rsidRPr="00240D66" w:rsidRDefault="00AE02AA" w:rsidP="00240D66">
      <w:pPr>
        <w:spacing w:line="360" w:lineRule="auto"/>
        <w:rPr>
          <w:rFonts w:asciiTheme="majorBidi" w:hAnsiTheme="majorBidi" w:cstheme="majorBidi"/>
          <w:sz w:val="24"/>
          <w:szCs w:val="24"/>
        </w:rPr>
      </w:pPr>
    </w:p>
    <w:p w:rsidR="00404CAE" w:rsidRPr="00240D66" w:rsidRDefault="00E41059" w:rsidP="00240D66">
      <w:pPr>
        <w:spacing w:line="360" w:lineRule="auto"/>
        <w:rPr>
          <w:rFonts w:asciiTheme="majorBidi" w:hAnsiTheme="majorBidi" w:cstheme="majorBidi"/>
          <w:i/>
          <w:iCs/>
          <w:sz w:val="24"/>
          <w:szCs w:val="24"/>
        </w:rPr>
      </w:pPr>
      <w:r w:rsidRPr="00240D66">
        <w:rPr>
          <w:rFonts w:asciiTheme="majorBidi" w:hAnsiTheme="majorBidi" w:cstheme="majorBidi"/>
          <w:i/>
          <w:iCs/>
          <w:sz w:val="24"/>
          <w:szCs w:val="24"/>
        </w:rPr>
        <w:t xml:space="preserve">The </w:t>
      </w:r>
      <w:r w:rsidR="00AD6F23" w:rsidRPr="00240D66">
        <w:rPr>
          <w:rFonts w:asciiTheme="majorBidi" w:hAnsiTheme="majorBidi" w:cstheme="majorBidi"/>
          <w:i/>
          <w:iCs/>
          <w:sz w:val="24"/>
          <w:szCs w:val="24"/>
        </w:rPr>
        <w:t xml:space="preserve">performance </w:t>
      </w:r>
      <w:r w:rsidRPr="00240D66">
        <w:rPr>
          <w:rFonts w:asciiTheme="majorBidi" w:hAnsiTheme="majorBidi" w:cstheme="majorBidi"/>
          <w:i/>
          <w:iCs/>
          <w:sz w:val="24"/>
          <w:szCs w:val="24"/>
        </w:rPr>
        <w:t>of d</w:t>
      </w:r>
      <w:r w:rsidR="00404CAE" w:rsidRPr="00240D66">
        <w:rPr>
          <w:rFonts w:asciiTheme="majorBidi" w:hAnsiTheme="majorBidi" w:cstheme="majorBidi"/>
          <w:i/>
          <w:iCs/>
          <w:sz w:val="24"/>
          <w:szCs w:val="24"/>
        </w:rPr>
        <w:t>emarcation</w:t>
      </w:r>
    </w:p>
    <w:p w:rsidR="001F3FCA" w:rsidRPr="00240D66" w:rsidRDefault="001F3FCA" w:rsidP="00240D66">
      <w:pPr>
        <w:spacing w:line="360" w:lineRule="auto"/>
        <w:ind w:left="720"/>
        <w:rPr>
          <w:rFonts w:asciiTheme="majorBidi" w:hAnsiTheme="majorBidi" w:cstheme="majorBidi"/>
          <w:i/>
          <w:iCs/>
          <w:color w:val="FF0000"/>
          <w:sz w:val="24"/>
          <w:szCs w:val="24"/>
        </w:rPr>
      </w:pPr>
      <w:r w:rsidRPr="00240D66">
        <w:rPr>
          <w:rFonts w:asciiTheme="majorBidi" w:hAnsiTheme="majorBidi" w:cstheme="majorBidi"/>
          <w:sz w:val="24"/>
          <w:szCs w:val="24"/>
        </w:rPr>
        <w:t>The Government is determined to do away with the old climate of secrecy and suspicion and replace it with modern, open arrangements which will deliver real improvements in standards. This fresh approach will help to command the confidence of consumers, industry and our partners in the EU and beyond (Blair in FSA 1998).</w:t>
      </w:r>
    </w:p>
    <w:p w:rsidR="0035608A" w:rsidRPr="00240D66" w:rsidRDefault="001B15B1"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The response </w:t>
      </w:r>
      <w:r w:rsidR="00E215B0" w:rsidRPr="00240D66">
        <w:rPr>
          <w:rFonts w:asciiTheme="majorBidi" w:hAnsiTheme="majorBidi" w:cstheme="majorBidi"/>
          <w:sz w:val="24"/>
          <w:szCs w:val="24"/>
        </w:rPr>
        <w:t xml:space="preserve">in the wake of the Inquiry </w:t>
      </w:r>
      <w:r w:rsidRPr="00240D66">
        <w:rPr>
          <w:rFonts w:asciiTheme="majorBidi" w:hAnsiTheme="majorBidi" w:cstheme="majorBidi"/>
          <w:sz w:val="24"/>
          <w:szCs w:val="24"/>
        </w:rPr>
        <w:t>was</w:t>
      </w:r>
      <w:r w:rsidR="00657509" w:rsidRPr="00240D66">
        <w:rPr>
          <w:rFonts w:asciiTheme="majorBidi" w:hAnsiTheme="majorBidi" w:cstheme="majorBidi"/>
          <w:sz w:val="24"/>
          <w:szCs w:val="24"/>
        </w:rPr>
        <w:t xml:space="preserve"> </w:t>
      </w:r>
      <w:r w:rsidR="00113CE3" w:rsidRPr="00240D66">
        <w:rPr>
          <w:rFonts w:asciiTheme="majorBidi" w:hAnsiTheme="majorBidi" w:cstheme="majorBidi"/>
          <w:sz w:val="24"/>
          <w:szCs w:val="24"/>
        </w:rPr>
        <w:t xml:space="preserve">to </w:t>
      </w:r>
      <w:r w:rsidR="002B0948" w:rsidRPr="00240D66">
        <w:rPr>
          <w:rFonts w:asciiTheme="majorBidi" w:hAnsiTheme="majorBidi" w:cstheme="majorBidi"/>
          <w:sz w:val="24"/>
          <w:szCs w:val="24"/>
        </w:rPr>
        <w:t>set about establishing an agency</w:t>
      </w:r>
      <w:r w:rsidR="004C745C" w:rsidRPr="00240D66">
        <w:rPr>
          <w:rFonts w:asciiTheme="majorBidi" w:hAnsiTheme="majorBidi" w:cstheme="majorBidi"/>
          <w:sz w:val="24"/>
          <w:szCs w:val="24"/>
        </w:rPr>
        <w:t>—The Food Standards Agency—</w:t>
      </w:r>
      <w:r w:rsidR="002B0948" w:rsidRPr="00240D66">
        <w:rPr>
          <w:rFonts w:asciiTheme="majorBidi" w:hAnsiTheme="majorBidi" w:cstheme="majorBidi"/>
          <w:sz w:val="24"/>
          <w:szCs w:val="24"/>
        </w:rPr>
        <w:t>that would administer food and nutrition policy</w:t>
      </w:r>
      <w:r w:rsidR="00DC02DC" w:rsidRPr="00240D66">
        <w:rPr>
          <w:rFonts w:asciiTheme="majorBidi" w:hAnsiTheme="majorBidi" w:cstheme="majorBidi"/>
          <w:sz w:val="24"/>
          <w:szCs w:val="24"/>
        </w:rPr>
        <w:t xml:space="preserve">. </w:t>
      </w:r>
      <w:r w:rsidR="00912E7E" w:rsidRPr="00240D66">
        <w:rPr>
          <w:rFonts w:asciiTheme="majorBidi" w:hAnsiTheme="majorBidi" w:cstheme="majorBidi"/>
          <w:sz w:val="24"/>
          <w:szCs w:val="24"/>
        </w:rPr>
        <w:t>The Blair government signalled</w:t>
      </w:r>
      <w:r w:rsidRPr="00240D66">
        <w:rPr>
          <w:rFonts w:asciiTheme="majorBidi" w:hAnsiTheme="majorBidi" w:cstheme="majorBidi"/>
          <w:sz w:val="24"/>
          <w:szCs w:val="24"/>
        </w:rPr>
        <w:t xml:space="preserve"> th</w:t>
      </w:r>
      <w:r w:rsidR="00DC02DC" w:rsidRPr="00240D66">
        <w:rPr>
          <w:rFonts w:asciiTheme="majorBidi" w:hAnsiTheme="majorBidi" w:cstheme="majorBidi"/>
          <w:sz w:val="24"/>
          <w:szCs w:val="24"/>
        </w:rPr>
        <w:t>e</w:t>
      </w:r>
      <w:r w:rsidR="00912E7E" w:rsidRPr="00240D66">
        <w:rPr>
          <w:rFonts w:asciiTheme="majorBidi" w:hAnsiTheme="majorBidi" w:cstheme="majorBidi"/>
          <w:sz w:val="24"/>
          <w:szCs w:val="24"/>
        </w:rPr>
        <w:t xml:space="preserve"> new</w:t>
      </w:r>
      <w:r w:rsidRPr="00240D66">
        <w:rPr>
          <w:rFonts w:asciiTheme="majorBidi" w:hAnsiTheme="majorBidi" w:cstheme="majorBidi"/>
          <w:sz w:val="24"/>
          <w:szCs w:val="24"/>
        </w:rPr>
        <w:t xml:space="preserve"> prioritisation of safety by </w:t>
      </w:r>
      <w:r w:rsidR="00DC02DC" w:rsidRPr="00240D66">
        <w:rPr>
          <w:rFonts w:asciiTheme="majorBidi" w:hAnsiTheme="majorBidi" w:cstheme="majorBidi"/>
          <w:sz w:val="24"/>
          <w:szCs w:val="24"/>
        </w:rPr>
        <w:t>granting the agency a special status</w:t>
      </w:r>
      <w:r w:rsidR="00F54768" w:rsidRPr="00240D66">
        <w:rPr>
          <w:rFonts w:asciiTheme="majorBidi" w:hAnsiTheme="majorBidi" w:cstheme="majorBidi"/>
          <w:sz w:val="24"/>
          <w:szCs w:val="24"/>
        </w:rPr>
        <w:t>. I</w:t>
      </w:r>
      <w:r w:rsidR="00DC02DC" w:rsidRPr="00240D66">
        <w:rPr>
          <w:rFonts w:asciiTheme="majorBidi" w:hAnsiTheme="majorBidi" w:cstheme="majorBidi"/>
          <w:sz w:val="24"/>
          <w:szCs w:val="24"/>
        </w:rPr>
        <w:t>t was to be independent from government but have the authority of a government department</w:t>
      </w:r>
      <w:r w:rsidR="00F54768" w:rsidRPr="00240D66">
        <w:rPr>
          <w:rFonts w:asciiTheme="majorBidi" w:hAnsiTheme="majorBidi" w:cstheme="majorBidi"/>
          <w:sz w:val="24"/>
          <w:szCs w:val="24"/>
        </w:rPr>
        <w:t>. It was also now tied</w:t>
      </w:r>
      <w:r w:rsidRPr="00240D66">
        <w:rPr>
          <w:rFonts w:asciiTheme="majorBidi" w:hAnsiTheme="majorBidi" w:cstheme="majorBidi"/>
          <w:sz w:val="24"/>
          <w:szCs w:val="24"/>
        </w:rPr>
        <w:t xml:space="preserve"> to the Department of Health and not MAFF.</w:t>
      </w:r>
      <w:r w:rsidR="004C745C" w:rsidRPr="00240D66">
        <w:rPr>
          <w:rFonts w:asciiTheme="majorBidi" w:hAnsiTheme="majorBidi" w:cstheme="majorBidi"/>
          <w:sz w:val="24"/>
          <w:szCs w:val="24"/>
        </w:rPr>
        <w:t xml:space="preserve"> </w:t>
      </w:r>
      <w:r w:rsidR="009F48FA" w:rsidRPr="00240D66">
        <w:rPr>
          <w:rFonts w:asciiTheme="majorBidi" w:hAnsiTheme="majorBidi" w:cstheme="majorBidi"/>
          <w:sz w:val="24"/>
          <w:szCs w:val="24"/>
        </w:rPr>
        <w:t xml:space="preserve">The </w:t>
      </w:r>
      <w:r w:rsidR="004058E9" w:rsidRPr="00240D66">
        <w:rPr>
          <w:rFonts w:asciiTheme="majorBidi" w:hAnsiTheme="majorBidi" w:cstheme="majorBidi"/>
          <w:sz w:val="24"/>
          <w:szCs w:val="24"/>
        </w:rPr>
        <w:t>FSA</w:t>
      </w:r>
      <w:r w:rsidR="009F48FA" w:rsidRPr="00240D66">
        <w:rPr>
          <w:rFonts w:asciiTheme="majorBidi" w:hAnsiTheme="majorBidi" w:cstheme="majorBidi"/>
          <w:sz w:val="24"/>
          <w:szCs w:val="24"/>
        </w:rPr>
        <w:t xml:space="preserve"> had a number of features typical to agencies—technical divisions and collaborative working groups. But it</w:t>
      </w:r>
      <w:r w:rsidR="00DC02DC" w:rsidRPr="00240D66">
        <w:rPr>
          <w:rFonts w:asciiTheme="majorBidi" w:hAnsiTheme="majorBidi" w:cstheme="majorBidi"/>
          <w:sz w:val="24"/>
          <w:szCs w:val="24"/>
        </w:rPr>
        <w:t xml:space="preserve"> also had a unique statutory requirement to be ‘open’ in its </w:t>
      </w:r>
      <w:r w:rsidR="001E2438" w:rsidRPr="00240D66">
        <w:rPr>
          <w:rFonts w:asciiTheme="majorBidi" w:hAnsiTheme="majorBidi" w:cstheme="majorBidi"/>
          <w:sz w:val="24"/>
          <w:szCs w:val="24"/>
        </w:rPr>
        <w:t>work</w:t>
      </w:r>
      <w:r w:rsidR="00FA1FC9" w:rsidRPr="00240D66">
        <w:rPr>
          <w:rFonts w:asciiTheme="majorBidi" w:hAnsiTheme="majorBidi" w:cstheme="majorBidi"/>
          <w:sz w:val="24"/>
          <w:szCs w:val="24"/>
        </w:rPr>
        <w:t xml:space="preserve"> and make public its advice to government.</w:t>
      </w:r>
      <w:r w:rsidR="004C745C" w:rsidRPr="00240D66">
        <w:rPr>
          <w:rFonts w:asciiTheme="majorBidi" w:hAnsiTheme="majorBidi" w:cstheme="majorBidi"/>
          <w:sz w:val="24"/>
          <w:szCs w:val="24"/>
        </w:rPr>
        <w:t xml:space="preserve"> To fulfil this function, it</w:t>
      </w:r>
      <w:r w:rsidR="004058E9" w:rsidRPr="00240D66">
        <w:rPr>
          <w:rFonts w:asciiTheme="majorBidi" w:hAnsiTheme="majorBidi" w:cstheme="majorBidi"/>
          <w:sz w:val="24"/>
          <w:szCs w:val="24"/>
        </w:rPr>
        <w:t xml:space="preserve"> was </w:t>
      </w:r>
      <w:r w:rsidR="004C745C" w:rsidRPr="00240D66">
        <w:rPr>
          <w:rFonts w:asciiTheme="majorBidi" w:hAnsiTheme="majorBidi" w:cstheme="majorBidi"/>
          <w:sz w:val="24"/>
          <w:szCs w:val="24"/>
        </w:rPr>
        <w:t xml:space="preserve">set up </w:t>
      </w:r>
      <w:r w:rsidR="004058E9" w:rsidRPr="00240D66">
        <w:rPr>
          <w:rFonts w:asciiTheme="majorBidi" w:hAnsiTheme="majorBidi" w:cstheme="majorBidi"/>
          <w:sz w:val="24"/>
          <w:szCs w:val="24"/>
        </w:rPr>
        <w:t>to</w:t>
      </w:r>
      <w:r w:rsidR="009F48FA" w:rsidRPr="00240D66">
        <w:rPr>
          <w:rFonts w:asciiTheme="majorBidi" w:hAnsiTheme="majorBidi" w:cstheme="majorBidi"/>
          <w:sz w:val="24"/>
          <w:szCs w:val="24"/>
        </w:rPr>
        <w:t xml:space="preserve"> house a range of important institutional innovations. </w:t>
      </w:r>
      <w:r w:rsidR="00FA1FC9" w:rsidRPr="00240D66">
        <w:rPr>
          <w:rFonts w:asciiTheme="majorBidi" w:hAnsiTheme="majorBidi" w:cstheme="majorBidi"/>
          <w:sz w:val="24"/>
          <w:szCs w:val="24"/>
        </w:rPr>
        <w:t>One</w:t>
      </w:r>
      <w:r w:rsidR="004C745C" w:rsidRPr="00240D66">
        <w:rPr>
          <w:rFonts w:asciiTheme="majorBidi" w:hAnsiTheme="majorBidi" w:cstheme="majorBidi"/>
          <w:sz w:val="24"/>
          <w:szCs w:val="24"/>
        </w:rPr>
        <w:t xml:space="preserve"> was the establishment of a board comprised of successful actors from</w:t>
      </w:r>
      <w:r w:rsidR="00F54768" w:rsidRPr="00240D66">
        <w:rPr>
          <w:rFonts w:asciiTheme="majorBidi" w:hAnsiTheme="majorBidi" w:cstheme="majorBidi"/>
          <w:sz w:val="24"/>
          <w:szCs w:val="24"/>
        </w:rPr>
        <w:t xml:space="preserve"> across</w:t>
      </w:r>
      <w:r w:rsidR="004C745C" w:rsidRPr="00240D66">
        <w:rPr>
          <w:rFonts w:asciiTheme="majorBidi" w:hAnsiTheme="majorBidi" w:cstheme="majorBidi"/>
          <w:sz w:val="24"/>
          <w:szCs w:val="24"/>
        </w:rPr>
        <w:t xml:space="preserve"> the private and third sectors, with a requirement that there be only a minority with experience in the food industry. Another</w:t>
      </w:r>
      <w:r w:rsidR="009F48FA" w:rsidRPr="00240D66">
        <w:rPr>
          <w:rFonts w:asciiTheme="majorBidi" w:hAnsiTheme="majorBidi" w:cstheme="majorBidi"/>
          <w:sz w:val="24"/>
          <w:szCs w:val="24"/>
        </w:rPr>
        <w:t xml:space="preserve"> was the </w:t>
      </w:r>
      <w:r w:rsidR="004C745C" w:rsidRPr="00240D66">
        <w:rPr>
          <w:rFonts w:asciiTheme="majorBidi" w:hAnsiTheme="majorBidi" w:cstheme="majorBidi"/>
          <w:sz w:val="24"/>
          <w:szCs w:val="24"/>
        </w:rPr>
        <w:t>establishment</w:t>
      </w:r>
      <w:r w:rsidR="009F48FA" w:rsidRPr="00240D66">
        <w:rPr>
          <w:rFonts w:asciiTheme="majorBidi" w:hAnsiTheme="majorBidi" w:cstheme="majorBidi"/>
          <w:sz w:val="24"/>
          <w:szCs w:val="24"/>
        </w:rPr>
        <w:t xml:space="preserve"> of a Community Committee to a</w:t>
      </w:r>
      <w:r w:rsidR="00F03A99" w:rsidRPr="00240D66">
        <w:rPr>
          <w:rFonts w:asciiTheme="majorBidi" w:hAnsiTheme="majorBidi" w:cstheme="majorBidi"/>
          <w:sz w:val="24"/>
          <w:szCs w:val="24"/>
        </w:rPr>
        <w:t>dvise on FSA policy and scrutinise</w:t>
      </w:r>
      <w:r w:rsidR="009F48FA" w:rsidRPr="00240D66">
        <w:rPr>
          <w:rFonts w:asciiTheme="majorBidi" w:hAnsiTheme="majorBidi" w:cstheme="majorBidi"/>
          <w:sz w:val="24"/>
          <w:szCs w:val="24"/>
        </w:rPr>
        <w:t xml:space="preserve"> the decisions and procedures o</w:t>
      </w:r>
      <w:r w:rsidR="004C745C" w:rsidRPr="00240D66">
        <w:rPr>
          <w:rFonts w:asciiTheme="majorBidi" w:hAnsiTheme="majorBidi" w:cstheme="majorBidi"/>
          <w:sz w:val="24"/>
          <w:szCs w:val="24"/>
        </w:rPr>
        <w:t xml:space="preserve">f the expert actors involved. </w:t>
      </w:r>
      <w:r w:rsidR="0035608A" w:rsidRPr="00240D66">
        <w:rPr>
          <w:rFonts w:asciiTheme="majorBidi" w:hAnsiTheme="majorBidi" w:cstheme="majorBidi"/>
          <w:sz w:val="24"/>
          <w:szCs w:val="24"/>
        </w:rPr>
        <w:t xml:space="preserve">These arrangements were designed to signal a break from the past, heralding a new transparent approach that could restore consumer confidence. </w:t>
      </w:r>
    </w:p>
    <w:p w:rsidR="00BB741B" w:rsidRPr="00240D66" w:rsidRDefault="00DA3573"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As a </w:t>
      </w:r>
      <w:r w:rsidR="001F3FCA" w:rsidRPr="00240D66">
        <w:rPr>
          <w:rFonts w:asciiTheme="majorBidi" w:hAnsiTheme="majorBidi" w:cstheme="majorBidi"/>
          <w:sz w:val="24"/>
          <w:szCs w:val="24"/>
        </w:rPr>
        <w:t xml:space="preserve">performance </w:t>
      </w:r>
      <w:r w:rsidRPr="00240D66">
        <w:rPr>
          <w:rFonts w:asciiTheme="majorBidi" w:hAnsiTheme="majorBidi" w:cstheme="majorBidi"/>
          <w:sz w:val="24"/>
          <w:szCs w:val="24"/>
        </w:rPr>
        <w:t xml:space="preserve">of demarcation, </w:t>
      </w:r>
      <w:r w:rsidR="007447DF" w:rsidRPr="00240D66">
        <w:rPr>
          <w:rFonts w:asciiTheme="majorBidi" w:hAnsiTheme="majorBidi" w:cstheme="majorBidi"/>
          <w:sz w:val="24"/>
          <w:szCs w:val="24"/>
        </w:rPr>
        <w:t>the creation of the FSA had the obvious appeal of creating distance between the</w:t>
      </w:r>
      <w:r w:rsidR="001E2438" w:rsidRPr="00240D66">
        <w:rPr>
          <w:rFonts w:asciiTheme="majorBidi" w:hAnsiTheme="majorBidi" w:cstheme="majorBidi"/>
          <w:sz w:val="24"/>
          <w:szCs w:val="24"/>
        </w:rPr>
        <w:t xml:space="preserve"> government</w:t>
      </w:r>
      <w:r w:rsidR="007447DF" w:rsidRPr="00240D66">
        <w:rPr>
          <w:rFonts w:asciiTheme="majorBidi" w:hAnsiTheme="majorBidi" w:cstheme="majorBidi"/>
          <w:sz w:val="24"/>
          <w:szCs w:val="24"/>
        </w:rPr>
        <w:t xml:space="preserve"> and a recent crisis, and to remove this complex and disaster-prone</w:t>
      </w:r>
      <w:r w:rsidR="003C29BF" w:rsidRPr="00240D66">
        <w:rPr>
          <w:rFonts w:asciiTheme="majorBidi" w:hAnsiTheme="majorBidi" w:cstheme="majorBidi"/>
          <w:sz w:val="24"/>
          <w:szCs w:val="24"/>
        </w:rPr>
        <w:t xml:space="preserve"> issue</w:t>
      </w:r>
      <w:r w:rsidR="007447DF" w:rsidRPr="00240D66">
        <w:rPr>
          <w:rFonts w:asciiTheme="majorBidi" w:hAnsiTheme="majorBidi" w:cstheme="majorBidi"/>
          <w:sz w:val="24"/>
          <w:szCs w:val="24"/>
        </w:rPr>
        <w:t xml:space="preserve"> from the agend</w:t>
      </w:r>
      <w:r w:rsidR="003C29BF" w:rsidRPr="00240D66">
        <w:rPr>
          <w:rFonts w:asciiTheme="majorBidi" w:hAnsiTheme="majorBidi" w:cstheme="majorBidi"/>
          <w:sz w:val="24"/>
          <w:szCs w:val="24"/>
        </w:rPr>
        <w:t>a</w:t>
      </w:r>
      <w:r w:rsidR="007447DF" w:rsidRPr="00240D66">
        <w:rPr>
          <w:rFonts w:asciiTheme="majorBidi" w:hAnsiTheme="majorBidi" w:cstheme="majorBidi"/>
          <w:sz w:val="24"/>
          <w:szCs w:val="24"/>
        </w:rPr>
        <w:t xml:space="preserve">. </w:t>
      </w:r>
      <w:r w:rsidRPr="00240D66">
        <w:rPr>
          <w:rFonts w:asciiTheme="majorBidi" w:hAnsiTheme="majorBidi" w:cstheme="majorBidi"/>
          <w:sz w:val="24"/>
          <w:szCs w:val="24"/>
        </w:rPr>
        <w:t xml:space="preserve">But it should not be seen </w:t>
      </w:r>
      <w:r w:rsidR="001E2438" w:rsidRPr="00240D66">
        <w:rPr>
          <w:rFonts w:asciiTheme="majorBidi" w:hAnsiTheme="majorBidi" w:cstheme="majorBidi"/>
          <w:sz w:val="24"/>
          <w:szCs w:val="24"/>
        </w:rPr>
        <w:t xml:space="preserve">just </w:t>
      </w:r>
      <w:r w:rsidRPr="00240D66">
        <w:rPr>
          <w:rFonts w:asciiTheme="majorBidi" w:hAnsiTheme="majorBidi" w:cstheme="majorBidi"/>
          <w:sz w:val="24"/>
          <w:szCs w:val="24"/>
        </w:rPr>
        <w:t>as a crude act of depoliticisation.</w:t>
      </w:r>
      <w:r w:rsidR="007447DF" w:rsidRPr="00240D66">
        <w:rPr>
          <w:rFonts w:asciiTheme="majorBidi" w:hAnsiTheme="majorBidi" w:cstheme="majorBidi"/>
          <w:sz w:val="24"/>
          <w:szCs w:val="24"/>
        </w:rPr>
        <w:t xml:space="preserve"> </w:t>
      </w:r>
      <w:r w:rsidRPr="00240D66">
        <w:rPr>
          <w:rFonts w:asciiTheme="majorBidi" w:hAnsiTheme="majorBidi" w:cstheme="majorBidi"/>
          <w:sz w:val="24"/>
          <w:szCs w:val="24"/>
        </w:rPr>
        <w:t>Just as importantly, it</w:t>
      </w:r>
      <w:r w:rsidR="006E399C" w:rsidRPr="00240D66">
        <w:rPr>
          <w:rFonts w:asciiTheme="majorBidi" w:hAnsiTheme="majorBidi" w:cstheme="majorBidi"/>
          <w:sz w:val="24"/>
          <w:szCs w:val="24"/>
        </w:rPr>
        <w:t xml:space="preserve"> met with</w:t>
      </w:r>
      <w:r w:rsidR="00BB741B" w:rsidRPr="00240D66">
        <w:rPr>
          <w:rFonts w:asciiTheme="majorBidi" w:hAnsiTheme="majorBidi" w:cstheme="majorBidi"/>
          <w:sz w:val="24"/>
          <w:szCs w:val="24"/>
        </w:rPr>
        <w:t xml:space="preserve"> </w:t>
      </w:r>
      <w:r w:rsidR="006E399C" w:rsidRPr="00240D66">
        <w:rPr>
          <w:rFonts w:asciiTheme="majorBidi" w:hAnsiTheme="majorBidi" w:cstheme="majorBidi"/>
          <w:sz w:val="24"/>
          <w:szCs w:val="24"/>
        </w:rPr>
        <w:t>near unanimous endorsement among the constellation of actors engaged in food and nutrition policy</w:t>
      </w:r>
      <w:r w:rsidR="004C745C" w:rsidRPr="00240D66">
        <w:rPr>
          <w:rFonts w:asciiTheme="majorBidi" w:hAnsiTheme="majorBidi" w:cstheme="majorBidi"/>
          <w:sz w:val="24"/>
          <w:szCs w:val="24"/>
        </w:rPr>
        <w:t>making.  C</w:t>
      </w:r>
      <w:r w:rsidR="00787831" w:rsidRPr="00240D66">
        <w:rPr>
          <w:rFonts w:asciiTheme="majorBidi" w:hAnsiTheme="majorBidi" w:cstheme="majorBidi"/>
          <w:sz w:val="24"/>
          <w:szCs w:val="24"/>
        </w:rPr>
        <w:t xml:space="preserve">entral to its emergence was its appeal to </w:t>
      </w:r>
      <w:r w:rsidR="006E399C" w:rsidRPr="00240D66">
        <w:rPr>
          <w:rFonts w:asciiTheme="majorBidi" w:hAnsiTheme="majorBidi" w:cstheme="majorBidi"/>
          <w:sz w:val="24"/>
          <w:szCs w:val="24"/>
        </w:rPr>
        <w:t xml:space="preserve">these </w:t>
      </w:r>
      <w:r w:rsidR="00787831" w:rsidRPr="00240D66">
        <w:rPr>
          <w:rFonts w:asciiTheme="majorBidi" w:hAnsiTheme="majorBidi" w:cstheme="majorBidi"/>
          <w:sz w:val="24"/>
          <w:szCs w:val="24"/>
        </w:rPr>
        <w:t xml:space="preserve">stakeholders. </w:t>
      </w:r>
      <w:r w:rsidR="004C745C" w:rsidRPr="00240D66">
        <w:rPr>
          <w:rFonts w:asciiTheme="majorBidi" w:hAnsiTheme="majorBidi" w:cstheme="majorBidi"/>
          <w:sz w:val="24"/>
          <w:szCs w:val="24"/>
        </w:rPr>
        <w:t>The crisis and its aftermath had reinforced the growing economic power of large-scale retailers, whose threats to increase imports of meat products signified growing influence over the entire supply chain. The FSA could provide these actors with an important new outlet through which to wield this influence. Linked to the power of retailer</w:t>
      </w:r>
      <w:r w:rsidR="00464A27" w:rsidRPr="00240D66">
        <w:rPr>
          <w:rFonts w:asciiTheme="majorBidi" w:hAnsiTheme="majorBidi" w:cstheme="majorBidi"/>
          <w:sz w:val="24"/>
          <w:szCs w:val="24"/>
        </w:rPr>
        <w:t>s</w:t>
      </w:r>
      <w:r w:rsidR="004C745C" w:rsidRPr="00240D66">
        <w:rPr>
          <w:rFonts w:asciiTheme="majorBidi" w:hAnsiTheme="majorBidi" w:cstheme="majorBidi"/>
          <w:sz w:val="24"/>
          <w:szCs w:val="24"/>
        </w:rPr>
        <w:t xml:space="preserve"> was the rise of consumer groups. The new institutional arrangements appealed to these actors as a way of attaining significant status and access. For those in nutritional science, similarly, the agency provided key professional and interpersonal links into the inside of the machinery of government which had been conspicuously lacking in the pre-BSE crisis era. It also promised to provide closer expert scrutiny of policymaking</w:t>
      </w:r>
      <w:r w:rsidR="003C29BF" w:rsidRPr="00240D66">
        <w:rPr>
          <w:rFonts w:asciiTheme="majorBidi" w:hAnsiTheme="majorBidi" w:cstheme="majorBidi"/>
          <w:sz w:val="24"/>
          <w:szCs w:val="24"/>
        </w:rPr>
        <w:t xml:space="preserve"> and policymakers’ relationships with industry</w:t>
      </w:r>
      <w:r w:rsidR="001E2438" w:rsidRPr="00240D66">
        <w:rPr>
          <w:rFonts w:asciiTheme="majorBidi" w:hAnsiTheme="majorBidi" w:cstheme="majorBidi"/>
          <w:sz w:val="24"/>
          <w:szCs w:val="24"/>
        </w:rPr>
        <w:t xml:space="preserve">, as outlined in the influential report of </w:t>
      </w:r>
      <w:r w:rsidR="004C745C" w:rsidRPr="00240D66">
        <w:rPr>
          <w:rFonts w:asciiTheme="majorBidi" w:hAnsiTheme="majorBidi" w:cstheme="majorBidi"/>
          <w:sz w:val="24"/>
          <w:szCs w:val="24"/>
        </w:rPr>
        <w:t xml:space="preserve">James </w:t>
      </w:r>
      <w:r w:rsidR="001E2438" w:rsidRPr="00240D66">
        <w:rPr>
          <w:rFonts w:asciiTheme="majorBidi" w:hAnsiTheme="majorBidi" w:cstheme="majorBidi"/>
          <w:sz w:val="24"/>
          <w:szCs w:val="24"/>
        </w:rPr>
        <w:t>(</w:t>
      </w:r>
      <w:r w:rsidR="004C745C" w:rsidRPr="00240D66">
        <w:rPr>
          <w:rFonts w:asciiTheme="majorBidi" w:hAnsiTheme="majorBidi" w:cstheme="majorBidi"/>
          <w:sz w:val="24"/>
          <w:szCs w:val="24"/>
        </w:rPr>
        <w:t>1997)</w:t>
      </w:r>
      <w:r w:rsidR="001E2438" w:rsidRPr="00240D66">
        <w:rPr>
          <w:rFonts w:asciiTheme="majorBidi" w:hAnsiTheme="majorBidi" w:cstheme="majorBidi"/>
          <w:sz w:val="24"/>
          <w:szCs w:val="24"/>
        </w:rPr>
        <w:t xml:space="preserve"> that paved the way for the FSA</w:t>
      </w:r>
      <w:r w:rsidR="004C745C" w:rsidRPr="00240D66">
        <w:rPr>
          <w:rFonts w:asciiTheme="majorBidi" w:hAnsiTheme="majorBidi" w:cstheme="majorBidi"/>
          <w:sz w:val="24"/>
          <w:szCs w:val="24"/>
        </w:rPr>
        <w:t xml:space="preserve">. </w:t>
      </w:r>
      <w:r w:rsidR="00787831" w:rsidRPr="00240D66">
        <w:rPr>
          <w:rFonts w:asciiTheme="majorBidi" w:hAnsiTheme="majorBidi" w:cstheme="majorBidi"/>
          <w:sz w:val="24"/>
          <w:szCs w:val="24"/>
        </w:rPr>
        <w:t>Among t</w:t>
      </w:r>
      <w:r w:rsidR="00657509" w:rsidRPr="00240D66">
        <w:rPr>
          <w:rFonts w:asciiTheme="majorBidi" w:hAnsiTheme="majorBidi" w:cstheme="majorBidi"/>
          <w:sz w:val="24"/>
          <w:szCs w:val="24"/>
        </w:rPr>
        <w:t>he powerful agribusiness lobby</w:t>
      </w:r>
      <w:r w:rsidR="00641DF6" w:rsidRPr="00240D66">
        <w:rPr>
          <w:rFonts w:asciiTheme="majorBidi" w:hAnsiTheme="majorBidi" w:cstheme="majorBidi"/>
          <w:sz w:val="24"/>
          <w:szCs w:val="24"/>
        </w:rPr>
        <w:t>,</w:t>
      </w:r>
      <w:r w:rsidR="006E399C" w:rsidRPr="00240D66">
        <w:rPr>
          <w:rFonts w:asciiTheme="majorBidi" w:hAnsiTheme="majorBidi" w:cstheme="majorBidi"/>
          <w:sz w:val="24"/>
          <w:szCs w:val="24"/>
        </w:rPr>
        <w:t xml:space="preserve"> </w:t>
      </w:r>
      <w:r w:rsidR="004C745C" w:rsidRPr="00240D66">
        <w:rPr>
          <w:rFonts w:asciiTheme="majorBidi" w:hAnsiTheme="majorBidi" w:cstheme="majorBidi"/>
          <w:sz w:val="24"/>
          <w:szCs w:val="24"/>
        </w:rPr>
        <w:t>meanwhile</w:t>
      </w:r>
      <w:r w:rsidR="006E399C" w:rsidRPr="00240D66">
        <w:rPr>
          <w:rFonts w:asciiTheme="majorBidi" w:hAnsiTheme="majorBidi" w:cstheme="majorBidi"/>
          <w:sz w:val="24"/>
          <w:szCs w:val="24"/>
        </w:rPr>
        <w:t>,</w:t>
      </w:r>
      <w:r w:rsidR="00641DF6" w:rsidRPr="00240D66">
        <w:rPr>
          <w:rFonts w:asciiTheme="majorBidi" w:hAnsiTheme="majorBidi" w:cstheme="majorBidi"/>
          <w:sz w:val="24"/>
          <w:szCs w:val="24"/>
        </w:rPr>
        <w:t xml:space="preserve"> </w:t>
      </w:r>
      <w:r w:rsidR="00997E69" w:rsidRPr="00240D66">
        <w:rPr>
          <w:rFonts w:asciiTheme="majorBidi" w:hAnsiTheme="majorBidi" w:cstheme="majorBidi"/>
          <w:sz w:val="24"/>
          <w:szCs w:val="24"/>
        </w:rPr>
        <w:t xml:space="preserve">the key priority was to </w:t>
      </w:r>
      <w:r w:rsidR="0059146A" w:rsidRPr="00240D66">
        <w:rPr>
          <w:rFonts w:asciiTheme="majorBidi" w:hAnsiTheme="majorBidi" w:cstheme="majorBidi"/>
          <w:sz w:val="24"/>
          <w:szCs w:val="24"/>
        </w:rPr>
        <w:t>restore</w:t>
      </w:r>
      <w:r w:rsidR="00657509" w:rsidRPr="00240D66">
        <w:rPr>
          <w:rFonts w:asciiTheme="majorBidi" w:hAnsiTheme="majorBidi" w:cstheme="majorBidi"/>
          <w:sz w:val="24"/>
          <w:szCs w:val="24"/>
        </w:rPr>
        <w:t xml:space="preserve"> </w:t>
      </w:r>
      <w:r w:rsidR="00997E69" w:rsidRPr="00240D66">
        <w:rPr>
          <w:rFonts w:asciiTheme="majorBidi" w:hAnsiTheme="majorBidi" w:cstheme="majorBidi"/>
          <w:sz w:val="24"/>
          <w:szCs w:val="24"/>
        </w:rPr>
        <w:t xml:space="preserve">consumer </w:t>
      </w:r>
      <w:r w:rsidR="00657509" w:rsidRPr="00240D66">
        <w:rPr>
          <w:rFonts w:asciiTheme="majorBidi" w:hAnsiTheme="majorBidi" w:cstheme="majorBidi"/>
          <w:sz w:val="24"/>
          <w:szCs w:val="24"/>
        </w:rPr>
        <w:t xml:space="preserve">confidence in the wake of </w:t>
      </w:r>
      <w:r w:rsidR="0059146A" w:rsidRPr="00240D66">
        <w:rPr>
          <w:rFonts w:asciiTheme="majorBidi" w:hAnsiTheme="majorBidi" w:cstheme="majorBidi"/>
          <w:sz w:val="24"/>
          <w:szCs w:val="24"/>
        </w:rPr>
        <w:t>lost revenues</w:t>
      </w:r>
      <w:r w:rsidR="009D4E91" w:rsidRPr="00240D66">
        <w:rPr>
          <w:rFonts w:asciiTheme="majorBidi" w:hAnsiTheme="majorBidi" w:cstheme="majorBidi"/>
          <w:sz w:val="24"/>
          <w:szCs w:val="24"/>
        </w:rPr>
        <w:t>.</w:t>
      </w:r>
      <w:r w:rsidR="00657509" w:rsidRPr="00240D66">
        <w:rPr>
          <w:rFonts w:asciiTheme="majorBidi" w:hAnsiTheme="majorBidi" w:cstheme="majorBidi"/>
          <w:sz w:val="24"/>
          <w:szCs w:val="24"/>
        </w:rPr>
        <w:t xml:space="preserve"> </w:t>
      </w:r>
      <w:r w:rsidR="00997E69" w:rsidRPr="00240D66">
        <w:rPr>
          <w:rFonts w:asciiTheme="majorBidi" w:hAnsiTheme="majorBidi" w:cstheme="majorBidi"/>
          <w:sz w:val="24"/>
          <w:szCs w:val="24"/>
        </w:rPr>
        <w:t>T</w:t>
      </w:r>
      <w:r w:rsidR="00657509" w:rsidRPr="00240D66">
        <w:rPr>
          <w:rFonts w:asciiTheme="majorBidi" w:hAnsiTheme="majorBidi" w:cstheme="majorBidi"/>
          <w:sz w:val="24"/>
          <w:szCs w:val="24"/>
        </w:rPr>
        <w:t>he emergence of a new agency to administer (largely) existing regulations was deemed preferable to an alternative of harsher regulation</w:t>
      </w:r>
      <w:r w:rsidR="00997E69" w:rsidRPr="00240D66">
        <w:rPr>
          <w:rFonts w:asciiTheme="majorBidi" w:hAnsiTheme="majorBidi" w:cstheme="majorBidi"/>
          <w:sz w:val="24"/>
          <w:szCs w:val="24"/>
        </w:rPr>
        <w:t xml:space="preserve">. </w:t>
      </w:r>
      <w:r w:rsidRPr="00240D66">
        <w:rPr>
          <w:rFonts w:asciiTheme="majorBidi" w:hAnsiTheme="majorBidi" w:cstheme="majorBidi"/>
          <w:sz w:val="24"/>
          <w:szCs w:val="24"/>
        </w:rPr>
        <w:t>E</w:t>
      </w:r>
      <w:r w:rsidR="009D4E91" w:rsidRPr="00240D66">
        <w:rPr>
          <w:rFonts w:asciiTheme="majorBidi" w:hAnsiTheme="majorBidi" w:cstheme="majorBidi"/>
          <w:sz w:val="24"/>
          <w:szCs w:val="24"/>
        </w:rPr>
        <w:t xml:space="preserve">ngagement with </w:t>
      </w:r>
      <w:r w:rsidR="001D255C" w:rsidRPr="00240D66">
        <w:rPr>
          <w:rFonts w:asciiTheme="majorBidi" w:hAnsiTheme="majorBidi" w:cstheme="majorBidi"/>
          <w:sz w:val="24"/>
          <w:szCs w:val="24"/>
        </w:rPr>
        <w:t>the</w:t>
      </w:r>
      <w:r w:rsidR="009D4E91" w:rsidRPr="00240D66">
        <w:rPr>
          <w:rFonts w:asciiTheme="majorBidi" w:hAnsiTheme="majorBidi" w:cstheme="majorBidi"/>
          <w:sz w:val="24"/>
          <w:szCs w:val="24"/>
        </w:rPr>
        <w:t xml:space="preserve"> agency </w:t>
      </w:r>
      <w:r w:rsidR="00912E7E" w:rsidRPr="00240D66">
        <w:rPr>
          <w:rFonts w:asciiTheme="majorBidi" w:hAnsiTheme="majorBidi" w:cstheme="majorBidi"/>
          <w:sz w:val="24"/>
          <w:szCs w:val="24"/>
        </w:rPr>
        <w:t>appealed as a way to symbolically</w:t>
      </w:r>
      <w:r w:rsidR="009D4E91" w:rsidRPr="00240D66">
        <w:rPr>
          <w:rFonts w:asciiTheme="majorBidi" w:hAnsiTheme="majorBidi" w:cstheme="majorBidi"/>
          <w:sz w:val="24"/>
          <w:szCs w:val="24"/>
        </w:rPr>
        <w:t xml:space="preserve"> mark a very public performance of a new</w:t>
      </w:r>
      <w:r w:rsidR="0059146A" w:rsidRPr="00240D66">
        <w:rPr>
          <w:rFonts w:asciiTheme="majorBidi" w:hAnsiTheme="majorBidi" w:cstheme="majorBidi"/>
          <w:sz w:val="24"/>
          <w:szCs w:val="24"/>
        </w:rPr>
        <w:t>, consumer-centred</w:t>
      </w:r>
      <w:r w:rsidR="00F11148" w:rsidRPr="00240D66">
        <w:rPr>
          <w:rFonts w:asciiTheme="majorBidi" w:hAnsiTheme="majorBidi" w:cstheme="majorBidi"/>
          <w:sz w:val="24"/>
          <w:szCs w:val="24"/>
        </w:rPr>
        <w:t xml:space="preserve"> regime</w:t>
      </w:r>
      <w:r w:rsidR="00BA795E" w:rsidRPr="00240D66">
        <w:rPr>
          <w:rFonts w:asciiTheme="majorBidi" w:hAnsiTheme="majorBidi" w:cstheme="majorBidi"/>
          <w:sz w:val="24"/>
          <w:szCs w:val="24"/>
        </w:rPr>
        <w:t>.</w:t>
      </w:r>
      <w:r w:rsidR="00657509" w:rsidRPr="00240D66">
        <w:rPr>
          <w:rFonts w:asciiTheme="majorBidi" w:hAnsiTheme="majorBidi" w:cstheme="majorBidi"/>
          <w:sz w:val="24"/>
          <w:szCs w:val="24"/>
        </w:rPr>
        <w:t xml:space="preserve"> </w:t>
      </w:r>
    </w:p>
    <w:p w:rsidR="00A84040" w:rsidRPr="00240D66" w:rsidRDefault="00A84040" w:rsidP="00240D66">
      <w:pPr>
        <w:spacing w:line="360" w:lineRule="auto"/>
        <w:rPr>
          <w:rFonts w:asciiTheme="majorBidi" w:hAnsiTheme="majorBidi" w:cstheme="majorBidi"/>
          <w:sz w:val="24"/>
          <w:szCs w:val="24"/>
        </w:rPr>
      </w:pPr>
    </w:p>
    <w:p w:rsidR="007447DF" w:rsidRPr="00240D66" w:rsidRDefault="00B2486F" w:rsidP="00240D66">
      <w:pPr>
        <w:spacing w:line="360" w:lineRule="auto"/>
        <w:rPr>
          <w:rFonts w:asciiTheme="majorBidi" w:hAnsiTheme="majorBidi" w:cstheme="majorBidi"/>
          <w:i/>
          <w:iCs/>
          <w:sz w:val="24"/>
          <w:szCs w:val="24"/>
        </w:rPr>
      </w:pPr>
      <w:r w:rsidRPr="00240D66">
        <w:rPr>
          <w:rFonts w:asciiTheme="majorBidi" w:hAnsiTheme="majorBidi" w:cstheme="majorBidi"/>
          <w:i/>
          <w:iCs/>
          <w:sz w:val="24"/>
          <w:szCs w:val="24"/>
        </w:rPr>
        <w:t>The mod</w:t>
      </w:r>
      <w:r w:rsidR="00E41059" w:rsidRPr="00240D66">
        <w:rPr>
          <w:rFonts w:asciiTheme="majorBidi" w:hAnsiTheme="majorBidi" w:cstheme="majorBidi"/>
          <w:i/>
          <w:iCs/>
          <w:sz w:val="24"/>
          <w:szCs w:val="24"/>
        </w:rPr>
        <w:t>e of c</w:t>
      </w:r>
      <w:r w:rsidR="007447DF" w:rsidRPr="00240D66">
        <w:rPr>
          <w:rFonts w:asciiTheme="majorBidi" w:hAnsiTheme="majorBidi" w:cstheme="majorBidi"/>
          <w:i/>
          <w:iCs/>
          <w:sz w:val="24"/>
          <w:szCs w:val="24"/>
        </w:rPr>
        <w:t>oordination</w:t>
      </w:r>
    </w:p>
    <w:p w:rsidR="00254016" w:rsidRPr="00240D66" w:rsidRDefault="00254016"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In its initial re-marking of these boundaries, the FSA was deemed very successful</w:t>
      </w:r>
      <w:r w:rsidR="00E215B0" w:rsidRPr="00240D66">
        <w:rPr>
          <w:rFonts w:asciiTheme="majorBidi" w:hAnsiTheme="majorBidi" w:cstheme="majorBidi"/>
          <w:sz w:val="24"/>
          <w:szCs w:val="24"/>
        </w:rPr>
        <w:t xml:space="preserve">. </w:t>
      </w:r>
      <w:r w:rsidRPr="00240D66">
        <w:rPr>
          <w:rFonts w:asciiTheme="majorBidi" w:hAnsiTheme="majorBidi" w:cstheme="majorBidi"/>
          <w:sz w:val="24"/>
          <w:szCs w:val="24"/>
        </w:rPr>
        <w:t xml:space="preserve">Key to this was </w:t>
      </w:r>
      <w:r w:rsidR="00F4746E" w:rsidRPr="00240D66">
        <w:rPr>
          <w:rFonts w:asciiTheme="majorBidi" w:hAnsiTheme="majorBidi" w:cstheme="majorBidi"/>
          <w:sz w:val="24"/>
          <w:szCs w:val="24"/>
        </w:rPr>
        <w:t>a branding of the</w:t>
      </w:r>
      <w:r w:rsidRPr="00240D66">
        <w:rPr>
          <w:rFonts w:asciiTheme="majorBidi" w:hAnsiTheme="majorBidi" w:cstheme="majorBidi"/>
          <w:sz w:val="24"/>
          <w:szCs w:val="24"/>
        </w:rPr>
        <w:t xml:space="preserve"> new </w:t>
      </w:r>
      <w:r w:rsidR="00F4746E" w:rsidRPr="00240D66">
        <w:rPr>
          <w:rFonts w:asciiTheme="majorBidi" w:hAnsiTheme="majorBidi" w:cstheme="majorBidi"/>
          <w:sz w:val="24"/>
          <w:szCs w:val="24"/>
        </w:rPr>
        <w:t xml:space="preserve">arms-lengths arrangements </w:t>
      </w:r>
      <w:r w:rsidRPr="00240D66">
        <w:rPr>
          <w:rFonts w:asciiTheme="majorBidi" w:hAnsiTheme="majorBidi" w:cstheme="majorBidi"/>
          <w:sz w:val="24"/>
          <w:szCs w:val="24"/>
        </w:rPr>
        <w:t xml:space="preserve">as </w:t>
      </w:r>
      <w:r w:rsidR="00F4746E" w:rsidRPr="00240D66">
        <w:rPr>
          <w:rFonts w:asciiTheme="majorBidi" w:hAnsiTheme="majorBidi" w:cstheme="majorBidi"/>
          <w:sz w:val="24"/>
          <w:szCs w:val="24"/>
        </w:rPr>
        <w:t>transparent, as distinct from the old climate of negotiation and secrecy</w:t>
      </w:r>
      <w:r w:rsidRPr="00240D66">
        <w:rPr>
          <w:rFonts w:asciiTheme="majorBidi" w:hAnsiTheme="majorBidi" w:cstheme="majorBidi"/>
          <w:sz w:val="24"/>
          <w:szCs w:val="24"/>
        </w:rPr>
        <w:t xml:space="preserve">. </w:t>
      </w:r>
      <w:r w:rsidR="00FA1FC9" w:rsidRPr="00240D66">
        <w:rPr>
          <w:rFonts w:asciiTheme="majorBidi" w:hAnsiTheme="majorBidi" w:cstheme="majorBidi"/>
          <w:sz w:val="24"/>
          <w:szCs w:val="24"/>
        </w:rPr>
        <w:t xml:space="preserve">In </w:t>
      </w:r>
      <w:r w:rsidR="003C29BF" w:rsidRPr="00240D66">
        <w:rPr>
          <w:rFonts w:asciiTheme="majorBidi" w:hAnsiTheme="majorBidi" w:cstheme="majorBidi"/>
          <w:sz w:val="24"/>
          <w:szCs w:val="24"/>
        </w:rPr>
        <w:t xml:space="preserve">his response to the </w:t>
      </w:r>
      <w:r w:rsidR="00FA1FC9" w:rsidRPr="00240D66">
        <w:rPr>
          <w:rFonts w:asciiTheme="majorBidi" w:hAnsiTheme="majorBidi" w:cstheme="majorBidi"/>
          <w:sz w:val="24"/>
          <w:szCs w:val="24"/>
        </w:rPr>
        <w:t>release of the Phillips inquiry into the BSE crisis</w:t>
      </w:r>
      <w:r w:rsidR="00F4746E" w:rsidRPr="00240D66">
        <w:rPr>
          <w:rFonts w:asciiTheme="majorBidi" w:hAnsiTheme="majorBidi" w:cstheme="majorBidi"/>
          <w:sz w:val="24"/>
          <w:szCs w:val="24"/>
        </w:rPr>
        <w:t xml:space="preserve">, </w:t>
      </w:r>
      <w:r w:rsidR="00FA1FC9" w:rsidRPr="00240D66">
        <w:rPr>
          <w:rFonts w:asciiTheme="majorBidi" w:hAnsiTheme="majorBidi" w:cstheme="majorBidi"/>
          <w:sz w:val="24"/>
          <w:szCs w:val="24"/>
        </w:rPr>
        <w:t>MAFF Minister Nick</w:t>
      </w:r>
      <w:r w:rsidR="00F4746E" w:rsidRPr="00240D66">
        <w:rPr>
          <w:rFonts w:asciiTheme="majorBidi" w:hAnsiTheme="majorBidi" w:cstheme="majorBidi"/>
          <w:sz w:val="24"/>
          <w:szCs w:val="24"/>
        </w:rPr>
        <w:t xml:space="preserve"> Brown </w:t>
      </w:r>
      <w:r w:rsidR="00C6138A" w:rsidRPr="00240D66">
        <w:rPr>
          <w:rFonts w:asciiTheme="majorBidi" w:hAnsiTheme="majorBidi" w:cstheme="majorBidi"/>
          <w:sz w:val="24"/>
          <w:szCs w:val="24"/>
        </w:rPr>
        <w:t>spoke about the FSA’s critical role</w:t>
      </w:r>
      <w:r w:rsidRPr="00240D66">
        <w:rPr>
          <w:rFonts w:asciiTheme="majorBidi" w:hAnsiTheme="majorBidi" w:cstheme="majorBidi"/>
          <w:sz w:val="24"/>
          <w:szCs w:val="24"/>
        </w:rPr>
        <w:t>:</w:t>
      </w:r>
    </w:p>
    <w:p w:rsidR="00F4746E" w:rsidRPr="00240D66" w:rsidRDefault="00F4746E" w:rsidP="00240D66">
      <w:pPr>
        <w:spacing w:line="360" w:lineRule="auto"/>
        <w:ind w:left="720"/>
        <w:rPr>
          <w:rFonts w:asciiTheme="majorBidi" w:hAnsiTheme="majorBidi" w:cstheme="majorBidi"/>
          <w:sz w:val="24"/>
          <w:szCs w:val="24"/>
        </w:rPr>
      </w:pPr>
      <w:r w:rsidRPr="00240D66">
        <w:rPr>
          <w:rFonts w:asciiTheme="majorBidi" w:hAnsiTheme="majorBidi" w:cstheme="majorBidi"/>
          <w:sz w:val="24"/>
          <w:szCs w:val="24"/>
        </w:rPr>
        <w:t>The report of Lord Phillips identifies institutional and political failure throughout the BSE story. Our task today is to do everything we can to ensure that those failures do not happen again. Since coming to office, the Government have committed themselves to a policy of open and transparent working on issues of food safety. Our aim is to provide consumers and others with timely, accurate and science-based information and advice, enabling people to make informed decisions and choices. To establish credibility, it is necessary to generate trust. Trust can be generated only by openness. Openness requires that, where there is uncertainty, it is recognised and explained</w:t>
      </w:r>
      <w:r w:rsidR="00221F2A" w:rsidRPr="00240D66">
        <w:rPr>
          <w:rFonts w:asciiTheme="majorBidi" w:hAnsiTheme="majorBidi" w:cstheme="majorBidi"/>
          <w:sz w:val="24"/>
          <w:szCs w:val="24"/>
        </w:rPr>
        <w:t xml:space="preserve"> (House of Commons</w:t>
      </w:r>
      <w:r w:rsidRPr="00240D66">
        <w:rPr>
          <w:rFonts w:asciiTheme="majorBidi" w:hAnsiTheme="majorBidi" w:cstheme="majorBidi"/>
          <w:sz w:val="24"/>
          <w:szCs w:val="24"/>
        </w:rPr>
        <w:t>, 2001)</w:t>
      </w:r>
    </w:p>
    <w:p w:rsidR="006F4B28" w:rsidRPr="00240D66" w:rsidRDefault="00F4746E"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This mode of coordination was to be sustained by a variety of innovative practices</w:t>
      </w:r>
      <w:r w:rsidR="00254016" w:rsidRPr="00240D66">
        <w:rPr>
          <w:rFonts w:asciiTheme="majorBidi" w:hAnsiTheme="majorBidi" w:cstheme="majorBidi"/>
          <w:sz w:val="24"/>
          <w:szCs w:val="24"/>
        </w:rPr>
        <w:t>. P</w:t>
      </w:r>
      <w:r w:rsidR="001F7700" w:rsidRPr="00240D66">
        <w:rPr>
          <w:rFonts w:asciiTheme="majorBidi" w:hAnsiTheme="majorBidi" w:cstheme="majorBidi"/>
          <w:sz w:val="24"/>
          <w:szCs w:val="24"/>
        </w:rPr>
        <w:t>ublic dialogue was</w:t>
      </w:r>
      <w:r w:rsidR="00D76A54" w:rsidRPr="00240D66">
        <w:rPr>
          <w:rFonts w:asciiTheme="majorBidi" w:hAnsiTheme="majorBidi" w:cstheme="majorBidi"/>
          <w:sz w:val="24"/>
          <w:szCs w:val="24"/>
        </w:rPr>
        <w:t xml:space="preserve"> established by way of a high-profile</w:t>
      </w:r>
      <w:r w:rsidR="001F7700" w:rsidRPr="00240D66">
        <w:rPr>
          <w:rFonts w:asciiTheme="majorBidi" w:hAnsiTheme="majorBidi" w:cstheme="majorBidi"/>
          <w:sz w:val="24"/>
          <w:szCs w:val="24"/>
        </w:rPr>
        <w:t xml:space="preserve"> </w:t>
      </w:r>
      <w:r w:rsidR="001D255C" w:rsidRPr="00240D66">
        <w:rPr>
          <w:rFonts w:asciiTheme="majorBidi" w:hAnsiTheme="majorBidi" w:cstheme="majorBidi"/>
          <w:sz w:val="24"/>
          <w:szCs w:val="24"/>
        </w:rPr>
        <w:t>and (for the time) innovative</w:t>
      </w:r>
      <w:r w:rsidR="00D76A54" w:rsidRPr="00240D66">
        <w:rPr>
          <w:rFonts w:asciiTheme="majorBidi" w:hAnsiTheme="majorBidi" w:cstheme="majorBidi"/>
          <w:sz w:val="24"/>
          <w:szCs w:val="24"/>
        </w:rPr>
        <w:t xml:space="preserve"> </w:t>
      </w:r>
      <w:r w:rsidR="001F7700" w:rsidRPr="00240D66">
        <w:rPr>
          <w:rFonts w:asciiTheme="majorBidi" w:hAnsiTheme="majorBidi" w:cstheme="majorBidi"/>
          <w:sz w:val="24"/>
          <w:szCs w:val="24"/>
        </w:rPr>
        <w:t>internet presence and blog. There was</w:t>
      </w:r>
      <w:r w:rsidR="009F1CCA" w:rsidRPr="00240D66">
        <w:rPr>
          <w:rFonts w:asciiTheme="majorBidi" w:hAnsiTheme="majorBidi" w:cstheme="majorBidi"/>
          <w:sz w:val="24"/>
          <w:szCs w:val="24"/>
        </w:rPr>
        <w:t xml:space="preserve"> </w:t>
      </w:r>
      <w:r w:rsidR="001F7700" w:rsidRPr="00240D66">
        <w:rPr>
          <w:rFonts w:asciiTheme="majorBidi" w:hAnsiTheme="majorBidi" w:cstheme="majorBidi"/>
          <w:sz w:val="24"/>
          <w:szCs w:val="24"/>
        </w:rPr>
        <w:t xml:space="preserve">also </w:t>
      </w:r>
      <w:r w:rsidR="009F1CCA" w:rsidRPr="00240D66">
        <w:rPr>
          <w:rFonts w:asciiTheme="majorBidi" w:hAnsiTheme="majorBidi" w:cstheme="majorBidi"/>
          <w:sz w:val="24"/>
          <w:szCs w:val="24"/>
        </w:rPr>
        <w:t>a commitment to full disclosure of FSA administration</w:t>
      </w:r>
      <w:r w:rsidR="001F7700" w:rsidRPr="00240D66">
        <w:rPr>
          <w:rFonts w:asciiTheme="majorBidi" w:hAnsiTheme="majorBidi" w:cstheme="majorBidi"/>
          <w:sz w:val="24"/>
          <w:szCs w:val="24"/>
        </w:rPr>
        <w:t xml:space="preserve"> via this </w:t>
      </w:r>
      <w:r w:rsidR="00D76A54" w:rsidRPr="00240D66">
        <w:rPr>
          <w:rFonts w:asciiTheme="majorBidi" w:hAnsiTheme="majorBidi" w:cstheme="majorBidi"/>
          <w:sz w:val="24"/>
          <w:szCs w:val="24"/>
        </w:rPr>
        <w:t xml:space="preserve">web </w:t>
      </w:r>
      <w:r w:rsidR="001F7700" w:rsidRPr="00240D66">
        <w:rPr>
          <w:rFonts w:asciiTheme="majorBidi" w:hAnsiTheme="majorBidi" w:cstheme="majorBidi"/>
          <w:sz w:val="24"/>
          <w:szCs w:val="24"/>
        </w:rPr>
        <w:t>presence</w:t>
      </w:r>
      <w:r w:rsidR="009F1CCA" w:rsidRPr="00240D66">
        <w:rPr>
          <w:rFonts w:asciiTheme="majorBidi" w:hAnsiTheme="majorBidi" w:cstheme="majorBidi"/>
          <w:sz w:val="24"/>
          <w:szCs w:val="24"/>
        </w:rPr>
        <w:t xml:space="preserve">. Data was made publicly available, including the setting of targets for industry actors and their performance according to key metrics. </w:t>
      </w:r>
      <w:r w:rsidR="001F7700" w:rsidRPr="00240D66">
        <w:rPr>
          <w:rFonts w:asciiTheme="majorBidi" w:hAnsiTheme="majorBidi" w:cstheme="majorBidi"/>
          <w:sz w:val="24"/>
          <w:szCs w:val="24"/>
        </w:rPr>
        <w:t>But the most famous</w:t>
      </w:r>
      <w:r w:rsidR="006F4B28" w:rsidRPr="00240D66">
        <w:rPr>
          <w:rFonts w:asciiTheme="majorBidi" w:hAnsiTheme="majorBidi" w:cstheme="majorBidi"/>
          <w:sz w:val="24"/>
          <w:szCs w:val="24"/>
        </w:rPr>
        <w:t xml:space="preserve"> pla</w:t>
      </w:r>
      <w:r w:rsidR="00212BE3" w:rsidRPr="00240D66">
        <w:rPr>
          <w:rFonts w:asciiTheme="majorBidi" w:hAnsiTheme="majorBidi" w:cstheme="majorBidi"/>
          <w:sz w:val="24"/>
          <w:szCs w:val="24"/>
        </w:rPr>
        <w:t xml:space="preserve">nk </w:t>
      </w:r>
      <w:r w:rsidR="00DA3573" w:rsidRPr="00240D66">
        <w:rPr>
          <w:rFonts w:asciiTheme="majorBidi" w:hAnsiTheme="majorBidi" w:cstheme="majorBidi"/>
          <w:sz w:val="24"/>
          <w:szCs w:val="24"/>
        </w:rPr>
        <w:t>of transparency</w:t>
      </w:r>
      <w:r w:rsidR="006F4B28" w:rsidRPr="00240D66">
        <w:rPr>
          <w:rFonts w:asciiTheme="majorBidi" w:hAnsiTheme="majorBidi" w:cstheme="majorBidi"/>
          <w:sz w:val="24"/>
          <w:szCs w:val="24"/>
        </w:rPr>
        <w:t xml:space="preserve"> was the establ</w:t>
      </w:r>
      <w:r w:rsidR="00212BE3" w:rsidRPr="00240D66">
        <w:rPr>
          <w:rFonts w:asciiTheme="majorBidi" w:hAnsiTheme="majorBidi" w:cstheme="majorBidi"/>
          <w:sz w:val="24"/>
          <w:szCs w:val="24"/>
        </w:rPr>
        <w:t>ishment of open board meetings</w:t>
      </w:r>
      <w:r w:rsidR="00D76A54" w:rsidRPr="00240D66">
        <w:rPr>
          <w:rFonts w:asciiTheme="majorBidi" w:hAnsiTheme="majorBidi" w:cstheme="majorBidi"/>
          <w:sz w:val="24"/>
          <w:szCs w:val="24"/>
        </w:rPr>
        <w:t>. The board</w:t>
      </w:r>
      <w:r w:rsidR="00212BE3" w:rsidRPr="00240D66">
        <w:rPr>
          <w:rFonts w:asciiTheme="majorBidi" w:hAnsiTheme="majorBidi" w:cstheme="majorBidi"/>
          <w:sz w:val="24"/>
          <w:szCs w:val="24"/>
        </w:rPr>
        <w:t xml:space="preserve"> </w:t>
      </w:r>
      <w:r w:rsidR="00D76A54" w:rsidRPr="00240D66">
        <w:rPr>
          <w:rFonts w:asciiTheme="majorBidi" w:hAnsiTheme="majorBidi" w:cstheme="majorBidi"/>
          <w:sz w:val="24"/>
          <w:szCs w:val="24"/>
        </w:rPr>
        <w:t xml:space="preserve">was to </w:t>
      </w:r>
      <w:r w:rsidR="00212BE3" w:rsidRPr="00240D66">
        <w:rPr>
          <w:rFonts w:asciiTheme="majorBidi" w:hAnsiTheme="majorBidi" w:cstheme="majorBidi"/>
          <w:sz w:val="24"/>
          <w:szCs w:val="24"/>
        </w:rPr>
        <w:t>me</w:t>
      </w:r>
      <w:r w:rsidR="00D76A54" w:rsidRPr="00240D66">
        <w:rPr>
          <w:rFonts w:asciiTheme="majorBidi" w:hAnsiTheme="majorBidi" w:cstheme="majorBidi"/>
          <w:sz w:val="24"/>
          <w:szCs w:val="24"/>
        </w:rPr>
        <w:t>e</w:t>
      </w:r>
      <w:r w:rsidR="006F4B28" w:rsidRPr="00240D66">
        <w:rPr>
          <w:rFonts w:asciiTheme="majorBidi" w:hAnsiTheme="majorBidi" w:cstheme="majorBidi"/>
          <w:sz w:val="24"/>
          <w:szCs w:val="24"/>
        </w:rPr>
        <w:t xml:space="preserve">t once a month in a fully open public meeting that would be broadcast and archived on the internet. </w:t>
      </w:r>
      <w:r w:rsidR="00787831" w:rsidRPr="00240D66">
        <w:rPr>
          <w:rFonts w:asciiTheme="majorBidi" w:hAnsiTheme="majorBidi" w:cstheme="majorBidi"/>
          <w:sz w:val="24"/>
          <w:szCs w:val="24"/>
        </w:rPr>
        <w:t xml:space="preserve">This was a commitment to </w:t>
      </w:r>
      <w:r w:rsidR="009F1CCA" w:rsidRPr="00240D66">
        <w:rPr>
          <w:rFonts w:asciiTheme="majorBidi" w:hAnsiTheme="majorBidi" w:cstheme="majorBidi"/>
          <w:sz w:val="24"/>
          <w:szCs w:val="24"/>
        </w:rPr>
        <w:t xml:space="preserve">public cooperation across the spheres of </w:t>
      </w:r>
      <w:r w:rsidR="00787831" w:rsidRPr="00240D66">
        <w:rPr>
          <w:rFonts w:asciiTheme="majorBidi" w:hAnsiTheme="majorBidi" w:cstheme="majorBidi"/>
          <w:sz w:val="24"/>
          <w:szCs w:val="24"/>
        </w:rPr>
        <w:t>sci</w:t>
      </w:r>
      <w:r w:rsidR="00152901" w:rsidRPr="00240D66">
        <w:rPr>
          <w:rFonts w:asciiTheme="majorBidi" w:hAnsiTheme="majorBidi" w:cstheme="majorBidi"/>
          <w:sz w:val="24"/>
          <w:szCs w:val="24"/>
        </w:rPr>
        <w:t>e</w:t>
      </w:r>
      <w:r w:rsidR="00DC02DC" w:rsidRPr="00240D66">
        <w:rPr>
          <w:rFonts w:asciiTheme="majorBidi" w:hAnsiTheme="majorBidi" w:cstheme="majorBidi"/>
          <w:sz w:val="24"/>
          <w:szCs w:val="24"/>
        </w:rPr>
        <w:t>nce, business and policymaking.</w:t>
      </w:r>
    </w:p>
    <w:p w:rsidR="00E215B0" w:rsidRPr="00240D66" w:rsidRDefault="009F1CCA"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In important respects, this commitment to </w:t>
      </w:r>
      <w:r w:rsidR="006D0D9F" w:rsidRPr="00240D66">
        <w:rPr>
          <w:rFonts w:asciiTheme="majorBidi" w:hAnsiTheme="majorBidi" w:cstheme="majorBidi"/>
          <w:sz w:val="24"/>
          <w:szCs w:val="24"/>
        </w:rPr>
        <w:t xml:space="preserve">transparency </w:t>
      </w:r>
      <w:r w:rsidRPr="00240D66">
        <w:rPr>
          <w:rFonts w:asciiTheme="majorBidi" w:hAnsiTheme="majorBidi" w:cstheme="majorBidi"/>
          <w:sz w:val="24"/>
          <w:szCs w:val="24"/>
        </w:rPr>
        <w:t xml:space="preserve">enabled the FSA to perform its core functions effectively. </w:t>
      </w:r>
      <w:r w:rsidR="00D04036" w:rsidRPr="00240D66">
        <w:rPr>
          <w:rFonts w:asciiTheme="majorBidi" w:hAnsiTheme="majorBidi" w:cstheme="majorBidi"/>
          <w:sz w:val="24"/>
          <w:szCs w:val="24"/>
        </w:rPr>
        <w:t>The threat of public exposure incentivised administrators within the FSA but also industry actors to set</w:t>
      </w:r>
      <w:r w:rsidR="0070254F" w:rsidRPr="00240D66">
        <w:rPr>
          <w:rFonts w:asciiTheme="majorBidi" w:hAnsiTheme="majorBidi" w:cstheme="majorBidi"/>
          <w:sz w:val="24"/>
          <w:szCs w:val="24"/>
        </w:rPr>
        <w:t>,</w:t>
      </w:r>
      <w:r w:rsidR="00D04036" w:rsidRPr="00240D66">
        <w:rPr>
          <w:rFonts w:asciiTheme="majorBidi" w:hAnsiTheme="majorBidi" w:cstheme="majorBidi"/>
          <w:sz w:val="24"/>
          <w:szCs w:val="24"/>
        </w:rPr>
        <w:t xml:space="preserve"> and reach</w:t>
      </w:r>
      <w:r w:rsidR="0070254F" w:rsidRPr="00240D66">
        <w:rPr>
          <w:rFonts w:asciiTheme="majorBidi" w:hAnsiTheme="majorBidi" w:cstheme="majorBidi"/>
          <w:sz w:val="24"/>
          <w:szCs w:val="24"/>
        </w:rPr>
        <w:t>,</w:t>
      </w:r>
      <w:r w:rsidR="00D04036" w:rsidRPr="00240D66">
        <w:rPr>
          <w:rFonts w:asciiTheme="majorBidi" w:hAnsiTheme="majorBidi" w:cstheme="majorBidi"/>
          <w:sz w:val="24"/>
          <w:szCs w:val="24"/>
        </w:rPr>
        <w:t xml:space="preserve"> ambitious targets </w:t>
      </w:r>
      <w:r w:rsidR="003C29BF" w:rsidRPr="00240D66">
        <w:rPr>
          <w:rFonts w:asciiTheme="majorBidi" w:hAnsiTheme="majorBidi" w:cstheme="majorBidi"/>
          <w:sz w:val="24"/>
          <w:szCs w:val="24"/>
        </w:rPr>
        <w:t>on</w:t>
      </w:r>
      <w:r w:rsidR="00D04036" w:rsidRPr="00240D66">
        <w:rPr>
          <w:rFonts w:asciiTheme="majorBidi" w:hAnsiTheme="majorBidi" w:cstheme="majorBidi"/>
          <w:sz w:val="24"/>
          <w:szCs w:val="24"/>
        </w:rPr>
        <w:t xml:space="preserve"> safety </w:t>
      </w:r>
      <w:r w:rsidR="0070254F" w:rsidRPr="00240D66">
        <w:rPr>
          <w:rFonts w:asciiTheme="majorBidi" w:hAnsiTheme="majorBidi" w:cstheme="majorBidi"/>
          <w:sz w:val="24"/>
          <w:szCs w:val="24"/>
        </w:rPr>
        <w:t xml:space="preserve">practices </w:t>
      </w:r>
      <w:r w:rsidR="00D04036" w:rsidRPr="00240D66">
        <w:rPr>
          <w:rFonts w:asciiTheme="majorBidi" w:hAnsiTheme="majorBidi" w:cstheme="majorBidi"/>
          <w:sz w:val="24"/>
          <w:szCs w:val="24"/>
        </w:rPr>
        <w:t xml:space="preserve">and nutritional </w:t>
      </w:r>
      <w:r w:rsidR="0070254F" w:rsidRPr="00240D66">
        <w:rPr>
          <w:rFonts w:asciiTheme="majorBidi" w:hAnsiTheme="majorBidi" w:cstheme="majorBidi"/>
          <w:sz w:val="24"/>
          <w:szCs w:val="24"/>
        </w:rPr>
        <w:t>guidelines. Indeed, the FSA soon became a</w:t>
      </w:r>
      <w:r w:rsidR="003C29BF" w:rsidRPr="00240D66">
        <w:rPr>
          <w:rFonts w:asciiTheme="majorBidi" w:hAnsiTheme="majorBidi" w:cstheme="majorBidi"/>
          <w:sz w:val="24"/>
          <w:szCs w:val="24"/>
        </w:rPr>
        <w:t xml:space="preserve"> popular </w:t>
      </w:r>
      <w:r w:rsidR="0070254F" w:rsidRPr="00240D66">
        <w:rPr>
          <w:rFonts w:asciiTheme="majorBidi" w:hAnsiTheme="majorBidi" w:cstheme="majorBidi"/>
          <w:sz w:val="24"/>
          <w:szCs w:val="24"/>
        </w:rPr>
        <w:t>model for effective and efficient food and nutrition policymaking</w:t>
      </w:r>
      <w:r w:rsidR="005B215C" w:rsidRPr="00240D66">
        <w:rPr>
          <w:rFonts w:asciiTheme="majorBidi" w:hAnsiTheme="majorBidi" w:cstheme="majorBidi"/>
          <w:sz w:val="24"/>
          <w:szCs w:val="24"/>
        </w:rPr>
        <w:t>. FSA Chair Dame Deirdre Hutton could claim triumphantly in the organization’s 2005/6 Annual Report:</w:t>
      </w:r>
    </w:p>
    <w:p w:rsidR="005B215C" w:rsidRPr="00240D66" w:rsidRDefault="005B215C" w:rsidP="00240D66">
      <w:pPr>
        <w:spacing w:line="360" w:lineRule="auto"/>
        <w:ind w:left="720"/>
        <w:rPr>
          <w:rFonts w:asciiTheme="majorBidi" w:hAnsiTheme="majorBidi" w:cstheme="majorBidi"/>
          <w:sz w:val="24"/>
          <w:szCs w:val="24"/>
        </w:rPr>
      </w:pPr>
      <w:r w:rsidRPr="00240D66">
        <w:rPr>
          <w:rFonts w:asciiTheme="majorBidi" w:hAnsiTheme="majorBidi" w:cstheme="majorBidi"/>
          <w:sz w:val="24"/>
          <w:szCs w:val="24"/>
        </w:rPr>
        <w:t>…Agency staff across the UK have been able to maintain consumers’ trust in the food supply. Indeed, the latest in our annual series of Consumer Attitudes to Food surveys, published in March 2006, illustrates that confidence is growing in our ability to protect people’s health</w:t>
      </w:r>
      <w:r w:rsidR="00240D66">
        <w:rPr>
          <w:rFonts w:asciiTheme="majorBidi" w:hAnsiTheme="majorBidi" w:cstheme="majorBidi"/>
          <w:sz w:val="24"/>
          <w:szCs w:val="24"/>
        </w:rPr>
        <w:t>.</w:t>
      </w:r>
    </w:p>
    <w:p w:rsidR="00D76A54" w:rsidRPr="00240D66" w:rsidRDefault="00E215B0"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But</w:t>
      </w:r>
      <w:r w:rsidR="00F4746E" w:rsidRPr="00240D66">
        <w:rPr>
          <w:rFonts w:asciiTheme="majorBidi" w:hAnsiTheme="majorBidi" w:cstheme="majorBidi"/>
          <w:sz w:val="24"/>
          <w:szCs w:val="24"/>
        </w:rPr>
        <w:t xml:space="preserve"> while a</w:t>
      </w:r>
      <w:r w:rsidR="009F1CCA" w:rsidRPr="00240D66">
        <w:rPr>
          <w:rFonts w:asciiTheme="majorBidi" w:hAnsiTheme="majorBidi" w:cstheme="majorBidi"/>
          <w:sz w:val="24"/>
          <w:szCs w:val="24"/>
        </w:rPr>
        <w:t xml:space="preserve"> commitment to transparency might have enabled efficien</w:t>
      </w:r>
      <w:r w:rsidR="0070254F" w:rsidRPr="00240D66">
        <w:rPr>
          <w:rFonts w:asciiTheme="majorBidi" w:hAnsiTheme="majorBidi" w:cstheme="majorBidi"/>
          <w:sz w:val="24"/>
          <w:szCs w:val="24"/>
        </w:rPr>
        <w:t>t administration</w:t>
      </w:r>
      <w:r w:rsidR="009F1CCA" w:rsidRPr="00240D66">
        <w:rPr>
          <w:rFonts w:asciiTheme="majorBidi" w:hAnsiTheme="majorBidi" w:cstheme="majorBidi"/>
          <w:sz w:val="24"/>
          <w:szCs w:val="24"/>
        </w:rPr>
        <w:t xml:space="preserve"> and effective compliance, it also served to gradually undermine the successful demarcation achieved in the creation of the FSA.</w:t>
      </w:r>
      <w:r w:rsidR="0070254F" w:rsidRPr="00240D66">
        <w:rPr>
          <w:rFonts w:asciiTheme="majorBidi" w:hAnsiTheme="majorBidi" w:cstheme="majorBidi"/>
          <w:sz w:val="24"/>
          <w:szCs w:val="24"/>
        </w:rPr>
        <w:t xml:space="preserve"> Transparency enabled policymaking success, but underpinned institutional instability.</w:t>
      </w:r>
      <w:r w:rsidR="009F1CCA" w:rsidRPr="00240D66">
        <w:rPr>
          <w:rFonts w:asciiTheme="majorBidi" w:hAnsiTheme="majorBidi" w:cstheme="majorBidi"/>
          <w:sz w:val="24"/>
          <w:szCs w:val="24"/>
        </w:rPr>
        <w:t xml:space="preserve"> </w:t>
      </w:r>
      <w:r w:rsidR="00D107A4" w:rsidRPr="00240D66">
        <w:rPr>
          <w:rFonts w:asciiTheme="majorBidi" w:hAnsiTheme="majorBidi" w:cstheme="majorBidi"/>
          <w:sz w:val="24"/>
          <w:szCs w:val="24"/>
        </w:rPr>
        <w:t>T</w:t>
      </w:r>
      <w:r w:rsidR="00D04036" w:rsidRPr="00240D66">
        <w:rPr>
          <w:rFonts w:asciiTheme="majorBidi" w:hAnsiTheme="majorBidi" w:cstheme="majorBidi"/>
          <w:sz w:val="24"/>
          <w:szCs w:val="24"/>
        </w:rPr>
        <w:t>he initial buy-in for this mode of coordination</w:t>
      </w:r>
      <w:r w:rsidR="00655D93" w:rsidRPr="00240D66">
        <w:rPr>
          <w:rFonts w:asciiTheme="majorBidi" w:hAnsiTheme="majorBidi" w:cstheme="majorBidi"/>
          <w:sz w:val="24"/>
          <w:szCs w:val="24"/>
        </w:rPr>
        <w:t xml:space="preserve"> </w:t>
      </w:r>
      <w:r w:rsidR="009F1CCA" w:rsidRPr="00240D66">
        <w:rPr>
          <w:rFonts w:asciiTheme="majorBidi" w:hAnsiTheme="majorBidi" w:cstheme="majorBidi"/>
          <w:sz w:val="24"/>
          <w:szCs w:val="24"/>
        </w:rPr>
        <w:t xml:space="preserve">began to give way as </w:t>
      </w:r>
      <w:r w:rsidR="00D04036" w:rsidRPr="00240D66">
        <w:rPr>
          <w:rFonts w:asciiTheme="majorBidi" w:hAnsiTheme="majorBidi" w:cstheme="majorBidi"/>
          <w:sz w:val="24"/>
          <w:szCs w:val="24"/>
        </w:rPr>
        <w:t xml:space="preserve">key stakeholders perceived transparency, </w:t>
      </w:r>
      <w:r w:rsidR="00037851" w:rsidRPr="00240D66">
        <w:rPr>
          <w:rFonts w:asciiTheme="majorBidi" w:hAnsiTheme="majorBidi" w:cstheme="majorBidi"/>
          <w:sz w:val="24"/>
          <w:szCs w:val="24"/>
        </w:rPr>
        <w:t>at least as manifest</w:t>
      </w:r>
      <w:r w:rsidR="00D04036" w:rsidRPr="00240D66">
        <w:rPr>
          <w:rFonts w:asciiTheme="majorBidi" w:hAnsiTheme="majorBidi" w:cstheme="majorBidi"/>
          <w:sz w:val="24"/>
          <w:szCs w:val="24"/>
        </w:rPr>
        <w:t xml:space="preserve"> in the practices of the FSA, as contrary to their long-term interests.</w:t>
      </w:r>
      <w:r w:rsidR="006D0D9F" w:rsidRPr="00240D66">
        <w:rPr>
          <w:rFonts w:asciiTheme="majorBidi" w:hAnsiTheme="majorBidi" w:cstheme="majorBidi"/>
          <w:sz w:val="24"/>
          <w:szCs w:val="24"/>
        </w:rPr>
        <w:t xml:space="preserve"> </w:t>
      </w:r>
    </w:p>
    <w:p w:rsidR="003C29BF" w:rsidRPr="00240D66" w:rsidRDefault="00D76A54"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The first plank to </w:t>
      </w:r>
      <w:r w:rsidR="00655D93" w:rsidRPr="00240D66">
        <w:rPr>
          <w:rFonts w:asciiTheme="majorBidi" w:hAnsiTheme="majorBidi" w:cstheme="majorBidi"/>
          <w:sz w:val="24"/>
          <w:szCs w:val="24"/>
        </w:rPr>
        <w:t>go</w:t>
      </w:r>
      <w:r w:rsidRPr="00240D66">
        <w:rPr>
          <w:rFonts w:asciiTheme="majorBidi" w:hAnsiTheme="majorBidi" w:cstheme="majorBidi"/>
          <w:sz w:val="24"/>
          <w:szCs w:val="24"/>
        </w:rPr>
        <w:t xml:space="preserve"> was </w:t>
      </w:r>
      <w:r w:rsidR="001F7700" w:rsidRPr="00240D66">
        <w:rPr>
          <w:rFonts w:asciiTheme="majorBidi" w:hAnsiTheme="majorBidi" w:cstheme="majorBidi"/>
          <w:sz w:val="24"/>
          <w:szCs w:val="24"/>
        </w:rPr>
        <w:t>the Community Committee</w:t>
      </w:r>
      <w:r w:rsidRPr="00240D66">
        <w:rPr>
          <w:rFonts w:asciiTheme="majorBidi" w:hAnsiTheme="majorBidi" w:cstheme="majorBidi"/>
          <w:sz w:val="24"/>
          <w:szCs w:val="24"/>
        </w:rPr>
        <w:t>. The Committee</w:t>
      </w:r>
      <w:r w:rsidR="001F7700" w:rsidRPr="00240D66">
        <w:rPr>
          <w:rFonts w:asciiTheme="majorBidi" w:hAnsiTheme="majorBidi" w:cstheme="majorBidi"/>
          <w:sz w:val="24"/>
          <w:szCs w:val="24"/>
        </w:rPr>
        <w:t xml:space="preserve"> came to be seen as peripheral</w:t>
      </w:r>
      <w:r w:rsidRPr="00240D66">
        <w:rPr>
          <w:rFonts w:asciiTheme="majorBidi" w:hAnsiTheme="majorBidi" w:cstheme="majorBidi"/>
          <w:sz w:val="24"/>
          <w:szCs w:val="24"/>
        </w:rPr>
        <w:t xml:space="preserve"> to the FSA’s operations, with a widespread perception that its deliberations were</w:t>
      </w:r>
      <w:r w:rsidR="001F7700" w:rsidRPr="00240D66">
        <w:rPr>
          <w:rFonts w:asciiTheme="majorBidi" w:hAnsiTheme="majorBidi" w:cstheme="majorBidi"/>
          <w:sz w:val="24"/>
          <w:szCs w:val="24"/>
        </w:rPr>
        <w:t xml:space="preserve"> not</w:t>
      </w:r>
      <w:r w:rsidRPr="00240D66">
        <w:rPr>
          <w:rFonts w:asciiTheme="majorBidi" w:hAnsiTheme="majorBidi" w:cstheme="majorBidi"/>
          <w:sz w:val="24"/>
          <w:szCs w:val="24"/>
        </w:rPr>
        <w:t xml:space="preserve"> integral to, or instrumentally useful for,</w:t>
      </w:r>
      <w:r w:rsidR="001F7700" w:rsidRPr="00240D66">
        <w:rPr>
          <w:rFonts w:asciiTheme="majorBidi" w:hAnsiTheme="majorBidi" w:cstheme="majorBidi"/>
          <w:sz w:val="24"/>
          <w:szCs w:val="24"/>
        </w:rPr>
        <w:t xml:space="preserve"> the p</w:t>
      </w:r>
      <w:r w:rsidRPr="00240D66">
        <w:rPr>
          <w:rFonts w:asciiTheme="majorBidi" w:hAnsiTheme="majorBidi" w:cstheme="majorBidi"/>
          <w:sz w:val="24"/>
          <w:szCs w:val="24"/>
        </w:rPr>
        <w:t>olicymaking process. This apparent lack of consequentiality, which foreshadowed a creeping scepticism about the authenticity of transparent governance, saw it</w:t>
      </w:r>
      <w:r w:rsidR="001F7700" w:rsidRPr="00240D66">
        <w:rPr>
          <w:rFonts w:asciiTheme="majorBidi" w:hAnsiTheme="majorBidi" w:cstheme="majorBidi"/>
          <w:sz w:val="24"/>
          <w:szCs w:val="24"/>
        </w:rPr>
        <w:t xml:space="preserve"> soon</w:t>
      </w:r>
      <w:r w:rsidR="001E2438" w:rsidRPr="00240D66">
        <w:rPr>
          <w:rFonts w:asciiTheme="majorBidi" w:hAnsiTheme="majorBidi" w:cstheme="majorBidi"/>
          <w:sz w:val="24"/>
          <w:szCs w:val="24"/>
        </w:rPr>
        <w:t xml:space="preserve"> quietly</w:t>
      </w:r>
      <w:r w:rsidR="001F7700" w:rsidRPr="00240D66">
        <w:rPr>
          <w:rFonts w:asciiTheme="majorBidi" w:hAnsiTheme="majorBidi" w:cstheme="majorBidi"/>
          <w:sz w:val="24"/>
          <w:szCs w:val="24"/>
        </w:rPr>
        <w:t xml:space="preserve"> abandoned</w:t>
      </w:r>
      <w:r w:rsidR="003C29BF" w:rsidRPr="00240D66">
        <w:rPr>
          <w:rFonts w:asciiTheme="majorBidi" w:hAnsiTheme="majorBidi" w:cstheme="majorBidi"/>
          <w:sz w:val="24"/>
          <w:szCs w:val="24"/>
        </w:rPr>
        <w:t xml:space="preserve">. </w:t>
      </w:r>
    </w:p>
    <w:p w:rsidR="00C175E1" w:rsidRPr="00240D66" w:rsidRDefault="00D76A54"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Over time, the other more high-profile practices of transparency began to reveal contradictions</w:t>
      </w:r>
      <w:r w:rsidR="001D255C" w:rsidRPr="00240D66">
        <w:rPr>
          <w:rFonts w:asciiTheme="majorBidi" w:hAnsiTheme="majorBidi" w:cstheme="majorBidi"/>
          <w:sz w:val="24"/>
          <w:szCs w:val="24"/>
        </w:rPr>
        <w:t>, too</w:t>
      </w:r>
      <w:r w:rsidR="00DF3BB7" w:rsidRPr="00240D66">
        <w:rPr>
          <w:rFonts w:asciiTheme="majorBidi" w:hAnsiTheme="majorBidi" w:cstheme="majorBidi"/>
          <w:sz w:val="24"/>
          <w:szCs w:val="24"/>
        </w:rPr>
        <w:t>, slowly undermining</w:t>
      </w:r>
      <w:r w:rsidR="00255903" w:rsidRPr="00240D66">
        <w:rPr>
          <w:rFonts w:asciiTheme="majorBidi" w:hAnsiTheme="majorBidi" w:cstheme="majorBidi"/>
          <w:sz w:val="24"/>
          <w:szCs w:val="24"/>
        </w:rPr>
        <w:t xml:space="preserve"> key actors’ faith in the authenticity of the commitment to transparent coordination.</w:t>
      </w:r>
      <w:r w:rsidR="00DF3BB7" w:rsidRPr="00240D66">
        <w:rPr>
          <w:rFonts w:asciiTheme="majorBidi" w:hAnsiTheme="majorBidi" w:cstheme="majorBidi"/>
          <w:sz w:val="24"/>
          <w:szCs w:val="24"/>
        </w:rPr>
        <w:t xml:space="preserve"> </w:t>
      </w:r>
      <w:r w:rsidR="009F1CCA" w:rsidRPr="00240D66">
        <w:rPr>
          <w:rFonts w:asciiTheme="majorBidi" w:hAnsiTheme="majorBidi" w:cstheme="majorBidi"/>
          <w:sz w:val="24"/>
          <w:szCs w:val="24"/>
        </w:rPr>
        <w:t>On the one hand, food and nutrition scientists became increasingly cynical about</w:t>
      </w:r>
      <w:r w:rsidR="001F7700" w:rsidRPr="00240D66">
        <w:rPr>
          <w:rFonts w:asciiTheme="majorBidi" w:hAnsiTheme="majorBidi" w:cstheme="majorBidi"/>
          <w:sz w:val="24"/>
          <w:szCs w:val="24"/>
        </w:rPr>
        <w:t xml:space="preserve"> the</w:t>
      </w:r>
      <w:r w:rsidRPr="00240D66">
        <w:rPr>
          <w:rFonts w:asciiTheme="majorBidi" w:hAnsiTheme="majorBidi" w:cstheme="majorBidi"/>
          <w:sz w:val="24"/>
          <w:szCs w:val="24"/>
        </w:rPr>
        <w:t xml:space="preserve"> public relations driven</w:t>
      </w:r>
      <w:r w:rsidR="001F7700" w:rsidRPr="00240D66">
        <w:rPr>
          <w:rFonts w:asciiTheme="majorBidi" w:hAnsiTheme="majorBidi" w:cstheme="majorBidi"/>
          <w:sz w:val="24"/>
          <w:szCs w:val="24"/>
        </w:rPr>
        <w:t xml:space="preserve"> ‘show’ of transparency. </w:t>
      </w:r>
      <w:r w:rsidR="00DF3BB7" w:rsidRPr="00240D66">
        <w:rPr>
          <w:rFonts w:asciiTheme="majorBidi" w:hAnsiTheme="majorBidi" w:cstheme="majorBidi"/>
          <w:sz w:val="24"/>
          <w:szCs w:val="24"/>
        </w:rPr>
        <w:t>Convinced that the powerful food lobby exercise</w:t>
      </w:r>
      <w:r w:rsidR="003C29BF" w:rsidRPr="00240D66">
        <w:rPr>
          <w:rFonts w:asciiTheme="majorBidi" w:hAnsiTheme="majorBidi" w:cstheme="majorBidi"/>
          <w:sz w:val="24"/>
          <w:szCs w:val="24"/>
        </w:rPr>
        <w:t>d</w:t>
      </w:r>
      <w:r w:rsidR="00DF3BB7" w:rsidRPr="00240D66">
        <w:rPr>
          <w:rFonts w:asciiTheme="majorBidi" w:hAnsiTheme="majorBidi" w:cstheme="majorBidi"/>
          <w:sz w:val="24"/>
          <w:szCs w:val="24"/>
        </w:rPr>
        <w:t xml:space="preserve"> significant influence behind the scenes, outspoken scientists began to question the motives of FSA officials in failing to adequately set and enforce targets in food reformulation. </w:t>
      </w:r>
      <w:r w:rsidR="001E2438" w:rsidRPr="00240D66">
        <w:rPr>
          <w:rFonts w:asciiTheme="majorBidi" w:hAnsiTheme="majorBidi" w:cstheme="majorBidi"/>
          <w:sz w:val="24"/>
          <w:szCs w:val="24"/>
        </w:rPr>
        <w:t>Public health advocates</w:t>
      </w:r>
      <w:r w:rsidR="001D255C" w:rsidRPr="00240D66">
        <w:rPr>
          <w:rFonts w:asciiTheme="majorBidi" w:hAnsiTheme="majorBidi" w:cstheme="majorBidi"/>
          <w:sz w:val="24"/>
          <w:szCs w:val="24"/>
        </w:rPr>
        <w:t xml:space="preserve"> </w:t>
      </w:r>
      <w:r w:rsidR="00DF3BB7" w:rsidRPr="00240D66">
        <w:rPr>
          <w:rFonts w:asciiTheme="majorBidi" w:hAnsiTheme="majorBidi" w:cstheme="majorBidi"/>
          <w:sz w:val="24"/>
          <w:szCs w:val="24"/>
        </w:rPr>
        <w:t xml:space="preserve">also </w:t>
      </w:r>
      <w:r w:rsidR="001D255C" w:rsidRPr="00240D66">
        <w:rPr>
          <w:rFonts w:asciiTheme="majorBidi" w:hAnsiTheme="majorBidi" w:cstheme="majorBidi"/>
          <w:sz w:val="24"/>
          <w:szCs w:val="24"/>
        </w:rPr>
        <w:t>criticised the creep</w:t>
      </w:r>
      <w:r w:rsidR="00C175E1" w:rsidRPr="00240D66">
        <w:rPr>
          <w:rFonts w:asciiTheme="majorBidi" w:hAnsiTheme="majorBidi" w:cstheme="majorBidi"/>
          <w:sz w:val="24"/>
          <w:szCs w:val="24"/>
        </w:rPr>
        <w:t xml:space="preserve"> towards industry dominance on the FSA Board</w:t>
      </w:r>
      <w:r w:rsidR="00DF3BB7" w:rsidRPr="00240D66">
        <w:rPr>
          <w:rFonts w:asciiTheme="majorBidi" w:hAnsiTheme="majorBidi" w:cstheme="majorBidi"/>
          <w:sz w:val="24"/>
          <w:szCs w:val="24"/>
        </w:rPr>
        <w:t>:</w:t>
      </w:r>
    </w:p>
    <w:p w:rsidR="00C175E1" w:rsidRPr="00240D66" w:rsidRDefault="00C175E1" w:rsidP="00240D66">
      <w:pPr>
        <w:spacing w:line="360" w:lineRule="auto"/>
        <w:ind w:left="720"/>
        <w:rPr>
          <w:rFonts w:asciiTheme="majorBidi" w:hAnsiTheme="majorBidi" w:cstheme="majorBidi"/>
          <w:sz w:val="24"/>
          <w:szCs w:val="24"/>
        </w:rPr>
      </w:pPr>
      <w:r w:rsidRPr="00240D66">
        <w:rPr>
          <w:rFonts w:asciiTheme="majorBidi" w:hAnsiTheme="majorBidi" w:cstheme="majorBidi"/>
          <w:sz w:val="24"/>
          <w:szCs w:val="24"/>
        </w:rPr>
        <w:t>The Food Standards Agency was established to protect consumers and to end the practice by the old Ministry of Agriculture Fisheries and Foods of putting industrial interests before consumer protection. The FSA has to gain and retain the trust of the public, but it will only be able to do so if Ministers keep their promise to ensure that the FSA Board is free of industrial influence (Millstone 2008).</w:t>
      </w:r>
    </w:p>
    <w:p w:rsidR="003246A1" w:rsidRPr="00240D66" w:rsidRDefault="00D04036"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On the other</w:t>
      </w:r>
      <w:r w:rsidR="00C175E1" w:rsidRPr="00240D66">
        <w:rPr>
          <w:rFonts w:asciiTheme="majorBidi" w:hAnsiTheme="majorBidi" w:cstheme="majorBidi"/>
          <w:sz w:val="24"/>
          <w:szCs w:val="24"/>
        </w:rPr>
        <w:t xml:space="preserve"> hand</w:t>
      </w:r>
      <w:r w:rsidRPr="00240D66">
        <w:rPr>
          <w:rFonts w:asciiTheme="majorBidi" w:hAnsiTheme="majorBidi" w:cstheme="majorBidi"/>
          <w:sz w:val="24"/>
          <w:szCs w:val="24"/>
        </w:rPr>
        <w:t>, industry representatives became increasingly wary of what they saw as a drift in the FSA’s remit towards advocacy on high</w:t>
      </w:r>
      <w:r w:rsidR="006D0D9F" w:rsidRPr="00240D66">
        <w:rPr>
          <w:rFonts w:asciiTheme="majorBidi" w:hAnsiTheme="majorBidi" w:cstheme="majorBidi"/>
          <w:sz w:val="24"/>
          <w:szCs w:val="24"/>
        </w:rPr>
        <w:t xml:space="preserve">-profile policy debates </w:t>
      </w:r>
      <w:r w:rsidRPr="00240D66">
        <w:rPr>
          <w:rFonts w:asciiTheme="majorBidi" w:hAnsiTheme="majorBidi" w:cstheme="majorBidi"/>
          <w:sz w:val="24"/>
          <w:szCs w:val="24"/>
        </w:rPr>
        <w:t>around salt reduction and obesity pre</w:t>
      </w:r>
      <w:r w:rsidR="006D0D9F" w:rsidRPr="00240D66">
        <w:rPr>
          <w:rFonts w:asciiTheme="majorBidi" w:hAnsiTheme="majorBidi" w:cstheme="majorBidi"/>
          <w:sz w:val="24"/>
          <w:szCs w:val="24"/>
        </w:rPr>
        <w:t>vention</w:t>
      </w:r>
      <w:r w:rsidRPr="00240D66">
        <w:rPr>
          <w:rFonts w:asciiTheme="majorBidi" w:hAnsiTheme="majorBidi" w:cstheme="majorBidi"/>
          <w:sz w:val="24"/>
          <w:szCs w:val="24"/>
        </w:rPr>
        <w:t xml:space="preserve">. </w:t>
      </w:r>
      <w:r w:rsidR="00212BE3" w:rsidRPr="00240D66">
        <w:rPr>
          <w:rFonts w:asciiTheme="majorBidi" w:hAnsiTheme="majorBidi" w:cstheme="majorBidi"/>
          <w:sz w:val="24"/>
          <w:szCs w:val="24"/>
        </w:rPr>
        <w:t xml:space="preserve">Before the July 2011 open board meeting, for instance, Food and Drink Federation representatives sent an aggressive letter to all board members expressing their dismay at the proposed agenda for discussion and their </w:t>
      </w:r>
      <w:r w:rsidR="003246A1" w:rsidRPr="00240D66">
        <w:rPr>
          <w:rFonts w:asciiTheme="majorBidi" w:hAnsiTheme="majorBidi" w:cstheme="majorBidi"/>
          <w:sz w:val="24"/>
          <w:szCs w:val="24"/>
        </w:rPr>
        <w:t>lack of input into this agenda.</w:t>
      </w:r>
    </w:p>
    <w:p w:rsidR="003246A1" w:rsidRPr="00240D66" w:rsidRDefault="00212BE3"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Overall then, the perception</w:t>
      </w:r>
      <w:r w:rsidR="00D04036" w:rsidRPr="00240D66">
        <w:rPr>
          <w:rFonts w:asciiTheme="majorBidi" w:hAnsiTheme="majorBidi" w:cstheme="majorBidi"/>
          <w:sz w:val="24"/>
          <w:szCs w:val="24"/>
        </w:rPr>
        <w:t xml:space="preserve"> </w:t>
      </w:r>
      <w:r w:rsidR="003246A1" w:rsidRPr="00240D66">
        <w:rPr>
          <w:rFonts w:asciiTheme="majorBidi" w:hAnsiTheme="majorBidi" w:cstheme="majorBidi"/>
          <w:sz w:val="24"/>
          <w:szCs w:val="24"/>
        </w:rPr>
        <w:t>grew</w:t>
      </w:r>
      <w:r w:rsidR="00D77382" w:rsidRPr="00240D66">
        <w:rPr>
          <w:rFonts w:asciiTheme="majorBidi" w:hAnsiTheme="majorBidi" w:cstheme="majorBidi"/>
          <w:sz w:val="24"/>
          <w:szCs w:val="24"/>
        </w:rPr>
        <w:t xml:space="preserve"> that the</w:t>
      </w:r>
      <w:r w:rsidR="003246A1" w:rsidRPr="00240D66">
        <w:rPr>
          <w:rFonts w:asciiTheme="majorBidi" w:hAnsiTheme="majorBidi" w:cstheme="majorBidi"/>
          <w:sz w:val="24"/>
          <w:szCs w:val="24"/>
        </w:rPr>
        <w:t xml:space="preserve"> ‘open’</w:t>
      </w:r>
      <w:r w:rsidR="00D77382" w:rsidRPr="00240D66">
        <w:rPr>
          <w:rFonts w:asciiTheme="majorBidi" w:hAnsiTheme="majorBidi" w:cstheme="majorBidi"/>
          <w:sz w:val="24"/>
          <w:szCs w:val="24"/>
        </w:rPr>
        <w:t xml:space="preserve"> practices of the FSA</w:t>
      </w:r>
      <w:r w:rsidR="003246A1" w:rsidRPr="00240D66">
        <w:rPr>
          <w:rFonts w:asciiTheme="majorBidi" w:hAnsiTheme="majorBidi" w:cstheme="majorBidi"/>
          <w:sz w:val="24"/>
          <w:szCs w:val="24"/>
        </w:rPr>
        <w:t xml:space="preserve"> were losing their fitness for purpose. Former journalist and founding Board member Richard Ayre reflected during one meeting:</w:t>
      </w:r>
    </w:p>
    <w:p w:rsidR="003246A1" w:rsidRPr="00240D66" w:rsidRDefault="006E43AB" w:rsidP="00240D66">
      <w:pPr>
        <w:spacing w:line="360" w:lineRule="auto"/>
        <w:ind w:left="720"/>
        <w:rPr>
          <w:rFonts w:asciiTheme="majorBidi" w:hAnsiTheme="majorBidi" w:cstheme="majorBidi"/>
          <w:sz w:val="24"/>
          <w:szCs w:val="24"/>
        </w:rPr>
      </w:pPr>
      <w:r w:rsidRPr="00240D66">
        <w:rPr>
          <w:rFonts w:asciiTheme="majorBidi" w:hAnsiTheme="majorBidi" w:cstheme="majorBidi"/>
          <w:sz w:val="24"/>
          <w:szCs w:val="24"/>
        </w:rPr>
        <w:t>[W]e, by common consent I think, se</w:t>
      </w:r>
      <w:r w:rsidR="003246A1" w:rsidRPr="00240D66">
        <w:rPr>
          <w:rFonts w:asciiTheme="majorBidi" w:hAnsiTheme="majorBidi" w:cstheme="majorBidi"/>
          <w:sz w:val="24"/>
          <w:szCs w:val="24"/>
        </w:rPr>
        <w:t xml:space="preserve">t the pace for openness in the way government businesses transacted. Well it’s six years on, I don’t think we’re necessarily the leader anymore, but other people may have a different view about that. And I think it is time over next few months that we had a fundamental review of our approach to openness. Why do we do it? </w:t>
      </w:r>
      <w:r w:rsidRPr="00240D66">
        <w:rPr>
          <w:rFonts w:asciiTheme="majorBidi" w:hAnsiTheme="majorBidi" w:cstheme="majorBidi"/>
          <w:sz w:val="24"/>
          <w:szCs w:val="24"/>
        </w:rPr>
        <w:t>A</w:t>
      </w:r>
      <w:r w:rsidR="003246A1" w:rsidRPr="00240D66">
        <w:rPr>
          <w:rFonts w:asciiTheme="majorBidi" w:hAnsiTheme="majorBidi" w:cstheme="majorBidi"/>
          <w:sz w:val="24"/>
          <w:szCs w:val="24"/>
        </w:rPr>
        <w:t>part from the fact the statu</w:t>
      </w:r>
      <w:r w:rsidRPr="00240D66">
        <w:rPr>
          <w:rFonts w:asciiTheme="majorBidi" w:hAnsiTheme="majorBidi" w:cstheme="majorBidi"/>
          <w:sz w:val="24"/>
          <w:szCs w:val="24"/>
        </w:rPr>
        <w:t>t</w:t>
      </w:r>
      <w:r w:rsidR="003246A1" w:rsidRPr="00240D66">
        <w:rPr>
          <w:rFonts w:asciiTheme="majorBidi" w:hAnsiTheme="majorBidi" w:cstheme="majorBidi"/>
          <w:sz w:val="24"/>
          <w:szCs w:val="24"/>
        </w:rPr>
        <w:t>e says we have to, what is the purpose of openness? What are the risks of openness? How is openness best delivered? (FSA Open Board Meeting, June 2006).</w:t>
      </w:r>
    </w:p>
    <w:p w:rsidR="009F1CCA" w:rsidRPr="00240D66" w:rsidRDefault="003246A1"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But little tangible cam</w:t>
      </w:r>
      <w:r w:rsidR="00DC02DC" w:rsidRPr="00240D66">
        <w:rPr>
          <w:rFonts w:asciiTheme="majorBidi" w:hAnsiTheme="majorBidi" w:cstheme="majorBidi"/>
          <w:sz w:val="24"/>
          <w:szCs w:val="24"/>
        </w:rPr>
        <w:t>e</w:t>
      </w:r>
      <w:r w:rsidRPr="00240D66">
        <w:rPr>
          <w:rFonts w:asciiTheme="majorBidi" w:hAnsiTheme="majorBidi" w:cstheme="majorBidi"/>
          <w:sz w:val="24"/>
          <w:szCs w:val="24"/>
        </w:rPr>
        <w:t xml:space="preserve"> of these pleas</w:t>
      </w:r>
      <w:r w:rsidR="00DC02DC" w:rsidRPr="00240D66">
        <w:rPr>
          <w:rFonts w:asciiTheme="majorBidi" w:hAnsiTheme="majorBidi" w:cstheme="majorBidi"/>
          <w:sz w:val="24"/>
          <w:szCs w:val="24"/>
        </w:rPr>
        <w:t>.</w:t>
      </w:r>
      <w:r w:rsidRPr="00240D66">
        <w:rPr>
          <w:rFonts w:asciiTheme="majorBidi" w:hAnsiTheme="majorBidi" w:cstheme="majorBidi"/>
          <w:sz w:val="24"/>
          <w:szCs w:val="24"/>
        </w:rPr>
        <w:t xml:space="preserve"> </w:t>
      </w:r>
      <w:r w:rsidR="00DC02DC" w:rsidRPr="00240D66">
        <w:rPr>
          <w:rFonts w:asciiTheme="majorBidi" w:hAnsiTheme="majorBidi" w:cstheme="majorBidi"/>
          <w:sz w:val="24"/>
          <w:szCs w:val="24"/>
        </w:rPr>
        <w:t>T</w:t>
      </w:r>
      <w:r w:rsidR="00D77382" w:rsidRPr="00240D66">
        <w:rPr>
          <w:rFonts w:asciiTheme="majorBidi" w:hAnsiTheme="majorBidi" w:cstheme="majorBidi"/>
          <w:sz w:val="24"/>
          <w:szCs w:val="24"/>
        </w:rPr>
        <w:t>he boundaries between science, politics and business</w:t>
      </w:r>
      <w:r w:rsidRPr="00240D66">
        <w:rPr>
          <w:rFonts w:asciiTheme="majorBidi" w:hAnsiTheme="majorBidi" w:cstheme="majorBidi"/>
          <w:sz w:val="24"/>
          <w:szCs w:val="24"/>
        </w:rPr>
        <w:t xml:space="preserve"> </w:t>
      </w:r>
      <w:r w:rsidR="001D255C" w:rsidRPr="00240D66">
        <w:rPr>
          <w:rFonts w:asciiTheme="majorBidi" w:hAnsiTheme="majorBidi" w:cstheme="majorBidi"/>
          <w:sz w:val="24"/>
          <w:szCs w:val="24"/>
        </w:rPr>
        <w:t>had begu</w:t>
      </w:r>
      <w:r w:rsidRPr="00240D66">
        <w:rPr>
          <w:rFonts w:asciiTheme="majorBidi" w:hAnsiTheme="majorBidi" w:cstheme="majorBidi"/>
          <w:sz w:val="24"/>
          <w:szCs w:val="24"/>
        </w:rPr>
        <w:t>n to blur once more</w:t>
      </w:r>
      <w:r w:rsidR="00E215B0" w:rsidRPr="00240D66">
        <w:rPr>
          <w:rFonts w:asciiTheme="majorBidi" w:hAnsiTheme="majorBidi" w:cstheme="majorBidi"/>
          <w:sz w:val="24"/>
          <w:szCs w:val="24"/>
        </w:rPr>
        <w:t>.</w:t>
      </w:r>
      <w:r w:rsidR="000F053A" w:rsidRPr="00240D66">
        <w:rPr>
          <w:rFonts w:asciiTheme="majorBidi" w:hAnsiTheme="majorBidi" w:cstheme="majorBidi"/>
          <w:sz w:val="24"/>
          <w:szCs w:val="24"/>
        </w:rPr>
        <w:t xml:space="preserve"> </w:t>
      </w:r>
      <w:r w:rsidR="00E215B0" w:rsidRPr="00240D66">
        <w:rPr>
          <w:rFonts w:asciiTheme="majorBidi" w:hAnsiTheme="majorBidi" w:cstheme="majorBidi"/>
          <w:sz w:val="24"/>
          <w:szCs w:val="24"/>
        </w:rPr>
        <w:t>I</w:t>
      </w:r>
      <w:r w:rsidR="000F053A" w:rsidRPr="00240D66">
        <w:rPr>
          <w:rFonts w:asciiTheme="majorBidi" w:hAnsiTheme="majorBidi" w:cstheme="majorBidi"/>
          <w:sz w:val="24"/>
          <w:szCs w:val="24"/>
        </w:rPr>
        <w:t xml:space="preserve">ncreasing pressures led the incoming Coalition government to embark on a re-organization that stripped the FSA of much of its power. Food systems expert Professor Tim Lang penned a withering critique of this failure of ‘collective memory’ for </w:t>
      </w:r>
      <w:r w:rsidR="000F053A" w:rsidRPr="00240D66">
        <w:rPr>
          <w:rFonts w:asciiTheme="majorBidi" w:hAnsiTheme="majorBidi" w:cstheme="majorBidi"/>
          <w:i/>
          <w:iCs/>
          <w:sz w:val="24"/>
          <w:szCs w:val="24"/>
        </w:rPr>
        <w:t>The Guardian</w:t>
      </w:r>
      <w:r w:rsidR="000F053A" w:rsidRPr="00240D66">
        <w:rPr>
          <w:rFonts w:asciiTheme="majorBidi" w:hAnsiTheme="majorBidi" w:cstheme="majorBidi"/>
          <w:sz w:val="24"/>
          <w:szCs w:val="24"/>
        </w:rPr>
        <w:t>:</w:t>
      </w:r>
    </w:p>
    <w:p w:rsidR="006D0D9F" w:rsidRPr="00240D66" w:rsidRDefault="00A64F52" w:rsidP="00240D66">
      <w:pPr>
        <w:spacing w:line="360" w:lineRule="auto"/>
        <w:ind w:left="720"/>
        <w:rPr>
          <w:rFonts w:asciiTheme="majorBidi" w:hAnsiTheme="majorBidi" w:cstheme="majorBidi"/>
          <w:sz w:val="24"/>
          <w:szCs w:val="24"/>
        </w:rPr>
      </w:pPr>
      <w:r w:rsidRPr="00240D66">
        <w:rPr>
          <w:rFonts w:asciiTheme="majorBidi" w:hAnsiTheme="majorBidi" w:cstheme="majorBidi"/>
          <w:sz w:val="24"/>
          <w:szCs w:val="24"/>
        </w:rPr>
        <w:t>The last Tory government was bombarded by food crises for a decade – remember salmonella and BSE? It mismanaged these spectacularly at times. Labour's response was to set up the Food Standards Agency (FSA), designed to "create blue water between us and safety difficulties", as one minister told me in 1998. The FSA opened in 2000 and, despite ups and downs, it has performed well, winning trust and irritating and offending all sides equally. The new government has now decided to dismember the FSA. Its role as public health adviser on nutrition is to be absorbed into the department of health; its role as inspector of farms, food processing plants and so on will revert to Defra. The much diminished FSA will only enforce food safety and hygiene – the least controversial aspect of its current remit</w:t>
      </w:r>
      <w:r w:rsidR="000F053A" w:rsidRPr="00240D66">
        <w:rPr>
          <w:rFonts w:asciiTheme="majorBidi" w:hAnsiTheme="majorBidi" w:cstheme="majorBidi"/>
          <w:sz w:val="24"/>
          <w:szCs w:val="24"/>
        </w:rPr>
        <w:t xml:space="preserve"> (Lang 2010).</w:t>
      </w:r>
    </w:p>
    <w:p w:rsidR="008C1ECC" w:rsidRPr="00240D66" w:rsidRDefault="005B215C" w:rsidP="00240D66">
      <w:pPr>
        <w:spacing w:line="360" w:lineRule="auto"/>
        <w:rPr>
          <w:rFonts w:asciiTheme="majorBidi" w:hAnsiTheme="majorBidi" w:cstheme="majorBidi"/>
          <w:sz w:val="24"/>
          <w:szCs w:val="24"/>
        </w:rPr>
      </w:pPr>
      <w:r w:rsidRPr="00240D66">
        <w:rPr>
          <w:rFonts w:asciiTheme="majorBidi" w:hAnsiTheme="majorBidi" w:cstheme="majorBidi"/>
          <w:b/>
          <w:bCs/>
          <w:sz w:val="24"/>
          <w:szCs w:val="24"/>
        </w:rPr>
        <w:t xml:space="preserve">The National Institute for Health and Care Excellence: </w:t>
      </w:r>
      <w:r w:rsidR="001C68F1" w:rsidRPr="00240D66">
        <w:rPr>
          <w:rFonts w:asciiTheme="majorBidi" w:hAnsiTheme="majorBidi" w:cstheme="majorBidi"/>
          <w:b/>
          <w:bCs/>
          <w:sz w:val="24"/>
          <w:szCs w:val="24"/>
        </w:rPr>
        <w:t>NICE</w:t>
      </w:r>
    </w:p>
    <w:p w:rsidR="001F3FCA" w:rsidRPr="00240D66" w:rsidRDefault="00E41059" w:rsidP="00240D66">
      <w:pPr>
        <w:spacing w:line="360" w:lineRule="auto"/>
        <w:rPr>
          <w:rFonts w:asciiTheme="majorBidi" w:hAnsiTheme="majorBidi" w:cstheme="majorBidi"/>
          <w:i/>
          <w:iCs/>
          <w:color w:val="FF0000"/>
          <w:sz w:val="24"/>
          <w:szCs w:val="24"/>
        </w:rPr>
      </w:pPr>
      <w:r w:rsidRPr="00240D66">
        <w:rPr>
          <w:rFonts w:asciiTheme="majorBidi" w:hAnsiTheme="majorBidi" w:cstheme="majorBidi"/>
          <w:i/>
          <w:iCs/>
          <w:sz w:val="24"/>
          <w:szCs w:val="24"/>
        </w:rPr>
        <w:t xml:space="preserve">The emergence of </w:t>
      </w:r>
      <w:r w:rsidR="008D0F71" w:rsidRPr="00240D66">
        <w:rPr>
          <w:rFonts w:asciiTheme="majorBidi" w:hAnsiTheme="majorBidi" w:cstheme="majorBidi"/>
          <w:i/>
          <w:iCs/>
          <w:sz w:val="24"/>
          <w:szCs w:val="24"/>
        </w:rPr>
        <w:t xml:space="preserve">a </w:t>
      </w:r>
      <w:r w:rsidRPr="00240D66">
        <w:rPr>
          <w:rFonts w:asciiTheme="majorBidi" w:hAnsiTheme="majorBidi" w:cstheme="majorBidi"/>
          <w:i/>
          <w:iCs/>
          <w:sz w:val="24"/>
          <w:szCs w:val="24"/>
        </w:rPr>
        <w:t>boundary problem</w:t>
      </w:r>
    </w:p>
    <w:p w:rsidR="001D255C" w:rsidRPr="00240D66" w:rsidRDefault="00DA3573"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Like the FSA, NICE’s origins lie in perceptions of political crisis</w:t>
      </w:r>
      <w:r w:rsidR="001D255C" w:rsidRPr="00240D66">
        <w:rPr>
          <w:rFonts w:asciiTheme="majorBidi" w:hAnsiTheme="majorBidi" w:cstheme="majorBidi"/>
          <w:sz w:val="24"/>
          <w:szCs w:val="24"/>
        </w:rPr>
        <w:t>. The specific concern related to</w:t>
      </w:r>
      <w:r w:rsidRPr="00240D66">
        <w:rPr>
          <w:rFonts w:asciiTheme="majorBidi" w:hAnsiTheme="majorBidi" w:cstheme="majorBidi"/>
          <w:sz w:val="24"/>
          <w:szCs w:val="24"/>
        </w:rPr>
        <w:t xml:space="preserve"> tr</w:t>
      </w:r>
      <w:r w:rsidR="005B34D2" w:rsidRPr="00240D66">
        <w:rPr>
          <w:rFonts w:asciiTheme="majorBidi" w:hAnsiTheme="majorBidi" w:cstheme="majorBidi"/>
          <w:sz w:val="24"/>
          <w:szCs w:val="24"/>
        </w:rPr>
        <w:t>e</w:t>
      </w:r>
      <w:r w:rsidRPr="00240D66">
        <w:rPr>
          <w:rFonts w:asciiTheme="majorBidi" w:hAnsiTheme="majorBidi" w:cstheme="majorBidi"/>
          <w:sz w:val="24"/>
          <w:szCs w:val="24"/>
        </w:rPr>
        <w:t xml:space="preserve">atments and services available </w:t>
      </w:r>
      <w:r w:rsidR="005B34D2" w:rsidRPr="00240D66">
        <w:rPr>
          <w:rFonts w:asciiTheme="majorBidi" w:hAnsiTheme="majorBidi" w:cstheme="majorBidi"/>
          <w:sz w:val="24"/>
          <w:szCs w:val="24"/>
        </w:rPr>
        <w:t>on the NHS.</w:t>
      </w:r>
      <w:r w:rsidR="001D255C" w:rsidRPr="00240D66">
        <w:rPr>
          <w:rFonts w:asciiTheme="majorBidi" w:hAnsiTheme="majorBidi" w:cstheme="majorBidi"/>
          <w:sz w:val="24"/>
          <w:szCs w:val="24"/>
        </w:rPr>
        <w:t xml:space="preserve"> NICE’s</w:t>
      </w:r>
      <w:r w:rsidRPr="00240D66">
        <w:rPr>
          <w:rFonts w:asciiTheme="majorBidi" w:hAnsiTheme="majorBidi" w:cstheme="majorBidi"/>
          <w:sz w:val="24"/>
          <w:szCs w:val="24"/>
        </w:rPr>
        <w:t xml:space="preserve"> emergence is especially closely</w:t>
      </w:r>
      <w:r w:rsidR="0059164F" w:rsidRPr="00240D66">
        <w:rPr>
          <w:rFonts w:asciiTheme="majorBidi" w:hAnsiTheme="majorBidi" w:cstheme="majorBidi"/>
          <w:sz w:val="24"/>
          <w:szCs w:val="24"/>
        </w:rPr>
        <w:t xml:space="preserve"> linked to</w:t>
      </w:r>
      <w:r w:rsidR="003F0DB0" w:rsidRPr="00240D66">
        <w:rPr>
          <w:rFonts w:asciiTheme="majorBidi" w:hAnsiTheme="majorBidi" w:cstheme="majorBidi"/>
          <w:sz w:val="24"/>
          <w:szCs w:val="24"/>
        </w:rPr>
        <w:t xml:space="preserve"> </w:t>
      </w:r>
      <w:r w:rsidRPr="00240D66">
        <w:rPr>
          <w:rFonts w:asciiTheme="majorBidi" w:hAnsiTheme="majorBidi" w:cstheme="majorBidi"/>
          <w:sz w:val="24"/>
          <w:szCs w:val="24"/>
        </w:rPr>
        <w:t>mounting</w:t>
      </w:r>
      <w:r w:rsidR="0059164F" w:rsidRPr="00240D66">
        <w:rPr>
          <w:rFonts w:asciiTheme="majorBidi" w:hAnsiTheme="majorBidi" w:cstheme="majorBidi"/>
          <w:sz w:val="24"/>
          <w:szCs w:val="24"/>
        </w:rPr>
        <w:t xml:space="preserve"> controversy over </w:t>
      </w:r>
      <w:r w:rsidRPr="00240D66">
        <w:rPr>
          <w:rFonts w:asciiTheme="majorBidi" w:hAnsiTheme="majorBidi" w:cstheme="majorBidi"/>
          <w:sz w:val="24"/>
          <w:szCs w:val="24"/>
        </w:rPr>
        <w:t>localised health</w:t>
      </w:r>
      <w:r w:rsidR="00212BE3" w:rsidRPr="00240D66">
        <w:rPr>
          <w:rFonts w:asciiTheme="majorBidi" w:hAnsiTheme="majorBidi" w:cstheme="majorBidi"/>
          <w:sz w:val="24"/>
          <w:szCs w:val="24"/>
        </w:rPr>
        <w:t xml:space="preserve">care </w:t>
      </w:r>
      <w:r w:rsidRPr="00240D66">
        <w:rPr>
          <w:rFonts w:asciiTheme="majorBidi" w:hAnsiTheme="majorBidi" w:cstheme="majorBidi"/>
          <w:sz w:val="24"/>
          <w:szCs w:val="24"/>
        </w:rPr>
        <w:t>provision</w:t>
      </w:r>
      <w:r w:rsidR="0047114A" w:rsidRPr="00240D66">
        <w:rPr>
          <w:rFonts w:asciiTheme="majorBidi" w:hAnsiTheme="majorBidi" w:cstheme="majorBidi"/>
          <w:sz w:val="24"/>
          <w:szCs w:val="24"/>
        </w:rPr>
        <w:t xml:space="preserve">, and </w:t>
      </w:r>
      <w:r w:rsidR="005B34D2" w:rsidRPr="00240D66">
        <w:rPr>
          <w:rFonts w:asciiTheme="majorBidi" w:hAnsiTheme="majorBidi" w:cstheme="majorBidi"/>
          <w:sz w:val="24"/>
          <w:szCs w:val="24"/>
        </w:rPr>
        <w:t>so-called</w:t>
      </w:r>
      <w:r w:rsidR="0047114A" w:rsidRPr="00240D66">
        <w:rPr>
          <w:rFonts w:asciiTheme="majorBidi" w:hAnsiTheme="majorBidi" w:cstheme="majorBidi"/>
          <w:sz w:val="24"/>
          <w:szCs w:val="24"/>
        </w:rPr>
        <w:t xml:space="preserve"> ‘postcode lottery’</w:t>
      </w:r>
      <w:r w:rsidR="005B34D2" w:rsidRPr="00240D66">
        <w:rPr>
          <w:rFonts w:asciiTheme="majorBidi" w:hAnsiTheme="majorBidi" w:cstheme="majorBidi"/>
          <w:sz w:val="24"/>
          <w:szCs w:val="24"/>
        </w:rPr>
        <w:t xml:space="preserve"> that </w:t>
      </w:r>
      <w:r w:rsidR="001D255C" w:rsidRPr="00240D66">
        <w:rPr>
          <w:rFonts w:asciiTheme="majorBidi" w:hAnsiTheme="majorBidi" w:cstheme="majorBidi"/>
          <w:sz w:val="24"/>
          <w:szCs w:val="24"/>
        </w:rPr>
        <w:t>re</w:t>
      </w:r>
      <w:r w:rsidR="005B34D2" w:rsidRPr="00240D66">
        <w:rPr>
          <w:rFonts w:asciiTheme="majorBidi" w:hAnsiTheme="majorBidi" w:cstheme="majorBidi"/>
          <w:sz w:val="24"/>
          <w:szCs w:val="24"/>
        </w:rPr>
        <w:t>produced inequalities in access across different localities. Health providers found themselves pressed between the need to tighten health budgets and pressure to improve</w:t>
      </w:r>
      <w:r w:rsidR="001D255C" w:rsidRPr="00240D66">
        <w:rPr>
          <w:rFonts w:asciiTheme="majorBidi" w:hAnsiTheme="majorBidi" w:cstheme="majorBidi"/>
          <w:sz w:val="24"/>
          <w:szCs w:val="24"/>
        </w:rPr>
        <w:t xml:space="preserve"> access to </w:t>
      </w:r>
      <w:r w:rsidR="001E2438" w:rsidRPr="00240D66">
        <w:rPr>
          <w:rFonts w:asciiTheme="majorBidi" w:hAnsiTheme="majorBidi" w:cstheme="majorBidi"/>
          <w:sz w:val="24"/>
          <w:szCs w:val="24"/>
        </w:rPr>
        <w:t xml:space="preserve">treatments and </w:t>
      </w:r>
      <w:r w:rsidR="001D255C" w:rsidRPr="00240D66">
        <w:rPr>
          <w:rFonts w:asciiTheme="majorBidi" w:hAnsiTheme="majorBidi" w:cstheme="majorBidi"/>
          <w:sz w:val="24"/>
          <w:szCs w:val="24"/>
        </w:rPr>
        <w:t>services.</w:t>
      </w:r>
    </w:p>
    <w:p w:rsidR="005B34D2" w:rsidRPr="00240D66" w:rsidRDefault="005B34D2"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By the mid-1990s a number of high-profile cases threw the issue into the media spotlight. T</w:t>
      </w:r>
      <w:r w:rsidR="00DA3573" w:rsidRPr="00240D66">
        <w:rPr>
          <w:rFonts w:asciiTheme="majorBidi" w:hAnsiTheme="majorBidi" w:cstheme="majorBidi"/>
          <w:sz w:val="24"/>
          <w:szCs w:val="24"/>
        </w:rPr>
        <w:t xml:space="preserve">he </w:t>
      </w:r>
      <w:r w:rsidRPr="00240D66">
        <w:rPr>
          <w:rFonts w:asciiTheme="majorBidi" w:hAnsiTheme="majorBidi" w:cstheme="majorBidi"/>
          <w:sz w:val="24"/>
          <w:szCs w:val="24"/>
        </w:rPr>
        <w:t xml:space="preserve">mounting </w:t>
      </w:r>
      <w:r w:rsidR="00DA3573" w:rsidRPr="00240D66">
        <w:rPr>
          <w:rFonts w:asciiTheme="majorBidi" w:hAnsiTheme="majorBidi" w:cstheme="majorBidi"/>
          <w:sz w:val="24"/>
          <w:szCs w:val="24"/>
        </w:rPr>
        <w:t xml:space="preserve">belief was that assessments of new technologies and treatments </w:t>
      </w:r>
      <w:r w:rsidR="001D255C" w:rsidRPr="00240D66">
        <w:rPr>
          <w:rFonts w:asciiTheme="majorBidi" w:hAnsiTheme="majorBidi" w:cstheme="majorBidi"/>
          <w:sz w:val="24"/>
          <w:szCs w:val="24"/>
        </w:rPr>
        <w:t>remained</w:t>
      </w:r>
      <w:r w:rsidR="00DA3573" w:rsidRPr="00240D66">
        <w:rPr>
          <w:rFonts w:asciiTheme="majorBidi" w:hAnsiTheme="majorBidi" w:cstheme="majorBidi"/>
          <w:sz w:val="24"/>
          <w:szCs w:val="24"/>
        </w:rPr>
        <w:t xml:space="preserve"> ad hoc and politically motivated</w:t>
      </w:r>
      <w:r w:rsidR="0047114A" w:rsidRPr="00240D66">
        <w:rPr>
          <w:rFonts w:asciiTheme="majorBidi" w:hAnsiTheme="majorBidi" w:cstheme="majorBidi"/>
          <w:sz w:val="24"/>
          <w:szCs w:val="24"/>
        </w:rPr>
        <w:t>.</w:t>
      </w:r>
      <w:r w:rsidR="003F0DB0" w:rsidRPr="00240D66">
        <w:rPr>
          <w:rFonts w:asciiTheme="majorBidi" w:hAnsiTheme="majorBidi" w:cstheme="majorBidi"/>
          <w:sz w:val="24"/>
          <w:szCs w:val="24"/>
        </w:rPr>
        <w:t xml:space="preserve"> </w:t>
      </w:r>
      <w:r w:rsidRPr="00240D66">
        <w:rPr>
          <w:rFonts w:asciiTheme="majorBidi" w:hAnsiTheme="majorBidi" w:cstheme="majorBidi"/>
          <w:sz w:val="24"/>
          <w:szCs w:val="24"/>
        </w:rPr>
        <w:t xml:space="preserve">Yet there </w:t>
      </w:r>
      <w:r w:rsidR="001D255C" w:rsidRPr="00240D66">
        <w:rPr>
          <w:rFonts w:asciiTheme="majorBidi" w:hAnsiTheme="majorBidi" w:cstheme="majorBidi"/>
          <w:sz w:val="24"/>
          <w:szCs w:val="24"/>
        </w:rPr>
        <w:t>was</w:t>
      </w:r>
      <w:r w:rsidRPr="00240D66">
        <w:rPr>
          <w:rFonts w:asciiTheme="majorBidi" w:hAnsiTheme="majorBidi" w:cstheme="majorBidi"/>
          <w:sz w:val="24"/>
          <w:szCs w:val="24"/>
        </w:rPr>
        <w:t xml:space="preserve"> mindfulness that any move to curb the discretionary power of elites in the medical profession and disrupt the relationship between policymakers and the medical industry</w:t>
      </w:r>
      <w:r w:rsidR="003C29BF" w:rsidRPr="00240D66">
        <w:rPr>
          <w:rFonts w:asciiTheme="majorBidi" w:hAnsiTheme="majorBidi" w:cstheme="majorBidi"/>
          <w:sz w:val="24"/>
          <w:szCs w:val="24"/>
        </w:rPr>
        <w:t xml:space="preserve"> </w:t>
      </w:r>
      <w:r w:rsidRPr="00240D66">
        <w:rPr>
          <w:rFonts w:asciiTheme="majorBidi" w:hAnsiTheme="majorBidi" w:cstheme="majorBidi"/>
          <w:sz w:val="24"/>
          <w:szCs w:val="24"/>
        </w:rPr>
        <w:t xml:space="preserve">could not </w:t>
      </w:r>
      <w:r w:rsidR="001D255C" w:rsidRPr="00240D66">
        <w:rPr>
          <w:rFonts w:asciiTheme="majorBidi" w:hAnsiTheme="majorBidi" w:cstheme="majorBidi"/>
          <w:sz w:val="24"/>
          <w:szCs w:val="24"/>
        </w:rPr>
        <w:t>be taken lightly</w:t>
      </w:r>
      <w:r w:rsidRPr="00240D66">
        <w:rPr>
          <w:rFonts w:asciiTheme="majorBidi" w:hAnsiTheme="majorBidi" w:cstheme="majorBidi"/>
          <w:sz w:val="24"/>
          <w:szCs w:val="24"/>
        </w:rPr>
        <w:t>.</w:t>
      </w:r>
      <w:r w:rsidR="001D255C" w:rsidRPr="00240D66">
        <w:rPr>
          <w:rFonts w:asciiTheme="majorBidi" w:hAnsiTheme="majorBidi" w:cstheme="majorBidi"/>
          <w:sz w:val="24"/>
          <w:szCs w:val="24"/>
        </w:rPr>
        <w:t xml:space="preserve"> </w:t>
      </w:r>
      <w:r w:rsidR="00DA3573" w:rsidRPr="00240D66">
        <w:rPr>
          <w:rFonts w:asciiTheme="majorBidi" w:hAnsiTheme="majorBidi" w:cstheme="majorBidi"/>
          <w:sz w:val="24"/>
          <w:szCs w:val="24"/>
        </w:rPr>
        <w:t xml:space="preserve">The boundaries between </w:t>
      </w:r>
      <w:r w:rsidRPr="00240D66">
        <w:rPr>
          <w:rFonts w:asciiTheme="majorBidi" w:hAnsiTheme="majorBidi" w:cstheme="majorBidi"/>
          <w:sz w:val="24"/>
          <w:szCs w:val="24"/>
        </w:rPr>
        <w:t>practice, science, politics and administration had become blurred.</w:t>
      </w:r>
    </w:p>
    <w:p w:rsidR="00224195" w:rsidRPr="00240D66" w:rsidRDefault="005B34D2"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Th</w:t>
      </w:r>
      <w:r w:rsidR="001D255C" w:rsidRPr="00240D66">
        <w:rPr>
          <w:rFonts w:asciiTheme="majorBidi" w:hAnsiTheme="majorBidi" w:cstheme="majorBidi"/>
          <w:sz w:val="24"/>
          <w:szCs w:val="24"/>
        </w:rPr>
        <w:t xml:space="preserve">e incoming Blair government had </w:t>
      </w:r>
      <w:r w:rsidRPr="00240D66">
        <w:rPr>
          <w:rFonts w:asciiTheme="majorBidi" w:hAnsiTheme="majorBidi" w:cstheme="majorBidi"/>
          <w:sz w:val="24"/>
          <w:szCs w:val="24"/>
        </w:rPr>
        <w:t>made solving the dilemmas of ‘postcode prescribing’ a healthcare priority.</w:t>
      </w:r>
      <w:r w:rsidR="00E2184E" w:rsidRPr="00240D66">
        <w:rPr>
          <w:rFonts w:asciiTheme="majorBidi" w:hAnsiTheme="majorBidi" w:cstheme="majorBidi"/>
          <w:sz w:val="24"/>
          <w:szCs w:val="24"/>
        </w:rPr>
        <w:t xml:space="preserve"> Their move was to set up NICE in 1999. </w:t>
      </w:r>
      <w:r w:rsidR="005F1A2A" w:rsidRPr="00240D66">
        <w:rPr>
          <w:rFonts w:asciiTheme="majorBidi" w:hAnsiTheme="majorBidi" w:cstheme="majorBidi"/>
          <w:sz w:val="24"/>
          <w:szCs w:val="24"/>
        </w:rPr>
        <w:t>A senior bureaucrat, quot</w:t>
      </w:r>
      <w:r w:rsidR="00186E7B" w:rsidRPr="00240D66">
        <w:rPr>
          <w:rFonts w:asciiTheme="majorBidi" w:hAnsiTheme="majorBidi" w:cstheme="majorBidi"/>
          <w:sz w:val="24"/>
          <w:szCs w:val="24"/>
        </w:rPr>
        <w:t xml:space="preserve">ed (off the record) in the </w:t>
      </w:r>
      <w:r w:rsidR="00186E7B" w:rsidRPr="00240D66">
        <w:rPr>
          <w:rFonts w:asciiTheme="majorBidi" w:hAnsiTheme="majorBidi" w:cstheme="majorBidi"/>
          <w:i/>
          <w:iCs/>
          <w:sz w:val="24"/>
          <w:szCs w:val="24"/>
        </w:rPr>
        <w:t>Telegrap</w:t>
      </w:r>
      <w:r w:rsidR="00186E7B" w:rsidRPr="00240D66">
        <w:rPr>
          <w:rFonts w:asciiTheme="majorBidi" w:hAnsiTheme="majorBidi" w:cstheme="majorBidi"/>
          <w:sz w:val="24"/>
          <w:szCs w:val="24"/>
        </w:rPr>
        <w:t>h, later reflected</w:t>
      </w:r>
      <w:r w:rsidR="005F1A2A" w:rsidRPr="00240D66">
        <w:rPr>
          <w:rFonts w:asciiTheme="majorBidi" w:hAnsiTheme="majorBidi" w:cstheme="majorBidi"/>
          <w:sz w:val="24"/>
          <w:szCs w:val="24"/>
        </w:rPr>
        <w:t xml:space="preserve"> cynically:</w:t>
      </w:r>
    </w:p>
    <w:p w:rsidR="00E2184E" w:rsidRPr="00240D66" w:rsidRDefault="005F1A2A" w:rsidP="00240D66">
      <w:pPr>
        <w:spacing w:line="360" w:lineRule="auto"/>
        <w:ind w:left="720"/>
        <w:rPr>
          <w:rFonts w:asciiTheme="majorBidi" w:hAnsiTheme="majorBidi" w:cstheme="majorBidi"/>
          <w:i/>
          <w:iCs/>
          <w:sz w:val="24"/>
          <w:szCs w:val="24"/>
        </w:rPr>
      </w:pPr>
      <w:r w:rsidRPr="00240D66">
        <w:rPr>
          <w:rFonts w:asciiTheme="majorBidi" w:hAnsiTheme="majorBidi" w:cstheme="majorBidi"/>
          <w:sz w:val="24"/>
          <w:szCs w:val="24"/>
          <w:lang w:val="en"/>
        </w:rPr>
        <w:t>Nice was really created to get photogenic patients [who'd been denied drugs] off the TV screens every night (senior bureaucrat quoted off the record in Eastham 2006).</w:t>
      </w:r>
    </w:p>
    <w:p w:rsidR="00221F2A" w:rsidRPr="00240D66" w:rsidRDefault="00221F2A" w:rsidP="00240D66">
      <w:pPr>
        <w:spacing w:line="360" w:lineRule="auto"/>
        <w:rPr>
          <w:rFonts w:asciiTheme="majorBidi" w:hAnsiTheme="majorBidi" w:cstheme="majorBidi"/>
          <w:i/>
          <w:iCs/>
          <w:sz w:val="24"/>
          <w:szCs w:val="24"/>
        </w:rPr>
      </w:pPr>
    </w:p>
    <w:p w:rsidR="00AA29FE" w:rsidRPr="00240D66" w:rsidRDefault="00AA29FE" w:rsidP="00240D66">
      <w:pPr>
        <w:spacing w:line="360" w:lineRule="auto"/>
        <w:rPr>
          <w:rFonts w:asciiTheme="majorBidi" w:hAnsiTheme="majorBidi" w:cstheme="majorBidi"/>
          <w:i/>
          <w:iCs/>
          <w:sz w:val="24"/>
          <w:szCs w:val="24"/>
        </w:rPr>
      </w:pPr>
      <w:r w:rsidRPr="00240D66">
        <w:rPr>
          <w:rFonts w:asciiTheme="majorBidi" w:hAnsiTheme="majorBidi" w:cstheme="majorBidi"/>
          <w:i/>
          <w:iCs/>
          <w:sz w:val="24"/>
          <w:szCs w:val="24"/>
        </w:rPr>
        <w:t xml:space="preserve">The </w:t>
      </w:r>
      <w:r w:rsidR="001F3FCA" w:rsidRPr="00240D66">
        <w:rPr>
          <w:rFonts w:asciiTheme="majorBidi" w:hAnsiTheme="majorBidi" w:cstheme="majorBidi"/>
          <w:i/>
          <w:iCs/>
          <w:sz w:val="24"/>
          <w:szCs w:val="24"/>
        </w:rPr>
        <w:t xml:space="preserve">performance </w:t>
      </w:r>
      <w:r w:rsidRPr="00240D66">
        <w:rPr>
          <w:rFonts w:asciiTheme="majorBidi" w:hAnsiTheme="majorBidi" w:cstheme="majorBidi"/>
          <w:i/>
          <w:iCs/>
          <w:sz w:val="24"/>
          <w:szCs w:val="24"/>
        </w:rPr>
        <w:t>of demarcation</w:t>
      </w:r>
    </w:p>
    <w:p w:rsidR="00152901" w:rsidRPr="00240D66" w:rsidRDefault="00E2184E"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NICE was designed as </w:t>
      </w:r>
      <w:r w:rsidR="005B34D2" w:rsidRPr="00240D66">
        <w:rPr>
          <w:rFonts w:asciiTheme="majorBidi" w:hAnsiTheme="majorBidi" w:cstheme="majorBidi"/>
          <w:sz w:val="24"/>
          <w:szCs w:val="24"/>
        </w:rPr>
        <w:t xml:space="preserve">a special health authority </w:t>
      </w:r>
      <w:r w:rsidR="00CE213D" w:rsidRPr="00240D66">
        <w:rPr>
          <w:rFonts w:asciiTheme="majorBidi" w:hAnsiTheme="majorBidi" w:cstheme="majorBidi"/>
          <w:sz w:val="24"/>
          <w:szCs w:val="24"/>
        </w:rPr>
        <w:t xml:space="preserve">to </w:t>
      </w:r>
      <w:r w:rsidR="005F2EDB" w:rsidRPr="00240D66">
        <w:rPr>
          <w:rFonts w:asciiTheme="majorBidi" w:hAnsiTheme="majorBidi" w:cstheme="majorBidi"/>
          <w:sz w:val="24"/>
          <w:szCs w:val="24"/>
        </w:rPr>
        <w:t xml:space="preserve">reduce variation in the availability and quality of NHS treatments and care. </w:t>
      </w:r>
      <w:r w:rsidR="0047114A" w:rsidRPr="00240D66">
        <w:rPr>
          <w:rFonts w:asciiTheme="majorBidi" w:hAnsiTheme="majorBidi" w:cstheme="majorBidi"/>
          <w:sz w:val="24"/>
          <w:szCs w:val="24"/>
        </w:rPr>
        <w:t xml:space="preserve">It was </w:t>
      </w:r>
      <w:r w:rsidR="001E2438" w:rsidRPr="00240D66">
        <w:rPr>
          <w:rFonts w:asciiTheme="majorBidi" w:hAnsiTheme="majorBidi" w:cstheme="majorBidi"/>
          <w:sz w:val="24"/>
          <w:szCs w:val="24"/>
        </w:rPr>
        <w:t xml:space="preserve">set up as </w:t>
      </w:r>
      <w:r w:rsidR="005F2EDB" w:rsidRPr="00240D66">
        <w:rPr>
          <w:rFonts w:asciiTheme="majorBidi" w:hAnsiTheme="majorBidi" w:cstheme="majorBidi"/>
          <w:sz w:val="24"/>
          <w:szCs w:val="24"/>
        </w:rPr>
        <w:t>an advisory body with a focus on the production of guidelines for health providers and practitioners</w:t>
      </w:r>
      <w:r w:rsidR="0047114A" w:rsidRPr="00240D66">
        <w:rPr>
          <w:rFonts w:asciiTheme="majorBidi" w:hAnsiTheme="majorBidi" w:cstheme="majorBidi"/>
          <w:sz w:val="24"/>
          <w:szCs w:val="24"/>
        </w:rPr>
        <w:t>. The aim was to</w:t>
      </w:r>
      <w:r w:rsidR="005F2EDB" w:rsidRPr="00240D66">
        <w:rPr>
          <w:rFonts w:asciiTheme="majorBidi" w:hAnsiTheme="majorBidi" w:cstheme="majorBidi"/>
          <w:sz w:val="24"/>
          <w:szCs w:val="24"/>
        </w:rPr>
        <w:t xml:space="preserve"> ensure that the most clinically and cost effective drugs and treatments were made available widely on the NHS in England and Wales</w:t>
      </w:r>
      <w:r w:rsidR="0047114A" w:rsidRPr="00240D66">
        <w:rPr>
          <w:rFonts w:asciiTheme="majorBidi" w:hAnsiTheme="majorBidi" w:cstheme="majorBidi"/>
          <w:sz w:val="24"/>
          <w:szCs w:val="24"/>
        </w:rPr>
        <w:t>, although in practice the authority had no capacity to follow-up on compliance</w:t>
      </w:r>
      <w:r w:rsidR="001D255C" w:rsidRPr="00240D66">
        <w:rPr>
          <w:rFonts w:asciiTheme="majorBidi" w:hAnsiTheme="majorBidi" w:cstheme="majorBidi"/>
          <w:sz w:val="24"/>
          <w:szCs w:val="24"/>
        </w:rPr>
        <w:t xml:space="preserve">. </w:t>
      </w:r>
      <w:r w:rsidR="005F2EDB" w:rsidRPr="00240D66">
        <w:rPr>
          <w:rFonts w:asciiTheme="majorBidi" w:hAnsiTheme="majorBidi" w:cstheme="majorBidi"/>
          <w:sz w:val="24"/>
          <w:szCs w:val="24"/>
        </w:rPr>
        <w:t>NICE’s initial</w:t>
      </w:r>
      <w:r w:rsidR="00CE213D" w:rsidRPr="00240D66">
        <w:rPr>
          <w:rFonts w:asciiTheme="majorBidi" w:hAnsiTheme="majorBidi" w:cstheme="majorBidi"/>
          <w:sz w:val="24"/>
          <w:szCs w:val="24"/>
        </w:rPr>
        <w:t xml:space="preserve"> internal structures reinforced this rather limited</w:t>
      </w:r>
      <w:r w:rsidR="005F2EDB" w:rsidRPr="00240D66">
        <w:rPr>
          <w:rFonts w:asciiTheme="majorBidi" w:hAnsiTheme="majorBidi" w:cstheme="majorBidi"/>
          <w:sz w:val="24"/>
          <w:szCs w:val="24"/>
        </w:rPr>
        <w:t xml:space="preserve"> role. It </w:t>
      </w:r>
      <w:r w:rsidR="0028187C" w:rsidRPr="00240D66">
        <w:rPr>
          <w:rFonts w:asciiTheme="majorBidi" w:hAnsiTheme="majorBidi" w:cstheme="majorBidi"/>
          <w:sz w:val="24"/>
          <w:szCs w:val="24"/>
        </w:rPr>
        <w:t>was set up to entail</w:t>
      </w:r>
      <w:r w:rsidR="00CE213D" w:rsidRPr="00240D66">
        <w:rPr>
          <w:rFonts w:asciiTheme="majorBidi" w:hAnsiTheme="majorBidi" w:cstheme="majorBidi"/>
          <w:sz w:val="24"/>
          <w:szCs w:val="24"/>
        </w:rPr>
        <w:t xml:space="preserve"> </w:t>
      </w:r>
      <w:r w:rsidR="0028187C" w:rsidRPr="00240D66">
        <w:rPr>
          <w:rFonts w:asciiTheme="majorBidi" w:hAnsiTheme="majorBidi" w:cstheme="majorBidi"/>
          <w:sz w:val="24"/>
          <w:szCs w:val="24"/>
        </w:rPr>
        <w:t xml:space="preserve">scoping workshops and </w:t>
      </w:r>
      <w:r w:rsidR="00152901" w:rsidRPr="00240D66">
        <w:rPr>
          <w:rFonts w:asciiTheme="majorBidi" w:hAnsiTheme="majorBidi" w:cstheme="majorBidi"/>
          <w:sz w:val="24"/>
          <w:szCs w:val="24"/>
        </w:rPr>
        <w:t>professional working</w:t>
      </w:r>
      <w:r w:rsidR="00CE213D" w:rsidRPr="00240D66">
        <w:rPr>
          <w:rFonts w:asciiTheme="majorBidi" w:hAnsiTheme="majorBidi" w:cstheme="majorBidi"/>
          <w:sz w:val="24"/>
          <w:szCs w:val="24"/>
        </w:rPr>
        <w:t xml:space="preserve"> groups</w:t>
      </w:r>
      <w:r w:rsidR="0047114A" w:rsidRPr="00240D66">
        <w:rPr>
          <w:rFonts w:asciiTheme="majorBidi" w:hAnsiTheme="majorBidi" w:cstheme="majorBidi"/>
          <w:sz w:val="24"/>
          <w:szCs w:val="24"/>
        </w:rPr>
        <w:t xml:space="preserve">, comprised of technical analysts, </w:t>
      </w:r>
      <w:r w:rsidR="005F2EDB" w:rsidRPr="00240D66">
        <w:rPr>
          <w:rFonts w:asciiTheme="majorBidi" w:hAnsiTheme="majorBidi" w:cstheme="majorBidi"/>
          <w:sz w:val="24"/>
          <w:szCs w:val="24"/>
        </w:rPr>
        <w:t>practitioner specialists</w:t>
      </w:r>
      <w:r w:rsidR="0047114A" w:rsidRPr="00240D66">
        <w:rPr>
          <w:rFonts w:asciiTheme="majorBidi" w:hAnsiTheme="majorBidi" w:cstheme="majorBidi"/>
          <w:sz w:val="24"/>
          <w:szCs w:val="24"/>
        </w:rPr>
        <w:t xml:space="preserve"> and patient group representatives. </w:t>
      </w:r>
      <w:r w:rsidR="0028187C" w:rsidRPr="00240D66">
        <w:rPr>
          <w:rFonts w:asciiTheme="majorBidi" w:hAnsiTheme="majorBidi" w:cstheme="majorBidi"/>
          <w:sz w:val="24"/>
          <w:szCs w:val="24"/>
        </w:rPr>
        <w:t>Workshops would meet to define and delimit NICE technical assessments, and groups</w:t>
      </w:r>
      <w:r w:rsidR="0047114A" w:rsidRPr="00240D66">
        <w:rPr>
          <w:rFonts w:asciiTheme="majorBidi" w:hAnsiTheme="majorBidi" w:cstheme="majorBidi"/>
          <w:sz w:val="24"/>
          <w:szCs w:val="24"/>
        </w:rPr>
        <w:t xml:space="preserve"> would</w:t>
      </w:r>
      <w:r w:rsidR="00CE213D" w:rsidRPr="00240D66">
        <w:rPr>
          <w:rFonts w:asciiTheme="majorBidi" w:hAnsiTheme="majorBidi" w:cstheme="majorBidi"/>
          <w:sz w:val="24"/>
          <w:szCs w:val="24"/>
        </w:rPr>
        <w:t xml:space="preserve"> me</w:t>
      </w:r>
      <w:r w:rsidR="0047114A" w:rsidRPr="00240D66">
        <w:rPr>
          <w:rFonts w:asciiTheme="majorBidi" w:hAnsiTheme="majorBidi" w:cstheme="majorBidi"/>
          <w:sz w:val="24"/>
          <w:szCs w:val="24"/>
        </w:rPr>
        <w:t>e</w:t>
      </w:r>
      <w:r w:rsidR="00CE213D" w:rsidRPr="00240D66">
        <w:rPr>
          <w:rFonts w:asciiTheme="majorBidi" w:hAnsiTheme="majorBidi" w:cstheme="majorBidi"/>
          <w:sz w:val="24"/>
          <w:szCs w:val="24"/>
        </w:rPr>
        <w:t xml:space="preserve">t periodically to </w:t>
      </w:r>
      <w:r w:rsidR="005F2EDB" w:rsidRPr="00240D66">
        <w:rPr>
          <w:rFonts w:asciiTheme="majorBidi" w:hAnsiTheme="majorBidi" w:cstheme="majorBidi"/>
          <w:sz w:val="24"/>
          <w:szCs w:val="24"/>
        </w:rPr>
        <w:t xml:space="preserve">oversee the </w:t>
      </w:r>
      <w:r w:rsidR="00CE213D" w:rsidRPr="00240D66">
        <w:rPr>
          <w:rFonts w:asciiTheme="majorBidi" w:hAnsiTheme="majorBidi" w:cstheme="majorBidi"/>
          <w:sz w:val="24"/>
          <w:szCs w:val="24"/>
        </w:rPr>
        <w:t>develop</w:t>
      </w:r>
      <w:r w:rsidR="005F2EDB" w:rsidRPr="00240D66">
        <w:rPr>
          <w:rFonts w:asciiTheme="majorBidi" w:hAnsiTheme="majorBidi" w:cstheme="majorBidi"/>
          <w:sz w:val="24"/>
          <w:szCs w:val="24"/>
        </w:rPr>
        <w:t xml:space="preserve">ment of </w:t>
      </w:r>
      <w:r w:rsidR="00CE213D" w:rsidRPr="00240D66">
        <w:rPr>
          <w:rFonts w:asciiTheme="majorBidi" w:hAnsiTheme="majorBidi" w:cstheme="majorBidi"/>
          <w:sz w:val="24"/>
          <w:szCs w:val="24"/>
        </w:rPr>
        <w:t>guidelines</w:t>
      </w:r>
      <w:r w:rsidR="0028187C" w:rsidRPr="00240D66">
        <w:rPr>
          <w:rFonts w:asciiTheme="majorBidi" w:hAnsiTheme="majorBidi" w:cstheme="majorBidi"/>
          <w:sz w:val="24"/>
          <w:szCs w:val="24"/>
        </w:rPr>
        <w:t xml:space="preserve"> stemming from these assessments</w:t>
      </w:r>
      <w:r w:rsidRPr="00240D66">
        <w:rPr>
          <w:rFonts w:asciiTheme="majorBidi" w:hAnsiTheme="majorBidi" w:cstheme="majorBidi"/>
          <w:sz w:val="24"/>
          <w:szCs w:val="24"/>
        </w:rPr>
        <w:t xml:space="preserve"> (but not evaluate their effectiveness)</w:t>
      </w:r>
      <w:r w:rsidR="00CE213D" w:rsidRPr="00240D66">
        <w:rPr>
          <w:rFonts w:asciiTheme="majorBidi" w:hAnsiTheme="majorBidi" w:cstheme="majorBidi"/>
          <w:sz w:val="24"/>
          <w:szCs w:val="24"/>
        </w:rPr>
        <w:t>. There was also, echoing the FSA example,</w:t>
      </w:r>
      <w:r w:rsidR="00152901" w:rsidRPr="00240D66">
        <w:rPr>
          <w:rFonts w:asciiTheme="majorBidi" w:hAnsiTheme="majorBidi" w:cstheme="majorBidi"/>
          <w:sz w:val="24"/>
          <w:szCs w:val="24"/>
        </w:rPr>
        <w:t xml:space="preserve"> </w:t>
      </w:r>
      <w:r w:rsidR="0047114A" w:rsidRPr="00240D66">
        <w:rPr>
          <w:rFonts w:asciiTheme="majorBidi" w:hAnsiTheme="majorBidi" w:cstheme="majorBidi"/>
          <w:sz w:val="24"/>
          <w:szCs w:val="24"/>
        </w:rPr>
        <w:t>a move to set up C</w:t>
      </w:r>
      <w:r w:rsidR="00CE213D" w:rsidRPr="00240D66">
        <w:rPr>
          <w:rFonts w:asciiTheme="majorBidi" w:hAnsiTheme="majorBidi" w:cstheme="majorBidi"/>
          <w:sz w:val="24"/>
          <w:szCs w:val="24"/>
        </w:rPr>
        <w:t>itizen</w:t>
      </w:r>
      <w:r w:rsidR="0047114A" w:rsidRPr="00240D66">
        <w:rPr>
          <w:rFonts w:asciiTheme="majorBidi" w:hAnsiTheme="majorBidi" w:cstheme="majorBidi"/>
          <w:sz w:val="24"/>
          <w:szCs w:val="24"/>
        </w:rPr>
        <w:t>s Council</w:t>
      </w:r>
      <w:r w:rsidR="00CE213D" w:rsidRPr="00240D66">
        <w:rPr>
          <w:rFonts w:asciiTheme="majorBidi" w:hAnsiTheme="majorBidi" w:cstheme="majorBidi"/>
          <w:sz w:val="24"/>
          <w:szCs w:val="24"/>
        </w:rPr>
        <w:t xml:space="preserve"> which </w:t>
      </w:r>
      <w:r w:rsidR="0047114A" w:rsidRPr="00240D66">
        <w:rPr>
          <w:rFonts w:asciiTheme="majorBidi" w:hAnsiTheme="majorBidi" w:cstheme="majorBidi"/>
          <w:sz w:val="24"/>
          <w:szCs w:val="24"/>
        </w:rPr>
        <w:t>could</w:t>
      </w:r>
      <w:r w:rsidR="00CE213D" w:rsidRPr="00240D66">
        <w:rPr>
          <w:rFonts w:asciiTheme="majorBidi" w:hAnsiTheme="majorBidi" w:cstheme="majorBidi"/>
          <w:sz w:val="24"/>
          <w:szCs w:val="24"/>
        </w:rPr>
        <w:t xml:space="preserve"> provide input</w:t>
      </w:r>
      <w:r w:rsidR="005F2EDB" w:rsidRPr="00240D66">
        <w:rPr>
          <w:rFonts w:asciiTheme="majorBidi" w:hAnsiTheme="majorBidi" w:cstheme="majorBidi"/>
          <w:sz w:val="24"/>
          <w:szCs w:val="24"/>
        </w:rPr>
        <w:t xml:space="preserve"> especially</w:t>
      </w:r>
      <w:r w:rsidR="00CE213D" w:rsidRPr="00240D66">
        <w:rPr>
          <w:rFonts w:asciiTheme="majorBidi" w:hAnsiTheme="majorBidi" w:cstheme="majorBidi"/>
          <w:sz w:val="24"/>
          <w:szCs w:val="24"/>
        </w:rPr>
        <w:t xml:space="preserve"> into </w:t>
      </w:r>
      <w:r w:rsidR="005F2EDB" w:rsidRPr="00240D66">
        <w:rPr>
          <w:rFonts w:asciiTheme="majorBidi" w:hAnsiTheme="majorBidi" w:cstheme="majorBidi"/>
          <w:sz w:val="24"/>
          <w:szCs w:val="24"/>
        </w:rPr>
        <w:t xml:space="preserve">ethically </w:t>
      </w:r>
      <w:r w:rsidR="00CE213D" w:rsidRPr="00240D66">
        <w:rPr>
          <w:rFonts w:asciiTheme="majorBidi" w:hAnsiTheme="majorBidi" w:cstheme="majorBidi"/>
          <w:sz w:val="24"/>
          <w:szCs w:val="24"/>
        </w:rPr>
        <w:t>contentious areas.</w:t>
      </w:r>
      <w:r w:rsidR="00152901" w:rsidRPr="00240D66">
        <w:rPr>
          <w:rFonts w:asciiTheme="majorBidi" w:hAnsiTheme="majorBidi" w:cstheme="majorBidi"/>
          <w:sz w:val="24"/>
          <w:szCs w:val="24"/>
        </w:rPr>
        <w:t xml:space="preserve"> </w:t>
      </w:r>
    </w:p>
    <w:p w:rsidR="00251DAB" w:rsidRPr="00240D66" w:rsidRDefault="006E43AB"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Powerful s</w:t>
      </w:r>
      <w:r w:rsidR="00212BE3" w:rsidRPr="00240D66">
        <w:rPr>
          <w:rFonts w:asciiTheme="majorBidi" w:hAnsiTheme="majorBidi" w:cstheme="majorBidi"/>
          <w:sz w:val="24"/>
          <w:szCs w:val="24"/>
        </w:rPr>
        <w:t xml:space="preserve">takeholders among the medical profession and </w:t>
      </w:r>
      <w:r w:rsidR="009A7D5B" w:rsidRPr="00240D66">
        <w:rPr>
          <w:rFonts w:asciiTheme="majorBidi" w:hAnsiTheme="majorBidi" w:cstheme="majorBidi"/>
          <w:sz w:val="24"/>
          <w:szCs w:val="24"/>
        </w:rPr>
        <w:t>medical</w:t>
      </w:r>
      <w:r w:rsidR="00212BE3" w:rsidRPr="00240D66">
        <w:rPr>
          <w:rFonts w:asciiTheme="majorBidi" w:hAnsiTheme="majorBidi" w:cstheme="majorBidi"/>
          <w:sz w:val="24"/>
          <w:szCs w:val="24"/>
        </w:rPr>
        <w:t xml:space="preserve"> industry</w:t>
      </w:r>
      <w:r w:rsidR="0055250B" w:rsidRPr="00240D66">
        <w:rPr>
          <w:rFonts w:asciiTheme="majorBidi" w:hAnsiTheme="majorBidi" w:cstheme="majorBidi"/>
          <w:sz w:val="24"/>
          <w:szCs w:val="24"/>
        </w:rPr>
        <w:t xml:space="preserve"> </w:t>
      </w:r>
      <w:r w:rsidR="005B2781" w:rsidRPr="00240D66">
        <w:rPr>
          <w:rFonts w:asciiTheme="majorBidi" w:hAnsiTheme="majorBidi" w:cstheme="majorBidi"/>
          <w:sz w:val="24"/>
          <w:szCs w:val="24"/>
        </w:rPr>
        <w:t>provisionally</w:t>
      </w:r>
      <w:r w:rsidR="0055250B" w:rsidRPr="00240D66">
        <w:rPr>
          <w:rFonts w:asciiTheme="majorBidi" w:hAnsiTheme="majorBidi" w:cstheme="majorBidi"/>
          <w:sz w:val="24"/>
          <w:szCs w:val="24"/>
        </w:rPr>
        <w:t xml:space="preserve"> accept</w:t>
      </w:r>
      <w:r w:rsidR="00B001CD" w:rsidRPr="00240D66">
        <w:rPr>
          <w:rFonts w:asciiTheme="majorBidi" w:hAnsiTheme="majorBidi" w:cstheme="majorBidi"/>
          <w:sz w:val="24"/>
          <w:szCs w:val="24"/>
        </w:rPr>
        <w:t>ed</w:t>
      </w:r>
      <w:r w:rsidR="0055250B" w:rsidRPr="00240D66">
        <w:rPr>
          <w:rFonts w:asciiTheme="majorBidi" w:hAnsiTheme="majorBidi" w:cstheme="majorBidi"/>
          <w:sz w:val="24"/>
          <w:szCs w:val="24"/>
        </w:rPr>
        <w:t xml:space="preserve"> the legitimacy of the new authority. They recognised a need to have a settled, impartial </w:t>
      </w:r>
      <w:r w:rsidR="00CE213D" w:rsidRPr="00240D66">
        <w:rPr>
          <w:rFonts w:asciiTheme="majorBidi" w:hAnsiTheme="majorBidi" w:cstheme="majorBidi"/>
          <w:sz w:val="24"/>
          <w:szCs w:val="24"/>
        </w:rPr>
        <w:t xml:space="preserve">body </w:t>
      </w:r>
      <w:r w:rsidR="0055250B" w:rsidRPr="00240D66">
        <w:rPr>
          <w:rFonts w:asciiTheme="majorBidi" w:hAnsiTheme="majorBidi" w:cstheme="majorBidi"/>
          <w:sz w:val="24"/>
          <w:szCs w:val="24"/>
        </w:rPr>
        <w:t>that could provide the basis for sta</w:t>
      </w:r>
      <w:r w:rsidR="001B55AC" w:rsidRPr="00240D66">
        <w:rPr>
          <w:rFonts w:asciiTheme="majorBidi" w:hAnsiTheme="majorBidi" w:cstheme="majorBidi"/>
          <w:sz w:val="24"/>
          <w:szCs w:val="24"/>
        </w:rPr>
        <w:t>ble practice</w:t>
      </w:r>
      <w:r w:rsidR="0055250B" w:rsidRPr="00240D66">
        <w:rPr>
          <w:rFonts w:asciiTheme="majorBidi" w:hAnsiTheme="majorBidi" w:cstheme="majorBidi"/>
          <w:sz w:val="24"/>
          <w:szCs w:val="24"/>
        </w:rPr>
        <w:t>.</w:t>
      </w:r>
      <w:r w:rsidR="009A7D5B" w:rsidRPr="00240D66">
        <w:rPr>
          <w:rFonts w:asciiTheme="majorBidi" w:hAnsiTheme="majorBidi" w:cstheme="majorBidi"/>
          <w:sz w:val="24"/>
          <w:szCs w:val="24"/>
        </w:rPr>
        <w:t xml:space="preserve"> Yet there remained wariness about sur</w:t>
      </w:r>
      <w:r w:rsidR="00902776" w:rsidRPr="00240D66">
        <w:rPr>
          <w:rFonts w:asciiTheme="majorBidi" w:hAnsiTheme="majorBidi" w:cstheme="majorBidi"/>
          <w:sz w:val="24"/>
          <w:szCs w:val="24"/>
        </w:rPr>
        <w:t>rendering professional autonomy. Implementation was characterised by ‘painful foot-dragging’, led by the powerful British Medical Asso</w:t>
      </w:r>
      <w:r w:rsidR="00B001CD" w:rsidRPr="00240D66">
        <w:rPr>
          <w:rFonts w:asciiTheme="majorBidi" w:hAnsiTheme="majorBidi" w:cstheme="majorBidi"/>
          <w:sz w:val="24"/>
          <w:szCs w:val="24"/>
        </w:rPr>
        <w:t>ciation, over concern about the</w:t>
      </w:r>
      <w:r w:rsidR="00902776" w:rsidRPr="00240D66">
        <w:rPr>
          <w:rFonts w:asciiTheme="majorBidi" w:hAnsiTheme="majorBidi" w:cstheme="majorBidi"/>
          <w:sz w:val="24"/>
          <w:szCs w:val="24"/>
        </w:rPr>
        <w:t xml:space="preserve"> effects on individuals in medical practice (Irvine 2014, pp. 16-17).</w:t>
      </w:r>
      <w:r w:rsidR="00E2184E" w:rsidRPr="00240D66">
        <w:rPr>
          <w:rFonts w:asciiTheme="majorBidi" w:hAnsiTheme="majorBidi" w:cstheme="majorBidi"/>
          <w:sz w:val="24"/>
          <w:szCs w:val="24"/>
        </w:rPr>
        <w:t xml:space="preserve"> </w:t>
      </w:r>
      <w:r w:rsidR="009A7D5B" w:rsidRPr="00240D66">
        <w:rPr>
          <w:rFonts w:asciiTheme="majorBidi" w:hAnsiTheme="majorBidi" w:cstheme="majorBidi"/>
          <w:sz w:val="24"/>
          <w:szCs w:val="24"/>
        </w:rPr>
        <w:t xml:space="preserve">The move to deal with the so-called ‘postcode lottery’ also appealed to </w:t>
      </w:r>
      <w:r w:rsidRPr="00240D66">
        <w:rPr>
          <w:rFonts w:asciiTheme="majorBidi" w:hAnsiTheme="majorBidi" w:cstheme="majorBidi"/>
          <w:sz w:val="24"/>
          <w:szCs w:val="24"/>
        </w:rPr>
        <w:t xml:space="preserve">individual </w:t>
      </w:r>
      <w:r w:rsidR="00251DAB" w:rsidRPr="00240D66">
        <w:rPr>
          <w:rFonts w:asciiTheme="majorBidi" w:hAnsiTheme="majorBidi" w:cstheme="majorBidi"/>
          <w:sz w:val="24"/>
          <w:szCs w:val="24"/>
        </w:rPr>
        <w:t xml:space="preserve">professionals, </w:t>
      </w:r>
      <w:r w:rsidR="009A7D5B" w:rsidRPr="00240D66">
        <w:rPr>
          <w:rFonts w:asciiTheme="majorBidi" w:hAnsiTheme="majorBidi" w:cstheme="majorBidi"/>
          <w:sz w:val="24"/>
          <w:szCs w:val="24"/>
        </w:rPr>
        <w:t>patient groups and a broader public concerned about inequality in service provision</w:t>
      </w:r>
      <w:r w:rsidR="008E4BBC" w:rsidRPr="00240D66">
        <w:rPr>
          <w:rFonts w:asciiTheme="majorBidi" w:hAnsiTheme="majorBidi" w:cstheme="majorBidi"/>
          <w:sz w:val="24"/>
          <w:szCs w:val="24"/>
        </w:rPr>
        <w:t>, so long as</w:t>
      </w:r>
      <w:r w:rsidR="00A53200" w:rsidRPr="00240D66">
        <w:rPr>
          <w:rFonts w:asciiTheme="majorBidi" w:hAnsiTheme="majorBidi" w:cstheme="majorBidi"/>
          <w:sz w:val="24"/>
          <w:szCs w:val="24"/>
        </w:rPr>
        <w:t xml:space="preserve"> NICE </w:t>
      </w:r>
      <w:r w:rsidR="008E4BBC" w:rsidRPr="00240D66">
        <w:rPr>
          <w:rFonts w:asciiTheme="majorBidi" w:hAnsiTheme="majorBidi" w:cstheme="majorBidi"/>
          <w:sz w:val="24"/>
          <w:szCs w:val="24"/>
        </w:rPr>
        <w:t>did not</w:t>
      </w:r>
      <w:r w:rsidR="00A53200" w:rsidRPr="00240D66">
        <w:rPr>
          <w:rFonts w:asciiTheme="majorBidi" w:hAnsiTheme="majorBidi" w:cstheme="majorBidi"/>
          <w:sz w:val="24"/>
          <w:szCs w:val="24"/>
        </w:rPr>
        <w:t xml:space="preserve"> </w:t>
      </w:r>
      <w:r w:rsidR="008E4BBC" w:rsidRPr="00240D66">
        <w:rPr>
          <w:rFonts w:asciiTheme="majorBidi" w:hAnsiTheme="majorBidi" w:cstheme="majorBidi"/>
          <w:sz w:val="24"/>
          <w:szCs w:val="24"/>
        </w:rPr>
        <w:t>become</w:t>
      </w:r>
      <w:r w:rsidR="00A53200" w:rsidRPr="00240D66">
        <w:rPr>
          <w:rFonts w:asciiTheme="majorBidi" w:hAnsiTheme="majorBidi" w:cstheme="majorBidi"/>
          <w:sz w:val="24"/>
          <w:szCs w:val="24"/>
        </w:rPr>
        <w:t xml:space="preserve"> a crude tool of </w:t>
      </w:r>
      <w:r w:rsidR="00251DAB" w:rsidRPr="00240D66">
        <w:rPr>
          <w:rFonts w:asciiTheme="majorBidi" w:hAnsiTheme="majorBidi" w:cstheme="majorBidi"/>
          <w:sz w:val="24"/>
          <w:szCs w:val="24"/>
        </w:rPr>
        <w:t>service rationing</w:t>
      </w:r>
      <w:r w:rsidR="001D255C" w:rsidRPr="00240D66">
        <w:rPr>
          <w:rFonts w:asciiTheme="majorBidi" w:hAnsiTheme="majorBidi" w:cstheme="majorBidi"/>
          <w:sz w:val="24"/>
          <w:szCs w:val="24"/>
        </w:rPr>
        <w:t>—a term which the government consciously shoed away from using</w:t>
      </w:r>
      <w:r w:rsidR="00251DAB" w:rsidRPr="00240D66">
        <w:rPr>
          <w:rFonts w:asciiTheme="majorBidi" w:hAnsiTheme="majorBidi" w:cstheme="majorBidi"/>
          <w:sz w:val="24"/>
          <w:szCs w:val="24"/>
        </w:rPr>
        <w:t>. A criticism recalled by Conservative MP Ann Widdecombe in the House of Commons debate surrounding the establishment of NICE colourfully compared the government’s action to:</w:t>
      </w:r>
    </w:p>
    <w:p w:rsidR="00E63383" w:rsidRPr="00240D66" w:rsidRDefault="00251DAB" w:rsidP="00240D66">
      <w:pPr>
        <w:spacing w:line="360" w:lineRule="auto"/>
        <w:ind w:left="720"/>
        <w:rPr>
          <w:rFonts w:asciiTheme="majorBidi" w:hAnsiTheme="majorBidi" w:cstheme="majorBidi"/>
          <w:sz w:val="24"/>
          <w:szCs w:val="24"/>
        </w:rPr>
      </w:pPr>
      <w:r w:rsidRPr="00240D66">
        <w:rPr>
          <w:rFonts w:asciiTheme="majorBidi" w:hAnsiTheme="majorBidi" w:cstheme="majorBidi"/>
          <w:sz w:val="24"/>
          <w:szCs w:val="24"/>
        </w:rPr>
        <w:t>A child hiding under the bedclothes . . . imagining the problem of rationing is a monster that will go away if it refuses to acknowledge it (House of Commons 1999).</w:t>
      </w:r>
    </w:p>
    <w:p w:rsidR="0059164F" w:rsidRPr="00240D66" w:rsidRDefault="006E43AB"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T</w:t>
      </w:r>
      <w:r w:rsidR="0055250B" w:rsidRPr="00240D66">
        <w:rPr>
          <w:rFonts w:asciiTheme="majorBidi" w:hAnsiTheme="majorBidi" w:cstheme="majorBidi"/>
          <w:sz w:val="24"/>
          <w:szCs w:val="24"/>
        </w:rPr>
        <w:t xml:space="preserve">his broader context can help </w:t>
      </w:r>
      <w:r w:rsidR="001264BC" w:rsidRPr="00240D66">
        <w:rPr>
          <w:rFonts w:asciiTheme="majorBidi" w:hAnsiTheme="majorBidi" w:cstheme="majorBidi"/>
          <w:sz w:val="24"/>
          <w:szCs w:val="24"/>
        </w:rPr>
        <w:t xml:space="preserve">explain </w:t>
      </w:r>
      <w:r w:rsidR="0055250B" w:rsidRPr="00240D66">
        <w:rPr>
          <w:rFonts w:asciiTheme="majorBidi" w:hAnsiTheme="majorBidi" w:cstheme="majorBidi"/>
          <w:sz w:val="24"/>
          <w:szCs w:val="24"/>
        </w:rPr>
        <w:t>why NICE’s remit was limited in the initial stages</w:t>
      </w:r>
      <w:r w:rsidR="00212BE3" w:rsidRPr="00240D66">
        <w:rPr>
          <w:rFonts w:asciiTheme="majorBidi" w:hAnsiTheme="majorBidi" w:cstheme="majorBidi"/>
          <w:sz w:val="24"/>
          <w:szCs w:val="24"/>
        </w:rPr>
        <w:t xml:space="preserve">. </w:t>
      </w:r>
      <w:r w:rsidR="009A7D5B" w:rsidRPr="00240D66">
        <w:rPr>
          <w:rFonts w:asciiTheme="majorBidi" w:hAnsiTheme="majorBidi" w:cstheme="majorBidi"/>
          <w:sz w:val="24"/>
          <w:szCs w:val="24"/>
        </w:rPr>
        <w:t>Wariness among practitioners and industry stakeholders</w:t>
      </w:r>
      <w:r w:rsidR="00212BE3" w:rsidRPr="00240D66">
        <w:rPr>
          <w:rFonts w:asciiTheme="majorBidi" w:hAnsiTheme="majorBidi" w:cstheme="majorBidi"/>
          <w:sz w:val="24"/>
          <w:szCs w:val="24"/>
        </w:rPr>
        <w:t xml:space="preserve"> accounts for why NICE</w:t>
      </w:r>
      <w:r w:rsidR="0055250B" w:rsidRPr="00240D66">
        <w:rPr>
          <w:rFonts w:asciiTheme="majorBidi" w:hAnsiTheme="majorBidi" w:cstheme="majorBidi"/>
          <w:sz w:val="24"/>
          <w:szCs w:val="24"/>
        </w:rPr>
        <w:t xml:space="preserve"> </w:t>
      </w:r>
      <w:r w:rsidR="00212BE3" w:rsidRPr="00240D66">
        <w:rPr>
          <w:rFonts w:asciiTheme="majorBidi" w:hAnsiTheme="majorBidi" w:cstheme="majorBidi"/>
          <w:sz w:val="24"/>
          <w:szCs w:val="24"/>
        </w:rPr>
        <w:t>origin</w:t>
      </w:r>
      <w:r w:rsidR="0011519F" w:rsidRPr="00240D66">
        <w:rPr>
          <w:rFonts w:asciiTheme="majorBidi" w:hAnsiTheme="majorBidi" w:cstheme="majorBidi"/>
          <w:sz w:val="24"/>
          <w:szCs w:val="24"/>
        </w:rPr>
        <w:t xml:space="preserve">ally </w:t>
      </w:r>
      <w:r w:rsidR="0055250B" w:rsidRPr="00240D66">
        <w:rPr>
          <w:rFonts w:asciiTheme="majorBidi" w:hAnsiTheme="majorBidi" w:cstheme="majorBidi"/>
          <w:sz w:val="24"/>
          <w:szCs w:val="24"/>
        </w:rPr>
        <w:t xml:space="preserve">attained something less than full agency status, with powers only to recommend standards and no powers to enforce them. </w:t>
      </w:r>
      <w:r w:rsidRPr="00240D66">
        <w:rPr>
          <w:rFonts w:asciiTheme="majorBidi" w:hAnsiTheme="majorBidi" w:cstheme="majorBidi"/>
          <w:sz w:val="24"/>
          <w:szCs w:val="24"/>
        </w:rPr>
        <w:t xml:space="preserve">Wariness among civil society actors and the broader public about the rationing (and thus creeping retreat from provision) of health services similarly required a commitment to softening assessments and leaving space for stakeholder and citizen input. </w:t>
      </w:r>
    </w:p>
    <w:p w:rsidR="003C29BF" w:rsidRPr="00240D66" w:rsidRDefault="0055250B"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Yet</w:t>
      </w:r>
      <w:r w:rsidR="00641DF6" w:rsidRPr="00240D66">
        <w:rPr>
          <w:rFonts w:asciiTheme="majorBidi" w:hAnsiTheme="majorBidi" w:cstheme="majorBidi"/>
          <w:sz w:val="24"/>
          <w:szCs w:val="24"/>
        </w:rPr>
        <w:t>, in practice,</w:t>
      </w:r>
      <w:r w:rsidRPr="00240D66">
        <w:rPr>
          <w:rFonts w:asciiTheme="majorBidi" w:hAnsiTheme="majorBidi" w:cstheme="majorBidi"/>
          <w:sz w:val="24"/>
          <w:szCs w:val="24"/>
        </w:rPr>
        <w:t xml:space="preserve"> time has served to extend the remit of NICE and reinforce its </w:t>
      </w:r>
      <w:r w:rsidR="001D255C" w:rsidRPr="00240D66">
        <w:rPr>
          <w:rFonts w:asciiTheme="majorBidi" w:hAnsiTheme="majorBidi" w:cstheme="majorBidi"/>
          <w:sz w:val="24"/>
          <w:szCs w:val="24"/>
        </w:rPr>
        <w:t>powers and autonomy</w:t>
      </w:r>
      <w:r w:rsidR="005546F6" w:rsidRPr="00240D66">
        <w:rPr>
          <w:rFonts w:asciiTheme="majorBidi" w:hAnsiTheme="majorBidi" w:cstheme="majorBidi"/>
          <w:sz w:val="24"/>
          <w:szCs w:val="24"/>
        </w:rPr>
        <w:t xml:space="preserve">. </w:t>
      </w:r>
      <w:r w:rsidR="00E2184E" w:rsidRPr="00240D66">
        <w:rPr>
          <w:rFonts w:asciiTheme="majorBidi" w:hAnsiTheme="majorBidi" w:cstheme="majorBidi"/>
          <w:sz w:val="24"/>
          <w:szCs w:val="24"/>
        </w:rPr>
        <w:t>It subsequently</w:t>
      </w:r>
      <w:r w:rsidR="009A7D5B" w:rsidRPr="00240D66">
        <w:rPr>
          <w:rFonts w:asciiTheme="majorBidi" w:hAnsiTheme="majorBidi" w:cstheme="majorBidi"/>
          <w:sz w:val="24"/>
          <w:szCs w:val="24"/>
        </w:rPr>
        <w:t xml:space="preserve"> absorbed the public health and health prevention roles of the Health Development Agency.  And, i</w:t>
      </w:r>
      <w:r w:rsidR="005546F6" w:rsidRPr="00240D66">
        <w:rPr>
          <w:rFonts w:asciiTheme="majorBidi" w:hAnsiTheme="majorBidi" w:cstheme="majorBidi"/>
          <w:sz w:val="24"/>
          <w:szCs w:val="24"/>
        </w:rPr>
        <w:t>n the face of another</w:t>
      </w:r>
      <w:r w:rsidR="001319FE" w:rsidRPr="00240D66">
        <w:rPr>
          <w:rFonts w:asciiTheme="majorBidi" w:hAnsiTheme="majorBidi" w:cstheme="majorBidi"/>
          <w:sz w:val="24"/>
          <w:szCs w:val="24"/>
        </w:rPr>
        <w:t xml:space="preserve"> famed</w:t>
      </w:r>
      <w:r w:rsidR="005546F6" w:rsidRPr="00240D66">
        <w:rPr>
          <w:rFonts w:asciiTheme="majorBidi" w:hAnsiTheme="majorBidi" w:cstheme="majorBidi"/>
          <w:sz w:val="24"/>
          <w:szCs w:val="24"/>
        </w:rPr>
        <w:t xml:space="preserve"> bout of quangocide</w:t>
      </w:r>
      <w:r w:rsidR="001319FE" w:rsidRPr="00240D66">
        <w:rPr>
          <w:rFonts w:asciiTheme="majorBidi" w:hAnsiTheme="majorBidi" w:cstheme="majorBidi"/>
          <w:sz w:val="24"/>
          <w:szCs w:val="24"/>
        </w:rPr>
        <w:t xml:space="preserve"> with the election of the Coalition government in 2010</w:t>
      </w:r>
      <w:r w:rsidR="005546F6" w:rsidRPr="00240D66">
        <w:rPr>
          <w:rFonts w:asciiTheme="majorBidi" w:hAnsiTheme="majorBidi" w:cstheme="majorBidi"/>
          <w:sz w:val="24"/>
          <w:szCs w:val="24"/>
        </w:rPr>
        <w:t>, NICE bucked the trend</w:t>
      </w:r>
      <w:r w:rsidR="009A7D5B" w:rsidRPr="00240D66">
        <w:rPr>
          <w:rFonts w:asciiTheme="majorBidi" w:hAnsiTheme="majorBidi" w:cstheme="majorBidi"/>
          <w:sz w:val="24"/>
          <w:szCs w:val="24"/>
        </w:rPr>
        <w:t>, attaining</w:t>
      </w:r>
      <w:r w:rsidR="00212BE3" w:rsidRPr="00240D66">
        <w:rPr>
          <w:rFonts w:asciiTheme="majorBidi" w:hAnsiTheme="majorBidi" w:cstheme="majorBidi"/>
          <w:sz w:val="24"/>
          <w:szCs w:val="24"/>
        </w:rPr>
        <w:t xml:space="preserve"> full agency status</w:t>
      </w:r>
      <w:r w:rsidR="009A7D5B" w:rsidRPr="00240D66">
        <w:rPr>
          <w:rFonts w:asciiTheme="majorBidi" w:hAnsiTheme="majorBidi" w:cstheme="majorBidi"/>
          <w:sz w:val="24"/>
          <w:szCs w:val="24"/>
        </w:rPr>
        <w:t xml:space="preserve"> and expanding its remit to incorporate key aspects of social care</w:t>
      </w:r>
      <w:r w:rsidR="00212BE3" w:rsidRPr="00240D66">
        <w:rPr>
          <w:rFonts w:asciiTheme="majorBidi" w:hAnsiTheme="majorBidi" w:cstheme="majorBidi"/>
          <w:sz w:val="24"/>
          <w:szCs w:val="24"/>
        </w:rPr>
        <w:t>. I</w:t>
      </w:r>
      <w:r w:rsidR="001264BC" w:rsidRPr="00240D66">
        <w:rPr>
          <w:rFonts w:asciiTheme="majorBidi" w:hAnsiTheme="majorBidi" w:cstheme="majorBidi"/>
          <w:sz w:val="24"/>
          <w:szCs w:val="24"/>
        </w:rPr>
        <w:t xml:space="preserve">ts </w:t>
      </w:r>
      <w:r w:rsidR="0015568B" w:rsidRPr="00240D66">
        <w:rPr>
          <w:rFonts w:asciiTheme="majorBidi" w:hAnsiTheme="majorBidi" w:cstheme="majorBidi"/>
          <w:sz w:val="24"/>
          <w:szCs w:val="24"/>
        </w:rPr>
        <w:t xml:space="preserve">independence, influence and scope </w:t>
      </w:r>
      <w:r w:rsidR="00212BE3" w:rsidRPr="00240D66">
        <w:rPr>
          <w:rFonts w:asciiTheme="majorBidi" w:hAnsiTheme="majorBidi" w:cstheme="majorBidi"/>
          <w:sz w:val="24"/>
          <w:szCs w:val="24"/>
        </w:rPr>
        <w:t xml:space="preserve">have </w:t>
      </w:r>
      <w:r w:rsidR="0015568B" w:rsidRPr="00240D66">
        <w:rPr>
          <w:rFonts w:asciiTheme="majorBidi" w:hAnsiTheme="majorBidi" w:cstheme="majorBidi"/>
          <w:sz w:val="24"/>
          <w:szCs w:val="24"/>
        </w:rPr>
        <w:t xml:space="preserve">all </w:t>
      </w:r>
      <w:r w:rsidR="00DB3D3E" w:rsidRPr="00240D66">
        <w:rPr>
          <w:rFonts w:asciiTheme="majorBidi" w:hAnsiTheme="majorBidi" w:cstheme="majorBidi"/>
          <w:sz w:val="24"/>
          <w:szCs w:val="24"/>
        </w:rPr>
        <w:t xml:space="preserve">been </w:t>
      </w:r>
      <w:r w:rsidR="001264BC" w:rsidRPr="00240D66">
        <w:rPr>
          <w:rFonts w:asciiTheme="majorBidi" w:hAnsiTheme="majorBidi" w:cstheme="majorBidi"/>
          <w:sz w:val="24"/>
          <w:szCs w:val="24"/>
        </w:rPr>
        <w:t xml:space="preserve">strengthened </w:t>
      </w:r>
      <w:r w:rsidR="0015568B" w:rsidRPr="00240D66">
        <w:rPr>
          <w:rFonts w:asciiTheme="majorBidi" w:hAnsiTheme="majorBidi" w:cstheme="majorBidi"/>
          <w:sz w:val="24"/>
          <w:szCs w:val="24"/>
        </w:rPr>
        <w:t xml:space="preserve">(see </w:t>
      </w:r>
      <w:r w:rsidR="00F8351A" w:rsidRPr="00240D66">
        <w:rPr>
          <w:rFonts w:asciiTheme="majorBidi" w:hAnsiTheme="majorBidi" w:cstheme="majorBidi"/>
          <w:sz w:val="24"/>
          <w:szCs w:val="24"/>
        </w:rPr>
        <w:t>Department of Health</w:t>
      </w:r>
      <w:r w:rsidR="0015568B" w:rsidRPr="00240D66">
        <w:rPr>
          <w:rFonts w:asciiTheme="majorBidi" w:hAnsiTheme="majorBidi" w:cstheme="majorBidi"/>
          <w:sz w:val="24"/>
          <w:szCs w:val="24"/>
        </w:rPr>
        <w:t xml:space="preserve"> 2013)</w:t>
      </w:r>
      <w:r w:rsidR="009A7D5B" w:rsidRPr="00240D66">
        <w:rPr>
          <w:rFonts w:asciiTheme="majorBidi" w:hAnsiTheme="majorBidi" w:cstheme="majorBidi"/>
          <w:sz w:val="24"/>
          <w:szCs w:val="24"/>
        </w:rPr>
        <w:t>.</w:t>
      </w:r>
    </w:p>
    <w:p w:rsidR="00224195" w:rsidRPr="00240D66" w:rsidRDefault="00224195" w:rsidP="00240D66">
      <w:pPr>
        <w:spacing w:line="360" w:lineRule="auto"/>
        <w:rPr>
          <w:rFonts w:asciiTheme="majorBidi" w:hAnsiTheme="majorBidi" w:cstheme="majorBidi"/>
          <w:sz w:val="24"/>
          <w:szCs w:val="24"/>
        </w:rPr>
      </w:pPr>
    </w:p>
    <w:p w:rsidR="0070254F" w:rsidRPr="00240D66" w:rsidRDefault="00B2486F" w:rsidP="00240D66">
      <w:pPr>
        <w:spacing w:line="360" w:lineRule="auto"/>
        <w:rPr>
          <w:rFonts w:asciiTheme="majorBidi" w:hAnsiTheme="majorBidi" w:cstheme="majorBidi"/>
          <w:i/>
          <w:iCs/>
          <w:sz w:val="24"/>
          <w:szCs w:val="24"/>
        </w:rPr>
      </w:pPr>
      <w:r w:rsidRPr="00240D66">
        <w:rPr>
          <w:rFonts w:asciiTheme="majorBidi" w:hAnsiTheme="majorBidi" w:cstheme="majorBidi"/>
          <w:i/>
          <w:iCs/>
          <w:sz w:val="24"/>
          <w:szCs w:val="24"/>
        </w:rPr>
        <w:t>The mode</w:t>
      </w:r>
      <w:r w:rsidR="00E41059" w:rsidRPr="00240D66">
        <w:rPr>
          <w:rFonts w:asciiTheme="majorBidi" w:hAnsiTheme="majorBidi" w:cstheme="majorBidi"/>
          <w:i/>
          <w:iCs/>
          <w:sz w:val="24"/>
          <w:szCs w:val="24"/>
        </w:rPr>
        <w:t xml:space="preserve"> of c</w:t>
      </w:r>
      <w:r w:rsidR="0070254F" w:rsidRPr="00240D66">
        <w:rPr>
          <w:rFonts w:asciiTheme="majorBidi" w:hAnsiTheme="majorBidi" w:cstheme="majorBidi"/>
          <w:i/>
          <w:iCs/>
          <w:sz w:val="24"/>
          <w:szCs w:val="24"/>
        </w:rPr>
        <w:t>oordination</w:t>
      </w:r>
    </w:p>
    <w:p w:rsidR="00F5320D" w:rsidRPr="00240D66" w:rsidRDefault="00356C6C"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We see then that there are broad similarities in the institutional configurations of NICE and the FSA—with an emphasis on </w:t>
      </w:r>
      <w:r w:rsidR="00542A75" w:rsidRPr="00240D66">
        <w:rPr>
          <w:rFonts w:asciiTheme="majorBidi" w:hAnsiTheme="majorBidi" w:cstheme="majorBidi"/>
          <w:sz w:val="24"/>
          <w:szCs w:val="24"/>
        </w:rPr>
        <w:t>multi-stakeholder</w:t>
      </w:r>
      <w:r w:rsidRPr="00240D66">
        <w:rPr>
          <w:rFonts w:asciiTheme="majorBidi" w:hAnsiTheme="majorBidi" w:cstheme="majorBidi"/>
          <w:sz w:val="24"/>
          <w:szCs w:val="24"/>
        </w:rPr>
        <w:t xml:space="preserve"> committees and input solicited from lay citizens. </w:t>
      </w:r>
      <w:r w:rsidR="00542A75" w:rsidRPr="00240D66">
        <w:rPr>
          <w:rFonts w:asciiTheme="majorBidi" w:hAnsiTheme="majorBidi" w:cstheme="majorBidi"/>
          <w:sz w:val="24"/>
          <w:szCs w:val="24"/>
        </w:rPr>
        <w:t>Such institutional arrangements entailed associated practices of collaboration and transparent reporting (and indeed NICE, like many arms-length bodies now, has followed the lead of the FSA</w:t>
      </w:r>
      <w:r w:rsidR="001D255C" w:rsidRPr="00240D66">
        <w:rPr>
          <w:rFonts w:asciiTheme="majorBidi" w:hAnsiTheme="majorBidi" w:cstheme="majorBidi"/>
          <w:sz w:val="24"/>
          <w:szCs w:val="24"/>
        </w:rPr>
        <w:t xml:space="preserve"> in open policymaking</w:t>
      </w:r>
      <w:r w:rsidR="00542A75" w:rsidRPr="00240D66">
        <w:rPr>
          <w:rFonts w:asciiTheme="majorBidi" w:hAnsiTheme="majorBidi" w:cstheme="majorBidi"/>
          <w:sz w:val="24"/>
          <w:szCs w:val="24"/>
        </w:rPr>
        <w:t>). However, a key difference</w:t>
      </w:r>
      <w:r w:rsidRPr="00240D66">
        <w:rPr>
          <w:rFonts w:asciiTheme="majorBidi" w:hAnsiTheme="majorBidi" w:cstheme="majorBidi"/>
          <w:sz w:val="24"/>
          <w:szCs w:val="24"/>
        </w:rPr>
        <w:t xml:space="preserve"> emerged</w:t>
      </w:r>
      <w:r w:rsidR="00152901" w:rsidRPr="00240D66">
        <w:rPr>
          <w:rFonts w:asciiTheme="majorBidi" w:hAnsiTheme="majorBidi" w:cstheme="majorBidi"/>
          <w:sz w:val="24"/>
          <w:szCs w:val="24"/>
        </w:rPr>
        <w:t xml:space="preserve"> in the </w:t>
      </w:r>
      <w:r w:rsidRPr="00240D66">
        <w:rPr>
          <w:rFonts w:asciiTheme="majorBidi" w:hAnsiTheme="majorBidi" w:cstheme="majorBidi"/>
          <w:sz w:val="24"/>
          <w:szCs w:val="24"/>
        </w:rPr>
        <w:t>mode of coordination practices. Where</w:t>
      </w:r>
      <w:r w:rsidR="00542A75" w:rsidRPr="00240D66">
        <w:rPr>
          <w:rFonts w:asciiTheme="majorBidi" w:hAnsiTheme="majorBidi" w:cstheme="majorBidi"/>
          <w:sz w:val="24"/>
          <w:szCs w:val="24"/>
        </w:rPr>
        <w:t xml:space="preserve"> a commitment to</w:t>
      </w:r>
      <w:r w:rsidRPr="00240D66">
        <w:rPr>
          <w:rFonts w:asciiTheme="majorBidi" w:hAnsiTheme="majorBidi" w:cstheme="majorBidi"/>
          <w:sz w:val="24"/>
          <w:szCs w:val="24"/>
        </w:rPr>
        <w:t xml:space="preserve"> openness had been the </w:t>
      </w:r>
      <w:r w:rsidR="00542A75" w:rsidRPr="00240D66">
        <w:rPr>
          <w:rFonts w:asciiTheme="majorBidi" w:hAnsiTheme="majorBidi" w:cstheme="majorBidi"/>
          <w:sz w:val="24"/>
          <w:szCs w:val="24"/>
        </w:rPr>
        <w:t>defining</w:t>
      </w:r>
      <w:r w:rsidRPr="00240D66">
        <w:rPr>
          <w:rFonts w:asciiTheme="majorBidi" w:hAnsiTheme="majorBidi" w:cstheme="majorBidi"/>
          <w:sz w:val="24"/>
          <w:szCs w:val="24"/>
        </w:rPr>
        <w:t xml:space="preserve"> mode of </w:t>
      </w:r>
      <w:r w:rsidR="00542A75" w:rsidRPr="00240D66">
        <w:rPr>
          <w:rFonts w:asciiTheme="majorBidi" w:hAnsiTheme="majorBidi" w:cstheme="majorBidi"/>
          <w:sz w:val="24"/>
          <w:szCs w:val="24"/>
        </w:rPr>
        <w:t xml:space="preserve">coordination for </w:t>
      </w:r>
      <w:r w:rsidRPr="00240D66">
        <w:rPr>
          <w:rFonts w:asciiTheme="majorBidi" w:hAnsiTheme="majorBidi" w:cstheme="majorBidi"/>
          <w:sz w:val="24"/>
          <w:szCs w:val="24"/>
        </w:rPr>
        <w:t xml:space="preserve">the FSA, it was </w:t>
      </w:r>
      <w:r w:rsidR="00542A75" w:rsidRPr="00240D66">
        <w:rPr>
          <w:rFonts w:asciiTheme="majorBidi" w:hAnsiTheme="majorBidi" w:cstheme="majorBidi"/>
          <w:sz w:val="24"/>
          <w:szCs w:val="24"/>
        </w:rPr>
        <w:t xml:space="preserve">a commitment to </w:t>
      </w:r>
      <w:r w:rsidRPr="00240D66">
        <w:rPr>
          <w:rFonts w:asciiTheme="majorBidi" w:hAnsiTheme="majorBidi" w:cstheme="majorBidi"/>
          <w:sz w:val="24"/>
          <w:szCs w:val="24"/>
        </w:rPr>
        <w:t>evidence</w:t>
      </w:r>
      <w:r w:rsidR="00542A75" w:rsidRPr="00240D66">
        <w:rPr>
          <w:rFonts w:asciiTheme="majorBidi" w:hAnsiTheme="majorBidi" w:cstheme="majorBidi"/>
          <w:sz w:val="24"/>
          <w:szCs w:val="24"/>
        </w:rPr>
        <w:t>-based policymaking</w:t>
      </w:r>
      <w:r w:rsidRPr="00240D66">
        <w:rPr>
          <w:rFonts w:asciiTheme="majorBidi" w:hAnsiTheme="majorBidi" w:cstheme="majorBidi"/>
          <w:sz w:val="24"/>
          <w:szCs w:val="24"/>
        </w:rPr>
        <w:t xml:space="preserve"> that played a similar role </w:t>
      </w:r>
      <w:r w:rsidR="00542A75" w:rsidRPr="00240D66">
        <w:rPr>
          <w:rFonts w:asciiTheme="majorBidi" w:hAnsiTheme="majorBidi" w:cstheme="majorBidi"/>
          <w:sz w:val="24"/>
          <w:szCs w:val="24"/>
        </w:rPr>
        <w:t>for</w:t>
      </w:r>
      <w:r w:rsidRPr="00240D66">
        <w:rPr>
          <w:rFonts w:asciiTheme="majorBidi" w:hAnsiTheme="majorBidi" w:cstheme="majorBidi"/>
          <w:sz w:val="24"/>
          <w:szCs w:val="24"/>
        </w:rPr>
        <w:t xml:space="preserve"> NICE.</w:t>
      </w:r>
      <w:r w:rsidR="00152901" w:rsidRPr="00240D66">
        <w:rPr>
          <w:rFonts w:asciiTheme="majorBidi" w:hAnsiTheme="majorBidi" w:cstheme="majorBidi"/>
          <w:sz w:val="24"/>
          <w:szCs w:val="24"/>
        </w:rPr>
        <w:t xml:space="preserve"> </w:t>
      </w:r>
      <w:r w:rsidR="001B55AC" w:rsidRPr="00240D66">
        <w:rPr>
          <w:rFonts w:asciiTheme="majorBidi" w:hAnsiTheme="majorBidi" w:cstheme="majorBidi"/>
          <w:sz w:val="24"/>
          <w:szCs w:val="24"/>
        </w:rPr>
        <w:t>The</w:t>
      </w:r>
      <w:r w:rsidR="005546F6" w:rsidRPr="00240D66">
        <w:rPr>
          <w:rFonts w:asciiTheme="majorBidi" w:hAnsiTheme="majorBidi" w:cstheme="majorBidi"/>
          <w:sz w:val="24"/>
          <w:szCs w:val="24"/>
        </w:rPr>
        <w:t xml:space="preserve"> key enabler of boundary work </w:t>
      </w:r>
      <w:r w:rsidRPr="00240D66">
        <w:rPr>
          <w:rFonts w:asciiTheme="majorBidi" w:hAnsiTheme="majorBidi" w:cstheme="majorBidi"/>
          <w:sz w:val="24"/>
          <w:szCs w:val="24"/>
        </w:rPr>
        <w:t>was</w:t>
      </w:r>
      <w:r w:rsidR="005546F6" w:rsidRPr="00240D66">
        <w:rPr>
          <w:rFonts w:asciiTheme="majorBidi" w:hAnsiTheme="majorBidi" w:cstheme="majorBidi"/>
          <w:sz w:val="24"/>
          <w:szCs w:val="24"/>
        </w:rPr>
        <w:t xml:space="preserve"> shared buy-in for </w:t>
      </w:r>
      <w:r w:rsidR="001319FE" w:rsidRPr="00240D66">
        <w:rPr>
          <w:rFonts w:asciiTheme="majorBidi" w:hAnsiTheme="majorBidi" w:cstheme="majorBidi"/>
          <w:sz w:val="24"/>
          <w:szCs w:val="24"/>
        </w:rPr>
        <w:t xml:space="preserve">the notion of </w:t>
      </w:r>
      <w:r w:rsidR="005546F6" w:rsidRPr="00240D66">
        <w:rPr>
          <w:rFonts w:asciiTheme="majorBidi" w:hAnsiTheme="majorBidi" w:cstheme="majorBidi"/>
          <w:sz w:val="24"/>
          <w:szCs w:val="24"/>
        </w:rPr>
        <w:t>evidence-based practice and policymaking—a kind of meta-discourse which has profoundly shaped health policymaking and administration in Britain since the early days of the New Labour government</w:t>
      </w:r>
      <w:r w:rsidR="00641DF6" w:rsidRPr="00240D66">
        <w:rPr>
          <w:rFonts w:asciiTheme="majorBidi" w:hAnsiTheme="majorBidi" w:cstheme="majorBidi"/>
          <w:sz w:val="24"/>
          <w:szCs w:val="24"/>
        </w:rPr>
        <w:t xml:space="preserve"> (see Parsons 2002 for a critique)</w:t>
      </w:r>
      <w:r w:rsidR="0070254F" w:rsidRPr="00240D66">
        <w:rPr>
          <w:rFonts w:asciiTheme="majorBidi" w:hAnsiTheme="majorBidi" w:cstheme="majorBidi"/>
          <w:sz w:val="24"/>
          <w:szCs w:val="24"/>
        </w:rPr>
        <w:t xml:space="preserve">. </w:t>
      </w:r>
      <w:r w:rsidR="001319FE" w:rsidRPr="00240D66">
        <w:rPr>
          <w:rFonts w:asciiTheme="majorBidi" w:hAnsiTheme="majorBidi" w:cstheme="majorBidi"/>
          <w:sz w:val="24"/>
          <w:szCs w:val="24"/>
        </w:rPr>
        <w:t xml:space="preserve">Whereas the </w:t>
      </w:r>
      <w:r w:rsidR="00542A75" w:rsidRPr="00240D66">
        <w:rPr>
          <w:rFonts w:asciiTheme="majorBidi" w:hAnsiTheme="majorBidi" w:cstheme="majorBidi"/>
          <w:sz w:val="24"/>
          <w:szCs w:val="24"/>
        </w:rPr>
        <w:t xml:space="preserve">open </w:t>
      </w:r>
      <w:r w:rsidR="001319FE" w:rsidRPr="00240D66">
        <w:rPr>
          <w:rFonts w:asciiTheme="majorBidi" w:hAnsiTheme="majorBidi" w:cstheme="majorBidi"/>
          <w:sz w:val="24"/>
          <w:szCs w:val="24"/>
        </w:rPr>
        <w:t xml:space="preserve">FSA came under fire for perceptions of </w:t>
      </w:r>
      <w:r w:rsidR="00641DF6" w:rsidRPr="00240D66">
        <w:rPr>
          <w:rFonts w:asciiTheme="majorBidi" w:hAnsiTheme="majorBidi" w:cstheme="majorBidi"/>
          <w:sz w:val="24"/>
          <w:szCs w:val="24"/>
        </w:rPr>
        <w:t xml:space="preserve">political </w:t>
      </w:r>
      <w:r w:rsidR="001319FE" w:rsidRPr="00240D66">
        <w:rPr>
          <w:rFonts w:asciiTheme="majorBidi" w:hAnsiTheme="majorBidi" w:cstheme="majorBidi"/>
          <w:sz w:val="24"/>
          <w:szCs w:val="24"/>
        </w:rPr>
        <w:t>bias</w:t>
      </w:r>
      <w:r w:rsidR="00641DF6" w:rsidRPr="00240D66">
        <w:rPr>
          <w:rFonts w:asciiTheme="majorBidi" w:hAnsiTheme="majorBidi" w:cstheme="majorBidi"/>
          <w:sz w:val="24"/>
          <w:szCs w:val="24"/>
        </w:rPr>
        <w:t xml:space="preserve"> (either way)</w:t>
      </w:r>
      <w:r w:rsidR="001319FE" w:rsidRPr="00240D66">
        <w:rPr>
          <w:rFonts w:asciiTheme="majorBidi" w:hAnsiTheme="majorBidi" w:cstheme="majorBidi"/>
          <w:sz w:val="24"/>
          <w:szCs w:val="24"/>
        </w:rPr>
        <w:t>, NICE, in the words of one official, ‘embodies evidence-based policymaking’</w:t>
      </w:r>
      <w:r w:rsidR="003D4171" w:rsidRPr="00240D66">
        <w:rPr>
          <w:rFonts w:asciiTheme="majorBidi" w:hAnsiTheme="majorBidi" w:cstheme="majorBidi"/>
          <w:sz w:val="24"/>
          <w:szCs w:val="24"/>
        </w:rPr>
        <w:t xml:space="preserve">. </w:t>
      </w:r>
      <w:r w:rsidR="00F8090B" w:rsidRPr="00240D66">
        <w:rPr>
          <w:rFonts w:asciiTheme="majorBidi" w:hAnsiTheme="majorBidi" w:cstheme="majorBidi"/>
          <w:sz w:val="24"/>
          <w:szCs w:val="24"/>
        </w:rPr>
        <w:t>Evidence, then, has been at the heart of NICE’s efforts to coordinate action across the political, professional and scientific spheres.</w:t>
      </w:r>
    </w:p>
    <w:p w:rsidR="000B0947" w:rsidRPr="00240D66" w:rsidRDefault="001D255C"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O</w:t>
      </w:r>
      <w:r w:rsidR="00356C6C" w:rsidRPr="00240D66">
        <w:rPr>
          <w:rFonts w:asciiTheme="majorBidi" w:hAnsiTheme="majorBidi" w:cstheme="majorBidi"/>
          <w:sz w:val="24"/>
          <w:szCs w:val="24"/>
        </w:rPr>
        <w:t>f partic</w:t>
      </w:r>
      <w:r w:rsidRPr="00240D66">
        <w:rPr>
          <w:rFonts w:asciiTheme="majorBidi" w:hAnsiTheme="majorBidi" w:cstheme="majorBidi"/>
          <w:sz w:val="24"/>
          <w:szCs w:val="24"/>
        </w:rPr>
        <w:t>ular import was NICE’s emphasis</w:t>
      </w:r>
      <w:r w:rsidR="00356C6C" w:rsidRPr="00240D66">
        <w:rPr>
          <w:rFonts w:asciiTheme="majorBidi" w:hAnsiTheme="majorBidi" w:cstheme="majorBidi"/>
          <w:sz w:val="24"/>
          <w:szCs w:val="24"/>
        </w:rPr>
        <w:t xml:space="preserve"> on</w:t>
      </w:r>
      <w:r w:rsidRPr="00240D66">
        <w:rPr>
          <w:rFonts w:asciiTheme="majorBidi" w:hAnsiTheme="majorBidi" w:cstheme="majorBidi"/>
          <w:sz w:val="24"/>
          <w:szCs w:val="24"/>
        </w:rPr>
        <w:t xml:space="preserve"> evidence of both</w:t>
      </w:r>
      <w:r w:rsidR="00356C6C" w:rsidRPr="00240D66">
        <w:rPr>
          <w:rFonts w:asciiTheme="majorBidi" w:hAnsiTheme="majorBidi" w:cstheme="majorBidi"/>
          <w:sz w:val="24"/>
          <w:szCs w:val="24"/>
        </w:rPr>
        <w:t xml:space="preserve"> </w:t>
      </w:r>
      <w:r w:rsidR="00356C6C" w:rsidRPr="00240D66">
        <w:rPr>
          <w:rFonts w:asciiTheme="majorBidi" w:hAnsiTheme="majorBidi" w:cstheme="majorBidi"/>
          <w:i/>
          <w:iCs/>
          <w:sz w:val="24"/>
          <w:szCs w:val="24"/>
        </w:rPr>
        <w:t xml:space="preserve">clinical </w:t>
      </w:r>
      <w:r w:rsidR="00356C6C" w:rsidRPr="00240D66">
        <w:rPr>
          <w:rFonts w:asciiTheme="majorBidi" w:hAnsiTheme="majorBidi" w:cstheme="majorBidi"/>
          <w:sz w:val="24"/>
          <w:szCs w:val="24"/>
        </w:rPr>
        <w:t xml:space="preserve">and </w:t>
      </w:r>
      <w:r w:rsidR="00356C6C" w:rsidRPr="00240D66">
        <w:rPr>
          <w:rFonts w:asciiTheme="majorBidi" w:hAnsiTheme="majorBidi" w:cstheme="majorBidi"/>
          <w:i/>
          <w:iCs/>
          <w:sz w:val="24"/>
          <w:szCs w:val="24"/>
        </w:rPr>
        <w:t>cost</w:t>
      </w:r>
      <w:r w:rsidR="00356C6C" w:rsidRPr="00240D66">
        <w:rPr>
          <w:rFonts w:asciiTheme="majorBidi" w:hAnsiTheme="majorBidi" w:cstheme="majorBidi"/>
          <w:sz w:val="24"/>
          <w:szCs w:val="24"/>
        </w:rPr>
        <w:t xml:space="preserve"> effectiveness. This was something that initially reignited debate about NICE’s legitimacy in ‘rationing’ healthcare, leading a former healthcare trust chairman to ask:</w:t>
      </w:r>
    </w:p>
    <w:p w:rsidR="000B0947" w:rsidRPr="00240D66" w:rsidRDefault="00356C6C" w:rsidP="00240D66">
      <w:pPr>
        <w:spacing w:line="360" w:lineRule="auto"/>
        <w:ind w:left="720"/>
        <w:rPr>
          <w:rFonts w:asciiTheme="majorBidi" w:hAnsiTheme="majorBidi" w:cstheme="majorBidi"/>
          <w:sz w:val="24"/>
          <w:szCs w:val="24"/>
        </w:rPr>
      </w:pPr>
      <w:r w:rsidRPr="00240D66">
        <w:rPr>
          <w:rFonts w:asciiTheme="majorBidi" w:hAnsiTheme="majorBidi" w:cstheme="majorBidi"/>
          <w:sz w:val="24"/>
          <w:szCs w:val="24"/>
        </w:rPr>
        <w:t xml:space="preserve">Is the real agenda not what works best for patients, but what works best for the Treasury? (quoted </w:t>
      </w:r>
      <w:r w:rsidR="00F5320D" w:rsidRPr="00240D66">
        <w:rPr>
          <w:rFonts w:asciiTheme="majorBidi" w:hAnsiTheme="majorBidi" w:cstheme="majorBidi"/>
          <w:sz w:val="24"/>
          <w:szCs w:val="24"/>
        </w:rPr>
        <w:t>in</w:t>
      </w:r>
      <w:r w:rsidRPr="00240D66">
        <w:rPr>
          <w:rFonts w:asciiTheme="majorBidi" w:hAnsiTheme="majorBidi" w:cstheme="majorBidi"/>
          <w:sz w:val="24"/>
          <w:szCs w:val="24"/>
        </w:rPr>
        <w:t xml:space="preserve"> Brindle </w:t>
      </w:r>
      <w:r w:rsidR="001D255C" w:rsidRPr="00240D66">
        <w:rPr>
          <w:rFonts w:asciiTheme="majorBidi" w:hAnsiTheme="majorBidi" w:cstheme="majorBidi"/>
          <w:sz w:val="24"/>
          <w:szCs w:val="24"/>
        </w:rPr>
        <w:t>199</w:t>
      </w:r>
      <w:r w:rsidRPr="00240D66">
        <w:rPr>
          <w:rFonts w:asciiTheme="majorBidi" w:hAnsiTheme="majorBidi" w:cstheme="majorBidi"/>
          <w:sz w:val="24"/>
          <w:szCs w:val="24"/>
        </w:rPr>
        <w:t>9).</w:t>
      </w:r>
      <w:r w:rsidR="00542A75" w:rsidRPr="00240D66">
        <w:rPr>
          <w:rFonts w:asciiTheme="majorBidi" w:hAnsiTheme="majorBidi" w:cstheme="majorBidi"/>
          <w:sz w:val="24"/>
          <w:szCs w:val="24"/>
        </w:rPr>
        <w:t xml:space="preserve"> </w:t>
      </w:r>
    </w:p>
    <w:p w:rsidR="0070254F" w:rsidRPr="00240D66" w:rsidRDefault="00356C6C"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However, </w:t>
      </w:r>
      <w:r w:rsidR="001D255C" w:rsidRPr="00240D66">
        <w:rPr>
          <w:rFonts w:asciiTheme="majorBidi" w:hAnsiTheme="majorBidi" w:cstheme="majorBidi"/>
          <w:sz w:val="24"/>
          <w:szCs w:val="24"/>
        </w:rPr>
        <w:t>on the back of the</w:t>
      </w:r>
      <w:r w:rsidRPr="00240D66">
        <w:rPr>
          <w:rFonts w:asciiTheme="majorBidi" w:hAnsiTheme="majorBidi" w:cstheme="majorBidi"/>
          <w:sz w:val="24"/>
          <w:szCs w:val="24"/>
        </w:rPr>
        <w:t xml:space="preserve"> broader ‘what works’ agenda</w:t>
      </w:r>
      <w:r w:rsidR="001D255C" w:rsidRPr="00240D66">
        <w:rPr>
          <w:rFonts w:asciiTheme="majorBidi" w:hAnsiTheme="majorBidi" w:cstheme="majorBidi"/>
          <w:sz w:val="24"/>
          <w:szCs w:val="24"/>
        </w:rPr>
        <w:t>,</w:t>
      </w:r>
      <w:r w:rsidRPr="00240D66">
        <w:rPr>
          <w:rFonts w:asciiTheme="majorBidi" w:hAnsiTheme="majorBidi" w:cstheme="majorBidi"/>
          <w:sz w:val="24"/>
          <w:szCs w:val="24"/>
        </w:rPr>
        <w:t xml:space="preserve"> cost-effectiveness</w:t>
      </w:r>
      <w:r w:rsidR="006632AC" w:rsidRPr="00240D66">
        <w:rPr>
          <w:rFonts w:asciiTheme="majorBidi" w:hAnsiTheme="majorBidi" w:cstheme="majorBidi"/>
          <w:sz w:val="24"/>
          <w:szCs w:val="24"/>
        </w:rPr>
        <w:t xml:space="preserve"> quickly</w:t>
      </w:r>
      <w:r w:rsidRPr="00240D66">
        <w:rPr>
          <w:rFonts w:asciiTheme="majorBidi" w:hAnsiTheme="majorBidi" w:cstheme="majorBidi"/>
          <w:sz w:val="24"/>
          <w:szCs w:val="24"/>
        </w:rPr>
        <w:t xml:space="preserve"> came to be seen as an indispensable element of evidence-based policymaking</w:t>
      </w:r>
      <w:r w:rsidR="003B7FBB" w:rsidRPr="00240D66">
        <w:rPr>
          <w:rFonts w:asciiTheme="majorBidi" w:hAnsiTheme="majorBidi" w:cstheme="majorBidi"/>
          <w:sz w:val="24"/>
          <w:szCs w:val="24"/>
        </w:rPr>
        <w:t xml:space="preserve">. The contest </w:t>
      </w:r>
      <w:r w:rsidR="006632AC" w:rsidRPr="00240D66">
        <w:rPr>
          <w:rFonts w:asciiTheme="majorBidi" w:hAnsiTheme="majorBidi" w:cstheme="majorBidi"/>
          <w:sz w:val="24"/>
          <w:szCs w:val="24"/>
        </w:rPr>
        <w:t>instead moved</w:t>
      </w:r>
      <w:r w:rsidR="003B7FBB" w:rsidRPr="00240D66">
        <w:rPr>
          <w:rFonts w:asciiTheme="majorBidi" w:hAnsiTheme="majorBidi" w:cstheme="majorBidi"/>
          <w:sz w:val="24"/>
          <w:szCs w:val="24"/>
        </w:rPr>
        <w:t xml:space="preserve"> to a finer level of detai</w:t>
      </w:r>
      <w:r w:rsidR="00F82FCA" w:rsidRPr="00240D66">
        <w:rPr>
          <w:rFonts w:asciiTheme="majorBidi" w:hAnsiTheme="majorBidi" w:cstheme="majorBidi"/>
          <w:sz w:val="24"/>
          <w:szCs w:val="24"/>
        </w:rPr>
        <w:t>l, over how cost-effectiveness sh</w:t>
      </w:r>
      <w:r w:rsidR="003B7FBB" w:rsidRPr="00240D66">
        <w:rPr>
          <w:rFonts w:asciiTheme="majorBidi" w:hAnsiTheme="majorBidi" w:cstheme="majorBidi"/>
          <w:sz w:val="24"/>
          <w:szCs w:val="24"/>
        </w:rPr>
        <w:t xml:space="preserve">ould be </w:t>
      </w:r>
      <w:r w:rsidR="00F82FCA" w:rsidRPr="00240D66">
        <w:rPr>
          <w:rFonts w:asciiTheme="majorBidi" w:hAnsiTheme="majorBidi" w:cstheme="majorBidi"/>
          <w:sz w:val="24"/>
          <w:szCs w:val="24"/>
        </w:rPr>
        <w:t xml:space="preserve">understood and </w:t>
      </w:r>
      <w:r w:rsidR="003B7FBB" w:rsidRPr="00240D66">
        <w:rPr>
          <w:rFonts w:asciiTheme="majorBidi" w:hAnsiTheme="majorBidi" w:cstheme="majorBidi"/>
          <w:sz w:val="24"/>
          <w:szCs w:val="24"/>
        </w:rPr>
        <w:t xml:space="preserve">measured. Take, for example, concerns raised by the Multiple Sclerosis </w:t>
      </w:r>
      <w:r w:rsidR="006E43AB" w:rsidRPr="00240D66">
        <w:rPr>
          <w:rFonts w:asciiTheme="majorBidi" w:hAnsiTheme="majorBidi" w:cstheme="majorBidi"/>
          <w:sz w:val="24"/>
          <w:szCs w:val="24"/>
        </w:rPr>
        <w:t xml:space="preserve">(MS) </w:t>
      </w:r>
      <w:r w:rsidR="003B7FBB" w:rsidRPr="00240D66">
        <w:rPr>
          <w:rFonts w:asciiTheme="majorBidi" w:hAnsiTheme="majorBidi" w:cstheme="majorBidi"/>
          <w:sz w:val="24"/>
          <w:szCs w:val="24"/>
        </w:rPr>
        <w:t>Society over</w:t>
      </w:r>
      <w:r w:rsidR="006632AC" w:rsidRPr="00240D66">
        <w:rPr>
          <w:rFonts w:asciiTheme="majorBidi" w:hAnsiTheme="majorBidi" w:cstheme="majorBidi"/>
          <w:sz w:val="24"/>
          <w:szCs w:val="24"/>
        </w:rPr>
        <w:t xml:space="preserve"> NICE’s assessment of beta interferons and glatiramer acetate </w:t>
      </w:r>
      <w:r w:rsidR="00A53200" w:rsidRPr="00240D66">
        <w:rPr>
          <w:rFonts w:asciiTheme="majorBidi" w:hAnsiTheme="majorBidi" w:cstheme="majorBidi"/>
          <w:sz w:val="24"/>
          <w:szCs w:val="24"/>
        </w:rPr>
        <w:t>(pharmaceutical treatments)</w:t>
      </w:r>
      <w:r w:rsidR="002208E1" w:rsidRPr="00240D66">
        <w:rPr>
          <w:rFonts w:asciiTheme="majorBidi" w:hAnsiTheme="majorBidi" w:cstheme="majorBidi"/>
          <w:sz w:val="24"/>
          <w:szCs w:val="24"/>
        </w:rPr>
        <w:t>, in perhaps the first major controversy in NICE’s existence</w:t>
      </w:r>
      <w:r w:rsidR="00A53200" w:rsidRPr="00240D66">
        <w:rPr>
          <w:rFonts w:asciiTheme="majorBidi" w:hAnsiTheme="majorBidi" w:cstheme="majorBidi"/>
          <w:sz w:val="24"/>
          <w:szCs w:val="24"/>
        </w:rPr>
        <w:t>:</w:t>
      </w:r>
    </w:p>
    <w:p w:rsidR="00A53200" w:rsidRPr="00240D66" w:rsidRDefault="00A53200" w:rsidP="00240D66">
      <w:pPr>
        <w:spacing w:line="360" w:lineRule="auto"/>
        <w:ind w:left="720"/>
        <w:rPr>
          <w:rFonts w:asciiTheme="majorBidi" w:hAnsiTheme="majorBidi" w:cstheme="majorBidi"/>
          <w:sz w:val="24"/>
          <w:szCs w:val="24"/>
        </w:rPr>
      </w:pPr>
      <w:r w:rsidRPr="00240D66">
        <w:rPr>
          <w:rFonts w:asciiTheme="majorBidi" w:hAnsiTheme="majorBidi" w:cstheme="majorBidi"/>
          <w:sz w:val="24"/>
          <w:szCs w:val="24"/>
        </w:rPr>
        <w:t>The economic model’s narrow definition of the costs of multiple sclerosis underestimates its impact on daily life and reduces the process to one interested only in how much the drugs save the NHS rather than their real effect on people’s lives</w:t>
      </w:r>
      <w:r w:rsidR="00251DAB" w:rsidRPr="00240D66">
        <w:rPr>
          <w:rFonts w:asciiTheme="majorBidi" w:hAnsiTheme="majorBidi" w:cstheme="majorBidi"/>
          <w:sz w:val="24"/>
          <w:szCs w:val="24"/>
        </w:rPr>
        <w:t xml:space="preserve"> (MS Society 2001)</w:t>
      </w:r>
      <w:r w:rsidRPr="00240D66">
        <w:rPr>
          <w:rFonts w:asciiTheme="majorBidi" w:hAnsiTheme="majorBidi" w:cstheme="majorBidi"/>
          <w:sz w:val="24"/>
          <w:szCs w:val="24"/>
        </w:rPr>
        <w:t>.</w:t>
      </w:r>
    </w:p>
    <w:p w:rsidR="000B0947" w:rsidRPr="00240D66" w:rsidRDefault="000B0947"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But it is important not to confuse mutual acceptance of NICE’s mode of coordination with widespread compliance with the actual assessments it produced. Indeed, where the effect of transparency had important benefits for the FSA’s policymaking performance, the commitment to clinically and cost-effective evidence-based policymaking has arguably had adverse consequences for NICE’s performance</w:t>
      </w:r>
      <w:r w:rsidR="001E2438" w:rsidRPr="00240D66">
        <w:rPr>
          <w:rFonts w:asciiTheme="majorBidi" w:hAnsiTheme="majorBidi" w:cstheme="majorBidi"/>
          <w:sz w:val="24"/>
          <w:szCs w:val="24"/>
        </w:rPr>
        <w:t>. It has</w:t>
      </w:r>
      <w:r w:rsidRPr="00240D66">
        <w:rPr>
          <w:rFonts w:asciiTheme="majorBidi" w:hAnsiTheme="majorBidi" w:cstheme="majorBidi"/>
          <w:sz w:val="24"/>
          <w:szCs w:val="24"/>
        </w:rPr>
        <w:t xml:space="preserve"> enabled stakeholders—especially </w:t>
      </w:r>
      <w:r w:rsidR="001E2438" w:rsidRPr="00240D66">
        <w:rPr>
          <w:rFonts w:asciiTheme="majorBidi" w:hAnsiTheme="majorBidi" w:cstheme="majorBidi"/>
          <w:sz w:val="24"/>
          <w:szCs w:val="24"/>
        </w:rPr>
        <w:t xml:space="preserve">medical professionals, </w:t>
      </w:r>
      <w:r w:rsidRPr="00240D66">
        <w:rPr>
          <w:rFonts w:asciiTheme="majorBidi" w:hAnsiTheme="majorBidi" w:cstheme="majorBidi"/>
          <w:sz w:val="24"/>
          <w:szCs w:val="24"/>
        </w:rPr>
        <w:t>patient groups and pharmaceutical interests—to contest assessments and pressure NICE to expedite procedures (see</w:t>
      </w:r>
      <w:r w:rsidR="00F97E2C" w:rsidRPr="00240D66">
        <w:rPr>
          <w:rFonts w:asciiTheme="majorBidi" w:hAnsiTheme="majorBidi" w:cstheme="majorBidi"/>
          <w:sz w:val="24"/>
          <w:szCs w:val="24"/>
        </w:rPr>
        <w:t xml:space="preserve"> </w:t>
      </w:r>
      <w:r w:rsidR="00C6138A" w:rsidRPr="00240D66">
        <w:rPr>
          <w:rFonts w:asciiTheme="majorBidi" w:hAnsiTheme="majorBidi" w:cstheme="majorBidi"/>
          <w:sz w:val="24"/>
          <w:szCs w:val="24"/>
        </w:rPr>
        <w:t xml:space="preserve">Sheldon et al 2004; </w:t>
      </w:r>
      <w:r w:rsidR="00240D66">
        <w:rPr>
          <w:rFonts w:asciiTheme="majorBidi" w:hAnsiTheme="majorBidi" w:cstheme="majorBidi"/>
          <w:sz w:val="24"/>
          <w:szCs w:val="24"/>
        </w:rPr>
        <w:t>Boswell 2017</w:t>
      </w:r>
      <w:r w:rsidRPr="00240D66">
        <w:rPr>
          <w:rFonts w:asciiTheme="majorBidi" w:hAnsiTheme="majorBidi" w:cstheme="majorBidi"/>
          <w:sz w:val="24"/>
          <w:szCs w:val="24"/>
        </w:rPr>
        <w:t xml:space="preserve">). </w:t>
      </w:r>
      <w:r w:rsidR="00650B72" w:rsidRPr="00240D66">
        <w:rPr>
          <w:rFonts w:asciiTheme="majorBidi" w:hAnsiTheme="majorBidi" w:cstheme="majorBidi"/>
          <w:sz w:val="24"/>
          <w:szCs w:val="24"/>
        </w:rPr>
        <w:t>Take</w:t>
      </w:r>
      <w:r w:rsidRPr="00240D66">
        <w:rPr>
          <w:rFonts w:asciiTheme="majorBidi" w:hAnsiTheme="majorBidi" w:cstheme="majorBidi"/>
          <w:sz w:val="24"/>
          <w:szCs w:val="24"/>
        </w:rPr>
        <w:t xml:space="preserve"> the MS example</w:t>
      </w:r>
      <w:r w:rsidR="00650B72" w:rsidRPr="00240D66">
        <w:rPr>
          <w:rFonts w:asciiTheme="majorBidi" w:hAnsiTheme="majorBidi" w:cstheme="majorBidi"/>
          <w:sz w:val="24"/>
          <w:szCs w:val="24"/>
        </w:rPr>
        <w:t xml:space="preserve"> referred to above</w:t>
      </w:r>
      <w:r w:rsidRPr="00240D66">
        <w:rPr>
          <w:rFonts w:asciiTheme="majorBidi" w:hAnsiTheme="majorBidi" w:cstheme="majorBidi"/>
          <w:sz w:val="24"/>
          <w:szCs w:val="24"/>
        </w:rPr>
        <w:t>, for instance</w:t>
      </w:r>
      <w:r w:rsidR="00650B72" w:rsidRPr="00240D66">
        <w:rPr>
          <w:rFonts w:asciiTheme="majorBidi" w:hAnsiTheme="majorBidi" w:cstheme="majorBidi"/>
          <w:sz w:val="24"/>
          <w:szCs w:val="24"/>
        </w:rPr>
        <w:t>. A</w:t>
      </w:r>
      <w:r w:rsidRPr="00240D66">
        <w:rPr>
          <w:rFonts w:asciiTheme="majorBidi" w:hAnsiTheme="majorBidi" w:cstheme="majorBidi"/>
          <w:sz w:val="24"/>
          <w:szCs w:val="24"/>
        </w:rPr>
        <w:t xml:space="preserve"> deal was e</w:t>
      </w:r>
      <w:r w:rsidR="00650B72" w:rsidRPr="00240D66">
        <w:rPr>
          <w:rFonts w:asciiTheme="majorBidi" w:hAnsiTheme="majorBidi" w:cstheme="majorBidi"/>
          <w:sz w:val="24"/>
          <w:szCs w:val="24"/>
        </w:rPr>
        <w:t>ventually struck with</w:t>
      </w:r>
      <w:r w:rsidRPr="00240D66">
        <w:rPr>
          <w:rFonts w:asciiTheme="majorBidi" w:hAnsiTheme="majorBidi" w:cstheme="majorBidi"/>
          <w:sz w:val="24"/>
          <w:szCs w:val="24"/>
        </w:rPr>
        <w:t xml:space="preserve"> the </w:t>
      </w:r>
      <w:r w:rsidR="002208E1" w:rsidRPr="00240D66">
        <w:rPr>
          <w:rFonts w:asciiTheme="majorBidi" w:hAnsiTheme="majorBidi" w:cstheme="majorBidi"/>
          <w:sz w:val="24"/>
          <w:szCs w:val="24"/>
        </w:rPr>
        <w:t xml:space="preserve">pharmaceutical companies, </w:t>
      </w:r>
      <w:r w:rsidRPr="00240D66">
        <w:rPr>
          <w:rFonts w:asciiTheme="majorBidi" w:hAnsiTheme="majorBidi" w:cstheme="majorBidi"/>
          <w:sz w:val="24"/>
          <w:szCs w:val="24"/>
        </w:rPr>
        <w:t xml:space="preserve">medical professionals and patient groups who were so critical of the </w:t>
      </w:r>
      <w:r w:rsidR="001E2438" w:rsidRPr="00240D66">
        <w:rPr>
          <w:rFonts w:asciiTheme="majorBidi" w:hAnsiTheme="majorBidi" w:cstheme="majorBidi"/>
          <w:sz w:val="24"/>
          <w:szCs w:val="24"/>
        </w:rPr>
        <w:t>initial assessment</w:t>
      </w:r>
      <w:r w:rsidRPr="00240D66">
        <w:rPr>
          <w:rFonts w:asciiTheme="majorBidi" w:hAnsiTheme="majorBidi" w:cstheme="majorBidi"/>
          <w:sz w:val="24"/>
          <w:szCs w:val="24"/>
        </w:rPr>
        <w:t xml:space="preserve">. NICE </w:t>
      </w:r>
      <w:r w:rsidR="001E2438" w:rsidRPr="00240D66">
        <w:rPr>
          <w:rFonts w:asciiTheme="majorBidi" w:hAnsiTheme="majorBidi" w:cstheme="majorBidi"/>
          <w:sz w:val="24"/>
          <w:szCs w:val="24"/>
        </w:rPr>
        <w:t xml:space="preserve">officials </w:t>
      </w:r>
      <w:r w:rsidRPr="00240D66">
        <w:rPr>
          <w:rFonts w:asciiTheme="majorBidi" w:hAnsiTheme="majorBidi" w:cstheme="majorBidi"/>
          <w:sz w:val="24"/>
          <w:szCs w:val="24"/>
        </w:rPr>
        <w:t>acquiesced t</w:t>
      </w:r>
      <w:r w:rsidR="00C6138A" w:rsidRPr="00240D66">
        <w:rPr>
          <w:rFonts w:asciiTheme="majorBidi" w:hAnsiTheme="majorBidi" w:cstheme="majorBidi"/>
          <w:sz w:val="24"/>
          <w:szCs w:val="24"/>
        </w:rPr>
        <w:t>o the demands to fund the drugs</w:t>
      </w:r>
      <w:r w:rsidRPr="00240D66">
        <w:rPr>
          <w:rFonts w:asciiTheme="majorBidi" w:hAnsiTheme="majorBidi" w:cstheme="majorBidi"/>
          <w:sz w:val="24"/>
          <w:szCs w:val="24"/>
        </w:rPr>
        <w:t xml:space="preserve"> on the face-saving condition that emerging evidence built up through the proliferation of treatment would be carefully monitored by a ‘</w:t>
      </w:r>
      <w:r w:rsidR="002208E1" w:rsidRPr="00240D66">
        <w:rPr>
          <w:rFonts w:asciiTheme="majorBidi" w:hAnsiTheme="majorBidi" w:cstheme="majorBidi"/>
          <w:sz w:val="24"/>
          <w:szCs w:val="24"/>
        </w:rPr>
        <w:t>risk sharing scheme</w:t>
      </w:r>
      <w:r w:rsidRPr="00240D66">
        <w:rPr>
          <w:rFonts w:asciiTheme="majorBidi" w:hAnsiTheme="majorBidi" w:cstheme="majorBidi"/>
          <w:sz w:val="24"/>
          <w:szCs w:val="24"/>
        </w:rPr>
        <w:t xml:space="preserve">’ consisting of all parties. </w:t>
      </w:r>
      <w:r w:rsidR="002208E1" w:rsidRPr="00240D66">
        <w:rPr>
          <w:rFonts w:asciiTheme="majorBidi" w:hAnsiTheme="majorBidi" w:cstheme="majorBidi"/>
          <w:sz w:val="24"/>
          <w:szCs w:val="24"/>
        </w:rPr>
        <w:t>The</w:t>
      </w:r>
      <w:r w:rsidR="00C6138A" w:rsidRPr="00240D66">
        <w:rPr>
          <w:rFonts w:asciiTheme="majorBidi" w:hAnsiTheme="majorBidi" w:cstheme="majorBidi"/>
          <w:sz w:val="24"/>
          <w:szCs w:val="24"/>
        </w:rPr>
        <w:t xml:space="preserve"> formal review subsequently </w:t>
      </w:r>
      <w:r w:rsidR="00224195" w:rsidRPr="00240D66">
        <w:rPr>
          <w:rFonts w:asciiTheme="majorBidi" w:hAnsiTheme="majorBidi" w:cstheme="majorBidi"/>
          <w:sz w:val="24"/>
          <w:szCs w:val="24"/>
        </w:rPr>
        <w:t xml:space="preserve">commissioned to make the assessment found no evidence of cost effectiveness, but recommended a continuation of the status quo </w:t>
      </w:r>
      <w:r w:rsidR="006C6DF7" w:rsidRPr="00240D66">
        <w:rPr>
          <w:rFonts w:asciiTheme="majorBidi" w:hAnsiTheme="majorBidi" w:cstheme="majorBidi"/>
          <w:sz w:val="24"/>
          <w:szCs w:val="24"/>
        </w:rPr>
        <w:t>on the basis that:</w:t>
      </w:r>
    </w:p>
    <w:p w:rsidR="00224195" w:rsidRPr="00240D66" w:rsidRDefault="00224195" w:rsidP="00240D66">
      <w:pPr>
        <w:spacing w:line="360" w:lineRule="auto"/>
        <w:ind w:left="720"/>
        <w:rPr>
          <w:rFonts w:asciiTheme="majorBidi" w:hAnsiTheme="majorBidi" w:cstheme="majorBidi"/>
          <w:color w:val="000000"/>
          <w:sz w:val="24"/>
          <w:szCs w:val="24"/>
          <w:shd w:val="clear" w:color="auto" w:fill="FFFFFF"/>
        </w:rPr>
      </w:pPr>
      <w:r w:rsidRPr="00240D66">
        <w:rPr>
          <w:rFonts w:asciiTheme="majorBidi" w:hAnsiTheme="majorBidi" w:cstheme="majorBidi"/>
          <w:color w:val="000000"/>
          <w:sz w:val="24"/>
          <w:szCs w:val="24"/>
          <w:shd w:val="clear" w:color="auto" w:fill="FFFFFF"/>
        </w:rPr>
        <w:t>…uncertainties make reliable interpretation of the short term results problematic, and we have not presented data for the individual treatments, which are likely to be further confounded by selection bias because disease severity might itself determine which treatment is used. The scientific advisory group considered that it was premature, at this stage, to reach any decision about re-pricing the drugs without further follow-up and analyses (Boggild et al. 2009).</w:t>
      </w:r>
    </w:p>
    <w:p w:rsidR="000B0947" w:rsidRPr="00240D66" w:rsidRDefault="00224195"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So a commitment to evidence-based policymaking </w:t>
      </w:r>
      <w:r w:rsidR="00B824DC" w:rsidRPr="00240D66">
        <w:rPr>
          <w:rFonts w:asciiTheme="majorBidi" w:hAnsiTheme="majorBidi" w:cstheme="majorBidi"/>
          <w:sz w:val="24"/>
          <w:szCs w:val="24"/>
        </w:rPr>
        <w:t>has</w:t>
      </w:r>
      <w:r w:rsidRPr="00240D66">
        <w:rPr>
          <w:rFonts w:asciiTheme="majorBidi" w:hAnsiTheme="majorBidi" w:cstheme="majorBidi"/>
          <w:sz w:val="24"/>
          <w:szCs w:val="24"/>
        </w:rPr>
        <w:t xml:space="preserve"> not really</w:t>
      </w:r>
      <w:r w:rsidR="00B824DC" w:rsidRPr="00240D66">
        <w:rPr>
          <w:rFonts w:asciiTheme="majorBidi" w:hAnsiTheme="majorBidi" w:cstheme="majorBidi"/>
          <w:sz w:val="24"/>
          <w:szCs w:val="24"/>
        </w:rPr>
        <w:t xml:space="preserve"> entailed</w:t>
      </w:r>
      <w:r w:rsidRPr="00240D66">
        <w:rPr>
          <w:rFonts w:asciiTheme="majorBidi" w:hAnsiTheme="majorBidi" w:cstheme="majorBidi"/>
          <w:sz w:val="24"/>
          <w:szCs w:val="24"/>
        </w:rPr>
        <w:t xml:space="preserve"> a commitment to evidence-based policymaking</w:t>
      </w:r>
      <w:r w:rsidR="00B824DC" w:rsidRPr="00240D66">
        <w:rPr>
          <w:rFonts w:asciiTheme="majorBidi" w:hAnsiTheme="majorBidi" w:cstheme="majorBidi"/>
          <w:sz w:val="24"/>
          <w:szCs w:val="24"/>
        </w:rPr>
        <w:t>: it has been</w:t>
      </w:r>
      <w:r w:rsidRPr="00240D66">
        <w:rPr>
          <w:rFonts w:asciiTheme="majorBidi" w:hAnsiTheme="majorBidi" w:cstheme="majorBidi"/>
          <w:sz w:val="24"/>
          <w:szCs w:val="24"/>
        </w:rPr>
        <w:t xml:space="preserve"> a commitment to organising the interaction between science and policy in reference to this discursive repertoire. </w:t>
      </w:r>
      <w:r w:rsidR="0073132A" w:rsidRPr="00240D66">
        <w:rPr>
          <w:rFonts w:asciiTheme="majorBidi" w:hAnsiTheme="majorBidi" w:cstheme="majorBidi"/>
          <w:sz w:val="24"/>
          <w:szCs w:val="24"/>
        </w:rPr>
        <w:t>The emphasis on evidence-based policy making as the mode of coordination has sacrificed some degree of compliance in policymaking terms, and invited criticism and contestation of assessments. But in the process it has buttressed the autonomy of professionals and thus consolidated NICE’s legitimacy as an institution. Politicians, medical professionals and NHS managers might disagree with specific guidelines (and act on that disagreement). They might bemoan a lack of clear guidelines in specific areas (and make-do purely with other sources of expertise, such as practical wisdom). Such concerns have been high in the myriad criticisms aired the media and through periodic scrutiny of NICE via the House of Commons Health Committee (see especially HCHC 2002; 2013). But no one is fundamentally at odds with NICE and its modus operandi. T</w:t>
      </w:r>
      <w:r w:rsidRPr="00240D66">
        <w:rPr>
          <w:rFonts w:asciiTheme="majorBidi" w:hAnsiTheme="majorBidi" w:cstheme="majorBidi"/>
          <w:sz w:val="24"/>
          <w:szCs w:val="24"/>
        </w:rPr>
        <w:t>he</w:t>
      </w:r>
      <w:r w:rsidR="000B0947" w:rsidRPr="00240D66">
        <w:rPr>
          <w:rFonts w:asciiTheme="majorBidi" w:hAnsiTheme="majorBidi" w:cstheme="majorBidi"/>
          <w:sz w:val="24"/>
          <w:szCs w:val="24"/>
        </w:rPr>
        <w:t xml:space="preserve"> broader point is that a</w:t>
      </w:r>
      <w:r w:rsidRPr="00240D66">
        <w:rPr>
          <w:rFonts w:asciiTheme="majorBidi" w:hAnsiTheme="majorBidi" w:cstheme="majorBidi"/>
          <w:sz w:val="24"/>
          <w:szCs w:val="24"/>
        </w:rPr>
        <w:t>n</w:t>
      </w:r>
      <w:r w:rsidR="000B0947" w:rsidRPr="00240D66">
        <w:rPr>
          <w:rFonts w:asciiTheme="majorBidi" w:hAnsiTheme="majorBidi" w:cstheme="majorBidi"/>
          <w:sz w:val="24"/>
          <w:szCs w:val="24"/>
        </w:rPr>
        <w:t xml:space="preserve"> emphasis on evidence-based policymaking, in the practice of coordination, </w:t>
      </w:r>
      <w:r w:rsidRPr="00240D66">
        <w:rPr>
          <w:rFonts w:asciiTheme="majorBidi" w:hAnsiTheme="majorBidi" w:cstheme="majorBidi"/>
          <w:sz w:val="24"/>
          <w:szCs w:val="24"/>
        </w:rPr>
        <w:t xml:space="preserve">has </w:t>
      </w:r>
      <w:r w:rsidR="000B0947" w:rsidRPr="00240D66">
        <w:rPr>
          <w:rFonts w:asciiTheme="majorBidi" w:hAnsiTheme="majorBidi" w:cstheme="majorBidi"/>
          <w:sz w:val="24"/>
          <w:szCs w:val="24"/>
        </w:rPr>
        <w:t>provided a means by which the boundaries between science, politics and administration c</w:t>
      </w:r>
      <w:r w:rsidRPr="00240D66">
        <w:rPr>
          <w:rFonts w:asciiTheme="majorBidi" w:hAnsiTheme="majorBidi" w:cstheme="majorBidi"/>
          <w:sz w:val="24"/>
          <w:szCs w:val="24"/>
        </w:rPr>
        <w:t>an</w:t>
      </w:r>
      <w:r w:rsidR="000B0947" w:rsidRPr="00240D66">
        <w:rPr>
          <w:rFonts w:asciiTheme="majorBidi" w:hAnsiTheme="majorBidi" w:cstheme="majorBidi"/>
          <w:sz w:val="24"/>
          <w:szCs w:val="24"/>
        </w:rPr>
        <w:t xml:space="preserve"> be safely contested</w:t>
      </w:r>
      <w:r w:rsidRPr="00240D66">
        <w:rPr>
          <w:rFonts w:asciiTheme="majorBidi" w:hAnsiTheme="majorBidi" w:cstheme="majorBidi"/>
          <w:sz w:val="24"/>
          <w:szCs w:val="24"/>
        </w:rPr>
        <w:t>.</w:t>
      </w:r>
    </w:p>
    <w:p w:rsidR="009B1E7B" w:rsidRPr="00240D66" w:rsidRDefault="009B1E7B" w:rsidP="00240D66">
      <w:pPr>
        <w:spacing w:line="360" w:lineRule="auto"/>
        <w:rPr>
          <w:rFonts w:asciiTheme="majorBidi" w:hAnsiTheme="majorBidi" w:cstheme="majorBidi"/>
          <w:sz w:val="24"/>
          <w:szCs w:val="24"/>
        </w:rPr>
      </w:pPr>
    </w:p>
    <w:p w:rsidR="001F3FCA" w:rsidRPr="00240D66" w:rsidRDefault="00186E7B" w:rsidP="00240D66">
      <w:pPr>
        <w:spacing w:line="360" w:lineRule="auto"/>
        <w:rPr>
          <w:rFonts w:asciiTheme="majorBidi" w:hAnsiTheme="majorBidi" w:cstheme="majorBidi"/>
          <w:b/>
          <w:bCs/>
          <w:sz w:val="24"/>
          <w:szCs w:val="24"/>
        </w:rPr>
      </w:pPr>
      <w:r w:rsidRPr="00240D66">
        <w:rPr>
          <w:rFonts w:asciiTheme="majorBidi" w:hAnsiTheme="majorBidi" w:cstheme="majorBidi"/>
          <w:b/>
          <w:bCs/>
          <w:sz w:val="24"/>
          <w:szCs w:val="24"/>
        </w:rPr>
        <w:t xml:space="preserve">How </w:t>
      </w:r>
      <w:r w:rsidR="00224195" w:rsidRPr="00240D66">
        <w:rPr>
          <w:rFonts w:asciiTheme="majorBidi" w:hAnsiTheme="majorBidi" w:cstheme="majorBidi"/>
          <w:b/>
          <w:bCs/>
          <w:sz w:val="24"/>
          <w:szCs w:val="24"/>
        </w:rPr>
        <w:t xml:space="preserve">Boundary Work helps </w:t>
      </w:r>
      <w:r w:rsidRPr="00240D66">
        <w:rPr>
          <w:rFonts w:asciiTheme="majorBidi" w:hAnsiTheme="majorBidi" w:cstheme="majorBidi"/>
          <w:b/>
          <w:bCs/>
          <w:sz w:val="24"/>
          <w:szCs w:val="24"/>
        </w:rPr>
        <w:t>to explain these contrasting trajectories</w:t>
      </w:r>
      <w:r w:rsidR="001F3FCA" w:rsidRPr="00240D66">
        <w:rPr>
          <w:rFonts w:asciiTheme="majorBidi" w:hAnsiTheme="majorBidi" w:cstheme="majorBidi"/>
          <w:b/>
          <w:bCs/>
          <w:sz w:val="24"/>
          <w:szCs w:val="24"/>
        </w:rPr>
        <w:t xml:space="preserve"> </w:t>
      </w:r>
    </w:p>
    <w:p w:rsidR="0073132A" w:rsidRPr="00240D66" w:rsidRDefault="00205941"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Though both </w:t>
      </w:r>
      <w:r w:rsidR="00FB3CA8" w:rsidRPr="00240D66">
        <w:rPr>
          <w:rFonts w:asciiTheme="majorBidi" w:hAnsiTheme="majorBidi" w:cstheme="majorBidi"/>
          <w:sz w:val="24"/>
          <w:szCs w:val="24"/>
        </w:rPr>
        <w:t xml:space="preserve">NICE and the FSA </w:t>
      </w:r>
      <w:r w:rsidR="000F053A" w:rsidRPr="00240D66">
        <w:rPr>
          <w:rFonts w:asciiTheme="majorBidi" w:hAnsiTheme="majorBidi" w:cstheme="majorBidi"/>
          <w:sz w:val="24"/>
          <w:szCs w:val="24"/>
        </w:rPr>
        <w:t>emerged</w:t>
      </w:r>
      <w:r w:rsidR="0035768F" w:rsidRPr="00240D66">
        <w:rPr>
          <w:rFonts w:asciiTheme="majorBidi" w:hAnsiTheme="majorBidi" w:cstheme="majorBidi"/>
          <w:sz w:val="24"/>
          <w:szCs w:val="24"/>
        </w:rPr>
        <w:t xml:space="preserve"> at </w:t>
      </w:r>
      <w:r w:rsidRPr="00240D66">
        <w:rPr>
          <w:rFonts w:asciiTheme="majorBidi" w:hAnsiTheme="majorBidi" w:cstheme="majorBidi"/>
          <w:sz w:val="24"/>
          <w:szCs w:val="24"/>
        </w:rPr>
        <w:t xml:space="preserve">the </w:t>
      </w:r>
      <w:r w:rsidR="0035768F" w:rsidRPr="00240D66">
        <w:rPr>
          <w:rFonts w:asciiTheme="majorBidi" w:hAnsiTheme="majorBidi" w:cstheme="majorBidi"/>
          <w:sz w:val="24"/>
          <w:szCs w:val="24"/>
        </w:rPr>
        <w:t>same time</w:t>
      </w:r>
      <w:r w:rsidRPr="00240D66">
        <w:rPr>
          <w:rFonts w:asciiTheme="majorBidi" w:hAnsiTheme="majorBidi" w:cstheme="majorBidi"/>
          <w:sz w:val="24"/>
          <w:szCs w:val="24"/>
        </w:rPr>
        <w:t>,</w:t>
      </w:r>
      <w:r w:rsidR="0035768F" w:rsidRPr="00240D66">
        <w:rPr>
          <w:rFonts w:asciiTheme="majorBidi" w:hAnsiTheme="majorBidi" w:cstheme="majorBidi"/>
          <w:sz w:val="24"/>
          <w:szCs w:val="24"/>
        </w:rPr>
        <w:t xml:space="preserve"> and </w:t>
      </w:r>
      <w:r w:rsidRPr="00240D66">
        <w:rPr>
          <w:rFonts w:asciiTheme="majorBidi" w:hAnsiTheme="majorBidi" w:cstheme="majorBidi"/>
          <w:sz w:val="24"/>
          <w:szCs w:val="24"/>
        </w:rPr>
        <w:t xml:space="preserve">both have </w:t>
      </w:r>
      <w:r w:rsidR="000F053A" w:rsidRPr="00240D66">
        <w:rPr>
          <w:rFonts w:asciiTheme="majorBidi" w:hAnsiTheme="majorBidi" w:cstheme="majorBidi"/>
          <w:sz w:val="24"/>
          <w:szCs w:val="24"/>
        </w:rPr>
        <w:t>persisted to the pr</w:t>
      </w:r>
      <w:r w:rsidR="00650B72" w:rsidRPr="00240D66">
        <w:rPr>
          <w:rFonts w:asciiTheme="majorBidi" w:hAnsiTheme="majorBidi" w:cstheme="majorBidi"/>
          <w:sz w:val="24"/>
          <w:szCs w:val="24"/>
        </w:rPr>
        <w:t>esent day</w:t>
      </w:r>
      <w:r w:rsidRPr="00240D66">
        <w:rPr>
          <w:rFonts w:asciiTheme="majorBidi" w:hAnsiTheme="majorBidi" w:cstheme="majorBidi"/>
          <w:sz w:val="24"/>
          <w:szCs w:val="24"/>
        </w:rPr>
        <w:t xml:space="preserve">, </w:t>
      </w:r>
      <w:r w:rsidR="00650B72" w:rsidRPr="00240D66">
        <w:rPr>
          <w:rFonts w:asciiTheme="majorBidi" w:hAnsiTheme="majorBidi" w:cstheme="majorBidi"/>
          <w:sz w:val="24"/>
          <w:szCs w:val="24"/>
        </w:rPr>
        <w:t>a boundary work approach highlights  key and revealing differences in their trajectories</w:t>
      </w:r>
      <w:r w:rsidRPr="00240D66">
        <w:rPr>
          <w:rFonts w:asciiTheme="majorBidi" w:hAnsiTheme="majorBidi" w:cstheme="majorBidi"/>
          <w:sz w:val="24"/>
          <w:szCs w:val="24"/>
        </w:rPr>
        <w:t xml:space="preserve">. </w:t>
      </w:r>
      <w:r w:rsidR="0073132A" w:rsidRPr="00240D66">
        <w:rPr>
          <w:rFonts w:asciiTheme="majorBidi" w:hAnsiTheme="majorBidi" w:cstheme="majorBidi"/>
          <w:sz w:val="24"/>
          <w:szCs w:val="24"/>
        </w:rPr>
        <w:t>This section spells these insights out with reference to the analytical framework developed earlier.</w:t>
      </w:r>
    </w:p>
    <w:p w:rsidR="0073132A" w:rsidRPr="00240D66" w:rsidRDefault="0073132A"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The first insight, founded in an appreciation of the emergence of boundary problems, is that both cases reveal more at play in each context than </w:t>
      </w:r>
      <w:r w:rsidR="00186E7B" w:rsidRPr="00240D66">
        <w:rPr>
          <w:rFonts w:asciiTheme="majorBidi" w:hAnsiTheme="majorBidi" w:cstheme="majorBidi"/>
          <w:sz w:val="24"/>
          <w:szCs w:val="24"/>
        </w:rPr>
        <w:t xml:space="preserve">just </w:t>
      </w:r>
      <w:r w:rsidRPr="00240D66">
        <w:rPr>
          <w:rFonts w:asciiTheme="majorBidi" w:hAnsiTheme="majorBidi" w:cstheme="majorBidi"/>
          <w:sz w:val="24"/>
          <w:szCs w:val="24"/>
        </w:rPr>
        <w:t>moves towards efficiency (the NPM model) or depoliticisation. Of course, both broad narratives have some resonance with each case: the FSA clearly entailed greater specialisation and a desire to put ‘clear water’ between the government and food safety concerns; NICE clearly entailed a move towards rationalisation and a motivation to dista</w:t>
      </w:r>
      <w:r w:rsidR="00C6138A" w:rsidRPr="00240D66">
        <w:rPr>
          <w:rFonts w:asciiTheme="majorBidi" w:hAnsiTheme="majorBidi" w:cstheme="majorBidi"/>
          <w:sz w:val="24"/>
          <w:szCs w:val="24"/>
        </w:rPr>
        <w:t>nce government from emotive media stories about denied</w:t>
      </w:r>
      <w:r w:rsidRPr="00240D66">
        <w:rPr>
          <w:rFonts w:asciiTheme="majorBidi" w:hAnsiTheme="majorBidi" w:cstheme="majorBidi"/>
          <w:sz w:val="24"/>
          <w:szCs w:val="24"/>
        </w:rPr>
        <w:t xml:space="preserve"> access. But both cases also speak to a broader crisis of traditional sources of authority (see especially Hajer 2009) – a blurring of boundaries between science, administration</w:t>
      </w:r>
      <w:r w:rsidR="00B824DC" w:rsidRPr="00240D66">
        <w:rPr>
          <w:rFonts w:asciiTheme="majorBidi" w:hAnsiTheme="majorBidi" w:cstheme="majorBidi"/>
          <w:sz w:val="24"/>
          <w:szCs w:val="24"/>
        </w:rPr>
        <w:t>, business</w:t>
      </w:r>
      <w:r w:rsidRPr="00240D66">
        <w:rPr>
          <w:rFonts w:asciiTheme="majorBidi" w:hAnsiTheme="majorBidi" w:cstheme="majorBidi"/>
          <w:sz w:val="24"/>
          <w:szCs w:val="24"/>
        </w:rPr>
        <w:t xml:space="preserve"> and politics and a need for scientists, bureaucrats and politicians to symbolically perform their authority in order to reclaim public trust and legitimacy.</w:t>
      </w:r>
    </w:p>
    <w:p w:rsidR="0035768F" w:rsidRPr="00240D66" w:rsidRDefault="00BA1B5D"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The</w:t>
      </w:r>
      <w:r w:rsidR="0073132A" w:rsidRPr="00240D66">
        <w:rPr>
          <w:rFonts w:asciiTheme="majorBidi" w:hAnsiTheme="majorBidi" w:cstheme="majorBidi"/>
          <w:sz w:val="24"/>
          <w:szCs w:val="24"/>
        </w:rPr>
        <w:t xml:space="preserve"> second insight derives from a focus on the enactment of that authority</w:t>
      </w:r>
      <w:r w:rsidR="002268F0" w:rsidRPr="00240D66">
        <w:rPr>
          <w:rFonts w:asciiTheme="majorBidi" w:hAnsiTheme="majorBidi" w:cstheme="majorBidi"/>
          <w:sz w:val="24"/>
          <w:szCs w:val="24"/>
        </w:rPr>
        <w:t xml:space="preserve"> </w:t>
      </w:r>
      <w:r w:rsidR="0073132A" w:rsidRPr="00240D66">
        <w:rPr>
          <w:rFonts w:asciiTheme="majorBidi" w:hAnsiTheme="majorBidi" w:cstheme="majorBidi"/>
          <w:sz w:val="24"/>
          <w:szCs w:val="24"/>
        </w:rPr>
        <w:t xml:space="preserve">in the attempts to </w:t>
      </w:r>
      <w:r w:rsidR="003646FC" w:rsidRPr="00240D66">
        <w:rPr>
          <w:rFonts w:asciiTheme="majorBidi" w:hAnsiTheme="majorBidi" w:cstheme="majorBidi"/>
          <w:sz w:val="24"/>
          <w:szCs w:val="24"/>
        </w:rPr>
        <w:t>performatively and discursively demarcate</w:t>
      </w:r>
      <w:r w:rsidR="00B824DC" w:rsidRPr="00240D66">
        <w:rPr>
          <w:rFonts w:asciiTheme="majorBidi" w:hAnsiTheme="majorBidi" w:cstheme="majorBidi"/>
          <w:sz w:val="24"/>
          <w:szCs w:val="24"/>
        </w:rPr>
        <w:t xml:space="preserve"> the boundaries between these spheres.</w:t>
      </w:r>
      <w:r w:rsidR="003646FC" w:rsidRPr="00240D66">
        <w:rPr>
          <w:rFonts w:asciiTheme="majorBidi" w:hAnsiTheme="majorBidi" w:cstheme="majorBidi"/>
          <w:sz w:val="24"/>
          <w:szCs w:val="24"/>
        </w:rPr>
        <w:t xml:space="preserve"> Th</w:t>
      </w:r>
      <w:r w:rsidR="0073132A" w:rsidRPr="00240D66">
        <w:rPr>
          <w:rFonts w:asciiTheme="majorBidi" w:hAnsiTheme="majorBidi" w:cstheme="majorBidi"/>
          <w:sz w:val="24"/>
          <w:szCs w:val="24"/>
        </w:rPr>
        <w:t xml:space="preserve">e divergent trajectories </w:t>
      </w:r>
      <w:r w:rsidR="003646FC" w:rsidRPr="00240D66">
        <w:rPr>
          <w:rFonts w:asciiTheme="majorBidi" w:hAnsiTheme="majorBidi" w:cstheme="majorBidi"/>
          <w:sz w:val="24"/>
          <w:szCs w:val="24"/>
        </w:rPr>
        <w:t xml:space="preserve">of these arms-length bodies </w:t>
      </w:r>
      <w:r w:rsidR="002268F0" w:rsidRPr="00240D66">
        <w:rPr>
          <w:rFonts w:asciiTheme="majorBidi" w:hAnsiTheme="majorBidi" w:cstheme="majorBidi"/>
          <w:sz w:val="24"/>
          <w:szCs w:val="24"/>
        </w:rPr>
        <w:t>cannot be attributed to</w:t>
      </w:r>
      <w:r w:rsidR="003646FC" w:rsidRPr="00240D66">
        <w:rPr>
          <w:rFonts w:asciiTheme="majorBidi" w:hAnsiTheme="majorBidi" w:cstheme="majorBidi"/>
          <w:sz w:val="24"/>
          <w:szCs w:val="24"/>
        </w:rPr>
        <w:t xml:space="preserve"> </w:t>
      </w:r>
      <w:r w:rsidRPr="00240D66">
        <w:rPr>
          <w:rFonts w:asciiTheme="majorBidi" w:hAnsiTheme="majorBidi" w:cstheme="majorBidi"/>
          <w:sz w:val="24"/>
          <w:szCs w:val="24"/>
        </w:rPr>
        <w:t>a path dependency founded in different institutional settings. Institutiona</w:t>
      </w:r>
      <w:r w:rsidR="0074384B" w:rsidRPr="00240D66">
        <w:rPr>
          <w:rFonts w:asciiTheme="majorBidi" w:hAnsiTheme="majorBidi" w:cstheme="majorBidi"/>
          <w:sz w:val="24"/>
          <w:szCs w:val="24"/>
        </w:rPr>
        <w:t>l</w:t>
      </w:r>
      <w:r w:rsidRPr="00240D66">
        <w:rPr>
          <w:rFonts w:asciiTheme="majorBidi" w:hAnsiTheme="majorBidi" w:cstheme="majorBidi"/>
          <w:sz w:val="24"/>
          <w:szCs w:val="24"/>
        </w:rPr>
        <w:t xml:space="preserve"> </w:t>
      </w:r>
      <w:r w:rsidR="0074384B" w:rsidRPr="00240D66">
        <w:rPr>
          <w:rFonts w:asciiTheme="majorBidi" w:hAnsiTheme="majorBidi" w:cstheme="majorBidi"/>
          <w:sz w:val="24"/>
          <w:szCs w:val="24"/>
        </w:rPr>
        <w:t xml:space="preserve">scope, </w:t>
      </w:r>
      <w:r w:rsidRPr="00240D66">
        <w:rPr>
          <w:rFonts w:asciiTheme="majorBidi" w:hAnsiTheme="majorBidi" w:cstheme="majorBidi"/>
          <w:sz w:val="24"/>
          <w:szCs w:val="24"/>
        </w:rPr>
        <w:t xml:space="preserve">size and degree of statutory independence have </w:t>
      </w:r>
      <w:r w:rsidR="00186E7B" w:rsidRPr="00240D66">
        <w:rPr>
          <w:rFonts w:asciiTheme="majorBidi" w:hAnsiTheme="majorBidi" w:cstheme="majorBidi"/>
          <w:sz w:val="24"/>
          <w:szCs w:val="24"/>
        </w:rPr>
        <w:t xml:space="preserve">decidedly </w:t>
      </w:r>
      <w:r w:rsidRPr="00240D66">
        <w:rPr>
          <w:rFonts w:asciiTheme="majorBidi" w:hAnsiTheme="majorBidi" w:cstheme="majorBidi"/>
          <w:i/>
          <w:iCs/>
          <w:sz w:val="24"/>
          <w:szCs w:val="24"/>
        </w:rPr>
        <w:t>not</w:t>
      </w:r>
      <w:r w:rsidRPr="00240D66">
        <w:rPr>
          <w:rFonts w:asciiTheme="majorBidi" w:hAnsiTheme="majorBidi" w:cstheme="majorBidi"/>
          <w:sz w:val="24"/>
          <w:szCs w:val="24"/>
        </w:rPr>
        <w:t xml:space="preserve"> conferred greater </w:t>
      </w:r>
      <w:r w:rsidR="00B824DC" w:rsidRPr="00240D66">
        <w:rPr>
          <w:rFonts w:asciiTheme="majorBidi" w:hAnsiTheme="majorBidi" w:cstheme="majorBidi"/>
          <w:sz w:val="24"/>
          <w:szCs w:val="24"/>
        </w:rPr>
        <w:t>institutional security</w:t>
      </w:r>
      <w:r w:rsidRPr="00240D66">
        <w:rPr>
          <w:rFonts w:asciiTheme="majorBidi" w:hAnsiTheme="majorBidi" w:cstheme="majorBidi"/>
          <w:sz w:val="24"/>
          <w:szCs w:val="24"/>
        </w:rPr>
        <w:t xml:space="preserve"> </w:t>
      </w:r>
      <w:r w:rsidR="00650B72" w:rsidRPr="00240D66">
        <w:rPr>
          <w:rFonts w:asciiTheme="majorBidi" w:hAnsiTheme="majorBidi" w:cstheme="majorBidi"/>
          <w:sz w:val="24"/>
          <w:szCs w:val="24"/>
        </w:rPr>
        <w:t>in practice: the FSA began as a potent and autonomous agency</w:t>
      </w:r>
      <w:r w:rsidRPr="00240D66">
        <w:rPr>
          <w:rFonts w:asciiTheme="majorBidi" w:hAnsiTheme="majorBidi" w:cstheme="majorBidi"/>
          <w:sz w:val="24"/>
          <w:szCs w:val="24"/>
        </w:rPr>
        <w:t xml:space="preserve">, but </w:t>
      </w:r>
      <w:r w:rsidR="00B824DC" w:rsidRPr="00240D66">
        <w:rPr>
          <w:rFonts w:asciiTheme="majorBidi" w:hAnsiTheme="majorBidi" w:cstheme="majorBidi"/>
          <w:sz w:val="24"/>
          <w:szCs w:val="24"/>
        </w:rPr>
        <w:t>finds itself now placed on a tight leash with its central government sponsor and</w:t>
      </w:r>
      <w:r w:rsidRPr="00240D66">
        <w:rPr>
          <w:rFonts w:asciiTheme="majorBidi" w:hAnsiTheme="majorBidi" w:cstheme="majorBidi"/>
          <w:sz w:val="24"/>
          <w:szCs w:val="24"/>
        </w:rPr>
        <w:t xml:space="preserve"> a drastically slimmed down remit; NICE began as a tentative ar</w:t>
      </w:r>
      <w:r w:rsidR="00186E7B" w:rsidRPr="00240D66">
        <w:rPr>
          <w:rFonts w:asciiTheme="majorBidi" w:hAnsiTheme="majorBidi" w:cstheme="majorBidi"/>
          <w:sz w:val="24"/>
          <w:szCs w:val="24"/>
        </w:rPr>
        <w:t>rangement but has grown to become a fully autonomous agency</w:t>
      </w:r>
      <w:r w:rsidR="00C6138A" w:rsidRPr="00240D66">
        <w:rPr>
          <w:rFonts w:asciiTheme="majorBidi" w:hAnsiTheme="majorBidi" w:cstheme="majorBidi"/>
          <w:sz w:val="24"/>
          <w:szCs w:val="24"/>
        </w:rPr>
        <w:t xml:space="preserve"> with a remit increased</w:t>
      </w:r>
      <w:r w:rsidRPr="00240D66">
        <w:rPr>
          <w:rFonts w:asciiTheme="majorBidi" w:hAnsiTheme="majorBidi" w:cstheme="majorBidi"/>
          <w:sz w:val="24"/>
          <w:szCs w:val="24"/>
        </w:rPr>
        <w:t xml:space="preserve"> to include public health and social care as well. </w:t>
      </w:r>
      <w:r w:rsidR="00650B72" w:rsidRPr="00240D66">
        <w:rPr>
          <w:rFonts w:asciiTheme="majorBidi" w:hAnsiTheme="majorBidi" w:cstheme="majorBidi"/>
          <w:sz w:val="24"/>
          <w:szCs w:val="24"/>
        </w:rPr>
        <w:t>T</w:t>
      </w:r>
      <w:r w:rsidR="00186E7B" w:rsidRPr="00240D66">
        <w:rPr>
          <w:rFonts w:asciiTheme="majorBidi" w:hAnsiTheme="majorBidi" w:cstheme="majorBidi"/>
          <w:sz w:val="24"/>
          <w:szCs w:val="24"/>
        </w:rPr>
        <w:t>hese</w:t>
      </w:r>
      <w:r w:rsidR="0074384B" w:rsidRPr="00240D66">
        <w:rPr>
          <w:rFonts w:asciiTheme="majorBidi" w:hAnsiTheme="majorBidi" w:cstheme="majorBidi"/>
          <w:sz w:val="24"/>
          <w:szCs w:val="24"/>
        </w:rPr>
        <w:t xml:space="preserve"> outcome</w:t>
      </w:r>
      <w:r w:rsidR="00186E7B" w:rsidRPr="00240D66">
        <w:rPr>
          <w:rFonts w:asciiTheme="majorBidi" w:hAnsiTheme="majorBidi" w:cstheme="majorBidi"/>
          <w:sz w:val="24"/>
          <w:szCs w:val="24"/>
        </w:rPr>
        <w:t>s</w:t>
      </w:r>
      <w:r w:rsidR="0074384B" w:rsidRPr="00240D66">
        <w:rPr>
          <w:rFonts w:asciiTheme="majorBidi" w:hAnsiTheme="majorBidi" w:cstheme="majorBidi"/>
          <w:sz w:val="24"/>
          <w:szCs w:val="24"/>
        </w:rPr>
        <w:t xml:space="preserve"> </w:t>
      </w:r>
      <w:r w:rsidR="00FB3CA8" w:rsidRPr="00240D66">
        <w:rPr>
          <w:rFonts w:asciiTheme="majorBidi" w:hAnsiTheme="majorBidi" w:cstheme="majorBidi"/>
          <w:sz w:val="24"/>
          <w:szCs w:val="24"/>
        </w:rPr>
        <w:t>are not</w:t>
      </w:r>
      <w:r w:rsidR="0074384B" w:rsidRPr="00240D66">
        <w:rPr>
          <w:rFonts w:asciiTheme="majorBidi" w:hAnsiTheme="majorBidi" w:cstheme="majorBidi"/>
          <w:sz w:val="24"/>
          <w:szCs w:val="24"/>
        </w:rPr>
        <w:t xml:space="preserve"> ‘random’. </w:t>
      </w:r>
      <w:r w:rsidR="00B824DC" w:rsidRPr="00240D66">
        <w:rPr>
          <w:rFonts w:asciiTheme="majorBidi" w:hAnsiTheme="majorBidi" w:cstheme="majorBidi"/>
          <w:sz w:val="24"/>
          <w:szCs w:val="24"/>
        </w:rPr>
        <w:t>Understanding institutional reform as a performance of demarcati</w:t>
      </w:r>
      <w:r w:rsidR="00FB3CA8" w:rsidRPr="00240D66">
        <w:rPr>
          <w:rFonts w:asciiTheme="majorBidi" w:hAnsiTheme="majorBidi" w:cstheme="majorBidi"/>
          <w:sz w:val="24"/>
          <w:szCs w:val="24"/>
        </w:rPr>
        <w:t>on reveals</w:t>
      </w:r>
      <w:r w:rsidR="00B824DC" w:rsidRPr="00240D66">
        <w:rPr>
          <w:rFonts w:asciiTheme="majorBidi" w:hAnsiTheme="majorBidi" w:cstheme="majorBidi"/>
          <w:sz w:val="24"/>
          <w:szCs w:val="24"/>
        </w:rPr>
        <w:t xml:space="preserve"> </w:t>
      </w:r>
      <w:r w:rsidR="003646FC" w:rsidRPr="00240D66">
        <w:rPr>
          <w:rFonts w:asciiTheme="majorBidi" w:hAnsiTheme="majorBidi" w:cstheme="majorBidi"/>
          <w:sz w:val="24"/>
          <w:szCs w:val="24"/>
        </w:rPr>
        <w:t>that</w:t>
      </w:r>
      <w:r w:rsidR="00B824DC" w:rsidRPr="00240D66">
        <w:rPr>
          <w:rFonts w:asciiTheme="majorBidi" w:hAnsiTheme="majorBidi" w:cstheme="majorBidi"/>
          <w:sz w:val="24"/>
          <w:szCs w:val="24"/>
        </w:rPr>
        <w:t xml:space="preserve"> </w:t>
      </w:r>
      <w:r w:rsidR="00FB3CA8" w:rsidRPr="00240D66">
        <w:rPr>
          <w:rFonts w:asciiTheme="majorBidi" w:hAnsiTheme="majorBidi" w:cstheme="majorBidi"/>
          <w:sz w:val="24"/>
          <w:szCs w:val="24"/>
        </w:rPr>
        <w:t>key</w:t>
      </w:r>
      <w:r w:rsidR="00186E7B" w:rsidRPr="00240D66">
        <w:rPr>
          <w:rFonts w:asciiTheme="majorBidi" w:hAnsiTheme="majorBidi" w:cstheme="majorBidi"/>
          <w:sz w:val="24"/>
          <w:szCs w:val="24"/>
        </w:rPr>
        <w:t xml:space="preserve"> </w:t>
      </w:r>
      <w:r w:rsidRPr="00240D66">
        <w:rPr>
          <w:rFonts w:asciiTheme="majorBidi" w:hAnsiTheme="majorBidi" w:cstheme="majorBidi"/>
          <w:sz w:val="24"/>
          <w:szCs w:val="24"/>
        </w:rPr>
        <w:t>organizational variables are not fixed and determining, but fluid and contingent.</w:t>
      </w:r>
      <w:r w:rsidR="003646FC" w:rsidRPr="00240D66">
        <w:rPr>
          <w:rFonts w:asciiTheme="majorBidi" w:hAnsiTheme="majorBidi" w:cstheme="majorBidi"/>
          <w:sz w:val="24"/>
          <w:szCs w:val="24"/>
        </w:rPr>
        <w:t xml:space="preserve"> </w:t>
      </w:r>
    </w:p>
    <w:p w:rsidR="003646FC" w:rsidRPr="00240D66" w:rsidRDefault="00B824DC"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The third</w:t>
      </w:r>
      <w:r w:rsidR="003646FC" w:rsidRPr="00240D66">
        <w:rPr>
          <w:rFonts w:asciiTheme="majorBidi" w:hAnsiTheme="majorBidi" w:cstheme="majorBidi"/>
          <w:sz w:val="24"/>
          <w:szCs w:val="24"/>
        </w:rPr>
        <w:t xml:space="preserve"> insight comes from the </w:t>
      </w:r>
      <w:r w:rsidRPr="00240D66">
        <w:rPr>
          <w:rFonts w:asciiTheme="majorBidi" w:hAnsiTheme="majorBidi" w:cstheme="majorBidi"/>
          <w:sz w:val="24"/>
          <w:szCs w:val="24"/>
        </w:rPr>
        <w:t xml:space="preserve">different modes and practices of coordination across each case that these </w:t>
      </w:r>
      <w:r w:rsidR="003646FC" w:rsidRPr="00240D66">
        <w:rPr>
          <w:rFonts w:asciiTheme="majorBidi" w:hAnsiTheme="majorBidi" w:cstheme="majorBidi"/>
          <w:sz w:val="24"/>
          <w:szCs w:val="24"/>
        </w:rPr>
        <w:t>discursive and performative gestures to transparency (in the case of the FSA) and evidence-based policy making (in the case of NICE) set in train.</w:t>
      </w:r>
      <w:r w:rsidR="001603B3" w:rsidRPr="00240D66">
        <w:rPr>
          <w:rFonts w:asciiTheme="majorBidi" w:hAnsiTheme="majorBidi" w:cstheme="majorBidi"/>
          <w:sz w:val="24"/>
          <w:szCs w:val="24"/>
        </w:rPr>
        <w:t xml:space="preserve"> </w:t>
      </w:r>
      <w:r w:rsidR="003646FC" w:rsidRPr="00240D66">
        <w:rPr>
          <w:rFonts w:asciiTheme="majorBidi" w:hAnsiTheme="majorBidi" w:cstheme="majorBidi"/>
          <w:sz w:val="24"/>
          <w:szCs w:val="24"/>
        </w:rPr>
        <w:t>For the FSA,</w:t>
      </w:r>
      <w:r w:rsidR="001F3FCA" w:rsidRPr="00240D66">
        <w:rPr>
          <w:rFonts w:asciiTheme="majorBidi" w:hAnsiTheme="majorBidi" w:cstheme="majorBidi"/>
          <w:sz w:val="24"/>
          <w:szCs w:val="24"/>
        </w:rPr>
        <w:t xml:space="preserve"> </w:t>
      </w:r>
      <w:r w:rsidR="003646FC" w:rsidRPr="00240D66">
        <w:rPr>
          <w:rFonts w:asciiTheme="majorBidi" w:hAnsiTheme="majorBidi" w:cstheme="majorBidi"/>
          <w:sz w:val="24"/>
          <w:szCs w:val="24"/>
        </w:rPr>
        <w:t>a</w:t>
      </w:r>
      <w:r w:rsidR="0035768F" w:rsidRPr="00240D66">
        <w:rPr>
          <w:rFonts w:asciiTheme="majorBidi" w:hAnsiTheme="majorBidi" w:cstheme="majorBidi"/>
          <w:sz w:val="24"/>
          <w:szCs w:val="24"/>
        </w:rPr>
        <w:t xml:space="preserve"> commitment to transparent co</w:t>
      </w:r>
      <w:r w:rsidR="008E4BBC" w:rsidRPr="00240D66">
        <w:rPr>
          <w:rFonts w:asciiTheme="majorBidi" w:hAnsiTheme="majorBidi" w:cstheme="majorBidi"/>
          <w:sz w:val="24"/>
          <w:szCs w:val="24"/>
        </w:rPr>
        <w:t>ordination proved unsustainable</w:t>
      </w:r>
      <w:r w:rsidR="003646FC" w:rsidRPr="00240D66">
        <w:rPr>
          <w:rFonts w:asciiTheme="majorBidi" w:hAnsiTheme="majorBidi" w:cstheme="majorBidi"/>
          <w:sz w:val="24"/>
          <w:szCs w:val="24"/>
        </w:rPr>
        <w:t>.</w:t>
      </w:r>
      <w:r w:rsidR="00C6138A" w:rsidRPr="00240D66">
        <w:rPr>
          <w:rFonts w:asciiTheme="majorBidi" w:hAnsiTheme="majorBidi" w:cstheme="majorBidi"/>
          <w:sz w:val="24"/>
          <w:szCs w:val="24"/>
        </w:rPr>
        <w:t xml:space="preserve"> The point is not that transparency proved an impossible standard in practice</w:t>
      </w:r>
      <w:r w:rsidR="003646FC" w:rsidRPr="00240D66">
        <w:rPr>
          <w:rFonts w:asciiTheme="majorBidi" w:hAnsiTheme="majorBidi" w:cstheme="majorBidi"/>
          <w:sz w:val="24"/>
          <w:szCs w:val="24"/>
        </w:rPr>
        <w:t>—</w:t>
      </w:r>
      <w:r w:rsidR="00C6138A" w:rsidRPr="00240D66">
        <w:rPr>
          <w:rFonts w:asciiTheme="majorBidi" w:hAnsiTheme="majorBidi" w:cstheme="majorBidi"/>
          <w:sz w:val="24"/>
          <w:szCs w:val="24"/>
        </w:rPr>
        <w:t>it did, of course—because evidence-based policy making was an equally i</w:t>
      </w:r>
      <w:r w:rsidR="00650B72" w:rsidRPr="00240D66">
        <w:rPr>
          <w:rFonts w:asciiTheme="majorBidi" w:hAnsiTheme="majorBidi" w:cstheme="majorBidi"/>
          <w:sz w:val="24"/>
          <w:szCs w:val="24"/>
        </w:rPr>
        <w:t>mpossible standard for NICE</w:t>
      </w:r>
      <w:r w:rsidR="00C6138A" w:rsidRPr="00240D66">
        <w:rPr>
          <w:rFonts w:asciiTheme="majorBidi" w:hAnsiTheme="majorBidi" w:cstheme="majorBidi"/>
          <w:sz w:val="24"/>
          <w:szCs w:val="24"/>
        </w:rPr>
        <w:t xml:space="preserve">. </w:t>
      </w:r>
      <w:r w:rsidR="00814DD8" w:rsidRPr="00240D66">
        <w:rPr>
          <w:rFonts w:asciiTheme="majorBidi" w:hAnsiTheme="majorBidi" w:cstheme="majorBidi"/>
          <w:sz w:val="24"/>
          <w:szCs w:val="24"/>
        </w:rPr>
        <w:t>Rather,</w:t>
      </w:r>
      <w:r w:rsidR="00C6138A" w:rsidRPr="00240D66">
        <w:rPr>
          <w:rFonts w:asciiTheme="majorBidi" w:hAnsiTheme="majorBidi" w:cstheme="majorBidi"/>
          <w:sz w:val="24"/>
          <w:szCs w:val="24"/>
        </w:rPr>
        <w:t xml:space="preserve"> </w:t>
      </w:r>
      <w:r w:rsidR="00814DD8" w:rsidRPr="00240D66">
        <w:rPr>
          <w:rFonts w:asciiTheme="majorBidi" w:hAnsiTheme="majorBidi" w:cstheme="majorBidi"/>
          <w:sz w:val="24"/>
          <w:szCs w:val="24"/>
        </w:rPr>
        <w:t>t</w:t>
      </w:r>
      <w:r w:rsidR="003646FC" w:rsidRPr="00240D66">
        <w:rPr>
          <w:rFonts w:asciiTheme="majorBidi" w:hAnsiTheme="majorBidi" w:cstheme="majorBidi"/>
          <w:sz w:val="24"/>
          <w:szCs w:val="24"/>
        </w:rPr>
        <w:t xml:space="preserve">he point </w:t>
      </w:r>
      <w:r w:rsidR="00C6138A" w:rsidRPr="00240D66">
        <w:rPr>
          <w:rFonts w:asciiTheme="majorBidi" w:hAnsiTheme="majorBidi" w:cstheme="majorBidi"/>
          <w:sz w:val="24"/>
          <w:szCs w:val="24"/>
        </w:rPr>
        <w:t>is that the</w:t>
      </w:r>
      <w:r w:rsidR="003646FC" w:rsidRPr="00240D66">
        <w:rPr>
          <w:rFonts w:asciiTheme="majorBidi" w:hAnsiTheme="majorBidi" w:cstheme="majorBidi"/>
          <w:sz w:val="24"/>
          <w:szCs w:val="24"/>
        </w:rPr>
        <w:t xml:space="preserve"> commitment </w:t>
      </w:r>
      <w:r w:rsidR="00C6138A" w:rsidRPr="00240D66">
        <w:rPr>
          <w:rFonts w:asciiTheme="majorBidi" w:hAnsiTheme="majorBidi" w:cstheme="majorBidi"/>
          <w:sz w:val="24"/>
          <w:szCs w:val="24"/>
        </w:rPr>
        <w:t xml:space="preserve">to transparency </w:t>
      </w:r>
      <w:r w:rsidR="00650B72" w:rsidRPr="00240D66">
        <w:rPr>
          <w:rFonts w:asciiTheme="majorBidi" w:hAnsiTheme="majorBidi" w:cstheme="majorBidi"/>
          <w:sz w:val="24"/>
          <w:szCs w:val="24"/>
        </w:rPr>
        <w:t>was a short-term fix that ul</w:t>
      </w:r>
      <w:r w:rsidR="00814DD8" w:rsidRPr="00240D66">
        <w:rPr>
          <w:rFonts w:asciiTheme="majorBidi" w:hAnsiTheme="majorBidi" w:cstheme="majorBidi"/>
          <w:sz w:val="24"/>
          <w:szCs w:val="24"/>
        </w:rPr>
        <w:t>t</w:t>
      </w:r>
      <w:r w:rsidR="00650B72" w:rsidRPr="00240D66">
        <w:rPr>
          <w:rFonts w:asciiTheme="majorBidi" w:hAnsiTheme="majorBidi" w:cstheme="majorBidi"/>
          <w:sz w:val="24"/>
          <w:szCs w:val="24"/>
        </w:rPr>
        <w:t>imately</w:t>
      </w:r>
      <w:r w:rsidR="00814DD8" w:rsidRPr="00240D66">
        <w:rPr>
          <w:rFonts w:asciiTheme="majorBidi" w:hAnsiTheme="majorBidi" w:cstheme="majorBidi"/>
          <w:sz w:val="24"/>
          <w:szCs w:val="24"/>
        </w:rPr>
        <w:t xml:space="preserve"> </w:t>
      </w:r>
      <w:r w:rsidR="0035768F" w:rsidRPr="00240D66">
        <w:rPr>
          <w:rFonts w:asciiTheme="majorBidi" w:hAnsiTheme="majorBidi" w:cstheme="majorBidi"/>
          <w:sz w:val="24"/>
          <w:szCs w:val="24"/>
        </w:rPr>
        <w:t xml:space="preserve">opened </w:t>
      </w:r>
      <w:r w:rsidR="00814DD8" w:rsidRPr="00240D66">
        <w:rPr>
          <w:rFonts w:asciiTheme="majorBidi" w:hAnsiTheme="majorBidi" w:cstheme="majorBidi"/>
          <w:sz w:val="24"/>
          <w:szCs w:val="24"/>
        </w:rPr>
        <w:t>the FSA</w:t>
      </w:r>
      <w:r w:rsidR="003646FC" w:rsidRPr="00240D66">
        <w:rPr>
          <w:rFonts w:asciiTheme="majorBidi" w:hAnsiTheme="majorBidi" w:cstheme="majorBidi"/>
          <w:sz w:val="24"/>
          <w:szCs w:val="24"/>
        </w:rPr>
        <w:t xml:space="preserve"> up to</w:t>
      </w:r>
      <w:r w:rsidR="008E4BBC" w:rsidRPr="00240D66">
        <w:rPr>
          <w:rFonts w:asciiTheme="majorBidi" w:hAnsiTheme="majorBidi" w:cstheme="majorBidi"/>
          <w:sz w:val="24"/>
          <w:szCs w:val="24"/>
        </w:rPr>
        <w:t xml:space="preserve"> </w:t>
      </w:r>
      <w:r w:rsidR="00814DD8" w:rsidRPr="00240D66">
        <w:rPr>
          <w:rFonts w:asciiTheme="majorBidi" w:hAnsiTheme="majorBidi" w:cstheme="majorBidi"/>
          <w:sz w:val="24"/>
          <w:szCs w:val="24"/>
        </w:rPr>
        <w:t>charges</w:t>
      </w:r>
      <w:r w:rsidR="00C6138A" w:rsidRPr="00240D66">
        <w:rPr>
          <w:rFonts w:asciiTheme="majorBidi" w:hAnsiTheme="majorBidi" w:cstheme="majorBidi"/>
          <w:sz w:val="24"/>
          <w:szCs w:val="24"/>
        </w:rPr>
        <w:t xml:space="preserve"> of hypocrisy </w:t>
      </w:r>
      <w:r w:rsidR="00650B72" w:rsidRPr="00240D66">
        <w:rPr>
          <w:rFonts w:asciiTheme="majorBidi" w:hAnsiTheme="majorBidi" w:cstheme="majorBidi"/>
          <w:sz w:val="24"/>
          <w:szCs w:val="24"/>
        </w:rPr>
        <w:t>over time</w:t>
      </w:r>
      <w:r w:rsidR="00814DD8" w:rsidRPr="00240D66">
        <w:rPr>
          <w:rFonts w:asciiTheme="majorBidi" w:hAnsiTheme="majorBidi" w:cstheme="majorBidi"/>
          <w:sz w:val="24"/>
          <w:szCs w:val="24"/>
        </w:rPr>
        <w:t>. Public and private criticism</w:t>
      </w:r>
      <w:r w:rsidR="008E4BBC" w:rsidRPr="00240D66">
        <w:rPr>
          <w:rFonts w:asciiTheme="majorBidi" w:hAnsiTheme="majorBidi" w:cstheme="majorBidi"/>
          <w:sz w:val="24"/>
          <w:szCs w:val="24"/>
        </w:rPr>
        <w:t>, from multiple angles</w:t>
      </w:r>
      <w:r w:rsidR="00814DD8" w:rsidRPr="00240D66">
        <w:rPr>
          <w:rFonts w:asciiTheme="majorBidi" w:hAnsiTheme="majorBidi" w:cstheme="majorBidi"/>
          <w:sz w:val="24"/>
          <w:szCs w:val="24"/>
        </w:rPr>
        <w:t>, slowly</w:t>
      </w:r>
      <w:r w:rsidR="001603B3" w:rsidRPr="00240D66">
        <w:rPr>
          <w:rFonts w:asciiTheme="majorBidi" w:hAnsiTheme="majorBidi" w:cstheme="majorBidi"/>
          <w:sz w:val="24"/>
          <w:szCs w:val="24"/>
        </w:rPr>
        <w:t xml:space="preserve"> eroded the trust</w:t>
      </w:r>
      <w:r w:rsidR="00650B72" w:rsidRPr="00240D66">
        <w:rPr>
          <w:rFonts w:asciiTheme="majorBidi" w:hAnsiTheme="majorBidi" w:cstheme="majorBidi"/>
          <w:sz w:val="24"/>
          <w:szCs w:val="24"/>
        </w:rPr>
        <w:t xml:space="preserve"> essential to its</w:t>
      </w:r>
      <w:r w:rsidR="001603B3" w:rsidRPr="00240D66">
        <w:rPr>
          <w:rFonts w:asciiTheme="majorBidi" w:hAnsiTheme="majorBidi" w:cstheme="majorBidi"/>
          <w:sz w:val="24"/>
          <w:szCs w:val="24"/>
        </w:rPr>
        <w:t xml:space="preserve"> legitimacy</w:t>
      </w:r>
      <w:r w:rsidR="001F3FCA" w:rsidRPr="00240D66">
        <w:rPr>
          <w:rFonts w:asciiTheme="majorBidi" w:hAnsiTheme="majorBidi" w:cstheme="majorBidi"/>
          <w:sz w:val="24"/>
          <w:szCs w:val="24"/>
        </w:rPr>
        <w:t xml:space="preserve">. </w:t>
      </w:r>
      <w:r w:rsidR="003646FC" w:rsidRPr="00240D66">
        <w:rPr>
          <w:rFonts w:asciiTheme="majorBidi" w:hAnsiTheme="majorBidi" w:cstheme="majorBidi"/>
          <w:sz w:val="24"/>
          <w:szCs w:val="24"/>
        </w:rPr>
        <w:t>In contrast, for NICE, the common refrai</w:t>
      </w:r>
      <w:r w:rsidR="00650B72" w:rsidRPr="00240D66">
        <w:rPr>
          <w:rFonts w:asciiTheme="majorBidi" w:hAnsiTheme="majorBidi" w:cstheme="majorBidi"/>
          <w:sz w:val="24"/>
          <w:szCs w:val="24"/>
        </w:rPr>
        <w:t>n to evidence-based</w:t>
      </w:r>
      <w:r w:rsidR="003646FC" w:rsidRPr="00240D66">
        <w:rPr>
          <w:rFonts w:asciiTheme="majorBidi" w:hAnsiTheme="majorBidi" w:cstheme="majorBidi"/>
          <w:sz w:val="24"/>
          <w:szCs w:val="24"/>
        </w:rPr>
        <w:t xml:space="preserve"> policymaking has allowed controversies over new treatments to be resolved in ways that sustain buy-in from all sides. The key here is that </w:t>
      </w:r>
      <w:r w:rsidRPr="00240D66">
        <w:rPr>
          <w:rFonts w:asciiTheme="majorBidi" w:hAnsiTheme="majorBidi" w:cstheme="majorBidi"/>
          <w:sz w:val="24"/>
          <w:szCs w:val="24"/>
        </w:rPr>
        <w:t>c</w:t>
      </w:r>
      <w:r w:rsidR="003646FC" w:rsidRPr="00240D66">
        <w:rPr>
          <w:rFonts w:asciiTheme="majorBidi" w:hAnsiTheme="majorBidi" w:cstheme="majorBidi"/>
          <w:sz w:val="24"/>
          <w:szCs w:val="24"/>
        </w:rPr>
        <w:t xml:space="preserve">onsiderable ‘wriggle room’ remains in the nature and meaning of key measures, such as the notion of ‘value-based pricing’ at the heart of NICE calculations (see HCHC 2013). This inherent ambiguity means that </w:t>
      </w:r>
      <w:r w:rsidR="00A770C5" w:rsidRPr="00240D66">
        <w:rPr>
          <w:rFonts w:asciiTheme="majorBidi" w:hAnsiTheme="majorBidi" w:cstheme="majorBidi"/>
          <w:sz w:val="24"/>
          <w:szCs w:val="24"/>
        </w:rPr>
        <w:t>officials</w:t>
      </w:r>
      <w:r w:rsidR="008E4BBC" w:rsidRPr="00240D66">
        <w:rPr>
          <w:rFonts w:asciiTheme="majorBidi" w:hAnsiTheme="majorBidi" w:cstheme="majorBidi"/>
          <w:sz w:val="24"/>
          <w:szCs w:val="24"/>
        </w:rPr>
        <w:t xml:space="preserve"> can defer or fudge contested assessments; p</w:t>
      </w:r>
      <w:r w:rsidR="003646FC" w:rsidRPr="00240D66">
        <w:rPr>
          <w:rFonts w:asciiTheme="majorBidi" w:hAnsiTheme="majorBidi" w:cstheme="majorBidi"/>
          <w:sz w:val="24"/>
          <w:szCs w:val="24"/>
        </w:rPr>
        <w:t>rofessional</w:t>
      </w:r>
      <w:r w:rsidR="00A770C5" w:rsidRPr="00240D66">
        <w:rPr>
          <w:rFonts w:asciiTheme="majorBidi" w:hAnsiTheme="majorBidi" w:cstheme="majorBidi"/>
          <w:sz w:val="24"/>
          <w:szCs w:val="24"/>
        </w:rPr>
        <w:t>s can reinterpret</w:t>
      </w:r>
      <w:r w:rsidR="003646FC" w:rsidRPr="00240D66">
        <w:rPr>
          <w:rFonts w:asciiTheme="majorBidi" w:hAnsiTheme="majorBidi" w:cstheme="majorBidi"/>
          <w:sz w:val="24"/>
          <w:szCs w:val="24"/>
        </w:rPr>
        <w:t xml:space="preserve"> guidelines in tune with </w:t>
      </w:r>
      <w:r w:rsidR="008E4BBC" w:rsidRPr="00240D66">
        <w:rPr>
          <w:rFonts w:asciiTheme="majorBidi" w:hAnsiTheme="majorBidi" w:cstheme="majorBidi"/>
          <w:sz w:val="24"/>
          <w:szCs w:val="24"/>
        </w:rPr>
        <w:t>their situated understandings; and s</w:t>
      </w:r>
      <w:r w:rsidR="003646FC" w:rsidRPr="00240D66">
        <w:rPr>
          <w:rFonts w:asciiTheme="majorBidi" w:hAnsiTheme="majorBidi" w:cstheme="majorBidi"/>
          <w:sz w:val="24"/>
          <w:szCs w:val="24"/>
        </w:rPr>
        <w:t>cientists (and medical and pharmaceutical interests) can go back to the lab in the</w:t>
      </w:r>
      <w:r w:rsidR="00650B72" w:rsidRPr="00240D66">
        <w:rPr>
          <w:rFonts w:asciiTheme="majorBidi" w:hAnsiTheme="majorBidi" w:cstheme="majorBidi"/>
          <w:sz w:val="24"/>
          <w:szCs w:val="24"/>
        </w:rPr>
        <w:t xml:space="preserve"> hope that</w:t>
      </w:r>
      <w:r w:rsidR="003646FC" w:rsidRPr="00240D66">
        <w:rPr>
          <w:rFonts w:asciiTheme="majorBidi" w:hAnsiTheme="majorBidi" w:cstheme="majorBidi"/>
          <w:sz w:val="24"/>
          <w:szCs w:val="24"/>
        </w:rPr>
        <w:t xml:space="preserve"> ‘the trut</w:t>
      </w:r>
      <w:r w:rsidR="00650B72" w:rsidRPr="00240D66">
        <w:rPr>
          <w:rFonts w:asciiTheme="majorBidi" w:hAnsiTheme="majorBidi" w:cstheme="majorBidi"/>
          <w:sz w:val="24"/>
          <w:szCs w:val="24"/>
        </w:rPr>
        <w:t>h will out’</w:t>
      </w:r>
      <w:r w:rsidR="003646FC" w:rsidRPr="00240D66">
        <w:rPr>
          <w:rFonts w:asciiTheme="majorBidi" w:hAnsiTheme="majorBidi" w:cstheme="majorBidi"/>
          <w:sz w:val="24"/>
          <w:szCs w:val="24"/>
        </w:rPr>
        <w:t xml:space="preserve">. </w:t>
      </w:r>
    </w:p>
    <w:p w:rsidR="001F3FCA" w:rsidRPr="00240D66" w:rsidRDefault="001F3FCA" w:rsidP="00240D66">
      <w:pPr>
        <w:spacing w:line="360" w:lineRule="auto"/>
        <w:rPr>
          <w:rFonts w:asciiTheme="majorBidi" w:hAnsiTheme="majorBidi" w:cstheme="majorBidi"/>
          <w:sz w:val="24"/>
          <w:szCs w:val="24"/>
        </w:rPr>
      </w:pPr>
    </w:p>
    <w:p w:rsidR="00007745" w:rsidRPr="00240D66" w:rsidRDefault="001C68F1" w:rsidP="00240D66">
      <w:pPr>
        <w:spacing w:line="360" w:lineRule="auto"/>
        <w:rPr>
          <w:rFonts w:asciiTheme="majorBidi" w:hAnsiTheme="majorBidi" w:cstheme="majorBidi"/>
          <w:sz w:val="24"/>
          <w:szCs w:val="24"/>
        </w:rPr>
      </w:pPr>
      <w:r w:rsidRPr="00240D66">
        <w:rPr>
          <w:rFonts w:asciiTheme="majorBidi" w:hAnsiTheme="majorBidi" w:cstheme="majorBidi"/>
          <w:b/>
          <w:bCs/>
          <w:sz w:val="24"/>
          <w:szCs w:val="24"/>
        </w:rPr>
        <w:t>Conclusion</w:t>
      </w:r>
    </w:p>
    <w:p w:rsidR="005526BF" w:rsidRPr="00240D66" w:rsidRDefault="00FB3CA8"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This paper has used a boundary work framework </w:t>
      </w:r>
      <w:r w:rsidR="00650B72" w:rsidRPr="00240D66">
        <w:rPr>
          <w:rFonts w:asciiTheme="majorBidi" w:hAnsiTheme="majorBidi" w:cstheme="majorBidi"/>
          <w:sz w:val="24"/>
          <w:szCs w:val="24"/>
        </w:rPr>
        <w:t>to explain how and why the FSA has been subject to radical, disempowering changes in recent times, while NICE on the other hand seems to go from strength to strength. The analysis reveals how t</w:t>
      </w:r>
      <w:r w:rsidRPr="00240D66">
        <w:rPr>
          <w:rFonts w:asciiTheme="majorBidi" w:hAnsiTheme="majorBidi" w:cstheme="majorBidi"/>
          <w:sz w:val="24"/>
          <w:szCs w:val="24"/>
        </w:rPr>
        <w:t xml:space="preserve">he institutional ‘fix’ </w:t>
      </w:r>
      <w:r w:rsidR="00650B72" w:rsidRPr="00240D66">
        <w:rPr>
          <w:rFonts w:asciiTheme="majorBidi" w:hAnsiTheme="majorBidi" w:cstheme="majorBidi"/>
          <w:sz w:val="24"/>
          <w:szCs w:val="24"/>
        </w:rPr>
        <w:t xml:space="preserve">of an arms-length body </w:t>
      </w:r>
      <w:r w:rsidRPr="00240D66">
        <w:rPr>
          <w:rFonts w:asciiTheme="majorBidi" w:hAnsiTheme="majorBidi" w:cstheme="majorBidi"/>
          <w:sz w:val="24"/>
          <w:szCs w:val="24"/>
        </w:rPr>
        <w:t xml:space="preserve">depends on effective practices that can sustain buy-in across boundaries without threatening to undermine or transgress them. </w:t>
      </w:r>
    </w:p>
    <w:p w:rsidR="00020EF1" w:rsidRPr="00240D66" w:rsidRDefault="001A3F28"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The</w:t>
      </w:r>
      <w:r w:rsidR="002268F0" w:rsidRPr="00240D66">
        <w:rPr>
          <w:rFonts w:asciiTheme="majorBidi" w:hAnsiTheme="majorBidi" w:cstheme="majorBidi"/>
          <w:sz w:val="24"/>
          <w:szCs w:val="24"/>
        </w:rPr>
        <w:t xml:space="preserve"> </w:t>
      </w:r>
      <w:r w:rsidR="008809BB" w:rsidRPr="00240D66">
        <w:rPr>
          <w:rFonts w:asciiTheme="majorBidi" w:hAnsiTheme="majorBidi" w:cstheme="majorBidi"/>
          <w:sz w:val="24"/>
          <w:szCs w:val="24"/>
        </w:rPr>
        <w:t>challenge</w:t>
      </w:r>
      <w:r w:rsidR="001603B3" w:rsidRPr="00240D66">
        <w:rPr>
          <w:rFonts w:asciiTheme="majorBidi" w:hAnsiTheme="majorBidi" w:cstheme="majorBidi"/>
          <w:sz w:val="24"/>
          <w:szCs w:val="24"/>
        </w:rPr>
        <w:t xml:space="preserve"> that always confronts </w:t>
      </w:r>
      <w:r w:rsidR="002268F0" w:rsidRPr="00240D66">
        <w:rPr>
          <w:rFonts w:asciiTheme="majorBidi" w:hAnsiTheme="majorBidi" w:cstheme="majorBidi"/>
          <w:sz w:val="24"/>
          <w:szCs w:val="24"/>
        </w:rPr>
        <w:t>case study research</w:t>
      </w:r>
      <w:r w:rsidRPr="00240D66">
        <w:rPr>
          <w:rFonts w:asciiTheme="majorBidi" w:hAnsiTheme="majorBidi" w:cstheme="majorBidi"/>
          <w:sz w:val="24"/>
          <w:szCs w:val="24"/>
        </w:rPr>
        <w:t xml:space="preserve"> like this, though, is</w:t>
      </w:r>
      <w:r w:rsidR="002268F0" w:rsidRPr="00240D66">
        <w:rPr>
          <w:rFonts w:asciiTheme="majorBidi" w:hAnsiTheme="majorBidi" w:cstheme="majorBidi"/>
          <w:sz w:val="24"/>
          <w:szCs w:val="24"/>
        </w:rPr>
        <w:t xml:space="preserve"> </w:t>
      </w:r>
      <w:r w:rsidRPr="00240D66">
        <w:rPr>
          <w:rFonts w:asciiTheme="majorBidi" w:hAnsiTheme="majorBidi" w:cstheme="majorBidi"/>
          <w:sz w:val="24"/>
          <w:szCs w:val="24"/>
        </w:rPr>
        <w:t>that of generalisability</w:t>
      </w:r>
      <w:r w:rsidR="004B7B9C" w:rsidRPr="00240D66">
        <w:rPr>
          <w:rFonts w:asciiTheme="majorBidi" w:hAnsiTheme="majorBidi" w:cstheme="majorBidi"/>
          <w:sz w:val="24"/>
          <w:szCs w:val="24"/>
        </w:rPr>
        <w:t>.</w:t>
      </w:r>
      <w:r w:rsidR="00FB3CA8" w:rsidRPr="00240D66">
        <w:rPr>
          <w:rFonts w:asciiTheme="majorBidi" w:hAnsiTheme="majorBidi" w:cstheme="majorBidi"/>
          <w:sz w:val="24"/>
          <w:szCs w:val="24"/>
        </w:rPr>
        <w:t xml:space="preserve"> Can</w:t>
      </w:r>
      <w:r w:rsidR="00A770C5" w:rsidRPr="00240D66">
        <w:rPr>
          <w:rFonts w:asciiTheme="majorBidi" w:hAnsiTheme="majorBidi" w:cstheme="majorBidi"/>
          <w:sz w:val="24"/>
          <w:szCs w:val="24"/>
        </w:rPr>
        <w:t xml:space="preserve"> this framework help explain variation</w:t>
      </w:r>
      <w:r w:rsidR="00604910" w:rsidRPr="00240D66">
        <w:rPr>
          <w:rFonts w:asciiTheme="majorBidi" w:hAnsiTheme="majorBidi" w:cstheme="majorBidi"/>
          <w:sz w:val="24"/>
          <w:szCs w:val="24"/>
        </w:rPr>
        <w:t xml:space="preserve"> in other contexts</w:t>
      </w:r>
      <w:r w:rsidR="00650B72" w:rsidRPr="00240D66">
        <w:rPr>
          <w:rFonts w:asciiTheme="majorBidi" w:hAnsiTheme="majorBidi" w:cstheme="majorBidi"/>
          <w:sz w:val="24"/>
          <w:szCs w:val="24"/>
        </w:rPr>
        <w:t>, where arms-length bodies do not perform a regulatory role</w:t>
      </w:r>
      <w:r w:rsidRPr="00240D66">
        <w:rPr>
          <w:rFonts w:asciiTheme="majorBidi" w:hAnsiTheme="majorBidi" w:cstheme="majorBidi"/>
          <w:sz w:val="24"/>
          <w:szCs w:val="24"/>
        </w:rPr>
        <w:t>, or one focused on</w:t>
      </w:r>
      <w:r w:rsidR="00650B72" w:rsidRPr="00240D66">
        <w:rPr>
          <w:rFonts w:asciiTheme="majorBidi" w:hAnsiTheme="majorBidi" w:cstheme="majorBidi"/>
          <w:sz w:val="24"/>
          <w:szCs w:val="24"/>
        </w:rPr>
        <w:t xml:space="preserve"> translat</w:t>
      </w:r>
      <w:r w:rsidRPr="00240D66">
        <w:rPr>
          <w:rFonts w:asciiTheme="majorBidi" w:hAnsiTheme="majorBidi" w:cstheme="majorBidi"/>
          <w:sz w:val="24"/>
          <w:szCs w:val="24"/>
        </w:rPr>
        <w:t>ing</w:t>
      </w:r>
      <w:r w:rsidR="00650B72" w:rsidRPr="00240D66">
        <w:rPr>
          <w:rFonts w:asciiTheme="majorBidi" w:hAnsiTheme="majorBidi" w:cstheme="majorBidi"/>
          <w:sz w:val="24"/>
          <w:szCs w:val="24"/>
        </w:rPr>
        <w:t xml:space="preserve"> science into policy</w:t>
      </w:r>
      <w:r w:rsidRPr="00240D66">
        <w:rPr>
          <w:rFonts w:asciiTheme="majorBidi" w:hAnsiTheme="majorBidi" w:cstheme="majorBidi"/>
          <w:sz w:val="24"/>
          <w:szCs w:val="24"/>
        </w:rPr>
        <w:t xml:space="preserve"> practice</w:t>
      </w:r>
      <w:r w:rsidR="00604910" w:rsidRPr="00240D66">
        <w:rPr>
          <w:rFonts w:asciiTheme="majorBidi" w:hAnsiTheme="majorBidi" w:cstheme="majorBidi"/>
          <w:sz w:val="24"/>
          <w:szCs w:val="24"/>
        </w:rPr>
        <w:t>?</w:t>
      </w:r>
      <w:r w:rsidR="004B7B9C" w:rsidRPr="00240D66">
        <w:rPr>
          <w:rFonts w:asciiTheme="majorBidi" w:hAnsiTheme="majorBidi" w:cstheme="majorBidi"/>
          <w:sz w:val="24"/>
          <w:szCs w:val="24"/>
        </w:rPr>
        <w:t xml:space="preserve"> </w:t>
      </w:r>
      <w:r w:rsidR="00C31679" w:rsidRPr="00240D66">
        <w:rPr>
          <w:rFonts w:asciiTheme="majorBidi" w:hAnsiTheme="majorBidi" w:cstheme="majorBidi"/>
          <w:sz w:val="24"/>
          <w:szCs w:val="24"/>
        </w:rPr>
        <w:t>Though claims to generalisability</w:t>
      </w:r>
      <w:r w:rsidR="00A770C5" w:rsidRPr="00240D66">
        <w:rPr>
          <w:rFonts w:asciiTheme="majorBidi" w:hAnsiTheme="majorBidi" w:cstheme="majorBidi"/>
          <w:sz w:val="24"/>
          <w:szCs w:val="24"/>
        </w:rPr>
        <w:t xml:space="preserve"> are</w:t>
      </w:r>
      <w:r w:rsidR="00C31679" w:rsidRPr="00240D66">
        <w:rPr>
          <w:rFonts w:asciiTheme="majorBidi" w:hAnsiTheme="majorBidi" w:cstheme="majorBidi"/>
          <w:sz w:val="24"/>
          <w:szCs w:val="24"/>
        </w:rPr>
        <w:t xml:space="preserve"> typically</w:t>
      </w:r>
      <w:r w:rsidR="00A770C5" w:rsidRPr="00240D66">
        <w:rPr>
          <w:rFonts w:asciiTheme="majorBidi" w:hAnsiTheme="majorBidi" w:cstheme="majorBidi"/>
          <w:sz w:val="24"/>
          <w:szCs w:val="24"/>
        </w:rPr>
        <w:t xml:space="preserve"> seen as taboo in </w:t>
      </w:r>
      <w:r w:rsidR="00C31679" w:rsidRPr="00240D66">
        <w:rPr>
          <w:rFonts w:asciiTheme="majorBidi" w:hAnsiTheme="majorBidi" w:cstheme="majorBidi"/>
          <w:sz w:val="24"/>
          <w:szCs w:val="24"/>
        </w:rPr>
        <w:t>the interpretive</w:t>
      </w:r>
      <w:r w:rsidR="00A770C5" w:rsidRPr="00240D66">
        <w:rPr>
          <w:rFonts w:asciiTheme="majorBidi" w:hAnsiTheme="majorBidi" w:cstheme="majorBidi"/>
          <w:sz w:val="24"/>
          <w:szCs w:val="24"/>
        </w:rPr>
        <w:t xml:space="preserve"> tradition</w:t>
      </w:r>
      <w:r w:rsidR="002268F0" w:rsidRPr="00240D66">
        <w:rPr>
          <w:rFonts w:asciiTheme="majorBidi" w:hAnsiTheme="majorBidi" w:cstheme="majorBidi"/>
          <w:sz w:val="24"/>
          <w:szCs w:val="24"/>
        </w:rPr>
        <w:t xml:space="preserve"> </w:t>
      </w:r>
      <w:r w:rsidR="00C31679" w:rsidRPr="00240D66">
        <w:rPr>
          <w:rFonts w:asciiTheme="majorBidi" w:hAnsiTheme="majorBidi" w:cstheme="majorBidi"/>
          <w:sz w:val="24"/>
          <w:szCs w:val="24"/>
        </w:rPr>
        <w:t xml:space="preserve">of rich contextual research </w:t>
      </w:r>
      <w:r w:rsidR="002268F0" w:rsidRPr="00240D66">
        <w:rPr>
          <w:rFonts w:asciiTheme="majorBidi" w:hAnsiTheme="majorBidi" w:cstheme="majorBidi"/>
          <w:sz w:val="24"/>
          <w:szCs w:val="24"/>
        </w:rPr>
        <w:t>(see Schwartz-Shea and Yanow 2012)</w:t>
      </w:r>
      <w:r w:rsidR="00C31679" w:rsidRPr="00240D66">
        <w:rPr>
          <w:rFonts w:asciiTheme="majorBidi" w:hAnsiTheme="majorBidi" w:cstheme="majorBidi"/>
          <w:sz w:val="24"/>
          <w:szCs w:val="24"/>
        </w:rPr>
        <w:t xml:space="preserve">, </w:t>
      </w:r>
      <w:r w:rsidR="00192D3C" w:rsidRPr="00240D66">
        <w:rPr>
          <w:rFonts w:asciiTheme="majorBidi" w:hAnsiTheme="majorBidi" w:cstheme="majorBidi"/>
          <w:sz w:val="24"/>
          <w:szCs w:val="24"/>
        </w:rPr>
        <w:t xml:space="preserve">recent writing from influential figures </w:t>
      </w:r>
      <w:r w:rsidR="00C31679" w:rsidRPr="00240D66">
        <w:rPr>
          <w:rFonts w:asciiTheme="majorBidi" w:hAnsiTheme="majorBidi" w:cstheme="majorBidi"/>
          <w:sz w:val="24"/>
          <w:szCs w:val="24"/>
        </w:rPr>
        <w:t>re-</w:t>
      </w:r>
      <w:r w:rsidR="00192D3C" w:rsidRPr="00240D66">
        <w:rPr>
          <w:rFonts w:asciiTheme="majorBidi" w:hAnsiTheme="majorBidi" w:cstheme="majorBidi"/>
          <w:sz w:val="24"/>
          <w:szCs w:val="24"/>
        </w:rPr>
        <w:t>asserts the broader theoretical resonance and relevance of such work. Rhodes</w:t>
      </w:r>
      <w:r w:rsidR="004B7B9C" w:rsidRPr="00240D66">
        <w:rPr>
          <w:rFonts w:asciiTheme="majorBidi" w:hAnsiTheme="majorBidi" w:cstheme="majorBidi"/>
          <w:sz w:val="24"/>
          <w:szCs w:val="24"/>
        </w:rPr>
        <w:t xml:space="preserve"> (2014)</w:t>
      </w:r>
      <w:r w:rsidR="00192D3C" w:rsidRPr="00240D66">
        <w:rPr>
          <w:rFonts w:asciiTheme="majorBidi" w:hAnsiTheme="majorBidi" w:cstheme="majorBidi"/>
          <w:sz w:val="24"/>
          <w:szCs w:val="24"/>
        </w:rPr>
        <w:t xml:space="preserve"> argues that </w:t>
      </w:r>
      <w:r w:rsidR="00A770C5" w:rsidRPr="00240D66">
        <w:rPr>
          <w:rFonts w:asciiTheme="majorBidi" w:hAnsiTheme="majorBidi" w:cstheme="majorBidi"/>
          <w:sz w:val="24"/>
          <w:szCs w:val="24"/>
        </w:rPr>
        <w:t>the aim ought</w:t>
      </w:r>
      <w:r w:rsidRPr="00240D66">
        <w:rPr>
          <w:rFonts w:asciiTheme="majorBidi" w:hAnsiTheme="majorBidi" w:cstheme="majorBidi"/>
          <w:sz w:val="24"/>
          <w:szCs w:val="24"/>
        </w:rPr>
        <w:t xml:space="preserve"> still</w:t>
      </w:r>
      <w:r w:rsidR="00604910" w:rsidRPr="00240D66">
        <w:rPr>
          <w:rFonts w:asciiTheme="majorBidi" w:hAnsiTheme="majorBidi" w:cstheme="majorBidi"/>
          <w:sz w:val="24"/>
          <w:szCs w:val="24"/>
        </w:rPr>
        <w:t xml:space="preserve"> </w:t>
      </w:r>
      <w:r w:rsidR="00192D3C" w:rsidRPr="00240D66">
        <w:rPr>
          <w:rFonts w:asciiTheme="majorBidi" w:hAnsiTheme="majorBidi" w:cstheme="majorBidi"/>
          <w:sz w:val="24"/>
          <w:szCs w:val="24"/>
        </w:rPr>
        <w:t>to be ‘plausible conjecture’</w:t>
      </w:r>
      <w:r w:rsidR="00604910" w:rsidRPr="00240D66">
        <w:rPr>
          <w:rFonts w:asciiTheme="majorBidi" w:hAnsiTheme="majorBidi" w:cstheme="majorBidi"/>
          <w:sz w:val="24"/>
          <w:szCs w:val="24"/>
        </w:rPr>
        <w:t>: th</w:t>
      </w:r>
      <w:r w:rsidR="00A770C5" w:rsidRPr="00240D66">
        <w:rPr>
          <w:rFonts w:asciiTheme="majorBidi" w:hAnsiTheme="majorBidi" w:cstheme="majorBidi"/>
          <w:sz w:val="24"/>
          <w:szCs w:val="24"/>
        </w:rPr>
        <w:t>at</w:t>
      </w:r>
      <w:r w:rsidR="00604910" w:rsidRPr="00240D66">
        <w:rPr>
          <w:rFonts w:asciiTheme="majorBidi" w:hAnsiTheme="majorBidi" w:cstheme="majorBidi"/>
          <w:sz w:val="24"/>
          <w:szCs w:val="24"/>
        </w:rPr>
        <w:t xml:space="preserve"> interpretive researchers should </w:t>
      </w:r>
      <w:r w:rsidR="00A770C5" w:rsidRPr="00240D66">
        <w:rPr>
          <w:rFonts w:asciiTheme="majorBidi" w:hAnsiTheme="majorBidi" w:cstheme="majorBidi"/>
          <w:sz w:val="24"/>
          <w:szCs w:val="24"/>
        </w:rPr>
        <w:t>still</w:t>
      </w:r>
      <w:r w:rsidR="00604910" w:rsidRPr="00240D66">
        <w:rPr>
          <w:rFonts w:asciiTheme="majorBidi" w:hAnsiTheme="majorBidi" w:cstheme="majorBidi"/>
          <w:sz w:val="24"/>
          <w:szCs w:val="24"/>
        </w:rPr>
        <w:t xml:space="preserve"> engage with theoretical concerns in ways that achieve broader resonance and challenge or augment existing understandings</w:t>
      </w:r>
      <w:r w:rsidR="00192D3C" w:rsidRPr="00240D66">
        <w:rPr>
          <w:rFonts w:asciiTheme="majorBidi" w:hAnsiTheme="majorBidi" w:cstheme="majorBidi"/>
          <w:sz w:val="24"/>
          <w:szCs w:val="24"/>
        </w:rPr>
        <w:t>. On</w:t>
      </w:r>
      <w:r w:rsidR="00814DD8" w:rsidRPr="00240D66">
        <w:rPr>
          <w:rFonts w:asciiTheme="majorBidi" w:hAnsiTheme="majorBidi" w:cstheme="majorBidi"/>
          <w:sz w:val="24"/>
          <w:szCs w:val="24"/>
        </w:rPr>
        <w:t xml:space="preserve"> those terms, there are</w:t>
      </w:r>
      <w:r w:rsidR="00FB3CA8" w:rsidRPr="00240D66">
        <w:rPr>
          <w:rFonts w:asciiTheme="majorBidi" w:hAnsiTheme="majorBidi" w:cstheme="majorBidi"/>
          <w:sz w:val="24"/>
          <w:szCs w:val="24"/>
        </w:rPr>
        <w:t xml:space="preserve"> clear</w:t>
      </w:r>
      <w:r w:rsidR="00192D3C" w:rsidRPr="00240D66">
        <w:rPr>
          <w:rFonts w:asciiTheme="majorBidi" w:hAnsiTheme="majorBidi" w:cstheme="majorBidi"/>
          <w:sz w:val="24"/>
          <w:szCs w:val="24"/>
        </w:rPr>
        <w:t xml:space="preserve"> grounds for ‘plausible conj</w:t>
      </w:r>
      <w:r w:rsidR="00C31679" w:rsidRPr="00240D66">
        <w:rPr>
          <w:rFonts w:asciiTheme="majorBidi" w:hAnsiTheme="majorBidi" w:cstheme="majorBidi"/>
          <w:sz w:val="24"/>
          <w:szCs w:val="24"/>
        </w:rPr>
        <w:t>ecture’ here</w:t>
      </w:r>
      <w:r w:rsidR="00192D3C" w:rsidRPr="00240D66">
        <w:rPr>
          <w:rFonts w:asciiTheme="majorBidi" w:hAnsiTheme="majorBidi" w:cstheme="majorBidi"/>
          <w:sz w:val="24"/>
          <w:szCs w:val="24"/>
        </w:rPr>
        <w:t xml:space="preserve">. </w:t>
      </w:r>
      <w:r w:rsidR="00A770C5" w:rsidRPr="00240D66">
        <w:rPr>
          <w:rFonts w:asciiTheme="majorBidi" w:hAnsiTheme="majorBidi" w:cstheme="majorBidi"/>
          <w:sz w:val="24"/>
          <w:szCs w:val="24"/>
        </w:rPr>
        <w:t>T</w:t>
      </w:r>
      <w:r w:rsidR="00020EF1" w:rsidRPr="00240D66">
        <w:rPr>
          <w:rFonts w:asciiTheme="majorBidi" w:hAnsiTheme="majorBidi" w:cstheme="majorBidi"/>
          <w:sz w:val="24"/>
          <w:szCs w:val="24"/>
        </w:rPr>
        <w:t xml:space="preserve">he nature of the practices </w:t>
      </w:r>
      <w:r w:rsidRPr="00240D66">
        <w:rPr>
          <w:rFonts w:asciiTheme="majorBidi" w:hAnsiTheme="majorBidi" w:cstheme="majorBidi"/>
          <w:sz w:val="24"/>
          <w:szCs w:val="24"/>
        </w:rPr>
        <w:t xml:space="preserve">identified in this analysis as </w:t>
      </w:r>
      <w:r w:rsidR="00B728CC" w:rsidRPr="00240D66">
        <w:rPr>
          <w:rFonts w:asciiTheme="majorBidi" w:hAnsiTheme="majorBidi" w:cstheme="majorBidi"/>
          <w:sz w:val="24"/>
          <w:szCs w:val="24"/>
        </w:rPr>
        <w:t>enacting and coordinating boundary work</w:t>
      </w:r>
      <w:r w:rsidR="00FB3CA8" w:rsidRPr="00240D66">
        <w:rPr>
          <w:rFonts w:asciiTheme="majorBidi" w:hAnsiTheme="majorBidi" w:cstheme="majorBidi"/>
          <w:sz w:val="24"/>
          <w:szCs w:val="24"/>
        </w:rPr>
        <w:t xml:space="preserve"> </w:t>
      </w:r>
      <w:r w:rsidRPr="00240D66">
        <w:rPr>
          <w:rFonts w:asciiTheme="majorBidi" w:hAnsiTheme="majorBidi" w:cstheme="majorBidi"/>
          <w:sz w:val="24"/>
          <w:szCs w:val="24"/>
        </w:rPr>
        <w:t xml:space="preserve">certainly </w:t>
      </w:r>
      <w:r w:rsidR="00B728CC" w:rsidRPr="00240D66">
        <w:rPr>
          <w:rFonts w:asciiTheme="majorBidi" w:hAnsiTheme="majorBidi" w:cstheme="majorBidi"/>
          <w:sz w:val="24"/>
          <w:szCs w:val="24"/>
        </w:rPr>
        <w:t>have broad resonance across policy</w:t>
      </w:r>
      <w:r w:rsidR="00A770C5" w:rsidRPr="00240D66">
        <w:rPr>
          <w:rFonts w:asciiTheme="majorBidi" w:hAnsiTheme="majorBidi" w:cstheme="majorBidi"/>
          <w:sz w:val="24"/>
          <w:szCs w:val="24"/>
        </w:rPr>
        <w:t xml:space="preserve"> settings and sectors: t</w:t>
      </w:r>
      <w:r w:rsidR="00B728CC" w:rsidRPr="00240D66">
        <w:rPr>
          <w:rFonts w:asciiTheme="majorBidi" w:hAnsiTheme="majorBidi" w:cstheme="majorBidi"/>
          <w:sz w:val="24"/>
          <w:szCs w:val="24"/>
        </w:rPr>
        <w:t xml:space="preserve">here is a </w:t>
      </w:r>
      <w:r w:rsidR="00020EF1" w:rsidRPr="00240D66">
        <w:rPr>
          <w:rFonts w:asciiTheme="majorBidi" w:hAnsiTheme="majorBidi" w:cstheme="majorBidi"/>
          <w:sz w:val="24"/>
          <w:szCs w:val="24"/>
        </w:rPr>
        <w:t xml:space="preserve">mundane familiarity </w:t>
      </w:r>
      <w:r w:rsidR="00B728CC" w:rsidRPr="00240D66">
        <w:rPr>
          <w:rFonts w:asciiTheme="majorBidi" w:hAnsiTheme="majorBidi" w:cstheme="majorBidi"/>
          <w:sz w:val="24"/>
          <w:szCs w:val="24"/>
        </w:rPr>
        <w:t xml:space="preserve">to the work </w:t>
      </w:r>
      <w:r w:rsidR="00020EF1" w:rsidRPr="00240D66">
        <w:rPr>
          <w:rFonts w:asciiTheme="majorBidi" w:hAnsiTheme="majorBidi" w:cstheme="majorBidi"/>
          <w:sz w:val="24"/>
          <w:szCs w:val="24"/>
        </w:rPr>
        <w:t>of committees, working groups, and so on</w:t>
      </w:r>
      <w:r w:rsidR="00B728CC" w:rsidRPr="00240D66">
        <w:rPr>
          <w:rFonts w:asciiTheme="majorBidi" w:hAnsiTheme="majorBidi" w:cstheme="majorBidi"/>
          <w:sz w:val="24"/>
          <w:szCs w:val="24"/>
        </w:rPr>
        <w:t>, and a</w:t>
      </w:r>
      <w:r w:rsidR="001603B3" w:rsidRPr="00240D66">
        <w:rPr>
          <w:rFonts w:asciiTheme="majorBidi" w:hAnsiTheme="majorBidi" w:cstheme="majorBidi"/>
          <w:sz w:val="24"/>
          <w:szCs w:val="24"/>
        </w:rPr>
        <w:t xml:space="preserve"> b</w:t>
      </w:r>
      <w:r w:rsidR="00B728CC" w:rsidRPr="00240D66">
        <w:rPr>
          <w:rFonts w:asciiTheme="majorBidi" w:hAnsiTheme="majorBidi" w:cstheme="majorBidi"/>
          <w:sz w:val="24"/>
          <w:szCs w:val="24"/>
        </w:rPr>
        <w:t>road appeal to the</w:t>
      </w:r>
      <w:r w:rsidR="001603B3" w:rsidRPr="00240D66">
        <w:rPr>
          <w:rFonts w:asciiTheme="majorBidi" w:hAnsiTheme="majorBidi" w:cstheme="majorBidi"/>
          <w:sz w:val="24"/>
          <w:szCs w:val="24"/>
        </w:rPr>
        <w:t xml:space="preserve"> </w:t>
      </w:r>
      <w:r w:rsidR="004B7B9C" w:rsidRPr="00240D66">
        <w:rPr>
          <w:rFonts w:asciiTheme="majorBidi" w:hAnsiTheme="majorBidi" w:cstheme="majorBidi"/>
          <w:sz w:val="24"/>
          <w:szCs w:val="24"/>
        </w:rPr>
        <w:t xml:space="preserve">lofty but </w:t>
      </w:r>
      <w:r w:rsidR="008809BB" w:rsidRPr="00240D66">
        <w:rPr>
          <w:rFonts w:asciiTheme="majorBidi" w:hAnsiTheme="majorBidi" w:cstheme="majorBidi"/>
          <w:sz w:val="24"/>
          <w:szCs w:val="24"/>
        </w:rPr>
        <w:t xml:space="preserve">vague commitments </w:t>
      </w:r>
      <w:r w:rsidR="00B728CC" w:rsidRPr="00240D66">
        <w:rPr>
          <w:rFonts w:asciiTheme="majorBidi" w:hAnsiTheme="majorBidi" w:cstheme="majorBidi"/>
          <w:sz w:val="24"/>
          <w:szCs w:val="24"/>
        </w:rPr>
        <w:t>towards</w:t>
      </w:r>
      <w:r w:rsidR="008809BB" w:rsidRPr="00240D66">
        <w:rPr>
          <w:rFonts w:asciiTheme="majorBidi" w:hAnsiTheme="majorBidi" w:cstheme="majorBidi"/>
          <w:sz w:val="24"/>
          <w:szCs w:val="24"/>
        </w:rPr>
        <w:t xml:space="preserve"> </w:t>
      </w:r>
      <w:r w:rsidR="001603B3" w:rsidRPr="00240D66">
        <w:rPr>
          <w:rFonts w:asciiTheme="majorBidi" w:hAnsiTheme="majorBidi" w:cstheme="majorBidi"/>
          <w:sz w:val="24"/>
          <w:szCs w:val="24"/>
        </w:rPr>
        <w:t>transparent governance and evidence-based policy</w:t>
      </w:r>
      <w:r w:rsidR="00B728CC" w:rsidRPr="00240D66">
        <w:rPr>
          <w:rFonts w:asciiTheme="majorBidi" w:hAnsiTheme="majorBidi" w:cstheme="majorBidi"/>
          <w:sz w:val="24"/>
          <w:szCs w:val="24"/>
        </w:rPr>
        <w:t xml:space="preserve"> </w:t>
      </w:r>
      <w:r w:rsidR="001603B3" w:rsidRPr="00240D66">
        <w:rPr>
          <w:rFonts w:asciiTheme="majorBidi" w:hAnsiTheme="majorBidi" w:cstheme="majorBidi"/>
          <w:sz w:val="24"/>
          <w:szCs w:val="24"/>
        </w:rPr>
        <w:t>making</w:t>
      </w:r>
      <w:r w:rsidR="00B728CC" w:rsidRPr="00240D66">
        <w:rPr>
          <w:rFonts w:asciiTheme="majorBidi" w:hAnsiTheme="majorBidi" w:cstheme="majorBidi"/>
          <w:sz w:val="24"/>
          <w:szCs w:val="24"/>
        </w:rPr>
        <w:t xml:space="preserve">. These are not practices and discursive commitments unique to the British context, or to regulatory policy, or </w:t>
      </w:r>
      <w:r w:rsidR="004B7B9C" w:rsidRPr="00240D66">
        <w:rPr>
          <w:rFonts w:asciiTheme="majorBidi" w:hAnsiTheme="majorBidi" w:cstheme="majorBidi"/>
          <w:sz w:val="24"/>
          <w:szCs w:val="24"/>
        </w:rPr>
        <w:t>to</w:t>
      </w:r>
      <w:r w:rsidR="00B728CC" w:rsidRPr="00240D66">
        <w:rPr>
          <w:rFonts w:asciiTheme="majorBidi" w:hAnsiTheme="majorBidi" w:cstheme="majorBidi"/>
          <w:sz w:val="24"/>
          <w:szCs w:val="24"/>
        </w:rPr>
        <w:t xml:space="preserve"> sectors reliant on natural science expertise. Th</w:t>
      </w:r>
      <w:r w:rsidR="00604910" w:rsidRPr="00240D66">
        <w:rPr>
          <w:rFonts w:asciiTheme="majorBidi" w:hAnsiTheme="majorBidi" w:cstheme="majorBidi"/>
          <w:sz w:val="24"/>
          <w:szCs w:val="24"/>
        </w:rPr>
        <w:t>ough</w:t>
      </w:r>
      <w:r w:rsidR="00B728CC" w:rsidRPr="00240D66">
        <w:rPr>
          <w:rFonts w:asciiTheme="majorBidi" w:hAnsiTheme="majorBidi" w:cstheme="majorBidi"/>
          <w:sz w:val="24"/>
          <w:szCs w:val="24"/>
        </w:rPr>
        <w:t xml:space="preserve"> performa</w:t>
      </w:r>
      <w:r w:rsidR="00A770C5" w:rsidRPr="00240D66">
        <w:rPr>
          <w:rFonts w:asciiTheme="majorBidi" w:hAnsiTheme="majorBidi" w:cstheme="majorBidi"/>
          <w:sz w:val="24"/>
          <w:szCs w:val="24"/>
        </w:rPr>
        <w:t>nces of demarcation and mode</w:t>
      </w:r>
      <w:r w:rsidR="00B728CC" w:rsidRPr="00240D66">
        <w:rPr>
          <w:rFonts w:asciiTheme="majorBidi" w:hAnsiTheme="majorBidi" w:cstheme="majorBidi"/>
          <w:sz w:val="24"/>
          <w:szCs w:val="24"/>
        </w:rPr>
        <w:t xml:space="preserve">s of coordination </w:t>
      </w:r>
      <w:r w:rsidR="00604910" w:rsidRPr="00240D66">
        <w:rPr>
          <w:rFonts w:asciiTheme="majorBidi" w:hAnsiTheme="majorBidi" w:cstheme="majorBidi"/>
          <w:sz w:val="24"/>
          <w:szCs w:val="24"/>
        </w:rPr>
        <w:t>might</w:t>
      </w:r>
      <w:r w:rsidR="00B728CC" w:rsidRPr="00240D66">
        <w:rPr>
          <w:rFonts w:asciiTheme="majorBidi" w:hAnsiTheme="majorBidi" w:cstheme="majorBidi"/>
          <w:sz w:val="24"/>
          <w:szCs w:val="24"/>
        </w:rPr>
        <w:t xml:space="preserve"> differ</w:t>
      </w:r>
      <w:r w:rsidR="00604910" w:rsidRPr="00240D66">
        <w:rPr>
          <w:rFonts w:asciiTheme="majorBidi" w:hAnsiTheme="majorBidi" w:cstheme="majorBidi"/>
          <w:sz w:val="24"/>
          <w:szCs w:val="24"/>
        </w:rPr>
        <w:t xml:space="preserve"> across context</w:t>
      </w:r>
      <w:r w:rsidR="00B728CC" w:rsidRPr="00240D66">
        <w:rPr>
          <w:rFonts w:asciiTheme="majorBidi" w:hAnsiTheme="majorBidi" w:cstheme="majorBidi"/>
          <w:sz w:val="24"/>
          <w:szCs w:val="24"/>
        </w:rPr>
        <w:t>, or at least manifest diff</w:t>
      </w:r>
      <w:r w:rsidR="00A770C5" w:rsidRPr="00240D66">
        <w:rPr>
          <w:rFonts w:asciiTheme="majorBidi" w:hAnsiTheme="majorBidi" w:cstheme="majorBidi"/>
          <w:sz w:val="24"/>
          <w:szCs w:val="24"/>
        </w:rPr>
        <w:t>erently</w:t>
      </w:r>
      <w:r w:rsidR="00604910" w:rsidRPr="00240D66">
        <w:rPr>
          <w:rFonts w:asciiTheme="majorBidi" w:hAnsiTheme="majorBidi" w:cstheme="majorBidi"/>
          <w:sz w:val="24"/>
          <w:szCs w:val="24"/>
        </w:rPr>
        <w:t>, t</w:t>
      </w:r>
      <w:r w:rsidR="00A770C5" w:rsidRPr="00240D66">
        <w:rPr>
          <w:rFonts w:asciiTheme="majorBidi" w:hAnsiTheme="majorBidi" w:cstheme="majorBidi"/>
          <w:sz w:val="24"/>
          <w:szCs w:val="24"/>
        </w:rPr>
        <w:t xml:space="preserve">he framework </w:t>
      </w:r>
      <w:r w:rsidR="002268F0" w:rsidRPr="00240D66">
        <w:rPr>
          <w:rFonts w:asciiTheme="majorBidi" w:hAnsiTheme="majorBidi" w:cstheme="majorBidi"/>
          <w:sz w:val="24"/>
          <w:szCs w:val="24"/>
        </w:rPr>
        <w:t xml:space="preserve">implemented </w:t>
      </w:r>
      <w:r w:rsidR="00604910" w:rsidRPr="00240D66">
        <w:rPr>
          <w:rFonts w:asciiTheme="majorBidi" w:hAnsiTheme="majorBidi" w:cstheme="majorBidi"/>
          <w:sz w:val="24"/>
          <w:szCs w:val="24"/>
        </w:rPr>
        <w:t>in this paper</w:t>
      </w:r>
      <w:r w:rsidR="00C31679" w:rsidRPr="00240D66">
        <w:rPr>
          <w:rFonts w:asciiTheme="majorBidi" w:hAnsiTheme="majorBidi" w:cstheme="majorBidi"/>
          <w:sz w:val="24"/>
          <w:szCs w:val="24"/>
        </w:rPr>
        <w:t xml:space="preserve"> </w:t>
      </w:r>
      <w:r w:rsidR="004B7B9C" w:rsidRPr="00240D66">
        <w:rPr>
          <w:rFonts w:asciiTheme="majorBidi" w:hAnsiTheme="majorBidi" w:cstheme="majorBidi"/>
          <w:sz w:val="24"/>
          <w:szCs w:val="24"/>
        </w:rPr>
        <w:t>appear</w:t>
      </w:r>
      <w:r w:rsidR="00C31679" w:rsidRPr="00240D66">
        <w:rPr>
          <w:rFonts w:asciiTheme="majorBidi" w:hAnsiTheme="majorBidi" w:cstheme="majorBidi"/>
          <w:sz w:val="24"/>
          <w:szCs w:val="24"/>
        </w:rPr>
        <w:t>s</w:t>
      </w:r>
      <w:r w:rsidR="004B7B9C" w:rsidRPr="00240D66">
        <w:rPr>
          <w:rFonts w:asciiTheme="majorBidi" w:hAnsiTheme="majorBidi" w:cstheme="majorBidi"/>
          <w:sz w:val="24"/>
          <w:szCs w:val="24"/>
        </w:rPr>
        <w:t xml:space="preserve"> </w:t>
      </w:r>
      <w:r w:rsidR="00C31679" w:rsidRPr="00240D66">
        <w:rPr>
          <w:rFonts w:asciiTheme="majorBidi" w:hAnsiTheme="majorBidi" w:cstheme="majorBidi"/>
          <w:sz w:val="24"/>
          <w:szCs w:val="24"/>
        </w:rPr>
        <w:t>capable of</w:t>
      </w:r>
      <w:r w:rsidR="004B7B9C" w:rsidRPr="00240D66">
        <w:rPr>
          <w:rFonts w:asciiTheme="majorBidi" w:hAnsiTheme="majorBidi" w:cstheme="majorBidi"/>
          <w:sz w:val="24"/>
          <w:szCs w:val="24"/>
        </w:rPr>
        <w:t xml:space="preserve"> capturing</w:t>
      </w:r>
      <w:r w:rsidR="00A770C5" w:rsidRPr="00240D66">
        <w:rPr>
          <w:rFonts w:asciiTheme="majorBidi" w:hAnsiTheme="majorBidi" w:cstheme="majorBidi"/>
          <w:sz w:val="24"/>
          <w:szCs w:val="24"/>
        </w:rPr>
        <w:t xml:space="preserve"> relevant practices elsewhere</w:t>
      </w:r>
      <w:r w:rsidR="004B7B9C" w:rsidRPr="00240D66">
        <w:rPr>
          <w:rFonts w:asciiTheme="majorBidi" w:hAnsiTheme="majorBidi" w:cstheme="majorBidi"/>
          <w:sz w:val="24"/>
          <w:szCs w:val="24"/>
        </w:rPr>
        <w:t>.</w:t>
      </w:r>
    </w:p>
    <w:p w:rsidR="007C5418" w:rsidRPr="00240D66" w:rsidRDefault="00A770C5" w:rsidP="00240D66">
      <w:pPr>
        <w:spacing w:line="360" w:lineRule="auto"/>
        <w:rPr>
          <w:rFonts w:asciiTheme="majorBidi" w:eastAsiaTheme="majorEastAsia" w:hAnsiTheme="majorBidi" w:cstheme="majorBidi"/>
          <w:b/>
          <w:bCs/>
          <w:color w:val="4F81BD" w:themeColor="accent1"/>
          <w:sz w:val="24"/>
          <w:szCs w:val="24"/>
        </w:rPr>
      </w:pPr>
      <w:r w:rsidRPr="00240D66">
        <w:rPr>
          <w:rFonts w:asciiTheme="majorBidi" w:hAnsiTheme="majorBidi" w:cstheme="majorBidi"/>
          <w:sz w:val="24"/>
          <w:szCs w:val="24"/>
        </w:rPr>
        <w:t>As such</w:t>
      </w:r>
      <w:r w:rsidR="00192D3C" w:rsidRPr="00240D66">
        <w:rPr>
          <w:rFonts w:asciiTheme="majorBidi" w:hAnsiTheme="majorBidi" w:cstheme="majorBidi"/>
          <w:sz w:val="24"/>
          <w:szCs w:val="24"/>
        </w:rPr>
        <w:t xml:space="preserve">, </w:t>
      </w:r>
      <w:r w:rsidR="001A3F28" w:rsidRPr="00240D66">
        <w:rPr>
          <w:rFonts w:asciiTheme="majorBidi" w:hAnsiTheme="majorBidi" w:cstheme="majorBidi"/>
          <w:sz w:val="24"/>
          <w:szCs w:val="24"/>
        </w:rPr>
        <w:t xml:space="preserve">a greater appreciation of </w:t>
      </w:r>
      <w:r w:rsidR="00192D3C" w:rsidRPr="00240D66">
        <w:rPr>
          <w:rFonts w:asciiTheme="majorBidi" w:hAnsiTheme="majorBidi" w:cstheme="majorBidi"/>
          <w:sz w:val="24"/>
          <w:szCs w:val="24"/>
        </w:rPr>
        <w:t>bou</w:t>
      </w:r>
      <w:r w:rsidR="001A3F28" w:rsidRPr="00240D66">
        <w:rPr>
          <w:rFonts w:asciiTheme="majorBidi" w:hAnsiTheme="majorBidi" w:cstheme="majorBidi"/>
          <w:sz w:val="24"/>
          <w:szCs w:val="24"/>
        </w:rPr>
        <w:t>ndary work</w:t>
      </w:r>
      <w:r w:rsidR="008E4BBC" w:rsidRPr="00240D66">
        <w:rPr>
          <w:rFonts w:asciiTheme="majorBidi" w:hAnsiTheme="majorBidi" w:cstheme="majorBidi"/>
          <w:sz w:val="24"/>
          <w:szCs w:val="24"/>
        </w:rPr>
        <w:t xml:space="preserve"> might broaden</w:t>
      </w:r>
      <w:r w:rsidR="00192D3C" w:rsidRPr="00240D66">
        <w:rPr>
          <w:rFonts w:asciiTheme="majorBidi" w:hAnsiTheme="majorBidi" w:cstheme="majorBidi"/>
          <w:sz w:val="24"/>
          <w:szCs w:val="24"/>
        </w:rPr>
        <w:t xml:space="preserve"> the research agenda on arms-length governance. In p</w:t>
      </w:r>
      <w:r w:rsidRPr="00240D66">
        <w:rPr>
          <w:rFonts w:asciiTheme="majorBidi" w:hAnsiTheme="majorBidi" w:cstheme="majorBidi"/>
          <w:sz w:val="24"/>
          <w:szCs w:val="24"/>
        </w:rPr>
        <w:t xml:space="preserve">articular, </w:t>
      </w:r>
      <w:r w:rsidR="008E4BBC" w:rsidRPr="00240D66">
        <w:rPr>
          <w:rFonts w:asciiTheme="majorBidi" w:hAnsiTheme="majorBidi" w:cstheme="majorBidi"/>
          <w:sz w:val="24"/>
          <w:szCs w:val="24"/>
        </w:rPr>
        <w:t>given</w:t>
      </w:r>
      <w:r w:rsidRPr="00240D66">
        <w:rPr>
          <w:rFonts w:asciiTheme="majorBidi" w:hAnsiTheme="majorBidi" w:cstheme="majorBidi"/>
          <w:sz w:val="24"/>
          <w:szCs w:val="24"/>
        </w:rPr>
        <w:t xml:space="preserve"> </w:t>
      </w:r>
      <w:r w:rsidR="008E4BBC" w:rsidRPr="00240D66">
        <w:rPr>
          <w:rFonts w:asciiTheme="majorBidi" w:hAnsiTheme="majorBidi" w:cstheme="majorBidi"/>
          <w:sz w:val="24"/>
          <w:szCs w:val="24"/>
        </w:rPr>
        <w:t xml:space="preserve">clear </w:t>
      </w:r>
      <w:r w:rsidRPr="00240D66">
        <w:rPr>
          <w:rFonts w:asciiTheme="majorBidi" w:hAnsiTheme="majorBidi" w:cstheme="majorBidi"/>
          <w:sz w:val="24"/>
          <w:szCs w:val="24"/>
        </w:rPr>
        <w:t>affinities with recent</w:t>
      </w:r>
      <w:r w:rsidR="008E4BBC" w:rsidRPr="00240D66">
        <w:rPr>
          <w:rFonts w:asciiTheme="majorBidi" w:hAnsiTheme="majorBidi" w:cstheme="majorBidi"/>
          <w:sz w:val="24"/>
          <w:szCs w:val="24"/>
        </w:rPr>
        <w:t xml:space="preserve"> interpretive case </w:t>
      </w:r>
      <w:r w:rsidRPr="00240D66">
        <w:rPr>
          <w:rFonts w:asciiTheme="majorBidi" w:hAnsiTheme="majorBidi" w:cstheme="majorBidi"/>
          <w:sz w:val="24"/>
          <w:szCs w:val="24"/>
        </w:rPr>
        <w:t>research on</w:t>
      </w:r>
      <w:r w:rsidR="00192D3C" w:rsidRPr="00240D66">
        <w:rPr>
          <w:rFonts w:asciiTheme="majorBidi" w:hAnsiTheme="majorBidi" w:cstheme="majorBidi"/>
          <w:sz w:val="24"/>
          <w:szCs w:val="24"/>
        </w:rPr>
        <w:t xml:space="preserve"> </w:t>
      </w:r>
      <w:r w:rsidR="008E4BBC" w:rsidRPr="00240D66">
        <w:rPr>
          <w:rFonts w:asciiTheme="majorBidi" w:hAnsiTheme="majorBidi" w:cstheme="majorBidi"/>
          <w:sz w:val="24"/>
          <w:szCs w:val="24"/>
        </w:rPr>
        <w:t xml:space="preserve">the legitimation of </w:t>
      </w:r>
      <w:r w:rsidR="00192D3C" w:rsidRPr="00240D66">
        <w:rPr>
          <w:rFonts w:asciiTheme="majorBidi" w:hAnsiTheme="majorBidi" w:cstheme="majorBidi"/>
          <w:sz w:val="24"/>
          <w:szCs w:val="24"/>
        </w:rPr>
        <w:t xml:space="preserve">arms-length </w:t>
      </w:r>
      <w:r w:rsidR="008E4BBC" w:rsidRPr="00240D66">
        <w:rPr>
          <w:rFonts w:asciiTheme="majorBidi" w:hAnsiTheme="majorBidi" w:cstheme="majorBidi"/>
          <w:sz w:val="24"/>
          <w:szCs w:val="24"/>
        </w:rPr>
        <w:t>bodies</w:t>
      </w:r>
      <w:r w:rsidR="00192D3C" w:rsidRPr="00240D66">
        <w:rPr>
          <w:rFonts w:asciiTheme="majorBidi" w:hAnsiTheme="majorBidi" w:cstheme="majorBidi"/>
          <w:sz w:val="24"/>
          <w:szCs w:val="24"/>
        </w:rPr>
        <w:t xml:space="preserve"> (see eg. Wood 2014</w:t>
      </w:r>
      <w:r w:rsidR="005C6D7F" w:rsidRPr="00240D66">
        <w:rPr>
          <w:rFonts w:asciiTheme="majorBidi" w:hAnsiTheme="majorBidi" w:cstheme="majorBidi"/>
          <w:sz w:val="24"/>
          <w:szCs w:val="24"/>
        </w:rPr>
        <w:t>;</w:t>
      </w:r>
      <w:r w:rsidR="00192D3C" w:rsidRPr="00240D66">
        <w:rPr>
          <w:rFonts w:asciiTheme="majorBidi" w:hAnsiTheme="majorBidi" w:cstheme="majorBidi"/>
          <w:sz w:val="24"/>
          <w:szCs w:val="24"/>
        </w:rPr>
        <w:t xml:space="preserve"> Tonkiss and Skelcher 2015; Corbett and Howard 201</w:t>
      </w:r>
      <w:r w:rsidR="005C6D7F" w:rsidRPr="00240D66">
        <w:rPr>
          <w:rFonts w:asciiTheme="majorBidi" w:hAnsiTheme="majorBidi" w:cstheme="majorBidi"/>
          <w:sz w:val="24"/>
          <w:szCs w:val="24"/>
        </w:rPr>
        <w:t>6</w:t>
      </w:r>
      <w:r w:rsidR="008E4BBC" w:rsidRPr="00240D66">
        <w:rPr>
          <w:rFonts w:asciiTheme="majorBidi" w:hAnsiTheme="majorBidi" w:cstheme="majorBidi"/>
          <w:sz w:val="24"/>
          <w:szCs w:val="24"/>
        </w:rPr>
        <w:t>)</w:t>
      </w:r>
      <w:r w:rsidR="001A3F28" w:rsidRPr="00240D66">
        <w:rPr>
          <w:rFonts w:asciiTheme="majorBidi" w:hAnsiTheme="majorBidi" w:cstheme="majorBidi"/>
          <w:sz w:val="24"/>
          <w:szCs w:val="24"/>
        </w:rPr>
        <w:t>, it</w:t>
      </w:r>
      <w:r w:rsidR="00192D3C" w:rsidRPr="00240D66">
        <w:rPr>
          <w:rFonts w:asciiTheme="majorBidi" w:hAnsiTheme="majorBidi" w:cstheme="majorBidi"/>
          <w:sz w:val="24"/>
          <w:szCs w:val="24"/>
        </w:rPr>
        <w:t xml:space="preserve"> can prov</w:t>
      </w:r>
      <w:r w:rsidR="008E4BBC" w:rsidRPr="00240D66">
        <w:rPr>
          <w:rFonts w:asciiTheme="majorBidi" w:hAnsiTheme="majorBidi" w:cstheme="majorBidi"/>
          <w:sz w:val="24"/>
          <w:szCs w:val="24"/>
        </w:rPr>
        <w:t>ide</w:t>
      </w:r>
      <w:r w:rsidR="00FB3CA8" w:rsidRPr="00240D66">
        <w:rPr>
          <w:rFonts w:asciiTheme="majorBidi" w:hAnsiTheme="majorBidi" w:cstheme="majorBidi"/>
          <w:sz w:val="24"/>
          <w:szCs w:val="24"/>
        </w:rPr>
        <w:t xml:space="preserve"> a framework</w:t>
      </w:r>
      <w:r w:rsidR="00192D3C" w:rsidRPr="00240D66">
        <w:rPr>
          <w:rFonts w:asciiTheme="majorBidi" w:hAnsiTheme="majorBidi" w:cstheme="majorBidi"/>
          <w:sz w:val="24"/>
          <w:szCs w:val="24"/>
        </w:rPr>
        <w:t xml:space="preserve"> </w:t>
      </w:r>
      <w:r w:rsidR="00814DD8" w:rsidRPr="00240D66">
        <w:rPr>
          <w:rFonts w:asciiTheme="majorBidi" w:hAnsiTheme="majorBidi" w:cstheme="majorBidi"/>
          <w:sz w:val="24"/>
          <w:szCs w:val="24"/>
        </w:rPr>
        <w:t>to</w:t>
      </w:r>
      <w:r w:rsidR="008E4BBC" w:rsidRPr="00240D66">
        <w:rPr>
          <w:rFonts w:asciiTheme="majorBidi" w:hAnsiTheme="majorBidi" w:cstheme="majorBidi"/>
          <w:sz w:val="24"/>
          <w:szCs w:val="24"/>
        </w:rPr>
        <w:t xml:space="preserve"> allow </w:t>
      </w:r>
      <w:r w:rsidR="00814DD8" w:rsidRPr="00240D66">
        <w:rPr>
          <w:rFonts w:asciiTheme="majorBidi" w:hAnsiTheme="majorBidi" w:cstheme="majorBidi"/>
          <w:sz w:val="24"/>
          <w:szCs w:val="24"/>
        </w:rPr>
        <w:t xml:space="preserve">meaningful </w:t>
      </w:r>
      <w:r w:rsidR="001A3F28" w:rsidRPr="00240D66">
        <w:rPr>
          <w:rFonts w:asciiTheme="majorBidi" w:hAnsiTheme="majorBidi" w:cstheme="majorBidi"/>
          <w:sz w:val="24"/>
          <w:szCs w:val="24"/>
        </w:rPr>
        <w:t>comparison across context in the</w:t>
      </w:r>
      <w:r w:rsidR="00814DD8" w:rsidRPr="00240D66">
        <w:rPr>
          <w:rFonts w:asciiTheme="majorBidi" w:hAnsiTheme="majorBidi" w:cstheme="majorBidi"/>
          <w:sz w:val="24"/>
          <w:szCs w:val="24"/>
        </w:rPr>
        <w:t xml:space="preserve"> </w:t>
      </w:r>
      <w:r w:rsidR="001A3F28" w:rsidRPr="00240D66">
        <w:rPr>
          <w:rFonts w:asciiTheme="majorBidi" w:hAnsiTheme="majorBidi" w:cstheme="majorBidi"/>
          <w:sz w:val="24"/>
          <w:szCs w:val="24"/>
        </w:rPr>
        <w:t>accumulation of rich and embedded</w:t>
      </w:r>
      <w:r w:rsidR="00814DD8" w:rsidRPr="00240D66">
        <w:rPr>
          <w:rFonts w:asciiTheme="majorBidi" w:hAnsiTheme="majorBidi" w:cstheme="majorBidi"/>
          <w:sz w:val="24"/>
          <w:szCs w:val="24"/>
        </w:rPr>
        <w:t xml:space="preserve"> insights</w:t>
      </w:r>
      <w:r w:rsidR="00604910" w:rsidRPr="00240D66">
        <w:rPr>
          <w:rFonts w:asciiTheme="majorBidi" w:hAnsiTheme="majorBidi" w:cstheme="majorBidi"/>
          <w:sz w:val="24"/>
          <w:szCs w:val="24"/>
        </w:rPr>
        <w:t>. It can</w:t>
      </w:r>
      <w:r w:rsidR="00814DD8" w:rsidRPr="00240D66">
        <w:rPr>
          <w:rFonts w:asciiTheme="majorBidi" w:hAnsiTheme="majorBidi" w:cstheme="majorBidi"/>
          <w:sz w:val="24"/>
          <w:szCs w:val="24"/>
        </w:rPr>
        <w:t xml:space="preserve"> therefore</w:t>
      </w:r>
      <w:r w:rsidR="00604910" w:rsidRPr="00240D66">
        <w:rPr>
          <w:rFonts w:asciiTheme="majorBidi" w:hAnsiTheme="majorBidi" w:cstheme="majorBidi"/>
          <w:sz w:val="24"/>
          <w:szCs w:val="24"/>
        </w:rPr>
        <w:t xml:space="preserve"> assist </w:t>
      </w:r>
      <w:r w:rsidR="00814DD8" w:rsidRPr="00240D66">
        <w:rPr>
          <w:rFonts w:asciiTheme="majorBidi" w:hAnsiTheme="majorBidi" w:cstheme="majorBidi"/>
          <w:sz w:val="24"/>
          <w:szCs w:val="24"/>
        </w:rPr>
        <w:t xml:space="preserve">greatly </w:t>
      </w:r>
      <w:r w:rsidR="00604910" w:rsidRPr="00240D66">
        <w:rPr>
          <w:rFonts w:asciiTheme="majorBidi" w:hAnsiTheme="majorBidi" w:cstheme="majorBidi"/>
          <w:sz w:val="24"/>
          <w:szCs w:val="24"/>
        </w:rPr>
        <w:t>in the broader task of</w:t>
      </w:r>
      <w:r w:rsidR="00192D3C" w:rsidRPr="00240D66">
        <w:rPr>
          <w:rFonts w:asciiTheme="majorBidi" w:hAnsiTheme="majorBidi" w:cstheme="majorBidi"/>
          <w:sz w:val="24"/>
          <w:szCs w:val="24"/>
        </w:rPr>
        <w:t xml:space="preserve"> challeng</w:t>
      </w:r>
      <w:r w:rsidR="00604910" w:rsidRPr="00240D66">
        <w:rPr>
          <w:rFonts w:asciiTheme="majorBidi" w:hAnsiTheme="majorBidi" w:cstheme="majorBidi"/>
          <w:sz w:val="24"/>
          <w:szCs w:val="24"/>
        </w:rPr>
        <w:t>ing</w:t>
      </w:r>
      <w:r w:rsidR="00192D3C" w:rsidRPr="00240D66">
        <w:rPr>
          <w:rFonts w:asciiTheme="majorBidi" w:hAnsiTheme="majorBidi" w:cstheme="majorBidi"/>
          <w:sz w:val="24"/>
          <w:szCs w:val="24"/>
        </w:rPr>
        <w:t>, revis</w:t>
      </w:r>
      <w:r w:rsidR="00604910" w:rsidRPr="00240D66">
        <w:rPr>
          <w:rFonts w:asciiTheme="majorBidi" w:hAnsiTheme="majorBidi" w:cstheme="majorBidi"/>
          <w:sz w:val="24"/>
          <w:szCs w:val="24"/>
        </w:rPr>
        <w:t>ing</w:t>
      </w:r>
      <w:r w:rsidR="00192D3C" w:rsidRPr="00240D66">
        <w:rPr>
          <w:rFonts w:asciiTheme="majorBidi" w:hAnsiTheme="majorBidi" w:cstheme="majorBidi"/>
          <w:sz w:val="24"/>
          <w:szCs w:val="24"/>
        </w:rPr>
        <w:t xml:space="preserve"> and augment</w:t>
      </w:r>
      <w:r w:rsidR="00604910" w:rsidRPr="00240D66">
        <w:rPr>
          <w:rFonts w:asciiTheme="majorBidi" w:hAnsiTheme="majorBidi" w:cstheme="majorBidi"/>
          <w:sz w:val="24"/>
          <w:szCs w:val="24"/>
        </w:rPr>
        <w:t>ing</w:t>
      </w:r>
      <w:r w:rsidR="00192D3C" w:rsidRPr="00240D66">
        <w:rPr>
          <w:rFonts w:asciiTheme="majorBidi" w:hAnsiTheme="majorBidi" w:cstheme="majorBidi"/>
          <w:sz w:val="24"/>
          <w:szCs w:val="24"/>
        </w:rPr>
        <w:t xml:space="preserve"> </w:t>
      </w:r>
      <w:r w:rsidR="002268F0" w:rsidRPr="00240D66">
        <w:rPr>
          <w:rFonts w:asciiTheme="majorBidi" w:hAnsiTheme="majorBidi" w:cstheme="majorBidi"/>
          <w:sz w:val="24"/>
          <w:szCs w:val="24"/>
        </w:rPr>
        <w:t>received wisdom</w:t>
      </w:r>
      <w:r w:rsidR="00192D3C" w:rsidRPr="00240D66">
        <w:rPr>
          <w:rFonts w:asciiTheme="majorBidi" w:hAnsiTheme="majorBidi" w:cstheme="majorBidi"/>
          <w:sz w:val="24"/>
          <w:szCs w:val="24"/>
        </w:rPr>
        <w:t xml:space="preserve"> about arms-length governance</w:t>
      </w:r>
      <w:r w:rsidR="001A3F28" w:rsidRPr="00240D66">
        <w:rPr>
          <w:rFonts w:asciiTheme="majorBidi" w:hAnsiTheme="majorBidi" w:cstheme="majorBidi"/>
          <w:sz w:val="24"/>
          <w:szCs w:val="24"/>
        </w:rPr>
        <w:t xml:space="preserve"> to better explain the waxing and waning of such bodies over time and place</w:t>
      </w:r>
      <w:r w:rsidR="00192D3C" w:rsidRPr="00240D66">
        <w:rPr>
          <w:rFonts w:asciiTheme="majorBidi" w:hAnsiTheme="majorBidi" w:cstheme="majorBidi"/>
          <w:sz w:val="24"/>
          <w:szCs w:val="24"/>
        </w:rPr>
        <w:t>.</w:t>
      </w:r>
    </w:p>
    <w:p w:rsidR="00B728CC" w:rsidRPr="00240D66" w:rsidRDefault="00B728CC" w:rsidP="00240D66">
      <w:pPr>
        <w:spacing w:line="360" w:lineRule="auto"/>
        <w:rPr>
          <w:rFonts w:asciiTheme="majorBidi" w:eastAsiaTheme="majorEastAsia" w:hAnsiTheme="majorBidi" w:cstheme="majorBidi"/>
          <w:b/>
          <w:bCs/>
          <w:color w:val="4F81BD" w:themeColor="accent1"/>
          <w:sz w:val="24"/>
          <w:szCs w:val="24"/>
        </w:rPr>
      </w:pPr>
      <w:r w:rsidRPr="00240D66">
        <w:rPr>
          <w:rFonts w:asciiTheme="majorBidi" w:hAnsiTheme="majorBidi" w:cstheme="majorBidi"/>
          <w:sz w:val="24"/>
          <w:szCs w:val="24"/>
        </w:rPr>
        <w:br w:type="page"/>
      </w:r>
    </w:p>
    <w:p w:rsidR="005B2781" w:rsidRPr="00240D66" w:rsidRDefault="005B2781" w:rsidP="00240D66">
      <w:pPr>
        <w:spacing w:line="360" w:lineRule="auto"/>
        <w:rPr>
          <w:rFonts w:asciiTheme="majorBidi" w:hAnsiTheme="majorBidi" w:cstheme="majorBidi"/>
          <w:sz w:val="24"/>
          <w:szCs w:val="24"/>
        </w:rPr>
      </w:pPr>
      <w:r w:rsidRPr="00240D66">
        <w:rPr>
          <w:rFonts w:asciiTheme="majorBidi" w:hAnsiTheme="majorBidi" w:cstheme="majorBidi"/>
          <w:b/>
          <w:bCs/>
          <w:sz w:val="24"/>
          <w:szCs w:val="24"/>
        </w:rPr>
        <w:t>References</w:t>
      </w:r>
    </w:p>
    <w:p w:rsidR="00FB3CA8" w:rsidRPr="00240D66" w:rsidRDefault="00FB3CA8"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Bäckstrand, K. 2003, ‘Civic science for sustainability: Reframing the role of experts, policy maker and citizens in environmental governance’, </w:t>
      </w:r>
      <w:r w:rsidRPr="00240D66">
        <w:rPr>
          <w:rFonts w:asciiTheme="majorBidi" w:hAnsiTheme="majorBidi" w:cstheme="majorBidi"/>
          <w:i/>
          <w:iCs/>
          <w:sz w:val="24"/>
          <w:szCs w:val="24"/>
        </w:rPr>
        <w:t>Global Environmental Politics,</w:t>
      </w:r>
      <w:r w:rsidRPr="00240D66">
        <w:rPr>
          <w:rFonts w:asciiTheme="majorBidi" w:hAnsiTheme="majorBidi" w:cstheme="majorBidi"/>
          <w:sz w:val="24"/>
          <w:szCs w:val="24"/>
        </w:rPr>
        <w:t> </w:t>
      </w:r>
      <w:r w:rsidRPr="00240D66">
        <w:rPr>
          <w:rFonts w:asciiTheme="majorBidi" w:hAnsiTheme="majorBidi" w:cstheme="majorBidi"/>
          <w:i/>
          <w:iCs/>
          <w:sz w:val="24"/>
          <w:szCs w:val="24"/>
        </w:rPr>
        <w:t>3</w:t>
      </w:r>
      <w:r w:rsidRPr="00240D66">
        <w:rPr>
          <w:rFonts w:asciiTheme="majorBidi" w:hAnsiTheme="majorBidi" w:cstheme="majorBidi"/>
          <w:sz w:val="24"/>
          <w:szCs w:val="24"/>
        </w:rPr>
        <w:t xml:space="preserve">, 24–41. </w:t>
      </w:r>
    </w:p>
    <w:p w:rsidR="00784EEA" w:rsidRDefault="00221F2A"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Boggild M, Palace J, Barton P, Ben-Shlomo Y, Bregenzer T, Dobson C, et al. 2009, ‘Multiple sclerosis risk sharing scheme: two year results of clinical cohort study with historical comparator’, </w:t>
      </w:r>
      <w:r w:rsidRPr="00240D66">
        <w:rPr>
          <w:rFonts w:asciiTheme="majorBidi" w:hAnsiTheme="majorBidi" w:cstheme="majorBidi"/>
          <w:i/>
          <w:iCs/>
          <w:sz w:val="24"/>
          <w:szCs w:val="24"/>
        </w:rPr>
        <w:t>BMJ</w:t>
      </w:r>
      <w:r w:rsidRPr="00240D66">
        <w:rPr>
          <w:rFonts w:asciiTheme="majorBidi" w:hAnsiTheme="majorBidi" w:cstheme="majorBidi"/>
          <w:sz w:val="24"/>
          <w:szCs w:val="24"/>
        </w:rPr>
        <w:t>. 339: b467.</w:t>
      </w:r>
    </w:p>
    <w:p w:rsidR="00240D66" w:rsidRDefault="00240D66" w:rsidP="00240D66">
      <w:pPr>
        <w:spacing w:line="360" w:lineRule="auto"/>
        <w:rPr>
          <w:rFonts w:asciiTheme="majorBidi" w:hAnsiTheme="majorBidi" w:cstheme="majorBidi"/>
          <w:sz w:val="24"/>
          <w:szCs w:val="24"/>
        </w:rPr>
      </w:pPr>
      <w:r>
        <w:rPr>
          <w:rFonts w:asciiTheme="majorBidi" w:hAnsiTheme="majorBidi" w:cstheme="majorBidi"/>
          <w:sz w:val="24"/>
          <w:szCs w:val="24"/>
        </w:rPr>
        <w:t xml:space="preserve">Boswell, J. (2016), </w:t>
      </w:r>
      <w:r w:rsidRPr="00240D66">
        <w:rPr>
          <w:rFonts w:asciiTheme="majorBidi" w:hAnsiTheme="majorBidi" w:cstheme="majorBidi"/>
          <w:i/>
          <w:iCs/>
          <w:sz w:val="24"/>
          <w:szCs w:val="24"/>
        </w:rPr>
        <w:t>The Real War on Obesity: Contesting knowledge and meaning in a public health crisis.</w:t>
      </w:r>
      <w:r>
        <w:rPr>
          <w:rFonts w:asciiTheme="majorBidi" w:hAnsiTheme="majorBidi" w:cstheme="majorBidi"/>
          <w:sz w:val="24"/>
          <w:szCs w:val="24"/>
        </w:rPr>
        <w:t xml:space="preserve"> Palgrave Macmillan: Basingstoke.</w:t>
      </w:r>
    </w:p>
    <w:p w:rsidR="00240D66" w:rsidRDefault="00240D66"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Boswell, J. (2017). What makes evidence</w:t>
      </w:r>
      <w:r w:rsidRPr="00240D66">
        <w:rPr>
          <w:rFonts w:ascii="Cambria Math" w:hAnsi="Cambria Math" w:cs="Cambria Math"/>
          <w:sz w:val="24"/>
          <w:szCs w:val="24"/>
        </w:rPr>
        <w:t>‐</w:t>
      </w:r>
      <w:r w:rsidRPr="00240D66">
        <w:rPr>
          <w:rFonts w:asciiTheme="majorBidi" w:hAnsiTheme="majorBidi" w:cstheme="majorBidi"/>
          <w:sz w:val="24"/>
          <w:szCs w:val="24"/>
        </w:rPr>
        <w:t>based policy making such a useful myth? The case of NICE guidance on bariatric surgery in the United Kingdom. </w:t>
      </w:r>
      <w:r w:rsidRPr="00240D66">
        <w:rPr>
          <w:rFonts w:asciiTheme="majorBidi" w:hAnsiTheme="majorBidi" w:cstheme="majorBidi"/>
          <w:i/>
          <w:iCs/>
          <w:sz w:val="24"/>
          <w:szCs w:val="24"/>
        </w:rPr>
        <w:t>Governance</w:t>
      </w:r>
      <w:r w:rsidRPr="00240D66">
        <w:rPr>
          <w:rFonts w:asciiTheme="majorBidi" w:hAnsiTheme="majorBidi" w:cstheme="majorBidi"/>
          <w:sz w:val="24"/>
          <w:szCs w:val="24"/>
        </w:rPr>
        <w:t>.</w:t>
      </w:r>
    </w:p>
    <w:p w:rsidR="00542A75" w:rsidRPr="00240D66" w:rsidRDefault="00542A75"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Brindle</w:t>
      </w:r>
      <w:r w:rsidR="002B20DC" w:rsidRPr="00240D66">
        <w:rPr>
          <w:rFonts w:asciiTheme="majorBidi" w:hAnsiTheme="majorBidi" w:cstheme="majorBidi"/>
          <w:sz w:val="24"/>
          <w:szCs w:val="24"/>
        </w:rPr>
        <w:t xml:space="preserve">, D 1999, ‘New twist to NHS rationing row’, </w:t>
      </w:r>
      <w:r w:rsidR="002B20DC" w:rsidRPr="00240D66">
        <w:rPr>
          <w:rFonts w:asciiTheme="majorBidi" w:hAnsiTheme="majorBidi" w:cstheme="majorBidi"/>
          <w:i/>
          <w:iCs/>
          <w:sz w:val="24"/>
          <w:szCs w:val="24"/>
        </w:rPr>
        <w:t>The Guardian</w:t>
      </w:r>
      <w:r w:rsidR="002B20DC" w:rsidRPr="00240D66">
        <w:rPr>
          <w:rFonts w:asciiTheme="majorBidi" w:hAnsiTheme="majorBidi" w:cstheme="majorBidi"/>
          <w:sz w:val="24"/>
          <w:szCs w:val="24"/>
        </w:rPr>
        <w:t xml:space="preserve">. Available at: </w:t>
      </w:r>
      <w:hyperlink r:id="rId8" w:history="1">
        <w:r w:rsidR="002B20DC" w:rsidRPr="00240D66">
          <w:rPr>
            <w:rStyle w:val="Hyperlink"/>
            <w:rFonts w:asciiTheme="majorBidi" w:hAnsiTheme="majorBidi" w:cstheme="majorBidi"/>
            <w:sz w:val="24"/>
            <w:szCs w:val="24"/>
          </w:rPr>
          <w:t>https://www.theguardian.com/uk/1999/feb/06/davidbrindle</w:t>
        </w:r>
      </w:hyperlink>
      <w:r w:rsidR="002B20DC" w:rsidRPr="00240D66">
        <w:rPr>
          <w:rFonts w:asciiTheme="majorBidi" w:hAnsiTheme="majorBidi" w:cstheme="majorBidi"/>
          <w:sz w:val="24"/>
          <w:szCs w:val="24"/>
        </w:rPr>
        <w:t xml:space="preserve"> (accessed June 8, 2016).</w:t>
      </w:r>
    </w:p>
    <w:p w:rsidR="00336E57" w:rsidRPr="00240D66" w:rsidRDefault="00336E57"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Corbett, J. and Howard, C (2016, forthcoming) ‘Too big to fail? Rethinking the relationships between agency termination and size. </w:t>
      </w:r>
      <w:r w:rsidRPr="00240D66">
        <w:rPr>
          <w:rFonts w:asciiTheme="majorBidi" w:hAnsiTheme="majorBidi" w:cstheme="majorBidi"/>
          <w:i/>
          <w:iCs/>
          <w:sz w:val="24"/>
          <w:szCs w:val="24"/>
        </w:rPr>
        <w:t>Public Administration</w:t>
      </w:r>
    </w:p>
    <w:p w:rsidR="00D97368" w:rsidRPr="00240D66" w:rsidRDefault="00D97368"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Department of Health, 2013, </w:t>
      </w:r>
      <w:r w:rsidRPr="00240D66">
        <w:rPr>
          <w:rFonts w:asciiTheme="majorBidi" w:hAnsiTheme="majorBidi" w:cstheme="majorBidi"/>
          <w:i/>
          <w:iCs/>
          <w:sz w:val="24"/>
          <w:szCs w:val="24"/>
        </w:rPr>
        <w:t>The Government’s Response to the Health Select Committee’s Eight Report of Session 2012-13 on the National Institute for Health and Clinical Excellence</w:t>
      </w:r>
      <w:r w:rsidRPr="00240D66">
        <w:rPr>
          <w:rFonts w:asciiTheme="majorBidi" w:hAnsiTheme="majorBidi" w:cstheme="majorBidi"/>
          <w:sz w:val="24"/>
          <w:szCs w:val="24"/>
        </w:rPr>
        <w:t xml:space="preserve">, London, The Stationery Office.  </w:t>
      </w:r>
    </w:p>
    <w:p w:rsidR="005D0FC6" w:rsidRPr="00240D66" w:rsidRDefault="00E6624D"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Dommett, K and Flinders, M, 2015, ‘The politics of quangocide’, </w:t>
      </w:r>
      <w:r w:rsidRPr="00240D66">
        <w:rPr>
          <w:rFonts w:asciiTheme="majorBidi" w:hAnsiTheme="majorBidi" w:cstheme="majorBidi"/>
          <w:i/>
          <w:iCs/>
          <w:sz w:val="24"/>
          <w:szCs w:val="24"/>
        </w:rPr>
        <w:t>Policy &amp; Politics</w:t>
      </w:r>
      <w:r w:rsidRPr="00240D66">
        <w:rPr>
          <w:rFonts w:asciiTheme="majorBidi" w:hAnsiTheme="majorBidi" w:cstheme="majorBidi"/>
          <w:sz w:val="24"/>
          <w:szCs w:val="24"/>
        </w:rPr>
        <w:t>, 43, 1, 3-25.</w:t>
      </w:r>
    </w:p>
    <w:p w:rsidR="00EF1FD1" w:rsidRPr="00240D66" w:rsidRDefault="001A3F28" w:rsidP="00240D66">
      <w:pPr>
        <w:spacing w:line="360" w:lineRule="auto"/>
        <w:rPr>
          <w:rFonts w:asciiTheme="majorBidi" w:hAnsiTheme="majorBidi" w:cstheme="majorBidi"/>
          <w:sz w:val="24"/>
          <w:szCs w:val="24"/>
          <w:lang w:val="en-US"/>
        </w:rPr>
      </w:pPr>
      <w:r w:rsidRPr="00240D66">
        <w:rPr>
          <w:rFonts w:asciiTheme="majorBidi" w:hAnsiTheme="majorBidi" w:cstheme="majorBidi"/>
          <w:sz w:val="24"/>
          <w:szCs w:val="24"/>
          <w:lang w:val="en-US"/>
        </w:rPr>
        <w:t>Dommett K and Skelcher C. 2014,</w:t>
      </w:r>
      <w:r w:rsidR="00EF1FD1" w:rsidRPr="00240D66">
        <w:rPr>
          <w:rFonts w:asciiTheme="majorBidi" w:hAnsiTheme="majorBidi" w:cstheme="majorBidi"/>
          <w:sz w:val="24"/>
          <w:szCs w:val="24"/>
          <w:lang w:val="en-US"/>
        </w:rPr>
        <w:t xml:space="preserve"> Opening the Black Box of Administrative Reform: A Strategic-Relational Analysis of Agency Responses to Termination Threats. </w:t>
      </w:r>
      <w:r w:rsidR="00EF1FD1" w:rsidRPr="00240D66">
        <w:rPr>
          <w:rFonts w:asciiTheme="majorBidi" w:hAnsiTheme="majorBidi" w:cstheme="majorBidi"/>
          <w:i/>
          <w:sz w:val="24"/>
          <w:szCs w:val="24"/>
          <w:lang w:val="en-US"/>
        </w:rPr>
        <w:t>International Public Management Journal</w:t>
      </w:r>
      <w:r w:rsidR="00EF1FD1" w:rsidRPr="00240D66">
        <w:rPr>
          <w:rFonts w:asciiTheme="majorBidi" w:hAnsiTheme="majorBidi" w:cstheme="majorBidi"/>
          <w:sz w:val="24"/>
          <w:szCs w:val="24"/>
          <w:lang w:val="en-US"/>
        </w:rPr>
        <w:t xml:space="preserve"> 17: 540-563.</w:t>
      </w:r>
    </w:p>
    <w:p w:rsidR="00B0398C" w:rsidRPr="00240D66" w:rsidRDefault="00B0398C"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Dunleavy, P., H. Margetts, S. Bastow and J. Tinkler. 2006. ‘New Public Management is Dead – Long Live Digital-Era Governance’, </w:t>
      </w:r>
      <w:r w:rsidRPr="00240D66">
        <w:rPr>
          <w:rFonts w:asciiTheme="majorBidi" w:hAnsiTheme="majorBidi" w:cstheme="majorBidi"/>
          <w:i/>
          <w:iCs/>
          <w:sz w:val="24"/>
          <w:szCs w:val="24"/>
        </w:rPr>
        <w:t>Journal of Public Administration Research and Theory</w:t>
      </w:r>
      <w:r w:rsidRPr="00240D66">
        <w:rPr>
          <w:rFonts w:asciiTheme="majorBidi" w:hAnsiTheme="majorBidi" w:cstheme="majorBidi"/>
          <w:sz w:val="24"/>
          <w:szCs w:val="24"/>
        </w:rPr>
        <w:t>, 16, 3, 467–94.</w:t>
      </w:r>
    </w:p>
    <w:p w:rsidR="00186E7B" w:rsidRPr="00240D66" w:rsidRDefault="00186E7B"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Eastham, P. 2006, ‘Does NICE have to be cruel to be kind?’ </w:t>
      </w:r>
      <w:r w:rsidRPr="00240D66">
        <w:rPr>
          <w:rFonts w:asciiTheme="majorBidi" w:hAnsiTheme="majorBidi" w:cstheme="majorBidi"/>
          <w:i/>
          <w:iCs/>
          <w:sz w:val="24"/>
          <w:szCs w:val="24"/>
        </w:rPr>
        <w:t>The Telegraph</w:t>
      </w:r>
      <w:r w:rsidRPr="00240D66">
        <w:rPr>
          <w:rFonts w:asciiTheme="majorBidi" w:hAnsiTheme="majorBidi" w:cstheme="majorBidi"/>
          <w:sz w:val="24"/>
          <w:szCs w:val="24"/>
        </w:rPr>
        <w:t>, October 30.</w:t>
      </w:r>
    </w:p>
    <w:p w:rsidR="008F2BBD" w:rsidRPr="00240D66" w:rsidRDefault="00BD5ECD"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Flinders</w:t>
      </w:r>
      <w:r w:rsidR="00203B1E" w:rsidRPr="00240D66">
        <w:rPr>
          <w:rFonts w:asciiTheme="majorBidi" w:hAnsiTheme="majorBidi" w:cstheme="majorBidi"/>
          <w:sz w:val="24"/>
          <w:szCs w:val="24"/>
        </w:rPr>
        <w:t>,</w:t>
      </w:r>
      <w:r w:rsidRPr="00240D66">
        <w:rPr>
          <w:rFonts w:asciiTheme="majorBidi" w:hAnsiTheme="majorBidi" w:cstheme="majorBidi"/>
          <w:sz w:val="24"/>
          <w:szCs w:val="24"/>
        </w:rPr>
        <w:t xml:space="preserve"> M 2008</w:t>
      </w:r>
      <w:r w:rsidR="008F2BBD" w:rsidRPr="00240D66">
        <w:rPr>
          <w:rFonts w:asciiTheme="majorBidi" w:hAnsiTheme="majorBidi" w:cstheme="majorBidi"/>
          <w:sz w:val="24"/>
          <w:szCs w:val="24"/>
        </w:rPr>
        <w:t xml:space="preserve">, </w:t>
      </w:r>
      <w:r w:rsidR="008F2BBD" w:rsidRPr="00240D66">
        <w:rPr>
          <w:rFonts w:asciiTheme="majorBidi" w:hAnsiTheme="majorBidi" w:cstheme="majorBidi"/>
          <w:i/>
          <w:iCs/>
          <w:sz w:val="24"/>
          <w:szCs w:val="24"/>
        </w:rPr>
        <w:t>Delegated Governance and the British State: Walking without Order</w:t>
      </w:r>
      <w:r w:rsidR="008F2BBD" w:rsidRPr="00240D66">
        <w:rPr>
          <w:rFonts w:asciiTheme="majorBidi" w:hAnsiTheme="majorBidi" w:cstheme="majorBidi"/>
          <w:sz w:val="24"/>
          <w:szCs w:val="24"/>
        </w:rPr>
        <w:t>. Oxford: Oxford University Press</w:t>
      </w:r>
    </w:p>
    <w:p w:rsidR="00BA795E" w:rsidRPr="00240D66" w:rsidRDefault="00BA795E"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Gieryn</w:t>
      </w:r>
      <w:r w:rsidR="00203B1E" w:rsidRPr="00240D66">
        <w:rPr>
          <w:rFonts w:asciiTheme="majorBidi" w:hAnsiTheme="majorBidi" w:cstheme="majorBidi"/>
          <w:sz w:val="24"/>
          <w:szCs w:val="24"/>
        </w:rPr>
        <w:t xml:space="preserve">, T 1983. ‘Boundary-Work and the Demarcation of Science from Non-Science: Strains and Interests in Professional Ideologies of Scientists.’ </w:t>
      </w:r>
      <w:r w:rsidR="00203B1E" w:rsidRPr="00240D66">
        <w:rPr>
          <w:rFonts w:asciiTheme="majorBidi" w:hAnsiTheme="majorBidi" w:cstheme="majorBidi"/>
          <w:i/>
          <w:iCs/>
          <w:sz w:val="24"/>
          <w:szCs w:val="24"/>
        </w:rPr>
        <w:t>American Sociological Review</w:t>
      </w:r>
      <w:r w:rsidR="00203B1E" w:rsidRPr="00240D66">
        <w:rPr>
          <w:rFonts w:asciiTheme="majorBidi" w:hAnsiTheme="majorBidi" w:cstheme="majorBidi"/>
          <w:sz w:val="24"/>
          <w:szCs w:val="24"/>
        </w:rPr>
        <w:t xml:space="preserve"> 48, 781-95.</w:t>
      </w:r>
    </w:p>
    <w:p w:rsidR="00AA2ED3" w:rsidRPr="00240D66" w:rsidRDefault="00AA2ED3"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Guston, DH 2001. ‘</w:t>
      </w:r>
      <w:r w:rsidRPr="00240D66">
        <w:rPr>
          <w:rFonts w:asciiTheme="majorBidi" w:hAnsiTheme="majorBidi" w:cstheme="majorBidi"/>
          <w:sz w:val="24"/>
          <w:szCs w:val="24"/>
          <w:lang w:val="en"/>
        </w:rPr>
        <w:t xml:space="preserve">Boundary Organizations in Environmental Policy and Science: An Introduction’, </w:t>
      </w:r>
      <w:r w:rsidRPr="00240D66">
        <w:rPr>
          <w:rFonts w:asciiTheme="majorBidi" w:hAnsiTheme="majorBidi" w:cstheme="majorBidi"/>
          <w:i/>
          <w:iCs/>
          <w:sz w:val="24"/>
          <w:szCs w:val="24"/>
          <w:lang w:val="en"/>
        </w:rPr>
        <w:t>Science, Technology &amp; Human Values</w:t>
      </w:r>
      <w:r w:rsidRPr="00240D66">
        <w:rPr>
          <w:rFonts w:asciiTheme="majorBidi" w:hAnsiTheme="majorBidi" w:cstheme="majorBidi"/>
          <w:sz w:val="24"/>
          <w:szCs w:val="24"/>
          <w:lang w:val="en"/>
        </w:rPr>
        <w:t>, 26, 4, 399-408.</w:t>
      </w:r>
    </w:p>
    <w:p w:rsidR="00B0398C" w:rsidRPr="00240D66" w:rsidRDefault="00BD5ECD"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Hajer, M 2009,</w:t>
      </w:r>
      <w:r w:rsidR="00B0398C" w:rsidRPr="00240D66">
        <w:rPr>
          <w:rFonts w:asciiTheme="majorBidi" w:hAnsiTheme="majorBidi" w:cstheme="majorBidi"/>
          <w:sz w:val="24"/>
          <w:szCs w:val="24"/>
        </w:rPr>
        <w:t xml:space="preserve"> </w:t>
      </w:r>
      <w:r w:rsidR="00B0398C" w:rsidRPr="00240D66">
        <w:rPr>
          <w:rFonts w:asciiTheme="majorBidi" w:hAnsiTheme="majorBidi" w:cstheme="majorBidi"/>
          <w:i/>
          <w:iCs/>
          <w:sz w:val="24"/>
          <w:szCs w:val="24"/>
        </w:rPr>
        <w:t>Authoritative Governance: Policy Making in the Age of Mediatization</w:t>
      </w:r>
      <w:r w:rsidR="00B0398C" w:rsidRPr="00240D66">
        <w:rPr>
          <w:rFonts w:asciiTheme="majorBidi" w:hAnsiTheme="majorBidi" w:cstheme="majorBidi"/>
          <w:sz w:val="24"/>
          <w:szCs w:val="24"/>
        </w:rPr>
        <w:t>. Oxford: Oxford University Press.</w:t>
      </w:r>
    </w:p>
    <w:p w:rsidR="003D4171" w:rsidRPr="00240D66" w:rsidRDefault="003D4171" w:rsidP="00240D66">
      <w:pPr>
        <w:spacing w:line="360" w:lineRule="auto"/>
        <w:rPr>
          <w:rStyle w:val="author"/>
          <w:rFonts w:asciiTheme="majorBidi" w:hAnsiTheme="majorBidi" w:cstheme="majorBidi"/>
          <w:sz w:val="24"/>
          <w:szCs w:val="24"/>
          <w:lang w:val="en"/>
        </w:rPr>
      </w:pPr>
      <w:r w:rsidRPr="00240D66">
        <w:rPr>
          <w:rStyle w:val="author"/>
          <w:rFonts w:asciiTheme="majorBidi" w:hAnsiTheme="majorBidi" w:cstheme="majorBidi"/>
          <w:sz w:val="24"/>
          <w:szCs w:val="24"/>
          <w:lang w:val="en"/>
        </w:rPr>
        <w:t>Halffman</w:t>
      </w:r>
      <w:r w:rsidR="00BD5ECD" w:rsidRPr="00240D66">
        <w:rPr>
          <w:rStyle w:val="author"/>
          <w:rFonts w:asciiTheme="majorBidi" w:hAnsiTheme="majorBidi" w:cstheme="majorBidi"/>
          <w:sz w:val="24"/>
          <w:szCs w:val="24"/>
          <w:lang w:val="en"/>
        </w:rPr>
        <w:t>, W</w:t>
      </w:r>
      <w:r w:rsidRPr="00240D66">
        <w:rPr>
          <w:rStyle w:val="author"/>
          <w:rFonts w:asciiTheme="majorBidi" w:hAnsiTheme="majorBidi" w:cstheme="majorBidi"/>
          <w:sz w:val="24"/>
          <w:szCs w:val="24"/>
          <w:lang w:val="en"/>
        </w:rPr>
        <w:t xml:space="preserve"> 2002</w:t>
      </w:r>
      <w:r w:rsidR="00BD5ECD" w:rsidRPr="00240D66">
        <w:rPr>
          <w:rStyle w:val="author"/>
          <w:rFonts w:asciiTheme="majorBidi" w:hAnsiTheme="majorBidi" w:cstheme="majorBidi"/>
          <w:sz w:val="24"/>
          <w:szCs w:val="24"/>
          <w:lang w:val="en"/>
        </w:rPr>
        <w:t xml:space="preserve">, </w:t>
      </w:r>
      <w:r w:rsidR="00BD5ECD" w:rsidRPr="00240D66">
        <w:rPr>
          <w:rStyle w:val="author"/>
          <w:rFonts w:asciiTheme="majorBidi" w:hAnsiTheme="majorBidi" w:cstheme="majorBidi"/>
          <w:i/>
          <w:iCs/>
          <w:sz w:val="24"/>
          <w:szCs w:val="24"/>
          <w:lang w:val="en"/>
        </w:rPr>
        <w:t>Boundaries of Regulatory Science: Eco/toxicology and Aquatic Hazards of Chemicals in the US, England and the Netherlands, 1970-1995</w:t>
      </w:r>
      <w:r w:rsidR="00BD5ECD" w:rsidRPr="00240D66">
        <w:rPr>
          <w:rStyle w:val="author"/>
          <w:rFonts w:asciiTheme="majorBidi" w:hAnsiTheme="majorBidi" w:cstheme="majorBidi"/>
          <w:sz w:val="24"/>
          <w:szCs w:val="24"/>
          <w:lang w:val="en"/>
        </w:rPr>
        <w:t>. Amsterdam, University of Amsterdam.</w:t>
      </w:r>
    </w:p>
    <w:p w:rsidR="00E6624D" w:rsidRPr="00240D66" w:rsidRDefault="00E6624D" w:rsidP="00240D66">
      <w:pPr>
        <w:spacing w:line="360" w:lineRule="auto"/>
        <w:rPr>
          <w:rStyle w:val="author"/>
          <w:rFonts w:asciiTheme="majorBidi" w:hAnsiTheme="majorBidi" w:cstheme="majorBidi"/>
          <w:sz w:val="24"/>
          <w:szCs w:val="24"/>
          <w:lang w:val="en"/>
        </w:rPr>
      </w:pPr>
      <w:r w:rsidRPr="00240D66">
        <w:rPr>
          <w:rStyle w:val="author"/>
          <w:rFonts w:asciiTheme="majorBidi" w:hAnsiTheme="majorBidi" w:cstheme="majorBidi"/>
          <w:sz w:val="24"/>
          <w:szCs w:val="24"/>
          <w:lang w:val="en"/>
        </w:rPr>
        <w:t xml:space="preserve">Hood, C, 1980, ‘The politics of quangocide’, </w:t>
      </w:r>
      <w:r w:rsidR="00BD5ECD" w:rsidRPr="00240D66">
        <w:rPr>
          <w:rStyle w:val="author"/>
          <w:rFonts w:asciiTheme="majorBidi" w:hAnsiTheme="majorBidi" w:cstheme="majorBidi"/>
          <w:i/>
          <w:iCs/>
          <w:sz w:val="24"/>
          <w:szCs w:val="24"/>
          <w:lang w:val="en"/>
        </w:rPr>
        <w:t>Policy &amp; Politics</w:t>
      </w:r>
      <w:r w:rsidR="00BD5ECD" w:rsidRPr="00240D66">
        <w:rPr>
          <w:rStyle w:val="author"/>
          <w:rFonts w:asciiTheme="majorBidi" w:hAnsiTheme="majorBidi" w:cstheme="majorBidi"/>
          <w:sz w:val="24"/>
          <w:szCs w:val="24"/>
          <w:lang w:val="en"/>
        </w:rPr>
        <w:t xml:space="preserve">, </w:t>
      </w:r>
      <w:r w:rsidRPr="00240D66">
        <w:rPr>
          <w:rStyle w:val="author"/>
          <w:rFonts w:asciiTheme="majorBidi" w:hAnsiTheme="majorBidi" w:cstheme="majorBidi"/>
          <w:sz w:val="24"/>
          <w:szCs w:val="24"/>
          <w:lang w:val="en"/>
        </w:rPr>
        <w:t>8, 247-65.</w:t>
      </w:r>
    </w:p>
    <w:p w:rsidR="00901E12" w:rsidRPr="00240D66" w:rsidRDefault="00901E12"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Hoppe, R. 1999. “Policy Analysis, Science and Politics: from ‘speaking truth to power’ to ‘making sense together’. “. </w:t>
      </w:r>
      <w:r w:rsidRPr="00240D66">
        <w:rPr>
          <w:rFonts w:asciiTheme="majorBidi" w:hAnsiTheme="majorBidi" w:cstheme="majorBidi"/>
          <w:i/>
          <w:iCs/>
          <w:sz w:val="24"/>
          <w:szCs w:val="24"/>
        </w:rPr>
        <w:t>Science &amp; Public Policy</w:t>
      </w:r>
      <w:r w:rsidRPr="00240D66">
        <w:rPr>
          <w:rFonts w:asciiTheme="majorBidi" w:hAnsiTheme="majorBidi" w:cstheme="majorBidi"/>
          <w:sz w:val="24"/>
          <w:szCs w:val="24"/>
        </w:rPr>
        <w:t>, 26(26): 201–210.</w:t>
      </w:r>
    </w:p>
    <w:p w:rsidR="00AA2ED3" w:rsidRPr="00240D66" w:rsidRDefault="00AA2ED3" w:rsidP="00240D66">
      <w:pPr>
        <w:spacing w:line="360" w:lineRule="auto"/>
        <w:rPr>
          <w:rStyle w:val="HTMLCite"/>
          <w:rFonts w:asciiTheme="majorBidi" w:hAnsiTheme="majorBidi" w:cstheme="majorBidi"/>
          <w:i w:val="0"/>
          <w:iCs w:val="0"/>
          <w:sz w:val="24"/>
          <w:szCs w:val="24"/>
          <w:lang w:val="en"/>
        </w:rPr>
      </w:pPr>
      <w:r w:rsidRPr="00240D66">
        <w:rPr>
          <w:rStyle w:val="HTMLCite"/>
          <w:rFonts w:asciiTheme="majorBidi" w:hAnsiTheme="majorBidi" w:cstheme="majorBidi"/>
          <w:i w:val="0"/>
          <w:iCs w:val="0"/>
          <w:sz w:val="24"/>
          <w:szCs w:val="24"/>
          <w:lang w:val="en"/>
        </w:rPr>
        <w:t>Hoppe, R., Wesselink, A and Cairns, R 2013. ‘</w:t>
      </w:r>
      <w:r w:rsidRPr="00240D66">
        <w:rPr>
          <w:rStyle w:val="maintitle"/>
          <w:rFonts w:asciiTheme="majorBidi" w:hAnsiTheme="majorBidi" w:cstheme="majorBidi"/>
          <w:sz w:val="24"/>
          <w:szCs w:val="24"/>
          <w:lang w:val="en"/>
        </w:rPr>
        <w:t>Lost in the problem: the role of boundary organisations in the</w:t>
      </w:r>
      <w:r w:rsidR="00F11148" w:rsidRPr="00240D66">
        <w:rPr>
          <w:rStyle w:val="maintitle"/>
          <w:rFonts w:asciiTheme="majorBidi" w:hAnsiTheme="majorBidi" w:cstheme="majorBidi"/>
          <w:sz w:val="24"/>
          <w:szCs w:val="24"/>
          <w:lang w:val="en"/>
        </w:rPr>
        <w:t xml:space="preserve"> governance of climate change’,</w:t>
      </w:r>
      <w:r w:rsidRPr="00240D66">
        <w:rPr>
          <w:rStyle w:val="HTMLCite"/>
          <w:rFonts w:asciiTheme="majorBidi" w:hAnsiTheme="majorBidi" w:cstheme="majorBidi"/>
          <w:i w:val="0"/>
          <w:iCs w:val="0"/>
          <w:sz w:val="24"/>
          <w:szCs w:val="24"/>
          <w:lang w:val="en"/>
        </w:rPr>
        <w:t xml:space="preserve"> </w:t>
      </w:r>
      <w:r w:rsidRPr="00240D66">
        <w:rPr>
          <w:rStyle w:val="HTMLCite"/>
          <w:rFonts w:asciiTheme="majorBidi" w:hAnsiTheme="majorBidi" w:cstheme="majorBidi"/>
          <w:sz w:val="24"/>
          <w:szCs w:val="24"/>
          <w:lang w:val="en"/>
        </w:rPr>
        <w:t>Wiley Interdisciplinary Reviews: Climate Change</w:t>
      </w:r>
      <w:r w:rsidRPr="00240D66">
        <w:rPr>
          <w:rStyle w:val="HTMLCite"/>
          <w:rFonts w:asciiTheme="majorBidi" w:hAnsiTheme="majorBidi" w:cstheme="majorBidi"/>
          <w:i w:val="0"/>
          <w:iCs w:val="0"/>
          <w:sz w:val="24"/>
          <w:szCs w:val="24"/>
          <w:lang w:val="en"/>
        </w:rPr>
        <w:t>, 4, 4, 283-300.</w:t>
      </w:r>
    </w:p>
    <w:p w:rsidR="00542A75" w:rsidRPr="00240D66" w:rsidRDefault="00542A75" w:rsidP="00240D66">
      <w:pPr>
        <w:spacing w:line="360" w:lineRule="auto"/>
        <w:rPr>
          <w:rStyle w:val="HTMLCite"/>
          <w:rFonts w:asciiTheme="majorBidi" w:hAnsiTheme="majorBidi" w:cstheme="majorBidi"/>
          <w:i w:val="0"/>
          <w:iCs w:val="0"/>
          <w:sz w:val="24"/>
          <w:szCs w:val="24"/>
          <w:lang w:val="en"/>
        </w:rPr>
      </w:pPr>
      <w:r w:rsidRPr="00240D66">
        <w:rPr>
          <w:rStyle w:val="HTMLCite"/>
          <w:rFonts w:asciiTheme="majorBidi" w:hAnsiTheme="majorBidi" w:cstheme="majorBidi"/>
          <w:i w:val="0"/>
          <w:iCs w:val="0"/>
          <w:sz w:val="24"/>
          <w:szCs w:val="24"/>
          <w:lang w:val="en"/>
        </w:rPr>
        <w:t xml:space="preserve">House of Commons Health Committee (HCHC) 2002, </w:t>
      </w:r>
      <w:r w:rsidRPr="00240D66">
        <w:rPr>
          <w:rFonts w:asciiTheme="majorBidi" w:hAnsiTheme="majorBidi" w:cstheme="majorBidi"/>
          <w:i/>
          <w:iCs/>
          <w:sz w:val="24"/>
          <w:szCs w:val="24"/>
        </w:rPr>
        <w:t>National Institute for Clinical Excellence, Second Report of Session 2001–02</w:t>
      </w:r>
      <w:r w:rsidRPr="00240D66">
        <w:rPr>
          <w:rFonts w:asciiTheme="majorBidi" w:hAnsiTheme="majorBidi" w:cstheme="majorBidi"/>
          <w:sz w:val="24"/>
          <w:szCs w:val="24"/>
        </w:rPr>
        <w:t>, London, The Stationery Office.</w:t>
      </w:r>
    </w:p>
    <w:p w:rsidR="00D97368" w:rsidRPr="00240D66" w:rsidRDefault="00D97368" w:rsidP="00240D66">
      <w:pPr>
        <w:spacing w:line="360" w:lineRule="auto"/>
        <w:rPr>
          <w:rStyle w:val="HTMLCite"/>
          <w:rFonts w:asciiTheme="majorBidi" w:hAnsiTheme="majorBidi" w:cstheme="majorBidi"/>
          <w:i w:val="0"/>
          <w:iCs w:val="0"/>
          <w:sz w:val="24"/>
          <w:szCs w:val="24"/>
          <w:lang w:val="en"/>
        </w:rPr>
      </w:pPr>
      <w:r w:rsidRPr="00240D66">
        <w:rPr>
          <w:rStyle w:val="HTMLCite"/>
          <w:rFonts w:asciiTheme="majorBidi" w:hAnsiTheme="majorBidi" w:cstheme="majorBidi"/>
          <w:i w:val="0"/>
          <w:iCs w:val="0"/>
          <w:sz w:val="24"/>
          <w:szCs w:val="24"/>
          <w:lang w:val="en"/>
        </w:rPr>
        <w:t xml:space="preserve">House of Commons Health Committee </w:t>
      </w:r>
      <w:r w:rsidR="00542A75" w:rsidRPr="00240D66">
        <w:rPr>
          <w:rStyle w:val="HTMLCite"/>
          <w:rFonts w:asciiTheme="majorBidi" w:hAnsiTheme="majorBidi" w:cstheme="majorBidi"/>
          <w:i w:val="0"/>
          <w:iCs w:val="0"/>
          <w:sz w:val="24"/>
          <w:szCs w:val="24"/>
          <w:lang w:val="en"/>
        </w:rPr>
        <w:t xml:space="preserve">(HCHC) </w:t>
      </w:r>
      <w:r w:rsidRPr="00240D66">
        <w:rPr>
          <w:rStyle w:val="HTMLCite"/>
          <w:rFonts w:asciiTheme="majorBidi" w:hAnsiTheme="majorBidi" w:cstheme="majorBidi"/>
          <w:i w:val="0"/>
          <w:iCs w:val="0"/>
          <w:sz w:val="24"/>
          <w:szCs w:val="24"/>
          <w:lang w:val="en"/>
        </w:rPr>
        <w:t xml:space="preserve">2013, </w:t>
      </w:r>
      <w:r w:rsidRPr="00240D66">
        <w:rPr>
          <w:rFonts w:asciiTheme="majorBidi" w:hAnsiTheme="majorBidi" w:cstheme="majorBidi"/>
          <w:i/>
          <w:iCs/>
          <w:sz w:val="24"/>
          <w:szCs w:val="24"/>
        </w:rPr>
        <w:t>National Institute for Health and Clinical Excellence</w:t>
      </w:r>
      <w:r w:rsidR="00542A75" w:rsidRPr="00240D66">
        <w:rPr>
          <w:rFonts w:asciiTheme="majorBidi" w:hAnsiTheme="majorBidi" w:cstheme="majorBidi"/>
          <w:i/>
          <w:iCs/>
          <w:sz w:val="24"/>
          <w:szCs w:val="24"/>
        </w:rPr>
        <w:t>,</w:t>
      </w:r>
      <w:r w:rsidRPr="00240D66">
        <w:rPr>
          <w:rFonts w:asciiTheme="majorBidi" w:hAnsiTheme="majorBidi" w:cstheme="majorBidi"/>
          <w:i/>
          <w:iCs/>
          <w:sz w:val="24"/>
          <w:szCs w:val="24"/>
        </w:rPr>
        <w:t xml:space="preserve"> Eighth Report of Session 2012–13</w:t>
      </w:r>
      <w:r w:rsidRPr="00240D66">
        <w:rPr>
          <w:rFonts w:asciiTheme="majorBidi" w:hAnsiTheme="majorBidi" w:cstheme="majorBidi"/>
          <w:sz w:val="24"/>
          <w:szCs w:val="24"/>
        </w:rPr>
        <w:t>, London</w:t>
      </w:r>
      <w:r w:rsidR="00F11148" w:rsidRPr="00240D66">
        <w:rPr>
          <w:rFonts w:asciiTheme="majorBidi" w:hAnsiTheme="majorBidi" w:cstheme="majorBidi"/>
          <w:sz w:val="24"/>
          <w:szCs w:val="24"/>
        </w:rPr>
        <w:t>, The Stationery Office</w:t>
      </w:r>
      <w:r w:rsidRPr="00240D66">
        <w:rPr>
          <w:rFonts w:asciiTheme="majorBidi" w:hAnsiTheme="majorBidi" w:cstheme="majorBidi"/>
          <w:sz w:val="24"/>
          <w:szCs w:val="24"/>
        </w:rPr>
        <w:t>.</w:t>
      </w:r>
    </w:p>
    <w:p w:rsidR="00EF1FD1" w:rsidRPr="00240D66" w:rsidRDefault="00FB3CA8" w:rsidP="00240D66">
      <w:pPr>
        <w:spacing w:line="360" w:lineRule="auto"/>
        <w:rPr>
          <w:rFonts w:asciiTheme="majorBidi" w:hAnsiTheme="majorBidi" w:cstheme="majorBidi"/>
          <w:sz w:val="24"/>
          <w:szCs w:val="24"/>
          <w:lang w:val="en-US"/>
        </w:rPr>
      </w:pPr>
      <w:r w:rsidRPr="00240D66">
        <w:rPr>
          <w:rFonts w:asciiTheme="majorBidi" w:hAnsiTheme="majorBidi" w:cstheme="majorBidi"/>
          <w:sz w:val="24"/>
          <w:szCs w:val="24"/>
          <w:lang w:val="en-US"/>
        </w:rPr>
        <w:t>Howard, C. 2016,</w:t>
      </w:r>
      <w:r w:rsidR="00EF1FD1" w:rsidRPr="00240D66">
        <w:rPr>
          <w:rFonts w:asciiTheme="majorBidi" w:hAnsiTheme="majorBidi" w:cstheme="majorBidi"/>
          <w:sz w:val="24"/>
          <w:szCs w:val="24"/>
          <w:lang w:val="en-US"/>
        </w:rPr>
        <w:t xml:space="preserve"> ‘The drama of bureaucratic autonomy: a performative theory of administrative independence.’ Working Paper (available at </w:t>
      </w:r>
      <w:hyperlink r:id="rId9" w:history="1">
        <w:r w:rsidRPr="00240D66">
          <w:rPr>
            <w:rStyle w:val="Hyperlink"/>
            <w:rFonts w:asciiTheme="majorBidi" w:hAnsiTheme="majorBidi" w:cstheme="majorBidi"/>
            <w:sz w:val="24"/>
            <w:szCs w:val="24"/>
            <w:lang w:val="en-US"/>
          </w:rPr>
          <w:t>https://www.academia.edu/23158794/The_drama_of_bureaucratic_autonomy_a_performative_theory_of_administrative_independence</w:t>
        </w:r>
      </w:hyperlink>
      <w:r w:rsidR="00EF1FD1" w:rsidRPr="00240D66">
        <w:rPr>
          <w:rFonts w:asciiTheme="majorBidi" w:hAnsiTheme="majorBidi" w:cstheme="majorBidi"/>
          <w:sz w:val="24"/>
          <w:szCs w:val="24"/>
          <w:lang w:val="en-US"/>
        </w:rPr>
        <w:t>).</w:t>
      </w:r>
    </w:p>
    <w:p w:rsidR="00FB3CA8" w:rsidRPr="00240D66" w:rsidRDefault="00FB3CA8" w:rsidP="00240D66">
      <w:pPr>
        <w:spacing w:line="360" w:lineRule="auto"/>
        <w:rPr>
          <w:rStyle w:val="HTMLCite"/>
          <w:rFonts w:asciiTheme="majorBidi" w:hAnsiTheme="majorBidi" w:cstheme="majorBidi"/>
          <w:i w:val="0"/>
          <w:iCs w:val="0"/>
          <w:sz w:val="24"/>
          <w:szCs w:val="24"/>
        </w:rPr>
      </w:pPr>
      <w:r w:rsidRPr="00240D66">
        <w:rPr>
          <w:rFonts w:asciiTheme="majorBidi" w:hAnsiTheme="majorBidi" w:cstheme="majorBidi"/>
          <w:sz w:val="24"/>
          <w:szCs w:val="24"/>
        </w:rPr>
        <w:t xml:space="preserve">Hulme, M. 2008, ‘Geographical work at the boundaries of climate change’, </w:t>
      </w:r>
      <w:r w:rsidRPr="00240D66">
        <w:rPr>
          <w:rFonts w:asciiTheme="majorBidi" w:hAnsiTheme="majorBidi" w:cstheme="majorBidi"/>
          <w:i/>
          <w:iCs/>
          <w:sz w:val="24"/>
          <w:szCs w:val="24"/>
        </w:rPr>
        <w:t>Transactions of the Institute of British Geographers</w:t>
      </w:r>
      <w:r w:rsidRPr="00240D66">
        <w:rPr>
          <w:rFonts w:asciiTheme="majorBidi" w:hAnsiTheme="majorBidi" w:cstheme="majorBidi"/>
          <w:sz w:val="24"/>
          <w:szCs w:val="24"/>
        </w:rPr>
        <w:t>, 33, 5–11.</w:t>
      </w:r>
    </w:p>
    <w:p w:rsidR="00A71E3F" w:rsidRPr="00240D66" w:rsidRDefault="00F11148" w:rsidP="00240D66">
      <w:pPr>
        <w:spacing w:line="360" w:lineRule="auto"/>
        <w:rPr>
          <w:rStyle w:val="HTMLCite"/>
          <w:rFonts w:asciiTheme="majorBidi" w:hAnsiTheme="majorBidi" w:cstheme="majorBidi"/>
          <w:i w:val="0"/>
          <w:iCs w:val="0"/>
          <w:sz w:val="24"/>
          <w:szCs w:val="24"/>
          <w:lang w:val="en"/>
        </w:rPr>
      </w:pPr>
      <w:r w:rsidRPr="00240D66">
        <w:rPr>
          <w:rStyle w:val="HTMLCite"/>
          <w:rFonts w:asciiTheme="majorBidi" w:hAnsiTheme="majorBidi" w:cstheme="majorBidi"/>
          <w:i w:val="0"/>
          <w:iCs w:val="0"/>
          <w:sz w:val="24"/>
          <w:szCs w:val="24"/>
          <w:lang w:val="en"/>
        </w:rPr>
        <w:t>James, P 1997,</w:t>
      </w:r>
      <w:r w:rsidR="00A71E3F" w:rsidRPr="00240D66">
        <w:rPr>
          <w:rStyle w:val="HTMLCite"/>
          <w:rFonts w:asciiTheme="majorBidi" w:hAnsiTheme="majorBidi" w:cstheme="majorBidi"/>
          <w:i w:val="0"/>
          <w:iCs w:val="0"/>
          <w:sz w:val="24"/>
          <w:szCs w:val="24"/>
          <w:lang w:val="en"/>
        </w:rPr>
        <w:t xml:space="preserve"> ‘Food Standards Agency: an interim proposal’, unpublished report, Rowett Research Institute, Aberdeen.</w:t>
      </w:r>
    </w:p>
    <w:p w:rsidR="00AA2ED3" w:rsidRPr="00240D66" w:rsidRDefault="005A3C51" w:rsidP="00240D66">
      <w:pPr>
        <w:spacing w:line="360" w:lineRule="auto"/>
        <w:rPr>
          <w:rStyle w:val="HTMLCite"/>
          <w:rFonts w:asciiTheme="majorBidi" w:hAnsiTheme="majorBidi" w:cstheme="majorBidi"/>
          <w:i w:val="0"/>
          <w:iCs w:val="0"/>
          <w:sz w:val="24"/>
          <w:szCs w:val="24"/>
          <w:lang w:val="en"/>
        </w:rPr>
      </w:pPr>
      <w:r w:rsidRPr="00240D66">
        <w:rPr>
          <w:rStyle w:val="HTMLCite"/>
          <w:rFonts w:asciiTheme="majorBidi" w:hAnsiTheme="majorBidi" w:cstheme="majorBidi"/>
          <w:i w:val="0"/>
          <w:iCs w:val="0"/>
          <w:sz w:val="24"/>
          <w:szCs w:val="24"/>
          <w:lang w:val="en"/>
        </w:rPr>
        <w:t xml:space="preserve">Jasanoff, S </w:t>
      </w:r>
      <w:r w:rsidRPr="00240D66">
        <w:rPr>
          <w:rStyle w:val="reference-text"/>
          <w:rFonts w:asciiTheme="majorBidi" w:hAnsiTheme="majorBidi" w:cstheme="majorBidi"/>
          <w:sz w:val="24"/>
          <w:szCs w:val="24"/>
          <w:lang w:val="en"/>
        </w:rPr>
        <w:t xml:space="preserve">1990, </w:t>
      </w:r>
      <w:r w:rsidRPr="00240D66">
        <w:rPr>
          <w:rStyle w:val="reference-text"/>
          <w:rFonts w:asciiTheme="majorBidi" w:hAnsiTheme="majorBidi" w:cstheme="majorBidi"/>
          <w:i/>
          <w:iCs/>
          <w:sz w:val="24"/>
          <w:szCs w:val="24"/>
          <w:lang w:val="en"/>
        </w:rPr>
        <w:t>The Fifth Branch: Science Advisors as Policymakers</w:t>
      </w:r>
      <w:r w:rsidRPr="00240D66">
        <w:rPr>
          <w:rStyle w:val="reference-text"/>
          <w:rFonts w:asciiTheme="majorBidi" w:hAnsiTheme="majorBidi" w:cstheme="majorBidi"/>
          <w:sz w:val="24"/>
          <w:szCs w:val="24"/>
          <w:lang w:val="en"/>
        </w:rPr>
        <w:t>, Cambridge, Harvard University Press.</w:t>
      </w:r>
    </w:p>
    <w:p w:rsidR="00AA2ED3" w:rsidRPr="00240D66" w:rsidRDefault="00AA2ED3" w:rsidP="00240D66">
      <w:pPr>
        <w:spacing w:line="360" w:lineRule="auto"/>
        <w:rPr>
          <w:rFonts w:asciiTheme="majorBidi" w:hAnsiTheme="majorBidi" w:cstheme="majorBidi"/>
          <w:sz w:val="24"/>
          <w:szCs w:val="24"/>
        </w:rPr>
      </w:pPr>
      <w:r w:rsidRPr="00240D66">
        <w:rPr>
          <w:rStyle w:val="HTMLCite"/>
          <w:rFonts w:asciiTheme="majorBidi" w:hAnsiTheme="majorBidi" w:cstheme="majorBidi"/>
          <w:i w:val="0"/>
          <w:iCs w:val="0"/>
          <w:sz w:val="24"/>
          <w:szCs w:val="24"/>
          <w:lang w:val="en"/>
        </w:rPr>
        <w:t>Jasanoff, S 1996. ‘</w:t>
      </w:r>
      <w:r w:rsidRPr="00240D66">
        <w:rPr>
          <w:rFonts w:asciiTheme="majorBidi" w:hAnsiTheme="majorBidi" w:cstheme="majorBidi"/>
          <w:sz w:val="24"/>
          <w:szCs w:val="24"/>
          <w:lang w:val="en"/>
        </w:rPr>
        <w:t xml:space="preserve">Beyond Epistemology: Relativism and Engagement in the Politics of Science’, </w:t>
      </w:r>
      <w:r w:rsidRPr="00240D66">
        <w:rPr>
          <w:rFonts w:asciiTheme="majorBidi" w:hAnsiTheme="majorBidi" w:cstheme="majorBidi"/>
          <w:i/>
          <w:iCs/>
          <w:sz w:val="24"/>
          <w:szCs w:val="24"/>
          <w:lang w:val="en"/>
        </w:rPr>
        <w:t>Social Studies of Science</w:t>
      </w:r>
      <w:r w:rsidRPr="00240D66">
        <w:rPr>
          <w:rFonts w:asciiTheme="majorBidi" w:hAnsiTheme="majorBidi" w:cstheme="majorBidi"/>
          <w:sz w:val="24"/>
          <w:szCs w:val="24"/>
          <w:lang w:val="en"/>
        </w:rPr>
        <w:t>, 26, 2, 393-418.</w:t>
      </w:r>
    </w:p>
    <w:p w:rsidR="005B2781" w:rsidRPr="00240D66" w:rsidRDefault="005B2781"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Korinek, R and Veit, S (2015), ‘Only good fences keep good neighbours! The institutionalization of Ministry-Agency relationships at the science-policy nexus in German food safety’, </w:t>
      </w:r>
      <w:r w:rsidRPr="00240D66">
        <w:rPr>
          <w:rFonts w:asciiTheme="majorBidi" w:hAnsiTheme="majorBidi" w:cstheme="majorBidi"/>
          <w:i/>
          <w:iCs/>
          <w:sz w:val="24"/>
          <w:szCs w:val="24"/>
        </w:rPr>
        <w:t>Public Administration</w:t>
      </w:r>
      <w:r w:rsidRPr="00240D66">
        <w:rPr>
          <w:rFonts w:asciiTheme="majorBidi" w:hAnsiTheme="majorBidi" w:cstheme="majorBidi"/>
          <w:sz w:val="24"/>
          <w:szCs w:val="24"/>
        </w:rPr>
        <w:t>, 93 (1): 103–120.</w:t>
      </w:r>
    </w:p>
    <w:p w:rsidR="005A3C51" w:rsidRPr="00240D66" w:rsidRDefault="005A3C51"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Lang, T 2010, ‘What a carve up: the coalition is wrong to dismember the Food Standards Agency at the time it is needed most’, </w:t>
      </w:r>
      <w:r w:rsidRPr="00240D66">
        <w:rPr>
          <w:rFonts w:asciiTheme="majorBidi" w:hAnsiTheme="majorBidi" w:cstheme="majorBidi"/>
          <w:i/>
          <w:iCs/>
          <w:sz w:val="24"/>
          <w:szCs w:val="24"/>
        </w:rPr>
        <w:t>The Guardian</w:t>
      </w:r>
      <w:r w:rsidRPr="00240D66">
        <w:rPr>
          <w:rFonts w:asciiTheme="majorBidi" w:hAnsiTheme="majorBidi" w:cstheme="majorBidi"/>
          <w:sz w:val="24"/>
          <w:szCs w:val="24"/>
        </w:rPr>
        <w:t>, July 21. Available at: http://www.guardian.co.uk/commentisfree/2010/jul/21/fsa-what-a-car</w:t>
      </w:r>
      <w:r w:rsidR="002B20DC" w:rsidRPr="00240D66">
        <w:rPr>
          <w:rFonts w:asciiTheme="majorBidi" w:hAnsiTheme="majorBidi" w:cstheme="majorBidi"/>
          <w:sz w:val="24"/>
          <w:szCs w:val="24"/>
        </w:rPr>
        <w:t>ve-up (accessed June 8, 2016</w:t>
      </w:r>
      <w:r w:rsidRPr="00240D66">
        <w:rPr>
          <w:rFonts w:asciiTheme="majorBidi" w:hAnsiTheme="majorBidi" w:cstheme="majorBidi"/>
          <w:sz w:val="24"/>
          <w:szCs w:val="24"/>
        </w:rPr>
        <w:t>).</w:t>
      </w:r>
    </w:p>
    <w:p w:rsidR="00901E12" w:rsidRPr="00240D66" w:rsidRDefault="00901E12"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Metze, T. 2008. “Keep Out of the Dairy Gateway: Boundary Work in Deliberative Governance in Wisconsin, USA.” </w:t>
      </w:r>
      <w:r w:rsidRPr="00240D66">
        <w:rPr>
          <w:rFonts w:asciiTheme="majorBidi" w:hAnsiTheme="majorBidi" w:cstheme="majorBidi"/>
          <w:i/>
          <w:iCs/>
          <w:sz w:val="24"/>
          <w:szCs w:val="24"/>
        </w:rPr>
        <w:t>Critical Policy Studies</w:t>
      </w:r>
      <w:r w:rsidRPr="00240D66">
        <w:rPr>
          <w:rFonts w:asciiTheme="majorBidi" w:hAnsiTheme="majorBidi" w:cstheme="majorBidi"/>
          <w:sz w:val="24"/>
          <w:szCs w:val="24"/>
        </w:rPr>
        <w:t> 2 (1): 45–71.</w:t>
      </w:r>
    </w:p>
    <w:p w:rsidR="005148B9" w:rsidRPr="00240D66" w:rsidRDefault="005148B9"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Meyer, R and Hammerschmid, G. 2006, ‘Public Management Reform: An Identity Project’, </w:t>
      </w:r>
      <w:r w:rsidRPr="00240D66">
        <w:rPr>
          <w:rFonts w:asciiTheme="majorBidi" w:hAnsiTheme="majorBidi" w:cstheme="majorBidi"/>
          <w:i/>
          <w:iCs/>
          <w:sz w:val="24"/>
          <w:szCs w:val="24"/>
        </w:rPr>
        <w:t xml:space="preserve">Public Policy and Administration </w:t>
      </w:r>
      <w:r w:rsidRPr="00240D66">
        <w:rPr>
          <w:rFonts w:asciiTheme="majorBidi" w:hAnsiTheme="majorBidi" w:cstheme="majorBidi"/>
          <w:sz w:val="24"/>
          <w:szCs w:val="24"/>
        </w:rPr>
        <w:t>21 (1): 99 - 115</w:t>
      </w:r>
    </w:p>
    <w:p w:rsidR="00901E12" w:rsidRPr="00240D66" w:rsidRDefault="00901E12"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Mol, A. 2002. </w:t>
      </w:r>
      <w:r w:rsidRPr="00240D66">
        <w:rPr>
          <w:rFonts w:asciiTheme="majorBidi" w:hAnsiTheme="majorBidi" w:cstheme="majorBidi"/>
          <w:i/>
          <w:iCs/>
          <w:sz w:val="24"/>
          <w:szCs w:val="24"/>
        </w:rPr>
        <w:t>The Body Multiple: Ontology in Medical Practice.</w:t>
      </w:r>
      <w:r w:rsidRPr="00240D66">
        <w:rPr>
          <w:rFonts w:asciiTheme="majorBidi" w:hAnsiTheme="majorBidi" w:cstheme="majorBidi"/>
          <w:sz w:val="24"/>
          <w:szCs w:val="24"/>
        </w:rPr>
        <w:t> Durham and London: Duke University Press.</w:t>
      </w:r>
    </w:p>
    <w:p w:rsidR="006632AC" w:rsidRPr="00240D66" w:rsidRDefault="006632AC" w:rsidP="00240D66">
      <w:pPr>
        <w:spacing w:line="360" w:lineRule="auto"/>
        <w:rPr>
          <w:rStyle w:val="pagelast"/>
          <w:rFonts w:asciiTheme="majorBidi" w:hAnsiTheme="majorBidi" w:cstheme="majorBidi"/>
          <w:sz w:val="24"/>
          <w:szCs w:val="24"/>
          <w:lang w:val="en"/>
        </w:rPr>
      </w:pPr>
      <w:r w:rsidRPr="00240D66">
        <w:rPr>
          <w:rFonts w:asciiTheme="majorBidi" w:hAnsiTheme="majorBidi" w:cstheme="majorBidi"/>
          <w:sz w:val="24"/>
          <w:szCs w:val="24"/>
        </w:rPr>
        <w:t>Multiple Sclerosis Society.</w:t>
      </w:r>
      <w:r w:rsidR="002B20DC" w:rsidRPr="00240D66">
        <w:rPr>
          <w:rFonts w:asciiTheme="majorBidi" w:hAnsiTheme="majorBidi" w:cstheme="majorBidi"/>
          <w:sz w:val="24"/>
          <w:szCs w:val="24"/>
        </w:rPr>
        <w:t xml:space="preserve"> 2011.</w:t>
      </w:r>
      <w:r w:rsidRPr="00240D66">
        <w:rPr>
          <w:rFonts w:asciiTheme="majorBidi" w:hAnsiTheme="majorBidi" w:cstheme="majorBidi"/>
          <w:sz w:val="24"/>
          <w:szCs w:val="24"/>
        </w:rPr>
        <w:t xml:space="preserve"> </w:t>
      </w:r>
      <w:r w:rsidRPr="00240D66">
        <w:rPr>
          <w:rFonts w:asciiTheme="majorBidi" w:hAnsiTheme="majorBidi" w:cstheme="majorBidi"/>
          <w:i/>
          <w:iCs/>
          <w:sz w:val="24"/>
          <w:szCs w:val="24"/>
        </w:rPr>
        <w:t>NICE second provisional appraisal: determination on use of beta interferons and glatiramer acetate in the treatment of multiple sclerosis</w:t>
      </w:r>
      <w:r w:rsidRPr="00240D66">
        <w:rPr>
          <w:rFonts w:asciiTheme="majorBidi" w:hAnsiTheme="majorBidi" w:cstheme="majorBidi"/>
          <w:sz w:val="24"/>
          <w:szCs w:val="24"/>
        </w:rPr>
        <w:t xml:space="preserve">. </w:t>
      </w:r>
      <w:r w:rsidR="002B20DC" w:rsidRPr="00240D66">
        <w:rPr>
          <w:rFonts w:asciiTheme="majorBidi" w:hAnsiTheme="majorBidi" w:cstheme="majorBidi"/>
          <w:sz w:val="24"/>
          <w:szCs w:val="24"/>
        </w:rPr>
        <w:t>Multiple Sclerosis Society</w:t>
      </w:r>
      <w:r w:rsidRPr="00240D66">
        <w:rPr>
          <w:rFonts w:asciiTheme="majorBidi" w:hAnsiTheme="majorBidi" w:cstheme="majorBidi"/>
          <w:sz w:val="24"/>
          <w:szCs w:val="24"/>
        </w:rPr>
        <w:t xml:space="preserve">. </w:t>
      </w:r>
    </w:p>
    <w:p w:rsidR="00156E7E" w:rsidRPr="00240D66" w:rsidRDefault="00156E7E" w:rsidP="00240D66">
      <w:pPr>
        <w:spacing w:line="360" w:lineRule="auto"/>
        <w:rPr>
          <w:rStyle w:val="pagelast"/>
          <w:rFonts w:asciiTheme="majorBidi" w:hAnsiTheme="majorBidi" w:cstheme="majorBidi"/>
          <w:sz w:val="24"/>
          <w:szCs w:val="24"/>
          <w:lang w:val="en"/>
        </w:rPr>
      </w:pPr>
      <w:r w:rsidRPr="00240D66">
        <w:rPr>
          <w:rStyle w:val="pagelast"/>
          <w:rFonts w:asciiTheme="majorBidi" w:hAnsiTheme="majorBidi" w:cstheme="majorBidi"/>
          <w:sz w:val="24"/>
          <w:szCs w:val="24"/>
          <w:lang w:val="en"/>
        </w:rPr>
        <w:t xml:space="preserve">Parsons, W 2002, ‘From muddling through to muddling up: Evidence based policy making and the modernization of British government’, </w:t>
      </w:r>
      <w:r w:rsidRPr="00240D66">
        <w:rPr>
          <w:rStyle w:val="pagelast"/>
          <w:rFonts w:asciiTheme="majorBidi" w:hAnsiTheme="majorBidi" w:cstheme="majorBidi"/>
          <w:i/>
          <w:iCs/>
          <w:sz w:val="24"/>
          <w:szCs w:val="24"/>
          <w:lang w:val="en"/>
        </w:rPr>
        <w:t>Public Policy and Administration</w:t>
      </w:r>
      <w:r w:rsidRPr="00240D66">
        <w:rPr>
          <w:rStyle w:val="pagelast"/>
          <w:rFonts w:asciiTheme="majorBidi" w:hAnsiTheme="majorBidi" w:cstheme="majorBidi"/>
          <w:sz w:val="24"/>
          <w:szCs w:val="24"/>
          <w:lang w:val="en"/>
        </w:rPr>
        <w:t xml:space="preserve">, 17(3): 43-60. </w:t>
      </w:r>
    </w:p>
    <w:p w:rsidR="00336E57" w:rsidRPr="00240D66" w:rsidRDefault="00336E57" w:rsidP="00240D66">
      <w:pPr>
        <w:spacing w:line="360" w:lineRule="auto"/>
        <w:rPr>
          <w:rFonts w:asciiTheme="majorBidi" w:hAnsiTheme="majorBidi" w:cstheme="majorBidi"/>
          <w:sz w:val="24"/>
          <w:szCs w:val="24"/>
          <w:lang w:val="en-US"/>
        </w:rPr>
      </w:pPr>
      <w:r w:rsidRPr="00240D66">
        <w:rPr>
          <w:rFonts w:asciiTheme="majorBidi" w:hAnsiTheme="majorBidi" w:cstheme="majorBidi"/>
          <w:sz w:val="24"/>
          <w:szCs w:val="24"/>
          <w:lang w:val="en-US"/>
        </w:rPr>
        <w:t xml:space="preserve">Pollitt C and Talbot C. (2004) </w:t>
      </w:r>
      <w:r w:rsidRPr="00240D66">
        <w:rPr>
          <w:rFonts w:asciiTheme="majorBidi" w:hAnsiTheme="majorBidi" w:cstheme="majorBidi"/>
          <w:i/>
          <w:sz w:val="24"/>
          <w:szCs w:val="24"/>
          <w:lang w:val="en-US"/>
        </w:rPr>
        <w:t>Unbundled government: a critical analysis of the global trend to agencies, quangos and contractualisation</w:t>
      </w:r>
      <w:r w:rsidRPr="00240D66">
        <w:rPr>
          <w:rFonts w:asciiTheme="majorBidi" w:hAnsiTheme="majorBidi" w:cstheme="majorBidi"/>
          <w:sz w:val="24"/>
          <w:szCs w:val="24"/>
          <w:lang w:val="en-US"/>
        </w:rPr>
        <w:t>: Routledge.</w:t>
      </w:r>
    </w:p>
    <w:p w:rsidR="00336E57" w:rsidRPr="00240D66" w:rsidRDefault="00336E57"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Rhodes, RAW. 2014, ‘”Genre Blurring” and Public Administration: What Can We Learn from Ethnography’, </w:t>
      </w:r>
      <w:r w:rsidRPr="00240D66">
        <w:rPr>
          <w:rFonts w:asciiTheme="majorBidi" w:hAnsiTheme="majorBidi" w:cstheme="majorBidi"/>
          <w:i/>
          <w:iCs/>
          <w:sz w:val="24"/>
          <w:szCs w:val="24"/>
        </w:rPr>
        <w:t>Australian Journal of Public Administration</w:t>
      </w:r>
      <w:r w:rsidRPr="00240D66">
        <w:rPr>
          <w:rFonts w:asciiTheme="majorBidi" w:hAnsiTheme="majorBidi" w:cstheme="majorBidi"/>
          <w:sz w:val="24"/>
          <w:szCs w:val="24"/>
        </w:rPr>
        <w:t>, 73 (3): 317-330.</w:t>
      </w:r>
    </w:p>
    <w:p w:rsidR="00A71E3F" w:rsidRPr="00240D66" w:rsidRDefault="00A71E3F"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Roberts, A 2010, </w:t>
      </w:r>
      <w:r w:rsidRPr="00240D66">
        <w:rPr>
          <w:rFonts w:asciiTheme="majorBidi" w:hAnsiTheme="majorBidi" w:cstheme="majorBidi"/>
          <w:i/>
          <w:iCs/>
          <w:sz w:val="24"/>
          <w:szCs w:val="24"/>
        </w:rPr>
        <w:t>The Logic of Discipline, Global Capitalism and the Architecture of Governance</w:t>
      </w:r>
      <w:r w:rsidRPr="00240D66">
        <w:rPr>
          <w:rFonts w:asciiTheme="majorBidi" w:hAnsiTheme="majorBidi" w:cstheme="majorBidi"/>
          <w:sz w:val="24"/>
          <w:szCs w:val="24"/>
        </w:rPr>
        <w:t>, Oxford University Press, Oxford.</w:t>
      </w:r>
    </w:p>
    <w:p w:rsidR="00336E57" w:rsidRPr="00240D66" w:rsidRDefault="000938D7"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Schwartz-Shea, P and Yanow, D. 2012, </w:t>
      </w:r>
      <w:r w:rsidR="00336E57" w:rsidRPr="00240D66">
        <w:rPr>
          <w:rFonts w:asciiTheme="majorBidi" w:hAnsiTheme="majorBidi" w:cstheme="majorBidi"/>
          <w:i/>
          <w:iCs/>
          <w:sz w:val="24"/>
          <w:szCs w:val="24"/>
        </w:rPr>
        <w:t>Interpretive Research Design: Concepts and Processes</w:t>
      </w:r>
      <w:r w:rsidRPr="00240D66">
        <w:rPr>
          <w:rFonts w:asciiTheme="majorBidi" w:hAnsiTheme="majorBidi" w:cstheme="majorBidi"/>
          <w:sz w:val="24"/>
          <w:szCs w:val="24"/>
        </w:rPr>
        <w:t>,</w:t>
      </w:r>
      <w:r w:rsidR="00336E57" w:rsidRPr="00240D66">
        <w:rPr>
          <w:rFonts w:asciiTheme="majorBidi" w:hAnsiTheme="majorBidi" w:cstheme="majorBidi"/>
          <w:sz w:val="24"/>
          <w:szCs w:val="24"/>
        </w:rPr>
        <w:t xml:space="preserve"> New </w:t>
      </w:r>
      <w:r w:rsidRPr="00240D66">
        <w:rPr>
          <w:rFonts w:asciiTheme="majorBidi" w:hAnsiTheme="majorBidi" w:cstheme="majorBidi"/>
          <w:sz w:val="24"/>
          <w:szCs w:val="24"/>
        </w:rPr>
        <w:t>York and London, Routledge.</w:t>
      </w:r>
    </w:p>
    <w:p w:rsidR="00A30D15" w:rsidRPr="00240D66" w:rsidRDefault="00A30D15"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Shapin S. 1992, ‘Discipline and bounding: the history and sociology of science as seen through the externalism-internalism debate’, </w:t>
      </w:r>
      <w:r w:rsidRPr="00240D66">
        <w:rPr>
          <w:rFonts w:asciiTheme="majorBidi" w:hAnsiTheme="majorBidi" w:cstheme="majorBidi"/>
          <w:i/>
          <w:iCs/>
          <w:sz w:val="24"/>
          <w:szCs w:val="24"/>
        </w:rPr>
        <w:t>History of Science</w:t>
      </w:r>
      <w:r w:rsidRPr="00240D66">
        <w:rPr>
          <w:rFonts w:asciiTheme="majorBidi" w:hAnsiTheme="majorBidi" w:cstheme="majorBidi"/>
          <w:sz w:val="24"/>
          <w:szCs w:val="24"/>
        </w:rPr>
        <w:t xml:space="preserve"> 30, 333-69.</w:t>
      </w:r>
    </w:p>
    <w:p w:rsidR="00A30D15" w:rsidRPr="00240D66" w:rsidRDefault="00A30D15"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Sheldon, TA, Cullum, N, Dawson, D et al.</w:t>
      </w:r>
      <w:r w:rsidR="00F8351A" w:rsidRPr="00240D66">
        <w:rPr>
          <w:rFonts w:asciiTheme="majorBidi" w:hAnsiTheme="majorBidi" w:cstheme="majorBidi"/>
          <w:sz w:val="24"/>
          <w:szCs w:val="24"/>
        </w:rPr>
        <w:t xml:space="preserve"> 2004,</w:t>
      </w:r>
      <w:r w:rsidRPr="00240D66">
        <w:rPr>
          <w:rFonts w:asciiTheme="majorBidi" w:hAnsiTheme="majorBidi" w:cstheme="majorBidi"/>
          <w:sz w:val="24"/>
          <w:szCs w:val="24"/>
        </w:rPr>
        <w:t xml:space="preserve"> ‘What's the evidence that NICE guidance has been implemented? Results from a national evaluation using time series analysis, audit of patients' notes, and interviews’</w:t>
      </w:r>
      <w:r w:rsidR="00F8351A" w:rsidRPr="00240D66">
        <w:rPr>
          <w:rFonts w:asciiTheme="majorBidi" w:hAnsiTheme="majorBidi" w:cstheme="majorBidi"/>
          <w:sz w:val="24"/>
          <w:szCs w:val="24"/>
        </w:rPr>
        <w:t xml:space="preserve">, </w:t>
      </w:r>
      <w:r w:rsidR="00F8351A" w:rsidRPr="00240D66">
        <w:rPr>
          <w:rFonts w:asciiTheme="majorBidi" w:hAnsiTheme="majorBidi" w:cstheme="majorBidi"/>
          <w:i/>
          <w:iCs/>
          <w:sz w:val="24"/>
          <w:szCs w:val="24"/>
        </w:rPr>
        <w:t>BMJ</w:t>
      </w:r>
      <w:r w:rsidR="00F8351A" w:rsidRPr="00240D66">
        <w:rPr>
          <w:rFonts w:asciiTheme="majorBidi" w:hAnsiTheme="majorBidi" w:cstheme="majorBidi"/>
          <w:sz w:val="24"/>
          <w:szCs w:val="24"/>
        </w:rPr>
        <w:t>, 329, 999.</w:t>
      </w:r>
    </w:p>
    <w:p w:rsidR="001B1E74" w:rsidRPr="00240D66" w:rsidRDefault="001B1E74"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Tonkiss, K and Skelcher, C 2015. ‘Abolishing the Audit Commission: Framing, Discourse Coalitions and Administrative Reform’, </w:t>
      </w:r>
      <w:r w:rsidRPr="00240D66">
        <w:rPr>
          <w:rFonts w:asciiTheme="majorBidi" w:hAnsiTheme="majorBidi" w:cstheme="majorBidi"/>
          <w:i/>
          <w:iCs/>
          <w:sz w:val="24"/>
          <w:szCs w:val="24"/>
        </w:rPr>
        <w:t>Local Government Studies</w:t>
      </w:r>
      <w:r w:rsidRPr="00240D66">
        <w:rPr>
          <w:rFonts w:asciiTheme="majorBidi" w:hAnsiTheme="majorBidi" w:cstheme="majorBidi"/>
          <w:sz w:val="24"/>
          <w:szCs w:val="24"/>
        </w:rPr>
        <w:t xml:space="preserve">, </w:t>
      </w:r>
      <w:r w:rsidR="00F8351A" w:rsidRPr="00240D66">
        <w:rPr>
          <w:rFonts w:asciiTheme="majorBidi" w:hAnsiTheme="majorBidi" w:cstheme="majorBidi"/>
          <w:sz w:val="24"/>
          <w:szCs w:val="24"/>
        </w:rPr>
        <w:t>41, 861-80</w:t>
      </w:r>
      <w:r w:rsidRPr="00240D66">
        <w:rPr>
          <w:rFonts w:asciiTheme="majorBidi" w:hAnsiTheme="majorBidi" w:cstheme="majorBidi"/>
          <w:sz w:val="24"/>
          <w:szCs w:val="24"/>
        </w:rPr>
        <w:t>.</w:t>
      </w:r>
    </w:p>
    <w:p w:rsidR="00336E57" w:rsidRPr="00240D66" w:rsidRDefault="00636814" w:rsidP="00240D66">
      <w:pPr>
        <w:spacing w:line="360" w:lineRule="auto"/>
        <w:rPr>
          <w:rFonts w:asciiTheme="majorBidi" w:hAnsiTheme="majorBidi" w:cstheme="majorBidi"/>
          <w:sz w:val="24"/>
          <w:szCs w:val="24"/>
          <w:lang w:val="en-US"/>
        </w:rPr>
      </w:pPr>
      <w:r w:rsidRPr="00240D66">
        <w:rPr>
          <w:rFonts w:asciiTheme="majorBidi" w:hAnsiTheme="majorBidi" w:cstheme="majorBidi"/>
          <w:sz w:val="24"/>
          <w:szCs w:val="24"/>
          <w:lang w:val="en-US"/>
        </w:rPr>
        <w:t xml:space="preserve">van Thiel S. </w:t>
      </w:r>
      <w:r w:rsidR="00336E57" w:rsidRPr="00240D66">
        <w:rPr>
          <w:rFonts w:asciiTheme="majorBidi" w:hAnsiTheme="majorBidi" w:cstheme="majorBidi"/>
          <w:sz w:val="24"/>
          <w:szCs w:val="24"/>
          <w:lang w:val="en-US"/>
        </w:rPr>
        <w:t>2012</w:t>
      </w:r>
      <w:r w:rsidR="003E7A2E" w:rsidRPr="00240D66">
        <w:rPr>
          <w:rFonts w:asciiTheme="majorBidi" w:hAnsiTheme="majorBidi" w:cstheme="majorBidi"/>
          <w:sz w:val="24"/>
          <w:szCs w:val="24"/>
          <w:lang w:val="en-US"/>
        </w:rPr>
        <w:t>,</w:t>
      </w:r>
      <w:r w:rsidR="00336E57" w:rsidRPr="00240D66">
        <w:rPr>
          <w:rFonts w:asciiTheme="majorBidi" w:hAnsiTheme="majorBidi" w:cstheme="majorBidi"/>
          <w:sz w:val="24"/>
          <w:szCs w:val="24"/>
          <w:lang w:val="en-US"/>
        </w:rPr>
        <w:t xml:space="preserve"> </w:t>
      </w:r>
      <w:r w:rsidR="003E7A2E" w:rsidRPr="00240D66">
        <w:rPr>
          <w:rFonts w:asciiTheme="majorBidi" w:hAnsiTheme="majorBidi" w:cstheme="majorBidi"/>
          <w:sz w:val="24"/>
          <w:szCs w:val="24"/>
          <w:lang w:val="en-US"/>
        </w:rPr>
        <w:t>‘</w:t>
      </w:r>
      <w:r w:rsidR="00336E57" w:rsidRPr="00240D66">
        <w:rPr>
          <w:rFonts w:asciiTheme="majorBidi" w:hAnsiTheme="majorBidi" w:cstheme="majorBidi"/>
          <w:sz w:val="24"/>
          <w:szCs w:val="24"/>
          <w:lang w:val="en-US"/>
        </w:rPr>
        <w:t>Debate: From trendsetter to laggard? Quango reform in the UK</w:t>
      </w:r>
      <w:r w:rsidR="003E7A2E" w:rsidRPr="00240D66">
        <w:rPr>
          <w:rFonts w:asciiTheme="majorBidi" w:hAnsiTheme="majorBidi" w:cstheme="majorBidi"/>
          <w:sz w:val="24"/>
          <w:szCs w:val="24"/>
          <w:lang w:val="en-US"/>
        </w:rPr>
        <w:t>’</w:t>
      </w:r>
      <w:r w:rsidR="00336E57" w:rsidRPr="00240D66">
        <w:rPr>
          <w:rFonts w:asciiTheme="majorBidi" w:hAnsiTheme="majorBidi" w:cstheme="majorBidi"/>
          <w:sz w:val="24"/>
          <w:szCs w:val="24"/>
          <w:lang w:val="en-US"/>
        </w:rPr>
        <w:t xml:space="preserve">. </w:t>
      </w:r>
      <w:r w:rsidR="00336E57" w:rsidRPr="00240D66">
        <w:rPr>
          <w:rFonts w:asciiTheme="majorBidi" w:hAnsiTheme="majorBidi" w:cstheme="majorBidi"/>
          <w:i/>
          <w:sz w:val="24"/>
          <w:szCs w:val="24"/>
          <w:lang w:val="en-US"/>
        </w:rPr>
        <w:t>Public Money &amp; Management</w:t>
      </w:r>
      <w:r w:rsidR="00336E57" w:rsidRPr="00240D66">
        <w:rPr>
          <w:rFonts w:asciiTheme="majorBidi" w:hAnsiTheme="majorBidi" w:cstheme="majorBidi"/>
          <w:sz w:val="24"/>
          <w:szCs w:val="24"/>
          <w:lang w:val="en-US"/>
        </w:rPr>
        <w:t xml:space="preserve"> 32: 399-400.</w:t>
      </w:r>
    </w:p>
    <w:p w:rsidR="00B0398C" w:rsidRPr="00240D66" w:rsidRDefault="00B0398C"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Verhoest, K., S. </w:t>
      </w:r>
      <w:r w:rsidR="00636814" w:rsidRPr="00240D66">
        <w:rPr>
          <w:rFonts w:asciiTheme="majorBidi" w:hAnsiTheme="majorBidi" w:cstheme="majorBidi"/>
          <w:sz w:val="24"/>
          <w:szCs w:val="24"/>
        </w:rPr>
        <w:t>v</w:t>
      </w:r>
      <w:r w:rsidRPr="00240D66">
        <w:rPr>
          <w:rFonts w:asciiTheme="majorBidi" w:hAnsiTheme="majorBidi" w:cstheme="majorBidi"/>
          <w:sz w:val="24"/>
          <w:szCs w:val="24"/>
        </w:rPr>
        <w:t>an Thiel, G. Bouckaert and P. Lægreid (eds). 201</w:t>
      </w:r>
      <w:r w:rsidR="00636814" w:rsidRPr="00240D66">
        <w:rPr>
          <w:rFonts w:asciiTheme="majorBidi" w:hAnsiTheme="majorBidi" w:cstheme="majorBidi"/>
          <w:sz w:val="24"/>
          <w:szCs w:val="24"/>
        </w:rPr>
        <w:t>2</w:t>
      </w:r>
      <w:r w:rsidRPr="00240D66">
        <w:rPr>
          <w:rFonts w:asciiTheme="majorBidi" w:hAnsiTheme="majorBidi" w:cstheme="majorBidi"/>
          <w:sz w:val="24"/>
          <w:szCs w:val="24"/>
        </w:rPr>
        <w:t xml:space="preserve">. </w:t>
      </w:r>
      <w:r w:rsidRPr="00240D66">
        <w:rPr>
          <w:rFonts w:asciiTheme="majorBidi" w:hAnsiTheme="majorBidi" w:cstheme="majorBidi"/>
          <w:i/>
          <w:iCs/>
          <w:sz w:val="24"/>
          <w:szCs w:val="24"/>
        </w:rPr>
        <w:t>Government Agencies: Practices and Lessons from 30 Countries</w:t>
      </w:r>
      <w:r w:rsidRPr="00240D66">
        <w:rPr>
          <w:rFonts w:asciiTheme="majorBidi" w:hAnsiTheme="majorBidi" w:cstheme="majorBidi"/>
          <w:sz w:val="24"/>
          <w:szCs w:val="24"/>
        </w:rPr>
        <w:t>. Basingstoke: Palgrave Macmillan.</w:t>
      </w:r>
    </w:p>
    <w:p w:rsidR="00627071" w:rsidRPr="00240D66" w:rsidRDefault="00627071" w:rsidP="00240D66">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Wales, C, Harvey, M and Warde, A 2006. ‘Recuperating from BSE: The shifting UK institutional basis for trust in food’, </w:t>
      </w:r>
      <w:r w:rsidRPr="00240D66">
        <w:rPr>
          <w:rFonts w:asciiTheme="majorBidi" w:hAnsiTheme="majorBidi" w:cstheme="majorBidi"/>
          <w:i/>
          <w:iCs/>
          <w:sz w:val="24"/>
          <w:szCs w:val="24"/>
        </w:rPr>
        <w:t>Appetite</w:t>
      </w:r>
      <w:r w:rsidRPr="00240D66">
        <w:rPr>
          <w:rFonts w:asciiTheme="majorBidi" w:hAnsiTheme="majorBidi" w:cstheme="majorBidi"/>
          <w:sz w:val="24"/>
          <w:szCs w:val="24"/>
        </w:rPr>
        <w:t>, 47, 187-195.</w:t>
      </w:r>
    </w:p>
    <w:p w:rsidR="003D4171" w:rsidRPr="00240D66" w:rsidRDefault="00F8351A" w:rsidP="0057117E">
      <w:pPr>
        <w:spacing w:line="360" w:lineRule="auto"/>
        <w:rPr>
          <w:rFonts w:asciiTheme="majorBidi" w:hAnsiTheme="majorBidi" w:cstheme="majorBidi"/>
          <w:sz w:val="24"/>
          <w:szCs w:val="24"/>
        </w:rPr>
      </w:pPr>
      <w:r w:rsidRPr="00240D66">
        <w:rPr>
          <w:rFonts w:asciiTheme="majorBidi" w:hAnsiTheme="majorBidi" w:cstheme="majorBidi"/>
          <w:sz w:val="24"/>
          <w:szCs w:val="24"/>
        </w:rPr>
        <w:t xml:space="preserve">Wood, M 2014, 'Holding Back the Tide: Depoliticisation, Resilience and the Herceptin Post-code Lottery Crisis', </w:t>
      </w:r>
      <w:r w:rsidRPr="00240D66">
        <w:rPr>
          <w:rFonts w:asciiTheme="majorBidi" w:hAnsiTheme="majorBidi" w:cstheme="majorBidi"/>
          <w:i/>
          <w:iCs/>
          <w:sz w:val="24"/>
          <w:szCs w:val="24"/>
        </w:rPr>
        <w:t>British Journal of Politics and International Relations</w:t>
      </w:r>
      <w:r w:rsidRPr="00240D66">
        <w:rPr>
          <w:rFonts w:asciiTheme="majorBidi" w:hAnsiTheme="majorBidi" w:cstheme="majorBidi"/>
          <w:sz w:val="24"/>
          <w:szCs w:val="24"/>
        </w:rPr>
        <w:t>, 17, 644-64.</w:t>
      </w:r>
    </w:p>
    <w:sectPr w:rsidR="003D4171" w:rsidRPr="00240D6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9BF" w:rsidRDefault="003C29BF" w:rsidP="00526C0B">
      <w:pPr>
        <w:spacing w:after="0" w:line="240" w:lineRule="auto"/>
      </w:pPr>
      <w:r>
        <w:separator/>
      </w:r>
    </w:p>
  </w:endnote>
  <w:endnote w:type="continuationSeparator" w:id="0">
    <w:p w:rsidR="003C29BF" w:rsidRDefault="003C29BF" w:rsidP="00526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202151"/>
      <w:docPartObj>
        <w:docPartGallery w:val="Page Numbers (Bottom of Page)"/>
        <w:docPartUnique/>
      </w:docPartObj>
    </w:sdtPr>
    <w:sdtEndPr>
      <w:rPr>
        <w:noProof/>
      </w:rPr>
    </w:sdtEndPr>
    <w:sdtContent>
      <w:p w:rsidR="003C29BF" w:rsidRDefault="003C29BF">
        <w:pPr>
          <w:pStyle w:val="Footer"/>
        </w:pPr>
        <w:r>
          <w:fldChar w:fldCharType="begin"/>
        </w:r>
        <w:r>
          <w:instrText xml:space="preserve"> PAGE   \* MERGEFORMAT </w:instrText>
        </w:r>
        <w:r>
          <w:fldChar w:fldCharType="separate"/>
        </w:r>
        <w:r w:rsidR="004835E1">
          <w:rPr>
            <w:noProof/>
          </w:rPr>
          <w:t>1</w:t>
        </w:r>
        <w:r>
          <w:rPr>
            <w:noProof/>
          </w:rPr>
          <w:fldChar w:fldCharType="end"/>
        </w:r>
      </w:p>
    </w:sdtContent>
  </w:sdt>
  <w:p w:rsidR="003C29BF" w:rsidRDefault="003C29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9BF" w:rsidRDefault="003C29BF" w:rsidP="00526C0B">
      <w:pPr>
        <w:spacing w:after="0" w:line="240" w:lineRule="auto"/>
      </w:pPr>
      <w:r>
        <w:separator/>
      </w:r>
    </w:p>
  </w:footnote>
  <w:footnote w:type="continuationSeparator" w:id="0">
    <w:p w:rsidR="003C29BF" w:rsidRDefault="003C29BF" w:rsidP="00526C0B">
      <w:pPr>
        <w:spacing w:after="0" w:line="240" w:lineRule="auto"/>
      </w:pPr>
      <w:r>
        <w:continuationSeparator/>
      </w:r>
    </w:p>
  </w:footnote>
  <w:footnote w:id="1">
    <w:p w:rsidR="00CF306C" w:rsidRDefault="00CF306C">
      <w:pPr>
        <w:pStyle w:val="FootnoteText"/>
      </w:pPr>
      <w:r>
        <w:rPr>
          <w:rStyle w:val="FootnoteReference"/>
        </w:rPr>
        <w:footnoteRef/>
      </w:r>
      <w:r>
        <w:t xml:space="preserve"> A slightly adapted version of this paper is forthcoming in </w:t>
      </w:r>
      <w:r w:rsidRPr="00CF306C">
        <w:rPr>
          <w:i/>
          <w:iCs/>
        </w:rPr>
        <w:t>Policy &amp; Politics</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6160F"/>
    <w:multiLevelType w:val="hybridMultilevel"/>
    <w:tmpl w:val="8458C1A2"/>
    <w:lvl w:ilvl="0" w:tplc="92CAD3E4">
      <w:numFmt w:val="bullet"/>
      <w:lvlText w:val="-"/>
      <w:lvlJc w:val="left"/>
      <w:pPr>
        <w:ind w:left="720" w:hanging="360"/>
      </w:pPr>
      <w:rPr>
        <w:rFonts w:ascii="Calibri" w:eastAsiaTheme="minorEastAsia" w:hAnsi="Calibri"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4B7D97"/>
    <w:multiLevelType w:val="hybridMultilevel"/>
    <w:tmpl w:val="899A5ABE"/>
    <w:lvl w:ilvl="0" w:tplc="40B0361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E9213A"/>
    <w:multiLevelType w:val="hybridMultilevel"/>
    <w:tmpl w:val="E7740274"/>
    <w:lvl w:ilvl="0" w:tplc="DDF0DCD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C58"/>
    <w:rsid w:val="00007745"/>
    <w:rsid w:val="00020EF1"/>
    <w:rsid w:val="00032615"/>
    <w:rsid w:val="00037851"/>
    <w:rsid w:val="0004294F"/>
    <w:rsid w:val="00060697"/>
    <w:rsid w:val="000938D7"/>
    <w:rsid w:val="000B0861"/>
    <w:rsid w:val="000B0947"/>
    <w:rsid w:val="000C61FD"/>
    <w:rsid w:val="000F053A"/>
    <w:rsid w:val="00113CE3"/>
    <w:rsid w:val="0011519F"/>
    <w:rsid w:val="001264BC"/>
    <w:rsid w:val="00130B3A"/>
    <w:rsid w:val="001319FE"/>
    <w:rsid w:val="001376DC"/>
    <w:rsid w:val="001439B1"/>
    <w:rsid w:val="00146C58"/>
    <w:rsid w:val="00152901"/>
    <w:rsid w:val="0015568B"/>
    <w:rsid w:val="00156E7E"/>
    <w:rsid w:val="001603B3"/>
    <w:rsid w:val="00170085"/>
    <w:rsid w:val="00171936"/>
    <w:rsid w:val="00186E7B"/>
    <w:rsid w:val="00192D3C"/>
    <w:rsid w:val="00196209"/>
    <w:rsid w:val="001A0DD7"/>
    <w:rsid w:val="001A3F28"/>
    <w:rsid w:val="001B15B1"/>
    <w:rsid w:val="001B15D5"/>
    <w:rsid w:val="001B1E74"/>
    <w:rsid w:val="001B55AC"/>
    <w:rsid w:val="001C68F1"/>
    <w:rsid w:val="001D255C"/>
    <w:rsid w:val="001D5892"/>
    <w:rsid w:val="001E236D"/>
    <w:rsid w:val="001E2438"/>
    <w:rsid w:val="001F3FCA"/>
    <w:rsid w:val="001F7700"/>
    <w:rsid w:val="00201CFE"/>
    <w:rsid w:val="00203B1E"/>
    <w:rsid w:val="00205941"/>
    <w:rsid w:val="00207C75"/>
    <w:rsid w:val="00212BE3"/>
    <w:rsid w:val="002174FD"/>
    <w:rsid w:val="002202B9"/>
    <w:rsid w:val="002208E1"/>
    <w:rsid w:val="00221F2A"/>
    <w:rsid w:val="00222D20"/>
    <w:rsid w:val="00223670"/>
    <w:rsid w:val="00224195"/>
    <w:rsid w:val="00225F14"/>
    <w:rsid w:val="002268F0"/>
    <w:rsid w:val="0023366A"/>
    <w:rsid w:val="00235E58"/>
    <w:rsid w:val="002361A0"/>
    <w:rsid w:val="00240D66"/>
    <w:rsid w:val="00242FB3"/>
    <w:rsid w:val="00251DAB"/>
    <w:rsid w:val="00254016"/>
    <w:rsid w:val="00255903"/>
    <w:rsid w:val="0028187C"/>
    <w:rsid w:val="00286D99"/>
    <w:rsid w:val="002A6132"/>
    <w:rsid w:val="002B0948"/>
    <w:rsid w:val="002B20DC"/>
    <w:rsid w:val="002C6383"/>
    <w:rsid w:val="002D04DC"/>
    <w:rsid w:val="002D5DC3"/>
    <w:rsid w:val="002E1D78"/>
    <w:rsid w:val="002E4C2A"/>
    <w:rsid w:val="002E5CFB"/>
    <w:rsid w:val="002E7757"/>
    <w:rsid w:val="00312BDA"/>
    <w:rsid w:val="00315A35"/>
    <w:rsid w:val="0031623B"/>
    <w:rsid w:val="00324035"/>
    <w:rsid w:val="003246A1"/>
    <w:rsid w:val="0033040B"/>
    <w:rsid w:val="003308B4"/>
    <w:rsid w:val="00336E57"/>
    <w:rsid w:val="0035434E"/>
    <w:rsid w:val="0035608A"/>
    <w:rsid w:val="00356C6C"/>
    <w:rsid w:val="0035768F"/>
    <w:rsid w:val="003646FC"/>
    <w:rsid w:val="003A2030"/>
    <w:rsid w:val="003B7FBB"/>
    <w:rsid w:val="003C29BF"/>
    <w:rsid w:val="003D4171"/>
    <w:rsid w:val="003D52D7"/>
    <w:rsid w:val="003E4B04"/>
    <w:rsid w:val="003E7A2E"/>
    <w:rsid w:val="003F0DB0"/>
    <w:rsid w:val="00401CF2"/>
    <w:rsid w:val="00404CAE"/>
    <w:rsid w:val="004058E9"/>
    <w:rsid w:val="004170BF"/>
    <w:rsid w:val="004439C9"/>
    <w:rsid w:val="00443F1F"/>
    <w:rsid w:val="004558F5"/>
    <w:rsid w:val="00460744"/>
    <w:rsid w:val="00464A27"/>
    <w:rsid w:val="0047114A"/>
    <w:rsid w:val="0047469D"/>
    <w:rsid w:val="004835E1"/>
    <w:rsid w:val="00492DE3"/>
    <w:rsid w:val="00493450"/>
    <w:rsid w:val="004A3205"/>
    <w:rsid w:val="004B3F5F"/>
    <w:rsid w:val="004B7B9C"/>
    <w:rsid w:val="004C745C"/>
    <w:rsid w:val="004E2EEE"/>
    <w:rsid w:val="004E6EE7"/>
    <w:rsid w:val="004F1435"/>
    <w:rsid w:val="00502173"/>
    <w:rsid w:val="005044B5"/>
    <w:rsid w:val="005148B9"/>
    <w:rsid w:val="00524247"/>
    <w:rsid w:val="00526C0B"/>
    <w:rsid w:val="00527524"/>
    <w:rsid w:val="00531B1E"/>
    <w:rsid w:val="00535F94"/>
    <w:rsid w:val="00541058"/>
    <w:rsid w:val="00542A75"/>
    <w:rsid w:val="0055250B"/>
    <w:rsid w:val="005526BF"/>
    <w:rsid w:val="005546F6"/>
    <w:rsid w:val="0057117E"/>
    <w:rsid w:val="005730E6"/>
    <w:rsid w:val="00577AC8"/>
    <w:rsid w:val="005865C2"/>
    <w:rsid w:val="0059146A"/>
    <w:rsid w:val="0059164F"/>
    <w:rsid w:val="0059630B"/>
    <w:rsid w:val="005A3B37"/>
    <w:rsid w:val="005A3C51"/>
    <w:rsid w:val="005B215C"/>
    <w:rsid w:val="005B2781"/>
    <w:rsid w:val="005B34D2"/>
    <w:rsid w:val="005B7F02"/>
    <w:rsid w:val="005C48B3"/>
    <w:rsid w:val="005C6D7F"/>
    <w:rsid w:val="005C7FD6"/>
    <w:rsid w:val="005D0FC6"/>
    <w:rsid w:val="005E39B9"/>
    <w:rsid w:val="005E4014"/>
    <w:rsid w:val="005F1A2A"/>
    <w:rsid w:val="005F2EDB"/>
    <w:rsid w:val="00600491"/>
    <w:rsid w:val="00604910"/>
    <w:rsid w:val="006051D7"/>
    <w:rsid w:val="00623036"/>
    <w:rsid w:val="00624148"/>
    <w:rsid w:val="006241A2"/>
    <w:rsid w:val="00624CC2"/>
    <w:rsid w:val="00627071"/>
    <w:rsid w:val="00636814"/>
    <w:rsid w:val="00641DF6"/>
    <w:rsid w:val="0064483E"/>
    <w:rsid w:val="00650B72"/>
    <w:rsid w:val="00655D93"/>
    <w:rsid w:val="00657509"/>
    <w:rsid w:val="006609F4"/>
    <w:rsid w:val="006632AC"/>
    <w:rsid w:val="006A034D"/>
    <w:rsid w:val="006A0E4A"/>
    <w:rsid w:val="006B45F1"/>
    <w:rsid w:val="006C4C69"/>
    <w:rsid w:val="006C6DF7"/>
    <w:rsid w:val="006D0D9F"/>
    <w:rsid w:val="006D3E5F"/>
    <w:rsid w:val="006D48F3"/>
    <w:rsid w:val="006E399C"/>
    <w:rsid w:val="006E43AB"/>
    <w:rsid w:val="006F170B"/>
    <w:rsid w:val="006F4B28"/>
    <w:rsid w:val="006F6A70"/>
    <w:rsid w:val="0070254F"/>
    <w:rsid w:val="00702F7F"/>
    <w:rsid w:val="0073132A"/>
    <w:rsid w:val="00741E06"/>
    <w:rsid w:val="0074384B"/>
    <w:rsid w:val="007447DF"/>
    <w:rsid w:val="00783FA7"/>
    <w:rsid w:val="00784EEA"/>
    <w:rsid w:val="00787831"/>
    <w:rsid w:val="007A4FDC"/>
    <w:rsid w:val="007B25B1"/>
    <w:rsid w:val="007C32C8"/>
    <w:rsid w:val="007C5418"/>
    <w:rsid w:val="007D0205"/>
    <w:rsid w:val="007D7CCD"/>
    <w:rsid w:val="007F3F90"/>
    <w:rsid w:val="00800FFC"/>
    <w:rsid w:val="00806B96"/>
    <w:rsid w:val="0081201E"/>
    <w:rsid w:val="00814DD8"/>
    <w:rsid w:val="00821DCE"/>
    <w:rsid w:val="0083585C"/>
    <w:rsid w:val="008553C8"/>
    <w:rsid w:val="00856917"/>
    <w:rsid w:val="008757F8"/>
    <w:rsid w:val="008809BB"/>
    <w:rsid w:val="008A56F3"/>
    <w:rsid w:val="008C1ECC"/>
    <w:rsid w:val="008D0F71"/>
    <w:rsid w:val="008D272A"/>
    <w:rsid w:val="008E320D"/>
    <w:rsid w:val="008E4BBC"/>
    <w:rsid w:val="008E7BD7"/>
    <w:rsid w:val="008F2BBD"/>
    <w:rsid w:val="009000CD"/>
    <w:rsid w:val="00901987"/>
    <w:rsid w:val="00901E12"/>
    <w:rsid w:val="00902776"/>
    <w:rsid w:val="00911F09"/>
    <w:rsid w:val="00912E7E"/>
    <w:rsid w:val="009273D7"/>
    <w:rsid w:val="009302AB"/>
    <w:rsid w:val="0093374A"/>
    <w:rsid w:val="00965A71"/>
    <w:rsid w:val="00992E3A"/>
    <w:rsid w:val="00997E69"/>
    <w:rsid w:val="009A2545"/>
    <w:rsid w:val="009A7D5B"/>
    <w:rsid w:val="009B01C0"/>
    <w:rsid w:val="009B11C3"/>
    <w:rsid w:val="009B1E7B"/>
    <w:rsid w:val="009C2807"/>
    <w:rsid w:val="009C590F"/>
    <w:rsid w:val="009D226B"/>
    <w:rsid w:val="009D4E91"/>
    <w:rsid w:val="009D6CF5"/>
    <w:rsid w:val="009D6EB2"/>
    <w:rsid w:val="009E6B04"/>
    <w:rsid w:val="009F036D"/>
    <w:rsid w:val="009F1CCA"/>
    <w:rsid w:val="009F2BAD"/>
    <w:rsid w:val="009F48FA"/>
    <w:rsid w:val="00A061E1"/>
    <w:rsid w:val="00A30D15"/>
    <w:rsid w:val="00A30FD2"/>
    <w:rsid w:val="00A46AA2"/>
    <w:rsid w:val="00A53200"/>
    <w:rsid w:val="00A552FF"/>
    <w:rsid w:val="00A64F52"/>
    <w:rsid w:val="00A65BBC"/>
    <w:rsid w:val="00A71E3F"/>
    <w:rsid w:val="00A74C78"/>
    <w:rsid w:val="00A770C5"/>
    <w:rsid w:val="00A82661"/>
    <w:rsid w:val="00A83967"/>
    <w:rsid w:val="00A84040"/>
    <w:rsid w:val="00A8624C"/>
    <w:rsid w:val="00A96638"/>
    <w:rsid w:val="00AA29FE"/>
    <w:rsid w:val="00AA2ED3"/>
    <w:rsid w:val="00AD6F23"/>
    <w:rsid w:val="00AD7EBC"/>
    <w:rsid w:val="00AE02AA"/>
    <w:rsid w:val="00AE1C30"/>
    <w:rsid w:val="00AE638B"/>
    <w:rsid w:val="00AF0DA3"/>
    <w:rsid w:val="00AF2FBA"/>
    <w:rsid w:val="00AF42DB"/>
    <w:rsid w:val="00B0017C"/>
    <w:rsid w:val="00B001CD"/>
    <w:rsid w:val="00B0398C"/>
    <w:rsid w:val="00B0666E"/>
    <w:rsid w:val="00B170B3"/>
    <w:rsid w:val="00B2022F"/>
    <w:rsid w:val="00B2486F"/>
    <w:rsid w:val="00B45816"/>
    <w:rsid w:val="00B548F6"/>
    <w:rsid w:val="00B651D1"/>
    <w:rsid w:val="00B72599"/>
    <w:rsid w:val="00B728CC"/>
    <w:rsid w:val="00B728D2"/>
    <w:rsid w:val="00B824DC"/>
    <w:rsid w:val="00B8751C"/>
    <w:rsid w:val="00BA0BD5"/>
    <w:rsid w:val="00BA1B5D"/>
    <w:rsid w:val="00BA795E"/>
    <w:rsid w:val="00BB741B"/>
    <w:rsid w:val="00BC4035"/>
    <w:rsid w:val="00BC4AED"/>
    <w:rsid w:val="00BD5ECD"/>
    <w:rsid w:val="00BF0D16"/>
    <w:rsid w:val="00BF29F1"/>
    <w:rsid w:val="00C12319"/>
    <w:rsid w:val="00C13D47"/>
    <w:rsid w:val="00C175E1"/>
    <w:rsid w:val="00C27B8A"/>
    <w:rsid w:val="00C31679"/>
    <w:rsid w:val="00C355B5"/>
    <w:rsid w:val="00C41EEC"/>
    <w:rsid w:val="00C4477F"/>
    <w:rsid w:val="00C503C3"/>
    <w:rsid w:val="00C6138A"/>
    <w:rsid w:val="00C85758"/>
    <w:rsid w:val="00C8635A"/>
    <w:rsid w:val="00C93ACD"/>
    <w:rsid w:val="00CC1DED"/>
    <w:rsid w:val="00CE0CFC"/>
    <w:rsid w:val="00CE213D"/>
    <w:rsid w:val="00CE4220"/>
    <w:rsid w:val="00CF306C"/>
    <w:rsid w:val="00D04036"/>
    <w:rsid w:val="00D107A4"/>
    <w:rsid w:val="00D32DDE"/>
    <w:rsid w:val="00D526ED"/>
    <w:rsid w:val="00D539A4"/>
    <w:rsid w:val="00D619A4"/>
    <w:rsid w:val="00D732A2"/>
    <w:rsid w:val="00D76A54"/>
    <w:rsid w:val="00D77382"/>
    <w:rsid w:val="00D87B3E"/>
    <w:rsid w:val="00D92B70"/>
    <w:rsid w:val="00D97368"/>
    <w:rsid w:val="00DA3573"/>
    <w:rsid w:val="00DB3D3E"/>
    <w:rsid w:val="00DB7DDE"/>
    <w:rsid w:val="00DC02DC"/>
    <w:rsid w:val="00DE4B45"/>
    <w:rsid w:val="00DF3BB7"/>
    <w:rsid w:val="00E07C1D"/>
    <w:rsid w:val="00E215B0"/>
    <w:rsid w:val="00E2184E"/>
    <w:rsid w:val="00E23008"/>
    <w:rsid w:val="00E3407D"/>
    <w:rsid w:val="00E41059"/>
    <w:rsid w:val="00E5222D"/>
    <w:rsid w:val="00E63383"/>
    <w:rsid w:val="00E6624D"/>
    <w:rsid w:val="00E70695"/>
    <w:rsid w:val="00E83653"/>
    <w:rsid w:val="00E96D34"/>
    <w:rsid w:val="00EB4A60"/>
    <w:rsid w:val="00EB58BE"/>
    <w:rsid w:val="00EF0BDB"/>
    <w:rsid w:val="00EF1FD1"/>
    <w:rsid w:val="00F03A99"/>
    <w:rsid w:val="00F11148"/>
    <w:rsid w:val="00F12B3B"/>
    <w:rsid w:val="00F17FE4"/>
    <w:rsid w:val="00F35FCE"/>
    <w:rsid w:val="00F3601E"/>
    <w:rsid w:val="00F36BEF"/>
    <w:rsid w:val="00F443AE"/>
    <w:rsid w:val="00F4746E"/>
    <w:rsid w:val="00F5320D"/>
    <w:rsid w:val="00F54768"/>
    <w:rsid w:val="00F74CC1"/>
    <w:rsid w:val="00F8090B"/>
    <w:rsid w:val="00F82FCA"/>
    <w:rsid w:val="00F8351A"/>
    <w:rsid w:val="00F8794E"/>
    <w:rsid w:val="00F957AC"/>
    <w:rsid w:val="00F97E2C"/>
    <w:rsid w:val="00FA1FC9"/>
    <w:rsid w:val="00FB3CA8"/>
    <w:rsid w:val="00FB618A"/>
    <w:rsid w:val="00FD3610"/>
    <w:rsid w:val="00FE3F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50EF73-A83C-470A-AAD1-A4DFE4AD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6B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6B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1C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148B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B9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06B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E1C30"/>
    <w:rPr>
      <w:rFonts w:asciiTheme="majorHAnsi" w:eastAsiaTheme="majorEastAsia" w:hAnsiTheme="majorHAnsi" w:cstheme="majorBidi"/>
      <w:b/>
      <w:bCs/>
      <w:color w:val="4F81BD" w:themeColor="accent1"/>
    </w:rPr>
  </w:style>
  <w:style w:type="character" w:styleId="HTMLCite">
    <w:name w:val="HTML Cite"/>
    <w:basedOn w:val="DefaultParagraphFont"/>
    <w:uiPriority w:val="99"/>
    <w:semiHidden/>
    <w:unhideWhenUsed/>
    <w:rsid w:val="00B0398C"/>
    <w:rPr>
      <w:i/>
      <w:iCs/>
    </w:rPr>
  </w:style>
  <w:style w:type="character" w:customStyle="1" w:styleId="author">
    <w:name w:val="author"/>
    <w:basedOn w:val="DefaultParagraphFont"/>
    <w:rsid w:val="00B0398C"/>
  </w:style>
  <w:style w:type="character" w:customStyle="1" w:styleId="pubyear">
    <w:name w:val="pubyear"/>
    <w:basedOn w:val="DefaultParagraphFont"/>
    <w:rsid w:val="00B0398C"/>
  </w:style>
  <w:style w:type="character" w:customStyle="1" w:styleId="articletitle">
    <w:name w:val="articletitle"/>
    <w:basedOn w:val="DefaultParagraphFont"/>
    <w:rsid w:val="00B0398C"/>
  </w:style>
  <w:style w:type="character" w:customStyle="1" w:styleId="journaltitle">
    <w:name w:val="journaltitle"/>
    <w:basedOn w:val="DefaultParagraphFont"/>
    <w:rsid w:val="00B0398C"/>
  </w:style>
  <w:style w:type="character" w:customStyle="1" w:styleId="vol">
    <w:name w:val="vol"/>
    <w:basedOn w:val="DefaultParagraphFont"/>
    <w:rsid w:val="00B0398C"/>
  </w:style>
  <w:style w:type="character" w:customStyle="1" w:styleId="citedissue">
    <w:name w:val="citedissue"/>
    <w:basedOn w:val="DefaultParagraphFont"/>
    <w:rsid w:val="00B0398C"/>
  </w:style>
  <w:style w:type="character" w:customStyle="1" w:styleId="pagefirst">
    <w:name w:val="pagefirst"/>
    <w:basedOn w:val="DefaultParagraphFont"/>
    <w:rsid w:val="00B0398C"/>
  </w:style>
  <w:style w:type="character" w:customStyle="1" w:styleId="pagelast">
    <w:name w:val="pagelast"/>
    <w:basedOn w:val="DefaultParagraphFont"/>
    <w:rsid w:val="00B0398C"/>
  </w:style>
  <w:style w:type="character" w:customStyle="1" w:styleId="maintitle">
    <w:name w:val="maintitle"/>
    <w:basedOn w:val="DefaultParagraphFont"/>
    <w:rsid w:val="00AA2ED3"/>
  </w:style>
  <w:style w:type="character" w:customStyle="1" w:styleId="reference-text">
    <w:name w:val="reference-text"/>
    <w:basedOn w:val="DefaultParagraphFont"/>
    <w:rsid w:val="005A3C51"/>
  </w:style>
  <w:style w:type="paragraph" w:styleId="BalloonText">
    <w:name w:val="Balloon Text"/>
    <w:basedOn w:val="Normal"/>
    <w:link w:val="BalloonTextChar"/>
    <w:uiPriority w:val="99"/>
    <w:semiHidden/>
    <w:unhideWhenUsed/>
    <w:rsid w:val="006D4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8F3"/>
    <w:rPr>
      <w:rFonts w:ascii="Tahoma" w:hAnsi="Tahoma" w:cs="Tahoma"/>
      <w:sz w:val="16"/>
      <w:szCs w:val="16"/>
    </w:rPr>
  </w:style>
  <w:style w:type="character" w:styleId="CommentReference">
    <w:name w:val="annotation reference"/>
    <w:basedOn w:val="DefaultParagraphFont"/>
    <w:uiPriority w:val="99"/>
    <w:semiHidden/>
    <w:unhideWhenUsed/>
    <w:rsid w:val="001264BC"/>
    <w:rPr>
      <w:sz w:val="16"/>
      <w:szCs w:val="16"/>
    </w:rPr>
  </w:style>
  <w:style w:type="paragraph" w:styleId="CommentText">
    <w:name w:val="annotation text"/>
    <w:basedOn w:val="Normal"/>
    <w:link w:val="CommentTextChar"/>
    <w:uiPriority w:val="99"/>
    <w:semiHidden/>
    <w:unhideWhenUsed/>
    <w:rsid w:val="001264BC"/>
    <w:pPr>
      <w:spacing w:line="240" w:lineRule="auto"/>
    </w:pPr>
    <w:rPr>
      <w:sz w:val="20"/>
      <w:szCs w:val="20"/>
    </w:rPr>
  </w:style>
  <w:style w:type="character" w:customStyle="1" w:styleId="CommentTextChar">
    <w:name w:val="Comment Text Char"/>
    <w:basedOn w:val="DefaultParagraphFont"/>
    <w:link w:val="CommentText"/>
    <w:uiPriority w:val="99"/>
    <w:semiHidden/>
    <w:rsid w:val="001264BC"/>
    <w:rPr>
      <w:sz w:val="20"/>
      <w:szCs w:val="20"/>
    </w:rPr>
  </w:style>
  <w:style w:type="paragraph" w:styleId="CommentSubject">
    <w:name w:val="annotation subject"/>
    <w:basedOn w:val="CommentText"/>
    <w:next w:val="CommentText"/>
    <w:link w:val="CommentSubjectChar"/>
    <w:uiPriority w:val="99"/>
    <w:semiHidden/>
    <w:unhideWhenUsed/>
    <w:rsid w:val="001264BC"/>
    <w:rPr>
      <w:b/>
      <w:bCs/>
    </w:rPr>
  </w:style>
  <w:style w:type="character" w:customStyle="1" w:styleId="CommentSubjectChar">
    <w:name w:val="Comment Subject Char"/>
    <w:basedOn w:val="CommentTextChar"/>
    <w:link w:val="CommentSubject"/>
    <w:uiPriority w:val="99"/>
    <w:semiHidden/>
    <w:rsid w:val="001264BC"/>
    <w:rPr>
      <w:b/>
      <w:bCs/>
      <w:sz w:val="20"/>
      <w:szCs w:val="20"/>
    </w:rPr>
  </w:style>
  <w:style w:type="paragraph" w:styleId="FootnoteText">
    <w:name w:val="footnote text"/>
    <w:basedOn w:val="Normal"/>
    <w:link w:val="FootnoteTextChar"/>
    <w:uiPriority w:val="99"/>
    <w:semiHidden/>
    <w:unhideWhenUsed/>
    <w:rsid w:val="00526C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6C0B"/>
    <w:rPr>
      <w:sz w:val="20"/>
      <w:szCs w:val="20"/>
    </w:rPr>
  </w:style>
  <w:style w:type="character" w:styleId="FootnoteReference">
    <w:name w:val="footnote reference"/>
    <w:basedOn w:val="DefaultParagraphFont"/>
    <w:uiPriority w:val="99"/>
    <w:semiHidden/>
    <w:unhideWhenUsed/>
    <w:rsid w:val="00526C0B"/>
    <w:rPr>
      <w:vertAlign w:val="superscript"/>
    </w:rPr>
  </w:style>
  <w:style w:type="paragraph" w:styleId="Header">
    <w:name w:val="header"/>
    <w:basedOn w:val="Normal"/>
    <w:link w:val="HeaderChar"/>
    <w:uiPriority w:val="99"/>
    <w:unhideWhenUsed/>
    <w:rsid w:val="00E63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383"/>
  </w:style>
  <w:style w:type="paragraph" w:styleId="Footer">
    <w:name w:val="footer"/>
    <w:basedOn w:val="Normal"/>
    <w:link w:val="FooterChar"/>
    <w:uiPriority w:val="99"/>
    <w:unhideWhenUsed/>
    <w:rsid w:val="00E633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383"/>
  </w:style>
  <w:style w:type="character" w:styleId="Hyperlink">
    <w:name w:val="Hyperlink"/>
    <w:basedOn w:val="DefaultParagraphFont"/>
    <w:uiPriority w:val="99"/>
    <w:unhideWhenUsed/>
    <w:rsid w:val="002B20DC"/>
    <w:rPr>
      <w:color w:val="0000FF" w:themeColor="hyperlink"/>
      <w:u w:val="single"/>
    </w:rPr>
  </w:style>
  <w:style w:type="table" w:styleId="TableGrid">
    <w:name w:val="Table Grid"/>
    <w:basedOn w:val="TableNormal"/>
    <w:uiPriority w:val="59"/>
    <w:rsid w:val="0035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3F5F"/>
    <w:pPr>
      <w:ind w:left="720"/>
      <w:contextualSpacing/>
    </w:pPr>
  </w:style>
  <w:style w:type="character" w:customStyle="1" w:styleId="hlfld-contribauthor">
    <w:name w:val="hlfld-contribauthor"/>
    <w:basedOn w:val="DefaultParagraphFont"/>
    <w:rsid w:val="00901E12"/>
  </w:style>
  <w:style w:type="character" w:customStyle="1" w:styleId="apple-converted-space">
    <w:name w:val="apple-converted-space"/>
    <w:basedOn w:val="DefaultParagraphFont"/>
    <w:rsid w:val="00901E12"/>
  </w:style>
  <w:style w:type="character" w:customStyle="1" w:styleId="nlmgiven-names">
    <w:name w:val="nlm_given-names"/>
    <w:basedOn w:val="DefaultParagraphFont"/>
    <w:rsid w:val="00901E12"/>
  </w:style>
  <w:style w:type="character" w:customStyle="1" w:styleId="nlmyear">
    <w:name w:val="nlm_year"/>
    <w:basedOn w:val="DefaultParagraphFont"/>
    <w:rsid w:val="00901E12"/>
  </w:style>
  <w:style w:type="character" w:customStyle="1" w:styleId="nlmpublisher-loc">
    <w:name w:val="nlm_publisher-loc"/>
    <w:basedOn w:val="DefaultParagraphFont"/>
    <w:rsid w:val="00901E12"/>
  </w:style>
  <w:style w:type="character" w:customStyle="1" w:styleId="nlmpublisher-name">
    <w:name w:val="nlm_publisher-name"/>
    <w:basedOn w:val="DefaultParagraphFont"/>
    <w:rsid w:val="00901E12"/>
  </w:style>
  <w:style w:type="character" w:customStyle="1" w:styleId="Heading4Char">
    <w:name w:val="Heading 4 Char"/>
    <w:basedOn w:val="DefaultParagraphFont"/>
    <w:link w:val="Heading4"/>
    <w:uiPriority w:val="9"/>
    <w:semiHidden/>
    <w:rsid w:val="005148B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00799">
      <w:bodyDiv w:val="1"/>
      <w:marLeft w:val="0"/>
      <w:marRight w:val="0"/>
      <w:marTop w:val="0"/>
      <w:marBottom w:val="0"/>
      <w:divBdr>
        <w:top w:val="none" w:sz="0" w:space="0" w:color="auto"/>
        <w:left w:val="none" w:sz="0" w:space="0" w:color="auto"/>
        <w:bottom w:val="none" w:sz="0" w:space="0" w:color="auto"/>
        <w:right w:val="none" w:sz="0" w:space="0" w:color="auto"/>
      </w:divBdr>
    </w:div>
    <w:div w:id="38556661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sChild>
        <w:div w:id="1520390485">
          <w:marLeft w:val="0"/>
          <w:marRight w:val="0"/>
          <w:marTop w:val="0"/>
          <w:marBottom w:val="0"/>
          <w:divBdr>
            <w:top w:val="none" w:sz="0" w:space="0" w:color="auto"/>
            <w:left w:val="none" w:sz="0" w:space="0" w:color="auto"/>
            <w:bottom w:val="none" w:sz="0" w:space="0" w:color="auto"/>
            <w:right w:val="none" w:sz="0" w:space="0" w:color="auto"/>
          </w:divBdr>
        </w:div>
        <w:div w:id="1365251262">
          <w:marLeft w:val="0"/>
          <w:marRight w:val="0"/>
          <w:marTop w:val="0"/>
          <w:marBottom w:val="0"/>
          <w:divBdr>
            <w:top w:val="none" w:sz="0" w:space="0" w:color="auto"/>
            <w:left w:val="none" w:sz="0" w:space="0" w:color="auto"/>
            <w:bottom w:val="none" w:sz="0" w:space="0" w:color="auto"/>
            <w:right w:val="none" w:sz="0" w:space="0" w:color="auto"/>
          </w:divBdr>
        </w:div>
        <w:div w:id="1130365089">
          <w:marLeft w:val="0"/>
          <w:marRight w:val="0"/>
          <w:marTop w:val="0"/>
          <w:marBottom w:val="0"/>
          <w:divBdr>
            <w:top w:val="none" w:sz="0" w:space="0" w:color="auto"/>
            <w:left w:val="none" w:sz="0" w:space="0" w:color="auto"/>
            <w:bottom w:val="none" w:sz="0" w:space="0" w:color="auto"/>
            <w:right w:val="none" w:sz="0" w:space="0" w:color="auto"/>
          </w:divBdr>
        </w:div>
      </w:divsChild>
    </w:div>
    <w:div w:id="733816129">
      <w:bodyDiv w:val="1"/>
      <w:marLeft w:val="0"/>
      <w:marRight w:val="0"/>
      <w:marTop w:val="0"/>
      <w:marBottom w:val="0"/>
      <w:divBdr>
        <w:top w:val="none" w:sz="0" w:space="0" w:color="auto"/>
        <w:left w:val="none" w:sz="0" w:space="0" w:color="auto"/>
        <w:bottom w:val="none" w:sz="0" w:space="0" w:color="auto"/>
        <w:right w:val="none" w:sz="0" w:space="0" w:color="auto"/>
      </w:divBdr>
    </w:div>
    <w:div w:id="859314285">
      <w:bodyDiv w:val="1"/>
      <w:marLeft w:val="0"/>
      <w:marRight w:val="0"/>
      <w:marTop w:val="0"/>
      <w:marBottom w:val="0"/>
      <w:divBdr>
        <w:top w:val="none" w:sz="0" w:space="0" w:color="auto"/>
        <w:left w:val="none" w:sz="0" w:space="0" w:color="auto"/>
        <w:bottom w:val="none" w:sz="0" w:space="0" w:color="auto"/>
        <w:right w:val="none" w:sz="0" w:space="0" w:color="auto"/>
      </w:divBdr>
    </w:div>
    <w:div w:id="1034496650">
      <w:bodyDiv w:val="1"/>
      <w:marLeft w:val="0"/>
      <w:marRight w:val="0"/>
      <w:marTop w:val="0"/>
      <w:marBottom w:val="0"/>
      <w:divBdr>
        <w:top w:val="none" w:sz="0" w:space="0" w:color="auto"/>
        <w:left w:val="none" w:sz="0" w:space="0" w:color="auto"/>
        <w:bottom w:val="none" w:sz="0" w:space="0" w:color="auto"/>
        <w:right w:val="none" w:sz="0" w:space="0" w:color="auto"/>
      </w:divBdr>
      <w:divsChild>
        <w:div w:id="178545616">
          <w:marLeft w:val="0"/>
          <w:marRight w:val="0"/>
          <w:marTop w:val="0"/>
          <w:marBottom w:val="0"/>
          <w:divBdr>
            <w:top w:val="none" w:sz="0" w:space="0" w:color="auto"/>
            <w:left w:val="none" w:sz="0" w:space="0" w:color="auto"/>
            <w:bottom w:val="none" w:sz="0" w:space="0" w:color="auto"/>
            <w:right w:val="none" w:sz="0" w:space="0" w:color="auto"/>
          </w:divBdr>
          <w:divsChild>
            <w:div w:id="805780097">
              <w:marLeft w:val="0"/>
              <w:marRight w:val="0"/>
              <w:marTop w:val="0"/>
              <w:marBottom w:val="0"/>
              <w:divBdr>
                <w:top w:val="none" w:sz="0" w:space="0" w:color="auto"/>
                <w:left w:val="none" w:sz="0" w:space="0" w:color="auto"/>
                <w:bottom w:val="none" w:sz="0" w:space="0" w:color="auto"/>
                <w:right w:val="none" w:sz="0" w:space="0" w:color="auto"/>
              </w:divBdr>
              <w:divsChild>
                <w:div w:id="1176264071">
                  <w:marLeft w:val="0"/>
                  <w:marRight w:val="0"/>
                  <w:marTop w:val="0"/>
                  <w:marBottom w:val="0"/>
                  <w:divBdr>
                    <w:top w:val="none" w:sz="0" w:space="0" w:color="auto"/>
                    <w:left w:val="none" w:sz="0" w:space="0" w:color="auto"/>
                    <w:bottom w:val="none" w:sz="0" w:space="0" w:color="auto"/>
                    <w:right w:val="none" w:sz="0" w:space="0" w:color="auto"/>
                  </w:divBdr>
                  <w:divsChild>
                    <w:div w:id="855731686">
                      <w:marLeft w:val="0"/>
                      <w:marRight w:val="0"/>
                      <w:marTop w:val="0"/>
                      <w:marBottom w:val="0"/>
                      <w:divBdr>
                        <w:top w:val="none" w:sz="0" w:space="0" w:color="auto"/>
                        <w:left w:val="none" w:sz="0" w:space="0" w:color="auto"/>
                        <w:bottom w:val="none" w:sz="0" w:space="0" w:color="auto"/>
                        <w:right w:val="none" w:sz="0" w:space="0" w:color="auto"/>
                      </w:divBdr>
                      <w:divsChild>
                        <w:div w:id="178397388">
                          <w:marLeft w:val="0"/>
                          <w:marRight w:val="0"/>
                          <w:marTop w:val="0"/>
                          <w:marBottom w:val="0"/>
                          <w:divBdr>
                            <w:top w:val="none" w:sz="0" w:space="0" w:color="auto"/>
                            <w:left w:val="none" w:sz="0" w:space="0" w:color="auto"/>
                            <w:bottom w:val="none" w:sz="0" w:space="0" w:color="auto"/>
                            <w:right w:val="none" w:sz="0" w:space="0" w:color="auto"/>
                          </w:divBdr>
                          <w:divsChild>
                            <w:div w:id="1181116700">
                              <w:marLeft w:val="0"/>
                              <w:marRight w:val="0"/>
                              <w:marTop w:val="0"/>
                              <w:marBottom w:val="0"/>
                              <w:divBdr>
                                <w:top w:val="none" w:sz="0" w:space="0" w:color="auto"/>
                                <w:left w:val="none" w:sz="0" w:space="0" w:color="auto"/>
                                <w:bottom w:val="none" w:sz="0" w:space="0" w:color="auto"/>
                                <w:right w:val="none" w:sz="0" w:space="0" w:color="auto"/>
                              </w:divBdr>
                              <w:divsChild>
                                <w:div w:id="1522742191">
                                  <w:marLeft w:val="0"/>
                                  <w:marRight w:val="0"/>
                                  <w:marTop w:val="0"/>
                                  <w:marBottom w:val="0"/>
                                  <w:divBdr>
                                    <w:top w:val="none" w:sz="0" w:space="0" w:color="auto"/>
                                    <w:left w:val="none" w:sz="0" w:space="0" w:color="auto"/>
                                    <w:bottom w:val="none" w:sz="0" w:space="0" w:color="auto"/>
                                    <w:right w:val="none" w:sz="0" w:space="0" w:color="auto"/>
                                  </w:divBdr>
                                  <w:divsChild>
                                    <w:div w:id="1171720805">
                                      <w:marLeft w:val="0"/>
                                      <w:marRight w:val="0"/>
                                      <w:marTop w:val="0"/>
                                      <w:marBottom w:val="0"/>
                                      <w:divBdr>
                                        <w:top w:val="none" w:sz="0" w:space="0" w:color="auto"/>
                                        <w:left w:val="none" w:sz="0" w:space="0" w:color="auto"/>
                                        <w:bottom w:val="none" w:sz="0" w:space="0" w:color="auto"/>
                                        <w:right w:val="none" w:sz="0" w:space="0" w:color="auto"/>
                                      </w:divBdr>
                                      <w:divsChild>
                                        <w:div w:id="1654333974">
                                          <w:marLeft w:val="0"/>
                                          <w:marRight w:val="0"/>
                                          <w:marTop w:val="0"/>
                                          <w:marBottom w:val="0"/>
                                          <w:divBdr>
                                            <w:top w:val="none" w:sz="0" w:space="0" w:color="auto"/>
                                            <w:left w:val="none" w:sz="0" w:space="0" w:color="auto"/>
                                            <w:bottom w:val="none" w:sz="0" w:space="0" w:color="auto"/>
                                            <w:right w:val="none" w:sz="0" w:space="0" w:color="auto"/>
                                          </w:divBdr>
                                          <w:divsChild>
                                            <w:div w:id="91266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5051622">
      <w:bodyDiv w:val="1"/>
      <w:marLeft w:val="0"/>
      <w:marRight w:val="0"/>
      <w:marTop w:val="0"/>
      <w:marBottom w:val="0"/>
      <w:divBdr>
        <w:top w:val="none" w:sz="0" w:space="0" w:color="auto"/>
        <w:left w:val="none" w:sz="0" w:space="0" w:color="auto"/>
        <w:bottom w:val="none" w:sz="0" w:space="0" w:color="auto"/>
        <w:right w:val="none" w:sz="0" w:space="0" w:color="auto"/>
      </w:divBdr>
      <w:divsChild>
        <w:div w:id="1689258206">
          <w:marLeft w:val="0"/>
          <w:marRight w:val="0"/>
          <w:marTop w:val="0"/>
          <w:marBottom w:val="0"/>
          <w:divBdr>
            <w:top w:val="none" w:sz="0" w:space="0" w:color="auto"/>
            <w:left w:val="none" w:sz="0" w:space="0" w:color="auto"/>
            <w:bottom w:val="none" w:sz="0" w:space="0" w:color="auto"/>
            <w:right w:val="none" w:sz="0" w:space="0" w:color="auto"/>
          </w:divBdr>
          <w:divsChild>
            <w:div w:id="1655797030">
              <w:marLeft w:val="0"/>
              <w:marRight w:val="0"/>
              <w:marTop w:val="0"/>
              <w:marBottom w:val="0"/>
              <w:divBdr>
                <w:top w:val="none" w:sz="0" w:space="0" w:color="auto"/>
                <w:left w:val="none" w:sz="0" w:space="0" w:color="auto"/>
                <w:bottom w:val="none" w:sz="0" w:space="0" w:color="auto"/>
                <w:right w:val="none" w:sz="0" w:space="0" w:color="auto"/>
              </w:divBdr>
              <w:divsChild>
                <w:div w:id="1771702740">
                  <w:marLeft w:val="0"/>
                  <w:marRight w:val="0"/>
                  <w:marTop w:val="0"/>
                  <w:marBottom w:val="0"/>
                  <w:divBdr>
                    <w:top w:val="none" w:sz="0" w:space="0" w:color="auto"/>
                    <w:left w:val="none" w:sz="0" w:space="0" w:color="auto"/>
                    <w:bottom w:val="none" w:sz="0" w:space="0" w:color="auto"/>
                    <w:right w:val="none" w:sz="0" w:space="0" w:color="auto"/>
                  </w:divBdr>
                </w:div>
                <w:div w:id="245726078">
                  <w:marLeft w:val="0"/>
                  <w:marRight w:val="0"/>
                  <w:marTop w:val="0"/>
                  <w:marBottom w:val="0"/>
                  <w:divBdr>
                    <w:top w:val="none" w:sz="0" w:space="0" w:color="auto"/>
                    <w:left w:val="none" w:sz="0" w:space="0" w:color="auto"/>
                    <w:bottom w:val="none" w:sz="0" w:space="0" w:color="auto"/>
                    <w:right w:val="none" w:sz="0" w:space="0" w:color="auto"/>
                  </w:divBdr>
                </w:div>
                <w:div w:id="1421872755">
                  <w:marLeft w:val="0"/>
                  <w:marRight w:val="0"/>
                  <w:marTop w:val="0"/>
                  <w:marBottom w:val="0"/>
                  <w:divBdr>
                    <w:top w:val="none" w:sz="0" w:space="0" w:color="auto"/>
                    <w:left w:val="none" w:sz="0" w:space="0" w:color="auto"/>
                    <w:bottom w:val="none" w:sz="0" w:space="0" w:color="auto"/>
                    <w:right w:val="none" w:sz="0" w:space="0" w:color="auto"/>
                  </w:divBdr>
                  <w:divsChild>
                    <w:div w:id="103037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200552">
      <w:bodyDiv w:val="1"/>
      <w:marLeft w:val="0"/>
      <w:marRight w:val="0"/>
      <w:marTop w:val="0"/>
      <w:marBottom w:val="0"/>
      <w:divBdr>
        <w:top w:val="none" w:sz="0" w:space="0" w:color="auto"/>
        <w:left w:val="none" w:sz="0" w:space="0" w:color="auto"/>
        <w:bottom w:val="none" w:sz="0" w:space="0" w:color="auto"/>
        <w:right w:val="none" w:sz="0" w:space="0" w:color="auto"/>
      </w:divBdr>
    </w:div>
    <w:div w:id="1223325056">
      <w:bodyDiv w:val="1"/>
      <w:marLeft w:val="0"/>
      <w:marRight w:val="0"/>
      <w:marTop w:val="0"/>
      <w:marBottom w:val="0"/>
      <w:divBdr>
        <w:top w:val="none" w:sz="0" w:space="0" w:color="auto"/>
        <w:left w:val="none" w:sz="0" w:space="0" w:color="auto"/>
        <w:bottom w:val="none" w:sz="0" w:space="0" w:color="auto"/>
        <w:right w:val="none" w:sz="0" w:space="0" w:color="auto"/>
      </w:divBdr>
    </w:div>
    <w:div w:id="1267927120">
      <w:bodyDiv w:val="1"/>
      <w:marLeft w:val="0"/>
      <w:marRight w:val="0"/>
      <w:marTop w:val="0"/>
      <w:marBottom w:val="0"/>
      <w:divBdr>
        <w:top w:val="none" w:sz="0" w:space="0" w:color="auto"/>
        <w:left w:val="none" w:sz="0" w:space="0" w:color="auto"/>
        <w:bottom w:val="none" w:sz="0" w:space="0" w:color="auto"/>
        <w:right w:val="none" w:sz="0" w:space="0" w:color="auto"/>
      </w:divBdr>
      <w:divsChild>
        <w:div w:id="1627732851">
          <w:marLeft w:val="0"/>
          <w:marRight w:val="0"/>
          <w:marTop w:val="0"/>
          <w:marBottom w:val="0"/>
          <w:divBdr>
            <w:top w:val="none" w:sz="0" w:space="0" w:color="auto"/>
            <w:left w:val="none" w:sz="0" w:space="0" w:color="auto"/>
            <w:bottom w:val="none" w:sz="0" w:space="0" w:color="auto"/>
            <w:right w:val="none" w:sz="0" w:space="0" w:color="auto"/>
          </w:divBdr>
          <w:divsChild>
            <w:div w:id="751512128">
              <w:marLeft w:val="0"/>
              <w:marRight w:val="0"/>
              <w:marTop w:val="0"/>
              <w:marBottom w:val="0"/>
              <w:divBdr>
                <w:top w:val="none" w:sz="0" w:space="0" w:color="auto"/>
                <w:left w:val="none" w:sz="0" w:space="0" w:color="auto"/>
                <w:bottom w:val="none" w:sz="0" w:space="0" w:color="auto"/>
                <w:right w:val="none" w:sz="0" w:space="0" w:color="auto"/>
              </w:divBdr>
              <w:divsChild>
                <w:div w:id="1656452909">
                  <w:marLeft w:val="0"/>
                  <w:marRight w:val="0"/>
                  <w:marTop w:val="0"/>
                  <w:marBottom w:val="0"/>
                  <w:divBdr>
                    <w:top w:val="none" w:sz="0" w:space="0" w:color="auto"/>
                    <w:left w:val="none" w:sz="0" w:space="0" w:color="auto"/>
                    <w:bottom w:val="none" w:sz="0" w:space="0" w:color="auto"/>
                    <w:right w:val="none" w:sz="0" w:space="0" w:color="auto"/>
                  </w:divBdr>
                  <w:divsChild>
                    <w:div w:id="113909981">
                      <w:marLeft w:val="0"/>
                      <w:marRight w:val="0"/>
                      <w:marTop w:val="0"/>
                      <w:marBottom w:val="0"/>
                      <w:divBdr>
                        <w:top w:val="none" w:sz="0" w:space="0" w:color="auto"/>
                        <w:left w:val="none" w:sz="0" w:space="0" w:color="auto"/>
                        <w:bottom w:val="none" w:sz="0" w:space="0" w:color="auto"/>
                        <w:right w:val="none" w:sz="0" w:space="0" w:color="auto"/>
                      </w:divBdr>
                      <w:divsChild>
                        <w:div w:id="1991204984">
                          <w:marLeft w:val="0"/>
                          <w:marRight w:val="0"/>
                          <w:marTop w:val="0"/>
                          <w:marBottom w:val="0"/>
                          <w:divBdr>
                            <w:top w:val="none" w:sz="0" w:space="0" w:color="auto"/>
                            <w:left w:val="none" w:sz="0" w:space="0" w:color="auto"/>
                            <w:bottom w:val="none" w:sz="0" w:space="0" w:color="auto"/>
                            <w:right w:val="none" w:sz="0" w:space="0" w:color="auto"/>
                          </w:divBdr>
                          <w:divsChild>
                            <w:div w:id="1808207175">
                              <w:marLeft w:val="0"/>
                              <w:marRight w:val="0"/>
                              <w:marTop w:val="0"/>
                              <w:marBottom w:val="0"/>
                              <w:divBdr>
                                <w:top w:val="none" w:sz="0" w:space="0" w:color="auto"/>
                                <w:left w:val="none" w:sz="0" w:space="0" w:color="auto"/>
                                <w:bottom w:val="none" w:sz="0" w:space="0" w:color="auto"/>
                                <w:right w:val="none" w:sz="0" w:space="0" w:color="auto"/>
                              </w:divBdr>
                              <w:divsChild>
                                <w:div w:id="122622116">
                                  <w:marLeft w:val="0"/>
                                  <w:marRight w:val="0"/>
                                  <w:marTop w:val="0"/>
                                  <w:marBottom w:val="0"/>
                                  <w:divBdr>
                                    <w:top w:val="none" w:sz="0" w:space="0" w:color="auto"/>
                                    <w:left w:val="none" w:sz="0" w:space="0" w:color="auto"/>
                                    <w:bottom w:val="none" w:sz="0" w:space="0" w:color="auto"/>
                                    <w:right w:val="none" w:sz="0" w:space="0" w:color="auto"/>
                                  </w:divBdr>
                                  <w:divsChild>
                                    <w:div w:id="1174883924">
                                      <w:marLeft w:val="0"/>
                                      <w:marRight w:val="0"/>
                                      <w:marTop w:val="0"/>
                                      <w:marBottom w:val="0"/>
                                      <w:divBdr>
                                        <w:top w:val="none" w:sz="0" w:space="0" w:color="auto"/>
                                        <w:left w:val="none" w:sz="0" w:space="0" w:color="auto"/>
                                        <w:bottom w:val="none" w:sz="0" w:space="0" w:color="auto"/>
                                        <w:right w:val="none" w:sz="0" w:space="0" w:color="auto"/>
                                      </w:divBdr>
                                      <w:divsChild>
                                        <w:div w:id="586960039">
                                          <w:marLeft w:val="0"/>
                                          <w:marRight w:val="0"/>
                                          <w:marTop w:val="0"/>
                                          <w:marBottom w:val="0"/>
                                          <w:divBdr>
                                            <w:top w:val="none" w:sz="0" w:space="0" w:color="auto"/>
                                            <w:left w:val="none" w:sz="0" w:space="0" w:color="auto"/>
                                            <w:bottom w:val="none" w:sz="0" w:space="0" w:color="auto"/>
                                            <w:right w:val="none" w:sz="0" w:space="0" w:color="auto"/>
                                          </w:divBdr>
                                          <w:divsChild>
                                            <w:div w:id="50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195004">
      <w:bodyDiv w:val="1"/>
      <w:marLeft w:val="0"/>
      <w:marRight w:val="0"/>
      <w:marTop w:val="0"/>
      <w:marBottom w:val="0"/>
      <w:divBdr>
        <w:top w:val="none" w:sz="0" w:space="0" w:color="auto"/>
        <w:left w:val="none" w:sz="0" w:space="0" w:color="auto"/>
        <w:bottom w:val="none" w:sz="0" w:space="0" w:color="auto"/>
        <w:right w:val="none" w:sz="0" w:space="0" w:color="auto"/>
      </w:divBdr>
    </w:div>
    <w:div w:id="1309477659">
      <w:bodyDiv w:val="1"/>
      <w:marLeft w:val="0"/>
      <w:marRight w:val="0"/>
      <w:marTop w:val="0"/>
      <w:marBottom w:val="0"/>
      <w:divBdr>
        <w:top w:val="none" w:sz="0" w:space="0" w:color="auto"/>
        <w:left w:val="none" w:sz="0" w:space="0" w:color="auto"/>
        <w:bottom w:val="none" w:sz="0" w:space="0" w:color="auto"/>
        <w:right w:val="none" w:sz="0" w:space="0" w:color="auto"/>
      </w:divBdr>
      <w:divsChild>
        <w:div w:id="983507012">
          <w:marLeft w:val="0"/>
          <w:marRight w:val="0"/>
          <w:marTop w:val="0"/>
          <w:marBottom w:val="0"/>
          <w:divBdr>
            <w:top w:val="none" w:sz="0" w:space="0" w:color="auto"/>
            <w:left w:val="none" w:sz="0" w:space="0" w:color="auto"/>
            <w:bottom w:val="none" w:sz="0" w:space="0" w:color="auto"/>
            <w:right w:val="none" w:sz="0" w:space="0" w:color="auto"/>
          </w:divBdr>
        </w:div>
        <w:div w:id="1353845789">
          <w:marLeft w:val="0"/>
          <w:marRight w:val="0"/>
          <w:marTop w:val="0"/>
          <w:marBottom w:val="0"/>
          <w:divBdr>
            <w:top w:val="none" w:sz="0" w:space="0" w:color="auto"/>
            <w:left w:val="none" w:sz="0" w:space="0" w:color="auto"/>
            <w:bottom w:val="none" w:sz="0" w:space="0" w:color="auto"/>
            <w:right w:val="none" w:sz="0" w:space="0" w:color="auto"/>
          </w:divBdr>
        </w:div>
        <w:div w:id="756052830">
          <w:marLeft w:val="0"/>
          <w:marRight w:val="0"/>
          <w:marTop w:val="0"/>
          <w:marBottom w:val="0"/>
          <w:divBdr>
            <w:top w:val="none" w:sz="0" w:space="0" w:color="auto"/>
            <w:left w:val="none" w:sz="0" w:space="0" w:color="auto"/>
            <w:bottom w:val="none" w:sz="0" w:space="0" w:color="auto"/>
            <w:right w:val="none" w:sz="0" w:space="0" w:color="auto"/>
          </w:divBdr>
        </w:div>
        <w:div w:id="1506095426">
          <w:marLeft w:val="0"/>
          <w:marRight w:val="0"/>
          <w:marTop w:val="0"/>
          <w:marBottom w:val="0"/>
          <w:divBdr>
            <w:top w:val="none" w:sz="0" w:space="0" w:color="auto"/>
            <w:left w:val="none" w:sz="0" w:space="0" w:color="auto"/>
            <w:bottom w:val="none" w:sz="0" w:space="0" w:color="auto"/>
            <w:right w:val="none" w:sz="0" w:space="0" w:color="auto"/>
          </w:divBdr>
          <w:divsChild>
            <w:div w:id="1503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75027">
      <w:bodyDiv w:val="1"/>
      <w:marLeft w:val="0"/>
      <w:marRight w:val="0"/>
      <w:marTop w:val="0"/>
      <w:marBottom w:val="0"/>
      <w:divBdr>
        <w:top w:val="none" w:sz="0" w:space="0" w:color="auto"/>
        <w:left w:val="none" w:sz="0" w:space="0" w:color="auto"/>
        <w:bottom w:val="none" w:sz="0" w:space="0" w:color="auto"/>
        <w:right w:val="none" w:sz="0" w:space="0" w:color="auto"/>
      </w:divBdr>
      <w:divsChild>
        <w:div w:id="1971472632">
          <w:marLeft w:val="0"/>
          <w:marRight w:val="0"/>
          <w:marTop w:val="0"/>
          <w:marBottom w:val="0"/>
          <w:divBdr>
            <w:top w:val="none" w:sz="0" w:space="0" w:color="auto"/>
            <w:left w:val="none" w:sz="0" w:space="0" w:color="auto"/>
            <w:bottom w:val="none" w:sz="0" w:space="0" w:color="auto"/>
            <w:right w:val="none" w:sz="0" w:space="0" w:color="auto"/>
          </w:divBdr>
        </w:div>
        <w:div w:id="1900481473">
          <w:marLeft w:val="0"/>
          <w:marRight w:val="0"/>
          <w:marTop w:val="0"/>
          <w:marBottom w:val="0"/>
          <w:divBdr>
            <w:top w:val="none" w:sz="0" w:space="0" w:color="auto"/>
            <w:left w:val="none" w:sz="0" w:space="0" w:color="auto"/>
            <w:bottom w:val="none" w:sz="0" w:space="0" w:color="auto"/>
            <w:right w:val="none" w:sz="0" w:space="0" w:color="auto"/>
          </w:divBdr>
        </w:div>
      </w:divsChild>
    </w:div>
    <w:div w:id="1931694307">
      <w:bodyDiv w:val="1"/>
      <w:marLeft w:val="0"/>
      <w:marRight w:val="0"/>
      <w:marTop w:val="0"/>
      <w:marBottom w:val="0"/>
      <w:divBdr>
        <w:top w:val="none" w:sz="0" w:space="0" w:color="auto"/>
        <w:left w:val="none" w:sz="0" w:space="0" w:color="auto"/>
        <w:bottom w:val="none" w:sz="0" w:space="0" w:color="auto"/>
        <w:right w:val="none" w:sz="0" w:space="0" w:color="auto"/>
      </w:divBdr>
    </w:div>
    <w:div w:id="1963147920">
      <w:bodyDiv w:val="1"/>
      <w:marLeft w:val="0"/>
      <w:marRight w:val="0"/>
      <w:marTop w:val="0"/>
      <w:marBottom w:val="0"/>
      <w:divBdr>
        <w:top w:val="none" w:sz="0" w:space="0" w:color="auto"/>
        <w:left w:val="none" w:sz="0" w:space="0" w:color="auto"/>
        <w:bottom w:val="none" w:sz="0" w:space="0" w:color="auto"/>
        <w:right w:val="none" w:sz="0" w:space="0" w:color="auto"/>
      </w:divBdr>
      <w:divsChild>
        <w:div w:id="1293368325">
          <w:marLeft w:val="0"/>
          <w:marRight w:val="0"/>
          <w:marTop w:val="0"/>
          <w:marBottom w:val="0"/>
          <w:divBdr>
            <w:top w:val="none" w:sz="0" w:space="0" w:color="auto"/>
            <w:left w:val="none" w:sz="0" w:space="0" w:color="auto"/>
            <w:bottom w:val="none" w:sz="0" w:space="0" w:color="auto"/>
            <w:right w:val="none" w:sz="0" w:space="0" w:color="auto"/>
          </w:divBdr>
        </w:div>
        <w:div w:id="576288692">
          <w:marLeft w:val="0"/>
          <w:marRight w:val="0"/>
          <w:marTop w:val="0"/>
          <w:marBottom w:val="0"/>
          <w:divBdr>
            <w:top w:val="none" w:sz="0" w:space="0" w:color="auto"/>
            <w:left w:val="none" w:sz="0" w:space="0" w:color="auto"/>
            <w:bottom w:val="none" w:sz="0" w:space="0" w:color="auto"/>
            <w:right w:val="none" w:sz="0" w:space="0" w:color="auto"/>
          </w:divBdr>
        </w:div>
        <w:div w:id="1555044070">
          <w:marLeft w:val="0"/>
          <w:marRight w:val="0"/>
          <w:marTop w:val="0"/>
          <w:marBottom w:val="0"/>
          <w:divBdr>
            <w:top w:val="none" w:sz="0" w:space="0" w:color="auto"/>
            <w:left w:val="none" w:sz="0" w:space="0" w:color="auto"/>
            <w:bottom w:val="none" w:sz="0" w:space="0" w:color="auto"/>
            <w:right w:val="none" w:sz="0" w:space="0" w:color="auto"/>
          </w:divBdr>
        </w:div>
        <w:div w:id="548416641">
          <w:marLeft w:val="0"/>
          <w:marRight w:val="0"/>
          <w:marTop w:val="0"/>
          <w:marBottom w:val="0"/>
          <w:divBdr>
            <w:top w:val="none" w:sz="0" w:space="0" w:color="auto"/>
            <w:left w:val="none" w:sz="0" w:space="0" w:color="auto"/>
            <w:bottom w:val="none" w:sz="0" w:space="0" w:color="auto"/>
            <w:right w:val="none" w:sz="0" w:space="0" w:color="auto"/>
          </w:divBdr>
          <w:divsChild>
            <w:div w:id="34776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k/1999/feb/06/davidbrind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cademia.edu/23158794/The_drama_of_bureaucratic_autonomy_a_performative_theory_of_administrative_indepen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596BC-B993-4E44-8474-2F9623CC6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8234</Words>
  <Characters>46938</Characters>
  <Application>Microsoft Office Word</Application>
  <DocSecurity>4</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Boswell J.C.</dc:creator>
  <cp:lastModifiedBy>Whalley T.</cp:lastModifiedBy>
  <cp:revision>2</cp:revision>
  <cp:lastPrinted>2017-02-27T10:59:00Z</cp:lastPrinted>
  <dcterms:created xsi:type="dcterms:W3CDTF">2017-09-08T11:14:00Z</dcterms:created>
  <dcterms:modified xsi:type="dcterms:W3CDTF">2017-09-08T11:14:00Z</dcterms:modified>
</cp:coreProperties>
</file>