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F21F2" w14:textId="77777777" w:rsidR="001E546D" w:rsidRDefault="001E546D" w:rsidP="001E546D">
      <w:pPr>
        <w:spacing w:after="0" w:line="480" w:lineRule="auto"/>
        <w:jc w:val="center"/>
        <w:rPr>
          <w:rFonts w:ascii="Times New Roman" w:hAnsi="Times New Roman" w:cs="Times New Roman"/>
          <w:b/>
          <w:color w:val="000000" w:themeColor="text1"/>
          <w:sz w:val="24"/>
          <w:szCs w:val="24"/>
        </w:rPr>
      </w:pPr>
      <w:bookmarkStart w:id="0" w:name="_GoBack"/>
      <w:bookmarkEnd w:id="0"/>
    </w:p>
    <w:p w14:paraId="4462A547" w14:textId="7636E654" w:rsidR="001E546D" w:rsidRPr="001118C2" w:rsidRDefault="001E546D" w:rsidP="001E546D">
      <w:pPr>
        <w:spacing w:after="0" w:line="480" w:lineRule="auto"/>
        <w:jc w:val="center"/>
        <w:rPr>
          <w:rFonts w:ascii="Times New Roman" w:hAnsi="Times New Roman" w:cs="Times New Roman"/>
          <w:b/>
          <w:color w:val="000000" w:themeColor="text1"/>
        </w:rPr>
      </w:pPr>
      <w:r w:rsidRPr="001118C2">
        <w:rPr>
          <w:rFonts w:ascii="Times New Roman" w:hAnsi="Times New Roman" w:cs="Times New Roman"/>
          <w:b/>
          <w:color w:val="000000" w:themeColor="text1"/>
        </w:rPr>
        <w:t>Environmental Policy, Sustainable Development, Governance Mechanisms and Environmental Performance</w:t>
      </w:r>
    </w:p>
    <w:p w14:paraId="5D48509A" w14:textId="043383C3" w:rsidR="001E546D" w:rsidRPr="001118C2" w:rsidRDefault="001E546D" w:rsidP="001E546D">
      <w:pPr>
        <w:spacing w:line="480" w:lineRule="auto"/>
        <w:jc w:val="center"/>
        <w:rPr>
          <w:rFonts w:ascii="Times New Roman" w:hAnsi="Times New Roman" w:cs="Times New Roman"/>
          <w:b/>
        </w:rPr>
      </w:pPr>
    </w:p>
    <w:p w14:paraId="47527647" w14:textId="77777777" w:rsidR="001E546D" w:rsidRPr="001118C2" w:rsidRDefault="001E546D" w:rsidP="001E546D">
      <w:pPr>
        <w:spacing w:line="480" w:lineRule="auto"/>
        <w:jc w:val="center"/>
        <w:rPr>
          <w:rFonts w:ascii="Times New Roman" w:hAnsi="Times New Roman" w:cs="Times New Roman"/>
          <w:b/>
        </w:rPr>
      </w:pPr>
    </w:p>
    <w:p w14:paraId="3A49080D" w14:textId="77777777" w:rsidR="001E546D" w:rsidRPr="001118C2" w:rsidRDefault="001E546D" w:rsidP="001E546D">
      <w:pPr>
        <w:spacing w:after="0" w:line="240" w:lineRule="auto"/>
        <w:jc w:val="center"/>
        <w:rPr>
          <w:rFonts w:ascii="Times New Roman" w:hAnsi="Times New Roman" w:cs="Times New Roman"/>
        </w:rPr>
      </w:pPr>
      <w:r w:rsidRPr="001118C2">
        <w:rPr>
          <w:rFonts w:ascii="Times New Roman" w:hAnsi="Times New Roman" w:cs="Times New Roman"/>
        </w:rPr>
        <w:t>Faizul Haque</w:t>
      </w:r>
      <w:r w:rsidRPr="001118C2">
        <w:rPr>
          <w:rStyle w:val="FootnoteReference"/>
          <w:rFonts w:ascii="Times New Roman" w:hAnsi="Times New Roman" w:cs="Times New Roman"/>
        </w:rPr>
        <w:footnoteReference w:id="1"/>
      </w:r>
    </w:p>
    <w:p w14:paraId="1EC6A7FA" w14:textId="77777777" w:rsidR="001E546D" w:rsidRPr="001118C2" w:rsidRDefault="001E546D" w:rsidP="001E546D">
      <w:pPr>
        <w:spacing w:after="0" w:line="240" w:lineRule="auto"/>
        <w:jc w:val="center"/>
        <w:rPr>
          <w:rFonts w:ascii="Times New Roman" w:hAnsi="Times New Roman" w:cs="Times New Roman"/>
        </w:rPr>
      </w:pPr>
      <w:r w:rsidRPr="001118C2">
        <w:rPr>
          <w:rFonts w:ascii="Times New Roman" w:hAnsi="Times New Roman" w:cs="Times New Roman"/>
        </w:rPr>
        <w:t>Department of Accountancy, Economics and Finance</w:t>
      </w:r>
    </w:p>
    <w:p w14:paraId="4626DFB6" w14:textId="77777777" w:rsidR="001E546D" w:rsidRPr="001118C2" w:rsidRDefault="001E546D" w:rsidP="001E546D">
      <w:pPr>
        <w:spacing w:after="0" w:line="240" w:lineRule="auto"/>
        <w:jc w:val="center"/>
        <w:rPr>
          <w:rFonts w:ascii="Times New Roman" w:hAnsi="Times New Roman" w:cs="Times New Roman"/>
        </w:rPr>
      </w:pPr>
      <w:r w:rsidRPr="001118C2">
        <w:rPr>
          <w:rFonts w:ascii="Times New Roman" w:hAnsi="Times New Roman" w:cs="Times New Roman"/>
        </w:rPr>
        <w:t xml:space="preserve">Heriot-Watt University </w:t>
      </w:r>
    </w:p>
    <w:p w14:paraId="5C61244E" w14:textId="77777777" w:rsidR="001E546D" w:rsidRPr="001118C2" w:rsidRDefault="001E546D" w:rsidP="001E546D">
      <w:pPr>
        <w:spacing w:after="0" w:line="240" w:lineRule="auto"/>
        <w:jc w:val="center"/>
        <w:rPr>
          <w:rFonts w:ascii="Times New Roman" w:hAnsi="Times New Roman" w:cs="Times New Roman"/>
        </w:rPr>
      </w:pPr>
      <w:r w:rsidRPr="001118C2">
        <w:rPr>
          <w:rFonts w:ascii="Times New Roman" w:hAnsi="Times New Roman" w:cs="Times New Roman"/>
        </w:rPr>
        <w:t>Dubai International Academic City</w:t>
      </w:r>
    </w:p>
    <w:p w14:paraId="15BAA05A" w14:textId="77777777" w:rsidR="001E546D" w:rsidRPr="001118C2" w:rsidRDefault="001E546D" w:rsidP="001E546D">
      <w:pPr>
        <w:spacing w:after="0" w:line="240" w:lineRule="auto"/>
        <w:jc w:val="center"/>
        <w:rPr>
          <w:rFonts w:ascii="Times New Roman" w:hAnsi="Times New Roman" w:cs="Times New Roman"/>
          <w:lang w:val="it-IT"/>
        </w:rPr>
      </w:pPr>
      <w:r w:rsidRPr="001118C2">
        <w:rPr>
          <w:rFonts w:ascii="Times New Roman" w:hAnsi="Times New Roman" w:cs="Times New Roman"/>
          <w:lang w:val="it-IT"/>
        </w:rPr>
        <w:t>PO Box: 294345, Dubai, UAE.</w:t>
      </w:r>
    </w:p>
    <w:p w14:paraId="33A65245" w14:textId="77777777" w:rsidR="001E546D" w:rsidRPr="001118C2" w:rsidRDefault="001E546D" w:rsidP="001E546D">
      <w:pPr>
        <w:spacing w:after="0" w:line="240" w:lineRule="auto"/>
        <w:jc w:val="center"/>
        <w:rPr>
          <w:rFonts w:ascii="Times New Roman" w:hAnsi="Times New Roman" w:cs="Times New Roman"/>
          <w:lang w:val="it-IT"/>
        </w:rPr>
      </w:pPr>
      <w:r w:rsidRPr="001118C2">
        <w:rPr>
          <w:rFonts w:ascii="Times New Roman" w:hAnsi="Times New Roman" w:cs="Times New Roman"/>
          <w:lang w:val="it-IT"/>
        </w:rPr>
        <w:t>Tel: +971 4 4358732</w:t>
      </w:r>
    </w:p>
    <w:p w14:paraId="0EAEF60A" w14:textId="77777777" w:rsidR="001E546D" w:rsidRPr="001118C2" w:rsidRDefault="001E546D" w:rsidP="001E546D">
      <w:pPr>
        <w:spacing w:after="0" w:line="240" w:lineRule="auto"/>
        <w:jc w:val="center"/>
        <w:rPr>
          <w:rFonts w:ascii="Times New Roman" w:hAnsi="Times New Roman" w:cs="Times New Roman"/>
          <w:i/>
          <w:lang w:val="fr-FR"/>
        </w:rPr>
      </w:pPr>
      <w:r w:rsidRPr="001118C2">
        <w:rPr>
          <w:rFonts w:ascii="Times New Roman" w:hAnsi="Times New Roman" w:cs="Times New Roman"/>
          <w:lang w:val="fr-FR"/>
        </w:rPr>
        <w:t xml:space="preserve">Email: </w:t>
      </w:r>
      <w:hyperlink r:id="rId8" w:history="1">
        <w:r w:rsidRPr="001118C2">
          <w:rPr>
            <w:rStyle w:val="Hyperlink"/>
            <w:rFonts w:ascii="Times New Roman" w:hAnsi="Times New Roman" w:cs="Times New Roman"/>
            <w:lang w:val="fr-FR"/>
          </w:rPr>
          <w:t>F.Haque@hw.ac.uk</w:t>
        </w:r>
      </w:hyperlink>
    </w:p>
    <w:p w14:paraId="6921905B" w14:textId="2301C44F" w:rsidR="001E546D" w:rsidRPr="001118C2" w:rsidRDefault="001E546D" w:rsidP="001E546D">
      <w:pPr>
        <w:spacing w:line="480" w:lineRule="auto"/>
        <w:jc w:val="center"/>
        <w:rPr>
          <w:rFonts w:ascii="Times New Roman" w:hAnsi="Times New Roman" w:cs="Times New Roman"/>
          <w:lang w:val="fr-FR"/>
        </w:rPr>
      </w:pPr>
    </w:p>
    <w:p w14:paraId="15D4DA8A" w14:textId="77777777" w:rsidR="001E546D" w:rsidRPr="001118C2" w:rsidRDefault="001E546D" w:rsidP="001E546D">
      <w:pPr>
        <w:spacing w:line="480" w:lineRule="auto"/>
        <w:jc w:val="center"/>
        <w:rPr>
          <w:rFonts w:ascii="Times New Roman" w:hAnsi="Times New Roman" w:cs="Times New Roman"/>
          <w:lang w:val="fr-FR"/>
        </w:rPr>
      </w:pPr>
    </w:p>
    <w:p w14:paraId="47ABF223" w14:textId="77777777" w:rsidR="001E546D" w:rsidRPr="001118C2" w:rsidRDefault="001E546D" w:rsidP="001E546D">
      <w:pPr>
        <w:pStyle w:val="PlainText"/>
        <w:jc w:val="center"/>
        <w:rPr>
          <w:rFonts w:ascii="Times New Roman" w:hAnsi="Times New Roman" w:cs="Times New Roman"/>
          <w:szCs w:val="22"/>
        </w:rPr>
      </w:pPr>
      <w:r w:rsidRPr="001118C2">
        <w:rPr>
          <w:rFonts w:ascii="Times New Roman" w:hAnsi="Times New Roman" w:cs="Times New Roman"/>
          <w:szCs w:val="22"/>
        </w:rPr>
        <w:lastRenderedPageBreak/>
        <w:t>Collins G. Ntim</w:t>
      </w:r>
    </w:p>
    <w:p w14:paraId="2A7504F4" w14:textId="77777777" w:rsidR="001E546D" w:rsidRPr="001118C2" w:rsidRDefault="001E546D" w:rsidP="001E546D">
      <w:pPr>
        <w:pStyle w:val="PlainText"/>
        <w:jc w:val="center"/>
        <w:rPr>
          <w:rFonts w:ascii="Times New Roman" w:hAnsi="Times New Roman" w:cs="Times New Roman"/>
          <w:szCs w:val="22"/>
        </w:rPr>
      </w:pPr>
      <w:r w:rsidRPr="001118C2">
        <w:rPr>
          <w:rFonts w:ascii="Times New Roman" w:hAnsi="Times New Roman" w:cs="Times New Roman"/>
          <w:szCs w:val="22"/>
        </w:rPr>
        <w:t>Centre of Research in Accounting, Accountability and Governance</w:t>
      </w:r>
    </w:p>
    <w:p w14:paraId="664BCF1E" w14:textId="77777777" w:rsidR="001E546D" w:rsidRPr="001118C2" w:rsidRDefault="001E546D" w:rsidP="001E546D">
      <w:pPr>
        <w:pStyle w:val="PlainText"/>
        <w:jc w:val="center"/>
        <w:rPr>
          <w:rFonts w:ascii="Times New Roman" w:hAnsi="Times New Roman" w:cs="Times New Roman"/>
          <w:szCs w:val="22"/>
        </w:rPr>
      </w:pPr>
      <w:r w:rsidRPr="001118C2">
        <w:rPr>
          <w:rFonts w:ascii="Times New Roman" w:hAnsi="Times New Roman" w:cs="Times New Roman"/>
          <w:szCs w:val="22"/>
        </w:rPr>
        <w:t>Department of Accounting</w:t>
      </w:r>
    </w:p>
    <w:p w14:paraId="0555A0DF" w14:textId="77777777" w:rsidR="001E546D" w:rsidRPr="001118C2" w:rsidRDefault="001E546D" w:rsidP="001E546D">
      <w:pPr>
        <w:pStyle w:val="PlainText"/>
        <w:jc w:val="center"/>
        <w:rPr>
          <w:rFonts w:ascii="Times New Roman" w:hAnsi="Times New Roman" w:cs="Times New Roman"/>
          <w:szCs w:val="22"/>
        </w:rPr>
      </w:pPr>
      <w:r w:rsidRPr="001118C2">
        <w:rPr>
          <w:rFonts w:ascii="Times New Roman" w:hAnsi="Times New Roman" w:cs="Times New Roman"/>
          <w:szCs w:val="22"/>
        </w:rPr>
        <w:t>Southampton Business School</w:t>
      </w:r>
    </w:p>
    <w:p w14:paraId="41093EDD" w14:textId="77777777" w:rsidR="001E546D" w:rsidRPr="001118C2" w:rsidRDefault="001E546D" w:rsidP="001E546D">
      <w:pPr>
        <w:pStyle w:val="PlainText"/>
        <w:jc w:val="center"/>
        <w:rPr>
          <w:rFonts w:ascii="Times New Roman" w:hAnsi="Times New Roman" w:cs="Times New Roman"/>
          <w:szCs w:val="22"/>
        </w:rPr>
      </w:pPr>
      <w:r w:rsidRPr="001118C2">
        <w:rPr>
          <w:rFonts w:ascii="Times New Roman" w:hAnsi="Times New Roman" w:cs="Times New Roman"/>
          <w:szCs w:val="22"/>
        </w:rPr>
        <w:t>University of Southampton</w:t>
      </w:r>
    </w:p>
    <w:p w14:paraId="1ABD7270" w14:textId="77777777" w:rsidR="001E546D" w:rsidRPr="001118C2" w:rsidRDefault="001E546D" w:rsidP="001E546D">
      <w:pPr>
        <w:pStyle w:val="PlainText"/>
        <w:jc w:val="center"/>
        <w:rPr>
          <w:rFonts w:ascii="Times New Roman" w:hAnsi="Times New Roman" w:cs="Times New Roman"/>
          <w:szCs w:val="22"/>
        </w:rPr>
      </w:pPr>
      <w:r w:rsidRPr="001118C2">
        <w:rPr>
          <w:rFonts w:ascii="Times New Roman" w:hAnsi="Times New Roman" w:cs="Times New Roman"/>
          <w:szCs w:val="22"/>
        </w:rPr>
        <w:t>Highfield Campus, Southampton, SO17 1BJ</w:t>
      </w:r>
    </w:p>
    <w:p w14:paraId="70DBF778" w14:textId="77777777" w:rsidR="001E546D" w:rsidRPr="001118C2" w:rsidRDefault="001E546D" w:rsidP="001E546D">
      <w:pPr>
        <w:pStyle w:val="PlainText"/>
        <w:jc w:val="center"/>
        <w:rPr>
          <w:rFonts w:ascii="Times New Roman" w:hAnsi="Times New Roman" w:cs="Times New Roman"/>
          <w:szCs w:val="22"/>
        </w:rPr>
      </w:pPr>
      <w:r w:rsidRPr="001118C2">
        <w:rPr>
          <w:rFonts w:ascii="Times New Roman" w:hAnsi="Times New Roman" w:cs="Times New Roman"/>
          <w:szCs w:val="22"/>
        </w:rPr>
        <w:t>Tel:   +44 (0) 238 059 4285; Fax: +44 (0) 238 059 3844</w:t>
      </w:r>
    </w:p>
    <w:p w14:paraId="41B1AD0E" w14:textId="77777777" w:rsidR="001E546D" w:rsidRPr="001118C2" w:rsidRDefault="001E546D" w:rsidP="001E546D">
      <w:pPr>
        <w:pStyle w:val="PlainText"/>
        <w:jc w:val="center"/>
        <w:rPr>
          <w:rFonts w:ascii="Times New Roman" w:hAnsi="Times New Roman" w:cs="Times New Roman"/>
          <w:szCs w:val="22"/>
        </w:rPr>
      </w:pPr>
      <w:r w:rsidRPr="001118C2">
        <w:rPr>
          <w:rFonts w:ascii="Times New Roman" w:hAnsi="Times New Roman" w:cs="Times New Roman"/>
          <w:szCs w:val="22"/>
        </w:rPr>
        <w:t xml:space="preserve">E-mail: </w:t>
      </w:r>
      <w:hyperlink r:id="rId9" w:history="1">
        <w:r w:rsidRPr="001118C2">
          <w:rPr>
            <w:rStyle w:val="Hyperlink"/>
            <w:rFonts w:ascii="Times New Roman" w:hAnsi="Times New Roman" w:cs="Times New Roman"/>
            <w:szCs w:val="22"/>
          </w:rPr>
          <w:t>c.g.ntim@soton.ac.uk</w:t>
        </w:r>
      </w:hyperlink>
    </w:p>
    <w:p w14:paraId="5848D2AB" w14:textId="77777777" w:rsidR="001E546D" w:rsidRPr="001118C2" w:rsidRDefault="001E546D" w:rsidP="001E546D">
      <w:pPr>
        <w:spacing w:line="480" w:lineRule="auto"/>
        <w:jc w:val="both"/>
        <w:rPr>
          <w:rFonts w:ascii="Times New Roman" w:hAnsi="Times New Roman" w:cs="Times New Roman"/>
        </w:rPr>
      </w:pPr>
    </w:p>
    <w:p w14:paraId="4AE806FB" w14:textId="77777777" w:rsidR="001E546D" w:rsidRDefault="001E546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3C068607" w14:textId="2A1A3821" w:rsidR="001270F4" w:rsidRPr="001C7CA6" w:rsidRDefault="00803726" w:rsidP="001C7CA6">
      <w:pPr>
        <w:spacing w:after="0" w:line="480" w:lineRule="auto"/>
        <w:jc w:val="center"/>
        <w:rPr>
          <w:rFonts w:ascii="Times New Roman" w:hAnsi="Times New Roman" w:cs="Times New Roman"/>
          <w:b/>
          <w:color w:val="000000" w:themeColor="text1"/>
          <w:sz w:val="24"/>
          <w:szCs w:val="24"/>
        </w:rPr>
      </w:pPr>
      <w:r w:rsidRPr="001C7CA6">
        <w:rPr>
          <w:rFonts w:ascii="Times New Roman" w:hAnsi="Times New Roman" w:cs="Times New Roman"/>
          <w:b/>
          <w:color w:val="000000" w:themeColor="text1"/>
          <w:sz w:val="24"/>
          <w:szCs w:val="24"/>
        </w:rPr>
        <w:lastRenderedPageBreak/>
        <w:t>Environmental Policy</w:t>
      </w:r>
      <w:r w:rsidR="00922049" w:rsidRPr="001C7CA6">
        <w:rPr>
          <w:rFonts w:ascii="Times New Roman" w:hAnsi="Times New Roman" w:cs="Times New Roman"/>
          <w:b/>
          <w:color w:val="000000" w:themeColor="text1"/>
          <w:sz w:val="24"/>
          <w:szCs w:val="24"/>
        </w:rPr>
        <w:t xml:space="preserve">, </w:t>
      </w:r>
      <w:r w:rsidR="0080564B" w:rsidRPr="001C7CA6">
        <w:rPr>
          <w:rFonts w:ascii="Times New Roman" w:hAnsi="Times New Roman" w:cs="Times New Roman"/>
          <w:b/>
          <w:color w:val="000000" w:themeColor="text1"/>
          <w:sz w:val="24"/>
          <w:szCs w:val="24"/>
        </w:rPr>
        <w:t xml:space="preserve">Sustainable Development, </w:t>
      </w:r>
      <w:r w:rsidRPr="001C7CA6">
        <w:rPr>
          <w:rFonts w:ascii="Times New Roman" w:hAnsi="Times New Roman" w:cs="Times New Roman"/>
          <w:b/>
          <w:color w:val="000000" w:themeColor="text1"/>
          <w:sz w:val="24"/>
          <w:szCs w:val="24"/>
        </w:rPr>
        <w:t>Governance Mechanisms</w:t>
      </w:r>
      <w:r w:rsidR="0080564B" w:rsidRPr="001C7CA6">
        <w:rPr>
          <w:rFonts w:ascii="Times New Roman" w:hAnsi="Times New Roman" w:cs="Times New Roman"/>
          <w:b/>
          <w:color w:val="000000" w:themeColor="text1"/>
          <w:sz w:val="24"/>
          <w:szCs w:val="24"/>
        </w:rPr>
        <w:t xml:space="preserve"> and Environmental Performance</w:t>
      </w:r>
    </w:p>
    <w:p w14:paraId="61508C83" w14:textId="77777777" w:rsidR="001230EE" w:rsidRPr="0014359D" w:rsidRDefault="009F065E" w:rsidP="001270F4">
      <w:pPr>
        <w:spacing w:after="0" w:line="480" w:lineRule="auto"/>
        <w:rPr>
          <w:rFonts w:ascii="Times New Roman" w:hAnsi="Times New Roman" w:cs="Times New Roman"/>
          <w:b/>
          <w:color w:val="000000" w:themeColor="text1"/>
        </w:rPr>
      </w:pPr>
      <w:r w:rsidRPr="009F065E">
        <w:rPr>
          <w:rFonts w:ascii="Times New Roman" w:hAnsi="Times New Roman" w:cs="Times New Roman"/>
          <w:b/>
          <w:color w:val="000000" w:themeColor="text1"/>
        </w:rPr>
        <w:t>Abstract</w:t>
      </w:r>
    </w:p>
    <w:p w14:paraId="6A2B72DA" w14:textId="4D300487" w:rsidR="00C300C6" w:rsidRPr="001C7CA6" w:rsidRDefault="00E82B6C" w:rsidP="001C7CA6">
      <w:pPr>
        <w:spacing w:after="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We investigate </w:t>
      </w:r>
      <w:r w:rsidR="00196C17">
        <w:rPr>
          <w:rFonts w:ascii="Times New Roman" w:hAnsi="Times New Roman" w:cs="Times New Roman"/>
          <w:color w:val="000000" w:themeColor="text1"/>
        </w:rPr>
        <w:t>the effect</w:t>
      </w:r>
      <w:r w:rsidR="001F2FA3">
        <w:rPr>
          <w:rFonts w:ascii="Times New Roman" w:hAnsi="Times New Roman" w:cs="Times New Roman"/>
          <w:color w:val="000000" w:themeColor="text1"/>
        </w:rPr>
        <w:t>s</w:t>
      </w:r>
      <w:r w:rsidR="00196C17">
        <w:rPr>
          <w:rFonts w:ascii="Times New Roman" w:hAnsi="Times New Roman" w:cs="Times New Roman"/>
          <w:color w:val="000000" w:themeColor="text1"/>
        </w:rPr>
        <w:t xml:space="preserve"> of</w:t>
      </w:r>
      <w:r w:rsidR="0080564B">
        <w:rPr>
          <w:rFonts w:ascii="Times New Roman" w:hAnsi="Times New Roman" w:cs="Times New Roman"/>
          <w:color w:val="000000" w:themeColor="text1"/>
        </w:rPr>
        <w:t xml:space="preserve"> </w:t>
      </w:r>
      <w:r w:rsidR="00483C2C">
        <w:rPr>
          <w:rFonts w:ascii="Times New Roman" w:hAnsi="Times New Roman" w:cs="Times New Roman"/>
          <w:color w:val="000000" w:themeColor="text1"/>
        </w:rPr>
        <w:t xml:space="preserve">environmental </w:t>
      </w:r>
      <w:r w:rsidR="00196C17">
        <w:rPr>
          <w:rFonts w:ascii="Times New Roman" w:hAnsi="Times New Roman" w:cs="Times New Roman"/>
          <w:color w:val="000000" w:themeColor="text1"/>
        </w:rPr>
        <w:t>policy</w:t>
      </w:r>
      <w:r w:rsidR="009530EF">
        <w:rPr>
          <w:rFonts w:ascii="Times New Roman" w:hAnsi="Times New Roman" w:cs="Times New Roman"/>
          <w:color w:val="000000" w:themeColor="text1"/>
        </w:rPr>
        <w:t xml:space="preserve"> (</w:t>
      </w:r>
      <w:r w:rsidR="001F2FA3">
        <w:rPr>
          <w:rFonts w:ascii="Times New Roman" w:hAnsi="Times New Roman" w:cs="Times New Roman"/>
          <w:color w:val="000000" w:themeColor="text1"/>
        </w:rPr>
        <w:t xml:space="preserve">Climate Change Act – </w:t>
      </w:r>
      <w:r w:rsidR="001F2FA3" w:rsidRPr="009F065E">
        <w:rPr>
          <w:rFonts w:ascii="Times New Roman" w:hAnsi="Times New Roman" w:cs="Times New Roman"/>
          <w:color w:val="000000" w:themeColor="text1"/>
        </w:rPr>
        <w:t>CCA)</w:t>
      </w:r>
      <w:r w:rsidR="001F2FA3">
        <w:rPr>
          <w:rFonts w:ascii="Times New Roman" w:hAnsi="Times New Roman" w:cs="Times New Roman"/>
          <w:color w:val="000000" w:themeColor="text1"/>
        </w:rPr>
        <w:t>,</w:t>
      </w:r>
      <w:r w:rsidR="00196C17">
        <w:rPr>
          <w:rFonts w:ascii="Times New Roman" w:hAnsi="Times New Roman" w:cs="Times New Roman"/>
          <w:color w:val="000000" w:themeColor="text1"/>
        </w:rPr>
        <w:t xml:space="preserve"> sustainable development</w:t>
      </w:r>
      <w:r w:rsidR="009530EF">
        <w:rPr>
          <w:rFonts w:ascii="Times New Roman" w:hAnsi="Times New Roman" w:cs="Times New Roman"/>
          <w:color w:val="000000" w:themeColor="text1"/>
        </w:rPr>
        <w:t xml:space="preserve"> frameworks</w:t>
      </w:r>
      <w:r w:rsidR="0080564B">
        <w:rPr>
          <w:rFonts w:ascii="Times New Roman" w:hAnsi="Times New Roman" w:cs="Times New Roman"/>
          <w:color w:val="000000" w:themeColor="text1"/>
        </w:rPr>
        <w:t xml:space="preserve"> </w:t>
      </w:r>
      <w:r w:rsidR="001F2FA3">
        <w:rPr>
          <w:rFonts w:ascii="Times New Roman" w:hAnsi="Times New Roman" w:cs="Times New Roman"/>
          <w:color w:val="000000" w:themeColor="text1"/>
        </w:rPr>
        <w:t>(</w:t>
      </w:r>
      <w:r w:rsidR="000B1FDF">
        <w:rPr>
          <w:rFonts w:ascii="Times New Roman" w:hAnsi="Times New Roman" w:cs="Times New Roman"/>
          <w:color w:val="000000" w:themeColor="text1"/>
        </w:rPr>
        <w:t>Global Reporting I</w:t>
      </w:r>
      <w:r w:rsidR="001F2FA3">
        <w:rPr>
          <w:rFonts w:ascii="Times New Roman" w:hAnsi="Times New Roman" w:cs="Times New Roman"/>
          <w:color w:val="000000" w:themeColor="text1"/>
        </w:rPr>
        <w:t>nitiative – GRI</w:t>
      </w:r>
      <w:r w:rsidR="00831CB4">
        <w:rPr>
          <w:rFonts w:ascii="Times New Roman" w:hAnsi="Times New Roman" w:cs="Times New Roman"/>
          <w:color w:val="000000" w:themeColor="text1"/>
        </w:rPr>
        <w:t>; UN</w:t>
      </w:r>
      <w:r w:rsidR="009530EF">
        <w:rPr>
          <w:rFonts w:ascii="Times New Roman" w:hAnsi="Times New Roman" w:cs="Times New Roman"/>
          <w:color w:val="000000" w:themeColor="text1"/>
        </w:rPr>
        <w:t xml:space="preserve"> Global Compact - UNGC</w:t>
      </w:r>
      <w:r w:rsidR="001F2FA3">
        <w:rPr>
          <w:rFonts w:ascii="Times New Roman" w:hAnsi="Times New Roman" w:cs="Times New Roman"/>
          <w:color w:val="000000" w:themeColor="text1"/>
        </w:rPr>
        <w:t xml:space="preserve">) </w:t>
      </w:r>
      <w:r w:rsidR="00196C17">
        <w:rPr>
          <w:rFonts w:ascii="Times New Roman" w:hAnsi="Times New Roman" w:cs="Times New Roman"/>
          <w:color w:val="000000" w:themeColor="text1"/>
        </w:rPr>
        <w:t xml:space="preserve">and </w:t>
      </w:r>
      <w:r w:rsidR="00C64CCD">
        <w:rPr>
          <w:rFonts w:ascii="Times New Roman" w:hAnsi="Times New Roman" w:cs="Times New Roman"/>
          <w:color w:val="000000" w:themeColor="text1"/>
        </w:rPr>
        <w:t xml:space="preserve">corporate </w:t>
      </w:r>
      <w:r w:rsidR="00196C17">
        <w:rPr>
          <w:rFonts w:ascii="Times New Roman" w:hAnsi="Times New Roman" w:cs="Times New Roman"/>
          <w:color w:val="000000" w:themeColor="text1"/>
        </w:rPr>
        <w:t>governance</w:t>
      </w:r>
      <w:r w:rsidR="00C64CCD">
        <w:rPr>
          <w:rFonts w:ascii="Times New Roman" w:hAnsi="Times New Roman" w:cs="Times New Roman"/>
          <w:color w:val="000000" w:themeColor="text1"/>
        </w:rPr>
        <w:t xml:space="preserve"> (CG)</w:t>
      </w:r>
      <w:r w:rsidR="00196C17">
        <w:rPr>
          <w:rFonts w:ascii="Times New Roman" w:hAnsi="Times New Roman" w:cs="Times New Roman"/>
          <w:color w:val="000000" w:themeColor="text1"/>
        </w:rPr>
        <w:t xml:space="preserve"> mechanisms on</w:t>
      </w:r>
      <w:r w:rsidR="0080564B">
        <w:rPr>
          <w:rFonts w:ascii="Times New Roman" w:hAnsi="Times New Roman" w:cs="Times New Roman"/>
          <w:color w:val="000000" w:themeColor="text1"/>
        </w:rPr>
        <w:t xml:space="preserve"> </w:t>
      </w:r>
      <w:r w:rsidR="001A1746">
        <w:rPr>
          <w:rFonts w:ascii="Times New Roman" w:hAnsi="Times New Roman" w:cs="Times New Roman"/>
          <w:color w:val="000000" w:themeColor="text1"/>
        </w:rPr>
        <w:t>environmental performance</w:t>
      </w:r>
      <w:r w:rsidR="00CC4594">
        <w:rPr>
          <w:rFonts w:ascii="Times New Roman" w:hAnsi="Times New Roman" w:cs="Times New Roman"/>
          <w:color w:val="000000" w:themeColor="text1"/>
        </w:rPr>
        <w:t xml:space="preserve"> (Carbon R</w:t>
      </w:r>
      <w:r w:rsidR="001F2FA3">
        <w:rPr>
          <w:rFonts w:ascii="Times New Roman" w:hAnsi="Times New Roman" w:cs="Times New Roman"/>
          <w:color w:val="000000" w:themeColor="text1"/>
        </w:rPr>
        <w:t>e</w:t>
      </w:r>
      <w:r w:rsidR="00CC4594">
        <w:rPr>
          <w:rFonts w:ascii="Times New Roman" w:hAnsi="Times New Roman" w:cs="Times New Roman"/>
          <w:color w:val="000000" w:themeColor="text1"/>
        </w:rPr>
        <w:t>duction I</w:t>
      </w:r>
      <w:r w:rsidR="001F2FA3">
        <w:rPr>
          <w:rFonts w:ascii="Times New Roman" w:hAnsi="Times New Roman" w:cs="Times New Roman"/>
          <w:color w:val="000000" w:themeColor="text1"/>
        </w:rPr>
        <w:t>nitiatives – CRI</w:t>
      </w:r>
      <w:r w:rsidR="007100E9">
        <w:rPr>
          <w:rFonts w:ascii="Times New Roman" w:hAnsi="Times New Roman" w:cs="Times New Roman"/>
          <w:color w:val="000000" w:themeColor="text1"/>
        </w:rPr>
        <w:t>s</w:t>
      </w:r>
      <w:r w:rsidR="00CC4594">
        <w:rPr>
          <w:rFonts w:ascii="Times New Roman" w:hAnsi="Times New Roman" w:cs="Times New Roman"/>
          <w:color w:val="000000" w:themeColor="text1"/>
        </w:rPr>
        <w:t xml:space="preserve"> and Actual Carbon Pe</w:t>
      </w:r>
      <w:r w:rsidR="001F2FA3">
        <w:rPr>
          <w:rFonts w:ascii="Times New Roman" w:hAnsi="Times New Roman" w:cs="Times New Roman"/>
          <w:color w:val="000000" w:themeColor="text1"/>
        </w:rPr>
        <w:t xml:space="preserve">rformance – </w:t>
      </w:r>
      <w:r w:rsidR="001F2FA3" w:rsidRPr="009F065E">
        <w:rPr>
          <w:rFonts w:ascii="Times New Roman" w:hAnsi="Times New Roman" w:cs="Times New Roman"/>
          <w:color w:val="000000" w:themeColor="text1"/>
        </w:rPr>
        <w:t>GHG emissions)</w:t>
      </w:r>
      <w:r w:rsidR="00483C2C">
        <w:rPr>
          <w:rFonts w:ascii="Times New Roman" w:hAnsi="Times New Roman" w:cs="Times New Roman"/>
          <w:color w:val="000000" w:themeColor="text1"/>
        </w:rPr>
        <w:t xml:space="preserve"> </w:t>
      </w:r>
      <w:r w:rsidR="009F065E" w:rsidRPr="009F065E">
        <w:rPr>
          <w:rFonts w:ascii="Times New Roman" w:hAnsi="Times New Roman" w:cs="Times New Roman"/>
          <w:color w:val="000000" w:themeColor="text1"/>
        </w:rPr>
        <w:t xml:space="preserve">of UK listed firms. We use </w:t>
      </w:r>
      <w:r w:rsidR="009F065E" w:rsidRPr="009F065E">
        <w:rPr>
          <w:rFonts w:ascii="Times New Roman" w:hAnsi="Times New Roman" w:cs="Times New Roman"/>
        </w:rPr>
        <w:t>generalised method of moment</w:t>
      </w:r>
      <w:r w:rsidR="00196C17">
        <w:rPr>
          <w:rFonts w:ascii="Times New Roman" w:hAnsi="Times New Roman" w:cs="Times New Roman"/>
        </w:rPr>
        <w:t>s</w:t>
      </w:r>
      <w:r w:rsidR="00831CB4">
        <w:rPr>
          <w:rFonts w:ascii="Times New Roman" w:hAnsi="Times New Roman" w:cs="Times New Roman"/>
        </w:rPr>
        <w:t xml:space="preserve"> (GMM)</w:t>
      </w:r>
      <w:r w:rsidR="00FA3D17">
        <w:rPr>
          <w:rFonts w:ascii="Times New Roman" w:hAnsi="Times New Roman" w:cs="Times New Roman"/>
        </w:rPr>
        <w:t xml:space="preserve"> </w:t>
      </w:r>
      <w:r w:rsidR="009F065E" w:rsidRPr="009F065E">
        <w:rPr>
          <w:rFonts w:ascii="Times New Roman" w:hAnsi="Times New Roman" w:cs="Times New Roman"/>
        </w:rPr>
        <w:t>estimation technique</w:t>
      </w:r>
      <w:r w:rsidR="009F065E" w:rsidRPr="009F065E">
        <w:rPr>
          <w:rFonts w:ascii="Times New Roman" w:hAnsi="Times New Roman" w:cs="Times New Roman"/>
          <w:color w:val="000000" w:themeColor="text1"/>
        </w:rPr>
        <w:t xml:space="preserve"> to analyse data </w:t>
      </w:r>
      <w:r w:rsidR="00521AB1">
        <w:rPr>
          <w:rFonts w:ascii="Times New Roman" w:hAnsi="Times New Roman" w:cs="Times New Roman"/>
          <w:color w:val="000000" w:themeColor="text1"/>
        </w:rPr>
        <w:t xml:space="preserve">consisting of </w:t>
      </w:r>
      <w:r w:rsidR="009F065E" w:rsidRPr="009F065E">
        <w:rPr>
          <w:rFonts w:ascii="Times New Roman" w:hAnsi="Times New Roman" w:cs="Times New Roman"/>
          <w:color w:val="000000" w:themeColor="text1"/>
        </w:rPr>
        <w:t>2,245</w:t>
      </w:r>
      <w:r w:rsidR="00196C17">
        <w:rPr>
          <w:rFonts w:ascii="Times New Roman" w:hAnsi="Times New Roman" w:cs="Times New Roman"/>
          <w:color w:val="000000" w:themeColor="text1"/>
        </w:rPr>
        <w:t xml:space="preserve"> </w:t>
      </w:r>
      <w:r w:rsidR="00521AB1">
        <w:rPr>
          <w:rFonts w:ascii="Times New Roman" w:hAnsi="Times New Roman" w:cs="Times New Roman"/>
          <w:color w:val="000000" w:themeColor="text1"/>
        </w:rPr>
        <w:t xml:space="preserve">UK </w:t>
      </w:r>
      <w:r w:rsidR="009F065E" w:rsidRPr="009F065E">
        <w:rPr>
          <w:rFonts w:ascii="Times New Roman" w:hAnsi="Times New Roman" w:cs="Times New Roman"/>
          <w:color w:val="000000" w:themeColor="text1"/>
        </w:rPr>
        <w:t>firm-year observations</w:t>
      </w:r>
      <w:r w:rsidR="00196C17">
        <w:rPr>
          <w:rFonts w:ascii="Times New Roman" w:hAnsi="Times New Roman" w:cs="Times New Roman"/>
          <w:color w:val="000000" w:themeColor="text1"/>
        </w:rPr>
        <w:t xml:space="preserve"> over</w:t>
      </w:r>
      <w:r w:rsidR="00B14289">
        <w:rPr>
          <w:rFonts w:ascii="Times New Roman" w:hAnsi="Times New Roman" w:cs="Times New Roman"/>
          <w:color w:val="000000" w:themeColor="text1"/>
        </w:rPr>
        <w:t xml:space="preserve"> </w:t>
      </w:r>
      <w:r w:rsidR="000F1244">
        <w:rPr>
          <w:rFonts w:ascii="Times New Roman" w:hAnsi="Times New Roman" w:cs="Times New Roman"/>
          <w:color w:val="000000" w:themeColor="text1"/>
        </w:rPr>
        <w:t>the</w:t>
      </w:r>
      <w:r w:rsidR="009F065E" w:rsidRPr="009F065E">
        <w:rPr>
          <w:rFonts w:ascii="Times New Roman" w:hAnsi="Times New Roman" w:cs="Times New Roman"/>
          <w:color w:val="000000" w:themeColor="text1"/>
        </w:rPr>
        <w:t xml:space="preserve"> 2002</w:t>
      </w:r>
      <w:r w:rsidR="000F1244">
        <w:rPr>
          <w:rFonts w:ascii="Times New Roman" w:hAnsi="Times New Roman" w:cs="Times New Roman"/>
          <w:color w:val="000000" w:themeColor="text1"/>
        </w:rPr>
        <w:t>-</w:t>
      </w:r>
      <w:r w:rsidR="009F065E" w:rsidRPr="009F065E">
        <w:rPr>
          <w:rFonts w:ascii="Times New Roman" w:hAnsi="Times New Roman" w:cs="Times New Roman"/>
          <w:color w:val="000000" w:themeColor="text1"/>
        </w:rPr>
        <w:t>2014</w:t>
      </w:r>
      <w:r w:rsidR="000F1244">
        <w:rPr>
          <w:rFonts w:ascii="Times New Roman" w:hAnsi="Times New Roman" w:cs="Times New Roman"/>
          <w:color w:val="000000" w:themeColor="text1"/>
        </w:rPr>
        <w:t xml:space="preserve"> period</w:t>
      </w:r>
      <w:r w:rsidR="009F065E" w:rsidRPr="009F065E">
        <w:rPr>
          <w:rFonts w:ascii="Times New Roman" w:hAnsi="Times New Roman" w:cs="Times New Roman"/>
          <w:color w:val="000000" w:themeColor="text1"/>
        </w:rPr>
        <w:t xml:space="preserve">. </w:t>
      </w:r>
      <w:r w:rsidR="00CB6910">
        <w:rPr>
          <w:rFonts w:ascii="Times New Roman" w:hAnsi="Times New Roman" w:cs="Times New Roman"/>
          <w:color w:val="000000" w:themeColor="text1"/>
        </w:rPr>
        <w:t>First,</w:t>
      </w:r>
      <w:r w:rsidR="00D818BD" w:rsidRPr="00CB6910">
        <w:rPr>
          <w:rFonts w:ascii="Times New Roman" w:hAnsi="Times New Roman" w:cs="Times New Roman"/>
          <w:color w:val="000000" w:themeColor="text1"/>
        </w:rPr>
        <w:t xml:space="preserve"> </w:t>
      </w:r>
      <w:r w:rsidR="00B92019">
        <w:rPr>
          <w:rFonts w:ascii="Times New Roman" w:hAnsi="Times New Roman" w:cs="Times New Roman"/>
          <w:color w:val="000000" w:themeColor="text1"/>
        </w:rPr>
        <w:t>we find</w:t>
      </w:r>
      <w:r w:rsidR="008952BA" w:rsidRPr="00CB6910">
        <w:rPr>
          <w:rFonts w:ascii="Times New Roman" w:hAnsi="Times New Roman" w:cs="Times New Roman"/>
          <w:color w:val="000000" w:themeColor="text1"/>
        </w:rPr>
        <w:t xml:space="preserve"> </w:t>
      </w:r>
      <w:r w:rsidR="00551B5F" w:rsidRPr="00CB6910">
        <w:rPr>
          <w:rFonts w:ascii="Times New Roman" w:hAnsi="Times New Roman" w:cs="Times New Roman"/>
          <w:color w:val="000000" w:themeColor="text1"/>
        </w:rPr>
        <w:t xml:space="preserve">that </w:t>
      </w:r>
      <w:r w:rsidR="003146B5" w:rsidRPr="00CB6910">
        <w:rPr>
          <w:rFonts w:ascii="Times New Roman" w:hAnsi="Times New Roman" w:cs="Times New Roman"/>
          <w:color w:val="000000" w:themeColor="text1"/>
        </w:rPr>
        <w:t>the CCA</w:t>
      </w:r>
      <w:r w:rsidR="00551B5F" w:rsidRPr="00CB6910">
        <w:rPr>
          <w:rFonts w:ascii="Times New Roman" w:hAnsi="Times New Roman" w:cs="Times New Roman"/>
          <w:color w:val="000000" w:themeColor="text1"/>
        </w:rPr>
        <w:t xml:space="preserve"> has</w:t>
      </w:r>
      <w:r w:rsidR="00CB6515" w:rsidRPr="00CB6910">
        <w:rPr>
          <w:rFonts w:ascii="Times New Roman" w:hAnsi="Times New Roman" w:cs="Times New Roman"/>
          <w:color w:val="000000" w:themeColor="text1"/>
        </w:rPr>
        <w:t xml:space="preserve"> a</w:t>
      </w:r>
      <w:r w:rsidR="00551B5F" w:rsidRPr="00CB6910">
        <w:rPr>
          <w:rFonts w:ascii="Times New Roman" w:hAnsi="Times New Roman" w:cs="Times New Roman"/>
          <w:color w:val="000000" w:themeColor="text1"/>
        </w:rPr>
        <w:t xml:space="preserve"> positive</w:t>
      </w:r>
      <w:r w:rsidR="008A5D6D" w:rsidRPr="00CB6910">
        <w:rPr>
          <w:rFonts w:ascii="Times New Roman" w:hAnsi="Times New Roman" w:cs="Times New Roman"/>
          <w:color w:val="000000" w:themeColor="text1"/>
        </w:rPr>
        <w:t xml:space="preserve"> </w:t>
      </w:r>
      <w:r w:rsidR="00CB6515" w:rsidRPr="00CB6910">
        <w:rPr>
          <w:rFonts w:ascii="Times New Roman" w:hAnsi="Times New Roman" w:cs="Times New Roman"/>
          <w:color w:val="000000" w:themeColor="text1"/>
        </w:rPr>
        <w:t xml:space="preserve">effect on </w:t>
      </w:r>
      <w:r w:rsidR="00551B5F" w:rsidRPr="00CB6910">
        <w:rPr>
          <w:rFonts w:ascii="Times New Roman" w:hAnsi="Times New Roman" w:cs="Times New Roman"/>
          <w:color w:val="000000" w:themeColor="text1"/>
        </w:rPr>
        <w:t>CRI</w:t>
      </w:r>
      <w:r w:rsidR="007100E9">
        <w:rPr>
          <w:rFonts w:ascii="Times New Roman" w:hAnsi="Times New Roman" w:cs="Times New Roman"/>
          <w:color w:val="000000" w:themeColor="text1"/>
        </w:rPr>
        <w:t>s</w:t>
      </w:r>
      <w:r w:rsidR="00CB6515" w:rsidRPr="00CB6910">
        <w:rPr>
          <w:rFonts w:ascii="Times New Roman" w:hAnsi="Times New Roman" w:cs="Times New Roman"/>
          <w:color w:val="000000" w:themeColor="text1"/>
        </w:rPr>
        <w:t>,</w:t>
      </w:r>
      <w:r w:rsidR="00551B5F" w:rsidRPr="00CB6910">
        <w:rPr>
          <w:rFonts w:ascii="Times New Roman" w:hAnsi="Times New Roman" w:cs="Times New Roman"/>
          <w:color w:val="000000" w:themeColor="text1"/>
        </w:rPr>
        <w:t xml:space="preserve"> </w:t>
      </w:r>
      <w:r w:rsidR="008A5D6D" w:rsidRPr="00CB6910">
        <w:rPr>
          <w:rFonts w:ascii="Times New Roman" w:hAnsi="Times New Roman" w:cs="Times New Roman"/>
          <w:color w:val="000000" w:themeColor="text1"/>
        </w:rPr>
        <w:t xml:space="preserve">and </w:t>
      </w:r>
      <w:r w:rsidR="00CB6515" w:rsidRPr="00CB6910">
        <w:rPr>
          <w:rFonts w:ascii="Times New Roman" w:hAnsi="Times New Roman" w:cs="Times New Roman"/>
          <w:color w:val="000000" w:themeColor="text1"/>
        </w:rPr>
        <w:t xml:space="preserve">this effect is </w:t>
      </w:r>
      <w:r w:rsidR="009530EF">
        <w:rPr>
          <w:rFonts w:ascii="Times New Roman" w:hAnsi="Times New Roman" w:cs="Times New Roman"/>
          <w:color w:val="000000" w:themeColor="text1"/>
        </w:rPr>
        <w:t>stronger in better-governed firms</w:t>
      </w:r>
      <w:r w:rsidR="00B20F3D" w:rsidRPr="00CB6910">
        <w:rPr>
          <w:rFonts w:ascii="Times New Roman" w:hAnsi="Times New Roman" w:cs="Times New Roman"/>
          <w:color w:val="000000" w:themeColor="text1"/>
        </w:rPr>
        <w:t xml:space="preserve">. </w:t>
      </w:r>
      <w:r w:rsidR="00CB6910">
        <w:rPr>
          <w:rFonts w:ascii="Times New Roman" w:hAnsi="Times New Roman" w:cs="Times New Roman"/>
          <w:color w:val="000000" w:themeColor="text1"/>
        </w:rPr>
        <w:t>Second</w:t>
      </w:r>
      <w:r w:rsidR="00F520FF" w:rsidRPr="00CB6910">
        <w:rPr>
          <w:rFonts w:ascii="Times New Roman" w:hAnsi="Times New Roman" w:cs="Times New Roman"/>
          <w:color w:val="000000" w:themeColor="text1"/>
        </w:rPr>
        <w:t xml:space="preserve">, </w:t>
      </w:r>
      <w:r w:rsidR="00CB6910">
        <w:rPr>
          <w:rFonts w:ascii="Times New Roman" w:hAnsi="Times New Roman" w:cs="Times New Roman"/>
          <w:color w:val="000000" w:themeColor="text1"/>
        </w:rPr>
        <w:t xml:space="preserve">we find that </w:t>
      </w:r>
      <w:r w:rsidR="006124C4" w:rsidRPr="00CB6910">
        <w:rPr>
          <w:rFonts w:ascii="Times New Roman" w:hAnsi="Times New Roman" w:cs="Times New Roman"/>
          <w:color w:val="000000" w:themeColor="text1"/>
        </w:rPr>
        <w:t xml:space="preserve">the </w:t>
      </w:r>
      <w:r w:rsidR="00C64CCD">
        <w:rPr>
          <w:rFonts w:ascii="Times New Roman" w:hAnsi="Times New Roman" w:cs="Times New Roman"/>
          <w:color w:val="000000" w:themeColor="text1"/>
        </w:rPr>
        <w:t>GRI</w:t>
      </w:r>
      <w:r w:rsidR="00B20F3D" w:rsidRPr="00CB6910">
        <w:rPr>
          <w:rFonts w:ascii="Times New Roman" w:hAnsi="Times New Roman" w:cs="Times New Roman"/>
          <w:color w:val="000000" w:themeColor="text1"/>
        </w:rPr>
        <w:t>-</w:t>
      </w:r>
      <w:r w:rsidR="00CC4594">
        <w:rPr>
          <w:rFonts w:ascii="Times New Roman" w:hAnsi="Times New Roman" w:cs="Times New Roman"/>
          <w:color w:val="000000" w:themeColor="text1"/>
        </w:rPr>
        <w:t xml:space="preserve">based </w:t>
      </w:r>
      <w:r w:rsidR="00A20230">
        <w:rPr>
          <w:rFonts w:ascii="Times New Roman" w:hAnsi="Times New Roman" w:cs="Times New Roman"/>
          <w:color w:val="000000" w:themeColor="text1"/>
        </w:rPr>
        <w:t>framework</w:t>
      </w:r>
      <w:r w:rsidR="00B20F3D" w:rsidRPr="00CB6910">
        <w:rPr>
          <w:rFonts w:ascii="Times New Roman" w:hAnsi="Times New Roman" w:cs="Times New Roman"/>
          <w:color w:val="000000" w:themeColor="text1"/>
        </w:rPr>
        <w:t xml:space="preserve"> </w:t>
      </w:r>
      <w:r w:rsidR="00CC4594">
        <w:rPr>
          <w:rFonts w:ascii="Times New Roman" w:hAnsi="Times New Roman" w:cs="Times New Roman"/>
          <w:color w:val="000000" w:themeColor="text1"/>
        </w:rPr>
        <w:t>is positively</w:t>
      </w:r>
      <w:r w:rsidR="00F520FF" w:rsidRPr="00CB6910">
        <w:rPr>
          <w:rFonts w:ascii="Times New Roman" w:hAnsi="Times New Roman" w:cs="Times New Roman"/>
          <w:color w:val="000000" w:themeColor="text1"/>
        </w:rPr>
        <w:t xml:space="preserve"> associat</w:t>
      </w:r>
      <w:r w:rsidR="00CC4594">
        <w:rPr>
          <w:rFonts w:ascii="Times New Roman" w:hAnsi="Times New Roman" w:cs="Times New Roman"/>
          <w:color w:val="000000" w:themeColor="text1"/>
        </w:rPr>
        <w:t>ed</w:t>
      </w:r>
      <w:r w:rsidR="00F520FF" w:rsidRPr="00CB6910">
        <w:rPr>
          <w:rFonts w:ascii="Times New Roman" w:hAnsi="Times New Roman" w:cs="Times New Roman"/>
          <w:color w:val="000000" w:themeColor="text1"/>
        </w:rPr>
        <w:t xml:space="preserve"> with CRI</w:t>
      </w:r>
      <w:r w:rsidR="00CB071C">
        <w:rPr>
          <w:rFonts w:ascii="Times New Roman" w:hAnsi="Times New Roman" w:cs="Times New Roman"/>
          <w:color w:val="000000" w:themeColor="text1"/>
        </w:rPr>
        <w:t>s</w:t>
      </w:r>
      <w:r w:rsidR="00B20F3D" w:rsidRPr="00CB6910">
        <w:rPr>
          <w:rFonts w:ascii="Times New Roman" w:hAnsi="Times New Roman" w:cs="Times New Roman"/>
          <w:color w:val="000000" w:themeColor="text1"/>
        </w:rPr>
        <w:t xml:space="preserve">. </w:t>
      </w:r>
      <w:r w:rsidR="00CB6910">
        <w:rPr>
          <w:rFonts w:ascii="Times New Roman" w:hAnsi="Times New Roman" w:cs="Times New Roman"/>
          <w:color w:val="000000" w:themeColor="text1"/>
        </w:rPr>
        <w:t>Third</w:t>
      </w:r>
      <w:r w:rsidR="00AF79F8">
        <w:rPr>
          <w:rFonts w:ascii="Times New Roman" w:hAnsi="Times New Roman" w:cs="Times New Roman"/>
          <w:color w:val="000000" w:themeColor="text1"/>
        </w:rPr>
        <w:t>,</w:t>
      </w:r>
      <w:r w:rsidR="00CB6910">
        <w:rPr>
          <w:rFonts w:ascii="Times New Roman" w:hAnsi="Times New Roman" w:cs="Times New Roman"/>
          <w:color w:val="000000" w:themeColor="text1"/>
        </w:rPr>
        <w:t xml:space="preserve"> we find that firms with poor CG structures have lower actual carbon performance compared with </w:t>
      </w:r>
      <w:r w:rsidR="00CB6910">
        <w:rPr>
          <w:rFonts w:ascii="Times New Roman" w:hAnsi="Times New Roman" w:cs="Times New Roman"/>
          <w:color w:val="000000" w:themeColor="text1"/>
        </w:rPr>
        <w:lastRenderedPageBreak/>
        <w:t xml:space="preserve">their better-governed counterparts. </w:t>
      </w:r>
      <w:r w:rsidR="007E6AC5" w:rsidRPr="00CB6910">
        <w:rPr>
          <w:rFonts w:ascii="Times New Roman" w:hAnsi="Times New Roman" w:cs="Times New Roman"/>
          <w:color w:val="000000" w:themeColor="text1"/>
        </w:rPr>
        <w:t>Overall, our evidence su</w:t>
      </w:r>
      <w:r w:rsidR="00366902" w:rsidRPr="00CB6910">
        <w:rPr>
          <w:rFonts w:ascii="Times New Roman" w:hAnsi="Times New Roman" w:cs="Times New Roman"/>
          <w:color w:val="000000" w:themeColor="text1"/>
        </w:rPr>
        <w:t xml:space="preserve">ggests </w:t>
      </w:r>
      <w:r w:rsidR="007E6AC5" w:rsidRPr="00CB6910">
        <w:rPr>
          <w:rFonts w:ascii="Times New Roman" w:hAnsi="Times New Roman" w:cs="Times New Roman"/>
        </w:rPr>
        <w:t xml:space="preserve">that </w:t>
      </w:r>
      <w:r w:rsidR="00AD7E6A" w:rsidRPr="00CB6910">
        <w:rPr>
          <w:rFonts w:ascii="Times New Roman" w:hAnsi="Times New Roman" w:cs="Times New Roman"/>
        </w:rPr>
        <w:t>firms</w:t>
      </w:r>
      <w:r w:rsidR="00196C17">
        <w:rPr>
          <w:rFonts w:ascii="Times New Roman" w:hAnsi="Times New Roman" w:cs="Times New Roman"/>
        </w:rPr>
        <w:t xml:space="preserve"> can</w:t>
      </w:r>
      <w:r w:rsidR="00AD7E6A" w:rsidRPr="00CB6910">
        <w:rPr>
          <w:rFonts w:ascii="Times New Roman" w:hAnsi="Times New Roman" w:cs="Times New Roman"/>
        </w:rPr>
        <w:t xml:space="preserve"> </w:t>
      </w:r>
      <w:r w:rsidR="00FA3D17">
        <w:rPr>
          <w:rFonts w:ascii="Times New Roman" w:hAnsi="Times New Roman" w:cs="Times New Roman"/>
        </w:rPr>
        <w:t xml:space="preserve">symbolically </w:t>
      </w:r>
      <w:r w:rsidR="007E6AC5" w:rsidRPr="00CB6910">
        <w:rPr>
          <w:rFonts w:ascii="Times New Roman" w:hAnsi="Times New Roman" w:cs="Times New Roman"/>
        </w:rPr>
        <w:t xml:space="preserve">conform to </w:t>
      </w:r>
      <w:r w:rsidR="00196C17">
        <w:rPr>
          <w:rFonts w:ascii="Times New Roman" w:hAnsi="Times New Roman" w:cs="Times New Roman"/>
        </w:rPr>
        <w:t>environmental policy</w:t>
      </w:r>
      <w:r w:rsidR="00FA3D17">
        <w:rPr>
          <w:rFonts w:ascii="Times New Roman" w:hAnsi="Times New Roman" w:cs="Times New Roman"/>
        </w:rPr>
        <w:t xml:space="preserve"> (CCA)</w:t>
      </w:r>
      <w:r w:rsidR="00196C17">
        <w:rPr>
          <w:rFonts w:ascii="Times New Roman" w:hAnsi="Times New Roman" w:cs="Times New Roman"/>
        </w:rPr>
        <w:t xml:space="preserve"> </w:t>
      </w:r>
      <w:r w:rsidR="00FA3D17">
        <w:rPr>
          <w:rFonts w:ascii="Times New Roman" w:hAnsi="Times New Roman" w:cs="Times New Roman"/>
        </w:rPr>
        <w:t>and su</w:t>
      </w:r>
      <w:r w:rsidR="009530EF">
        <w:rPr>
          <w:rFonts w:ascii="Times New Roman" w:hAnsi="Times New Roman" w:cs="Times New Roman"/>
        </w:rPr>
        <w:t xml:space="preserve">stainable development frameworks </w:t>
      </w:r>
      <w:r w:rsidR="00FA3D17">
        <w:rPr>
          <w:rFonts w:ascii="Times New Roman" w:hAnsi="Times New Roman" w:cs="Times New Roman"/>
        </w:rPr>
        <w:t>(GRI</w:t>
      </w:r>
      <w:r w:rsidR="009530EF">
        <w:rPr>
          <w:rFonts w:ascii="Times New Roman" w:hAnsi="Times New Roman" w:cs="Times New Roman"/>
        </w:rPr>
        <w:t>, UNGC</w:t>
      </w:r>
      <w:r w:rsidR="00FA3D17">
        <w:rPr>
          <w:rFonts w:ascii="Times New Roman" w:hAnsi="Times New Roman" w:cs="Times New Roman"/>
        </w:rPr>
        <w:t>)</w:t>
      </w:r>
      <w:r w:rsidR="00B92019">
        <w:rPr>
          <w:rFonts w:ascii="Times New Roman" w:hAnsi="Times New Roman" w:cs="Times New Roman"/>
        </w:rPr>
        <w:t xml:space="preserve"> by engaging in CRIs</w:t>
      </w:r>
      <w:r w:rsidR="00FA3D17">
        <w:rPr>
          <w:rFonts w:ascii="Times New Roman" w:hAnsi="Times New Roman" w:cs="Times New Roman"/>
        </w:rPr>
        <w:t xml:space="preserve"> </w:t>
      </w:r>
      <w:r w:rsidR="00196C17">
        <w:rPr>
          <w:rFonts w:ascii="Times New Roman" w:hAnsi="Times New Roman" w:cs="Times New Roman"/>
        </w:rPr>
        <w:t xml:space="preserve">without necessarily improving </w:t>
      </w:r>
      <w:r w:rsidR="000B1FDF">
        <w:rPr>
          <w:rFonts w:ascii="Times New Roman" w:hAnsi="Times New Roman" w:cs="Times New Roman"/>
        </w:rPr>
        <w:t xml:space="preserve">actual </w:t>
      </w:r>
      <w:r w:rsidR="00196C17">
        <w:rPr>
          <w:rFonts w:ascii="Times New Roman" w:hAnsi="Times New Roman" w:cs="Times New Roman"/>
        </w:rPr>
        <w:t>environmental performance</w:t>
      </w:r>
      <w:r w:rsidR="007307D4">
        <w:rPr>
          <w:rFonts w:ascii="Times New Roman" w:hAnsi="Times New Roman" w:cs="Times New Roman"/>
        </w:rPr>
        <w:t xml:space="preserve"> (</w:t>
      </w:r>
      <w:r w:rsidR="00FA3D17">
        <w:rPr>
          <w:rFonts w:ascii="Times New Roman" w:hAnsi="Times New Roman" w:cs="Times New Roman"/>
        </w:rPr>
        <w:t>GHG emissions) substantively</w:t>
      </w:r>
      <w:r w:rsidR="007E6AC5" w:rsidRPr="00CB6910">
        <w:rPr>
          <w:rFonts w:ascii="Times New Roman" w:hAnsi="Times New Roman" w:cs="Times New Roman"/>
          <w:color w:val="000000" w:themeColor="text1"/>
        </w:rPr>
        <w:t>.</w:t>
      </w:r>
    </w:p>
    <w:p w14:paraId="1FE1F94D" w14:textId="77777777" w:rsidR="007E6AC5" w:rsidRPr="00CB6910" w:rsidRDefault="007E6AC5" w:rsidP="001C7CA6">
      <w:pPr>
        <w:spacing w:after="0" w:line="360" w:lineRule="auto"/>
        <w:jc w:val="both"/>
        <w:rPr>
          <w:rFonts w:ascii="Times New Roman" w:hAnsi="Times New Roman" w:cs="Times New Roman"/>
          <w:color w:val="000000" w:themeColor="text1"/>
        </w:rPr>
      </w:pPr>
    </w:p>
    <w:p w14:paraId="3B25CC39" w14:textId="10920772" w:rsidR="00E962F5" w:rsidRPr="00CB6910" w:rsidRDefault="00E962F5" w:rsidP="001C7CA6">
      <w:pPr>
        <w:spacing w:after="0" w:line="360" w:lineRule="auto"/>
        <w:jc w:val="both"/>
        <w:rPr>
          <w:rFonts w:ascii="Times New Roman" w:hAnsi="Times New Roman" w:cs="Times New Roman"/>
          <w:color w:val="000000" w:themeColor="text1"/>
        </w:rPr>
      </w:pPr>
      <w:r w:rsidRPr="009E0525">
        <w:rPr>
          <w:rFonts w:ascii="Times New Roman" w:hAnsi="Times New Roman" w:cs="Times New Roman"/>
          <w:b/>
          <w:bCs/>
          <w:i/>
          <w:iCs/>
          <w:color w:val="000000" w:themeColor="text1"/>
        </w:rPr>
        <w:t>Keywords</w:t>
      </w:r>
      <w:r w:rsidRPr="00CB6910">
        <w:rPr>
          <w:rFonts w:ascii="Times New Roman" w:hAnsi="Times New Roman" w:cs="Times New Roman"/>
          <w:color w:val="000000" w:themeColor="text1"/>
        </w:rPr>
        <w:t>:</w:t>
      </w:r>
      <w:r w:rsidR="00E43689">
        <w:rPr>
          <w:rFonts w:ascii="Times New Roman" w:hAnsi="Times New Roman" w:cs="Times New Roman"/>
          <w:color w:val="000000" w:themeColor="text1"/>
        </w:rPr>
        <w:t xml:space="preserve"> Environmental policy</w:t>
      </w:r>
      <w:r w:rsidR="00E3662D" w:rsidRPr="00CB6910">
        <w:rPr>
          <w:rFonts w:ascii="Times New Roman" w:hAnsi="Times New Roman" w:cs="Times New Roman"/>
          <w:color w:val="000000" w:themeColor="text1"/>
        </w:rPr>
        <w:t xml:space="preserve">, </w:t>
      </w:r>
      <w:r w:rsidR="00205618">
        <w:rPr>
          <w:rFonts w:ascii="Times New Roman" w:hAnsi="Times New Roman" w:cs="Times New Roman"/>
          <w:color w:val="000000" w:themeColor="text1"/>
        </w:rPr>
        <w:t xml:space="preserve">climate change act and </w:t>
      </w:r>
      <w:r w:rsidR="00205618" w:rsidRPr="00CB6910">
        <w:rPr>
          <w:rFonts w:ascii="Times New Roman" w:hAnsi="Times New Roman" w:cs="Times New Roman"/>
          <w:color w:val="000000" w:themeColor="text1"/>
        </w:rPr>
        <w:t>GHG emissions,</w:t>
      </w:r>
      <w:r w:rsidR="00205618">
        <w:rPr>
          <w:rFonts w:ascii="Times New Roman" w:hAnsi="Times New Roman" w:cs="Times New Roman"/>
          <w:color w:val="000000" w:themeColor="text1"/>
        </w:rPr>
        <w:t xml:space="preserve"> s</w:t>
      </w:r>
      <w:r w:rsidR="00E43689">
        <w:rPr>
          <w:rFonts w:ascii="Times New Roman" w:hAnsi="Times New Roman" w:cs="Times New Roman"/>
          <w:color w:val="000000" w:themeColor="text1"/>
        </w:rPr>
        <w:t>ustainable development</w:t>
      </w:r>
      <w:r w:rsidR="00205618">
        <w:rPr>
          <w:rFonts w:ascii="Times New Roman" w:hAnsi="Times New Roman" w:cs="Times New Roman"/>
          <w:color w:val="000000" w:themeColor="text1"/>
        </w:rPr>
        <w:t xml:space="preserve"> and global reporting initiative</w:t>
      </w:r>
      <w:r w:rsidR="00E43689">
        <w:rPr>
          <w:rFonts w:ascii="Times New Roman" w:hAnsi="Times New Roman" w:cs="Times New Roman"/>
          <w:color w:val="000000" w:themeColor="text1"/>
        </w:rPr>
        <w:t xml:space="preserve">, stakeholder engagement, </w:t>
      </w:r>
      <w:r w:rsidR="00F5426B" w:rsidRPr="00CB6910">
        <w:rPr>
          <w:rFonts w:ascii="Times New Roman" w:hAnsi="Times New Roman" w:cs="Times New Roman"/>
          <w:color w:val="000000" w:themeColor="text1"/>
        </w:rPr>
        <w:t xml:space="preserve">corporate governance, </w:t>
      </w:r>
      <w:r w:rsidR="00C12174" w:rsidRPr="00CB6910">
        <w:rPr>
          <w:rFonts w:ascii="Times New Roman" w:hAnsi="Times New Roman" w:cs="Times New Roman"/>
          <w:color w:val="000000" w:themeColor="text1"/>
        </w:rPr>
        <w:t xml:space="preserve">institutional theory </w:t>
      </w:r>
      <w:r w:rsidR="008C150C" w:rsidRPr="00CB6910">
        <w:rPr>
          <w:rFonts w:ascii="Times New Roman" w:hAnsi="Times New Roman" w:cs="Times New Roman"/>
          <w:color w:val="000000" w:themeColor="text1"/>
        </w:rPr>
        <w:t xml:space="preserve"> </w:t>
      </w:r>
    </w:p>
    <w:p w14:paraId="34188AF6" w14:textId="77777777" w:rsidR="001230EE" w:rsidRPr="00CB6910" w:rsidRDefault="001230EE" w:rsidP="00CB6910">
      <w:pPr>
        <w:spacing w:after="0" w:line="480" w:lineRule="auto"/>
        <w:jc w:val="both"/>
        <w:rPr>
          <w:rFonts w:ascii="Times New Roman" w:hAnsi="Times New Roman" w:cs="Times New Roman"/>
          <w:color w:val="000000" w:themeColor="text1"/>
        </w:rPr>
      </w:pPr>
    </w:p>
    <w:p w14:paraId="2C97DA8E" w14:textId="77777777" w:rsidR="00A823FC" w:rsidRDefault="00A823FC" w:rsidP="00CB6910">
      <w:pPr>
        <w:spacing w:after="0" w:line="480" w:lineRule="auto"/>
        <w:jc w:val="both"/>
        <w:rPr>
          <w:rFonts w:ascii="Times New Roman" w:hAnsi="Times New Roman" w:cs="Times New Roman"/>
          <w:color w:val="000000" w:themeColor="text1"/>
        </w:rPr>
      </w:pPr>
    </w:p>
    <w:p w14:paraId="58A85599" w14:textId="77777777" w:rsidR="00F3353D" w:rsidRDefault="00F3353D">
      <w:pPr>
        <w:rPr>
          <w:rFonts w:ascii="Times New Roman" w:hAnsi="Times New Roman" w:cs="Times New Roman"/>
          <w:b/>
          <w:color w:val="000000" w:themeColor="text1"/>
        </w:rPr>
      </w:pPr>
      <w:r>
        <w:rPr>
          <w:rFonts w:ascii="Times New Roman" w:hAnsi="Times New Roman" w:cs="Times New Roman"/>
          <w:b/>
          <w:color w:val="000000" w:themeColor="text1"/>
        </w:rPr>
        <w:br w:type="page"/>
      </w:r>
    </w:p>
    <w:p w14:paraId="4CE8AA85" w14:textId="77777777" w:rsidR="00B47E9B" w:rsidRPr="00CB6910" w:rsidRDefault="00B47E9B" w:rsidP="00CB6910">
      <w:pPr>
        <w:pStyle w:val="ListParagraph"/>
        <w:numPr>
          <w:ilvl w:val="0"/>
          <w:numId w:val="1"/>
        </w:numPr>
        <w:spacing w:after="0" w:line="480" w:lineRule="auto"/>
        <w:ind w:left="360"/>
        <w:contextualSpacing w:val="0"/>
        <w:jc w:val="both"/>
        <w:rPr>
          <w:rFonts w:ascii="Times New Roman" w:hAnsi="Times New Roman" w:cs="Times New Roman"/>
          <w:b/>
          <w:color w:val="000000" w:themeColor="text1"/>
        </w:rPr>
      </w:pPr>
      <w:r w:rsidRPr="00CB6910">
        <w:rPr>
          <w:rFonts w:ascii="Times New Roman" w:hAnsi="Times New Roman" w:cs="Times New Roman"/>
          <w:b/>
          <w:color w:val="000000" w:themeColor="text1"/>
        </w:rPr>
        <w:lastRenderedPageBreak/>
        <w:t>Introduction</w:t>
      </w:r>
    </w:p>
    <w:p w14:paraId="14E2854A" w14:textId="738F141F" w:rsidR="00C6772A" w:rsidRPr="00DF1D1F" w:rsidRDefault="002F2506" w:rsidP="00A20230">
      <w:pPr>
        <w:spacing w:after="0" w:line="360" w:lineRule="auto"/>
        <w:ind w:firstLine="720"/>
        <w:jc w:val="both"/>
        <w:rPr>
          <w:rFonts w:ascii="Times New Roman" w:hAnsi="Times New Roman" w:cs="Times New Roman"/>
          <w:color w:val="000000" w:themeColor="text1"/>
        </w:rPr>
      </w:pPr>
      <w:r>
        <w:rPr>
          <w:rFonts w:ascii="Times New Roman" w:hAnsi="Times New Roman" w:cs="Times New Roman"/>
        </w:rPr>
        <w:t xml:space="preserve">In this paper, we examine the effects of environmental policy, sustainable development and corporate governance (CG) mechanisms on environmental performance. </w:t>
      </w:r>
      <w:r w:rsidR="00553705">
        <w:rPr>
          <w:rFonts w:ascii="Times New Roman" w:hAnsi="Times New Roman" w:cs="Times New Roman"/>
        </w:rPr>
        <w:t>We do this</w:t>
      </w:r>
      <w:r w:rsidR="003B470C">
        <w:rPr>
          <w:rFonts w:ascii="Times New Roman" w:hAnsi="Times New Roman" w:cs="Times New Roman"/>
        </w:rPr>
        <w:t xml:space="preserve"> by </w:t>
      </w:r>
      <w:r w:rsidR="00D71808">
        <w:rPr>
          <w:rFonts w:ascii="Times New Roman" w:hAnsi="Times New Roman" w:cs="Times New Roman"/>
        </w:rPr>
        <w:t xml:space="preserve">distinctively </w:t>
      </w:r>
      <w:r w:rsidR="00846750" w:rsidRPr="00DF1D1F">
        <w:rPr>
          <w:rFonts w:ascii="Times New Roman" w:hAnsi="Times New Roman" w:cs="Times New Roman"/>
        </w:rPr>
        <w:t>examin</w:t>
      </w:r>
      <w:r w:rsidR="003B470C">
        <w:rPr>
          <w:rFonts w:ascii="Times New Roman" w:hAnsi="Times New Roman" w:cs="Times New Roman"/>
        </w:rPr>
        <w:t>ing</w:t>
      </w:r>
      <w:r w:rsidR="00846750" w:rsidRPr="00DF1D1F">
        <w:rPr>
          <w:rFonts w:ascii="Times New Roman" w:hAnsi="Times New Roman" w:cs="Times New Roman"/>
        </w:rPr>
        <w:t xml:space="preserve"> the effect</w:t>
      </w:r>
      <w:r w:rsidR="00B46A2E">
        <w:rPr>
          <w:rFonts w:ascii="Times New Roman" w:hAnsi="Times New Roman" w:cs="Times New Roman"/>
        </w:rPr>
        <w:t>s</w:t>
      </w:r>
      <w:r w:rsidR="00846750" w:rsidRPr="00DF1D1F">
        <w:rPr>
          <w:rFonts w:ascii="Times New Roman" w:hAnsi="Times New Roman" w:cs="Times New Roman"/>
        </w:rPr>
        <w:t xml:space="preserve"> of the </w:t>
      </w:r>
      <w:r w:rsidR="002B38E9" w:rsidRPr="00DF1D1F">
        <w:rPr>
          <w:rFonts w:ascii="Times New Roman" w:hAnsi="Times New Roman" w:cs="Times New Roman"/>
        </w:rPr>
        <w:t xml:space="preserve">UK </w:t>
      </w:r>
      <w:r w:rsidR="00846750" w:rsidRPr="00DF1D1F">
        <w:rPr>
          <w:rFonts w:ascii="Times New Roman" w:hAnsi="Times New Roman" w:cs="Times New Roman"/>
        </w:rPr>
        <w:t>Climate Change Act (CCA)</w:t>
      </w:r>
      <w:r w:rsidR="000D6254">
        <w:rPr>
          <w:rFonts w:ascii="Times New Roman" w:hAnsi="Times New Roman" w:cs="Times New Roman"/>
        </w:rPr>
        <w:t>,</w:t>
      </w:r>
      <w:r w:rsidR="00D71808">
        <w:rPr>
          <w:rFonts w:ascii="Times New Roman" w:hAnsi="Times New Roman" w:cs="Times New Roman"/>
        </w:rPr>
        <w:t xml:space="preserve"> Global Reporting Initiative (GRI)</w:t>
      </w:r>
      <w:r w:rsidR="000D6254">
        <w:rPr>
          <w:rFonts w:ascii="Times New Roman" w:hAnsi="Times New Roman" w:cs="Times New Roman"/>
        </w:rPr>
        <w:t xml:space="preserve"> and United Nations Global Compact (UNGC)</w:t>
      </w:r>
      <w:r w:rsidR="00D71808">
        <w:rPr>
          <w:rFonts w:ascii="Times New Roman" w:hAnsi="Times New Roman" w:cs="Times New Roman"/>
        </w:rPr>
        <w:t xml:space="preserve"> </w:t>
      </w:r>
      <w:r w:rsidR="00846750" w:rsidRPr="00DF1D1F">
        <w:rPr>
          <w:rFonts w:ascii="Times New Roman" w:hAnsi="Times New Roman" w:cs="Times New Roman"/>
        </w:rPr>
        <w:t>on</w:t>
      </w:r>
      <w:r w:rsidR="003F35D3" w:rsidRPr="00DF1D1F">
        <w:rPr>
          <w:rFonts w:ascii="Times New Roman" w:hAnsi="Times New Roman" w:cs="Times New Roman"/>
        </w:rPr>
        <w:t>: (i)</w:t>
      </w:r>
      <w:r w:rsidR="00846750" w:rsidRPr="00DF1D1F">
        <w:rPr>
          <w:rFonts w:ascii="Times New Roman" w:hAnsi="Times New Roman" w:cs="Times New Roman"/>
        </w:rPr>
        <w:t xml:space="preserve"> carbon reduction initiatives (CRI</w:t>
      </w:r>
      <w:r w:rsidR="00397F2E">
        <w:rPr>
          <w:rFonts w:ascii="Times New Roman" w:hAnsi="Times New Roman" w:cs="Times New Roman"/>
        </w:rPr>
        <w:t>s</w:t>
      </w:r>
      <w:r w:rsidR="00846750" w:rsidRPr="00DF1D1F">
        <w:rPr>
          <w:rFonts w:ascii="Times New Roman" w:hAnsi="Times New Roman" w:cs="Times New Roman"/>
        </w:rPr>
        <w:t>)</w:t>
      </w:r>
      <w:r w:rsidR="003F35D3" w:rsidRPr="00DF1D1F">
        <w:rPr>
          <w:rFonts w:ascii="Times New Roman" w:hAnsi="Times New Roman" w:cs="Times New Roman"/>
        </w:rPr>
        <w:t>;</w:t>
      </w:r>
      <w:r w:rsidR="00846750" w:rsidRPr="00DF1D1F">
        <w:rPr>
          <w:rFonts w:ascii="Times New Roman" w:hAnsi="Times New Roman" w:cs="Times New Roman"/>
        </w:rPr>
        <w:t xml:space="preserve"> and </w:t>
      </w:r>
      <w:r w:rsidR="003F35D3" w:rsidRPr="00DF1D1F">
        <w:rPr>
          <w:rFonts w:ascii="Times New Roman" w:hAnsi="Times New Roman" w:cs="Times New Roman"/>
        </w:rPr>
        <w:t xml:space="preserve">(ii) </w:t>
      </w:r>
      <w:r w:rsidR="00846750" w:rsidRPr="00DF1D1F">
        <w:rPr>
          <w:rFonts w:ascii="Times New Roman" w:hAnsi="Times New Roman" w:cs="Times New Roman"/>
        </w:rPr>
        <w:t>actual carbon performance (</w:t>
      </w:r>
      <w:r w:rsidR="00B05086" w:rsidRPr="00DF1D1F">
        <w:rPr>
          <w:rFonts w:ascii="Times New Roman" w:hAnsi="Times New Roman" w:cs="Times New Roman"/>
          <w:color w:val="000000" w:themeColor="text1"/>
        </w:rPr>
        <w:t xml:space="preserve">greenhouse gas </w:t>
      </w:r>
      <w:r w:rsidR="00846750" w:rsidRPr="00DF1D1F">
        <w:rPr>
          <w:rFonts w:ascii="Times New Roman" w:hAnsi="Times New Roman" w:cs="Times New Roman"/>
        </w:rPr>
        <w:t>emissions</w:t>
      </w:r>
      <w:r>
        <w:rPr>
          <w:rFonts w:ascii="Times New Roman" w:hAnsi="Times New Roman" w:cs="Times New Roman"/>
        </w:rPr>
        <w:t xml:space="preserve"> – GHG emissions</w:t>
      </w:r>
      <w:r w:rsidR="00846750" w:rsidRPr="00DF1D1F">
        <w:rPr>
          <w:rFonts w:ascii="Times New Roman" w:hAnsi="Times New Roman" w:cs="Times New Roman"/>
        </w:rPr>
        <w:t xml:space="preserve">) of </w:t>
      </w:r>
      <w:r w:rsidR="002B38E9" w:rsidRPr="00DF1D1F">
        <w:rPr>
          <w:rFonts w:ascii="Times New Roman" w:hAnsi="Times New Roman" w:cs="Times New Roman"/>
        </w:rPr>
        <w:t>UK</w:t>
      </w:r>
      <w:r w:rsidR="00846750" w:rsidRPr="00DF1D1F">
        <w:rPr>
          <w:rFonts w:ascii="Times New Roman" w:hAnsi="Times New Roman" w:cs="Times New Roman"/>
        </w:rPr>
        <w:t xml:space="preserve"> </w:t>
      </w:r>
      <w:r w:rsidR="002B38E9" w:rsidRPr="00DF1D1F">
        <w:rPr>
          <w:rFonts w:ascii="Times New Roman" w:hAnsi="Times New Roman" w:cs="Times New Roman"/>
        </w:rPr>
        <w:t xml:space="preserve">listed </w:t>
      </w:r>
      <w:r w:rsidR="00D330FF">
        <w:rPr>
          <w:rFonts w:ascii="Times New Roman" w:hAnsi="Times New Roman" w:cs="Times New Roman"/>
        </w:rPr>
        <w:t>corporations</w:t>
      </w:r>
      <w:r w:rsidR="003B2E40" w:rsidRPr="00DF1D1F">
        <w:rPr>
          <w:rFonts w:ascii="Times New Roman" w:hAnsi="Times New Roman" w:cs="Times New Roman"/>
        </w:rPr>
        <w:t xml:space="preserve">. </w:t>
      </w:r>
      <w:r w:rsidR="00C6772A" w:rsidRPr="00DF1D1F">
        <w:rPr>
          <w:rFonts w:ascii="Times New Roman" w:hAnsi="Times New Roman" w:cs="Times New Roman"/>
        </w:rPr>
        <w:t xml:space="preserve">Additionally, </w:t>
      </w:r>
      <w:r w:rsidR="00C6772A" w:rsidRPr="00DF1D1F">
        <w:rPr>
          <w:rFonts w:ascii="Times New Roman" w:hAnsi="Times New Roman" w:cs="Times New Roman"/>
          <w:color w:val="000000" w:themeColor="text1"/>
        </w:rPr>
        <w:t xml:space="preserve">we examine whether and how </w:t>
      </w:r>
      <w:r w:rsidR="00820C7C">
        <w:rPr>
          <w:rFonts w:ascii="Times New Roman" w:hAnsi="Times New Roman" w:cs="Times New Roman"/>
          <w:color w:val="000000" w:themeColor="text1"/>
        </w:rPr>
        <w:t>CG</w:t>
      </w:r>
      <w:r w:rsidR="00C6772A" w:rsidRPr="00DF1D1F">
        <w:rPr>
          <w:rFonts w:ascii="Times New Roman" w:hAnsi="Times New Roman" w:cs="Times New Roman"/>
          <w:color w:val="000000" w:themeColor="text1"/>
        </w:rPr>
        <w:t xml:space="preserve"> </w:t>
      </w:r>
      <w:r w:rsidR="00FC7079">
        <w:rPr>
          <w:rFonts w:ascii="Times New Roman" w:hAnsi="Times New Roman" w:cs="Times New Roman"/>
          <w:color w:val="000000" w:themeColor="text1"/>
        </w:rPr>
        <w:t xml:space="preserve">mechanisms </w:t>
      </w:r>
      <w:r w:rsidR="00C6772A" w:rsidRPr="00DF1D1F">
        <w:rPr>
          <w:rFonts w:ascii="Times New Roman" w:hAnsi="Times New Roman" w:cs="Times New Roman"/>
          <w:color w:val="000000" w:themeColor="text1"/>
        </w:rPr>
        <w:t>(i.e., board independence</w:t>
      </w:r>
      <w:r w:rsidR="00BC688B">
        <w:rPr>
          <w:rFonts w:ascii="Times New Roman" w:hAnsi="Times New Roman" w:cs="Times New Roman"/>
          <w:color w:val="000000" w:themeColor="text1"/>
        </w:rPr>
        <w:t>, board size, CEO duality</w:t>
      </w:r>
      <w:r w:rsidR="00C6772A" w:rsidRPr="00DF1D1F">
        <w:rPr>
          <w:rFonts w:ascii="Times New Roman" w:hAnsi="Times New Roman" w:cs="Times New Roman"/>
          <w:color w:val="000000" w:themeColor="text1"/>
        </w:rPr>
        <w:t xml:space="preserve"> and managerial incentives) </w:t>
      </w:r>
      <w:r w:rsidR="00F46355">
        <w:rPr>
          <w:rFonts w:ascii="Times New Roman" w:hAnsi="Times New Roman" w:cs="Times New Roman"/>
          <w:color w:val="000000" w:themeColor="text1"/>
        </w:rPr>
        <w:t xml:space="preserve">can </w:t>
      </w:r>
      <w:r w:rsidR="00A823FC">
        <w:rPr>
          <w:rFonts w:ascii="Times New Roman" w:hAnsi="Times New Roman" w:cs="Times New Roman"/>
          <w:color w:val="000000" w:themeColor="text1"/>
        </w:rPr>
        <w:t xml:space="preserve">impact on and </w:t>
      </w:r>
      <w:r w:rsidR="00C6772A" w:rsidRPr="00DF1D1F">
        <w:rPr>
          <w:rFonts w:ascii="Times New Roman" w:hAnsi="Times New Roman" w:cs="Times New Roman"/>
          <w:color w:val="000000" w:themeColor="text1"/>
        </w:rPr>
        <w:t>interact with the CCA</w:t>
      </w:r>
      <w:r w:rsidR="000D6254">
        <w:rPr>
          <w:rFonts w:ascii="Times New Roman" w:hAnsi="Times New Roman" w:cs="Times New Roman"/>
          <w:color w:val="000000" w:themeColor="text1"/>
        </w:rPr>
        <w:t xml:space="preserve"> </w:t>
      </w:r>
      <w:r w:rsidR="00C6772A" w:rsidRPr="00DF1D1F">
        <w:rPr>
          <w:rFonts w:ascii="Times New Roman" w:hAnsi="Times New Roman" w:cs="Times New Roman"/>
          <w:color w:val="000000" w:themeColor="text1"/>
        </w:rPr>
        <w:t xml:space="preserve">in influencing </w:t>
      </w:r>
      <w:r>
        <w:rPr>
          <w:rFonts w:ascii="Times New Roman" w:hAnsi="Times New Roman" w:cs="Times New Roman"/>
          <w:color w:val="000000" w:themeColor="text1"/>
        </w:rPr>
        <w:t>CRI</w:t>
      </w:r>
      <w:r w:rsidR="00397F2E">
        <w:rPr>
          <w:rFonts w:ascii="Times New Roman" w:hAnsi="Times New Roman" w:cs="Times New Roman"/>
          <w:color w:val="000000" w:themeColor="text1"/>
        </w:rPr>
        <w:t>s</w:t>
      </w:r>
      <w:r w:rsidR="00C6772A" w:rsidRPr="00DF1D1F">
        <w:rPr>
          <w:rFonts w:ascii="Times New Roman" w:hAnsi="Times New Roman" w:cs="Times New Roman"/>
          <w:color w:val="000000" w:themeColor="text1"/>
        </w:rPr>
        <w:t xml:space="preserve"> and </w:t>
      </w:r>
      <w:r>
        <w:rPr>
          <w:rFonts w:ascii="Times New Roman" w:hAnsi="Times New Roman" w:cs="Times New Roman"/>
          <w:color w:val="000000" w:themeColor="text1"/>
        </w:rPr>
        <w:t>actual GHG emissions</w:t>
      </w:r>
      <w:r w:rsidR="00C6772A" w:rsidRPr="00DF1D1F">
        <w:rPr>
          <w:rFonts w:ascii="Times New Roman" w:hAnsi="Times New Roman" w:cs="Times New Roman"/>
          <w:color w:val="000000" w:themeColor="text1"/>
        </w:rPr>
        <w:t xml:space="preserve"> of </w:t>
      </w:r>
      <w:r w:rsidR="00A33087">
        <w:rPr>
          <w:rFonts w:ascii="Times New Roman" w:hAnsi="Times New Roman" w:cs="Times New Roman"/>
          <w:color w:val="000000" w:themeColor="text1"/>
        </w:rPr>
        <w:t xml:space="preserve">listed </w:t>
      </w:r>
      <w:r w:rsidR="00D330FF">
        <w:rPr>
          <w:rFonts w:ascii="Times New Roman" w:hAnsi="Times New Roman" w:cs="Times New Roman"/>
          <w:color w:val="000000" w:themeColor="text1"/>
        </w:rPr>
        <w:t>corporations</w:t>
      </w:r>
      <w:r w:rsidR="00C6772A" w:rsidRPr="00DF1D1F">
        <w:rPr>
          <w:rFonts w:ascii="Times New Roman" w:hAnsi="Times New Roman" w:cs="Times New Roman"/>
          <w:color w:val="000000" w:themeColor="text1"/>
        </w:rPr>
        <w:t>.</w:t>
      </w:r>
      <w:r w:rsidR="00A823FC" w:rsidRPr="00E61401">
        <w:rPr>
          <w:rFonts w:ascii="Times New Roman" w:hAnsi="Times New Roman" w:cs="Times New Roman"/>
          <w:color w:val="000000" w:themeColor="text1"/>
        </w:rPr>
        <w:t xml:space="preserve"> Our analysis is informed by theoretical insights drawn from neo-institutional theory.</w:t>
      </w:r>
    </w:p>
    <w:p w14:paraId="51201A9C" w14:textId="3C8764D7" w:rsidR="00BE03EE" w:rsidRPr="00DF1D1F" w:rsidRDefault="00EB10D5" w:rsidP="00D153CE">
      <w:pPr>
        <w:spacing w:after="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Meanwhile the past two decades have witnessed</w:t>
      </w:r>
      <w:r w:rsidR="007C52F0">
        <w:rPr>
          <w:rFonts w:ascii="Times New Roman" w:hAnsi="Times New Roman" w:cs="Times New Roman"/>
          <w:color w:val="000000" w:themeColor="text1"/>
        </w:rPr>
        <w:t xml:space="preserve"> p</w:t>
      </w:r>
      <w:r w:rsidR="006D4EDC" w:rsidRPr="00DF1D1F">
        <w:rPr>
          <w:rFonts w:ascii="Times New Roman" w:hAnsi="Times New Roman" w:cs="Times New Roman"/>
          <w:color w:val="000000" w:themeColor="text1"/>
        </w:rPr>
        <w:t>olicymakers</w:t>
      </w:r>
      <w:r w:rsidR="00BC52BE" w:rsidRPr="00DF1D1F">
        <w:rPr>
          <w:rFonts w:ascii="Times New Roman" w:hAnsi="Times New Roman" w:cs="Times New Roman"/>
          <w:color w:val="000000" w:themeColor="text1"/>
        </w:rPr>
        <w:t xml:space="preserve">, </w:t>
      </w:r>
      <w:r w:rsidR="002E4333" w:rsidRPr="00DF1D1F">
        <w:rPr>
          <w:rFonts w:ascii="Times New Roman" w:hAnsi="Times New Roman" w:cs="Times New Roman"/>
          <w:color w:val="000000" w:themeColor="text1"/>
        </w:rPr>
        <w:t>regulators</w:t>
      </w:r>
      <w:r w:rsidR="00BC52BE" w:rsidRPr="00DF1D1F">
        <w:rPr>
          <w:rFonts w:ascii="Times New Roman" w:hAnsi="Times New Roman" w:cs="Times New Roman"/>
          <w:color w:val="000000" w:themeColor="text1"/>
        </w:rPr>
        <w:t>, environmentalists</w:t>
      </w:r>
      <w:r w:rsidR="008D457F">
        <w:rPr>
          <w:rFonts w:ascii="Times New Roman" w:hAnsi="Times New Roman" w:cs="Times New Roman"/>
          <w:color w:val="000000" w:themeColor="text1"/>
        </w:rPr>
        <w:t xml:space="preserve">, </w:t>
      </w:r>
      <w:r w:rsidR="00162B23">
        <w:rPr>
          <w:rFonts w:ascii="Times New Roman" w:hAnsi="Times New Roman" w:cs="Times New Roman"/>
          <w:color w:val="000000" w:themeColor="text1"/>
        </w:rPr>
        <w:t xml:space="preserve">governments, </w:t>
      </w:r>
      <w:r w:rsidR="008D457F">
        <w:rPr>
          <w:rFonts w:ascii="Times New Roman" w:hAnsi="Times New Roman" w:cs="Times New Roman"/>
          <w:color w:val="000000" w:themeColor="text1"/>
        </w:rPr>
        <w:t>supra national bodies</w:t>
      </w:r>
      <w:r w:rsidR="00BC52BE" w:rsidRPr="00DF1D1F">
        <w:rPr>
          <w:rFonts w:ascii="Times New Roman" w:hAnsi="Times New Roman" w:cs="Times New Roman"/>
          <w:color w:val="000000" w:themeColor="text1"/>
        </w:rPr>
        <w:t xml:space="preserve"> and civil </w:t>
      </w:r>
      <w:r w:rsidR="00BC52BE" w:rsidRPr="00DF1D1F">
        <w:rPr>
          <w:rFonts w:ascii="Times New Roman" w:hAnsi="Times New Roman" w:cs="Times New Roman"/>
          <w:color w:val="000000" w:themeColor="text1"/>
        </w:rPr>
        <w:lastRenderedPageBreak/>
        <w:t>societies</w:t>
      </w:r>
      <w:r w:rsidR="002E4333" w:rsidRPr="00DF1D1F">
        <w:rPr>
          <w:rFonts w:ascii="Times New Roman" w:hAnsi="Times New Roman" w:cs="Times New Roman"/>
          <w:color w:val="000000" w:themeColor="text1"/>
        </w:rPr>
        <w:t xml:space="preserve"> </w:t>
      </w:r>
      <w:r w:rsidR="00DB6DA2" w:rsidRPr="00DF1D1F">
        <w:rPr>
          <w:rFonts w:ascii="Times New Roman" w:hAnsi="Times New Roman" w:cs="Times New Roman"/>
          <w:color w:val="000000" w:themeColor="text1"/>
        </w:rPr>
        <w:t>show</w:t>
      </w:r>
      <w:r>
        <w:rPr>
          <w:rFonts w:ascii="Times New Roman" w:hAnsi="Times New Roman" w:cs="Times New Roman"/>
          <w:color w:val="000000" w:themeColor="text1"/>
        </w:rPr>
        <w:t>ing</w:t>
      </w:r>
      <w:r w:rsidR="00DB6DA2" w:rsidRPr="00DF1D1F">
        <w:rPr>
          <w:rFonts w:ascii="Times New Roman" w:hAnsi="Times New Roman" w:cs="Times New Roman"/>
          <w:color w:val="000000" w:themeColor="text1"/>
        </w:rPr>
        <w:t xml:space="preserve"> increasing concerns </w:t>
      </w:r>
      <w:r w:rsidR="002E4333" w:rsidRPr="00DF1D1F">
        <w:rPr>
          <w:rFonts w:ascii="Times New Roman" w:hAnsi="Times New Roman" w:cs="Times New Roman"/>
          <w:color w:val="000000" w:themeColor="text1"/>
        </w:rPr>
        <w:t xml:space="preserve">about the </w:t>
      </w:r>
      <w:r w:rsidR="00553705">
        <w:rPr>
          <w:rFonts w:ascii="Times New Roman" w:hAnsi="Times New Roman" w:cs="Times New Roman"/>
          <w:color w:val="000000" w:themeColor="text1"/>
        </w:rPr>
        <w:t xml:space="preserve">potential harmful effects of </w:t>
      </w:r>
      <w:r w:rsidR="00CA46D7">
        <w:rPr>
          <w:rFonts w:ascii="Times New Roman" w:hAnsi="Times New Roman" w:cs="Times New Roman"/>
          <w:color w:val="000000" w:themeColor="text1"/>
        </w:rPr>
        <w:t>severe</w:t>
      </w:r>
      <w:r w:rsidR="00553705">
        <w:rPr>
          <w:rFonts w:ascii="Times New Roman" w:hAnsi="Times New Roman" w:cs="Times New Roman"/>
          <w:color w:val="000000" w:themeColor="text1"/>
        </w:rPr>
        <w:t xml:space="preserve"> </w:t>
      </w:r>
      <w:r w:rsidR="002E4333" w:rsidRPr="00DF1D1F">
        <w:rPr>
          <w:rFonts w:ascii="Times New Roman" w:hAnsi="Times New Roman" w:cs="Times New Roman"/>
          <w:color w:val="000000" w:themeColor="text1"/>
        </w:rPr>
        <w:t>climate</w:t>
      </w:r>
      <w:r w:rsidR="00774DAA" w:rsidRPr="00DF1D1F">
        <w:rPr>
          <w:rFonts w:ascii="Times New Roman" w:hAnsi="Times New Roman" w:cs="Times New Roman"/>
          <w:color w:val="000000" w:themeColor="text1"/>
        </w:rPr>
        <w:t xml:space="preserve"> </w:t>
      </w:r>
      <w:r w:rsidR="002E4333" w:rsidRPr="00DF1D1F">
        <w:rPr>
          <w:rFonts w:ascii="Times New Roman" w:hAnsi="Times New Roman" w:cs="Times New Roman"/>
          <w:color w:val="000000" w:themeColor="text1"/>
        </w:rPr>
        <w:t xml:space="preserve">change on </w:t>
      </w:r>
      <w:r w:rsidR="00FA654F" w:rsidRPr="00DF1D1F">
        <w:rPr>
          <w:rFonts w:ascii="Times New Roman" w:hAnsi="Times New Roman" w:cs="Times New Roman"/>
          <w:color w:val="000000" w:themeColor="text1"/>
        </w:rPr>
        <w:t>the environment</w:t>
      </w:r>
      <w:r w:rsidR="00DF0FC2" w:rsidRPr="00DF1D1F">
        <w:rPr>
          <w:rFonts w:ascii="Times New Roman" w:hAnsi="Times New Roman" w:cs="Times New Roman"/>
          <w:color w:val="000000" w:themeColor="text1"/>
        </w:rPr>
        <w:t>.</w:t>
      </w:r>
      <w:r w:rsidR="0075569A" w:rsidRPr="00DF1D1F">
        <w:rPr>
          <w:rFonts w:ascii="Times New Roman" w:hAnsi="Times New Roman" w:cs="Times New Roman"/>
          <w:color w:val="000000" w:themeColor="text1"/>
        </w:rPr>
        <w:t xml:space="preserve"> </w:t>
      </w:r>
      <w:r>
        <w:rPr>
          <w:rFonts w:ascii="Times New Roman" w:hAnsi="Times New Roman" w:cs="Times New Roman"/>
          <w:color w:val="000000" w:themeColor="text1"/>
        </w:rPr>
        <w:t>In this case, t</w:t>
      </w:r>
      <w:r w:rsidR="003B2E40" w:rsidRPr="00DF1D1F">
        <w:rPr>
          <w:rFonts w:ascii="Times New Roman" w:hAnsi="Times New Roman" w:cs="Times New Roman"/>
          <w:color w:val="000000" w:themeColor="text1"/>
        </w:rPr>
        <w:t xml:space="preserve">he </w:t>
      </w:r>
      <w:r w:rsidR="00C6772A" w:rsidRPr="00DF1D1F">
        <w:rPr>
          <w:rFonts w:ascii="Times New Roman" w:hAnsi="Times New Roman" w:cs="Times New Roman"/>
          <w:color w:val="000000" w:themeColor="text1"/>
        </w:rPr>
        <w:t xml:space="preserve">1997 </w:t>
      </w:r>
      <w:r w:rsidR="003B2E40" w:rsidRPr="00DF1D1F">
        <w:rPr>
          <w:rFonts w:ascii="Times New Roman" w:hAnsi="Times New Roman" w:cs="Times New Roman"/>
          <w:color w:val="000000" w:themeColor="text1"/>
        </w:rPr>
        <w:t>Kyoto Protocol is considered to be</w:t>
      </w:r>
      <w:r w:rsidR="002F2506">
        <w:rPr>
          <w:rFonts w:ascii="Times New Roman" w:hAnsi="Times New Roman" w:cs="Times New Roman"/>
          <w:color w:val="000000" w:themeColor="text1"/>
        </w:rPr>
        <w:t xml:space="preserve"> one of</w:t>
      </w:r>
      <w:r w:rsidR="003B2E40" w:rsidRPr="00DF1D1F">
        <w:rPr>
          <w:rFonts w:ascii="Times New Roman" w:hAnsi="Times New Roman" w:cs="Times New Roman"/>
          <w:color w:val="000000" w:themeColor="text1"/>
        </w:rPr>
        <w:t xml:space="preserve"> the main</w:t>
      </w:r>
      <w:r w:rsidR="008D5E6A">
        <w:rPr>
          <w:rFonts w:ascii="Times New Roman" w:hAnsi="Times New Roman" w:cs="Times New Roman"/>
          <w:color w:val="000000" w:themeColor="text1"/>
        </w:rPr>
        <w:t xml:space="preserve"> pioneer</w:t>
      </w:r>
      <w:r w:rsidR="003B2E40" w:rsidRPr="00DF1D1F">
        <w:rPr>
          <w:rFonts w:ascii="Times New Roman" w:hAnsi="Times New Roman" w:cs="Times New Roman"/>
          <w:color w:val="000000" w:themeColor="text1"/>
        </w:rPr>
        <w:t xml:space="preserve"> </w:t>
      </w:r>
      <w:r w:rsidR="002F2506">
        <w:rPr>
          <w:rFonts w:ascii="Times New Roman" w:hAnsi="Times New Roman" w:cs="Times New Roman"/>
          <w:color w:val="000000" w:themeColor="text1"/>
        </w:rPr>
        <w:t xml:space="preserve">global environmental policies </w:t>
      </w:r>
      <w:r w:rsidR="007956DF">
        <w:rPr>
          <w:rFonts w:ascii="Times New Roman" w:hAnsi="Times New Roman" w:cs="Times New Roman"/>
          <w:color w:val="000000" w:themeColor="text1"/>
        </w:rPr>
        <w:t>that seeks</w:t>
      </w:r>
      <w:r w:rsidR="003B2E40" w:rsidRPr="00DF1D1F">
        <w:rPr>
          <w:rFonts w:ascii="Times New Roman" w:hAnsi="Times New Roman" w:cs="Times New Roman"/>
          <w:color w:val="000000" w:themeColor="text1"/>
        </w:rPr>
        <w:t xml:space="preserve"> to reinforce these concerns, and thus oblige the ratifying countries to limit GHG emissions</w:t>
      </w:r>
      <w:r w:rsidR="007036C7">
        <w:rPr>
          <w:rFonts w:ascii="Times New Roman" w:hAnsi="Times New Roman" w:cs="Times New Roman"/>
          <w:color w:val="000000" w:themeColor="text1"/>
        </w:rPr>
        <w:t>, as well as</w:t>
      </w:r>
      <w:r w:rsidR="00CF795A" w:rsidRPr="00DF1D1F">
        <w:rPr>
          <w:rFonts w:ascii="Times New Roman" w:hAnsi="Times New Roman" w:cs="Times New Roman"/>
          <w:color w:val="000000" w:themeColor="text1"/>
        </w:rPr>
        <w:t xml:space="preserve"> enhance energy efficiency</w:t>
      </w:r>
      <w:r w:rsidR="003B2E40" w:rsidRPr="00DF1D1F">
        <w:rPr>
          <w:rFonts w:ascii="Times New Roman" w:hAnsi="Times New Roman" w:cs="Times New Roman"/>
          <w:color w:val="000000" w:themeColor="text1"/>
        </w:rPr>
        <w:t>.</w:t>
      </w:r>
      <w:r w:rsidR="00CF795A" w:rsidRPr="00DF1D1F">
        <w:rPr>
          <w:rFonts w:ascii="Times New Roman" w:hAnsi="Times New Roman" w:cs="Times New Roman"/>
          <w:color w:val="000000" w:themeColor="text1"/>
        </w:rPr>
        <w:t xml:space="preserve"> As a consequence, </w:t>
      </w:r>
      <w:r w:rsidR="009F0995" w:rsidRPr="00DF1D1F">
        <w:rPr>
          <w:rFonts w:ascii="Times New Roman" w:hAnsi="Times New Roman" w:cs="Times New Roman"/>
          <w:color w:val="000000" w:themeColor="text1"/>
        </w:rPr>
        <w:t xml:space="preserve">different countries and </w:t>
      </w:r>
      <w:r w:rsidR="00C51478" w:rsidRPr="00DF1D1F">
        <w:rPr>
          <w:rFonts w:ascii="Times New Roman" w:hAnsi="Times New Roman" w:cs="Times New Roman"/>
          <w:color w:val="000000" w:themeColor="text1"/>
        </w:rPr>
        <w:t>f</w:t>
      </w:r>
      <w:r w:rsidR="00107627" w:rsidRPr="00DF1D1F">
        <w:rPr>
          <w:rFonts w:ascii="Times New Roman" w:hAnsi="Times New Roman" w:cs="Times New Roman"/>
          <w:color w:val="000000" w:themeColor="text1"/>
        </w:rPr>
        <w:t xml:space="preserve">irms </w:t>
      </w:r>
      <w:r w:rsidR="009F0995" w:rsidRPr="00DF1D1F">
        <w:rPr>
          <w:rFonts w:ascii="Times New Roman" w:hAnsi="Times New Roman" w:cs="Times New Roman"/>
          <w:color w:val="000000" w:themeColor="text1"/>
        </w:rPr>
        <w:t xml:space="preserve">around the world </w:t>
      </w:r>
      <w:r w:rsidR="0075569A" w:rsidRPr="00DF1D1F">
        <w:rPr>
          <w:rFonts w:ascii="Times New Roman" w:hAnsi="Times New Roman" w:cs="Times New Roman"/>
          <w:color w:val="000000" w:themeColor="text1"/>
        </w:rPr>
        <w:t xml:space="preserve">are gradually adopting various </w:t>
      </w:r>
      <w:r w:rsidR="00CF795A" w:rsidRPr="00DF1D1F">
        <w:rPr>
          <w:rFonts w:ascii="Times New Roman" w:hAnsi="Times New Roman" w:cs="Times New Roman"/>
          <w:color w:val="000000" w:themeColor="text1"/>
        </w:rPr>
        <w:t>carbon</w:t>
      </w:r>
      <w:r w:rsidR="00C51478" w:rsidRPr="00DF1D1F">
        <w:rPr>
          <w:rFonts w:ascii="Times New Roman" w:hAnsi="Times New Roman" w:cs="Times New Roman"/>
          <w:color w:val="000000" w:themeColor="text1"/>
        </w:rPr>
        <w:t xml:space="preserve">-related </w:t>
      </w:r>
      <w:r w:rsidR="0075569A" w:rsidRPr="00DF1D1F">
        <w:rPr>
          <w:rFonts w:ascii="Times New Roman" w:hAnsi="Times New Roman" w:cs="Times New Roman"/>
          <w:color w:val="000000" w:themeColor="text1"/>
        </w:rPr>
        <w:t xml:space="preserve">strategies </w:t>
      </w:r>
      <w:r w:rsidR="00C51478" w:rsidRPr="00DF1D1F">
        <w:rPr>
          <w:rFonts w:ascii="Times New Roman" w:hAnsi="Times New Roman" w:cs="Times New Roman"/>
          <w:color w:val="000000" w:themeColor="text1"/>
        </w:rPr>
        <w:t>and actions</w:t>
      </w:r>
      <w:r w:rsidR="00E61401">
        <w:rPr>
          <w:rFonts w:ascii="Times New Roman" w:hAnsi="Times New Roman" w:cs="Times New Roman"/>
          <w:color w:val="000000" w:themeColor="text1"/>
        </w:rPr>
        <w:t>,</w:t>
      </w:r>
      <w:r w:rsidR="00C51478" w:rsidRPr="00DF1D1F">
        <w:rPr>
          <w:rFonts w:ascii="Times New Roman" w:hAnsi="Times New Roman" w:cs="Times New Roman"/>
          <w:color w:val="000000" w:themeColor="text1"/>
        </w:rPr>
        <w:t xml:space="preserve"> </w:t>
      </w:r>
      <w:r w:rsidR="00347765" w:rsidRPr="00DF1D1F">
        <w:rPr>
          <w:rFonts w:ascii="Times New Roman" w:hAnsi="Times New Roman" w:cs="Times New Roman"/>
          <w:color w:val="000000" w:themeColor="text1"/>
        </w:rPr>
        <w:t xml:space="preserve">such as </w:t>
      </w:r>
      <w:r w:rsidR="00C51478" w:rsidRPr="00DF1D1F">
        <w:rPr>
          <w:rFonts w:ascii="Times New Roman" w:hAnsi="Times New Roman" w:cs="Times New Roman"/>
          <w:color w:val="000000" w:themeColor="text1"/>
        </w:rPr>
        <w:t xml:space="preserve">compliance </w:t>
      </w:r>
      <w:r w:rsidR="0075569A" w:rsidRPr="00DF1D1F">
        <w:rPr>
          <w:rFonts w:ascii="Times New Roman" w:hAnsi="Times New Roman" w:cs="Times New Roman"/>
          <w:color w:val="000000" w:themeColor="text1"/>
        </w:rPr>
        <w:t>with regulatory requirements</w:t>
      </w:r>
      <w:r w:rsidR="00553705">
        <w:rPr>
          <w:rFonts w:ascii="Times New Roman" w:hAnsi="Times New Roman" w:cs="Times New Roman"/>
          <w:color w:val="000000" w:themeColor="text1"/>
        </w:rPr>
        <w:t xml:space="preserve"> and </w:t>
      </w:r>
      <w:r w:rsidR="00CF795A" w:rsidRPr="00DF1D1F">
        <w:rPr>
          <w:rFonts w:ascii="Times New Roman" w:hAnsi="Times New Roman" w:cs="Times New Roman"/>
          <w:color w:val="000000" w:themeColor="text1"/>
        </w:rPr>
        <w:t>participation in emission trading scheme</w:t>
      </w:r>
      <w:r w:rsidR="00553705">
        <w:rPr>
          <w:rFonts w:ascii="Times New Roman" w:hAnsi="Times New Roman" w:cs="Times New Roman"/>
          <w:color w:val="000000" w:themeColor="text1"/>
        </w:rPr>
        <w:t>s</w:t>
      </w:r>
      <w:r w:rsidR="00A33087">
        <w:rPr>
          <w:rFonts w:ascii="Times New Roman" w:hAnsi="Times New Roman" w:cs="Times New Roman"/>
          <w:color w:val="000000" w:themeColor="text1"/>
        </w:rPr>
        <w:t xml:space="preserve"> </w:t>
      </w:r>
      <w:r w:rsidR="0075569A" w:rsidRPr="00DF1D1F">
        <w:rPr>
          <w:rFonts w:ascii="Times New Roman" w:hAnsi="Times New Roman" w:cs="Times New Roman"/>
          <w:color w:val="000000" w:themeColor="text1"/>
        </w:rPr>
        <w:t>to reduce carbon footprint</w:t>
      </w:r>
      <w:r w:rsidR="00D6268E" w:rsidRPr="00DF1D1F">
        <w:rPr>
          <w:rFonts w:ascii="Times New Roman" w:hAnsi="Times New Roman" w:cs="Times New Roman"/>
          <w:color w:val="000000" w:themeColor="text1"/>
        </w:rPr>
        <w:t>s</w:t>
      </w:r>
      <w:r w:rsidR="0075569A" w:rsidRPr="00DF1D1F">
        <w:rPr>
          <w:rFonts w:ascii="Times New Roman" w:hAnsi="Times New Roman" w:cs="Times New Roman"/>
          <w:color w:val="000000" w:themeColor="text1"/>
        </w:rPr>
        <w:t xml:space="preserve"> (Galbreath</w:t>
      </w:r>
      <w:r w:rsidR="00C02B8A" w:rsidRPr="00DF1D1F">
        <w:rPr>
          <w:rFonts w:ascii="Times New Roman" w:hAnsi="Times New Roman" w:cs="Times New Roman"/>
          <w:color w:val="000000" w:themeColor="text1"/>
        </w:rPr>
        <w:t>,</w:t>
      </w:r>
      <w:r w:rsidR="0075569A" w:rsidRPr="00DF1D1F">
        <w:rPr>
          <w:rFonts w:ascii="Times New Roman" w:hAnsi="Times New Roman" w:cs="Times New Roman"/>
          <w:color w:val="000000" w:themeColor="text1"/>
        </w:rPr>
        <w:t xml:space="preserve"> 2010</w:t>
      </w:r>
      <w:r w:rsidR="00846750" w:rsidRPr="00DF1D1F">
        <w:rPr>
          <w:rFonts w:ascii="Times New Roman" w:hAnsi="Times New Roman" w:cs="Times New Roman"/>
          <w:color w:val="000000" w:themeColor="text1"/>
        </w:rPr>
        <w:t>; Gallego-Alvarez et al., 2015</w:t>
      </w:r>
      <w:r w:rsidR="0075569A" w:rsidRPr="00DF1D1F">
        <w:rPr>
          <w:rFonts w:ascii="Times New Roman" w:hAnsi="Times New Roman" w:cs="Times New Roman"/>
          <w:color w:val="000000" w:themeColor="text1"/>
        </w:rPr>
        <w:t>).</w:t>
      </w:r>
      <w:r w:rsidR="0041130F" w:rsidRPr="00DF1D1F">
        <w:rPr>
          <w:rFonts w:ascii="Times New Roman" w:hAnsi="Times New Roman" w:cs="Times New Roman"/>
          <w:color w:val="000000" w:themeColor="text1"/>
        </w:rPr>
        <w:t xml:space="preserve"> </w:t>
      </w:r>
    </w:p>
    <w:p w14:paraId="57A9AB63" w14:textId="5303E651" w:rsidR="006D621C" w:rsidRPr="00820C7C" w:rsidRDefault="00997F47" w:rsidP="005F7D36">
      <w:pPr>
        <w:spacing w:after="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T</w:t>
      </w:r>
      <w:r w:rsidR="006D621C">
        <w:rPr>
          <w:rFonts w:ascii="Times New Roman" w:hAnsi="Times New Roman" w:cs="Times New Roman"/>
          <w:color w:val="000000" w:themeColor="text1"/>
        </w:rPr>
        <w:t>heoretically, n</w:t>
      </w:r>
      <w:r w:rsidR="006D621C" w:rsidRPr="00820C7C">
        <w:rPr>
          <w:rFonts w:ascii="Times New Roman" w:hAnsi="Times New Roman" w:cs="Times New Roman"/>
          <w:color w:val="000000" w:themeColor="text1"/>
        </w:rPr>
        <w:t>eo-institutional theory suggests that institutional forces</w:t>
      </w:r>
      <w:r w:rsidR="00E17408">
        <w:rPr>
          <w:rFonts w:ascii="Times New Roman" w:hAnsi="Times New Roman" w:cs="Times New Roman"/>
          <w:color w:val="000000" w:themeColor="text1"/>
        </w:rPr>
        <w:t>,</w:t>
      </w:r>
      <w:r w:rsidR="006D621C" w:rsidRPr="00820C7C">
        <w:rPr>
          <w:rFonts w:ascii="Times New Roman" w:hAnsi="Times New Roman" w:cs="Times New Roman"/>
          <w:color w:val="000000" w:themeColor="text1"/>
        </w:rPr>
        <w:t xml:space="preserve"> such as political, economic and social institutions</w:t>
      </w:r>
      <w:r w:rsidR="003A7F7E">
        <w:rPr>
          <w:rFonts w:ascii="Times New Roman" w:hAnsi="Times New Roman" w:cs="Times New Roman"/>
          <w:color w:val="000000" w:themeColor="text1"/>
        </w:rPr>
        <w:t xml:space="preserve"> can </w:t>
      </w:r>
      <w:r w:rsidR="006D621C" w:rsidRPr="00820C7C">
        <w:rPr>
          <w:rFonts w:ascii="Times New Roman" w:hAnsi="Times New Roman" w:cs="Times New Roman"/>
          <w:color w:val="000000" w:themeColor="text1"/>
        </w:rPr>
        <w:t xml:space="preserve">drive and/or shape a firm’s engagement </w:t>
      </w:r>
      <w:r w:rsidR="004A170C">
        <w:rPr>
          <w:rFonts w:ascii="Times New Roman" w:hAnsi="Times New Roman" w:cs="Times New Roman"/>
          <w:color w:val="000000" w:themeColor="text1"/>
        </w:rPr>
        <w:t>with</w:t>
      </w:r>
      <w:r w:rsidR="004A170C" w:rsidRPr="00820C7C">
        <w:rPr>
          <w:rFonts w:ascii="Times New Roman" w:hAnsi="Times New Roman" w:cs="Times New Roman"/>
          <w:color w:val="000000" w:themeColor="text1"/>
        </w:rPr>
        <w:t xml:space="preserve"> </w:t>
      </w:r>
      <w:r w:rsidR="006D621C" w:rsidRPr="00820C7C">
        <w:rPr>
          <w:rFonts w:ascii="Times New Roman" w:hAnsi="Times New Roman" w:cs="Times New Roman"/>
          <w:color w:val="000000" w:themeColor="text1"/>
        </w:rPr>
        <w:t>social and</w:t>
      </w:r>
      <w:r w:rsidR="00D62705">
        <w:rPr>
          <w:rFonts w:ascii="Times New Roman" w:hAnsi="Times New Roman" w:cs="Times New Roman"/>
          <w:color w:val="000000" w:themeColor="text1"/>
        </w:rPr>
        <w:t xml:space="preserve"> environmental </w:t>
      </w:r>
      <w:r w:rsidR="005C7F18">
        <w:rPr>
          <w:rFonts w:ascii="Times New Roman" w:hAnsi="Times New Roman" w:cs="Times New Roman"/>
          <w:color w:val="000000" w:themeColor="text1"/>
        </w:rPr>
        <w:t>performance</w:t>
      </w:r>
      <w:r w:rsidR="00D62705">
        <w:rPr>
          <w:rFonts w:ascii="Times New Roman" w:hAnsi="Times New Roman" w:cs="Times New Roman"/>
          <w:color w:val="000000" w:themeColor="text1"/>
        </w:rPr>
        <w:t xml:space="preserve"> (Ntim </w:t>
      </w:r>
      <w:r w:rsidR="00C0507B">
        <w:rPr>
          <w:rFonts w:ascii="Times New Roman" w:hAnsi="Times New Roman" w:cs="Times New Roman"/>
          <w:color w:val="000000" w:themeColor="text1"/>
        </w:rPr>
        <w:t>and</w:t>
      </w:r>
      <w:r w:rsidR="006D621C" w:rsidRPr="00820C7C">
        <w:rPr>
          <w:rFonts w:ascii="Times New Roman" w:hAnsi="Times New Roman" w:cs="Times New Roman"/>
          <w:color w:val="000000" w:themeColor="text1"/>
        </w:rPr>
        <w:t xml:space="preserve"> Soobaroyen, 2013</w:t>
      </w:r>
      <w:r w:rsidR="00D62705">
        <w:rPr>
          <w:rFonts w:ascii="Times New Roman" w:hAnsi="Times New Roman" w:cs="Times New Roman"/>
          <w:color w:val="000000" w:themeColor="text1"/>
        </w:rPr>
        <w:t>a</w:t>
      </w:r>
      <w:r w:rsidR="006D621C" w:rsidRPr="00820C7C">
        <w:rPr>
          <w:rFonts w:ascii="Times New Roman" w:hAnsi="Times New Roman" w:cs="Times New Roman"/>
          <w:color w:val="000000" w:themeColor="text1"/>
        </w:rPr>
        <w:t xml:space="preserve">). </w:t>
      </w:r>
      <w:r w:rsidR="00D478AF">
        <w:rPr>
          <w:rFonts w:ascii="Times New Roman" w:hAnsi="Times New Roman" w:cs="Times New Roman"/>
          <w:color w:val="000000" w:themeColor="text1"/>
        </w:rPr>
        <w:t>Specifically, neo-institutional theory predicts that</w:t>
      </w:r>
      <w:r w:rsidR="006D621C" w:rsidRPr="00820C7C">
        <w:rPr>
          <w:rFonts w:ascii="Times New Roman" w:hAnsi="Times New Roman" w:cs="Times New Roman"/>
          <w:color w:val="000000" w:themeColor="text1"/>
        </w:rPr>
        <w:t xml:space="preserve"> a firm’s response to </w:t>
      </w:r>
      <w:r w:rsidR="00893C56">
        <w:rPr>
          <w:rFonts w:ascii="Times New Roman" w:hAnsi="Times New Roman" w:cs="Times New Roman"/>
          <w:color w:val="000000" w:themeColor="text1"/>
        </w:rPr>
        <w:t>coercive/</w:t>
      </w:r>
      <w:r w:rsidR="006D621C" w:rsidRPr="00820C7C">
        <w:rPr>
          <w:rFonts w:ascii="Times New Roman" w:hAnsi="Times New Roman" w:cs="Times New Roman"/>
          <w:color w:val="000000" w:themeColor="text1"/>
        </w:rPr>
        <w:t>regulative</w:t>
      </w:r>
      <w:r w:rsidR="00283488">
        <w:rPr>
          <w:rFonts w:ascii="Times New Roman" w:hAnsi="Times New Roman" w:cs="Times New Roman"/>
          <w:color w:val="000000" w:themeColor="text1"/>
        </w:rPr>
        <w:t xml:space="preserve">, </w:t>
      </w:r>
      <w:r w:rsidR="00893C56">
        <w:rPr>
          <w:rFonts w:ascii="Times New Roman" w:hAnsi="Times New Roman" w:cs="Times New Roman"/>
          <w:color w:val="000000" w:themeColor="text1"/>
        </w:rPr>
        <w:t>cognitive/</w:t>
      </w:r>
      <w:r w:rsidR="00283488">
        <w:rPr>
          <w:rFonts w:ascii="Times New Roman" w:hAnsi="Times New Roman" w:cs="Times New Roman"/>
          <w:color w:val="000000" w:themeColor="text1"/>
        </w:rPr>
        <w:t>mimetic and normative</w:t>
      </w:r>
      <w:r w:rsidR="006D621C" w:rsidRPr="00820C7C">
        <w:rPr>
          <w:rFonts w:ascii="Times New Roman" w:hAnsi="Times New Roman" w:cs="Times New Roman"/>
          <w:color w:val="000000" w:themeColor="text1"/>
        </w:rPr>
        <w:t xml:space="preserve"> institutional pressure</w:t>
      </w:r>
      <w:r w:rsidR="006E71FC">
        <w:rPr>
          <w:rFonts w:ascii="Times New Roman" w:hAnsi="Times New Roman" w:cs="Times New Roman"/>
          <w:color w:val="000000" w:themeColor="text1"/>
        </w:rPr>
        <w:t>s</w:t>
      </w:r>
      <w:r w:rsidR="006D621C" w:rsidRPr="00820C7C">
        <w:rPr>
          <w:rFonts w:ascii="Times New Roman" w:hAnsi="Times New Roman" w:cs="Times New Roman"/>
          <w:color w:val="000000" w:themeColor="text1"/>
        </w:rPr>
        <w:t xml:space="preserve"> is </w:t>
      </w:r>
      <w:r w:rsidR="007257C3">
        <w:rPr>
          <w:rFonts w:ascii="Times New Roman" w:hAnsi="Times New Roman" w:cs="Times New Roman"/>
          <w:color w:val="000000" w:themeColor="text1"/>
        </w:rPr>
        <w:t xml:space="preserve">often </w:t>
      </w:r>
      <w:r w:rsidR="006D621C" w:rsidRPr="00820C7C">
        <w:rPr>
          <w:rFonts w:ascii="Times New Roman" w:hAnsi="Times New Roman" w:cs="Times New Roman"/>
          <w:color w:val="000000" w:themeColor="text1"/>
        </w:rPr>
        <w:t xml:space="preserve">driven by two </w:t>
      </w:r>
      <w:r w:rsidR="006D621C" w:rsidRPr="00820C7C">
        <w:rPr>
          <w:rFonts w:ascii="Times New Roman" w:hAnsi="Times New Roman" w:cs="Times New Roman"/>
          <w:color w:val="000000" w:themeColor="text1"/>
        </w:rPr>
        <w:lastRenderedPageBreak/>
        <w:t>motives: legitimisation</w:t>
      </w:r>
      <w:r w:rsidR="00E93CC4">
        <w:rPr>
          <w:rFonts w:ascii="Times New Roman" w:hAnsi="Times New Roman" w:cs="Times New Roman"/>
          <w:color w:val="000000" w:themeColor="text1"/>
        </w:rPr>
        <w:t xml:space="preserve"> (symbolic)</w:t>
      </w:r>
      <w:r w:rsidR="006D621C" w:rsidRPr="00820C7C">
        <w:rPr>
          <w:rFonts w:ascii="Times New Roman" w:hAnsi="Times New Roman" w:cs="Times New Roman"/>
          <w:color w:val="000000" w:themeColor="text1"/>
        </w:rPr>
        <w:t xml:space="preserve"> a</w:t>
      </w:r>
      <w:r w:rsidR="00D62705">
        <w:rPr>
          <w:rFonts w:ascii="Times New Roman" w:hAnsi="Times New Roman" w:cs="Times New Roman"/>
          <w:color w:val="000000" w:themeColor="text1"/>
        </w:rPr>
        <w:t>nd efficiency</w:t>
      </w:r>
      <w:r w:rsidR="00E93CC4">
        <w:rPr>
          <w:rFonts w:ascii="Times New Roman" w:hAnsi="Times New Roman" w:cs="Times New Roman"/>
          <w:color w:val="000000" w:themeColor="text1"/>
        </w:rPr>
        <w:t xml:space="preserve"> (substantive)</w:t>
      </w:r>
      <w:r w:rsidR="00D62705">
        <w:rPr>
          <w:rFonts w:ascii="Times New Roman" w:hAnsi="Times New Roman" w:cs="Times New Roman"/>
          <w:color w:val="000000" w:themeColor="text1"/>
        </w:rPr>
        <w:t xml:space="preserve"> (e.g., </w:t>
      </w:r>
      <w:r w:rsidR="00235DAA">
        <w:rPr>
          <w:rFonts w:ascii="Times New Roman" w:hAnsi="Times New Roman" w:cs="Times New Roman"/>
        </w:rPr>
        <w:t xml:space="preserve">DiMaggio </w:t>
      </w:r>
      <w:r w:rsidR="00C0507B">
        <w:rPr>
          <w:rFonts w:ascii="Times New Roman" w:hAnsi="Times New Roman" w:cs="Times New Roman"/>
        </w:rPr>
        <w:t>and</w:t>
      </w:r>
      <w:r w:rsidR="00235DAA" w:rsidRPr="00820C7C">
        <w:rPr>
          <w:rFonts w:ascii="Times New Roman" w:hAnsi="Times New Roman" w:cs="Times New Roman"/>
        </w:rPr>
        <w:t xml:space="preserve"> Powell, 1983</w:t>
      </w:r>
      <w:r w:rsidR="006D621C" w:rsidRPr="00820C7C">
        <w:rPr>
          <w:rFonts w:ascii="Times New Roman" w:hAnsi="Times New Roman" w:cs="Times New Roman"/>
          <w:color w:val="000000" w:themeColor="text1"/>
        </w:rPr>
        <w:t>). From a legitimisation</w:t>
      </w:r>
      <w:r w:rsidR="001009F8">
        <w:rPr>
          <w:rFonts w:ascii="Times New Roman" w:hAnsi="Times New Roman" w:cs="Times New Roman"/>
          <w:color w:val="000000" w:themeColor="text1"/>
        </w:rPr>
        <w:t>/moral</w:t>
      </w:r>
      <w:r w:rsidR="006D621C" w:rsidRPr="00820C7C">
        <w:rPr>
          <w:rFonts w:ascii="Times New Roman" w:hAnsi="Times New Roman" w:cs="Times New Roman"/>
          <w:color w:val="000000" w:themeColor="text1"/>
        </w:rPr>
        <w:t xml:space="preserve"> perspective, firms </w:t>
      </w:r>
      <w:r w:rsidR="00E93CC4">
        <w:rPr>
          <w:rFonts w:ascii="Times New Roman" w:hAnsi="Times New Roman" w:cs="Times New Roman"/>
          <w:color w:val="000000" w:themeColor="text1"/>
        </w:rPr>
        <w:t xml:space="preserve">may symbolically </w:t>
      </w:r>
      <w:r w:rsidR="006D621C" w:rsidRPr="00820C7C">
        <w:rPr>
          <w:rFonts w:ascii="Times New Roman" w:hAnsi="Times New Roman" w:cs="Times New Roman"/>
          <w:color w:val="000000" w:themeColor="text1"/>
        </w:rPr>
        <w:t>comply with regulative institutional pressure</w:t>
      </w:r>
      <w:r w:rsidR="00D478AF">
        <w:rPr>
          <w:rFonts w:ascii="Times New Roman" w:hAnsi="Times New Roman" w:cs="Times New Roman"/>
          <w:color w:val="000000" w:themeColor="text1"/>
        </w:rPr>
        <w:t>s</w:t>
      </w:r>
      <w:r w:rsidR="00D62705">
        <w:rPr>
          <w:rFonts w:ascii="Times New Roman" w:hAnsi="Times New Roman" w:cs="Times New Roman"/>
          <w:color w:val="000000" w:themeColor="text1"/>
        </w:rPr>
        <w:t>,</w:t>
      </w:r>
      <w:r w:rsidR="006D621C" w:rsidRPr="00820C7C">
        <w:rPr>
          <w:rFonts w:ascii="Times New Roman" w:hAnsi="Times New Roman" w:cs="Times New Roman"/>
          <w:color w:val="000000" w:themeColor="text1"/>
        </w:rPr>
        <w:t xml:space="preserve"> such as environmental </w:t>
      </w:r>
      <w:r w:rsidR="006E71FC">
        <w:rPr>
          <w:rFonts w:ascii="Times New Roman" w:hAnsi="Times New Roman" w:cs="Times New Roman"/>
          <w:color w:val="000000" w:themeColor="text1"/>
        </w:rPr>
        <w:t xml:space="preserve">policies and </w:t>
      </w:r>
      <w:r w:rsidR="006D621C" w:rsidRPr="00820C7C">
        <w:rPr>
          <w:rFonts w:ascii="Times New Roman" w:hAnsi="Times New Roman" w:cs="Times New Roman"/>
          <w:color w:val="000000" w:themeColor="text1"/>
        </w:rPr>
        <w:t>regulations</w:t>
      </w:r>
      <w:r w:rsidR="007257C3">
        <w:rPr>
          <w:rFonts w:ascii="Times New Roman" w:hAnsi="Times New Roman" w:cs="Times New Roman"/>
          <w:color w:val="000000" w:themeColor="text1"/>
        </w:rPr>
        <w:t>,</w:t>
      </w:r>
      <w:r w:rsidR="006D621C" w:rsidRPr="00820C7C">
        <w:rPr>
          <w:rFonts w:ascii="Times New Roman" w:hAnsi="Times New Roman" w:cs="Times New Roman"/>
          <w:color w:val="000000" w:themeColor="text1"/>
        </w:rPr>
        <w:t xml:space="preserve"> by adopting corporate social st</w:t>
      </w:r>
      <w:r w:rsidR="00D478AF">
        <w:rPr>
          <w:rFonts w:ascii="Times New Roman" w:hAnsi="Times New Roman" w:cs="Times New Roman"/>
          <w:color w:val="000000" w:themeColor="text1"/>
        </w:rPr>
        <w:t>rategies that can help them</w:t>
      </w:r>
      <w:r w:rsidR="006D621C" w:rsidRPr="00820C7C">
        <w:rPr>
          <w:rFonts w:ascii="Times New Roman" w:hAnsi="Times New Roman" w:cs="Times New Roman"/>
          <w:color w:val="000000" w:themeColor="text1"/>
        </w:rPr>
        <w:t xml:space="preserve"> to gain (extend), maintain, and repair (defend</w:t>
      </w:r>
      <w:r w:rsidR="007257C3">
        <w:rPr>
          <w:rFonts w:ascii="Times New Roman" w:hAnsi="Times New Roman" w:cs="Times New Roman"/>
          <w:color w:val="000000" w:themeColor="text1"/>
        </w:rPr>
        <w:t>) organisational legitimacy (e.g.</w:t>
      </w:r>
      <w:r w:rsidR="006D621C" w:rsidRPr="00820C7C">
        <w:rPr>
          <w:rFonts w:ascii="Times New Roman" w:hAnsi="Times New Roman" w:cs="Times New Roman"/>
          <w:color w:val="000000" w:themeColor="text1"/>
        </w:rPr>
        <w:t>, Ntim, 2016</w:t>
      </w:r>
      <w:r w:rsidR="00235DAA">
        <w:rPr>
          <w:rFonts w:ascii="Times New Roman" w:hAnsi="Times New Roman" w:cs="Times New Roman"/>
          <w:color w:val="000000" w:themeColor="text1"/>
        </w:rPr>
        <w:t xml:space="preserve">; </w:t>
      </w:r>
      <w:r w:rsidR="00235DAA" w:rsidRPr="00820C7C">
        <w:rPr>
          <w:rFonts w:ascii="Times New Roman" w:hAnsi="Times New Roman" w:cs="Times New Roman"/>
          <w:color w:val="000000" w:themeColor="text1"/>
        </w:rPr>
        <w:t>Oliver, 1991</w:t>
      </w:r>
      <w:r w:rsidR="006D621C" w:rsidRPr="00820C7C">
        <w:rPr>
          <w:rFonts w:ascii="Times New Roman" w:hAnsi="Times New Roman" w:cs="Times New Roman"/>
          <w:color w:val="000000" w:themeColor="text1"/>
        </w:rPr>
        <w:t xml:space="preserve">). On the other hand, the efficiency/instrumental view suggests that firms </w:t>
      </w:r>
      <w:r w:rsidR="00E93CC4">
        <w:rPr>
          <w:rFonts w:ascii="Times New Roman" w:hAnsi="Times New Roman" w:cs="Times New Roman"/>
          <w:color w:val="000000" w:themeColor="text1"/>
        </w:rPr>
        <w:t xml:space="preserve">may substantively </w:t>
      </w:r>
      <w:r w:rsidR="006D621C" w:rsidRPr="00820C7C">
        <w:rPr>
          <w:rFonts w:ascii="Times New Roman" w:hAnsi="Times New Roman" w:cs="Times New Roman"/>
          <w:color w:val="000000" w:themeColor="text1"/>
        </w:rPr>
        <w:t xml:space="preserve">engage in social and environmental practices </w:t>
      </w:r>
      <w:r w:rsidR="00D478AF">
        <w:rPr>
          <w:rFonts w:ascii="Times New Roman" w:hAnsi="Times New Roman" w:cs="Times New Roman"/>
          <w:color w:val="000000" w:themeColor="text1"/>
        </w:rPr>
        <w:t xml:space="preserve">in order </w:t>
      </w:r>
      <w:r w:rsidR="006D621C" w:rsidRPr="00820C7C">
        <w:rPr>
          <w:rFonts w:ascii="Times New Roman" w:hAnsi="Times New Roman" w:cs="Times New Roman"/>
          <w:color w:val="000000" w:themeColor="text1"/>
        </w:rPr>
        <w:t xml:space="preserve">to protect shareholders’ interests and enhance financial performance (Aguilera et al., 2007). This is likely to be particularly relevant in the context of </w:t>
      </w:r>
      <w:r w:rsidR="00210062">
        <w:rPr>
          <w:rFonts w:ascii="Times New Roman" w:hAnsi="Times New Roman" w:cs="Times New Roman"/>
          <w:color w:val="000000" w:themeColor="text1"/>
        </w:rPr>
        <w:t>climate-related commitments</w:t>
      </w:r>
      <w:r w:rsidR="006D621C" w:rsidRPr="00820C7C">
        <w:rPr>
          <w:rFonts w:ascii="Times New Roman" w:hAnsi="Times New Roman" w:cs="Times New Roman"/>
          <w:color w:val="000000" w:themeColor="text1"/>
        </w:rPr>
        <w:t xml:space="preserve"> that require</w:t>
      </w:r>
      <w:r w:rsidR="00E33CAD">
        <w:rPr>
          <w:rFonts w:ascii="Times New Roman" w:hAnsi="Times New Roman" w:cs="Times New Roman"/>
          <w:color w:val="000000" w:themeColor="text1"/>
        </w:rPr>
        <w:t xml:space="preserve"> significant</w:t>
      </w:r>
      <w:r w:rsidR="006D621C" w:rsidRPr="00820C7C">
        <w:rPr>
          <w:rFonts w:ascii="Times New Roman" w:hAnsi="Times New Roman" w:cs="Times New Roman"/>
          <w:color w:val="000000" w:themeColor="text1"/>
        </w:rPr>
        <w:t xml:space="preserve"> long-term investments without immediate financial benefits, </w:t>
      </w:r>
      <w:r w:rsidR="006E71FC">
        <w:rPr>
          <w:rFonts w:ascii="Times New Roman" w:hAnsi="Times New Roman" w:cs="Times New Roman"/>
          <w:color w:val="000000" w:themeColor="text1"/>
        </w:rPr>
        <w:t>and therefore</w:t>
      </w:r>
      <w:r w:rsidR="006D621C" w:rsidRPr="00820C7C">
        <w:rPr>
          <w:rFonts w:ascii="Times New Roman" w:hAnsi="Times New Roman" w:cs="Times New Roman"/>
          <w:color w:val="000000" w:themeColor="text1"/>
        </w:rPr>
        <w:t xml:space="preserve"> might </w:t>
      </w:r>
      <w:r w:rsidR="00E00BA5">
        <w:rPr>
          <w:rFonts w:ascii="Times New Roman" w:hAnsi="Times New Roman" w:cs="Times New Roman"/>
          <w:color w:val="000000" w:themeColor="text1"/>
        </w:rPr>
        <w:t xml:space="preserve">arguably </w:t>
      </w:r>
      <w:r w:rsidR="006D621C" w:rsidRPr="00820C7C">
        <w:rPr>
          <w:rFonts w:ascii="Times New Roman" w:hAnsi="Times New Roman" w:cs="Times New Roman"/>
          <w:color w:val="000000" w:themeColor="text1"/>
        </w:rPr>
        <w:t>discourage</w:t>
      </w:r>
      <w:r w:rsidR="00AD60FF">
        <w:rPr>
          <w:rFonts w:ascii="Times New Roman" w:hAnsi="Times New Roman" w:cs="Times New Roman"/>
          <w:color w:val="000000" w:themeColor="text1"/>
        </w:rPr>
        <w:t xml:space="preserve"> powerful executives</w:t>
      </w:r>
      <w:r w:rsidR="006D621C" w:rsidRPr="00820C7C">
        <w:rPr>
          <w:rFonts w:ascii="Times New Roman" w:hAnsi="Times New Roman" w:cs="Times New Roman"/>
          <w:color w:val="000000" w:themeColor="text1"/>
        </w:rPr>
        <w:t xml:space="preserve"> </w:t>
      </w:r>
      <w:r w:rsidR="00F663B0">
        <w:rPr>
          <w:rFonts w:ascii="Times New Roman" w:hAnsi="Times New Roman" w:cs="Times New Roman"/>
          <w:color w:val="000000" w:themeColor="text1"/>
        </w:rPr>
        <w:t>from</w:t>
      </w:r>
      <w:r w:rsidR="006D621C" w:rsidRPr="00820C7C">
        <w:rPr>
          <w:rFonts w:ascii="Times New Roman" w:hAnsi="Times New Roman" w:cs="Times New Roman"/>
          <w:color w:val="000000" w:themeColor="text1"/>
        </w:rPr>
        <w:t xml:space="preserve"> </w:t>
      </w:r>
      <w:r w:rsidR="002924B0">
        <w:rPr>
          <w:rFonts w:ascii="Times New Roman" w:hAnsi="Times New Roman" w:cs="Times New Roman"/>
          <w:color w:val="000000" w:themeColor="text1"/>
        </w:rPr>
        <w:t>engaging in</w:t>
      </w:r>
      <w:r w:rsidR="006D621C" w:rsidRPr="00820C7C">
        <w:rPr>
          <w:rFonts w:ascii="Times New Roman" w:hAnsi="Times New Roman" w:cs="Times New Roman"/>
          <w:color w:val="000000" w:themeColor="text1"/>
        </w:rPr>
        <w:t xml:space="preserve"> substantive </w:t>
      </w:r>
      <w:r w:rsidR="006E71FC">
        <w:rPr>
          <w:rFonts w:ascii="Times New Roman" w:hAnsi="Times New Roman" w:cs="Times New Roman"/>
          <w:color w:val="000000" w:themeColor="text1"/>
        </w:rPr>
        <w:t>environmental performance management</w:t>
      </w:r>
      <w:r w:rsidR="00D478AF">
        <w:rPr>
          <w:rFonts w:ascii="Times New Roman" w:hAnsi="Times New Roman" w:cs="Times New Roman"/>
          <w:color w:val="000000" w:themeColor="text1"/>
        </w:rPr>
        <w:t xml:space="preserve">. </w:t>
      </w:r>
      <w:r w:rsidR="00697732">
        <w:rPr>
          <w:rFonts w:ascii="Times New Roman" w:hAnsi="Times New Roman" w:cs="Times New Roman"/>
          <w:color w:val="000000" w:themeColor="text1"/>
        </w:rPr>
        <w:t xml:space="preserve">In this case, </w:t>
      </w:r>
      <w:r w:rsidR="004F688A">
        <w:rPr>
          <w:rFonts w:ascii="Times New Roman" w:hAnsi="Times New Roman" w:cs="Times New Roman"/>
          <w:color w:val="000000" w:themeColor="text1"/>
        </w:rPr>
        <w:t xml:space="preserve">firms may </w:t>
      </w:r>
      <w:r w:rsidR="003A0F62">
        <w:rPr>
          <w:rFonts w:ascii="Times New Roman" w:hAnsi="Times New Roman" w:cs="Times New Roman"/>
          <w:color w:val="000000" w:themeColor="text1"/>
        </w:rPr>
        <w:t xml:space="preserve">symbolically </w:t>
      </w:r>
      <w:r w:rsidR="004F688A">
        <w:rPr>
          <w:rFonts w:ascii="Times New Roman" w:hAnsi="Times New Roman" w:cs="Times New Roman"/>
          <w:color w:val="000000" w:themeColor="text1"/>
        </w:rPr>
        <w:t>implement a</w:t>
      </w:r>
      <w:r w:rsidR="00FF525D">
        <w:rPr>
          <w:rFonts w:ascii="Times New Roman" w:hAnsi="Times New Roman" w:cs="Times New Roman"/>
          <w:color w:val="000000" w:themeColor="text1"/>
        </w:rPr>
        <w:t xml:space="preserve"> wide range of </w:t>
      </w:r>
      <w:r w:rsidR="00765154">
        <w:rPr>
          <w:rFonts w:ascii="Times New Roman" w:hAnsi="Times New Roman" w:cs="Times New Roman"/>
          <w:color w:val="000000" w:themeColor="text1"/>
        </w:rPr>
        <w:t>CRIs</w:t>
      </w:r>
      <w:r w:rsidR="00FF525D">
        <w:rPr>
          <w:rFonts w:ascii="Times New Roman" w:hAnsi="Times New Roman" w:cs="Times New Roman"/>
          <w:color w:val="000000" w:themeColor="text1"/>
        </w:rPr>
        <w:t xml:space="preserve"> </w:t>
      </w:r>
      <w:r w:rsidR="001C7F41">
        <w:rPr>
          <w:rFonts w:ascii="Times New Roman" w:hAnsi="Times New Roman" w:cs="Times New Roman"/>
          <w:color w:val="000000" w:themeColor="text1"/>
        </w:rPr>
        <w:t xml:space="preserve">that are presumably </w:t>
      </w:r>
      <w:r w:rsidR="00FF525D">
        <w:rPr>
          <w:rFonts w:ascii="Times New Roman" w:hAnsi="Times New Roman" w:cs="Times New Roman"/>
          <w:color w:val="000000" w:themeColor="text1"/>
        </w:rPr>
        <w:t xml:space="preserve">inspired by the CCA, but such initiatives </w:t>
      </w:r>
      <w:r w:rsidR="00D13F4E">
        <w:rPr>
          <w:rFonts w:ascii="Times New Roman" w:hAnsi="Times New Roman" w:cs="Times New Roman"/>
          <w:color w:val="000000" w:themeColor="text1"/>
        </w:rPr>
        <w:t>may</w:t>
      </w:r>
      <w:r w:rsidR="00FF525D">
        <w:rPr>
          <w:rFonts w:ascii="Times New Roman" w:hAnsi="Times New Roman" w:cs="Times New Roman"/>
          <w:color w:val="000000" w:themeColor="text1"/>
        </w:rPr>
        <w:t xml:space="preserve"> have no</w:t>
      </w:r>
      <w:r w:rsidR="003A0F62">
        <w:rPr>
          <w:rFonts w:ascii="Times New Roman" w:hAnsi="Times New Roman" w:cs="Times New Roman"/>
          <w:color w:val="000000" w:themeColor="text1"/>
        </w:rPr>
        <w:t xml:space="preserve"> substantive</w:t>
      </w:r>
      <w:r w:rsidR="00FF525D">
        <w:rPr>
          <w:rFonts w:ascii="Times New Roman" w:hAnsi="Times New Roman" w:cs="Times New Roman"/>
          <w:color w:val="000000" w:themeColor="text1"/>
        </w:rPr>
        <w:t xml:space="preserve"> impact </w:t>
      </w:r>
      <w:r w:rsidR="00765154">
        <w:rPr>
          <w:rFonts w:ascii="Times New Roman" w:hAnsi="Times New Roman" w:cs="Times New Roman"/>
          <w:color w:val="000000" w:themeColor="text1"/>
        </w:rPr>
        <w:t xml:space="preserve">on </w:t>
      </w:r>
      <w:r w:rsidR="00FF525D">
        <w:rPr>
          <w:rFonts w:ascii="Times New Roman" w:hAnsi="Times New Roman" w:cs="Times New Roman"/>
          <w:color w:val="000000" w:themeColor="text1"/>
        </w:rPr>
        <w:t>actual carbon</w:t>
      </w:r>
      <w:r w:rsidR="002172ED">
        <w:rPr>
          <w:rFonts w:ascii="Times New Roman" w:hAnsi="Times New Roman" w:cs="Times New Roman"/>
          <w:color w:val="000000" w:themeColor="text1"/>
        </w:rPr>
        <w:t xml:space="preserve"> (GHG emissions)</w:t>
      </w:r>
      <w:r w:rsidR="00FF525D">
        <w:rPr>
          <w:rFonts w:ascii="Times New Roman" w:hAnsi="Times New Roman" w:cs="Times New Roman"/>
          <w:color w:val="000000" w:themeColor="text1"/>
        </w:rPr>
        <w:t xml:space="preserve"> performance. </w:t>
      </w:r>
      <w:r w:rsidR="001C7F41">
        <w:rPr>
          <w:rFonts w:ascii="Times New Roman" w:hAnsi="Times New Roman" w:cs="Times New Roman"/>
          <w:color w:val="000000" w:themeColor="text1"/>
        </w:rPr>
        <w:t xml:space="preserve"> </w:t>
      </w:r>
    </w:p>
    <w:p w14:paraId="2320D134" w14:textId="6A1C96F0" w:rsidR="005A3918" w:rsidRDefault="00820C7C" w:rsidP="002974E5">
      <w:pPr>
        <w:autoSpaceDE w:val="0"/>
        <w:autoSpaceDN w:val="0"/>
        <w:adjustRightInd w:val="0"/>
        <w:spacing w:after="0" w:line="360" w:lineRule="auto"/>
        <w:ind w:firstLine="720"/>
        <w:jc w:val="both"/>
        <w:rPr>
          <w:rFonts w:ascii="Times New Roman" w:hAnsi="Times New Roman" w:cs="Times New Roman"/>
        </w:rPr>
      </w:pPr>
      <w:r w:rsidRPr="00820C7C">
        <w:rPr>
          <w:rFonts w:ascii="Times New Roman" w:hAnsi="Times New Roman" w:cs="Times New Roman"/>
        </w:rPr>
        <w:lastRenderedPageBreak/>
        <w:t xml:space="preserve">Consequently, </w:t>
      </w:r>
      <w:r>
        <w:rPr>
          <w:rFonts w:ascii="Times New Roman" w:hAnsi="Times New Roman" w:cs="Times New Roman"/>
        </w:rPr>
        <w:t xml:space="preserve">a small, but gradually increasing number of studies have examined the determinants and effects of </w:t>
      </w:r>
      <w:r w:rsidR="00FE1A4B">
        <w:rPr>
          <w:rFonts w:ascii="Times New Roman" w:hAnsi="Times New Roman" w:cs="Times New Roman"/>
        </w:rPr>
        <w:t>GHG emission</w:t>
      </w:r>
      <w:r w:rsidR="00C16860">
        <w:rPr>
          <w:rFonts w:ascii="Times New Roman" w:hAnsi="Times New Roman" w:cs="Times New Roman"/>
        </w:rPr>
        <w:t>s</w:t>
      </w:r>
      <w:r w:rsidR="00FE1A4B">
        <w:rPr>
          <w:rFonts w:ascii="Times New Roman" w:hAnsi="Times New Roman" w:cs="Times New Roman"/>
        </w:rPr>
        <w:t xml:space="preserve"> and disclosures </w:t>
      </w:r>
      <w:r w:rsidRPr="00820C7C">
        <w:rPr>
          <w:rFonts w:ascii="Times New Roman" w:hAnsi="Times New Roman" w:cs="Times New Roman"/>
        </w:rPr>
        <w:t>(</w:t>
      </w:r>
      <w:r w:rsidR="00492499">
        <w:rPr>
          <w:rFonts w:ascii="Times New Roman" w:hAnsi="Times New Roman" w:cs="Times New Roman"/>
          <w:lang w:val="en-US"/>
        </w:rPr>
        <w:t>Ele</w:t>
      </w:r>
      <w:r w:rsidR="000B0196">
        <w:rPr>
          <w:rFonts w:ascii="Times New Roman" w:hAnsi="Times New Roman" w:cs="Times New Roman"/>
          <w:lang w:val="en-US"/>
        </w:rPr>
        <w:t xml:space="preserve">ftheriadis and Anagnostopoulou, </w:t>
      </w:r>
      <w:r w:rsidR="00492499">
        <w:rPr>
          <w:rFonts w:ascii="Times New Roman" w:hAnsi="Times New Roman" w:cs="Times New Roman"/>
          <w:lang w:val="en-US"/>
        </w:rPr>
        <w:t>2015</w:t>
      </w:r>
      <w:r w:rsidR="000B0196">
        <w:rPr>
          <w:rFonts w:ascii="Times New Roman" w:hAnsi="Times New Roman" w:cs="Times New Roman"/>
          <w:lang w:val="en-US"/>
        </w:rPr>
        <w:t xml:space="preserve">; </w:t>
      </w:r>
      <w:r w:rsidRPr="00820C7C">
        <w:rPr>
          <w:rFonts w:ascii="Times New Roman" w:hAnsi="Times New Roman" w:cs="Times New Roman"/>
        </w:rPr>
        <w:t xml:space="preserve">Bernard et al., 2015; Freedman </w:t>
      </w:r>
      <w:r w:rsidR="00C0507B">
        <w:rPr>
          <w:rFonts w:ascii="Times New Roman" w:hAnsi="Times New Roman" w:cs="Times New Roman"/>
        </w:rPr>
        <w:t xml:space="preserve">and </w:t>
      </w:r>
      <w:r w:rsidRPr="00820C7C">
        <w:rPr>
          <w:rFonts w:ascii="Times New Roman" w:hAnsi="Times New Roman" w:cs="Times New Roman"/>
        </w:rPr>
        <w:t xml:space="preserve">Jaggi, 2005; Liao et al., 2015; Luo </w:t>
      </w:r>
      <w:r w:rsidR="00C0507B">
        <w:rPr>
          <w:rFonts w:ascii="Times New Roman" w:hAnsi="Times New Roman" w:cs="Times New Roman"/>
        </w:rPr>
        <w:t>and</w:t>
      </w:r>
      <w:r w:rsidRPr="00820C7C">
        <w:rPr>
          <w:rFonts w:ascii="Times New Roman" w:hAnsi="Times New Roman" w:cs="Times New Roman"/>
        </w:rPr>
        <w:t xml:space="preserve"> Tang, 2014; Luo et al., 2012; </w:t>
      </w:r>
      <w:r w:rsidRPr="00820C7C">
        <w:rPr>
          <w:rFonts w:ascii="Times New Roman" w:hAnsi="Times New Roman" w:cs="Times New Roman"/>
          <w:color w:val="000000" w:themeColor="text1"/>
        </w:rPr>
        <w:t xml:space="preserve">Matsumura et al., 2014; Rankin et al., 2011; </w:t>
      </w:r>
      <w:r w:rsidRPr="00820C7C">
        <w:rPr>
          <w:rFonts w:ascii="Times New Roman" w:hAnsi="Times New Roman" w:cs="Times New Roman"/>
        </w:rPr>
        <w:t xml:space="preserve">Tauringana </w:t>
      </w:r>
      <w:r w:rsidR="00C0507B">
        <w:rPr>
          <w:rFonts w:ascii="Times New Roman" w:hAnsi="Times New Roman" w:cs="Times New Roman"/>
        </w:rPr>
        <w:t>and</w:t>
      </w:r>
      <w:r w:rsidRPr="00820C7C">
        <w:rPr>
          <w:rFonts w:ascii="Times New Roman" w:hAnsi="Times New Roman" w:cs="Times New Roman"/>
        </w:rPr>
        <w:t xml:space="preserve"> Chithambo, 2015; Ziegler et al., 2011)</w:t>
      </w:r>
      <w:r>
        <w:rPr>
          <w:rFonts w:ascii="Times New Roman" w:hAnsi="Times New Roman" w:cs="Times New Roman"/>
        </w:rPr>
        <w:t>, albeit with a number of observable weaknesses.</w:t>
      </w:r>
      <w:r w:rsidR="00D049D2" w:rsidRPr="00D049D2">
        <w:rPr>
          <w:rFonts w:ascii="Times New Roman" w:hAnsi="Times New Roman" w:cs="Times New Roman"/>
        </w:rPr>
        <w:t xml:space="preserve"> </w:t>
      </w:r>
      <w:r w:rsidR="00D049D2">
        <w:rPr>
          <w:rFonts w:ascii="Times New Roman" w:hAnsi="Times New Roman" w:cs="Times New Roman"/>
        </w:rPr>
        <w:t>First</w:t>
      </w:r>
      <w:r w:rsidR="00D049D2" w:rsidRPr="00E41707">
        <w:rPr>
          <w:rFonts w:ascii="Times New Roman" w:hAnsi="Times New Roman" w:cs="Times New Roman"/>
        </w:rPr>
        <w:t>, little is known</w:t>
      </w:r>
      <w:r w:rsidR="00021E63">
        <w:rPr>
          <w:rFonts w:ascii="Times New Roman" w:hAnsi="Times New Roman" w:cs="Times New Roman"/>
        </w:rPr>
        <w:t xml:space="preserve"> </w:t>
      </w:r>
      <w:r w:rsidR="00D049D2" w:rsidRPr="00E41707">
        <w:rPr>
          <w:rFonts w:ascii="Times New Roman" w:hAnsi="Times New Roman" w:cs="Times New Roman"/>
        </w:rPr>
        <w:t>about the effect of carbon-specific legislation</w:t>
      </w:r>
      <w:r w:rsidR="00D049D2">
        <w:rPr>
          <w:rFonts w:ascii="Times New Roman" w:hAnsi="Times New Roman" w:cs="Times New Roman"/>
        </w:rPr>
        <w:t xml:space="preserve"> on carbon performance of </w:t>
      </w:r>
      <w:r w:rsidR="00D049D2" w:rsidRPr="00E41707">
        <w:rPr>
          <w:rFonts w:ascii="Times New Roman" w:hAnsi="Times New Roman" w:cs="Times New Roman"/>
        </w:rPr>
        <w:t>firm</w:t>
      </w:r>
      <w:r w:rsidR="00D049D2">
        <w:rPr>
          <w:rFonts w:ascii="Times New Roman" w:hAnsi="Times New Roman" w:cs="Times New Roman"/>
        </w:rPr>
        <w:t>s</w:t>
      </w:r>
      <w:r w:rsidR="00D049D2" w:rsidRPr="00E41707">
        <w:rPr>
          <w:rFonts w:ascii="Times New Roman" w:hAnsi="Times New Roman" w:cs="Times New Roman"/>
        </w:rPr>
        <w:t xml:space="preserve">, </w:t>
      </w:r>
      <w:r w:rsidR="00C04297">
        <w:rPr>
          <w:rFonts w:ascii="Times New Roman" w:hAnsi="Times New Roman" w:cs="Times New Roman"/>
        </w:rPr>
        <w:t xml:space="preserve">with the few </w:t>
      </w:r>
      <w:r w:rsidR="00394801">
        <w:rPr>
          <w:rFonts w:ascii="Times New Roman" w:hAnsi="Times New Roman" w:cs="Times New Roman"/>
        </w:rPr>
        <w:t xml:space="preserve">existing </w:t>
      </w:r>
      <w:r w:rsidR="00C04297">
        <w:rPr>
          <w:rFonts w:ascii="Times New Roman" w:hAnsi="Times New Roman" w:cs="Times New Roman"/>
        </w:rPr>
        <w:t xml:space="preserve">studies focusing primarily on measuring the effect of environmental </w:t>
      </w:r>
      <w:r w:rsidR="00FF7D35">
        <w:rPr>
          <w:rFonts w:ascii="Times New Roman" w:hAnsi="Times New Roman" w:cs="Times New Roman"/>
        </w:rPr>
        <w:t xml:space="preserve">policies </w:t>
      </w:r>
      <w:r w:rsidR="00D56814">
        <w:rPr>
          <w:rFonts w:ascii="Times New Roman" w:hAnsi="Times New Roman" w:cs="Times New Roman"/>
        </w:rPr>
        <w:t xml:space="preserve">and </w:t>
      </w:r>
      <w:r w:rsidR="00C04297">
        <w:rPr>
          <w:rFonts w:ascii="Times New Roman" w:hAnsi="Times New Roman" w:cs="Times New Roman"/>
        </w:rPr>
        <w:t>regulations</w:t>
      </w:r>
      <w:r w:rsidR="00D049D2" w:rsidRPr="00E41707">
        <w:rPr>
          <w:rFonts w:ascii="Times New Roman" w:hAnsi="Times New Roman" w:cs="Times New Roman"/>
        </w:rPr>
        <w:t xml:space="preserve"> on carbon disclosures. For example, </w:t>
      </w:r>
      <w:hyperlink r:id="rId10" w:history="1">
        <w:r w:rsidR="00D049D2" w:rsidRPr="00E41707">
          <w:rPr>
            <w:rStyle w:val="Hyperlink"/>
            <w:rFonts w:ascii="Times New Roman" w:hAnsi="Times New Roman" w:cs="Times New Roman"/>
            <w:color w:val="000000" w:themeColor="text1"/>
            <w:u w:val="none"/>
          </w:rPr>
          <w:t>Tauringana</w:t>
        </w:r>
      </w:hyperlink>
      <w:r w:rsidR="00D049D2" w:rsidRPr="00E41707">
        <w:rPr>
          <w:rFonts w:ascii="Times New Roman" w:hAnsi="Times New Roman" w:cs="Times New Roman"/>
          <w:color w:val="000000" w:themeColor="text1"/>
        </w:rPr>
        <w:t xml:space="preserve"> </w:t>
      </w:r>
      <w:r w:rsidR="00C0507B">
        <w:rPr>
          <w:rFonts w:ascii="Times New Roman" w:hAnsi="Times New Roman" w:cs="Times New Roman"/>
          <w:color w:val="000000" w:themeColor="text1"/>
        </w:rPr>
        <w:t>and</w:t>
      </w:r>
      <w:r w:rsidR="00D049D2" w:rsidRPr="00E41707">
        <w:rPr>
          <w:rFonts w:ascii="Times New Roman" w:hAnsi="Times New Roman" w:cs="Times New Roman"/>
          <w:color w:val="000000" w:themeColor="text1"/>
        </w:rPr>
        <w:t xml:space="preserve"> </w:t>
      </w:r>
      <w:hyperlink r:id="rId11" w:history="1">
        <w:r w:rsidR="00D049D2" w:rsidRPr="00E41707">
          <w:rPr>
            <w:rStyle w:val="Hyperlink"/>
            <w:rFonts w:ascii="Times New Roman" w:hAnsi="Times New Roman" w:cs="Times New Roman"/>
            <w:color w:val="000000" w:themeColor="text1"/>
            <w:u w:val="none"/>
          </w:rPr>
          <w:t>Chithambo</w:t>
        </w:r>
      </w:hyperlink>
      <w:r w:rsidR="00D049D2" w:rsidRPr="00E41707">
        <w:rPr>
          <w:rFonts w:ascii="Times New Roman" w:hAnsi="Times New Roman" w:cs="Times New Roman"/>
          <w:color w:val="000000" w:themeColor="text1"/>
        </w:rPr>
        <w:t xml:space="preserve"> (2015) examine the effect of the </w:t>
      </w:r>
      <w:r w:rsidR="00C04297">
        <w:rPr>
          <w:rFonts w:ascii="Times New Roman" w:hAnsi="Times New Roman" w:cs="Times New Roman"/>
          <w:color w:val="000000" w:themeColor="text1"/>
        </w:rPr>
        <w:t xml:space="preserve">UK’s </w:t>
      </w:r>
      <w:r w:rsidR="00D049D2" w:rsidRPr="00E41707">
        <w:rPr>
          <w:rFonts w:ascii="Times New Roman" w:hAnsi="Times New Roman" w:cs="Times New Roman"/>
        </w:rPr>
        <w:t>De</w:t>
      </w:r>
      <w:r w:rsidR="00C04297">
        <w:rPr>
          <w:rFonts w:ascii="Times New Roman" w:hAnsi="Times New Roman" w:cs="Times New Roman"/>
        </w:rPr>
        <w:t>partment for Environment, Food and</w:t>
      </w:r>
      <w:r w:rsidR="00D049D2" w:rsidRPr="00E41707">
        <w:rPr>
          <w:rFonts w:ascii="Times New Roman" w:hAnsi="Times New Roman" w:cs="Times New Roman"/>
        </w:rPr>
        <w:t xml:space="preserve"> Rural Affairs (</w:t>
      </w:r>
      <w:r w:rsidR="00D049D2" w:rsidRPr="00E41707">
        <w:rPr>
          <w:rFonts w:ascii="Times New Roman" w:hAnsi="Times New Roman" w:cs="Times New Roman"/>
          <w:color w:val="000000" w:themeColor="text1"/>
        </w:rPr>
        <w:t>DEFRA) guidance of GHG disclosures of FTSE350 companies, and find that the DEFRA guidance has a significant positive effect o</w:t>
      </w:r>
      <w:r w:rsidR="003A5C88">
        <w:rPr>
          <w:rFonts w:ascii="Times New Roman" w:hAnsi="Times New Roman" w:cs="Times New Roman"/>
          <w:color w:val="000000" w:themeColor="text1"/>
        </w:rPr>
        <w:t>n</w:t>
      </w:r>
      <w:r w:rsidR="00D049D2" w:rsidRPr="00E41707">
        <w:rPr>
          <w:rFonts w:ascii="Times New Roman" w:hAnsi="Times New Roman" w:cs="Times New Roman"/>
          <w:color w:val="000000" w:themeColor="text1"/>
        </w:rPr>
        <w:t xml:space="preserve"> GHG disclosures. </w:t>
      </w:r>
      <w:r w:rsidR="00C04297">
        <w:rPr>
          <w:rFonts w:ascii="Times New Roman" w:hAnsi="Times New Roman" w:cs="Times New Roman"/>
          <w:color w:val="000000" w:themeColor="text1"/>
        </w:rPr>
        <w:t>Similar positive effect of environmental regulations on GHG disclosures ha</w:t>
      </w:r>
      <w:r w:rsidR="00FF7D35">
        <w:rPr>
          <w:rFonts w:ascii="Times New Roman" w:hAnsi="Times New Roman" w:cs="Times New Roman"/>
          <w:color w:val="000000" w:themeColor="text1"/>
        </w:rPr>
        <w:t>s</w:t>
      </w:r>
      <w:r w:rsidR="00C04297">
        <w:rPr>
          <w:rFonts w:ascii="Times New Roman" w:hAnsi="Times New Roman" w:cs="Times New Roman"/>
          <w:color w:val="000000" w:themeColor="text1"/>
        </w:rPr>
        <w:t xml:space="preserve"> been reported </w:t>
      </w:r>
      <w:r w:rsidR="00A318C3">
        <w:rPr>
          <w:rFonts w:ascii="Times New Roman" w:hAnsi="Times New Roman" w:cs="Times New Roman"/>
          <w:color w:val="000000" w:themeColor="text1"/>
        </w:rPr>
        <w:t xml:space="preserve">by </w:t>
      </w:r>
      <w:r w:rsidR="00C04297">
        <w:rPr>
          <w:rFonts w:ascii="Times New Roman" w:hAnsi="Times New Roman" w:cs="Times New Roman"/>
          <w:color w:val="000000" w:themeColor="text1"/>
        </w:rPr>
        <w:t xml:space="preserve">previous studies (e.g., </w:t>
      </w:r>
      <w:r w:rsidR="00C04297">
        <w:rPr>
          <w:rFonts w:ascii="Times New Roman" w:hAnsi="Times New Roman" w:cs="Times New Roman"/>
        </w:rPr>
        <w:t xml:space="preserve">Freedman </w:t>
      </w:r>
      <w:r w:rsidR="00580BE4">
        <w:rPr>
          <w:rFonts w:ascii="Times New Roman" w:hAnsi="Times New Roman" w:cs="Times New Roman"/>
        </w:rPr>
        <w:t>and</w:t>
      </w:r>
      <w:r w:rsidR="00C04297">
        <w:rPr>
          <w:rFonts w:ascii="Times New Roman" w:hAnsi="Times New Roman" w:cs="Times New Roman"/>
        </w:rPr>
        <w:t xml:space="preserve"> Jaggi, 2011; Ran</w:t>
      </w:r>
      <w:r w:rsidR="00C04297">
        <w:rPr>
          <w:rFonts w:ascii="Times New Roman" w:hAnsi="Times New Roman" w:cs="Times New Roman"/>
        </w:rPr>
        <w:lastRenderedPageBreak/>
        <w:t xml:space="preserve">kin et al., </w:t>
      </w:r>
      <w:r w:rsidR="00D049D2" w:rsidRPr="00E41707">
        <w:rPr>
          <w:rFonts w:ascii="Times New Roman" w:hAnsi="Times New Roman" w:cs="Times New Roman"/>
        </w:rPr>
        <w:t>2011</w:t>
      </w:r>
      <w:r w:rsidR="00C04297">
        <w:rPr>
          <w:rFonts w:ascii="Times New Roman" w:hAnsi="Times New Roman" w:cs="Times New Roman"/>
        </w:rPr>
        <w:t>; Russo,</w:t>
      </w:r>
      <w:r w:rsidR="00D049D2" w:rsidRPr="00E41707">
        <w:rPr>
          <w:rFonts w:ascii="Times New Roman" w:hAnsi="Times New Roman" w:cs="Times New Roman"/>
        </w:rPr>
        <w:t xml:space="preserve"> 2009</w:t>
      </w:r>
      <w:r w:rsidR="00C04297">
        <w:rPr>
          <w:rFonts w:ascii="Times New Roman" w:hAnsi="Times New Roman" w:cs="Times New Roman"/>
        </w:rPr>
        <w:t xml:space="preserve">), although </w:t>
      </w:r>
      <w:r w:rsidR="00056C95">
        <w:rPr>
          <w:rFonts w:ascii="Times New Roman" w:hAnsi="Times New Roman" w:cs="Times New Roman"/>
        </w:rPr>
        <w:t xml:space="preserve">evidence by </w:t>
      </w:r>
      <w:r w:rsidR="00C04297">
        <w:rPr>
          <w:rFonts w:ascii="Times New Roman" w:hAnsi="Times New Roman" w:cs="Times New Roman"/>
        </w:rPr>
        <w:t xml:space="preserve">others (e.g., Alberto Gomez </w:t>
      </w:r>
      <w:r w:rsidR="00C0507B">
        <w:rPr>
          <w:rFonts w:ascii="Times New Roman" w:hAnsi="Times New Roman" w:cs="Times New Roman"/>
        </w:rPr>
        <w:t>and</w:t>
      </w:r>
      <w:r w:rsidR="00C04297">
        <w:rPr>
          <w:rFonts w:ascii="Times New Roman" w:hAnsi="Times New Roman" w:cs="Times New Roman"/>
        </w:rPr>
        <w:t xml:space="preserve"> Rodriguez, </w:t>
      </w:r>
      <w:r w:rsidR="00D049D2" w:rsidRPr="00E41707">
        <w:rPr>
          <w:rFonts w:ascii="Times New Roman" w:hAnsi="Times New Roman" w:cs="Times New Roman"/>
        </w:rPr>
        <w:t>2011</w:t>
      </w:r>
      <w:r w:rsidR="00C04297">
        <w:rPr>
          <w:rFonts w:ascii="Times New Roman" w:hAnsi="Times New Roman" w:cs="Times New Roman"/>
        </w:rPr>
        <w:t>;</w:t>
      </w:r>
      <w:r w:rsidR="00D049D2" w:rsidRPr="00E41707">
        <w:rPr>
          <w:rFonts w:ascii="Times New Roman" w:hAnsi="Times New Roman" w:cs="Times New Roman"/>
        </w:rPr>
        <w:t xml:space="preserve"> Arimura et al., 2016</w:t>
      </w:r>
      <w:r w:rsidR="00C04297">
        <w:rPr>
          <w:rFonts w:ascii="Times New Roman" w:hAnsi="Times New Roman" w:cs="Times New Roman"/>
        </w:rPr>
        <w:t xml:space="preserve">; Boiral </w:t>
      </w:r>
      <w:r w:rsidR="00580BE4">
        <w:rPr>
          <w:rFonts w:ascii="Times New Roman" w:hAnsi="Times New Roman" w:cs="Times New Roman"/>
        </w:rPr>
        <w:t>and</w:t>
      </w:r>
      <w:r w:rsidR="00C04297">
        <w:rPr>
          <w:rFonts w:ascii="Times New Roman" w:hAnsi="Times New Roman" w:cs="Times New Roman"/>
        </w:rPr>
        <w:t xml:space="preserve"> </w:t>
      </w:r>
      <w:r w:rsidR="00C04297" w:rsidRPr="00E41707">
        <w:rPr>
          <w:rFonts w:ascii="Times New Roman" w:hAnsi="Times New Roman" w:cs="Times New Roman"/>
        </w:rPr>
        <w:t>Henri</w:t>
      </w:r>
      <w:r w:rsidR="00C04297">
        <w:rPr>
          <w:rFonts w:ascii="Times New Roman" w:hAnsi="Times New Roman" w:cs="Times New Roman"/>
        </w:rPr>
        <w:t>,</w:t>
      </w:r>
      <w:r w:rsidR="00C04297" w:rsidRPr="00E41707">
        <w:rPr>
          <w:rFonts w:ascii="Times New Roman" w:hAnsi="Times New Roman" w:cs="Times New Roman"/>
        </w:rPr>
        <w:t xml:space="preserve"> 2012</w:t>
      </w:r>
      <w:r w:rsidR="00C04297">
        <w:rPr>
          <w:rFonts w:ascii="Times New Roman" w:hAnsi="Times New Roman" w:cs="Times New Roman"/>
        </w:rPr>
        <w:t xml:space="preserve">; </w:t>
      </w:r>
      <w:r w:rsidR="005D35A2" w:rsidRPr="00E41707">
        <w:rPr>
          <w:rFonts w:ascii="Times New Roman" w:hAnsi="Times New Roman" w:cs="Times New Roman"/>
        </w:rPr>
        <w:t>Bus</w:t>
      </w:r>
      <w:r w:rsidR="005D35A2">
        <w:rPr>
          <w:rFonts w:ascii="Times New Roman" w:hAnsi="Times New Roman" w:cs="Times New Roman"/>
        </w:rPr>
        <w:t xml:space="preserve">ch </w:t>
      </w:r>
      <w:r w:rsidR="00580BE4">
        <w:rPr>
          <w:rFonts w:ascii="Times New Roman" w:hAnsi="Times New Roman" w:cs="Times New Roman"/>
        </w:rPr>
        <w:t>and</w:t>
      </w:r>
      <w:r w:rsidR="005D35A2">
        <w:rPr>
          <w:rFonts w:ascii="Times New Roman" w:hAnsi="Times New Roman" w:cs="Times New Roman"/>
        </w:rPr>
        <w:t xml:space="preserve"> Hoffmann, </w:t>
      </w:r>
      <w:r w:rsidR="005D35A2" w:rsidRPr="00E41707">
        <w:rPr>
          <w:rFonts w:ascii="Times New Roman" w:hAnsi="Times New Roman" w:cs="Times New Roman"/>
        </w:rPr>
        <w:t>2011</w:t>
      </w:r>
      <w:r w:rsidR="005D35A2">
        <w:rPr>
          <w:rFonts w:ascii="Times New Roman" w:hAnsi="Times New Roman" w:cs="Times New Roman"/>
        </w:rPr>
        <w:t xml:space="preserve">; </w:t>
      </w:r>
      <w:r w:rsidR="00C04297">
        <w:rPr>
          <w:rFonts w:ascii="Times New Roman" w:hAnsi="Times New Roman" w:cs="Times New Roman"/>
        </w:rPr>
        <w:t>Liao et al., 2015</w:t>
      </w:r>
      <w:r w:rsidR="00D049D2" w:rsidRPr="00E41707">
        <w:rPr>
          <w:rFonts w:ascii="Times New Roman" w:hAnsi="Times New Roman" w:cs="Times New Roman"/>
        </w:rPr>
        <w:t>)</w:t>
      </w:r>
      <w:r w:rsidR="00C04297">
        <w:rPr>
          <w:rFonts w:ascii="Times New Roman" w:hAnsi="Times New Roman" w:cs="Times New Roman"/>
        </w:rPr>
        <w:t xml:space="preserve"> </w:t>
      </w:r>
      <w:r w:rsidR="00056C95">
        <w:rPr>
          <w:rFonts w:ascii="Times New Roman" w:hAnsi="Times New Roman" w:cs="Times New Roman"/>
        </w:rPr>
        <w:t>ha</w:t>
      </w:r>
      <w:r w:rsidR="00D56814">
        <w:rPr>
          <w:rFonts w:ascii="Times New Roman" w:hAnsi="Times New Roman" w:cs="Times New Roman"/>
        </w:rPr>
        <w:t>s</w:t>
      </w:r>
      <w:r w:rsidR="00056C95">
        <w:rPr>
          <w:rFonts w:ascii="Times New Roman" w:hAnsi="Times New Roman" w:cs="Times New Roman"/>
        </w:rPr>
        <w:t xml:space="preserve"> been</w:t>
      </w:r>
      <w:r w:rsidR="00D049D2" w:rsidRPr="00E41707">
        <w:rPr>
          <w:rFonts w:ascii="Times New Roman" w:hAnsi="Times New Roman" w:cs="Times New Roman"/>
        </w:rPr>
        <w:t xml:space="preserve"> inconclusive. Nonetheless, </w:t>
      </w:r>
      <w:r w:rsidR="00166E03">
        <w:rPr>
          <w:rFonts w:ascii="Times New Roman" w:hAnsi="Times New Roman" w:cs="Times New Roman"/>
        </w:rPr>
        <w:t>these studies have neither examined</w:t>
      </w:r>
      <w:r w:rsidR="00D049D2" w:rsidRPr="00E41707">
        <w:rPr>
          <w:rFonts w:ascii="Times New Roman" w:hAnsi="Times New Roman" w:cs="Times New Roman"/>
        </w:rPr>
        <w:t xml:space="preserve"> the effect of carbon-specific legislation</w:t>
      </w:r>
      <w:r w:rsidR="005D35A2">
        <w:rPr>
          <w:rFonts w:ascii="Times New Roman" w:hAnsi="Times New Roman" w:cs="Times New Roman"/>
        </w:rPr>
        <w:t>,</w:t>
      </w:r>
      <w:r w:rsidR="00D049D2" w:rsidRPr="00E41707">
        <w:rPr>
          <w:rFonts w:ascii="Times New Roman" w:hAnsi="Times New Roman" w:cs="Times New Roman"/>
        </w:rPr>
        <w:t xml:space="preserve"> such as </w:t>
      </w:r>
      <w:r w:rsidR="00D049D2" w:rsidRPr="00E41707">
        <w:rPr>
          <w:rFonts w:ascii="Times New Roman" w:hAnsi="Times New Roman" w:cs="Times New Roman"/>
          <w:color w:val="000000" w:themeColor="text1"/>
        </w:rPr>
        <w:t>the CCA</w:t>
      </w:r>
      <w:r w:rsidR="00D049D2" w:rsidRPr="00E41707">
        <w:rPr>
          <w:rFonts w:ascii="Times New Roman" w:hAnsi="Times New Roman" w:cs="Times New Roman"/>
        </w:rPr>
        <w:t xml:space="preserve"> </w:t>
      </w:r>
      <w:r w:rsidR="00166E03">
        <w:rPr>
          <w:rFonts w:ascii="Times New Roman" w:hAnsi="Times New Roman" w:cs="Times New Roman"/>
        </w:rPr>
        <w:t>on carbon performance of listed firms nor investigated the long-term pre- and post-CCA enactment effects</w:t>
      </w:r>
      <w:r w:rsidR="00D049D2" w:rsidRPr="00E41707">
        <w:rPr>
          <w:rFonts w:ascii="Times New Roman" w:hAnsi="Times New Roman" w:cs="Times New Roman"/>
        </w:rPr>
        <w:t xml:space="preserve">. </w:t>
      </w:r>
    </w:p>
    <w:p w14:paraId="3D06825F" w14:textId="717F912C" w:rsidR="00C300C6" w:rsidRDefault="00151607">
      <w:pPr>
        <w:spacing w:after="0" w:line="360" w:lineRule="auto"/>
        <w:ind w:firstLine="720"/>
        <w:jc w:val="both"/>
        <w:rPr>
          <w:rFonts w:ascii="Times New Roman" w:hAnsi="Times New Roman" w:cs="Times New Roman"/>
          <w:color w:val="000000" w:themeColor="text1"/>
        </w:rPr>
      </w:pPr>
      <w:r>
        <w:rPr>
          <w:rFonts w:ascii="Times New Roman" w:hAnsi="Times New Roman" w:cs="Times New Roman"/>
        </w:rPr>
        <w:t xml:space="preserve">Second, </w:t>
      </w:r>
      <w:r w:rsidR="000266FD">
        <w:rPr>
          <w:rFonts w:ascii="Times New Roman" w:hAnsi="Times New Roman" w:cs="Times New Roman"/>
          <w:lang w:val="en-US"/>
        </w:rPr>
        <w:t>a</w:t>
      </w:r>
      <w:r w:rsidR="000266FD" w:rsidRPr="00E41707">
        <w:rPr>
          <w:rFonts w:ascii="Times New Roman" w:hAnsi="Times New Roman" w:cs="Times New Roman"/>
          <w:lang w:val="en-US"/>
        </w:rPr>
        <w:t xml:space="preserve"> related literature (e.g., Perez-Batres et al., 2012) suggests that self-regulatory</w:t>
      </w:r>
      <w:r w:rsidR="00854F21">
        <w:rPr>
          <w:rFonts w:ascii="Times New Roman" w:hAnsi="Times New Roman" w:cs="Times New Roman"/>
          <w:lang w:val="en-US"/>
        </w:rPr>
        <w:t xml:space="preserve"> global sustainable development</w:t>
      </w:r>
      <w:r w:rsidR="000266FD" w:rsidRPr="00E41707">
        <w:rPr>
          <w:rFonts w:ascii="Times New Roman" w:hAnsi="Times New Roman" w:cs="Times New Roman"/>
          <w:lang w:val="en-US"/>
        </w:rPr>
        <w:t xml:space="preserve"> institutions</w:t>
      </w:r>
      <w:r w:rsidR="00BE263E">
        <w:rPr>
          <w:rFonts w:ascii="Times New Roman" w:hAnsi="Times New Roman" w:cs="Times New Roman"/>
          <w:lang w:val="en-US"/>
        </w:rPr>
        <w:t xml:space="preserve"> and civil societies</w:t>
      </w:r>
      <w:r w:rsidR="00623FC5">
        <w:rPr>
          <w:rFonts w:ascii="Times New Roman" w:hAnsi="Times New Roman" w:cs="Times New Roman"/>
          <w:lang w:val="en-US"/>
        </w:rPr>
        <w:t>,</w:t>
      </w:r>
      <w:r w:rsidR="000266FD" w:rsidRPr="00E41707">
        <w:rPr>
          <w:rFonts w:ascii="Times New Roman" w:hAnsi="Times New Roman" w:cs="Times New Roman"/>
          <w:lang w:val="en-US"/>
        </w:rPr>
        <w:t xml:space="preserve"> such as the </w:t>
      </w:r>
      <w:r w:rsidR="00DB6E13">
        <w:rPr>
          <w:rFonts w:ascii="Times New Roman" w:hAnsi="Times New Roman" w:cs="Times New Roman"/>
          <w:lang w:val="en-US"/>
        </w:rPr>
        <w:t xml:space="preserve">1997 </w:t>
      </w:r>
      <w:r w:rsidR="000266FD" w:rsidRPr="00E41707">
        <w:rPr>
          <w:rFonts w:ascii="Times New Roman" w:hAnsi="Times New Roman" w:cs="Times New Roman"/>
          <w:lang w:val="en-US"/>
        </w:rPr>
        <w:t>GRI</w:t>
      </w:r>
      <w:r w:rsidR="00BE263E">
        <w:rPr>
          <w:rFonts w:ascii="Times New Roman" w:hAnsi="Times New Roman" w:cs="Times New Roman"/>
          <w:lang w:val="en-US"/>
        </w:rPr>
        <w:t>,</w:t>
      </w:r>
      <w:r w:rsidR="000266FD" w:rsidRPr="00E41707">
        <w:rPr>
          <w:rFonts w:ascii="Times New Roman" w:hAnsi="Times New Roman" w:cs="Times New Roman"/>
          <w:lang w:val="en-US"/>
        </w:rPr>
        <w:t xml:space="preserve"> the </w:t>
      </w:r>
      <w:r w:rsidR="00DB6E13">
        <w:rPr>
          <w:rFonts w:ascii="Times New Roman" w:hAnsi="Times New Roman" w:cs="Times New Roman"/>
          <w:lang w:val="en-US"/>
        </w:rPr>
        <w:t xml:space="preserve">2000 </w:t>
      </w:r>
      <w:r w:rsidR="000266FD" w:rsidRPr="00E41707">
        <w:rPr>
          <w:rFonts w:ascii="Times New Roman" w:hAnsi="Times New Roman" w:cs="Times New Roman"/>
          <w:lang w:val="en-US"/>
        </w:rPr>
        <w:t xml:space="preserve">UNGC </w:t>
      </w:r>
      <w:r w:rsidR="00BE263E">
        <w:rPr>
          <w:rFonts w:ascii="Times New Roman" w:hAnsi="Times New Roman" w:cs="Times New Roman"/>
          <w:lang w:val="en-US"/>
        </w:rPr>
        <w:t xml:space="preserve">and the </w:t>
      </w:r>
      <w:r w:rsidR="00DB6E13">
        <w:rPr>
          <w:rFonts w:ascii="Times New Roman" w:hAnsi="Times New Roman" w:cs="Times New Roman"/>
          <w:lang w:val="en-US"/>
        </w:rPr>
        <w:t xml:space="preserve">2015 </w:t>
      </w:r>
      <w:r w:rsidR="00461095">
        <w:rPr>
          <w:rFonts w:ascii="Times New Roman" w:hAnsi="Times New Roman" w:cs="Times New Roman"/>
          <w:lang w:val="en-US"/>
        </w:rPr>
        <w:t>UN</w:t>
      </w:r>
      <w:r w:rsidR="00BE263E">
        <w:rPr>
          <w:rFonts w:ascii="Times New Roman" w:hAnsi="Times New Roman" w:cs="Times New Roman"/>
          <w:lang w:val="en-US"/>
        </w:rPr>
        <w:t xml:space="preserve"> Framework Convention on Climate Change (UNFCCC) </w:t>
      </w:r>
      <w:r w:rsidR="000266FD" w:rsidRPr="00E41707">
        <w:rPr>
          <w:rFonts w:ascii="Times New Roman" w:hAnsi="Times New Roman" w:cs="Times New Roman"/>
          <w:lang w:val="en-US"/>
        </w:rPr>
        <w:t xml:space="preserve">act as an alternative </w:t>
      </w:r>
      <w:r w:rsidR="00BE263E">
        <w:rPr>
          <w:rFonts w:ascii="Times New Roman" w:hAnsi="Times New Roman" w:cs="Times New Roman"/>
          <w:lang w:val="en-US"/>
        </w:rPr>
        <w:t>and/</w:t>
      </w:r>
      <w:r w:rsidR="000266FD" w:rsidRPr="00E41707">
        <w:rPr>
          <w:rFonts w:ascii="Times New Roman" w:hAnsi="Times New Roman" w:cs="Times New Roman"/>
          <w:lang w:val="en-US"/>
        </w:rPr>
        <w:t>or</w:t>
      </w:r>
      <w:r w:rsidR="004608AB">
        <w:rPr>
          <w:rFonts w:ascii="Times New Roman" w:hAnsi="Times New Roman" w:cs="Times New Roman"/>
          <w:lang w:val="en-US"/>
        </w:rPr>
        <w:t xml:space="preserve"> a</w:t>
      </w:r>
      <w:r w:rsidR="000266FD" w:rsidRPr="00E41707">
        <w:rPr>
          <w:rFonts w:ascii="Times New Roman" w:hAnsi="Times New Roman" w:cs="Times New Roman"/>
          <w:lang w:val="en-US"/>
        </w:rPr>
        <w:t xml:space="preserve"> complement to national laws and regulations</w:t>
      </w:r>
      <w:r w:rsidR="00BE263E">
        <w:rPr>
          <w:rFonts w:ascii="Times New Roman" w:hAnsi="Times New Roman" w:cs="Times New Roman"/>
          <w:lang w:val="en-US"/>
        </w:rPr>
        <w:t xml:space="preserve"> that seek</w:t>
      </w:r>
      <w:r w:rsidR="000266FD" w:rsidRPr="00E41707">
        <w:rPr>
          <w:rFonts w:ascii="Times New Roman" w:hAnsi="Times New Roman" w:cs="Times New Roman"/>
          <w:lang w:val="en-US"/>
        </w:rPr>
        <w:t xml:space="preserve"> to encourage firms to engage in environmental sustainability</w:t>
      </w:r>
      <w:r w:rsidR="006F5FBC">
        <w:rPr>
          <w:rFonts w:ascii="Times New Roman" w:hAnsi="Times New Roman" w:cs="Times New Roman"/>
          <w:lang w:val="en-US"/>
        </w:rPr>
        <w:t xml:space="preserve"> and performance management</w:t>
      </w:r>
      <w:r w:rsidR="000266FD" w:rsidRPr="00E41707">
        <w:rPr>
          <w:rFonts w:ascii="Times New Roman" w:hAnsi="Times New Roman" w:cs="Times New Roman"/>
          <w:lang w:val="en-US"/>
        </w:rPr>
        <w:t xml:space="preserve">. Whilst Perez-Batres et al. (2012, p.164) consider the adoption of </w:t>
      </w:r>
      <w:r w:rsidR="00CB071C">
        <w:rPr>
          <w:rFonts w:ascii="Times New Roman" w:hAnsi="Times New Roman" w:cs="Times New Roman"/>
          <w:lang w:val="en-US"/>
        </w:rPr>
        <w:t xml:space="preserve">the </w:t>
      </w:r>
      <w:r w:rsidR="000266FD" w:rsidRPr="00E41707">
        <w:rPr>
          <w:rFonts w:ascii="Times New Roman" w:hAnsi="Times New Roman" w:cs="Times New Roman"/>
          <w:lang w:val="en-US"/>
        </w:rPr>
        <w:t xml:space="preserve">GRI as a reflection of a substantive demonstration of firms’ commitment to sustainability, </w:t>
      </w:r>
      <w:r w:rsidR="000266FD" w:rsidRPr="00E41707">
        <w:rPr>
          <w:rFonts w:ascii="Times New Roman" w:hAnsi="Times New Roman" w:cs="Times New Roman"/>
          <w:color w:val="000000" w:themeColor="text1"/>
        </w:rPr>
        <w:t xml:space="preserve">Milne </w:t>
      </w:r>
      <w:r w:rsidR="00F64FEB">
        <w:rPr>
          <w:rFonts w:ascii="Times New Roman" w:hAnsi="Times New Roman" w:cs="Times New Roman"/>
          <w:color w:val="000000" w:themeColor="text1"/>
        </w:rPr>
        <w:t>and</w:t>
      </w:r>
      <w:r w:rsidR="000266FD" w:rsidRPr="00E41707">
        <w:rPr>
          <w:rFonts w:ascii="Times New Roman" w:hAnsi="Times New Roman" w:cs="Times New Roman"/>
          <w:color w:val="000000" w:themeColor="text1"/>
        </w:rPr>
        <w:t xml:space="preserve"> Gray (2013) argue </w:t>
      </w:r>
      <w:r w:rsidR="000266FD" w:rsidRPr="00E41707">
        <w:rPr>
          <w:rFonts w:ascii="Times New Roman" w:hAnsi="Times New Roman" w:cs="Times New Roman"/>
          <w:color w:val="000000" w:themeColor="text1"/>
        </w:rPr>
        <w:lastRenderedPageBreak/>
        <w:t>that the triple bottom line</w:t>
      </w:r>
      <w:r w:rsidR="000266FD" w:rsidRPr="00E41707">
        <w:rPr>
          <w:rStyle w:val="FootnoteReference"/>
          <w:rFonts w:ascii="Times New Roman" w:hAnsi="Times New Roman" w:cs="Times New Roman"/>
          <w:color w:val="000000" w:themeColor="text1"/>
        </w:rPr>
        <w:footnoteReference w:id="2"/>
      </w:r>
      <w:r w:rsidR="000266FD" w:rsidRPr="00E41707">
        <w:rPr>
          <w:rFonts w:ascii="Times New Roman" w:hAnsi="Times New Roman" w:cs="Times New Roman"/>
          <w:color w:val="000000" w:themeColor="text1"/>
        </w:rPr>
        <w:t xml:space="preserve">  (TBL) and the GRI are insufficient </w:t>
      </w:r>
      <w:r w:rsidR="004D5F59">
        <w:rPr>
          <w:rFonts w:ascii="Times New Roman" w:hAnsi="Times New Roman" w:cs="Times New Roman"/>
          <w:color w:val="000000" w:themeColor="text1"/>
        </w:rPr>
        <w:t>frameworks</w:t>
      </w:r>
      <w:r w:rsidR="004D5F59" w:rsidRPr="00E41707">
        <w:rPr>
          <w:rFonts w:ascii="Times New Roman" w:hAnsi="Times New Roman" w:cs="Times New Roman"/>
          <w:color w:val="000000" w:themeColor="text1"/>
        </w:rPr>
        <w:t xml:space="preserve"> </w:t>
      </w:r>
      <w:r w:rsidR="007A2467">
        <w:rPr>
          <w:rFonts w:ascii="Times New Roman" w:hAnsi="Times New Roman" w:cs="Times New Roman"/>
          <w:color w:val="000000" w:themeColor="text1"/>
        </w:rPr>
        <w:t xml:space="preserve">to effectively </w:t>
      </w:r>
      <w:r w:rsidR="007452CA">
        <w:rPr>
          <w:rFonts w:ascii="Times New Roman" w:hAnsi="Times New Roman" w:cs="Times New Roman"/>
          <w:color w:val="000000" w:themeColor="text1"/>
        </w:rPr>
        <w:t>measure</w:t>
      </w:r>
      <w:r w:rsidR="004D5F59">
        <w:rPr>
          <w:rFonts w:ascii="Times New Roman" w:hAnsi="Times New Roman" w:cs="Times New Roman"/>
          <w:color w:val="000000" w:themeColor="text1"/>
        </w:rPr>
        <w:t xml:space="preserve"> </w:t>
      </w:r>
      <w:r w:rsidR="000266FD" w:rsidRPr="00E41707">
        <w:rPr>
          <w:rFonts w:ascii="Times New Roman" w:hAnsi="Times New Roman" w:cs="Times New Roman"/>
          <w:color w:val="000000" w:themeColor="text1"/>
        </w:rPr>
        <w:t xml:space="preserve">firms’ contribution to the sustainability of the Earth’s ecology. </w:t>
      </w:r>
      <w:r w:rsidR="000266FD" w:rsidRPr="00E41707">
        <w:rPr>
          <w:rFonts w:ascii="Times New Roman" w:hAnsi="Times New Roman" w:cs="Times New Roman"/>
          <w:lang w:val="en-US"/>
        </w:rPr>
        <w:t>Bernard et al.</w:t>
      </w:r>
      <w:r w:rsidR="00D16EFC">
        <w:rPr>
          <w:rFonts w:ascii="Times New Roman" w:hAnsi="Times New Roman" w:cs="Times New Roman"/>
          <w:lang w:val="en-US"/>
        </w:rPr>
        <w:t>,</w:t>
      </w:r>
      <w:r w:rsidR="000266FD" w:rsidRPr="00E41707">
        <w:rPr>
          <w:rFonts w:ascii="Times New Roman" w:hAnsi="Times New Roman" w:cs="Times New Roman"/>
          <w:lang w:val="en-US"/>
        </w:rPr>
        <w:t xml:space="preserve"> (2015) observe that </w:t>
      </w:r>
      <w:r w:rsidR="00587454">
        <w:rPr>
          <w:rFonts w:ascii="Times New Roman" w:hAnsi="Times New Roman" w:cs="Times New Roman"/>
          <w:lang w:val="en-US"/>
        </w:rPr>
        <w:t xml:space="preserve">the </w:t>
      </w:r>
      <w:r w:rsidR="000266FD" w:rsidRPr="00E41707">
        <w:rPr>
          <w:rFonts w:ascii="Times New Roman" w:hAnsi="Times New Roman" w:cs="Times New Roman"/>
          <w:lang w:val="en-US"/>
        </w:rPr>
        <w:t xml:space="preserve">GRI </w:t>
      </w:r>
      <w:r w:rsidR="004F27B6">
        <w:rPr>
          <w:rFonts w:ascii="Times New Roman" w:hAnsi="Times New Roman" w:cs="Times New Roman"/>
          <w:lang w:val="en-US"/>
        </w:rPr>
        <w:t>framework</w:t>
      </w:r>
      <w:r w:rsidR="000266FD" w:rsidRPr="00E41707">
        <w:rPr>
          <w:rFonts w:ascii="Times New Roman" w:hAnsi="Times New Roman" w:cs="Times New Roman"/>
          <w:lang w:val="en-US"/>
        </w:rPr>
        <w:t xml:space="preserve"> does not provide a coherent, user-friendly </w:t>
      </w:r>
      <w:r w:rsidR="004F57C9">
        <w:rPr>
          <w:rFonts w:ascii="Times New Roman" w:hAnsi="Times New Roman" w:cs="Times New Roman"/>
          <w:lang w:val="en-US"/>
        </w:rPr>
        <w:t>and/</w:t>
      </w:r>
      <w:r w:rsidR="000266FD" w:rsidRPr="00E41707">
        <w:rPr>
          <w:rFonts w:ascii="Times New Roman" w:hAnsi="Times New Roman" w:cs="Times New Roman"/>
          <w:lang w:val="en-US"/>
        </w:rPr>
        <w:t xml:space="preserve">or transparent </w:t>
      </w:r>
      <w:r w:rsidR="004F57C9">
        <w:rPr>
          <w:rFonts w:ascii="Times New Roman" w:hAnsi="Times New Roman" w:cs="Times New Roman"/>
          <w:lang w:val="en-US"/>
        </w:rPr>
        <w:t>account</w:t>
      </w:r>
      <w:r w:rsidR="000266FD" w:rsidRPr="00E41707">
        <w:rPr>
          <w:rFonts w:ascii="Times New Roman" w:hAnsi="Times New Roman" w:cs="Times New Roman"/>
          <w:lang w:val="en-US"/>
        </w:rPr>
        <w:t xml:space="preserve"> of a firm’s sustainability performance. </w:t>
      </w:r>
      <w:r w:rsidR="000266FD" w:rsidRPr="00E41707">
        <w:rPr>
          <w:rFonts w:ascii="Times New Roman" w:hAnsi="Times New Roman" w:cs="Times New Roman"/>
          <w:color w:val="000000" w:themeColor="text1"/>
        </w:rPr>
        <w:t xml:space="preserve">A number of studies (e.g., Clarkson et al., 2008; Al-Tuwairji et al., 2004) find that </w:t>
      </w:r>
      <w:r w:rsidR="000266FD" w:rsidRPr="00E41707">
        <w:rPr>
          <w:rFonts w:ascii="Times New Roman" w:hAnsi="Times New Roman" w:cs="Times New Roman"/>
          <w:lang w:val="en-US"/>
        </w:rPr>
        <w:t xml:space="preserve">good environmental performers are likely to exhibit extensive environmental disclosures. </w:t>
      </w:r>
      <w:r w:rsidR="000266FD" w:rsidRPr="00E41707">
        <w:rPr>
          <w:rFonts w:ascii="Times New Roman" w:hAnsi="Times New Roman" w:cs="Times New Roman"/>
          <w:color w:val="000000" w:themeColor="text1"/>
        </w:rPr>
        <w:t xml:space="preserve">However, </w:t>
      </w:r>
      <w:r w:rsidR="000266FD" w:rsidRPr="00E41707">
        <w:rPr>
          <w:rFonts w:ascii="Times New Roman" w:hAnsi="Times New Roman" w:cs="Times New Roman"/>
          <w:lang w:val="en-US"/>
        </w:rPr>
        <w:t xml:space="preserve">little is known </w:t>
      </w:r>
      <w:r w:rsidR="00F64FEB">
        <w:rPr>
          <w:rFonts w:ascii="Times New Roman" w:hAnsi="Times New Roman" w:cs="Times New Roman"/>
          <w:lang w:val="en-US"/>
        </w:rPr>
        <w:t>as to whether</w:t>
      </w:r>
      <w:r w:rsidR="000266FD" w:rsidRPr="00E41707">
        <w:rPr>
          <w:rFonts w:ascii="Times New Roman" w:hAnsi="Times New Roman" w:cs="Times New Roman"/>
          <w:lang w:val="en-US"/>
        </w:rPr>
        <w:t xml:space="preserve"> </w:t>
      </w:r>
      <w:r w:rsidR="000266FD" w:rsidRPr="00E41707">
        <w:rPr>
          <w:rFonts w:ascii="Times New Roman" w:hAnsi="Times New Roman" w:cs="Times New Roman"/>
          <w:color w:val="000000" w:themeColor="text1"/>
        </w:rPr>
        <w:t xml:space="preserve">the GRI-type reporting </w:t>
      </w:r>
      <w:r w:rsidR="00B219DA">
        <w:rPr>
          <w:rFonts w:ascii="Times New Roman" w:hAnsi="Times New Roman" w:cs="Times New Roman"/>
          <w:color w:val="000000" w:themeColor="text1"/>
        </w:rPr>
        <w:t xml:space="preserve">framework </w:t>
      </w:r>
      <w:r w:rsidR="00726EC8">
        <w:rPr>
          <w:rFonts w:ascii="Times New Roman" w:hAnsi="Times New Roman" w:cs="Times New Roman"/>
          <w:color w:val="000000" w:themeColor="text1"/>
        </w:rPr>
        <w:t>has the ability to</w:t>
      </w:r>
      <w:r w:rsidR="000266FD" w:rsidRPr="00E41707">
        <w:rPr>
          <w:rFonts w:ascii="Times New Roman" w:hAnsi="Times New Roman" w:cs="Times New Roman"/>
          <w:color w:val="000000" w:themeColor="text1"/>
        </w:rPr>
        <w:t xml:space="preserve"> </w:t>
      </w:r>
      <w:r w:rsidR="00726EC8">
        <w:rPr>
          <w:rFonts w:ascii="Times New Roman" w:hAnsi="Times New Roman" w:cs="Times New Roman"/>
          <w:color w:val="000000" w:themeColor="text1"/>
        </w:rPr>
        <w:t xml:space="preserve">actually </w:t>
      </w:r>
      <w:r w:rsidR="00D46879">
        <w:rPr>
          <w:rFonts w:ascii="Times New Roman" w:hAnsi="Times New Roman" w:cs="Times New Roman"/>
          <w:color w:val="000000" w:themeColor="text1"/>
        </w:rPr>
        <w:t>measure and differentiate</w:t>
      </w:r>
      <w:r w:rsidR="000266FD" w:rsidRPr="00E41707">
        <w:rPr>
          <w:rFonts w:ascii="Times New Roman" w:hAnsi="Times New Roman" w:cs="Times New Roman"/>
          <w:color w:val="000000" w:themeColor="text1"/>
        </w:rPr>
        <w:t xml:space="preserve"> superior carbon performance of firm</w:t>
      </w:r>
      <w:r w:rsidR="007C6EEB">
        <w:rPr>
          <w:rFonts w:ascii="Times New Roman" w:hAnsi="Times New Roman" w:cs="Times New Roman"/>
          <w:color w:val="000000" w:themeColor="text1"/>
        </w:rPr>
        <w:t>s</w:t>
      </w:r>
      <w:r w:rsidR="000266FD" w:rsidRPr="00E41707">
        <w:rPr>
          <w:rFonts w:ascii="Times New Roman" w:hAnsi="Times New Roman" w:cs="Times New Roman"/>
          <w:color w:val="000000" w:themeColor="text1"/>
        </w:rPr>
        <w:t xml:space="preserve"> in terms of reduced GHG emissions. </w:t>
      </w:r>
      <w:r w:rsidR="00152BB5">
        <w:rPr>
          <w:rFonts w:ascii="Times New Roman" w:hAnsi="Times New Roman" w:cs="Times New Roman"/>
          <w:color w:val="000000" w:themeColor="text1"/>
        </w:rPr>
        <w:t>Hence, t</w:t>
      </w:r>
      <w:r w:rsidR="000266FD" w:rsidRPr="00E41707">
        <w:rPr>
          <w:rFonts w:ascii="Times New Roman" w:hAnsi="Times New Roman" w:cs="Times New Roman"/>
          <w:color w:val="000000" w:themeColor="text1"/>
        </w:rPr>
        <w:t>his study further</w:t>
      </w:r>
      <w:r w:rsidR="00152BB5">
        <w:rPr>
          <w:rFonts w:ascii="Times New Roman" w:hAnsi="Times New Roman" w:cs="Times New Roman"/>
          <w:color w:val="000000" w:themeColor="text1"/>
        </w:rPr>
        <w:t xml:space="preserve"> seeks</w:t>
      </w:r>
      <w:r w:rsidR="00E702CD">
        <w:rPr>
          <w:rFonts w:ascii="Times New Roman" w:hAnsi="Times New Roman" w:cs="Times New Roman"/>
          <w:color w:val="000000" w:themeColor="text1"/>
        </w:rPr>
        <w:t xml:space="preserve"> to distinctively </w:t>
      </w:r>
      <w:r w:rsidR="000266FD" w:rsidRPr="00E41707">
        <w:rPr>
          <w:rFonts w:ascii="Times New Roman" w:hAnsi="Times New Roman" w:cs="Times New Roman"/>
          <w:color w:val="000000" w:themeColor="text1"/>
        </w:rPr>
        <w:t>examin</w:t>
      </w:r>
      <w:r w:rsidR="00E702CD">
        <w:rPr>
          <w:rFonts w:ascii="Times New Roman" w:hAnsi="Times New Roman" w:cs="Times New Roman"/>
          <w:color w:val="000000" w:themeColor="text1"/>
        </w:rPr>
        <w:t>e</w:t>
      </w:r>
      <w:r w:rsidR="000266FD" w:rsidRPr="00E41707">
        <w:rPr>
          <w:rFonts w:ascii="Times New Roman" w:hAnsi="Times New Roman" w:cs="Times New Roman"/>
          <w:color w:val="000000" w:themeColor="text1"/>
        </w:rPr>
        <w:t xml:space="preserve"> if </w:t>
      </w:r>
      <w:r w:rsidR="000266FD" w:rsidRPr="00E41707">
        <w:rPr>
          <w:rFonts w:ascii="Times New Roman" w:hAnsi="Times New Roman" w:cs="Times New Roman"/>
          <w:lang w:val="en-US"/>
        </w:rPr>
        <w:t xml:space="preserve">the GRI </w:t>
      </w:r>
      <w:r w:rsidR="00E702CD">
        <w:rPr>
          <w:rFonts w:ascii="Times New Roman" w:hAnsi="Times New Roman" w:cs="Times New Roman"/>
          <w:lang w:val="en-US"/>
        </w:rPr>
        <w:t xml:space="preserve">framework </w:t>
      </w:r>
      <w:r w:rsidR="000266FD" w:rsidRPr="00E41707">
        <w:rPr>
          <w:rFonts w:ascii="Times New Roman" w:hAnsi="Times New Roman" w:cs="Times New Roman"/>
          <w:lang w:val="en-US"/>
        </w:rPr>
        <w:t xml:space="preserve">and UNGC affiliations drive </w:t>
      </w:r>
      <w:r w:rsidR="00152BB5">
        <w:rPr>
          <w:rFonts w:ascii="Times New Roman" w:hAnsi="Times New Roman" w:cs="Times New Roman"/>
          <w:lang w:val="en-US"/>
        </w:rPr>
        <w:t>CRIs</w:t>
      </w:r>
      <w:r w:rsidR="00F64FEB" w:rsidRPr="00E41707">
        <w:rPr>
          <w:rFonts w:ascii="Times New Roman" w:hAnsi="Times New Roman" w:cs="Times New Roman"/>
          <w:lang w:val="en-US"/>
        </w:rPr>
        <w:t xml:space="preserve"> </w:t>
      </w:r>
      <w:r w:rsidR="000266FD" w:rsidRPr="00E41707">
        <w:rPr>
          <w:rFonts w:ascii="Times New Roman" w:hAnsi="Times New Roman" w:cs="Times New Roman"/>
          <w:lang w:val="en-US"/>
        </w:rPr>
        <w:t xml:space="preserve">of a firm. </w:t>
      </w:r>
    </w:p>
    <w:p w14:paraId="3DC43F1E" w14:textId="4028BA87" w:rsidR="00C300C6" w:rsidRDefault="000266FD" w:rsidP="00A20230">
      <w:pPr>
        <w:spacing w:after="0" w:line="360" w:lineRule="auto"/>
        <w:ind w:firstLine="720"/>
        <w:jc w:val="both"/>
        <w:rPr>
          <w:rFonts w:ascii="Times New Roman" w:hAnsi="Times New Roman" w:cs="Times New Roman"/>
          <w:color w:val="000000" w:themeColor="text1"/>
        </w:rPr>
      </w:pPr>
      <w:r>
        <w:rPr>
          <w:rFonts w:ascii="Times New Roman" w:hAnsi="Times New Roman" w:cs="Times New Roman"/>
        </w:rPr>
        <w:t xml:space="preserve">Third, </w:t>
      </w:r>
      <w:r w:rsidR="00151607">
        <w:rPr>
          <w:rFonts w:ascii="Times New Roman" w:hAnsi="Times New Roman" w:cs="Times New Roman"/>
        </w:rPr>
        <w:t>despite the increasing evidence</w:t>
      </w:r>
      <w:r w:rsidR="00151607" w:rsidRPr="001270F4">
        <w:rPr>
          <w:rFonts w:ascii="Times New Roman" w:hAnsi="Times New Roman" w:cs="Times New Roman"/>
          <w:color w:val="000000" w:themeColor="text1"/>
          <w:sz w:val="24"/>
          <w:szCs w:val="24"/>
        </w:rPr>
        <w:t xml:space="preserve"> </w:t>
      </w:r>
      <w:r w:rsidR="005C2E3C">
        <w:rPr>
          <w:rFonts w:ascii="Times New Roman" w:hAnsi="Times New Roman" w:cs="Times New Roman"/>
          <w:color w:val="000000" w:themeColor="text1"/>
          <w:sz w:val="24"/>
          <w:szCs w:val="24"/>
        </w:rPr>
        <w:t xml:space="preserve">that </w:t>
      </w:r>
      <w:r w:rsidR="00151607" w:rsidRPr="001270F4">
        <w:rPr>
          <w:rFonts w:ascii="Times New Roman" w:hAnsi="Times New Roman" w:cs="Times New Roman"/>
          <w:color w:val="000000" w:themeColor="text1"/>
          <w:sz w:val="24"/>
          <w:szCs w:val="24"/>
        </w:rPr>
        <w:t>corporate board</w:t>
      </w:r>
      <w:r w:rsidR="00151607">
        <w:rPr>
          <w:rFonts w:ascii="Times New Roman" w:hAnsi="Times New Roman" w:cs="Times New Roman"/>
          <w:color w:val="000000" w:themeColor="text1"/>
          <w:sz w:val="24"/>
          <w:szCs w:val="24"/>
        </w:rPr>
        <w:t>s</w:t>
      </w:r>
      <w:r w:rsidR="00151607" w:rsidRPr="001270F4">
        <w:rPr>
          <w:rFonts w:ascii="Times New Roman" w:hAnsi="Times New Roman" w:cs="Times New Roman"/>
          <w:color w:val="000000" w:themeColor="text1"/>
          <w:sz w:val="24"/>
          <w:szCs w:val="24"/>
        </w:rPr>
        <w:t xml:space="preserve"> and executive management play critical roles in adopting these </w:t>
      </w:r>
      <w:r w:rsidR="00151607">
        <w:rPr>
          <w:rFonts w:ascii="Times New Roman" w:hAnsi="Times New Roman" w:cs="Times New Roman"/>
          <w:color w:val="000000" w:themeColor="text1"/>
          <w:sz w:val="24"/>
          <w:szCs w:val="24"/>
        </w:rPr>
        <w:t xml:space="preserve">social </w:t>
      </w:r>
      <w:r w:rsidR="00151607">
        <w:rPr>
          <w:rFonts w:ascii="Times New Roman" w:hAnsi="Times New Roman" w:cs="Times New Roman"/>
          <w:color w:val="000000" w:themeColor="text1"/>
          <w:sz w:val="24"/>
          <w:szCs w:val="24"/>
        </w:rPr>
        <w:lastRenderedPageBreak/>
        <w:t xml:space="preserve">and </w:t>
      </w:r>
      <w:r w:rsidR="00151607" w:rsidRPr="001270F4">
        <w:rPr>
          <w:rFonts w:ascii="Times New Roman" w:hAnsi="Times New Roman" w:cs="Times New Roman"/>
          <w:color w:val="000000" w:themeColor="text1"/>
          <w:sz w:val="24"/>
          <w:szCs w:val="24"/>
        </w:rPr>
        <w:t>envi</w:t>
      </w:r>
      <w:r w:rsidR="00151607">
        <w:rPr>
          <w:rFonts w:ascii="Times New Roman" w:hAnsi="Times New Roman" w:cs="Times New Roman"/>
          <w:color w:val="000000" w:themeColor="text1"/>
          <w:sz w:val="24"/>
          <w:szCs w:val="24"/>
        </w:rPr>
        <w:t xml:space="preserve">ronmental practices (Ntim </w:t>
      </w:r>
      <w:r w:rsidR="00580BE4">
        <w:rPr>
          <w:rFonts w:ascii="Times New Roman" w:hAnsi="Times New Roman" w:cs="Times New Roman"/>
          <w:color w:val="000000" w:themeColor="text1"/>
          <w:sz w:val="24"/>
          <w:szCs w:val="24"/>
        </w:rPr>
        <w:t>and</w:t>
      </w:r>
      <w:r w:rsidR="00151607">
        <w:rPr>
          <w:rFonts w:ascii="Times New Roman" w:hAnsi="Times New Roman" w:cs="Times New Roman"/>
          <w:color w:val="000000" w:themeColor="text1"/>
          <w:sz w:val="24"/>
          <w:szCs w:val="24"/>
        </w:rPr>
        <w:t xml:space="preserve"> Soobaroyen, 2013</w:t>
      </w:r>
      <w:r w:rsidR="00D65CBE">
        <w:rPr>
          <w:rFonts w:ascii="Times New Roman" w:hAnsi="Times New Roman" w:cs="Times New Roman"/>
          <w:color w:val="000000" w:themeColor="text1"/>
          <w:sz w:val="24"/>
          <w:szCs w:val="24"/>
        </w:rPr>
        <w:t>a, b</w:t>
      </w:r>
      <w:r w:rsidR="00F42979">
        <w:rPr>
          <w:rFonts w:ascii="Times New Roman" w:hAnsi="Times New Roman" w:cs="Times New Roman"/>
          <w:color w:val="000000" w:themeColor="text1"/>
          <w:sz w:val="24"/>
          <w:szCs w:val="24"/>
        </w:rPr>
        <w:t xml:space="preserve">; </w:t>
      </w:r>
      <w:r w:rsidR="00F42979">
        <w:rPr>
          <w:rFonts w:ascii="Times New Roman" w:hAnsi="Times New Roman" w:cs="Times New Roman"/>
        </w:rPr>
        <w:t>Ben-Amar and McIlkenny, 2015</w:t>
      </w:r>
      <w:r w:rsidR="00AA4C0A">
        <w:rPr>
          <w:rFonts w:ascii="Times New Roman" w:hAnsi="Times New Roman" w:cs="Times New Roman"/>
        </w:rPr>
        <w:t>; Haque, 2017</w:t>
      </w:r>
      <w:r w:rsidR="00166E03">
        <w:rPr>
          <w:rFonts w:ascii="Times New Roman" w:hAnsi="Times New Roman" w:cs="Times New Roman"/>
          <w:color w:val="000000" w:themeColor="text1"/>
          <w:sz w:val="24"/>
          <w:szCs w:val="24"/>
        </w:rPr>
        <w:t>), existing studies investigating the extent to which CG mechanisms (e.g., board size, independence, CEO duality and managerial incentives) influence and/or moderate carbon performance are rare.</w:t>
      </w:r>
      <w:r w:rsidR="00151607" w:rsidRPr="00E41707">
        <w:rPr>
          <w:rFonts w:ascii="Times New Roman" w:hAnsi="Times New Roman" w:cs="Times New Roman"/>
        </w:rPr>
        <w:t xml:space="preserve"> </w:t>
      </w:r>
      <w:r w:rsidR="00707526">
        <w:rPr>
          <w:rFonts w:ascii="Times New Roman" w:hAnsi="Times New Roman" w:cs="Times New Roman"/>
        </w:rPr>
        <w:t xml:space="preserve">As </w:t>
      </w:r>
      <w:r w:rsidR="0036356F">
        <w:rPr>
          <w:rFonts w:ascii="Times New Roman" w:hAnsi="Times New Roman" w:cs="Times New Roman"/>
          <w:lang w:val="en-US"/>
        </w:rPr>
        <w:t xml:space="preserve">Sullivan and Gouldson (2017) </w:t>
      </w:r>
      <w:r w:rsidR="00707526">
        <w:rPr>
          <w:rFonts w:ascii="Times New Roman" w:hAnsi="Times New Roman" w:cs="Times New Roman"/>
          <w:lang w:val="en-US"/>
        </w:rPr>
        <w:t xml:space="preserve">argue, </w:t>
      </w:r>
      <w:r w:rsidR="0036356F">
        <w:rPr>
          <w:rFonts w:ascii="Times New Roman" w:hAnsi="Times New Roman" w:cs="Times New Roman"/>
          <w:lang w:val="en-US"/>
        </w:rPr>
        <w:t xml:space="preserve">external governance pressures, internal governance conditions and corporate actions on climate change </w:t>
      </w:r>
      <w:r w:rsidR="004F57C9">
        <w:rPr>
          <w:rFonts w:ascii="Times New Roman" w:hAnsi="Times New Roman" w:cs="Times New Roman"/>
          <w:lang w:val="en-US"/>
        </w:rPr>
        <w:t xml:space="preserve">can </w:t>
      </w:r>
      <w:r w:rsidR="0036356F">
        <w:rPr>
          <w:rFonts w:ascii="Times New Roman" w:hAnsi="Times New Roman" w:cs="Times New Roman"/>
          <w:lang w:val="en-US"/>
        </w:rPr>
        <w:t>interact with and influence each other.</w:t>
      </w:r>
      <w:r w:rsidR="00707526">
        <w:rPr>
          <w:rFonts w:ascii="Times New Roman" w:hAnsi="Times New Roman" w:cs="Times New Roman"/>
          <w:lang w:val="en-US"/>
        </w:rPr>
        <w:t xml:space="preserve"> </w:t>
      </w:r>
      <w:r>
        <w:rPr>
          <w:rFonts w:ascii="Times New Roman" w:hAnsi="Times New Roman" w:cs="Times New Roman"/>
        </w:rPr>
        <w:t>Fourth</w:t>
      </w:r>
      <w:r w:rsidR="00CD600D">
        <w:rPr>
          <w:rFonts w:ascii="Times New Roman" w:hAnsi="Times New Roman" w:cs="Times New Roman"/>
        </w:rPr>
        <w:t xml:space="preserve"> and a</w:t>
      </w:r>
      <w:r w:rsidR="00CD600D" w:rsidRPr="001270F4">
        <w:rPr>
          <w:rFonts w:ascii="Times New Roman" w:hAnsi="Times New Roman" w:cs="Times New Roman"/>
          <w:sz w:val="24"/>
          <w:szCs w:val="24"/>
        </w:rPr>
        <w:t xml:space="preserve">s </w:t>
      </w:r>
      <w:r w:rsidR="00CD600D">
        <w:rPr>
          <w:rFonts w:ascii="Times New Roman" w:hAnsi="Times New Roman" w:cs="Times New Roman"/>
          <w:sz w:val="24"/>
          <w:szCs w:val="24"/>
        </w:rPr>
        <w:t xml:space="preserve">has been argued by </w:t>
      </w:r>
      <w:r w:rsidR="00CD600D">
        <w:rPr>
          <w:rFonts w:ascii="Times New Roman" w:hAnsi="Times New Roman" w:cs="Times New Roman"/>
          <w:color w:val="000000" w:themeColor="text1"/>
          <w:sz w:val="24"/>
          <w:szCs w:val="24"/>
        </w:rPr>
        <w:t>Liao et al.</w:t>
      </w:r>
      <w:r w:rsidR="00587454">
        <w:rPr>
          <w:rFonts w:ascii="Times New Roman" w:hAnsi="Times New Roman" w:cs="Times New Roman"/>
          <w:color w:val="000000" w:themeColor="text1"/>
          <w:sz w:val="24"/>
          <w:szCs w:val="24"/>
        </w:rPr>
        <w:t>,</w:t>
      </w:r>
      <w:r w:rsidR="00CD600D">
        <w:rPr>
          <w:rFonts w:ascii="Times New Roman" w:hAnsi="Times New Roman" w:cs="Times New Roman"/>
          <w:color w:val="000000" w:themeColor="text1"/>
          <w:sz w:val="24"/>
          <w:szCs w:val="24"/>
        </w:rPr>
        <w:t xml:space="preserve"> (2015)</w:t>
      </w:r>
      <w:r w:rsidR="00CD600D" w:rsidRPr="001270F4">
        <w:rPr>
          <w:rFonts w:ascii="Times New Roman" w:hAnsi="Times New Roman" w:cs="Times New Roman"/>
          <w:color w:val="000000" w:themeColor="text1"/>
          <w:sz w:val="24"/>
          <w:szCs w:val="24"/>
        </w:rPr>
        <w:t xml:space="preserve">, carbon mitigation activities require substantial amount of financial, </w:t>
      </w:r>
      <w:r w:rsidR="000E5989">
        <w:rPr>
          <w:rFonts w:ascii="Times New Roman" w:hAnsi="Times New Roman" w:cs="Times New Roman"/>
          <w:color w:val="000000" w:themeColor="text1"/>
          <w:sz w:val="24"/>
          <w:szCs w:val="24"/>
        </w:rPr>
        <w:t>manpower</w:t>
      </w:r>
      <w:r w:rsidR="00CD600D" w:rsidRPr="001270F4">
        <w:rPr>
          <w:rFonts w:ascii="Times New Roman" w:hAnsi="Times New Roman" w:cs="Times New Roman"/>
          <w:color w:val="000000" w:themeColor="text1"/>
          <w:sz w:val="24"/>
          <w:szCs w:val="24"/>
        </w:rPr>
        <w:t xml:space="preserve"> and technological resources, a</w:t>
      </w:r>
      <w:r w:rsidR="0006540D">
        <w:rPr>
          <w:rFonts w:ascii="Times New Roman" w:hAnsi="Times New Roman" w:cs="Times New Roman"/>
          <w:color w:val="000000" w:themeColor="text1"/>
          <w:sz w:val="24"/>
          <w:szCs w:val="24"/>
        </w:rPr>
        <w:t>s well as</w:t>
      </w:r>
      <w:r w:rsidR="00CD600D" w:rsidRPr="001270F4">
        <w:rPr>
          <w:rFonts w:ascii="Times New Roman" w:hAnsi="Times New Roman" w:cs="Times New Roman"/>
          <w:color w:val="000000" w:themeColor="text1"/>
          <w:sz w:val="24"/>
          <w:szCs w:val="24"/>
        </w:rPr>
        <w:t xml:space="preserve"> long-term strategic commitments</w:t>
      </w:r>
      <w:r w:rsidR="00CD600D">
        <w:rPr>
          <w:rFonts w:ascii="Times New Roman" w:hAnsi="Times New Roman" w:cs="Times New Roman"/>
          <w:color w:val="000000" w:themeColor="text1"/>
          <w:sz w:val="24"/>
          <w:szCs w:val="24"/>
        </w:rPr>
        <w:t xml:space="preserve"> with long-term implications</w:t>
      </w:r>
      <w:r w:rsidR="00CD600D" w:rsidRPr="001270F4">
        <w:rPr>
          <w:rFonts w:ascii="Times New Roman" w:hAnsi="Times New Roman" w:cs="Times New Roman"/>
          <w:color w:val="000000" w:themeColor="text1"/>
          <w:sz w:val="24"/>
          <w:szCs w:val="24"/>
        </w:rPr>
        <w:t>.</w:t>
      </w:r>
      <w:r w:rsidR="00CD600D">
        <w:rPr>
          <w:rFonts w:ascii="Times New Roman" w:hAnsi="Times New Roman" w:cs="Times New Roman"/>
        </w:rPr>
        <w:t xml:space="preserve"> However,</w:t>
      </w:r>
      <w:r w:rsidR="00D049D2" w:rsidRPr="00E41707">
        <w:rPr>
          <w:rFonts w:ascii="Times New Roman" w:hAnsi="Times New Roman" w:cs="Times New Roman"/>
        </w:rPr>
        <w:t xml:space="preserve"> </w:t>
      </w:r>
      <w:r w:rsidR="00CD600D">
        <w:rPr>
          <w:rFonts w:ascii="Times New Roman" w:hAnsi="Times New Roman" w:cs="Times New Roman"/>
          <w:color w:val="000000" w:themeColor="text1"/>
        </w:rPr>
        <w:t>the existing</w:t>
      </w:r>
      <w:r w:rsidR="00D049D2" w:rsidRPr="00E41707">
        <w:rPr>
          <w:rFonts w:ascii="Times New Roman" w:hAnsi="Times New Roman" w:cs="Times New Roman"/>
          <w:color w:val="000000" w:themeColor="text1"/>
        </w:rPr>
        <w:t xml:space="preserve"> literature (e.g., Liao et al., 2015; Freedman </w:t>
      </w:r>
      <w:r w:rsidR="00580BE4">
        <w:rPr>
          <w:rFonts w:ascii="Times New Roman" w:hAnsi="Times New Roman" w:cs="Times New Roman"/>
          <w:color w:val="000000" w:themeColor="text1"/>
        </w:rPr>
        <w:t>and</w:t>
      </w:r>
      <w:r w:rsidR="00D049D2" w:rsidRPr="00E41707">
        <w:rPr>
          <w:rFonts w:ascii="Times New Roman" w:hAnsi="Times New Roman" w:cs="Times New Roman"/>
          <w:color w:val="000000" w:themeColor="text1"/>
        </w:rPr>
        <w:t xml:space="preserve"> Jaggi, 2011)</w:t>
      </w:r>
      <w:r w:rsidR="00F50B68">
        <w:rPr>
          <w:rFonts w:ascii="Times New Roman" w:hAnsi="Times New Roman" w:cs="Times New Roman"/>
          <w:color w:val="000000" w:themeColor="text1"/>
        </w:rPr>
        <w:t xml:space="preserve"> ha</w:t>
      </w:r>
      <w:r w:rsidR="0006540D">
        <w:rPr>
          <w:rFonts w:ascii="Times New Roman" w:hAnsi="Times New Roman" w:cs="Times New Roman"/>
          <w:color w:val="000000" w:themeColor="text1"/>
        </w:rPr>
        <w:t>s</w:t>
      </w:r>
      <w:r w:rsidR="00F50B68">
        <w:rPr>
          <w:rFonts w:ascii="Times New Roman" w:hAnsi="Times New Roman" w:cs="Times New Roman"/>
          <w:color w:val="000000" w:themeColor="text1"/>
        </w:rPr>
        <w:t xml:space="preserve"> mainly employed </w:t>
      </w:r>
      <w:r w:rsidR="00D049D2" w:rsidRPr="00E41707">
        <w:rPr>
          <w:rFonts w:ascii="Times New Roman" w:hAnsi="Times New Roman" w:cs="Times New Roman"/>
          <w:color w:val="000000" w:themeColor="text1"/>
        </w:rPr>
        <w:t>cross-sectional data</w:t>
      </w:r>
      <w:r w:rsidR="00D049D2" w:rsidRPr="00E41707">
        <w:rPr>
          <w:rStyle w:val="FootnoteReference"/>
          <w:rFonts w:ascii="Times New Roman" w:hAnsi="Times New Roman" w:cs="Times New Roman"/>
          <w:color w:val="000000" w:themeColor="text1"/>
        </w:rPr>
        <w:footnoteReference w:id="3"/>
      </w:r>
      <w:r w:rsidR="00F50B68">
        <w:rPr>
          <w:rFonts w:ascii="Times New Roman" w:hAnsi="Times New Roman" w:cs="Times New Roman"/>
          <w:color w:val="000000" w:themeColor="text1"/>
        </w:rPr>
        <w:t xml:space="preserve"> on GHG disclosures, and </w:t>
      </w:r>
      <w:r w:rsidR="00F50B68">
        <w:rPr>
          <w:rFonts w:ascii="Times New Roman" w:hAnsi="Times New Roman" w:cs="Times New Roman"/>
          <w:color w:val="000000" w:themeColor="text1"/>
        </w:rPr>
        <w:lastRenderedPageBreak/>
        <w:t xml:space="preserve">thereby arguably failed to provide insights relating to </w:t>
      </w:r>
      <w:r w:rsidR="00D049D2" w:rsidRPr="00E41707">
        <w:rPr>
          <w:rFonts w:ascii="Times New Roman" w:hAnsi="Times New Roman" w:cs="Times New Roman"/>
          <w:color w:val="000000" w:themeColor="text1"/>
        </w:rPr>
        <w:t xml:space="preserve">long-term trends in </w:t>
      </w:r>
      <w:r w:rsidR="0006540D">
        <w:rPr>
          <w:rFonts w:ascii="Times New Roman" w:hAnsi="Times New Roman" w:cs="Times New Roman"/>
          <w:color w:val="000000" w:themeColor="text1"/>
        </w:rPr>
        <w:t>CRIs</w:t>
      </w:r>
      <w:r w:rsidR="00D049D2" w:rsidRPr="00E41707">
        <w:rPr>
          <w:rFonts w:ascii="Times New Roman" w:hAnsi="Times New Roman" w:cs="Times New Roman"/>
          <w:color w:val="000000" w:themeColor="text1"/>
        </w:rPr>
        <w:t xml:space="preserve"> and their determinants. </w:t>
      </w:r>
      <w:r w:rsidR="00DF0AAB">
        <w:rPr>
          <w:rFonts w:ascii="Times New Roman" w:hAnsi="Times New Roman" w:cs="Times New Roman"/>
          <w:color w:val="000000" w:themeColor="text1"/>
        </w:rPr>
        <w:t>Finally</w:t>
      </w:r>
      <w:r w:rsidR="00D3614B">
        <w:rPr>
          <w:rFonts w:ascii="Times New Roman" w:hAnsi="Times New Roman" w:cs="Times New Roman"/>
          <w:color w:val="000000" w:themeColor="text1"/>
        </w:rPr>
        <w:t>,</w:t>
      </w:r>
      <w:r w:rsidR="00DF0AAB">
        <w:rPr>
          <w:rFonts w:ascii="Times New Roman" w:hAnsi="Times New Roman" w:cs="Times New Roman"/>
          <w:color w:val="000000" w:themeColor="text1"/>
        </w:rPr>
        <w:t xml:space="preserve"> despite increasing calls for theoretical plurali</w:t>
      </w:r>
      <w:r w:rsidR="00366F88">
        <w:rPr>
          <w:rFonts w:ascii="Times New Roman" w:hAnsi="Times New Roman" w:cs="Times New Roman"/>
          <w:color w:val="000000" w:themeColor="text1"/>
        </w:rPr>
        <w:t>sm</w:t>
      </w:r>
      <w:r w:rsidR="00DF0AAB">
        <w:rPr>
          <w:rFonts w:ascii="Times New Roman" w:hAnsi="Times New Roman" w:cs="Times New Roman"/>
          <w:color w:val="000000" w:themeColor="text1"/>
        </w:rPr>
        <w:t xml:space="preserve"> and development in social and environmental research (Ntim, 2016), </w:t>
      </w:r>
      <w:r>
        <w:rPr>
          <w:rFonts w:ascii="Times New Roman" w:hAnsi="Times New Roman" w:cs="Times New Roman"/>
          <w:color w:val="000000" w:themeColor="text1"/>
        </w:rPr>
        <w:t>existing studies are either largely descriptive or have relied mainly on the ubiquitous agency theoretical framework (</w:t>
      </w:r>
      <w:r w:rsidRPr="00820C7C">
        <w:rPr>
          <w:rFonts w:ascii="Times New Roman" w:hAnsi="Times New Roman" w:cs="Times New Roman"/>
          <w:color w:val="000000" w:themeColor="text1"/>
        </w:rPr>
        <w:t xml:space="preserve">Matsumura et al., 2014; Rankin et al., 2011; </w:t>
      </w:r>
      <w:r w:rsidRPr="00820C7C">
        <w:rPr>
          <w:rFonts w:ascii="Times New Roman" w:hAnsi="Times New Roman" w:cs="Times New Roman"/>
        </w:rPr>
        <w:t xml:space="preserve">Tauringana </w:t>
      </w:r>
      <w:r w:rsidR="00580BE4">
        <w:rPr>
          <w:rFonts w:ascii="Times New Roman" w:hAnsi="Times New Roman" w:cs="Times New Roman"/>
        </w:rPr>
        <w:t>and</w:t>
      </w:r>
      <w:r w:rsidRPr="00820C7C">
        <w:rPr>
          <w:rFonts w:ascii="Times New Roman" w:hAnsi="Times New Roman" w:cs="Times New Roman"/>
        </w:rPr>
        <w:t xml:space="preserve"> Chithambo, 2015; Ziegler et al., 2011</w:t>
      </w:r>
      <w:r>
        <w:rPr>
          <w:rFonts w:ascii="Times New Roman" w:hAnsi="Times New Roman" w:cs="Times New Roman"/>
          <w:color w:val="000000" w:themeColor="text1"/>
        </w:rPr>
        <w:t xml:space="preserve">). </w:t>
      </w:r>
      <w:r w:rsidR="00D946BA">
        <w:rPr>
          <w:rFonts w:ascii="Times New Roman" w:hAnsi="Times New Roman" w:cs="Times New Roman"/>
          <w:color w:val="000000" w:themeColor="text1"/>
        </w:rPr>
        <w:t>Observably, despite its theoretical appeal, past studies have</w:t>
      </w:r>
      <w:r w:rsidR="00D946BA" w:rsidRPr="00820C7C">
        <w:rPr>
          <w:rFonts w:ascii="Times New Roman" w:hAnsi="Times New Roman" w:cs="Times New Roman"/>
          <w:color w:val="000000" w:themeColor="text1"/>
        </w:rPr>
        <w:t xml:space="preserve"> not explicitly </w:t>
      </w:r>
      <w:r w:rsidR="00D946BA">
        <w:rPr>
          <w:rFonts w:ascii="Times New Roman" w:hAnsi="Times New Roman" w:cs="Times New Roman"/>
          <w:color w:val="000000" w:themeColor="text1"/>
        </w:rPr>
        <w:t xml:space="preserve">explored </w:t>
      </w:r>
      <w:r w:rsidR="00D946BA" w:rsidRPr="00820C7C">
        <w:rPr>
          <w:rFonts w:ascii="Times New Roman" w:hAnsi="Times New Roman" w:cs="Times New Roman"/>
          <w:color w:val="000000" w:themeColor="text1"/>
        </w:rPr>
        <w:t>whether and how institutional theory can</w:t>
      </w:r>
      <w:r w:rsidR="00E672FB">
        <w:rPr>
          <w:rFonts w:ascii="Times New Roman" w:hAnsi="Times New Roman" w:cs="Times New Roman"/>
          <w:color w:val="000000" w:themeColor="text1"/>
        </w:rPr>
        <w:t xml:space="preserve"> be employed to</w:t>
      </w:r>
      <w:r w:rsidR="00D946BA" w:rsidRPr="00820C7C">
        <w:rPr>
          <w:rFonts w:ascii="Times New Roman" w:hAnsi="Times New Roman" w:cs="Times New Roman"/>
          <w:color w:val="000000" w:themeColor="text1"/>
        </w:rPr>
        <w:t xml:space="preserve"> explain </w:t>
      </w:r>
      <w:r w:rsidR="00D946BA">
        <w:rPr>
          <w:rFonts w:ascii="Times New Roman" w:hAnsi="Times New Roman" w:cs="Times New Roman"/>
          <w:color w:val="000000" w:themeColor="text1"/>
        </w:rPr>
        <w:t xml:space="preserve">the effect of </w:t>
      </w:r>
      <w:r w:rsidR="00366F88">
        <w:rPr>
          <w:rFonts w:ascii="Times New Roman" w:hAnsi="Times New Roman" w:cs="Times New Roman"/>
          <w:color w:val="000000" w:themeColor="text1"/>
        </w:rPr>
        <w:t xml:space="preserve">the </w:t>
      </w:r>
      <w:r w:rsidR="00D946BA">
        <w:rPr>
          <w:rFonts w:ascii="Times New Roman" w:hAnsi="Times New Roman" w:cs="Times New Roman"/>
          <w:color w:val="000000" w:themeColor="text1"/>
        </w:rPr>
        <w:t>C</w:t>
      </w:r>
      <w:r w:rsidR="00FE1A4B">
        <w:rPr>
          <w:rFonts w:ascii="Times New Roman" w:hAnsi="Times New Roman" w:cs="Times New Roman"/>
          <w:color w:val="000000" w:themeColor="text1"/>
        </w:rPr>
        <w:t>CA</w:t>
      </w:r>
      <w:r w:rsidR="00D946BA">
        <w:rPr>
          <w:rFonts w:ascii="Times New Roman" w:hAnsi="Times New Roman" w:cs="Times New Roman"/>
          <w:color w:val="000000" w:themeColor="text1"/>
        </w:rPr>
        <w:t xml:space="preserve"> on carbon performance.</w:t>
      </w:r>
      <w:r w:rsidR="00D946BA" w:rsidRPr="00820C7C">
        <w:rPr>
          <w:rFonts w:ascii="Times New Roman" w:hAnsi="Times New Roman" w:cs="Times New Roman"/>
          <w:color w:val="000000" w:themeColor="text1"/>
        </w:rPr>
        <w:t xml:space="preserve"> Therefore, this study uses institutional theory as proposed by </w:t>
      </w:r>
      <w:r w:rsidR="00D946BA" w:rsidRPr="00820C7C">
        <w:rPr>
          <w:rFonts w:ascii="Times New Roman" w:hAnsi="Times New Roman" w:cs="Times New Roman"/>
        </w:rPr>
        <w:t xml:space="preserve">DiMaggio </w:t>
      </w:r>
      <w:r w:rsidR="00580BE4">
        <w:rPr>
          <w:rFonts w:ascii="Times New Roman" w:hAnsi="Times New Roman" w:cs="Times New Roman"/>
        </w:rPr>
        <w:t>and</w:t>
      </w:r>
      <w:r w:rsidR="00D946BA" w:rsidRPr="00820C7C">
        <w:rPr>
          <w:rFonts w:ascii="Times New Roman" w:hAnsi="Times New Roman" w:cs="Times New Roman"/>
        </w:rPr>
        <w:t xml:space="preserve"> Powell (1983) and Oliver (1991), and </w:t>
      </w:r>
      <w:r w:rsidR="00D946BA" w:rsidRPr="00820C7C">
        <w:rPr>
          <w:rFonts w:ascii="Times New Roman" w:hAnsi="Times New Roman" w:cs="Times New Roman"/>
          <w:color w:val="000000" w:themeColor="text1"/>
        </w:rPr>
        <w:t xml:space="preserve">neo-institutional theory as proposed by Scott (2001) to explain how the CCA influences carbon performance of a firm, and whether a firm’s </w:t>
      </w:r>
      <w:r w:rsidR="00D946BA" w:rsidRPr="00820C7C">
        <w:rPr>
          <w:rFonts w:ascii="Times New Roman" w:hAnsi="Times New Roman" w:cs="Times New Roman"/>
        </w:rPr>
        <w:t>response to the enactment of the CCA is influenced by powerful economic agents.</w:t>
      </w:r>
    </w:p>
    <w:p w14:paraId="2CB63C1D" w14:textId="3F67CA20" w:rsidR="007F06EE" w:rsidRPr="0014359D" w:rsidRDefault="000531D4" w:rsidP="001C0E09">
      <w:pPr>
        <w:spacing w:after="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Consequently, t</w:t>
      </w:r>
      <w:r w:rsidR="009F065E" w:rsidRPr="009F065E">
        <w:rPr>
          <w:rFonts w:ascii="Times New Roman" w:hAnsi="Times New Roman" w:cs="Times New Roman"/>
          <w:color w:val="000000" w:themeColor="text1"/>
        </w:rPr>
        <w:t xml:space="preserve">his study intends to address these </w:t>
      </w:r>
      <w:r w:rsidR="00520966">
        <w:rPr>
          <w:rFonts w:ascii="Times New Roman" w:hAnsi="Times New Roman" w:cs="Times New Roman"/>
          <w:color w:val="000000" w:themeColor="text1"/>
        </w:rPr>
        <w:t>limitations</w:t>
      </w:r>
      <w:r w:rsidR="009F065E" w:rsidRPr="009F065E">
        <w:rPr>
          <w:rFonts w:ascii="Times New Roman" w:hAnsi="Times New Roman" w:cs="Times New Roman"/>
          <w:color w:val="000000" w:themeColor="text1"/>
        </w:rPr>
        <w:t xml:space="preserve"> </w:t>
      </w:r>
      <w:r w:rsidR="00520966">
        <w:rPr>
          <w:rFonts w:ascii="Times New Roman" w:hAnsi="Times New Roman" w:cs="Times New Roman"/>
          <w:color w:val="000000" w:themeColor="text1"/>
        </w:rPr>
        <w:t>with</w:t>
      </w:r>
      <w:r w:rsidR="009F065E" w:rsidRPr="009F065E">
        <w:rPr>
          <w:rFonts w:ascii="Times New Roman" w:hAnsi="Times New Roman" w:cs="Times New Roman"/>
          <w:color w:val="000000" w:themeColor="text1"/>
        </w:rPr>
        <w:t xml:space="preserve">in the literature by examining the effects of </w:t>
      </w:r>
      <w:r w:rsidR="004A4B2D">
        <w:rPr>
          <w:rFonts w:ascii="Times New Roman" w:hAnsi="Times New Roman" w:cs="Times New Roman"/>
          <w:color w:val="000000" w:themeColor="text1"/>
        </w:rPr>
        <w:t xml:space="preserve">the </w:t>
      </w:r>
      <w:r w:rsidR="009F065E" w:rsidRPr="009F065E">
        <w:rPr>
          <w:rFonts w:ascii="Times New Roman" w:hAnsi="Times New Roman" w:cs="Times New Roman"/>
          <w:color w:val="000000" w:themeColor="text1"/>
        </w:rPr>
        <w:t xml:space="preserve">CCA and its interactions </w:t>
      </w:r>
      <w:r w:rsidR="00161C8E">
        <w:rPr>
          <w:rFonts w:ascii="Times New Roman" w:hAnsi="Times New Roman" w:cs="Times New Roman"/>
          <w:color w:val="000000" w:themeColor="text1"/>
        </w:rPr>
        <w:t xml:space="preserve">with </w:t>
      </w:r>
      <w:r w:rsidR="002B39D6">
        <w:rPr>
          <w:rFonts w:ascii="Times New Roman" w:hAnsi="Times New Roman" w:cs="Times New Roman"/>
          <w:color w:val="000000" w:themeColor="text1"/>
        </w:rPr>
        <w:t>CG</w:t>
      </w:r>
      <w:r w:rsidR="00161C8E">
        <w:rPr>
          <w:rFonts w:ascii="Times New Roman" w:hAnsi="Times New Roman" w:cs="Times New Roman"/>
          <w:color w:val="000000" w:themeColor="text1"/>
        </w:rPr>
        <w:t xml:space="preserve"> mechanisms </w:t>
      </w:r>
      <w:r w:rsidR="009F065E" w:rsidRPr="009F065E">
        <w:rPr>
          <w:rFonts w:ascii="Times New Roman" w:hAnsi="Times New Roman" w:cs="Times New Roman"/>
          <w:color w:val="000000" w:themeColor="text1"/>
        </w:rPr>
        <w:t xml:space="preserve">on two aspects of carbon performance of a firm: </w:t>
      </w:r>
      <w:r w:rsidR="002B39D6">
        <w:rPr>
          <w:rFonts w:ascii="Times New Roman" w:hAnsi="Times New Roman" w:cs="Times New Roman"/>
          <w:color w:val="000000" w:themeColor="text1"/>
        </w:rPr>
        <w:t xml:space="preserve">(i) </w:t>
      </w:r>
      <w:r w:rsidR="009F065E" w:rsidRPr="009F065E">
        <w:rPr>
          <w:rFonts w:ascii="Times New Roman" w:hAnsi="Times New Roman" w:cs="Times New Roman"/>
          <w:color w:val="000000" w:themeColor="text1"/>
        </w:rPr>
        <w:t>CRI</w:t>
      </w:r>
      <w:r w:rsidR="009A37F5">
        <w:rPr>
          <w:rFonts w:ascii="Times New Roman" w:hAnsi="Times New Roman" w:cs="Times New Roman"/>
          <w:color w:val="000000" w:themeColor="text1"/>
        </w:rPr>
        <w:t>s</w:t>
      </w:r>
      <w:r w:rsidR="002B39D6">
        <w:rPr>
          <w:rFonts w:ascii="Times New Roman" w:hAnsi="Times New Roman" w:cs="Times New Roman"/>
          <w:color w:val="000000" w:themeColor="text1"/>
        </w:rPr>
        <w:t>;</w:t>
      </w:r>
      <w:r w:rsidR="009F065E" w:rsidRPr="009F065E">
        <w:rPr>
          <w:rFonts w:ascii="Times New Roman" w:hAnsi="Times New Roman" w:cs="Times New Roman"/>
          <w:color w:val="000000" w:themeColor="text1"/>
        </w:rPr>
        <w:t xml:space="preserve"> and </w:t>
      </w:r>
      <w:r w:rsidR="002B39D6">
        <w:rPr>
          <w:rFonts w:ascii="Times New Roman" w:hAnsi="Times New Roman" w:cs="Times New Roman"/>
          <w:color w:val="000000" w:themeColor="text1"/>
        </w:rPr>
        <w:t xml:space="preserve">(ii) </w:t>
      </w:r>
      <w:r w:rsidR="009F065E" w:rsidRPr="009F065E">
        <w:rPr>
          <w:rFonts w:ascii="Times New Roman" w:hAnsi="Times New Roman" w:cs="Times New Roman"/>
          <w:color w:val="000000" w:themeColor="text1"/>
        </w:rPr>
        <w:t>GHG emissions. It also examines if the adoption of GRI reporting and UNGC codes enhance</w:t>
      </w:r>
      <w:r w:rsidR="00FE1A4B">
        <w:rPr>
          <w:rFonts w:ascii="Times New Roman" w:hAnsi="Times New Roman" w:cs="Times New Roman"/>
          <w:color w:val="000000" w:themeColor="text1"/>
        </w:rPr>
        <w:t>s</w:t>
      </w:r>
      <w:r w:rsidR="009F065E" w:rsidRPr="009F065E">
        <w:rPr>
          <w:rFonts w:ascii="Times New Roman" w:hAnsi="Times New Roman" w:cs="Times New Roman"/>
          <w:color w:val="000000" w:themeColor="text1"/>
        </w:rPr>
        <w:t xml:space="preserve"> carbon performance of </w:t>
      </w:r>
      <w:r w:rsidR="001C0E09">
        <w:rPr>
          <w:rFonts w:ascii="Times New Roman" w:hAnsi="Times New Roman" w:cs="Times New Roman"/>
          <w:color w:val="000000" w:themeColor="text1"/>
        </w:rPr>
        <w:t>listed</w:t>
      </w:r>
      <w:r w:rsidR="009F065E" w:rsidRPr="009F065E">
        <w:rPr>
          <w:rFonts w:ascii="Times New Roman" w:hAnsi="Times New Roman" w:cs="Times New Roman"/>
          <w:color w:val="000000" w:themeColor="text1"/>
        </w:rPr>
        <w:t xml:space="preserve"> firm</w:t>
      </w:r>
      <w:r w:rsidR="001C0E09">
        <w:rPr>
          <w:rFonts w:ascii="Times New Roman" w:hAnsi="Times New Roman" w:cs="Times New Roman"/>
          <w:color w:val="000000" w:themeColor="text1"/>
        </w:rPr>
        <w:t xml:space="preserve">s, </w:t>
      </w:r>
      <w:r>
        <w:rPr>
          <w:rFonts w:ascii="Times New Roman" w:hAnsi="Times New Roman" w:cs="Times New Roman"/>
          <w:color w:val="000000" w:themeColor="text1"/>
        </w:rPr>
        <w:t>and thereby extending, as well as making a number of new and important contributions to the existing literature as follows</w:t>
      </w:r>
      <w:r w:rsidR="009F065E" w:rsidRPr="009F065E">
        <w:rPr>
          <w:rFonts w:ascii="Times New Roman" w:hAnsi="Times New Roman" w:cs="Times New Roman"/>
          <w:color w:val="000000" w:themeColor="text1"/>
        </w:rPr>
        <w:t xml:space="preserve">. </w:t>
      </w:r>
    </w:p>
    <w:p w14:paraId="662CF2AF" w14:textId="18339D89" w:rsidR="00C300C6" w:rsidRDefault="009F065E" w:rsidP="001C0E09">
      <w:pPr>
        <w:spacing w:after="0" w:line="360" w:lineRule="auto"/>
        <w:ind w:firstLine="720"/>
        <w:jc w:val="both"/>
        <w:rPr>
          <w:rFonts w:ascii="Times New Roman" w:hAnsi="Times New Roman" w:cs="Times New Roman"/>
          <w:color w:val="000000" w:themeColor="text1"/>
        </w:rPr>
      </w:pPr>
      <w:r w:rsidRPr="00587454">
        <w:rPr>
          <w:rFonts w:ascii="Times New Roman" w:hAnsi="Times New Roman" w:cs="Times New Roman"/>
          <w:iCs/>
          <w:color w:val="000000" w:themeColor="text1"/>
        </w:rPr>
        <w:t>First</w:t>
      </w:r>
      <w:r w:rsidRPr="00705339">
        <w:rPr>
          <w:rFonts w:ascii="Times New Roman" w:hAnsi="Times New Roman" w:cs="Times New Roman"/>
          <w:iCs/>
          <w:color w:val="000000" w:themeColor="text1"/>
        </w:rPr>
        <w:t>,</w:t>
      </w:r>
      <w:r w:rsidRPr="009F065E">
        <w:rPr>
          <w:rFonts w:ascii="Times New Roman" w:hAnsi="Times New Roman" w:cs="Times New Roman"/>
          <w:color w:val="000000" w:themeColor="text1"/>
        </w:rPr>
        <w:t xml:space="preserve"> to the best of our knowledge, this is the first study t</w:t>
      </w:r>
      <w:r w:rsidR="00881182">
        <w:rPr>
          <w:rFonts w:ascii="Times New Roman" w:hAnsi="Times New Roman" w:cs="Times New Roman"/>
          <w:color w:val="000000" w:themeColor="text1"/>
        </w:rPr>
        <w:t>hat</w:t>
      </w:r>
      <w:r w:rsidRPr="009F065E">
        <w:rPr>
          <w:rFonts w:ascii="Times New Roman" w:hAnsi="Times New Roman" w:cs="Times New Roman"/>
          <w:color w:val="000000" w:themeColor="text1"/>
        </w:rPr>
        <w:t xml:space="preserve"> address</w:t>
      </w:r>
      <w:r w:rsidR="00881182">
        <w:rPr>
          <w:rFonts w:ascii="Times New Roman" w:hAnsi="Times New Roman" w:cs="Times New Roman"/>
          <w:color w:val="000000" w:themeColor="text1"/>
        </w:rPr>
        <w:t>es</w:t>
      </w:r>
      <w:r w:rsidRPr="009F065E">
        <w:rPr>
          <w:rFonts w:ascii="Times New Roman" w:hAnsi="Times New Roman" w:cs="Times New Roman"/>
          <w:color w:val="000000" w:themeColor="text1"/>
        </w:rPr>
        <w:t xml:space="preserve"> the effect of </w:t>
      </w:r>
      <w:r w:rsidR="004A4B2D">
        <w:rPr>
          <w:rFonts w:ascii="Times New Roman" w:hAnsi="Times New Roman" w:cs="Times New Roman"/>
          <w:color w:val="000000" w:themeColor="text1"/>
        </w:rPr>
        <w:t xml:space="preserve">the </w:t>
      </w:r>
      <w:r w:rsidRPr="009F065E">
        <w:rPr>
          <w:rFonts w:ascii="Times New Roman" w:hAnsi="Times New Roman" w:cs="Times New Roman"/>
          <w:color w:val="000000" w:themeColor="text1"/>
        </w:rPr>
        <w:t xml:space="preserve">CCA on both process-oriented </w:t>
      </w:r>
      <w:r w:rsidR="00101248">
        <w:rPr>
          <w:rFonts w:ascii="Times New Roman" w:hAnsi="Times New Roman" w:cs="Times New Roman"/>
          <w:color w:val="000000" w:themeColor="text1"/>
        </w:rPr>
        <w:t xml:space="preserve">(CRIs) </w:t>
      </w:r>
      <w:r w:rsidRPr="009F065E">
        <w:rPr>
          <w:rFonts w:ascii="Times New Roman" w:hAnsi="Times New Roman" w:cs="Times New Roman"/>
          <w:color w:val="000000" w:themeColor="text1"/>
        </w:rPr>
        <w:t xml:space="preserve">and actual carbon performance </w:t>
      </w:r>
      <w:r w:rsidR="00101248">
        <w:rPr>
          <w:rFonts w:ascii="Times New Roman" w:hAnsi="Times New Roman" w:cs="Times New Roman"/>
          <w:color w:val="000000" w:themeColor="text1"/>
        </w:rPr>
        <w:t xml:space="preserve">(GHG emissions) </w:t>
      </w:r>
      <w:r w:rsidRPr="009F065E">
        <w:rPr>
          <w:rFonts w:ascii="Times New Roman" w:hAnsi="Times New Roman" w:cs="Times New Roman"/>
          <w:color w:val="000000" w:themeColor="text1"/>
        </w:rPr>
        <w:t>of a firm by using a new dataset covering a longer time horizon (2002-2014). Our analysis also captures all categories of non-financial listed firms from a diverse range of industries instead of covering only the large</w:t>
      </w:r>
      <w:r w:rsidR="004214F4">
        <w:rPr>
          <w:rFonts w:ascii="Times New Roman" w:hAnsi="Times New Roman" w:cs="Times New Roman"/>
          <w:color w:val="000000" w:themeColor="text1"/>
        </w:rPr>
        <w:t>st</w:t>
      </w:r>
      <w:r w:rsidRPr="009F065E">
        <w:rPr>
          <w:rFonts w:ascii="Times New Roman" w:hAnsi="Times New Roman" w:cs="Times New Roman"/>
          <w:color w:val="000000" w:themeColor="text1"/>
        </w:rPr>
        <w:t xml:space="preserve"> firms from polluting industries. </w:t>
      </w:r>
      <w:r w:rsidR="00087AD4">
        <w:rPr>
          <w:rFonts w:ascii="Times New Roman" w:hAnsi="Times New Roman" w:cs="Times New Roman"/>
          <w:color w:val="000000" w:themeColor="text1"/>
        </w:rPr>
        <w:t>Consistent with the predictions of the legitimation view of our neo-institutional theoretical framework, the</w:t>
      </w:r>
      <w:r w:rsidRPr="009F065E">
        <w:rPr>
          <w:rFonts w:ascii="Times New Roman" w:hAnsi="Times New Roman" w:cs="Times New Roman"/>
          <w:color w:val="000000" w:themeColor="text1"/>
        </w:rPr>
        <w:t xml:space="preserve"> evidence suggests that good carbon performance</w:t>
      </w:r>
      <w:r w:rsidR="007C0E07">
        <w:rPr>
          <w:rFonts w:ascii="Times New Roman" w:hAnsi="Times New Roman" w:cs="Times New Roman"/>
          <w:color w:val="000000" w:themeColor="text1"/>
        </w:rPr>
        <w:t xml:space="preserve"> management</w:t>
      </w:r>
      <w:r w:rsidRPr="009F065E">
        <w:rPr>
          <w:rFonts w:ascii="Times New Roman" w:hAnsi="Times New Roman" w:cs="Times New Roman"/>
          <w:color w:val="000000" w:themeColor="text1"/>
        </w:rPr>
        <w:t xml:space="preserve"> (or process-oriented outcome) does not necessarily indicate good carbon operational performance, and </w:t>
      </w:r>
      <w:r w:rsidRPr="009F065E">
        <w:rPr>
          <w:rFonts w:ascii="Times New Roman" w:hAnsi="Times New Roman" w:cs="Times New Roman"/>
          <w:color w:val="000000" w:themeColor="text1"/>
        </w:rPr>
        <w:lastRenderedPageBreak/>
        <w:t>that firms respond to institutional pressure</w:t>
      </w:r>
      <w:r w:rsidR="004214F4">
        <w:rPr>
          <w:rFonts w:ascii="Times New Roman" w:hAnsi="Times New Roman" w:cs="Times New Roman"/>
          <w:color w:val="000000" w:themeColor="text1"/>
        </w:rPr>
        <w:t>s</w:t>
      </w:r>
      <w:r w:rsidR="00087AD4">
        <w:rPr>
          <w:rFonts w:ascii="Times New Roman" w:hAnsi="Times New Roman" w:cs="Times New Roman"/>
          <w:color w:val="000000" w:themeColor="text1"/>
        </w:rPr>
        <w:t>,</w:t>
      </w:r>
      <w:r w:rsidRPr="009F065E">
        <w:rPr>
          <w:rFonts w:ascii="Times New Roman" w:hAnsi="Times New Roman" w:cs="Times New Roman"/>
          <w:color w:val="000000" w:themeColor="text1"/>
        </w:rPr>
        <w:t xml:space="preserve"> such as the CCA by </w:t>
      </w:r>
      <w:r w:rsidRPr="009F065E">
        <w:rPr>
          <w:rFonts w:ascii="Times New Roman" w:hAnsi="Times New Roman" w:cs="Times New Roman"/>
        </w:rPr>
        <w:t xml:space="preserve">demonstrating the former without </w:t>
      </w:r>
      <w:r w:rsidRPr="009F065E">
        <w:rPr>
          <w:rFonts w:ascii="Times New Roman" w:hAnsi="Times New Roman" w:cs="Times New Roman"/>
          <w:color w:val="000000" w:themeColor="text1"/>
        </w:rPr>
        <w:t xml:space="preserve">improving actual outcome in the form of reduced GHG emissions. </w:t>
      </w:r>
    </w:p>
    <w:p w14:paraId="65670EB8" w14:textId="300D593D" w:rsidR="00C300C6" w:rsidRPr="00AA4C0A" w:rsidRDefault="009F065E" w:rsidP="00A20230">
      <w:pPr>
        <w:spacing w:after="0" w:line="360" w:lineRule="auto"/>
        <w:ind w:firstLine="720"/>
        <w:jc w:val="both"/>
        <w:rPr>
          <w:rFonts w:ascii="Times New Roman" w:hAnsi="Times New Roman" w:cs="Times New Roman"/>
          <w:lang w:val="en-US"/>
        </w:rPr>
      </w:pPr>
      <w:r w:rsidRPr="00587454">
        <w:rPr>
          <w:rFonts w:ascii="Times New Roman" w:hAnsi="Times New Roman" w:cs="Times New Roman"/>
          <w:iCs/>
          <w:color w:val="000000" w:themeColor="text1"/>
        </w:rPr>
        <w:t>Second</w:t>
      </w:r>
      <w:r w:rsidRPr="00705339">
        <w:rPr>
          <w:rFonts w:ascii="Times New Roman" w:hAnsi="Times New Roman" w:cs="Times New Roman"/>
          <w:iCs/>
          <w:color w:val="000000" w:themeColor="text1"/>
        </w:rPr>
        <w:t>,</w:t>
      </w:r>
      <w:r w:rsidRPr="009F065E">
        <w:rPr>
          <w:rFonts w:ascii="Times New Roman" w:hAnsi="Times New Roman" w:cs="Times New Roman"/>
          <w:color w:val="000000" w:themeColor="text1"/>
        </w:rPr>
        <w:t xml:space="preserve"> unlike other studies, we examine how the CCA interacts with </w:t>
      </w:r>
      <w:r w:rsidR="000531D4">
        <w:rPr>
          <w:rFonts w:ascii="Times New Roman" w:hAnsi="Times New Roman" w:cs="Times New Roman"/>
          <w:color w:val="000000" w:themeColor="text1"/>
        </w:rPr>
        <w:t xml:space="preserve">CG mechanisms, including </w:t>
      </w:r>
      <w:r w:rsidRPr="009F065E">
        <w:rPr>
          <w:rFonts w:ascii="Times New Roman" w:hAnsi="Times New Roman" w:cs="Times New Roman"/>
          <w:color w:val="000000" w:themeColor="text1"/>
        </w:rPr>
        <w:t>executive compensation</w:t>
      </w:r>
      <w:r w:rsidR="00161C8E">
        <w:rPr>
          <w:rFonts w:ascii="Times New Roman" w:hAnsi="Times New Roman" w:cs="Times New Roman"/>
          <w:color w:val="000000" w:themeColor="text1"/>
        </w:rPr>
        <w:t>,</w:t>
      </w:r>
      <w:r w:rsidRPr="009F065E">
        <w:rPr>
          <w:rFonts w:ascii="Times New Roman" w:hAnsi="Times New Roman" w:cs="Times New Roman"/>
          <w:color w:val="000000" w:themeColor="text1"/>
        </w:rPr>
        <w:t xml:space="preserve"> board </w:t>
      </w:r>
      <w:r w:rsidR="00161C8E">
        <w:rPr>
          <w:rFonts w:ascii="Times New Roman" w:hAnsi="Times New Roman" w:cs="Times New Roman"/>
          <w:color w:val="000000" w:themeColor="text1"/>
        </w:rPr>
        <w:t xml:space="preserve">size, board </w:t>
      </w:r>
      <w:r w:rsidRPr="009F065E">
        <w:rPr>
          <w:rFonts w:ascii="Times New Roman" w:hAnsi="Times New Roman" w:cs="Times New Roman"/>
          <w:color w:val="000000" w:themeColor="text1"/>
        </w:rPr>
        <w:t>independence</w:t>
      </w:r>
      <w:r w:rsidR="00161C8E">
        <w:rPr>
          <w:rFonts w:ascii="Times New Roman" w:hAnsi="Times New Roman" w:cs="Times New Roman"/>
          <w:color w:val="000000" w:themeColor="text1"/>
        </w:rPr>
        <w:t xml:space="preserve"> and CEO duality</w:t>
      </w:r>
      <w:r w:rsidRPr="009F065E">
        <w:rPr>
          <w:rFonts w:ascii="Times New Roman" w:hAnsi="Times New Roman" w:cs="Times New Roman"/>
          <w:color w:val="000000" w:themeColor="text1"/>
        </w:rPr>
        <w:t xml:space="preserve"> in shaping the climate-related initiatives of </w:t>
      </w:r>
      <w:r w:rsidR="00D946BA">
        <w:rPr>
          <w:rFonts w:ascii="Times New Roman" w:hAnsi="Times New Roman" w:cs="Times New Roman"/>
          <w:color w:val="000000" w:themeColor="text1"/>
        </w:rPr>
        <w:t>UK</w:t>
      </w:r>
      <w:r w:rsidRPr="009F065E">
        <w:rPr>
          <w:rFonts w:ascii="Times New Roman" w:hAnsi="Times New Roman" w:cs="Times New Roman"/>
          <w:color w:val="000000" w:themeColor="text1"/>
        </w:rPr>
        <w:t xml:space="preserve"> </w:t>
      </w:r>
      <w:r w:rsidR="00D946BA">
        <w:rPr>
          <w:rFonts w:ascii="Times New Roman" w:hAnsi="Times New Roman" w:cs="Times New Roman"/>
          <w:color w:val="000000" w:themeColor="text1"/>
        </w:rPr>
        <w:t xml:space="preserve">listed </w:t>
      </w:r>
      <w:r w:rsidRPr="009F065E">
        <w:rPr>
          <w:rFonts w:ascii="Times New Roman" w:hAnsi="Times New Roman" w:cs="Times New Roman"/>
          <w:color w:val="000000" w:themeColor="text1"/>
        </w:rPr>
        <w:t>firm</w:t>
      </w:r>
      <w:r w:rsidR="00D946BA">
        <w:rPr>
          <w:rFonts w:ascii="Times New Roman" w:hAnsi="Times New Roman" w:cs="Times New Roman"/>
          <w:color w:val="000000" w:themeColor="text1"/>
        </w:rPr>
        <w:t>s</w:t>
      </w:r>
      <w:r w:rsidRPr="009F065E">
        <w:rPr>
          <w:rFonts w:ascii="Times New Roman" w:hAnsi="Times New Roman" w:cs="Times New Roman"/>
          <w:color w:val="000000" w:themeColor="text1"/>
        </w:rPr>
        <w:t xml:space="preserve">. </w:t>
      </w:r>
      <w:r w:rsidR="0088455E">
        <w:rPr>
          <w:rFonts w:ascii="Times New Roman" w:hAnsi="Times New Roman" w:cs="Times New Roman"/>
          <w:color w:val="000000" w:themeColor="text1"/>
        </w:rPr>
        <w:t xml:space="preserve">Among others, </w:t>
      </w:r>
      <w:r w:rsidR="0088455E">
        <w:rPr>
          <w:rFonts w:ascii="Times New Roman" w:hAnsi="Times New Roman" w:cs="Times New Roman"/>
          <w:lang w:val="en-US"/>
        </w:rPr>
        <w:t xml:space="preserve">Lee and Klassen (2016) highlight the significance of </w:t>
      </w:r>
      <w:r w:rsidR="006710F1">
        <w:rPr>
          <w:rFonts w:ascii="Times New Roman" w:hAnsi="Times New Roman" w:cs="Times New Roman"/>
          <w:lang w:val="en-US"/>
        </w:rPr>
        <w:t xml:space="preserve">employing </w:t>
      </w:r>
      <w:r w:rsidR="0088455E">
        <w:rPr>
          <w:rFonts w:ascii="Times New Roman" w:hAnsi="Times New Roman" w:cs="Times New Roman"/>
          <w:lang w:val="en-US"/>
        </w:rPr>
        <w:t>interacti</w:t>
      </w:r>
      <w:r w:rsidR="006710F1">
        <w:rPr>
          <w:rFonts w:ascii="Times New Roman" w:hAnsi="Times New Roman" w:cs="Times New Roman"/>
          <w:lang w:val="en-US"/>
        </w:rPr>
        <w:t>on</w:t>
      </w:r>
      <w:r w:rsidR="0088455E">
        <w:rPr>
          <w:rFonts w:ascii="Times New Roman" w:hAnsi="Times New Roman" w:cs="Times New Roman"/>
          <w:lang w:val="en-US"/>
        </w:rPr>
        <w:t xml:space="preserve"> and moderati</w:t>
      </w:r>
      <w:r w:rsidR="006710F1">
        <w:rPr>
          <w:rFonts w:ascii="Times New Roman" w:hAnsi="Times New Roman" w:cs="Times New Roman"/>
          <w:lang w:val="en-US"/>
        </w:rPr>
        <w:t>on</w:t>
      </w:r>
      <w:r w:rsidR="0088455E">
        <w:rPr>
          <w:rFonts w:ascii="Times New Roman" w:hAnsi="Times New Roman" w:cs="Times New Roman"/>
          <w:lang w:val="en-US"/>
        </w:rPr>
        <w:t xml:space="preserve"> variables in providing better understanding of environmental issues in an uncertain business environment</w:t>
      </w:r>
      <w:r w:rsidR="00AD4476">
        <w:rPr>
          <w:rFonts w:ascii="Times New Roman" w:hAnsi="Times New Roman" w:cs="Times New Roman"/>
          <w:lang w:val="en-US"/>
        </w:rPr>
        <w:t>,</w:t>
      </w:r>
      <w:r w:rsidR="0088455E">
        <w:rPr>
          <w:rFonts w:ascii="Times New Roman" w:hAnsi="Times New Roman" w:cs="Times New Roman"/>
          <w:lang w:val="en-US"/>
        </w:rPr>
        <w:t xml:space="preserve"> such as climate change. </w:t>
      </w:r>
      <w:r w:rsidRPr="009F065E">
        <w:rPr>
          <w:rFonts w:ascii="Times New Roman" w:hAnsi="Times New Roman" w:cs="Times New Roman"/>
          <w:color w:val="000000" w:themeColor="text1"/>
        </w:rPr>
        <w:t>Our evidence suggests that executive management and independent board</w:t>
      </w:r>
      <w:r w:rsidR="005529F2">
        <w:rPr>
          <w:rFonts w:ascii="Times New Roman" w:hAnsi="Times New Roman" w:cs="Times New Roman"/>
          <w:color w:val="000000" w:themeColor="text1"/>
        </w:rPr>
        <w:t>s</w:t>
      </w:r>
      <w:r w:rsidRPr="009F065E">
        <w:rPr>
          <w:rFonts w:ascii="Times New Roman" w:hAnsi="Times New Roman" w:cs="Times New Roman"/>
          <w:color w:val="000000" w:themeColor="text1"/>
        </w:rPr>
        <w:t xml:space="preserve"> </w:t>
      </w:r>
      <w:r w:rsidR="00886A43">
        <w:rPr>
          <w:rFonts w:ascii="Times New Roman" w:hAnsi="Times New Roman" w:cs="Times New Roman"/>
          <w:color w:val="000000" w:themeColor="text1"/>
        </w:rPr>
        <w:t xml:space="preserve">tend to </w:t>
      </w:r>
      <w:r w:rsidRPr="009F065E">
        <w:rPr>
          <w:rFonts w:ascii="Times New Roman" w:hAnsi="Times New Roman" w:cs="Times New Roman"/>
          <w:color w:val="000000" w:themeColor="text1"/>
        </w:rPr>
        <w:t xml:space="preserve">respond to the enactment of the CCA by </w:t>
      </w:r>
      <w:r w:rsidR="00886A43">
        <w:rPr>
          <w:rFonts w:ascii="Times New Roman" w:hAnsi="Times New Roman" w:cs="Times New Roman"/>
          <w:color w:val="000000" w:themeColor="text1"/>
        </w:rPr>
        <w:t xml:space="preserve">symbolically </w:t>
      </w:r>
      <w:r w:rsidRPr="009F065E">
        <w:rPr>
          <w:rFonts w:ascii="Times New Roman" w:hAnsi="Times New Roman" w:cs="Times New Roman"/>
          <w:color w:val="000000" w:themeColor="text1"/>
        </w:rPr>
        <w:t xml:space="preserve">undertaking climate protection initiatives, without demonstrating </w:t>
      </w:r>
      <w:r w:rsidR="00886A43">
        <w:rPr>
          <w:rFonts w:ascii="Times New Roman" w:hAnsi="Times New Roman" w:cs="Times New Roman"/>
          <w:color w:val="000000" w:themeColor="text1"/>
        </w:rPr>
        <w:t>substantive</w:t>
      </w:r>
      <w:r w:rsidRPr="009F065E">
        <w:rPr>
          <w:rFonts w:ascii="Times New Roman" w:hAnsi="Times New Roman" w:cs="Times New Roman"/>
          <w:color w:val="000000" w:themeColor="text1"/>
        </w:rPr>
        <w:t xml:space="preserve"> improvement in </w:t>
      </w:r>
      <w:r w:rsidR="00886A43">
        <w:rPr>
          <w:rFonts w:ascii="Times New Roman" w:hAnsi="Times New Roman" w:cs="Times New Roman"/>
          <w:color w:val="000000" w:themeColor="text1"/>
        </w:rPr>
        <w:t xml:space="preserve">actual </w:t>
      </w:r>
      <w:r w:rsidRPr="009F065E">
        <w:rPr>
          <w:rFonts w:ascii="Times New Roman" w:hAnsi="Times New Roman" w:cs="Times New Roman"/>
          <w:color w:val="000000" w:themeColor="text1"/>
        </w:rPr>
        <w:t xml:space="preserve">carbon performance. </w:t>
      </w:r>
      <w:r w:rsidRPr="00587454">
        <w:rPr>
          <w:rFonts w:ascii="Times New Roman" w:hAnsi="Times New Roman" w:cs="Times New Roman"/>
          <w:iCs/>
          <w:color w:val="000000" w:themeColor="text1"/>
        </w:rPr>
        <w:t>Third</w:t>
      </w:r>
      <w:r w:rsidR="00087AD4" w:rsidRPr="00705339">
        <w:rPr>
          <w:rFonts w:ascii="Times New Roman" w:hAnsi="Times New Roman" w:cs="Times New Roman"/>
          <w:iCs/>
          <w:color w:val="000000" w:themeColor="text1"/>
        </w:rPr>
        <w:t xml:space="preserve"> </w:t>
      </w:r>
      <w:r w:rsidR="00087AD4">
        <w:rPr>
          <w:rFonts w:ascii="Times New Roman" w:hAnsi="Times New Roman" w:cs="Times New Roman"/>
          <w:color w:val="000000" w:themeColor="text1"/>
        </w:rPr>
        <w:t xml:space="preserve">and by contrast, we find that firms with poor CG structures, as captured by larger board size, have lower actual carbon </w:t>
      </w:r>
      <w:r w:rsidR="00CC1BAD">
        <w:rPr>
          <w:rFonts w:ascii="Times New Roman" w:hAnsi="Times New Roman" w:cs="Times New Roman"/>
          <w:color w:val="000000" w:themeColor="text1"/>
        </w:rPr>
        <w:t>emissions</w:t>
      </w:r>
      <w:r w:rsidR="00087AD4">
        <w:rPr>
          <w:rFonts w:ascii="Times New Roman" w:hAnsi="Times New Roman" w:cs="Times New Roman"/>
          <w:color w:val="000000" w:themeColor="text1"/>
        </w:rPr>
        <w:t xml:space="preserve"> compared with their </w:t>
      </w:r>
      <w:r w:rsidR="00886A43">
        <w:rPr>
          <w:rFonts w:ascii="Times New Roman" w:hAnsi="Times New Roman" w:cs="Times New Roman"/>
          <w:color w:val="000000" w:themeColor="text1"/>
        </w:rPr>
        <w:t xml:space="preserve">presumably </w:t>
      </w:r>
      <w:r w:rsidR="00087AD4">
        <w:rPr>
          <w:rFonts w:ascii="Times New Roman" w:hAnsi="Times New Roman" w:cs="Times New Roman"/>
          <w:color w:val="000000" w:themeColor="text1"/>
        </w:rPr>
        <w:t>better-governed</w:t>
      </w:r>
      <w:r w:rsidR="00886A43">
        <w:rPr>
          <w:rFonts w:ascii="Times New Roman" w:hAnsi="Times New Roman" w:cs="Times New Roman"/>
          <w:color w:val="000000" w:themeColor="text1"/>
        </w:rPr>
        <w:t>/smaller board size</w:t>
      </w:r>
      <w:r w:rsidR="00087AD4">
        <w:rPr>
          <w:rFonts w:ascii="Times New Roman" w:hAnsi="Times New Roman" w:cs="Times New Roman"/>
          <w:color w:val="000000" w:themeColor="text1"/>
        </w:rPr>
        <w:t xml:space="preserve"> counterparts. </w:t>
      </w:r>
      <w:r w:rsidR="00087AD4" w:rsidRPr="00587454">
        <w:rPr>
          <w:rFonts w:ascii="Times New Roman" w:hAnsi="Times New Roman" w:cs="Times New Roman"/>
          <w:iCs/>
          <w:color w:val="000000" w:themeColor="text1"/>
        </w:rPr>
        <w:t>Fourth</w:t>
      </w:r>
      <w:r w:rsidRPr="009F065E">
        <w:rPr>
          <w:rFonts w:ascii="Times New Roman" w:hAnsi="Times New Roman" w:cs="Times New Roman"/>
          <w:color w:val="000000" w:themeColor="text1"/>
        </w:rPr>
        <w:t xml:space="preserve">, we complement related </w:t>
      </w:r>
      <w:r w:rsidRPr="009F065E">
        <w:rPr>
          <w:rFonts w:ascii="Times New Roman" w:hAnsi="Times New Roman" w:cs="Times New Roman"/>
          <w:color w:val="000000" w:themeColor="text1"/>
        </w:rPr>
        <w:lastRenderedPageBreak/>
        <w:t>studies to examine the effect of self-regulatory initiatives (such as GRI-reporting) on carbon performance, and find that GRI-based sustainable reporting</w:t>
      </w:r>
      <w:r w:rsidR="00886A43">
        <w:rPr>
          <w:rFonts w:ascii="Times New Roman" w:hAnsi="Times New Roman" w:cs="Times New Roman"/>
          <w:color w:val="000000" w:themeColor="text1"/>
        </w:rPr>
        <w:t xml:space="preserve"> framework</w:t>
      </w:r>
      <w:r w:rsidRPr="009F065E">
        <w:rPr>
          <w:rFonts w:ascii="Times New Roman" w:hAnsi="Times New Roman" w:cs="Times New Roman"/>
          <w:color w:val="000000" w:themeColor="text1"/>
        </w:rPr>
        <w:t xml:space="preserve"> represents superior process-oriented performance, rather than actual carbon performance of a firm. Overall, our evidence </w:t>
      </w:r>
      <w:r w:rsidR="006D1E39">
        <w:rPr>
          <w:rFonts w:ascii="Times New Roman" w:hAnsi="Times New Roman" w:cs="Times New Roman"/>
          <w:color w:val="000000" w:themeColor="text1"/>
        </w:rPr>
        <w:t xml:space="preserve">offers new insights </w:t>
      </w:r>
      <w:r w:rsidR="00F008DA">
        <w:rPr>
          <w:rFonts w:ascii="Times New Roman" w:hAnsi="Times New Roman" w:cs="Times New Roman"/>
          <w:color w:val="000000" w:themeColor="text1"/>
        </w:rPr>
        <w:t>i</w:t>
      </w:r>
      <w:r w:rsidR="006D1E39">
        <w:rPr>
          <w:rFonts w:ascii="Times New Roman" w:hAnsi="Times New Roman" w:cs="Times New Roman"/>
          <w:color w:val="000000" w:themeColor="text1"/>
        </w:rPr>
        <w:t>n</w:t>
      </w:r>
      <w:r w:rsidR="00F008DA">
        <w:rPr>
          <w:rFonts w:ascii="Times New Roman" w:hAnsi="Times New Roman" w:cs="Times New Roman"/>
          <w:color w:val="000000" w:themeColor="text1"/>
        </w:rPr>
        <w:t>to</w:t>
      </w:r>
      <w:r w:rsidR="006D1E39">
        <w:rPr>
          <w:rFonts w:ascii="Times New Roman" w:hAnsi="Times New Roman" w:cs="Times New Roman"/>
          <w:color w:val="000000" w:themeColor="text1"/>
        </w:rPr>
        <w:t xml:space="preserve"> the ability of</w:t>
      </w:r>
      <w:r w:rsidRPr="009F065E">
        <w:rPr>
          <w:rFonts w:ascii="Times New Roman" w:hAnsi="Times New Roman" w:cs="Times New Roman"/>
          <w:color w:val="000000" w:themeColor="text1"/>
        </w:rPr>
        <w:t xml:space="preserve"> institutional theory </w:t>
      </w:r>
      <w:r w:rsidR="0080744F">
        <w:rPr>
          <w:rFonts w:ascii="Times New Roman" w:hAnsi="Times New Roman" w:cs="Times New Roman"/>
          <w:color w:val="000000" w:themeColor="text1"/>
        </w:rPr>
        <w:t>to</w:t>
      </w:r>
      <w:r w:rsidRPr="009F065E">
        <w:rPr>
          <w:rFonts w:ascii="Times New Roman" w:hAnsi="Times New Roman" w:cs="Times New Roman"/>
          <w:color w:val="000000" w:themeColor="text1"/>
        </w:rPr>
        <w:t xml:space="preserve"> explain </w:t>
      </w:r>
      <w:r w:rsidR="006D1E39">
        <w:rPr>
          <w:rFonts w:ascii="Times New Roman" w:hAnsi="Times New Roman" w:cs="Times New Roman"/>
          <w:color w:val="000000" w:themeColor="text1"/>
        </w:rPr>
        <w:t>both</w:t>
      </w:r>
      <w:r w:rsidRPr="009F065E">
        <w:rPr>
          <w:rFonts w:ascii="Times New Roman" w:hAnsi="Times New Roman" w:cs="Times New Roman"/>
          <w:color w:val="000000" w:themeColor="text1"/>
        </w:rPr>
        <w:t xml:space="preserve"> individual and interactive effects of climate regulation</w:t>
      </w:r>
      <w:r w:rsidR="006D1E39">
        <w:rPr>
          <w:rFonts w:ascii="Times New Roman" w:hAnsi="Times New Roman" w:cs="Times New Roman"/>
          <w:color w:val="000000" w:themeColor="text1"/>
        </w:rPr>
        <w:t>s</w:t>
      </w:r>
      <w:r w:rsidRPr="009F065E">
        <w:rPr>
          <w:rFonts w:ascii="Times New Roman" w:hAnsi="Times New Roman" w:cs="Times New Roman"/>
          <w:color w:val="000000" w:themeColor="text1"/>
        </w:rPr>
        <w:t>, board independence and executive compensation on carbon initiatives and carbon emissions of firm</w:t>
      </w:r>
      <w:r w:rsidR="00F008DA">
        <w:rPr>
          <w:rFonts w:ascii="Times New Roman" w:hAnsi="Times New Roman" w:cs="Times New Roman"/>
          <w:color w:val="000000" w:themeColor="text1"/>
        </w:rPr>
        <w:t>s</w:t>
      </w:r>
      <w:r w:rsidRPr="009F065E">
        <w:rPr>
          <w:rFonts w:ascii="Times New Roman" w:hAnsi="Times New Roman" w:cs="Times New Roman"/>
          <w:color w:val="000000" w:themeColor="text1"/>
        </w:rPr>
        <w:t>.</w:t>
      </w:r>
    </w:p>
    <w:p w14:paraId="226853D9" w14:textId="1B6CA859" w:rsidR="00C300C6" w:rsidRDefault="009F065E" w:rsidP="002974E5">
      <w:pPr>
        <w:spacing w:after="0" w:line="360" w:lineRule="auto"/>
        <w:ind w:firstLine="720"/>
        <w:jc w:val="both"/>
        <w:rPr>
          <w:rFonts w:ascii="Times New Roman" w:hAnsi="Times New Roman" w:cs="Times New Roman"/>
          <w:color w:val="000000" w:themeColor="text1"/>
        </w:rPr>
      </w:pPr>
      <w:r w:rsidRPr="009F065E">
        <w:rPr>
          <w:rFonts w:ascii="Times New Roman" w:hAnsi="Times New Roman" w:cs="Times New Roman"/>
          <w:color w:val="000000" w:themeColor="text1"/>
        </w:rPr>
        <w:t xml:space="preserve">The rest of the paper is structured as follows. Section 2 provides a background </w:t>
      </w:r>
      <w:r w:rsidR="00F150E9">
        <w:rPr>
          <w:rFonts w:ascii="Times New Roman" w:hAnsi="Times New Roman" w:cs="Times New Roman"/>
          <w:color w:val="000000" w:themeColor="text1"/>
        </w:rPr>
        <w:t>to</w:t>
      </w:r>
      <w:r w:rsidRPr="009F065E">
        <w:rPr>
          <w:rFonts w:ascii="Times New Roman" w:hAnsi="Times New Roman" w:cs="Times New Roman"/>
          <w:color w:val="000000" w:themeColor="text1"/>
        </w:rPr>
        <w:t xml:space="preserve"> the study</w:t>
      </w:r>
      <w:r w:rsidR="00CF7E9B">
        <w:rPr>
          <w:rFonts w:ascii="Times New Roman" w:hAnsi="Times New Roman" w:cs="Times New Roman"/>
          <w:color w:val="000000" w:themeColor="text1"/>
        </w:rPr>
        <w:t>.</w:t>
      </w:r>
      <w:r w:rsidRPr="009F065E">
        <w:rPr>
          <w:rFonts w:ascii="Times New Roman" w:hAnsi="Times New Roman" w:cs="Times New Roman"/>
          <w:color w:val="000000" w:themeColor="text1"/>
        </w:rPr>
        <w:t xml:space="preserve"> </w:t>
      </w:r>
      <w:r w:rsidR="00CF7E9B">
        <w:rPr>
          <w:rFonts w:ascii="Times New Roman" w:hAnsi="Times New Roman" w:cs="Times New Roman"/>
          <w:color w:val="000000" w:themeColor="text1"/>
        </w:rPr>
        <w:t xml:space="preserve"> S</w:t>
      </w:r>
      <w:r w:rsidRPr="009F065E">
        <w:rPr>
          <w:rFonts w:ascii="Times New Roman" w:hAnsi="Times New Roman" w:cs="Times New Roman"/>
          <w:color w:val="000000" w:themeColor="text1"/>
        </w:rPr>
        <w:t xml:space="preserve">ection 3 </w:t>
      </w:r>
      <w:r w:rsidR="00F150E9">
        <w:rPr>
          <w:rFonts w:ascii="Times New Roman" w:hAnsi="Times New Roman" w:cs="Times New Roman"/>
          <w:color w:val="000000" w:themeColor="text1"/>
        </w:rPr>
        <w:t>reviews the</w:t>
      </w:r>
      <w:r w:rsidRPr="009F065E">
        <w:rPr>
          <w:rFonts w:ascii="Times New Roman" w:hAnsi="Times New Roman" w:cs="Times New Roman"/>
          <w:color w:val="000000" w:themeColor="text1"/>
        </w:rPr>
        <w:t xml:space="preserve"> theoretical literature. </w:t>
      </w:r>
      <w:r w:rsidR="00CF7E9B">
        <w:rPr>
          <w:rFonts w:ascii="Times New Roman" w:hAnsi="Times New Roman" w:cs="Times New Roman"/>
          <w:color w:val="000000" w:themeColor="text1"/>
        </w:rPr>
        <w:t xml:space="preserve"> S</w:t>
      </w:r>
      <w:r w:rsidRPr="009F065E">
        <w:rPr>
          <w:rFonts w:ascii="Times New Roman" w:hAnsi="Times New Roman" w:cs="Times New Roman"/>
          <w:color w:val="000000" w:themeColor="text1"/>
        </w:rPr>
        <w:t>ection</w:t>
      </w:r>
      <w:r w:rsidR="00CF7E9B">
        <w:rPr>
          <w:rFonts w:ascii="Times New Roman" w:hAnsi="Times New Roman" w:cs="Times New Roman"/>
          <w:color w:val="000000" w:themeColor="text1"/>
        </w:rPr>
        <w:t xml:space="preserve"> 4</w:t>
      </w:r>
      <w:r w:rsidRPr="009F065E">
        <w:rPr>
          <w:rFonts w:ascii="Times New Roman" w:hAnsi="Times New Roman" w:cs="Times New Roman"/>
          <w:color w:val="000000" w:themeColor="text1"/>
        </w:rPr>
        <w:t xml:space="preserve"> review</w:t>
      </w:r>
      <w:r w:rsidR="00CF7E9B">
        <w:rPr>
          <w:rFonts w:ascii="Times New Roman" w:hAnsi="Times New Roman" w:cs="Times New Roman"/>
          <w:color w:val="000000" w:themeColor="text1"/>
        </w:rPr>
        <w:t>s</w:t>
      </w:r>
      <w:r w:rsidRPr="009F065E">
        <w:rPr>
          <w:rFonts w:ascii="Times New Roman" w:hAnsi="Times New Roman" w:cs="Times New Roman"/>
          <w:color w:val="000000" w:themeColor="text1"/>
        </w:rPr>
        <w:t xml:space="preserve"> </w:t>
      </w:r>
      <w:r w:rsidR="00F150E9">
        <w:rPr>
          <w:rFonts w:ascii="Times New Roman" w:hAnsi="Times New Roman" w:cs="Times New Roman"/>
          <w:color w:val="000000" w:themeColor="text1"/>
        </w:rPr>
        <w:t xml:space="preserve">the </w:t>
      </w:r>
      <w:r w:rsidRPr="009F065E">
        <w:rPr>
          <w:rFonts w:ascii="Times New Roman" w:hAnsi="Times New Roman" w:cs="Times New Roman"/>
          <w:color w:val="000000" w:themeColor="text1"/>
        </w:rPr>
        <w:t>empirical literature</w:t>
      </w:r>
      <w:r w:rsidR="00CF7E9B">
        <w:rPr>
          <w:rFonts w:ascii="Times New Roman" w:hAnsi="Times New Roman" w:cs="Times New Roman"/>
          <w:color w:val="000000" w:themeColor="text1"/>
        </w:rPr>
        <w:t xml:space="preserve"> and develops hypotheses. S</w:t>
      </w:r>
      <w:r w:rsidRPr="009F065E">
        <w:rPr>
          <w:rFonts w:ascii="Times New Roman" w:hAnsi="Times New Roman" w:cs="Times New Roman"/>
          <w:color w:val="000000" w:themeColor="text1"/>
        </w:rPr>
        <w:t xml:space="preserve">ection 5 </w:t>
      </w:r>
      <w:r w:rsidR="00CF7E9B">
        <w:rPr>
          <w:rFonts w:ascii="Times New Roman" w:hAnsi="Times New Roman" w:cs="Times New Roman"/>
          <w:color w:val="000000" w:themeColor="text1"/>
        </w:rPr>
        <w:t>presents</w:t>
      </w:r>
      <w:r w:rsidR="00CC1BAD">
        <w:rPr>
          <w:rFonts w:ascii="Times New Roman" w:hAnsi="Times New Roman" w:cs="Times New Roman"/>
          <w:color w:val="000000" w:themeColor="text1"/>
        </w:rPr>
        <w:t xml:space="preserve"> the</w:t>
      </w:r>
      <w:r w:rsidR="00CF7E9B">
        <w:rPr>
          <w:rFonts w:ascii="Times New Roman" w:hAnsi="Times New Roman" w:cs="Times New Roman"/>
          <w:color w:val="000000" w:themeColor="text1"/>
        </w:rPr>
        <w:t xml:space="preserve"> data and research methodology</w:t>
      </w:r>
      <w:r w:rsidRPr="009F065E">
        <w:rPr>
          <w:rFonts w:ascii="Times New Roman" w:hAnsi="Times New Roman" w:cs="Times New Roman"/>
          <w:color w:val="000000" w:themeColor="text1"/>
        </w:rPr>
        <w:t xml:space="preserve">. Section 6 </w:t>
      </w:r>
      <w:r w:rsidR="00CF7E9B">
        <w:rPr>
          <w:rFonts w:ascii="Times New Roman" w:hAnsi="Times New Roman" w:cs="Times New Roman"/>
          <w:color w:val="000000" w:themeColor="text1"/>
        </w:rPr>
        <w:t>reports the empirical results and discussion</w:t>
      </w:r>
      <w:r w:rsidRPr="009F065E">
        <w:rPr>
          <w:rFonts w:ascii="Times New Roman" w:hAnsi="Times New Roman" w:cs="Times New Roman"/>
          <w:color w:val="000000" w:themeColor="text1"/>
        </w:rPr>
        <w:t xml:space="preserve">, </w:t>
      </w:r>
      <w:r w:rsidR="00CF7E9B">
        <w:rPr>
          <w:rFonts w:ascii="Times New Roman" w:hAnsi="Times New Roman" w:cs="Times New Roman"/>
          <w:color w:val="000000" w:themeColor="text1"/>
        </w:rPr>
        <w:t>whilst</w:t>
      </w:r>
      <w:r w:rsidR="000842FD">
        <w:rPr>
          <w:rFonts w:ascii="Times New Roman" w:hAnsi="Times New Roman" w:cs="Times New Roman"/>
          <w:color w:val="000000" w:themeColor="text1"/>
        </w:rPr>
        <w:t xml:space="preserve"> </w:t>
      </w:r>
      <w:r w:rsidRPr="009F065E">
        <w:rPr>
          <w:rFonts w:ascii="Times New Roman" w:hAnsi="Times New Roman" w:cs="Times New Roman"/>
          <w:color w:val="000000" w:themeColor="text1"/>
        </w:rPr>
        <w:t xml:space="preserve">section 7 concludes the paper. </w:t>
      </w:r>
    </w:p>
    <w:p w14:paraId="17655D83" w14:textId="77777777" w:rsidR="00A110FC" w:rsidRPr="0014359D" w:rsidRDefault="00A110FC" w:rsidP="00820C7C">
      <w:pPr>
        <w:spacing w:after="0" w:line="360" w:lineRule="auto"/>
        <w:jc w:val="both"/>
        <w:rPr>
          <w:rFonts w:ascii="Times New Roman" w:hAnsi="Times New Roman" w:cs="Times New Roman"/>
          <w:color w:val="000000" w:themeColor="text1"/>
        </w:rPr>
      </w:pPr>
    </w:p>
    <w:p w14:paraId="26C12E7A" w14:textId="0F0FDA86" w:rsidR="0026333F" w:rsidRDefault="002403FB" w:rsidP="00587454">
      <w:pPr>
        <w:pStyle w:val="ListParagraph"/>
        <w:numPr>
          <w:ilvl w:val="0"/>
          <w:numId w:val="1"/>
        </w:numPr>
        <w:spacing w:after="0" w:line="240" w:lineRule="auto"/>
        <w:ind w:left="357" w:hanging="357"/>
        <w:contextualSpacing w:val="0"/>
        <w:jc w:val="both"/>
        <w:rPr>
          <w:rFonts w:ascii="Times New Roman" w:hAnsi="Times New Roman" w:cs="Times New Roman"/>
          <w:b/>
          <w:color w:val="000000" w:themeColor="text1"/>
        </w:rPr>
      </w:pPr>
      <w:r>
        <w:rPr>
          <w:rFonts w:ascii="Times New Roman" w:hAnsi="Times New Roman" w:cs="Times New Roman"/>
          <w:b/>
          <w:color w:val="000000" w:themeColor="text1"/>
        </w:rPr>
        <w:t>Environmental policy, sustainable development, environmental performance,</w:t>
      </w:r>
      <w:r w:rsidR="00CA2818">
        <w:rPr>
          <w:rFonts w:ascii="Times New Roman" w:hAnsi="Times New Roman" w:cs="Times New Roman"/>
          <w:b/>
          <w:color w:val="000000" w:themeColor="text1"/>
        </w:rPr>
        <w:t xml:space="preserve"> </w:t>
      </w:r>
      <w:r w:rsidR="000D04C0">
        <w:rPr>
          <w:rFonts w:ascii="Times New Roman" w:hAnsi="Times New Roman" w:cs="Times New Roman"/>
          <w:b/>
          <w:color w:val="000000" w:themeColor="text1"/>
        </w:rPr>
        <w:t>corporate governance</w:t>
      </w:r>
      <w:r w:rsidR="00CF7E9B">
        <w:rPr>
          <w:rFonts w:ascii="Times New Roman" w:hAnsi="Times New Roman" w:cs="Times New Roman"/>
          <w:b/>
          <w:color w:val="000000" w:themeColor="text1"/>
        </w:rPr>
        <w:t xml:space="preserve"> and UK corporate c</w:t>
      </w:r>
      <w:r w:rsidR="00C41FD4">
        <w:rPr>
          <w:rFonts w:ascii="Times New Roman" w:hAnsi="Times New Roman" w:cs="Times New Roman"/>
          <w:b/>
          <w:color w:val="000000" w:themeColor="text1"/>
        </w:rPr>
        <w:t>ontext</w:t>
      </w:r>
    </w:p>
    <w:p w14:paraId="5D8FA0F1" w14:textId="77777777" w:rsidR="00D10008" w:rsidRPr="0014359D" w:rsidRDefault="00D10008" w:rsidP="00587454">
      <w:pPr>
        <w:pStyle w:val="ListParagraph"/>
        <w:spacing w:after="0" w:line="240" w:lineRule="auto"/>
        <w:ind w:left="357"/>
        <w:contextualSpacing w:val="0"/>
        <w:jc w:val="both"/>
        <w:rPr>
          <w:rFonts w:ascii="Times New Roman" w:hAnsi="Times New Roman" w:cs="Times New Roman"/>
          <w:b/>
          <w:color w:val="000000" w:themeColor="text1"/>
        </w:rPr>
      </w:pPr>
    </w:p>
    <w:p w14:paraId="5C20C786" w14:textId="0D571BB4" w:rsidR="00C300C6" w:rsidRDefault="00AC1EF7" w:rsidP="002974E5">
      <w:pPr>
        <w:spacing w:after="0" w:line="360" w:lineRule="auto"/>
        <w:ind w:firstLine="720"/>
        <w:jc w:val="both"/>
        <w:rPr>
          <w:rFonts w:ascii="Times New Roman" w:hAnsi="Times New Roman" w:cs="Times New Roman"/>
        </w:rPr>
      </w:pPr>
      <w:r>
        <w:rPr>
          <w:rFonts w:ascii="Times New Roman" w:hAnsi="Times New Roman" w:cs="Times New Roman"/>
        </w:rPr>
        <w:lastRenderedPageBreak/>
        <w:t xml:space="preserve">In the 1990s, there was a worldwide consensus that global temperatures were rising (global warming) and that it </w:t>
      </w:r>
      <w:r w:rsidR="005D7D08">
        <w:rPr>
          <w:rFonts w:ascii="Times New Roman" w:hAnsi="Times New Roman" w:cs="Times New Roman"/>
        </w:rPr>
        <w:t>was</w:t>
      </w:r>
      <w:r>
        <w:rPr>
          <w:rFonts w:ascii="Times New Roman" w:hAnsi="Times New Roman" w:cs="Times New Roman"/>
        </w:rPr>
        <w:t xml:space="preserve"> caused primarily by human activities thro</w:t>
      </w:r>
      <w:r w:rsidR="00B14289">
        <w:rPr>
          <w:rFonts w:ascii="Times New Roman" w:hAnsi="Times New Roman" w:cs="Times New Roman"/>
        </w:rPr>
        <w:t xml:space="preserve">ugh the emission of </w:t>
      </w:r>
      <w:r w:rsidR="00CA2818">
        <w:rPr>
          <w:rFonts w:ascii="Times New Roman" w:hAnsi="Times New Roman" w:cs="Times New Roman"/>
        </w:rPr>
        <w:t>GHGs</w:t>
      </w:r>
      <w:r>
        <w:rPr>
          <w:rFonts w:ascii="Times New Roman" w:hAnsi="Times New Roman" w:cs="Times New Roman"/>
        </w:rPr>
        <w:t xml:space="preserve">, such as </w:t>
      </w:r>
      <w:r w:rsidRPr="00DC465E">
        <w:rPr>
          <w:rFonts w:ascii="Times New Roman" w:hAnsi="Times New Roman" w:cs="Times New Roman"/>
        </w:rPr>
        <w:t>carbon dioxide, methane, nitrous oxide, ozone and water vapour</w:t>
      </w:r>
      <w:r w:rsidR="00CA2818">
        <w:rPr>
          <w:rFonts w:ascii="Times New Roman" w:hAnsi="Times New Roman" w:cs="Times New Roman"/>
        </w:rPr>
        <w:t>, and th</w:t>
      </w:r>
      <w:r w:rsidR="005D7D08">
        <w:rPr>
          <w:rFonts w:ascii="Times New Roman" w:hAnsi="Times New Roman" w:cs="Times New Roman"/>
        </w:rPr>
        <w:t>us</w:t>
      </w:r>
      <w:r w:rsidR="00CA2818">
        <w:rPr>
          <w:rFonts w:ascii="Times New Roman" w:hAnsi="Times New Roman" w:cs="Times New Roman"/>
        </w:rPr>
        <w:t xml:space="preserve"> there was an urgent need for this to be controlled</w:t>
      </w:r>
      <w:r>
        <w:rPr>
          <w:rFonts w:ascii="Times New Roman" w:hAnsi="Times New Roman" w:cs="Times New Roman"/>
        </w:rPr>
        <w:t xml:space="preserve">. </w:t>
      </w:r>
      <w:r w:rsidR="00CA2818">
        <w:rPr>
          <w:rFonts w:ascii="Times New Roman" w:hAnsi="Times New Roman" w:cs="Times New Roman"/>
        </w:rPr>
        <w:t>Consequently, a formal</w:t>
      </w:r>
      <w:r w:rsidR="00582570">
        <w:rPr>
          <w:rFonts w:ascii="Times New Roman" w:hAnsi="Times New Roman" w:cs="Times New Roman"/>
        </w:rPr>
        <w:t xml:space="preserve"> </w:t>
      </w:r>
      <w:r w:rsidR="009A7F81">
        <w:rPr>
          <w:rFonts w:ascii="Times New Roman" w:hAnsi="Times New Roman" w:cs="Times New Roman"/>
        </w:rPr>
        <w:t xml:space="preserve">global </w:t>
      </w:r>
      <w:r w:rsidR="00582570">
        <w:rPr>
          <w:rFonts w:ascii="Times New Roman" w:hAnsi="Times New Roman" w:cs="Times New Roman"/>
        </w:rPr>
        <w:t>environmental policy</w:t>
      </w:r>
      <w:r w:rsidR="00CA2818">
        <w:rPr>
          <w:rFonts w:ascii="Times New Roman" w:hAnsi="Times New Roman" w:cs="Times New Roman"/>
        </w:rPr>
        <w:t xml:space="preserve"> agreement was reached in Kyoto in 1997 known as the ‘Kyoto Protocol’ that required all countries that ratified the protocol to implement the necessary regulations and measures that can minimise GHGs. </w:t>
      </w:r>
    </w:p>
    <w:p w14:paraId="5DBBB656" w14:textId="25394B7A" w:rsidR="00C300C6" w:rsidRPr="00C97E3C" w:rsidRDefault="00CA2818" w:rsidP="00C97E3C">
      <w:pPr>
        <w:spacing w:after="0" w:line="360" w:lineRule="auto"/>
        <w:ind w:firstLine="720"/>
        <w:jc w:val="both"/>
        <w:rPr>
          <w:rFonts w:ascii="Times New Roman" w:hAnsi="Times New Roman" w:cs="Times New Roman"/>
        </w:rPr>
      </w:pPr>
      <w:r>
        <w:rPr>
          <w:rFonts w:ascii="Times New Roman" w:hAnsi="Times New Roman" w:cs="Times New Roman"/>
        </w:rPr>
        <w:t>In the</w:t>
      </w:r>
      <w:r w:rsidR="00602C42">
        <w:rPr>
          <w:rFonts w:ascii="Times New Roman" w:hAnsi="Times New Roman" w:cs="Times New Roman"/>
        </w:rPr>
        <w:t xml:space="preserve"> UK, the government attempted to comply with the Kyoto Protocol by enacting </w:t>
      </w:r>
      <w:r w:rsidR="00B71A72">
        <w:rPr>
          <w:rFonts w:ascii="Times New Roman" w:hAnsi="Times New Roman" w:cs="Times New Roman"/>
        </w:rPr>
        <w:t>t</w:t>
      </w:r>
      <w:r w:rsidR="008735F8" w:rsidRPr="00AC1EF7">
        <w:rPr>
          <w:rFonts w:ascii="Times New Roman" w:hAnsi="Times New Roman" w:cs="Times New Roman"/>
        </w:rPr>
        <w:t xml:space="preserve">he </w:t>
      </w:r>
      <w:r w:rsidR="008735F8" w:rsidRPr="00AC1EF7">
        <w:rPr>
          <w:rFonts w:ascii="Times New Roman" w:hAnsi="Times New Roman" w:cs="Times New Roman"/>
          <w:color w:val="000000" w:themeColor="text1"/>
        </w:rPr>
        <w:t>Climate Change Act (CCA)</w:t>
      </w:r>
      <w:r w:rsidR="008735F8" w:rsidRPr="00AC1EF7">
        <w:rPr>
          <w:rFonts w:ascii="Times New Roman" w:hAnsi="Times New Roman" w:cs="Times New Roman"/>
        </w:rPr>
        <w:t xml:space="preserve"> </w:t>
      </w:r>
      <w:r w:rsidR="00A769C6" w:rsidRPr="00AC1EF7">
        <w:rPr>
          <w:rFonts w:ascii="Times New Roman" w:hAnsi="Times New Roman" w:cs="Times New Roman"/>
        </w:rPr>
        <w:t>of 2008</w:t>
      </w:r>
      <w:r w:rsidR="00E10BC6">
        <w:rPr>
          <w:rFonts w:ascii="Times New Roman" w:hAnsi="Times New Roman" w:cs="Times New Roman"/>
        </w:rPr>
        <w:t>,</w:t>
      </w:r>
      <w:r w:rsidR="00A769C6" w:rsidRPr="00AC1EF7">
        <w:rPr>
          <w:rFonts w:ascii="Times New Roman" w:hAnsi="Times New Roman" w:cs="Times New Roman"/>
        </w:rPr>
        <w:t xml:space="preserve"> </w:t>
      </w:r>
      <w:r w:rsidR="00602C42">
        <w:rPr>
          <w:rFonts w:ascii="Times New Roman" w:hAnsi="Times New Roman" w:cs="Times New Roman"/>
        </w:rPr>
        <w:t xml:space="preserve">which </w:t>
      </w:r>
      <w:r w:rsidR="00E10BC6">
        <w:rPr>
          <w:rFonts w:ascii="Times New Roman" w:hAnsi="Times New Roman" w:cs="Times New Roman"/>
        </w:rPr>
        <w:t>stipulated</w:t>
      </w:r>
      <w:r w:rsidR="00602C42">
        <w:rPr>
          <w:rFonts w:ascii="Times New Roman" w:hAnsi="Times New Roman" w:cs="Times New Roman"/>
        </w:rPr>
        <w:t xml:space="preserve"> </w:t>
      </w:r>
      <w:r w:rsidR="008735F8" w:rsidRPr="00AC1EF7">
        <w:rPr>
          <w:rFonts w:ascii="Times New Roman" w:hAnsi="Times New Roman" w:cs="Times New Roman"/>
        </w:rPr>
        <w:t xml:space="preserve">four legally binding ‘carbon budgets’ to cap on the amount of GHG emissions over five-year </w:t>
      </w:r>
      <w:r w:rsidR="00E10BC6">
        <w:rPr>
          <w:rFonts w:ascii="Times New Roman" w:hAnsi="Times New Roman" w:cs="Times New Roman"/>
        </w:rPr>
        <w:t xml:space="preserve">implementation </w:t>
      </w:r>
      <w:r w:rsidR="008735F8" w:rsidRPr="00AC1EF7">
        <w:rPr>
          <w:rFonts w:ascii="Times New Roman" w:hAnsi="Times New Roman" w:cs="Times New Roman"/>
        </w:rPr>
        <w:t>period</w:t>
      </w:r>
      <w:r w:rsidR="008E75C9">
        <w:rPr>
          <w:rFonts w:ascii="Times New Roman" w:hAnsi="Times New Roman" w:cs="Times New Roman"/>
        </w:rPr>
        <w:t>s</w:t>
      </w:r>
      <w:r w:rsidR="008735F8" w:rsidRPr="00AC1EF7">
        <w:rPr>
          <w:rFonts w:ascii="Times New Roman" w:hAnsi="Times New Roman" w:cs="Times New Roman"/>
        </w:rPr>
        <w:t xml:space="preserve">, with the first budget running </w:t>
      </w:r>
      <w:r w:rsidR="008735F8" w:rsidRPr="00AC1EF7">
        <w:rPr>
          <w:rFonts w:ascii="Times New Roman" w:hAnsi="Times New Roman" w:cs="Times New Roman"/>
          <w:color w:val="000000" w:themeColor="text1"/>
        </w:rPr>
        <w:t xml:space="preserve">from 2008 to 2012, </w:t>
      </w:r>
      <w:r w:rsidR="00602C42">
        <w:rPr>
          <w:rFonts w:ascii="Times New Roman" w:hAnsi="Times New Roman" w:cs="Times New Roman"/>
          <w:color w:val="000000" w:themeColor="text1"/>
        </w:rPr>
        <w:t xml:space="preserve">and to be </w:t>
      </w:r>
      <w:r w:rsidR="008735F8" w:rsidRPr="00AC1EF7">
        <w:rPr>
          <w:rFonts w:ascii="Times New Roman" w:hAnsi="Times New Roman" w:cs="Times New Roman"/>
          <w:color w:val="000000" w:themeColor="text1"/>
        </w:rPr>
        <w:t>followed by 2013-2017, 2018</w:t>
      </w:r>
      <w:r w:rsidR="006A0ABC" w:rsidRPr="00AC1EF7">
        <w:rPr>
          <w:rFonts w:ascii="Times New Roman" w:hAnsi="Times New Roman" w:cs="Times New Roman"/>
          <w:color w:val="000000" w:themeColor="text1"/>
        </w:rPr>
        <w:t>-2022, and 2023-2027 (DECC, 2011</w:t>
      </w:r>
      <w:r w:rsidR="008735F8" w:rsidRPr="00AC1EF7">
        <w:rPr>
          <w:rFonts w:ascii="Times New Roman" w:hAnsi="Times New Roman" w:cs="Times New Roman"/>
          <w:color w:val="000000" w:themeColor="text1"/>
        </w:rPr>
        <w:t>)</w:t>
      </w:r>
      <w:r w:rsidR="008735F8" w:rsidRPr="00AC1EF7">
        <w:rPr>
          <w:rFonts w:ascii="Times New Roman" w:hAnsi="Times New Roman" w:cs="Times New Roman"/>
        </w:rPr>
        <w:t>. Accordingly, the</w:t>
      </w:r>
      <w:r w:rsidR="006D1E39">
        <w:rPr>
          <w:rFonts w:ascii="Times New Roman" w:hAnsi="Times New Roman" w:cs="Times New Roman"/>
        </w:rPr>
        <w:t xml:space="preserve"> UK</w:t>
      </w:r>
      <w:r w:rsidR="008735F8" w:rsidRPr="00AC1EF7">
        <w:rPr>
          <w:rFonts w:ascii="Times New Roman" w:hAnsi="Times New Roman" w:cs="Times New Roman"/>
        </w:rPr>
        <w:t xml:space="preserve"> government implemented a number of climate change policies for firms and households</w:t>
      </w:r>
      <w:r w:rsidR="00B71A72">
        <w:rPr>
          <w:rFonts w:ascii="Times New Roman" w:hAnsi="Times New Roman" w:cs="Times New Roman"/>
        </w:rPr>
        <w:t xml:space="preserve"> in order</w:t>
      </w:r>
      <w:r w:rsidR="008735F8" w:rsidRPr="00AC1EF7">
        <w:rPr>
          <w:rFonts w:ascii="Times New Roman" w:hAnsi="Times New Roman" w:cs="Times New Roman"/>
        </w:rPr>
        <w:t xml:space="preserve"> to comply with the </w:t>
      </w:r>
      <w:r w:rsidR="00BC00B8">
        <w:rPr>
          <w:rFonts w:ascii="Times New Roman" w:hAnsi="Times New Roman" w:cs="Times New Roman"/>
        </w:rPr>
        <w:t xml:space="preserve">carbon </w:t>
      </w:r>
      <w:r w:rsidR="008735F8" w:rsidRPr="00AC1EF7">
        <w:rPr>
          <w:rFonts w:ascii="Times New Roman" w:hAnsi="Times New Roman" w:cs="Times New Roman"/>
        </w:rPr>
        <w:t xml:space="preserve">emission reduction targets set </w:t>
      </w:r>
      <w:r w:rsidR="008735F8" w:rsidRPr="00AC1EF7">
        <w:rPr>
          <w:rFonts w:ascii="Times New Roman" w:hAnsi="Times New Roman" w:cs="Times New Roman"/>
        </w:rPr>
        <w:lastRenderedPageBreak/>
        <w:t xml:space="preserve">out by the CCA. </w:t>
      </w:r>
      <w:r w:rsidR="00743A23">
        <w:rPr>
          <w:rFonts w:ascii="Times New Roman" w:hAnsi="Times New Roman" w:cs="Times New Roman"/>
          <w:color w:val="000000" w:themeColor="text1"/>
        </w:rPr>
        <w:t>Consequently, t</w:t>
      </w:r>
      <w:r w:rsidR="00C5264A" w:rsidRPr="00AC1EF7">
        <w:rPr>
          <w:rFonts w:ascii="Times New Roman" w:hAnsi="Times New Roman" w:cs="Times New Roman"/>
          <w:color w:val="000000" w:themeColor="text1"/>
        </w:rPr>
        <w:t>he UK has</w:t>
      </w:r>
      <w:r w:rsidR="00743A23">
        <w:rPr>
          <w:rFonts w:ascii="Times New Roman" w:hAnsi="Times New Roman" w:cs="Times New Roman"/>
          <w:color w:val="000000" w:themeColor="text1"/>
        </w:rPr>
        <w:t xml:space="preserve"> reportedly</w:t>
      </w:r>
      <w:r w:rsidR="00C5264A" w:rsidRPr="00AC1EF7">
        <w:rPr>
          <w:rFonts w:ascii="Times New Roman" w:hAnsi="Times New Roman" w:cs="Times New Roman"/>
          <w:color w:val="000000" w:themeColor="text1"/>
        </w:rPr>
        <w:t xml:space="preserve"> met the target of the first carbon budget (that ran from 2008 to 2012), and is well on track to meet the second one (Bassi et al., 2013). </w:t>
      </w:r>
      <w:r w:rsidR="009F065E" w:rsidRPr="009F065E">
        <w:rPr>
          <w:rFonts w:ascii="Times New Roman" w:hAnsi="Times New Roman" w:cs="Times New Roman"/>
          <w:color w:val="000000" w:themeColor="text1"/>
        </w:rPr>
        <w:t xml:space="preserve">However, </w:t>
      </w:r>
      <w:r w:rsidR="009F065E" w:rsidRPr="009F065E">
        <w:rPr>
          <w:rFonts w:ascii="Times New Roman" w:hAnsi="Times New Roman" w:cs="Times New Roman"/>
        </w:rPr>
        <w:t xml:space="preserve">the Committee on Climate Change (CCC, 2014) has recently raised significant concerns about the slow progress in reducing GHG emissions. </w:t>
      </w:r>
    </w:p>
    <w:p w14:paraId="054EEF77" w14:textId="1D72B9D0" w:rsidR="00C300C6" w:rsidRDefault="00B92162" w:rsidP="006332B2">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 xml:space="preserve">Meanwhile the </w:t>
      </w:r>
      <w:r w:rsidR="009F065E" w:rsidRPr="009F065E">
        <w:rPr>
          <w:rFonts w:ascii="Times New Roman" w:hAnsi="Times New Roman" w:cs="Times New Roman"/>
          <w:color w:val="000000" w:themeColor="text1"/>
        </w:rPr>
        <w:t xml:space="preserve">GRI is one of the most influential </w:t>
      </w:r>
      <w:r w:rsidR="00A67C3F">
        <w:rPr>
          <w:rFonts w:ascii="Times New Roman" w:hAnsi="Times New Roman" w:cs="Times New Roman"/>
          <w:color w:val="000000" w:themeColor="text1"/>
        </w:rPr>
        <w:t>global sustainable</w:t>
      </w:r>
      <w:r w:rsidR="00A67C3F" w:rsidRPr="009F065E">
        <w:rPr>
          <w:rFonts w:ascii="Times New Roman" w:hAnsi="Times New Roman" w:cs="Times New Roman"/>
          <w:color w:val="000000" w:themeColor="text1"/>
        </w:rPr>
        <w:t xml:space="preserve"> </w:t>
      </w:r>
      <w:r w:rsidR="009F065E" w:rsidRPr="009F065E">
        <w:rPr>
          <w:rFonts w:ascii="Times New Roman" w:hAnsi="Times New Roman" w:cs="Times New Roman"/>
          <w:color w:val="000000" w:themeColor="text1"/>
        </w:rPr>
        <w:t>development</w:t>
      </w:r>
      <w:r w:rsidR="00A67C3F">
        <w:rPr>
          <w:rFonts w:ascii="Times New Roman" w:hAnsi="Times New Roman" w:cs="Times New Roman"/>
          <w:color w:val="000000" w:themeColor="text1"/>
        </w:rPr>
        <w:t xml:space="preserve"> framework</w:t>
      </w:r>
      <w:r w:rsidR="00DA2493">
        <w:rPr>
          <w:rFonts w:ascii="Times New Roman" w:hAnsi="Times New Roman" w:cs="Times New Roman"/>
          <w:color w:val="000000" w:themeColor="text1"/>
        </w:rPr>
        <w:t>s</w:t>
      </w:r>
      <w:r w:rsidR="009F065E" w:rsidRPr="009F065E">
        <w:rPr>
          <w:rFonts w:ascii="Times New Roman" w:hAnsi="Times New Roman" w:cs="Times New Roman"/>
          <w:color w:val="000000" w:themeColor="text1"/>
        </w:rPr>
        <w:t xml:space="preserve"> that ha</w:t>
      </w:r>
      <w:r w:rsidR="00A67C3F">
        <w:rPr>
          <w:rFonts w:ascii="Times New Roman" w:hAnsi="Times New Roman" w:cs="Times New Roman"/>
          <w:color w:val="000000" w:themeColor="text1"/>
        </w:rPr>
        <w:t>s</w:t>
      </w:r>
      <w:r w:rsidR="009F065E" w:rsidRPr="009F065E">
        <w:rPr>
          <w:rFonts w:ascii="Times New Roman" w:hAnsi="Times New Roman" w:cs="Times New Roman"/>
          <w:color w:val="000000" w:themeColor="text1"/>
        </w:rPr>
        <w:t xml:space="preserve"> entered the fabric of firms’ non-financial reporting, and become the intellectual framework through which the triple bottom line (TBL) and sustainability are articulated at the firm</w:t>
      </w:r>
      <w:r w:rsidR="00DA2493">
        <w:rPr>
          <w:rFonts w:ascii="Times New Roman" w:hAnsi="Times New Roman" w:cs="Times New Roman"/>
          <w:color w:val="000000" w:themeColor="text1"/>
        </w:rPr>
        <w:t>-</w:t>
      </w:r>
      <w:r w:rsidR="009F065E" w:rsidRPr="009F065E">
        <w:rPr>
          <w:rFonts w:ascii="Times New Roman" w:hAnsi="Times New Roman" w:cs="Times New Roman"/>
          <w:color w:val="000000" w:themeColor="text1"/>
        </w:rPr>
        <w:t xml:space="preserve">level (Milne </w:t>
      </w:r>
      <w:r w:rsidR="00580BE4">
        <w:rPr>
          <w:rFonts w:ascii="Times New Roman" w:hAnsi="Times New Roman" w:cs="Times New Roman"/>
          <w:color w:val="000000" w:themeColor="text1"/>
        </w:rPr>
        <w:t>and</w:t>
      </w:r>
      <w:r w:rsidR="009F065E" w:rsidRPr="009F065E">
        <w:rPr>
          <w:rFonts w:ascii="Times New Roman" w:hAnsi="Times New Roman" w:cs="Times New Roman"/>
          <w:color w:val="000000" w:themeColor="text1"/>
        </w:rPr>
        <w:t xml:space="preserve"> Gray, 2013, p.19). </w:t>
      </w:r>
      <w:r w:rsidR="009F065E" w:rsidRPr="009F065E">
        <w:rPr>
          <w:rFonts w:ascii="Times New Roman" w:hAnsi="Times New Roman" w:cs="Times New Roman"/>
          <w:color w:val="000000" w:themeColor="text1"/>
          <w:lang w:val="en-US"/>
        </w:rPr>
        <w:t xml:space="preserve">Similar to the GRI, the UNGC is </w:t>
      </w:r>
      <w:r w:rsidR="00BC00B8">
        <w:rPr>
          <w:rFonts w:ascii="Times New Roman" w:hAnsi="Times New Roman" w:cs="Times New Roman"/>
          <w:color w:val="000000" w:themeColor="text1"/>
          <w:lang w:val="en-US"/>
        </w:rPr>
        <w:t xml:space="preserve">also </w:t>
      </w:r>
      <w:r w:rsidR="009F065E" w:rsidRPr="009F065E">
        <w:rPr>
          <w:rFonts w:ascii="Times New Roman" w:hAnsi="Times New Roman" w:cs="Times New Roman"/>
          <w:color w:val="000000" w:themeColor="text1"/>
          <w:lang w:val="en-US"/>
        </w:rPr>
        <w:t>a broad-based policy initiative for ‘</w:t>
      </w:r>
      <w:r w:rsidR="009F065E" w:rsidRPr="009F065E">
        <w:rPr>
          <w:rFonts w:ascii="Times New Roman" w:hAnsi="Times New Roman" w:cs="Times New Roman"/>
          <w:color w:val="000000" w:themeColor="text1"/>
        </w:rPr>
        <w:t>companies to align strategies and operations with universal principles on human rights, labour, environment</w:t>
      </w:r>
      <w:r w:rsidR="00F0694A">
        <w:rPr>
          <w:rFonts w:ascii="Times New Roman" w:hAnsi="Times New Roman" w:cs="Times New Roman"/>
          <w:color w:val="000000" w:themeColor="text1"/>
        </w:rPr>
        <w:t>,</w:t>
      </w:r>
      <w:r w:rsidR="009F065E" w:rsidRPr="009F065E">
        <w:rPr>
          <w:rFonts w:ascii="Times New Roman" w:hAnsi="Times New Roman" w:cs="Times New Roman"/>
          <w:color w:val="000000" w:themeColor="text1"/>
        </w:rPr>
        <w:t xml:space="preserve"> and anti-corruption</w:t>
      </w:r>
      <w:r w:rsidR="00F0694A">
        <w:rPr>
          <w:rFonts w:ascii="Times New Roman" w:hAnsi="Times New Roman" w:cs="Times New Roman"/>
          <w:color w:val="000000" w:themeColor="text1"/>
        </w:rPr>
        <w:t xml:space="preserve"> issues</w:t>
      </w:r>
      <w:r w:rsidR="009F065E" w:rsidRPr="009F065E">
        <w:rPr>
          <w:rFonts w:ascii="Times New Roman" w:hAnsi="Times New Roman" w:cs="Times New Roman"/>
          <w:color w:val="000000" w:themeColor="text1"/>
        </w:rPr>
        <w:t>’</w:t>
      </w:r>
      <w:r w:rsidR="009F065E" w:rsidRPr="009F065E">
        <w:rPr>
          <w:rStyle w:val="FootnoteReference"/>
          <w:rFonts w:ascii="Times New Roman" w:hAnsi="Times New Roman" w:cs="Times New Roman"/>
          <w:color w:val="000000" w:themeColor="text1"/>
        </w:rPr>
        <w:footnoteReference w:id="4"/>
      </w:r>
      <w:r w:rsidR="009F065E" w:rsidRPr="009F065E">
        <w:rPr>
          <w:rFonts w:ascii="Times New Roman" w:hAnsi="Times New Roman" w:cs="Times New Roman"/>
          <w:color w:val="000000" w:themeColor="text1"/>
        </w:rPr>
        <w:t xml:space="preserve">. Based on </w:t>
      </w:r>
      <w:r w:rsidR="00695C49">
        <w:rPr>
          <w:rFonts w:ascii="Times New Roman" w:hAnsi="Times New Roman" w:cs="Times New Roman"/>
          <w:color w:val="000000" w:themeColor="text1"/>
          <w:lang w:val="en-US"/>
        </w:rPr>
        <w:t xml:space="preserve">a 2010 </w:t>
      </w:r>
      <w:r w:rsidR="009F065E" w:rsidRPr="009F065E">
        <w:rPr>
          <w:rFonts w:ascii="Times New Roman" w:hAnsi="Times New Roman" w:cs="Times New Roman"/>
          <w:color w:val="000000" w:themeColor="text1"/>
          <w:lang w:val="en-US"/>
        </w:rPr>
        <w:t xml:space="preserve">agreement, the </w:t>
      </w:r>
      <w:r w:rsidR="009F065E" w:rsidRPr="009F065E">
        <w:rPr>
          <w:rFonts w:ascii="Times New Roman" w:hAnsi="Times New Roman" w:cs="Times New Roman"/>
          <w:color w:val="000000" w:themeColor="text1"/>
          <w:lang w:val="en-US"/>
        </w:rPr>
        <w:lastRenderedPageBreak/>
        <w:t xml:space="preserve">UNGC and GRI </w:t>
      </w:r>
      <w:r w:rsidR="005D06A9">
        <w:rPr>
          <w:rFonts w:ascii="Times New Roman" w:hAnsi="Times New Roman" w:cs="Times New Roman"/>
          <w:color w:val="000000" w:themeColor="text1"/>
          <w:lang w:val="en-US"/>
        </w:rPr>
        <w:t>have committed</w:t>
      </w:r>
      <w:r w:rsidR="009F065E" w:rsidRPr="009F065E">
        <w:rPr>
          <w:rFonts w:ascii="Times New Roman" w:hAnsi="Times New Roman" w:cs="Times New Roman"/>
          <w:color w:val="000000" w:themeColor="text1"/>
          <w:lang w:val="en-US"/>
        </w:rPr>
        <w:t xml:space="preserve"> </w:t>
      </w:r>
      <w:r w:rsidR="005D06A9">
        <w:rPr>
          <w:rFonts w:ascii="Times New Roman" w:hAnsi="Times New Roman" w:cs="Times New Roman"/>
          <w:color w:val="000000" w:themeColor="text1"/>
          <w:lang w:val="en-US"/>
        </w:rPr>
        <w:t>to</w:t>
      </w:r>
      <w:r w:rsidR="009F065E" w:rsidRPr="009F065E">
        <w:rPr>
          <w:rFonts w:ascii="Times New Roman" w:hAnsi="Times New Roman" w:cs="Times New Roman"/>
          <w:color w:val="000000" w:themeColor="text1"/>
          <w:lang w:val="en-US"/>
        </w:rPr>
        <w:t xml:space="preserve"> </w:t>
      </w:r>
      <w:r w:rsidR="005D06A9">
        <w:rPr>
          <w:rFonts w:ascii="Times New Roman" w:hAnsi="Times New Roman" w:cs="Times New Roman"/>
          <w:color w:val="000000" w:themeColor="text1"/>
          <w:lang w:val="en-US"/>
        </w:rPr>
        <w:t xml:space="preserve">maintaining </w:t>
      </w:r>
      <w:r w:rsidR="009F065E" w:rsidRPr="009F065E">
        <w:rPr>
          <w:rFonts w:ascii="Times New Roman" w:hAnsi="Times New Roman" w:cs="Times New Roman"/>
          <w:color w:val="000000" w:themeColor="text1"/>
          <w:lang w:val="en-US"/>
        </w:rPr>
        <w:t>collaborative relationship</w:t>
      </w:r>
      <w:r w:rsidR="005D06A9">
        <w:rPr>
          <w:rFonts w:ascii="Times New Roman" w:hAnsi="Times New Roman" w:cs="Times New Roman"/>
          <w:color w:val="000000" w:themeColor="text1"/>
          <w:lang w:val="en-US"/>
        </w:rPr>
        <w:t xml:space="preserve"> in order</w:t>
      </w:r>
      <w:r w:rsidR="009F065E" w:rsidRPr="009F065E">
        <w:rPr>
          <w:rFonts w:ascii="Times New Roman" w:hAnsi="Times New Roman" w:cs="Times New Roman"/>
          <w:color w:val="000000" w:themeColor="text1"/>
          <w:lang w:val="en-US"/>
        </w:rPr>
        <w:t xml:space="preserve"> to advance corporate responsibility and transparency</w:t>
      </w:r>
      <w:r w:rsidR="009F065E" w:rsidRPr="009F065E">
        <w:rPr>
          <w:rStyle w:val="FootnoteReference"/>
          <w:rFonts w:ascii="Times New Roman" w:hAnsi="Times New Roman" w:cs="Times New Roman"/>
          <w:color w:val="000000" w:themeColor="text1"/>
          <w:lang w:val="en-US"/>
        </w:rPr>
        <w:footnoteReference w:id="5"/>
      </w:r>
      <w:r w:rsidR="009F065E" w:rsidRPr="009F065E">
        <w:rPr>
          <w:rFonts w:ascii="Times New Roman" w:hAnsi="Times New Roman" w:cs="Times New Roman"/>
          <w:color w:val="000000" w:themeColor="text1"/>
          <w:lang w:val="en-US"/>
        </w:rPr>
        <w:t xml:space="preserve">. </w:t>
      </w:r>
      <w:r w:rsidR="009F065E" w:rsidRPr="009F065E">
        <w:rPr>
          <w:rFonts w:ascii="Times New Roman" w:hAnsi="Times New Roman" w:cs="Times New Roman"/>
          <w:lang w:val="en-US"/>
        </w:rPr>
        <w:t xml:space="preserve">From the perspective of institutional theory, these self-regulatory institutions </w:t>
      </w:r>
      <w:r w:rsidR="00013893">
        <w:rPr>
          <w:rFonts w:ascii="Times New Roman" w:hAnsi="Times New Roman" w:cs="Times New Roman"/>
          <w:lang w:val="en-US"/>
        </w:rPr>
        <w:t xml:space="preserve">may </w:t>
      </w:r>
      <w:r w:rsidR="009F065E" w:rsidRPr="009F065E">
        <w:rPr>
          <w:rFonts w:ascii="Times New Roman" w:hAnsi="Times New Roman" w:cs="Times New Roman"/>
          <w:lang w:val="en-US"/>
        </w:rPr>
        <w:t xml:space="preserve">enhance environmental legitimacy by influencing firms to demonstrate their commitment to sustainability (Perez-Batres et al., 2012; DiMaggio </w:t>
      </w:r>
      <w:r w:rsidR="00580BE4">
        <w:rPr>
          <w:rFonts w:ascii="Times New Roman" w:hAnsi="Times New Roman" w:cs="Times New Roman"/>
          <w:lang w:val="en-US"/>
        </w:rPr>
        <w:t>and</w:t>
      </w:r>
      <w:r w:rsidR="009F065E" w:rsidRPr="009F065E">
        <w:rPr>
          <w:rFonts w:ascii="Times New Roman" w:hAnsi="Times New Roman" w:cs="Times New Roman"/>
          <w:lang w:val="en-US"/>
        </w:rPr>
        <w:t xml:space="preserve"> Powell, 1991; Doh et al., 2010).</w:t>
      </w:r>
    </w:p>
    <w:p w14:paraId="40456320" w14:textId="2AB0884B" w:rsidR="00C300C6" w:rsidRDefault="00C10E38" w:rsidP="00DC1C12">
      <w:pPr>
        <w:autoSpaceDE w:val="0"/>
        <w:autoSpaceDN w:val="0"/>
        <w:adjustRightInd w:val="0"/>
        <w:spacing w:after="0" w:line="360" w:lineRule="auto"/>
        <w:ind w:firstLine="720"/>
        <w:jc w:val="both"/>
        <w:rPr>
          <w:rFonts w:ascii="Times New Roman" w:hAnsi="Times New Roman" w:cs="Times New Roman"/>
          <w:color w:val="000000"/>
          <w:lang w:val="en-US"/>
        </w:rPr>
      </w:pPr>
      <w:r>
        <w:rPr>
          <w:rFonts w:ascii="Times New Roman" w:hAnsi="Times New Roman" w:cs="Times New Roman"/>
          <w:iCs/>
          <w:lang w:val="en-US"/>
        </w:rPr>
        <w:t>Noticeably</w:t>
      </w:r>
      <w:r w:rsidR="00DA2493">
        <w:rPr>
          <w:rFonts w:ascii="Times New Roman" w:hAnsi="Times New Roman" w:cs="Times New Roman"/>
          <w:iCs/>
          <w:lang w:val="en-US"/>
        </w:rPr>
        <w:t xml:space="preserve"> and almost at the same time</w:t>
      </w:r>
      <w:r>
        <w:rPr>
          <w:rFonts w:ascii="Times New Roman" w:hAnsi="Times New Roman" w:cs="Times New Roman"/>
          <w:iCs/>
          <w:lang w:val="en-US"/>
        </w:rPr>
        <w:t>, t</w:t>
      </w:r>
      <w:r w:rsidR="009F065E" w:rsidRPr="009F065E">
        <w:rPr>
          <w:rFonts w:ascii="Times New Roman" w:hAnsi="Times New Roman" w:cs="Times New Roman"/>
          <w:iCs/>
          <w:lang w:val="en-US"/>
        </w:rPr>
        <w:t xml:space="preserve">he UK </w:t>
      </w:r>
      <w:r>
        <w:rPr>
          <w:rFonts w:ascii="Times New Roman" w:hAnsi="Times New Roman" w:cs="Times New Roman"/>
          <w:iCs/>
          <w:lang w:val="en-US"/>
        </w:rPr>
        <w:t>has been at</w:t>
      </w:r>
      <w:r w:rsidR="009F065E" w:rsidRPr="009F065E">
        <w:rPr>
          <w:rFonts w:ascii="Times New Roman" w:hAnsi="Times New Roman" w:cs="Times New Roman"/>
          <w:iCs/>
          <w:lang w:val="en-US"/>
        </w:rPr>
        <w:t xml:space="preserve"> the forefront </w:t>
      </w:r>
      <w:r>
        <w:rPr>
          <w:rFonts w:ascii="Times New Roman" w:hAnsi="Times New Roman" w:cs="Times New Roman"/>
          <w:iCs/>
          <w:lang w:val="en-US"/>
        </w:rPr>
        <w:t>of pursuing reforms aimed at</w:t>
      </w:r>
      <w:r w:rsidR="009F065E" w:rsidRPr="009F065E">
        <w:rPr>
          <w:rFonts w:ascii="Times New Roman" w:hAnsi="Times New Roman" w:cs="Times New Roman"/>
          <w:iCs/>
          <w:lang w:val="en-US"/>
        </w:rPr>
        <w:t xml:space="preserve"> strengthen</w:t>
      </w:r>
      <w:r>
        <w:rPr>
          <w:rFonts w:ascii="Times New Roman" w:hAnsi="Times New Roman" w:cs="Times New Roman"/>
          <w:iCs/>
          <w:lang w:val="en-US"/>
        </w:rPr>
        <w:t>ing</w:t>
      </w:r>
      <w:r w:rsidR="009F065E" w:rsidRPr="009F065E">
        <w:rPr>
          <w:rFonts w:ascii="Times New Roman" w:hAnsi="Times New Roman" w:cs="Times New Roman"/>
          <w:iCs/>
          <w:lang w:val="en-US"/>
        </w:rPr>
        <w:t xml:space="preserve"> </w:t>
      </w:r>
      <w:r w:rsidR="00DC1C12">
        <w:rPr>
          <w:rFonts w:ascii="Times New Roman" w:hAnsi="Times New Roman" w:cs="Times New Roman"/>
          <w:iCs/>
          <w:lang w:val="en-US"/>
        </w:rPr>
        <w:t xml:space="preserve">good </w:t>
      </w:r>
      <w:r w:rsidR="009F065E" w:rsidRPr="009F065E">
        <w:rPr>
          <w:rFonts w:ascii="Times New Roman" w:hAnsi="Times New Roman" w:cs="Times New Roman"/>
          <w:iCs/>
          <w:lang w:val="en-US"/>
        </w:rPr>
        <w:t xml:space="preserve">internal CG mechanisms through </w:t>
      </w:r>
      <w:r>
        <w:rPr>
          <w:rFonts w:ascii="Times New Roman" w:hAnsi="Times New Roman" w:cs="Times New Roman"/>
          <w:iCs/>
          <w:lang w:val="en-US"/>
        </w:rPr>
        <w:t xml:space="preserve">the </w:t>
      </w:r>
      <w:r w:rsidR="009F065E" w:rsidRPr="009F065E">
        <w:rPr>
          <w:rFonts w:ascii="Times New Roman" w:hAnsi="Times New Roman" w:cs="Times New Roman"/>
          <w:iCs/>
          <w:lang w:val="en-US"/>
        </w:rPr>
        <w:t>publ</w:t>
      </w:r>
      <w:r>
        <w:rPr>
          <w:rFonts w:ascii="Times New Roman" w:hAnsi="Times New Roman" w:cs="Times New Roman"/>
          <w:iCs/>
          <w:lang w:val="en-US"/>
        </w:rPr>
        <w:t>ication of</w:t>
      </w:r>
      <w:r w:rsidR="009F065E" w:rsidRPr="009F065E">
        <w:rPr>
          <w:rFonts w:ascii="Times New Roman" w:hAnsi="Times New Roman" w:cs="Times New Roman"/>
          <w:iCs/>
          <w:lang w:val="en-US"/>
        </w:rPr>
        <w:t xml:space="preserve"> </w:t>
      </w:r>
      <w:r w:rsidR="009F065E" w:rsidRPr="009F065E">
        <w:rPr>
          <w:rFonts w:ascii="Times New Roman" w:eastAsia="TimesNewRomanPSMT" w:hAnsi="Times New Roman" w:cs="Times New Roman"/>
          <w:lang w:val="en-US"/>
        </w:rPr>
        <w:t xml:space="preserve">the </w:t>
      </w:r>
      <w:r w:rsidR="009F065E" w:rsidRPr="009F065E">
        <w:rPr>
          <w:rFonts w:ascii="Times New Roman" w:hAnsi="Times New Roman" w:cs="Times New Roman"/>
          <w:iCs/>
          <w:lang w:val="en-US"/>
        </w:rPr>
        <w:t xml:space="preserve">Cadbury Report in </w:t>
      </w:r>
      <w:r w:rsidR="009F065E" w:rsidRPr="009F065E">
        <w:rPr>
          <w:rFonts w:ascii="Times New Roman" w:eastAsia="TimesNewRomanPSMT" w:hAnsi="Times New Roman" w:cs="Times New Roman"/>
          <w:lang w:val="en-US"/>
        </w:rPr>
        <w:t>1992 that required publicly traded UK firms to appoint at least three outside board members and to restrict the CEO from becoming the chairman of the board.</w:t>
      </w:r>
      <w:r w:rsidR="000818A7">
        <w:rPr>
          <w:rFonts w:ascii="Times New Roman" w:eastAsia="TimesNewRomanPSMT" w:hAnsi="Times New Roman" w:cs="Times New Roman"/>
          <w:lang w:val="en-US"/>
        </w:rPr>
        <w:t xml:space="preserve"> Subsequently, a number of similar CG codes were issued addressing specific issues, such as remuneration (Greenbury Report, 1995), Hampel Report (Combined Code, 1998), internal control and risk </w:t>
      </w:r>
      <w:r w:rsidR="00B45054">
        <w:rPr>
          <w:rFonts w:ascii="Times New Roman" w:eastAsia="TimesNewRomanPSMT" w:hAnsi="Times New Roman" w:cs="Times New Roman"/>
          <w:lang w:val="en-US"/>
        </w:rPr>
        <w:lastRenderedPageBreak/>
        <w:t xml:space="preserve">management </w:t>
      </w:r>
      <w:r w:rsidR="000818A7">
        <w:rPr>
          <w:rFonts w:ascii="Times New Roman" w:eastAsia="TimesNewRomanPSMT" w:hAnsi="Times New Roman" w:cs="Times New Roman"/>
          <w:lang w:val="en-US"/>
        </w:rPr>
        <w:t>(Turnbull Report, 1999), audit committee</w:t>
      </w:r>
      <w:r w:rsidR="00B45054">
        <w:rPr>
          <w:rFonts w:ascii="Times New Roman" w:eastAsia="TimesNewRomanPSMT" w:hAnsi="Times New Roman" w:cs="Times New Roman"/>
          <w:lang w:val="en-US"/>
        </w:rPr>
        <w:t xml:space="preserve"> effectivenes</w:t>
      </w:r>
      <w:r w:rsidR="000818A7">
        <w:rPr>
          <w:rFonts w:ascii="Times New Roman" w:eastAsia="TimesNewRomanPSMT" w:hAnsi="Times New Roman" w:cs="Times New Roman"/>
          <w:lang w:val="en-US"/>
        </w:rPr>
        <w:t xml:space="preserve">s (Smith, 2003) and </w:t>
      </w:r>
      <w:r w:rsidR="00B45054">
        <w:rPr>
          <w:rFonts w:ascii="Times New Roman" w:eastAsia="TimesNewRomanPSMT" w:hAnsi="Times New Roman" w:cs="Times New Roman"/>
          <w:lang w:val="en-US"/>
        </w:rPr>
        <w:t xml:space="preserve">independence of </w:t>
      </w:r>
      <w:r w:rsidR="000818A7">
        <w:rPr>
          <w:rFonts w:ascii="Times New Roman" w:eastAsia="TimesNewRomanPSMT" w:hAnsi="Times New Roman" w:cs="Times New Roman"/>
          <w:lang w:val="en-US"/>
        </w:rPr>
        <w:t>non-executive directors (Higgs Report, 2003) and the various consolidations to constitute ‘The Combined Code’ (2000, 2003, 2006, 2010, 2012</w:t>
      </w:r>
      <w:r w:rsidR="00B45054">
        <w:rPr>
          <w:rFonts w:ascii="Times New Roman" w:eastAsia="TimesNewRomanPSMT" w:hAnsi="Times New Roman" w:cs="Times New Roman"/>
          <w:lang w:val="en-US"/>
        </w:rPr>
        <w:t>,</w:t>
      </w:r>
      <w:r w:rsidR="000818A7">
        <w:rPr>
          <w:rFonts w:ascii="Times New Roman" w:eastAsia="TimesNewRomanPSMT" w:hAnsi="Times New Roman" w:cs="Times New Roman"/>
          <w:lang w:val="en-US"/>
        </w:rPr>
        <w:t xml:space="preserve"> 2014</w:t>
      </w:r>
      <w:r w:rsidR="00B45054">
        <w:rPr>
          <w:rFonts w:ascii="Times New Roman" w:eastAsia="TimesNewRomanPSMT" w:hAnsi="Times New Roman" w:cs="Times New Roman"/>
          <w:lang w:val="en-US"/>
        </w:rPr>
        <w:t xml:space="preserve"> and 2016</w:t>
      </w:r>
      <w:r w:rsidR="000818A7">
        <w:rPr>
          <w:rFonts w:ascii="Times New Roman" w:eastAsia="TimesNewRomanPSMT" w:hAnsi="Times New Roman" w:cs="Times New Roman"/>
          <w:lang w:val="en-US"/>
        </w:rPr>
        <w:t xml:space="preserve">).  In the main, </w:t>
      </w:r>
      <w:r w:rsidR="000818A7">
        <w:rPr>
          <w:rFonts w:ascii="Times New Roman" w:hAnsi="Times New Roman" w:cs="Times New Roman"/>
          <w:color w:val="000000"/>
          <w:lang w:val="en-US"/>
        </w:rPr>
        <w:t>t</w:t>
      </w:r>
      <w:r w:rsidR="009F065E" w:rsidRPr="009F065E">
        <w:rPr>
          <w:rFonts w:ascii="Times New Roman" w:hAnsi="Times New Roman" w:cs="Times New Roman"/>
          <w:color w:val="000000"/>
          <w:lang w:val="en-US"/>
        </w:rPr>
        <w:t xml:space="preserve">he UK CG codes highlight </w:t>
      </w:r>
      <w:r w:rsidR="009F065E" w:rsidRPr="009F065E">
        <w:rPr>
          <w:rFonts w:ascii="Times New Roman" w:hAnsi="Times New Roman" w:cs="Times New Roman"/>
          <w:lang w:val="en-US"/>
        </w:rPr>
        <w:t>the significance of having an appropriate balance of skills, experience, independence</w:t>
      </w:r>
      <w:r w:rsidR="002971AF">
        <w:rPr>
          <w:rFonts w:ascii="Times New Roman" w:hAnsi="Times New Roman" w:cs="Times New Roman"/>
          <w:lang w:val="en-US"/>
        </w:rPr>
        <w:t xml:space="preserve">, checks and balances through </w:t>
      </w:r>
      <w:r w:rsidR="00F150E9">
        <w:rPr>
          <w:rFonts w:ascii="Times New Roman" w:hAnsi="Times New Roman" w:cs="Times New Roman"/>
          <w:lang w:val="en-US"/>
        </w:rPr>
        <w:t>CEO and chair</w:t>
      </w:r>
      <w:r w:rsidR="00BF551A">
        <w:rPr>
          <w:rFonts w:ascii="Times New Roman" w:hAnsi="Times New Roman" w:cs="Times New Roman"/>
          <w:lang w:val="en-US"/>
        </w:rPr>
        <w:t>person</w:t>
      </w:r>
      <w:r w:rsidR="00F150E9">
        <w:rPr>
          <w:rFonts w:ascii="Times New Roman" w:hAnsi="Times New Roman" w:cs="Times New Roman"/>
          <w:lang w:val="en-US"/>
        </w:rPr>
        <w:t xml:space="preserve"> role separation</w:t>
      </w:r>
      <w:r w:rsidR="002971AF">
        <w:rPr>
          <w:rFonts w:ascii="Times New Roman" w:hAnsi="Times New Roman" w:cs="Times New Roman"/>
          <w:lang w:val="en-US"/>
        </w:rPr>
        <w:t>, and control over executive compensation through the introduction of ‘say on pay’</w:t>
      </w:r>
      <w:r w:rsidR="00DC1C12">
        <w:rPr>
          <w:rFonts w:ascii="Times New Roman" w:hAnsi="Times New Roman" w:cs="Times New Roman"/>
          <w:lang w:val="en-US"/>
        </w:rPr>
        <w:t>.</w:t>
      </w:r>
      <w:r w:rsidR="009F065E" w:rsidRPr="009F065E">
        <w:rPr>
          <w:rFonts w:ascii="Times New Roman" w:hAnsi="Times New Roman" w:cs="Times New Roman"/>
          <w:lang w:val="en-US"/>
        </w:rPr>
        <w:t xml:space="preserve"> </w:t>
      </w:r>
    </w:p>
    <w:p w14:paraId="40F8939F" w14:textId="481A7F91" w:rsidR="00C300C6" w:rsidRDefault="008D2F8E" w:rsidP="002974E5">
      <w:pPr>
        <w:autoSpaceDE w:val="0"/>
        <w:autoSpaceDN w:val="0"/>
        <w:adjustRightInd w:val="0"/>
        <w:spacing w:after="0" w:line="360" w:lineRule="auto"/>
        <w:ind w:firstLine="720"/>
        <w:jc w:val="both"/>
        <w:rPr>
          <w:rFonts w:ascii="Times New Roman" w:eastAsia="TimesNewRomanPSMT" w:hAnsi="Times New Roman" w:cs="Times New Roman"/>
          <w:lang w:val="en-US"/>
        </w:rPr>
      </w:pPr>
      <w:r>
        <w:rPr>
          <w:rFonts w:ascii="Times New Roman" w:hAnsi="Times New Roman" w:cs="Times New Roman"/>
          <w:color w:val="000000"/>
          <w:lang w:val="en-US"/>
        </w:rPr>
        <w:t>Consequently and with strong central government and institutional support and good governance at the firm-level, UK companies especially listed ones are expected to engage with the CRIs inspired by the CCA that are aimed at reducing the level of GHG emissions.</w:t>
      </w:r>
    </w:p>
    <w:p w14:paraId="1B44222A" w14:textId="77777777" w:rsidR="0026333F" w:rsidRPr="0014359D" w:rsidRDefault="0026333F" w:rsidP="00820C7C">
      <w:pPr>
        <w:spacing w:after="0" w:line="360" w:lineRule="auto"/>
        <w:jc w:val="both"/>
        <w:rPr>
          <w:rFonts w:ascii="Times New Roman" w:hAnsi="Times New Roman" w:cs="Times New Roman"/>
          <w:b/>
          <w:color w:val="000000" w:themeColor="text1"/>
        </w:rPr>
      </w:pPr>
    </w:p>
    <w:p w14:paraId="1FDF7236" w14:textId="77777777" w:rsidR="00D8289B" w:rsidRPr="0014359D" w:rsidRDefault="009F065E" w:rsidP="00526BA4">
      <w:pPr>
        <w:pStyle w:val="ListParagraph"/>
        <w:numPr>
          <w:ilvl w:val="0"/>
          <w:numId w:val="1"/>
        </w:numPr>
        <w:spacing w:after="0" w:line="240" w:lineRule="auto"/>
        <w:ind w:left="360"/>
        <w:contextualSpacing w:val="0"/>
        <w:jc w:val="both"/>
        <w:rPr>
          <w:rFonts w:ascii="Times New Roman" w:hAnsi="Times New Roman" w:cs="Times New Roman"/>
          <w:b/>
          <w:color w:val="000000" w:themeColor="text1"/>
        </w:rPr>
      </w:pPr>
      <w:r w:rsidRPr="009F065E">
        <w:rPr>
          <w:rFonts w:ascii="Times New Roman" w:hAnsi="Times New Roman" w:cs="Times New Roman"/>
          <w:b/>
          <w:color w:val="000000" w:themeColor="text1"/>
        </w:rPr>
        <w:t>Theoretical literature review</w:t>
      </w:r>
    </w:p>
    <w:p w14:paraId="5A2D49FF" w14:textId="77777777" w:rsidR="00A110FC" w:rsidRPr="0014359D" w:rsidRDefault="00A110FC" w:rsidP="00526BA4">
      <w:pPr>
        <w:spacing w:after="0" w:line="240" w:lineRule="auto"/>
        <w:jc w:val="both"/>
        <w:rPr>
          <w:rFonts w:ascii="Times New Roman" w:hAnsi="Times New Roman" w:cs="Times New Roman"/>
          <w:color w:val="000000" w:themeColor="text1"/>
        </w:rPr>
      </w:pPr>
    </w:p>
    <w:p w14:paraId="167CA750" w14:textId="144B3C95" w:rsidR="00C300C6" w:rsidRDefault="00A70873" w:rsidP="00526BA4">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41742C">
        <w:rPr>
          <w:rFonts w:ascii="Times New Roman" w:hAnsi="Times New Roman" w:cs="Times New Roman"/>
          <w:color w:val="000000" w:themeColor="text1"/>
        </w:rPr>
        <w:tab/>
      </w:r>
      <w:r>
        <w:rPr>
          <w:rFonts w:ascii="Times New Roman" w:hAnsi="Times New Roman" w:cs="Times New Roman"/>
          <w:color w:val="000000" w:themeColor="text1"/>
        </w:rPr>
        <w:t xml:space="preserve">Despite </w:t>
      </w:r>
      <w:r w:rsidR="0017161A">
        <w:rPr>
          <w:rFonts w:ascii="Times New Roman" w:hAnsi="Times New Roman" w:cs="Times New Roman"/>
          <w:color w:val="000000" w:themeColor="text1"/>
        </w:rPr>
        <w:t>increasing calls for theoretical plurali</w:t>
      </w:r>
      <w:r w:rsidR="00EA4AD4">
        <w:rPr>
          <w:rFonts w:ascii="Times New Roman" w:hAnsi="Times New Roman" w:cs="Times New Roman"/>
          <w:color w:val="000000" w:themeColor="text1"/>
        </w:rPr>
        <w:t>sm</w:t>
      </w:r>
      <w:r w:rsidR="0017161A">
        <w:rPr>
          <w:rFonts w:ascii="Times New Roman" w:hAnsi="Times New Roman" w:cs="Times New Roman"/>
          <w:color w:val="000000" w:themeColor="text1"/>
        </w:rPr>
        <w:t xml:space="preserve"> and development, existing studies examining the relationship among </w:t>
      </w:r>
      <w:r w:rsidR="0041742C">
        <w:rPr>
          <w:rFonts w:ascii="Times New Roman" w:hAnsi="Times New Roman" w:cs="Times New Roman"/>
          <w:color w:val="000000" w:themeColor="text1"/>
        </w:rPr>
        <w:t xml:space="preserve">environmental policy </w:t>
      </w:r>
      <w:r w:rsidR="0041742C">
        <w:rPr>
          <w:rFonts w:ascii="Times New Roman" w:hAnsi="Times New Roman" w:cs="Times New Roman"/>
          <w:color w:val="000000" w:themeColor="text1"/>
        </w:rPr>
        <w:lastRenderedPageBreak/>
        <w:t>(</w:t>
      </w:r>
      <w:r w:rsidR="0017161A">
        <w:rPr>
          <w:rFonts w:ascii="Times New Roman" w:hAnsi="Times New Roman" w:cs="Times New Roman"/>
          <w:color w:val="000000" w:themeColor="text1"/>
        </w:rPr>
        <w:t>CCA</w:t>
      </w:r>
      <w:r w:rsidR="0041742C">
        <w:rPr>
          <w:rFonts w:ascii="Times New Roman" w:hAnsi="Times New Roman" w:cs="Times New Roman"/>
          <w:color w:val="000000" w:themeColor="text1"/>
        </w:rPr>
        <w:t>)</w:t>
      </w:r>
      <w:r w:rsidR="0017161A">
        <w:rPr>
          <w:rFonts w:ascii="Times New Roman" w:hAnsi="Times New Roman" w:cs="Times New Roman"/>
          <w:color w:val="000000" w:themeColor="text1"/>
        </w:rPr>
        <w:t xml:space="preserve">, </w:t>
      </w:r>
      <w:r w:rsidR="0041742C">
        <w:rPr>
          <w:rFonts w:ascii="Times New Roman" w:hAnsi="Times New Roman" w:cs="Times New Roman"/>
          <w:color w:val="000000" w:themeColor="text1"/>
        </w:rPr>
        <w:t xml:space="preserve">sustainable development </w:t>
      </w:r>
      <w:r w:rsidR="00E81905">
        <w:rPr>
          <w:rFonts w:ascii="Times New Roman" w:hAnsi="Times New Roman" w:cs="Times New Roman"/>
          <w:color w:val="000000" w:themeColor="text1"/>
        </w:rPr>
        <w:t xml:space="preserve">framework </w:t>
      </w:r>
      <w:r w:rsidR="0041742C">
        <w:rPr>
          <w:rFonts w:ascii="Times New Roman" w:hAnsi="Times New Roman" w:cs="Times New Roman"/>
          <w:color w:val="000000" w:themeColor="text1"/>
        </w:rPr>
        <w:t>(GRI), environmental performance (</w:t>
      </w:r>
      <w:r w:rsidR="0017161A">
        <w:rPr>
          <w:rFonts w:ascii="Times New Roman" w:hAnsi="Times New Roman" w:cs="Times New Roman"/>
          <w:color w:val="000000" w:themeColor="text1"/>
        </w:rPr>
        <w:t>CRI, GHG</w:t>
      </w:r>
      <w:r w:rsidR="0041742C">
        <w:rPr>
          <w:rFonts w:ascii="Times New Roman" w:hAnsi="Times New Roman" w:cs="Times New Roman"/>
          <w:color w:val="000000" w:themeColor="text1"/>
        </w:rPr>
        <w:t>)</w:t>
      </w:r>
      <w:r w:rsidR="0017161A">
        <w:rPr>
          <w:rFonts w:ascii="Times New Roman" w:hAnsi="Times New Roman" w:cs="Times New Roman"/>
          <w:color w:val="000000" w:themeColor="text1"/>
        </w:rPr>
        <w:t xml:space="preserve"> and CG are either descriptive or have relied mainly </w:t>
      </w:r>
      <w:r w:rsidR="0041742C">
        <w:rPr>
          <w:rFonts w:ascii="Times New Roman" w:hAnsi="Times New Roman" w:cs="Times New Roman"/>
          <w:color w:val="000000" w:themeColor="text1"/>
        </w:rPr>
        <w:t xml:space="preserve">on </w:t>
      </w:r>
      <w:r w:rsidR="0017161A">
        <w:rPr>
          <w:rFonts w:ascii="Times New Roman" w:hAnsi="Times New Roman" w:cs="Times New Roman"/>
          <w:color w:val="000000" w:themeColor="text1"/>
        </w:rPr>
        <w:t>the ubiquitous agency theoretic</w:t>
      </w:r>
      <w:r w:rsidR="00EC666B">
        <w:rPr>
          <w:rFonts w:ascii="Times New Roman" w:hAnsi="Times New Roman" w:cs="Times New Roman"/>
          <w:color w:val="000000" w:themeColor="text1"/>
        </w:rPr>
        <w:t>al</w:t>
      </w:r>
      <w:r w:rsidR="0017161A">
        <w:rPr>
          <w:rFonts w:ascii="Times New Roman" w:hAnsi="Times New Roman" w:cs="Times New Roman"/>
          <w:color w:val="000000" w:themeColor="text1"/>
        </w:rPr>
        <w:t xml:space="preserve"> framework (</w:t>
      </w:r>
      <w:r w:rsidR="0017161A" w:rsidRPr="00820C7C">
        <w:rPr>
          <w:rFonts w:ascii="Times New Roman" w:hAnsi="Times New Roman" w:cs="Times New Roman"/>
        </w:rPr>
        <w:t xml:space="preserve">Liao et al., 2015; Luo </w:t>
      </w:r>
      <w:r w:rsidR="00580BE4">
        <w:rPr>
          <w:rFonts w:ascii="Times New Roman" w:hAnsi="Times New Roman" w:cs="Times New Roman"/>
        </w:rPr>
        <w:t>and</w:t>
      </w:r>
      <w:r w:rsidR="0017161A" w:rsidRPr="00820C7C">
        <w:rPr>
          <w:rFonts w:ascii="Times New Roman" w:hAnsi="Times New Roman" w:cs="Times New Roman"/>
        </w:rPr>
        <w:t xml:space="preserve"> Tang, 2014; Luo et al., 2012; </w:t>
      </w:r>
      <w:r w:rsidR="0017161A">
        <w:rPr>
          <w:rFonts w:ascii="Times New Roman" w:hAnsi="Times New Roman" w:cs="Times New Roman"/>
          <w:color w:val="000000" w:themeColor="text1"/>
        </w:rPr>
        <w:t>Matsumura et al., 2014), with studies drawing insights from</w:t>
      </w:r>
      <w:r w:rsidR="00EC666B">
        <w:rPr>
          <w:rFonts w:ascii="Times New Roman" w:hAnsi="Times New Roman" w:cs="Times New Roman"/>
          <w:color w:val="000000" w:themeColor="text1"/>
        </w:rPr>
        <w:t xml:space="preserve"> other innovative and</w:t>
      </w:r>
      <w:r w:rsidR="0017161A">
        <w:rPr>
          <w:rFonts w:ascii="Times New Roman" w:hAnsi="Times New Roman" w:cs="Times New Roman"/>
          <w:color w:val="000000" w:themeColor="text1"/>
        </w:rPr>
        <w:t xml:space="preserve"> intuitively appealing theories, such as neo-institutional theory being rare (</w:t>
      </w:r>
      <w:r w:rsidR="009F065E" w:rsidRPr="009F065E">
        <w:rPr>
          <w:rFonts w:ascii="Times New Roman" w:hAnsi="Times New Roman" w:cs="Times New Roman"/>
          <w:color w:val="000000" w:themeColor="text1"/>
        </w:rPr>
        <w:t xml:space="preserve">Ntim </w:t>
      </w:r>
      <w:r w:rsidR="00580BE4">
        <w:rPr>
          <w:rFonts w:ascii="Times New Roman" w:hAnsi="Times New Roman" w:cs="Times New Roman"/>
          <w:color w:val="000000" w:themeColor="text1"/>
        </w:rPr>
        <w:t>and</w:t>
      </w:r>
      <w:r w:rsidR="009F065E" w:rsidRPr="009F065E">
        <w:rPr>
          <w:rFonts w:ascii="Times New Roman" w:hAnsi="Times New Roman" w:cs="Times New Roman"/>
          <w:color w:val="000000" w:themeColor="text1"/>
        </w:rPr>
        <w:t xml:space="preserve"> Soobaroyen</w:t>
      </w:r>
      <w:r w:rsidR="0017161A">
        <w:rPr>
          <w:rFonts w:ascii="Times New Roman" w:hAnsi="Times New Roman" w:cs="Times New Roman"/>
          <w:color w:val="000000" w:themeColor="text1"/>
        </w:rPr>
        <w:t>,</w:t>
      </w:r>
      <w:r w:rsidR="009F065E" w:rsidRPr="009F065E">
        <w:rPr>
          <w:rFonts w:ascii="Times New Roman" w:hAnsi="Times New Roman" w:cs="Times New Roman"/>
          <w:color w:val="000000" w:themeColor="text1"/>
        </w:rPr>
        <w:t xml:space="preserve"> 2013</w:t>
      </w:r>
      <w:r w:rsidR="0017161A">
        <w:rPr>
          <w:rFonts w:ascii="Times New Roman" w:hAnsi="Times New Roman" w:cs="Times New Roman"/>
          <w:color w:val="000000" w:themeColor="text1"/>
        </w:rPr>
        <w:t>a</w:t>
      </w:r>
      <w:r w:rsidR="009F065E" w:rsidRPr="009F065E">
        <w:rPr>
          <w:rFonts w:ascii="Times New Roman" w:hAnsi="Times New Roman" w:cs="Times New Roman"/>
          <w:color w:val="000000" w:themeColor="text1"/>
        </w:rPr>
        <w:t>)</w:t>
      </w:r>
      <w:r w:rsidR="00D13417">
        <w:rPr>
          <w:rFonts w:ascii="Times New Roman" w:hAnsi="Times New Roman" w:cs="Times New Roman"/>
          <w:color w:val="000000" w:themeColor="text1"/>
        </w:rPr>
        <w:t xml:space="preserve">. </w:t>
      </w:r>
      <w:r w:rsidR="00D13417">
        <w:rPr>
          <w:rFonts w:ascii="Times New Roman" w:hAnsi="Times New Roman" w:cs="Times New Roman"/>
        </w:rPr>
        <w:t xml:space="preserve">Dögl and Behnam (2015) use institutional theory to explain how regulatory, market and social stakeholders exert isomorphic influences on corporate environmental responsibility in developed and emerging economies. </w:t>
      </w:r>
      <w:r w:rsidR="009F065E" w:rsidRPr="009F065E">
        <w:rPr>
          <w:rFonts w:ascii="Times New Roman" w:hAnsi="Times New Roman" w:cs="Times New Roman"/>
          <w:color w:val="000000" w:themeColor="text1"/>
        </w:rPr>
        <w:t>We</w:t>
      </w:r>
      <w:r w:rsidR="0017161A">
        <w:rPr>
          <w:rFonts w:ascii="Times New Roman" w:hAnsi="Times New Roman" w:cs="Times New Roman"/>
          <w:color w:val="000000" w:themeColor="text1"/>
        </w:rPr>
        <w:t>, thus, employ</w:t>
      </w:r>
      <w:r w:rsidR="009F065E" w:rsidRPr="009F065E">
        <w:rPr>
          <w:rFonts w:ascii="Times New Roman" w:hAnsi="Times New Roman" w:cs="Times New Roman"/>
          <w:color w:val="000000" w:themeColor="text1"/>
        </w:rPr>
        <w:t xml:space="preserve"> institutional theory as proposed by </w:t>
      </w:r>
      <w:r w:rsidR="009F065E" w:rsidRPr="009F065E">
        <w:rPr>
          <w:rFonts w:ascii="Times New Roman" w:hAnsi="Times New Roman" w:cs="Times New Roman"/>
        </w:rPr>
        <w:t xml:space="preserve">DiMaggio </w:t>
      </w:r>
      <w:r w:rsidR="00580BE4">
        <w:rPr>
          <w:rFonts w:ascii="Times New Roman" w:hAnsi="Times New Roman" w:cs="Times New Roman"/>
        </w:rPr>
        <w:t>and</w:t>
      </w:r>
      <w:r w:rsidR="009F065E" w:rsidRPr="009F065E">
        <w:rPr>
          <w:rFonts w:ascii="Times New Roman" w:hAnsi="Times New Roman" w:cs="Times New Roman"/>
        </w:rPr>
        <w:t xml:space="preserve"> Powell (1983)</w:t>
      </w:r>
      <w:r w:rsidR="007A6FE9">
        <w:rPr>
          <w:rFonts w:ascii="Times New Roman" w:hAnsi="Times New Roman" w:cs="Times New Roman"/>
        </w:rPr>
        <w:t>,</w:t>
      </w:r>
      <w:r w:rsidR="009F065E" w:rsidRPr="009F065E">
        <w:rPr>
          <w:rFonts w:ascii="Times New Roman" w:hAnsi="Times New Roman" w:cs="Times New Roman"/>
        </w:rPr>
        <w:t xml:space="preserve"> and Oliver (1991), and </w:t>
      </w:r>
      <w:r w:rsidR="009F065E" w:rsidRPr="009F065E">
        <w:rPr>
          <w:rFonts w:ascii="Times New Roman" w:hAnsi="Times New Roman" w:cs="Times New Roman"/>
          <w:color w:val="000000" w:themeColor="text1"/>
        </w:rPr>
        <w:t xml:space="preserve">neo-institutional theory as proposed by Scott (2001), to explain carbon performance of a firm. </w:t>
      </w:r>
    </w:p>
    <w:p w14:paraId="472B5C36" w14:textId="66F038C3" w:rsidR="00C300C6" w:rsidRDefault="009F065E" w:rsidP="002974E5">
      <w:pPr>
        <w:spacing w:after="0" w:line="360" w:lineRule="auto"/>
        <w:ind w:firstLine="720"/>
        <w:jc w:val="both"/>
        <w:rPr>
          <w:rFonts w:ascii="Times New Roman" w:hAnsi="Times New Roman" w:cs="Times New Roman"/>
        </w:rPr>
      </w:pPr>
      <w:r w:rsidRPr="009F065E">
        <w:rPr>
          <w:rFonts w:ascii="Times New Roman" w:hAnsi="Times New Roman" w:cs="Times New Roman"/>
        </w:rPr>
        <w:t xml:space="preserve">According to institutional theory, firms conform to rules, norms and expectations of institutions and stakeholders in order to enhance and protect </w:t>
      </w:r>
      <w:r w:rsidR="00604E85">
        <w:rPr>
          <w:rFonts w:ascii="Times New Roman" w:hAnsi="Times New Roman" w:cs="Times New Roman"/>
        </w:rPr>
        <w:t xml:space="preserve">their </w:t>
      </w:r>
      <w:r w:rsidRPr="009F065E">
        <w:rPr>
          <w:rFonts w:ascii="Times New Roman" w:hAnsi="Times New Roman" w:cs="Times New Roman"/>
        </w:rPr>
        <w:t>legitimacy (</w:t>
      </w:r>
      <w:r w:rsidRPr="009F065E">
        <w:rPr>
          <w:rFonts w:ascii="Times New Roman" w:hAnsi="Times New Roman" w:cs="Times New Roman"/>
          <w:color w:val="000000" w:themeColor="text1"/>
        </w:rPr>
        <w:t xml:space="preserve">Berrone </w:t>
      </w:r>
      <w:r w:rsidR="00580BE4">
        <w:rPr>
          <w:rFonts w:ascii="Times New Roman" w:hAnsi="Times New Roman" w:cs="Times New Roman"/>
          <w:color w:val="000000" w:themeColor="text1"/>
        </w:rPr>
        <w:t>and</w:t>
      </w:r>
      <w:r w:rsidRPr="009F065E">
        <w:rPr>
          <w:rFonts w:ascii="Times New Roman" w:hAnsi="Times New Roman" w:cs="Times New Roman"/>
          <w:color w:val="000000" w:themeColor="text1"/>
        </w:rPr>
        <w:t xml:space="preserve"> Gomez-Mejia, 2009). </w:t>
      </w:r>
      <w:r w:rsidRPr="009F065E">
        <w:rPr>
          <w:rFonts w:ascii="Times New Roman" w:hAnsi="Times New Roman" w:cs="Times New Roman"/>
        </w:rPr>
        <w:t xml:space="preserve">DiMaggio </w:t>
      </w:r>
      <w:r w:rsidR="00580BE4">
        <w:rPr>
          <w:rFonts w:ascii="Times New Roman" w:hAnsi="Times New Roman" w:cs="Times New Roman"/>
        </w:rPr>
        <w:t>and</w:t>
      </w:r>
      <w:r w:rsidRPr="009F065E">
        <w:rPr>
          <w:rFonts w:ascii="Times New Roman" w:hAnsi="Times New Roman" w:cs="Times New Roman"/>
        </w:rPr>
        <w:t xml:space="preserve"> Powell (1983) </w:t>
      </w:r>
      <w:r w:rsidR="00604E85">
        <w:rPr>
          <w:rFonts w:ascii="Times New Roman" w:hAnsi="Times New Roman" w:cs="Times New Roman"/>
        </w:rPr>
        <w:t>proposed</w:t>
      </w:r>
      <w:r w:rsidRPr="009F065E">
        <w:rPr>
          <w:rFonts w:ascii="Times New Roman" w:hAnsi="Times New Roman" w:cs="Times New Roman"/>
        </w:rPr>
        <w:t xml:space="preserve"> three forms of institutional isomorphism </w:t>
      </w:r>
      <w:r w:rsidR="001D134C">
        <w:rPr>
          <w:rFonts w:ascii="Times New Roman" w:hAnsi="Times New Roman" w:cs="Times New Roman"/>
        </w:rPr>
        <w:lastRenderedPageBreak/>
        <w:t xml:space="preserve">that seek </w:t>
      </w:r>
      <w:r w:rsidRPr="009F065E">
        <w:rPr>
          <w:rFonts w:ascii="Times New Roman" w:hAnsi="Times New Roman" w:cs="Times New Roman"/>
        </w:rPr>
        <w:t xml:space="preserve">to explain the influence of institutional pressures on firms. They define </w:t>
      </w:r>
      <w:r w:rsidRPr="009F065E">
        <w:rPr>
          <w:rFonts w:ascii="Times New Roman" w:hAnsi="Times New Roman" w:cs="Times New Roman"/>
          <w:i/>
        </w:rPr>
        <w:t>coercive</w:t>
      </w:r>
      <w:r w:rsidR="0067453E">
        <w:rPr>
          <w:rFonts w:ascii="Times New Roman" w:hAnsi="Times New Roman" w:cs="Times New Roman"/>
          <w:i/>
        </w:rPr>
        <w:t>/regulative</w:t>
      </w:r>
      <w:r w:rsidRPr="009F065E">
        <w:rPr>
          <w:rFonts w:ascii="Times New Roman" w:hAnsi="Times New Roman" w:cs="Times New Roman"/>
          <w:i/>
        </w:rPr>
        <w:t xml:space="preserve"> isomorphism</w:t>
      </w:r>
      <w:r w:rsidRPr="009F065E">
        <w:rPr>
          <w:rFonts w:ascii="Times New Roman" w:hAnsi="Times New Roman" w:cs="Times New Roman"/>
        </w:rPr>
        <w:t xml:space="preserve"> as a process though which institutional forces exert both direct (such as government policy, laws and regulations) and indirect (such as cultural expectations </w:t>
      </w:r>
      <w:r w:rsidR="00454CA4">
        <w:rPr>
          <w:rFonts w:ascii="Times New Roman" w:hAnsi="Times New Roman" w:cs="Times New Roman"/>
        </w:rPr>
        <w:t>of</w:t>
      </w:r>
      <w:r w:rsidRPr="009F065E">
        <w:rPr>
          <w:rFonts w:ascii="Times New Roman" w:hAnsi="Times New Roman" w:cs="Times New Roman"/>
        </w:rPr>
        <w:t xml:space="preserve"> the</w:t>
      </w:r>
      <w:r w:rsidR="0067453E">
        <w:rPr>
          <w:rFonts w:ascii="Times New Roman" w:hAnsi="Times New Roman" w:cs="Times New Roman"/>
        </w:rPr>
        <w:t xml:space="preserve"> broader</w:t>
      </w:r>
      <w:r w:rsidRPr="009F065E">
        <w:rPr>
          <w:rFonts w:ascii="Times New Roman" w:hAnsi="Times New Roman" w:cs="Times New Roman"/>
        </w:rPr>
        <w:t xml:space="preserve"> society) influence on firms to adopt specific organisational structures and procedures, which in turn enhance organisational legitimacy. </w:t>
      </w:r>
      <w:r w:rsidR="00454CA4">
        <w:rPr>
          <w:rFonts w:ascii="Times New Roman" w:hAnsi="Times New Roman" w:cs="Times New Roman"/>
          <w:i/>
          <w:iCs/>
        </w:rPr>
        <w:t>Cognitive/</w:t>
      </w:r>
      <w:r w:rsidR="00454CA4">
        <w:rPr>
          <w:rFonts w:ascii="Times New Roman" w:hAnsi="Times New Roman" w:cs="Times New Roman"/>
          <w:i/>
        </w:rPr>
        <w:t>m</w:t>
      </w:r>
      <w:r w:rsidRPr="009F065E">
        <w:rPr>
          <w:rFonts w:ascii="Times New Roman" w:hAnsi="Times New Roman" w:cs="Times New Roman"/>
          <w:i/>
        </w:rPr>
        <w:t>imetic isomorphism</w:t>
      </w:r>
      <w:r w:rsidRPr="009F065E">
        <w:rPr>
          <w:rFonts w:ascii="Times New Roman" w:hAnsi="Times New Roman" w:cs="Times New Roman"/>
        </w:rPr>
        <w:t xml:space="preserve"> is a process through which a firm responds to uncertainty by emulating the best practices adopted by other firms that are perceived to be more legitimate and successful (DiMaggio </w:t>
      </w:r>
      <w:r w:rsidR="00580BE4">
        <w:rPr>
          <w:rFonts w:ascii="Times New Roman" w:hAnsi="Times New Roman" w:cs="Times New Roman"/>
        </w:rPr>
        <w:t>and</w:t>
      </w:r>
      <w:r w:rsidRPr="009F065E">
        <w:rPr>
          <w:rFonts w:ascii="Times New Roman" w:hAnsi="Times New Roman" w:cs="Times New Roman"/>
        </w:rPr>
        <w:t xml:space="preserve"> Powell, 1983). Finally, </w:t>
      </w:r>
      <w:r w:rsidRPr="009F065E">
        <w:rPr>
          <w:rFonts w:ascii="Times New Roman" w:hAnsi="Times New Roman" w:cs="Times New Roman"/>
          <w:i/>
        </w:rPr>
        <w:t>normative isomorphism</w:t>
      </w:r>
      <w:r w:rsidRPr="009F065E">
        <w:rPr>
          <w:rFonts w:ascii="Times New Roman" w:hAnsi="Times New Roman" w:cs="Times New Roman"/>
        </w:rPr>
        <w:t xml:space="preserve"> takes place when dominant professional networks of managers and specialised staff</w:t>
      </w:r>
      <w:r w:rsidR="00015B67">
        <w:rPr>
          <w:rFonts w:ascii="Times New Roman" w:hAnsi="Times New Roman" w:cs="Times New Roman"/>
        </w:rPr>
        <w:t>,</w:t>
      </w:r>
      <w:r w:rsidRPr="009F065E">
        <w:rPr>
          <w:rFonts w:ascii="Times New Roman" w:hAnsi="Times New Roman" w:cs="Times New Roman"/>
        </w:rPr>
        <w:t xml:space="preserve"> as well as trade associations influence structures and processes of a firm. </w:t>
      </w:r>
    </w:p>
    <w:p w14:paraId="657D6DA4" w14:textId="3443E8E6" w:rsidR="00C300C6" w:rsidRDefault="00D46EB9" w:rsidP="008125A7">
      <w:pPr>
        <w:spacing w:after="0" w:line="360" w:lineRule="auto"/>
        <w:ind w:firstLine="720"/>
        <w:jc w:val="both"/>
        <w:rPr>
          <w:rFonts w:ascii="Times New Roman" w:hAnsi="Times New Roman" w:cs="Times New Roman"/>
        </w:rPr>
      </w:pPr>
      <w:r>
        <w:rPr>
          <w:rFonts w:ascii="Times New Roman" w:hAnsi="Times New Roman" w:cs="Times New Roman"/>
        </w:rPr>
        <w:t>Acknowledging</w:t>
      </w:r>
      <w:r w:rsidRPr="009F065E">
        <w:rPr>
          <w:rFonts w:ascii="Times New Roman" w:hAnsi="Times New Roman" w:cs="Times New Roman"/>
        </w:rPr>
        <w:t xml:space="preserve"> </w:t>
      </w:r>
      <w:r w:rsidR="009F065E" w:rsidRPr="009F065E">
        <w:rPr>
          <w:rFonts w:ascii="Times New Roman" w:hAnsi="Times New Roman" w:cs="Times New Roman"/>
        </w:rPr>
        <w:t>the significant contribution</w:t>
      </w:r>
      <w:r w:rsidR="00962A5B">
        <w:rPr>
          <w:rFonts w:ascii="Times New Roman" w:hAnsi="Times New Roman" w:cs="Times New Roman"/>
        </w:rPr>
        <w:t>s</w:t>
      </w:r>
      <w:r w:rsidR="009F065E" w:rsidRPr="009F065E">
        <w:rPr>
          <w:rFonts w:ascii="Times New Roman" w:hAnsi="Times New Roman" w:cs="Times New Roman"/>
        </w:rPr>
        <w:t xml:space="preserve"> of DiMaggio </w:t>
      </w:r>
      <w:r w:rsidR="00580BE4">
        <w:rPr>
          <w:rFonts w:ascii="Times New Roman" w:hAnsi="Times New Roman" w:cs="Times New Roman"/>
        </w:rPr>
        <w:t>and</w:t>
      </w:r>
      <w:r w:rsidR="009F065E" w:rsidRPr="009F065E">
        <w:rPr>
          <w:rFonts w:ascii="Times New Roman" w:hAnsi="Times New Roman" w:cs="Times New Roman"/>
        </w:rPr>
        <w:t xml:space="preserve"> Powell (1983), Oliver (1991) provides an important extension to institutional theory by offering a typology of strategic responses of a firm in response to pressures towards conformity with the institutional expectations. She </w:t>
      </w:r>
      <w:r w:rsidR="009F065E" w:rsidRPr="009F065E">
        <w:rPr>
          <w:rFonts w:ascii="Times New Roman" w:hAnsi="Times New Roman" w:cs="Times New Roman"/>
        </w:rPr>
        <w:lastRenderedPageBreak/>
        <w:t xml:space="preserve">highlights the role of organisational self-interests and active agency in organisational responses that include acquiescence, compromise, avoidance, defiance and manipulation. </w:t>
      </w:r>
    </w:p>
    <w:p w14:paraId="17E4073E" w14:textId="68B3B3F7" w:rsidR="00C300C6" w:rsidRDefault="009F065E" w:rsidP="002974E5">
      <w:pPr>
        <w:spacing w:after="0" w:line="360" w:lineRule="auto"/>
        <w:ind w:firstLine="720"/>
        <w:jc w:val="both"/>
        <w:rPr>
          <w:rFonts w:ascii="Times New Roman" w:hAnsi="Times New Roman" w:cs="Times New Roman"/>
        </w:rPr>
      </w:pPr>
      <w:r w:rsidRPr="009F065E">
        <w:rPr>
          <w:rFonts w:ascii="Times New Roman" w:hAnsi="Times New Roman" w:cs="Times New Roman"/>
        </w:rPr>
        <w:t xml:space="preserve">Drawing </w:t>
      </w:r>
      <w:r w:rsidR="00E40488">
        <w:rPr>
          <w:rFonts w:ascii="Times New Roman" w:hAnsi="Times New Roman" w:cs="Times New Roman"/>
        </w:rPr>
        <w:t>upon</w:t>
      </w:r>
      <w:r w:rsidRPr="009F065E">
        <w:rPr>
          <w:rFonts w:ascii="Times New Roman" w:hAnsi="Times New Roman" w:cs="Times New Roman"/>
        </w:rPr>
        <w:t xml:space="preserve"> the arguments of DiMaggio </w:t>
      </w:r>
      <w:r w:rsidR="00580BE4">
        <w:rPr>
          <w:rFonts w:ascii="Times New Roman" w:hAnsi="Times New Roman" w:cs="Times New Roman"/>
        </w:rPr>
        <w:t>and</w:t>
      </w:r>
      <w:r w:rsidRPr="009F065E">
        <w:rPr>
          <w:rFonts w:ascii="Times New Roman" w:hAnsi="Times New Roman" w:cs="Times New Roman"/>
        </w:rPr>
        <w:t xml:space="preserve"> Powell’s (1983, 1991), Scott (2001) proposes neo-institutional theory by emphasising on three levels of analysis: </w:t>
      </w:r>
      <w:r w:rsidR="003233C5">
        <w:rPr>
          <w:rFonts w:ascii="Times New Roman" w:hAnsi="Times New Roman" w:cs="Times New Roman"/>
        </w:rPr>
        <w:t xml:space="preserve">(i) </w:t>
      </w:r>
      <w:r w:rsidRPr="009F065E">
        <w:rPr>
          <w:rFonts w:ascii="Times New Roman" w:hAnsi="Times New Roman" w:cs="Times New Roman"/>
        </w:rPr>
        <w:t xml:space="preserve">societal (global) institutions, </w:t>
      </w:r>
      <w:r w:rsidR="003233C5">
        <w:rPr>
          <w:rFonts w:ascii="Times New Roman" w:hAnsi="Times New Roman" w:cs="Times New Roman"/>
        </w:rPr>
        <w:t xml:space="preserve">(ii) </w:t>
      </w:r>
      <w:r w:rsidRPr="009F065E">
        <w:rPr>
          <w:rFonts w:ascii="Times New Roman" w:hAnsi="Times New Roman" w:cs="Times New Roman"/>
        </w:rPr>
        <w:t xml:space="preserve">governance structures of an organisation and its industry peers, and </w:t>
      </w:r>
      <w:r w:rsidR="003233C5">
        <w:rPr>
          <w:rFonts w:ascii="Times New Roman" w:hAnsi="Times New Roman" w:cs="Times New Roman"/>
        </w:rPr>
        <w:t xml:space="preserve">(iii) </w:t>
      </w:r>
      <w:r w:rsidRPr="009F065E">
        <w:rPr>
          <w:rFonts w:ascii="Times New Roman" w:hAnsi="Times New Roman" w:cs="Times New Roman"/>
        </w:rPr>
        <w:t>actors such as individuals and groups (</w:t>
      </w:r>
      <w:r w:rsidRPr="009F065E">
        <w:rPr>
          <w:rFonts w:ascii="Times New Roman" w:hAnsi="Times New Roman" w:cs="Times New Roman"/>
          <w:color w:val="000000" w:themeColor="text1"/>
        </w:rPr>
        <w:t xml:space="preserve">Ntim </w:t>
      </w:r>
      <w:r w:rsidR="00580BE4">
        <w:rPr>
          <w:rFonts w:ascii="Times New Roman" w:hAnsi="Times New Roman" w:cs="Times New Roman"/>
          <w:color w:val="000000" w:themeColor="text1"/>
        </w:rPr>
        <w:t>and</w:t>
      </w:r>
      <w:r w:rsidRPr="009F065E">
        <w:rPr>
          <w:rFonts w:ascii="Times New Roman" w:hAnsi="Times New Roman" w:cs="Times New Roman"/>
          <w:color w:val="000000" w:themeColor="text1"/>
        </w:rPr>
        <w:t xml:space="preserve"> Soobaroyen, 2013</w:t>
      </w:r>
      <w:r w:rsidR="00B14289">
        <w:rPr>
          <w:rFonts w:ascii="Times New Roman" w:hAnsi="Times New Roman" w:cs="Times New Roman"/>
          <w:color w:val="000000" w:themeColor="text1"/>
        </w:rPr>
        <w:t>a</w:t>
      </w:r>
      <w:r w:rsidRPr="009F065E">
        <w:rPr>
          <w:rFonts w:ascii="Times New Roman" w:hAnsi="Times New Roman" w:cs="Times New Roman"/>
          <w:color w:val="000000" w:themeColor="text1"/>
        </w:rPr>
        <w:t xml:space="preserve">). </w:t>
      </w:r>
      <w:r w:rsidRPr="009F065E">
        <w:rPr>
          <w:rFonts w:ascii="Times New Roman" w:hAnsi="Times New Roman" w:cs="Times New Roman"/>
        </w:rPr>
        <w:t xml:space="preserve">For Scott (2001), these institutional pressures can affect (and are affected by) the forces of diffusion and/or imposition of institutional norms and practices, whilst developing new institutional norms and practices through innovations and/or negotiations in operational practices (see, </w:t>
      </w:r>
      <w:r w:rsidRPr="009F065E">
        <w:rPr>
          <w:rFonts w:ascii="Times New Roman" w:hAnsi="Times New Roman" w:cs="Times New Roman"/>
          <w:color w:val="000000" w:themeColor="text1"/>
        </w:rPr>
        <w:t xml:space="preserve">Ntim </w:t>
      </w:r>
      <w:r w:rsidR="00580BE4">
        <w:rPr>
          <w:rFonts w:ascii="Times New Roman" w:hAnsi="Times New Roman" w:cs="Times New Roman"/>
          <w:color w:val="000000" w:themeColor="text1"/>
        </w:rPr>
        <w:t>and</w:t>
      </w:r>
      <w:r w:rsidRPr="009F065E">
        <w:rPr>
          <w:rFonts w:ascii="Times New Roman" w:hAnsi="Times New Roman" w:cs="Times New Roman"/>
          <w:color w:val="000000" w:themeColor="text1"/>
        </w:rPr>
        <w:t xml:space="preserve"> Soobaroyen, 2013</w:t>
      </w:r>
      <w:r w:rsidR="00B14289">
        <w:rPr>
          <w:rFonts w:ascii="Times New Roman" w:hAnsi="Times New Roman" w:cs="Times New Roman"/>
          <w:color w:val="000000" w:themeColor="text1"/>
        </w:rPr>
        <w:t>a</w:t>
      </w:r>
      <w:r w:rsidRPr="009F065E">
        <w:rPr>
          <w:rFonts w:ascii="Times New Roman" w:hAnsi="Times New Roman" w:cs="Times New Roman"/>
          <w:color w:val="000000" w:themeColor="text1"/>
        </w:rPr>
        <w:t xml:space="preserve">; </w:t>
      </w:r>
      <w:r w:rsidRPr="009F065E">
        <w:rPr>
          <w:rFonts w:ascii="Times New Roman" w:hAnsi="Times New Roman" w:cs="Times New Roman"/>
        </w:rPr>
        <w:t xml:space="preserve">Judge et al., 2010). </w:t>
      </w:r>
      <w:r w:rsidRPr="009F065E">
        <w:rPr>
          <w:rFonts w:ascii="Times New Roman" w:hAnsi="Times New Roman" w:cs="Times New Roman"/>
          <w:color w:val="000000" w:themeColor="text1"/>
        </w:rPr>
        <w:t>Ntim</w:t>
      </w:r>
      <w:r w:rsidR="00991655">
        <w:rPr>
          <w:rFonts w:ascii="Times New Roman" w:hAnsi="Times New Roman" w:cs="Times New Roman"/>
          <w:color w:val="000000" w:themeColor="text1"/>
        </w:rPr>
        <w:t xml:space="preserve"> </w:t>
      </w:r>
      <w:r w:rsidR="00580BE4">
        <w:rPr>
          <w:rFonts w:ascii="Times New Roman" w:hAnsi="Times New Roman" w:cs="Times New Roman"/>
          <w:color w:val="000000" w:themeColor="text1"/>
        </w:rPr>
        <w:t>and</w:t>
      </w:r>
      <w:r w:rsidRPr="009F065E">
        <w:rPr>
          <w:rFonts w:ascii="Times New Roman" w:hAnsi="Times New Roman" w:cs="Times New Roman"/>
          <w:color w:val="000000" w:themeColor="text1"/>
        </w:rPr>
        <w:t xml:space="preserve"> Soobaroyen (2013</w:t>
      </w:r>
      <w:r w:rsidR="00B14289">
        <w:rPr>
          <w:rFonts w:ascii="Times New Roman" w:hAnsi="Times New Roman" w:cs="Times New Roman"/>
          <w:color w:val="000000" w:themeColor="text1"/>
        </w:rPr>
        <w:t>a</w:t>
      </w:r>
      <w:r w:rsidRPr="009F065E">
        <w:rPr>
          <w:rFonts w:ascii="Times New Roman" w:hAnsi="Times New Roman" w:cs="Times New Roman"/>
          <w:color w:val="000000" w:themeColor="text1"/>
        </w:rPr>
        <w:t xml:space="preserve">) highlight the interplay among these three levels, and argue </w:t>
      </w:r>
      <w:r w:rsidRPr="009F065E">
        <w:rPr>
          <w:rFonts w:ascii="Times New Roman" w:hAnsi="Times New Roman" w:cs="Times New Roman"/>
        </w:rPr>
        <w:t>that the actors not only compete for resources (efficiency), but also seek ultimate legitimacy and social acceptance (legitimation).</w:t>
      </w:r>
    </w:p>
    <w:p w14:paraId="21F6A71F" w14:textId="2113C7E4" w:rsidR="00C300C6" w:rsidRDefault="003233C5" w:rsidP="00B37B4B">
      <w:pPr>
        <w:spacing w:after="0" w:line="360" w:lineRule="auto"/>
        <w:ind w:firstLine="720"/>
        <w:jc w:val="both"/>
        <w:rPr>
          <w:rFonts w:ascii="Times New Roman" w:hAnsi="Times New Roman" w:cs="Times New Roman"/>
          <w:color w:val="000000" w:themeColor="text1"/>
        </w:rPr>
      </w:pPr>
      <w:r>
        <w:rPr>
          <w:rFonts w:ascii="Times New Roman" w:hAnsi="Times New Roman" w:cs="Times New Roman"/>
        </w:rPr>
        <w:lastRenderedPageBreak/>
        <w:t xml:space="preserve">In terms of applicability to our current study, </w:t>
      </w:r>
      <w:r w:rsidR="009F065E" w:rsidRPr="009F065E">
        <w:rPr>
          <w:rFonts w:ascii="Times New Roman" w:hAnsi="Times New Roman" w:cs="Times New Roman"/>
        </w:rPr>
        <w:t xml:space="preserve">DiMaggio </w:t>
      </w:r>
      <w:r w:rsidR="00634EA4">
        <w:rPr>
          <w:rFonts w:ascii="Times New Roman" w:hAnsi="Times New Roman" w:cs="Times New Roman"/>
        </w:rPr>
        <w:t>and</w:t>
      </w:r>
      <w:r w:rsidR="009F065E" w:rsidRPr="009F065E">
        <w:rPr>
          <w:rFonts w:ascii="Times New Roman" w:hAnsi="Times New Roman" w:cs="Times New Roman"/>
        </w:rPr>
        <w:t xml:space="preserve"> Powell’s ‘institutional isomorphism’ appears to provide a better theoretical framework in explaining the </w:t>
      </w:r>
      <w:r w:rsidR="00D10008">
        <w:rPr>
          <w:rFonts w:ascii="Times New Roman" w:hAnsi="Times New Roman" w:cs="Times New Roman"/>
        </w:rPr>
        <w:t>effects of</w:t>
      </w:r>
      <w:r w:rsidR="00827F9B">
        <w:rPr>
          <w:rFonts w:ascii="Times New Roman" w:hAnsi="Times New Roman" w:cs="Times New Roman"/>
        </w:rPr>
        <w:t xml:space="preserve"> environmental policy</w:t>
      </w:r>
      <w:r w:rsidR="009F065E" w:rsidRPr="009F065E">
        <w:rPr>
          <w:rFonts w:ascii="Times New Roman" w:hAnsi="Times New Roman" w:cs="Times New Roman"/>
        </w:rPr>
        <w:t xml:space="preserve"> </w:t>
      </w:r>
      <w:r w:rsidR="00827F9B">
        <w:rPr>
          <w:rFonts w:ascii="Times New Roman" w:hAnsi="Times New Roman" w:cs="Times New Roman"/>
        </w:rPr>
        <w:t>(</w:t>
      </w:r>
      <w:r w:rsidR="00453B39">
        <w:rPr>
          <w:rFonts w:ascii="Times New Roman" w:hAnsi="Times New Roman" w:cs="Times New Roman"/>
        </w:rPr>
        <w:t>CCA</w:t>
      </w:r>
      <w:r w:rsidR="00827F9B">
        <w:rPr>
          <w:rFonts w:ascii="Times New Roman" w:hAnsi="Times New Roman" w:cs="Times New Roman"/>
        </w:rPr>
        <w:t>)</w:t>
      </w:r>
      <w:r w:rsidR="00453B39">
        <w:rPr>
          <w:rFonts w:ascii="Times New Roman" w:hAnsi="Times New Roman" w:cs="Times New Roman"/>
        </w:rPr>
        <w:t xml:space="preserve">, </w:t>
      </w:r>
      <w:r w:rsidR="00827F9B">
        <w:rPr>
          <w:rFonts w:ascii="Times New Roman" w:hAnsi="Times New Roman" w:cs="Times New Roman"/>
        </w:rPr>
        <w:t xml:space="preserve">sustainable development </w:t>
      </w:r>
      <w:r w:rsidR="00526BA4">
        <w:rPr>
          <w:rFonts w:ascii="Times New Roman" w:hAnsi="Times New Roman" w:cs="Times New Roman"/>
        </w:rPr>
        <w:t xml:space="preserve">framework </w:t>
      </w:r>
      <w:r w:rsidR="00827F9B">
        <w:rPr>
          <w:rFonts w:ascii="Times New Roman" w:hAnsi="Times New Roman" w:cs="Times New Roman"/>
        </w:rPr>
        <w:t>(</w:t>
      </w:r>
      <w:r w:rsidR="00B37B4B">
        <w:rPr>
          <w:rFonts w:ascii="Times New Roman" w:hAnsi="Times New Roman" w:cs="Times New Roman"/>
        </w:rPr>
        <w:t>GRI</w:t>
      </w:r>
      <w:r w:rsidR="00D10008">
        <w:rPr>
          <w:rFonts w:ascii="Times New Roman" w:hAnsi="Times New Roman" w:cs="Times New Roman"/>
        </w:rPr>
        <w:t>, UNGC</w:t>
      </w:r>
      <w:r w:rsidR="00827F9B">
        <w:rPr>
          <w:rFonts w:ascii="Times New Roman" w:hAnsi="Times New Roman" w:cs="Times New Roman"/>
        </w:rPr>
        <w:t>)</w:t>
      </w:r>
      <w:r w:rsidR="00D10008">
        <w:rPr>
          <w:rFonts w:ascii="Times New Roman" w:hAnsi="Times New Roman" w:cs="Times New Roman"/>
        </w:rPr>
        <w:t xml:space="preserve"> and</w:t>
      </w:r>
      <w:r w:rsidR="00B37B4B">
        <w:rPr>
          <w:rFonts w:ascii="Times New Roman" w:hAnsi="Times New Roman" w:cs="Times New Roman"/>
        </w:rPr>
        <w:t xml:space="preserve"> </w:t>
      </w:r>
      <w:r w:rsidR="00D10008">
        <w:rPr>
          <w:rFonts w:ascii="Times New Roman" w:hAnsi="Times New Roman" w:cs="Times New Roman"/>
        </w:rPr>
        <w:t>CG mechanisms on</w:t>
      </w:r>
      <w:r w:rsidR="00827F9B">
        <w:rPr>
          <w:rFonts w:ascii="Times New Roman" w:hAnsi="Times New Roman" w:cs="Times New Roman"/>
        </w:rPr>
        <w:t xml:space="preserve"> environmental performance (</w:t>
      </w:r>
      <w:r w:rsidR="00453B39">
        <w:rPr>
          <w:rFonts w:ascii="Times New Roman" w:hAnsi="Times New Roman" w:cs="Times New Roman"/>
        </w:rPr>
        <w:t>CRI and GHG</w:t>
      </w:r>
      <w:r>
        <w:rPr>
          <w:rFonts w:ascii="Times New Roman" w:hAnsi="Times New Roman" w:cs="Times New Roman"/>
        </w:rPr>
        <w:t xml:space="preserve"> emissions</w:t>
      </w:r>
      <w:r w:rsidR="00827F9B">
        <w:rPr>
          <w:rFonts w:ascii="Times New Roman" w:hAnsi="Times New Roman" w:cs="Times New Roman"/>
        </w:rPr>
        <w:t>)</w:t>
      </w:r>
      <w:r w:rsidR="009F065E" w:rsidRPr="009F065E">
        <w:rPr>
          <w:rFonts w:ascii="Times New Roman" w:hAnsi="Times New Roman" w:cs="Times New Roman"/>
        </w:rPr>
        <w:t>.</w:t>
      </w:r>
      <w:r w:rsidR="00B06D79">
        <w:rPr>
          <w:rFonts w:ascii="Times New Roman" w:hAnsi="Times New Roman" w:cs="Times New Roman"/>
        </w:rPr>
        <w:t xml:space="preserve"> We contend</w:t>
      </w:r>
      <w:r w:rsidR="00081765">
        <w:rPr>
          <w:rFonts w:ascii="Times New Roman" w:hAnsi="Times New Roman" w:cs="Times New Roman"/>
        </w:rPr>
        <w:t xml:space="preserve"> that </w:t>
      </w:r>
      <w:r w:rsidR="00F44989">
        <w:rPr>
          <w:rFonts w:ascii="Times New Roman" w:hAnsi="Times New Roman" w:cs="Times New Roman"/>
        </w:rPr>
        <w:t>corporation</w:t>
      </w:r>
      <w:r w:rsidR="009F065E" w:rsidRPr="009F065E">
        <w:rPr>
          <w:rFonts w:ascii="Times New Roman" w:hAnsi="Times New Roman" w:cs="Times New Roman"/>
        </w:rPr>
        <w:t>s</w:t>
      </w:r>
      <w:r w:rsidR="005352DF">
        <w:rPr>
          <w:rFonts w:ascii="Times New Roman" w:hAnsi="Times New Roman" w:cs="Times New Roman"/>
        </w:rPr>
        <w:t xml:space="preserve"> are more likely</w:t>
      </w:r>
      <w:r w:rsidR="00C936AB">
        <w:rPr>
          <w:rFonts w:ascii="Times New Roman" w:hAnsi="Times New Roman" w:cs="Times New Roman"/>
        </w:rPr>
        <w:t xml:space="preserve"> to</w:t>
      </w:r>
      <w:r w:rsidR="005352DF">
        <w:rPr>
          <w:rFonts w:ascii="Times New Roman" w:hAnsi="Times New Roman" w:cs="Times New Roman"/>
        </w:rPr>
        <w:t xml:space="preserve"> symbolically</w:t>
      </w:r>
      <w:r w:rsidR="009F065E" w:rsidRPr="009F065E">
        <w:rPr>
          <w:rFonts w:ascii="Times New Roman" w:hAnsi="Times New Roman" w:cs="Times New Roman"/>
          <w:color w:val="000000" w:themeColor="text1"/>
        </w:rPr>
        <w:t xml:space="preserve"> engage in sustainable business practices (such as pollution control, sustainable reporting) </w:t>
      </w:r>
      <w:r>
        <w:rPr>
          <w:rFonts w:ascii="Times New Roman" w:hAnsi="Times New Roman" w:cs="Times New Roman"/>
          <w:color w:val="000000" w:themeColor="text1"/>
        </w:rPr>
        <w:t xml:space="preserve">in order </w:t>
      </w:r>
      <w:r w:rsidR="009F065E" w:rsidRPr="009F065E">
        <w:rPr>
          <w:rFonts w:ascii="Times New Roman" w:hAnsi="Times New Roman" w:cs="Times New Roman"/>
          <w:color w:val="000000" w:themeColor="text1"/>
        </w:rPr>
        <w:t>to legitimise their operations within society, and t</w:t>
      </w:r>
      <w:r w:rsidR="005352DF">
        <w:rPr>
          <w:rFonts w:ascii="Times New Roman" w:hAnsi="Times New Roman" w:cs="Times New Roman"/>
          <w:color w:val="000000" w:themeColor="text1"/>
        </w:rPr>
        <w:t>hereby</w:t>
      </w:r>
      <w:r w:rsidR="009F065E" w:rsidRPr="009F065E">
        <w:rPr>
          <w:rFonts w:ascii="Times New Roman" w:hAnsi="Times New Roman" w:cs="Times New Roman"/>
          <w:color w:val="000000" w:themeColor="text1"/>
        </w:rPr>
        <w:t xml:space="preserve"> demonstrat</w:t>
      </w:r>
      <w:r w:rsidR="005352DF">
        <w:rPr>
          <w:rFonts w:ascii="Times New Roman" w:hAnsi="Times New Roman" w:cs="Times New Roman"/>
          <w:color w:val="000000" w:themeColor="text1"/>
        </w:rPr>
        <w:t>ing</w:t>
      </w:r>
      <w:r w:rsidR="009F065E" w:rsidRPr="009F065E">
        <w:rPr>
          <w:rFonts w:ascii="Times New Roman" w:hAnsi="Times New Roman" w:cs="Times New Roman"/>
          <w:color w:val="000000" w:themeColor="text1"/>
        </w:rPr>
        <w:t xml:space="preserve"> t</w:t>
      </w:r>
      <w:r w:rsidR="005352DF">
        <w:rPr>
          <w:rFonts w:ascii="Times New Roman" w:hAnsi="Times New Roman" w:cs="Times New Roman"/>
          <w:color w:val="000000" w:themeColor="text1"/>
        </w:rPr>
        <w:t>o</w:t>
      </w:r>
      <w:r w:rsidR="009F065E" w:rsidRPr="009F065E">
        <w:rPr>
          <w:rFonts w:ascii="Times New Roman" w:hAnsi="Times New Roman" w:cs="Times New Roman"/>
          <w:color w:val="000000" w:themeColor="text1"/>
        </w:rPr>
        <w:t xml:space="preserve"> their </w:t>
      </w:r>
      <w:r w:rsidR="005352DF">
        <w:rPr>
          <w:rFonts w:ascii="Times New Roman" w:hAnsi="Times New Roman" w:cs="Times New Roman"/>
          <w:color w:val="000000" w:themeColor="text1"/>
        </w:rPr>
        <w:t xml:space="preserve">various powerful stakeholders (e.g., regulators, governments, employees, investors and consumers) that their </w:t>
      </w:r>
      <w:r w:rsidR="009F065E" w:rsidRPr="009F065E">
        <w:rPr>
          <w:rFonts w:ascii="Times New Roman" w:hAnsi="Times New Roman" w:cs="Times New Roman"/>
          <w:color w:val="000000" w:themeColor="text1"/>
        </w:rPr>
        <w:t>social and environmental activities are consistent with the expectations of</w:t>
      </w:r>
      <w:r w:rsidR="005352DF">
        <w:rPr>
          <w:rFonts w:ascii="Times New Roman" w:hAnsi="Times New Roman" w:cs="Times New Roman"/>
          <w:color w:val="000000" w:themeColor="text1"/>
        </w:rPr>
        <w:t xml:space="preserve"> the broader</w:t>
      </w:r>
      <w:r w:rsidR="009F065E" w:rsidRPr="009F065E">
        <w:rPr>
          <w:rFonts w:ascii="Times New Roman" w:hAnsi="Times New Roman" w:cs="Times New Roman"/>
          <w:color w:val="000000" w:themeColor="text1"/>
        </w:rPr>
        <w:t xml:space="preserve"> society (Comyns </w:t>
      </w:r>
      <w:r w:rsidR="00580BE4">
        <w:rPr>
          <w:rFonts w:ascii="Times New Roman" w:hAnsi="Times New Roman" w:cs="Times New Roman"/>
          <w:color w:val="000000" w:themeColor="text1"/>
        </w:rPr>
        <w:t>and</w:t>
      </w:r>
      <w:r w:rsidR="009F065E" w:rsidRPr="009F065E">
        <w:rPr>
          <w:rFonts w:ascii="Times New Roman" w:hAnsi="Times New Roman" w:cs="Times New Roman"/>
          <w:color w:val="000000" w:themeColor="text1"/>
        </w:rPr>
        <w:t xml:space="preserve"> Figge, 2015). </w:t>
      </w:r>
    </w:p>
    <w:p w14:paraId="0E7622B0" w14:textId="77777777" w:rsidR="00A96E45" w:rsidRPr="0014359D" w:rsidRDefault="00A96E45" w:rsidP="00820C7C">
      <w:pPr>
        <w:spacing w:after="0" w:line="360" w:lineRule="auto"/>
        <w:jc w:val="both"/>
        <w:rPr>
          <w:rFonts w:ascii="Times New Roman" w:hAnsi="Times New Roman" w:cs="Times New Roman"/>
          <w:lang w:val="en-US"/>
        </w:rPr>
      </w:pPr>
    </w:p>
    <w:p w14:paraId="651D65EB" w14:textId="77777777" w:rsidR="007F06EE" w:rsidRPr="0014359D" w:rsidRDefault="009F065E" w:rsidP="00526BA4">
      <w:pPr>
        <w:pStyle w:val="ListParagraph"/>
        <w:numPr>
          <w:ilvl w:val="0"/>
          <w:numId w:val="1"/>
        </w:numPr>
        <w:spacing w:after="0" w:line="240" w:lineRule="auto"/>
        <w:ind w:left="360"/>
        <w:contextualSpacing w:val="0"/>
        <w:jc w:val="both"/>
        <w:rPr>
          <w:rFonts w:ascii="Times New Roman" w:hAnsi="Times New Roman" w:cs="Times New Roman"/>
          <w:b/>
          <w:color w:val="000000" w:themeColor="text1"/>
        </w:rPr>
      </w:pPr>
      <w:r w:rsidRPr="009F065E">
        <w:rPr>
          <w:rFonts w:ascii="Times New Roman" w:hAnsi="Times New Roman" w:cs="Times New Roman"/>
          <w:b/>
          <w:color w:val="000000" w:themeColor="text1"/>
        </w:rPr>
        <w:t>Empirical literature and hypotheses development</w:t>
      </w:r>
    </w:p>
    <w:p w14:paraId="33DBDA1D" w14:textId="20D3C0FA" w:rsidR="00171D98" w:rsidRPr="0014359D" w:rsidRDefault="00171D98" w:rsidP="00526BA4">
      <w:pPr>
        <w:spacing w:after="0" w:line="240" w:lineRule="auto"/>
        <w:jc w:val="both"/>
        <w:rPr>
          <w:rFonts w:ascii="Times New Roman" w:hAnsi="Times New Roman" w:cs="Times New Roman"/>
          <w:b/>
          <w:color w:val="000000" w:themeColor="text1"/>
        </w:rPr>
      </w:pPr>
    </w:p>
    <w:p w14:paraId="144B5A09" w14:textId="5D851E39" w:rsidR="00C300C6" w:rsidRDefault="000D6254" w:rsidP="00526BA4">
      <w:pPr>
        <w:pStyle w:val="ListParagraph"/>
        <w:numPr>
          <w:ilvl w:val="2"/>
          <w:numId w:val="1"/>
        </w:numPr>
        <w:spacing w:after="0" w:line="240" w:lineRule="auto"/>
        <w:ind w:left="720"/>
        <w:contextualSpacing w:val="0"/>
        <w:jc w:val="both"/>
        <w:rPr>
          <w:rFonts w:ascii="Times New Roman" w:hAnsi="Times New Roman" w:cs="Times New Roman"/>
          <w:i/>
          <w:color w:val="000000" w:themeColor="text1"/>
        </w:rPr>
      </w:pPr>
      <w:r>
        <w:rPr>
          <w:rFonts w:ascii="Times New Roman" w:hAnsi="Times New Roman" w:cs="Times New Roman"/>
          <w:i/>
          <w:color w:val="000000" w:themeColor="text1"/>
        </w:rPr>
        <w:t>Environmental policy (CCA), CG</w:t>
      </w:r>
      <w:r w:rsidR="009F065E" w:rsidRPr="009F065E">
        <w:rPr>
          <w:rFonts w:ascii="Times New Roman" w:hAnsi="Times New Roman" w:cs="Times New Roman"/>
          <w:i/>
          <w:color w:val="000000" w:themeColor="text1"/>
        </w:rPr>
        <w:t xml:space="preserve"> </w:t>
      </w:r>
      <w:r w:rsidR="00A31C73">
        <w:rPr>
          <w:rFonts w:ascii="Times New Roman" w:hAnsi="Times New Roman" w:cs="Times New Roman"/>
          <w:i/>
          <w:color w:val="000000" w:themeColor="text1"/>
        </w:rPr>
        <w:t>and environmental performance</w:t>
      </w:r>
      <w:r>
        <w:rPr>
          <w:rFonts w:ascii="Times New Roman" w:hAnsi="Times New Roman" w:cs="Times New Roman"/>
          <w:i/>
          <w:color w:val="000000" w:themeColor="text1"/>
        </w:rPr>
        <w:t xml:space="preserve"> (CRI and GHG emissions)</w:t>
      </w:r>
    </w:p>
    <w:p w14:paraId="29C9DA65" w14:textId="77777777" w:rsidR="00C300C6" w:rsidRDefault="00C300C6" w:rsidP="00526BA4">
      <w:pPr>
        <w:spacing w:after="0" w:line="240" w:lineRule="auto"/>
        <w:jc w:val="both"/>
        <w:rPr>
          <w:rFonts w:ascii="Times New Roman" w:hAnsi="Times New Roman" w:cs="Times New Roman"/>
        </w:rPr>
      </w:pPr>
    </w:p>
    <w:p w14:paraId="3FCC2756" w14:textId="36C06124" w:rsidR="00C300C6" w:rsidRDefault="009F065E" w:rsidP="002974E5">
      <w:pPr>
        <w:spacing w:after="0" w:line="360" w:lineRule="auto"/>
        <w:ind w:firstLine="720"/>
        <w:jc w:val="both"/>
        <w:rPr>
          <w:rFonts w:ascii="Times New Roman" w:hAnsi="Times New Roman" w:cs="Times New Roman"/>
          <w:color w:val="000000" w:themeColor="text1"/>
        </w:rPr>
      </w:pPr>
      <w:r w:rsidRPr="009F065E">
        <w:rPr>
          <w:rFonts w:ascii="Times New Roman" w:hAnsi="Times New Roman" w:cs="Times New Roman"/>
        </w:rPr>
        <w:lastRenderedPageBreak/>
        <w:t xml:space="preserve">According to ‘coercive isomorphism’ (DiMaggio </w:t>
      </w:r>
      <w:r w:rsidR="00580BE4">
        <w:rPr>
          <w:rFonts w:ascii="Times New Roman" w:hAnsi="Times New Roman" w:cs="Times New Roman"/>
        </w:rPr>
        <w:t>and</w:t>
      </w:r>
      <w:r w:rsidRPr="009F065E">
        <w:rPr>
          <w:rFonts w:ascii="Times New Roman" w:hAnsi="Times New Roman" w:cs="Times New Roman"/>
        </w:rPr>
        <w:t xml:space="preserve"> Powell</w:t>
      </w:r>
      <w:r w:rsidR="00FA2CA9">
        <w:rPr>
          <w:rFonts w:ascii="Times New Roman" w:hAnsi="Times New Roman" w:cs="Times New Roman"/>
        </w:rPr>
        <w:t>,</w:t>
      </w:r>
      <w:r w:rsidRPr="009F065E">
        <w:rPr>
          <w:rFonts w:ascii="Times New Roman" w:hAnsi="Times New Roman" w:cs="Times New Roman"/>
        </w:rPr>
        <w:t xml:space="preserve"> 1983), </w:t>
      </w:r>
      <w:r w:rsidR="00790959">
        <w:rPr>
          <w:rFonts w:ascii="Times New Roman" w:hAnsi="Times New Roman" w:cs="Times New Roman"/>
        </w:rPr>
        <w:t>global and national governments’ environmental policies,</w:t>
      </w:r>
      <w:r w:rsidRPr="009F065E">
        <w:rPr>
          <w:rFonts w:ascii="Times New Roman" w:hAnsi="Times New Roman" w:cs="Times New Roman"/>
        </w:rPr>
        <w:t xml:space="preserve"> rules and regulations</w:t>
      </w:r>
      <w:r w:rsidR="00474D02">
        <w:rPr>
          <w:rFonts w:ascii="Times New Roman" w:hAnsi="Times New Roman" w:cs="Times New Roman"/>
        </w:rPr>
        <w:t>,</w:t>
      </w:r>
      <w:r w:rsidRPr="009F065E">
        <w:rPr>
          <w:rFonts w:ascii="Times New Roman" w:hAnsi="Times New Roman" w:cs="Times New Roman"/>
        </w:rPr>
        <w:t xml:space="preserve"> such as the CCA</w:t>
      </w:r>
      <w:r w:rsidR="009366A0">
        <w:rPr>
          <w:rFonts w:ascii="Times New Roman" w:hAnsi="Times New Roman" w:cs="Times New Roman"/>
        </w:rPr>
        <w:t>, GRI</w:t>
      </w:r>
      <w:r w:rsidR="00790959">
        <w:rPr>
          <w:rFonts w:ascii="Times New Roman" w:hAnsi="Times New Roman" w:cs="Times New Roman"/>
        </w:rPr>
        <w:t>, UNGC</w:t>
      </w:r>
      <w:r w:rsidR="009366A0">
        <w:rPr>
          <w:rFonts w:ascii="Times New Roman" w:hAnsi="Times New Roman" w:cs="Times New Roman"/>
        </w:rPr>
        <w:t xml:space="preserve"> and UN</w:t>
      </w:r>
      <w:r w:rsidR="00790959">
        <w:rPr>
          <w:rFonts w:ascii="Times New Roman" w:hAnsi="Times New Roman" w:cs="Times New Roman"/>
        </w:rPr>
        <w:t>FCC</w:t>
      </w:r>
      <w:r w:rsidR="009366A0">
        <w:rPr>
          <w:rFonts w:ascii="Times New Roman" w:hAnsi="Times New Roman" w:cs="Times New Roman"/>
        </w:rPr>
        <w:t>C</w:t>
      </w:r>
      <w:r w:rsidRPr="009F065E">
        <w:rPr>
          <w:rFonts w:ascii="Times New Roman" w:hAnsi="Times New Roman" w:cs="Times New Roman"/>
        </w:rPr>
        <w:t xml:space="preserve"> are likely to exert pressures on firms to engage in </w:t>
      </w:r>
      <w:r w:rsidR="003874B8">
        <w:rPr>
          <w:rFonts w:ascii="Times New Roman" w:hAnsi="Times New Roman" w:cs="Times New Roman"/>
        </w:rPr>
        <w:t>CRIs</w:t>
      </w:r>
      <w:r w:rsidRPr="009F065E">
        <w:rPr>
          <w:rFonts w:ascii="Times New Roman" w:hAnsi="Times New Roman" w:cs="Times New Roman"/>
        </w:rPr>
        <w:t xml:space="preserve"> </w:t>
      </w:r>
      <w:r w:rsidRPr="009F065E">
        <w:rPr>
          <w:rFonts w:ascii="Times New Roman" w:hAnsi="Times New Roman" w:cs="Times New Roman"/>
          <w:color w:val="000000" w:themeColor="text1"/>
        </w:rPr>
        <w:t>in order to legitimise their operations within</w:t>
      </w:r>
      <w:r w:rsidR="003874B8">
        <w:rPr>
          <w:rFonts w:ascii="Times New Roman" w:hAnsi="Times New Roman" w:cs="Times New Roman"/>
          <w:color w:val="000000" w:themeColor="text1"/>
        </w:rPr>
        <w:t xml:space="preserve"> the broader</w:t>
      </w:r>
      <w:r w:rsidRPr="009F065E">
        <w:rPr>
          <w:rFonts w:ascii="Times New Roman" w:hAnsi="Times New Roman" w:cs="Times New Roman"/>
          <w:color w:val="000000" w:themeColor="text1"/>
        </w:rPr>
        <w:t xml:space="preserve"> society</w:t>
      </w:r>
      <w:r w:rsidRPr="009F065E">
        <w:rPr>
          <w:rFonts w:ascii="Times New Roman" w:hAnsi="Times New Roman" w:cs="Times New Roman"/>
        </w:rPr>
        <w:t xml:space="preserve">. </w:t>
      </w:r>
      <w:r w:rsidRPr="009F065E">
        <w:rPr>
          <w:rFonts w:ascii="Times New Roman" w:hAnsi="Times New Roman" w:cs="Times New Roman"/>
          <w:color w:val="000000" w:themeColor="text1"/>
        </w:rPr>
        <w:t xml:space="preserve">Freedman </w:t>
      </w:r>
      <w:r w:rsidR="00580BE4">
        <w:rPr>
          <w:rFonts w:ascii="Times New Roman" w:hAnsi="Times New Roman" w:cs="Times New Roman"/>
          <w:color w:val="000000" w:themeColor="text1"/>
        </w:rPr>
        <w:t>and</w:t>
      </w:r>
      <w:r w:rsidRPr="009F065E">
        <w:rPr>
          <w:rFonts w:ascii="Times New Roman" w:hAnsi="Times New Roman" w:cs="Times New Roman"/>
          <w:color w:val="000000" w:themeColor="text1"/>
        </w:rPr>
        <w:t xml:space="preserve"> Jaggi (2005) argue that </w:t>
      </w:r>
      <w:r w:rsidRPr="009F065E">
        <w:rPr>
          <w:rFonts w:ascii="Times New Roman" w:hAnsi="Times New Roman" w:cs="Times New Roman"/>
        </w:rPr>
        <w:t>institutional pressures</w:t>
      </w:r>
      <w:r w:rsidR="00571918">
        <w:rPr>
          <w:rFonts w:ascii="Times New Roman" w:hAnsi="Times New Roman" w:cs="Times New Roman"/>
        </w:rPr>
        <w:t>,</w:t>
      </w:r>
      <w:r w:rsidRPr="009F065E">
        <w:rPr>
          <w:rFonts w:ascii="Times New Roman" w:hAnsi="Times New Roman" w:cs="Times New Roman"/>
        </w:rPr>
        <w:t xml:space="preserve"> such as </w:t>
      </w:r>
      <w:r w:rsidRPr="009F065E">
        <w:rPr>
          <w:rFonts w:ascii="Times New Roman" w:hAnsi="Times New Roman" w:cs="Times New Roman"/>
          <w:color w:val="000000" w:themeColor="text1"/>
        </w:rPr>
        <w:t xml:space="preserve">the Kyoto Protocol </w:t>
      </w:r>
      <w:r w:rsidR="00474D02">
        <w:rPr>
          <w:rFonts w:ascii="Times New Roman" w:hAnsi="Times New Roman" w:cs="Times New Roman"/>
          <w:color w:val="000000" w:themeColor="text1"/>
        </w:rPr>
        <w:t>tend to compel</w:t>
      </w:r>
      <w:r w:rsidRPr="009F065E">
        <w:rPr>
          <w:rFonts w:ascii="Times New Roman" w:hAnsi="Times New Roman" w:cs="Times New Roman"/>
          <w:color w:val="000000" w:themeColor="text1"/>
        </w:rPr>
        <w:t xml:space="preserve"> firms in polluting industries to pursue and disclose social and environmental activities </w:t>
      </w:r>
      <w:r w:rsidR="00474D02">
        <w:rPr>
          <w:rFonts w:ascii="Times New Roman" w:hAnsi="Times New Roman" w:cs="Times New Roman"/>
          <w:color w:val="000000" w:themeColor="text1"/>
        </w:rPr>
        <w:t xml:space="preserve">in order </w:t>
      </w:r>
      <w:r w:rsidRPr="009F065E">
        <w:rPr>
          <w:rFonts w:ascii="Times New Roman" w:hAnsi="Times New Roman" w:cs="Times New Roman"/>
          <w:color w:val="000000" w:themeColor="text1"/>
        </w:rPr>
        <w:t xml:space="preserve">to maintain </w:t>
      </w:r>
      <w:r w:rsidR="003874B8">
        <w:rPr>
          <w:rFonts w:ascii="Times New Roman" w:hAnsi="Times New Roman" w:cs="Times New Roman"/>
          <w:color w:val="000000" w:themeColor="text1"/>
        </w:rPr>
        <w:t xml:space="preserve">their </w:t>
      </w:r>
      <w:r w:rsidRPr="009F065E">
        <w:rPr>
          <w:rFonts w:ascii="Times New Roman" w:hAnsi="Times New Roman" w:cs="Times New Roman"/>
          <w:color w:val="000000" w:themeColor="text1"/>
        </w:rPr>
        <w:t xml:space="preserve">legitimacy (Comyns </w:t>
      </w:r>
      <w:r w:rsidR="00580BE4">
        <w:rPr>
          <w:rFonts w:ascii="Times New Roman" w:hAnsi="Times New Roman" w:cs="Times New Roman"/>
          <w:color w:val="000000" w:themeColor="text1"/>
        </w:rPr>
        <w:t>and</w:t>
      </w:r>
      <w:r w:rsidRPr="009F065E">
        <w:rPr>
          <w:rFonts w:ascii="Times New Roman" w:hAnsi="Times New Roman" w:cs="Times New Roman"/>
          <w:color w:val="000000" w:themeColor="text1"/>
        </w:rPr>
        <w:t xml:space="preserve"> Figge, 2015), a</w:t>
      </w:r>
      <w:r w:rsidR="006625BA">
        <w:rPr>
          <w:rFonts w:ascii="Times New Roman" w:hAnsi="Times New Roman" w:cs="Times New Roman"/>
          <w:color w:val="000000" w:themeColor="text1"/>
        </w:rPr>
        <w:t>s well as</w:t>
      </w:r>
      <w:r w:rsidRPr="009F065E">
        <w:rPr>
          <w:rFonts w:ascii="Times New Roman" w:hAnsi="Times New Roman" w:cs="Times New Roman"/>
          <w:color w:val="000000" w:themeColor="text1"/>
        </w:rPr>
        <w:t xml:space="preserve"> gain positive public im</w:t>
      </w:r>
      <w:r w:rsidR="003874B8">
        <w:rPr>
          <w:rFonts w:ascii="Times New Roman" w:hAnsi="Times New Roman" w:cs="Times New Roman"/>
          <w:color w:val="000000" w:themeColor="text1"/>
        </w:rPr>
        <w:t>age and goodwill</w:t>
      </w:r>
      <w:r w:rsidRPr="009F065E">
        <w:rPr>
          <w:rFonts w:ascii="Times New Roman" w:hAnsi="Times New Roman" w:cs="Times New Roman"/>
          <w:color w:val="000000" w:themeColor="text1"/>
        </w:rPr>
        <w:t xml:space="preserve"> (Hooghiemstra, 2000). </w:t>
      </w:r>
      <w:r w:rsidR="00F51FA8">
        <w:rPr>
          <w:rFonts w:ascii="Times New Roman" w:hAnsi="Times New Roman" w:cs="Times New Roman"/>
          <w:color w:val="000000" w:themeColor="text1"/>
        </w:rPr>
        <w:t>O</w:t>
      </w:r>
      <w:r w:rsidR="00F150E9">
        <w:rPr>
          <w:rFonts w:ascii="Times New Roman" w:hAnsi="Times New Roman" w:cs="Times New Roman"/>
          <w:color w:val="000000" w:themeColor="text1"/>
        </w:rPr>
        <w:t>ther studies (e.g.,</w:t>
      </w:r>
      <w:r w:rsidR="00F51FA8">
        <w:rPr>
          <w:rFonts w:ascii="Times New Roman" w:hAnsi="Times New Roman" w:cs="Times New Roman"/>
          <w:color w:val="000000" w:themeColor="text1"/>
        </w:rPr>
        <w:t xml:space="preserve"> </w:t>
      </w:r>
      <w:r w:rsidRPr="009F065E">
        <w:rPr>
          <w:rFonts w:ascii="Times New Roman" w:hAnsi="Times New Roman" w:cs="Times New Roman"/>
          <w:color w:val="000000" w:themeColor="text1"/>
        </w:rPr>
        <w:t xml:space="preserve">Ntim </w:t>
      </w:r>
      <w:r w:rsidR="003A0726">
        <w:rPr>
          <w:rFonts w:ascii="Times New Roman" w:hAnsi="Times New Roman" w:cs="Times New Roman"/>
          <w:color w:val="000000" w:themeColor="text1"/>
        </w:rPr>
        <w:t>and</w:t>
      </w:r>
      <w:r w:rsidRPr="009F065E">
        <w:rPr>
          <w:rFonts w:ascii="Times New Roman" w:hAnsi="Times New Roman" w:cs="Times New Roman"/>
          <w:color w:val="000000" w:themeColor="text1"/>
        </w:rPr>
        <w:t xml:space="preserve"> Soobaroyen</w:t>
      </w:r>
      <w:r w:rsidR="00F150E9">
        <w:rPr>
          <w:rFonts w:ascii="Times New Roman" w:hAnsi="Times New Roman" w:cs="Times New Roman"/>
          <w:color w:val="000000" w:themeColor="text1"/>
        </w:rPr>
        <w:t>,</w:t>
      </w:r>
      <w:r w:rsidRPr="009F065E">
        <w:rPr>
          <w:rFonts w:ascii="Times New Roman" w:hAnsi="Times New Roman" w:cs="Times New Roman"/>
          <w:color w:val="000000" w:themeColor="text1"/>
        </w:rPr>
        <w:t xml:space="preserve"> 2013</w:t>
      </w:r>
      <w:r w:rsidR="00474D02">
        <w:rPr>
          <w:rFonts w:ascii="Times New Roman" w:hAnsi="Times New Roman" w:cs="Times New Roman"/>
          <w:color w:val="000000" w:themeColor="text1"/>
        </w:rPr>
        <w:t>a</w:t>
      </w:r>
      <w:r w:rsidRPr="009F065E">
        <w:rPr>
          <w:rFonts w:ascii="Times New Roman" w:hAnsi="Times New Roman" w:cs="Times New Roman"/>
          <w:color w:val="000000" w:themeColor="text1"/>
        </w:rPr>
        <w:t xml:space="preserve">) contend that firms engage in various </w:t>
      </w:r>
      <w:r w:rsidR="00B721CE">
        <w:rPr>
          <w:rFonts w:ascii="Times New Roman" w:hAnsi="Times New Roman" w:cs="Times New Roman"/>
          <w:color w:val="000000" w:themeColor="text1"/>
        </w:rPr>
        <w:t>environmental</w:t>
      </w:r>
      <w:r w:rsidRPr="009F065E">
        <w:rPr>
          <w:rFonts w:ascii="Times New Roman" w:hAnsi="Times New Roman" w:cs="Times New Roman"/>
          <w:color w:val="000000" w:themeColor="text1"/>
        </w:rPr>
        <w:t xml:space="preserve"> practices</w:t>
      </w:r>
      <w:r w:rsidR="00474D02">
        <w:rPr>
          <w:rFonts w:ascii="Times New Roman" w:hAnsi="Times New Roman" w:cs="Times New Roman"/>
          <w:color w:val="000000" w:themeColor="text1"/>
        </w:rPr>
        <w:t xml:space="preserve"> in order</w:t>
      </w:r>
      <w:r w:rsidRPr="009F065E">
        <w:rPr>
          <w:rFonts w:ascii="Times New Roman" w:hAnsi="Times New Roman" w:cs="Times New Roman"/>
          <w:color w:val="000000" w:themeColor="text1"/>
        </w:rPr>
        <w:t xml:space="preserve"> to enhance corporate </w:t>
      </w:r>
      <w:r w:rsidRPr="00996327">
        <w:rPr>
          <w:rFonts w:ascii="Times New Roman" w:hAnsi="Times New Roman" w:cs="Times New Roman"/>
          <w:i/>
          <w:iCs/>
          <w:color w:val="000000" w:themeColor="text1"/>
        </w:rPr>
        <w:t>legitimacy</w:t>
      </w:r>
      <w:r w:rsidR="00F51FA8">
        <w:rPr>
          <w:rFonts w:ascii="Times New Roman" w:hAnsi="Times New Roman" w:cs="Times New Roman"/>
          <w:color w:val="000000" w:themeColor="text1"/>
        </w:rPr>
        <w:t xml:space="preserve"> through symbolic measures and/or</w:t>
      </w:r>
      <w:r w:rsidRPr="009F065E">
        <w:rPr>
          <w:rFonts w:ascii="Times New Roman" w:hAnsi="Times New Roman" w:cs="Times New Roman"/>
          <w:color w:val="000000" w:themeColor="text1"/>
        </w:rPr>
        <w:t xml:space="preserve"> </w:t>
      </w:r>
      <w:r w:rsidRPr="00996327">
        <w:rPr>
          <w:rFonts w:ascii="Times New Roman" w:hAnsi="Times New Roman" w:cs="Times New Roman"/>
          <w:i/>
          <w:iCs/>
          <w:color w:val="000000" w:themeColor="text1"/>
        </w:rPr>
        <w:t>economic efficiency</w:t>
      </w:r>
      <w:r w:rsidR="00F51FA8">
        <w:rPr>
          <w:rFonts w:ascii="Times New Roman" w:hAnsi="Times New Roman" w:cs="Times New Roman"/>
          <w:color w:val="000000" w:themeColor="text1"/>
        </w:rPr>
        <w:t xml:space="preserve"> via substantive activities</w:t>
      </w:r>
      <w:r w:rsidRPr="009F065E">
        <w:rPr>
          <w:rFonts w:ascii="Times New Roman" w:hAnsi="Times New Roman" w:cs="Times New Roman"/>
          <w:color w:val="000000" w:themeColor="text1"/>
        </w:rPr>
        <w:t xml:space="preserve">. </w:t>
      </w:r>
      <w:r w:rsidRPr="009F065E">
        <w:rPr>
          <w:rFonts w:ascii="Times New Roman" w:hAnsi="Times New Roman" w:cs="Times New Roman"/>
        </w:rPr>
        <w:t xml:space="preserve"> </w:t>
      </w:r>
    </w:p>
    <w:p w14:paraId="160DF57F" w14:textId="2CABB874" w:rsidR="00C300C6" w:rsidRDefault="006625BA" w:rsidP="002974E5">
      <w:pPr>
        <w:spacing w:after="0" w:line="360" w:lineRule="auto"/>
        <w:ind w:firstLine="720"/>
        <w:jc w:val="both"/>
        <w:rPr>
          <w:rFonts w:ascii="Times New Roman" w:hAnsi="Times New Roman" w:cs="Times New Roman"/>
        </w:rPr>
      </w:pPr>
      <w:r>
        <w:rPr>
          <w:rFonts w:ascii="Times New Roman" w:hAnsi="Times New Roman" w:cs="Times New Roman"/>
        </w:rPr>
        <w:t>Noticeably, the existing</w:t>
      </w:r>
      <w:r w:rsidR="009F065E" w:rsidRPr="009F065E">
        <w:rPr>
          <w:rFonts w:ascii="Times New Roman" w:hAnsi="Times New Roman" w:cs="Times New Roman"/>
        </w:rPr>
        <w:t xml:space="preserve"> empirical literature </w:t>
      </w:r>
      <w:r>
        <w:rPr>
          <w:rFonts w:ascii="Times New Roman" w:hAnsi="Times New Roman" w:cs="Times New Roman"/>
        </w:rPr>
        <w:t>offers evidence on</w:t>
      </w:r>
      <w:r w:rsidR="009F065E" w:rsidRPr="009F065E">
        <w:rPr>
          <w:rFonts w:ascii="Times New Roman" w:hAnsi="Times New Roman" w:cs="Times New Roman"/>
        </w:rPr>
        <w:t xml:space="preserve"> the impact of </w:t>
      </w:r>
      <w:r>
        <w:rPr>
          <w:rFonts w:ascii="Times New Roman" w:hAnsi="Times New Roman" w:cs="Times New Roman"/>
        </w:rPr>
        <w:t xml:space="preserve">such </w:t>
      </w:r>
      <w:r w:rsidR="009F065E" w:rsidRPr="009F065E">
        <w:rPr>
          <w:rFonts w:ascii="Times New Roman" w:hAnsi="Times New Roman" w:cs="Times New Roman"/>
        </w:rPr>
        <w:t>in</w:t>
      </w:r>
      <w:r w:rsidR="00B27B18">
        <w:rPr>
          <w:rFonts w:ascii="Times New Roman" w:hAnsi="Times New Roman" w:cs="Times New Roman"/>
        </w:rPr>
        <w:t>s</w:t>
      </w:r>
      <w:r w:rsidR="009F065E" w:rsidRPr="009F065E">
        <w:rPr>
          <w:rFonts w:ascii="Times New Roman" w:hAnsi="Times New Roman" w:cs="Times New Roman"/>
        </w:rPr>
        <w:t>t</w:t>
      </w:r>
      <w:r w:rsidR="00B27B18">
        <w:rPr>
          <w:rFonts w:ascii="Times New Roman" w:hAnsi="Times New Roman" w:cs="Times New Roman"/>
        </w:rPr>
        <w:t>it</w:t>
      </w:r>
      <w:r w:rsidR="009F065E" w:rsidRPr="009F065E">
        <w:rPr>
          <w:rFonts w:ascii="Times New Roman" w:hAnsi="Times New Roman" w:cs="Times New Roman"/>
        </w:rPr>
        <w:t>utional or regulatory pressures on environmental reporting</w:t>
      </w:r>
      <w:r w:rsidR="0027000B">
        <w:rPr>
          <w:rFonts w:ascii="Times New Roman" w:hAnsi="Times New Roman" w:cs="Times New Roman"/>
        </w:rPr>
        <w:t>/disclosure</w:t>
      </w:r>
      <w:r w:rsidR="009F065E" w:rsidRPr="009F065E">
        <w:rPr>
          <w:rFonts w:ascii="Times New Roman" w:hAnsi="Times New Roman" w:cs="Times New Roman"/>
        </w:rPr>
        <w:t xml:space="preserve"> rather than </w:t>
      </w:r>
      <w:r>
        <w:rPr>
          <w:rFonts w:ascii="Times New Roman" w:hAnsi="Times New Roman" w:cs="Times New Roman"/>
        </w:rPr>
        <w:t xml:space="preserve">actual </w:t>
      </w:r>
      <w:r w:rsidR="009F065E" w:rsidRPr="009F065E">
        <w:rPr>
          <w:rFonts w:ascii="Times New Roman" w:hAnsi="Times New Roman" w:cs="Times New Roman"/>
        </w:rPr>
        <w:t xml:space="preserve">environmental performance. For </w:t>
      </w:r>
      <w:r w:rsidR="009F065E" w:rsidRPr="009F065E">
        <w:rPr>
          <w:rFonts w:ascii="Times New Roman" w:hAnsi="Times New Roman" w:cs="Times New Roman"/>
        </w:rPr>
        <w:lastRenderedPageBreak/>
        <w:t xml:space="preserve">example, </w:t>
      </w:r>
      <w:hyperlink r:id="rId12" w:history="1">
        <w:r w:rsidR="009F065E" w:rsidRPr="009F065E">
          <w:rPr>
            <w:rStyle w:val="Hyperlink"/>
            <w:rFonts w:ascii="Times New Roman" w:hAnsi="Times New Roman" w:cs="Times New Roman"/>
            <w:color w:val="000000" w:themeColor="text1"/>
            <w:u w:val="none"/>
          </w:rPr>
          <w:t>Tauringana</w:t>
        </w:r>
      </w:hyperlink>
      <w:r w:rsidR="009F065E" w:rsidRPr="009F065E">
        <w:rPr>
          <w:rFonts w:ascii="Times New Roman" w:hAnsi="Times New Roman" w:cs="Times New Roman"/>
          <w:color w:val="000000" w:themeColor="text1"/>
        </w:rPr>
        <w:t xml:space="preserve"> </w:t>
      </w:r>
      <w:r w:rsidR="00580BE4">
        <w:rPr>
          <w:rFonts w:ascii="Times New Roman" w:hAnsi="Times New Roman" w:cs="Times New Roman"/>
          <w:color w:val="000000" w:themeColor="text1"/>
        </w:rPr>
        <w:t>and</w:t>
      </w:r>
      <w:r w:rsidR="009F065E" w:rsidRPr="009F065E">
        <w:rPr>
          <w:rFonts w:ascii="Times New Roman" w:hAnsi="Times New Roman" w:cs="Times New Roman"/>
          <w:color w:val="000000" w:themeColor="text1"/>
        </w:rPr>
        <w:t xml:space="preserve"> </w:t>
      </w:r>
      <w:hyperlink r:id="rId13" w:history="1">
        <w:r w:rsidR="009F065E" w:rsidRPr="009F065E">
          <w:rPr>
            <w:rStyle w:val="Hyperlink"/>
            <w:rFonts w:ascii="Times New Roman" w:hAnsi="Times New Roman" w:cs="Times New Roman"/>
            <w:color w:val="000000" w:themeColor="text1"/>
            <w:u w:val="none"/>
          </w:rPr>
          <w:t>Chithambo</w:t>
        </w:r>
      </w:hyperlink>
      <w:r w:rsidR="009F065E" w:rsidRPr="009F065E">
        <w:rPr>
          <w:rFonts w:ascii="Times New Roman" w:hAnsi="Times New Roman" w:cs="Times New Roman"/>
          <w:color w:val="000000" w:themeColor="text1"/>
        </w:rPr>
        <w:t xml:space="preserve"> (2015) find that the publication of DEFRA’s guidance in 2009 has a significant positive effect on the level of GHG disclosures among FTSE350 companies over </w:t>
      </w:r>
      <w:r w:rsidR="00EB400D">
        <w:rPr>
          <w:rFonts w:ascii="Times New Roman" w:hAnsi="Times New Roman" w:cs="Times New Roman"/>
          <w:color w:val="000000" w:themeColor="text1"/>
        </w:rPr>
        <w:t xml:space="preserve">the </w:t>
      </w:r>
      <w:r w:rsidR="009F065E" w:rsidRPr="009F065E">
        <w:rPr>
          <w:rFonts w:ascii="Times New Roman" w:hAnsi="Times New Roman" w:cs="Times New Roman"/>
          <w:color w:val="000000" w:themeColor="text1"/>
        </w:rPr>
        <w:t>2008-2011</w:t>
      </w:r>
      <w:r w:rsidR="00EB400D">
        <w:rPr>
          <w:rFonts w:ascii="Times New Roman" w:hAnsi="Times New Roman" w:cs="Times New Roman"/>
          <w:color w:val="000000" w:themeColor="text1"/>
        </w:rPr>
        <w:t xml:space="preserve"> period</w:t>
      </w:r>
      <w:r w:rsidR="009F065E" w:rsidRPr="009F065E">
        <w:rPr>
          <w:rFonts w:ascii="Times New Roman" w:hAnsi="Times New Roman" w:cs="Times New Roman"/>
          <w:color w:val="000000" w:themeColor="text1"/>
        </w:rPr>
        <w:t>. Similarly, Rankin et al.</w:t>
      </w:r>
      <w:r w:rsidR="005F672E">
        <w:rPr>
          <w:rFonts w:ascii="Times New Roman" w:hAnsi="Times New Roman" w:cs="Times New Roman"/>
          <w:color w:val="000000" w:themeColor="text1"/>
        </w:rPr>
        <w:t>,</w:t>
      </w:r>
      <w:r w:rsidR="009F065E" w:rsidRPr="009F065E">
        <w:rPr>
          <w:rFonts w:ascii="Times New Roman" w:hAnsi="Times New Roman" w:cs="Times New Roman"/>
          <w:color w:val="000000" w:themeColor="text1"/>
        </w:rPr>
        <w:t xml:space="preserve"> (2011) find that the adoption of ISO 14001-certified environmental management systems has a positive effect on the quality and level of environmental reporting in Australian firms. </w:t>
      </w:r>
      <w:r w:rsidR="0027000B">
        <w:rPr>
          <w:rFonts w:ascii="Times New Roman" w:hAnsi="Times New Roman" w:cs="Times New Roman"/>
          <w:color w:val="000000" w:themeColor="text1"/>
        </w:rPr>
        <w:t xml:space="preserve">Similar findings have been reported by Freedman </w:t>
      </w:r>
      <w:r w:rsidR="00580BE4">
        <w:rPr>
          <w:rFonts w:ascii="Times New Roman" w:hAnsi="Times New Roman" w:cs="Times New Roman"/>
          <w:color w:val="000000" w:themeColor="text1"/>
        </w:rPr>
        <w:t xml:space="preserve">and </w:t>
      </w:r>
      <w:r w:rsidR="0027000B">
        <w:rPr>
          <w:rFonts w:ascii="Times New Roman" w:hAnsi="Times New Roman" w:cs="Times New Roman"/>
          <w:color w:val="000000" w:themeColor="text1"/>
        </w:rPr>
        <w:t>Jaggi (2011)</w:t>
      </w:r>
      <w:r w:rsidR="00311D38">
        <w:rPr>
          <w:rFonts w:ascii="Times New Roman" w:hAnsi="Times New Roman" w:cs="Times New Roman"/>
          <w:color w:val="000000" w:themeColor="text1"/>
        </w:rPr>
        <w:t xml:space="preserve">, </w:t>
      </w:r>
      <w:bookmarkStart w:id="1" w:name="_Hlk489901345"/>
      <w:r w:rsidR="0084281F">
        <w:rPr>
          <w:rFonts w:ascii="Times New Roman" w:hAnsi="Times New Roman" w:cs="Times New Roman"/>
          <w:lang w:val="en-US"/>
        </w:rPr>
        <w:t>Chang et al., (2015)</w:t>
      </w:r>
      <w:bookmarkEnd w:id="1"/>
      <w:r w:rsidR="0097082F">
        <w:rPr>
          <w:rFonts w:ascii="Times New Roman" w:hAnsi="Times New Roman" w:cs="Times New Roman"/>
          <w:lang w:val="en-US"/>
        </w:rPr>
        <w:t xml:space="preserve">, </w:t>
      </w:r>
      <w:r w:rsidR="00311D38">
        <w:rPr>
          <w:rFonts w:ascii="Times New Roman" w:hAnsi="Times New Roman" w:cs="Times New Roman"/>
          <w:color w:val="000000" w:themeColor="text1"/>
        </w:rPr>
        <w:t>and Luo et al.</w:t>
      </w:r>
      <w:r w:rsidR="005F672E">
        <w:rPr>
          <w:rFonts w:ascii="Times New Roman" w:hAnsi="Times New Roman" w:cs="Times New Roman"/>
          <w:color w:val="000000" w:themeColor="text1"/>
        </w:rPr>
        <w:t>,</w:t>
      </w:r>
      <w:r w:rsidR="00311D38">
        <w:rPr>
          <w:rFonts w:ascii="Times New Roman" w:hAnsi="Times New Roman" w:cs="Times New Roman"/>
          <w:color w:val="000000" w:themeColor="text1"/>
        </w:rPr>
        <w:t xml:space="preserve"> (201</w:t>
      </w:r>
      <w:r w:rsidR="00B14289">
        <w:rPr>
          <w:rFonts w:ascii="Times New Roman" w:hAnsi="Times New Roman" w:cs="Times New Roman"/>
          <w:color w:val="000000" w:themeColor="text1"/>
        </w:rPr>
        <w:t>2</w:t>
      </w:r>
      <w:r w:rsidR="00311D38">
        <w:rPr>
          <w:rFonts w:ascii="Times New Roman" w:hAnsi="Times New Roman" w:cs="Times New Roman"/>
          <w:color w:val="000000" w:themeColor="text1"/>
        </w:rPr>
        <w:t>)</w:t>
      </w:r>
      <w:r w:rsidR="0027000B">
        <w:rPr>
          <w:rFonts w:ascii="Times New Roman" w:hAnsi="Times New Roman" w:cs="Times New Roman"/>
          <w:color w:val="000000" w:themeColor="text1"/>
        </w:rPr>
        <w:t xml:space="preserve">. </w:t>
      </w:r>
    </w:p>
    <w:p w14:paraId="308FC827" w14:textId="16135594" w:rsidR="00C300C6" w:rsidRDefault="009F065E" w:rsidP="00D153CE">
      <w:pPr>
        <w:autoSpaceDE w:val="0"/>
        <w:autoSpaceDN w:val="0"/>
        <w:adjustRightInd w:val="0"/>
        <w:spacing w:after="0" w:line="360" w:lineRule="auto"/>
        <w:ind w:firstLine="720"/>
        <w:jc w:val="both"/>
        <w:rPr>
          <w:rFonts w:ascii="Times New Roman" w:hAnsi="Times New Roman" w:cs="Times New Roman"/>
          <w:lang w:val="en-US"/>
        </w:rPr>
      </w:pPr>
      <w:r w:rsidRPr="009F065E">
        <w:rPr>
          <w:rFonts w:ascii="Times New Roman" w:hAnsi="Times New Roman" w:cs="Times New Roman"/>
        </w:rPr>
        <w:t xml:space="preserve">However, </w:t>
      </w:r>
      <w:r w:rsidRPr="009F065E">
        <w:rPr>
          <w:rFonts w:ascii="Times New Roman" w:hAnsi="Times New Roman" w:cs="Times New Roman"/>
          <w:color w:val="000000" w:themeColor="text1"/>
        </w:rPr>
        <w:t xml:space="preserve">a related empirical literature suggests that firms can maintain or enhance environmental legitimacy without demonstrating actual environmental performance. For example, </w:t>
      </w:r>
      <w:bookmarkStart w:id="2" w:name="_Hlk489907720"/>
      <w:r w:rsidRPr="009F065E">
        <w:rPr>
          <w:rFonts w:ascii="Times New Roman" w:hAnsi="Times New Roman" w:cs="Times New Roman"/>
          <w:color w:val="000000" w:themeColor="text1"/>
        </w:rPr>
        <w:t xml:space="preserve">Cong </w:t>
      </w:r>
      <w:r w:rsidR="001720D1">
        <w:rPr>
          <w:rFonts w:ascii="Times New Roman" w:hAnsi="Times New Roman" w:cs="Times New Roman"/>
          <w:color w:val="000000" w:themeColor="text1"/>
        </w:rPr>
        <w:t>and</w:t>
      </w:r>
      <w:r w:rsidRPr="009F065E">
        <w:rPr>
          <w:rFonts w:ascii="Times New Roman" w:hAnsi="Times New Roman" w:cs="Times New Roman"/>
          <w:color w:val="000000" w:themeColor="text1"/>
        </w:rPr>
        <w:t xml:space="preserve"> Freedman (2011)</w:t>
      </w:r>
      <w:bookmarkEnd w:id="2"/>
      <w:r w:rsidRPr="009F065E">
        <w:rPr>
          <w:rFonts w:ascii="Times New Roman" w:hAnsi="Times New Roman" w:cs="Times New Roman"/>
          <w:color w:val="000000" w:themeColor="text1"/>
        </w:rPr>
        <w:t xml:space="preserve"> find that companies disclose pollution-related stories to meet society’s expectations, so as to project the image of </w:t>
      </w:r>
      <w:r w:rsidR="00C55384">
        <w:rPr>
          <w:rFonts w:ascii="Times New Roman" w:hAnsi="Times New Roman" w:cs="Times New Roman"/>
          <w:color w:val="000000" w:themeColor="text1"/>
        </w:rPr>
        <w:t xml:space="preserve">being </w:t>
      </w:r>
      <w:r w:rsidRPr="009F065E">
        <w:rPr>
          <w:rFonts w:ascii="Times New Roman" w:hAnsi="Times New Roman" w:cs="Times New Roman"/>
          <w:color w:val="000000" w:themeColor="text1"/>
        </w:rPr>
        <w:t>good corporate citizens</w:t>
      </w:r>
      <w:r w:rsidR="00D32F69">
        <w:rPr>
          <w:rFonts w:ascii="Times New Roman" w:hAnsi="Times New Roman" w:cs="Times New Roman"/>
          <w:color w:val="000000" w:themeColor="text1"/>
        </w:rPr>
        <w:t xml:space="preserve"> with a view</w:t>
      </w:r>
      <w:r w:rsidRPr="009F065E">
        <w:rPr>
          <w:rFonts w:ascii="Times New Roman" w:hAnsi="Times New Roman" w:cs="Times New Roman"/>
          <w:color w:val="000000" w:themeColor="text1"/>
        </w:rPr>
        <w:t xml:space="preserve"> to enhanc</w:t>
      </w:r>
      <w:r w:rsidR="00D32F69">
        <w:rPr>
          <w:rFonts w:ascii="Times New Roman" w:hAnsi="Times New Roman" w:cs="Times New Roman"/>
          <w:color w:val="000000" w:themeColor="text1"/>
        </w:rPr>
        <w:t>ing their</w:t>
      </w:r>
      <w:r w:rsidRPr="009F065E">
        <w:rPr>
          <w:rFonts w:ascii="Times New Roman" w:hAnsi="Times New Roman" w:cs="Times New Roman"/>
          <w:color w:val="000000" w:themeColor="text1"/>
        </w:rPr>
        <w:t xml:space="preserve"> legitimacy, even though actual pollution performance </w:t>
      </w:r>
      <w:r w:rsidR="00772782">
        <w:rPr>
          <w:rFonts w:ascii="Times New Roman" w:hAnsi="Times New Roman" w:cs="Times New Roman"/>
          <w:color w:val="000000" w:themeColor="text1"/>
        </w:rPr>
        <w:t>appeared to be</w:t>
      </w:r>
      <w:r w:rsidRPr="009F065E">
        <w:rPr>
          <w:rFonts w:ascii="Times New Roman" w:hAnsi="Times New Roman" w:cs="Times New Roman"/>
          <w:color w:val="000000" w:themeColor="text1"/>
        </w:rPr>
        <w:t xml:space="preserve"> inconsistent with the</w:t>
      </w:r>
      <w:r w:rsidR="00772782">
        <w:rPr>
          <w:rFonts w:ascii="Times New Roman" w:hAnsi="Times New Roman" w:cs="Times New Roman"/>
          <w:color w:val="000000" w:themeColor="text1"/>
        </w:rPr>
        <w:t xml:space="preserve">ir environmental </w:t>
      </w:r>
      <w:r w:rsidR="0045131F">
        <w:rPr>
          <w:rFonts w:ascii="Times New Roman" w:hAnsi="Times New Roman" w:cs="Times New Roman"/>
          <w:color w:val="000000" w:themeColor="text1"/>
        </w:rPr>
        <w:t xml:space="preserve">performance </w:t>
      </w:r>
      <w:r w:rsidR="00772782">
        <w:rPr>
          <w:rFonts w:ascii="Times New Roman" w:hAnsi="Times New Roman" w:cs="Times New Roman"/>
          <w:color w:val="000000" w:themeColor="text1"/>
        </w:rPr>
        <w:t>disclosures</w:t>
      </w:r>
      <w:r w:rsidRPr="009F065E">
        <w:rPr>
          <w:rFonts w:ascii="Times New Roman" w:hAnsi="Times New Roman" w:cs="Times New Roman"/>
          <w:color w:val="000000" w:themeColor="text1"/>
        </w:rPr>
        <w:t xml:space="preserve">. </w:t>
      </w:r>
      <w:r w:rsidR="009B3345">
        <w:rPr>
          <w:rFonts w:ascii="Times New Roman" w:hAnsi="Times New Roman" w:cs="Times New Roman"/>
          <w:lang w:val="en-US"/>
        </w:rPr>
        <w:t>D’Amico et al. (2016) also find that the introduction of voluntary legislation (e.g., legislative decree n</w:t>
      </w:r>
      <w:r w:rsidR="00331962">
        <w:rPr>
          <w:rFonts w:ascii="Times New Roman" w:hAnsi="Times New Roman" w:cs="Times New Roman"/>
          <w:lang w:val="en-US"/>
        </w:rPr>
        <w:t>umber</w:t>
      </w:r>
      <w:r w:rsidR="009B3345">
        <w:rPr>
          <w:rFonts w:ascii="Times New Roman" w:hAnsi="Times New Roman" w:cs="Times New Roman"/>
          <w:lang w:val="en-US"/>
        </w:rPr>
        <w:t xml:space="preserve"> 32/2007) </w:t>
      </w:r>
      <w:r w:rsidR="009B3345">
        <w:rPr>
          <w:rFonts w:ascii="Times New Roman" w:hAnsi="Times New Roman" w:cs="Times New Roman"/>
          <w:lang w:val="en-US"/>
        </w:rPr>
        <w:lastRenderedPageBreak/>
        <w:t xml:space="preserve">on environmental disclosure in Italy </w:t>
      </w:r>
      <w:r w:rsidR="00E161DF">
        <w:rPr>
          <w:rFonts w:ascii="Times New Roman" w:hAnsi="Times New Roman" w:cs="Times New Roman"/>
          <w:lang w:val="en-US"/>
        </w:rPr>
        <w:t xml:space="preserve">resulted in an increase in quantity rather than quality of environmental </w:t>
      </w:r>
      <w:r w:rsidR="00D15DA2">
        <w:rPr>
          <w:rFonts w:ascii="Times New Roman" w:hAnsi="Times New Roman" w:cs="Times New Roman"/>
          <w:lang w:val="en-US"/>
        </w:rPr>
        <w:t>disclosures</w:t>
      </w:r>
      <w:r w:rsidR="009B3345">
        <w:rPr>
          <w:rFonts w:ascii="Times New Roman" w:hAnsi="Times New Roman" w:cs="Times New Roman"/>
          <w:lang w:val="en-US"/>
        </w:rPr>
        <w:t xml:space="preserve">. </w:t>
      </w:r>
      <w:r w:rsidR="00311D38">
        <w:rPr>
          <w:rFonts w:ascii="Times New Roman" w:hAnsi="Times New Roman" w:cs="Times New Roman"/>
          <w:color w:val="000000" w:themeColor="text1"/>
        </w:rPr>
        <w:t xml:space="preserve">Similarly findings have been reported by </w:t>
      </w:r>
      <w:r w:rsidRPr="009F065E">
        <w:rPr>
          <w:rFonts w:ascii="Times New Roman" w:hAnsi="Times New Roman" w:cs="Times New Roman"/>
          <w:color w:val="000000" w:themeColor="text1"/>
        </w:rPr>
        <w:t>Boiral (2014)</w:t>
      </w:r>
      <w:r w:rsidR="00311D38">
        <w:rPr>
          <w:rFonts w:ascii="Times New Roman" w:hAnsi="Times New Roman" w:cs="Times New Roman"/>
          <w:color w:val="000000" w:themeColor="text1"/>
        </w:rPr>
        <w:t xml:space="preserve">, Comyns </w:t>
      </w:r>
      <w:r w:rsidR="00603298">
        <w:rPr>
          <w:rFonts w:ascii="Times New Roman" w:hAnsi="Times New Roman" w:cs="Times New Roman"/>
          <w:color w:val="000000" w:themeColor="text1"/>
        </w:rPr>
        <w:t>and</w:t>
      </w:r>
      <w:r w:rsidR="00311D38">
        <w:rPr>
          <w:rFonts w:ascii="Times New Roman" w:hAnsi="Times New Roman" w:cs="Times New Roman"/>
          <w:color w:val="000000" w:themeColor="text1"/>
        </w:rPr>
        <w:t xml:space="preserve"> Figge (2015), Morhardt et al.</w:t>
      </w:r>
      <w:r w:rsidR="005F672E">
        <w:rPr>
          <w:rFonts w:ascii="Times New Roman" w:hAnsi="Times New Roman" w:cs="Times New Roman"/>
          <w:color w:val="000000" w:themeColor="text1"/>
        </w:rPr>
        <w:t>,</w:t>
      </w:r>
      <w:r w:rsidR="00311D38">
        <w:rPr>
          <w:rFonts w:ascii="Times New Roman" w:hAnsi="Times New Roman" w:cs="Times New Roman"/>
          <w:color w:val="000000" w:themeColor="text1"/>
        </w:rPr>
        <w:t xml:space="preserve"> (2002), Boiral </w:t>
      </w:r>
      <w:r w:rsidR="00603298">
        <w:rPr>
          <w:rFonts w:ascii="Times New Roman" w:hAnsi="Times New Roman" w:cs="Times New Roman"/>
          <w:color w:val="000000" w:themeColor="text1"/>
        </w:rPr>
        <w:t>and</w:t>
      </w:r>
      <w:r w:rsidR="00311D38">
        <w:rPr>
          <w:rFonts w:ascii="Times New Roman" w:hAnsi="Times New Roman" w:cs="Times New Roman"/>
          <w:color w:val="000000" w:themeColor="text1"/>
        </w:rPr>
        <w:t xml:space="preserve"> Henri (2012), Alberto</w:t>
      </w:r>
      <w:r w:rsidR="00D66606">
        <w:rPr>
          <w:rFonts w:ascii="Times New Roman" w:hAnsi="Times New Roman" w:cs="Times New Roman"/>
          <w:color w:val="000000" w:themeColor="text1"/>
        </w:rPr>
        <w:t>-</w:t>
      </w:r>
      <w:r w:rsidR="00311D38">
        <w:rPr>
          <w:rFonts w:ascii="Times New Roman" w:hAnsi="Times New Roman" w:cs="Times New Roman"/>
          <w:color w:val="000000" w:themeColor="text1"/>
        </w:rPr>
        <w:t xml:space="preserve">Gomez </w:t>
      </w:r>
      <w:r w:rsidR="00603298">
        <w:rPr>
          <w:rFonts w:ascii="Times New Roman" w:hAnsi="Times New Roman" w:cs="Times New Roman"/>
          <w:color w:val="000000" w:themeColor="text1"/>
        </w:rPr>
        <w:t>and</w:t>
      </w:r>
      <w:r w:rsidR="00311D38">
        <w:rPr>
          <w:rFonts w:ascii="Times New Roman" w:hAnsi="Times New Roman" w:cs="Times New Roman"/>
          <w:color w:val="000000" w:themeColor="text1"/>
        </w:rPr>
        <w:t xml:space="preserve"> Rodriguez (2011), and Arimura et al.</w:t>
      </w:r>
      <w:r w:rsidR="005F672E">
        <w:rPr>
          <w:rFonts w:ascii="Times New Roman" w:hAnsi="Times New Roman" w:cs="Times New Roman"/>
          <w:color w:val="000000" w:themeColor="text1"/>
        </w:rPr>
        <w:t>,</w:t>
      </w:r>
      <w:r w:rsidR="00311D38">
        <w:rPr>
          <w:rFonts w:ascii="Times New Roman" w:hAnsi="Times New Roman" w:cs="Times New Roman"/>
          <w:color w:val="000000" w:themeColor="text1"/>
        </w:rPr>
        <w:t xml:space="preserve"> (2016). </w:t>
      </w:r>
      <w:r w:rsidRPr="009F065E">
        <w:rPr>
          <w:rFonts w:ascii="Times New Roman" w:hAnsi="Times New Roman" w:cs="Times New Roman"/>
          <w:color w:val="000000" w:themeColor="text1"/>
        </w:rPr>
        <w:t xml:space="preserve"> </w:t>
      </w:r>
    </w:p>
    <w:p w14:paraId="16FE50CB" w14:textId="74DAA8E9" w:rsidR="00C300C6" w:rsidRDefault="00311D38" w:rsidP="00270582">
      <w:pPr>
        <w:spacing w:after="0" w:line="360" w:lineRule="auto"/>
        <w:ind w:firstLine="720"/>
        <w:jc w:val="both"/>
        <w:rPr>
          <w:rFonts w:ascii="Times New Roman" w:hAnsi="Times New Roman" w:cs="Times New Roman"/>
        </w:rPr>
      </w:pPr>
      <w:r>
        <w:rPr>
          <w:rFonts w:ascii="Times New Roman" w:hAnsi="Times New Roman" w:cs="Times New Roman"/>
        </w:rPr>
        <w:t>Against</w:t>
      </w:r>
      <w:r w:rsidR="009F065E" w:rsidRPr="009F065E">
        <w:rPr>
          <w:rFonts w:ascii="Times New Roman" w:hAnsi="Times New Roman" w:cs="Times New Roman"/>
        </w:rPr>
        <w:t xml:space="preserve"> these theoretical </w:t>
      </w:r>
      <w:r w:rsidR="004A682C">
        <w:rPr>
          <w:rFonts w:ascii="Times New Roman" w:hAnsi="Times New Roman" w:cs="Times New Roman"/>
        </w:rPr>
        <w:t>prediction</w:t>
      </w:r>
      <w:r w:rsidR="009F065E" w:rsidRPr="009F065E">
        <w:rPr>
          <w:rFonts w:ascii="Times New Roman" w:hAnsi="Times New Roman" w:cs="Times New Roman"/>
        </w:rPr>
        <w:t xml:space="preserve">s and empirical </w:t>
      </w:r>
      <w:r>
        <w:rPr>
          <w:rFonts w:ascii="Times New Roman" w:hAnsi="Times New Roman" w:cs="Times New Roman"/>
        </w:rPr>
        <w:t>findings</w:t>
      </w:r>
      <w:r w:rsidR="009F065E" w:rsidRPr="009F065E">
        <w:rPr>
          <w:rFonts w:ascii="Times New Roman" w:hAnsi="Times New Roman" w:cs="Times New Roman"/>
        </w:rPr>
        <w:t xml:space="preserve">, we argue that firms </w:t>
      </w:r>
      <w:r w:rsidR="009F065E" w:rsidRPr="009F065E">
        <w:rPr>
          <w:rFonts w:ascii="Times New Roman" w:hAnsi="Times New Roman" w:cs="Times New Roman"/>
          <w:color w:val="000000" w:themeColor="text1"/>
        </w:rPr>
        <w:t xml:space="preserve">might respond to the CCA strategically by demonstrating ‘good </w:t>
      </w:r>
      <w:r w:rsidR="00F67EC3">
        <w:rPr>
          <w:rFonts w:ascii="Times New Roman" w:hAnsi="Times New Roman" w:cs="Times New Roman"/>
          <w:color w:val="000000" w:themeColor="text1"/>
        </w:rPr>
        <w:t xml:space="preserve">process-oriented </w:t>
      </w:r>
      <w:r w:rsidR="009F065E" w:rsidRPr="009F065E">
        <w:rPr>
          <w:rFonts w:ascii="Times New Roman" w:hAnsi="Times New Roman" w:cs="Times New Roman"/>
          <w:color w:val="000000" w:themeColor="text1"/>
        </w:rPr>
        <w:t>carbon management’</w:t>
      </w:r>
      <w:r w:rsidR="00DF37DD">
        <w:rPr>
          <w:rFonts w:ascii="Times New Roman" w:hAnsi="Times New Roman" w:cs="Times New Roman"/>
          <w:color w:val="000000" w:themeColor="text1"/>
        </w:rPr>
        <w:t>,</w:t>
      </w:r>
      <w:r w:rsidR="009F065E" w:rsidRPr="009F065E">
        <w:rPr>
          <w:rFonts w:ascii="Times New Roman" w:hAnsi="Times New Roman" w:cs="Times New Roman"/>
          <w:color w:val="000000" w:themeColor="text1"/>
        </w:rPr>
        <w:t xml:space="preserve"> such as carbon reduction planning, processes and disclosures, rather than ‘actual carbon performance’</w:t>
      </w:r>
      <w:r w:rsidR="00D8579E">
        <w:rPr>
          <w:rFonts w:ascii="Times New Roman" w:hAnsi="Times New Roman" w:cs="Times New Roman"/>
          <w:color w:val="000000" w:themeColor="text1"/>
        </w:rPr>
        <w:t>,</w:t>
      </w:r>
      <w:r w:rsidR="009F065E" w:rsidRPr="009F065E">
        <w:rPr>
          <w:rFonts w:ascii="Times New Roman" w:hAnsi="Times New Roman" w:cs="Times New Roman"/>
          <w:color w:val="000000" w:themeColor="text1"/>
        </w:rPr>
        <w:t xml:space="preserve"> such as the reduction of </w:t>
      </w:r>
      <w:r w:rsidR="004A682C">
        <w:rPr>
          <w:rFonts w:ascii="Times New Roman" w:hAnsi="Times New Roman" w:cs="Times New Roman"/>
          <w:color w:val="000000" w:themeColor="text1"/>
        </w:rPr>
        <w:t xml:space="preserve">actual </w:t>
      </w:r>
      <w:r w:rsidR="009F065E" w:rsidRPr="009F065E">
        <w:rPr>
          <w:rFonts w:ascii="Times New Roman" w:hAnsi="Times New Roman" w:cs="Times New Roman"/>
          <w:color w:val="000000" w:themeColor="text1"/>
        </w:rPr>
        <w:t xml:space="preserve">GHG emissions. Therefore, we would expect that the CCA is likely to have a greater impact on process-oriented carbon performance than actual carbon emissions. </w:t>
      </w:r>
      <w:r w:rsidR="00270582">
        <w:rPr>
          <w:rFonts w:ascii="Times New Roman" w:hAnsi="Times New Roman" w:cs="Times New Roman"/>
          <w:color w:val="000000" w:themeColor="text1"/>
        </w:rPr>
        <w:t>Th</w:t>
      </w:r>
      <w:r w:rsidR="004A682C">
        <w:rPr>
          <w:rFonts w:ascii="Times New Roman" w:hAnsi="Times New Roman" w:cs="Times New Roman"/>
          <w:color w:val="000000" w:themeColor="text1"/>
        </w:rPr>
        <w:t>us,</w:t>
      </w:r>
      <w:r w:rsidR="00270582">
        <w:rPr>
          <w:rFonts w:ascii="Times New Roman" w:hAnsi="Times New Roman" w:cs="Times New Roman"/>
          <w:color w:val="000000" w:themeColor="text1"/>
        </w:rPr>
        <w:t xml:space="preserve"> our first</w:t>
      </w:r>
      <w:r w:rsidR="009F065E" w:rsidRPr="009F065E">
        <w:rPr>
          <w:rFonts w:ascii="Times New Roman" w:hAnsi="Times New Roman" w:cs="Times New Roman"/>
          <w:color w:val="000000" w:themeColor="text1"/>
        </w:rPr>
        <w:t xml:space="preserve"> hypothesis</w:t>
      </w:r>
      <w:r w:rsidR="00270582">
        <w:rPr>
          <w:rFonts w:ascii="Times New Roman" w:hAnsi="Times New Roman" w:cs="Times New Roman"/>
          <w:color w:val="000000" w:themeColor="text1"/>
        </w:rPr>
        <w:t xml:space="preserve"> is</w:t>
      </w:r>
      <w:r w:rsidR="009F065E" w:rsidRPr="009F065E">
        <w:rPr>
          <w:rFonts w:ascii="Times New Roman" w:hAnsi="Times New Roman" w:cs="Times New Roman"/>
          <w:color w:val="000000" w:themeColor="text1"/>
        </w:rPr>
        <w:t>:</w:t>
      </w:r>
    </w:p>
    <w:p w14:paraId="356E404E" w14:textId="77777777" w:rsidR="00C300C6" w:rsidRDefault="00C300C6">
      <w:pPr>
        <w:spacing w:after="0" w:line="360" w:lineRule="auto"/>
        <w:jc w:val="both"/>
        <w:rPr>
          <w:rFonts w:ascii="Times New Roman" w:hAnsi="Times New Roman" w:cs="Times New Roman"/>
          <w:color w:val="000000" w:themeColor="text1"/>
        </w:rPr>
      </w:pPr>
    </w:p>
    <w:p w14:paraId="61A5D1E4" w14:textId="2E56220F" w:rsidR="00C300C6" w:rsidRDefault="009F065E" w:rsidP="00D15DA2">
      <w:pPr>
        <w:spacing w:after="0" w:line="240" w:lineRule="auto"/>
        <w:ind w:left="720"/>
        <w:jc w:val="both"/>
        <w:rPr>
          <w:rFonts w:ascii="Times New Roman" w:hAnsi="Times New Roman" w:cs="Times New Roman"/>
          <w:i/>
          <w:color w:val="000000" w:themeColor="text1"/>
        </w:rPr>
      </w:pPr>
      <w:r w:rsidRPr="009F065E">
        <w:rPr>
          <w:rFonts w:ascii="Times New Roman" w:hAnsi="Times New Roman" w:cs="Times New Roman"/>
          <w:i/>
          <w:color w:val="000000" w:themeColor="text1"/>
        </w:rPr>
        <w:t xml:space="preserve">Hypothesis 1a. Ceteris paribus, the enactment of the CCA is likely to have a positive effect on carbon performance of a firm, and this </w:t>
      </w:r>
      <w:r w:rsidRPr="009F065E">
        <w:rPr>
          <w:rFonts w:ascii="Times New Roman" w:hAnsi="Times New Roman" w:cs="Times New Roman"/>
          <w:i/>
          <w:color w:val="000000" w:themeColor="text1"/>
        </w:rPr>
        <w:lastRenderedPageBreak/>
        <w:t xml:space="preserve">effect </w:t>
      </w:r>
      <w:r w:rsidR="00AC7BAB">
        <w:rPr>
          <w:rFonts w:ascii="Times New Roman" w:hAnsi="Times New Roman" w:cs="Times New Roman"/>
          <w:i/>
          <w:color w:val="000000" w:themeColor="text1"/>
        </w:rPr>
        <w:t>is expected to be</w:t>
      </w:r>
      <w:r w:rsidRPr="009F065E">
        <w:rPr>
          <w:rFonts w:ascii="Times New Roman" w:hAnsi="Times New Roman" w:cs="Times New Roman"/>
          <w:i/>
          <w:color w:val="000000" w:themeColor="text1"/>
        </w:rPr>
        <w:t xml:space="preserve"> greater </w:t>
      </w:r>
      <w:r w:rsidR="00A115A1">
        <w:rPr>
          <w:rFonts w:ascii="Times New Roman" w:hAnsi="Times New Roman" w:cs="Times New Roman"/>
          <w:i/>
          <w:color w:val="000000" w:themeColor="text1"/>
        </w:rPr>
        <w:t>for</w:t>
      </w:r>
      <w:r w:rsidRPr="009F065E">
        <w:rPr>
          <w:rFonts w:ascii="Times New Roman" w:hAnsi="Times New Roman" w:cs="Times New Roman"/>
          <w:i/>
          <w:color w:val="000000" w:themeColor="text1"/>
        </w:rPr>
        <w:t xml:space="preserve"> </w:t>
      </w:r>
      <w:r w:rsidR="00A115A1">
        <w:rPr>
          <w:rFonts w:ascii="Times New Roman" w:hAnsi="Times New Roman" w:cs="Times New Roman"/>
          <w:i/>
          <w:color w:val="000000" w:themeColor="text1"/>
        </w:rPr>
        <w:t>CRIs</w:t>
      </w:r>
      <w:r w:rsidRPr="009F065E">
        <w:rPr>
          <w:rFonts w:ascii="Times New Roman" w:hAnsi="Times New Roman" w:cs="Times New Roman"/>
          <w:i/>
          <w:color w:val="000000" w:themeColor="text1"/>
        </w:rPr>
        <w:t xml:space="preserve"> than </w:t>
      </w:r>
      <w:r w:rsidR="00A115A1">
        <w:rPr>
          <w:rFonts w:ascii="Times New Roman" w:hAnsi="Times New Roman" w:cs="Times New Roman"/>
          <w:i/>
          <w:color w:val="000000" w:themeColor="text1"/>
        </w:rPr>
        <w:t xml:space="preserve">reductions in actual </w:t>
      </w:r>
      <w:r w:rsidRPr="009F065E">
        <w:rPr>
          <w:rFonts w:ascii="Times New Roman" w:hAnsi="Times New Roman" w:cs="Times New Roman"/>
          <w:i/>
          <w:color w:val="000000" w:themeColor="text1"/>
        </w:rPr>
        <w:t>GHG emissions.</w:t>
      </w:r>
    </w:p>
    <w:p w14:paraId="317204B3" w14:textId="77777777" w:rsidR="00C300C6" w:rsidRDefault="00C300C6">
      <w:pPr>
        <w:spacing w:after="0" w:line="360" w:lineRule="auto"/>
        <w:jc w:val="both"/>
        <w:rPr>
          <w:rFonts w:ascii="Times New Roman" w:hAnsi="Times New Roman" w:cs="Times New Roman"/>
        </w:rPr>
      </w:pPr>
    </w:p>
    <w:p w14:paraId="57289B5D" w14:textId="5B3411F5" w:rsidR="00C300C6" w:rsidRDefault="009F065E" w:rsidP="00D153CE">
      <w:pPr>
        <w:spacing w:after="0" w:line="360" w:lineRule="auto"/>
        <w:ind w:firstLine="720"/>
        <w:jc w:val="both"/>
        <w:rPr>
          <w:rFonts w:ascii="Times New Roman" w:hAnsi="Times New Roman" w:cs="Times New Roman"/>
          <w:color w:val="000000" w:themeColor="text1"/>
        </w:rPr>
      </w:pPr>
      <w:r w:rsidRPr="009F065E">
        <w:rPr>
          <w:rFonts w:ascii="Times New Roman" w:hAnsi="Times New Roman" w:cs="Times New Roman"/>
          <w:color w:val="000000" w:themeColor="text1"/>
        </w:rPr>
        <w:t xml:space="preserve">Even though a firm’s investment in carbon pollution control or green technology is likely to enhance its economic value through energy savings and improved environmental image, powerful executives might be reluctant to pursue such projects, considering that this investment </w:t>
      </w:r>
      <w:r w:rsidR="004A682C">
        <w:rPr>
          <w:rFonts w:ascii="Times New Roman" w:hAnsi="Times New Roman" w:cs="Times New Roman"/>
          <w:color w:val="000000" w:themeColor="text1"/>
        </w:rPr>
        <w:t>may only</w:t>
      </w:r>
      <w:r w:rsidRPr="009F065E">
        <w:rPr>
          <w:rFonts w:ascii="Times New Roman" w:hAnsi="Times New Roman" w:cs="Times New Roman"/>
          <w:color w:val="000000" w:themeColor="text1"/>
        </w:rPr>
        <w:t xml:space="preserve"> pay off in the long</w:t>
      </w:r>
      <w:r w:rsidR="005A0619">
        <w:rPr>
          <w:rFonts w:ascii="Times New Roman" w:hAnsi="Times New Roman" w:cs="Times New Roman"/>
          <w:color w:val="000000" w:themeColor="text1"/>
        </w:rPr>
        <w:t>er term rather than shorter term</w:t>
      </w:r>
      <w:r w:rsidRPr="009F065E">
        <w:rPr>
          <w:rFonts w:ascii="Times New Roman" w:hAnsi="Times New Roman" w:cs="Times New Roman"/>
          <w:color w:val="000000" w:themeColor="text1"/>
        </w:rPr>
        <w:t xml:space="preserve"> (Liao et al.</w:t>
      </w:r>
      <w:r w:rsidR="005F672E">
        <w:rPr>
          <w:rFonts w:ascii="Times New Roman" w:hAnsi="Times New Roman" w:cs="Times New Roman"/>
          <w:color w:val="000000" w:themeColor="text1"/>
        </w:rPr>
        <w:t>,</w:t>
      </w:r>
      <w:r w:rsidRPr="009F065E">
        <w:rPr>
          <w:rFonts w:ascii="Times New Roman" w:hAnsi="Times New Roman" w:cs="Times New Roman"/>
          <w:color w:val="000000" w:themeColor="text1"/>
        </w:rPr>
        <w:t xml:space="preserve"> 2015). </w:t>
      </w:r>
      <w:r w:rsidR="00927442">
        <w:rPr>
          <w:rFonts w:ascii="Times New Roman" w:hAnsi="Times New Roman" w:cs="Times New Roman"/>
          <w:color w:val="000000" w:themeColor="text1"/>
        </w:rPr>
        <w:t xml:space="preserve">However, </w:t>
      </w:r>
      <w:r w:rsidRPr="009F065E">
        <w:rPr>
          <w:rFonts w:ascii="Times New Roman" w:hAnsi="Times New Roman" w:cs="Times New Roman"/>
          <w:color w:val="000000" w:themeColor="text1"/>
        </w:rPr>
        <w:t xml:space="preserve">as Berrone </w:t>
      </w:r>
      <w:r w:rsidR="002473AE">
        <w:rPr>
          <w:rFonts w:ascii="Times New Roman" w:hAnsi="Times New Roman" w:cs="Times New Roman"/>
          <w:color w:val="000000" w:themeColor="text1"/>
        </w:rPr>
        <w:t>and</w:t>
      </w:r>
      <w:r w:rsidRPr="009F065E">
        <w:rPr>
          <w:rFonts w:ascii="Times New Roman" w:hAnsi="Times New Roman" w:cs="Times New Roman"/>
          <w:color w:val="000000" w:themeColor="text1"/>
        </w:rPr>
        <w:t xml:space="preserve"> Gomez-Mejia (2009)</w:t>
      </w:r>
      <w:r w:rsidR="00BF0EE0">
        <w:rPr>
          <w:rFonts w:ascii="Times New Roman" w:hAnsi="Times New Roman" w:cs="Times New Roman"/>
          <w:color w:val="000000" w:themeColor="text1"/>
        </w:rPr>
        <w:t xml:space="preserve">, and </w:t>
      </w:r>
      <w:r w:rsidR="00BF0EE0" w:rsidRPr="009F065E">
        <w:rPr>
          <w:rFonts w:ascii="Times New Roman" w:hAnsi="Times New Roman" w:cs="Times New Roman"/>
          <w:color w:val="000000" w:themeColor="text1"/>
        </w:rPr>
        <w:t xml:space="preserve">Mahoney </w:t>
      </w:r>
      <w:r w:rsidR="00BF0EE0">
        <w:rPr>
          <w:rFonts w:ascii="Times New Roman" w:hAnsi="Times New Roman" w:cs="Times New Roman"/>
          <w:color w:val="000000" w:themeColor="text1"/>
        </w:rPr>
        <w:t>and</w:t>
      </w:r>
      <w:r w:rsidR="00BF0EE0" w:rsidRPr="009F065E">
        <w:rPr>
          <w:rFonts w:ascii="Times New Roman" w:hAnsi="Times New Roman" w:cs="Times New Roman"/>
          <w:color w:val="000000" w:themeColor="text1"/>
        </w:rPr>
        <w:t xml:space="preserve"> Thorn (2006) </w:t>
      </w:r>
      <w:r w:rsidR="00BF0EE0">
        <w:rPr>
          <w:rFonts w:ascii="Times New Roman" w:hAnsi="Times New Roman" w:cs="Times New Roman"/>
          <w:color w:val="000000" w:themeColor="text1"/>
        </w:rPr>
        <w:t>have</w:t>
      </w:r>
      <w:r w:rsidRPr="009F065E">
        <w:rPr>
          <w:rFonts w:ascii="Times New Roman" w:hAnsi="Times New Roman" w:cs="Times New Roman"/>
          <w:color w:val="000000" w:themeColor="text1"/>
        </w:rPr>
        <w:t xml:space="preserve"> argue</w:t>
      </w:r>
      <w:r w:rsidR="00BF0EE0">
        <w:rPr>
          <w:rFonts w:ascii="Times New Roman" w:hAnsi="Times New Roman" w:cs="Times New Roman"/>
          <w:color w:val="000000" w:themeColor="text1"/>
        </w:rPr>
        <w:t>d</w:t>
      </w:r>
      <w:r w:rsidRPr="009F065E">
        <w:rPr>
          <w:rFonts w:ascii="Times New Roman" w:hAnsi="Times New Roman" w:cs="Times New Roman"/>
          <w:color w:val="000000" w:themeColor="text1"/>
        </w:rPr>
        <w:t xml:space="preserve">, a firm’s </w:t>
      </w:r>
      <w:r w:rsidR="00BF0EE0">
        <w:rPr>
          <w:rFonts w:ascii="Times New Roman" w:hAnsi="Times New Roman" w:cs="Times New Roman"/>
          <w:color w:val="000000" w:themeColor="text1"/>
        </w:rPr>
        <w:t xml:space="preserve">managerial </w:t>
      </w:r>
      <w:r w:rsidRPr="009F065E">
        <w:rPr>
          <w:rFonts w:ascii="Times New Roman" w:hAnsi="Times New Roman" w:cs="Times New Roman"/>
          <w:color w:val="000000" w:themeColor="text1"/>
        </w:rPr>
        <w:t>incentive mechanism</w:t>
      </w:r>
      <w:r w:rsidR="00333E61">
        <w:rPr>
          <w:rFonts w:ascii="Times New Roman" w:hAnsi="Times New Roman" w:cs="Times New Roman"/>
          <w:color w:val="000000" w:themeColor="text1"/>
        </w:rPr>
        <w:t>s</w:t>
      </w:r>
      <w:r w:rsidRPr="009F065E">
        <w:rPr>
          <w:rFonts w:ascii="Times New Roman" w:hAnsi="Times New Roman" w:cs="Times New Roman"/>
          <w:color w:val="000000" w:themeColor="text1"/>
        </w:rPr>
        <w:t xml:space="preserve"> can moderate the self-serving attitude of executive management and motivate them to design and implement appropriate environmental strategies and actions, which </w:t>
      </w:r>
      <w:r w:rsidR="00BF0EE0">
        <w:rPr>
          <w:rFonts w:ascii="Times New Roman" w:hAnsi="Times New Roman" w:cs="Times New Roman"/>
          <w:color w:val="000000" w:themeColor="text1"/>
        </w:rPr>
        <w:t>may</w:t>
      </w:r>
      <w:r w:rsidRPr="009F065E">
        <w:rPr>
          <w:rFonts w:ascii="Times New Roman" w:hAnsi="Times New Roman" w:cs="Times New Roman"/>
          <w:color w:val="000000" w:themeColor="text1"/>
        </w:rPr>
        <w:t xml:space="preserve"> enhance environmental legitimacy, and </w:t>
      </w:r>
      <w:r w:rsidR="00BF0EE0">
        <w:rPr>
          <w:rFonts w:ascii="Times New Roman" w:hAnsi="Times New Roman" w:cs="Times New Roman"/>
          <w:color w:val="000000" w:themeColor="text1"/>
        </w:rPr>
        <w:t>therefore generate</w:t>
      </w:r>
      <w:r w:rsidRPr="009F065E">
        <w:rPr>
          <w:rFonts w:ascii="Times New Roman" w:hAnsi="Times New Roman" w:cs="Times New Roman"/>
          <w:color w:val="000000" w:themeColor="text1"/>
        </w:rPr>
        <w:t xml:space="preserve"> direct and indirect economic benefits for the firm. Campbell et al.</w:t>
      </w:r>
      <w:r w:rsidR="005F672E">
        <w:rPr>
          <w:rFonts w:ascii="Times New Roman" w:hAnsi="Times New Roman" w:cs="Times New Roman"/>
          <w:color w:val="000000" w:themeColor="text1"/>
        </w:rPr>
        <w:t>,</w:t>
      </w:r>
      <w:r w:rsidRPr="009F065E">
        <w:rPr>
          <w:rFonts w:ascii="Times New Roman" w:hAnsi="Times New Roman" w:cs="Times New Roman"/>
          <w:color w:val="000000" w:themeColor="text1"/>
        </w:rPr>
        <w:t xml:space="preserve"> (2007) </w:t>
      </w:r>
      <w:r w:rsidR="002D7FF8">
        <w:rPr>
          <w:rFonts w:ascii="Times New Roman" w:hAnsi="Times New Roman" w:cs="Times New Roman"/>
          <w:color w:val="000000" w:themeColor="text1"/>
        </w:rPr>
        <w:t>suggest, for example,</w:t>
      </w:r>
      <w:r w:rsidRPr="009F065E">
        <w:rPr>
          <w:rFonts w:ascii="Times New Roman" w:hAnsi="Times New Roman" w:cs="Times New Roman"/>
          <w:color w:val="000000" w:themeColor="text1"/>
        </w:rPr>
        <w:t xml:space="preserve"> that </w:t>
      </w:r>
      <w:r w:rsidR="002D7FF8">
        <w:rPr>
          <w:rFonts w:ascii="Times New Roman" w:hAnsi="Times New Roman" w:cs="Times New Roman"/>
          <w:color w:val="000000" w:themeColor="text1"/>
        </w:rPr>
        <w:t xml:space="preserve">a properly designed </w:t>
      </w:r>
      <w:r w:rsidR="00427D0D">
        <w:rPr>
          <w:rFonts w:ascii="Times New Roman" w:hAnsi="Times New Roman" w:cs="Times New Roman"/>
          <w:color w:val="000000" w:themeColor="text1"/>
        </w:rPr>
        <w:t xml:space="preserve">sustainable </w:t>
      </w:r>
      <w:r w:rsidR="002D7FF8">
        <w:rPr>
          <w:rFonts w:ascii="Times New Roman" w:hAnsi="Times New Roman" w:cs="Times New Roman"/>
          <w:color w:val="000000" w:themeColor="text1"/>
        </w:rPr>
        <w:t xml:space="preserve">executive </w:t>
      </w:r>
      <w:r w:rsidR="00427D0D">
        <w:rPr>
          <w:rFonts w:ascii="Times New Roman" w:hAnsi="Times New Roman" w:cs="Times New Roman"/>
          <w:color w:val="000000" w:themeColor="text1"/>
        </w:rPr>
        <w:t>c</w:t>
      </w:r>
      <w:r w:rsidRPr="009F065E">
        <w:rPr>
          <w:rFonts w:ascii="Times New Roman" w:hAnsi="Times New Roman" w:cs="Times New Roman"/>
          <w:color w:val="000000" w:themeColor="text1"/>
        </w:rPr>
        <w:t>ompensation scheme</w:t>
      </w:r>
      <w:r w:rsidR="002D7FF8">
        <w:rPr>
          <w:rFonts w:ascii="Times New Roman" w:hAnsi="Times New Roman" w:cs="Times New Roman"/>
          <w:color w:val="000000" w:themeColor="text1"/>
        </w:rPr>
        <w:t xml:space="preserve"> can</w:t>
      </w:r>
      <w:r w:rsidRPr="009F065E">
        <w:rPr>
          <w:rFonts w:ascii="Times New Roman" w:hAnsi="Times New Roman" w:cs="Times New Roman"/>
          <w:color w:val="000000" w:themeColor="text1"/>
        </w:rPr>
        <w:t xml:space="preserve"> </w:t>
      </w:r>
      <w:r w:rsidR="00427D0D">
        <w:rPr>
          <w:rFonts w:ascii="Times New Roman" w:hAnsi="Times New Roman" w:cs="Times New Roman"/>
          <w:color w:val="000000" w:themeColor="text1"/>
        </w:rPr>
        <w:t xml:space="preserve">incentivise </w:t>
      </w:r>
      <w:r w:rsidRPr="009F065E">
        <w:rPr>
          <w:rFonts w:ascii="Times New Roman" w:hAnsi="Times New Roman" w:cs="Times New Roman"/>
          <w:color w:val="000000" w:themeColor="text1"/>
        </w:rPr>
        <w:t xml:space="preserve">executives </w:t>
      </w:r>
      <w:r w:rsidRPr="009F065E">
        <w:rPr>
          <w:rFonts w:ascii="Times New Roman" w:hAnsi="Times New Roman" w:cs="Times New Roman"/>
          <w:color w:val="000000" w:themeColor="text1"/>
        </w:rPr>
        <w:lastRenderedPageBreak/>
        <w:t>to</w:t>
      </w:r>
      <w:r w:rsidR="00631FF9">
        <w:rPr>
          <w:rFonts w:ascii="Times New Roman" w:hAnsi="Times New Roman" w:cs="Times New Roman"/>
          <w:color w:val="000000" w:themeColor="text1"/>
        </w:rPr>
        <w:t xml:space="preserve"> engage in environmental activities</w:t>
      </w:r>
      <w:r w:rsidR="00D96941">
        <w:rPr>
          <w:rFonts w:ascii="Times New Roman" w:hAnsi="Times New Roman" w:cs="Times New Roman"/>
          <w:color w:val="000000" w:themeColor="text1"/>
        </w:rPr>
        <w:t xml:space="preserve"> </w:t>
      </w:r>
      <w:r w:rsidR="00631FF9">
        <w:rPr>
          <w:rFonts w:ascii="Times New Roman" w:hAnsi="Times New Roman" w:cs="Times New Roman"/>
          <w:color w:val="000000" w:themeColor="text1"/>
        </w:rPr>
        <w:t xml:space="preserve">that can </w:t>
      </w:r>
      <w:r w:rsidR="00D96941">
        <w:rPr>
          <w:rFonts w:ascii="Times New Roman" w:hAnsi="Times New Roman" w:cs="Times New Roman"/>
          <w:color w:val="000000" w:themeColor="text1"/>
        </w:rPr>
        <w:t>substantively</w:t>
      </w:r>
      <w:r w:rsidRPr="009F065E">
        <w:rPr>
          <w:rFonts w:ascii="Times New Roman" w:hAnsi="Times New Roman" w:cs="Times New Roman"/>
          <w:color w:val="000000" w:themeColor="text1"/>
        </w:rPr>
        <w:t xml:space="preserve"> improve a firm’s </w:t>
      </w:r>
      <w:r w:rsidR="00B93FFD">
        <w:rPr>
          <w:rFonts w:ascii="Times New Roman" w:hAnsi="Times New Roman" w:cs="Times New Roman"/>
          <w:color w:val="000000" w:themeColor="text1"/>
        </w:rPr>
        <w:t xml:space="preserve">actual </w:t>
      </w:r>
      <w:r w:rsidRPr="009F065E">
        <w:rPr>
          <w:rFonts w:ascii="Times New Roman" w:hAnsi="Times New Roman" w:cs="Times New Roman"/>
          <w:color w:val="000000" w:themeColor="text1"/>
        </w:rPr>
        <w:t xml:space="preserve">environmental performance. </w:t>
      </w:r>
    </w:p>
    <w:p w14:paraId="42491071" w14:textId="5524DB9E" w:rsidR="00C300C6" w:rsidRPr="001B7F56" w:rsidRDefault="009F065E" w:rsidP="00D15DA2">
      <w:pPr>
        <w:autoSpaceDE w:val="0"/>
        <w:autoSpaceDN w:val="0"/>
        <w:adjustRightInd w:val="0"/>
        <w:spacing w:after="0" w:line="360" w:lineRule="auto"/>
        <w:ind w:firstLine="720"/>
        <w:jc w:val="both"/>
        <w:rPr>
          <w:rFonts w:ascii="Times New Roman" w:hAnsi="Times New Roman" w:cs="Times New Roman"/>
          <w:lang w:val="en-US"/>
        </w:rPr>
      </w:pPr>
      <w:r w:rsidRPr="009F065E">
        <w:rPr>
          <w:rFonts w:ascii="Times New Roman" w:hAnsi="Times New Roman" w:cs="Times New Roman"/>
          <w:color w:val="000000" w:themeColor="text1"/>
        </w:rPr>
        <w:t>Empirically,</w:t>
      </w:r>
      <w:r w:rsidR="00A115A1">
        <w:rPr>
          <w:rFonts w:ascii="Times New Roman" w:hAnsi="Times New Roman" w:cs="Times New Roman"/>
          <w:color w:val="000000" w:themeColor="text1"/>
        </w:rPr>
        <w:t xml:space="preserve"> although the findings of a</w:t>
      </w:r>
      <w:r w:rsidRPr="009F065E">
        <w:rPr>
          <w:rFonts w:ascii="Times New Roman" w:hAnsi="Times New Roman" w:cs="Times New Roman"/>
          <w:color w:val="000000" w:themeColor="text1"/>
        </w:rPr>
        <w:t xml:space="preserve"> </w:t>
      </w:r>
      <w:r w:rsidR="00427D0D">
        <w:rPr>
          <w:rFonts w:ascii="Times New Roman" w:hAnsi="Times New Roman" w:cs="Times New Roman"/>
          <w:color w:val="000000" w:themeColor="text1"/>
        </w:rPr>
        <w:t>few</w:t>
      </w:r>
      <w:r w:rsidRPr="009F065E">
        <w:rPr>
          <w:rFonts w:ascii="Times New Roman" w:hAnsi="Times New Roman" w:cs="Times New Roman"/>
          <w:color w:val="000000" w:themeColor="text1"/>
        </w:rPr>
        <w:t xml:space="preserve"> related studies </w:t>
      </w:r>
      <w:r w:rsidR="00A115A1">
        <w:rPr>
          <w:rFonts w:ascii="Times New Roman" w:hAnsi="Times New Roman" w:cs="Times New Roman"/>
          <w:color w:val="000000" w:themeColor="text1"/>
        </w:rPr>
        <w:t xml:space="preserve">have </w:t>
      </w:r>
      <w:r w:rsidRPr="009F065E">
        <w:rPr>
          <w:rFonts w:ascii="Times New Roman" w:hAnsi="Times New Roman" w:cs="Times New Roman"/>
          <w:color w:val="000000" w:themeColor="text1"/>
        </w:rPr>
        <w:t>show</w:t>
      </w:r>
      <w:r w:rsidR="00A115A1">
        <w:rPr>
          <w:rFonts w:ascii="Times New Roman" w:hAnsi="Times New Roman" w:cs="Times New Roman"/>
          <w:color w:val="000000" w:themeColor="text1"/>
        </w:rPr>
        <w:t>n</w:t>
      </w:r>
      <w:r w:rsidRPr="009F065E">
        <w:rPr>
          <w:rFonts w:ascii="Times New Roman" w:hAnsi="Times New Roman" w:cs="Times New Roman"/>
          <w:color w:val="000000" w:themeColor="text1"/>
        </w:rPr>
        <w:t xml:space="preserve"> inconclusive evidence </w:t>
      </w:r>
      <w:r w:rsidR="00773BBF">
        <w:rPr>
          <w:rFonts w:ascii="Times New Roman" w:hAnsi="Times New Roman" w:cs="Times New Roman"/>
          <w:color w:val="000000" w:themeColor="text1"/>
        </w:rPr>
        <w:t>regarding</w:t>
      </w:r>
      <w:r w:rsidRPr="009F065E">
        <w:rPr>
          <w:rFonts w:ascii="Times New Roman" w:hAnsi="Times New Roman" w:cs="Times New Roman"/>
          <w:color w:val="000000" w:themeColor="text1"/>
        </w:rPr>
        <w:t xml:space="preserve"> the relationship between executive compensation and social</w:t>
      </w:r>
      <w:r w:rsidR="009000BF">
        <w:rPr>
          <w:rFonts w:ascii="Times New Roman" w:hAnsi="Times New Roman" w:cs="Times New Roman"/>
          <w:color w:val="000000" w:themeColor="text1"/>
        </w:rPr>
        <w:t>/</w:t>
      </w:r>
      <w:r w:rsidRPr="009F065E">
        <w:rPr>
          <w:rFonts w:ascii="Times New Roman" w:hAnsi="Times New Roman" w:cs="Times New Roman"/>
          <w:color w:val="000000" w:themeColor="text1"/>
        </w:rPr>
        <w:t xml:space="preserve">environmental performance, </w:t>
      </w:r>
      <w:r w:rsidR="00B14289">
        <w:rPr>
          <w:rFonts w:ascii="Times New Roman" w:hAnsi="Times New Roman" w:cs="Times New Roman"/>
          <w:color w:val="000000" w:themeColor="text1"/>
        </w:rPr>
        <w:t xml:space="preserve">little is known about </w:t>
      </w:r>
      <w:r w:rsidRPr="009F065E">
        <w:rPr>
          <w:rFonts w:ascii="Times New Roman" w:hAnsi="Times New Roman" w:cs="Times New Roman"/>
          <w:color w:val="000000" w:themeColor="text1"/>
        </w:rPr>
        <w:t>the</w:t>
      </w:r>
      <w:r w:rsidR="00A115A1">
        <w:rPr>
          <w:rFonts w:ascii="Times New Roman" w:hAnsi="Times New Roman" w:cs="Times New Roman"/>
          <w:color w:val="000000" w:themeColor="text1"/>
        </w:rPr>
        <w:t>ir</w:t>
      </w:r>
      <w:r w:rsidRPr="009F065E">
        <w:rPr>
          <w:rFonts w:ascii="Times New Roman" w:hAnsi="Times New Roman" w:cs="Times New Roman"/>
          <w:color w:val="000000" w:themeColor="text1"/>
        </w:rPr>
        <w:t xml:space="preserve"> interactive effect</w:t>
      </w:r>
      <w:r w:rsidR="00EF3C99">
        <w:rPr>
          <w:rFonts w:ascii="Times New Roman" w:hAnsi="Times New Roman" w:cs="Times New Roman"/>
          <w:color w:val="000000" w:themeColor="text1"/>
        </w:rPr>
        <w:t>s</w:t>
      </w:r>
      <w:r w:rsidRPr="009F065E">
        <w:rPr>
          <w:rFonts w:ascii="Times New Roman" w:hAnsi="Times New Roman" w:cs="Times New Roman"/>
          <w:color w:val="000000" w:themeColor="text1"/>
        </w:rPr>
        <w:t xml:space="preserve">. For example, </w:t>
      </w:r>
      <w:r w:rsidR="00B25B6A">
        <w:rPr>
          <w:rFonts w:ascii="Times New Roman" w:hAnsi="Times New Roman" w:cs="Times New Roman"/>
          <w:lang w:val="en-US"/>
        </w:rPr>
        <w:t>Maas and Rosendaal (2016) find that</w:t>
      </w:r>
      <w:r w:rsidR="00CA58E2">
        <w:rPr>
          <w:rFonts w:ascii="Times New Roman" w:hAnsi="Times New Roman" w:cs="Times New Roman"/>
          <w:lang w:val="en-US"/>
        </w:rPr>
        <w:t xml:space="preserve"> firms operating</w:t>
      </w:r>
      <w:r w:rsidR="00B25B6A">
        <w:rPr>
          <w:rFonts w:ascii="Times New Roman" w:hAnsi="Times New Roman" w:cs="Times New Roman"/>
          <w:lang w:val="en-US"/>
        </w:rPr>
        <w:t xml:space="preserve"> predominantly</w:t>
      </w:r>
      <w:r w:rsidR="00CA58E2">
        <w:rPr>
          <w:rFonts w:ascii="Times New Roman" w:hAnsi="Times New Roman" w:cs="Times New Roman"/>
          <w:lang w:val="en-US"/>
        </w:rPr>
        <w:t xml:space="preserve"> in</w:t>
      </w:r>
      <w:r w:rsidR="00B25B6A">
        <w:rPr>
          <w:rFonts w:ascii="Times New Roman" w:hAnsi="Times New Roman" w:cs="Times New Roman"/>
          <w:lang w:val="en-US"/>
        </w:rPr>
        <w:t xml:space="preserve"> </w:t>
      </w:r>
      <w:r w:rsidR="00B25B6A">
        <w:rPr>
          <w:rFonts w:ascii="Times New Roman" w:eastAsia="AdvTTcbb99584+20" w:hAnsi="Times New Roman" w:cs="Times New Roman"/>
          <w:lang w:val="en-US"/>
        </w:rPr>
        <w:t>‘</w:t>
      </w:r>
      <w:r w:rsidR="00B25B6A">
        <w:rPr>
          <w:rFonts w:ascii="Times New Roman" w:hAnsi="Times New Roman" w:cs="Times New Roman"/>
          <w:lang w:val="en-US"/>
        </w:rPr>
        <w:t>dirty</w:t>
      </w:r>
      <w:r w:rsidR="00B25B6A">
        <w:rPr>
          <w:rFonts w:ascii="Times New Roman" w:eastAsia="AdvTTcbb99584+20" w:hAnsi="Times New Roman" w:cs="Times New Roman"/>
          <w:lang w:val="en-US"/>
        </w:rPr>
        <w:t xml:space="preserve">’ </w:t>
      </w:r>
      <w:r w:rsidR="00B25B6A">
        <w:rPr>
          <w:rFonts w:ascii="Times New Roman" w:hAnsi="Times New Roman" w:cs="Times New Roman"/>
          <w:lang w:val="en-US"/>
        </w:rPr>
        <w:t>sector</w:t>
      </w:r>
      <w:r w:rsidR="00CA58E2">
        <w:rPr>
          <w:rFonts w:ascii="Times New Roman" w:hAnsi="Times New Roman" w:cs="Times New Roman"/>
          <w:lang w:val="en-US"/>
        </w:rPr>
        <w:t>s/industries</w:t>
      </w:r>
      <w:r w:rsidR="00B25B6A">
        <w:rPr>
          <w:rFonts w:ascii="Times New Roman" w:hAnsi="Times New Roman" w:cs="Times New Roman"/>
          <w:lang w:val="en-US"/>
        </w:rPr>
        <w:t xml:space="preserve"> (e.g., utilities and the energy sector) in the US and Europe </w:t>
      </w:r>
      <w:r w:rsidR="00F16651">
        <w:rPr>
          <w:rFonts w:ascii="Times New Roman" w:hAnsi="Times New Roman" w:cs="Times New Roman"/>
          <w:lang w:val="en-US"/>
        </w:rPr>
        <w:t>include</w:t>
      </w:r>
      <w:r w:rsidR="00B25B6A">
        <w:rPr>
          <w:rFonts w:ascii="Times New Roman" w:hAnsi="Times New Roman" w:cs="Times New Roman"/>
          <w:lang w:val="en-US"/>
        </w:rPr>
        <w:t xml:space="preserve"> sustainability targets in</w:t>
      </w:r>
      <w:r w:rsidR="00F16651">
        <w:rPr>
          <w:rFonts w:ascii="Times New Roman" w:hAnsi="Times New Roman" w:cs="Times New Roman"/>
          <w:lang w:val="en-US"/>
        </w:rPr>
        <w:t xml:space="preserve"> designing their</w:t>
      </w:r>
      <w:r w:rsidR="00B25B6A">
        <w:rPr>
          <w:rFonts w:ascii="Times New Roman" w:hAnsi="Times New Roman" w:cs="Times New Roman"/>
          <w:lang w:val="en-US"/>
        </w:rPr>
        <w:t xml:space="preserve"> executive compensation</w:t>
      </w:r>
      <w:r w:rsidR="00F16651">
        <w:rPr>
          <w:rFonts w:ascii="Times New Roman" w:hAnsi="Times New Roman" w:cs="Times New Roman"/>
          <w:lang w:val="en-US"/>
        </w:rPr>
        <w:t xml:space="preserve"> schemes</w:t>
      </w:r>
      <w:r w:rsidR="00B25B6A">
        <w:rPr>
          <w:rFonts w:ascii="Times New Roman" w:hAnsi="Times New Roman" w:cs="Times New Roman"/>
          <w:lang w:val="en-US"/>
        </w:rPr>
        <w:t>, and that there is a strong focus on social, rather than environmental targets. Galbreath (2017) finds that the presence of inside directors’ compensation</w:t>
      </w:r>
      <w:r w:rsidR="00B42F5E">
        <w:rPr>
          <w:rFonts w:ascii="Times New Roman" w:hAnsi="Times New Roman" w:cs="Times New Roman"/>
          <w:lang w:val="en-US"/>
        </w:rPr>
        <w:t xml:space="preserve"> scheme that is</w:t>
      </w:r>
      <w:r w:rsidR="00B25B6A">
        <w:rPr>
          <w:rFonts w:ascii="Times New Roman" w:hAnsi="Times New Roman" w:cs="Times New Roman"/>
          <w:lang w:val="en-US"/>
        </w:rPr>
        <w:t xml:space="preserve"> linked to environmental and social metrics positively moderates the negative relationship between insider directors and environmental</w:t>
      </w:r>
      <w:r w:rsidR="00B42F5E">
        <w:rPr>
          <w:rFonts w:ascii="Times New Roman" w:hAnsi="Times New Roman" w:cs="Times New Roman"/>
          <w:lang w:val="en-US"/>
        </w:rPr>
        <w:t>/</w:t>
      </w:r>
      <w:r w:rsidR="00B25B6A">
        <w:rPr>
          <w:rFonts w:ascii="Times New Roman" w:hAnsi="Times New Roman" w:cs="Times New Roman"/>
          <w:lang w:val="en-US"/>
        </w:rPr>
        <w:t xml:space="preserve">social performance. </w:t>
      </w:r>
      <w:r w:rsidRPr="009F065E">
        <w:rPr>
          <w:rFonts w:ascii="Times New Roman" w:hAnsi="Times New Roman" w:cs="Times New Roman"/>
          <w:color w:val="000000" w:themeColor="text1"/>
        </w:rPr>
        <w:t xml:space="preserve">Berrone </w:t>
      </w:r>
      <w:r w:rsidR="003A0726">
        <w:rPr>
          <w:rFonts w:ascii="Times New Roman" w:hAnsi="Times New Roman" w:cs="Times New Roman"/>
          <w:color w:val="000000" w:themeColor="text1"/>
        </w:rPr>
        <w:t>and</w:t>
      </w:r>
      <w:r w:rsidRPr="009F065E">
        <w:rPr>
          <w:rFonts w:ascii="Times New Roman" w:hAnsi="Times New Roman" w:cs="Times New Roman"/>
          <w:color w:val="000000" w:themeColor="text1"/>
        </w:rPr>
        <w:t xml:space="preserve"> Gomez-Mejia (2009) find that CEO pay is positively related to pollution prevention strategies of US firms </w:t>
      </w:r>
      <w:r w:rsidR="00AC7BAB">
        <w:rPr>
          <w:rFonts w:ascii="Times New Roman" w:hAnsi="Times New Roman" w:cs="Times New Roman"/>
          <w:color w:val="000000" w:themeColor="text1"/>
        </w:rPr>
        <w:t xml:space="preserve">operating </w:t>
      </w:r>
      <w:r w:rsidRPr="009F065E">
        <w:rPr>
          <w:rFonts w:ascii="Times New Roman" w:hAnsi="Times New Roman" w:cs="Times New Roman"/>
          <w:color w:val="000000" w:themeColor="text1"/>
        </w:rPr>
        <w:t>in polluti</w:t>
      </w:r>
      <w:r w:rsidR="001B7F56">
        <w:rPr>
          <w:rFonts w:ascii="Times New Roman" w:hAnsi="Times New Roman" w:cs="Times New Roman"/>
          <w:color w:val="000000" w:themeColor="text1"/>
        </w:rPr>
        <w:t>on</w:t>
      </w:r>
      <w:r w:rsidRPr="009F065E">
        <w:rPr>
          <w:rFonts w:ascii="Times New Roman" w:hAnsi="Times New Roman" w:cs="Times New Roman"/>
          <w:color w:val="000000" w:themeColor="text1"/>
        </w:rPr>
        <w:t xml:space="preserve"> </w:t>
      </w:r>
      <w:r w:rsidR="00AC7BAB">
        <w:rPr>
          <w:rFonts w:ascii="Times New Roman" w:hAnsi="Times New Roman" w:cs="Times New Roman"/>
          <w:color w:val="000000" w:themeColor="text1"/>
        </w:rPr>
        <w:t>intensive-</w:t>
      </w:r>
      <w:r w:rsidRPr="009F065E">
        <w:rPr>
          <w:rFonts w:ascii="Times New Roman" w:hAnsi="Times New Roman" w:cs="Times New Roman"/>
          <w:color w:val="000000" w:themeColor="text1"/>
        </w:rPr>
        <w:t>industries, although CEO pay is not related to ‘end-of-pipe’ pollution control.</w:t>
      </w:r>
      <w:r w:rsidRPr="009F065E">
        <w:rPr>
          <w:rFonts w:ascii="Times New Roman" w:hAnsi="Times New Roman" w:cs="Times New Roman"/>
          <w:lang w:val="en-US"/>
        </w:rPr>
        <w:t xml:space="preserve"> </w:t>
      </w:r>
      <w:r w:rsidRPr="009F065E">
        <w:rPr>
          <w:rFonts w:ascii="Times New Roman" w:hAnsi="Times New Roman" w:cs="Times New Roman"/>
          <w:lang w:val="en-US"/>
        </w:rPr>
        <w:lastRenderedPageBreak/>
        <w:t xml:space="preserve">In a similar study of US firms, Cordeiro </w:t>
      </w:r>
      <w:r w:rsidR="003A0726">
        <w:rPr>
          <w:rFonts w:ascii="Times New Roman" w:hAnsi="Times New Roman" w:cs="Times New Roman"/>
          <w:lang w:val="en-US"/>
        </w:rPr>
        <w:t>and</w:t>
      </w:r>
      <w:r w:rsidR="00D96D3F">
        <w:rPr>
          <w:rFonts w:ascii="Times New Roman" w:hAnsi="Times New Roman" w:cs="Times New Roman"/>
          <w:lang w:val="en-US"/>
        </w:rPr>
        <w:t xml:space="preserve"> </w:t>
      </w:r>
      <w:r w:rsidRPr="009F065E">
        <w:rPr>
          <w:rFonts w:ascii="Times New Roman" w:hAnsi="Times New Roman" w:cs="Times New Roman"/>
          <w:lang w:val="en-US"/>
        </w:rPr>
        <w:t xml:space="preserve">Sarkis (2008) find a positive relationship between environmental performance and CEO compensation, but this relationship does not hold for all </w:t>
      </w:r>
      <w:r w:rsidR="00302D56">
        <w:rPr>
          <w:rFonts w:ascii="Times New Roman" w:hAnsi="Times New Roman" w:cs="Times New Roman"/>
          <w:lang w:val="en-US"/>
        </w:rPr>
        <w:t xml:space="preserve">measures. </w:t>
      </w:r>
      <w:r w:rsidRPr="009F065E">
        <w:rPr>
          <w:rFonts w:ascii="Times New Roman" w:hAnsi="Times New Roman" w:cs="Times New Roman"/>
          <w:color w:val="000000" w:themeColor="text1"/>
        </w:rPr>
        <w:t xml:space="preserve">Therefore, we would expect that the interaction between the CCA and executive compensation is likely to have a greater impact on process-oriented performance than actual carbon emissions. </w:t>
      </w:r>
      <w:r w:rsidR="009E0525">
        <w:rPr>
          <w:rFonts w:ascii="Times New Roman" w:hAnsi="Times New Roman" w:cs="Times New Roman"/>
          <w:color w:val="000000" w:themeColor="text1"/>
        </w:rPr>
        <w:t>Thus</w:t>
      </w:r>
      <w:r w:rsidR="00AC7BAB">
        <w:rPr>
          <w:rFonts w:ascii="Times New Roman" w:hAnsi="Times New Roman" w:cs="Times New Roman"/>
          <w:color w:val="000000" w:themeColor="text1"/>
        </w:rPr>
        <w:t>,</w:t>
      </w:r>
      <w:r w:rsidR="009E0525">
        <w:rPr>
          <w:rFonts w:ascii="Times New Roman" w:hAnsi="Times New Roman" w:cs="Times New Roman"/>
          <w:color w:val="000000" w:themeColor="text1"/>
        </w:rPr>
        <w:t xml:space="preserve"> our next</w:t>
      </w:r>
      <w:r w:rsidRPr="009F065E">
        <w:rPr>
          <w:rFonts w:ascii="Times New Roman" w:hAnsi="Times New Roman" w:cs="Times New Roman"/>
          <w:color w:val="000000" w:themeColor="text1"/>
        </w:rPr>
        <w:t xml:space="preserve"> hypothesis</w:t>
      </w:r>
      <w:r w:rsidR="009E0525">
        <w:rPr>
          <w:rFonts w:ascii="Times New Roman" w:hAnsi="Times New Roman" w:cs="Times New Roman"/>
          <w:color w:val="000000" w:themeColor="text1"/>
        </w:rPr>
        <w:t xml:space="preserve"> is</w:t>
      </w:r>
      <w:r w:rsidRPr="009F065E">
        <w:rPr>
          <w:rFonts w:ascii="Times New Roman" w:hAnsi="Times New Roman" w:cs="Times New Roman"/>
          <w:color w:val="000000" w:themeColor="text1"/>
        </w:rPr>
        <w:t>:</w:t>
      </w:r>
    </w:p>
    <w:p w14:paraId="08088975" w14:textId="77777777" w:rsidR="00C300C6" w:rsidRDefault="00C300C6">
      <w:pPr>
        <w:spacing w:after="0" w:line="360" w:lineRule="auto"/>
        <w:jc w:val="both"/>
        <w:rPr>
          <w:rFonts w:ascii="Times New Roman" w:hAnsi="Times New Roman" w:cs="Times New Roman"/>
          <w:color w:val="000000" w:themeColor="text1"/>
        </w:rPr>
      </w:pPr>
    </w:p>
    <w:p w14:paraId="2E5E9FAF" w14:textId="1C09C415" w:rsidR="00AC7BAB" w:rsidRDefault="009F065E" w:rsidP="001B7F56">
      <w:pPr>
        <w:spacing w:after="0" w:line="240" w:lineRule="auto"/>
        <w:ind w:left="720"/>
        <w:jc w:val="both"/>
        <w:rPr>
          <w:rFonts w:ascii="Times New Roman" w:hAnsi="Times New Roman" w:cs="Times New Roman"/>
          <w:i/>
          <w:color w:val="000000" w:themeColor="text1"/>
        </w:rPr>
      </w:pPr>
      <w:r w:rsidRPr="009F065E">
        <w:rPr>
          <w:rFonts w:ascii="Times New Roman" w:hAnsi="Times New Roman" w:cs="Times New Roman"/>
          <w:i/>
          <w:color w:val="000000" w:themeColor="text1"/>
        </w:rPr>
        <w:t xml:space="preserve">Hypothesis 1b: Ceteris paribus, the interaction </w:t>
      </w:r>
      <w:r w:rsidR="00AC7BAB">
        <w:rPr>
          <w:rFonts w:ascii="Times New Roman" w:hAnsi="Times New Roman" w:cs="Times New Roman"/>
          <w:i/>
          <w:color w:val="000000" w:themeColor="text1"/>
        </w:rPr>
        <w:t>between</w:t>
      </w:r>
      <w:r w:rsidRPr="009F065E">
        <w:rPr>
          <w:rFonts w:ascii="Times New Roman" w:hAnsi="Times New Roman" w:cs="Times New Roman"/>
          <w:i/>
          <w:color w:val="000000" w:themeColor="text1"/>
        </w:rPr>
        <w:t xml:space="preserve"> the CCA and executive compensation is likely to have a positive </w:t>
      </w:r>
      <w:r w:rsidR="00203319">
        <w:rPr>
          <w:rFonts w:ascii="Times New Roman" w:hAnsi="Times New Roman" w:cs="Times New Roman"/>
          <w:i/>
          <w:color w:val="000000" w:themeColor="text1"/>
        </w:rPr>
        <w:t>impact on</w:t>
      </w:r>
      <w:r w:rsidRPr="009F065E">
        <w:rPr>
          <w:rFonts w:ascii="Times New Roman" w:hAnsi="Times New Roman" w:cs="Times New Roman"/>
          <w:i/>
          <w:color w:val="000000" w:themeColor="text1"/>
        </w:rPr>
        <w:t xml:space="preserve"> carbon performance of a firm, and </w:t>
      </w:r>
      <w:r w:rsidR="00AC7BAB" w:rsidRPr="009F065E">
        <w:rPr>
          <w:rFonts w:ascii="Times New Roman" w:hAnsi="Times New Roman" w:cs="Times New Roman"/>
          <w:i/>
          <w:color w:val="000000" w:themeColor="text1"/>
        </w:rPr>
        <w:t xml:space="preserve">this effect </w:t>
      </w:r>
      <w:r w:rsidR="00AC7BAB">
        <w:rPr>
          <w:rFonts w:ascii="Times New Roman" w:hAnsi="Times New Roman" w:cs="Times New Roman"/>
          <w:i/>
          <w:color w:val="000000" w:themeColor="text1"/>
        </w:rPr>
        <w:t>is expected to be</w:t>
      </w:r>
      <w:r w:rsidR="00AC7BAB" w:rsidRPr="009F065E">
        <w:rPr>
          <w:rFonts w:ascii="Times New Roman" w:hAnsi="Times New Roman" w:cs="Times New Roman"/>
          <w:i/>
          <w:color w:val="000000" w:themeColor="text1"/>
        </w:rPr>
        <w:t xml:space="preserve"> greater </w:t>
      </w:r>
      <w:r w:rsidR="00AC7BAB">
        <w:rPr>
          <w:rFonts w:ascii="Times New Roman" w:hAnsi="Times New Roman" w:cs="Times New Roman"/>
          <w:i/>
          <w:color w:val="000000" w:themeColor="text1"/>
        </w:rPr>
        <w:t>for</w:t>
      </w:r>
      <w:r w:rsidR="00AC7BAB" w:rsidRPr="009F065E">
        <w:rPr>
          <w:rFonts w:ascii="Times New Roman" w:hAnsi="Times New Roman" w:cs="Times New Roman"/>
          <w:i/>
          <w:color w:val="000000" w:themeColor="text1"/>
        </w:rPr>
        <w:t xml:space="preserve"> </w:t>
      </w:r>
      <w:r w:rsidR="00AC7BAB">
        <w:rPr>
          <w:rFonts w:ascii="Times New Roman" w:hAnsi="Times New Roman" w:cs="Times New Roman"/>
          <w:i/>
          <w:color w:val="000000" w:themeColor="text1"/>
        </w:rPr>
        <w:t>CRIs</w:t>
      </w:r>
      <w:r w:rsidR="00AC7BAB" w:rsidRPr="009F065E">
        <w:rPr>
          <w:rFonts w:ascii="Times New Roman" w:hAnsi="Times New Roman" w:cs="Times New Roman"/>
          <w:i/>
          <w:color w:val="000000" w:themeColor="text1"/>
        </w:rPr>
        <w:t xml:space="preserve"> than </w:t>
      </w:r>
      <w:r w:rsidR="00AC7BAB">
        <w:rPr>
          <w:rFonts w:ascii="Times New Roman" w:hAnsi="Times New Roman" w:cs="Times New Roman"/>
          <w:i/>
          <w:color w:val="000000" w:themeColor="text1"/>
        </w:rPr>
        <w:t xml:space="preserve">reductions in actual </w:t>
      </w:r>
      <w:r w:rsidR="00AC7BAB" w:rsidRPr="009F065E">
        <w:rPr>
          <w:rFonts w:ascii="Times New Roman" w:hAnsi="Times New Roman" w:cs="Times New Roman"/>
          <w:i/>
          <w:color w:val="000000" w:themeColor="text1"/>
        </w:rPr>
        <w:t>GHG emissions.</w:t>
      </w:r>
    </w:p>
    <w:p w14:paraId="4F791BA1" w14:textId="77777777" w:rsidR="00A31C73" w:rsidRDefault="00A31C73" w:rsidP="005F7D36">
      <w:pPr>
        <w:spacing w:after="0" w:line="360" w:lineRule="auto"/>
        <w:ind w:firstLine="720"/>
        <w:jc w:val="both"/>
        <w:rPr>
          <w:rFonts w:ascii="Times New Roman" w:hAnsi="Times New Roman" w:cs="Times New Roman"/>
        </w:rPr>
      </w:pPr>
    </w:p>
    <w:p w14:paraId="424DCE49" w14:textId="52CFF868" w:rsidR="00C300C6" w:rsidRDefault="003C13B1">
      <w:pPr>
        <w:spacing w:after="0" w:line="360" w:lineRule="auto"/>
        <w:ind w:firstLine="720"/>
        <w:jc w:val="both"/>
        <w:rPr>
          <w:rFonts w:ascii="Times New Roman" w:hAnsi="Times New Roman" w:cs="Times New Roman"/>
        </w:rPr>
      </w:pPr>
      <w:r>
        <w:rPr>
          <w:rFonts w:ascii="Times New Roman" w:hAnsi="Times New Roman" w:cs="Times New Roman"/>
        </w:rPr>
        <w:t>CG as represented by t</w:t>
      </w:r>
      <w:r w:rsidR="009F065E" w:rsidRPr="009F065E">
        <w:rPr>
          <w:rFonts w:ascii="Times New Roman" w:hAnsi="Times New Roman" w:cs="Times New Roman"/>
        </w:rPr>
        <w:t xml:space="preserve">he board of directors of a firm plays a critical role in responding to institutional pressures and moderating the influence of powerful economic agents. </w:t>
      </w:r>
      <w:r w:rsidR="009F065E" w:rsidRPr="009F065E">
        <w:rPr>
          <w:rFonts w:ascii="Times New Roman" w:hAnsi="Times New Roman" w:cs="Times New Roman"/>
          <w:color w:val="000000" w:themeColor="text1"/>
        </w:rPr>
        <w:t>Prior literature (Johnson</w:t>
      </w:r>
      <w:r w:rsidR="003A0726">
        <w:rPr>
          <w:rFonts w:ascii="Times New Roman" w:hAnsi="Times New Roman" w:cs="Times New Roman"/>
          <w:color w:val="000000" w:themeColor="text1"/>
        </w:rPr>
        <w:t xml:space="preserve"> and </w:t>
      </w:r>
      <w:r w:rsidR="009F065E" w:rsidRPr="009F065E">
        <w:rPr>
          <w:rFonts w:ascii="Times New Roman" w:hAnsi="Times New Roman" w:cs="Times New Roman"/>
          <w:color w:val="000000" w:themeColor="text1"/>
        </w:rPr>
        <w:t xml:space="preserve">Greening, 1999; Michelon </w:t>
      </w:r>
      <w:r w:rsidR="003A0726">
        <w:rPr>
          <w:rFonts w:ascii="Times New Roman" w:hAnsi="Times New Roman" w:cs="Times New Roman"/>
          <w:color w:val="000000" w:themeColor="text1"/>
        </w:rPr>
        <w:t>and</w:t>
      </w:r>
      <w:r w:rsidR="009F065E" w:rsidRPr="009F065E">
        <w:rPr>
          <w:rFonts w:ascii="Times New Roman" w:hAnsi="Times New Roman" w:cs="Times New Roman"/>
          <w:color w:val="000000" w:themeColor="text1"/>
        </w:rPr>
        <w:t xml:space="preserve"> Parbonetti, 2012) suggests that external directors, with diverse background</w:t>
      </w:r>
      <w:r w:rsidR="00724865">
        <w:rPr>
          <w:rFonts w:ascii="Times New Roman" w:hAnsi="Times New Roman" w:cs="Times New Roman"/>
          <w:color w:val="000000" w:themeColor="text1"/>
        </w:rPr>
        <w:t>,</w:t>
      </w:r>
      <w:r w:rsidR="009F065E" w:rsidRPr="009F065E">
        <w:rPr>
          <w:rFonts w:ascii="Times New Roman" w:hAnsi="Times New Roman" w:cs="Times New Roman"/>
          <w:color w:val="000000" w:themeColor="text1"/>
        </w:rPr>
        <w:t xml:space="preserve"> skills and strong stakeholder orientation, </w:t>
      </w:r>
      <w:r w:rsidR="009F065E" w:rsidRPr="009F065E">
        <w:rPr>
          <w:rFonts w:ascii="Times New Roman" w:hAnsi="Times New Roman" w:cs="Times New Roman"/>
          <w:color w:val="000000" w:themeColor="text1"/>
        </w:rPr>
        <w:lastRenderedPageBreak/>
        <w:t xml:space="preserve">can enhance the ability of a board to develop policies that can accommodate conflicting needs and expectations of </w:t>
      </w:r>
      <w:r w:rsidR="004B2550">
        <w:rPr>
          <w:rFonts w:ascii="Times New Roman" w:hAnsi="Times New Roman" w:cs="Times New Roman"/>
          <w:color w:val="000000" w:themeColor="text1"/>
        </w:rPr>
        <w:t>all stakeholders, including</w:t>
      </w:r>
      <w:r w:rsidR="009F065E" w:rsidRPr="009F065E">
        <w:rPr>
          <w:rFonts w:ascii="Times New Roman" w:hAnsi="Times New Roman" w:cs="Times New Roman"/>
          <w:color w:val="000000" w:themeColor="text1"/>
        </w:rPr>
        <w:t xml:space="preserve"> shareholders. I</w:t>
      </w:r>
      <w:r w:rsidR="009F065E" w:rsidRPr="009F065E">
        <w:rPr>
          <w:rFonts w:ascii="Times New Roman" w:hAnsi="Times New Roman" w:cs="Times New Roman"/>
        </w:rPr>
        <w:t xml:space="preserve">ndependent boards are in a better position to pursue executive management to undertake </w:t>
      </w:r>
      <w:r w:rsidR="006136A0">
        <w:rPr>
          <w:rFonts w:ascii="Times New Roman" w:hAnsi="Times New Roman" w:cs="Times New Roman"/>
        </w:rPr>
        <w:t>environmental performance management activities</w:t>
      </w:r>
      <w:r w:rsidR="009F065E" w:rsidRPr="009F065E">
        <w:rPr>
          <w:rFonts w:ascii="Times New Roman" w:hAnsi="Times New Roman" w:cs="Times New Roman"/>
        </w:rPr>
        <w:t xml:space="preserve"> (Liao et al., 2015; </w:t>
      </w:r>
      <w:r w:rsidR="009F065E" w:rsidRPr="009F065E">
        <w:rPr>
          <w:rFonts w:ascii="Times New Roman" w:hAnsi="Times New Roman" w:cs="Times New Roman"/>
          <w:color w:val="000000" w:themeColor="text1"/>
        </w:rPr>
        <w:t>de Villiers et al., 2011</w:t>
      </w:r>
      <w:r w:rsidR="008A4E5B">
        <w:rPr>
          <w:rFonts w:ascii="Times New Roman" w:hAnsi="Times New Roman" w:cs="Times New Roman"/>
          <w:color w:val="000000" w:themeColor="text1"/>
        </w:rPr>
        <w:t xml:space="preserve">; </w:t>
      </w:r>
      <w:r w:rsidR="008A4E5B">
        <w:rPr>
          <w:rFonts w:ascii="Times New Roman" w:hAnsi="Times New Roman" w:cs="Times New Roman"/>
          <w:lang w:val="en-US"/>
        </w:rPr>
        <w:t>Jizi, 2017</w:t>
      </w:r>
      <w:r w:rsidR="009F065E" w:rsidRPr="009F065E">
        <w:rPr>
          <w:rFonts w:ascii="Times New Roman" w:hAnsi="Times New Roman" w:cs="Times New Roman"/>
          <w:color w:val="000000" w:themeColor="text1"/>
        </w:rPr>
        <w:t>)</w:t>
      </w:r>
      <w:r w:rsidR="009F065E" w:rsidRPr="009F065E">
        <w:rPr>
          <w:rFonts w:ascii="Times New Roman" w:hAnsi="Times New Roman" w:cs="Times New Roman"/>
        </w:rPr>
        <w:t>, which</w:t>
      </w:r>
      <w:r w:rsidR="006136A0">
        <w:rPr>
          <w:rFonts w:ascii="Times New Roman" w:hAnsi="Times New Roman" w:cs="Times New Roman"/>
        </w:rPr>
        <w:t xml:space="preserve"> can</w:t>
      </w:r>
      <w:r w:rsidR="009F065E" w:rsidRPr="009F065E">
        <w:rPr>
          <w:rFonts w:ascii="Times New Roman" w:hAnsi="Times New Roman" w:cs="Times New Roman"/>
        </w:rPr>
        <w:t xml:space="preserve"> eventually enhance corporate legitimacy and financial performance. </w:t>
      </w:r>
      <w:r w:rsidR="009F065E" w:rsidRPr="009F065E">
        <w:rPr>
          <w:rFonts w:ascii="Times New Roman" w:hAnsi="Times New Roman" w:cs="Times New Roman"/>
          <w:lang w:val="en-US"/>
        </w:rPr>
        <w:t xml:space="preserve">Empirically, </w:t>
      </w:r>
      <w:r w:rsidR="009F065E" w:rsidRPr="009F065E">
        <w:rPr>
          <w:rFonts w:ascii="Times New Roman" w:hAnsi="Times New Roman" w:cs="Times New Roman"/>
          <w:color w:val="000000" w:themeColor="text1"/>
        </w:rPr>
        <w:t>de Villiers et al.</w:t>
      </w:r>
      <w:r w:rsidR="005F672E">
        <w:rPr>
          <w:rFonts w:ascii="Times New Roman" w:hAnsi="Times New Roman" w:cs="Times New Roman"/>
          <w:color w:val="000000" w:themeColor="text1"/>
        </w:rPr>
        <w:t>,</w:t>
      </w:r>
      <w:r w:rsidR="009F065E" w:rsidRPr="009F065E">
        <w:rPr>
          <w:rFonts w:ascii="Times New Roman" w:hAnsi="Times New Roman" w:cs="Times New Roman"/>
          <w:color w:val="000000" w:themeColor="text1"/>
        </w:rPr>
        <w:t xml:space="preserve"> (2011)</w:t>
      </w:r>
      <w:r w:rsidR="00645C35">
        <w:rPr>
          <w:rFonts w:ascii="Times New Roman" w:hAnsi="Times New Roman" w:cs="Times New Roman"/>
          <w:color w:val="000000" w:themeColor="text1"/>
        </w:rPr>
        <w:t>,</w:t>
      </w:r>
      <w:r w:rsidR="009F065E" w:rsidRPr="009F065E">
        <w:rPr>
          <w:rFonts w:ascii="Times New Roman" w:hAnsi="Times New Roman" w:cs="Times New Roman"/>
          <w:color w:val="000000" w:themeColor="text1"/>
        </w:rPr>
        <w:t xml:space="preserve"> and </w:t>
      </w:r>
      <w:r w:rsidR="009F065E" w:rsidRPr="009F065E">
        <w:rPr>
          <w:rFonts w:ascii="Times New Roman" w:hAnsi="Times New Roman" w:cs="Times New Roman"/>
        </w:rPr>
        <w:t xml:space="preserve">Mallin </w:t>
      </w:r>
      <w:r w:rsidR="003A0726">
        <w:rPr>
          <w:rFonts w:ascii="Times New Roman" w:hAnsi="Times New Roman" w:cs="Times New Roman"/>
        </w:rPr>
        <w:t>and</w:t>
      </w:r>
      <w:r w:rsidR="009F065E" w:rsidRPr="009F065E">
        <w:rPr>
          <w:rFonts w:ascii="Times New Roman" w:hAnsi="Times New Roman" w:cs="Times New Roman"/>
        </w:rPr>
        <w:t xml:space="preserve"> Michelon (2011) </w:t>
      </w:r>
      <w:r w:rsidR="00645C35">
        <w:rPr>
          <w:rFonts w:ascii="Times New Roman" w:hAnsi="Times New Roman" w:cs="Times New Roman"/>
        </w:rPr>
        <w:t>report that</w:t>
      </w:r>
      <w:r w:rsidR="009F065E" w:rsidRPr="009F065E">
        <w:rPr>
          <w:rFonts w:ascii="Times New Roman" w:hAnsi="Times New Roman" w:cs="Times New Roman"/>
          <w:lang w:val="en-US"/>
        </w:rPr>
        <w:t xml:space="preserve"> board independence ha</w:t>
      </w:r>
      <w:r w:rsidR="00645C35">
        <w:rPr>
          <w:rFonts w:ascii="Times New Roman" w:hAnsi="Times New Roman" w:cs="Times New Roman"/>
          <w:lang w:val="en-US"/>
        </w:rPr>
        <w:t>s</w:t>
      </w:r>
      <w:r w:rsidR="009F065E" w:rsidRPr="009F065E">
        <w:rPr>
          <w:rFonts w:ascii="Times New Roman" w:hAnsi="Times New Roman" w:cs="Times New Roman"/>
          <w:lang w:val="en-US"/>
        </w:rPr>
        <w:t xml:space="preserve"> a positive association with social and environmental performance of US firms. </w:t>
      </w:r>
      <w:r w:rsidR="009F065E" w:rsidRPr="009F065E">
        <w:rPr>
          <w:rFonts w:ascii="Times New Roman" w:hAnsi="Times New Roman" w:cs="Times New Roman"/>
          <w:color w:val="000000" w:themeColor="text1"/>
        </w:rPr>
        <w:t xml:space="preserve">However, Prado-Lorenzo </w:t>
      </w:r>
      <w:r w:rsidR="009E0525">
        <w:rPr>
          <w:rFonts w:ascii="Times New Roman" w:hAnsi="Times New Roman" w:cs="Times New Roman"/>
          <w:color w:val="000000" w:themeColor="text1"/>
        </w:rPr>
        <w:t>and</w:t>
      </w:r>
      <w:r w:rsidR="009F065E" w:rsidRPr="009F065E">
        <w:rPr>
          <w:rFonts w:ascii="Times New Roman" w:hAnsi="Times New Roman" w:cs="Times New Roman"/>
          <w:color w:val="000000" w:themeColor="text1"/>
        </w:rPr>
        <w:t xml:space="preserve"> Garcia-Sanchez (2010) find that corporate boards generally remain inactive in monitoring the disclosure of a firm’s environmental and carbon-related activi</w:t>
      </w:r>
      <w:r w:rsidR="00A42FA7">
        <w:rPr>
          <w:rFonts w:ascii="Times New Roman" w:hAnsi="Times New Roman" w:cs="Times New Roman"/>
          <w:color w:val="000000" w:themeColor="text1"/>
        </w:rPr>
        <w:t>ties</w:t>
      </w:r>
      <w:r w:rsidR="009F065E" w:rsidRPr="009F065E">
        <w:rPr>
          <w:rFonts w:ascii="Times New Roman" w:hAnsi="Times New Roman" w:cs="Times New Roman"/>
          <w:color w:val="000000" w:themeColor="text1"/>
        </w:rPr>
        <w:t>.</w:t>
      </w:r>
    </w:p>
    <w:p w14:paraId="3DEF8ED3" w14:textId="7ECE9A9D" w:rsidR="00C300C6" w:rsidRDefault="009F065E" w:rsidP="00270582">
      <w:pPr>
        <w:spacing w:after="0" w:line="360" w:lineRule="auto"/>
        <w:ind w:firstLine="720"/>
        <w:jc w:val="both"/>
        <w:rPr>
          <w:rFonts w:ascii="Times New Roman" w:hAnsi="Times New Roman" w:cs="Times New Roman"/>
          <w:color w:val="000000" w:themeColor="text1"/>
        </w:rPr>
      </w:pPr>
      <w:r w:rsidRPr="009F065E">
        <w:rPr>
          <w:rFonts w:ascii="Times New Roman" w:hAnsi="Times New Roman" w:cs="Times New Roman"/>
        </w:rPr>
        <w:t xml:space="preserve">Based on these arguments, an independent board might be able to persuade executive </w:t>
      </w:r>
      <w:r w:rsidRPr="009F065E">
        <w:rPr>
          <w:rFonts w:ascii="Times New Roman" w:hAnsi="Times New Roman" w:cs="Times New Roman"/>
          <w:color w:val="000000" w:themeColor="text1"/>
        </w:rPr>
        <w:t xml:space="preserve">management to respond to the CCA to </w:t>
      </w:r>
      <w:r w:rsidR="00203319">
        <w:rPr>
          <w:rFonts w:ascii="Times New Roman" w:hAnsi="Times New Roman" w:cs="Times New Roman"/>
          <w:color w:val="000000" w:themeColor="text1"/>
        </w:rPr>
        <w:t>engage in</w:t>
      </w:r>
      <w:r w:rsidRPr="009F065E">
        <w:rPr>
          <w:rFonts w:ascii="Times New Roman" w:hAnsi="Times New Roman" w:cs="Times New Roman"/>
          <w:color w:val="000000" w:themeColor="text1"/>
        </w:rPr>
        <w:t xml:space="preserve"> </w:t>
      </w:r>
      <w:r w:rsidR="00203319">
        <w:rPr>
          <w:rFonts w:ascii="Times New Roman" w:hAnsi="Times New Roman" w:cs="Times New Roman"/>
          <w:color w:val="000000" w:themeColor="text1"/>
        </w:rPr>
        <w:t>CRIs</w:t>
      </w:r>
      <w:r w:rsidRPr="009F065E">
        <w:rPr>
          <w:rFonts w:ascii="Times New Roman" w:hAnsi="Times New Roman" w:cs="Times New Roman"/>
          <w:color w:val="000000" w:themeColor="text1"/>
        </w:rPr>
        <w:t xml:space="preserve"> so as to enhance organisational legitimacy. However, independent board members are less likely to have adequate power and remit to </w:t>
      </w:r>
      <w:r w:rsidR="002974E5">
        <w:rPr>
          <w:rFonts w:ascii="Times New Roman" w:hAnsi="Times New Roman" w:cs="Times New Roman"/>
          <w:color w:val="000000" w:themeColor="text1"/>
        </w:rPr>
        <w:t>compel</w:t>
      </w:r>
      <w:r w:rsidRPr="009F065E">
        <w:rPr>
          <w:rFonts w:ascii="Times New Roman" w:hAnsi="Times New Roman" w:cs="Times New Roman"/>
          <w:color w:val="000000" w:themeColor="text1"/>
        </w:rPr>
        <w:t xml:space="preserve"> powerful executive management to pursue long-term financial and </w:t>
      </w:r>
      <w:r w:rsidRPr="009F065E">
        <w:rPr>
          <w:rFonts w:ascii="Times New Roman" w:hAnsi="Times New Roman" w:cs="Times New Roman"/>
          <w:color w:val="000000" w:themeColor="text1"/>
        </w:rPr>
        <w:lastRenderedPageBreak/>
        <w:t xml:space="preserve">managerial commitments in </w:t>
      </w:r>
      <w:r w:rsidR="00203319">
        <w:rPr>
          <w:rFonts w:ascii="Times New Roman" w:hAnsi="Times New Roman" w:cs="Times New Roman"/>
          <w:color w:val="000000" w:themeColor="text1"/>
        </w:rPr>
        <w:t>CRIs</w:t>
      </w:r>
      <w:r w:rsidRPr="009F065E">
        <w:rPr>
          <w:rFonts w:ascii="Times New Roman" w:hAnsi="Times New Roman" w:cs="Times New Roman"/>
          <w:color w:val="000000" w:themeColor="text1"/>
        </w:rPr>
        <w:t xml:space="preserve">, which can eventually enhance actual carbon performance in the form of reduced GHG emissions. Therefore, the interaction between the CCA and board independence is expected to have a greater influence on process-oriented aspects of carbon performance than actual GHG emissions. </w:t>
      </w:r>
      <w:r w:rsidR="00270582">
        <w:rPr>
          <w:rFonts w:ascii="Times New Roman" w:hAnsi="Times New Roman" w:cs="Times New Roman"/>
          <w:color w:val="000000" w:themeColor="text1"/>
        </w:rPr>
        <w:t>Hence</w:t>
      </w:r>
      <w:r w:rsidR="00203319">
        <w:rPr>
          <w:rFonts w:ascii="Times New Roman" w:hAnsi="Times New Roman" w:cs="Times New Roman"/>
          <w:color w:val="000000" w:themeColor="text1"/>
        </w:rPr>
        <w:t>,</w:t>
      </w:r>
      <w:r w:rsidR="00270582">
        <w:rPr>
          <w:rFonts w:ascii="Times New Roman" w:hAnsi="Times New Roman" w:cs="Times New Roman"/>
          <w:color w:val="000000" w:themeColor="text1"/>
        </w:rPr>
        <w:t xml:space="preserve"> our next hypothesis is</w:t>
      </w:r>
      <w:r w:rsidRPr="009F065E">
        <w:rPr>
          <w:rFonts w:ascii="Times New Roman" w:hAnsi="Times New Roman" w:cs="Times New Roman"/>
          <w:color w:val="000000" w:themeColor="text1"/>
        </w:rPr>
        <w:t>:</w:t>
      </w:r>
    </w:p>
    <w:p w14:paraId="2A47195C" w14:textId="77777777" w:rsidR="00C300C6" w:rsidRDefault="00C300C6">
      <w:pPr>
        <w:spacing w:after="0" w:line="360" w:lineRule="auto"/>
        <w:jc w:val="both"/>
        <w:rPr>
          <w:rFonts w:ascii="Times New Roman" w:hAnsi="Times New Roman" w:cs="Times New Roman"/>
          <w:color w:val="000000" w:themeColor="text1"/>
        </w:rPr>
      </w:pPr>
    </w:p>
    <w:p w14:paraId="779252FB" w14:textId="4C5B00D4" w:rsidR="00645C35" w:rsidRDefault="009F065E" w:rsidP="001B7F56">
      <w:pPr>
        <w:spacing w:after="0" w:line="240" w:lineRule="auto"/>
        <w:ind w:left="720"/>
        <w:jc w:val="both"/>
        <w:rPr>
          <w:rFonts w:ascii="Times New Roman" w:hAnsi="Times New Roman" w:cs="Times New Roman"/>
          <w:i/>
          <w:color w:val="000000" w:themeColor="text1"/>
        </w:rPr>
      </w:pPr>
      <w:r w:rsidRPr="009F065E">
        <w:rPr>
          <w:rFonts w:ascii="Times New Roman" w:hAnsi="Times New Roman" w:cs="Times New Roman"/>
          <w:i/>
          <w:color w:val="000000" w:themeColor="text1"/>
        </w:rPr>
        <w:t xml:space="preserve">Hypothesis 1c: Ceteris paribus, the interaction </w:t>
      </w:r>
      <w:r w:rsidR="00203319">
        <w:rPr>
          <w:rFonts w:ascii="Times New Roman" w:hAnsi="Times New Roman" w:cs="Times New Roman"/>
          <w:i/>
          <w:color w:val="000000" w:themeColor="text1"/>
        </w:rPr>
        <w:t>between the</w:t>
      </w:r>
      <w:r w:rsidRPr="009F065E">
        <w:rPr>
          <w:rFonts w:ascii="Times New Roman" w:hAnsi="Times New Roman" w:cs="Times New Roman"/>
          <w:i/>
          <w:color w:val="000000" w:themeColor="text1"/>
        </w:rPr>
        <w:t xml:space="preserve"> CCA and board independence is likely to have a positive </w:t>
      </w:r>
      <w:r w:rsidR="00203319">
        <w:rPr>
          <w:rFonts w:ascii="Times New Roman" w:hAnsi="Times New Roman" w:cs="Times New Roman"/>
          <w:i/>
          <w:color w:val="000000" w:themeColor="text1"/>
        </w:rPr>
        <w:t>impact on</w:t>
      </w:r>
      <w:r w:rsidRPr="009F065E">
        <w:rPr>
          <w:rFonts w:ascii="Times New Roman" w:hAnsi="Times New Roman" w:cs="Times New Roman"/>
          <w:i/>
          <w:color w:val="000000" w:themeColor="text1"/>
        </w:rPr>
        <w:t xml:space="preserve"> carbon performance of a firm, </w:t>
      </w:r>
      <w:r w:rsidR="00645C35" w:rsidRPr="009F065E">
        <w:rPr>
          <w:rFonts w:ascii="Times New Roman" w:hAnsi="Times New Roman" w:cs="Times New Roman"/>
          <w:i/>
          <w:color w:val="000000" w:themeColor="text1"/>
        </w:rPr>
        <w:t xml:space="preserve">and this effect </w:t>
      </w:r>
      <w:r w:rsidR="00645C35">
        <w:rPr>
          <w:rFonts w:ascii="Times New Roman" w:hAnsi="Times New Roman" w:cs="Times New Roman"/>
          <w:i/>
          <w:color w:val="000000" w:themeColor="text1"/>
        </w:rPr>
        <w:t>is expected to be</w:t>
      </w:r>
      <w:r w:rsidR="00645C35" w:rsidRPr="009F065E">
        <w:rPr>
          <w:rFonts w:ascii="Times New Roman" w:hAnsi="Times New Roman" w:cs="Times New Roman"/>
          <w:i/>
          <w:color w:val="000000" w:themeColor="text1"/>
        </w:rPr>
        <w:t xml:space="preserve"> greater </w:t>
      </w:r>
      <w:r w:rsidR="00645C35">
        <w:rPr>
          <w:rFonts w:ascii="Times New Roman" w:hAnsi="Times New Roman" w:cs="Times New Roman"/>
          <w:i/>
          <w:color w:val="000000" w:themeColor="text1"/>
        </w:rPr>
        <w:t>for</w:t>
      </w:r>
      <w:r w:rsidR="00645C35" w:rsidRPr="009F065E">
        <w:rPr>
          <w:rFonts w:ascii="Times New Roman" w:hAnsi="Times New Roman" w:cs="Times New Roman"/>
          <w:i/>
          <w:color w:val="000000" w:themeColor="text1"/>
        </w:rPr>
        <w:t xml:space="preserve"> </w:t>
      </w:r>
      <w:r w:rsidR="00645C35">
        <w:rPr>
          <w:rFonts w:ascii="Times New Roman" w:hAnsi="Times New Roman" w:cs="Times New Roman"/>
          <w:i/>
          <w:color w:val="000000" w:themeColor="text1"/>
        </w:rPr>
        <w:t>CRIs</w:t>
      </w:r>
      <w:r w:rsidR="00645C35" w:rsidRPr="009F065E">
        <w:rPr>
          <w:rFonts w:ascii="Times New Roman" w:hAnsi="Times New Roman" w:cs="Times New Roman"/>
          <w:i/>
          <w:color w:val="000000" w:themeColor="text1"/>
        </w:rPr>
        <w:t xml:space="preserve"> than </w:t>
      </w:r>
      <w:r w:rsidR="00645C35">
        <w:rPr>
          <w:rFonts w:ascii="Times New Roman" w:hAnsi="Times New Roman" w:cs="Times New Roman"/>
          <w:i/>
          <w:color w:val="000000" w:themeColor="text1"/>
        </w:rPr>
        <w:t xml:space="preserve">reductions in actual </w:t>
      </w:r>
      <w:r w:rsidR="00645C35" w:rsidRPr="009F065E">
        <w:rPr>
          <w:rFonts w:ascii="Times New Roman" w:hAnsi="Times New Roman" w:cs="Times New Roman"/>
          <w:i/>
          <w:color w:val="000000" w:themeColor="text1"/>
        </w:rPr>
        <w:t>GHG emissions.</w:t>
      </w:r>
    </w:p>
    <w:p w14:paraId="770073E1" w14:textId="77777777" w:rsidR="00FB5478" w:rsidRDefault="00FB5478" w:rsidP="009E0525">
      <w:pPr>
        <w:spacing w:after="0" w:line="360" w:lineRule="auto"/>
        <w:ind w:firstLine="720"/>
        <w:jc w:val="both"/>
        <w:rPr>
          <w:rFonts w:ascii="Times New Roman" w:hAnsi="Times New Roman" w:cs="Times New Roman"/>
          <w:color w:val="000000" w:themeColor="text1"/>
        </w:rPr>
      </w:pPr>
    </w:p>
    <w:p w14:paraId="1B2C1E80" w14:textId="0F798573" w:rsidR="00160845" w:rsidRDefault="00160845" w:rsidP="009E0525">
      <w:pPr>
        <w:spacing w:after="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A</w:t>
      </w:r>
      <w:r w:rsidR="00532A41">
        <w:rPr>
          <w:rFonts w:ascii="Times New Roman" w:hAnsi="Times New Roman" w:cs="Times New Roman"/>
          <w:color w:val="000000" w:themeColor="text1"/>
        </w:rPr>
        <w:t xml:space="preserve"> related </w:t>
      </w:r>
      <w:r>
        <w:rPr>
          <w:rFonts w:ascii="Times New Roman" w:hAnsi="Times New Roman" w:cs="Times New Roman"/>
          <w:color w:val="000000" w:themeColor="text1"/>
        </w:rPr>
        <w:t xml:space="preserve">literature (e.g., </w:t>
      </w:r>
      <w:r w:rsidRPr="009F065E">
        <w:rPr>
          <w:rFonts w:ascii="Times New Roman" w:hAnsi="Times New Roman" w:cs="Times New Roman"/>
          <w:color w:val="000000" w:themeColor="text1"/>
        </w:rPr>
        <w:t>de Vil</w:t>
      </w:r>
      <w:r>
        <w:rPr>
          <w:rFonts w:ascii="Times New Roman" w:hAnsi="Times New Roman" w:cs="Times New Roman"/>
          <w:color w:val="000000" w:themeColor="text1"/>
        </w:rPr>
        <w:t xml:space="preserve">liers et al., </w:t>
      </w:r>
      <w:r w:rsidRPr="009F065E">
        <w:rPr>
          <w:rFonts w:ascii="Times New Roman" w:hAnsi="Times New Roman" w:cs="Times New Roman"/>
          <w:color w:val="000000" w:themeColor="text1"/>
        </w:rPr>
        <w:t>2011</w:t>
      </w:r>
      <w:r>
        <w:rPr>
          <w:rFonts w:ascii="Times New Roman" w:hAnsi="Times New Roman" w:cs="Times New Roman"/>
          <w:color w:val="000000" w:themeColor="text1"/>
        </w:rPr>
        <w:t xml:space="preserve">; </w:t>
      </w:r>
      <w:hyperlink r:id="rId14" w:history="1">
        <w:r w:rsidRPr="009F065E">
          <w:rPr>
            <w:rStyle w:val="Hyperlink"/>
            <w:rFonts w:ascii="Times New Roman" w:hAnsi="Times New Roman" w:cs="Times New Roman"/>
            <w:color w:val="000000" w:themeColor="text1"/>
            <w:u w:val="none"/>
          </w:rPr>
          <w:t>Tauringana</w:t>
        </w:r>
      </w:hyperlink>
      <w:r w:rsidRPr="009F065E">
        <w:rPr>
          <w:rFonts w:ascii="Times New Roman" w:hAnsi="Times New Roman" w:cs="Times New Roman"/>
          <w:color w:val="000000" w:themeColor="text1"/>
        </w:rPr>
        <w:t xml:space="preserve"> </w:t>
      </w:r>
      <w:r w:rsidR="003A0726">
        <w:rPr>
          <w:rFonts w:ascii="Times New Roman" w:hAnsi="Times New Roman" w:cs="Times New Roman"/>
          <w:color w:val="000000" w:themeColor="text1"/>
        </w:rPr>
        <w:t>and</w:t>
      </w:r>
      <w:r w:rsidRPr="009F065E">
        <w:rPr>
          <w:rFonts w:ascii="Times New Roman" w:hAnsi="Times New Roman" w:cs="Times New Roman"/>
          <w:color w:val="000000" w:themeColor="text1"/>
        </w:rPr>
        <w:t xml:space="preserve"> </w:t>
      </w:r>
      <w:hyperlink r:id="rId15" w:history="1">
        <w:r w:rsidRPr="009F065E">
          <w:rPr>
            <w:rStyle w:val="Hyperlink"/>
            <w:rFonts w:ascii="Times New Roman" w:hAnsi="Times New Roman" w:cs="Times New Roman"/>
            <w:color w:val="000000" w:themeColor="text1"/>
            <w:u w:val="none"/>
          </w:rPr>
          <w:t>Chithambo</w:t>
        </w:r>
      </w:hyperlink>
      <w:r w:rsidRPr="009F065E">
        <w:rPr>
          <w:rFonts w:ascii="Times New Roman" w:hAnsi="Times New Roman" w:cs="Times New Roman"/>
          <w:color w:val="000000" w:themeColor="text1"/>
        </w:rPr>
        <w:t xml:space="preserve">, 2015) </w:t>
      </w:r>
      <w:r>
        <w:rPr>
          <w:rFonts w:ascii="Times New Roman" w:hAnsi="Times New Roman" w:cs="Times New Roman"/>
          <w:color w:val="000000" w:themeColor="text1"/>
        </w:rPr>
        <w:t>suggests that large</w:t>
      </w:r>
      <w:r w:rsidR="00D92CB2">
        <w:rPr>
          <w:rFonts w:ascii="Times New Roman" w:hAnsi="Times New Roman" w:cs="Times New Roman"/>
          <w:color w:val="000000" w:themeColor="text1"/>
        </w:rPr>
        <w:t>r</w:t>
      </w:r>
      <w:r>
        <w:rPr>
          <w:rFonts w:ascii="Times New Roman" w:hAnsi="Times New Roman" w:cs="Times New Roman"/>
          <w:color w:val="000000" w:themeColor="text1"/>
        </w:rPr>
        <w:t xml:space="preserve"> board</w:t>
      </w:r>
      <w:r w:rsidR="00F5726B">
        <w:rPr>
          <w:rFonts w:ascii="Times New Roman" w:hAnsi="Times New Roman" w:cs="Times New Roman"/>
          <w:color w:val="000000" w:themeColor="text1"/>
        </w:rPr>
        <w:t>s</w:t>
      </w:r>
      <w:r>
        <w:rPr>
          <w:rFonts w:ascii="Times New Roman" w:hAnsi="Times New Roman" w:cs="Times New Roman"/>
          <w:color w:val="000000" w:themeColor="text1"/>
        </w:rPr>
        <w:t xml:space="preserve"> can bring a diverse range of skills and experiences, </w:t>
      </w:r>
      <w:r w:rsidR="00D92CB2">
        <w:rPr>
          <w:rFonts w:ascii="Times New Roman" w:hAnsi="Times New Roman" w:cs="Times New Roman"/>
          <w:color w:val="000000" w:themeColor="text1"/>
        </w:rPr>
        <w:t>as well as</w:t>
      </w:r>
      <w:r>
        <w:rPr>
          <w:rFonts w:ascii="Times New Roman" w:hAnsi="Times New Roman" w:cs="Times New Roman"/>
          <w:color w:val="000000" w:themeColor="text1"/>
        </w:rPr>
        <w:t xml:space="preserve"> provide expert counsel and </w:t>
      </w:r>
      <w:r w:rsidR="00F5726B">
        <w:rPr>
          <w:rFonts w:ascii="Times New Roman" w:hAnsi="Times New Roman" w:cs="Times New Roman"/>
          <w:color w:val="000000" w:themeColor="text1"/>
        </w:rPr>
        <w:t>advice</w:t>
      </w:r>
      <w:r>
        <w:rPr>
          <w:rFonts w:ascii="Times New Roman" w:hAnsi="Times New Roman" w:cs="Times New Roman"/>
          <w:color w:val="000000" w:themeColor="text1"/>
        </w:rPr>
        <w:t xml:space="preserve"> on environmental matters, which </w:t>
      </w:r>
      <w:r w:rsidR="00F5726B">
        <w:rPr>
          <w:rFonts w:ascii="Times New Roman" w:hAnsi="Times New Roman" w:cs="Times New Roman"/>
          <w:color w:val="000000" w:themeColor="text1"/>
        </w:rPr>
        <w:t xml:space="preserve">can </w:t>
      </w:r>
      <w:r>
        <w:rPr>
          <w:rFonts w:ascii="Times New Roman" w:hAnsi="Times New Roman" w:cs="Times New Roman"/>
          <w:color w:val="000000" w:themeColor="text1"/>
        </w:rPr>
        <w:t xml:space="preserve">eventually improve environmental performance of a firm. However, </w:t>
      </w:r>
      <w:r w:rsidRPr="009F065E">
        <w:rPr>
          <w:rFonts w:ascii="Times New Roman" w:hAnsi="Times New Roman" w:cs="Times New Roman"/>
          <w:color w:val="000000" w:themeColor="text1"/>
        </w:rPr>
        <w:t xml:space="preserve">due to </w:t>
      </w:r>
      <w:r w:rsidR="00D92CB2">
        <w:rPr>
          <w:rFonts w:ascii="Times New Roman" w:hAnsi="Times New Roman" w:cs="Times New Roman"/>
          <w:color w:val="000000" w:themeColor="text1"/>
        </w:rPr>
        <w:t xml:space="preserve">discernible increased </w:t>
      </w:r>
      <w:r w:rsidRPr="009F065E">
        <w:rPr>
          <w:rFonts w:ascii="Times New Roman" w:hAnsi="Times New Roman" w:cs="Times New Roman"/>
          <w:color w:val="000000" w:themeColor="text1"/>
        </w:rPr>
        <w:t>free-rider</w:t>
      </w:r>
      <w:r w:rsidR="00D92CB2">
        <w:rPr>
          <w:rFonts w:ascii="Times New Roman" w:hAnsi="Times New Roman" w:cs="Times New Roman"/>
          <w:color w:val="000000" w:themeColor="text1"/>
        </w:rPr>
        <w:t>, communication and co-ordination</w:t>
      </w:r>
      <w:r w:rsidRPr="009F065E">
        <w:rPr>
          <w:rFonts w:ascii="Times New Roman" w:hAnsi="Times New Roman" w:cs="Times New Roman"/>
          <w:color w:val="000000" w:themeColor="text1"/>
        </w:rPr>
        <w:t xml:space="preserve"> problems</w:t>
      </w:r>
      <w:r w:rsidR="00793242">
        <w:rPr>
          <w:rFonts w:ascii="Times New Roman" w:hAnsi="Times New Roman" w:cs="Times New Roman"/>
          <w:color w:val="000000" w:themeColor="text1"/>
        </w:rPr>
        <w:t xml:space="preserve"> (Ntim, 2016)</w:t>
      </w:r>
      <w:r w:rsidR="00D92CB2">
        <w:rPr>
          <w:rFonts w:ascii="Times New Roman" w:hAnsi="Times New Roman" w:cs="Times New Roman"/>
          <w:color w:val="000000" w:themeColor="text1"/>
        </w:rPr>
        <w:t>,</w:t>
      </w:r>
      <w:r w:rsidRPr="009F065E">
        <w:rPr>
          <w:rFonts w:ascii="Times New Roman" w:hAnsi="Times New Roman" w:cs="Times New Roman"/>
          <w:color w:val="000000" w:themeColor="text1"/>
        </w:rPr>
        <w:t xml:space="preserve"> </w:t>
      </w:r>
      <w:r>
        <w:rPr>
          <w:rFonts w:ascii="Times New Roman" w:hAnsi="Times New Roman" w:cs="Times New Roman"/>
          <w:color w:val="000000" w:themeColor="text1"/>
        </w:rPr>
        <w:t>large</w:t>
      </w:r>
      <w:r w:rsidR="00D92CB2">
        <w:rPr>
          <w:rFonts w:ascii="Times New Roman" w:hAnsi="Times New Roman" w:cs="Times New Roman"/>
          <w:color w:val="000000" w:themeColor="text1"/>
        </w:rPr>
        <w:t>r</w:t>
      </w:r>
      <w:r>
        <w:rPr>
          <w:rFonts w:ascii="Times New Roman" w:hAnsi="Times New Roman" w:cs="Times New Roman"/>
          <w:color w:val="000000" w:themeColor="text1"/>
        </w:rPr>
        <w:t xml:space="preserve"> board</w:t>
      </w:r>
      <w:r w:rsidR="00D92CB2">
        <w:rPr>
          <w:rFonts w:ascii="Times New Roman" w:hAnsi="Times New Roman" w:cs="Times New Roman"/>
          <w:color w:val="000000" w:themeColor="text1"/>
        </w:rPr>
        <w:t>s</w:t>
      </w:r>
      <w:r>
        <w:rPr>
          <w:rFonts w:ascii="Times New Roman" w:hAnsi="Times New Roman" w:cs="Times New Roman"/>
          <w:color w:val="000000" w:themeColor="text1"/>
        </w:rPr>
        <w:t xml:space="preserve"> might be </w:t>
      </w:r>
      <w:r w:rsidR="00F5726B">
        <w:rPr>
          <w:rFonts w:ascii="Times New Roman" w:hAnsi="Times New Roman" w:cs="Times New Roman"/>
          <w:color w:val="000000" w:themeColor="text1"/>
        </w:rPr>
        <w:t>in</w:t>
      </w:r>
      <w:r>
        <w:rPr>
          <w:rFonts w:ascii="Times New Roman" w:hAnsi="Times New Roman" w:cs="Times New Roman"/>
          <w:color w:val="000000" w:themeColor="text1"/>
        </w:rPr>
        <w:t>effective in r</w:t>
      </w:r>
      <w:r w:rsidRPr="009F065E">
        <w:rPr>
          <w:rFonts w:ascii="Times New Roman" w:hAnsi="Times New Roman" w:cs="Times New Roman"/>
          <w:color w:val="000000" w:themeColor="text1"/>
        </w:rPr>
        <w:t>espon</w:t>
      </w:r>
      <w:r>
        <w:rPr>
          <w:rFonts w:ascii="Times New Roman" w:hAnsi="Times New Roman" w:cs="Times New Roman"/>
          <w:color w:val="000000" w:themeColor="text1"/>
        </w:rPr>
        <w:t xml:space="preserve">ding to climate-related risks. Empirically, </w:t>
      </w:r>
      <w:r w:rsidRPr="009F065E">
        <w:rPr>
          <w:rFonts w:ascii="Times New Roman" w:hAnsi="Times New Roman" w:cs="Times New Roman"/>
          <w:color w:val="000000" w:themeColor="text1"/>
        </w:rPr>
        <w:lastRenderedPageBreak/>
        <w:t>de Vil</w:t>
      </w:r>
      <w:r>
        <w:rPr>
          <w:rFonts w:ascii="Times New Roman" w:hAnsi="Times New Roman" w:cs="Times New Roman"/>
          <w:color w:val="000000" w:themeColor="text1"/>
        </w:rPr>
        <w:t>liers et al.</w:t>
      </w:r>
      <w:r w:rsidR="005F672E">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9F065E">
        <w:rPr>
          <w:rFonts w:ascii="Times New Roman" w:hAnsi="Times New Roman" w:cs="Times New Roman"/>
          <w:color w:val="000000" w:themeColor="text1"/>
        </w:rPr>
        <w:t>2011</w:t>
      </w:r>
      <w:r>
        <w:rPr>
          <w:rFonts w:ascii="Times New Roman" w:hAnsi="Times New Roman" w:cs="Times New Roman"/>
          <w:color w:val="000000" w:themeColor="text1"/>
        </w:rPr>
        <w:t>)</w:t>
      </w:r>
      <w:r w:rsidR="00E10B22">
        <w:rPr>
          <w:rFonts w:ascii="Times New Roman" w:hAnsi="Times New Roman" w:cs="Times New Roman"/>
          <w:color w:val="000000" w:themeColor="text1"/>
        </w:rPr>
        <w:t>,</w:t>
      </w:r>
      <w:r>
        <w:rPr>
          <w:rFonts w:ascii="Times New Roman" w:hAnsi="Times New Roman" w:cs="Times New Roman"/>
          <w:color w:val="000000" w:themeColor="text1"/>
        </w:rPr>
        <w:t xml:space="preserve"> and </w:t>
      </w:r>
      <w:hyperlink r:id="rId16" w:history="1">
        <w:r w:rsidRPr="009F065E">
          <w:rPr>
            <w:rStyle w:val="Hyperlink"/>
            <w:rFonts w:ascii="Times New Roman" w:hAnsi="Times New Roman" w:cs="Times New Roman"/>
            <w:color w:val="000000" w:themeColor="text1"/>
            <w:u w:val="none"/>
          </w:rPr>
          <w:t>Tauringana</w:t>
        </w:r>
      </w:hyperlink>
      <w:r w:rsidRPr="009F065E">
        <w:rPr>
          <w:rFonts w:ascii="Times New Roman" w:hAnsi="Times New Roman" w:cs="Times New Roman"/>
          <w:color w:val="000000" w:themeColor="text1"/>
        </w:rPr>
        <w:t xml:space="preserve"> </w:t>
      </w:r>
      <w:r w:rsidR="003A0726">
        <w:rPr>
          <w:rFonts w:ascii="Times New Roman" w:hAnsi="Times New Roman" w:cs="Times New Roman"/>
          <w:color w:val="000000" w:themeColor="text1"/>
        </w:rPr>
        <w:t>and</w:t>
      </w:r>
      <w:r w:rsidRPr="009F065E">
        <w:rPr>
          <w:rFonts w:ascii="Times New Roman" w:hAnsi="Times New Roman" w:cs="Times New Roman"/>
          <w:color w:val="000000" w:themeColor="text1"/>
        </w:rPr>
        <w:t xml:space="preserve"> </w:t>
      </w:r>
      <w:hyperlink r:id="rId17" w:history="1">
        <w:r w:rsidRPr="009F065E">
          <w:rPr>
            <w:rStyle w:val="Hyperlink"/>
            <w:rFonts w:ascii="Times New Roman" w:hAnsi="Times New Roman" w:cs="Times New Roman"/>
            <w:color w:val="000000" w:themeColor="text1"/>
            <w:u w:val="none"/>
          </w:rPr>
          <w:t>Chithambo</w:t>
        </w:r>
      </w:hyperlink>
      <w:r w:rsidRPr="009F065E">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9F065E">
        <w:rPr>
          <w:rFonts w:ascii="Times New Roman" w:hAnsi="Times New Roman" w:cs="Times New Roman"/>
          <w:color w:val="000000" w:themeColor="text1"/>
        </w:rPr>
        <w:t>2015</w:t>
      </w:r>
      <w:r>
        <w:rPr>
          <w:rFonts w:ascii="Times New Roman" w:hAnsi="Times New Roman" w:cs="Times New Roman"/>
          <w:color w:val="000000" w:themeColor="text1"/>
        </w:rPr>
        <w:t xml:space="preserve">) find that board size has a positive relationship with environmental performance and GHG disclosures, even though </w:t>
      </w:r>
      <w:r w:rsidRPr="00996327">
        <w:rPr>
          <w:rFonts w:ascii="Times New Roman" w:hAnsi="Times New Roman" w:cs="Times New Roman"/>
          <w:color w:val="000000" w:themeColor="text1"/>
        </w:rPr>
        <w:t xml:space="preserve">Prado-Lorenzo </w:t>
      </w:r>
      <w:r w:rsidR="00816E4F">
        <w:rPr>
          <w:rFonts w:ascii="Times New Roman" w:hAnsi="Times New Roman" w:cs="Times New Roman"/>
          <w:color w:val="000000" w:themeColor="text1"/>
        </w:rPr>
        <w:t>and</w:t>
      </w:r>
      <w:r w:rsidRPr="00996327">
        <w:rPr>
          <w:rFonts w:ascii="Times New Roman" w:hAnsi="Times New Roman" w:cs="Times New Roman"/>
          <w:color w:val="000000" w:themeColor="text1"/>
        </w:rPr>
        <w:t xml:space="preserve"> Garcia-Sanchez (2010) find </w:t>
      </w:r>
      <w:r w:rsidR="005D049B" w:rsidRPr="00996327">
        <w:rPr>
          <w:rFonts w:ascii="Times New Roman" w:hAnsi="Times New Roman" w:cs="Times New Roman"/>
          <w:color w:val="000000" w:themeColor="text1"/>
        </w:rPr>
        <w:t>opposite</w:t>
      </w:r>
      <w:r w:rsidRPr="00996327">
        <w:rPr>
          <w:rFonts w:ascii="Times New Roman" w:hAnsi="Times New Roman" w:cs="Times New Roman"/>
          <w:color w:val="000000" w:themeColor="text1"/>
        </w:rPr>
        <w:t xml:space="preserve"> relationship between board size and GHG disclosures. Considering these contradictory</w:t>
      </w:r>
      <w:r w:rsidR="002D38E0" w:rsidRPr="00996327">
        <w:rPr>
          <w:rFonts w:ascii="Times New Roman" w:hAnsi="Times New Roman" w:cs="Times New Roman"/>
          <w:color w:val="000000" w:themeColor="text1"/>
        </w:rPr>
        <w:t xml:space="preserve"> theoretical predictions and empirical findings, </w:t>
      </w:r>
      <w:r w:rsidR="009E0525">
        <w:rPr>
          <w:rFonts w:ascii="Times New Roman" w:hAnsi="Times New Roman" w:cs="Times New Roman"/>
          <w:color w:val="000000" w:themeColor="text1"/>
        </w:rPr>
        <w:t>our next hypothesis is</w:t>
      </w:r>
      <w:r w:rsidR="002D38E0" w:rsidRPr="00996327">
        <w:rPr>
          <w:rFonts w:ascii="Times New Roman" w:hAnsi="Times New Roman" w:cs="Times New Roman"/>
          <w:color w:val="000000" w:themeColor="text1"/>
        </w:rPr>
        <w:t>:</w:t>
      </w:r>
      <w:r w:rsidRPr="0099632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p>
    <w:p w14:paraId="069ADE3C" w14:textId="77777777" w:rsidR="00160845" w:rsidRDefault="00160845" w:rsidP="00160845">
      <w:pPr>
        <w:spacing w:after="0" w:line="360" w:lineRule="auto"/>
        <w:ind w:firstLine="720"/>
        <w:jc w:val="both"/>
        <w:rPr>
          <w:rFonts w:ascii="Times New Roman" w:hAnsi="Times New Roman" w:cs="Times New Roman"/>
          <w:color w:val="000000" w:themeColor="text1"/>
        </w:rPr>
      </w:pPr>
    </w:p>
    <w:p w14:paraId="759B6AF2" w14:textId="438EE2EC" w:rsidR="00896676" w:rsidRDefault="00160845" w:rsidP="001B7F56">
      <w:pPr>
        <w:spacing w:after="0" w:line="240" w:lineRule="auto"/>
        <w:ind w:left="720"/>
        <w:jc w:val="both"/>
        <w:rPr>
          <w:rFonts w:ascii="Times New Roman" w:hAnsi="Times New Roman" w:cs="Times New Roman"/>
          <w:i/>
          <w:color w:val="000000" w:themeColor="text1"/>
        </w:rPr>
      </w:pPr>
      <w:r w:rsidRPr="009F065E">
        <w:rPr>
          <w:rFonts w:ascii="Times New Roman" w:hAnsi="Times New Roman" w:cs="Times New Roman"/>
          <w:i/>
          <w:color w:val="000000" w:themeColor="text1"/>
        </w:rPr>
        <w:t>Hypothesis 1</w:t>
      </w:r>
      <w:r>
        <w:rPr>
          <w:rFonts w:ascii="Times New Roman" w:hAnsi="Times New Roman" w:cs="Times New Roman"/>
          <w:i/>
          <w:color w:val="000000" w:themeColor="text1"/>
        </w:rPr>
        <w:t>d</w:t>
      </w:r>
      <w:r w:rsidRPr="009F065E">
        <w:rPr>
          <w:rFonts w:ascii="Times New Roman" w:hAnsi="Times New Roman" w:cs="Times New Roman"/>
          <w:i/>
          <w:color w:val="000000" w:themeColor="text1"/>
        </w:rPr>
        <w:t xml:space="preserve">: Ceteris paribus, the interaction </w:t>
      </w:r>
      <w:r w:rsidR="00896676">
        <w:rPr>
          <w:rFonts w:ascii="Times New Roman" w:hAnsi="Times New Roman" w:cs="Times New Roman"/>
          <w:i/>
          <w:color w:val="000000" w:themeColor="text1"/>
        </w:rPr>
        <w:t xml:space="preserve">between </w:t>
      </w:r>
      <w:r w:rsidRPr="009F065E">
        <w:rPr>
          <w:rFonts w:ascii="Times New Roman" w:hAnsi="Times New Roman" w:cs="Times New Roman"/>
          <w:i/>
          <w:color w:val="000000" w:themeColor="text1"/>
        </w:rPr>
        <w:t xml:space="preserve">the CCA and board </w:t>
      </w:r>
      <w:r>
        <w:rPr>
          <w:rFonts w:ascii="Times New Roman" w:hAnsi="Times New Roman" w:cs="Times New Roman"/>
          <w:i/>
          <w:color w:val="000000" w:themeColor="text1"/>
        </w:rPr>
        <w:t>size</w:t>
      </w:r>
      <w:r w:rsidRPr="009F065E">
        <w:rPr>
          <w:rFonts w:ascii="Times New Roman" w:hAnsi="Times New Roman" w:cs="Times New Roman"/>
          <w:i/>
          <w:color w:val="000000" w:themeColor="text1"/>
        </w:rPr>
        <w:t xml:space="preserve"> is likely to have a </w:t>
      </w:r>
      <w:r w:rsidR="002D38E0">
        <w:rPr>
          <w:rFonts w:ascii="Times New Roman" w:hAnsi="Times New Roman" w:cs="Times New Roman"/>
          <w:i/>
          <w:color w:val="000000" w:themeColor="text1"/>
        </w:rPr>
        <w:t>significant</w:t>
      </w:r>
      <w:r w:rsidRPr="009F065E">
        <w:rPr>
          <w:rFonts w:ascii="Times New Roman" w:hAnsi="Times New Roman" w:cs="Times New Roman"/>
          <w:i/>
          <w:color w:val="000000" w:themeColor="text1"/>
        </w:rPr>
        <w:t xml:space="preserve"> </w:t>
      </w:r>
      <w:r w:rsidR="00896676">
        <w:rPr>
          <w:rFonts w:ascii="Times New Roman" w:hAnsi="Times New Roman" w:cs="Times New Roman"/>
          <w:i/>
          <w:color w:val="000000" w:themeColor="text1"/>
        </w:rPr>
        <w:t xml:space="preserve">impact on </w:t>
      </w:r>
      <w:r w:rsidRPr="009F065E">
        <w:rPr>
          <w:rFonts w:ascii="Times New Roman" w:hAnsi="Times New Roman" w:cs="Times New Roman"/>
          <w:i/>
          <w:color w:val="000000" w:themeColor="text1"/>
        </w:rPr>
        <w:t xml:space="preserve">carbon performance of a firm, </w:t>
      </w:r>
      <w:r w:rsidR="00896676" w:rsidRPr="009F065E">
        <w:rPr>
          <w:rFonts w:ascii="Times New Roman" w:hAnsi="Times New Roman" w:cs="Times New Roman"/>
          <w:i/>
          <w:color w:val="000000" w:themeColor="text1"/>
        </w:rPr>
        <w:t xml:space="preserve">and this effect </w:t>
      </w:r>
      <w:r w:rsidR="00896676">
        <w:rPr>
          <w:rFonts w:ascii="Times New Roman" w:hAnsi="Times New Roman" w:cs="Times New Roman"/>
          <w:i/>
          <w:color w:val="000000" w:themeColor="text1"/>
        </w:rPr>
        <w:t>is expected to be</w:t>
      </w:r>
      <w:r w:rsidR="00896676" w:rsidRPr="009F065E">
        <w:rPr>
          <w:rFonts w:ascii="Times New Roman" w:hAnsi="Times New Roman" w:cs="Times New Roman"/>
          <w:i/>
          <w:color w:val="000000" w:themeColor="text1"/>
        </w:rPr>
        <w:t xml:space="preserve"> greater </w:t>
      </w:r>
      <w:r w:rsidR="00896676">
        <w:rPr>
          <w:rFonts w:ascii="Times New Roman" w:hAnsi="Times New Roman" w:cs="Times New Roman"/>
          <w:i/>
          <w:color w:val="000000" w:themeColor="text1"/>
        </w:rPr>
        <w:t>for</w:t>
      </w:r>
      <w:r w:rsidR="00896676" w:rsidRPr="009F065E">
        <w:rPr>
          <w:rFonts w:ascii="Times New Roman" w:hAnsi="Times New Roman" w:cs="Times New Roman"/>
          <w:i/>
          <w:color w:val="000000" w:themeColor="text1"/>
        </w:rPr>
        <w:t xml:space="preserve"> </w:t>
      </w:r>
      <w:r w:rsidR="00896676">
        <w:rPr>
          <w:rFonts w:ascii="Times New Roman" w:hAnsi="Times New Roman" w:cs="Times New Roman"/>
          <w:i/>
          <w:color w:val="000000" w:themeColor="text1"/>
        </w:rPr>
        <w:t>CRIs</w:t>
      </w:r>
      <w:r w:rsidR="00896676" w:rsidRPr="009F065E">
        <w:rPr>
          <w:rFonts w:ascii="Times New Roman" w:hAnsi="Times New Roman" w:cs="Times New Roman"/>
          <w:i/>
          <w:color w:val="000000" w:themeColor="text1"/>
        </w:rPr>
        <w:t xml:space="preserve"> than </w:t>
      </w:r>
      <w:r w:rsidR="00896676">
        <w:rPr>
          <w:rFonts w:ascii="Times New Roman" w:hAnsi="Times New Roman" w:cs="Times New Roman"/>
          <w:i/>
          <w:color w:val="000000" w:themeColor="text1"/>
        </w:rPr>
        <w:t xml:space="preserve">reductions in actual </w:t>
      </w:r>
      <w:r w:rsidR="00896676" w:rsidRPr="009F065E">
        <w:rPr>
          <w:rFonts w:ascii="Times New Roman" w:hAnsi="Times New Roman" w:cs="Times New Roman"/>
          <w:i/>
          <w:color w:val="000000" w:themeColor="text1"/>
        </w:rPr>
        <w:t>GHG emissions.</w:t>
      </w:r>
    </w:p>
    <w:p w14:paraId="013E1E75" w14:textId="77777777" w:rsidR="00160845" w:rsidRDefault="00160845" w:rsidP="001B7F56">
      <w:pPr>
        <w:spacing w:after="0" w:line="360" w:lineRule="auto"/>
        <w:ind w:left="720"/>
        <w:jc w:val="both"/>
        <w:rPr>
          <w:rFonts w:ascii="Times New Roman" w:hAnsi="Times New Roman" w:cs="Times New Roman"/>
          <w:color w:val="000000" w:themeColor="text1"/>
        </w:rPr>
      </w:pPr>
    </w:p>
    <w:p w14:paraId="35759285" w14:textId="4401542F" w:rsidR="00A547F0" w:rsidRDefault="00FD3A09" w:rsidP="00D153CE">
      <w:pPr>
        <w:spacing w:after="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The CEO duality tends to reduce the independence of the board, since </w:t>
      </w:r>
      <w:r w:rsidR="00EE59E7">
        <w:rPr>
          <w:rFonts w:ascii="Times New Roman" w:hAnsi="Times New Roman" w:cs="Times New Roman"/>
          <w:color w:val="000000" w:themeColor="text1"/>
        </w:rPr>
        <w:t>it can</w:t>
      </w:r>
      <w:r>
        <w:rPr>
          <w:rFonts w:ascii="Times New Roman" w:hAnsi="Times New Roman" w:cs="Times New Roman"/>
          <w:color w:val="000000" w:themeColor="text1"/>
        </w:rPr>
        <w:t xml:space="preserve"> give the CEO too much power that might be used to maximise short-term monetary interests of the executives at the expense of long-term strategic investments</w:t>
      </w:r>
      <w:r w:rsidR="00144D10">
        <w:rPr>
          <w:rFonts w:ascii="Times New Roman" w:hAnsi="Times New Roman" w:cs="Times New Roman"/>
          <w:color w:val="000000" w:themeColor="text1"/>
        </w:rPr>
        <w:t>, including those</w:t>
      </w:r>
      <w:r>
        <w:rPr>
          <w:rFonts w:ascii="Times New Roman" w:hAnsi="Times New Roman" w:cs="Times New Roman"/>
          <w:color w:val="000000" w:themeColor="text1"/>
        </w:rPr>
        <w:t xml:space="preserve"> </w:t>
      </w:r>
      <w:r w:rsidR="00EE59E7">
        <w:rPr>
          <w:rFonts w:ascii="Times New Roman" w:hAnsi="Times New Roman" w:cs="Times New Roman"/>
          <w:color w:val="000000" w:themeColor="text1"/>
        </w:rPr>
        <w:t>relating to</w:t>
      </w:r>
      <w:r>
        <w:rPr>
          <w:rFonts w:ascii="Times New Roman" w:hAnsi="Times New Roman" w:cs="Times New Roman"/>
          <w:color w:val="000000" w:themeColor="text1"/>
        </w:rPr>
        <w:t xml:space="preserve"> environmental projects (</w:t>
      </w:r>
      <w:r w:rsidRPr="009F065E">
        <w:rPr>
          <w:rFonts w:ascii="Times New Roman" w:hAnsi="Times New Roman" w:cs="Times New Roman"/>
          <w:color w:val="000000" w:themeColor="text1"/>
        </w:rPr>
        <w:t>de Vil</w:t>
      </w:r>
      <w:r>
        <w:rPr>
          <w:rFonts w:ascii="Times New Roman" w:hAnsi="Times New Roman" w:cs="Times New Roman"/>
          <w:color w:val="000000" w:themeColor="text1"/>
        </w:rPr>
        <w:t xml:space="preserve">liers et al., </w:t>
      </w:r>
      <w:r w:rsidRPr="009F065E">
        <w:rPr>
          <w:rFonts w:ascii="Times New Roman" w:hAnsi="Times New Roman" w:cs="Times New Roman"/>
          <w:color w:val="000000" w:themeColor="text1"/>
        </w:rPr>
        <w:t>2011</w:t>
      </w:r>
      <w:r>
        <w:rPr>
          <w:rFonts w:ascii="Times New Roman" w:hAnsi="Times New Roman" w:cs="Times New Roman"/>
          <w:color w:val="000000" w:themeColor="text1"/>
        </w:rPr>
        <w:t xml:space="preserve">). This </w:t>
      </w:r>
      <w:r w:rsidR="00F25C73">
        <w:rPr>
          <w:rFonts w:ascii="Times New Roman" w:hAnsi="Times New Roman" w:cs="Times New Roman"/>
          <w:color w:val="000000" w:themeColor="text1"/>
        </w:rPr>
        <w:t xml:space="preserve">can </w:t>
      </w:r>
      <w:r>
        <w:rPr>
          <w:rFonts w:ascii="Times New Roman" w:hAnsi="Times New Roman" w:cs="Times New Roman"/>
          <w:color w:val="000000" w:themeColor="text1"/>
        </w:rPr>
        <w:t xml:space="preserve">eventually reduce carbon performance and carbon-related </w:t>
      </w:r>
      <w:r w:rsidR="00EE59E7">
        <w:rPr>
          <w:rFonts w:ascii="Times New Roman" w:hAnsi="Times New Roman" w:cs="Times New Roman"/>
          <w:color w:val="000000" w:themeColor="text1"/>
        </w:rPr>
        <w:t xml:space="preserve">activities </w:t>
      </w:r>
      <w:r>
        <w:rPr>
          <w:rFonts w:ascii="Times New Roman" w:hAnsi="Times New Roman" w:cs="Times New Roman"/>
          <w:color w:val="000000" w:themeColor="text1"/>
        </w:rPr>
        <w:t xml:space="preserve">of a firm. Empirically, </w:t>
      </w:r>
      <w:r w:rsidRPr="00996327">
        <w:rPr>
          <w:rFonts w:ascii="Times New Roman" w:hAnsi="Times New Roman" w:cs="Times New Roman"/>
          <w:color w:val="000000" w:themeColor="text1"/>
        </w:rPr>
        <w:t>Prado-</w:t>
      </w:r>
      <w:r w:rsidRPr="00996327">
        <w:rPr>
          <w:rFonts w:ascii="Times New Roman" w:hAnsi="Times New Roman" w:cs="Times New Roman"/>
          <w:color w:val="000000" w:themeColor="text1"/>
        </w:rPr>
        <w:lastRenderedPageBreak/>
        <w:t xml:space="preserve">Lorenzo </w:t>
      </w:r>
      <w:r w:rsidR="009E0525">
        <w:rPr>
          <w:rFonts w:ascii="Times New Roman" w:hAnsi="Times New Roman" w:cs="Times New Roman"/>
          <w:color w:val="000000" w:themeColor="text1"/>
        </w:rPr>
        <w:t>and</w:t>
      </w:r>
      <w:r w:rsidRPr="00996327">
        <w:rPr>
          <w:rFonts w:ascii="Times New Roman" w:hAnsi="Times New Roman" w:cs="Times New Roman"/>
          <w:color w:val="000000" w:themeColor="text1"/>
        </w:rPr>
        <w:t xml:space="preserve"> Garcia-Sanchez (2010) find a positive relationship between CEO</w:t>
      </w:r>
      <w:r w:rsidR="007B38FE">
        <w:rPr>
          <w:rFonts w:ascii="Times New Roman" w:hAnsi="Times New Roman" w:cs="Times New Roman"/>
          <w:color w:val="000000" w:themeColor="text1"/>
        </w:rPr>
        <w:t xml:space="preserve"> </w:t>
      </w:r>
      <w:r w:rsidRPr="00996327">
        <w:rPr>
          <w:rFonts w:ascii="Times New Roman" w:hAnsi="Times New Roman" w:cs="Times New Roman"/>
          <w:color w:val="000000" w:themeColor="text1"/>
        </w:rPr>
        <w:t xml:space="preserve">duality and GHG disclosures, although </w:t>
      </w:r>
      <w:r w:rsidRPr="009F065E">
        <w:rPr>
          <w:rFonts w:ascii="Times New Roman" w:hAnsi="Times New Roman" w:cs="Times New Roman"/>
          <w:color w:val="000000" w:themeColor="text1"/>
        </w:rPr>
        <w:t>de Vil</w:t>
      </w:r>
      <w:r>
        <w:rPr>
          <w:rFonts w:ascii="Times New Roman" w:hAnsi="Times New Roman" w:cs="Times New Roman"/>
          <w:color w:val="000000" w:themeColor="text1"/>
        </w:rPr>
        <w:t>liers et al.</w:t>
      </w:r>
      <w:r w:rsidR="005F672E">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9F065E">
        <w:rPr>
          <w:rFonts w:ascii="Times New Roman" w:hAnsi="Times New Roman" w:cs="Times New Roman"/>
          <w:color w:val="000000" w:themeColor="text1"/>
        </w:rPr>
        <w:t>2011</w:t>
      </w:r>
      <w:r>
        <w:rPr>
          <w:rFonts w:ascii="Times New Roman" w:hAnsi="Times New Roman" w:cs="Times New Roman"/>
          <w:color w:val="000000" w:themeColor="text1"/>
        </w:rPr>
        <w:t xml:space="preserve">) find statistically insignificant results. Therefore, we argue that CEO duality is likely to reduce the effectiveness of the board in devising </w:t>
      </w:r>
      <w:r w:rsidR="00FA5534">
        <w:rPr>
          <w:rFonts w:ascii="Times New Roman" w:hAnsi="Times New Roman" w:cs="Times New Roman"/>
          <w:color w:val="000000" w:themeColor="text1"/>
        </w:rPr>
        <w:t xml:space="preserve">long-term </w:t>
      </w:r>
      <w:r>
        <w:rPr>
          <w:rFonts w:ascii="Times New Roman" w:hAnsi="Times New Roman" w:cs="Times New Roman"/>
          <w:color w:val="000000" w:themeColor="text1"/>
        </w:rPr>
        <w:t>climate-related strategies of a firm</w:t>
      </w:r>
      <w:r w:rsidR="002D33E9">
        <w:rPr>
          <w:rFonts w:ascii="Times New Roman" w:hAnsi="Times New Roman" w:cs="Times New Roman"/>
          <w:color w:val="000000" w:themeColor="text1"/>
        </w:rPr>
        <w:t xml:space="preserve">, and </w:t>
      </w:r>
      <w:r w:rsidR="00FA5534">
        <w:rPr>
          <w:rFonts w:ascii="Times New Roman" w:hAnsi="Times New Roman" w:cs="Times New Roman"/>
          <w:color w:val="000000" w:themeColor="text1"/>
        </w:rPr>
        <w:t xml:space="preserve">instead </w:t>
      </w:r>
      <w:r w:rsidR="002D33E9">
        <w:rPr>
          <w:rFonts w:ascii="Times New Roman" w:hAnsi="Times New Roman" w:cs="Times New Roman"/>
          <w:color w:val="000000" w:themeColor="text1"/>
        </w:rPr>
        <w:t>direct firms’ resources towards short-term investment projects.</w:t>
      </w:r>
      <w:r w:rsidR="00270582">
        <w:rPr>
          <w:rFonts w:ascii="Times New Roman" w:hAnsi="Times New Roman" w:cs="Times New Roman"/>
          <w:color w:val="000000" w:themeColor="text1"/>
        </w:rPr>
        <w:t xml:space="preserve"> Thus</w:t>
      </w:r>
      <w:r w:rsidR="007B38FE">
        <w:rPr>
          <w:rFonts w:ascii="Times New Roman" w:hAnsi="Times New Roman" w:cs="Times New Roman"/>
          <w:color w:val="000000" w:themeColor="text1"/>
        </w:rPr>
        <w:t>,</w:t>
      </w:r>
      <w:r w:rsidR="00270582">
        <w:rPr>
          <w:rFonts w:ascii="Times New Roman" w:hAnsi="Times New Roman" w:cs="Times New Roman"/>
          <w:color w:val="000000" w:themeColor="text1"/>
        </w:rPr>
        <w:t xml:space="preserve"> our next</w:t>
      </w:r>
      <w:r w:rsidR="00B14289">
        <w:rPr>
          <w:rFonts w:ascii="Times New Roman" w:hAnsi="Times New Roman" w:cs="Times New Roman"/>
          <w:color w:val="000000" w:themeColor="text1"/>
        </w:rPr>
        <w:t xml:space="preserve"> hypothesis</w:t>
      </w:r>
      <w:r w:rsidR="00270582">
        <w:rPr>
          <w:rFonts w:ascii="Times New Roman" w:hAnsi="Times New Roman" w:cs="Times New Roman"/>
          <w:color w:val="000000" w:themeColor="text1"/>
        </w:rPr>
        <w:t xml:space="preserve"> is</w:t>
      </w:r>
      <w:r w:rsidR="00B14289">
        <w:rPr>
          <w:rFonts w:ascii="Times New Roman" w:hAnsi="Times New Roman" w:cs="Times New Roman"/>
          <w:color w:val="000000" w:themeColor="text1"/>
        </w:rPr>
        <w:t xml:space="preserve">: </w:t>
      </w:r>
    </w:p>
    <w:p w14:paraId="0EB97CEB" w14:textId="77777777" w:rsidR="00A547F0" w:rsidRDefault="00A547F0" w:rsidP="00A547F0">
      <w:pPr>
        <w:spacing w:after="0" w:line="360" w:lineRule="auto"/>
        <w:ind w:firstLine="720"/>
        <w:jc w:val="both"/>
        <w:rPr>
          <w:rFonts w:ascii="Times New Roman" w:hAnsi="Times New Roman" w:cs="Times New Roman"/>
          <w:color w:val="000000" w:themeColor="text1"/>
        </w:rPr>
      </w:pPr>
    </w:p>
    <w:p w14:paraId="6C3670F1" w14:textId="4B11B8B8" w:rsidR="00A31C73" w:rsidRDefault="004C729C" w:rsidP="001B7F56">
      <w:pPr>
        <w:spacing w:after="0" w:line="240" w:lineRule="auto"/>
        <w:ind w:left="720"/>
        <w:jc w:val="both"/>
        <w:rPr>
          <w:rFonts w:ascii="Times New Roman" w:hAnsi="Times New Roman" w:cs="Times New Roman"/>
          <w:i/>
          <w:color w:val="000000" w:themeColor="text1"/>
        </w:rPr>
      </w:pPr>
      <w:r w:rsidRPr="009F065E">
        <w:rPr>
          <w:rFonts w:ascii="Times New Roman" w:hAnsi="Times New Roman" w:cs="Times New Roman"/>
          <w:i/>
          <w:color w:val="000000" w:themeColor="text1"/>
        </w:rPr>
        <w:t>Hypothesis 1</w:t>
      </w:r>
      <w:r>
        <w:rPr>
          <w:rFonts w:ascii="Times New Roman" w:hAnsi="Times New Roman" w:cs="Times New Roman"/>
          <w:i/>
          <w:color w:val="000000" w:themeColor="text1"/>
        </w:rPr>
        <w:t>e</w:t>
      </w:r>
      <w:r w:rsidRPr="009F065E">
        <w:rPr>
          <w:rFonts w:ascii="Times New Roman" w:hAnsi="Times New Roman" w:cs="Times New Roman"/>
          <w:i/>
          <w:color w:val="000000" w:themeColor="text1"/>
        </w:rPr>
        <w:t>: Ceteris paribus, the i</w:t>
      </w:r>
      <w:r>
        <w:rPr>
          <w:rFonts w:ascii="Times New Roman" w:hAnsi="Times New Roman" w:cs="Times New Roman"/>
          <w:i/>
          <w:color w:val="000000" w:themeColor="text1"/>
        </w:rPr>
        <w:t xml:space="preserve">nteraction </w:t>
      </w:r>
      <w:r w:rsidR="00FA5534">
        <w:rPr>
          <w:rFonts w:ascii="Times New Roman" w:hAnsi="Times New Roman" w:cs="Times New Roman"/>
          <w:i/>
          <w:color w:val="000000" w:themeColor="text1"/>
        </w:rPr>
        <w:t>between the</w:t>
      </w:r>
      <w:r>
        <w:rPr>
          <w:rFonts w:ascii="Times New Roman" w:hAnsi="Times New Roman" w:cs="Times New Roman"/>
          <w:i/>
          <w:color w:val="000000" w:themeColor="text1"/>
        </w:rPr>
        <w:t xml:space="preserve"> CCA and CEO</w:t>
      </w:r>
      <w:r w:rsidR="007B38FE">
        <w:rPr>
          <w:rFonts w:ascii="Times New Roman" w:hAnsi="Times New Roman" w:cs="Times New Roman"/>
          <w:i/>
          <w:color w:val="000000" w:themeColor="text1"/>
        </w:rPr>
        <w:t xml:space="preserve"> </w:t>
      </w:r>
      <w:r>
        <w:rPr>
          <w:rFonts w:ascii="Times New Roman" w:hAnsi="Times New Roman" w:cs="Times New Roman"/>
          <w:i/>
          <w:color w:val="000000" w:themeColor="text1"/>
        </w:rPr>
        <w:t>duality</w:t>
      </w:r>
      <w:r w:rsidRPr="009F065E">
        <w:rPr>
          <w:rFonts w:ascii="Times New Roman" w:hAnsi="Times New Roman" w:cs="Times New Roman"/>
          <w:i/>
          <w:color w:val="000000" w:themeColor="text1"/>
        </w:rPr>
        <w:t xml:space="preserve"> is likely to have a </w:t>
      </w:r>
      <w:r>
        <w:rPr>
          <w:rFonts w:ascii="Times New Roman" w:hAnsi="Times New Roman" w:cs="Times New Roman"/>
          <w:i/>
          <w:color w:val="000000" w:themeColor="text1"/>
        </w:rPr>
        <w:t>significant</w:t>
      </w:r>
      <w:r w:rsidRPr="009F065E">
        <w:rPr>
          <w:rFonts w:ascii="Times New Roman" w:hAnsi="Times New Roman" w:cs="Times New Roman"/>
          <w:i/>
          <w:color w:val="000000" w:themeColor="text1"/>
        </w:rPr>
        <w:t xml:space="preserve"> </w:t>
      </w:r>
      <w:r w:rsidR="007B38FE">
        <w:rPr>
          <w:rFonts w:ascii="Times New Roman" w:hAnsi="Times New Roman" w:cs="Times New Roman"/>
          <w:i/>
          <w:color w:val="000000" w:themeColor="text1"/>
        </w:rPr>
        <w:t>impact on</w:t>
      </w:r>
      <w:r w:rsidRPr="009F065E">
        <w:rPr>
          <w:rFonts w:ascii="Times New Roman" w:hAnsi="Times New Roman" w:cs="Times New Roman"/>
          <w:i/>
          <w:color w:val="000000" w:themeColor="text1"/>
        </w:rPr>
        <w:t xml:space="preserve"> carbon performance of a firm, </w:t>
      </w:r>
      <w:r w:rsidR="00A31C73" w:rsidRPr="009F065E">
        <w:rPr>
          <w:rFonts w:ascii="Times New Roman" w:hAnsi="Times New Roman" w:cs="Times New Roman"/>
          <w:i/>
          <w:color w:val="000000" w:themeColor="text1"/>
        </w:rPr>
        <w:t xml:space="preserve">and this effect </w:t>
      </w:r>
      <w:r w:rsidR="00A31C73">
        <w:rPr>
          <w:rFonts w:ascii="Times New Roman" w:hAnsi="Times New Roman" w:cs="Times New Roman"/>
          <w:i/>
          <w:color w:val="000000" w:themeColor="text1"/>
        </w:rPr>
        <w:t>is expected to be</w:t>
      </w:r>
      <w:r w:rsidR="00A31C73" w:rsidRPr="009F065E">
        <w:rPr>
          <w:rFonts w:ascii="Times New Roman" w:hAnsi="Times New Roman" w:cs="Times New Roman"/>
          <w:i/>
          <w:color w:val="000000" w:themeColor="text1"/>
        </w:rPr>
        <w:t xml:space="preserve"> greater </w:t>
      </w:r>
      <w:r w:rsidR="00A31C73">
        <w:rPr>
          <w:rFonts w:ascii="Times New Roman" w:hAnsi="Times New Roman" w:cs="Times New Roman"/>
          <w:i/>
          <w:color w:val="000000" w:themeColor="text1"/>
        </w:rPr>
        <w:t>for</w:t>
      </w:r>
      <w:r w:rsidR="00A31C73" w:rsidRPr="009F065E">
        <w:rPr>
          <w:rFonts w:ascii="Times New Roman" w:hAnsi="Times New Roman" w:cs="Times New Roman"/>
          <w:i/>
          <w:color w:val="000000" w:themeColor="text1"/>
        </w:rPr>
        <w:t xml:space="preserve"> </w:t>
      </w:r>
      <w:r w:rsidR="00A31C73">
        <w:rPr>
          <w:rFonts w:ascii="Times New Roman" w:hAnsi="Times New Roman" w:cs="Times New Roman"/>
          <w:i/>
          <w:color w:val="000000" w:themeColor="text1"/>
        </w:rPr>
        <w:t>CRIs</w:t>
      </w:r>
      <w:r w:rsidR="00A31C73" w:rsidRPr="009F065E">
        <w:rPr>
          <w:rFonts w:ascii="Times New Roman" w:hAnsi="Times New Roman" w:cs="Times New Roman"/>
          <w:i/>
          <w:color w:val="000000" w:themeColor="text1"/>
        </w:rPr>
        <w:t xml:space="preserve"> than </w:t>
      </w:r>
      <w:r w:rsidR="00A31C73">
        <w:rPr>
          <w:rFonts w:ascii="Times New Roman" w:hAnsi="Times New Roman" w:cs="Times New Roman"/>
          <w:i/>
          <w:color w:val="000000" w:themeColor="text1"/>
        </w:rPr>
        <w:t xml:space="preserve">reductions in actual </w:t>
      </w:r>
      <w:r w:rsidR="00A31C73" w:rsidRPr="009F065E">
        <w:rPr>
          <w:rFonts w:ascii="Times New Roman" w:hAnsi="Times New Roman" w:cs="Times New Roman"/>
          <w:i/>
          <w:color w:val="000000" w:themeColor="text1"/>
        </w:rPr>
        <w:t>GHG emissions.</w:t>
      </w:r>
    </w:p>
    <w:p w14:paraId="74FCBA47" w14:textId="77777777" w:rsidR="00EF5547" w:rsidRDefault="00EF5547" w:rsidP="001B7F56">
      <w:pPr>
        <w:spacing w:after="0" w:line="360" w:lineRule="auto"/>
        <w:ind w:left="720"/>
        <w:jc w:val="both"/>
        <w:rPr>
          <w:rFonts w:ascii="Times New Roman" w:hAnsi="Times New Roman" w:cs="Times New Roman"/>
          <w:color w:val="000000" w:themeColor="text1"/>
        </w:rPr>
      </w:pPr>
    </w:p>
    <w:p w14:paraId="64F66176" w14:textId="74FF2510" w:rsidR="00C300C6" w:rsidRDefault="000D6254">
      <w:pPr>
        <w:pStyle w:val="ListParagraph"/>
        <w:numPr>
          <w:ilvl w:val="2"/>
          <w:numId w:val="1"/>
        </w:numPr>
        <w:spacing w:after="0" w:line="360" w:lineRule="auto"/>
        <w:ind w:left="720"/>
        <w:contextualSpacing w:val="0"/>
        <w:jc w:val="both"/>
        <w:rPr>
          <w:rFonts w:ascii="Times New Roman" w:hAnsi="Times New Roman" w:cs="Times New Roman"/>
          <w:i/>
          <w:color w:val="000000" w:themeColor="text1"/>
        </w:rPr>
      </w:pPr>
      <w:r>
        <w:rPr>
          <w:rFonts w:ascii="Times New Roman" w:hAnsi="Times New Roman" w:cs="Times New Roman"/>
          <w:i/>
          <w:color w:val="000000" w:themeColor="text1"/>
        </w:rPr>
        <w:t>Sustainable development</w:t>
      </w:r>
      <w:r w:rsidR="00D42E20">
        <w:rPr>
          <w:rFonts w:ascii="Times New Roman" w:hAnsi="Times New Roman" w:cs="Times New Roman"/>
          <w:i/>
          <w:color w:val="000000" w:themeColor="text1"/>
        </w:rPr>
        <w:t xml:space="preserve"> frameworks</w:t>
      </w:r>
      <w:r>
        <w:rPr>
          <w:rFonts w:ascii="Times New Roman" w:hAnsi="Times New Roman" w:cs="Times New Roman"/>
          <w:i/>
          <w:color w:val="000000" w:themeColor="text1"/>
        </w:rPr>
        <w:t xml:space="preserve"> (</w:t>
      </w:r>
      <w:r w:rsidR="009F065E" w:rsidRPr="009F065E">
        <w:rPr>
          <w:rFonts w:ascii="Times New Roman" w:hAnsi="Times New Roman" w:cs="Times New Roman"/>
          <w:i/>
          <w:color w:val="000000" w:themeColor="text1"/>
        </w:rPr>
        <w:t>GRI</w:t>
      </w:r>
      <w:r>
        <w:rPr>
          <w:rFonts w:ascii="Times New Roman" w:hAnsi="Times New Roman" w:cs="Times New Roman"/>
          <w:i/>
          <w:color w:val="000000" w:themeColor="text1"/>
        </w:rPr>
        <w:t xml:space="preserve"> and</w:t>
      </w:r>
      <w:r w:rsidR="009F065E" w:rsidRPr="009F065E">
        <w:rPr>
          <w:rFonts w:ascii="Times New Roman" w:hAnsi="Times New Roman" w:cs="Times New Roman"/>
          <w:i/>
          <w:color w:val="000000" w:themeColor="text1"/>
        </w:rPr>
        <w:t xml:space="preserve"> UNGC</w:t>
      </w:r>
      <w:r>
        <w:rPr>
          <w:rFonts w:ascii="Times New Roman" w:hAnsi="Times New Roman" w:cs="Times New Roman"/>
          <w:i/>
          <w:color w:val="000000" w:themeColor="text1"/>
        </w:rPr>
        <w:t>)</w:t>
      </w:r>
      <w:r w:rsidR="009C69D0">
        <w:rPr>
          <w:rFonts w:ascii="Times New Roman" w:hAnsi="Times New Roman" w:cs="Times New Roman"/>
          <w:i/>
          <w:color w:val="000000" w:themeColor="text1"/>
        </w:rPr>
        <w:t xml:space="preserve"> and environmental performance</w:t>
      </w:r>
      <w:r w:rsidR="009F065E" w:rsidRPr="009F065E">
        <w:rPr>
          <w:rFonts w:ascii="Times New Roman" w:hAnsi="Times New Roman" w:cs="Times New Roman"/>
          <w:i/>
          <w:color w:val="000000" w:themeColor="text1"/>
        </w:rPr>
        <w:t xml:space="preserve"> </w:t>
      </w:r>
      <w:r>
        <w:rPr>
          <w:rFonts w:ascii="Times New Roman" w:hAnsi="Times New Roman" w:cs="Times New Roman"/>
          <w:i/>
          <w:color w:val="000000" w:themeColor="text1"/>
        </w:rPr>
        <w:t>(CRI and GHG emissions)</w:t>
      </w:r>
    </w:p>
    <w:p w14:paraId="5B05D211" w14:textId="4D16DE2F" w:rsidR="00C300C6" w:rsidRDefault="00C300C6" w:rsidP="001B7F56">
      <w:pPr>
        <w:spacing w:after="0" w:line="240" w:lineRule="auto"/>
        <w:jc w:val="both"/>
        <w:rPr>
          <w:rFonts w:ascii="Times New Roman" w:hAnsi="Times New Roman" w:cs="Times New Roman"/>
          <w:color w:val="000000" w:themeColor="text1"/>
        </w:rPr>
      </w:pPr>
    </w:p>
    <w:p w14:paraId="3D14DEE2" w14:textId="591A0876" w:rsidR="004B0629" w:rsidRDefault="009F065E" w:rsidP="001B7F56">
      <w:pPr>
        <w:spacing w:after="0" w:line="360" w:lineRule="auto"/>
        <w:ind w:firstLine="720"/>
        <w:jc w:val="both"/>
        <w:rPr>
          <w:rFonts w:ascii="Times New Roman" w:hAnsi="Times New Roman" w:cs="Times New Roman"/>
          <w:lang w:val="en-US"/>
        </w:rPr>
      </w:pPr>
      <w:r w:rsidRPr="009F065E">
        <w:rPr>
          <w:rFonts w:ascii="Times New Roman" w:hAnsi="Times New Roman" w:cs="Times New Roman"/>
          <w:lang w:val="en-US"/>
        </w:rPr>
        <w:lastRenderedPageBreak/>
        <w:t>Perez-Batres et al.</w:t>
      </w:r>
      <w:r w:rsidR="005F672E">
        <w:rPr>
          <w:rFonts w:ascii="Times New Roman" w:hAnsi="Times New Roman" w:cs="Times New Roman"/>
          <w:lang w:val="en-US"/>
        </w:rPr>
        <w:t>,</w:t>
      </w:r>
      <w:r w:rsidRPr="009F065E">
        <w:rPr>
          <w:rFonts w:ascii="Times New Roman" w:hAnsi="Times New Roman" w:cs="Times New Roman"/>
          <w:lang w:val="en-US"/>
        </w:rPr>
        <w:t xml:space="preserve"> (2012) consider</w:t>
      </w:r>
      <w:r w:rsidR="00C86E9E">
        <w:rPr>
          <w:rFonts w:ascii="Times New Roman" w:hAnsi="Times New Roman" w:cs="Times New Roman"/>
          <w:lang w:val="en-US"/>
        </w:rPr>
        <w:t xml:space="preserve"> the</w:t>
      </w:r>
      <w:r w:rsidRPr="009F065E">
        <w:rPr>
          <w:rFonts w:ascii="Times New Roman" w:hAnsi="Times New Roman" w:cs="Times New Roman"/>
          <w:lang w:val="en-US"/>
        </w:rPr>
        <w:t xml:space="preserve"> GRI framework as Scott’s (1995) ‘normative pillar’ that establishes the moral base of organisational legitimacy. They also regard the adherence to</w:t>
      </w:r>
      <w:r w:rsidR="00C86E9E">
        <w:rPr>
          <w:rFonts w:ascii="Times New Roman" w:hAnsi="Times New Roman" w:cs="Times New Roman"/>
          <w:lang w:val="en-US"/>
        </w:rPr>
        <w:t xml:space="preserve"> the</w:t>
      </w:r>
      <w:r w:rsidRPr="009F065E">
        <w:rPr>
          <w:rFonts w:ascii="Times New Roman" w:hAnsi="Times New Roman" w:cs="Times New Roman"/>
          <w:lang w:val="en-US"/>
        </w:rPr>
        <w:t xml:space="preserve"> GRI framework as ‘mimetic isomorphism’ (DiMaggio </w:t>
      </w:r>
      <w:r w:rsidR="00403C43">
        <w:rPr>
          <w:rFonts w:ascii="Times New Roman" w:hAnsi="Times New Roman" w:cs="Times New Roman"/>
          <w:lang w:val="en-US"/>
        </w:rPr>
        <w:t>and</w:t>
      </w:r>
      <w:r w:rsidRPr="009F065E">
        <w:rPr>
          <w:rFonts w:ascii="Times New Roman" w:hAnsi="Times New Roman" w:cs="Times New Roman"/>
          <w:lang w:val="en-US"/>
        </w:rPr>
        <w:t xml:space="preserve"> Powell, 1991) in that firms imitate the actions of ‘legitimate’ industry peers. </w:t>
      </w:r>
      <w:r w:rsidRPr="009F065E">
        <w:rPr>
          <w:rFonts w:ascii="Times New Roman" w:hAnsi="Times New Roman" w:cs="Times New Roman"/>
          <w:color w:val="000000" w:themeColor="text1"/>
        </w:rPr>
        <w:t xml:space="preserve">Milne </w:t>
      </w:r>
      <w:r w:rsidR="00646F56">
        <w:rPr>
          <w:rFonts w:ascii="Times New Roman" w:hAnsi="Times New Roman" w:cs="Times New Roman"/>
          <w:color w:val="000000" w:themeColor="text1"/>
        </w:rPr>
        <w:t>and</w:t>
      </w:r>
      <w:r w:rsidRPr="009F065E">
        <w:rPr>
          <w:rFonts w:ascii="Times New Roman" w:hAnsi="Times New Roman" w:cs="Times New Roman"/>
          <w:color w:val="000000" w:themeColor="text1"/>
        </w:rPr>
        <w:t xml:space="preserve"> Gray (2013, p.24) argue that the GRI and other TBL </w:t>
      </w:r>
      <w:r w:rsidR="00646F56">
        <w:rPr>
          <w:rFonts w:ascii="Times New Roman" w:hAnsi="Times New Roman" w:cs="Times New Roman"/>
          <w:color w:val="000000" w:themeColor="text1"/>
        </w:rPr>
        <w:t>initiatives</w:t>
      </w:r>
      <w:r w:rsidR="00646F56" w:rsidRPr="009F065E">
        <w:rPr>
          <w:rFonts w:ascii="Times New Roman" w:hAnsi="Times New Roman" w:cs="Times New Roman"/>
          <w:color w:val="000000" w:themeColor="text1"/>
        </w:rPr>
        <w:t xml:space="preserve"> </w:t>
      </w:r>
      <w:r w:rsidRPr="009F065E">
        <w:rPr>
          <w:rFonts w:ascii="Times New Roman" w:hAnsi="Times New Roman" w:cs="Times New Roman"/>
          <w:color w:val="000000" w:themeColor="text1"/>
        </w:rPr>
        <w:t xml:space="preserve">have been instrumental in expanding and shaping organisational practices, even though it has also </w:t>
      </w:r>
      <w:r w:rsidR="00440314">
        <w:rPr>
          <w:rFonts w:ascii="Times New Roman" w:hAnsi="Times New Roman" w:cs="Times New Roman"/>
          <w:color w:val="000000" w:themeColor="text1"/>
        </w:rPr>
        <w:t>often been</w:t>
      </w:r>
      <w:r w:rsidRPr="009F065E">
        <w:rPr>
          <w:rFonts w:ascii="Times New Roman" w:hAnsi="Times New Roman" w:cs="Times New Roman"/>
          <w:color w:val="000000" w:themeColor="text1"/>
        </w:rPr>
        <w:t xml:space="preserve"> confused with advancing a just and sustainable world. </w:t>
      </w:r>
      <w:r w:rsidR="00C17136">
        <w:rPr>
          <w:rFonts w:ascii="Times New Roman" w:hAnsi="Times New Roman" w:cs="Times New Roman"/>
          <w:lang w:val="en-US"/>
        </w:rPr>
        <w:t xml:space="preserve"> </w:t>
      </w:r>
      <w:r w:rsidRPr="009F065E">
        <w:rPr>
          <w:rFonts w:ascii="Times New Roman" w:hAnsi="Times New Roman" w:cs="Times New Roman"/>
          <w:lang w:val="en-US"/>
        </w:rPr>
        <w:t xml:space="preserve">Available empirical studies tend to support the notion that GRI reporting does not enhance actual environmental performance of a firm. Isaksson </w:t>
      </w:r>
      <w:r w:rsidR="00403C43">
        <w:rPr>
          <w:rFonts w:ascii="Times New Roman" w:hAnsi="Times New Roman" w:cs="Times New Roman"/>
          <w:lang w:val="en-US"/>
        </w:rPr>
        <w:t>and</w:t>
      </w:r>
      <w:r w:rsidRPr="009F065E">
        <w:rPr>
          <w:rFonts w:ascii="Times New Roman" w:hAnsi="Times New Roman" w:cs="Times New Roman"/>
          <w:lang w:val="en-US"/>
        </w:rPr>
        <w:t xml:space="preserve"> Steimle (2009, p.168) find that GRI guidelines are not sufficient to determine how sustainable a firm is and how quickly it is approaching sustainability. Moneva et al.</w:t>
      </w:r>
      <w:r w:rsidR="005F672E">
        <w:rPr>
          <w:rFonts w:ascii="Times New Roman" w:hAnsi="Times New Roman" w:cs="Times New Roman"/>
          <w:lang w:val="en-US"/>
        </w:rPr>
        <w:t>,</w:t>
      </w:r>
      <w:r w:rsidRPr="009F065E">
        <w:rPr>
          <w:rFonts w:ascii="Times New Roman" w:hAnsi="Times New Roman" w:cs="Times New Roman"/>
          <w:lang w:val="en-US"/>
        </w:rPr>
        <w:t xml:space="preserve"> (2006) observe that firms adopt</w:t>
      </w:r>
      <w:r w:rsidR="00C86E9E">
        <w:rPr>
          <w:rFonts w:ascii="Times New Roman" w:hAnsi="Times New Roman" w:cs="Times New Roman"/>
          <w:lang w:val="en-US"/>
        </w:rPr>
        <w:t xml:space="preserve"> the</w:t>
      </w:r>
      <w:r w:rsidRPr="009F065E">
        <w:rPr>
          <w:rFonts w:ascii="Times New Roman" w:hAnsi="Times New Roman" w:cs="Times New Roman"/>
          <w:lang w:val="en-US"/>
        </w:rPr>
        <w:t xml:space="preserve"> GRI framework</w:t>
      </w:r>
      <w:r w:rsidR="002E1536">
        <w:rPr>
          <w:rFonts w:ascii="Times New Roman" w:hAnsi="Times New Roman" w:cs="Times New Roman"/>
          <w:lang w:val="en-US"/>
        </w:rPr>
        <w:t xml:space="preserve"> in order</w:t>
      </w:r>
      <w:r w:rsidRPr="009F065E">
        <w:rPr>
          <w:rFonts w:ascii="Times New Roman" w:hAnsi="Times New Roman" w:cs="Times New Roman"/>
          <w:lang w:val="en-US"/>
        </w:rPr>
        <w:t xml:space="preserve"> to legitimise management decisions and actions, </w:t>
      </w:r>
      <w:r w:rsidR="00C26DFF">
        <w:rPr>
          <w:rFonts w:ascii="Times New Roman" w:hAnsi="Times New Roman" w:cs="Times New Roman"/>
          <w:lang w:val="en-US"/>
        </w:rPr>
        <w:t xml:space="preserve">without </w:t>
      </w:r>
      <w:r w:rsidR="00A732AE">
        <w:rPr>
          <w:rFonts w:ascii="Times New Roman" w:hAnsi="Times New Roman" w:cs="Times New Roman"/>
          <w:lang w:val="en-US"/>
        </w:rPr>
        <w:t xml:space="preserve">necessarily </w:t>
      </w:r>
      <w:r w:rsidR="00C26DFF">
        <w:rPr>
          <w:rFonts w:ascii="Times New Roman" w:hAnsi="Times New Roman" w:cs="Times New Roman"/>
          <w:lang w:val="en-US"/>
        </w:rPr>
        <w:t xml:space="preserve">demonstrating improvements in </w:t>
      </w:r>
      <w:r w:rsidRPr="009F065E">
        <w:rPr>
          <w:rFonts w:ascii="Times New Roman" w:hAnsi="Times New Roman" w:cs="Times New Roman"/>
          <w:lang w:val="en-US"/>
        </w:rPr>
        <w:t>critical sustainability indicators</w:t>
      </w:r>
      <w:r w:rsidR="00525264">
        <w:rPr>
          <w:rFonts w:ascii="Times New Roman" w:hAnsi="Times New Roman" w:cs="Times New Roman"/>
          <w:lang w:val="en-US"/>
        </w:rPr>
        <w:t>,</w:t>
      </w:r>
      <w:r w:rsidRPr="009F065E">
        <w:rPr>
          <w:rFonts w:ascii="Times New Roman" w:hAnsi="Times New Roman" w:cs="Times New Roman"/>
          <w:lang w:val="en-US"/>
        </w:rPr>
        <w:t xml:space="preserve"> such as GHG emissions, social equity </w:t>
      </w:r>
      <w:r w:rsidR="002E1536">
        <w:rPr>
          <w:rFonts w:ascii="Times New Roman" w:hAnsi="Times New Roman" w:cs="Times New Roman"/>
          <w:lang w:val="en-US"/>
        </w:rPr>
        <w:t>and/</w:t>
      </w:r>
      <w:r w:rsidRPr="009F065E">
        <w:rPr>
          <w:rFonts w:ascii="Times New Roman" w:hAnsi="Times New Roman" w:cs="Times New Roman"/>
          <w:lang w:val="en-US"/>
        </w:rPr>
        <w:t>or human rights. Morhardt et al.</w:t>
      </w:r>
      <w:r w:rsidR="005F672E">
        <w:rPr>
          <w:rFonts w:ascii="Times New Roman" w:hAnsi="Times New Roman" w:cs="Times New Roman"/>
          <w:lang w:val="en-US"/>
        </w:rPr>
        <w:t>,</w:t>
      </w:r>
      <w:r w:rsidRPr="009F065E">
        <w:rPr>
          <w:rFonts w:ascii="Times New Roman" w:hAnsi="Times New Roman" w:cs="Times New Roman"/>
          <w:lang w:val="en-US"/>
        </w:rPr>
        <w:t xml:space="preserve"> (2002) find that firms use</w:t>
      </w:r>
      <w:r w:rsidR="00C86E9E">
        <w:rPr>
          <w:rFonts w:ascii="Times New Roman" w:hAnsi="Times New Roman" w:cs="Times New Roman"/>
          <w:lang w:val="en-US"/>
        </w:rPr>
        <w:t xml:space="preserve"> the</w:t>
      </w:r>
      <w:r w:rsidRPr="009F065E">
        <w:rPr>
          <w:rFonts w:ascii="Times New Roman" w:hAnsi="Times New Roman" w:cs="Times New Roman"/>
          <w:lang w:val="en-US"/>
        </w:rPr>
        <w:t xml:space="preserve"> GRI </w:t>
      </w:r>
      <w:r w:rsidR="00A732AE">
        <w:rPr>
          <w:rFonts w:ascii="Times New Roman" w:hAnsi="Times New Roman" w:cs="Times New Roman"/>
          <w:lang w:val="en-US"/>
        </w:rPr>
        <w:t>framework</w:t>
      </w:r>
      <w:r w:rsidRPr="009F065E">
        <w:rPr>
          <w:rFonts w:ascii="Times New Roman" w:hAnsi="Times New Roman" w:cs="Times New Roman"/>
          <w:lang w:val="en-US"/>
        </w:rPr>
        <w:t xml:space="preserve"> to </w:t>
      </w:r>
      <w:r w:rsidRPr="009F065E">
        <w:rPr>
          <w:rFonts w:ascii="Times New Roman" w:hAnsi="Times New Roman" w:cs="Times New Roman"/>
          <w:lang w:val="en-US"/>
        </w:rPr>
        <w:lastRenderedPageBreak/>
        <w:t xml:space="preserve">demonstrate greater sustainability scores without </w:t>
      </w:r>
      <w:r w:rsidR="00A732AE">
        <w:rPr>
          <w:rFonts w:ascii="Times New Roman" w:hAnsi="Times New Roman" w:cs="Times New Roman"/>
          <w:lang w:val="en-US"/>
        </w:rPr>
        <w:t xml:space="preserve">necessarily </w:t>
      </w:r>
      <w:r w:rsidRPr="009F065E">
        <w:rPr>
          <w:rFonts w:ascii="Times New Roman" w:hAnsi="Times New Roman" w:cs="Times New Roman"/>
          <w:lang w:val="en-US"/>
        </w:rPr>
        <w:t xml:space="preserve">increasing actual environmental performance. </w:t>
      </w:r>
    </w:p>
    <w:p w14:paraId="301E3198" w14:textId="34DC8BDC" w:rsidR="00C300C6" w:rsidRDefault="009F065E" w:rsidP="00525264">
      <w:pPr>
        <w:spacing w:after="0" w:line="360" w:lineRule="auto"/>
        <w:ind w:firstLine="720"/>
        <w:jc w:val="both"/>
        <w:rPr>
          <w:rFonts w:ascii="Times New Roman" w:hAnsi="Times New Roman" w:cs="Times New Roman"/>
          <w:lang w:val="en-US"/>
        </w:rPr>
      </w:pPr>
      <w:r w:rsidRPr="009F065E">
        <w:rPr>
          <w:rFonts w:ascii="Times New Roman" w:hAnsi="Times New Roman" w:cs="Times New Roman"/>
          <w:lang w:val="en-US"/>
        </w:rPr>
        <w:t xml:space="preserve">Considering these theoretical arguments and empirical evidence, we expect that the adoption of </w:t>
      </w:r>
      <w:r w:rsidR="00C86E9E">
        <w:rPr>
          <w:rFonts w:ascii="Times New Roman" w:hAnsi="Times New Roman" w:cs="Times New Roman"/>
          <w:lang w:val="en-US"/>
        </w:rPr>
        <w:t xml:space="preserve">the </w:t>
      </w:r>
      <w:r w:rsidRPr="009F065E">
        <w:rPr>
          <w:rFonts w:ascii="Times New Roman" w:hAnsi="Times New Roman" w:cs="Times New Roman"/>
          <w:lang w:val="en-US"/>
        </w:rPr>
        <w:t xml:space="preserve">GRI guidelines might influence firms to demonstrate superior process-oriented carbon performance, but this carbon activism may not be a reflection of actual carbon performance of a firm.  Thus, </w:t>
      </w:r>
      <w:r w:rsidR="00525264">
        <w:rPr>
          <w:rFonts w:ascii="Times New Roman" w:hAnsi="Times New Roman" w:cs="Times New Roman"/>
          <w:lang w:val="en-US"/>
        </w:rPr>
        <w:t>our next</w:t>
      </w:r>
      <w:r w:rsidRPr="009F065E">
        <w:rPr>
          <w:rFonts w:ascii="Times New Roman" w:hAnsi="Times New Roman" w:cs="Times New Roman"/>
          <w:lang w:val="en-US"/>
        </w:rPr>
        <w:t xml:space="preserve"> hypothesis</w:t>
      </w:r>
      <w:r w:rsidR="00525264">
        <w:rPr>
          <w:rFonts w:ascii="Times New Roman" w:hAnsi="Times New Roman" w:cs="Times New Roman"/>
          <w:lang w:val="en-US"/>
        </w:rPr>
        <w:t xml:space="preserve"> is</w:t>
      </w:r>
      <w:r w:rsidRPr="009F065E">
        <w:rPr>
          <w:rFonts w:ascii="Times New Roman" w:hAnsi="Times New Roman" w:cs="Times New Roman"/>
          <w:lang w:val="en-US"/>
        </w:rPr>
        <w:t xml:space="preserve">: </w:t>
      </w:r>
    </w:p>
    <w:p w14:paraId="11615A5B" w14:textId="77777777" w:rsidR="00C300C6" w:rsidRDefault="00C300C6">
      <w:pPr>
        <w:spacing w:after="0" w:line="360" w:lineRule="auto"/>
        <w:jc w:val="both"/>
        <w:rPr>
          <w:rFonts w:ascii="Times New Roman" w:hAnsi="Times New Roman" w:cs="Times New Roman"/>
          <w:color w:val="000000" w:themeColor="text1"/>
        </w:rPr>
      </w:pPr>
    </w:p>
    <w:p w14:paraId="1A02EC9C" w14:textId="77777777" w:rsidR="00A732AE" w:rsidRDefault="009F065E" w:rsidP="001B7F56">
      <w:pPr>
        <w:spacing w:after="0" w:line="240" w:lineRule="auto"/>
        <w:ind w:left="720"/>
        <w:jc w:val="both"/>
        <w:rPr>
          <w:rFonts w:ascii="Times New Roman" w:hAnsi="Times New Roman" w:cs="Times New Roman"/>
          <w:i/>
          <w:color w:val="000000" w:themeColor="text1"/>
        </w:rPr>
      </w:pPr>
      <w:r w:rsidRPr="009F065E">
        <w:rPr>
          <w:rFonts w:ascii="Times New Roman" w:hAnsi="Times New Roman" w:cs="Times New Roman"/>
          <w:i/>
          <w:color w:val="000000" w:themeColor="text1"/>
        </w:rPr>
        <w:t xml:space="preserve">Hypothesis 2a: Ceteris paribus, GRI-based reporting is positively associated with carbon performance of a firm, </w:t>
      </w:r>
      <w:r w:rsidR="00A732AE" w:rsidRPr="009F065E">
        <w:rPr>
          <w:rFonts w:ascii="Times New Roman" w:hAnsi="Times New Roman" w:cs="Times New Roman"/>
          <w:i/>
          <w:color w:val="000000" w:themeColor="text1"/>
        </w:rPr>
        <w:t xml:space="preserve">and this effect </w:t>
      </w:r>
      <w:r w:rsidR="00A732AE">
        <w:rPr>
          <w:rFonts w:ascii="Times New Roman" w:hAnsi="Times New Roman" w:cs="Times New Roman"/>
          <w:i/>
          <w:color w:val="000000" w:themeColor="text1"/>
        </w:rPr>
        <w:t>is expected to be</w:t>
      </w:r>
      <w:r w:rsidR="00A732AE" w:rsidRPr="009F065E">
        <w:rPr>
          <w:rFonts w:ascii="Times New Roman" w:hAnsi="Times New Roman" w:cs="Times New Roman"/>
          <w:i/>
          <w:color w:val="000000" w:themeColor="text1"/>
        </w:rPr>
        <w:t xml:space="preserve"> greater </w:t>
      </w:r>
      <w:r w:rsidR="00A732AE">
        <w:rPr>
          <w:rFonts w:ascii="Times New Roman" w:hAnsi="Times New Roman" w:cs="Times New Roman"/>
          <w:i/>
          <w:color w:val="000000" w:themeColor="text1"/>
        </w:rPr>
        <w:t>for</w:t>
      </w:r>
      <w:r w:rsidR="00A732AE" w:rsidRPr="009F065E">
        <w:rPr>
          <w:rFonts w:ascii="Times New Roman" w:hAnsi="Times New Roman" w:cs="Times New Roman"/>
          <w:i/>
          <w:color w:val="000000" w:themeColor="text1"/>
        </w:rPr>
        <w:t xml:space="preserve"> </w:t>
      </w:r>
      <w:r w:rsidR="00A732AE">
        <w:rPr>
          <w:rFonts w:ascii="Times New Roman" w:hAnsi="Times New Roman" w:cs="Times New Roman"/>
          <w:i/>
          <w:color w:val="000000" w:themeColor="text1"/>
        </w:rPr>
        <w:t>CRIs</w:t>
      </w:r>
      <w:r w:rsidR="00A732AE" w:rsidRPr="009F065E">
        <w:rPr>
          <w:rFonts w:ascii="Times New Roman" w:hAnsi="Times New Roman" w:cs="Times New Roman"/>
          <w:i/>
          <w:color w:val="000000" w:themeColor="text1"/>
        </w:rPr>
        <w:t xml:space="preserve"> than </w:t>
      </w:r>
      <w:r w:rsidR="00A732AE">
        <w:rPr>
          <w:rFonts w:ascii="Times New Roman" w:hAnsi="Times New Roman" w:cs="Times New Roman"/>
          <w:i/>
          <w:color w:val="000000" w:themeColor="text1"/>
        </w:rPr>
        <w:t xml:space="preserve">reductions in actual </w:t>
      </w:r>
      <w:r w:rsidR="00A732AE" w:rsidRPr="009F065E">
        <w:rPr>
          <w:rFonts w:ascii="Times New Roman" w:hAnsi="Times New Roman" w:cs="Times New Roman"/>
          <w:i/>
          <w:color w:val="000000" w:themeColor="text1"/>
        </w:rPr>
        <w:t>GHG emissions.</w:t>
      </w:r>
    </w:p>
    <w:p w14:paraId="076F4069" w14:textId="77777777" w:rsidR="00C300C6" w:rsidRDefault="00C300C6" w:rsidP="00A732AE">
      <w:pPr>
        <w:spacing w:after="0" w:line="240" w:lineRule="auto"/>
        <w:ind w:left="720"/>
        <w:jc w:val="both"/>
        <w:rPr>
          <w:rFonts w:ascii="Times New Roman" w:hAnsi="Times New Roman" w:cs="Times New Roman"/>
          <w:color w:val="000000" w:themeColor="text1"/>
          <w:lang w:val="en-US"/>
        </w:rPr>
      </w:pPr>
    </w:p>
    <w:p w14:paraId="5206B491" w14:textId="13449AD0" w:rsidR="00C300C6" w:rsidRDefault="009F065E">
      <w:pPr>
        <w:spacing w:after="0" w:line="360" w:lineRule="auto"/>
        <w:ind w:firstLine="720"/>
        <w:jc w:val="both"/>
        <w:rPr>
          <w:rFonts w:ascii="Times New Roman" w:hAnsi="Times New Roman" w:cs="Times New Roman"/>
          <w:lang w:val="en-US"/>
        </w:rPr>
      </w:pPr>
      <w:r w:rsidRPr="009F065E">
        <w:rPr>
          <w:rFonts w:ascii="Times New Roman" w:hAnsi="Times New Roman" w:cs="Times New Roman"/>
          <w:lang w:val="en-US"/>
        </w:rPr>
        <w:t>Perez-Batres et al.</w:t>
      </w:r>
      <w:r w:rsidR="005F672E">
        <w:rPr>
          <w:rFonts w:ascii="Times New Roman" w:hAnsi="Times New Roman" w:cs="Times New Roman"/>
          <w:lang w:val="en-US"/>
        </w:rPr>
        <w:t>,</w:t>
      </w:r>
      <w:r w:rsidRPr="009F065E">
        <w:rPr>
          <w:rFonts w:ascii="Times New Roman" w:hAnsi="Times New Roman" w:cs="Times New Roman"/>
          <w:lang w:val="en-US"/>
        </w:rPr>
        <w:t xml:space="preserve"> (2012) also consider the adoption of the UNGC codes as DiMaggio </w:t>
      </w:r>
      <w:r w:rsidR="00525264">
        <w:rPr>
          <w:rFonts w:ascii="Times New Roman" w:hAnsi="Times New Roman" w:cs="Times New Roman"/>
          <w:lang w:val="en-US"/>
        </w:rPr>
        <w:t>and</w:t>
      </w:r>
      <w:r w:rsidRPr="009F065E">
        <w:rPr>
          <w:rFonts w:ascii="Times New Roman" w:hAnsi="Times New Roman" w:cs="Times New Roman"/>
          <w:lang w:val="en-US"/>
        </w:rPr>
        <w:t xml:space="preserve"> Powell’s (1991) ‘mimetic isomorphism’ and Scott’s (1995) ‘normative pillar’ that can enhance corporate legitimacy. For them, firms can exploit UNGC affiliations to gain corporate legiti</w:t>
      </w:r>
      <w:r w:rsidRPr="009F065E">
        <w:rPr>
          <w:rFonts w:ascii="Times New Roman" w:hAnsi="Times New Roman" w:cs="Times New Roman"/>
          <w:lang w:val="en-US"/>
        </w:rPr>
        <w:lastRenderedPageBreak/>
        <w:t xml:space="preserve">macy through symbolic environmental commitments rather than substantive environmental actions. In the absence of monitoring and enforcement of compliance with the UNGC principles, there is a risk of ‘bluewashing’ in that </w:t>
      </w:r>
      <w:r w:rsidR="00B26699">
        <w:rPr>
          <w:rFonts w:ascii="Times New Roman" w:hAnsi="Times New Roman" w:cs="Times New Roman"/>
          <w:lang w:val="en-US"/>
        </w:rPr>
        <w:t xml:space="preserve">opportunistic </w:t>
      </w:r>
      <w:r w:rsidRPr="009F065E">
        <w:rPr>
          <w:rFonts w:ascii="Times New Roman" w:hAnsi="Times New Roman" w:cs="Times New Roman"/>
          <w:lang w:val="en-US"/>
        </w:rPr>
        <w:t xml:space="preserve">firms </w:t>
      </w:r>
      <w:r w:rsidR="00B26699">
        <w:rPr>
          <w:rFonts w:ascii="Times New Roman" w:hAnsi="Times New Roman" w:cs="Times New Roman"/>
          <w:lang w:val="en-US"/>
        </w:rPr>
        <w:t xml:space="preserve">will </w:t>
      </w:r>
      <w:r w:rsidRPr="009F065E">
        <w:rPr>
          <w:rFonts w:ascii="Times New Roman" w:hAnsi="Times New Roman" w:cs="Times New Roman"/>
          <w:lang w:val="en-US"/>
        </w:rPr>
        <w:t>try to use their affiliations with UNGC to improve their images, without</w:t>
      </w:r>
      <w:r w:rsidR="00B63B91">
        <w:rPr>
          <w:rFonts w:ascii="Times New Roman" w:hAnsi="Times New Roman" w:cs="Times New Roman"/>
          <w:lang w:val="en-US"/>
        </w:rPr>
        <w:t xml:space="preserve"> necessarily</w:t>
      </w:r>
      <w:r w:rsidRPr="009F065E">
        <w:rPr>
          <w:rFonts w:ascii="Times New Roman" w:hAnsi="Times New Roman" w:cs="Times New Roman"/>
          <w:lang w:val="en-US"/>
        </w:rPr>
        <w:t xml:space="preserve"> improving actual </w:t>
      </w:r>
      <w:r w:rsidR="00B63B91">
        <w:rPr>
          <w:rFonts w:ascii="Times New Roman" w:hAnsi="Times New Roman" w:cs="Times New Roman"/>
          <w:lang w:val="en-US"/>
        </w:rPr>
        <w:t>environmental</w:t>
      </w:r>
      <w:r w:rsidRPr="009F065E">
        <w:rPr>
          <w:rFonts w:ascii="Times New Roman" w:hAnsi="Times New Roman" w:cs="Times New Roman"/>
          <w:lang w:val="en-US"/>
        </w:rPr>
        <w:t xml:space="preserve"> practices (Runhaar </w:t>
      </w:r>
      <w:r w:rsidR="00403C43">
        <w:rPr>
          <w:rFonts w:ascii="Times New Roman" w:hAnsi="Times New Roman" w:cs="Times New Roman"/>
          <w:lang w:val="en-US"/>
        </w:rPr>
        <w:t>and</w:t>
      </w:r>
      <w:r w:rsidRPr="009F065E">
        <w:rPr>
          <w:rFonts w:ascii="Times New Roman" w:hAnsi="Times New Roman" w:cs="Times New Roman"/>
          <w:lang w:val="en-US"/>
        </w:rPr>
        <w:t xml:space="preserve"> Lafferty, 2009).</w:t>
      </w:r>
    </w:p>
    <w:p w14:paraId="6649EFE5" w14:textId="7147A425" w:rsidR="00C300C6" w:rsidRDefault="009F065E">
      <w:pPr>
        <w:spacing w:after="0" w:line="360" w:lineRule="auto"/>
        <w:ind w:firstLine="720"/>
        <w:jc w:val="both"/>
        <w:rPr>
          <w:rFonts w:ascii="Times New Roman" w:hAnsi="Times New Roman" w:cs="Times New Roman"/>
          <w:lang w:val="en-US"/>
        </w:rPr>
      </w:pPr>
      <w:r w:rsidRPr="009F065E">
        <w:rPr>
          <w:rFonts w:ascii="Times New Roman" w:hAnsi="Times New Roman" w:cs="Times New Roman"/>
          <w:lang w:val="en-US"/>
        </w:rPr>
        <w:t>Empirically, Ortas et al.</w:t>
      </w:r>
      <w:r w:rsidR="00CB7F5D">
        <w:rPr>
          <w:rFonts w:ascii="Times New Roman" w:hAnsi="Times New Roman" w:cs="Times New Roman"/>
          <w:lang w:val="en-US"/>
        </w:rPr>
        <w:t>,</w:t>
      </w:r>
      <w:r w:rsidRPr="009F065E">
        <w:rPr>
          <w:rFonts w:ascii="Times New Roman" w:hAnsi="Times New Roman" w:cs="Times New Roman"/>
          <w:lang w:val="en-US"/>
        </w:rPr>
        <w:t xml:space="preserve"> (2015) find that the adoption of UNGC codes is positively associated with </w:t>
      </w:r>
      <w:r w:rsidR="00026DCC">
        <w:rPr>
          <w:rFonts w:ascii="Times New Roman" w:hAnsi="Times New Roman" w:cs="Times New Roman"/>
          <w:lang w:val="en-US"/>
        </w:rPr>
        <w:t>environmental</w:t>
      </w:r>
      <w:r w:rsidRPr="009F065E">
        <w:rPr>
          <w:rFonts w:ascii="Times New Roman" w:hAnsi="Times New Roman" w:cs="Times New Roman"/>
          <w:lang w:val="en-US"/>
        </w:rPr>
        <w:t xml:space="preserve"> performance of firms in Spain, France and Japan. However, Runhaar </w:t>
      </w:r>
      <w:r w:rsidR="00A45824">
        <w:rPr>
          <w:rFonts w:ascii="Times New Roman" w:hAnsi="Times New Roman" w:cs="Times New Roman"/>
          <w:lang w:val="en-US"/>
        </w:rPr>
        <w:t>and</w:t>
      </w:r>
      <w:r w:rsidRPr="009F065E">
        <w:rPr>
          <w:rFonts w:ascii="Times New Roman" w:hAnsi="Times New Roman" w:cs="Times New Roman"/>
          <w:lang w:val="en-US"/>
        </w:rPr>
        <w:t xml:space="preserve"> Lafferty (2009) find that firms can comply with the principles of UNGC at a reasonably lower cost, and that these principles do not seem to provide an effective impetus to undertake better </w:t>
      </w:r>
      <w:r w:rsidR="00B63B91">
        <w:rPr>
          <w:rFonts w:ascii="Times New Roman" w:hAnsi="Times New Roman" w:cs="Times New Roman"/>
          <w:lang w:val="en-US"/>
        </w:rPr>
        <w:t>environmental</w:t>
      </w:r>
      <w:r w:rsidRPr="009F065E">
        <w:rPr>
          <w:rFonts w:ascii="Times New Roman" w:hAnsi="Times New Roman" w:cs="Times New Roman"/>
          <w:lang w:val="en-US"/>
        </w:rPr>
        <w:t xml:space="preserve"> practices in the telecommunication industry. </w:t>
      </w:r>
    </w:p>
    <w:p w14:paraId="3D85207F" w14:textId="7ECC9E54" w:rsidR="00C300C6" w:rsidRDefault="009F065E" w:rsidP="00525264">
      <w:pPr>
        <w:spacing w:after="0" w:line="360" w:lineRule="auto"/>
        <w:ind w:firstLine="720"/>
        <w:jc w:val="both"/>
        <w:rPr>
          <w:rFonts w:ascii="Times New Roman" w:hAnsi="Times New Roman" w:cs="Times New Roman"/>
          <w:lang w:val="en-US"/>
        </w:rPr>
      </w:pPr>
      <w:r w:rsidRPr="009F065E">
        <w:rPr>
          <w:rFonts w:ascii="Times New Roman" w:hAnsi="Times New Roman" w:cs="Times New Roman"/>
          <w:lang w:val="en-US"/>
        </w:rPr>
        <w:t xml:space="preserve">Therefore, we expect that firms can comply with UNGC codes through demonstrating superior process-oriented carbon performance, without showing actual improvement in reducing GHG emissions.  Thus, </w:t>
      </w:r>
      <w:r w:rsidR="00525264">
        <w:rPr>
          <w:rFonts w:ascii="Times New Roman" w:hAnsi="Times New Roman" w:cs="Times New Roman"/>
          <w:lang w:val="en-US"/>
        </w:rPr>
        <w:t>our next</w:t>
      </w:r>
      <w:r w:rsidRPr="009F065E">
        <w:rPr>
          <w:rFonts w:ascii="Times New Roman" w:hAnsi="Times New Roman" w:cs="Times New Roman"/>
          <w:lang w:val="en-US"/>
        </w:rPr>
        <w:t xml:space="preserve"> hypothesis</w:t>
      </w:r>
      <w:r w:rsidR="00525264">
        <w:rPr>
          <w:rFonts w:ascii="Times New Roman" w:hAnsi="Times New Roman" w:cs="Times New Roman"/>
          <w:lang w:val="en-US"/>
        </w:rPr>
        <w:t xml:space="preserve"> is</w:t>
      </w:r>
      <w:r w:rsidRPr="009F065E">
        <w:rPr>
          <w:rFonts w:ascii="Times New Roman" w:hAnsi="Times New Roman" w:cs="Times New Roman"/>
          <w:lang w:val="en-US"/>
        </w:rPr>
        <w:t xml:space="preserve">: </w:t>
      </w:r>
    </w:p>
    <w:p w14:paraId="373C8F17" w14:textId="77777777" w:rsidR="00C300C6" w:rsidRDefault="00C300C6">
      <w:pPr>
        <w:spacing w:after="0" w:line="360" w:lineRule="auto"/>
        <w:jc w:val="both"/>
        <w:rPr>
          <w:rFonts w:ascii="Times New Roman" w:hAnsi="Times New Roman" w:cs="Times New Roman"/>
          <w:color w:val="000000" w:themeColor="text1"/>
        </w:rPr>
      </w:pPr>
    </w:p>
    <w:p w14:paraId="4393FAEC" w14:textId="77777777" w:rsidR="00B26699" w:rsidRDefault="009F065E" w:rsidP="007C2D50">
      <w:pPr>
        <w:spacing w:after="0" w:line="240" w:lineRule="auto"/>
        <w:ind w:left="720"/>
        <w:jc w:val="both"/>
        <w:rPr>
          <w:rFonts w:ascii="Times New Roman" w:hAnsi="Times New Roman" w:cs="Times New Roman"/>
          <w:i/>
          <w:color w:val="000000" w:themeColor="text1"/>
        </w:rPr>
      </w:pPr>
      <w:r w:rsidRPr="009F065E">
        <w:rPr>
          <w:rFonts w:ascii="Times New Roman" w:hAnsi="Times New Roman" w:cs="Times New Roman"/>
          <w:i/>
          <w:color w:val="000000" w:themeColor="text1"/>
        </w:rPr>
        <w:t xml:space="preserve">Hypothesis 2b: Ceteris paribus, UNGC affiliation is likely to have a positive association with carbon performance of a firm, </w:t>
      </w:r>
      <w:r w:rsidR="00B26699" w:rsidRPr="009F065E">
        <w:rPr>
          <w:rFonts w:ascii="Times New Roman" w:hAnsi="Times New Roman" w:cs="Times New Roman"/>
          <w:i/>
          <w:color w:val="000000" w:themeColor="text1"/>
        </w:rPr>
        <w:t xml:space="preserve">and this effect </w:t>
      </w:r>
      <w:r w:rsidR="00B26699">
        <w:rPr>
          <w:rFonts w:ascii="Times New Roman" w:hAnsi="Times New Roman" w:cs="Times New Roman"/>
          <w:i/>
          <w:color w:val="000000" w:themeColor="text1"/>
        </w:rPr>
        <w:t>is expected to be</w:t>
      </w:r>
      <w:r w:rsidR="00B26699" w:rsidRPr="009F065E">
        <w:rPr>
          <w:rFonts w:ascii="Times New Roman" w:hAnsi="Times New Roman" w:cs="Times New Roman"/>
          <w:i/>
          <w:color w:val="000000" w:themeColor="text1"/>
        </w:rPr>
        <w:t xml:space="preserve"> greater </w:t>
      </w:r>
      <w:r w:rsidR="00B26699">
        <w:rPr>
          <w:rFonts w:ascii="Times New Roman" w:hAnsi="Times New Roman" w:cs="Times New Roman"/>
          <w:i/>
          <w:color w:val="000000" w:themeColor="text1"/>
        </w:rPr>
        <w:t>for</w:t>
      </w:r>
      <w:r w:rsidR="00B26699" w:rsidRPr="009F065E">
        <w:rPr>
          <w:rFonts w:ascii="Times New Roman" w:hAnsi="Times New Roman" w:cs="Times New Roman"/>
          <w:i/>
          <w:color w:val="000000" w:themeColor="text1"/>
        </w:rPr>
        <w:t xml:space="preserve"> </w:t>
      </w:r>
      <w:r w:rsidR="00B26699">
        <w:rPr>
          <w:rFonts w:ascii="Times New Roman" w:hAnsi="Times New Roman" w:cs="Times New Roman"/>
          <w:i/>
          <w:color w:val="000000" w:themeColor="text1"/>
        </w:rPr>
        <w:t>CRIs</w:t>
      </w:r>
      <w:r w:rsidR="00B26699" w:rsidRPr="009F065E">
        <w:rPr>
          <w:rFonts w:ascii="Times New Roman" w:hAnsi="Times New Roman" w:cs="Times New Roman"/>
          <w:i/>
          <w:color w:val="000000" w:themeColor="text1"/>
        </w:rPr>
        <w:t xml:space="preserve"> than </w:t>
      </w:r>
      <w:r w:rsidR="00B26699">
        <w:rPr>
          <w:rFonts w:ascii="Times New Roman" w:hAnsi="Times New Roman" w:cs="Times New Roman"/>
          <w:i/>
          <w:color w:val="000000" w:themeColor="text1"/>
        </w:rPr>
        <w:t xml:space="preserve">reductions in actual </w:t>
      </w:r>
      <w:r w:rsidR="00B26699" w:rsidRPr="009F065E">
        <w:rPr>
          <w:rFonts w:ascii="Times New Roman" w:hAnsi="Times New Roman" w:cs="Times New Roman"/>
          <w:i/>
          <w:color w:val="000000" w:themeColor="text1"/>
        </w:rPr>
        <w:t>GHG emissions.</w:t>
      </w:r>
    </w:p>
    <w:p w14:paraId="1DF48F08" w14:textId="77777777" w:rsidR="00C300C6" w:rsidRDefault="00C300C6" w:rsidP="007C2D50">
      <w:pPr>
        <w:spacing w:after="0" w:line="360" w:lineRule="auto"/>
        <w:jc w:val="both"/>
        <w:rPr>
          <w:rFonts w:ascii="Times New Roman" w:hAnsi="Times New Roman" w:cs="Times New Roman"/>
          <w:lang w:val="en-US"/>
        </w:rPr>
      </w:pPr>
    </w:p>
    <w:p w14:paraId="4A1FE8F7" w14:textId="77777777" w:rsidR="00C300C6" w:rsidRDefault="009F065E" w:rsidP="007C2D50">
      <w:pPr>
        <w:pStyle w:val="ListParagraph"/>
        <w:numPr>
          <w:ilvl w:val="0"/>
          <w:numId w:val="1"/>
        </w:numPr>
        <w:spacing w:after="0" w:line="240" w:lineRule="auto"/>
        <w:ind w:left="360"/>
        <w:contextualSpacing w:val="0"/>
        <w:jc w:val="both"/>
        <w:rPr>
          <w:rFonts w:ascii="Times New Roman" w:hAnsi="Times New Roman" w:cs="Times New Roman"/>
          <w:b/>
          <w:color w:val="000000" w:themeColor="text1"/>
        </w:rPr>
      </w:pPr>
      <w:r w:rsidRPr="009F065E">
        <w:rPr>
          <w:rFonts w:ascii="Times New Roman" w:hAnsi="Times New Roman" w:cs="Times New Roman"/>
          <w:b/>
          <w:color w:val="000000" w:themeColor="text1"/>
        </w:rPr>
        <w:t xml:space="preserve">Research design </w:t>
      </w:r>
    </w:p>
    <w:p w14:paraId="45393B60" w14:textId="77777777" w:rsidR="00BC49E4" w:rsidRDefault="00BC49E4" w:rsidP="007C2D50">
      <w:pPr>
        <w:pStyle w:val="ListParagraph"/>
        <w:spacing w:after="0" w:line="240" w:lineRule="auto"/>
        <w:ind w:left="360"/>
        <w:contextualSpacing w:val="0"/>
        <w:jc w:val="both"/>
        <w:rPr>
          <w:rFonts w:ascii="Times New Roman" w:hAnsi="Times New Roman" w:cs="Times New Roman"/>
          <w:b/>
          <w:color w:val="000000" w:themeColor="text1"/>
        </w:rPr>
      </w:pPr>
    </w:p>
    <w:p w14:paraId="3FA79E14" w14:textId="77777777" w:rsidR="00C300C6" w:rsidRDefault="009F065E" w:rsidP="007C2D50">
      <w:pPr>
        <w:pStyle w:val="ListParagraph"/>
        <w:numPr>
          <w:ilvl w:val="1"/>
          <w:numId w:val="1"/>
        </w:numPr>
        <w:spacing w:after="0" w:line="240" w:lineRule="auto"/>
        <w:ind w:left="450" w:hanging="450"/>
        <w:contextualSpacing w:val="0"/>
        <w:jc w:val="both"/>
        <w:rPr>
          <w:rFonts w:ascii="Times New Roman" w:hAnsi="Times New Roman" w:cs="Times New Roman"/>
          <w:i/>
          <w:color w:val="000000" w:themeColor="text1"/>
        </w:rPr>
      </w:pPr>
      <w:r w:rsidRPr="009F065E">
        <w:rPr>
          <w:rFonts w:ascii="Times New Roman" w:hAnsi="Times New Roman" w:cs="Times New Roman"/>
          <w:i/>
          <w:color w:val="000000" w:themeColor="text1"/>
        </w:rPr>
        <w:t xml:space="preserve"> Data and sample</w:t>
      </w:r>
    </w:p>
    <w:p w14:paraId="1C6834B1" w14:textId="77777777" w:rsidR="00C300C6" w:rsidRDefault="00C300C6" w:rsidP="007C2D50">
      <w:pPr>
        <w:spacing w:after="0" w:line="240" w:lineRule="auto"/>
        <w:jc w:val="both"/>
        <w:rPr>
          <w:rFonts w:ascii="Times New Roman" w:hAnsi="Times New Roman" w:cs="Times New Roman"/>
          <w:color w:val="000000" w:themeColor="text1"/>
        </w:rPr>
      </w:pPr>
    </w:p>
    <w:p w14:paraId="64BA3274" w14:textId="60DDE573" w:rsidR="00C300C6" w:rsidRDefault="009F065E" w:rsidP="00BC49E4">
      <w:pPr>
        <w:spacing w:after="0" w:line="360" w:lineRule="auto"/>
        <w:ind w:firstLine="720"/>
        <w:jc w:val="both"/>
        <w:rPr>
          <w:rFonts w:ascii="Times New Roman" w:hAnsi="Times New Roman" w:cs="Times New Roman"/>
          <w:color w:val="000000" w:themeColor="text1"/>
        </w:rPr>
      </w:pPr>
      <w:r w:rsidRPr="009F065E">
        <w:rPr>
          <w:rFonts w:ascii="Times New Roman" w:hAnsi="Times New Roman" w:cs="Times New Roman"/>
          <w:color w:val="000000" w:themeColor="text1"/>
        </w:rPr>
        <w:t>Our initial sample is based on 4</w:t>
      </w:r>
      <w:r w:rsidR="00532E42">
        <w:rPr>
          <w:rFonts w:ascii="Times New Roman" w:hAnsi="Times New Roman" w:cs="Times New Roman"/>
          <w:color w:val="000000" w:themeColor="text1"/>
        </w:rPr>
        <w:t>,</w:t>
      </w:r>
      <w:r w:rsidRPr="009F065E">
        <w:rPr>
          <w:rFonts w:ascii="Times New Roman" w:hAnsi="Times New Roman" w:cs="Times New Roman"/>
          <w:color w:val="000000" w:themeColor="text1"/>
        </w:rPr>
        <w:t xml:space="preserve">626 firm-year observations from 256 non-financial listed firms based </w:t>
      </w:r>
      <w:r w:rsidR="00406534">
        <w:rPr>
          <w:rFonts w:ascii="Times New Roman" w:hAnsi="Times New Roman" w:cs="Times New Roman"/>
          <w:color w:val="000000" w:themeColor="text1"/>
        </w:rPr>
        <w:t>o</w:t>
      </w:r>
      <w:r w:rsidRPr="009F065E">
        <w:rPr>
          <w:rFonts w:ascii="Times New Roman" w:hAnsi="Times New Roman" w:cs="Times New Roman"/>
          <w:color w:val="000000" w:themeColor="text1"/>
        </w:rPr>
        <w:t xml:space="preserve">n the FTSE </w:t>
      </w:r>
      <w:r w:rsidR="00406534">
        <w:rPr>
          <w:rFonts w:ascii="Times New Roman" w:hAnsi="Times New Roman" w:cs="Times New Roman"/>
          <w:color w:val="000000" w:themeColor="text1"/>
        </w:rPr>
        <w:t>all</w:t>
      </w:r>
      <w:r w:rsidR="00474942">
        <w:rPr>
          <w:rFonts w:ascii="Times New Roman" w:hAnsi="Times New Roman" w:cs="Times New Roman"/>
          <w:color w:val="000000" w:themeColor="text1"/>
        </w:rPr>
        <w:t xml:space="preserve"> share</w:t>
      </w:r>
      <w:r w:rsidRPr="009F065E">
        <w:rPr>
          <w:rFonts w:ascii="Times New Roman" w:hAnsi="Times New Roman" w:cs="Times New Roman"/>
          <w:color w:val="000000" w:themeColor="text1"/>
        </w:rPr>
        <w:t xml:space="preserve"> index</w:t>
      </w:r>
      <w:r w:rsidR="00574AB9">
        <w:rPr>
          <w:rFonts w:ascii="Times New Roman" w:hAnsi="Times New Roman" w:cs="Times New Roman"/>
          <w:color w:val="000000" w:themeColor="text1"/>
        </w:rPr>
        <w:t xml:space="preserve"> </w:t>
      </w:r>
      <w:r w:rsidR="00406534">
        <w:rPr>
          <w:rFonts w:ascii="Times New Roman" w:hAnsi="Times New Roman" w:cs="Times New Roman"/>
          <w:color w:val="000000" w:themeColor="text1"/>
        </w:rPr>
        <w:t xml:space="preserve">that </w:t>
      </w:r>
      <w:r w:rsidR="00574AB9">
        <w:rPr>
          <w:rFonts w:ascii="Times New Roman" w:hAnsi="Times New Roman" w:cs="Times New Roman"/>
          <w:color w:val="000000" w:themeColor="text1"/>
        </w:rPr>
        <w:t>were available</w:t>
      </w:r>
      <w:r w:rsidRPr="009F065E">
        <w:rPr>
          <w:rFonts w:ascii="Times New Roman" w:hAnsi="Times New Roman" w:cs="Times New Roman"/>
          <w:color w:val="000000" w:themeColor="text1"/>
        </w:rPr>
        <w:t>.  We collect</w:t>
      </w:r>
      <w:r w:rsidR="000E40C3">
        <w:rPr>
          <w:rFonts w:ascii="Times New Roman" w:hAnsi="Times New Roman" w:cs="Times New Roman"/>
          <w:color w:val="000000" w:themeColor="text1"/>
        </w:rPr>
        <w:t>ed</w:t>
      </w:r>
      <w:r w:rsidRPr="009F065E">
        <w:rPr>
          <w:rFonts w:ascii="Times New Roman" w:hAnsi="Times New Roman" w:cs="Times New Roman"/>
          <w:color w:val="000000" w:themeColor="text1"/>
        </w:rPr>
        <w:t xml:space="preserve"> </w:t>
      </w:r>
      <w:r w:rsidR="00532E42">
        <w:rPr>
          <w:rFonts w:ascii="Times New Roman" w:hAnsi="Times New Roman" w:cs="Times New Roman"/>
          <w:color w:val="000000" w:themeColor="text1"/>
        </w:rPr>
        <w:t>CG</w:t>
      </w:r>
      <w:r w:rsidRPr="009F065E">
        <w:rPr>
          <w:rFonts w:ascii="Times New Roman" w:hAnsi="Times New Roman" w:cs="Times New Roman"/>
          <w:color w:val="000000" w:themeColor="text1"/>
        </w:rPr>
        <w:t xml:space="preserve"> and carbon initiatives data from the Thomson Reuters Asset4 database, whereas financial data </w:t>
      </w:r>
      <w:r w:rsidR="000E40C3">
        <w:rPr>
          <w:rFonts w:ascii="Times New Roman" w:hAnsi="Times New Roman" w:cs="Times New Roman"/>
          <w:color w:val="000000" w:themeColor="text1"/>
        </w:rPr>
        <w:t xml:space="preserve">were </w:t>
      </w:r>
      <w:r w:rsidRPr="009F065E">
        <w:rPr>
          <w:rFonts w:ascii="Times New Roman" w:hAnsi="Times New Roman" w:cs="Times New Roman"/>
          <w:color w:val="000000" w:themeColor="text1"/>
        </w:rPr>
        <w:t>gathered from the Worldscope database. Among others, Qiu et al.</w:t>
      </w:r>
      <w:r w:rsidR="00CB7F5D">
        <w:rPr>
          <w:rFonts w:ascii="Times New Roman" w:hAnsi="Times New Roman" w:cs="Times New Roman"/>
          <w:color w:val="000000" w:themeColor="text1"/>
        </w:rPr>
        <w:t>,</w:t>
      </w:r>
      <w:r w:rsidRPr="009F065E">
        <w:rPr>
          <w:rFonts w:ascii="Times New Roman" w:hAnsi="Times New Roman" w:cs="Times New Roman"/>
          <w:color w:val="000000" w:themeColor="text1"/>
        </w:rPr>
        <w:t xml:space="preserve"> (2014) and Trumpp et al.</w:t>
      </w:r>
      <w:r w:rsidR="00CB7F5D">
        <w:rPr>
          <w:rFonts w:ascii="Times New Roman" w:hAnsi="Times New Roman" w:cs="Times New Roman"/>
          <w:color w:val="000000" w:themeColor="text1"/>
        </w:rPr>
        <w:t>,</w:t>
      </w:r>
      <w:r w:rsidRPr="009F065E">
        <w:rPr>
          <w:rFonts w:ascii="Times New Roman" w:hAnsi="Times New Roman" w:cs="Times New Roman"/>
          <w:color w:val="000000" w:themeColor="text1"/>
        </w:rPr>
        <w:t xml:space="preserve"> (2015) use Asset4 database, which is </w:t>
      </w:r>
      <w:r w:rsidR="005A199D">
        <w:rPr>
          <w:rFonts w:ascii="Times New Roman" w:hAnsi="Times New Roman" w:cs="Times New Roman"/>
          <w:color w:val="000000" w:themeColor="text1"/>
        </w:rPr>
        <w:t xml:space="preserve">considered to be a </w:t>
      </w:r>
      <w:r w:rsidR="009052F0">
        <w:rPr>
          <w:rFonts w:ascii="Times New Roman" w:hAnsi="Times New Roman" w:cs="Times New Roman"/>
          <w:color w:val="000000" w:themeColor="text1"/>
        </w:rPr>
        <w:t xml:space="preserve">comprehensive </w:t>
      </w:r>
      <w:r w:rsidRPr="009F065E">
        <w:rPr>
          <w:rFonts w:ascii="Times New Roman" w:hAnsi="Times New Roman" w:cs="Times New Roman"/>
          <w:color w:val="000000" w:themeColor="text1"/>
        </w:rPr>
        <w:t>global database on environmental</w:t>
      </w:r>
      <w:r w:rsidR="005A199D">
        <w:rPr>
          <w:rFonts w:ascii="Times New Roman" w:hAnsi="Times New Roman" w:cs="Times New Roman"/>
          <w:color w:val="000000" w:themeColor="text1"/>
        </w:rPr>
        <w:t xml:space="preserve">, social </w:t>
      </w:r>
      <w:r w:rsidRPr="009F065E">
        <w:rPr>
          <w:rFonts w:ascii="Times New Roman" w:hAnsi="Times New Roman" w:cs="Times New Roman"/>
          <w:color w:val="000000" w:themeColor="text1"/>
        </w:rPr>
        <w:t xml:space="preserve">and governance </w:t>
      </w:r>
      <w:r w:rsidR="00DF0F77">
        <w:rPr>
          <w:rFonts w:ascii="Times New Roman" w:hAnsi="Times New Roman" w:cs="Times New Roman"/>
          <w:color w:val="000000" w:themeColor="text1"/>
        </w:rPr>
        <w:t xml:space="preserve">(ESG) </w:t>
      </w:r>
      <w:r w:rsidR="00B615C4">
        <w:rPr>
          <w:rFonts w:ascii="Times New Roman" w:hAnsi="Times New Roman" w:cs="Times New Roman"/>
          <w:color w:val="000000" w:themeColor="text1"/>
        </w:rPr>
        <w:t>variables</w:t>
      </w:r>
      <w:r w:rsidRPr="009F065E">
        <w:rPr>
          <w:rFonts w:ascii="Times New Roman" w:hAnsi="Times New Roman" w:cs="Times New Roman"/>
          <w:color w:val="000000" w:themeColor="text1"/>
        </w:rPr>
        <w:t>. We then eliminate 1</w:t>
      </w:r>
      <w:r w:rsidR="00574AB9">
        <w:rPr>
          <w:rFonts w:ascii="Times New Roman" w:hAnsi="Times New Roman" w:cs="Times New Roman"/>
          <w:color w:val="000000" w:themeColor="text1"/>
        </w:rPr>
        <w:t>,</w:t>
      </w:r>
      <w:r w:rsidRPr="009F065E">
        <w:rPr>
          <w:rFonts w:ascii="Times New Roman" w:hAnsi="Times New Roman" w:cs="Times New Roman"/>
          <w:color w:val="000000" w:themeColor="text1"/>
        </w:rPr>
        <w:t xml:space="preserve">024 observations with missing yearly data </w:t>
      </w:r>
      <w:r w:rsidR="00771EC2">
        <w:rPr>
          <w:rFonts w:ascii="Times New Roman" w:hAnsi="Times New Roman" w:cs="Times New Roman"/>
          <w:color w:val="000000" w:themeColor="text1"/>
        </w:rPr>
        <w:t>relating to the</w:t>
      </w:r>
      <w:r w:rsidRPr="009F065E">
        <w:rPr>
          <w:rFonts w:ascii="Times New Roman" w:hAnsi="Times New Roman" w:cs="Times New Roman"/>
          <w:color w:val="000000" w:themeColor="text1"/>
        </w:rPr>
        <w:t xml:space="preserve"> independent variables. Finally, we remove </w:t>
      </w:r>
      <w:r w:rsidRPr="009F065E">
        <w:rPr>
          <w:rFonts w:ascii="Times New Roman" w:hAnsi="Times New Roman" w:cs="Times New Roman"/>
          <w:color w:val="000000" w:themeColor="text1"/>
        </w:rPr>
        <w:lastRenderedPageBreak/>
        <w:t>1</w:t>
      </w:r>
      <w:r w:rsidR="00574AB9">
        <w:rPr>
          <w:rFonts w:ascii="Times New Roman" w:hAnsi="Times New Roman" w:cs="Times New Roman"/>
          <w:color w:val="000000" w:themeColor="text1"/>
        </w:rPr>
        <w:t>,</w:t>
      </w:r>
      <w:r w:rsidRPr="009F065E">
        <w:rPr>
          <w:rFonts w:ascii="Times New Roman" w:hAnsi="Times New Roman" w:cs="Times New Roman"/>
          <w:color w:val="000000" w:themeColor="text1"/>
        </w:rPr>
        <w:t>357 observations with missing firm-level ESG data in the Asset4 database. Our final sample is based on an unbalanced panel dataset o</w:t>
      </w:r>
      <w:r w:rsidR="00210662">
        <w:rPr>
          <w:rFonts w:ascii="Times New Roman" w:hAnsi="Times New Roman" w:cs="Times New Roman"/>
          <w:color w:val="000000" w:themeColor="text1"/>
        </w:rPr>
        <w:t>f</w:t>
      </w:r>
      <w:r w:rsidRPr="009F065E">
        <w:rPr>
          <w:rFonts w:ascii="Times New Roman" w:hAnsi="Times New Roman" w:cs="Times New Roman"/>
          <w:color w:val="000000" w:themeColor="text1"/>
        </w:rPr>
        <w:t xml:space="preserve"> 2</w:t>
      </w:r>
      <w:r w:rsidR="00574AB9">
        <w:rPr>
          <w:rFonts w:ascii="Times New Roman" w:hAnsi="Times New Roman" w:cs="Times New Roman"/>
          <w:color w:val="000000" w:themeColor="text1"/>
        </w:rPr>
        <w:t>,</w:t>
      </w:r>
      <w:r w:rsidRPr="009F065E">
        <w:rPr>
          <w:rFonts w:ascii="Times New Roman" w:hAnsi="Times New Roman" w:cs="Times New Roman"/>
          <w:color w:val="000000" w:themeColor="text1"/>
        </w:rPr>
        <w:t>245 firm-year observations</w:t>
      </w:r>
      <w:r w:rsidR="00210662">
        <w:rPr>
          <w:rFonts w:ascii="Times New Roman" w:hAnsi="Times New Roman" w:cs="Times New Roman"/>
          <w:color w:val="000000" w:themeColor="text1"/>
        </w:rPr>
        <w:t>,</w:t>
      </w:r>
      <w:r w:rsidRPr="009F065E">
        <w:rPr>
          <w:rFonts w:ascii="Times New Roman" w:hAnsi="Times New Roman" w:cs="Times New Roman"/>
          <w:color w:val="000000" w:themeColor="text1"/>
        </w:rPr>
        <w:t xml:space="preserve"> covering a period of 13 years (2002-2014). The study period also captures a longer time span before and after the enactment of the </w:t>
      </w:r>
      <w:r w:rsidR="00052323">
        <w:rPr>
          <w:rFonts w:ascii="Times New Roman" w:hAnsi="Times New Roman" w:cs="Times New Roman"/>
          <w:color w:val="000000" w:themeColor="text1"/>
        </w:rPr>
        <w:t xml:space="preserve">2008 UK </w:t>
      </w:r>
      <w:r w:rsidRPr="009F065E">
        <w:rPr>
          <w:rFonts w:ascii="Times New Roman" w:hAnsi="Times New Roman" w:cs="Times New Roman"/>
          <w:color w:val="000000" w:themeColor="text1"/>
        </w:rPr>
        <w:t xml:space="preserve">Climate Change Act, including the first carbon budget that ran from 2008 to 2012. Table 1 shows industry-wise distribution of the sample. </w:t>
      </w:r>
    </w:p>
    <w:p w14:paraId="562E8945" w14:textId="69035590" w:rsidR="00C300C6" w:rsidRDefault="00C300C6">
      <w:pPr>
        <w:spacing w:after="0" w:line="360" w:lineRule="auto"/>
        <w:jc w:val="both"/>
        <w:rPr>
          <w:rFonts w:ascii="Times New Roman" w:hAnsi="Times New Roman" w:cs="Times New Roman"/>
          <w:color w:val="000000" w:themeColor="text1"/>
        </w:rPr>
      </w:pPr>
    </w:p>
    <w:p w14:paraId="525502F1" w14:textId="77777777" w:rsidR="00C300C6" w:rsidRDefault="009F065E">
      <w:pPr>
        <w:spacing w:after="0" w:line="360" w:lineRule="auto"/>
        <w:jc w:val="center"/>
        <w:rPr>
          <w:rFonts w:ascii="Times New Roman" w:hAnsi="Times New Roman" w:cs="Times New Roman"/>
          <w:color w:val="000000" w:themeColor="text1"/>
        </w:rPr>
      </w:pPr>
      <w:r w:rsidRPr="009F065E">
        <w:rPr>
          <w:rFonts w:ascii="Times New Roman" w:hAnsi="Times New Roman" w:cs="Times New Roman"/>
          <w:color w:val="000000" w:themeColor="text1"/>
        </w:rPr>
        <w:t>***Insert Table 1 about here***</w:t>
      </w:r>
    </w:p>
    <w:p w14:paraId="225EC074" w14:textId="77777777" w:rsidR="00C300C6" w:rsidRDefault="00C300C6">
      <w:pPr>
        <w:spacing w:after="0" w:line="360" w:lineRule="auto"/>
        <w:jc w:val="both"/>
        <w:rPr>
          <w:rFonts w:ascii="Times New Roman" w:hAnsi="Times New Roman" w:cs="Times New Roman"/>
          <w:color w:val="000000" w:themeColor="text1"/>
        </w:rPr>
      </w:pPr>
    </w:p>
    <w:p w14:paraId="2809E102" w14:textId="77777777" w:rsidR="00C300C6" w:rsidRDefault="009F065E" w:rsidP="007C2D50">
      <w:pPr>
        <w:pStyle w:val="ListParagraph"/>
        <w:numPr>
          <w:ilvl w:val="1"/>
          <w:numId w:val="1"/>
        </w:numPr>
        <w:spacing w:after="0" w:line="240" w:lineRule="auto"/>
        <w:ind w:left="450" w:hanging="450"/>
        <w:contextualSpacing w:val="0"/>
        <w:jc w:val="both"/>
        <w:rPr>
          <w:rFonts w:ascii="Times New Roman" w:hAnsi="Times New Roman" w:cs="Times New Roman"/>
          <w:i/>
          <w:color w:val="000000" w:themeColor="text1"/>
        </w:rPr>
      </w:pPr>
      <w:r w:rsidRPr="009F065E">
        <w:rPr>
          <w:rFonts w:ascii="Times New Roman" w:hAnsi="Times New Roman" w:cs="Times New Roman"/>
          <w:color w:val="000000" w:themeColor="text1"/>
        </w:rPr>
        <w:t xml:space="preserve"> </w:t>
      </w:r>
      <w:r w:rsidRPr="009F065E">
        <w:rPr>
          <w:rFonts w:ascii="Times New Roman" w:hAnsi="Times New Roman" w:cs="Times New Roman"/>
          <w:i/>
          <w:color w:val="000000" w:themeColor="text1"/>
        </w:rPr>
        <w:t>Empirical model and variables</w:t>
      </w:r>
    </w:p>
    <w:p w14:paraId="1E09CC6A" w14:textId="77777777" w:rsidR="00C300C6" w:rsidRDefault="00C300C6" w:rsidP="007C2D50">
      <w:pPr>
        <w:spacing w:after="0" w:line="240" w:lineRule="auto"/>
        <w:jc w:val="both"/>
        <w:rPr>
          <w:rFonts w:ascii="Times New Roman" w:hAnsi="Times New Roman" w:cs="Times New Roman"/>
          <w:color w:val="000000" w:themeColor="text1"/>
        </w:rPr>
      </w:pPr>
    </w:p>
    <w:p w14:paraId="66535B39" w14:textId="5A5F430A" w:rsidR="002456CC" w:rsidRDefault="009F065E" w:rsidP="007C2D50">
      <w:pPr>
        <w:autoSpaceDE w:val="0"/>
        <w:autoSpaceDN w:val="0"/>
        <w:adjustRightInd w:val="0"/>
        <w:spacing w:after="0" w:line="360" w:lineRule="auto"/>
        <w:ind w:firstLine="450"/>
        <w:jc w:val="both"/>
        <w:rPr>
          <w:rFonts w:ascii="Times New Roman" w:hAnsi="Times New Roman" w:cs="Times New Roman"/>
          <w:lang w:val="en-US"/>
        </w:rPr>
      </w:pPr>
      <w:r w:rsidRPr="009F065E">
        <w:rPr>
          <w:rFonts w:ascii="Times New Roman" w:hAnsi="Times New Roman" w:cs="Times New Roman"/>
          <w:color w:val="000000" w:themeColor="text1"/>
        </w:rPr>
        <w:t>Whilst related literature (</w:t>
      </w:r>
      <w:r w:rsidR="00F87B08">
        <w:rPr>
          <w:rFonts w:ascii="Times New Roman" w:hAnsi="Times New Roman" w:cs="Times New Roman"/>
          <w:color w:val="000000" w:themeColor="text1"/>
        </w:rPr>
        <w:t>e.g.,</w:t>
      </w:r>
      <w:r w:rsidRPr="009F065E">
        <w:rPr>
          <w:rFonts w:ascii="Times New Roman" w:hAnsi="Times New Roman" w:cs="Times New Roman"/>
          <w:color w:val="000000" w:themeColor="text1"/>
        </w:rPr>
        <w:t xml:space="preserve"> </w:t>
      </w:r>
      <w:hyperlink r:id="rId18" w:history="1">
        <w:r w:rsidRPr="009F065E">
          <w:rPr>
            <w:rStyle w:val="Hyperlink"/>
            <w:rFonts w:ascii="Times New Roman" w:hAnsi="Times New Roman" w:cs="Times New Roman"/>
            <w:color w:val="000000" w:themeColor="text1"/>
            <w:u w:val="none"/>
          </w:rPr>
          <w:t>Tauringana</w:t>
        </w:r>
      </w:hyperlink>
      <w:r w:rsidRPr="009F065E">
        <w:rPr>
          <w:rFonts w:ascii="Times New Roman" w:hAnsi="Times New Roman" w:cs="Times New Roman"/>
          <w:color w:val="000000" w:themeColor="text1"/>
        </w:rPr>
        <w:t xml:space="preserve"> </w:t>
      </w:r>
      <w:r w:rsidR="00403C43">
        <w:rPr>
          <w:rFonts w:ascii="Times New Roman" w:hAnsi="Times New Roman" w:cs="Times New Roman"/>
          <w:color w:val="000000" w:themeColor="text1"/>
        </w:rPr>
        <w:t>and</w:t>
      </w:r>
      <w:r w:rsidRPr="009F065E">
        <w:rPr>
          <w:rFonts w:ascii="Times New Roman" w:hAnsi="Times New Roman" w:cs="Times New Roman"/>
          <w:color w:val="000000" w:themeColor="text1"/>
        </w:rPr>
        <w:t xml:space="preserve"> </w:t>
      </w:r>
      <w:hyperlink r:id="rId19" w:history="1">
        <w:r w:rsidRPr="009F065E">
          <w:rPr>
            <w:rStyle w:val="Hyperlink"/>
            <w:rFonts w:ascii="Times New Roman" w:hAnsi="Times New Roman" w:cs="Times New Roman"/>
            <w:color w:val="000000" w:themeColor="text1"/>
            <w:u w:val="none"/>
          </w:rPr>
          <w:t>Chithambo</w:t>
        </w:r>
      </w:hyperlink>
      <w:r w:rsidR="007C2D50">
        <w:rPr>
          <w:rFonts w:ascii="Times New Roman" w:hAnsi="Times New Roman" w:cs="Times New Roman"/>
          <w:color w:val="000000" w:themeColor="text1"/>
        </w:rPr>
        <w:t>, 2015; Liao et al.</w:t>
      </w:r>
      <w:r w:rsidR="007220DD">
        <w:rPr>
          <w:rFonts w:ascii="Times New Roman" w:hAnsi="Times New Roman" w:cs="Times New Roman"/>
          <w:color w:val="000000" w:themeColor="text1"/>
        </w:rPr>
        <w:t>,</w:t>
      </w:r>
      <w:r w:rsidRPr="009F065E">
        <w:rPr>
          <w:rFonts w:ascii="Times New Roman" w:hAnsi="Times New Roman" w:cs="Times New Roman"/>
          <w:color w:val="000000" w:themeColor="text1"/>
        </w:rPr>
        <w:t xml:space="preserve"> 2015; Berrone </w:t>
      </w:r>
      <w:r w:rsidR="00403C43">
        <w:rPr>
          <w:rFonts w:ascii="Times New Roman" w:hAnsi="Times New Roman" w:cs="Times New Roman"/>
          <w:color w:val="000000" w:themeColor="text1"/>
        </w:rPr>
        <w:t>and</w:t>
      </w:r>
      <w:r w:rsidRPr="009F065E">
        <w:rPr>
          <w:rFonts w:ascii="Times New Roman" w:hAnsi="Times New Roman" w:cs="Times New Roman"/>
          <w:color w:val="000000" w:themeColor="text1"/>
        </w:rPr>
        <w:t xml:space="preserve"> Gomez-Mejia, 2009) use fixed</w:t>
      </w:r>
      <w:r w:rsidR="00BE3006">
        <w:rPr>
          <w:rFonts w:ascii="Times New Roman" w:hAnsi="Times New Roman" w:cs="Times New Roman"/>
          <w:color w:val="000000" w:themeColor="text1"/>
        </w:rPr>
        <w:t>-</w:t>
      </w:r>
      <w:r w:rsidRPr="009F065E">
        <w:rPr>
          <w:rFonts w:ascii="Times New Roman" w:hAnsi="Times New Roman" w:cs="Times New Roman"/>
          <w:color w:val="000000" w:themeColor="text1"/>
        </w:rPr>
        <w:t>effect</w:t>
      </w:r>
      <w:r w:rsidR="00BE3006">
        <w:rPr>
          <w:rFonts w:ascii="Times New Roman" w:hAnsi="Times New Roman" w:cs="Times New Roman"/>
          <w:color w:val="000000" w:themeColor="text1"/>
        </w:rPr>
        <w:t>s</w:t>
      </w:r>
      <w:r w:rsidRPr="009F065E">
        <w:rPr>
          <w:rFonts w:ascii="Times New Roman" w:hAnsi="Times New Roman" w:cs="Times New Roman"/>
          <w:color w:val="000000" w:themeColor="text1"/>
        </w:rPr>
        <w:t xml:space="preserve"> or ordinary least square regressions to examine carbon disclosures or environmental performance, these studies do not address the </w:t>
      </w:r>
      <w:r w:rsidRPr="009F065E">
        <w:rPr>
          <w:rFonts w:ascii="Times New Roman" w:hAnsi="Times New Roman" w:cs="Times New Roman"/>
        </w:rPr>
        <w:t>concerns about potential endogeneity and reverse causality</w:t>
      </w:r>
      <w:r w:rsidR="00BE3006">
        <w:rPr>
          <w:rFonts w:ascii="Times New Roman" w:hAnsi="Times New Roman" w:cs="Times New Roman"/>
        </w:rPr>
        <w:t xml:space="preserve"> problems</w:t>
      </w:r>
      <w:r w:rsidRPr="009F065E">
        <w:rPr>
          <w:rFonts w:ascii="Times New Roman" w:hAnsi="Times New Roman" w:cs="Times New Roman"/>
        </w:rPr>
        <w:t xml:space="preserve"> (</w:t>
      </w:r>
      <w:r w:rsidR="00626993">
        <w:rPr>
          <w:rFonts w:ascii="Times New Roman" w:hAnsi="Times New Roman" w:cs="Times New Roman"/>
        </w:rPr>
        <w:t>e.g.</w:t>
      </w:r>
      <w:r w:rsidRPr="009F065E">
        <w:rPr>
          <w:rFonts w:ascii="Times New Roman" w:hAnsi="Times New Roman" w:cs="Times New Roman"/>
        </w:rPr>
        <w:t xml:space="preserve">, </w:t>
      </w:r>
      <w:r w:rsidR="007C2D50">
        <w:rPr>
          <w:rFonts w:ascii="Times New Roman" w:hAnsi="Times New Roman" w:cs="Times New Roman"/>
          <w:color w:val="000000" w:themeColor="text1"/>
        </w:rPr>
        <w:t xml:space="preserve">Al-Tuwairji </w:t>
      </w:r>
      <w:r w:rsidR="007C2D50">
        <w:rPr>
          <w:rFonts w:ascii="Times New Roman" w:hAnsi="Times New Roman" w:cs="Times New Roman"/>
          <w:color w:val="000000" w:themeColor="text1"/>
        </w:rPr>
        <w:lastRenderedPageBreak/>
        <w:t>et al.</w:t>
      </w:r>
      <w:r w:rsidR="007220DD">
        <w:rPr>
          <w:rFonts w:ascii="Times New Roman" w:hAnsi="Times New Roman" w:cs="Times New Roman"/>
          <w:color w:val="000000" w:themeColor="text1"/>
        </w:rPr>
        <w:t>,</w:t>
      </w:r>
      <w:r w:rsidR="007C2D50">
        <w:rPr>
          <w:rFonts w:ascii="Times New Roman" w:hAnsi="Times New Roman" w:cs="Times New Roman"/>
          <w:color w:val="000000" w:themeColor="text1"/>
        </w:rPr>
        <w:t xml:space="preserve"> 2004; de Villiers et al.</w:t>
      </w:r>
      <w:r w:rsidR="007220DD">
        <w:rPr>
          <w:rFonts w:ascii="Times New Roman" w:hAnsi="Times New Roman" w:cs="Times New Roman"/>
          <w:color w:val="000000" w:themeColor="text1"/>
        </w:rPr>
        <w:t>,</w:t>
      </w:r>
      <w:r w:rsidRPr="009F065E">
        <w:rPr>
          <w:rFonts w:ascii="Times New Roman" w:hAnsi="Times New Roman" w:cs="Times New Roman"/>
        </w:rPr>
        <w:t xml:space="preserve"> 2011). In order to address these problems, we use dynamic two-s</w:t>
      </w:r>
      <w:r w:rsidR="0070620E">
        <w:rPr>
          <w:rFonts w:ascii="Times New Roman" w:hAnsi="Times New Roman" w:cs="Times New Roman"/>
        </w:rPr>
        <w:t xml:space="preserve">tep </w:t>
      </w:r>
      <w:r w:rsidRPr="009F065E">
        <w:rPr>
          <w:rFonts w:ascii="Times New Roman" w:hAnsi="Times New Roman" w:cs="Times New Roman"/>
        </w:rPr>
        <w:t xml:space="preserve">GMM panel data estimator, as proposed by Arellano </w:t>
      </w:r>
      <w:r w:rsidR="00BE3006">
        <w:rPr>
          <w:rFonts w:ascii="Times New Roman" w:hAnsi="Times New Roman" w:cs="Times New Roman"/>
        </w:rPr>
        <w:t>and</w:t>
      </w:r>
      <w:r w:rsidRPr="009F065E">
        <w:rPr>
          <w:rFonts w:ascii="Times New Roman" w:hAnsi="Times New Roman" w:cs="Times New Roman"/>
        </w:rPr>
        <w:t xml:space="preserve"> Bond (1991) </w:t>
      </w:r>
      <w:r w:rsidRPr="009F065E">
        <w:rPr>
          <w:rFonts w:ascii="Times New Roman" w:hAnsi="Times New Roman" w:cs="Times New Roman"/>
          <w:lang w:val="en-US"/>
        </w:rPr>
        <w:t>with Windmeijer (2000) bias-corrected robust standard errors.</w:t>
      </w:r>
      <w:r w:rsidR="002456CC">
        <w:rPr>
          <w:rFonts w:ascii="Times New Roman" w:hAnsi="Times New Roman" w:cs="Times New Roman"/>
          <w:lang w:val="en-US"/>
        </w:rPr>
        <w:t xml:space="preserve"> Among others, Martínez-Ferrero and Frías-Aceituno (2015) use GMM regressions to examine the relationship between sustainable corporate behaviour and financial performance of firms across various corporate governance system</w:t>
      </w:r>
      <w:r w:rsidR="006A0020">
        <w:rPr>
          <w:rFonts w:ascii="Times New Roman" w:hAnsi="Times New Roman" w:cs="Times New Roman"/>
          <w:lang w:val="en-US"/>
        </w:rPr>
        <w:t>s</w:t>
      </w:r>
      <w:r w:rsidR="002456CC">
        <w:rPr>
          <w:rFonts w:ascii="Times New Roman" w:hAnsi="Times New Roman" w:cs="Times New Roman"/>
          <w:lang w:val="en-US"/>
        </w:rPr>
        <w:t>.</w:t>
      </w:r>
    </w:p>
    <w:p w14:paraId="3BCB7682" w14:textId="04723390" w:rsidR="00C300C6" w:rsidRDefault="009F065E" w:rsidP="00BC49E4">
      <w:pPr>
        <w:autoSpaceDE w:val="0"/>
        <w:autoSpaceDN w:val="0"/>
        <w:adjustRightInd w:val="0"/>
        <w:spacing w:after="0" w:line="360" w:lineRule="auto"/>
        <w:ind w:firstLine="720"/>
        <w:jc w:val="both"/>
        <w:rPr>
          <w:rFonts w:ascii="Times New Roman" w:hAnsi="Times New Roman" w:cs="Times New Roman"/>
        </w:rPr>
      </w:pPr>
      <w:r w:rsidRPr="009F065E">
        <w:rPr>
          <w:rFonts w:ascii="Times New Roman" w:hAnsi="Times New Roman" w:cs="Times New Roman"/>
        </w:rPr>
        <w:t>We treat the lagged dependent variable as endogenous, so that ‘GMM-style’ instruments of deeper lags are created. The validity of the instruments is tested using Sargan test of over-identifying restrictions and Arellano-Bond test of the absence of serial autocorrelation. The null hypothesis of second-order autocorrelation [</w:t>
      </w:r>
      <w:r w:rsidRPr="009F065E">
        <w:rPr>
          <w:rFonts w:ascii="Times New Roman" w:hAnsi="Times New Roman" w:cs="Times New Roman"/>
          <w:i/>
        </w:rPr>
        <w:t>AR(2)</w:t>
      </w:r>
      <w:r w:rsidRPr="009F065E">
        <w:rPr>
          <w:rFonts w:ascii="Times New Roman" w:hAnsi="Times New Roman" w:cs="Times New Roman"/>
        </w:rPr>
        <w:t>] is rejected, and Sargan test results indicate that we cannot reject the null hypothesis of over-</w:t>
      </w:r>
      <w:r w:rsidRPr="009F065E">
        <w:rPr>
          <w:rFonts w:ascii="Times New Roman" w:hAnsi="Times New Roman" w:cs="Times New Roman"/>
        </w:rPr>
        <w:lastRenderedPageBreak/>
        <w:t>identifying restrictions</w:t>
      </w:r>
      <w:r w:rsidRPr="009F065E">
        <w:rPr>
          <w:rStyle w:val="FootnoteReference"/>
          <w:rFonts w:ascii="Times New Roman" w:hAnsi="Times New Roman" w:cs="Times New Roman"/>
        </w:rPr>
        <w:footnoteReference w:id="6"/>
      </w:r>
      <w:r w:rsidRPr="009F065E">
        <w:rPr>
          <w:rFonts w:ascii="Times New Roman" w:hAnsi="Times New Roman" w:cs="Times New Roman"/>
        </w:rPr>
        <w:t>. This suggests that the instruments are valid, since they are appropriately uncorrelated with the disturbance process.</w:t>
      </w:r>
    </w:p>
    <w:p w14:paraId="078E26C8" w14:textId="431A8097" w:rsidR="00C300C6" w:rsidRDefault="009F065E" w:rsidP="00BC49E4">
      <w:pPr>
        <w:spacing w:after="0" w:line="360" w:lineRule="auto"/>
        <w:ind w:firstLine="720"/>
        <w:jc w:val="both"/>
        <w:rPr>
          <w:rFonts w:ascii="Times New Roman" w:hAnsi="Times New Roman" w:cs="Times New Roman"/>
          <w:color w:val="000000" w:themeColor="text1"/>
        </w:rPr>
      </w:pPr>
      <w:r w:rsidRPr="009F065E">
        <w:rPr>
          <w:rFonts w:ascii="Times New Roman" w:hAnsi="Times New Roman" w:cs="Times New Roman"/>
          <w:color w:val="000000" w:themeColor="text1"/>
        </w:rPr>
        <w:t>Using carbon-reduction initiatives (</w:t>
      </w:r>
      <w:r w:rsidRPr="009F065E">
        <w:rPr>
          <w:rFonts w:ascii="Times New Roman" w:hAnsi="Times New Roman" w:cs="Times New Roman"/>
          <w:i/>
          <w:color w:val="000000" w:themeColor="text1"/>
        </w:rPr>
        <w:t>CRI</w:t>
      </w:r>
      <w:r w:rsidR="004335E5">
        <w:rPr>
          <w:rFonts w:ascii="Times New Roman" w:hAnsi="Times New Roman" w:cs="Times New Roman"/>
          <w:i/>
          <w:color w:val="000000" w:themeColor="text1"/>
        </w:rPr>
        <w:t>s</w:t>
      </w:r>
      <w:r w:rsidRPr="009F065E">
        <w:rPr>
          <w:rFonts w:ascii="Times New Roman" w:hAnsi="Times New Roman" w:cs="Times New Roman"/>
          <w:color w:val="000000" w:themeColor="text1"/>
        </w:rPr>
        <w:t>) index and GHG emissions (</w:t>
      </w:r>
      <w:r w:rsidRPr="009F065E">
        <w:rPr>
          <w:rFonts w:ascii="Times New Roman" w:hAnsi="Times New Roman" w:cs="Times New Roman"/>
          <w:i/>
          <w:color w:val="000000" w:themeColor="text1"/>
        </w:rPr>
        <w:t>GHG</w:t>
      </w:r>
      <w:r w:rsidRPr="009F065E">
        <w:rPr>
          <w:rFonts w:ascii="Times New Roman" w:hAnsi="Times New Roman" w:cs="Times New Roman"/>
          <w:color w:val="000000" w:themeColor="text1"/>
        </w:rPr>
        <w:t>) as alternative dependent variables, we estimate the following empirical model to estimate the direct relationships between institutional variables and carbon performance:</w:t>
      </w:r>
    </w:p>
    <w:p w14:paraId="73727A0E" w14:textId="77777777" w:rsidR="00C300C6" w:rsidRDefault="00C300C6">
      <w:pPr>
        <w:autoSpaceDE w:val="0"/>
        <w:autoSpaceDN w:val="0"/>
        <w:adjustRightInd w:val="0"/>
        <w:spacing w:after="0" w:line="360" w:lineRule="auto"/>
        <w:jc w:val="both"/>
        <w:rPr>
          <w:rFonts w:ascii="Times New Roman" w:eastAsia="OnemtmiguAAAA" w:hAnsi="Times New Roman" w:cs="Times New Roman"/>
          <w:color w:val="000000" w:themeColor="text1"/>
        </w:rPr>
      </w:pPr>
    </w:p>
    <w:p w14:paraId="09C15C28" w14:textId="73EE3E8B" w:rsidR="00C300C6" w:rsidRDefault="006A0020">
      <w:pPr>
        <w:autoSpaceDE w:val="0"/>
        <w:autoSpaceDN w:val="0"/>
        <w:adjustRightInd w:val="0"/>
        <w:spacing w:after="0" w:line="360" w:lineRule="auto"/>
        <w:ind w:firstLine="720"/>
        <w:jc w:val="both"/>
        <w:rPr>
          <w:rFonts w:ascii="Times New Roman" w:hAnsi="Times New Roman" w:cs="Times New Roman"/>
          <w:color w:val="000000" w:themeColor="text1"/>
        </w:rPr>
      </w:pPr>
      <w:r>
        <w:rPr>
          <w:rFonts w:ascii="Times New Roman" w:eastAsia="OnemtmiguAAAA" w:hAnsi="Times New Roman" w:cs="Times New Roman"/>
          <w:color w:val="000000" w:themeColor="text1"/>
        </w:rPr>
        <w:t xml:space="preserve">          </w:t>
      </w:r>
      <w:r w:rsidR="009F065E" w:rsidRPr="009F065E">
        <w:rPr>
          <w:rFonts w:ascii="Times New Roman" w:eastAsia="OnemtmiguAAAA" w:hAnsi="Times New Roman" w:cs="Times New Roman"/>
          <w:color w:val="000000" w:themeColor="text1"/>
        </w:rPr>
        <w:t>Y</w:t>
      </w:r>
      <w:r w:rsidR="009F065E" w:rsidRPr="009F065E">
        <w:rPr>
          <w:rFonts w:ascii="Times New Roman" w:eastAsia="OnemtmiguAAAA" w:hAnsi="Times New Roman" w:cs="Times New Roman"/>
          <w:color w:val="000000" w:themeColor="text1"/>
          <w:vertAlign w:val="subscript"/>
        </w:rPr>
        <w:t xml:space="preserve">it </w:t>
      </w:r>
      <w:r w:rsidR="009F065E" w:rsidRPr="009F065E">
        <w:rPr>
          <w:rFonts w:ascii="Times New Roman" w:eastAsia="MTSY" w:hAnsi="Times New Roman" w:cs="Times New Roman"/>
          <w:color w:val="000000" w:themeColor="text1"/>
        </w:rPr>
        <w:t>= β</w:t>
      </w:r>
      <w:r w:rsidR="009F065E" w:rsidRPr="009F065E">
        <w:rPr>
          <w:rFonts w:ascii="Times New Roman" w:eastAsia="OnemtmiguAAAA" w:hAnsi="Times New Roman" w:cs="Times New Roman"/>
          <w:color w:val="000000" w:themeColor="text1"/>
          <w:vertAlign w:val="subscript"/>
        </w:rPr>
        <w:t xml:space="preserve">0 </w:t>
      </w:r>
      <w:r w:rsidR="009F065E" w:rsidRPr="009F065E">
        <w:rPr>
          <w:rFonts w:ascii="Times New Roman" w:eastAsia="MTSY" w:hAnsi="Times New Roman" w:cs="Times New Roman"/>
          <w:color w:val="000000" w:themeColor="text1"/>
        </w:rPr>
        <w:t>+ β</w:t>
      </w:r>
      <w:r w:rsidR="009F065E" w:rsidRPr="009F065E">
        <w:rPr>
          <w:rFonts w:ascii="Times New Roman" w:eastAsia="OnemtmiguAAAA" w:hAnsi="Times New Roman" w:cs="Times New Roman"/>
          <w:color w:val="000000" w:themeColor="text1"/>
          <w:vertAlign w:val="subscript"/>
        </w:rPr>
        <w:t>1</w:t>
      </w:r>
      <w:r w:rsidR="009F065E" w:rsidRPr="009F065E">
        <w:rPr>
          <w:rFonts w:ascii="Times New Roman" w:eastAsia="OnemtmiguAAAA" w:hAnsi="Times New Roman" w:cs="Times New Roman"/>
          <w:color w:val="000000" w:themeColor="text1"/>
        </w:rPr>
        <w:t>×Y</w:t>
      </w:r>
      <w:r w:rsidR="009F065E" w:rsidRPr="009F065E">
        <w:rPr>
          <w:rFonts w:ascii="Times New Roman" w:eastAsia="OnemtmiguAAAA" w:hAnsi="Times New Roman" w:cs="Times New Roman"/>
          <w:color w:val="000000" w:themeColor="text1"/>
          <w:vertAlign w:val="subscript"/>
        </w:rPr>
        <w:t xml:space="preserve">it-1 </w:t>
      </w:r>
      <w:r w:rsidR="009F065E" w:rsidRPr="009F065E">
        <w:rPr>
          <w:rFonts w:ascii="Times New Roman" w:eastAsia="MTSY" w:hAnsi="Times New Roman" w:cs="Times New Roman"/>
          <w:color w:val="000000" w:themeColor="text1"/>
        </w:rPr>
        <w:t>+ β</w:t>
      </w:r>
      <w:r w:rsidR="009F065E" w:rsidRPr="009F065E">
        <w:rPr>
          <w:rFonts w:ascii="Times New Roman" w:eastAsia="OnemtmiguAAAA" w:hAnsi="Times New Roman" w:cs="Times New Roman"/>
          <w:color w:val="000000" w:themeColor="text1"/>
          <w:vertAlign w:val="subscript"/>
        </w:rPr>
        <w:t>2</w:t>
      </w:r>
      <w:r w:rsidR="009F065E" w:rsidRPr="009F065E">
        <w:rPr>
          <w:rFonts w:ascii="Times New Roman" w:eastAsia="OnemtmiguAAAA" w:hAnsi="Times New Roman" w:cs="Times New Roman"/>
          <w:color w:val="000000" w:themeColor="text1"/>
        </w:rPr>
        <w:t>×CCA</w:t>
      </w:r>
      <w:r w:rsidR="009F065E" w:rsidRPr="009F065E">
        <w:rPr>
          <w:rFonts w:ascii="Times New Roman" w:eastAsia="OnemtmiguAAAA" w:hAnsi="Times New Roman" w:cs="Times New Roman"/>
          <w:color w:val="000000" w:themeColor="text1"/>
          <w:vertAlign w:val="subscript"/>
        </w:rPr>
        <w:t xml:space="preserve">t </w:t>
      </w:r>
      <w:r w:rsidR="009F065E" w:rsidRPr="009F065E">
        <w:rPr>
          <w:rFonts w:ascii="Times New Roman" w:eastAsia="MTSY" w:hAnsi="Times New Roman" w:cs="Times New Roman"/>
          <w:color w:val="000000" w:themeColor="text1"/>
        </w:rPr>
        <w:t>+ β</w:t>
      </w:r>
      <w:r w:rsidR="009F065E" w:rsidRPr="009F065E">
        <w:rPr>
          <w:rFonts w:ascii="Times New Roman" w:eastAsia="OnemtmiguAAAA" w:hAnsi="Times New Roman" w:cs="Times New Roman"/>
          <w:color w:val="000000" w:themeColor="text1"/>
          <w:vertAlign w:val="subscript"/>
        </w:rPr>
        <w:t>3</w:t>
      </w:r>
      <w:r w:rsidR="009F065E" w:rsidRPr="009F065E">
        <w:rPr>
          <w:rFonts w:ascii="Times New Roman" w:eastAsia="OnemtmiguAAAA" w:hAnsi="Times New Roman" w:cs="Times New Roman"/>
          <w:color w:val="000000" w:themeColor="text1"/>
        </w:rPr>
        <w:t>×GRI</w:t>
      </w:r>
      <w:r w:rsidR="009F065E" w:rsidRPr="009F065E">
        <w:rPr>
          <w:rFonts w:ascii="Times New Roman" w:eastAsia="OnemtmiguAAAA" w:hAnsi="Times New Roman" w:cs="Times New Roman"/>
          <w:color w:val="000000" w:themeColor="text1"/>
          <w:vertAlign w:val="subscript"/>
        </w:rPr>
        <w:t xml:space="preserve">it </w:t>
      </w:r>
      <w:r w:rsidR="009F065E" w:rsidRPr="009F065E">
        <w:rPr>
          <w:rFonts w:ascii="Times New Roman" w:eastAsia="MTSY" w:hAnsi="Times New Roman" w:cs="Times New Roman"/>
          <w:color w:val="000000" w:themeColor="text1"/>
        </w:rPr>
        <w:t>+ β</w:t>
      </w:r>
      <w:r w:rsidR="009F065E" w:rsidRPr="009F065E">
        <w:rPr>
          <w:rFonts w:ascii="Times New Roman" w:eastAsia="OnemtmiguAAAA" w:hAnsi="Times New Roman" w:cs="Times New Roman"/>
          <w:color w:val="000000" w:themeColor="text1"/>
          <w:vertAlign w:val="subscript"/>
        </w:rPr>
        <w:t>4</w:t>
      </w:r>
      <w:r w:rsidR="009F065E" w:rsidRPr="009F065E">
        <w:rPr>
          <w:rFonts w:ascii="Times New Roman" w:eastAsia="OnemtmiguAAAA" w:hAnsi="Times New Roman" w:cs="Times New Roman"/>
          <w:color w:val="000000" w:themeColor="text1"/>
        </w:rPr>
        <w:t>×UNGC</w:t>
      </w:r>
      <w:r w:rsidR="009F065E" w:rsidRPr="009F065E">
        <w:rPr>
          <w:rFonts w:ascii="Times New Roman" w:eastAsia="OnemtmiguAAAA" w:hAnsi="Times New Roman" w:cs="Times New Roman"/>
          <w:color w:val="000000" w:themeColor="text1"/>
          <w:vertAlign w:val="subscript"/>
        </w:rPr>
        <w:t xml:space="preserve">it </w:t>
      </w:r>
      <w:r w:rsidR="009F065E" w:rsidRPr="009F065E">
        <w:rPr>
          <w:rFonts w:ascii="Times New Roman" w:eastAsia="MTSY" w:hAnsi="Times New Roman" w:cs="Times New Roman"/>
          <w:color w:val="000000" w:themeColor="text1"/>
        </w:rPr>
        <w:t>+ β</w:t>
      </w:r>
      <w:r w:rsidR="009F065E" w:rsidRPr="009F065E">
        <w:rPr>
          <w:rFonts w:ascii="Times New Roman" w:eastAsia="OnemtmiguAAAA" w:hAnsi="Times New Roman" w:cs="Times New Roman"/>
          <w:color w:val="000000" w:themeColor="text1"/>
          <w:vertAlign w:val="subscript"/>
        </w:rPr>
        <w:t>5</w:t>
      </w:r>
      <w:r w:rsidR="009F065E" w:rsidRPr="009F065E">
        <w:rPr>
          <w:rFonts w:ascii="Times New Roman" w:eastAsia="OnemtmiguAAAA" w:hAnsi="Times New Roman" w:cs="Times New Roman"/>
          <w:color w:val="000000" w:themeColor="text1"/>
        </w:rPr>
        <w:t>×C</w:t>
      </w:r>
      <w:r w:rsidR="009F065E" w:rsidRPr="009F065E">
        <w:rPr>
          <w:rFonts w:ascii="Times New Roman" w:eastAsia="OnemtmiguAAAA" w:hAnsi="Times New Roman" w:cs="Times New Roman"/>
          <w:color w:val="000000" w:themeColor="text1"/>
          <w:vertAlign w:val="subscript"/>
        </w:rPr>
        <w:t xml:space="preserve">it </w:t>
      </w:r>
      <w:r w:rsidR="009F065E" w:rsidRPr="009F065E">
        <w:rPr>
          <w:rFonts w:ascii="Times New Roman" w:eastAsia="MTSY" w:hAnsi="Times New Roman" w:cs="Times New Roman"/>
          <w:color w:val="000000" w:themeColor="text1"/>
        </w:rPr>
        <w:t xml:space="preserve">+ </w:t>
      </w:r>
      <w:r w:rsidR="009F065E" w:rsidRPr="009F065E">
        <w:rPr>
          <w:rFonts w:ascii="Times New Roman" w:eastAsia="OnemtmiguAAAA" w:hAnsi="Times New Roman" w:cs="Times New Roman"/>
          <w:color w:val="000000" w:themeColor="text1"/>
        </w:rPr>
        <w:t>u</w:t>
      </w:r>
      <w:r w:rsidR="009F065E" w:rsidRPr="009F065E">
        <w:rPr>
          <w:rFonts w:ascii="Times New Roman" w:eastAsia="OnemtmiguAAAA" w:hAnsi="Times New Roman" w:cs="Times New Roman"/>
          <w:color w:val="000000" w:themeColor="text1"/>
          <w:vertAlign w:val="subscript"/>
        </w:rPr>
        <w:t xml:space="preserve">it </w:t>
      </w:r>
      <w:r w:rsidR="009F065E" w:rsidRPr="009F065E">
        <w:rPr>
          <w:rFonts w:ascii="Times New Roman" w:eastAsia="OnemtmiguAAAA" w:hAnsi="Times New Roman" w:cs="Times New Roman"/>
          <w:color w:val="000000" w:themeColor="text1"/>
          <w:vertAlign w:val="subscript"/>
        </w:rPr>
        <w:tab/>
      </w:r>
      <w:r w:rsidR="009F065E" w:rsidRPr="009F065E">
        <w:rPr>
          <w:rFonts w:ascii="Times New Roman" w:eastAsia="OnemtmiguAAAA" w:hAnsi="Times New Roman" w:cs="Times New Roman"/>
          <w:color w:val="000000" w:themeColor="text1"/>
          <w:vertAlign w:val="subscript"/>
        </w:rPr>
        <w:tab/>
      </w:r>
      <w:r w:rsidR="009F065E" w:rsidRPr="009F065E">
        <w:rPr>
          <w:rFonts w:ascii="Times New Roman" w:eastAsia="OnemtmiguAAAA" w:hAnsi="Times New Roman" w:cs="Times New Roman"/>
          <w:color w:val="000000" w:themeColor="text1"/>
          <w:vertAlign w:val="subscript"/>
        </w:rPr>
        <w:tab/>
      </w:r>
      <w:r>
        <w:rPr>
          <w:rFonts w:ascii="Times New Roman" w:eastAsia="OnemtmiguAAAA" w:hAnsi="Times New Roman" w:cs="Times New Roman"/>
          <w:color w:val="000000" w:themeColor="text1"/>
          <w:vertAlign w:val="subscript"/>
        </w:rPr>
        <w:t xml:space="preserve">          </w:t>
      </w:r>
      <w:r w:rsidR="00376E4B">
        <w:rPr>
          <w:rFonts w:ascii="Times New Roman" w:eastAsia="OnemtmiguAAAA" w:hAnsi="Times New Roman" w:cs="Times New Roman"/>
          <w:color w:val="000000" w:themeColor="text1"/>
          <w:vertAlign w:val="subscript"/>
        </w:rPr>
        <w:t xml:space="preserve">   </w:t>
      </w:r>
      <w:r w:rsidR="009F065E" w:rsidRPr="009F065E">
        <w:rPr>
          <w:rFonts w:ascii="Times New Roman" w:eastAsia="OnemtmiguAAAA" w:hAnsi="Times New Roman" w:cs="Times New Roman"/>
          <w:color w:val="000000" w:themeColor="text1"/>
        </w:rPr>
        <w:t xml:space="preserve">(1) </w:t>
      </w:r>
    </w:p>
    <w:p w14:paraId="59F921C1" w14:textId="77777777" w:rsidR="00C300C6" w:rsidRDefault="00C300C6">
      <w:pPr>
        <w:autoSpaceDE w:val="0"/>
        <w:autoSpaceDN w:val="0"/>
        <w:adjustRightInd w:val="0"/>
        <w:spacing w:after="0" w:line="360" w:lineRule="auto"/>
        <w:jc w:val="both"/>
        <w:rPr>
          <w:rFonts w:ascii="Times New Roman" w:hAnsi="Times New Roman" w:cs="Times New Roman"/>
          <w:color w:val="000000" w:themeColor="text1"/>
        </w:rPr>
      </w:pPr>
    </w:p>
    <w:p w14:paraId="4590BDEF" w14:textId="49DBE7D9" w:rsidR="00C300C6" w:rsidRDefault="009F065E" w:rsidP="00BC49E4">
      <w:pPr>
        <w:spacing w:after="0" w:line="360" w:lineRule="auto"/>
        <w:ind w:firstLine="720"/>
        <w:jc w:val="both"/>
        <w:rPr>
          <w:rFonts w:ascii="Times New Roman" w:hAnsi="Times New Roman" w:cs="Times New Roman"/>
          <w:color w:val="000000" w:themeColor="text1"/>
        </w:rPr>
      </w:pPr>
      <w:r w:rsidRPr="009F065E">
        <w:rPr>
          <w:rFonts w:ascii="Times New Roman" w:hAnsi="Times New Roman" w:cs="Times New Roman"/>
          <w:color w:val="000000" w:themeColor="text1"/>
        </w:rPr>
        <w:t xml:space="preserve">In this model, </w:t>
      </w:r>
      <w:r w:rsidRPr="00996327">
        <w:rPr>
          <w:rFonts w:ascii="Times New Roman" w:hAnsi="Times New Roman" w:cs="Times New Roman"/>
          <w:i/>
          <w:color w:val="000000" w:themeColor="text1"/>
        </w:rPr>
        <w:t xml:space="preserve">Y </w:t>
      </w:r>
      <w:r w:rsidRPr="009F065E">
        <w:rPr>
          <w:rFonts w:ascii="Times New Roman" w:hAnsi="Times New Roman" w:cs="Times New Roman"/>
          <w:color w:val="000000" w:themeColor="text1"/>
        </w:rPr>
        <w:t xml:space="preserve">of company </w:t>
      </w:r>
      <w:r w:rsidRPr="00996327">
        <w:rPr>
          <w:rFonts w:ascii="Times New Roman" w:hAnsi="Times New Roman" w:cs="Times New Roman"/>
          <w:i/>
          <w:color w:val="000000" w:themeColor="text1"/>
        </w:rPr>
        <w:t>i</w:t>
      </w:r>
      <w:r w:rsidRPr="009F065E">
        <w:rPr>
          <w:rFonts w:ascii="Times New Roman" w:hAnsi="Times New Roman" w:cs="Times New Roman"/>
          <w:color w:val="000000" w:themeColor="text1"/>
        </w:rPr>
        <w:t xml:space="preserve"> in the year </w:t>
      </w:r>
      <w:r w:rsidRPr="00996327">
        <w:rPr>
          <w:rFonts w:ascii="Times New Roman" w:hAnsi="Times New Roman" w:cs="Times New Roman"/>
          <w:i/>
          <w:iCs/>
          <w:color w:val="000000" w:themeColor="text1"/>
        </w:rPr>
        <w:t>t</w:t>
      </w:r>
      <w:r w:rsidRPr="009F065E">
        <w:rPr>
          <w:rFonts w:ascii="Times New Roman" w:hAnsi="Times New Roman" w:cs="Times New Roman"/>
          <w:color w:val="000000" w:themeColor="text1"/>
        </w:rPr>
        <w:t xml:space="preserve"> is a function of the first lag of the dependent variable </w:t>
      </w:r>
      <w:r w:rsidRPr="00996327">
        <w:rPr>
          <w:rFonts w:ascii="Times New Roman" w:hAnsi="Times New Roman" w:cs="Times New Roman"/>
          <w:i/>
          <w:color w:val="000000" w:themeColor="text1"/>
        </w:rPr>
        <w:t>Y</w:t>
      </w:r>
      <w:r w:rsidRPr="009F065E">
        <w:rPr>
          <w:rFonts w:ascii="Times New Roman" w:hAnsi="Times New Roman" w:cs="Times New Roman"/>
          <w:color w:val="000000" w:themeColor="text1"/>
        </w:rPr>
        <w:t>, the Climate Change Act (</w:t>
      </w:r>
      <w:r w:rsidRPr="00823F28">
        <w:rPr>
          <w:rFonts w:ascii="Times New Roman" w:hAnsi="Times New Roman" w:cs="Times New Roman"/>
          <w:i/>
          <w:color w:val="000000" w:themeColor="text1"/>
        </w:rPr>
        <w:t>CCA</w:t>
      </w:r>
      <w:r w:rsidRPr="009F065E">
        <w:rPr>
          <w:rFonts w:ascii="Times New Roman" w:hAnsi="Times New Roman" w:cs="Times New Roman"/>
          <w:color w:val="000000" w:themeColor="text1"/>
        </w:rPr>
        <w:t>), the adoption of GRI-based sustainable reporting (</w:t>
      </w:r>
      <w:r w:rsidRPr="00823F28">
        <w:rPr>
          <w:rFonts w:ascii="Times New Roman" w:hAnsi="Times New Roman" w:cs="Times New Roman"/>
          <w:i/>
          <w:color w:val="000000" w:themeColor="text1"/>
        </w:rPr>
        <w:t>GRI</w:t>
      </w:r>
      <w:r w:rsidRPr="009F065E">
        <w:rPr>
          <w:rFonts w:ascii="Times New Roman" w:hAnsi="Times New Roman" w:cs="Times New Roman"/>
          <w:color w:val="000000" w:themeColor="text1"/>
        </w:rPr>
        <w:t>), the affiliation of UNGC (</w:t>
      </w:r>
      <w:r w:rsidRPr="00823F28">
        <w:rPr>
          <w:rFonts w:ascii="Times New Roman" w:hAnsi="Times New Roman" w:cs="Times New Roman"/>
          <w:i/>
          <w:color w:val="000000" w:themeColor="text1"/>
        </w:rPr>
        <w:t>UNGC</w:t>
      </w:r>
      <w:r w:rsidRPr="009F065E">
        <w:rPr>
          <w:rFonts w:ascii="Times New Roman" w:hAnsi="Times New Roman" w:cs="Times New Roman"/>
          <w:color w:val="000000" w:themeColor="text1"/>
        </w:rPr>
        <w:t>), company-specific control variables (</w:t>
      </w:r>
      <w:r w:rsidRPr="00823F28">
        <w:rPr>
          <w:rFonts w:ascii="Times New Roman" w:hAnsi="Times New Roman" w:cs="Times New Roman"/>
          <w:i/>
          <w:color w:val="000000" w:themeColor="text1"/>
        </w:rPr>
        <w:t>C</w:t>
      </w:r>
      <w:r w:rsidRPr="009F065E">
        <w:rPr>
          <w:rFonts w:ascii="Times New Roman" w:hAnsi="Times New Roman" w:cs="Times New Roman"/>
          <w:color w:val="000000" w:themeColor="text1"/>
        </w:rPr>
        <w:t xml:space="preserve">), and the error </w:t>
      </w:r>
      <w:r w:rsidRPr="009F065E">
        <w:rPr>
          <w:rFonts w:ascii="Times New Roman" w:hAnsi="Times New Roman" w:cs="Times New Roman"/>
          <w:color w:val="000000" w:themeColor="text1"/>
        </w:rPr>
        <w:lastRenderedPageBreak/>
        <w:t xml:space="preserve">term </w:t>
      </w:r>
      <w:r w:rsidRPr="007220DD">
        <w:rPr>
          <w:rFonts w:ascii="Times New Roman" w:hAnsi="Times New Roman" w:cs="Times New Roman"/>
          <w:i/>
          <w:iCs/>
          <w:color w:val="000000" w:themeColor="text1"/>
        </w:rPr>
        <w:t>u</w:t>
      </w:r>
      <w:r w:rsidRPr="009F065E">
        <w:rPr>
          <w:rFonts w:ascii="Times New Roman" w:hAnsi="Times New Roman" w:cs="Times New Roman"/>
          <w:color w:val="000000" w:themeColor="text1"/>
        </w:rPr>
        <w:t xml:space="preserve">. We also add the first lag of </w:t>
      </w:r>
      <w:r w:rsidRPr="00996327">
        <w:rPr>
          <w:rFonts w:ascii="Times New Roman" w:hAnsi="Times New Roman" w:cs="Times New Roman"/>
          <w:i/>
          <w:iCs/>
          <w:color w:val="000000" w:themeColor="text1"/>
        </w:rPr>
        <w:t>CRI</w:t>
      </w:r>
      <w:r w:rsidR="00C64B86">
        <w:rPr>
          <w:rFonts w:ascii="Times New Roman" w:hAnsi="Times New Roman" w:cs="Times New Roman"/>
          <w:i/>
          <w:iCs/>
          <w:color w:val="000000" w:themeColor="text1"/>
        </w:rPr>
        <w:t>s</w:t>
      </w:r>
      <w:r w:rsidRPr="009F065E">
        <w:rPr>
          <w:rFonts w:ascii="Times New Roman" w:hAnsi="Times New Roman" w:cs="Times New Roman"/>
          <w:color w:val="000000" w:themeColor="text1"/>
        </w:rPr>
        <w:t xml:space="preserve"> in the specification of </w:t>
      </w:r>
      <w:r w:rsidRPr="0073560E">
        <w:rPr>
          <w:rFonts w:ascii="Times New Roman" w:hAnsi="Times New Roman" w:cs="Times New Roman"/>
          <w:i/>
          <w:color w:val="000000" w:themeColor="text1"/>
        </w:rPr>
        <w:t>GHG</w:t>
      </w:r>
      <w:r w:rsidRPr="009F065E">
        <w:rPr>
          <w:rFonts w:ascii="Times New Roman" w:hAnsi="Times New Roman" w:cs="Times New Roman"/>
          <w:color w:val="000000" w:themeColor="text1"/>
        </w:rPr>
        <w:t>, and vice-versa</w:t>
      </w:r>
      <w:r w:rsidR="00C64B86">
        <w:rPr>
          <w:rFonts w:ascii="Times New Roman" w:hAnsi="Times New Roman" w:cs="Times New Roman"/>
          <w:color w:val="000000" w:themeColor="text1"/>
        </w:rPr>
        <w:t>,</w:t>
      </w:r>
      <w:r w:rsidRPr="009F065E">
        <w:rPr>
          <w:rFonts w:ascii="Times New Roman" w:hAnsi="Times New Roman" w:cs="Times New Roman"/>
          <w:color w:val="000000" w:themeColor="text1"/>
        </w:rPr>
        <w:t xml:space="preserve"> as an additional control variable.</w:t>
      </w:r>
      <w:r w:rsidR="00CB7F5D">
        <w:rPr>
          <w:rFonts w:ascii="Times New Roman" w:hAnsi="Times New Roman" w:cs="Times New Roman"/>
          <w:color w:val="000000" w:themeColor="text1"/>
        </w:rPr>
        <w:t xml:space="preserve"> Table 2 describes all the variables </w:t>
      </w:r>
      <w:r w:rsidR="00F44EB6">
        <w:rPr>
          <w:rFonts w:ascii="Times New Roman" w:hAnsi="Times New Roman" w:cs="Times New Roman"/>
          <w:color w:val="000000" w:themeColor="text1"/>
        </w:rPr>
        <w:t>used in</w:t>
      </w:r>
      <w:r w:rsidR="00CB7F5D">
        <w:rPr>
          <w:rFonts w:ascii="Times New Roman" w:hAnsi="Times New Roman" w:cs="Times New Roman"/>
          <w:color w:val="000000" w:themeColor="text1"/>
        </w:rPr>
        <w:t xml:space="preserve"> </w:t>
      </w:r>
      <w:r w:rsidR="00FC6E66">
        <w:rPr>
          <w:rFonts w:ascii="Times New Roman" w:hAnsi="Times New Roman" w:cs="Times New Roman"/>
          <w:color w:val="000000" w:themeColor="text1"/>
        </w:rPr>
        <w:t xml:space="preserve">all our </w:t>
      </w:r>
      <w:r w:rsidR="00CB7F5D">
        <w:rPr>
          <w:rFonts w:ascii="Times New Roman" w:hAnsi="Times New Roman" w:cs="Times New Roman"/>
          <w:color w:val="000000" w:themeColor="text1"/>
        </w:rPr>
        <w:t>empirical model</w:t>
      </w:r>
      <w:r w:rsidR="00FC6E66">
        <w:rPr>
          <w:rFonts w:ascii="Times New Roman" w:hAnsi="Times New Roman" w:cs="Times New Roman"/>
          <w:color w:val="000000" w:themeColor="text1"/>
        </w:rPr>
        <w:t>s</w:t>
      </w:r>
      <w:r w:rsidR="00CB7F5D">
        <w:rPr>
          <w:rFonts w:ascii="Times New Roman" w:hAnsi="Times New Roman" w:cs="Times New Roman"/>
          <w:color w:val="000000" w:themeColor="text1"/>
        </w:rPr>
        <w:t>.</w:t>
      </w:r>
      <w:r w:rsidRPr="009F065E">
        <w:rPr>
          <w:rFonts w:ascii="Times New Roman" w:hAnsi="Times New Roman" w:cs="Times New Roman"/>
          <w:color w:val="000000" w:themeColor="text1"/>
        </w:rPr>
        <w:t xml:space="preserve"> </w:t>
      </w:r>
    </w:p>
    <w:p w14:paraId="5CD344FA" w14:textId="6B917870" w:rsidR="00C300C6" w:rsidRDefault="009F065E" w:rsidP="00BC49E4">
      <w:pPr>
        <w:spacing w:after="0" w:line="360" w:lineRule="auto"/>
        <w:ind w:firstLine="720"/>
        <w:jc w:val="both"/>
        <w:rPr>
          <w:rFonts w:ascii="Times New Roman" w:hAnsi="Times New Roman" w:cs="Times New Roman"/>
          <w:color w:val="000000" w:themeColor="text1"/>
        </w:rPr>
      </w:pPr>
      <w:r w:rsidRPr="009F065E">
        <w:rPr>
          <w:rFonts w:ascii="Times New Roman" w:hAnsi="Times New Roman" w:cs="Times New Roman"/>
          <w:color w:val="000000" w:themeColor="text1"/>
        </w:rPr>
        <w:t xml:space="preserve">In order to examine the effects of the interactions </w:t>
      </w:r>
      <w:r w:rsidR="00C64B86">
        <w:rPr>
          <w:rFonts w:ascii="Times New Roman" w:hAnsi="Times New Roman" w:cs="Times New Roman"/>
          <w:color w:val="000000" w:themeColor="text1"/>
        </w:rPr>
        <w:t>between</w:t>
      </w:r>
      <w:r w:rsidRPr="009F065E">
        <w:rPr>
          <w:rFonts w:ascii="Times New Roman" w:hAnsi="Times New Roman" w:cs="Times New Roman"/>
          <w:color w:val="000000" w:themeColor="text1"/>
        </w:rPr>
        <w:t xml:space="preserve"> </w:t>
      </w:r>
      <w:r w:rsidR="00C64B86">
        <w:rPr>
          <w:rFonts w:ascii="Times New Roman" w:hAnsi="Times New Roman" w:cs="Times New Roman"/>
          <w:color w:val="000000" w:themeColor="text1"/>
        </w:rPr>
        <w:t xml:space="preserve">the </w:t>
      </w:r>
      <w:r w:rsidRPr="009F065E">
        <w:rPr>
          <w:rFonts w:ascii="Times New Roman" w:hAnsi="Times New Roman" w:cs="Times New Roman"/>
          <w:color w:val="000000" w:themeColor="text1"/>
        </w:rPr>
        <w:t xml:space="preserve">CCA </w:t>
      </w:r>
      <w:r w:rsidR="00C64B86">
        <w:rPr>
          <w:rFonts w:ascii="Times New Roman" w:hAnsi="Times New Roman" w:cs="Times New Roman"/>
          <w:color w:val="000000" w:themeColor="text1"/>
        </w:rPr>
        <w:t>and</w:t>
      </w:r>
      <w:r w:rsidRPr="009F065E">
        <w:rPr>
          <w:rFonts w:ascii="Times New Roman" w:hAnsi="Times New Roman" w:cs="Times New Roman"/>
          <w:color w:val="000000" w:themeColor="text1"/>
        </w:rPr>
        <w:t xml:space="preserve"> executive compensation (</w:t>
      </w:r>
      <w:r w:rsidRPr="00823F28">
        <w:rPr>
          <w:rFonts w:ascii="Times New Roman" w:hAnsi="Times New Roman" w:cs="Times New Roman"/>
          <w:i/>
          <w:color w:val="000000" w:themeColor="text1"/>
        </w:rPr>
        <w:t>Exec_Com</w:t>
      </w:r>
      <w:r w:rsidR="006F6F2D">
        <w:rPr>
          <w:rFonts w:ascii="Times New Roman" w:hAnsi="Times New Roman" w:cs="Times New Roman"/>
          <w:i/>
          <w:color w:val="000000" w:themeColor="text1"/>
        </w:rPr>
        <w:t>p</w:t>
      </w:r>
      <w:r w:rsidRPr="009F065E">
        <w:rPr>
          <w:rFonts w:ascii="Times New Roman" w:hAnsi="Times New Roman" w:cs="Times New Roman"/>
          <w:color w:val="000000" w:themeColor="text1"/>
        </w:rPr>
        <w:t>), ESG-based compensation (</w:t>
      </w:r>
      <w:r w:rsidRPr="00823F28">
        <w:rPr>
          <w:rFonts w:ascii="Times New Roman" w:hAnsi="Times New Roman" w:cs="Times New Roman"/>
          <w:i/>
          <w:color w:val="000000" w:themeColor="text1"/>
        </w:rPr>
        <w:t>ESG_Comp</w:t>
      </w:r>
      <w:r w:rsidRPr="009F065E">
        <w:rPr>
          <w:rFonts w:ascii="Times New Roman" w:hAnsi="Times New Roman" w:cs="Times New Roman"/>
          <w:color w:val="000000" w:themeColor="text1"/>
        </w:rPr>
        <w:t>), board independence (</w:t>
      </w:r>
      <w:r w:rsidRPr="00823F28">
        <w:rPr>
          <w:rFonts w:ascii="Times New Roman" w:hAnsi="Times New Roman" w:cs="Times New Roman"/>
          <w:i/>
          <w:color w:val="000000" w:themeColor="text1"/>
        </w:rPr>
        <w:t>Ind_Dir</w:t>
      </w:r>
      <w:r w:rsidRPr="009F065E">
        <w:rPr>
          <w:rFonts w:ascii="Times New Roman" w:hAnsi="Times New Roman" w:cs="Times New Roman"/>
          <w:color w:val="000000" w:themeColor="text1"/>
        </w:rPr>
        <w:t xml:space="preserve">), </w:t>
      </w:r>
      <w:r w:rsidR="001809FF">
        <w:rPr>
          <w:rFonts w:ascii="Times New Roman" w:hAnsi="Times New Roman" w:cs="Times New Roman"/>
          <w:color w:val="000000" w:themeColor="text1"/>
        </w:rPr>
        <w:t>board size (</w:t>
      </w:r>
      <w:r w:rsidR="001809FF" w:rsidRPr="00823F28">
        <w:rPr>
          <w:rFonts w:ascii="Times New Roman" w:hAnsi="Times New Roman" w:cs="Times New Roman"/>
          <w:i/>
          <w:color w:val="000000" w:themeColor="text1"/>
        </w:rPr>
        <w:t>BoD size</w:t>
      </w:r>
      <w:r w:rsidR="001809FF">
        <w:rPr>
          <w:rFonts w:ascii="Times New Roman" w:hAnsi="Times New Roman" w:cs="Times New Roman"/>
          <w:color w:val="000000" w:themeColor="text1"/>
        </w:rPr>
        <w:t>)</w:t>
      </w:r>
      <w:r w:rsidR="00C64B86">
        <w:rPr>
          <w:rFonts w:ascii="Times New Roman" w:hAnsi="Times New Roman" w:cs="Times New Roman"/>
          <w:color w:val="000000" w:themeColor="text1"/>
        </w:rPr>
        <w:t>,</w:t>
      </w:r>
      <w:r w:rsidR="001809FF">
        <w:rPr>
          <w:rFonts w:ascii="Times New Roman" w:hAnsi="Times New Roman" w:cs="Times New Roman"/>
          <w:color w:val="000000" w:themeColor="text1"/>
        </w:rPr>
        <w:t xml:space="preserve"> and CEO duality (</w:t>
      </w:r>
      <w:r w:rsidR="001809FF" w:rsidRPr="00823F28">
        <w:rPr>
          <w:rFonts w:ascii="Times New Roman" w:hAnsi="Times New Roman" w:cs="Times New Roman"/>
          <w:i/>
          <w:color w:val="000000" w:themeColor="text1"/>
        </w:rPr>
        <w:t>duality</w:t>
      </w:r>
      <w:r w:rsidR="001809FF">
        <w:rPr>
          <w:rFonts w:ascii="Times New Roman" w:hAnsi="Times New Roman" w:cs="Times New Roman"/>
          <w:color w:val="000000" w:themeColor="text1"/>
        </w:rPr>
        <w:t xml:space="preserve">), </w:t>
      </w:r>
      <w:r w:rsidRPr="009F065E">
        <w:rPr>
          <w:rFonts w:ascii="Times New Roman" w:hAnsi="Times New Roman" w:cs="Times New Roman"/>
          <w:color w:val="000000" w:themeColor="text1"/>
        </w:rPr>
        <w:t xml:space="preserve">we estimate the following model by replacing </w:t>
      </w:r>
      <w:r w:rsidRPr="0073560E">
        <w:rPr>
          <w:rFonts w:ascii="Times New Roman" w:hAnsi="Times New Roman" w:cs="Times New Roman"/>
          <w:i/>
          <w:color w:val="000000" w:themeColor="text1"/>
        </w:rPr>
        <w:t>CCA</w:t>
      </w:r>
      <w:r w:rsidRPr="009F065E">
        <w:rPr>
          <w:rFonts w:ascii="Times New Roman" w:hAnsi="Times New Roman" w:cs="Times New Roman"/>
          <w:color w:val="000000" w:themeColor="text1"/>
        </w:rPr>
        <w:t xml:space="preserve"> with the interaction variables. </w:t>
      </w:r>
    </w:p>
    <w:p w14:paraId="300A0BC7" w14:textId="77777777" w:rsidR="00C300C6" w:rsidRDefault="00C300C6">
      <w:pPr>
        <w:spacing w:after="0" w:line="360" w:lineRule="auto"/>
        <w:jc w:val="both"/>
        <w:rPr>
          <w:rFonts w:ascii="Times New Roman" w:hAnsi="Times New Roman" w:cs="Times New Roman"/>
          <w:color w:val="000000" w:themeColor="text1"/>
        </w:rPr>
      </w:pPr>
    </w:p>
    <w:p w14:paraId="0C72ACC9" w14:textId="307D4F18" w:rsidR="00C300C6" w:rsidRDefault="009F065E">
      <w:pPr>
        <w:autoSpaceDE w:val="0"/>
        <w:autoSpaceDN w:val="0"/>
        <w:adjustRightInd w:val="0"/>
        <w:spacing w:after="0" w:line="360" w:lineRule="auto"/>
        <w:ind w:firstLine="720"/>
        <w:jc w:val="both"/>
        <w:rPr>
          <w:rFonts w:ascii="Times New Roman" w:eastAsia="OnemtmiguAAAA" w:hAnsi="Times New Roman" w:cs="Times New Roman"/>
          <w:color w:val="000000" w:themeColor="text1"/>
        </w:rPr>
      </w:pPr>
      <w:r w:rsidRPr="009F065E">
        <w:rPr>
          <w:rFonts w:ascii="Times New Roman" w:eastAsia="OnemtmiguAAAA" w:hAnsi="Times New Roman" w:cs="Times New Roman"/>
          <w:color w:val="000000" w:themeColor="text1"/>
        </w:rPr>
        <w:t>Y</w:t>
      </w:r>
      <w:r w:rsidRPr="009F065E">
        <w:rPr>
          <w:rFonts w:ascii="Times New Roman" w:eastAsia="OnemtmiguAAAA" w:hAnsi="Times New Roman" w:cs="Times New Roman"/>
          <w:color w:val="000000" w:themeColor="text1"/>
          <w:vertAlign w:val="subscript"/>
        </w:rPr>
        <w:t xml:space="preserve">it </w:t>
      </w:r>
      <w:r w:rsidRPr="009F065E">
        <w:rPr>
          <w:rFonts w:ascii="Times New Roman" w:eastAsia="MTSY" w:hAnsi="Times New Roman" w:cs="Times New Roman"/>
          <w:color w:val="000000" w:themeColor="text1"/>
        </w:rPr>
        <w:t>= β</w:t>
      </w:r>
      <w:r w:rsidRPr="009F065E">
        <w:rPr>
          <w:rFonts w:ascii="Times New Roman" w:eastAsia="OnemtmiguAAAA" w:hAnsi="Times New Roman" w:cs="Times New Roman"/>
          <w:color w:val="000000" w:themeColor="text1"/>
          <w:vertAlign w:val="subscript"/>
        </w:rPr>
        <w:t xml:space="preserve">0 </w:t>
      </w:r>
      <w:r w:rsidRPr="009F065E">
        <w:rPr>
          <w:rFonts w:ascii="Times New Roman" w:eastAsia="MTSY" w:hAnsi="Times New Roman" w:cs="Times New Roman"/>
          <w:color w:val="000000" w:themeColor="text1"/>
        </w:rPr>
        <w:t>+ β</w:t>
      </w:r>
      <w:r w:rsidRPr="009F065E">
        <w:rPr>
          <w:rFonts w:ascii="Times New Roman" w:eastAsia="OnemtmiguAAAA" w:hAnsi="Times New Roman" w:cs="Times New Roman"/>
          <w:color w:val="000000" w:themeColor="text1"/>
          <w:vertAlign w:val="subscript"/>
        </w:rPr>
        <w:t>1</w:t>
      </w:r>
      <w:r w:rsidRPr="009F065E">
        <w:rPr>
          <w:rFonts w:ascii="Times New Roman" w:eastAsia="OnemtmiguAAAA" w:hAnsi="Times New Roman" w:cs="Times New Roman"/>
          <w:color w:val="000000" w:themeColor="text1"/>
        </w:rPr>
        <w:t>×Y</w:t>
      </w:r>
      <w:r w:rsidRPr="009F065E">
        <w:rPr>
          <w:rFonts w:ascii="Times New Roman" w:eastAsia="OnemtmiguAAAA" w:hAnsi="Times New Roman" w:cs="Times New Roman"/>
          <w:color w:val="000000" w:themeColor="text1"/>
          <w:vertAlign w:val="subscript"/>
        </w:rPr>
        <w:t xml:space="preserve">it-1 </w:t>
      </w:r>
      <w:r w:rsidRPr="009F065E">
        <w:rPr>
          <w:rFonts w:ascii="Times New Roman" w:eastAsia="MTSY" w:hAnsi="Times New Roman" w:cs="Times New Roman"/>
          <w:color w:val="000000" w:themeColor="text1"/>
        </w:rPr>
        <w:t>+</w:t>
      </w:r>
      <w:r w:rsidR="009629BF">
        <w:rPr>
          <w:rFonts w:ascii="Times New Roman" w:eastAsia="MTSY" w:hAnsi="Times New Roman" w:cs="Times New Roman"/>
          <w:color w:val="000000" w:themeColor="text1"/>
        </w:rPr>
        <w:t xml:space="preserve"> </w:t>
      </w:r>
      <w:r w:rsidR="009629BF" w:rsidRPr="009F065E">
        <w:rPr>
          <w:rFonts w:ascii="Times New Roman" w:eastAsia="MTSY" w:hAnsi="Times New Roman" w:cs="Times New Roman"/>
          <w:color w:val="000000" w:themeColor="text1"/>
        </w:rPr>
        <w:t>β</w:t>
      </w:r>
      <w:r w:rsidR="009629BF">
        <w:rPr>
          <w:rFonts w:ascii="Times New Roman" w:eastAsia="OnemtmiguAAAA" w:hAnsi="Times New Roman" w:cs="Times New Roman"/>
          <w:color w:val="000000" w:themeColor="text1"/>
          <w:vertAlign w:val="subscript"/>
        </w:rPr>
        <w:t>2</w:t>
      </w:r>
      <w:r w:rsidR="009629BF">
        <w:rPr>
          <w:rFonts w:ascii="Times New Roman" w:eastAsia="MTSY" w:hAnsi="Times New Roman" w:cs="Times New Roman"/>
          <w:color w:val="000000" w:themeColor="text1"/>
        </w:rPr>
        <w:t>CCA</w:t>
      </w:r>
      <w:r w:rsidR="009629BF" w:rsidRPr="009F065E">
        <w:rPr>
          <w:rFonts w:ascii="Times New Roman" w:eastAsia="OnemtmiguAAAA" w:hAnsi="Times New Roman" w:cs="Times New Roman"/>
          <w:color w:val="000000" w:themeColor="text1"/>
          <w:vertAlign w:val="subscript"/>
        </w:rPr>
        <w:t>it</w:t>
      </w:r>
      <w:r w:rsidR="009629BF">
        <w:rPr>
          <w:rFonts w:ascii="Times New Roman" w:eastAsia="MTSY" w:hAnsi="Times New Roman" w:cs="Times New Roman"/>
          <w:color w:val="000000" w:themeColor="text1"/>
        </w:rPr>
        <w:t xml:space="preserve"> + </w:t>
      </w:r>
      <w:r w:rsidRPr="009F065E">
        <w:rPr>
          <w:rFonts w:ascii="Times New Roman" w:eastAsia="MTSY" w:hAnsi="Times New Roman" w:cs="Times New Roman"/>
          <w:color w:val="000000" w:themeColor="text1"/>
        </w:rPr>
        <w:t>β</w:t>
      </w:r>
      <w:r w:rsidR="009629BF">
        <w:rPr>
          <w:rFonts w:ascii="Times New Roman" w:eastAsia="OnemtmiguAAAA" w:hAnsi="Times New Roman" w:cs="Times New Roman"/>
          <w:color w:val="000000" w:themeColor="text1"/>
          <w:vertAlign w:val="subscript"/>
        </w:rPr>
        <w:t>3</w:t>
      </w:r>
      <w:r w:rsidRPr="009F065E">
        <w:rPr>
          <w:rFonts w:ascii="Times New Roman" w:eastAsia="OnemtmiguAAAA" w:hAnsi="Times New Roman" w:cs="Times New Roman"/>
          <w:color w:val="000000" w:themeColor="text1"/>
        </w:rPr>
        <w:t>×CCA*ExecComp</w:t>
      </w:r>
      <w:r w:rsidRPr="009F065E">
        <w:rPr>
          <w:rFonts w:ascii="Times New Roman" w:eastAsia="OnemtmiguAAAA" w:hAnsi="Times New Roman" w:cs="Times New Roman"/>
          <w:color w:val="000000" w:themeColor="text1"/>
          <w:vertAlign w:val="subscript"/>
        </w:rPr>
        <w:t xml:space="preserve">it </w:t>
      </w:r>
      <w:r w:rsidRPr="009F065E">
        <w:rPr>
          <w:rFonts w:ascii="Times New Roman" w:eastAsia="MTSY" w:hAnsi="Times New Roman" w:cs="Times New Roman"/>
          <w:color w:val="000000" w:themeColor="text1"/>
        </w:rPr>
        <w:t>+ β</w:t>
      </w:r>
      <w:r w:rsidR="009629BF">
        <w:rPr>
          <w:rFonts w:ascii="Times New Roman" w:eastAsia="OnemtmiguAAAA" w:hAnsi="Times New Roman" w:cs="Times New Roman"/>
          <w:color w:val="000000" w:themeColor="text1"/>
          <w:vertAlign w:val="subscript"/>
        </w:rPr>
        <w:t>4</w:t>
      </w:r>
      <w:r w:rsidRPr="009F065E">
        <w:rPr>
          <w:rFonts w:ascii="Times New Roman" w:eastAsia="OnemtmiguAAAA" w:hAnsi="Times New Roman" w:cs="Times New Roman"/>
          <w:color w:val="000000" w:themeColor="text1"/>
        </w:rPr>
        <w:t>×GRI</w:t>
      </w:r>
      <w:r w:rsidRPr="009F065E">
        <w:rPr>
          <w:rFonts w:ascii="Times New Roman" w:eastAsia="OnemtmiguAAAA" w:hAnsi="Times New Roman" w:cs="Times New Roman"/>
          <w:color w:val="000000" w:themeColor="text1"/>
          <w:vertAlign w:val="subscript"/>
        </w:rPr>
        <w:t xml:space="preserve">it </w:t>
      </w:r>
      <w:r w:rsidRPr="009F065E">
        <w:rPr>
          <w:rFonts w:ascii="Times New Roman" w:eastAsia="MTSY" w:hAnsi="Times New Roman" w:cs="Times New Roman"/>
          <w:color w:val="000000" w:themeColor="text1"/>
        </w:rPr>
        <w:t>+ β</w:t>
      </w:r>
      <w:r w:rsidR="009629BF">
        <w:rPr>
          <w:rFonts w:ascii="Times New Roman" w:eastAsia="OnemtmiguAAAA" w:hAnsi="Times New Roman" w:cs="Times New Roman"/>
          <w:color w:val="000000" w:themeColor="text1"/>
          <w:vertAlign w:val="subscript"/>
        </w:rPr>
        <w:t>5</w:t>
      </w:r>
      <w:r w:rsidRPr="009F065E">
        <w:rPr>
          <w:rFonts w:ascii="Times New Roman" w:eastAsia="OnemtmiguAAAA" w:hAnsi="Times New Roman" w:cs="Times New Roman"/>
          <w:color w:val="000000" w:themeColor="text1"/>
        </w:rPr>
        <w:t>×UNGC</w:t>
      </w:r>
      <w:r w:rsidRPr="009F065E">
        <w:rPr>
          <w:rFonts w:ascii="Times New Roman" w:eastAsia="OnemtmiguAAAA" w:hAnsi="Times New Roman" w:cs="Times New Roman"/>
          <w:color w:val="000000" w:themeColor="text1"/>
          <w:vertAlign w:val="subscript"/>
        </w:rPr>
        <w:t xml:space="preserve">it </w:t>
      </w:r>
      <w:r w:rsidRPr="009F065E">
        <w:rPr>
          <w:rFonts w:ascii="Times New Roman" w:eastAsia="MTSY" w:hAnsi="Times New Roman" w:cs="Times New Roman"/>
          <w:color w:val="000000" w:themeColor="text1"/>
        </w:rPr>
        <w:t>+ β</w:t>
      </w:r>
      <w:r w:rsidR="009629BF">
        <w:rPr>
          <w:rFonts w:ascii="Times New Roman" w:eastAsia="OnemtmiguAAAA" w:hAnsi="Times New Roman" w:cs="Times New Roman"/>
          <w:color w:val="000000" w:themeColor="text1"/>
          <w:vertAlign w:val="subscript"/>
        </w:rPr>
        <w:t>6</w:t>
      </w:r>
      <w:r w:rsidRPr="009F065E">
        <w:rPr>
          <w:rFonts w:ascii="Times New Roman" w:eastAsia="OnemtmiguAAAA" w:hAnsi="Times New Roman" w:cs="Times New Roman"/>
          <w:color w:val="000000" w:themeColor="text1"/>
        </w:rPr>
        <w:t>×C</w:t>
      </w:r>
      <w:r w:rsidRPr="009F065E">
        <w:rPr>
          <w:rFonts w:ascii="Times New Roman" w:eastAsia="OnemtmiguAAAA" w:hAnsi="Times New Roman" w:cs="Times New Roman"/>
          <w:color w:val="000000" w:themeColor="text1"/>
          <w:vertAlign w:val="subscript"/>
        </w:rPr>
        <w:t xml:space="preserve">it </w:t>
      </w:r>
      <w:r w:rsidRPr="009F065E">
        <w:rPr>
          <w:rFonts w:ascii="Times New Roman" w:eastAsia="MTSY" w:hAnsi="Times New Roman" w:cs="Times New Roman"/>
          <w:color w:val="000000" w:themeColor="text1"/>
        </w:rPr>
        <w:t xml:space="preserve">+ </w:t>
      </w:r>
      <w:r w:rsidRPr="009F065E">
        <w:rPr>
          <w:rFonts w:ascii="Times New Roman" w:eastAsia="OnemtmiguAAAA" w:hAnsi="Times New Roman" w:cs="Times New Roman"/>
          <w:color w:val="000000" w:themeColor="text1"/>
        </w:rPr>
        <w:t>u</w:t>
      </w:r>
      <w:r w:rsidRPr="009F065E">
        <w:rPr>
          <w:rFonts w:ascii="Times New Roman" w:eastAsia="OnemtmiguAAAA" w:hAnsi="Times New Roman" w:cs="Times New Roman"/>
          <w:color w:val="000000" w:themeColor="text1"/>
          <w:vertAlign w:val="subscript"/>
        </w:rPr>
        <w:t xml:space="preserve">it </w:t>
      </w:r>
      <w:r w:rsidR="003043F3">
        <w:rPr>
          <w:rFonts w:ascii="Times New Roman" w:eastAsia="OnemtmiguAAAA" w:hAnsi="Times New Roman" w:cs="Times New Roman"/>
          <w:color w:val="000000" w:themeColor="text1"/>
          <w:vertAlign w:val="subscript"/>
        </w:rPr>
        <w:t xml:space="preserve">          </w:t>
      </w:r>
      <w:r w:rsidRPr="009F065E">
        <w:rPr>
          <w:rFonts w:ascii="Times New Roman" w:eastAsia="OnemtmiguAAAA" w:hAnsi="Times New Roman" w:cs="Times New Roman"/>
          <w:color w:val="000000" w:themeColor="text1"/>
        </w:rPr>
        <w:t xml:space="preserve">(2a) </w:t>
      </w:r>
    </w:p>
    <w:p w14:paraId="265B462E" w14:textId="77777777" w:rsidR="00C300C6" w:rsidRDefault="00C300C6">
      <w:pPr>
        <w:autoSpaceDE w:val="0"/>
        <w:autoSpaceDN w:val="0"/>
        <w:adjustRightInd w:val="0"/>
        <w:spacing w:after="0" w:line="360" w:lineRule="auto"/>
        <w:jc w:val="both"/>
        <w:rPr>
          <w:rFonts w:ascii="Times New Roman" w:eastAsia="OnemtmiguAAAA" w:hAnsi="Times New Roman" w:cs="Times New Roman"/>
          <w:color w:val="000000" w:themeColor="text1"/>
        </w:rPr>
      </w:pPr>
    </w:p>
    <w:p w14:paraId="16A01E2B" w14:textId="735DEAA3" w:rsidR="00C300C6" w:rsidRDefault="009F065E">
      <w:pPr>
        <w:autoSpaceDE w:val="0"/>
        <w:autoSpaceDN w:val="0"/>
        <w:adjustRightInd w:val="0"/>
        <w:spacing w:after="0" w:line="360" w:lineRule="auto"/>
        <w:ind w:firstLine="720"/>
        <w:jc w:val="both"/>
        <w:rPr>
          <w:rFonts w:ascii="Times New Roman" w:eastAsia="OnemtmiguAAAA" w:hAnsi="Times New Roman" w:cs="Times New Roman"/>
          <w:color w:val="000000" w:themeColor="text1"/>
        </w:rPr>
      </w:pPr>
      <w:r w:rsidRPr="009F065E">
        <w:rPr>
          <w:rFonts w:ascii="Times New Roman" w:eastAsia="OnemtmiguAAAA" w:hAnsi="Times New Roman" w:cs="Times New Roman"/>
          <w:color w:val="000000" w:themeColor="text1"/>
        </w:rPr>
        <w:t>Y</w:t>
      </w:r>
      <w:r w:rsidRPr="009F065E">
        <w:rPr>
          <w:rFonts w:ascii="Times New Roman" w:eastAsia="OnemtmiguAAAA" w:hAnsi="Times New Roman" w:cs="Times New Roman"/>
          <w:color w:val="000000" w:themeColor="text1"/>
          <w:vertAlign w:val="subscript"/>
        </w:rPr>
        <w:t xml:space="preserve">it </w:t>
      </w:r>
      <w:r w:rsidRPr="009F065E">
        <w:rPr>
          <w:rFonts w:ascii="Times New Roman" w:eastAsia="MTSY" w:hAnsi="Times New Roman" w:cs="Times New Roman"/>
          <w:color w:val="000000" w:themeColor="text1"/>
        </w:rPr>
        <w:t>= β</w:t>
      </w:r>
      <w:r w:rsidRPr="009F065E">
        <w:rPr>
          <w:rFonts w:ascii="Times New Roman" w:eastAsia="OnemtmiguAAAA" w:hAnsi="Times New Roman" w:cs="Times New Roman"/>
          <w:color w:val="000000" w:themeColor="text1"/>
          <w:vertAlign w:val="subscript"/>
        </w:rPr>
        <w:t xml:space="preserve">0 </w:t>
      </w:r>
      <w:r w:rsidRPr="009F065E">
        <w:rPr>
          <w:rFonts w:ascii="Times New Roman" w:eastAsia="MTSY" w:hAnsi="Times New Roman" w:cs="Times New Roman"/>
          <w:color w:val="000000" w:themeColor="text1"/>
        </w:rPr>
        <w:t>+ β</w:t>
      </w:r>
      <w:r w:rsidRPr="009F065E">
        <w:rPr>
          <w:rFonts w:ascii="Times New Roman" w:eastAsia="OnemtmiguAAAA" w:hAnsi="Times New Roman" w:cs="Times New Roman"/>
          <w:color w:val="000000" w:themeColor="text1"/>
          <w:vertAlign w:val="subscript"/>
        </w:rPr>
        <w:t>1</w:t>
      </w:r>
      <w:r w:rsidRPr="009F065E">
        <w:rPr>
          <w:rFonts w:ascii="Times New Roman" w:eastAsia="OnemtmiguAAAA" w:hAnsi="Times New Roman" w:cs="Times New Roman"/>
          <w:color w:val="000000" w:themeColor="text1"/>
        </w:rPr>
        <w:t>×Y</w:t>
      </w:r>
      <w:r w:rsidRPr="009F065E">
        <w:rPr>
          <w:rFonts w:ascii="Times New Roman" w:eastAsia="OnemtmiguAAAA" w:hAnsi="Times New Roman" w:cs="Times New Roman"/>
          <w:color w:val="000000" w:themeColor="text1"/>
          <w:vertAlign w:val="subscript"/>
        </w:rPr>
        <w:t xml:space="preserve">it-1 </w:t>
      </w:r>
      <w:r w:rsidR="009629BF" w:rsidRPr="009F065E">
        <w:rPr>
          <w:rFonts w:ascii="Times New Roman" w:eastAsia="MTSY" w:hAnsi="Times New Roman" w:cs="Times New Roman"/>
          <w:color w:val="000000" w:themeColor="text1"/>
        </w:rPr>
        <w:t>+</w:t>
      </w:r>
      <w:r w:rsidR="009629BF">
        <w:rPr>
          <w:rFonts w:ascii="Times New Roman" w:eastAsia="MTSY" w:hAnsi="Times New Roman" w:cs="Times New Roman"/>
          <w:color w:val="000000" w:themeColor="text1"/>
        </w:rPr>
        <w:t xml:space="preserve"> </w:t>
      </w:r>
      <w:r w:rsidR="009629BF" w:rsidRPr="009F065E">
        <w:rPr>
          <w:rFonts w:ascii="Times New Roman" w:eastAsia="MTSY" w:hAnsi="Times New Roman" w:cs="Times New Roman"/>
          <w:color w:val="000000" w:themeColor="text1"/>
        </w:rPr>
        <w:t>β</w:t>
      </w:r>
      <w:r w:rsidR="009629BF">
        <w:rPr>
          <w:rFonts w:ascii="Times New Roman" w:eastAsia="OnemtmiguAAAA" w:hAnsi="Times New Roman" w:cs="Times New Roman"/>
          <w:color w:val="000000" w:themeColor="text1"/>
          <w:vertAlign w:val="subscript"/>
        </w:rPr>
        <w:t>2</w:t>
      </w:r>
      <w:r w:rsidR="009629BF">
        <w:rPr>
          <w:rFonts w:ascii="Times New Roman" w:eastAsia="MTSY" w:hAnsi="Times New Roman" w:cs="Times New Roman"/>
          <w:color w:val="000000" w:themeColor="text1"/>
        </w:rPr>
        <w:t>CCA</w:t>
      </w:r>
      <w:r w:rsidR="009629BF" w:rsidRPr="009F065E">
        <w:rPr>
          <w:rFonts w:ascii="Times New Roman" w:eastAsia="OnemtmiguAAAA" w:hAnsi="Times New Roman" w:cs="Times New Roman"/>
          <w:color w:val="000000" w:themeColor="text1"/>
          <w:vertAlign w:val="subscript"/>
        </w:rPr>
        <w:t>it</w:t>
      </w:r>
      <w:r w:rsidR="009629BF">
        <w:rPr>
          <w:rFonts w:ascii="Times New Roman" w:eastAsia="MTSY" w:hAnsi="Times New Roman" w:cs="Times New Roman"/>
          <w:color w:val="000000" w:themeColor="text1"/>
        </w:rPr>
        <w:t xml:space="preserve"> </w:t>
      </w:r>
      <w:r w:rsidRPr="009F065E">
        <w:rPr>
          <w:rFonts w:ascii="Times New Roman" w:eastAsia="MTSY" w:hAnsi="Times New Roman" w:cs="Times New Roman"/>
          <w:color w:val="000000" w:themeColor="text1"/>
        </w:rPr>
        <w:t>+ β</w:t>
      </w:r>
      <w:r w:rsidR="009629BF">
        <w:rPr>
          <w:rFonts w:ascii="Times New Roman" w:eastAsia="OnemtmiguAAAA" w:hAnsi="Times New Roman" w:cs="Times New Roman"/>
          <w:color w:val="000000" w:themeColor="text1"/>
          <w:vertAlign w:val="subscript"/>
        </w:rPr>
        <w:t>3</w:t>
      </w:r>
      <w:r w:rsidRPr="009F065E">
        <w:rPr>
          <w:rFonts w:ascii="Times New Roman" w:eastAsia="OnemtmiguAAAA" w:hAnsi="Times New Roman" w:cs="Times New Roman"/>
          <w:color w:val="000000" w:themeColor="text1"/>
        </w:rPr>
        <w:t>×CCA*ESG_Comp</w:t>
      </w:r>
      <w:r w:rsidRPr="009F065E">
        <w:rPr>
          <w:rFonts w:ascii="Times New Roman" w:eastAsia="OnemtmiguAAAA" w:hAnsi="Times New Roman" w:cs="Times New Roman"/>
          <w:color w:val="000000" w:themeColor="text1"/>
          <w:vertAlign w:val="subscript"/>
        </w:rPr>
        <w:t xml:space="preserve">it </w:t>
      </w:r>
      <w:r w:rsidRPr="009F065E">
        <w:rPr>
          <w:rFonts w:ascii="Times New Roman" w:eastAsia="MTSY" w:hAnsi="Times New Roman" w:cs="Times New Roman"/>
          <w:color w:val="000000" w:themeColor="text1"/>
        </w:rPr>
        <w:t>+ β</w:t>
      </w:r>
      <w:r w:rsidR="009629BF">
        <w:rPr>
          <w:rFonts w:ascii="Times New Roman" w:eastAsia="OnemtmiguAAAA" w:hAnsi="Times New Roman" w:cs="Times New Roman"/>
          <w:color w:val="000000" w:themeColor="text1"/>
          <w:vertAlign w:val="subscript"/>
        </w:rPr>
        <w:t>4</w:t>
      </w:r>
      <w:r w:rsidRPr="009F065E">
        <w:rPr>
          <w:rFonts w:ascii="Times New Roman" w:eastAsia="OnemtmiguAAAA" w:hAnsi="Times New Roman" w:cs="Times New Roman"/>
          <w:color w:val="000000" w:themeColor="text1"/>
        </w:rPr>
        <w:t>×GRI</w:t>
      </w:r>
      <w:r w:rsidRPr="009F065E">
        <w:rPr>
          <w:rFonts w:ascii="Times New Roman" w:eastAsia="OnemtmiguAAAA" w:hAnsi="Times New Roman" w:cs="Times New Roman"/>
          <w:color w:val="000000" w:themeColor="text1"/>
          <w:vertAlign w:val="subscript"/>
        </w:rPr>
        <w:t xml:space="preserve">it </w:t>
      </w:r>
      <w:r w:rsidRPr="009F065E">
        <w:rPr>
          <w:rFonts w:ascii="Times New Roman" w:eastAsia="MTSY" w:hAnsi="Times New Roman" w:cs="Times New Roman"/>
          <w:color w:val="000000" w:themeColor="text1"/>
        </w:rPr>
        <w:t>+ β</w:t>
      </w:r>
      <w:r w:rsidR="009629BF">
        <w:rPr>
          <w:rFonts w:ascii="Times New Roman" w:eastAsia="OnemtmiguAAAA" w:hAnsi="Times New Roman" w:cs="Times New Roman"/>
          <w:color w:val="000000" w:themeColor="text1"/>
          <w:vertAlign w:val="subscript"/>
        </w:rPr>
        <w:t>5</w:t>
      </w:r>
      <w:r w:rsidRPr="009F065E">
        <w:rPr>
          <w:rFonts w:ascii="Times New Roman" w:eastAsia="OnemtmiguAAAA" w:hAnsi="Times New Roman" w:cs="Times New Roman"/>
          <w:color w:val="000000" w:themeColor="text1"/>
        </w:rPr>
        <w:t>×UNGC</w:t>
      </w:r>
      <w:r w:rsidRPr="009F065E">
        <w:rPr>
          <w:rFonts w:ascii="Times New Roman" w:eastAsia="OnemtmiguAAAA" w:hAnsi="Times New Roman" w:cs="Times New Roman"/>
          <w:color w:val="000000" w:themeColor="text1"/>
          <w:vertAlign w:val="subscript"/>
        </w:rPr>
        <w:t xml:space="preserve">it </w:t>
      </w:r>
      <w:r w:rsidRPr="009F065E">
        <w:rPr>
          <w:rFonts w:ascii="Times New Roman" w:eastAsia="MTSY" w:hAnsi="Times New Roman" w:cs="Times New Roman"/>
          <w:color w:val="000000" w:themeColor="text1"/>
        </w:rPr>
        <w:t>+ β</w:t>
      </w:r>
      <w:r w:rsidR="009629BF">
        <w:rPr>
          <w:rFonts w:ascii="Times New Roman" w:eastAsia="OnemtmiguAAAA" w:hAnsi="Times New Roman" w:cs="Times New Roman"/>
          <w:color w:val="000000" w:themeColor="text1"/>
          <w:vertAlign w:val="subscript"/>
        </w:rPr>
        <w:t>6</w:t>
      </w:r>
      <w:r w:rsidRPr="009F065E">
        <w:rPr>
          <w:rFonts w:ascii="Times New Roman" w:eastAsia="OnemtmiguAAAA" w:hAnsi="Times New Roman" w:cs="Times New Roman"/>
          <w:color w:val="000000" w:themeColor="text1"/>
        </w:rPr>
        <w:t>×C</w:t>
      </w:r>
      <w:r w:rsidRPr="009F065E">
        <w:rPr>
          <w:rFonts w:ascii="Times New Roman" w:eastAsia="OnemtmiguAAAA" w:hAnsi="Times New Roman" w:cs="Times New Roman"/>
          <w:color w:val="000000" w:themeColor="text1"/>
          <w:vertAlign w:val="subscript"/>
        </w:rPr>
        <w:t xml:space="preserve">it </w:t>
      </w:r>
      <w:r w:rsidRPr="009F065E">
        <w:rPr>
          <w:rFonts w:ascii="Times New Roman" w:eastAsia="MTSY" w:hAnsi="Times New Roman" w:cs="Times New Roman"/>
          <w:color w:val="000000" w:themeColor="text1"/>
        </w:rPr>
        <w:t xml:space="preserve">+ </w:t>
      </w:r>
      <w:r w:rsidRPr="009F065E">
        <w:rPr>
          <w:rFonts w:ascii="Times New Roman" w:eastAsia="OnemtmiguAAAA" w:hAnsi="Times New Roman" w:cs="Times New Roman"/>
          <w:color w:val="000000" w:themeColor="text1"/>
        </w:rPr>
        <w:t>u</w:t>
      </w:r>
      <w:r w:rsidRPr="009F065E">
        <w:rPr>
          <w:rFonts w:ascii="Times New Roman" w:eastAsia="OnemtmiguAAAA" w:hAnsi="Times New Roman" w:cs="Times New Roman"/>
          <w:color w:val="000000" w:themeColor="text1"/>
          <w:vertAlign w:val="subscript"/>
        </w:rPr>
        <w:t>it</w:t>
      </w:r>
      <w:r w:rsidR="003043F3">
        <w:rPr>
          <w:rFonts w:ascii="Times New Roman" w:eastAsia="OnemtmiguAAAA" w:hAnsi="Times New Roman" w:cs="Times New Roman"/>
          <w:color w:val="000000" w:themeColor="text1"/>
          <w:vertAlign w:val="subscript"/>
        </w:rPr>
        <w:t xml:space="preserve">         </w:t>
      </w:r>
      <w:r w:rsidRPr="009F065E">
        <w:rPr>
          <w:rFonts w:ascii="Times New Roman" w:eastAsia="OnemtmiguAAAA" w:hAnsi="Times New Roman" w:cs="Times New Roman"/>
          <w:color w:val="000000" w:themeColor="text1"/>
        </w:rPr>
        <w:t>(2</w:t>
      </w:r>
      <w:r w:rsidR="00875AEB">
        <w:rPr>
          <w:rFonts w:ascii="Times New Roman" w:eastAsia="OnemtmiguAAAA" w:hAnsi="Times New Roman" w:cs="Times New Roman"/>
          <w:color w:val="000000" w:themeColor="text1"/>
        </w:rPr>
        <w:t>b</w:t>
      </w:r>
      <w:r w:rsidRPr="009F065E">
        <w:rPr>
          <w:rFonts w:ascii="Times New Roman" w:eastAsia="OnemtmiguAAAA" w:hAnsi="Times New Roman" w:cs="Times New Roman"/>
          <w:color w:val="000000" w:themeColor="text1"/>
        </w:rPr>
        <w:t xml:space="preserve">) </w:t>
      </w:r>
    </w:p>
    <w:p w14:paraId="17B207BA" w14:textId="77777777" w:rsidR="00C300C6" w:rsidRDefault="00C300C6">
      <w:pPr>
        <w:autoSpaceDE w:val="0"/>
        <w:autoSpaceDN w:val="0"/>
        <w:adjustRightInd w:val="0"/>
        <w:spacing w:after="0" w:line="360" w:lineRule="auto"/>
        <w:jc w:val="both"/>
        <w:rPr>
          <w:rFonts w:ascii="Times New Roman" w:eastAsia="OnemtmiguAAAA" w:hAnsi="Times New Roman" w:cs="Times New Roman"/>
          <w:color w:val="000000" w:themeColor="text1"/>
        </w:rPr>
      </w:pPr>
    </w:p>
    <w:p w14:paraId="009BA29C" w14:textId="4A38F6A6" w:rsidR="001809FF" w:rsidRDefault="009F065E">
      <w:pPr>
        <w:autoSpaceDE w:val="0"/>
        <w:autoSpaceDN w:val="0"/>
        <w:adjustRightInd w:val="0"/>
        <w:spacing w:after="0" w:line="360" w:lineRule="auto"/>
        <w:ind w:firstLine="720"/>
        <w:jc w:val="both"/>
        <w:rPr>
          <w:rFonts w:ascii="Times New Roman" w:eastAsia="OnemtmiguAAAA" w:hAnsi="Times New Roman" w:cs="Times New Roman"/>
          <w:color w:val="000000" w:themeColor="text1"/>
        </w:rPr>
      </w:pPr>
      <w:r w:rsidRPr="009F065E">
        <w:rPr>
          <w:rFonts w:ascii="Times New Roman" w:eastAsia="OnemtmiguAAAA" w:hAnsi="Times New Roman" w:cs="Times New Roman"/>
          <w:color w:val="000000" w:themeColor="text1"/>
        </w:rPr>
        <w:lastRenderedPageBreak/>
        <w:t>Y</w:t>
      </w:r>
      <w:r w:rsidRPr="009F065E">
        <w:rPr>
          <w:rFonts w:ascii="Times New Roman" w:eastAsia="OnemtmiguAAAA" w:hAnsi="Times New Roman" w:cs="Times New Roman"/>
          <w:color w:val="000000" w:themeColor="text1"/>
          <w:vertAlign w:val="subscript"/>
        </w:rPr>
        <w:t xml:space="preserve">it </w:t>
      </w:r>
      <w:r w:rsidRPr="009F065E">
        <w:rPr>
          <w:rFonts w:ascii="Times New Roman" w:eastAsia="MTSY" w:hAnsi="Times New Roman" w:cs="Times New Roman"/>
          <w:color w:val="000000" w:themeColor="text1"/>
        </w:rPr>
        <w:t>= β</w:t>
      </w:r>
      <w:r w:rsidRPr="009F065E">
        <w:rPr>
          <w:rFonts w:ascii="Times New Roman" w:eastAsia="OnemtmiguAAAA" w:hAnsi="Times New Roman" w:cs="Times New Roman"/>
          <w:color w:val="000000" w:themeColor="text1"/>
          <w:vertAlign w:val="subscript"/>
        </w:rPr>
        <w:t xml:space="preserve">0 </w:t>
      </w:r>
      <w:r w:rsidRPr="009F065E">
        <w:rPr>
          <w:rFonts w:ascii="Times New Roman" w:eastAsia="MTSY" w:hAnsi="Times New Roman" w:cs="Times New Roman"/>
          <w:color w:val="000000" w:themeColor="text1"/>
        </w:rPr>
        <w:t>+ β</w:t>
      </w:r>
      <w:r w:rsidRPr="009F065E">
        <w:rPr>
          <w:rFonts w:ascii="Times New Roman" w:eastAsia="OnemtmiguAAAA" w:hAnsi="Times New Roman" w:cs="Times New Roman"/>
          <w:color w:val="000000" w:themeColor="text1"/>
          <w:vertAlign w:val="subscript"/>
        </w:rPr>
        <w:t>1</w:t>
      </w:r>
      <w:r w:rsidRPr="009F065E">
        <w:rPr>
          <w:rFonts w:ascii="Times New Roman" w:eastAsia="OnemtmiguAAAA" w:hAnsi="Times New Roman" w:cs="Times New Roman"/>
          <w:color w:val="000000" w:themeColor="text1"/>
        </w:rPr>
        <w:t>×Y</w:t>
      </w:r>
      <w:r w:rsidRPr="009F065E">
        <w:rPr>
          <w:rFonts w:ascii="Times New Roman" w:eastAsia="OnemtmiguAAAA" w:hAnsi="Times New Roman" w:cs="Times New Roman"/>
          <w:color w:val="000000" w:themeColor="text1"/>
          <w:vertAlign w:val="subscript"/>
        </w:rPr>
        <w:t xml:space="preserve">it-1 </w:t>
      </w:r>
      <w:r w:rsidR="009629BF" w:rsidRPr="009F065E">
        <w:rPr>
          <w:rFonts w:ascii="Times New Roman" w:eastAsia="MTSY" w:hAnsi="Times New Roman" w:cs="Times New Roman"/>
          <w:color w:val="000000" w:themeColor="text1"/>
        </w:rPr>
        <w:t>+</w:t>
      </w:r>
      <w:r w:rsidR="009629BF">
        <w:rPr>
          <w:rFonts w:ascii="Times New Roman" w:eastAsia="MTSY" w:hAnsi="Times New Roman" w:cs="Times New Roman"/>
          <w:color w:val="000000" w:themeColor="text1"/>
        </w:rPr>
        <w:t xml:space="preserve"> </w:t>
      </w:r>
      <w:r w:rsidR="009629BF" w:rsidRPr="009F065E">
        <w:rPr>
          <w:rFonts w:ascii="Times New Roman" w:eastAsia="MTSY" w:hAnsi="Times New Roman" w:cs="Times New Roman"/>
          <w:color w:val="000000" w:themeColor="text1"/>
        </w:rPr>
        <w:t>β</w:t>
      </w:r>
      <w:r w:rsidR="009629BF">
        <w:rPr>
          <w:rFonts w:ascii="Times New Roman" w:eastAsia="OnemtmiguAAAA" w:hAnsi="Times New Roman" w:cs="Times New Roman"/>
          <w:color w:val="000000" w:themeColor="text1"/>
          <w:vertAlign w:val="subscript"/>
        </w:rPr>
        <w:t>2</w:t>
      </w:r>
      <w:r w:rsidR="009629BF">
        <w:rPr>
          <w:rFonts w:ascii="Times New Roman" w:eastAsia="MTSY" w:hAnsi="Times New Roman" w:cs="Times New Roman"/>
          <w:color w:val="000000" w:themeColor="text1"/>
        </w:rPr>
        <w:t>CCA</w:t>
      </w:r>
      <w:r w:rsidR="009629BF" w:rsidRPr="009629BF">
        <w:rPr>
          <w:rFonts w:ascii="Times New Roman" w:eastAsia="OnemtmiguAAAA" w:hAnsi="Times New Roman" w:cs="Times New Roman"/>
          <w:color w:val="000000" w:themeColor="text1"/>
          <w:vertAlign w:val="subscript"/>
        </w:rPr>
        <w:t xml:space="preserve"> </w:t>
      </w:r>
      <w:r w:rsidR="009629BF" w:rsidRPr="009F065E">
        <w:rPr>
          <w:rFonts w:ascii="Times New Roman" w:eastAsia="OnemtmiguAAAA" w:hAnsi="Times New Roman" w:cs="Times New Roman"/>
          <w:color w:val="000000" w:themeColor="text1"/>
          <w:vertAlign w:val="subscript"/>
        </w:rPr>
        <w:t>it</w:t>
      </w:r>
      <w:r w:rsidR="009629BF">
        <w:rPr>
          <w:rFonts w:ascii="Times New Roman" w:eastAsia="MTSY" w:hAnsi="Times New Roman" w:cs="Times New Roman"/>
          <w:color w:val="000000" w:themeColor="text1"/>
        </w:rPr>
        <w:t xml:space="preserve"> </w:t>
      </w:r>
      <w:r w:rsidRPr="009F065E">
        <w:rPr>
          <w:rFonts w:ascii="Times New Roman" w:eastAsia="MTSY" w:hAnsi="Times New Roman" w:cs="Times New Roman"/>
          <w:color w:val="000000" w:themeColor="text1"/>
        </w:rPr>
        <w:t>+ β</w:t>
      </w:r>
      <w:r w:rsidR="009629BF">
        <w:rPr>
          <w:rFonts w:ascii="Times New Roman" w:eastAsia="OnemtmiguAAAA" w:hAnsi="Times New Roman" w:cs="Times New Roman"/>
          <w:color w:val="000000" w:themeColor="text1"/>
          <w:vertAlign w:val="subscript"/>
        </w:rPr>
        <w:t>3</w:t>
      </w:r>
      <w:r w:rsidRPr="009F065E">
        <w:rPr>
          <w:rFonts w:ascii="Times New Roman" w:eastAsia="OnemtmiguAAAA" w:hAnsi="Times New Roman" w:cs="Times New Roman"/>
          <w:color w:val="000000" w:themeColor="text1"/>
        </w:rPr>
        <w:t>×CCA*IndDir</w:t>
      </w:r>
      <w:r w:rsidRPr="009F065E">
        <w:rPr>
          <w:rFonts w:ascii="Times New Roman" w:eastAsia="OnemtmiguAAAA" w:hAnsi="Times New Roman" w:cs="Times New Roman"/>
          <w:color w:val="000000" w:themeColor="text1"/>
          <w:vertAlign w:val="subscript"/>
        </w:rPr>
        <w:t xml:space="preserve">it </w:t>
      </w:r>
      <w:r w:rsidRPr="009F065E">
        <w:rPr>
          <w:rFonts w:ascii="Times New Roman" w:eastAsia="MTSY" w:hAnsi="Times New Roman" w:cs="Times New Roman"/>
          <w:color w:val="000000" w:themeColor="text1"/>
        </w:rPr>
        <w:t>+ β</w:t>
      </w:r>
      <w:r w:rsidR="009629BF">
        <w:rPr>
          <w:rFonts w:ascii="Times New Roman" w:eastAsia="OnemtmiguAAAA" w:hAnsi="Times New Roman" w:cs="Times New Roman"/>
          <w:color w:val="000000" w:themeColor="text1"/>
          <w:vertAlign w:val="subscript"/>
        </w:rPr>
        <w:t>4</w:t>
      </w:r>
      <w:r w:rsidRPr="009F065E">
        <w:rPr>
          <w:rFonts w:ascii="Times New Roman" w:eastAsia="OnemtmiguAAAA" w:hAnsi="Times New Roman" w:cs="Times New Roman"/>
          <w:color w:val="000000" w:themeColor="text1"/>
        </w:rPr>
        <w:t>×GRI</w:t>
      </w:r>
      <w:r w:rsidRPr="009F065E">
        <w:rPr>
          <w:rFonts w:ascii="Times New Roman" w:eastAsia="OnemtmiguAAAA" w:hAnsi="Times New Roman" w:cs="Times New Roman"/>
          <w:color w:val="000000" w:themeColor="text1"/>
          <w:vertAlign w:val="subscript"/>
        </w:rPr>
        <w:t xml:space="preserve">it </w:t>
      </w:r>
      <w:r w:rsidRPr="009F065E">
        <w:rPr>
          <w:rFonts w:ascii="Times New Roman" w:eastAsia="MTSY" w:hAnsi="Times New Roman" w:cs="Times New Roman"/>
          <w:color w:val="000000" w:themeColor="text1"/>
        </w:rPr>
        <w:t>+ β</w:t>
      </w:r>
      <w:r w:rsidR="009629BF">
        <w:rPr>
          <w:rFonts w:ascii="Times New Roman" w:eastAsia="OnemtmiguAAAA" w:hAnsi="Times New Roman" w:cs="Times New Roman"/>
          <w:color w:val="000000" w:themeColor="text1"/>
          <w:vertAlign w:val="subscript"/>
        </w:rPr>
        <w:t>5</w:t>
      </w:r>
      <w:r w:rsidRPr="009F065E">
        <w:rPr>
          <w:rFonts w:ascii="Times New Roman" w:eastAsia="OnemtmiguAAAA" w:hAnsi="Times New Roman" w:cs="Times New Roman"/>
          <w:color w:val="000000" w:themeColor="text1"/>
        </w:rPr>
        <w:t>×UNGC</w:t>
      </w:r>
      <w:r w:rsidRPr="009F065E">
        <w:rPr>
          <w:rFonts w:ascii="Times New Roman" w:eastAsia="OnemtmiguAAAA" w:hAnsi="Times New Roman" w:cs="Times New Roman"/>
          <w:color w:val="000000" w:themeColor="text1"/>
          <w:vertAlign w:val="subscript"/>
        </w:rPr>
        <w:t xml:space="preserve">it </w:t>
      </w:r>
      <w:r w:rsidRPr="009F065E">
        <w:rPr>
          <w:rFonts w:ascii="Times New Roman" w:eastAsia="MTSY" w:hAnsi="Times New Roman" w:cs="Times New Roman"/>
          <w:color w:val="000000" w:themeColor="text1"/>
        </w:rPr>
        <w:t>+ β</w:t>
      </w:r>
      <w:r w:rsidR="009629BF">
        <w:rPr>
          <w:rFonts w:ascii="Times New Roman" w:eastAsia="OnemtmiguAAAA" w:hAnsi="Times New Roman" w:cs="Times New Roman"/>
          <w:color w:val="000000" w:themeColor="text1"/>
          <w:vertAlign w:val="subscript"/>
        </w:rPr>
        <w:t>6</w:t>
      </w:r>
      <w:r w:rsidRPr="009F065E">
        <w:rPr>
          <w:rFonts w:ascii="Times New Roman" w:eastAsia="OnemtmiguAAAA" w:hAnsi="Times New Roman" w:cs="Times New Roman"/>
          <w:color w:val="000000" w:themeColor="text1"/>
        </w:rPr>
        <w:t>×C</w:t>
      </w:r>
      <w:r w:rsidRPr="009F065E">
        <w:rPr>
          <w:rFonts w:ascii="Times New Roman" w:eastAsia="OnemtmiguAAAA" w:hAnsi="Times New Roman" w:cs="Times New Roman"/>
          <w:color w:val="000000" w:themeColor="text1"/>
          <w:vertAlign w:val="subscript"/>
        </w:rPr>
        <w:t xml:space="preserve">it </w:t>
      </w:r>
      <w:r w:rsidRPr="009F065E">
        <w:rPr>
          <w:rFonts w:ascii="Times New Roman" w:eastAsia="MTSY" w:hAnsi="Times New Roman" w:cs="Times New Roman"/>
          <w:color w:val="000000" w:themeColor="text1"/>
        </w:rPr>
        <w:t xml:space="preserve">+ </w:t>
      </w:r>
      <w:r w:rsidRPr="009F065E">
        <w:rPr>
          <w:rFonts w:ascii="Times New Roman" w:eastAsia="OnemtmiguAAAA" w:hAnsi="Times New Roman" w:cs="Times New Roman"/>
          <w:color w:val="000000" w:themeColor="text1"/>
        </w:rPr>
        <w:t>u</w:t>
      </w:r>
      <w:r w:rsidRPr="009F065E">
        <w:rPr>
          <w:rFonts w:ascii="Times New Roman" w:eastAsia="OnemtmiguAAAA" w:hAnsi="Times New Roman" w:cs="Times New Roman"/>
          <w:color w:val="000000" w:themeColor="text1"/>
          <w:vertAlign w:val="subscript"/>
        </w:rPr>
        <w:t xml:space="preserve">it </w:t>
      </w:r>
      <w:r w:rsidRPr="009F065E">
        <w:rPr>
          <w:rFonts w:ascii="Times New Roman" w:eastAsia="OnemtmiguAAAA" w:hAnsi="Times New Roman" w:cs="Times New Roman"/>
          <w:color w:val="000000" w:themeColor="text1"/>
          <w:vertAlign w:val="subscript"/>
        </w:rPr>
        <w:tab/>
      </w:r>
      <w:r w:rsidR="003043F3">
        <w:rPr>
          <w:rFonts w:ascii="Times New Roman" w:eastAsia="OnemtmiguAAAA" w:hAnsi="Times New Roman" w:cs="Times New Roman"/>
          <w:color w:val="000000" w:themeColor="text1"/>
          <w:vertAlign w:val="subscript"/>
        </w:rPr>
        <w:t xml:space="preserve">          </w:t>
      </w:r>
      <w:r w:rsidRPr="009F065E">
        <w:rPr>
          <w:rFonts w:ascii="Times New Roman" w:eastAsia="OnemtmiguAAAA" w:hAnsi="Times New Roman" w:cs="Times New Roman"/>
          <w:color w:val="000000" w:themeColor="text1"/>
        </w:rPr>
        <w:t>(2c)</w:t>
      </w:r>
    </w:p>
    <w:p w14:paraId="23DF3593" w14:textId="0211D16B" w:rsidR="00C300C6" w:rsidRDefault="009F065E">
      <w:pPr>
        <w:autoSpaceDE w:val="0"/>
        <w:autoSpaceDN w:val="0"/>
        <w:adjustRightInd w:val="0"/>
        <w:spacing w:after="0" w:line="360" w:lineRule="auto"/>
        <w:ind w:firstLine="720"/>
        <w:jc w:val="both"/>
        <w:rPr>
          <w:rFonts w:ascii="Times New Roman" w:eastAsia="OnemtmiguAAAA" w:hAnsi="Times New Roman" w:cs="Times New Roman"/>
          <w:color w:val="000000" w:themeColor="text1"/>
        </w:rPr>
      </w:pPr>
      <w:r w:rsidRPr="009F065E">
        <w:rPr>
          <w:rFonts w:ascii="Times New Roman" w:eastAsia="OnemtmiguAAAA" w:hAnsi="Times New Roman" w:cs="Times New Roman"/>
          <w:color w:val="000000" w:themeColor="text1"/>
        </w:rPr>
        <w:t xml:space="preserve"> </w:t>
      </w:r>
    </w:p>
    <w:p w14:paraId="6BA8DDF8" w14:textId="63CA8178" w:rsidR="001809FF" w:rsidRDefault="001809FF" w:rsidP="001809FF">
      <w:pPr>
        <w:autoSpaceDE w:val="0"/>
        <w:autoSpaceDN w:val="0"/>
        <w:adjustRightInd w:val="0"/>
        <w:spacing w:after="0" w:line="360" w:lineRule="auto"/>
        <w:ind w:firstLine="720"/>
        <w:jc w:val="both"/>
        <w:rPr>
          <w:rFonts w:ascii="Times New Roman" w:eastAsia="OnemtmiguAAAA" w:hAnsi="Times New Roman" w:cs="Times New Roman"/>
          <w:color w:val="000000" w:themeColor="text1"/>
        </w:rPr>
      </w:pPr>
      <w:r w:rsidRPr="009F065E">
        <w:rPr>
          <w:rFonts w:ascii="Times New Roman" w:eastAsia="OnemtmiguAAAA" w:hAnsi="Times New Roman" w:cs="Times New Roman"/>
          <w:color w:val="000000" w:themeColor="text1"/>
        </w:rPr>
        <w:t>Y</w:t>
      </w:r>
      <w:r w:rsidRPr="009F065E">
        <w:rPr>
          <w:rFonts w:ascii="Times New Roman" w:eastAsia="OnemtmiguAAAA" w:hAnsi="Times New Roman" w:cs="Times New Roman"/>
          <w:color w:val="000000" w:themeColor="text1"/>
          <w:vertAlign w:val="subscript"/>
        </w:rPr>
        <w:t xml:space="preserve">it </w:t>
      </w:r>
      <w:r w:rsidRPr="009F065E">
        <w:rPr>
          <w:rFonts w:ascii="Times New Roman" w:eastAsia="MTSY" w:hAnsi="Times New Roman" w:cs="Times New Roman"/>
          <w:color w:val="000000" w:themeColor="text1"/>
        </w:rPr>
        <w:t>= β</w:t>
      </w:r>
      <w:r w:rsidRPr="009F065E">
        <w:rPr>
          <w:rFonts w:ascii="Times New Roman" w:eastAsia="OnemtmiguAAAA" w:hAnsi="Times New Roman" w:cs="Times New Roman"/>
          <w:color w:val="000000" w:themeColor="text1"/>
          <w:vertAlign w:val="subscript"/>
        </w:rPr>
        <w:t xml:space="preserve">0 </w:t>
      </w:r>
      <w:r w:rsidRPr="009F065E">
        <w:rPr>
          <w:rFonts w:ascii="Times New Roman" w:eastAsia="MTSY" w:hAnsi="Times New Roman" w:cs="Times New Roman"/>
          <w:color w:val="000000" w:themeColor="text1"/>
        </w:rPr>
        <w:t>+ β</w:t>
      </w:r>
      <w:r w:rsidRPr="009F065E">
        <w:rPr>
          <w:rFonts w:ascii="Times New Roman" w:eastAsia="OnemtmiguAAAA" w:hAnsi="Times New Roman" w:cs="Times New Roman"/>
          <w:color w:val="000000" w:themeColor="text1"/>
          <w:vertAlign w:val="subscript"/>
        </w:rPr>
        <w:t>1</w:t>
      </w:r>
      <w:r w:rsidRPr="009F065E">
        <w:rPr>
          <w:rFonts w:ascii="Times New Roman" w:eastAsia="OnemtmiguAAAA" w:hAnsi="Times New Roman" w:cs="Times New Roman"/>
          <w:color w:val="000000" w:themeColor="text1"/>
        </w:rPr>
        <w:t>×Y</w:t>
      </w:r>
      <w:r w:rsidRPr="009F065E">
        <w:rPr>
          <w:rFonts w:ascii="Times New Roman" w:eastAsia="OnemtmiguAAAA" w:hAnsi="Times New Roman" w:cs="Times New Roman"/>
          <w:color w:val="000000" w:themeColor="text1"/>
          <w:vertAlign w:val="subscript"/>
        </w:rPr>
        <w:t xml:space="preserve">it-1 </w:t>
      </w:r>
      <w:r w:rsidR="009629BF" w:rsidRPr="009F065E">
        <w:rPr>
          <w:rFonts w:ascii="Times New Roman" w:eastAsia="MTSY" w:hAnsi="Times New Roman" w:cs="Times New Roman"/>
          <w:color w:val="000000" w:themeColor="text1"/>
        </w:rPr>
        <w:t>+</w:t>
      </w:r>
      <w:r w:rsidR="009629BF">
        <w:rPr>
          <w:rFonts w:ascii="Times New Roman" w:eastAsia="MTSY" w:hAnsi="Times New Roman" w:cs="Times New Roman"/>
          <w:color w:val="000000" w:themeColor="text1"/>
        </w:rPr>
        <w:t xml:space="preserve"> </w:t>
      </w:r>
      <w:r w:rsidR="009629BF" w:rsidRPr="009F065E">
        <w:rPr>
          <w:rFonts w:ascii="Times New Roman" w:eastAsia="MTSY" w:hAnsi="Times New Roman" w:cs="Times New Roman"/>
          <w:color w:val="000000" w:themeColor="text1"/>
        </w:rPr>
        <w:t>β</w:t>
      </w:r>
      <w:r w:rsidR="009629BF">
        <w:rPr>
          <w:rFonts w:ascii="Times New Roman" w:eastAsia="OnemtmiguAAAA" w:hAnsi="Times New Roman" w:cs="Times New Roman"/>
          <w:color w:val="000000" w:themeColor="text1"/>
          <w:vertAlign w:val="subscript"/>
        </w:rPr>
        <w:t>2</w:t>
      </w:r>
      <w:r w:rsidR="009629BF">
        <w:rPr>
          <w:rFonts w:ascii="Times New Roman" w:eastAsia="MTSY" w:hAnsi="Times New Roman" w:cs="Times New Roman"/>
          <w:color w:val="000000" w:themeColor="text1"/>
        </w:rPr>
        <w:t>CCA</w:t>
      </w:r>
      <w:r w:rsidR="009629BF" w:rsidRPr="009F065E">
        <w:rPr>
          <w:rFonts w:ascii="Times New Roman" w:eastAsia="OnemtmiguAAAA" w:hAnsi="Times New Roman" w:cs="Times New Roman"/>
          <w:color w:val="000000" w:themeColor="text1"/>
          <w:vertAlign w:val="subscript"/>
        </w:rPr>
        <w:t>it</w:t>
      </w:r>
      <w:r w:rsidR="009629BF">
        <w:rPr>
          <w:rFonts w:ascii="Times New Roman" w:eastAsia="MTSY" w:hAnsi="Times New Roman" w:cs="Times New Roman"/>
          <w:color w:val="000000" w:themeColor="text1"/>
        </w:rPr>
        <w:t xml:space="preserve"> </w:t>
      </w:r>
      <w:r w:rsidRPr="009F065E">
        <w:rPr>
          <w:rFonts w:ascii="Times New Roman" w:eastAsia="MTSY" w:hAnsi="Times New Roman" w:cs="Times New Roman"/>
          <w:color w:val="000000" w:themeColor="text1"/>
        </w:rPr>
        <w:t>+ β</w:t>
      </w:r>
      <w:r w:rsidR="009629BF">
        <w:rPr>
          <w:rFonts w:ascii="Times New Roman" w:eastAsia="OnemtmiguAAAA" w:hAnsi="Times New Roman" w:cs="Times New Roman"/>
          <w:color w:val="000000" w:themeColor="text1"/>
          <w:vertAlign w:val="subscript"/>
        </w:rPr>
        <w:t>3</w:t>
      </w:r>
      <w:r>
        <w:rPr>
          <w:rFonts w:ascii="Times New Roman" w:eastAsia="OnemtmiguAAAA" w:hAnsi="Times New Roman" w:cs="Times New Roman"/>
          <w:color w:val="000000" w:themeColor="text1"/>
        </w:rPr>
        <w:t>×CCA*BoD_size</w:t>
      </w:r>
      <w:r w:rsidRPr="009F065E">
        <w:rPr>
          <w:rFonts w:ascii="Times New Roman" w:eastAsia="OnemtmiguAAAA" w:hAnsi="Times New Roman" w:cs="Times New Roman"/>
          <w:color w:val="000000" w:themeColor="text1"/>
          <w:vertAlign w:val="subscript"/>
        </w:rPr>
        <w:t xml:space="preserve">it </w:t>
      </w:r>
      <w:r w:rsidRPr="009F065E">
        <w:rPr>
          <w:rFonts w:ascii="Times New Roman" w:eastAsia="MTSY" w:hAnsi="Times New Roman" w:cs="Times New Roman"/>
          <w:color w:val="000000" w:themeColor="text1"/>
        </w:rPr>
        <w:t>+ β</w:t>
      </w:r>
      <w:r w:rsidR="009629BF">
        <w:rPr>
          <w:rFonts w:ascii="Times New Roman" w:eastAsia="OnemtmiguAAAA" w:hAnsi="Times New Roman" w:cs="Times New Roman"/>
          <w:color w:val="000000" w:themeColor="text1"/>
          <w:vertAlign w:val="subscript"/>
        </w:rPr>
        <w:t>4</w:t>
      </w:r>
      <w:r w:rsidRPr="009F065E">
        <w:rPr>
          <w:rFonts w:ascii="Times New Roman" w:eastAsia="OnemtmiguAAAA" w:hAnsi="Times New Roman" w:cs="Times New Roman"/>
          <w:color w:val="000000" w:themeColor="text1"/>
        </w:rPr>
        <w:t>×GRI</w:t>
      </w:r>
      <w:r w:rsidRPr="009F065E">
        <w:rPr>
          <w:rFonts w:ascii="Times New Roman" w:eastAsia="OnemtmiguAAAA" w:hAnsi="Times New Roman" w:cs="Times New Roman"/>
          <w:color w:val="000000" w:themeColor="text1"/>
          <w:vertAlign w:val="subscript"/>
        </w:rPr>
        <w:t xml:space="preserve">it </w:t>
      </w:r>
      <w:r w:rsidRPr="009F065E">
        <w:rPr>
          <w:rFonts w:ascii="Times New Roman" w:eastAsia="MTSY" w:hAnsi="Times New Roman" w:cs="Times New Roman"/>
          <w:color w:val="000000" w:themeColor="text1"/>
        </w:rPr>
        <w:t>+ β</w:t>
      </w:r>
      <w:r w:rsidR="009629BF">
        <w:rPr>
          <w:rFonts w:ascii="Times New Roman" w:eastAsia="OnemtmiguAAAA" w:hAnsi="Times New Roman" w:cs="Times New Roman"/>
          <w:color w:val="000000" w:themeColor="text1"/>
          <w:vertAlign w:val="subscript"/>
        </w:rPr>
        <w:t>5</w:t>
      </w:r>
      <w:r w:rsidRPr="009F065E">
        <w:rPr>
          <w:rFonts w:ascii="Times New Roman" w:eastAsia="OnemtmiguAAAA" w:hAnsi="Times New Roman" w:cs="Times New Roman"/>
          <w:color w:val="000000" w:themeColor="text1"/>
        </w:rPr>
        <w:t>×UNGC</w:t>
      </w:r>
      <w:r w:rsidRPr="009F065E">
        <w:rPr>
          <w:rFonts w:ascii="Times New Roman" w:eastAsia="OnemtmiguAAAA" w:hAnsi="Times New Roman" w:cs="Times New Roman"/>
          <w:color w:val="000000" w:themeColor="text1"/>
          <w:vertAlign w:val="subscript"/>
        </w:rPr>
        <w:t xml:space="preserve">it </w:t>
      </w:r>
      <w:r w:rsidRPr="009F065E">
        <w:rPr>
          <w:rFonts w:ascii="Times New Roman" w:eastAsia="MTSY" w:hAnsi="Times New Roman" w:cs="Times New Roman"/>
          <w:color w:val="000000" w:themeColor="text1"/>
        </w:rPr>
        <w:t>+ β</w:t>
      </w:r>
      <w:r w:rsidR="009629BF">
        <w:rPr>
          <w:rFonts w:ascii="Times New Roman" w:eastAsia="OnemtmiguAAAA" w:hAnsi="Times New Roman" w:cs="Times New Roman"/>
          <w:color w:val="000000" w:themeColor="text1"/>
          <w:vertAlign w:val="subscript"/>
        </w:rPr>
        <w:t>6</w:t>
      </w:r>
      <w:r w:rsidRPr="009F065E">
        <w:rPr>
          <w:rFonts w:ascii="Times New Roman" w:eastAsia="OnemtmiguAAAA" w:hAnsi="Times New Roman" w:cs="Times New Roman"/>
          <w:color w:val="000000" w:themeColor="text1"/>
        </w:rPr>
        <w:t>×C</w:t>
      </w:r>
      <w:r w:rsidRPr="009F065E">
        <w:rPr>
          <w:rFonts w:ascii="Times New Roman" w:eastAsia="OnemtmiguAAAA" w:hAnsi="Times New Roman" w:cs="Times New Roman"/>
          <w:color w:val="000000" w:themeColor="text1"/>
          <w:vertAlign w:val="subscript"/>
        </w:rPr>
        <w:t xml:space="preserve">it </w:t>
      </w:r>
      <w:r w:rsidRPr="009F065E">
        <w:rPr>
          <w:rFonts w:ascii="Times New Roman" w:eastAsia="MTSY" w:hAnsi="Times New Roman" w:cs="Times New Roman"/>
          <w:color w:val="000000" w:themeColor="text1"/>
        </w:rPr>
        <w:t xml:space="preserve">+ </w:t>
      </w:r>
      <w:r w:rsidRPr="009F065E">
        <w:rPr>
          <w:rFonts w:ascii="Times New Roman" w:eastAsia="OnemtmiguAAAA" w:hAnsi="Times New Roman" w:cs="Times New Roman"/>
          <w:color w:val="000000" w:themeColor="text1"/>
        </w:rPr>
        <w:t>u</w:t>
      </w:r>
      <w:r w:rsidRPr="009F065E">
        <w:rPr>
          <w:rFonts w:ascii="Times New Roman" w:eastAsia="OnemtmiguAAAA" w:hAnsi="Times New Roman" w:cs="Times New Roman"/>
          <w:color w:val="000000" w:themeColor="text1"/>
          <w:vertAlign w:val="subscript"/>
        </w:rPr>
        <w:t xml:space="preserve">it </w:t>
      </w:r>
      <w:r w:rsidRPr="009F065E">
        <w:rPr>
          <w:rFonts w:ascii="Times New Roman" w:eastAsia="OnemtmiguAAAA" w:hAnsi="Times New Roman" w:cs="Times New Roman"/>
          <w:color w:val="000000" w:themeColor="text1"/>
          <w:vertAlign w:val="subscript"/>
        </w:rPr>
        <w:tab/>
      </w:r>
      <w:r w:rsidR="003043F3">
        <w:rPr>
          <w:rFonts w:ascii="Times New Roman" w:eastAsia="OnemtmiguAAAA" w:hAnsi="Times New Roman" w:cs="Times New Roman"/>
          <w:color w:val="000000" w:themeColor="text1"/>
          <w:vertAlign w:val="subscript"/>
        </w:rPr>
        <w:t xml:space="preserve">          </w:t>
      </w:r>
      <w:r>
        <w:rPr>
          <w:rFonts w:ascii="Times New Roman" w:eastAsia="OnemtmiguAAAA" w:hAnsi="Times New Roman" w:cs="Times New Roman"/>
          <w:color w:val="000000" w:themeColor="text1"/>
        </w:rPr>
        <w:t>(2d</w:t>
      </w:r>
      <w:r w:rsidRPr="009F065E">
        <w:rPr>
          <w:rFonts w:ascii="Times New Roman" w:eastAsia="OnemtmiguAAAA" w:hAnsi="Times New Roman" w:cs="Times New Roman"/>
          <w:color w:val="000000" w:themeColor="text1"/>
        </w:rPr>
        <w:t xml:space="preserve">) </w:t>
      </w:r>
    </w:p>
    <w:p w14:paraId="00C3DE23" w14:textId="77777777" w:rsidR="001809FF" w:rsidRDefault="001809FF" w:rsidP="001809FF">
      <w:pPr>
        <w:autoSpaceDE w:val="0"/>
        <w:autoSpaceDN w:val="0"/>
        <w:adjustRightInd w:val="0"/>
        <w:spacing w:after="0" w:line="360" w:lineRule="auto"/>
        <w:ind w:firstLine="720"/>
        <w:jc w:val="both"/>
        <w:rPr>
          <w:rFonts w:ascii="Times New Roman" w:eastAsia="OnemtmiguAAAA" w:hAnsi="Times New Roman" w:cs="Times New Roman"/>
          <w:color w:val="000000" w:themeColor="text1"/>
        </w:rPr>
      </w:pPr>
    </w:p>
    <w:p w14:paraId="58E65895" w14:textId="3B8C30CA" w:rsidR="001809FF" w:rsidRDefault="001809FF" w:rsidP="001809FF">
      <w:pPr>
        <w:autoSpaceDE w:val="0"/>
        <w:autoSpaceDN w:val="0"/>
        <w:adjustRightInd w:val="0"/>
        <w:spacing w:after="0" w:line="360" w:lineRule="auto"/>
        <w:ind w:firstLine="720"/>
        <w:jc w:val="both"/>
        <w:rPr>
          <w:rFonts w:ascii="Times New Roman" w:eastAsia="OnemtmiguAAAA" w:hAnsi="Times New Roman" w:cs="Times New Roman"/>
          <w:color w:val="000000" w:themeColor="text1"/>
        </w:rPr>
      </w:pPr>
      <w:r w:rsidRPr="009F065E">
        <w:rPr>
          <w:rFonts w:ascii="Times New Roman" w:eastAsia="OnemtmiguAAAA" w:hAnsi="Times New Roman" w:cs="Times New Roman"/>
          <w:color w:val="000000" w:themeColor="text1"/>
        </w:rPr>
        <w:t>Y</w:t>
      </w:r>
      <w:r w:rsidRPr="009F065E">
        <w:rPr>
          <w:rFonts w:ascii="Times New Roman" w:eastAsia="OnemtmiguAAAA" w:hAnsi="Times New Roman" w:cs="Times New Roman"/>
          <w:color w:val="000000" w:themeColor="text1"/>
          <w:vertAlign w:val="subscript"/>
        </w:rPr>
        <w:t xml:space="preserve">it </w:t>
      </w:r>
      <w:r w:rsidRPr="009F065E">
        <w:rPr>
          <w:rFonts w:ascii="Times New Roman" w:eastAsia="MTSY" w:hAnsi="Times New Roman" w:cs="Times New Roman"/>
          <w:color w:val="000000" w:themeColor="text1"/>
        </w:rPr>
        <w:t>= β</w:t>
      </w:r>
      <w:r w:rsidRPr="009F065E">
        <w:rPr>
          <w:rFonts w:ascii="Times New Roman" w:eastAsia="OnemtmiguAAAA" w:hAnsi="Times New Roman" w:cs="Times New Roman"/>
          <w:color w:val="000000" w:themeColor="text1"/>
          <w:vertAlign w:val="subscript"/>
        </w:rPr>
        <w:t xml:space="preserve">0 </w:t>
      </w:r>
      <w:r w:rsidRPr="009F065E">
        <w:rPr>
          <w:rFonts w:ascii="Times New Roman" w:eastAsia="MTSY" w:hAnsi="Times New Roman" w:cs="Times New Roman"/>
          <w:color w:val="000000" w:themeColor="text1"/>
        </w:rPr>
        <w:t>+ β</w:t>
      </w:r>
      <w:r w:rsidRPr="009F065E">
        <w:rPr>
          <w:rFonts w:ascii="Times New Roman" w:eastAsia="OnemtmiguAAAA" w:hAnsi="Times New Roman" w:cs="Times New Roman"/>
          <w:color w:val="000000" w:themeColor="text1"/>
          <w:vertAlign w:val="subscript"/>
        </w:rPr>
        <w:t>1</w:t>
      </w:r>
      <w:r w:rsidRPr="009F065E">
        <w:rPr>
          <w:rFonts w:ascii="Times New Roman" w:eastAsia="OnemtmiguAAAA" w:hAnsi="Times New Roman" w:cs="Times New Roman"/>
          <w:color w:val="000000" w:themeColor="text1"/>
        </w:rPr>
        <w:t>×Y</w:t>
      </w:r>
      <w:r w:rsidRPr="009F065E">
        <w:rPr>
          <w:rFonts w:ascii="Times New Roman" w:eastAsia="OnemtmiguAAAA" w:hAnsi="Times New Roman" w:cs="Times New Roman"/>
          <w:color w:val="000000" w:themeColor="text1"/>
          <w:vertAlign w:val="subscript"/>
        </w:rPr>
        <w:t xml:space="preserve">it-1 </w:t>
      </w:r>
      <w:r w:rsidR="009629BF" w:rsidRPr="009F065E">
        <w:rPr>
          <w:rFonts w:ascii="Times New Roman" w:eastAsia="MTSY" w:hAnsi="Times New Roman" w:cs="Times New Roman"/>
          <w:color w:val="000000" w:themeColor="text1"/>
        </w:rPr>
        <w:t>+</w:t>
      </w:r>
      <w:r w:rsidR="009629BF">
        <w:rPr>
          <w:rFonts w:ascii="Times New Roman" w:eastAsia="MTSY" w:hAnsi="Times New Roman" w:cs="Times New Roman"/>
          <w:color w:val="000000" w:themeColor="text1"/>
        </w:rPr>
        <w:t xml:space="preserve"> </w:t>
      </w:r>
      <w:r w:rsidR="009629BF" w:rsidRPr="009F065E">
        <w:rPr>
          <w:rFonts w:ascii="Times New Roman" w:eastAsia="MTSY" w:hAnsi="Times New Roman" w:cs="Times New Roman"/>
          <w:color w:val="000000" w:themeColor="text1"/>
        </w:rPr>
        <w:t>β</w:t>
      </w:r>
      <w:r w:rsidR="009629BF">
        <w:rPr>
          <w:rFonts w:ascii="Times New Roman" w:eastAsia="OnemtmiguAAAA" w:hAnsi="Times New Roman" w:cs="Times New Roman"/>
          <w:color w:val="000000" w:themeColor="text1"/>
          <w:vertAlign w:val="subscript"/>
        </w:rPr>
        <w:t>2</w:t>
      </w:r>
      <w:r w:rsidR="009629BF">
        <w:rPr>
          <w:rFonts w:ascii="Times New Roman" w:eastAsia="MTSY" w:hAnsi="Times New Roman" w:cs="Times New Roman"/>
          <w:color w:val="000000" w:themeColor="text1"/>
        </w:rPr>
        <w:t>CCA</w:t>
      </w:r>
      <w:r w:rsidR="009629BF" w:rsidRPr="009F065E">
        <w:rPr>
          <w:rFonts w:ascii="Times New Roman" w:eastAsia="OnemtmiguAAAA" w:hAnsi="Times New Roman" w:cs="Times New Roman"/>
          <w:color w:val="000000" w:themeColor="text1"/>
          <w:vertAlign w:val="subscript"/>
        </w:rPr>
        <w:t>it</w:t>
      </w:r>
      <w:r w:rsidR="009629BF">
        <w:rPr>
          <w:rFonts w:ascii="Times New Roman" w:eastAsia="MTSY" w:hAnsi="Times New Roman" w:cs="Times New Roman"/>
          <w:color w:val="000000" w:themeColor="text1"/>
        </w:rPr>
        <w:t xml:space="preserve"> </w:t>
      </w:r>
      <w:r w:rsidRPr="009F065E">
        <w:rPr>
          <w:rFonts w:ascii="Times New Roman" w:eastAsia="MTSY" w:hAnsi="Times New Roman" w:cs="Times New Roman"/>
          <w:color w:val="000000" w:themeColor="text1"/>
        </w:rPr>
        <w:t>+ β</w:t>
      </w:r>
      <w:r w:rsidR="009629BF">
        <w:rPr>
          <w:rFonts w:ascii="Times New Roman" w:eastAsia="OnemtmiguAAAA" w:hAnsi="Times New Roman" w:cs="Times New Roman"/>
          <w:color w:val="000000" w:themeColor="text1"/>
          <w:vertAlign w:val="subscript"/>
        </w:rPr>
        <w:t>3</w:t>
      </w:r>
      <w:r>
        <w:rPr>
          <w:rFonts w:ascii="Times New Roman" w:eastAsia="OnemtmiguAAAA" w:hAnsi="Times New Roman" w:cs="Times New Roman"/>
          <w:color w:val="000000" w:themeColor="text1"/>
        </w:rPr>
        <w:t>×CCA*Duality</w:t>
      </w:r>
      <w:r w:rsidRPr="009F065E">
        <w:rPr>
          <w:rFonts w:ascii="Times New Roman" w:eastAsia="OnemtmiguAAAA" w:hAnsi="Times New Roman" w:cs="Times New Roman"/>
          <w:color w:val="000000" w:themeColor="text1"/>
          <w:vertAlign w:val="subscript"/>
        </w:rPr>
        <w:t xml:space="preserve">it </w:t>
      </w:r>
      <w:r w:rsidRPr="009F065E">
        <w:rPr>
          <w:rFonts w:ascii="Times New Roman" w:eastAsia="MTSY" w:hAnsi="Times New Roman" w:cs="Times New Roman"/>
          <w:color w:val="000000" w:themeColor="text1"/>
        </w:rPr>
        <w:t>+ β</w:t>
      </w:r>
      <w:r w:rsidR="009629BF">
        <w:rPr>
          <w:rFonts w:ascii="Times New Roman" w:eastAsia="OnemtmiguAAAA" w:hAnsi="Times New Roman" w:cs="Times New Roman"/>
          <w:color w:val="000000" w:themeColor="text1"/>
          <w:vertAlign w:val="subscript"/>
        </w:rPr>
        <w:t>4</w:t>
      </w:r>
      <w:r w:rsidRPr="009F065E">
        <w:rPr>
          <w:rFonts w:ascii="Times New Roman" w:eastAsia="OnemtmiguAAAA" w:hAnsi="Times New Roman" w:cs="Times New Roman"/>
          <w:color w:val="000000" w:themeColor="text1"/>
        </w:rPr>
        <w:t>×GRI</w:t>
      </w:r>
      <w:r w:rsidRPr="009F065E">
        <w:rPr>
          <w:rFonts w:ascii="Times New Roman" w:eastAsia="OnemtmiguAAAA" w:hAnsi="Times New Roman" w:cs="Times New Roman"/>
          <w:color w:val="000000" w:themeColor="text1"/>
          <w:vertAlign w:val="subscript"/>
        </w:rPr>
        <w:t xml:space="preserve">it </w:t>
      </w:r>
      <w:r w:rsidRPr="009F065E">
        <w:rPr>
          <w:rFonts w:ascii="Times New Roman" w:eastAsia="MTSY" w:hAnsi="Times New Roman" w:cs="Times New Roman"/>
          <w:color w:val="000000" w:themeColor="text1"/>
        </w:rPr>
        <w:t>+ β</w:t>
      </w:r>
      <w:r w:rsidR="009629BF">
        <w:rPr>
          <w:rFonts w:ascii="Times New Roman" w:eastAsia="OnemtmiguAAAA" w:hAnsi="Times New Roman" w:cs="Times New Roman"/>
          <w:color w:val="000000" w:themeColor="text1"/>
          <w:vertAlign w:val="subscript"/>
        </w:rPr>
        <w:t>5</w:t>
      </w:r>
      <w:r w:rsidRPr="009F065E">
        <w:rPr>
          <w:rFonts w:ascii="Times New Roman" w:eastAsia="OnemtmiguAAAA" w:hAnsi="Times New Roman" w:cs="Times New Roman"/>
          <w:color w:val="000000" w:themeColor="text1"/>
        </w:rPr>
        <w:t>×UNGC</w:t>
      </w:r>
      <w:r w:rsidRPr="009F065E">
        <w:rPr>
          <w:rFonts w:ascii="Times New Roman" w:eastAsia="OnemtmiguAAAA" w:hAnsi="Times New Roman" w:cs="Times New Roman"/>
          <w:color w:val="000000" w:themeColor="text1"/>
          <w:vertAlign w:val="subscript"/>
        </w:rPr>
        <w:t xml:space="preserve">it </w:t>
      </w:r>
      <w:r w:rsidRPr="009F065E">
        <w:rPr>
          <w:rFonts w:ascii="Times New Roman" w:eastAsia="MTSY" w:hAnsi="Times New Roman" w:cs="Times New Roman"/>
          <w:color w:val="000000" w:themeColor="text1"/>
        </w:rPr>
        <w:t>+ β</w:t>
      </w:r>
      <w:r w:rsidR="009629BF">
        <w:rPr>
          <w:rFonts w:ascii="Times New Roman" w:eastAsia="OnemtmiguAAAA" w:hAnsi="Times New Roman" w:cs="Times New Roman"/>
          <w:color w:val="000000" w:themeColor="text1"/>
          <w:vertAlign w:val="subscript"/>
        </w:rPr>
        <w:t>6</w:t>
      </w:r>
      <w:r w:rsidRPr="009F065E">
        <w:rPr>
          <w:rFonts w:ascii="Times New Roman" w:eastAsia="OnemtmiguAAAA" w:hAnsi="Times New Roman" w:cs="Times New Roman"/>
          <w:color w:val="000000" w:themeColor="text1"/>
        </w:rPr>
        <w:t>×C</w:t>
      </w:r>
      <w:r w:rsidRPr="009F065E">
        <w:rPr>
          <w:rFonts w:ascii="Times New Roman" w:eastAsia="OnemtmiguAAAA" w:hAnsi="Times New Roman" w:cs="Times New Roman"/>
          <w:color w:val="000000" w:themeColor="text1"/>
          <w:vertAlign w:val="subscript"/>
        </w:rPr>
        <w:t xml:space="preserve">it </w:t>
      </w:r>
      <w:r w:rsidRPr="009F065E">
        <w:rPr>
          <w:rFonts w:ascii="Times New Roman" w:eastAsia="MTSY" w:hAnsi="Times New Roman" w:cs="Times New Roman"/>
          <w:color w:val="000000" w:themeColor="text1"/>
        </w:rPr>
        <w:t xml:space="preserve">+ </w:t>
      </w:r>
      <w:r w:rsidRPr="009F065E">
        <w:rPr>
          <w:rFonts w:ascii="Times New Roman" w:eastAsia="OnemtmiguAAAA" w:hAnsi="Times New Roman" w:cs="Times New Roman"/>
          <w:color w:val="000000" w:themeColor="text1"/>
        </w:rPr>
        <w:t>u</w:t>
      </w:r>
      <w:r w:rsidRPr="009F065E">
        <w:rPr>
          <w:rFonts w:ascii="Times New Roman" w:eastAsia="OnemtmiguAAAA" w:hAnsi="Times New Roman" w:cs="Times New Roman"/>
          <w:color w:val="000000" w:themeColor="text1"/>
          <w:vertAlign w:val="subscript"/>
        </w:rPr>
        <w:t xml:space="preserve">it </w:t>
      </w:r>
      <w:r w:rsidRPr="009F065E">
        <w:rPr>
          <w:rFonts w:ascii="Times New Roman" w:eastAsia="OnemtmiguAAAA" w:hAnsi="Times New Roman" w:cs="Times New Roman"/>
          <w:color w:val="000000" w:themeColor="text1"/>
          <w:vertAlign w:val="subscript"/>
        </w:rPr>
        <w:tab/>
      </w:r>
      <w:r w:rsidR="003043F3">
        <w:rPr>
          <w:rFonts w:ascii="Times New Roman" w:eastAsia="OnemtmiguAAAA" w:hAnsi="Times New Roman" w:cs="Times New Roman"/>
          <w:color w:val="000000" w:themeColor="text1"/>
          <w:vertAlign w:val="subscript"/>
        </w:rPr>
        <w:t xml:space="preserve">          </w:t>
      </w:r>
      <w:r>
        <w:rPr>
          <w:rFonts w:ascii="Times New Roman" w:eastAsia="OnemtmiguAAAA" w:hAnsi="Times New Roman" w:cs="Times New Roman"/>
          <w:color w:val="000000" w:themeColor="text1"/>
        </w:rPr>
        <w:t>(2e</w:t>
      </w:r>
      <w:r w:rsidRPr="009F065E">
        <w:rPr>
          <w:rFonts w:ascii="Times New Roman" w:eastAsia="OnemtmiguAAAA" w:hAnsi="Times New Roman" w:cs="Times New Roman"/>
          <w:color w:val="000000" w:themeColor="text1"/>
        </w:rPr>
        <w:t xml:space="preserve">) </w:t>
      </w:r>
    </w:p>
    <w:p w14:paraId="45171B6C" w14:textId="77777777" w:rsidR="00C300C6" w:rsidRDefault="00C300C6">
      <w:pPr>
        <w:spacing w:after="0" w:line="360" w:lineRule="auto"/>
        <w:jc w:val="both"/>
        <w:rPr>
          <w:rFonts w:ascii="Times New Roman" w:hAnsi="Times New Roman" w:cs="Times New Roman"/>
          <w:color w:val="000000" w:themeColor="text1"/>
        </w:rPr>
      </w:pPr>
    </w:p>
    <w:p w14:paraId="38809181" w14:textId="5891ABC4" w:rsidR="00C300C6" w:rsidRPr="00761BE3" w:rsidRDefault="009F065E" w:rsidP="00761BE3">
      <w:pPr>
        <w:spacing w:after="0" w:line="360" w:lineRule="auto"/>
        <w:ind w:firstLine="720"/>
        <w:jc w:val="both"/>
        <w:rPr>
          <w:rFonts w:ascii="Times New Roman" w:hAnsi="Times New Roman" w:cs="Times New Roman"/>
          <w:color w:val="000000" w:themeColor="text1"/>
        </w:rPr>
      </w:pPr>
      <w:r w:rsidRPr="009F065E">
        <w:rPr>
          <w:rFonts w:ascii="Times New Roman" w:hAnsi="Times New Roman" w:cs="Times New Roman"/>
          <w:color w:val="000000" w:themeColor="text1"/>
        </w:rPr>
        <w:t>We use a carbon reduction initiatives (</w:t>
      </w:r>
      <w:r w:rsidRPr="00FD7001">
        <w:rPr>
          <w:rFonts w:ascii="Times New Roman" w:hAnsi="Times New Roman" w:cs="Times New Roman"/>
          <w:i/>
          <w:color w:val="000000" w:themeColor="text1"/>
        </w:rPr>
        <w:t>CRI</w:t>
      </w:r>
      <w:r w:rsidR="00911E38" w:rsidRPr="00FD7001">
        <w:rPr>
          <w:rFonts w:ascii="Times New Roman" w:hAnsi="Times New Roman" w:cs="Times New Roman"/>
          <w:i/>
          <w:color w:val="000000" w:themeColor="text1"/>
        </w:rPr>
        <w:t>s</w:t>
      </w:r>
      <w:r w:rsidRPr="009F065E">
        <w:rPr>
          <w:rFonts w:ascii="Times New Roman" w:hAnsi="Times New Roman" w:cs="Times New Roman"/>
          <w:color w:val="000000" w:themeColor="text1"/>
        </w:rPr>
        <w:t xml:space="preserve">) index representing a number of company-specific activities to reduce GHG emissions, with higher </w:t>
      </w:r>
      <w:r w:rsidRPr="0073560E">
        <w:rPr>
          <w:rFonts w:ascii="Times New Roman" w:hAnsi="Times New Roman" w:cs="Times New Roman"/>
          <w:i/>
          <w:color w:val="000000" w:themeColor="text1"/>
        </w:rPr>
        <w:t>CRI</w:t>
      </w:r>
      <w:r w:rsidR="00911E38" w:rsidRPr="0073560E">
        <w:rPr>
          <w:rFonts w:ascii="Times New Roman" w:hAnsi="Times New Roman" w:cs="Times New Roman"/>
          <w:i/>
          <w:color w:val="000000" w:themeColor="text1"/>
        </w:rPr>
        <w:t>s</w:t>
      </w:r>
      <w:r w:rsidRPr="009F065E">
        <w:rPr>
          <w:rFonts w:ascii="Times New Roman" w:hAnsi="Times New Roman" w:cs="Times New Roman"/>
          <w:color w:val="000000" w:themeColor="text1"/>
        </w:rPr>
        <w:t xml:space="preserve"> indicating greater climate-related activism of a firm. Table 2 describes the variables </w:t>
      </w:r>
      <w:r w:rsidR="00E63174">
        <w:rPr>
          <w:rFonts w:ascii="Times New Roman" w:hAnsi="Times New Roman" w:cs="Times New Roman"/>
          <w:color w:val="000000" w:themeColor="text1"/>
        </w:rPr>
        <w:t xml:space="preserve">and </w:t>
      </w:r>
      <w:r w:rsidR="00BC20A4">
        <w:rPr>
          <w:rFonts w:ascii="Times New Roman" w:hAnsi="Times New Roman" w:cs="Times New Roman"/>
          <w:color w:val="000000" w:themeColor="text1"/>
        </w:rPr>
        <w:t xml:space="preserve">outlines </w:t>
      </w:r>
      <w:r w:rsidRPr="009F065E">
        <w:rPr>
          <w:rFonts w:ascii="Times New Roman" w:hAnsi="Times New Roman" w:cs="Times New Roman"/>
          <w:color w:val="000000" w:themeColor="text1"/>
        </w:rPr>
        <w:t xml:space="preserve">emission-related activities that are used to construct </w:t>
      </w:r>
      <w:r w:rsidRPr="0073560E">
        <w:rPr>
          <w:rFonts w:ascii="Times New Roman" w:hAnsi="Times New Roman" w:cs="Times New Roman"/>
          <w:i/>
          <w:color w:val="000000" w:themeColor="text1"/>
        </w:rPr>
        <w:t>CRI</w:t>
      </w:r>
      <w:r w:rsidR="0073560E" w:rsidRPr="0073560E">
        <w:rPr>
          <w:rFonts w:ascii="Times New Roman" w:hAnsi="Times New Roman" w:cs="Times New Roman"/>
          <w:i/>
          <w:color w:val="000000" w:themeColor="text1"/>
        </w:rPr>
        <w:t>s</w:t>
      </w:r>
      <w:r w:rsidRPr="009F065E">
        <w:rPr>
          <w:rFonts w:ascii="Times New Roman" w:hAnsi="Times New Roman" w:cs="Times New Roman"/>
          <w:color w:val="000000" w:themeColor="text1"/>
        </w:rPr>
        <w:t xml:space="preserve"> index. </w:t>
      </w:r>
    </w:p>
    <w:p w14:paraId="375AD45C" w14:textId="77777777" w:rsidR="00C300C6" w:rsidRDefault="00C300C6">
      <w:pPr>
        <w:spacing w:after="0" w:line="360" w:lineRule="auto"/>
        <w:jc w:val="both"/>
        <w:rPr>
          <w:rFonts w:ascii="Times New Roman" w:hAnsi="Times New Roman" w:cs="Times New Roman"/>
        </w:rPr>
      </w:pPr>
    </w:p>
    <w:p w14:paraId="3291A6BD" w14:textId="77777777" w:rsidR="00C300C6" w:rsidRDefault="009F065E">
      <w:pPr>
        <w:spacing w:after="0" w:line="360" w:lineRule="auto"/>
        <w:jc w:val="center"/>
        <w:rPr>
          <w:rFonts w:ascii="Times New Roman" w:hAnsi="Times New Roman" w:cs="Times New Roman"/>
          <w:color w:val="000000" w:themeColor="text1"/>
        </w:rPr>
      </w:pPr>
      <w:r w:rsidRPr="009F065E">
        <w:rPr>
          <w:rFonts w:ascii="Times New Roman" w:hAnsi="Times New Roman" w:cs="Times New Roman"/>
          <w:color w:val="000000" w:themeColor="text1"/>
        </w:rPr>
        <w:t>***Insert Table 2 about here***</w:t>
      </w:r>
    </w:p>
    <w:p w14:paraId="18B667EB" w14:textId="77777777" w:rsidR="00C300C6" w:rsidRDefault="00C300C6">
      <w:pPr>
        <w:spacing w:after="0" w:line="360" w:lineRule="auto"/>
        <w:jc w:val="both"/>
        <w:rPr>
          <w:rFonts w:ascii="Times New Roman" w:hAnsi="Times New Roman" w:cs="Times New Roman"/>
        </w:rPr>
      </w:pPr>
    </w:p>
    <w:p w14:paraId="06D4A67E" w14:textId="10076C1F" w:rsidR="00C300C6" w:rsidRDefault="009F065E" w:rsidP="00D153CE">
      <w:pPr>
        <w:spacing w:after="0" w:line="360" w:lineRule="auto"/>
        <w:ind w:firstLine="720"/>
        <w:jc w:val="both"/>
        <w:rPr>
          <w:rFonts w:ascii="Times New Roman" w:hAnsi="Times New Roman" w:cs="Times New Roman"/>
          <w:color w:val="000000" w:themeColor="text1"/>
        </w:rPr>
      </w:pPr>
      <w:r w:rsidRPr="009F065E">
        <w:rPr>
          <w:rFonts w:ascii="Times New Roman" w:hAnsi="Times New Roman" w:cs="Times New Roman"/>
        </w:rPr>
        <w:t>Our main explanatory variable</w:t>
      </w:r>
      <w:r w:rsidR="009E72EE">
        <w:rPr>
          <w:rFonts w:ascii="Times New Roman" w:hAnsi="Times New Roman" w:cs="Times New Roman"/>
        </w:rPr>
        <w:t>s are</w:t>
      </w:r>
      <w:r w:rsidR="00FD7001">
        <w:rPr>
          <w:rFonts w:ascii="Times New Roman" w:hAnsi="Times New Roman" w:cs="Times New Roman"/>
        </w:rPr>
        <w:t xml:space="preserve"> </w:t>
      </w:r>
      <w:r w:rsidRPr="0073560E">
        <w:rPr>
          <w:rFonts w:ascii="Times New Roman" w:hAnsi="Times New Roman" w:cs="Times New Roman"/>
          <w:i/>
        </w:rPr>
        <w:t>CCA</w:t>
      </w:r>
      <w:r w:rsidR="009E72EE">
        <w:rPr>
          <w:rFonts w:ascii="Times New Roman" w:hAnsi="Times New Roman" w:cs="Times New Roman"/>
        </w:rPr>
        <w:t>,</w:t>
      </w:r>
      <w:r w:rsidRPr="009F065E">
        <w:rPr>
          <w:rFonts w:ascii="Times New Roman" w:hAnsi="Times New Roman" w:cs="Times New Roman"/>
          <w:color w:val="000000" w:themeColor="text1"/>
        </w:rPr>
        <w:t xml:space="preserve"> </w:t>
      </w:r>
      <w:r w:rsidRPr="0073560E">
        <w:rPr>
          <w:rFonts w:ascii="Times New Roman" w:hAnsi="Times New Roman" w:cs="Times New Roman"/>
          <w:i/>
          <w:color w:val="000000" w:themeColor="text1"/>
        </w:rPr>
        <w:t>GRI</w:t>
      </w:r>
      <w:r w:rsidRPr="009F065E">
        <w:rPr>
          <w:rFonts w:ascii="Times New Roman" w:hAnsi="Times New Roman" w:cs="Times New Roman"/>
          <w:color w:val="000000" w:themeColor="text1"/>
        </w:rPr>
        <w:t xml:space="preserve"> and </w:t>
      </w:r>
      <w:r w:rsidRPr="0073560E">
        <w:rPr>
          <w:rFonts w:ascii="Times New Roman" w:hAnsi="Times New Roman" w:cs="Times New Roman"/>
          <w:i/>
          <w:color w:val="000000" w:themeColor="text1"/>
        </w:rPr>
        <w:t>UNGC</w:t>
      </w:r>
      <w:r w:rsidRPr="009F065E">
        <w:rPr>
          <w:rFonts w:ascii="Times New Roman" w:hAnsi="Times New Roman" w:cs="Times New Roman"/>
          <w:color w:val="000000" w:themeColor="text1"/>
        </w:rPr>
        <w:t xml:space="preserve"> affiliation</w:t>
      </w:r>
      <w:r w:rsidR="001624FC">
        <w:rPr>
          <w:rFonts w:ascii="Times New Roman" w:hAnsi="Times New Roman" w:cs="Times New Roman"/>
          <w:color w:val="000000" w:themeColor="text1"/>
        </w:rPr>
        <w:t xml:space="preserve">. </w:t>
      </w:r>
      <w:r w:rsidRPr="009F065E">
        <w:rPr>
          <w:rFonts w:ascii="Times New Roman" w:hAnsi="Times New Roman" w:cs="Times New Roman"/>
          <w:color w:val="000000" w:themeColor="text1"/>
        </w:rPr>
        <w:t>In order to measure the effect of interaction between institutional pressure and internal corporate governance mechanism</w:t>
      </w:r>
      <w:r w:rsidR="00322EE5">
        <w:rPr>
          <w:rFonts w:ascii="Times New Roman" w:hAnsi="Times New Roman" w:cs="Times New Roman"/>
          <w:color w:val="000000" w:themeColor="text1"/>
        </w:rPr>
        <w:t>s</w:t>
      </w:r>
      <w:r w:rsidRPr="009F065E">
        <w:rPr>
          <w:rFonts w:ascii="Times New Roman" w:hAnsi="Times New Roman" w:cs="Times New Roman"/>
          <w:color w:val="000000" w:themeColor="text1"/>
        </w:rPr>
        <w:t xml:space="preserve">, we use interactions </w:t>
      </w:r>
      <w:r w:rsidR="00322EE5">
        <w:rPr>
          <w:rFonts w:ascii="Times New Roman" w:hAnsi="Times New Roman" w:cs="Times New Roman"/>
          <w:color w:val="000000" w:themeColor="text1"/>
        </w:rPr>
        <w:t>between</w:t>
      </w:r>
      <w:r w:rsidRPr="009F065E">
        <w:rPr>
          <w:rFonts w:ascii="Times New Roman" w:hAnsi="Times New Roman" w:cs="Times New Roman"/>
          <w:color w:val="000000" w:themeColor="text1"/>
        </w:rPr>
        <w:t xml:space="preserve"> </w:t>
      </w:r>
      <w:r w:rsidR="00376E4B">
        <w:rPr>
          <w:rFonts w:ascii="Times New Roman" w:hAnsi="Times New Roman" w:cs="Times New Roman"/>
          <w:color w:val="000000" w:themeColor="text1"/>
        </w:rPr>
        <w:t xml:space="preserve">the </w:t>
      </w:r>
      <w:r w:rsidRPr="009E72EE">
        <w:rPr>
          <w:rFonts w:ascii="Times New Roman" w:hAnsi="Times New Roman" w:cs="Times New Roman"/>
          <w:i/>
          <w:color w:val="000000" w:themeColor="text1"/>
        </w:rPr>
        <w:t>CCA</w:t>
      </w:r>
      <w:r w:rsidRPr="009F065E">
        <w:rPr>
          <w:rFonts w:ascii="Times New Roman" w:hAnsi="Times New Roman" w:cs="Times New Roman"/>
          <w:color w:val="000000" w:themeColor="text1"/>
        </w:rPr>
        <w:t xml:space="preserve"> </w:t>
      </w:r>
      <w:r w:rsidR="00322EE5">
        <w:rPr>
          <w:rFonts w:ascii="Times New Roman" w:hAnsi="Times New Roman" w:cs="Times New Roman"/>
          <w:color w:val="000000" w:themeColor="text1"/>
        </w:rPr>
        <w:t>and</w:t>
      </w:r>
      <w:r w:rsidRPr="009F065E">
        <w:rPr>
          <w:rFonts w:ascii="Times New Roman" w:hAnsi="Times New Roman" w:cs="Times New Roman"/>
          <w:color w:val="000000" w:themeColor="text1"/>
        </w:rPr>
        <w:t xml:space="preserve"> board independence (</w:t>
      </w:r>
      <w:r w:rsidRPr="009E72EE">
        <w:rPr>
          <w:rFonts w:ascii="Times New Roman" w:hAnsi="Times New Roman" w:cs="Times New Roman"/>
          <w:i/>
          <w:color w:val="000000" w:themeColor="text1"/>
        </w:rPr>
        <w:t>Ind_Dir</w:t>
      </w:r>
      <w:r w:rsidRPr="009F065E">
        <w:rPr>
          <w:rFonts w:ascii="Times New Roman" w:hAnsi="Times New Roman" w:cs="Times New Roman"/>
          <w:color w:val="000000" w:themeColor="text1"/>
        </w:rPr>
        <w:t>)</w:t>
      </w:r>
      <w:r w:rsidR="00322EE5">
        <w:rPr>
          <w:rFonts w:ascii="Times New Roman" w:hAnsi="Times New Roman" w:cs="Times New Roman"/>
          <w:color w:val="000000" w:themeColor="text1"/>
        </w:rPr>
        <w:t>;</w:t>
      </w:r>
      <w:r w:rsidRPr="009F065E">
        <w:rPr>
          <w:rFonts w:ascii="Times New Roman" w:hAnsi="Times New Roman" w:cs="Times New Roman"/>
          <w:color w:val="000000" w:themeColor="text1"/>
        </w:rPr>
        <w:t xml:space="preserve"> </w:t>
      </w:r>
      <w:r w:rsidR="00E1127E">
        <w:rPr>
          <w:rFonts w:ascii="Times New Roman" w:hAnsi="Times New Roman" w:cs="Times New Roman"/>
          <w:color w:val="000000" w:themeColor="text1"/>
        </w:rPr>
        <w:t>board size (</w:t>
      </w:r>
      <w:r w:rsidR="00E1127E" w:rsidRPr="009E72EE">
        <w:rPr>
          <w:rFonts w:ascii="Times New Roman" w:hAnsi="Times New Roman" w:cs="Times New Roman"/>
          <w:i/>
          <w:color w:val="000000" w:themeColor="text1"/>
        </w:rPr>
        <w:t>BoD_size</w:t>
      </w:r>
      <w:r w:rsidR="00E1127E">
        <w:rPr>
          <w:rFonts w:ascii="Times New Roman" w:hAnsi="Times New Roman" w:cs="Times New Roman"/>
          <w:color w:val="000000" w:themeColor="text1"/>
        </w:rPr>
        <w:t>)</w:t>
      </w:r>
      <w:r w:rsidR="00322EE5">
        <w:rPr>
          <w:rFonts w:ascii="Times New Roman" w:hAnsi="Times New Roman" w:cs="Times New Roman"/>
          <w:color w:val="000000" w:themeColor="text1"/>
        </w:rPr>
        <w:t>;</w:t>
      </w:r>
      <w:r w:rsidR="00E1127E">
        <w:rPr>
          <w:rFonts w:ascii="Times New Roman" w:hAnsi="Times New Roman" w:cs="Times New Roman"/>
          <w:color w:val="000000" w:themeColor="text1"/>
        </w:rPr>
        <w:t xml:space="preserve"> </w:t>
      </w:r>
      <w:r w:rsidR="0090095E" w:rsidRPr="009F065E">
        <w:rPr>
          <w:rFonts w:ascii="Times New Roman" w:hAnsi="Times New Roman" w:cs="Times New Roman"/>
          <w:color w:val="000000" w:themeColor="text1"/>
        </w:rPr>
        <w:t>CEO duality (duality)</w:t>
      </w:r>
      <w:r w:rsidR="00322EE5">
        <w:rPr>
          <w:rFonts w:ascii="Times New Roman" w:hAnsi="Times New Roman" w:cs="Times New Roman"/>
          <w:color w:val="000000" w:themeColor="text1"/>
        </w:rPr>
        <w:t>;</w:t>
      </w:r>
      <w:r w:rsidR="0090095E">
        <w:rPr>
          <w:rFonts w:ascii="Times New Roman" w:hAnsi="Times New Roman" w:cs="Times New Roman"/>
          <w:color w:val="000000" w:themeColor="text1"/>
        </w:rPr>
        <w:t xml:space="preserve"> </w:t>
      </w:r>
      <w:r w:rsidRPr="009F065E">
        <w:rPr>
          <w:rFonts w:ascii="Times New Roman" w:hAnsi="Times New Roman" w:cs="Times New Roman"/>
          <w:color w:val="000000" w:themeColor="text1"/>
        </w:rPr>
        <w:t>executive compensation (</w:t>
      </w:r>
      <w:r w:rsidRPr="009E72EE">
        <w:rPr>
          <w:rFonts w:ascii="Times New Roman" w:hAnsi="Times New Roman" w:cs="Times New Roman"/>
          <w:i/>
          <w:color w:val="000000" w:themeColor="text1"/>
        </w:rPr>
        <w:t>Exec_Comp</w:t>
      </w:r>
      <w:r w:rsidRPr="009F065E">
        <w:rPr>
          <w:rFonts w:ascii="Times New Roman" w:hAnsi="Times New Roman" w:cs="Times New Roman"/>
          <w:color w:val="000000" w:themeColor="text1"/>
        </w:rPr>
        <w:t>)</w:t>
      </w:r>
      <w:r w:rsidR="00322EE5">
        <w:rPr>
          <w:rFonts w:ascii="Times New Roman" w:hAnsi="Times New Roman" w:cs="Times New Roman"/>
          <w:color w:val="000000" w:themeColor="text1"/>
        </w:rPr>
        <w:t>;</w:t>
      </w:r>
      <w:r w:rsidRPr="009F065E">
        <w:rPr>
          <w:rFonts w:ascii="Times New Roman" w:hAnsi="Times New Roman" w:cs="Times New Roman"/>
          <w:color w:val="000000" w:themeColor="text1"/>
        </w:rPr>
        <w:t xml:space="preserve"> and environmental-social-governance (ESG) based </w:t>
      </w:r>
      <w:r w:rsidR="00E1127E">
        <w:rPr>
          <w:rFonts w:ascii="Times New Roman" w:hAnsi="Times New Roman" w:cs="Times New Roman"/>
          <w:color w:val="000000" w:themeColor="text1"/>
        </w:rPr>
        <w:t xml:space="preserve">compensation </w:t>
      </w:r>
      <w:r w:rsidRPr="009F065E">
        <w:rPr>
          <w:rFonts w:ascii="Times New Roman" w:hAnsi="Times New Roman" w:cs="Times New Roman"/>
          <w:color w:val="000000" w:themeColor="text1"/>
        </w:rPr>
        <w:t>policy (</w:t>
      </w:r>
      <w:r w:rsidRPr="009E72EE">
        <w:rPr>
          <w:rFonts w:ascii="Times New Roman" w:hAnsi="Times New Roman" w:cs="Times New Roman"/>
          <w:i/>
          <w:color w:val="000000" w:themeColor="text1"/>
        </w:rPr>
        <w:t>ESG_Comp</w:t>
      </w:r>
      <w:r w:rsidRPr="009F065E">
        <w:rPr>
          <w:rFonts w:ascii="Times New Roman" w:hAnsi="Times New Roman" w:cs="Times New Roman"/>
          <w:color w:val="000000" w:themeColor="text1"/>
        </w:rPr>
        <w:t xml:space="preserve">). </w:t>
      </w:r>
    </w:p>
    <w:p w14:paraId="5CC72DAF" w14:textId="77777777" w:rsidR="00C300C6" w:rsidRDefault="00C300C6">
      <w:pPr>
        <w:spacing w:after="0" w:line="360" w:lineRule="auto"/>
        <w:jc w:val="both"/>
        <w:rPr>
          <w:rFonts w:ascii="Times New Roman" w:hAnsi="Times New Roman" w:cs="Times New Roman"/>
          <w:color w:val="000000" w:themeColor="text1"/>
        </w:rPr>
      </w:pPr>
    </w:p>
    <w:p w14:paraId="60308CB5" w14:textId="77777777" w:rsidR="00C300C6" w:rsidRDefault="009F065E">
      <w:pPr>
        <w:spacing w:after="0" w:line="360" w:lineRule="auto"/>
        <w:jc w:val="center"/>
        <w:rPr>
          <w:rFonts w:ascii="Times New Roman" w:hAnsi="Times New Roman" w:cs="Times New Roman"/>
          <w:color w:val="000000" w:themeColor="text1"/>
        </w:rPr>
      </w:pPr>
      <w:r w:rsidRPr="009F065E">
        <w:rPr>
          <w:rFonts w:ascii="Times New Roman" w:hAnsi="Times New Roman" w:cs="Times New Roman"/>
          <w:color w:val="000000" w:themeColor="text1"/>
        </w:rPr>
        <w:t>***Insert Table 3 about here***</w:t>
      </w:r>
    </w:p>
    <w:p w14:paraId="4192D871" w14:textId="77777777" w:rsidR="00C300C6" w:rsidRDefault="00C300C6">
      <w:pPr>
        <w:spacing w:after="0" w:line="360" w:lineRule="auto"/>
        <w:jc w:val="both"/>
        <w:rPr>
          <w:rFonts w:ascii="Times New Roman" w:hAnsi="Times New Roman" w:cs="Times New Roman"/>
          <w:color w:val="000000" w:themeColor="text1"/>
        </w:rPr>
      </w:pPr>
    </w:p>
    <w:p w14:paraId="398634FA" w14:textId="473CB3D9" w:rsidR="00C300C6" w:rsidRDefault="00B14289">
      <w:pPr>
        <w:autoSpaceDE w:val="0"/>
        <w:autoSpaceDN w:val="0"/>
        <w:adjustRightInd w:val="0"/>
        <w:spacing w:after="0" w:line="360" w:lineRule="auto"/>
        <w:ind w:firstLine="720"/>
        <w:jc w:val="both"/>
        <w:rPr>
          <w:rFonts w:ascii="Times New Roman" w:hAnsi="Times New Roman" w:cs="Times New Roman"/>
        </w:rPr>
      </w:pPr>
      <w:r>
        <w:rPr>
          <w:rFonts w:ascii="Times New Roman" w:hAnsi="Times New Roman" w:cs="Times New Roman"/>
          <w:color w:val="000000" w:themeColor="text1"/>
        </w:rPr>
        <w:t>W</w:t>
      </w:r>
      <w:r w:rsidR="0049389D">
        <w:rPr>
          <w:rFonts w:ascii="Times New Roman" w:hAnsi="Times New Roman" w:cs="Times New Roman"/>
          <w:color w:val="000000" w:themeColor="text1"/>
        </w:rPr>
        <w:t>e</w:t>
      </w:r>
      <w:r w:rsidR="009F065E" w:rsidRPr="009F065E">
        <w:rPr>
          <w:rFonts w:ascii="Times New Roman" w:hAnsi="Times New Roman" w:cs="Times New Roman"/>
          <w:color w:val="000000" w:themeColor="text1"/>
        </w:rPr>
        <w:t xml:space="preserve"> follow among others, </w:t>
      </w:r>
      <w:r w:rsidR="00E03E1B">
        <w:rPr>
          <w:rFonts w:ascii="Times New Roman" w:hAnsi="Times New Roman" w:cs="Times New Roman"/>
          <w:color w:val="000000" w:themeColor="text1"/>
        </w:rPr>
        <w:t>D</w:t>
      </w:r>
      <w:r w:rsidR="009F065E" w:rsidRPr="009F065E">
        <w:rPr>
          <w:rFonts w:ascii="Times New Roman" w:hAnsi="Times New Roman" w:cs="Times New Roman"/>
          <w:color w:val="000000" w:themeColor="text1"/>
        </w:rPr>
        <w:t>e Villiers et al.,</w:t>
      </w:r>
      <w:r w:rsidR="009F065E" w:rsidRPr="009F065E">
        <w:rPr>
          <w:rFonts w:ascii="Times New Roman" w:hAnsi="Times New Roman" w:cs="Times New Roman"/>
        </w:rPr>
        <w:t xml:space="preserve"> (2011)</w:t>
      </w:r>
      <w:r w:rsidR="009F065E" w:rsidRPr="009F065E">
        <w:rPr>
          <w:rFonts w:ascii="Times New Roman" w:hAnsi="Times New Roman" w:cs="Times New Roman"/>
          <w:color w:val="000000" w:themeColor="text1"/>
        </w:rPr>
        <w:t>, in using a number of firm characteristics as control variables. These include, firm siz</w:t>
      </w:r>
      <w:r w:rsidR="00142600">
        <w:rPr>
          <w:rFonts w:ascii="Times New Roman" w:hAnsi="Times New Roman" w:cs="Times New Roman"/>
          <w:color w:val="000000" w:themeColor="text1"/>
        </w:rPr>
        <w:t>e</w:t>
      </w:r>
      <w:r w:rsidR="009F065E" w:rsidRPr="009F065E">
        <w:rPr>
          <w:rFonts w:ascii="Times New Roman" w:hAnsi="Times New Roman" w:cs="Times New Roman"/>
          <w:color w:val="000000" w:themeColor="text1"/>
        </w:rPr>
        <w:t xml:space="preserve">, </w:t>
      </w:r>
      <w:r w:rsidR="009F065E" w:rsidRPr="009F065E">
        <w:rPr>
          <w:rFonts w:ascii="Times New Roman" w:hAnsi="Times New Roman" w:cs="Times New Roman"/>
        </w:rPr>
        <w:t xml:space="preserve">employees, </w:t>
      </w:r>
      <w:r w:rsidR="009F065E" w:rsidRPr="009F065E">
        <w:rPr>
          <w:rFonts w:ascii="Times New Roman" w:hAnsi="Times New Roman" w:cs="Times New Roman"/>
          <w:color w:val="000000" w:themeColor="text1"/>
        </w:rPr>
        <w:t>profitability (</w:t>
      </w:r>
      <w:r w:rsidR="009F065E" w:rsidRPr="00A0496F">
        <w:rPr>
          <w:rFonts w:ascii="Times New Roman" w:hAnsi="Times New Roman" w:cs="Times New Roman"/>
          <w:i/>
          <w:color w:val="000000" w:themeColor="text1"/>
        </w:rPr>
        <w:t>ROA</w:t>
      </w:r>
      <w:r w:rsidR="009F065E" w:rsidRPr="009F065E">
        <w:rPr>
          <w:rFonts w:ascii="Times New Roman" w:hAnsi="Times New Roman" w:cs="Times New Roman"/>
          <w:color w:val="000000" w:themeColor="text1"/>
        </w:rPr>
        <w:t xml:space="preserve">), </w:t>
      </w:r>
      <w:r w:rsidR="009F065E" w:rsidRPr="009F065E">
        <w:rPr>
          <w:rFonts w:ascii="Times New Roman" w:hAnsi="Times New Roman" w:cs="Times New Roman"/>
        </w:rPr>
        <w:t xml:space="preserve">slack, </w:t>
      </w:r>
      <w:r w:rsidR="009F065E" w:rsidRPr="009F065E">
        <w:rPr>
          <w:rFonts w:ascii="Times New Roman" w:hAnsi="Times New Roman" w:cs="Times New Roman"/>
          <w:color w:val="000000" w:themeColor="text1"/>
        </w:rPr>
        <w:t xml:space="preserve">leverage, capital intensity, capital expenditure, and </w:t>
      </w:r>
      <w:r w:rsidR="00B521B4">
        <w:rPr>
          <w:rFonts w:ascii="Times New Roman" w:hAnsi="Times New Roman" w:cs="Times New Roman"/>
        </w:rPr>
        <w:t>market-to-book.</w:t>
      </w:r>
      <w:r w:rsidR="009F065E" w:rsidRPr="009F065E">
        <w:rPr>
          <w:rFonts w:ascii="Times New Roman" w:hAnsi="Times New Roman" w:cs="Times New Roman"/>
        </w:rPr>
        <w:t xml:space="preserve"> </w:t>
      </w:r>
    </w:p>
    <w:p w14:paraId="6CAB310F" w14:textId="77777777" w:rsidR="00C300C6" w:rsidRDefault="00C300C6">
      <w:pPr>
        <w:autoSpaceDE w:val="0"/>
        <w:autoSpaceDN w:val="0"/>
        <w:adjustRightInd w:val="0"/>
        <w:spacing w:after="0" w:line="360" w:lineRule="auto"/>
        <w:jc w:val="both"/>
        <w:rPr>
          <w:rFonts w:ascii="Times New Roman" w:hAnsi="Times New Roman" w:cs="Times New Roman"/>
          <w:color w:val="000000" w:themeColor="text1"/>
        </w:rPr>
      </w:pPr>
    </w:p>
    <w:p w14:paraId="7E860F45" w14:textId="77777777" w:rsidR="00C300C6" w:rsidRDefault="009F065E">
      <w:pPr>
        <w:spacing w:after="0" w:line="360" w:lineRule="auto"/>
        <w:jc w:val="center"/>
        <w:rPr>
          <w:rFonts w:ascii="Times New Roman" w:hAnsi="Times New Roman" w:cs="Times New Roman"/>
          <w:color w:val="000000" w:themeColor="text1"/>
        </w:rPr>
      </w:pPr>
      <w:r w:rsidRPr="009F065E">
        <w:rPr>
          <w:rFonts w:ascii="Times New Roman" w:hAnsi="Times New Roman" w:cs="Times New Roman"/>
          <w:color w:val="000000" w:themeColor="text1"/>
        </w:rPr>
        <w:lastRenderedPageBreak/>
        <w:t>***Insert Table 4 about here***</w:t>
      </w:r>
    </w:p>
    <w:p w14:paraId="7804CFF6" w14:textId="77777777" w:rsidR="00C300C6" w:rsidRDefault="00C300C6">
      <w:pPr>
        <w:autoSpaceDE w:val="0"/>
        <w:autoSpaceDN w:val="0"/>
        <w:adjustRightInd w:val="0"/>
        <w:spacing w:after="0" w:line="360" w:lineRule="auto"/>
        <w:jc w:val="both"/>
        <w:rPr>
          <w:rFonts w:ascii="Times New Roman" w:hAnsi="Times New Roman" w:cs="Times New Roman"/>
          <w:color w:val="000000" w:themeColor="text1"/>
        </w:rPr>
      </w:pPr>
    </w:p>
    <w:p w14:paraId="6BAB00FB" w14:textId="77777777" w:rsidR="00C300C6" w:rsidRDefault="009F065E" w:rsidP="007220DD">
      <w:pPr>
        <w:pStyle w:val="ListParagraph"/>
        <w:numPr>
          <w:ilvl w:val="0"/>
          <w:numId w:val="1"/>
        </w:numPr>
        <w:spacing w:after="0" w:line="240" w:lineRule="auto"/>
        <w:ind w:left="360"/>
        <w:contextualSpacing w:val="0"/>
        <w:jc w:val="both"/>
        <w:rPr>
          <w:rFonts w:ascii="Times New Roman" w:hAnsi="Times New Roman" w:cs="Times New Roman"/>
          <w:b/>
          <w:color w:val="000000" w:themeColor="text1"/>
        </w:rPr>
      </w:pPr>
      <w:r w:rsidRPr="009F065E">
        <w:rPr>
          <w:rFonts w:ascii="Times New Roman" w:hAnsi="Times New Roman" w:cs="Times New Roman"/>
          <w:b/>
          <w:color w:val="000000" w:themeColor="text1"/>
        </w:rPr>
        <w:t xml:space="preserve">Empirical results </w:t>
      </w:r>
    </w:p>
    <w:p w14:paraId="1A519DB0" w14:textId="77777777" w:rsidR="00C300C6" w:rsidRDefault="00C300C6" w:rsidP="007220DD">
      <w:pPr>
        <w:spacing w:after="0" w:line="240" w:lineRule="auto"/>
        <w:jc w:val="both"/>
        <w:rPr>
          <w:rFonts w:ascii="Times New Roman" w:hAnsi="Times New Roman" w:cs="Times New Roman"/>
          <w:b/>
          <w:color w:val="000000" w:themeColor="text1"/>
        </w:rPr>
      </w:pPr>
    </w:p>
    <w:p w14:paraId="481B3032" w14:textId="77777777" w:rsidR="00C300C6" w:rsidRDefault="009F065E" w:rsidP="007220DD">
      <w:pPr>
        <w:pStyle w:val="ListParagraph"/>
        <w:numPr>
          <w:ilvl w:val="1"/>
          <w:numId w:val="1"/>
        </w:numPr>
        <w:spacing w:after="0" w:line="240" w:lineRule="auto"/>
        <w:ind w:left="450" w:hanging="450"/>
        <w:contextualSpacing w:val="0"/>
        <w:jc w:val="both"/>
        <w:rPr>
          <w:rFonts w:ascii="Times New Roman" w:hAnsi="Times New Roman" w:cs="Times New Roman"/>
          <w:i/>
          <w:color w:val="000000" w:themeColor="text1"/>
        </w:rPr>
      </w:pPr>
      <w:r w:rsidRPr="009F065E">
        <w:rPr>
          <w:rFonts w:ascii="Times New Roman" w:hAnsi="Times New Roman" w:cs="Times New Roman"/>
          <w:i/>
          <w:color w:val="000000" w:themeColor="text1"/>
        </w:rPr>
        <w:t xml:space="preserve"> Descriptive statistics and univariate analysis </w:t>
      </w:r>
    </w:p>
    <w:p w14:paraId="5614BE09" w14:textId="77777777" w:rsidR="00C300C6" w:rsidRDefault="00C300C6">
      <w:pPr>
        <w:spacing w:after="0" w:line="360" w:lineRule="auto"/>
        <w:jc w:val="both"/>
        <w:rPr>
          <w:rFonts w:ascii="Times New Roman" w:hAnsi="Times New Roman" w:cs="Times New Roman"/>
          <w:color w:val="000000" w:themeColor="text1"/>
        </w:rPr>
      </w:pPr>
    </w:p>
    <w:p w14:paraId="74CB513C" w14:textId="02FE7A37" w:rsidR="00C300C6" w:rsidRDefault="009F065E" w:rsidP="00BC49E4">
      <w:pPr>
        <w:spacing w:after="0" w:line="360" w:lineRule="auto"/>
        <w:ind w:firstLine="720"/>
        <w:jc w:val="both"/>
        <w:rPr>
          <w:rFonts w:ascii="Times New Roman" w:hAnsi="Times New Roman" w:cs="Times New Roman"/>
          <w:color w:val="000000" w:themeColor="text1"/>
        </w:rPr>
      </w:pPr>
      <w:r w:rsidRPr="009F065E">
        <w:rPr>
          <w:rFonts w:ascii="Times New Roman" w:hAnsi="Times New Roman" w:cs="Times New Roman"/>
          <w:color w:val="000000" w:themeColor="text1"/>
        </w:rPr>
        <w:t xml:space="preserve">Table 3 shows </w:t>
      </w:r>
      <w:r w:rsidR="006E5428">
        <w:rPr>
          <w:rFonts w:ascii="Times New Roman" w:hAnsi="Times New Roman" w:cs="Times New Roman"/>
          <w:color w:val="000000" w:themeColor="text1"/>
        </w:rPr>
        <w:t xml:space="preserve">summary statistics of </w:t>
      </w:r>
      <w:r w:rsidRPr="009F065E">
        <w:rPr>
          <w:rFonts w:ascii="Times New Roman" w:hAnsi="Times New Roman" w:cs="Times New Roman"/>
          <w:color w:val="000000" w:themeColor="text1"/>
        </w:rPr>
        <w:t xml:space="preserve">the main variables. </w:t>
      </w:r>
      <w:r w:rsidR="003D413E">
        <w:rPr>
          <w:rFonts w:ascii="Times New Roman" w:hAnsi="Times New Roman" w:cs="Times New Roman"/>
          <w:color w:val="000000" w:themeColor="text1"/>
        </w:rPr>
        <w:t xml:space="preserve">It shows that the </w:t>
      </w:r>
      <w:r w:rsidR="00660CE9" w:rsidRPr="00FD7001">
        <w:rPr>
          <w:rFonts w:ascii="Times New Roman" w:hAnsi="Times New Roman" w:cs="Times New Roman"/>
          <w:i/>
          <w:color w:val="000000" w:themeColor="text1"/>
        </w:rPr>
        <w:t>CRI</w:t>
      </w:r>
      <w:r w:rsidR="0032172C" w:rsidRPr="00FD7001">
        <w:rPr>
          <w:rFonts w:ascii="Times New Roman" w:hAnsi="Times New Roman" w:cs="Times New Roman"/>
          <w:i/>
          <w:color w:val="000000" w:themeColor="text1"/>
        </w:rPr>
        <w:t>s</w:t>
      </w:r>
      <w:r w:rsidR="00660CE9">
        <w:rPr>
          <w:rFonts w:ascii="Times New Roman" w:hAnsi="Times New Roman" w:cs="Times New Roman"/>
          <w:color w:val="000000" w:themeColor="text1"/>
        </w:rPr>
        <w:t xml:space="preserve"> index is widespread</w:t>
      </w:r>
      <w:r w:rsidR="0032172C">
        <w:rPr>
          <w:rFonts w:ascii="Times New Roman" w:hAnsi="Times New Roman" w:cs="Times New Roman"/>
          <w:color w:val="000000" w:themeColor="text1"/>
        </w:rPr>
        <w:t>,</w:t>
      </w:r>
      <w:r w:rsidR="00660CE9">
        <w:rPr>
          <w:rFonts w:ascii="Times New Roman" w:hAnsi="Times New Roman" w:cs="Times New Roman"/>
          <w:color w:val="000000" w:themeColor="text1"/>
        </w:rPr>
        <w:t xml:space="preserve"> ranging from 0 to 8, with a mean value of 2.04 and </w:t>
      </w:r>
      <w:r w:rsidR="006C492C">
        <w:rPr>
          <w:rFonts w:ascii="Times New Roman" w:hAnsi="Times New Roman" w:cs="Times New Roman"/>
          <w:color w:val="000000" w:themeColor="text1"/>
        </w:rPr>
        <w:t>a</w:t>
      </w:r>
      <w:r w:rsidR="00660CE9">
        <w:rPr>
          <w:rFonts w:ascii="Times New Roman" w:hAnsi="Times New Roman" w:cs="Times New Roman"/>
          <w:color w:val="000000" w:themeColor="text1"/>
        </w:rPr>
        <w:t xml:space="preserve"> standard deviation of 1.86. </w:t>
      </w:r>
      <w:r w:rsidR="001364BE">
        <w:rPr>
          <w:rFonts w:ascii="Times New Roman" w:hAnsi="Times New Roman" w:cs="Times New Roman"/>
          <w:color w:val="000000" w:themeColor="text1"/>
        </w:rPr>
        <w:t xml:space="preserve">In addition, the mean value of GHG is 12.30 with a standard deviation of 2.43, indicating that GHG emission data tends to be </w:t>
      </w:r>
      <w:r w:rsidR="00F81A65">
        <w:rPr>
          <w:rFonts w:ascii="Times New Roman" w:hAnsi="Times New Roman" w:cs="Times New Roman"/>
          <w:color w:val="000000" w:themeColor="text1"/>
        </w:rPr>
        <w:t xml:space="preserve">less spread (more </w:t>
      </w:r>
      <w:r w:rsidR="001364BE">
        <w:rPr>
          <w:rFonts w:ascii="Times New Roman" w:hAnsi="Times New Roman" w:cs="Times New Roman"/>
          <w:color w:val="000000" w:themeColor="text1"/>
        </w:rPr>
        <w:t>clustered</w:t>
      </w:r>
      <w:r w:rsidR="00F81A65">
        <w:rPr>
          <w:rFonts w:ascii="Times New Roman" w:hAnsi="Times New Roman" w:cs="Times New Roman"/>
          <w:color w:val="000000" w:themeColor="text1"/>
        </w:rPr>
        <w:t>)</w:t>
      </w:r>
      <w:r w:rsidR="001364BE">
        <w:rPr>
          <w:rFonts w:ascii="Times New Roman" w:hAnsi="Times New Roman" w:cs="Times New Roman"/>
          <w:color w:val="000000" w:themeColor="text1"/>
        </w:rPr>
        <w:t xml:space="preserve"> a</w:t>
      </w:r>
      <w:r w:rsidR="00F81A65">
        <w:rPr>
          <w:rFonts w:ascii="Times New Roman" w:hAnsi="Times New Roman" w:cs="Times New Roman"/>
          <w:color w:val="000000" w:themeColor="text1"/>
        </w:rPr>
        <w:t>round</w:t>
      </w:r>
      <w:r w:rsidR="001364BE">
        <w:rPr>
          <w:rFonts w:ascii="Times New Roman" w:hAnsi="Times New Roman" w:cs="Times New Roman"/>
          <w:color w:val="000000" w:themeColor="text1"/>
        </w:rPr>
        <w:t xml:space="preserve"> the mean. </w:t>
      </w:r>
      <w:r w:rsidRPr="009F065E">
        <w:rPr>
          <w:rFonts w:ascii="Times New Roman" w:hAnsi="Times New Roman" w:cs="Times New Roman"/>
          <w:color w:val="000000" w:themeColor="text1"/>
        </w:rPr>
        <w:t xml:space="preserve">It is also evident that one-fifth of the sample firms adopt </w:t>
      </w:r>
      <w:r w:rsidR="002566BB">
        <w:rPr>
          <w:rFonts w:ascii="Times New Roman" w:hAnsi="Times New Roman" w:cs="Times New Roman"/>
          <w:color w:val="000000" w:themeColor="text1"/>
        </w:rPr>
        <w:t xml:space="preserve">the </w:t>
      </w:r>
      <w:r w:rsidRPr="009F065E">
        <w:rPr>
          <w:rFonts w:ascii="Times New Roman" w:hAnsi="Times New Roman" w:cs="Times New Roman"/>
          <w:color w:val="000000" w:themeColor="text1"/>
        </w:rPr>
        <w:t>GRI-guidelines to produce sustainable reports, and that 12 percent firms have UNGC affiliations. Table 3 also shows that the proportion of independent directors is around 54 percent, which is comparable with</w:t>
      </w:r>
      <w:r w:rsidR="0032172C">
        <w:rPr>
          <w:rFonts w:ascii="Times New Roman" w:hAnsi="Times New Roman" w:cs="Times New Roman"/>
          <w:color w:val="000000" w:themeColor="text1"/>
        </w:rPr>
        <w:t xml:space="preserve"> the findings</w:t>
      </w:r>
      <w:r w:rsidRPr="009F065E">
        <w:rPr>
          <w:rFonts w:ascii="Times New Roman" w:hAnsi="Times New Roman" w:cs="Times New Roman"/>
          <w:color w:val="000000" w:themeColor="text1"/>
        </w:rPr>
        <w:t xml:space="preserve"> </w:t>
      </w:r>
      <w:r w:rsidR="0032172C">
        <w:rPr>
          <w:rFonts w:ascii="Times New Roman" w:hAnsi="Times New Roman" w:cs="Times New Roman"/>
          <w:color w:val="000000" w:themeColor="text1"/>
        </w:rPr>
        <w:t xml:space="preserve">of </w:t>
      </w:r>
      <w:r w:rsidRPr="009F065E">
        <w:rPr>
          <w:rFonts w:ascii="Times New Roman" w:hAnsi="Times New Roman" w:cs="Times New Roman"/>
          <w:color w:val="000000" w:themeColor="text1"/>
        </w:rPr>
        <w:t>Liao et al.</w:t>
      </w:r>
      <w:r w:rsidR="00CB7F5D">
        <w:rPr>
          <w:rFonts w:ascii="Times New Roman" w:hAnsi="Times New Roman" w:cs="Times New Roman"/>
          <w:color w:val="000000" w:themeColor="text1"/>
        </w:rPr>
        <w:t>,</w:t>
      </w:r>
      <w:r w:rsidRPr="009F065E">
        <w:rPr>
          <w:rFonts w:ascii="Times New Roman" w:hAnsi="Times New Roman" w:cs="Times New Roman"/>
          <w:color w:val="000000" w:themeColor="text1"/>
        </w:rPr>
        <w:t xml:space="preserve"> (2015). </w:t>
      </w:r>
      <w:r w:rsidR="00130EFD">
        <w:rPr>
          <w:rFonts w:ascii="Times New Roman" w:hAnsi="Times New Roman" w:cs="Times New Roman"/>
          <w:color w:val="000000" w:themeColor="text1"/>
        </w:rPr>
        <w:t xml:space="preserve">Moreover, </w:t>
      </w:r>
      <w:r w:rsidR="00372368">
        <w:rPr>
          <w:rFonts w:ascii="Times New Roman" w:hAnsi="Times New Roman" w:cs="Times New Roman"/>
          <w:color w:val="000000" w:themeColor="text1"/>
        </w:rPr>
        <w:t xml:space="preserve">the </w:t>
      </w:r>
      <w:r w:rsidR="00130EFD">
        <w:rPr>
          <w:rFonts w:ascii="Times New Roman" w:hAnsi="Times New Roman" w:cs="Times New Roman"/>
          <w:color w:val="000000" w:themeColor="text1"/>
        </w:rPr>
        <w:t xml:space="preserve">average </w:t>
      </w:r>
      <w:r w:rsidR="00A815C0">
        <w:rPr>
          <w:rFonts w:ascii="Times New Roman" w:hAnsi="Times New Roman" w:cs="Times New Roman"/>
          <w:color w:val="000000" w:themeColor="text1"/>
        </w:rPr>
        <w:t xml:space="preserve">board size is around nine, </w:t>
      </w:r>
      <w:r w:rsidR="00B05560">
        <w:rPr>
          <w:rFonts w:ascii="Times New Roman" w:hAnsi="Times New Roman" w:cs="Times New Roman"/>
          <w:color w:val="000000" w:themeColor="text1"/>
        </w:rPr>
        <w:t xml:space="preserve">which is comparable with </w:t>
      </w:r>
      <w:r w:rsidR="000F6029">
        <w:rPr>
          <w:rFonts w:ascii="Times New Roman" w:hAnsi="Times New Roman" w:cs="Times New Roman"/>
          <w:color w:val="000000" w:themeColor="text1"/>
        </w:rPr>
        <w:t xml:space="preserve">the findings of </w:t>
      </w:r>
      <w:hyperlink r:id="rId20" w:history="1">
        <w:r w:rsidR="00B05560" w:rsidRPr="009F065E">
          <w:rPr>
            <w:rStyle w:val="Hyperlink"/>
            <w:rFonts w:ascii="Times New Roman" w:hAnsi="Times New Roman" w:cs="Times New Roman"/>
            <w:color w:val="000000" w:themeColor="text1"/>
            <w:u w:val="none"/>
          </w:rPr>
          <w:t>Tauringana</w:t>
        </w:r>
      </w:hyperlink>
      <w:r w:rsidR="00B05560" w:rsidRPr="009F065E">
        <w:rPr>
          <w:rFonts w:ascii="Times New Roman" w:hAnsi="Times New Roman" w:cs="Times New Roman"/>
          <w:color w:val="000000" w:themeColor="text1"/>
        </w:rPr>
        <w:t xml:space="preserve"> </w:t>
      </w:r>
      <w:r w:rsidR="00587EA6">
        <w:rPr>
          <w:rFonts w:ascii="Times New Roman" w:hAnsi="Times New Roman" w:cs="Times New Roman"/>
          <w:color w:val="000000" w:themeColor="text1"/>
        </w:rPr>
        <w:t>and</w:t>
      </w:r>
      <w:r w:rsidR="00B05560" w:rsidRPr="009F065E">
        <w:rPr>
          <w:rFonts w:ascii="Times New Roman" w:hAnsi="Times New Roman" w:cs="Times New Roman"/>
          <w:color w:val="000000" w:themeColor="text1"/>
        </w:rPr>
        <w:t xml:space="preserve"> </w:t>
      </w:r>
      <w:hyperlink r:id="rId21" w:history="1">
        <w:r w:rsidR="00B05560" w:rsidRPr="009F065E">
          <w:rPr>
            <w:rStyle w:val="Hyperlink"/>
            <w:rFonts w:ascii="Times New Roman" w:hAnsi="Times New Roman" w:cs="Times New Roman"/>
            <w:color w:val="000000" w:themeColor="text1"/>
            <w:u w:val="none"/>
          </w:rPr>
          <w:t>Chithambo</w:t>
        </w:r>
      </w:hyperlink>
      <w:r w:rsidR="00B05560">
        <w:rPr>
          <w:rFonts w:ascii="Times New Roman" w:hAnsi="Times New Roman" w:cs="Times New Roman"/>
          <w:color w:val="000000" w:themeColor="text1"/>
        </w:rPr>
        <w:t xml:space="preserve"> </w:t>
      </w:r>
      <w:r w:rsidR="00B05560">
        <w:rPr>
          <w:rFonts w:ascii="Times New Roman" w:hAnsi="Times New Roman" w:cs="Times New Roman"/>
          <w:color w:val="000000" w:themeColor="text1"/>
        </w:rPr>
        <w:lastRenderedPageBreak/>
        <w:t>(</w:t>
      </w:r>
      <w:r w:rsidR="00B05560" w:rsidRPr="009F065E">
        <w:rPr>
          <w:rFonts w:ascii="Times New Roman" w:hAnsi="Times New Roman" w:cs="Times New Roman"/>
          <w:color w:val="000000" w:themeColor="text1"/>
        </w:rPr>
        <w:t>2015</w:t>
      </w:r>
      <w:r w:rsidR="00B05560">
        <w:rPr>
          <w:rFonts w:ascii="Times New Roman" w:hAnsi="Times New Roman" w:cs="Times New Roman"/>
          <w:color w:val="000000" w:themeColor="text1"/>
        </w:rPr>
        <w:t xml:space="preserve">). In addition, </w:t>
      </w:r>
      <w:r w:rsidR="00A815C0">
        <w:rPr>
          <w:rFonts w:ascii="Times New Roman" w:hAnsi="Times New Roman" w:cs="Times New Roman"/>
          <w:color w:val="000000" w:themeColor="text1"/>
        </w:rPr>
        <w:t>only four percent of the sample firms have CEO duality</w:t>
      </w:r>
      <w:r w:rsidR="00B05560">
        <w:rPr>
          <w:rFonts w:ascii="Times New Roman" w:hAnsi="Times New Roman" w:cs="Times New Roman"/>
          <w:color w:val="000000" w:themeColor="text1"/>
        </w:rPr>
        <w:t xml:space="preserve"> and </w:t>
      </w:r>
      <w:r w:rsidRPr="009F065E">
        <w:rPr>
          <w:rFonts w:ascii="Times New Roman" w:hAnsi="Times New Roman" w:cs="Times New Roman"/>
          <w:color w:val="000000" w:themeColor="text1"/>
        </w:rPr>
        <w:t xml:space="preserve">35 percent firms have adopted ESG-based compensation policy.  </w:t>
      </w:r>
    </w:p>
    <w:p w14:paraId="36F84F34" w14:textId="77777777" w:rsidR="00C300C6" w:rsidRDefault="00C300C6">
      <w:pPr>
        <w:spacing w:after="0" w:line="360" w:lineRule="auto"/>
        <w:jc w:val="both"/>
        <w:rPr>
          <w:rFonts w:ascii="Times New Roman" w:hAnsi="Times New Roman" w:cs="Times New Roman"/>
          <w:color w:val="000000" w:themeColor="text1"/>
        </w:rPr>
      </w:pPr>
    </w:p>
    <w:p w14:paraId="6F0340A6" w14:textId="77777777" w:rsidR="00C300C6" w:rsidRDefault="009F065E">
      <w:pPr>
        <w:spacing w:after="0" w:line="360" w:lineRule="auto"/>
        <w:jc w:val="center"/>
        <w:rPr>
          <w:rFonts w:ascii="Times New Roman" w:hAnsi="Times New Roman" w:cs="Times New Roman"/>
          <w:color w:val="000000" w:themeColor="text1"/>
        </w:rPr>
      </w:pPr>
      <w:r w:rsidRPr="009F065E">
        <w:rPr>
          <w:rFonts w:ascii="Times New Roman" w:hAnsi="Times New Roman" w:cs="Times New Roman"/>
          <w:color w:val="000000" w:themeColor="text1"/>
        </w:rPr>
        <w:t>***Insert Table 5 about here***</w:t>
      </w:r>
    </w:p>
    <w:p w14:paraId="6AD41A6F" w14:textId="77777777" w:rsidR="00C300C6" w:rsidRDefault="00C300C6">
      <w:pPr>
        <w:spacing w:after="0" w:line="360" w:lineRule="auto"/>
        <w:jc w:val="both"/>
        <w:rPr>
          <w:rFonts w:ascii="Times New Roman" w:hAnsi="Times New Roman" w:cs="Times New Roman"/>
          <w:color w:val="000000" w:themeColor="text1"/>
        </w:rPr>
      </w:pPr>
    </w:p>
    <w:p w14:paraId="2DD66626" w14:textId="2CCFC848" w:rsidR="00CB422D" w:rsidRDefault="009F065E" w:rsidP="00A84E80">
      <w:pPr>
        <w:autoSpaceDE w:val="0"/>
        <w:autoSpaceDN w:val="0"/>
        <w:adjustRightInd w:val="0"/>
        <w:spacing w:after="0" w:line="360" w:lineRule="auto"/>
        <w:ind w:firstLine="720"/>
        <w:jc w:val="both"/>
        <w:rPr>
          <w:rFonts w:ascii="Times New Roman" w:hAnsi="Times New Roman" w:cs="Times New Roman"/>
          <w:color w:val="000000" w:themeColor="text1"/>
        </w:rPr>
      </w:pPr>
      <w:r w:rsidRPr="009F065E">
        <w:rPr>
          <w:rFonts w:ascii="Times New Roman" w:hAnsi="Times New Roman" w:cs="Times New Roman"/>
          <w:color w:val="000000" w:themeColor="text1"/>
        </w:rPr>
        <w:t xml:space="preserve">Table 4 shows bivariate correlations among the main variables. It is evident that the </w:t>
      </w:r>
      <w:r w:rsidRPr="00FD7001">
        <w:rPr>
          <w:rFonts w:ascii="Times New Roman" w:hAnsi="Times New Roman" w:cs="Times New Roman"/>
          <w:i/>
          <w:color w:val="000000" w:themeColor="text1"/>
        </w:rPr>
        <w:t>CCA</w:t>
      </w:r>
      <w:r w:rsidRPr="009F065E">
        <w:rPr>
          <w:rFonts w:ascii="Times New Roman" w:hAnsi="Times New Roman" w:cs="Times New Roman"/>
          <w:color w:val="000000" w:themeColor="text1"/>
        </w:rPr>
        <w:t xml:space="preserve"> is positively correlated with </w:t>
      </w:r>
      <w:r w:rsidRPr="00FD7001">
        <w:rPr>
          <w:rFonts w:ascii="Times New Roman" w:hAnsi="Times New Roman" w:cs="Times New Roman"/>
          <w:i/>
          <w:color w:val="000000" w:themeColor="text1"/>
        </w:rPr>
        <w:t>CRI</w:t>
      </w:r>
      <w:r w:rsidR="00673FC4" w:rsidRPr="00FD7001">
        <w:rPr>
          <w:rFonts w:ascii="Times New Roman" w:hAnsi="Times New Roman" w:cs="Times New Roman"/>
          <w:i/>
          <w:color w:val="000000" w:themeColor="text1"/>
        </w:rPr>
        <w:t>s</w:t>
      </w:r>
      <w:r w:rsidRPr="009F065E">
        <w:rPr>
          <w:rFonts w:ascii="Times New Roman" w:hAnsi="Times New Roman" w:cs="Times New Roman"/>
          <w:color w:val="000000" w:themeColor="text1"/>
        </w:rPr>
        <w:t xml:space="preserve"> and negatively correlated with </w:t>
      </w:r>
      <w:r w:rsidR="00912D84">
        <w:rPr>
          <w:rFonts w:ascii="Times New Roman" w:hAnsi="Times New Roman" w:cs="Times New Roman"/>
          <w:color w:val="000000" w:themeColor="text1"/>
        </w:rPr>
        <w:t xml:space="preserve">the </w:t>
      </w:r>
      <w:r w:rsidRPr="009F065E">
        <w:rPr>
          <w:rFonts w:ascii="Times New Roman" w:hAnsi="Times New Roman" w:cs="Times New Roman"/>
          <w:color w:val="000000" w:themeColor="text1"/>
        </w:rPr>
        <w:t xml:space="preserve">GHG emissions, as expected. In addition, </w:t>
      </w:r>
      <w:r w:rsidR="00673FC4">
        <w:rPr>
          <w:rFonts w:ascii="Times New Roman" w:hAnsi="Times New Roman" w:cs="Times New Roman"/>
          <w:color w:val="000000" w:themeColor="text1"/>
        </w:rPr>
        <w:t xml:space="preserve">the </w:t>
      </w:r>
      <w:r w:rsidRPr="009F065E">
        <w:rPr>
          <w:rFonts w:ascii="Times New Roman" w:hAnsi="Times New Roman" w:cs="Times New Roman"/>
          <w:color w:val="000000" w:themeColor="text1"/>
        </w:rPr>
        <w:t xml:space="preserve">GRI-based sustainable reporting and UNGC affiliation show positive correlations with both </w:t>
      </w:r>
      <w:r w:rsidR="00673FC4">
        <w:rPr>
          <w:rFonts w:ascii="Times New Roman" w:hAnsi="Times New Roman" w:cs="Times New Roman"/>
          <w:color w:val="000000" w:themeColor="text1"/>
        </w:rPr>
        <w:t xml:space="preserve">the </w:t>
      </w:r>
      <w:r w:rsidRPr="00FD7001">
        <w:rPr>
          <w:rFonts w:ascii="Times New Roman" w:hAnsi="Times New Roman" w:cs="Times New Roman"/>
          <w:i/>
          <w:color w:val="000000" w:themeColor="text1"/>
        </w:rPr>
        <w:t>CRI</w:t>
      </w:r>
      <w:r w:rsidR="00673FC4" w:rsidRPr="00FD7001">
        <w:rPr>
          <w:rFonts w:ascii="Times New Roman" w:hAnsi="Times New Roman" w:cs="Times New Roman"/>
          <w:i/>
          <w:color w:val="000000" w:themeColor="text1"/>
        </w:rPr>
        <w:t>s</w:t>
      </w:r>
      <w:r w:rsidRPr="009F065E">
        <w:rPr>
          <w:rFonts w:ascii="Times New Roman" w:hAnsi="Times New Roman" w:cs="Times New Roman"/>
          <w:color w:val="000000" w:themeColor="text1"/>
        </w:rPr>
        <w:t xml:space="preserve"> and GHG emissions. </w:t>
      </w:r>
      <w:r w:rsidR="00AC5F77">
        <w:rPr>
          <w:rFonts w:ascii="Times New Roman" w:hAnsi="Times New Roman" w:cs="Times New Roman"/>
          <w:color w:val="000000" w:themeColor="text1"/>
        </w:rPr>
        <w:t xml:space="preserve">It is also shown that </w:t>
      </w:r>
      <w:r w:rsidR="00AE4C4C">
        <w:rPr>
          <w:rFonts w:ascii="Times New Roman" w:hAnsi="Times New Roman" w:cs="Times New Roman"/>
          <w:color w:val="000000" w:themeColor="text1"/>
        </w:rPr>
        <w:t xml:space="preserve">board independence and ESG-based compensation policy are positively correlated with </w:t>
      </w:r>
      <w:r w:rsidR="00AE4C4C" w:rsidRPr="00FD7001">
        <w:rPr>
          <w:rFonts w:ascii="Times New Roman" w:hAnsi="Times New Roman" w:cs="Times New Roman"/>
          <w:i/>
          <w:color w:val="000000" w:themeColor="text1"/>
        </w:rPr>
        <w:t>CRI</w:t>
      </w:r>
      <w:r w:rsidR="00673FC4" w:rsidRPr="00FD7001">
        <w:rPr>
          <w:rFonts w:ascii="Times New Roman" w:hAnsi="Times New Roman" w:cs="Times New Roman"/>
          <w:i/>
          <w:color w:val="000000" w:themeColor="text1"/>
        </w:rPr>
        <w:t>s</w:t>
      </w:r>
      <w:r w:rsidR="00AE4C4C">
        <w:rPr>
          <w:rFonts w:ascii="Times New Roman" w:hAnsi="Times New Roman" w:cs="Times New Roman"/>
          <w:color w:val="000000" w:themeColor="text1"/>
        </w:rPr>
        <w:t>, as expected, although they maintain similar relationships with</w:t>
      </w:r>
      <w:r w:rsidR="00673FC4">
        <w:rPr>
          <w:rFonts w:ascii="Times New Roman" w:hAnsi="Times New Roman" w:cs="Times New Roman"/>
          <w:color w:val="000000" w:themeColor="text1"/>
        </w:rPr>
        <w:t xml:space="preserve"> the</w:t>
      </w:r>
      <w:r w:rsidR="00AE4C4C">
        <w:rPr>
          <w:rFonts w:ascii="Times New Roman" w:hAnsi="Times New Roman" w:cs="Times New Roman"/>
          <w:color w:val="000000" w:themeColor="text1"/>
        </w:rPr>
        <w:t xml:space="preserve"> GHG</w:t>
      </w:r>
      <w:r w:rsidR="00673FC4">
        <w:rPr>
          <w:rFonts w:ascii="Times New Roman" w:hAnsi="Times New Roman" w:cs="Times New Roman"/>
          <w:color w:val="000000" w:themeColor="text1"/>
        </w:rPr>
        <w:t xml:space="preserve"> emissions</w:t>
      </w:r>
      <w:r w:rsidR="00AE4C4C">
        <w:rPr>
          <w:rFonts w:ascii="Times New Roman" w:hAnsi="Times New Roman" w:cs="Times New Roman"/>
          <w:color w:val="000000" w:themeColor="text1"/>
        </w:rPr>
        <w:t xml:space="preserve">. </w:t>
      </w:r>
      <w:r w:rsidR="00C26B1E">
        <w:rPr>
          <w:rFonts w:ascii="Times New Roman" w:hAnsi="Times New Roman" w:cs="Times New Roman"/>
          <w:color w:val="000000" w:themeColor="text1"/>
        </w:rPr>
        <w:t>Interestingly, firm size shows high degree of</w:t>
      </w:r>
      <w:r w:rsidR="00C54875">
        <w:rPr>
          <w:rFonts w:ascii="Times New Roman" w:hAnsi="Times New Roman" w:cs="Times New Roman"/>
          <w:color w:val="000000" w:themeColor="text1"/>
        </w:rPr>
        <w:t xml:space="preserve"> positive</w:t>
      </w:r>
      <w:r w:rsidR="00C26B1E">
        <w:rPr>
          <w:rFonts w:ascii="Times New Roman" w:hAnsi="Times New Roman" w:cs="Times New Roman"/>
          <w:color w:val="000000" w:themeColor="text1"/>
        </w:rPr>
        <w:t xml:space="preserve"> relationship with </w:t>
      </w:r>
      <w:r w:rsidR="000B134A">
        <w:rPr>
          <w:rFonts w:ascii="Times New Roman" w:hAnsi="Times New Roman" w:cs="Times New Roman"/>
          <w:color w:val="000000" w:themeColor="text1"/>
        </w:rPr>
        <w:t xml:space="preserve">the </w:t>
      </w:r>
      <w:r w:rsidR="00C26B1E">
        <w:rPr>
          <w:rFonts w:ascii="Times New Roman" w:hAnsi="Times New Roman" w:cs="Times New Roman"/>
          <w:color w:val="000000" w:themeColor="text1"/>
        </w:rPr>
        <w:t xml:space="preserve">GHG </w:t>
      </w:r>
      <w:r w:rsidR="000B134A">
        <w:rPr>
          <w:rFonts w:ascii="Times New Roman" w:hAnsi="Times New Roman" w:cs="Times New Roman"/>
          <w:color w:val="000000" w:themeColor="text1"/>
        </w:rPr>
        <w:t xml:space="preserve">emissions </w:t>
      </w:r>
      <w:r w:rsidR="00C26B1E">
        <w:rPr>
          <w:rFonts w:ascii="Times New Roman" w:hAnsi="Times New Roman" w:cs="Times New Roman"/>
          <w:color w:val="000000" w:themeColor="text1"/>
        </w:rPr>
        <w:t>and CRI</w:t>
      </w:r>
      <w:r w:rsidR="000B134A">
        <w:rPr>
          <w:rFonts w:ascii="Times New Roman" w:hAnsi="Times New Roman" w:cs="Times New Roman"/>
          <w:color w:val="000000" w:themeColor="text1"/>
        </w:rPr>
        <w:t>s</w:t>
      </w:r>
      <w:r w:rsidR="00C26B1E">
        <w:rPr>
          <w:rFonts w:ascii="Times New Roman" w:hAnsi="Times New Roman" w:cs="Times New Roman"/>
          <w:color w:val="000000" w:themeColor="text1"/>
        </w:rPr>
        <w:t xml:space="preserve">, indicating that large firms </w:t>
      </w:r>
      <w:r w:rsidR="000B134A">
        <w:rPr>
          <w:rFonts w:ascii="Times New Roman" w:hAnsi="Times New Roman" w:cs="Times New Roman"/>
          <w:color w:val="000000" w:themeColor="text1"/>
        </w:rPr>
        <w:t>are associated with</w:t>
      </w:r>
      <w:r w:rsidR="00C26B1E">
        <w:rPr>
          <w:rFonts w:ascii="Times New Roman" w:hAnsi="Times New Roman" w:cs="Times New Roman"/>
          <w:color w:val="000000" w:themeColor="text1"/>
        </w:rPr>
        <w:t xml:space="preserve"> greater carbon emissions, and </w:t>
      </w:r>
      <w:r w:rsidR="00C26B1E">
        <w:rPr>
          <w:rFonts w:ascii="Times New Roman" w:hAnsi="Times New Roman" w:cs="Times New Roman"/>
          <w:color w:val="000000" w:themeColor="text1"/>
        </w:rPr>
        <w:lastRenderedPageBreak/>
        <w:t xml:space="preserve">hence, </w:t>
      </w:r>
      <w:r w:rsidR="00AA70AF">
        <w:rPr>
          <w:rFonts w:ascii="Times New Roman" w:hAnsi="Times New Roman" w:cs="Times New Roman"/>
          <w:color w:val="000000" w:themeColor="text1"/>
        </w:rPr>
        <w:t xml:space="preserve">they </w:t>
      </w:r>
      <w:r w:rsidR="000B134A">
        <w:rPr>
          <w:rFonts w:ascii="Times New Roman" w:hAnsi="Times New Roman" w:cs="Times New Roman"/>
          <w:color w:val="000000" w:themeColor="text1"/>
        </w:rPr>
        <w:t xml:space="preserve">appear to </w:t>
      </w:r>
      <w:r w:rsidR="00AA70AF">
        <w:rPr>
          <w:rFonts w:ascii="Times New Roman" w:hAnsi="Times New Roman" w:cs="Times New Roman"/>
          <w:color w:val="000000" w:themeColor="text1"/>
        </w:rPr>
        <w:t>undertake greater</w:t>
      </w:r>
      <w:r w:rsidR="000B134A">
        <w:rPr>
          <w:rFonts w:ascii="Times New Roman" w:hAnsi="Times New Roman" w:cs="Times New Roman"/>
          <w:color w:val="000000" w:themeColor="text1"/>
        </w:rPr>
        <w:t xml:space="preserve"> number of </w:t>
      </w:r>
      <w:r w:rsidR="000B134A" w:rsidRPr="00FD7001">
        <w:rPr>
          <w:rFonts w:ascii="Times New Roman" w:hAnsi="Times New Roman" w:cs="Times New Roman"/>
          <w:i/>
          <w:color w:val="000000" w:themeColor="text1"/>
        </w:rPr>
        <w:t>CRIs</w:t>
      </w:r>
      <w:r w:rsidR="00AA70AF">
        <w:rPr>
          <w:rFonts w:ascii="Times New Roman" w:hAnsi="Times New Roman" w:cs="Times New Roman"/>
          <w:color w:val="000000" w:themeColor="text1"/>
        </w:rPr>
        <w:t xml:space="preserve"> </w:t>
      </w:r>
      <w:r w:rsidR="000B134A">
        <w:rPr>
          <w:rFonts w:ascii="Times New Roman" w:hAnsi="Times New Roman" w:cs="Times New Roman"/>
          <w:color w:val="000000" w:themeColor="text1"/>
        </w:rPr>
        <w:t>in</w:t>
      </w:r>
      <w:r w:rsidR="007F05F8">
        <w:rPr>
          <w:rFonts w:ascii="Times New Roman" w:hAnsi="Times New Roman" w:cs="Times New Roman"/>
          <w:color w:val="000000" w:themeColor="text1"/>
        </w:rPr>
        <w:t xml:space="preserve"> an apparent attempt</w:t>
      </w:r>
      <w:r w:rsidR="00AA70AF">
        <w:rPr>
          <w:rFonts w:ascii="Times New Roman" w:hAnsi="Times New Roman" w:cs="Times New Roman"/>
          <w:color w:val="000000" w:themeColor="text1"/>
        </w:rPr>
        <w:t xml:space="preserve"> to avoid negative media publicity. </w:t>
      </w:r>
    </w:p>
    <w:p w14:paraId="66071786" w14:textId="3A432AE1" w:rsidR="00C300C6" w:rsidRPr="00A84E80" w:rsidRDefault="009F065E" w:rsidP="00A84E80">
      <w:pPr>
        <w:autoSpaceDE w:val="0"/>
        <w:autoSpaceDN w:val="0"/>
        <w:adjustRightInd w:val="0"/>
        <w:spacing w:after="0" w:line="360" w:lineRule="auto"/>
        <w:ind w:firstLine="720"/>
        <w:jc w:val="both"/>
        <w:rPr>
          <w:rFonts w:ascii="Times New Roman" w:hAnsi="Times New Roman" w:cs="Times New Roman"/>
          <w:lang w:val="en-US"/>
        </w:rPr>
      </w:pPr>
      <w:r w:rsidRPr="009F065E">
        <w:rPr>
          <w:rFonts w:ascii="Times New Roman" w:hAnsi="Times New Roman" w:cs="Times New Roman"/>
          <w:color w:val="000000" w:themeColor="text1"/>
        </w:rPr>
        <w:t xml:space="preserve">Table 5 shows </w:t>
      </w:r>
      <w:r w:rsidRPr="00996327">
        <w:rPr>
          <w:rFonts w:ascii="Times New Roman" w:hAnsi="Times New Roman" w:cs="Times New Roman"/>
          <w:i/>
          <w:color w:val="000000" w:themeColor="text1"/>
        </w:rPr>
        <w:t>t-</w:t>
      </w:r>
      <w:r w:rsidRPr="009F065E">
        <w:rPr>
          <w:rFonts w:ascii="Times New Roman" w:hAnsi="Times New Roman" w:cs="Times New Roman"/>
          <w:color w:val="000000" w:themeColor="text1"/>
        </w:rPr>
        <w:t xml:space="preserve">test results of the difference in </w:t>
      </w:r>
      <w:r w:rsidRPr="00FD7001">
        <w:rPr>
          <w:rFonts w:ascii="Times New Roman" w:hAnsi="Times New Roman" w:cs="Times New Roman"/>
          <w:i/>
          <w:color w:val="000000" w:themeColor="text1"/>
        </w:rPr>
        <w:t>CRI</w:t>
      </w:r>
      <w:r w:rsidR="00A36D6D" w:rsidRPr="00FD7001">
        <w:rPr>
          <w:rFonts w:ascii="Times New Roman" w:hAnsi="Times New Roman" w:cs="Times New Roman"/>
          <w:i/>
          <w:color w:val="000000" w:themeColor="text1"/>
        </w:rPr>
        <w:t>s</w:t>
      </w:r>
      <w:r w:rsidRPr="009F065E">
        <w:rPr>
          <w:rFonts w:ascii="Times New Roman" w:hAnsi="Times New Roman" w:cs="Times New Roman"/>
          <w:color w:val="000000" w:themeColor="text1"/>
        </w:rPr>
        <w:t xml:space="preserve"> and GHG emissions between pre-and post-</w:t>
      </w:r>
      <w:r w:rsidRPr="00FD7001">
        <w:rPr>
          <w:rFonts w:ascii="Times New Roman" w:hAnsi="Times New Roman" w:cs="Times New Roman"/>
          <w:i/>
          <w:color w:val="000000" w:themeColor="text1"/>
        </w:rPr>
        <w:t>CCA</w:t>
      </w:r>
      <w:r w:rsidRPr="009F065E">
        <w:rPr>
          <w:rFonts w:ascii="Times New Roman" w:hAnsi="Times New Roman" w:cs="Times New Roman"/>
          <w:color w:val="000000" w:themeColor="text1"/>
        </w:rPr>
        <w:t xml:space="preserve"> periods. It is evident that firms demonstrate greater activisms in </w:t>
      </w:r>
      <w:r w:rsidR="004B5084" w:rsidRPr="00FD7001">
        <w:rPr>
          <w:rFonts w:ascii="Times New Roman" w:hAnsi="Times New Roman" w:cs="Times New Roman"/>
          <w:i/>
          <w:color w:val="000000" w:themeColor="text1"/>
        </w:rPr>
        <w:t>CRIs</w:t>
      </w:r>
      <w:r w:rsidRPr="009F065E">
        <w:rPr>
          <w:rFonts w:ascii="Times New Roman" w:hAnsi="Times New Roman" w:cs="Times New Roman"/>
          <w:color w:val="000000" w:themeColor="text1"/>
        </w:rPr>
        <w:t xml:space="preserve"> and lower GHG emissions during the post-</w:t>
      </w:r>
      <w:r w:rsidRPr="00FD7001">
        <w:rPr>
          <w:rFonts w:ascii="Times New Roman" w:hAnsi="Times New Roman" w:cs="Times New Roman"/>
          <w:i/>
          <w:color w:val="000000" w:themeColor="text1"/>
        </w:rPr>
        <w:t>CCA</w:t>
      </w:r>
      <w:r w:rsidRPr="009F065E">
        <w:rPr>
          <w:rFonts w:ascii="Times New Roman" w:hAnsi="Times New Roman" w:cs="Times New Roman"/>
          <w:color w:val="000000" w:themeColor="text1"/>
        </w:rPr>
        <w:t xml:space="preserve"> period, as expected. </w:t>
      </w:r>
      <w:r w:rsidRPr="009F065E">
        <w:rPr>
          <w:rFonts w:ascii="Times New Roman" w:hAnsi="Times New Roman" w:cs="Times New Roman"/>
        </w:rPr>
        <w:t xml:space="preserve">This is broadly in line with arguments of Freedman </w:t>
      </w:r>
      <w:r w:rsidR="00403C43">
        <w:rPr>
          <w:rFonts w:ascii="Times New Roman" w:hAnsi="Times New Roman" w:cs="Times New Roman"/>
        </w:rPr>
        <w:t>and</w:t>
      </w:r>
      <w:r w:rsidRPr="009F065E">
        <w:rPr>
          <w:rFonts w:ascii="Times New Roman" w:hAnsi="Times New Roman" w:cs="Times New Roman"/>
        </w:rPr>
        <w:t xml:space="preserve"> Jaggi (2011), who find that the Kyoto Protocol has a positive effect on GHG emissions of </w:t>
      </w:r>
      <w:r w:rsidR="00A36D6D">
        <w:rPr>
          <w:rFonts w:ascii="Times New Roman" w:hAnsi="Times New Roman" w:cs="Times New Roman"/>
        </w:rPr>
        <w:t xml:space="preserve">the sampled </w:t>
      </w:r>
      <w:r w:rsidRPr="009F065E">
        <w:rPr>
          <w:rFonts w:ascii="Times New Roman" w:hAnsi="Times New Roman" w:cs="Times New Roman"/>
        </w:rPr>
        <w:t xml:space="preserve">firms. </w:t>
      </w:r>
      <w:r w:rsidR="0084281F">
        <w:rPr>
          <w:rFonts w:ascii="Times New Roman" w:hAnsi="Times New Roman" w:cs="Times New Roman"/>
          <w:lang w:val="en-US"/>
        </w:rPr>
        <w:t>Chang et al.</w:t>
      </w:r>
      <w:r w:rsidR="00912D84">
        <w:rPr>
          <w:rFonts w:ascii="Times New Roman" w:hAnsi="Times New Roman" w:cs="Times New Roman"/>
          <w:lang w:val="en-US"/>
        </w:rPr>
        <w:t>,</w:t>
      </w:r>
      <w:r w:rsidR="0084281F">
        <w:rPr>
          <w:rFonts w:ascii="Times New Roman" w:hAnsi="Times New Roman" w:cs="Times New Roman"/>
          <w:lang w:val="en-US"/>
        </w:rPr>
        <w:t xml:space="preserve"> (2015) </w:t>
      </w:r>
      <w:r w:rsidR="00E25C36" w:rsidRPr="00E25C36">
        <w:rPr>
          <w:rFonts w:ascii="Times New Roman" w:hAnsi="Times New Roman" w:cs="Times New Roman"/>
          <w:lang w:val="en-US"/>
        </w:rPr>
        <w:t>also find that that the enactment of environmental policy has a greater positive effect on environmental investment of Chinese firms in polluting industries.</w:t>
      </w:r>
      <w:r w:rsidR="00CB422D">
        <w:rPr>
          <w:rFonts w:ascii="Times New Roman" w:hAnsi="Times New Roman" w:cs="Times New Roman"/>
          <w:lang w:val="en-US"/>
        </w:rPr>
        <w:t xml:space="preserve"> </w:t>
      </w:r>
      <w:r w:rsidRPr="009F065E">
        <w:rPr>
          <w:rFonts w:ascii="Times New Roman" w:hAnsi="Times New Roman" w:cs="Times New Roman"/>
          <w:color w:val="000000" w:themeColor="text1"/>
        </w:rPr>
        <w:t xml:space="preserve">The table also shows the difference in </w:t>
      </w:r>
      <w:r w:rsidRPr="00FD7001">
        <w:rPr>
          <w:rFonts w:ascii="Times New Roman" w:hAnsi="Times New Roman" w:cs="Times New Roman"/>
          <w:i/>
          <w:color w:val="000000" w:themeColor="text1"/>
        </w:rPr>
        <w:t>CRI</w:t>
      </w:r>
      <w:r w:rsidR="004B5084" w:rsidRPr="00FD7001">
        <w:rPr>
          <w:rFonts w:ascii="Times New Roman" w:hAnsi="Times New Roman" w:cs="Times New Roman"/>
          <w:i/>
          <w:color w:val="000000" w:themeColor="text1"/>
        </w:rPr>
        <w:t>s</w:t>
      </w:r>
      <w:r w:rsidRPr="009F065E">
        <w:rPr>
          <w:rFonts w:ascii="Times New Roman" w:hAnsi="Times New Roman" w:cs="Times New Roman"/>
          <w:color w:val="000000" w:themeColor="text1"/>
        </w:rPr>
        <w:t xml:space="preserve"> and GHG emissions between polluting and non-polluting industries during the post-</w:t>
      </w:r>
      <w:r w:rsidRPr="00FD7001">
        <w:rPr>
          <w:rFonts w:ascii="Times New Roman" w:hAnsi="Times New Roman" w:cs="Times New Roman"/>
          <w:i/>
          <w:color w:val="000000" w:themeColor="text1"/>
        </w:rPr>
        <w:t>CCA</w:t>
      </w:r>
      <w:r w:rsidRPr="009F065E">
        <w:rPr>
          <w:rFonts w:ascii="Times New Roman" w:hAnsi="Times New Roman" w:cs="Times New Roman"/>
          <w:color w:val="000000" w:themeColor="text1"/>
        </w:rPr>
        <w:t xml:space="preserve"> period. It is shown that firms in polluting industries show higher GHG emissions and </w:t>
      </w:r>
      <w:r w:rsidRPr="00FD7001">
        <w:rPr>
          <w:rFonts w:ascii="Times New Roman" w:hAnsi="Times New Roman" w:cs="Times New Roman"/>
          <w:i/>
          <w:color w:val="000000" w:themeColor="text1"/>
        </w:rPr>
        <w:t>CRI</w:t>
      </w:r>
      <w:r w:rsidR="004B5084" w:rsidRPr="00FD7001">
        <w:rPr>
          <w:rFonts w:ascii="Times New Roman" w:hAnsi="Times New Roman" w:cs="Times New Roman"/>
          <w:i/>
          <w:color w:val="000000" w:themeColor="text1"/>
        </w:rPr>
        <w:t>s</w:t>
      </w:r>
      <w:r w:rsidRPr="009F065E">
        <w:rPr>
          <w:rFonts w:ascii="Times New Roman" w:hAnsi="Times New Roman" w:cs="Times New Roman"/>
          <w:color w:val="000000" w:themeColor="text1"/>
        </w:rPr>
        <w:t xml:space="preserve"> than those in non-polluting industries. This is in line with Luo </w:t>
      </w:r>
      <w:r w:rsidR="007F05F8">
        <w:rPr>
          <w:rFonts w:ascii="Times New Roman" w:hAnsi="Times New Roman" w:cs="Times New Roman"/>
          <w:color w:val="000000" w:themeColor="text1"/>
        </w:rPr>
        <w:t>and</w:t>
      </w:r>
      <w:r w:rsidRPr="009F065E">
        <w:rPr>
          <w:rFonts w:ascii="Times New Roman" w:hAnsi="Times New Roman" w:cs="Times New Roman"/>
          <w:color w:val="000000" w:themeColor="text1"/>
        </w:rPr>
        <w:t xml:space="preserve"> Tang (2014), who find </w:t>
      </w:r>
      <w:r w:rsidR="00583180">
        <w:rPr>
          <w:rFonts w:ascii="Times New Roman" w:hAnsi="Times New Roman" w:cs="Times New Roman"/>
          <w:color w:val="000000" w:themeColor="text1"/>
        </w:rPr>
        <w:t xml:space="preserve">that </w:t>
      </w:r>
      <w:r w:rsidRPr="009F065E">
        <w:rPr>
          <w:rFonts w:ascii="Times New Roman" w:hAnsi="Times New Roman" w:cs="Times New Roman"/>
          <w:color w:val="000000" w:themeColor="text1"/>
        </w:rPr>
        <w:t xml:space="preserve">carbon intensive </w:t>
      </w:r>
      <w:r w:rsidRPr="009F065E">
        <w:rPr>
          <w:rFonts w:ascii="Times New Roman" w:hAnsi="Times New Roman" w:cs="Times New Roman"/>
          <w:color w:val="000000" w:themeColor="text1"/>
        </w:rPr>
        <w:lastRenderedPageBreak/>
        <w:t xml:space="preserve">sectors </w:t>
      </w:r>
      <w:r w:rsidR="00583180">
        <w:rPr>
          <w:rFonts w:ascii="Times New Roman" w:hAnsi="Times New Roman" w:cs="Times New Roman"/>
          <w:color w:val="000000" w:themeColor="text1"/>
        </w:rPr>
        <w:t>have</w:t>
      </w:r>
      <w:r w:rsidRPr="009F065E">
        <w:rPr>
          <w:rFonts w:ascii="Times New Roman" w:hAnsi="Times New Roman" w:cs="Times New Roman"/>
          <w:color w:val="000000" w:themeColor="text1"/>
        </w:rPr>
        <w:t xml:space="preserve"> greater GHG emissions. Overall, our uni</w:t>
      </w:r>
      <w:r w:rsidR="00102D83">
        <w:rPr>
          <w:rFonts w:ascii="Times New Roman" w:hAnsi="Times New Roman" w:cs="Times New Roman"/>
          <w:color w:val="000000" w:themeColor="text1"/>
        </w:rPr>
        <w:t>variate and bi</w:t>
      </w:r>
      <w:r w:rsidRPr="009F065E">
        <w:rPr>
          <w:rFonts w:ascii="Times New Roman" w:hAnsi="Times New Roman" w:cs="Times New Roman"/>
          <w:color w:val="000000" w:themeColor="text1"/>
        </w:rPr>
        <w:t>variate results tend to support our main hypothesis in relation to the</w:t>
      </w:r>
      <w:r w:rsidR="004B5084">
        <w:rPr>
          <w:rFonts w:ascii="Times New Roman" w:hAnsi="Times New Roman" w:cs="Times New Roman"/>
          <w:color w:val="000000" w:themeColor="text1"/>
        </w:rPr>
        <w:t xml:space="preserve"> potential</w:t>
      </w:r>
      <w:r w:rsidRPr="009F065E">
        <w:rPr>
          <w:rFonts w:ascii="Times New Roman" w:hAnsi="Times New Roman" w:cs="Times New Roman"/>
          <w:color w:val="000000" w:themeColor="text1"/>
        </w:rPr>
        <w:t xml:space="preserve"> effect of the </w:t>
      </w:r>
      <w:r w:rsidRPr="00FD7001">
        <w:rPr>
          <w:rFonts w:ascii="Times New Roman" w:hAnsi="Times New Roman" w:cs="Times New Roman"/>
          <w:i/>
          <w:color w:val="000000" w:themeColor="text1"/>
        </w:rPr>
        <w:t>CCA</w:t>
      </w:r>
      <w:r w:rsidRPr="009F065E">
        <w:rPr>
          <w:rFonts w:ascii="Times New Roman" w:hAnsi="Times New Roman" w:cs="Times New Roman"/>
          <w:color w:val="000000" w:themeColor="text1"/>
        </w:rPr>
        <w:t xml:space="preserve"> on </w:t>
      </w:r>
      <w:r w:rsidR="004B5084" w:rsidRPr="00FD7001">
        <w:rPr>
          <w:rFonts w:ascii="Times New Roman" w:hAnsi="Times New Roman" w:cs="Times New Roman"/>
          <w:i/>
          <w:color w:val="000000" w:themeColor="text1"/>
        </w:rPr>
        <w:t>CRIs</w:t>
      </w:r>
      <w:r w:rsidRPr="009F065E">
        <w:rPr>
          <w:rFonts w:ascii="Times New Roman" w:hAnsi="Times New Roman" w:cs="Times New Roman"/>
          <w:color w:val="000000" w:themeColor="text1"/>
        </w:rPr>
        <w:t>. However, it is imperative to analyse multivariate regression results, before drawing</w:t>
      </w:r>
      <w:r w:rsidR="00264B4F">
        <w:rPr>
          <w:rFonts w:ascii="Times New Roman" w:hAnsi="Times New Roman" w:cs="Times New Roman"/>
          <w:color w:val="000000" w:themeColor="text1"/>
        </w:rPr>
        <w:t xml:space="preserve"> firm</w:t>
      </w:r>
      <w:r w:rsidRPr="009F065E">
        <w:rPr>
          <w:rFonts w:ascii="Times New Roman" w:hAnsi="Times New Roman" w:cs="Times New Roman"/>
          <w:color w:val="000000" w:themeColor="text1"/>
        </w:rPr>
        <w:t xml:space="preserve"> statistical </w:t>
      </w:r>
      <w:r w:rsidR="00264B4F">
        <w:rPr>
          <w:rFonts w:ascii="Times New Roman" w:hAnsi="Times New Roman" w:cs="Times New Roman"/>
          <w:color w:val="000000" w:themeColor="text1"/>
        </w:rPr>
        <w:t>conclusions</w:t>
      </w:r>
      <w:r w:rsidRPr="009F065E">
        <w:rPr>
          <w:rFonts w:ascii="Times New Roman" w:hAnsi="Times New Roman" w:cs="Times New Roman"/>
          <w:color w:val="000000" w:themeColor="text1"/>
        </w:rPr>
        <w:t>.</w:t>
      </w:r>
    </w:p>
    <w:p w14:paraId="391E4B9E" w14:textId="77777777" w:rsidR="00C300C6" w:rsidRDefault="00C300C6">
      <w:pPr>
        <w:spacing w:after="0" w:line="360" w:lineRule="auto"/>
        <w:jc w:val="both"/>
        <w:rPr>
          <w:rFonts w:ascii="Times New Roman" w:hAnsi="Times New Roman" w:cs="Times New Roman"/>
          <w:color w:val="000000" w:themeColor="text1"/>
        </w:rPr>
      </w:pPr>
    </w:p>
    <w:p w14:paraId="5A47C15E" w14:textId="77777777" w:rsidR="00C300C6" w:rsidRDefault="009F065E">
      <w:pPr>
        <w:spacing w:after="0" w:line="360" w:lineRule="auto"/>
        <w:jc w:val="center"/>
        <w:rPr>
          <w:rFonts w:ascii="Times New Roman" w:hAnsi="Times New Roman" w:cs="Times New Roman"/>
          <w:color w:val="000000" w:themeColor="text1"/>
        </w:rPr>
      </w:pPr>
      <w:r w:rsidRPr="009F065E">
        <w:rPr>
          <w:rFonts w:ascii="Times New Roman" w:hAnsi="Times New Roman" w:cs="Times New Roman"/>
          <w:color w:val="000000" w:themeColor="text1"/>
        </w:rPr>
        <w:t>***Insert Table 6 about here***</w:t>
      </w:r>
    </w:p>
    <w:p w14:paraId="0DD20C3E" w14:textId="77777777" w:rsidR="00C300C6" w:rsidRDefault="00C300C6">
      <w:pPr>
        <w:spacing w:after="0" w:line="360" w:lineRule="auto"/>
        <w:jc w:val="both"/>
        <w:rPr>
          <w:rFonts w:ascii="Times New Roman" w:hAnsi="Times New Roman" w:cs="Times New Roman"/>
          <w:color w:val="000000" w:themeColor="text1"/>
        </w:rPr>
      </w:pPr>
    </w:p>
    <w:p w14:paraId="4E2C58E0" w14:textId="77777777" w:rsidR="00C300C6" w:rsidRDefault="009F065E" w:rsidP="00A84E80">
      <w:pPr>
        <w:pStyle w:val="ListParagraph"/>
        <w:numPr>
          <w:ilvl w:val="1"/>
          <w:numId w:val="1"/>
        </w:numPr>
        <w:spacing w:after="0" w:line="240" w:lineRule="auto"/>
        <w:ind w:left="450" w:hanging="450"/>
        <w:contextualSpacing w:val="0"/>
        <w:jc w:val="both"/>
        <w:rPr>
          <w:rFonts w:ascii="Times New Roman" w:hAnsi="Times New Roman" w:cs="Times New Roman"/>
          <w:i/>
          <w:color w:val="000000" w:themeColor="text1"/>
        </w:rPr>
      </w:pPr>
      <w:r w:rsidRPr="009F065E">
        <w:rPr>
          <w:rFonts w:ascii="Times New Roman" w:hAnsi="Times New Roman" w:cs="Times New Roman"/>
          <w:i/>
          <w:color w:val="000000" w:themeColor="text1"/>
        </w:rPr>
        <w:t xml:space="preserve">Multivariate results and discussion </w:t>
      </w:r>
    </w:p>
    <w:p w14:paraId="165A659D" w14:textId="77777777" w:rsidR="00C300C6" w:rsidRDefault="00C300C6" w:rsidP="00A84E80">
      <w:pPr>
        <w:spacing w:after="0" w:line="240" w:lineRule="auto"/>
        <w:jc w:val="both"/>
        <w:rPr>
          <w:rFonts w:ascii="Times New Roman" w:hAnsi="Times New Roman" w:cs="Times New Roman"/>
          <w:color w:val="000000" w:themeColor="text1"/>
        </w:rPr>
      </w:pPr>
    </w:p>
    <w:p w14:paraId="24F90284" w14:textId="3DD0C079" w:rsidR="00C300C6" w:rsidRDefault="009F065E" w:rsidP="00085810">
      <w:pPr>
        <w:pStyle w:val="FootnoteText"/>
        <w:spacing w:line="360" w:lineRule="auto"/>
        <w:ind w:firstLine="720"/>
        <w:jc w:val="both"/>
        <w:rPr>
          <w:rFonts w:ascii="Times New Roman" w:hAnsi="Times New Roman" w:cs="Times New Roman"/>
          <w:sz w:val="22"/>
          <w:szCs w:val="22"/>
          <w:lang w:val="en-US"/>
        </w:rPr>
      </w:pPr>
      <w:r w:rsidRPr="009F065E">
        <w:rPr>
          <w:rFonts w:ascii="Times New Roman" w:hAnsi="Times New Roman" w:cs="Times New Roman"/>
          <w:color w:val="000000" w:themeColor="text1"/>
          <w:sz w:val="22"/>
          <w:szCs w:val="22"/>
        </w:rPr>
        <w:t xml:space="preserve">Table 6 shows </w:t>
      </w:r>
      <w:r w:rsidRPr="009F065E">
        <w:rPr>
          <w:rFonts w:ascii="Times New Roman" w:hAnsi="Times New Roman" w:cs="Times New Roman"/>
          <w:sz w:val="22"/>
          <w:szCs w:val="22"/>
        </w:rPr>
        <w:t xml:space="preserve">two-step dynamic </w:t>
      </w:r>
      <w:r w:rsidRPr="009F065E">
        <w:rPr>
          <w:rFonts w:ascii="Times New Roman" w:hAnsi="Times New Roman" w:cs="Times New Roman"/>
          <w:color w:val="000000" w:themeColor="text1"/>
          <w:sz w:val="22"/>
          <w:szCs w:val="22"/>
        </w:rPr>
        <w:t xml:space="preserve">GMM results </w:t>
      </w:r>
      <w:r w:rsidR="00D97B08">
        <w:rPr>
          <w:rFonts w:ascii="Times New Roman" w:hAnsi="Times New Roman" w:cs="Times New Roman"/>
          <w:color w:val="000000" w:themeColor="text1"/>
          <w:sz w:val="22"/>
          <w:szCs w:val="22"/>
        </w:rPr>
        <w:t xml:space="preserve">estimated </w:t>
      </w:r>
      <w:r w:rsidRPr="009F065E">
        <w:rPr>
          <w:rFonts w:ascii="Times New Roman" w:hAnsi="Times New Roman" w:cs="Times New Roman"/>
          <w:color w:val="000000" w:themeColor="text1"/>
          <w:sz w:val="22"/>
          <w:szCs w:val="22"/>
        </w:rPr>
        <w:t xml:space="preserve">with </w:t>
      </w:r>
      <w:r w:rsidRPr="009F065E">
        <w:rPr>
          <w:rFonts w:ascii="Times New Roman" w:hAnsi="Times New Roman" w:cs="Times New Roman"/>
          <w:sz w:val="22"/>
          <w:szCs w:val="22"/>
        </w:rPr>
        <w:t xml:space="preserve">heteroskedasticity-adjusted robust standard errors. Columns 1 through </w:t>
      </w:r>
      <w:r w:rsidR="00376BE4">
        <w:rPr>
          <w:rFonts w:ascii="Times New Roman" w:hAnsi="Times New Roman" w:cs="Times New Roman"/>
          <w:sz w:val="22"/>
          <w:szCs w:val="22"/>
        </w:rPr>
        <w:t xml:space="preserve">to </w:t>
      </w:r>
      <w:r w:rsidRPr="009F065E">
        <w:rPr>
          <w:rFonts w:ascii="Times New Roman" w:hAnsi="Times New Roman" w:cs="Times New Roman"/>
          <w:sz w:val="22"/>
          <w:szCs w:val="22"/>
        </w:rPr>
        <w:t xml:space="preserve">5 show </w:t>
      </w:r>
      <w:r w:rsidR="00376BE4">
        <w:rPr>
          <w:rFonts w:ascii="Times New Roman" w:hAnsi="Times New Roman" w:cs="Times New Roman"/>
          <w:sz w:val="22"/>
          <w:szCs w:val="22"/>
        </w:rPr>
        <w:t xml:space="preserve">estimated </w:t>
      </w:r>
      <w:r w:rsidRPr="009F065E">
        <w:rPr>
          <w:rFonts w:ascii="Times New Roman" w:hAnsi="Times New Roman" w:cs="Times New Roman"/>
          <w:sz w:val="22"/>
          <w:szCs w:val="22"/>
        </w:rPr>
        <w:t xml:space="preserve">results </w:t>
      </w:r>
      <w:r w:rsidRPr="009F065E">
        <w:rPr>
          <w:rFonts w:ascii="Times New Roman" w:hAnsi="Times New Roman" w:cs="Times New Roman"/>
          <w:color w:val="000000" w:themeColor="text1"/>
          <w:sz w:val="22"/>
          <w:szCs w:val="22"/>
        </w:rPr>
        <w:t>with</w:t>
      </w:r>
      <w:r w:rsidR="00376BE4">
        <w:rPr>
          <w:rFonts w:ascii="Times New Roman" w:hAnsi="Times New Roman" w:cs="Times New Roman"/>
          <w:color w:val="000000" w:themeColor="text1"/>
          <w:sz w:val="22"/>
          <w:szCs w:val="22"/>
        </w:rPr>
        <w:t xml:space="preserve"> the</w:t>
      </w:r>
      <w:r w:rsidRPr="009F065E">
        <w:rPr>
          <w:rFonts w:ascii="Times New Roman" w:hAnsi="Times New Roman" w:cs="Times New Roman"/>
          <w:color w:val="000000" w:themeColor="text1"/>
          <w:sz w:val="22"/>
          <w:szCs w:val="22"/>
        </w:rPr>
        <w:t xml:space="preserve"> </w:t>
      </w:r>
      <w:r w:rsidR="00D153CE" w:rsidRPr="00A84E80">
        <w:rPr>
          <w:rFonts w:ascii="Times New Roman" w:hAnsi="Times New Roman" w:cs="Times New Roman"/>
          <w:i/>
          <w:iCs/>
          <w:color w:val="000000" w:themeColor="text1"/>
          <w:sz w:val="22"/>
          <w:szCs w:val="22"/>
        </w:rPr>
        <w:t>CRIs</w:t>
      </w:r>
      <w:r w:rsidR="00A84E80">
        <w:rPr>
          <w:rFonts w:ascii="Times New Roman" w:hAnsi="Times New Roman" w:cs="Times New Roman"/>
          <w:i/>
          <w:iCs/>
          <w:color w:val="000000" w:themeColor="text1"/>
          <w:sz w:val="22"/>
          <w:szCs w:val="22"/>
        </w:rPr>
        <w:t xml:space="preserve"> </w:t>
      </w:r>
      <w:r w:rsidRPr="009F065E">
        <w:rPr>
          <w:rFonts w:ascii="Times New Roman" w:hAnsi="Times New Roman" w:cs="Times New Roman"/>
          <w:color w:val="000000" w:themeColor="text1"/>
          <w:sz w:val="22"/>
          <w:szCs w:val="22"/>
        </w:rPr>
        <w:t>as the dependent variable, and columns 5 through</w:t>
      </w:r>
      <w:r w:rsidR="00376BE4">
        <w:rPr>
          <w:rFonts w:ascii="Times New Roman" w:hAnsi="Times New Roman" w:cs="Times New Roman"/>
          <w:color w:val="000000" w:themeColor="text1"/>
          <w:sz w:val="22"/>
          <w:szCs w:val="22"/>
        </w:rPr>
        <w:t xml:space="preserve"> to</w:t>
      </w:r>
      <w:r w:rsidRPr="009F065E">
        <w:rPr>
          <w:rFonts w:ascii="Times New Roman" w:hAnsi="Times New Roman" w:cs="Times New Roman"/>
          <w:color w:val="000000" w:themeColor="text1"/>
          <w:sz w:val="22"/>
          <w:szCs w:val="22"/>
        </w:rPr>
        <w:t xml:space="preserve"> 10 show estimat</w:t>
      </w:r>
      <w:r w:rsidR="00D97B08">
        <w:rPr>
          <w:rFonts w:ascii="Times New Roman" w:hAnsi="Times New Roman" w:cs="Times New Roman"/>
          <w:color w:val="000000" w:themeColor="text1"/>
          <w:sz w:val="22"/>
          <w:szCs w:val="22"/>
        </w:rPr>
        <w:t>ed</w:t>
      </w:r>
      <w:r w:rsidRPr="009F065E">
        <w:rPr>
          <w:rFonts w:ascii="Times New Roman" w:hAnsi="Times New Roman" w:cs="Times New Roman"/>
          <w:color w:val="000000" w:themeColor="text1"/>
          <w:sz w:val="22"/>
          <w:szCs w:val="22"/>
        </w:rPr>
        <w:t xml:space="preserve"> results of GHG emissions</w:t>
      </w:r>
      <w:r w:rsidR="00743BCB">
        <w:rPr>
          <w:rFonts w:ascii="Times New Roman" w:hAnsi="Times New Roman" w:cs="Times New Roman"/>
          <w:color w:val="000000" w:themeColor="text1"/>
          <w:sz w:val="22"/>
          <w:szCs w:val="22"/>
        </w:rPr>
        <w:t>, as the dependent variable</w:t>
      </w:r>
      <w:r w:rsidRPr="009F065E">
        <w:rPr>
          <w:rFonts w:ascii="Times New Roman" w:hAnsi="Times New Roman" w:cs="Times New Roman"/>
          <w:color w:val="000000" w:themeColor="text1"/>
          <w:sz w:val="22"/>
          <w:szCs w:val="22"/>
        </w:rPr>
        <w:t xml:space="preserve">. Column 1 shows </w:t>
      </w:r>
      <w:r w:rsidR="00376BE4">
        <w:rPr>
          <w:rFonts w:ascii="Times New Roman" w:hAnsi="Times New Roman" w:cs="Times New Roman"/>
          <w:color w:val="000000" w:themeColor="text1"/>
          <w:sz w:val="22"/>
          <w:szCs w:val="22"/>
        </w:rPr>
        <w:t>estimated</w:t>
      </w:r>
      <w:r w:rsidRPr="009F065E">
        <w:rPr>
          <w:rFonts w:ascii="Times New Roman" w:hAnsi="Times New Roman" w:cs="Times New Roman"/>
          <w:color w:val="000000" w:themeColor="text1"/>
          <w:sz w:val="22"/>
          <w:szCs w:val="22"/>
        </w:rPr>
        <w:t xml:space="preserve"> results </w:t>
      </w:r>
      <w:r w:rsidR="00D97B08">
        <w:rPr>
          <w:rFonts w:ascii="Times New Roman" w:hAnsi="Times New Roman" w:cs="Times New Roman"/>
          <w:color w:val="000000" w:themeColor="text1"/>
          <w:sz w:val="22"/>
          <w:szCs w:val="22"/>
        </w:rPr>
        <w:t>for the</w:t>
      </w:r>
      <w:r w:rsidRPr="009F065E">
        <w:rPr>
          <w:rFonts w:ascii="Times New Roman" w:hAnsi="Times New Roman" w:cs="Times New Roman"/>
          <w:color w:val="000000" w:themeColor="text1"/>
          <w:sz w:val="22"/>
          <w:szCs w:val="22"/>
        </w:rPr>
        <w:t xml:space="preserve"> three test variables</w:t>
      </w:r>
      <w:r w:rsidR="00376BE4">
        <w:rPr>
          <w:rFonts w:ascii="Times New Roman" w:hAnsi="Times New Roman" w:cs="Times New Roman"/>
          <w:color w:val="000000" w:themeColor="text1"/>
          <w:sz w:val="22"/>
          <w:szCs w:val="22"/>
        </w:rPr>
        <w:t>,</w:t>
      </w:r>
      <w:r w:rsidRPr="009F065E">
        <w:rPr>
          <w:rFonts w:ascii="Times New Roman" w:hAnsi="Times New Roman" w:cs="Times New Roman"/>
          <w:color w:val="000000" w:themeColor="text1"/>
          <w:sz w:val="22"/>
          <w:szCs w:val="22"/>
        </w:rPr>
        <w:t xml:space="preserve"> such as the </w:t>
      </w:r>
      <w:r w:rsidRPr="00A84E80">
        <w:rPr>
          <w:rFonts w:ascii="Times New Roman" w:hAnsi="Times New Roman" w:cs="Times New Roman"/>
          <w:i/>
          <w:iCs/>
          <w:color w:val="000000" w:themeColor="text1"/>
          <w:sz w:val="22"/>
          <w:szCs w:val="22"/>
        </w:rPr>
        <w:t>CCA, GRI, UNGC</w:t>
      </w:r>
      <w:r w:rsidRPr="009F065E">
        <w:rPr>
          <w:rFonts w:ascii="Times New Roman" w:hAnsi="Times New Roman" w:cs="Times New Roman"/>
          <w:color w:val="000000" w:themeColor="text1"/>
          <w:sz w:val="22"/>
          <w:szCs w:val="22"/>
        </w:rPr>
        <w:t xml:space="preserve"> affiliation, </w:t>
      </w:r>
      <w:r w:rsidR="00D153CE">
        <w:rPr>
          <w:rFonts w:ascii="Times New Roman" w:hAnsi="Times New Roman" w:cs="Times New Roman"/>
          <w:color w:val="000000" w:themeColor="text1"/>
          <w:sz w:val="22"/>
          <w:szCs w:val="22"/>
        </w:rPr>
        <w:t>the CG</w:t>
      </w:r>
      <w:r w:rsidRPr="009F065E">
        <w:rPr>
          <w:rFonts w:ascii="Times New Roman" w:hAnsi="Times New Roman" w:cs="Times New Roman"/>
          <w:color w:val="000000" w:themeColor="text1"/>
          <w:sz w:val="22"/>
          <w:szCs w:val="22"/>
        </w:rPr>
        <w:t xml:space="preserve"> variables</w:t>
      </w:r>
      <w:r w:rsidR="00BA0EA8">
        <w:rPr>
          <w:rFonts w:ascii="Times New Roman" w:hAnsi="Times New Roman" w:cs="Times New Roman"/>
          <w:color w:val="000000" w:themeColor="text1"/>
          <w:sz w:val="22"/>
          <w:szCs w:val="22"/>
        </w:rPr>
        <w:t>,</w:t>
      </w:r>
      <w:r w:rsidRPr="009F065E">
        <w:rPr>
          <w:rFonts w:ascii="Times New Roman" w:hAnsi="Times New Roman" w:cs="Times New Roman"/>
          <w:color w:val="000000" w:themeColor="text1"/>
          <w:sz w:val="22"/>
          <w:szCs w:val="22"/>
        </w:rPr>
        <w:t xml:space="preserve"> </w:t>
      </w:r>
      <w:r w:rsidR="00BA0EA8">
        <w:rPr>
          <w:rFonts w:ascii="Times New Roman" w:hAnsi="Times New Roman" w:cs="Times New Roman"/>
          <w:color w:val="000000" w:themeColor="text1"/>
          <w:sz w:val="22"/>
          <w:szCs w:val="22"/>
        </w:rPr>
        <w:t xml:space="preserve">including </w:t>
      </w:r>
      <w:r w:rsidRPr="009F065E">
        <w:rPr>
          <w:rFonts w:ascii="Times New Roman" w:hAnsi="Times New Roman" w:cs="Times New Roman"/>
          <w:color w:val="000000" w:themeColor="text1"/>
          <w:sz w:val="22"/>
          <w:szCs w:val="22"/>
        </w:rPr>
        <w:t>board independence (</w:t>
      </w:r>
      <w:r w:rsidRPr="00A84E80">
        <w:rPr>
          <w:rFonts w:ascii="Times New Roman" w:hAnsi="Times New Roman" w:cs="Times New Roman"/>
          <w:i/>
          <w:iCs/>
          <w:color w:val="000000" w:themeColor="text1"/>
          <w:sz w:val="22"/>
          <w:szCs w:val="22"/>
        </w:rPr>
        <w:t>Ind_Dir</w:t>
      </w:r>
      <w:r w:rsidRPr="009F065E">
        <w:rPr>
          <w:rFonts w:ascii="Times New Roman" w:hAnsi="Times New Roman" w:cs="Times New Roman"/>
          <w:color w:val="000000" w:themeColor="text1"/>
          <w:sz w:val="22"/>
          <w:szCs w:val="22"/>
        </w:rPr>
        <w:t xml:space="preserve">), </w:t>
      </w:r>
      <w:r w:rsidR="005F0C0A">
        <w:rPr>
          <w:rFonts w:ascii="Times New Roman" w:hAnsi="Times New Roman" w:cs="Times New Roman"/>
          <w:color w:val="000000" w:themeColor="text1"/>
          <w:sz w:val="22"/>
          <w:szCs w:val="22"/>
        </w:rPr>
        <w:t xml:space="preserve">board size, CEO duality, </w:t>
      </w:r>
      <w:r w:rsidRPr="009F065E">
        <w:rPr>
          <w:rFonts w:ascii="Times New Roman" w:hAnsi="Times New Roman" w:cs="Times New Roman"/>
          <w:color w:val="000000" w:themeColor="text1"/>
          <w:sz w:val="22"/>
          <w:szCs w:val="22"/>
        </w:rPr>
        <w:t>executive compensation (</w:t>
      </w:r>
      <w:r w:rsidRPr="00A84E80">
        <w:rPr>
          <w:rFonts w:ascii="Times New Roman" w:hAnsi="Times New Roman" w:cs="Times New Roman"/>
          <w:i/>
          <w:iCs/>
          <w:color w:val="000000" w:themeColor="text1"/>
          <w:sz w:val="22"/>
          <w:szCs w:val="22"/>
        </w:rPr>
        <w:t>Exec_Comp</w:t>
      </w:r>
      <w:r w:rsidRPr="009F065E">
        <w:rPr>
          <w:rFonts w:ascii="Times New Roman" w:hAnsi="Times New Roman" w:cs="Times New Roman"/>
          <w:color w:val="000000" w:themeColor="text1"/>
          <w:sz w:val="22"/>
          <w:szCs w:val="22"/>
        </w:rPr>
        <w:t xml:space="preserve">), ESG-based compensation </w:t>
      </w:r>
      <w:r w:rsidRPr="009F065E">
        <w:rPr>
          <w:rFonts w:ascii="Times New Roman" w:hAnsi="Times New Roman" w:cs="Times New Roman"/>
          <w:color w:val="000000" w:themeColor="text1"/>
          <w:sz w:val="22"/>
          <w:szCs w:val="22"/>
        </w:rPr>
        <w:lastRenderedPageBreak/>
        <w:t>(</w:t>
      </w:r>
      <w:r w:rsidRPr="00A84E80">
        <w:rPr>
          <w:rFonts w:ascii="Times New Roman" w:hAnsi="Times New Roman" w:cs="Times New Roman"/>
          <w:i/>
          <w:iCs/>
          <w:color w:val="000000" w:themeColor="text1"/>
          <w:sz w:val="22"/>
          <w:szCs w:val="22"/>
        </w:rPr>
        <w:t>ESG_Comp</w:t>
      </w:r>
      <w:r w:rsidRPr="009F065E">
        <w:rPr>
          <w:rFonts w:ascii="Times New Roman" w:hAnsi="Times New Roman" w:cs="Times New Roman"/>
          <w:color w:val="000000" w:themeColor="text1"/>
          <w:sz w:val="22"/>
          <w:szCs w:val="22"/>
        </w:rPr>
        <w:t xml:space="preserve">), and other control variables. </w:t>
      </w:r>
      <w:r w:rsidR="00085810">
        <w:rPr>
          <w:rFonts w:ascii="Times New Roman" w:hAnsi="Times New Roman" w:cs="Times New Roman"/>
          <w:color w:val="000000" w:themeColor="text1"/>
          <w:sz w:val="22"/>
          <w:szCs w:val="22"/>
        </w:rPr>
        <w:t>Observably, t</w:t>
      </w:r>
      <w:r w:rsidR="00EB7956">
        <w:rPr>
          <w:rFonts w:ascii="Times New Roman" w:hAnsi="Times New Roman" w:cs="Times New Roman"/>
          <w:color w:val="000000" w:themeColor="text1"/>
          <w:sz w:val="22"/>
          <w:szCs w:val="22"/>
        </w:rPr>
        <w:t>he results</w:t>
      </w:r>
      <w:r w:rsidRPr="009F065E">
        <w:rPr>
          <w:rFonts w:ascii="Times New Roman" w:hAnsi="Times New Roman" w:cs="Times New Roman"/>
          <w:color w:val="000000" w:themeColor="text1"/>
          <w:sz w:val="22"/>
          <w:szCs w:val="22"/>
        </w:rPr>
        <w:t xml:space="preserve"> </w:t>
      </w:r>
      <w:r w:rsidR="00BA0EA8">
        <w:rPr>
          <w:rFonts w:ascii="Times New Roman" w:hAnsi="Times New Roman" w:cs="Times New Roman"/>
          <w:color w:val="000000" w:themeColor="text1"/>
          <w:sz w:val="22"/>
          <w:szCs w:val="22"/>
        </w:rPr>
        <w:t xml:space="preserve">show </w:t>
      </w:r>
      <w:r w:rsidRPr="009F065E">
        <w:rPr>
          <w:rFonts w:ascii="Times New Roman" w:hAnsi="Times New Roman" w:cs="Times New Roman"/>
          <w:color w:val="000000" w:themeColor="text1"/>
          <w:sz w:val="22"/>
          <w:szCs w:val="22"/>
        </w:rPr>
        <w:t xml:space="preserve">that </w:t>
      </w:r>
      <w:r w:rsidRPr="00A84E80">
        <w:rPr>
          <w:rFonts w:ascii="Times New Roman" w:hAnsi="Times New Roman" w:cs="Times New Roman"/>
          <w:i/>
          <w:iCs/>
          <w:color w:val="000000" w:themeColor="text1"/>
          <w:sz w:val="22"/>
          <w:szCs w:val="22"/>
        </w:rPr>
        <w:t>CCA, GRI</w:t>
      </w:r>
      <w:r w:rsidRPr="009F065E">
        <w:rPr>
          <w:rFonts w:ascii="Times New Roman" w:hAnsi="Times New Roman" w:cs="Times New Roman"/>
          <w:color w:val="000000" w:themeColor="text1"/>
          <w:sz w:val="22"/>
          <w:szCs w:val="22"/>
        </w:rPr>
        <w:t xml:space="preserve"> and </w:t>
      </w:r>
      <w:r w:rsidRPr="00A84E80">
        <w:rPr>
          <w:rFonts w:ascii="Times New Roman" w:hAnsi="Times New Roman" w:cs="Times New Roman"/>
          <w:i/>
          <w:iCs/>
          <w:color w:val="000000" w:themeColor="text1"/>
          <w:sz w:val="22"/>
          <w:szCs w:val="22"/>
        </w:rPr>
        <w:t>UNGC</w:t>
      </w:r>
      <w:r w:rsidRPr="009F065E">
        <w:rPr>
          <w:rFonts w:ascii="Times New Roman" w:hAnsi="Times New Roman" w:cs="Times New Roman"/>
          <w:color w:val="000000" w:themeColor="text1"/>
          <w:sz w:val="22"/>
          <w:szCs w:val="22"/>
        </w:rPr>
        <w:t xml:space="preserve"> are positively associated with </w:t>
      </w:r>
      <w:r w:rsidRPr="00A84E80">
        <w:rPr>
          <w:rFonts w:ascii="Times New Roman" w:hAnsi="Times New Roman" w:cs="Times New Roman"/>
          <w:i/>
          <w:iCs/>
          <w:color w:val="000000" w:themeColor="text1"/>
          <w:sz w:val="22"/>
          <w:szCs w:val="22"/>
        </w:rPr>
        <w:t xml:space="preserve">CRI </w:t>
      </w:r>
      <w:r w:rsidRPr="009F065E">
        <w:rPr>
          <w:rFonts w:ascii="Times New Roman" w:hAnsi="Times New Roman" w:cs="Times New Roman"/>
          <w:color w:val="000000" w:themeColor="text1"/>
          <w:sz w:val="22"/>
          <w:szCs w:val="22"/>
        </w:rPr>
        <w:t>index, as expected</w:t>
      </w:r>
      <w:r w:rsidRPr="009F065E">
        <w:rPr>
          <w:rFonts w:ascii="Times New Roman" w:hAnsi="Times New Roman" w:cs="Times New Roman"/>
          <w:sz w:val="22"/>
          <w:szCs w:val="22"/>
          <w:lang w:val="en-US"/>
        </w:rPr>
        <w:t xml:space="preserve">. </w:t>
      </w:r>
      <w:r w:rsidRPr="009F065E">
        <w:rPr>
          <w:rFonts w:ascii="Times New Roman" w:hAnsi="Times New Roman" w:cs="Times New Roman"/>
          <w:color w:val="000000" w:themeColor="text1"/>
          <w:sz w:val="22"/>
          <w:szCs w:val="22"/>
        </w:rPr>
        <w:t xml:space="preserve">In addition, </w:t>
      </w:r>
      <w:r w:rsidRPr="001F0BD3">
        <w:rPr>
          <w:rFonts w:ascii="Times New Roman" w:hAnsi="Times New Roman" w:cs="Times New Roman"/>
          <w:i/>
          <w:color w:val="000000" w:themeColor="text1"/>
          <w:sz w:val="22"/>
          <w:szCs w:val="22"/>
        </w:rPr>
        <w:t>Ind_Dir</w:t>
      </w:r>
      <w:r w:rsidRPr="009F065E">
        <w:rPr>
          <w:rFonts w:ascii="Times New Roman" w:hAnsi="Times New Roman" w:cs="Times New Roman"/>
          <w:color w:val="000000" w:themeColor="text1"/>
          <w:sz w:val="22"/>
          <w:szCs w:val="22"/>
        </w:rPr>
        <w:t xml:space="preserve">, </w:t>
      </w:r>
      <w:r w:rsidRPr="001F0BD3">
        <w:rPr>
          <w:rFonts w:ascii="Times New Roman" w:hAnsi="Times New Roman" w:cs="Times New Roman"/>
          <w:i/>
          <w:color w:val="000000" w:themeColor="text1"/>
          <w:sz w:val="22"/>
          <w:szCs w:val="22"/>
        </w:rPr>
        <w:t>Exec_Comp</w:t>
      </w:r>
      <w:r w:rsidRPr="009F065E">
        <w:rPr>
          <w:rFonts w:ascii="Times New Roman" w:hAnsi="Times New Roman" w:cs="Times New Roman"/>
          <w:color w:val="000000" w:themeColor="text1"/>
          <w:sz w:val="22"/>
          <w:szCs w:val="22"/>
        </w:rPr>
        <w:t xml:space="preserve"> and </w:t>
      </w:r>
      <w:r w:rsidRPr="001F0BD3">
        <w:rPr>
          <w:rFonts w:ascii="Times New Roman" w:hAnsi="Times New Roman" w:cs="Times New Roman"/>
          <w:i/>
          <w:color w:val="000000" w:themeColor="text1"/>
          <w:sz w:val="22"/>
          <w:szCs w:val="22"/>
        </w:rPr>
        <w:t>ESG_Comp</w:t>
      </w:r>
      <w:r w:rsidRPr="009F065E">
        <w:rPr>
          <w:rFonts w:ascii="Times New Roman" w:hAnsi="Times New Roman" w:cs="Times New Roman"/>
          <w:color w:val="000000" w:themeColor="text1"/>
          <w:sz w:val="22"/>
          <w:szCs w:val="22"/>
        </w:rPr>
        <w:t xml:space="preserve"> show positive relationships with </w:t>
      </w:r>
      <w:r w:rsidRPr="00A84E80">
        <w:rPr>
          <w:rFonts w:ascii="Times New Roman" w:hAnsi="Times New Roman" w:cs="Times New Roman"/>
          <w:i/>
          <w:iCs/>
          <w:color w:val="000000" w:themeColor="text1"/>
          <w:sz w:val="22"/>
          <w:szCs w:val="22"/>
        </w:rPr>
        <w:t>CRI,</w:t>
      </w:r>
      <w:r w:rsidRPr="009F065E">
        <w:rPr>
          <w:rFonts w:ascii="Times New Roman" w:hAnsi="Times New Roman" w:cs="Times New Roman"/>
          <w:color w:val="000000" w:themeColor="text1"/>
          <w:sz w:val="22"/>
          <w:szCs w:val="22"/>
        </w:rPr>
        <w:t xml:space="preserve"> although </w:t>
      </w:r>
      <w:r w:rsidR="00721B52">
        <w:rPr>
          <w:rFonts w:ascii="Times New Roman" w:hAnsi="Times New Roman" w:cs="Times New Roman"/>
          <w:color w:val="000000" w:themeColor="text1"/>
          <w:sz w:val="22"/>
          <w:szCs w:val="22"/>
        </w:rPr>
        <w:t>board size, CEO duality</w:t>
      </w:r>
      <w:r w:rsidR="00EA0FA9">
        <w:rPr>
          <w:rFonts w:ascii="Times New Roman" w:hAnsi="Times New Roman" w:cs="Times New Roman"/>
          <w:color w:val="000000" w:themeColor="text1"/>
          <w:sz w:val="22"/>
          <w:szCs w:val="22"/>
        </w:rPr>
        <w:t xml:space="preserve"> </w:t>
      </w:r>
      <w:r w:rsidR="005C7ED9">
        <w:rPr>
          <w:rFonts w:ascii="Times New Roman" w:hAnsi="Times New Roman" w:cs="Times New Roman"/>
          <w:color w:val="000000" w:themeColor="text1"/>
          <w:sz w:val="22"/>
          <w:szCs w:val="22"/>
        </w:rPr>
        <w:t xml:space="preserve">and </w:t>
      </w:r>
      <w:r w:rsidR="00721B52">
        <w:rPr>
          <w:rFonts w:ascii="Times New Roman" w:hAnsi="Times New Roman" w:cs="Times New Roman"/>
          <w:color w:val="000000" w:themeColor="text1"/>
          <w:sz w:val="22"/>
          <w:szCs w:val="22"/>
        </w:rPr>
        <w:t xml:space="preserve">the </w:t>
      </w:r>
      <w:r w:rsidRPr="009F065E">
        <w:rPr>
          <w:rFonts w:ascii="Times New Roman" w:hAnsi="Times New Roman" w:cs="Times New Roman"/>
          <w:color w:val="000000" w:themeColor="text1"/>
          <w:sz w:val="22"/>
          <w:szCs w:val="22"/>
        </w:rPr>
        <w:t xml:space="preserve">control variables show statistically insignificant results. Column 2 shows similar </w:t>
      </w:r>
      <w:r w:rsidR="00085810">
        <w:rPr>
          <w:rFonts w:ascii="Times New Roman" w:hAnsi="Times New Roman" w:cs="Times New Roman"/>
          <w:color w:val="000000" w:themeColor="text1"/>
          <w:sz w:val="22"/>
          <w:szCs w:val="22"/>
        </w:rPr>
        <w:t>estimated</w:t>
      </w:r>
      <w:r w:rsidR="00085810" w:rsidRPr="009F065E">
        <w:rPr>
          <w:rFonts w:ascii="Times New Roman" w:hAnsi="Times New Roman" w:cs="Times New Roman"/>
          <w:color w:val="000000" w:themeColor="text1"/>
          <w:sz w:val="22"/>
          <w:szCs w:val="22"/>
        </w:rPr>
        <w:t xml:space="preserve"> </w:t>
      </w:r>
      <w:r w:rsidRPr="009F065E">
        <w:rPr>
          <w:rFonts w:ascii="Times New Roman" w:hAnsi="Times New Roman" w:cs="Times New Roman"/>
          <w:color w:val="000000" w:themeColor="text1"/>
          <w:sz w:val="22"/>
          <w:szCs w:val="22"/>
        </w:rPr>
        <w:t>results with the first lag of GHG emissions (</w:t>
      </w:r>
      <w:r w:rsidRPr="00A84E80">
        <w:rPr>
          <w:rFonts w:ascii="Times New Roman" w:hAnsi="Times New Roman" w:cs="Times New Roman"/>
          <w:i/>
          <w:iCs/>
          <w:color w:val="000000" w:themeColor="text1"/>
          <w:sz w:val="22"/>
          <w:szCs w:val="22"/>
        </w:rPr>
        <w:t>Lag_GHG</w:t>
      </w:r>
      <w:r w:rsidRPr="009F065E">
        <w:rPr>
          <w:rFonts w:ascii="Times New Roman" w:hAnsi="Times New Roman" w:cs="Times New Roman"/>
          <w:color w:val="000000" w:themeColor="text1"/>
          <w:sz w:val="22"/>
          <w:szCs w:val="22"/>
        </w:rPr>
        <w:t>) as an additional control variable. The estimat</w:t>
      </w:r>
      <w:r w:rsidR="00D97B08">
        <w:rPr>
          <w:rFonts w:ascii="Times New Roman" w:hAnsi="Times New Roman" w:cs="Times New Roman"/>
          <w:color w:val="000000" w:themeColor="text1"/>
          <w:sz w:val="22"/>
          <w:szCs w:val="22"/>
        </w:rPr>
        <w:t>ed</w:t>
      </w:r>
      <w:r w:rsidRPr="009F065E">
        <w:rPr>
          <w:rFonts w:ascii="Times New Roman" w:hAnsi="Times New Roman" w:cs="Times New Roman"/>
          <w:color w:val="000000" w:themeColor="text1"/>
          <w:sz w:val="22"/>
          <w:szCs w:val="22"/>
        </w:rPr>
        <w:t xml:space="preserve"> results </w:t>
      </w:r>
      <w:r w:rsidR="00D97B08">
        <w:rPr>
          <w:rFonts w:ascii="Times New Roman" w:hAnsi="Times New Roman" w:cs="Times New Roman"/>
          <w:color w:val="000000" w:themeColor="text1"/>
          <w:sz w:val="22"/>
          <w:szCs w:val="22"/>
        </w:rPr>
        <w:t>for the</w:t>
      </w:r>
      <w:r w:rsidRPr="009F065E">
        <w:rPr>
          <w:rFonts w:ascii="Times New Roman" w:hAnsi="Times New Roman" w:cs="Times New Roman"/>
          <w:color w:val="000000" w:themeColor="text1"/>
          <w:sz w:val="22"/>
          <w:szCs w:val="22"/>
        </w:rPr>
        <w:t xml:space="preserve"> </w:t>
      </w:r>
      <w:r w:rsidRPr="00A84E80">
        <w:rPr>
          <w:rFonts w:ascii="Times New Roman" w:hAnsi="Times New Roman" w:cs="Times New Roman"/>
          <w:i/>
          <w:iCs/>
          <w:color w:val="000000" w:themeColor="text1"/>
          <w:sz w:val="22"/>
          <w:szCs w:val="22"/>
        </w:rPr>
        <w:t>CCA, GRI</w:t>
      </w:r>
      <w:r w:rsidRPr="009F065E">
        <w:rPr>
          <w:rFonts w:ascii="Times New Roman" w:hAnsi="Times New Roman" w:cs="Times New Roman"/>
          <w:color w:val="000000" w:themeColor="text1"/>
          <w:sz w:val="22"/>
          <w:szCs w:val="22"/>
        </w:rPr>
        <w:t xml:space="preserve">, </w:t>
      </w:r>
      <w:r w:rsidRPr="00A84E80">
        <w:rPr>
          <w:rFonts w:ascii="Times New Roman" w:hAnsi="Times New Roman" w:cs="Times New Roman"/>
          <w:i/>
          <w:iCs/>
          <w:color w:val="000000" w:themeColor="text1"/>
          <w:sz w:val="22"/>
          <w:szCs w:val="22"/>
        </w:rPr>
        <w:t>Exec_Comp</w:t>
      </w:r>
      <w:r w:rsidRPr="009F065E">
        <w:rPr>
          <w:rFonts w:ascii="Times New Roman" w:hAnsi="Times New Roman" w:cs="Times New Roman"/>
          <w:color w:val="000000" w:themeColor="text1"/>
          <w:sz w:val="22"/>
          <w:szCs w:val="22"/>
        </w:rPr>
        <w:t xml:space="preserve"> and </w:t>
      </w:r>
      <w:r w:rsidRPr="00A84E80">
        <w:rPr>
          <w:rFonts w:ascii="Times New Roman" w:hAnsi="Times New Roman" w:cs="Times New Roman"/>
          <w:i/>
          <w:iCs/>
          <w:color w:val="000000" w:themeColor="text1"/>
          <w:sz w:val="22"/>
          <w:szCs w:val="22"/>
        </w:rPr>
        <w:t>Ind_Dir</w:t>
      </w:r>
      <w:r w:rsidRPr="009F065E">
        <w:rPr>
          <w:rFonts w:ascii="Times New Roman" w:hAnsi="Times New Roman" w:cs="Times New Roman"/>
          <w:color w:val="000000" w:themeColor="text1"/>
          <w:sz w:val="22"/>
          <w:szCs w:val="22"/>
        </w:rPr>
        <w:t xml:space="preserve"> remain unchanged, although </w:t>
      </w:r>
      <w:r w:rsidR="00BF230B" w:rsidRPr="00A84E80">
        <w:rPr>
          <w:rFonts w:ascii="Times New Roman" w:hAnsi="Times New Roman" w:cs="Times New Roman"/>
          <w:i/>
          <w:iCs/>
          <w:color w:val="000000" w:themeColor="text1"/>
          <w:sz w:val="22"/>
          <w:szCs w:val="22"/>
        </w:rPr>
        <w:t>ESG_Comp</w:t>
      </w:r>
      <w:r w:rsidR="00BF230B" w:rsidRPr="009F065E">
        <w:rPr>
          <w:rFonts w:ascii="Times New Roman" w:hAnsi="Times New Roman" w:cs="Times New Roman"/>
          <w:color w:val="000000" w:themeColor="text1"/>
          <w:sz w:val="22"/>
          <w:szCs w:val="22"/>
        </w:rPr>
        <w:t xml:space="preserve"> </w:t>
      </w:r>
      <w:r w:rsidR="00E63C06">
        <w:rPr>
          <w:rFonts w:ascii="Times New Roman" w:hAnsi="Times New Roman" w:cs="Times New Roman"/>
          <w:color w:val="000000" w:themeColor="text1"/>
          <w:sz w:val="22"/>
          <w:szCs w:val="22"/>
        </w:rPr>
        <w:t xml:space="preserve">shows weaker </w:t>
      </w:r>
      <w:r w:rsidR="005E7222">
        <w:rPr>
          <w:rFonts w:ascii="Times New Roman" w:hAnsi="Times New Roman" w:cs="Times New Roman"/>
          <w:color w:val="000000" w:themeColor="text1"/>
          <w:sz w:val="22"/>
          <w:szCs w:val="22"/>
        </w:rPr>
        <w:t xml:space="preserve">results (significant at 10% level), </w:t>
      </w:r>
      <w:r w:rsidR="00E35CC6">
        <w:rPr>
          <w:rFonts w:ascii="Times New Roman" w:hAnsi="Times New Roman" w:cs="Times New Roman"/>
          <w:color w:val="000000" w:themeColor="text1"/>
          <w:sz w:val="22"/>
          <w:szCs w:val="22"/>
        </w:rPr>
        <w:t xml:space="preserve">and </w:t>
      </w:r>
      <w:r w:rsidRPr="00A84E80">
        <w:rPr>
          <w:rFonts w:ascii="Times New Roman" w:hAnsi="Times New Roman" w:cs="Times New Roman"/>
          <w:i/>
          <w:iCs/>
          <w:color w:val="000000" w:themeColor="text1"/>
          <w:sz w:val="22"/>
          <w:szCs w:val="22"/>
        </w:rPr>
        <w:t>UNGC</w:t>
      </w:r>
      <w:r w:rsidRPr="009F065E">
        <w:rPr>
          <w:rFonts w:ascii="Times New Roman" w:hAnsi="Times New Roman" w:cs="Times New Roman"/>
          <w:color w:val="000000" w:themeColor="text1"/>
          <w:sz w:val="22"/>
          <w:szCs w:val="22"/>
        </w:rPr>
        <w:t xml:space="preserve"> </w:t>
      </w:r>
      <w:r w:rsidR="00E35CC6">
        <w:rPr>
          <w:rFonts w:ascii="Times New Roman" w:hAnsi="Times New Roman" w:cs="Times New Roman"/>
          <w:color w:val="000000" w:themeColor="text1"/>
          <w:sz w:val="22"/>
          <w:szCs w:val="22"/>
        </w:rPr>
        <w:t>show</w:t>
      </w:r>
      <w:r w:rsidR="005E7222">
        <w:rPr>
          <w:rFonts w:ascii="Times New Roman" w:hAnsi="Times New Roman" w:cs="Times New Roman"/>
          <w:color w:val="000000" w:themeColor="text1"/>
          <w:sz w:val="22"/>
          <w:szCs w:val="22"/>
        </w:rPr>
        <w:t>s</w:t>
      </w:r>
      <w:r w:rsidR="00E35CC6">
        <w:rPr>
          <w:rFonts w:ascii="Times New Roman" w:hAnsi="Times New Roman" w:cs="Times New Roman"/>
          <w:color w:val="000000" w:themeColor="text1"/>
          <w:sz w:val="22"/>
          <w:szCs w:val="22"/>
        </w:rPr>
        <w:t xml:space="preserve"> </w:t>
      </w:r>
      <w:r w:rsidRPr="009F065E">
        <w:rPr>
          <w:rFonts w:ascii="Times New Roman" w:hAnsi="Times New Roman" w:cs="Times New Roman"/>
          <w:color w:val="000000" w:themeColor="text1"/>
          <w:sz w:val="22"/>
          <w:szCs w:val="22"/>
        </w:rPr>
        <w:t xml:space="preserve">statistically insignificant </w:t>
      </w:r>
      <w:r w:rsidR="00E35CC6">
        <w:rPr>
          <w:rFonts w:ascii="Times New Roman" w:hAnsi="Times New Roman" w:cs="Times New Roman"/>
          <w:color w:val="000000" w:themeColor="text1"/>
          <w:sz w:val="22"/>
          <w:szCs w:val="22"/>
        </w:rPr>
        <w:t>results</w:t>
      </w:r>
      <w:r w:rsidRPr="009F065E">
        <w:rPr>
          <w:rFonts w:ascii="Times New Roman" w:hAnsi="Times New Roman" w:cs="Times New Roman"/>
          <w:color w:val="000000" w:themeColor="text1"/>
          <w:sz w:val="22"/>
          <w:szCs w:val="22"/>
        </w:rPr>
        <w:t xml:space="preserve">. </w:t>
      </w:r>
    </w:p>
    <w:p w14:paraId="7FE24A8E" w14:textId="7B113CEF" w:rsidR="00C300C6" w:rsidRDefault="009F065E" w:rsidP="005F7D36">
      <w:pPr>
        <w:spacing w:after="0" w:line="360" w:lineRule="auto"/>
        <w:ind w:firstLine="720"/>
        <w:jc w:val="both"/>
        <w:rPr>
          <w:rFonts w:ascii="Times New Roman" w:hAnsi="Times New Roman" w:cs="Times New Roman"/>
          <w:color w:val="000000" w:themeColor="text1"/>
        </w:rPr>
      </w:pPr>
      <w:r w:rsidRPr="009F065E">
        <w:rPr>
          <w:rFonts w:ascii="Times New Roman" w:hAnsi="Times New Roman" w:cs="Times New Roman"/>
          <w:color w:val="000000" w:themeColor="text1"/>
        </w:rPr>
        <w:t xml:space="preserve">In order to examine the effect of the interaction between </w:t>
      </w:r>
      <w:r w:rsidRPr="00A84E80">
        <w:rPr>
          <w:rFonts w:ascii="Times New Roman" w:hAnsi="Times New Roman" w:cs="Times New Roman"/>
          <w:i/>
          <w:iCs/>
          <w:color w:val="000000" w:themeColor="text1"/>
        </w:rPr>
        <w:t>CCA</w:t>
      </w:r>
      <w:r w:rsidRPr="009F065E">
        <w:rPr>
          <w:rFonts w:ascii="Times New Roman" w:hAnsi="Times New Roman" w:cs="Times New Roman"/>
          <w:color w:val="000000" w:themeColor="text1"/>
        </w:rPr>
        <w:t xml:space="preserve"> and </w:t>
      </w:r>
      <w:r w:rsidR="0030640E">
        <w:rPr>
          <w:rFonts w:ascii="Times New Roman" w:hAnsi="Times New Roman" w:cs="Times New Roman"/>
          <w:color w:val="000000" w:themeColor="text1"/>
        </w:rPr>
        <w:t xml:space="preserve">the </w:t>
      </w:r>
      <w:r w:rsidRPr="009F065E">
        <w:rPr>
          <w:rFonts w:ascii="Times New Roman" w:hAnsi="Times New Roman" w:cs="Times New Roman"/>
          <w:color w:val="000000" w:themeColor="text1"/>
        </w:rPr>
        <w:t xml:space="preserve">internal </w:t>
      </w:r>
      <w:r w:rsidR="00671959">
        <w:rPr>
          <w:rFonts w:ascii="Times New Roman" w:hAnsi="Times New Roman" w:cs="Times New Roman"/>
          <w:color w:val="000000" w:themeColor="text1"/>
        </w:rPr>
        <w:t>CG</w:t>
      </w:r>
      <w:r w:rsidRPr="009F065E">
        <w:rPr>
          <w:rFonts w:ascii="Times New Roman" w:hAnsi="Times New Roman" w:cs="Times New Roman"/>
          <w:color w:val="000000" w:themeColor="text1"/>
        </w:rPr>
        <w:t xml:space="preserve"> mechanism</w:t>
      </w:r>
      <w:r w:rsidR="0030640E">
        <w:rPr>
          <w:rFonts w:ascii="Times New Roman" w:hAnsi="Times New Roman" w:cs="Times New Roman"/>
          <w:color w:val="000000" w:themeColor="text1"/>
        </w:rPr>
        <w:t>s</w:t>
      </w:r>
      <w:r w:rsidRPr="009F065E">
        <w:rPr>
          <w:rFonts w:ascii="Times New Roman" w:hAnsi="Times New Roman" w:cs="Times New Roman"/>
          <w:color w:val="000000" w:themeColor="text1"/>
        </w:rPr>
        <w:t xml:space="preserve">, </w:t>
      </w:r>
      <w:r w:rsidR="00F71B27">
        <w:rPr>
          <w:rFonts w:ascii="Times New Roman" w:hAnsi="Times New Roman" w:cs="Times New Roman"/>
          <w:color w:val="000000" w:themeColor="text1"/>
        </w:rPr>
        <w:t xml:space="preserve">we also estimate </w:t>
      </w:r>
      <w:r w:rsidRPr="00D96D3F">
        <w:rPr>
          <w:rFonts w:ascii="Times New Roman" w:hAnsi="Times New Roman" w:cs="Times New Roman"/>
          <w:color w:val="000000" w:themeColor="text1"/>
        </w:rPr>
        <w:t>Eq</w:t>
      </w:r>
      <w:r w:rsidR="00F71B27" w:rsidRPr="00D96D3F">
        <w:rPr>
          <w:rFonts w:ascii="Times New Roman" w:hAnsi="Times New Roman" w:cs="Times New Roman"/>
          <w:color w:val="000000" w:themeColor="text1"/>
        </w:rPr>
        <w:t>s</w:t>
      </w:r>
      <w:r w:rsidRPr="00D96D3F">
        <w:rPr>
          <w:rFonts w:ascii="Times New Roman" w:hAnsi="Times New Roman" w:cs="Times New Roman"/>
          <w:color w:val="000000" w:themeColor="text1"/>
        </w:rPr>
        <w:t>.</w:t>
      </w:r>
      <w:r w:rsidR="00FA6A82">
        <w:rPr>
          <w:rFonts w:ascii="Times New Roman" w:hAnsi="Times New Roman" w:cs="Times New Roman"/>
          <w:color w:val="000000" w:themeColor="text1"/>
        </w:rPr>
        <w:t xml:space="preserve"> </w:t>
      </w:r>
      <w:r w:rsidRPr="00D96D3F">
        <w:rPr>
          <w:rFonts w:ascii="Times New Roman" w:hAnsi="Times New Roman" w:cs="Times New Roman"/>
          <w:color w:val="000000" w:themeColor="text1"/>
        </w:rPr>
        <w:t>(</w:t>
      </w:r>
      <w:r w:rsidR="00F71B27" w:rsidRPr="00D96D3F">
        <w:rPr>
          <w:rFonts w:ascii="Times New Roman" w:hAnsi="Times New Roman" w:cs="Times New Roman"/>
          <w:color w:val="000000" w:themeColor="text1"/>
        </w:rPr>
        <w:t>2a</w:t>
      </w:r>
      <w:r w:rsidRPr="009F065E">
        <w:rPr>
          <w:rFonts w:ascii="Times New Roman" w:hAnsi="Times New Roman" w:cs="Times New Roman"/>
          <w:color w:val="000000" w:themeColor="text1"/>
        </w:rPr>
        <w:t>)</w:t>
      </w:r>
      <w:r w:rsidR="00F71B27">
        <w:rPr>
          <w:rFonts w:ascii="Times New Roman" w:hAnsi="Times New Roman" w:cs="Times New Roman"/>
          <w:color w:val="000000" w:themeColor="text1"/>
        </w:rPr>
        <w:t xml:space="preserve"> to 2(e)</w:t>
      </w:r>
      <w:r w:rsidRPr="009F065E">
        <w:rPr>
          <w:rFonts w:ascii="Times New Roman" w:hAnsi="Times New Roman" w:cs="Times New Roman"/>
          <w:color w:val="000000" w:themeColor="text1"/>
        </w:rPr>
        <w:t xml:space="preserve"> by </w:t>
      </w:r>
      <w:r w:rsidR="00671959">
        <w:rPr>
          <w:rFonts w:ascii="Times New Roman" w:hAnsi="Times New Roman" w:cs="Times New Roman"/>
          <w:color w:val="000000" w:themeColor="text1"/>
        </w:rPr>
        <w:t>including</w:t>
      </w:r>
      <w:r w:rsidRPr="009F065E">
        <w:rPr>
          <w:rFonts w:ascii="Times New Roman" w:hAnsi="Times New Roman" w:cs="Times New Roman"/>
          <w:color w:val="000000" w:themeColor="text1"/>
        </w:rPr>
        <w:t xml:space="preserve"> the interaction variables, together with </w:t>
      </w:r>
      <w:r w:rsidR="0030640E">
        <w:rPr>
          <w:rFonts w:ascii="Times New Roman" w:hAnsi="Times New Roman" w:cs="Times New Roman"/>
          <w:color w:val="000000" w:themeColor="text1"/>
        </w:rPr>
        <w:t>the</w:t>
      </w:r>
      <w:r w:rsidRPr="009F065E">
        <w:rPr>
          <w:rFonts w:ascii="Times New Roman" w:hAnsi="Times New Roman" w:cs="Times New Roman"/>
          <w:color w:val="000000" w:themeColor="text1"/>
        </w:rPr>
        <w:t xml:space="preserve"> control variables. The estimat</w:t>
      </w:r>
      <w:r w:rsidR="003D2C07">
        <w:rPr>
          <w:rFonts w:ascii="Times New Roman" w:hAnsi="Times New Roman" w:cs="Times New Roman"/>
          <w:color w:val="000000" w:themeColor="text1"/>
        </w:rPr>
        <w:t>ed</w:t>
      </w:r>
      <w:r w:rsidRPr="009F065E">
        <w:rPr>
          <w:rFonts w:ascii="Times New Roman" w:hAnsi="Times New Roman" w:cs="Times New Roman"/>
          <w:color w:val="000000" w:themeColor="text1"/>
        </w:rPr>
        <w:t xml:space="preserve"> results shown in columns 3</w:t>
      </w:r>
      <w:r w:rsidR="00F71B27">
        <w:rPr>
          <w:rFonts w:ascii="Times New Roman" w:hAnsi="Times New Roman" w:cs="Times New Roman"/>
          <w:color w:val="000000" w:themeColor="text1"/>
        </w:rPr>
        <w:t>-5</w:t>
      </w:r>
      <w:r w:rsidRPr="009F065E">
        <w:rPr>
          <w:rFonts w:ascii="Times New Roman" w:hAnsi="Times New Roman" w:cs="Times New Roman"/>
          <w:color w:val="000000" w:themeColor="text1"/>
        </w:rPr>
        <w:t xml:space="preserve"> suggest that the interactions of </w:t>
      </w:r>
      <w:r w:rsidRPr="00A84E80">
        <w:rPr>
          <w:rFonts w:ascii="Times New Roman" w:hAnsi="Times New Roman" w:cs="Times New Roman"/>
          <w:i/>
          <w:iCs/>
          <w:color w:val="000000" w:themeColor="text1"/>
        </w:rPr>
        <w:t xml:space="preserve">CCA </w:t>
      </w:r>
      <w:r w:rsidRPr="009F065E">
        <w:rPr>
          <w:rFonts w:ascii="Times New Roman" w:hAnsi="Times New Roman" w:cs="Times New Roman"/>
          <w:color w:val="000000" w:themeColor="text1"/>
        </w:rPr>
        <w:t xml:space="preserve">with </w:t>
      </w:r>
      <w:r w:rsidRPr="00A84E80">
        <w:rPr>
          <w:rFonts w:ascii="Times New Roman" w:hAnsi="Times New Roman" w:cs="Times New Roman"/>
          <w:i/>
          <w:iCs/>
          <w:color w:val="000000" w:themeColor="text1"/>
        </w:rPr>
        <w:t>Eexc_Comp</w:t>
      </w:r>
      <w:r w:rsidR="00F71B27" w:rsidRPr="00A84E80">
        <w:rPr>
          <w:rFonts w:ascii="Times New Roman" w:hAnsi="Times New Roman" w:cs="Times New Roman"/>
          <w:i/>
          <w:iCs/>
          <w:color w:val="000000" w:themeColor="text1"/>
        </w:rPr>
        <w:t>,</w:t>
      </w:r>
      <w:r w:rsidR="00E35CC6" w:rsidRPr="00A84E80">
        <w:rPr>
          <w:rFonts w:ascii="Times New Roman" w:hAnsi="Times New Roman" w:cs="Times New Roman"/>
          <w:i/>
          <w:iCs/>
          <w:color w:val="000000" w:themeColor="text1"/>
        </w:rPr>
        <w:t xml:space="preserve"> </w:t>
      </w:r>
      <w:r w:rsidRPr="00A84E80">
        <w:rPr>
          <w:rFonts w:ascii="Times New Roman" w:hAnsi="Times New Roman" w:cs="Times New Roman"/>
          <w:i/>
          <w:iCs/>
          <w:color w:val="000000" w:themeColor="text1"/>
        </w:rPr>
        <w:t xml:space="preserve">Ind_Dir </w:t>
      </w:r>
      <w:r w:rsidR="00F71B27">
        <w:rPr>
          <w:rFonts w:ascii="Times New Roman" w:hAnsi="Times New Roman" w:cs="Times New Roman"/>
          <w:color w:val="000000" w:themeColor="text1"/>
        </w:rPr>
        <w:t xml:space="preserve">and </w:t>
      </w:r>
      <w:r w:rsidR="00F71B27" w:rsidRPr="00A84E80">
        <w:rPr>
          <w:rFonts w:ascii="Times New Roman" w:hAnsi="Times New Roman" w:cs="Times New Roman"/>
          <w:i/>
          <w:iCs/>
          <w:color w:val="000000" w:themeColor="text1"/>
        </w:rPr>
        <w:t>BoD_size</w:t>
      </w:r>
      <w:r w:rsidR="00F71B27">
        <w:rPr>
          <w:rFonts w:ascii="Times New Roman" w:hAnsi="Times New Roman" w:cs="Times New Roman"/>
          <w:color w:val="000000" w:themeColor="text1"/>
        </w:rPr>
        <w:t xml:space="preserve"> </w:t>
      </w:r>
      <w:r w:rsidRPr="009F065E">
        <w:rPr>
          <w:rFonts w:ascii="Times New Roman" w:hAnsi="Times New Roman" w:cs="Times New Roman"/>
          <w:color w:val="000000" w:themeColor="text1"/>
        </w:rPr>
        <w:t>show statistically signif</w:t>
      </w:r>
      <w:r w:rsidRPr="009F065E">
        <w:rPr>
          <w:rFonts w:ascii="Times New Roman" w:hAnsi="Times New Roman" w:cs="Times New Roman"/>
          <w:color w:val="000000" w:themeColor="text1"/>
        </w:rPr>
        <w:lastRenderedPageBreak/>
        <w:t xml:space="preserve">icant positive associations with </w:t>
      </w:r>
      <w:r w:rsidRPr="00A84E80">
        <w:rPr>
          <w:rFonts w:ascii="Times New Roman" w:hAnsi="Times New Roman" w:cs="Times New Roman"/>
          <w:i/>
          <w:iCs/>
          <w:color w:val="000000" w:themeColor="text1"/>
        </w:rPr>
        <w:t>CRI</w:t>
      </w:r>
      <w:r w:rsidR="0083112B" w:rsidRPr="00A84E80">
        <w:rPr>
          <w:rFonts w:ascii="Times New Roman" w:hAnsi="Times New Roman" w:cs="Times New Roman"/>
          <w:i/>
          <w:iCs/>
          <w:color w:val="000000" w:themeColor="text1"/>
        </w:rPr>
        <w:t>s</w:t>
      </w:r>
      <w:r w:rsidR="00D93F59">
        <w:rPr>
          <w:rFonts w:ascii="Times New Roman" w:hAnsi="Times New Roman" w:cs="Times New Roman"/>
          <w:color w:val="000000" w:themeColor="text1"/>
        </w:rPr>
        <w:t>, as expected</w:t>
      </w:r>
      <w:r w:rsidRPr="009F065E">
        <w:rPr>
          <w:rFonts w:ascii="Times New Roman" w:hAnsi="Times New Roman" w:cs="Times New Roman"/>
          <w:color w:val="000000" w:themeColor="text1"/>
        </w:rPr>
        <w:t xml:space="preserve">. In addition, the regression coefficients of all </w:t>
      </w:r>
      <w:r w:rsidR="0083112B">
        <w:rPr>
          <w:rFonts w:ascii="Times New Roman" w:hAnsi="Times New Roman" w:cs="Times New Roman"/>
          <w:color w:val="000000" w:themeColor="text1"/>
        </w:rPr>
        <w:t xml:space="preserve">the </w:t>
      </w:r>
      <w:r w:rsidRPr="009F065E">
        <w:rPr>
          <w:rFonts w:ascii="Times New Roman" w:hAnsi="Times New Roman" w:cs="Times New Roman"/>
          <w:color w:val="000000" w:themeColor="text1"/>
        </w:rPr>
        <w:t xml:space="preserve">other variables remain unchanged. </w:t>
      </w:r>
      <w:r w:rsidR="004569E1">
        <w:rPr>
          <w:rFonts w:ascii="Times New Roman" w:hAnsi="Times New Roman" w:cs="Times New Roman"/>
          <w:color w:val="000000" w:themeColor="text1"/>
        </w:rPr>
        <w:t xml:space="preserve">In particular, </w:t>
      </w:r>
      <w:r w:rsidR="004569E1" w:rsidRPr="00A84E80">
        <w:rPr>
          <w:rFonts w:ascii="Times New Roman" w:hAnsi="Times New Roman" w:cs="Times New Roman"/>
          <w:i/>
          <w:iCs/>
          <w:color w:val="000000" w:themeColor="text1"/>
        </w:rPr>
        <w:t>GRI</w:t>
      </w:r>
      <w:r w:rsidR="0094077E" w:rsidRPr="00A84E80">
        <w:rPr>
          <w:rFonts w:ascii="Times New Roman" w:hAnsi="Times New Roman" w:cs="Times New Roman"/>
          <w:i/>
          <w:iCs/>
          <w:color w:val="000000" w:themeColor="text1"/>
        </w:rPr>
        <w:t xml:space="preserve"> </w:t>
      </w:r>
      <w:r w:rsidR="0094077E">
        <w:rPr>
          <w:rFonts w:ascii="Times New Roman" w:hAnsi="Times New Roman" w:cs="Times New Roman"/>
          <w:color w:val="000000" w:themeColor="text1"/>
        </w:rPr>
        <w:t>maintains statistically significant</w:t>
      </w:r>
      <w:r w:rsidR="00E92636">
        <w:rPr>
          <w:rFonts w:ascii="Times New Roman" w:hAnsi="Times New Roman" w:cs="Times New Roman"/>
          <w:color w:val="000000" w:themeColor="text1"/>
        </w:rPr>
        <w:t xml:space="preserve"> and</w:t>
      </w:r>
      <w:r w:rsidR="0094077E">
        <w:rPr>
          <w:rFonts w:ascii="Times New Roman" w:hAnsi="Times New Roman" w:cs="Times New Roman"/>
          <w:color w:val="000000" w:themeColor="text1"/>
        </w:rPr>
        <w:t xml:space="preserve"> positive relationship with </w:t>
      </w:r>
      <w:r w:rsidR="00E92636">
        <w:rPr>
          <w:rFonts w:ascii="Times New Roman" w:hAnsi="Times New Roman" w:cs="Times New Roman"/>
          <w:color w:val="000000" w:themeColor="text1"/>
        </w:rPr>
        <w:t xml:space="preserve">the </w:t>
      </w:r>
      <w:r w:rsidR="0094077E" w:rsidRPr="00A84E80">
        <w:rPr>
          <w:rFonts w:ascii="Times New Roman" w:hAnsi="Times New Roman" w:cs="Times New Roman"/>
          <w:i/>
          <w:iCs/>
          <w:color w:val="000000" w:themeColor="text1"/>
        </w:rPr>
        <w:t>CRI</w:t>
      </w:r>
      <w:r w:rsidR="00E92636" w:rsidRPr="00A84E80">
        <w:rPr>
          <w:rFonts w:ascii="Times New Roman" w:hAnsi="Times New Roman" w:cs="Times New Roman"/>
          <w:i/>
          <w:iCs/>
          <w:color w:val="000000" w:themeColor="text1"/>
        </w:rPr>
        <w:t>s</w:t>
      </w:r>
      <w:r w:rsidR="0094077E">
        <w:rPr>
          <w:rFonts w:ascii="Times New Roman" w:hAnsi="Times New Roman" w:cs="Times New Roman"/>
          <w:color w:val="000000" w:themeColor="text1"/>
        </w:rPr>
        <w:t xml:space="preserve"> in all specifications. </w:t>
      </w:r>
      <w:r w:rsidR="00C50A88">
        <w:rPr>
          <w:rFonts w:ascii="Times New Roman" w:hAnsi="Times New Roman" w:cs="Times New Roman"/>
          <w:color w:val="000000" w:themeColor="text1"/>
        </w:rPr>
        <w:t xml:space="preserve">We also find statistically insignificant results </w:t>
      </w:r>
      <w:r w:rsidR="00F71B27">
        <w:rPr>
          <w:rFonts w:ascii="Times New Roman" w:hAnsi="Times New Roman" w:cs="Times New Roman"/>
          <w:color w:val="000000" w:themeColor="text1"/>
        </w:rPr>
        <w:t xml:space="preserve">(not shown) </w:t>
      </w:r>
      <w:r w:rsidR="00C50A88">
        <w:rPr>
          <w:rFonts w:ascii="Times New Roman" w:hAnsi="Times New Roman" w:cs="Times New Roman"/>
          <w:color w:val="000000" w:themeColor="text1"/>
        </w:rPr>
        <w:t xml:space="preserve">of </w:t>
      </w:r>
      <w:r w:rsidR="00F71B27">
        <w:rPr>
          <w:rFonts w:ascii="Times New Roman" w:hAnsi="Times New Roman" w:cs="Times New Roman"/>
          <w:color w:val="000000" w:themeColor="text1"/>
        </w:rPr>
        <w:t xml:space="preserve">the interactions of </w:t>
      </w:r>
      <w:r w:rsidR="00F71B27" w:rsidRPr="00A84E80">
        <w:rPr>
          <w:rFonts w:ascii="Times New Roman" w:hAnsi="Times New Roman" w:cs="Times New Roman"/>
          <w:i/>
          <w:iCs/>
          <w:color w:val="000000" w:themeColor="text1"/>
        </w:rPr>
        <w:t>CCA</w:t>
      </w:r>
      <w:r w:rsidR="00F71B27">
        <w:rPr>
          <w:rFonts w:ascii="Times New Roman" w:hAnsi="Times New Roman" w:cs="Times New Roman"/>
          <w:color w:val="000000" w:themeColor="text1"/>
        </w:rPr>
        <w:t xml:space="preserve"> with </w:t>
      </w:r>
      <w:r w:rsidR="00F71B27" w:rsidRPr="00A84E80">
        <w:rPr>
          <w:rFonts w:ascii="Times New Roman" w:hAnsi="Times New Roman" w:cs="Times New Roman"/>
          <w:i/>
          <w:iCs/>
          <w:color w:val="000000" w:themeColor="text1"/>
        </w:rPr>
        <w:t>ESG_Comp</w:t>
      </w:r>
      <w:r w:rsidR="00F71B27">
        <w:rPr>
          <w:rFonts w:ascii="Times New Roman" w:hAnsi="Times New Roman" w:cs="Times New Roman"/>
          <w:color w:val="000000" w:themeColor="text1"/>
        </w:rPr>
        <w:t xml:space="preserve"> and CEO duality</w:t>
      </w:r>
      <w:r w:rsidR="00C50A88">
        <w:rPr>
          <w:rFonts w:ascii="Times New Roman" w:hAnsi="Times New Roman" w:cs="Times New Roman"/>
          <w:color w:val="000000" w:themeColor="text1"/>
        </w:rPr>
        <w:t xml:space="preserve">. </w:t>
      </w:r>
      <w:r w:rsidRPr="009F065E">
        <w:rPr>
          <w:rFonts w:ascii="Times New Roman" w:hAnsi="Times New Roman" w:cs="Times New Roman"/>
          <w:color w:val="000000" w:themeColor="text1"/>
        </w:rPr>
        <w:t xml:space="preserve">Finally, column </w:t>
      </w:r>
      <w:r w:rsidR="00B94328">
        <w:rPr>
          <w:rFonts w:ascii="Times New Roman" w:hAnsi="Times New Roman" w:cs="Times New Roman"/>
          <w:color w:val="000000" w:themeColor="text1"/>
        </w:rPr>
        <w:t>6</w:t>
      </w:r>
      <w:r w:rsidRPr="009F065E">
        <w:rPr>
          <w:rFonts w:ascii="Times New Roman" w:hAnsi="Times New Roman" w:cs="Times New Roman"/>
          <w:color w:val="000000" w:themeColor="text1"/>
        </w:rPr>
        <w:t xml:space="preserve"> shows estimation results of Eq.(1) by adding the interaction between </w:t>
      </w:r>
      <w:r w:rsidRPr="001F0BD3">
        <w:rPr>
          <w:rFonts w:ascii="Times New Roman" w:hAnsi="Times New Roman" w:cs="Times New Roman"/>
          <w:i/>
          <w:color w:val="000000" w:themeColor="text1"/>
        </w:rPr>
        <w:t>CCA</w:t>
      </w:r>
      <w:r w:rsidRPr="009F065E">
        <w:rPr>
          <w:rFonts w:ascii="Times New Roman" w:hAnsi="Times New Roman" w:cs="Times New Roman"/>
          <w:color w:val="000000" w:themeColor="text1"/>
        </w:rPr>
        <w:t xml:space="preserve"> and pollution industry dummy (polluters), with this new variable having a statistically significant positive relationship with </w:t>
      </w:r>
      <w:r w:rsidRPr="00A84E80">
        <w:rPr>
          <w:rFonts w:ascii="Times New Roman" w:hAnsi="Times New Roman" w:cs="Times New Roman"/>
          <w:i/>
          <w:iCs/>
          <w:color w:val="000000" w:themeColor="text1"/>
        </w:rPr>
        <w:t>CRI</w:t>
      </w:r>
      <w:r w:rsidR="004661F2" w:rsidRPr="00A84E80">
        <w:rPr>
          <w:rFonts w:ascii="Times New Roman" w:hAnsi="Times New Roman" w:cs="Times New Roman"/>
          <w:i/>
          <w:iCs/>
          <w:color w:val="000000" w:themeColor="text1"/>
        </w:rPr>
        <w:t>s</w:t>
      </w:r>
      <w:r w:rsidRPr="009F065E">
        <w:rPr>
          <w:rFonts w:ascii="Times New Roman" w:hAnsi="Times New Roman" w:cs="Times New Roman"/>
          <w:color w:val="000000" w:themeColor="text1"/>
        </w:rPr>
        <w:t xml:space="preserve">. </w:t>
      </w:r>
      <w:r w:rsidR="002B5D58">
        <w:rPr>
          <w:rFonts w:ascii="Times New Roman" w:hAnsi="Times New Roman" w:cs="Times New Roman"/>
          <w:color w:val="000000" w:themeColor="text1"/>
        </w:rPr>
        <w:t xml:space="preserve">This evidence is consistent with the </w:t>
      </w:r>
      <w:r w:rsidR="002B5D58" w:rsidRPr="00A84E80">
        <w:rPr>
          <w:rFonts w:ascii="Times New Roman" w:hAnsi="Times New Roman" w:cs="Times New Roman"/>
          <w:i/>
          <w:iCs/>
          <w:color w:val="000000" w:themeColor="text1"/>
        </w:rPr>
        <w:t>t-</w:t>
      </w:r>
      <w:r w:rsidR="002B5D58">
        <w:rPr>
          <w:rFonts w:ascii="Times New Roman" w:hAnsi="Times New Roman" w:cs="Times New Roman"/>
          <w:color w:val="000000" w:themeColor="text1"/>
        </w:rPr>
        <w:t xml:space="preserve">test results, indicating that firms in polluting industries </w:t>
      </w:r>
      <w:r w:rsidR="0073323A">
        <w:rPr>
          <w:rFonts w:ascii="Times New Roman" w:hAnsi="Times New Roman" w:cs="Times New Roman"/>
          <w:color w:val="000000" w:themeColor="text1"/>
        </w:rPr>
        <w:t xml:space="preserve">demonstrate greater </w:t>
      </w:r>
      <w:r w:rsidR="00A460A5" w:rsidRPr="00A84E80">
        <w:rPr>
          <w:rFonts w:ascii="Times New Roman" w:hAnsi="Times New Roman" w:cs="Times New Roman"/>
          <w:i/>
          <w:iCs/>
          <w:color w:val="000000" w:themeColor="text1"/>
        </w:rPr>
        <w:t>CRIs</w:t>
      </w:r>
      <w:r w:rsidR="0073323A">
        <w:rPr>
          <w:rFonts w:ascii="Times New Roman" w:hAnsi="Times New Roman" w:cs="Times New Roman"/>
          <w:color w:val="000000" w:themeColor="text1"/>
        </w:rPr>
        <w:t xml:space="preserve"> in the post </w:t>
      </w:r>
      <w:r w:rsidR="0073323A" w:rsidRPr="00A84E80">
        <w:rPr>
          <w:rFonts w:ascii="Times New Roman" w:hAnsi="Times New Roman" w:cs="Times New Roman"/>
          <w:i/>
          <w:iCs/>
          <w:color w:val="000000" w:themeColor="text1"/>
        </w:rPr>
        <w:t>CCA</w:t>
      </w:r>
      <w:r w:rsidR="0073323A">
        <w:rPr>
          <w:rFonts w:ascii="Times New Roman" w:hAnsi="Times New Roman" w:cs="Times New Roman"/>
          <w:color w:val="000000" w:themeColor="text1"/>
        </w:rPr>
        <w:t xml:space="preserve"> period as part of their efforts to maintain or enhance corporate legitimacy. </w:t>
      </w:r>
      <w:r w:rsidRPr="009F065E">
        <w:rPr>
          <w:rFonts w:ascii="Times New Roman" w:hAnsi="Times New Roman" w:cs="Times New Roman"/>
          <w:color w:val="000000" w:themeColor="text1"/>
        </w:rPr>
        <w:t xml:space="preserve">Columns </w:t>
      </w:r>
      <w:r w:rsidR="00B94328">
        <w:rPr>
          <w:rFonts w:ascii="Times New Roman" w:hAnsi="Times New Roman" w:cs="Times New Roman"/>
          <w:color w:val="000000" w:themeColor="text1"/>
        </w:rPr>
        <w:t>7</w:t>
      </w:r>
      <w:r w:rsidR="004661F2">
        <w:rPr>
          <w:rFonts w:ascii="Times New Roman" w:hAnsi="Times New Roman" w:cs="Times New Roman"/>
          <w:color w:val="000000" w:themeColor="text1"/>
        </w:rPr>
        <w:t>-</w:t>
      </w:r>
      <w:r w:rsidRPr="009F065E">
        <w:rPr>
          <w:rFonts w:ascii="Times New Roman" w:hAnsi="Times New Roman" w:cs="Times New Roman"/>
          <w:color w:val="000000" w:themeColor="text1"/>
        </w:rPr>
        <w:t>1</w:t>
      </w:r>
      <w:r w:rsidR="00B94328">
        <w:rPr>
          <w:rFonts w:ascii="Times New Roman" w:hAnsi="Times New Roman" w:cs="Times New Roman"/>
          <w:color w:val="000000" w:themeColor="text1"/>
        </w:rPr>
        <w:t>2</w:t>
      </w:r>
      <w:r w:rsidRPr="009F065E">
        <w:rPr>
          <w:rFonts w:ascii="Times New Roman" w:hAnsi="Times New Roman" w:cs="Times New Roman"/>
          <w:color w:val="000000" w:themeColor="text1"/>
        </w:rPr>
        <w:t xml:space="preserve"> show results</w:t>
      </w:r>
      <w:r w:rsidR="004661F2">
        <w:rPr>
          <w:rFonts w:ascii="Times New Roman" w:hAnsi="Times New Roman" w:cs="Times New Roman"/>
          <w:color w:val="000000" w:themeColor="text1"/>
        </w:rPr>
        <w:t xml:space="preserve"> obtained</w:t>
      </w:r>
      <w:r w:rsidRPr="009F065E">
        <w:rPr>
          <w:rFonts w:ascii="Times New Roman" w:hAnsi="Times New Roman" w:cs="Times New Roman"/>
          <w:color w:val="000000" w:themeColor="text1"/>
        </w:rPr>
        <w:t xml:space="preserve"> by </w:t>
      </w:r>
      <w:r w:rsidR="004661F2">
        <w:rPr>
          <w:rFonts w:ascii="Times New Roman" w:hAnsi="Times New Roman" w:cs="Times New Roman"/>
          <w:color w:val="000000" w:themeColor="text1"/>
        </w:rPr>
        <w:t xml:space="preserve">similarly </w:t>
      </w:r>
      <w:r w:rsidRPr="009F065E">
        <w:rPr>
          <w:rFonts w:ascii="Times New Roman" w:hAnsi="Times New Roman" w:cs="Times New Roman"/>
          <w:color w:val="000000" w:themeColor="text1"/>
        </w:rPr>
        <w:t xml:space="preserve">replacing </w:t>
      </w:r>
      <w:r w:rsidRPr="00A84E80">
        <w:rPr>
          <w:rFonts w:ascii="Times New Roman" w:hAnsi="Times New Roman" w:cs="Times New Roman"/>
          <w:i/>
          <w:iCs/>
          <w:color w:val="000000" w:themeColor="text1"/>
        </w:rPr>
        <w:t>CRI</w:t>
      </w:r>
      <w:r w:rsidR="004661F2" w:rsidRPr="00A84E80">
        <w:rPr>
          <w:rFonts w:ascii="Times New Roman" w:hAnsi="Times New Roman" w:cs="Times New Roman"/>
          <w:i/>
          <w:iCs/>
          <w:color w:val="000000" w:themeColor="text1"/>
        </w:rPr>
        <w:t>s</w:t>
      </w:r>
      <w:r w:rsidRPr="009F065E">
        <w:rPr>
          <w:rFonts w:ascii="Times New Roman" w:hAnsi="Times New Roman" w:cs="Times New Roman"/>
          <w:color w:val="000000" w:themeColor="text1"/>
        </w:rPr>
        <w:t xml:space="preserve"> with</w:t>
      </w:r>
      <w:r w:rsidR="004661F2">
        <w:rPr>
          <w:rFonts w:ascii="Times New Roman" w:hAnsi="Times New Roman" w:cs="Times New Roman"/>
          <w:color w:val="000000" w:themeColor="text1"/>
        </w:rPr>
        <w:t xml:space="preserve"> actual</w:t>
      </w:r>
      <w:r w:rsidRPr="009F065E">
        <w:rPr>
          <w:rFonts w:ascii="Times New Roman" w:hAnsi="Times New Roman" w:cs="Times New Roman"/>
          <w:color w:val="000000" w:themeColor="text1"/>
        </w:rPr>
        <w:t xml:space="preserve"> </w:t>
      </w:r>
      <w:r w:rsidRPr="00A84E80">
        <w:rPr>
          <w:rFonts w:ascii="Times New Roman" w:hAnsi="Times New Roman" w:cs="Times New Roman"/>
          <w:i/>
          <w:iCs/>
          <w:color w:val="000000" w:themeColor="text1"/>
        </w:rPr>
        <w:t>GHG</w:t>
      </w:r>
      <w:r w:rsidRPr="009F065E">
        <w:rPr>
          <w:rFonts w:ascii="Times New Roman" w:hAnsi="Times New Roman" w:cs="Times New Roman"/>
          <w:color w:val="000000" w:themeColor="text1"/>
        </w:rPr>
        <w:t xml:space="preserve"> emissions</w:t>
      </w:r>
      <w:r w:rsidR="004661F2">
        <w:rPr>
          <w:rFonts w:ascii="Times New Roman" w:hAnsi="Times New Roman" w:cs="Times New Roman"/>
          <w:color w:val="000000" w:themeColor="text1"/>
        </w:rPr>
        <w:t>,</w:t>
      </w:r>
      <w:r w:rsidRPr="009F065E">
        <w:rPr>
          <w:rFonts w:ascii="Times New Roman" w:hAnsi="Times New Roman" w:cs="Times New Roman"/>
          <w:color w:val="000000" w:themeColor="text1"/>
        </w:rPr>
        <w:t xml:space="preserve"> as the dependent variable. Surprisingly, the estimat</w:t>
      </w:r>
      <w:r w:rsidR="00D737BF">
        <w:rPr>
          <w:rFonts w:ascii="Times New Roman" w:hAnsi="Times New Roman" w:cs="Times New Roman"/>
          <w:color w:val="000000" w:themeColor="text1"/>
        </w:rPr>
        <w:t>ed</w:t>
      </w:r>
      <w:r w:rsidRPr="009F065E">
        <w:rPr>
          <w:rFonts w:ascii="Times New Roman" w:hAnsi="Times New Roman" w:cs="Times New Roman"/>
          <w:color w:val="000000" w:themeColor="text1"/>
        </w:rPr>
        <w:t xml:space="preserve"> results are statistically insignificant for most of the variables</w:t>
      </w:r>
      <w:r w:rsidR="00A460A5">
        <w:rPr>
          <w:rFonts w:ascii="Times New Roman" w:hAnsi="Times New Roman" w:cs="Times New Roman"/>
          <w:color w:val="000000" w:themeColor="text1"/>
        </w:rPr>
        <w:t>,</w:t>
      </w:r>
      <w:r w:rsidR="0094077E">
        <w:rPr>
          <w:rFonts w:ascii="Times New Roman" w:hAnsi="Times New Roman" w:cs="Times New Roman"/>
          <w:color w:val="000000" w:themeColor="text1"/>
        </w:rPr>
        <w:t xml:space="preserve"> including </w:t>
      </w:r>
      <w:r w:rsidR="0094077E" w:rsidRPr="00A84E80">
        <w:rPr>
          <w:rFonts w:ascii="Times New Roman" w:hAnsi="Times New Roman" w:cs="Times New Roman"/>
          <w:i/>
          <w:iCs/>
          <w:color w:val="000000" w:themeColor="text1"/>
        </w:rPr>
        <w:t>CCA, GRI, UNGC</w:t>
      </w:r>
      <w:r w:rsidR="005E6A64">
        <w:rPr>
          <w:rFonts w:ascii="Times New Roman" w:hAnsi="Times New Roman" w:cs="Times New Roman"/>
          <w:color w:val="000000" w:themeColor="text1"/>
        </w:rPr>
        <w:t xml:space="preserve">, and </w:t>
      </w:r>
      <w:r w:rsidR="00D737BF">
        <w:rPr>
          <w:rFonts w:ascii="Times New Roman" w:hAnsi="Times New Roman" w:cs="Times New Roman"/>
          <w:color w:val="000000" w:themeColor="text1"/>
        </w:rPr>
        <w:t>CG</w:t>
      </w:r>
      <w:r w:rsidR="005E6A64">
        <w:rPr>
          <w:rFonts w:ascii="Times New Roman" w:hAnsi="Times New Roman" w:cs="Times New Roman"/>
          <w:color w:val="000000" w:themeColor="text1"/>
        </w:rPr>
        <w:t xml:space="preserve"> variables</w:t>
      </w:r>
      <w:r w:rsidRPr="009F065E">
        <w:rPr>
          <w:rFonts w:ascii="Times New Roman" w:hAnsi="Times New Roman" w:cs="Times New Roman"/>
          <w:color w:val="000000" w:themeColor="text1"/>
        </w:rPr>
        <w:t xml:space="preserve">. </w:t>
      </w:r>
      <w:r w:rsidR="006D20FB">
        <w:rPr>
          <w:rFonts w:ascii="Times New Roman" w:hAnsi="Times New Roman" w:cs="Times New Roman"/>
          <w:color w:val="000000" w:themeColor="text1"/>
        </w:rPr>
        <w:t>Inter</w:t>
      </w:r>
      <w:r w:rsidR="006D20FB">
        <w:rPr>
          <w:rFonts w:ascii="Times New Roman" w:hAnsi="Times New Roman" w:cs="Times New Roman"/>
          <w:color w:val="000000" w:themeColor="text1"/>
        </w:rPr>
        <w:lastRenderedPageBreak/>
        <w:t xml:space="preserve">estingly, </w:t>
      </w:r>
      <w:r w:rsidR="002009D5">
        <w:rPr>
          <w:rFonts w:ascii="Times New Roman" w:hAnsi="Times New Roman" w:cs="Times New Roman"/>
          <w:color w:val="000000" w:themeColor="text1"/>
        </w:rPr>
        <w:t xml:space="preserve">only </w:t>
      </w:r>
      <w:r w:rsidR="006D20FB">
        <w:rPr>
          <w:rFonts w:ascii="Times New Roman" w:hAnsi="Times New Roman" w:cs="Times New Roman"/>
          <w:color w:val="000000" w:themeColor="text1"/>
        </w:rPr>
        <w:t xml:space="preserve">board size shows statistically significant positive association with </w:t>
      </w:r>
      <w:r w:rsidR="00A460A5">
        <w:rPr>
          <w:rFonts w:ascii="Times New Roman" w:hAnsi="Times New Roman" w:cs="Times New Roman"/>
          <w:color w:val="000000" w:themeColor="text1"/>
        </w:rPr>
        <w:t xml:space="preserve">actual </w:t>
      </w:r>
      <w:r w:rsidR="006D20FB" w:rsidRPr="001F0BD3">
        <w:rPr>
          <w:rFonts w:ascii="Times New Roman" w:hAnsi="Times New Roman" w:cs="Times New Roman"/>
          <w:i/>
          <w:color w:val="000000" w:themeColor="text1"/>
        </w:rPr>
        <w:t>GHG</w:t>
      </w:r>
      <w:r w:rsidR="006D20FB">
        <w:rPr>
          <w:rFonts w:ascii="Times New Roman" w:hAnsi="Times New Roman" w:cs="Times New Roman"/>
          <w:color w:val="000000" w:themeColor="text1"/>
        </w:rPr>
        <w:t xml:space="preserve"> emissions</w:t>
      </w:r>
      <w:r w:rsidR="00F5568B">
        <w:rPr>
          <w:rFonts w:ascii="Times New Roman" w:hAnsi="Times New Roman" w:cs="Times New Roman"/>
          <w:color w:val="000000" w:themeColor="text1"/>
        </w:rPr>
        <w:t>, although</w:t>
      </w:r>
      <w:r w:rsidR="00D97B08">
        <w:rPr>
          <w:rFonts w:ascii="Times New Roman" w:hAnsi="Times New Roman" w:cs="Times New Roman"/>
          <w:color w:val="000000" w:themeColor="text1"/>
        </w:rPr>
        <w:t xml:space="preserve"> the resulting</w:t>
      </w:r>
      <w:r w:rsidR="00F5568B">
        <w:rPr>
          <w:rFonts w:ascii="Times New Roman" w:hAnsi="Times New Roman" w:cs="Times New Roman"/>
          <w:color w:val="000000" w:themeColor="text1"/>
        </w:rPr>
        <w:t xml:space="preserve"> interaction</w:t>
      </w:r>
      <w:r w:rsidR="00D97B08">
        <w:rPr>
          <w:rFonts w:ascii="Times New Roman" w:hAnsi="Times New Roman" w:cs="Times New Roman"/>
          <w:color w:val="000000" w:themeColor="text1"/>
        </w:rPr>
        <w:t xml:space="preserve"> term</w:t>
      </w:r>
      <w:r w:rsidR="00F5568B">
        <w:rPr>
          <w:rFonts w:ascii="Times New Roman" w:hAnsi="Times New Roman" w:cs="Times New Roman"/>
          <w:color w:val="000000" w:themeColor="text1"/>
        </w:rPr>
        <w:t xml:space="preserve"> with the </w:t>
      </w:r>
      <w:r w:rsidR="00F5568B" w:rsidRPr="00A84E80">
        <w:rPr>
          <w:rFonts w:ascii="Times New Roman" w:hAnsi="Times New Roman" w:cs="Times New Roman"/>
          <w:i/>
          <w:iCs/>
          <w:color w:val="000000" w:themeColor="text1"/>
        </w:rPr>
        <w:t>CCA</w:t>
      </w:r>
      <w:r w:rsidR="00F5568B">
        <w:rPr>
          <w:rFonts w:ascii="Times New Roman" w:hAnsi="Times New Roman" w:cs="Times New Roman"/>
          <w:color w:val="000000" w:themeColor="text1"/>
        </w:rPr>
        <w:t xml:space="preserve"> shows insignificant result</w:t>
      </w:r>
      <w:r w:rsidR="006D20FB">
        <w:rPr>
          <w:rFonts w:ascii="Times New Roman" w:hAnsi="Times New Roman" w:cs="Times New Roman"/>
          <w:color w:val="000000" w:themeColor="text1"/>
        </w:rPr>
        <w:t xml:space="preserve">. </w:t>
      </w:r>
      <w:r w:rsidR="005E7222">
        <w:rPr>
          <w:rFonts w:ascii="Times New Roman" w:hAnsi="Times New Roman" w:cs="Times New Roman"/>
          <w:color w:val="000000" w:themeColor="text1"/>
        </w:rPr>
        <w:t xml:space="preserve">Whilst firm-specific </w:t>
      </w:r>
      <w:r w:rsidRPr="009F065E">
        <w:rPr>
          <w:rFonts w:ascii="Times New Roman" w:hAnsi="Times New Roman" w:cs="Times New Roman"/>
          <w:color w:val="000000" w:themeColor="text1"/>
        </w:rPr>
        <w:t>control variables</w:t>
      </w:r>
      <w:r w:rsidR="005E7222">
        <w:rPr>
          <w:rFonts w:ascii="Times New Roman" w:hAnsi="Times New Roman" w:cs="Times New Roman"/>
          <w:color w:val="000000" w:themeColor="text1"/>
        </w:rPr>
        <w:t xml:space="preserve"> remain statistically insignificant</w:t>
      </w:r>
      <w:r w:rsidRPr="009F065E">
        <w:rPr>
          <w:rFonts w:ascii="Times New Roman" w:hAnsi="Times New Roman" w:cs="Times New Roman"/>
          <w:color w:val="000000" w:themeColor="text1"/>
        </w:rPr>
        <w:t>, only capital expenditure (</w:t>
      </w:r>
      <w:r w:rsidR="00A460A5">
        <w:rPr>
          <w:rFonts w:ascii="Times New Roman" w:hAnsi="Times New Roman" w:cs="Times New Roman"/>
          <w:i/>
          <w:iCs/>
          <w:color w:val="000000" w:themeColor="text1"/>
        </w:rPr>
        <w:t>Ca</w:t>
      </w:r>
      <w:r w:rsidRPr="00A84E80">
        <w:rPr>
          <w:rFonts w:ascii="Times New Roman" w:hAnsi="Times New Roman" w:cs="Times New Roman"/>
          <w:i/>
          <w:iCs/>
          <w:color w:val="000000" w:themeColor="text1"/>
        </w:rPr>
        <w:t>pex</w:t>
      </w:r>
      <w:r w:rsidRPr="009F065E">
        <w:rPr>
          <w:rFonts w:ascii="Times New Roman" w:hAnsi="Times New Roman" w:cs="Times New Roman"/>
          <w:color w:val="000000" w:themeColor="text1"/>
        </w:rPr>
        <w:t xml:space="preserve">) is found to have an inverse association with </w:t>
      </w:r>
      <w:r w:rsidR="00A460A5">
        <w:rPr>
          <w:rFonts w:ascii="Times New Roman" w:hAnsi="Times New Roman" w:cs="Times New Roman"/>
          <w:color w:val="000000" w:themeColor="text1"/>
        </w:rPr>
        <w:t xml:space="preserve">actual </w:t>
      </w:r>
      <w:r w:rsidRPr="00A84E80">
        <w:rPr>
          <w:rFonts w:ascii="Times New Roman" w:hAnsi="Times New Roman" w:cs="Times New Roman"/>
          <w:i/>
          <w:iCs/>
          <w:color w:val="000000" w:themeColor="text1"/>
        </w:rPr>
        <w:t>GHG</w:t>
      </w:r>
      <w:r w:rsidRPr="009F065E">
        <w:rPr>
          <w:rFonts w:ascii="Times New Roman" w:hAnsi="Times New Roman" w:cs="Times New Roman"/>
          <w:color w:val="000000" w:themeColor="text1"/>
        </w:rPr>
        <w:t xml:space="preserve"> emissions</w:t>
      </w:r>
      <w:r w:rsidR="00D93F59">
        <w:rPr>
          <w:rFonts w:ascii="Times New Roman" w:hAnsi="Times New Roman" w:cs="Times New Roman"/>
          <w:color w:val="000000" w:themeColor="text1"/>
        </w:rPr>
        <w:t>, as expected</w:t>
      </w:r>
      <w:r w:rsidRPr="009F065E">
        <w:rPr>
          <w:rFonts w:ascii="Times New Roman" w:hAnsi="Times New Roman" w:cs="Times New Roman"/>
          <w:color w:val="000000" w:themeColor="text1"/>
        </w:rPr>
        <w:t>.</w:t>
      </w:r>
      <w:r w:rsidR="005E7222">
        <w:rPr>
          <w:rFonts w:ascii="Times New Roman" w:hAnsi="Times New Roman" w:cs="Times New Roman"/>
          <w:color w:val="000000" w:themeColor="text1"/>
        </w:rPr>
        <w:t xml:space="preserve"> This indicates that an increase in investment in long-term </w:t>
      </w:r>
      <w:r w:rsidR="0094077E">
        <w:rPr>
          <w:rFonts w:ascii="Times New Roman" w:hAnsi="Times New Roman" w:cs="Times New Roman"/>
          <w:color w:val="000000" w:themeColor="text1"/>
        </w:rPr>
        <w:t>capital-intensive</w:t>
      </w:r>
      <w:r w:rsidR="005E7222">
        <w:rPr>
          <w:rFonts w:ascii="Times New Roman" w:hAnsi="Times New Roman" w:cs="Times New Roman"/>
          <w:color w:val="000000" w:themeColor="text1"/>
        </w:rPr>
        <w:t xml:space="preserve"> projects is likely to reduce actual GHG emissions.</w:t>
      </w:r>
    </w:p>
    <w:p w14:paraId="27532A2A" w14:textId="119EF435" w:rsidR="00C300C6" w:rsidRDefault="009F065E" w:rsidP="00BC49E4">
      <w:pPr>
        <w:spacing w:after="0" w:line="360" w:lineRule="auto"/>
        <w:ind w:firstLine="720"/>
        <w:jc w:val="both"/>
        <w:rPr>
          <w:rFonts w:ascii="Times New Roman" w:hAnsi="Times New Roman" w:cs="Times New Roman"/>
        </w:rPr>
      </w:pPr>
      <w:r w:rsidRPr="009F065E">
        <w:rPr>
          <w:rFonts w:ascii="Times New Roman" w:hAnsi="Times New Roman" w:cs="Times New Roman"/>
          <w:color w:val="000000" w:themeColor="text1"/>
        </w:rPr>
        <w:t>Overall, our estimat</w:t>
      </w:r>
      <w:r w:rsidR="00D737BF">
        <w:rPr>
          <w:rFonts w:ascii="Times New Roman" w:hAnsi="Times New Roman" w:cs="Times New Roman"/>
          <w:color w:val="000000" w:themeColor="text1"/>
        </w:rPr>
        <w:t>ed</w:t>
      </w:r>
      <w:r w:rsidRPr="009F065E">
        <w:rPr>
          <w:rFonts w:ascii="Times New Roman" w:hAnsi="Times New Roman" w:cs="Times New Roman"/>
          <w:color w:val="000000" w:themeColor="text1"/>
        </w:rPr>
        <w:t xml:space="preserve"> results </w:t>
      </w:r>
      <w:r w:rsidR="00252363">
        <w:rPr>
          <w:rFonts w:ascii="Times New Roman" w:hAnsi="Times New Roman" w:cs="Times New Roman"/>
          <w:color w:val="000000" w:themeColor="text1"/>
        </w:rPr>
        <w:t>offer support for</w:t>
      </w:r>
      <w:r w:rsidRPr="009F065E">
        <w:rPr>
          <w:rFonts w:ascii="Times New Roman" w:hAnsi="Times New Roman" w:cs="Times New Roman"/>
          <w:color w:val="000000" w:themeColor="text1"/>
        </w:rPr>
        <w:t xml:space="preserve"> </w:t>
      </w:r>
      <w:r w:rsidRPr="00996327">
        <w:rPr>
          <w:rFonts w:ascii="Times New Roman" w:hAnsi="Times New Roman" w:cs="Times New Roman"/>
          <w:i/>
          <w:iCs/>
          <w:color w:val="000000" w:themeColor="text1"/>
        </w:rPr>
        <w:t>Hypothesis 1a</w:t>
      </w:r>
      <w:r w:rsidRPr="009F065E">
        <w:rPr>
          <w:rFonts w:ascii="Times New Roman" w:hAnsi="Times New Roman" w:cs="Times New Roman"/>
          <w:color w:val="000000" w:themeColor="text1"/>
        </w:rPr>
        <w:t xml:space="preserve"> in that the enactment of the Climate Change Act (</w:t>
      </w:r>
      <w:r w:rsidRPr="00821E40">
        <w:rPr>
          <w:rFonts w:ascii="Times New Roman" w:hAnsi="Times New Roman" w:cs="Times New Roman"/>
          <w:i/>
          <w:color w:val="000000" w:themeColor="text1"/>
        </w:rPr>
        <w:t>CCA</w:t>
      </w:r>
      <w:r w:rsidRPr="009F065E">
        <w:rPr>
          <w:rFonts w:ascii="Times New Roman" w:hAnsi="Times New Roman" w:cs="Times New Roman"/>
          <w:color w:val="000000" w:themeColor="text1"/>
        </w:rPr>
        <w:t>) has had a positive effect on carbon reduction initiatives (</w:t>
      </w:r>
      <w:r w:rsidRPr="00821E40">
        <w:rPr>
          <w:rFonts w:ascii="Times New Roman" w:hAnsi="Times New Roman" w:cs="Times New Roman"/>
          <w:i/>
          <w:color w:val="000000" w:themeColor="text1"/>
        </w:rPr>
        <w:t>CRI</w:t>
      </w:r>
      <w:r w:rsidR="00D97B08" w:rsidRPr="00821E40">
        <w:rPr>
          <w:rFonts w:ascii="Times New Roman" w:hAnsi="Times New Roman" w:cs="Times New Roman"/>
          <w:i/>
          <w:color w:val="000000" w:themeColor="text1"/>
        </w:rPr>
        <w:t>s</w:t>
      </w:r>
      <w:r w:rsidRPr="009F065E">
        <w:rPr>
          <w:rFonts w:ascii="Times New Roman" w:hAnsi="Times New Roman" w:cs="Times New Roman"/>
          <w:color w:val="000000" w:themeColor="text1"/>
        </w:rPr>
        <w:t xml:space="preserve">) of </w:t>
      </w:r>
      <w:r w:rsidR="00D97B08">
        <w:rPr>
          <w:rFonts w:ascii="Times New Roman" w:hAnsi="Times New Roman" w:cs="Times New Roman"/>
          <w:color w:val="000000" w:themeColor="text1"/>
        </w:rPr>
        <w:t>the sampled</w:t>
      </w:r>
      <w:r w:rsidRPr="009F065E">
        <w:rPr>
          <w:rFonts w:ascii="Times New Roman" w:hAnsi="Times New Roman" w:cs="Times New Roman"/>
          <w:color w:val="000000" w:themeColor="text1"/>
        </w:rPr>
        <w:t xml:space="preserve"> firm</w:t>
      </w:r>
      <w:r w:rsidR="00D97B08">
        <w:rPr>
          <w:rFonts w:ascii="Times New Roman" w:hAnsi="Times New Roman" w:cs="Times New Roman"/>
          <w:color w:val="000000" w:themeColor="text1"/>
        </w:rPr>
        <w:t>s. By contrast,</w:t>
      </w:r>
      <w:r w:rsidRPr="009F065E">
        <w:rPr>
          <w:rFonts w:ascii="Times New Roman" w:hAnsi="Times New Roman" w:cs="Times New Roman"/>
          <w:color w:val="000000" w:themeColor="text1"/>
        </w:rPr>
        <w:t xml:space="preserve"> the relationship between the </w:t>
      </w:r>
      <w:r w:rsidRPr="00821E40">
        <w:rPr>
          <w:rFonts w:ascii="Times New Roman" w:hAnsi="Times New Roman" w:cs="Times New Roman"/>
          <w:i/>
          <w:color w:val="000000" w:themeColor="text1"/>
        </w:rPr>
        <w:t>CCA</w:t>
      </w:r>
      <w:r w:rsidRPr="009F065E">
        <w:rPr>
          <w:rFonts w:ascii="Times New Roman" w:hAnsi="Times New Roman" w:cs="Times New Roman"/>
          <w:color w:val="000000" w:themeColor="text1"/>
        </w:rPr>
        <w:t xml:space="preserve"> and </w:t>
      </w:r>
      <w:r w:rsidR="00D97B08">
        <w:rPr>
          <w:rFonts w:ascii="Times New Roman" w:hAnsi="Times New Roman" w:cs="Times New Roman"/>
          <w:color w:val="000000" w:themeColor="text1"/>
        </w:rPr>
        <w:t xml:space="preserve">actual </w:t>
      </w:r>
      <w:r w:rsidRPr="009F065E">
        <w:rPr>
          <w:rFonts w:ascii="Times New Roman" w:hAnsi="Times New Roman" w:cs="Times New Roman"/>
          <w:color w:val="000000" w:themeColor="text1"/>
        </w:rPr>
        <w:t xml:space="preserve">GHG emissions is statistically insignificant. This evidence suggests that </w:t>
      </w:r>
      <w:r w:rsidRPr="009F065E">
        <w:rPr>
          <w:rFonts w:ascii="Times New Roman" w:hAnsi="Times New Roman" w:cs="Times New Roman"/>
        </w:rPr>
        <w:t xml:space="preserve">firms </w:t>
      </w:r>
      <w:r w:rsidR="00D97B08">
        <w:rPr>
          <w:rFonts w:ascii="Times New Roman" w:hAnsi="Times New Roman" w:cs="Times New Roman"/>
          <w:color w:val="000000" w:themeColor="text1"/>
        </w:rPr>
        <w:t>appear to</w:t>
      </w:r>
      <w:r w:rsidRPr="009F065E">
        <w:rPr>
          <w:rFonts w:ascii="Times New Roman" w:hAnsi="Times New Roman" w:cs="Times New Roman"/>
          <w:color w:val="000000" w:themeColor="text1"/>
        </w:rPr>
        <w:t xml:space="preserve"> respond </w:t>
      </w:r>
      <w:r w:rsidR="00D97B08">
        <w:rPr>
          <w:rFonts w:ascii="Times New Roman" w:hAnsi="Times New Roman" w:cs="Times New Roman"/>
          <w:color w:val="000000" w:themeColor="text1"/>
        </w:rPr>
        <w:t xml:space="preserve">positively </w:t>
      </w:r>
      <w:r w:rsidRPr="009F065E">
        <w:rPr>
          <w:rFonts w:ascii="Times New Roman" w:hAnsi="Times New Roman" w:cs="Times New Roman"/>
          <w:color w:val="000000" w:themeColor="text1"/>
        </w:rPr>
        <w:t xml:space="preserve">to the enactment of </w:t>
      </w:r>
      <w:r w:rsidR="001F0BD3">
        <w:rPr>
          <w:rFonts w:ascii="Times New Roman" w:hAnsi="Times New Roman" w:cs="Times New Roman"/>
          <w:color w:val="000000" w:themeColor="text1"/>
        </w:rPr>
        <w:t xml:space="preserve">the </w:t>
      </w:r>
      <w:r w:rsidRPr="00821E40">
        <w:rPr>
          <w:rFonts w:ascii="Times New Roman" w:hAnsi="Times New Roman" w:cs="Times New Roman"/>
          <w:i/>
          <w:color w:val="000000" w:themeColor="text1"/>
        </w:rPr>
        <w:t>CCA</w:t>
      </w:r>
      <w:r w:rsidRPr="009F065E">
        <w:rPr>
          <w:rFonts w:ascii="Times New Roman" w:hAnsi="Times New Roman" w:cs="Times New Roman"/>
          <w:color w:val="000000" w:themeColor="text1"/>
        </w:rPr>
        <w:t xml:space="preserve"> and other regulatory guidelines strategically</w:t>
      </w:r>
      <w:r w:rsidR="00D97B08">
        <w:rPr>
          <w:rFonts w:ascii="Times New Roman" w:hAnsi="Times New Roman" w:cs="Times New Roman"/>
          <w:color w:val="000000" w:themeColor="text1"/>
        </w:rPr>
        <w:t xml:space="preserve"> (symbolically)</w:t>
      </w:r>
      <w:r w:rsidRPr="009F065E">
        <w:rPr>
          <w:rFonts w:ascii="Times New Roman" w:hAnsi="Times New Roman" w:cs="Times New Roman"/>
          <w:color w:val="000000" w:themeColor="text1"/>
        </w:rPr>
        <w:t xml:space="preserve"> by demonstrating ‘good process-oriented </w:t>
      </w:r>
      <w:r w:rsidR="00D97B08">
        <w:rPr>
          <w:rFonts w:ascii="Times New Roman" w:hAnsi="Times New Roman" w:cs="Times New Roman"/>
          <w:color w:val="000000" w:themeColor="text1"/>
        </w:rPr>
        <w:t xml:space="preserve">environmental </w:t>
      </w:r>
      <w:r w:rsidRPr="009F065E">
        <w:rPr>
          <w:rFonts w:ascii="Times New Roman" w:hAnsi="Times New Roman" w:cs="Times New Roman"/>
          <w:color w:val="000000" w:themeColor="text1"/>
        </w:rPr>
        <w:t>performance’</w:t>
      </w:r>
      <w:r w:rsidR="00D97B08">
        <w:rPr>
          <w:rFonts w:ascii="Times New Roman" w:hAnsi="Times New Roman" w:cs="Times New Roman"/>
          <w:color w:val="000000" w:themeColor="text1"/>
        </w:rPr>
        <w:t xml:space="preserve"> activities,</w:t>
      </w:r>
      <w:r w:rsidRPr="009F065E">
        <w:rPr>
          <w:rFonts w:ascii="Times New Roman" w:hAnsi="Times New Roman" w:cs="Times New Roman"/>
          <w:color w:val="000000" w:themeColor="text1"/>
        </w:rPr>
        <w:t xml:space="preserve"> such as carbon reduction planning, processes and disclosures,</w:t>
      </w:r>
      <w:r w:rsidR="00D97B08">
        <w:rPr>
          <w:rFonts w:ascii="Times New Roman" w:hAnsi="Times New Roman" w:cs="Times New Roman"/>
          <w:color w:val="000000" w:themeColor="text1"/>
        </w:rPr>
        <w:t xml:space="preserve"> but such </w:t>
      </w:r>
      <w:r w:rsidR="00D97B08" w:rsidRPr="00821E40">
        <w:rPr>
          <w:rFonts w:ascii="Times New Roman" w:hAnsi="Times New Roman" w:cs="Times New Roman"/>
          <w:i/>
          <w:color w:val="000000" w:themeColor="text1"/>
        </w:rPr>
        <w:t>CRIs</w:t>
      </w:r>
      <w:r w:rsidR="00D97B08">
        <w:rPr>
          <w:rFonts w:ascii="Times New Roman" w:hAnsi="Times New Roman" w:cs="Times New Roman"/>
          <w:color w:val="000000" w:themeColor="text1"/>
        </w:rPr>
        <w:t xml:space="preserve"> do not necessarily result </w:t>
      </w:r>
      <w:r w:rsidR="00BD6489">
        <w:rPr>
          <w:rFonts w:ascii="Times New Roman" w:hAnsi="Times New Roman" w:cs="Times New Roman"/>
          <w:color w:val="000000" w:themeColor="text1"/>
        </w:rPr>
        <w:lastRenderedPageBreak/>
        <w:t xml:space="preserve">in </w:t>
      </w:r>
      <w:r w:rsidR="00D97B08">
        <w:rPr>
          <w:rFonts w:ascii="Times New Roman" w:hAnsi="Times New Roman" w:cs="Times New Roman"/>
          <w:color w:val="000000" w:themeColor="text1"/>
        </w:rPr>
        <w:t xml:space="preserve">substantive (significant) improvements in </w:t>
      </w:r>
      <w:r w:rsidRPr="009F065E">
        <w:rPr>
          <w:rFonts w:ascii="Times New Roman" w:hAnsi="Times New Roman" w:cs="Times New Roman"/>
          <w:color w:val="000000" w:themeColor="text1"/>
        </w:rPr>
        <w:t>‘actual carbon performance’</w:t>
      </w:r>
      <w:r w:rsidR="005F4647">
        <w:rPr>
          <w:rFonts w:ascii="Times New Roman" w:hAnsi="Times New Roman" w:cs="Times New Roman"/>
          <w:color w:val="000000" w:themeColor="text1"/>
        </w:rPr>
        <w:t>,</w:t>
      </w:r>
      <w:r w:rsidRPr="009F065E">
        <w:rPr>
          <w:rFonts w:ascii="Times New Roman" w:hAnsi="Times New Roman" w:cs="Times New Roman"/>
          <w:color w:val="000000" w:themeColor="text1"/>
        </w:rPr>
        <w:t xml:space="preserve"> such as</w:t>
      </w:r>
      <w:r w:rsidR="005F4647">
        <w:rPr>
          <w:rFonts w:ascii="Times New Roman" w:hAnsi="Times New Roman" w:cs="Times New Roman"/>
          <w:color w:val="000000" w:themeColor="text1"/>
        </w:rPr>
        <w:t xml:space="preserve"> observable</w:t>
      </w:r>
      <w:r w:rsidRPr="009F065E">
        <w:rPr>
          <w:rFonts w:ascii="Times New Roman" w:hAnsi="Times New Roman" w:cs="Times New Roman"/>
          <w:color w:val="000000" w:themeColor="text1"/>
        </w:rPr>
        <w:t xml:space="preserve"> reduction</w:t>
      </w:r>
      <w:r w:rsidR="005F4647">
        <w:rPr>
          <w:rFonts w:ascii="Times New Roman" w:hAnsi="Times New Roman" w:cs="Times New Roman"/>
          <w:color w:val="000000" w:themeColor="text1"/>
        </w:rPr>
        <w:t>s</w:t>
      </w:r>
      <w:r w:rsidRPr="009F065E">
        <w:rPr>
          <w:rFonts w:ascii="Times New Roman" w:hAnsi="Times New Roman" w:cs="Times New Roman"/>
          <w:color w:val="000000" w:themeColor="text1"/>
        </w:rPr>
        <w:t xml:space="preserve"> </w:t>
      </w:r>
      <w:r w:rsidR="005F4647">
        <w:rPr>
          <w:rFonts w:ascii="Times New Roman" w:hAnsi="Times New Roman" w:cs="Times New Roman"/>
          <w:color w:val="000000" w:themeColor="text1"/>
        </w:rPr>
        <w:t>in</w:t>
      </w:r>
      <w:r w:rsidRPr="009F065E">
        <w:rPr>
          <w:rFonts w:ascii="Times New Roman" w:hAnsi="Times New Roman" w:cs="Times New Roman"/>
          <w:color w:val="000000" w:themeColor="text1"/>
        </w:rPr>
        <w:t xml:space="preserve"> GHG emissions. This evidence is in line with the a growing body of related studies (such as, Cong </w:t>
      </w:r>
      <w:r w:rsidR="00403C43">
        <w:rPr>
          <w:rFonts w:ascii="Times New Roman" w:hAnsi="Times New Roman" w:cs="Times New Roman"/>
          <w:color w:val="000000" w:themeColor="text1"/>
        </w:rPr>
        <w:t>and</w:t>
      </w:r>
      <w:r w:rsidRPr="009F065E">
        <w:rPr>
          <w:rFonts w:ascii="Times New Roman" w:hAnsi="Times New Roman" w:cs="Times New Roman"/>
          <w:color w:val="000000" w:themeColor="text1"/>
        </w:rPr>
        <w:t xml:space="preserve"> Freedman, 2011; Boiral, 2014; </w:t>
      </w:r>
      <w:r w:rsidRPr="009F065E">
        <w:rPr>
          <w:rFonts w:ascii="Times New Roman" w:hAnsi="Times New Roman" w:cs="Times New Roman"/>
        </w:rPr>
        <w:t xml:space="preserve">Boiral </w:t>
      </w:r>
      <w:r w:rsidR="00403C43">
        <w:rPr>
          <w:rFonts w:ascii="Times New Roman" w:hAnsi="Times New Roman" w:cs="Times New Roman"/>
        </w:rPr>
        <w:t>and</w:t>
      </w:r>
      <w:r w:rsidRPr="009F065E">
        <w:rPr>
          <w:rFonts w:ascii="Times New Roman" w:hAnsi="Times New Roman" w:cs="Times New Roman"/>
        </w:rPr>
        <w:t xml:space="preserve"> Henri, 2012; Alberto</w:t>
      </w:r>
      <w:r w:rsidR="00970076">
        <w:rPr>
          <w:rFonts w:ascii="Times New Roman" w:hAnsi="Times New Roman" w:cs="Times New Roman"/>
        </w:rPr>
        <w:t>-</w:t>
      </w:r>
      <w:r w:rsidRPr="009F065E">
        <w:rPr>
          <w:rFonts w:ascii="Times New Roman" w:hAnsi="Times New Roman" w:cs="Times New Roman"/>
        </w:rPr>
        <w:t xml:space="preserve">Gomez </w:t>
      </w:r>
      <w:r w:rsidR="00403C43">
        <w:rPr>
          <w:rFonts w:ascii="Times New Roman" w:hAnsi="Times New Roman" w:cs="Times New Roman"/>
        </w:rPr>
        <w:t>and</w:t>
      </w:r>
      <w:r w:rsidRPr="009F065E">
        <w:rPr>
          <w:rFonts w:ascii="Times New Roman" w:hAnsi="Times New Roman" w:cs="Times New Roman"/>
        </w:rPr>
        <w:t xml:space="preserve">  Rodriguez, 2011; </w:t>
      </w:r>
      <w:r w:rsidRPr="009F065E">
        <w:rPr>
          <w:rFonts w:ascii="Times New Roman" w:hAnsi="Times New Roman" w:cs="Times New Roman"/>
          <w:lang w:val="en-US"/>
        </w:rPr>
        <w:t>Morhardt et al., 2002</w:t>
      </w:r>
      <w:r w:rsidRPr="009F065E">
        <w:rPr>
          <w:rFonts w:ascii="Times New Roman" w:hAnsi="Times New Roman" w:cs="Times New Roman"/>
        </w:rPr>
        <w:t xml:space="preserve">) that show evidence of symbolic environmental commitments or </w:t>
      </w:r>
      <w:r w:rsidR="005378F1">
        <w:rPr>
          <w:rFonts w:ascii="Times New Roman" w:hAnsi="Times New Roman" w:cs="Times New Roman"/>
        </w:rPr>
        <w:t>‘</w:t>
      </w:r>
      <w:r w:rsidRPr="009F065E">
        <w:rPr>
          <w:rFonts w:ascii="Times New Roman" w:hAnsi="Times New Roman" w:cs="Times New Roman"/>
        </w:rPr>
        <w:t>greenwashing</w:t>
      </w:r>
      <w:r w:rsidR="005378F1">
        <w:rPr>
          <w:rFonts w:ascii="Times New Roman" w:hAnsi="Times New Roman" w:cs="Times New Roman"/>
        </w:rPr>
        <w:t>’</w:t>
      </w:r>
      <w:r w:rsidRPr="009F065E">
        <w:rPr>
          <w:rFonts w:ascii="Times New Roman" w:hAnsi="Times New Roman" w:cs="Times New Roman"/>
        </w:rPr>
        <w:t xml:space="preserve"> or </w:t>
      </w:r>
      <w:r w:rsidR="005378F1">
        <w:rPr>
          <w:rFonts w:ascii="Times New Roman" w:hAnsi="Times New Roman" w:cs="Times New Roman"/>
        </w:rPr>
        <w:t>‘</w:t>
      </w:r>
      <w:r w:rsidRPr="009F065E">
        <w:rPr>
          <w:rFonts w:ascii="Times New Roman" w:hAnsi="Times New Roman" w:cs="Times New Roman"/>
        </w:rPr>
        <w:t>impression management</w:t>
      </w:r>
      <w:r w:rsidR="005378F1">
        <w:rPr>
          <w:rFonts w:ascii="Times New Roman" w:hAnsi="Times New Roman" w:cs="Times New Roman"/>
        </w:rPr>
        <w:t>’</w:t>
      </w:r>
      <w:r w:rsidRPr="009F065E">
        <w:rPr>
          <w:rFonts w:ascii="Times New Roman" w:hAnsi="Times New Roman" w:cs="Times New Roman"/>
        </w:rPr>
        <w:t xml:space="preserve"> strategies of firms in the forms of an enhanced environmental disclosures or an adoption of environmental management standards (such as ISO 14001</w:t>
      </w:r>
      <w:r w:rsidR="005378F1">
        <w:rPr>
          <w:rFonts w:ascii="Times New Roman" w:hAnsi="Times New Roman" w:cs="Times New Roman"/>
        </w:rPr>
        <w:t xml:space="preserve">; </w:t>
      </w:r>
      <w:r w:rsidR="00E903BD">
        <w:rPr>
          <w:rFonts w:ascii="Times New Roman" w:hAnsi="Times New Roman" w:cs="Times New Roman"/>
        </w:rPr>
        <w:t xml:space="preserve">GRI reporting framework; </w:t>
      </w:r>
      <w:r w:rsidR="005378F1">
        <w:rPr>
          <w:rFonts w:ascii="Times New Roman" w:hAnsi="Times New Roman" w:cs="Times New Roman"/>
        </w:rPr>
        <w:t>UNGC affiliation</w:t>
      </w:r>
      <w:r w:rsidRPr="009F065E">
        <w:rPr>
          <w:rFonts w:ascii="Times New Roman" w:hAnsi="Times New Roman" w:cs="Times New Roman"/>
        </w:rPr>
        <w:t xml:space="preserve">), even though these commitments are not reflected in actual environmental performance. </w:t>
      </w:r>
      <w:r w:rsidR="00AB6CC6">
        <w:rPr>
          <w:rFonts w:ascii="Times New Roman" w:hAnsi="Times New Roman" w:cs="Times New Roman"/>
        </w:rPr>
        <w:t>Theoretically, t</w:t>
      </w:r>
      <w:r w:rsidR="004B30BF">
        <w:rPr>
          <w:rFonts w:ascii="Times New Roman" w:hAnsi="Times New Roman" w:cs="Times New Roman"/>
        </w:rPr>
        <w:t xml:space="preserve">his is consistent with the predictions </w:t>
      </w:r>
      <w:r w:rsidR="00AB6CC6">
        <w:rPr>
          <w:rFonts w:ascii="Times New Roman" w:hAnsi="Times New Roman" w:cs="Times New Roman"/>
        </w:rPr>
        <w:t>of</w:t>
      </w:r>
      <w:r w:rsidR="004B30BF">
        <w:rPr>
          <w:rFonts w:ascii="Times New Roman" w:hAnsi="Times New Roman" w:cs="Times New Roman"/>
        </w:rPr>
        <w:t xml:space="preserve"> </w:t>
      </w:r>
      <w:r w:rsidR="00E903BD">
        <w:rPr>
          <w:rFonts w:ascii="Times New Roman" w:hAnsi="Times New Roman" w:cs="Times New Roman"/>
        </w:rPr>
        <w:t xml:space="preserve">our </w:t>
      </w:r>
      <w:r w:rsidR="004B30BF">
        <w:rPr>
          <w:rFonts w:ascii="Times New Roman" w:hAnsi="Times New Roman" w:cs="Times New Roman"/>
        </w:rPr>
        <w:t>neo-institutional theor</w:t>
      </w:r>
      <w:r w:rsidR="00E903BD">
        <w:rPr>
          <w:rFonts w:ascii="Times New Roman" w:hAnsi="Times New Roman" w:cs="Times New Roman"/>
        </w:rPr>
        <w:t>etical framework</w:t>
      </w:r>
      <w:r w:rsidR="004B30BF">
        <w:rPr>
          <w:rFonts w:ascii="Times New Roman" w:hAnsi="Times New Roman" w:cs="Times New Roman"/>
        </w:rPr>
        <w:t xml:space="preserve"> that due to </w:t>
      </w:r>
      <w:r w:rsidR="00E903BD">
        <w:rPr>
          <w:rFonts w:ascii="Times New Roman" w:hAnsi="Times New Roman" w:cs="Times New Roman"/>
        </w:rPr>
        <w:t>coercive/</w:t>
      </w:r>
      <w:r w:rsidR="004B30BF">
        <w:rPr>
          <w:rFonts w:ascii="Times New Roman" w:hAnsi="Times New Roman" w:cs="Times New Roman"/>
        </w:rPr>
        <w:t xml:space="preserve">regulative, </w:t>
      </w:r>
      <w:r w:rsidR="00E903BD">
        <w:rPr>
          <w:rFonts w:ascii="Times New Roman" w:hAnsi="Times New Roman" w:cs="Times New Roman"/>
        </w:rPr>
        <w:t>cognitive/</w:t>
      </w:r>
      <w:r w:rsidR="004B30BF">
        <w:rPr>
          <w:rFonts w:ascii="Times New Roman" w:hAnsi="Times New Roman" w:cs="Times New Roman"/>
        </w:rPr>
        <w:t xml:space="preserve">mimetic and normative pressures, such as those posed by the </w:t>
      </w:r>
      <w:r w:rsidR="004B30BF" w:rsidRPr="00821E40">
        <w:rPr>
          <w:rFonts w:ascii="Times New Roman" w:hAnsi="Times New Roman" w:cs="Times New Roman"/>
          <w:i/>
        </w:rPr>
        <w:t>CCA</w:t>
      </w:r>
      <w:r w:rsidR="00E903BD">
        <w:rPr>
          <w:rFonts w:ascii="Times New Roman" w:hAnsi="Times New Roman" w:cs="Times New Roman"/>
        </w:rPr>
        <w:t xml:space="preserve">, </w:t>
      </w:r>
      <w:r w:rsidR="00E903BD" w:rsidRPr="00821E40">
        <w:rPr>
          <w:rFonts w:ascii="Times New Roman" w:hAnsi="Times New Roman" w:cs="Times New Roman"/>
          <w:i/>
        </w:rPr>
        <w:t>GRI</w:t>
      </w:r>
      <w:r w:rsidR="00E903BD">
        <w:rPr>
          <w:rFonts w:ascii="Times New Roman" w:hAnsi="Times New Roman" w:cs="Times New Roman"/>
        </w:rPr>
        <w:t xml:space="preserve"> and </w:t>
      </w:r>
      <w:r w:rsidR="00E903BD" w:rsidRPr="00821E40">
        <w:rPr>
          <w:rFonts w:ascii="Times New Roman" w:hAnsi="Times New Roman" w:cs="Times New Roman"/>
          <w:i/>
        </w:rPr>
        <w:t>UNGC</w:t>
      </w:r>
      <w:r w:rsidR="004B30BF">
        <w:rPr>
          <w:rFonts w:ascii="Times New Roman" w:hAnsi="Times New Roman" w:cs="Times New Roman"/>
        </w:rPr>
        <w:t xml:space="preserve">, firms are more likely to symbolically commit to implementing </w:t>
      </w:r>
      <w:r w:rsidR="00297F55">
        <w:rPr>
          <w:rFonts w:ascii="Times New Roman" w:hAnsi="Times New Roman" w:cs="Times New Roman"/>
        </w:rPr>
        <w:t>the</w:t>
      </w:r>
      <w:r w:rsidR="00E903BD">
        <w:rPr>
          <w:rFonts w:ascii="Times New Roman" w:hAnsi="Times New Roman" w:cs="Times New Roman"/>
        </w:rPr>
        <w:t xml:space="preserve"> </w:t>
      </w:r>
      <w:r w:rsidR="00297F55">
        <w:rPr>
          <w:rFonts w:ascii="Times New Roman" w:hAnsi="Times New Roman" w:cs="Times New Roman"/>
        </w:rPr>
        <w:t>environmental requirements</w:t>
      </w:r>
      <w:r w:rsidR="00E903BD">
        <w:rPr>
          <w:rFonts w:ascii="Times New Roman" w:hAnsi="Times New Roman" w:cs="Times New Roman"/>
        </w:rPr>
        <w:t xml:space="preserve"> </w:t>
      </w:r>
      <w:r w:rsidR="00297F55">
        <w:rPr>
          <w:rFonts w:ascii="Times New Roman" w:hAnsi="Times New Roman" w:cs="Times New Roman"/>
        </w:rPr>
        <w:t xml:space="preserve">contained in them by engaging in several </w:t>
      </w:r>
      <w:r w:rsidR="00297F55" w:rsidRPr="00821E40">
        <w:rPr>
          <w:rFonts w:ascii="Times New Roman" w:hAnsi="Times New Roman" w:cs="Times New Roman"/>
          <w:i/>
        </w:rPr>
        <w:t>CRIs</w:t>
      </w:r>
      <w:r w:rsidR="00297F55">
        <w:rPr>
          <w:rFonts w:ascii="Times New Roman" w:hAnsi="Times New Roman" w:cs="Times New Roman"/>
        </w:rPr>
        <w:t xml:space="preserve"> </w:t>
      </w:r>
      <w:r w:rsidR="004B30BF">
        <w:rPr>
          <w:rFonts w:ascii="Times New Roman" w:hAnsi="Times New Roman" w:cs="Times New Roman"/>
        </w:rPr>
        <w:t>in order to legitimise their operations w</w:t>
      </w:r>
      <w:r w:rsidR="00297F55">
        <w:rPr>
          <w:rFonts w:ascii="Times New Roman" w:hAnsi="Times New Roman" w:cs="Times New Roman"/>
        </w:rPr>
        <w:t xml:space="preserve">ithout </w:t>
      </w:r>
      <w:r w:rsidR="00297F55">
        <w:rPr>
          <w:rFonts w:ascii="Times New Roman" w:hAnsi="Times New Roman" w:cs="Times New Roman"/>
        </w:rPr>
        <w:lastRenderedPageBreak/>
        <w:t>necessarily taking any</w:t>
      </w:r>
      <w:r w:rsidR="004B30BF">
        <w:rPr>
          <w:rFonts w:ascii="Times New Roman" w:hAnsi="Times New Roman" w:cs="Times New Roman"/>
        </w:rPr>
        <w:t xml:space="preserve"> substantive </w:t>
      </w:r>
      <w:r w:rsidR="00E35CC6">
        <w:rPr>
          <w:rFonts w:ascii="Times New Roman" w:hAnsi="Times New Roman" w:cs="Times New Roman"/>
        </w:rPr>
        <w:t xml:space="preserve">actions </w:t>
      </w:r>
      <w:r w:rsidR="00297F55">
        <w:rPr>
          <w:rFonts w:ascii="Times New Roman" w:hAnsi="Times New Roman" w:cs="Times New Roman"/>
        </w:rPr>
        <w:t>that can help to significantly</w:t>
      </w:r>
      <w:r w:rsidR="004B30BF">
        <w:rPr>
          <w:rFonts w:ascii="Times New Roman" w:hAnsi="Times New Roman" w:cs="Times New Roman"/>
        </w:rPr>
        <w:t xml:space="preserve"> </w:t>
      </w:r>
      <w:r w:rsidR="00E35CC6">
        <w:rPr>
          <w:rFonts w:ascii="Times New Roman" w:hAnsi="Times New Roman" w:cs="Times New Roman"/>
        </w:rPr>
        <w:t xml:space="preserve">reduce actual GHG </w:t>
      </w:r>
      <w:r w:rsidR="004B30BF">
        <w:rPr>
          <w:rFonts w:ascii="Times New Roman" w:hAnsi="Times New Roman" w:cs="Times New Roman"/>
        </w:rPr>
        <w:t>emissions</w:t>
      </w:r>
      <w:r w:rsidR="00E35CC6">
        <w:rPr>
          <w:rFonts w:ascii="Times New Roman" w:hAnsi="Times New Roman" w:cs="Times New Roman"/>
        </w:rPr>
        <w:t>.</w:t>
      </w:r>
      <w:r w:rsidR="004B30BF">
        <w:rPr>
          <w:rFonts w:ascii="Times New Roman" w:hAnsi="Times New Roman" w:cs="Times New Roman"/>
        </w:rPr>
        <w:t xml:space="preserve"> </w:t>
      </w:r>
    </w:p>
    <w:p w14:paraId="3C855B69" w14:textId="4397C8B0" w:rsidR="00C300C6" w:rsidRDefault="009F065E" w:rsidP="00BC49E4">
      <w:pPr>
        <w:spacing w:after="0" w:line="360" w:lineRule="auto"/>
        <w:ind w:firstLine="720"/>
        <w:jc w:val="both"/>
        <w:rPr>
          <w:rFonts w:ascii="Times New Roman" w:hAnsi="Times New Roman" w:cs="Times New Roman"/>
          <w:color w:val="000000" w:themeColor="text1"/>
        </w:rPr>
      </w:pPr>
      <w:r w:rsidRPr="009F065E">
        <w:rPr>
          <w:rFonts w:ascii="Times New Roman" w:hAnsi="Times New Roman" w:cs="Times New Roman"/>
          <w:color w:val="000000" w:themeColor="text1"/>
        </w:rPr>
        <w:t xml:space="preserve">Our evidence further </w:t>
      </w:r>
      <w:r w:rsidR="00162F63">
        <w:rPr>
          <w:rFonts w:ascii="Times New Roman" w:hAnsi="Times New Roman" w:cs="Times New Roman"/>
          <w:color w:val="000000" w:themeColor="text1"/>
        </w:rPr>
        <w:t>supports</w:t>
      </w:r>
      <w:r w:rsidR="00162F63" w:rsidRPr="009F065E">
        <w:rPr>
          <w:rFonts w:ascii="Times New Roman" w:hAnsi="Times New Roman" w:cs="Times New Roman"/>
          <w:color w:val="000000" w:themeColor="text1"/>
        </w:rPr>
        <w:t xml:space="preserve"> </w:t>
      </w:r>
      <w:r w:rsidRPr="00996327">
        <w:rPr>
          <w:rFonts w:ascii="Times New Roman" w:hAnsi="Times New Roman" w:cs="Times New Roman"/>
          <w:i/>
          <w:iCs/>
          <w:color w:val="000000" w:themeColor="text1"/>
        </w:rPr>
        <w:t>Hypotheses 1b</w:t>
      </w:r>
      <w:r w:rsidRPr="009F065E">
        <w:rPr>
          <w:rFonts w:ascii="Times New Roman" w:hAnsi="Times New Roman" w:cs="Times New Roman"/>
          <w:color w:val="000000" w:themeColor="text1"/>
        </w:rPr>
        <w:t xml:space="preserve"> and </w:t>
      </w:r>
      <w:r w:rsidRPr="00996327">
        <w:rPr>
          <w:rFonts w:ascii="Times New Roman" w:hAnsi="Times New Roman" w:cs="Times New Roman"/>
          <w:i/>
          <w:iCs/>
          <w:color w:val="000000" w:themeColor="text1"/>
        </w:rPr>
        <w:t>1c</w:t>
      </w:r>
      <w:r w:rsidRPr="009F065E">
        <w:rPr>
          <w:rFonts w:ascii="Times New Roman" w:hAnsi="Times New Roman" w:cs="Times New Roman"/>
          <w:color w:val="000000" w:themeColor="text1"/>
        </w:rPr>
        <w:t xml:space="preserve"> in that the interactions of </w:t>
      </w:r>
      <w:r w:rsidRPr="00821E40">
        <w:rPr>
          <w:rFonts w:ascii="Times New Roman" w:hAnsi="Times New Roman" w:cs="Times New Roman"/>
          <w:i/>
          <w:color w:val="000000" w:themeColor="text1"/>
        </w:rPr>
        <w:t>CCA</w:t>
      </w:r>
      <w:r w:rsidRPr="009F065E">
        <w:rPr>
          <w:rFonts w:ascii="Times New Roman" w:hAnsi="Times New Roman" w:cs="Times New Roman"/>
          <w:color w:val="000000" w:themeColor="text1"/>
        </w:rPr>
        <w:t xml:space="preserve"> with executive compensation</w:t>
      </w:r>
      <w:r w:rsidR="00FC68E3">
        <w:rPr>
          <w:rFonts w:ascii="Times New Roman" w:hAnsi="Times New Roman" w:cs="Times New Roman"/>
          <w:color w:val="000000" w:themeColor="text1"/>
        </w:rPr>
        <w:t xml:space="preserve">, </w:t>
      </w:r>
      <w:r w:rsidRPr="009F065E">
        <w:rPr>
          <w:rFonts w:ascii="Times New Roman" w:hAnsi="Times New Roman" w:cs="Times New Roman"/>
          <w:color w:val="000000" w:themeColor="text1"/>
        </w:rPr>
        <w:t xml:space="preserve">and board independence have statistically significant positive associations with </w:t>
      </w:r>
      <w:r w:rsidRPr="00821E40">
        <w:rPr>
          <w:rFonts w:ascii="Times New Roman" w:hAnsi="Times New Roman" w:cs="Times New Roman"/>
          <w:i/>
          <w:color w:val="000000" w:themeColor="text1"/>
        </w:rPr>
        <w:t>CRI</w:t>
      </w:r>
      <w:r w:rsidR="00F1131B" w:rsidRPr="00821E40">
        <w:rPr>
          <w:rFonts w:ascii="Times New Roman" w:hAnsi="Times New Roman" w:cs="Times New Roman"/>
          <w:i/>
          <w:color w:val="000000" w:themeColor="text1"/>
        </w:rPr>
        <w:t>s</w:t>
      </w:r>
      <w:r w:rsidRPr="009F065E">
        <w:rPr>
          <w:rFonts w:ascii="Times New Roman" w:hAnsi="Times New Roman" w:cs="Times New Roman"/>
          <w:color w:val="000000" w:themeColor="text1"/>
        </w:rPr>
        <w:t xml:space="preserve">, </w:t>
      </w:r>
      <w:r w:rsidR="00F1131B">
        <w:rPr>
          <w:rFonts w:ascii="Times New Roman" w:hAnsi="Times New Roman" w:cs="Times New Roman"/>
          <w:color w:val="000000" w:themeColor="text1"/>
        </w:rPr>
        <w:t xml:space="preserve">whilst similarly </w:t>
      </w:r>
      <w:r w:rsidR="00F275E1">
        <w:rPr>
          <w:rFonts w:ascii="Times New Roman" w:hAnsi="Times New Roman" w:cs="Times New Roman"/>
          <w:color w:val="000000" w:themeColor="text1"/>
        </w:rPr>
        <w:t>insignificantly related to</w:t>
      </w:r>
      <w:r w:rsidRPr="009F065E">
        <w:rPr>
          <w:rFonts w:ascii="Times New Roman" w:hAnsi="Times New Roman" w:cs="Times New Roman"/>
          <w:color w:val="000000" w:themeColor="text1"/>
        </w:rPr>
        <w:t xml:space="preserve"> </w:t>
      </w:r>
      <w:r w:rsidR="00F1131B">
        <w:rPr>
          <w:rFonts w:ascii="Times New Roman" w:hAnsi="Times New Roman" w:cs="Times New Roman"/>
          <w:color w:val="000000" w:themeColor="text1"/>
        </w:rPr>
        <w:t xml:space="preserve">actual </w:t>
      </w:r>
      <w:r w:rsidRPr="009F065E">
        <w:rPr>
          <w:rFonts w:ascii="Times New Roman" w:hAnsi="Times New Roman" w:cs="Times New Roman"/>
          <w:color w:val="000000" w:themeColor="text1"/>
        </w:rPr>
        <w:t xml:space="preserve">GHG emissions. </w:t>
      </w:r>
      <w:r w:rsidR="002009D5">
        <w:rPr>
          <w:rFonts w:ascii="Times New Roman" w:hAnsi="Times New Roman" w:cs="Times New Roman"/>
          <w:color w:val="000000" w:themeColor="text1"/>
        </w:rPr>
        <w:t xml:space="preserve">Altogether, our </w:t>
      </w:r>
      <w:r w:rsidRPr="009F065E">
        <w:rPr>
          <w:rFonts w:ascii="Times New Roman" w:hAnsi="Times New Roman" w:cs="Times New Roman"/>
          <w:color w:val="000000" w:themeColor="text1"/>
        </w:rPr>
        <w:t xml:space="preserve">evidence </w:t>
      </w:r>
      <w:r w:rsidR="00474692">
        <w:rPr>
          <w:rFonts w:ascii="Times New Roman" w:hAnsi="Times New Roman" w:cs="Times New Roman"/>
          <w:color w:val="000000" w:themeColor="text1"/>
        </w:rPr>
        <w:t xml:space="preserve">on executive compensation </w:t>
      </w:r>
      <w:r w:rsidRPr="009F065E">
        <w:rPr>
          <w:rFonts w:ascii="Times New Roman" w:hAnsi="Times New Roman" w:cs="Times New Roman"/>
          <w:color w:val="000000" w:themeColor="text1"/>
        </w:rPr>
        <w:t xml:space="preserve">is broadly in line with the findings of </w:t>
      </w:r>
      <w:r w:rsidRPr="009F065E">
        <w:rPr>
          <w:rFonts w:ascii="Times New Roman" w:hAnsi="Times New Roman" w:cs="Times New Roman"/>
          <w:lang w:val="en-US"/>
        </w:rPr>
        <w:t xml:space="preserve">Cordeiro </w:t>
      </w:r>
      <w:r w:rsidR="0011510E">
        <w:rPr>
          <w:rFonts w:ascii="Times New Roman" w:hAnsi="Times New Roman" w:cs="Times New Roman"/>
          <w:lang w:val="en-US"/>
        </w:rPr>
        <w:t>and</w:t>
      </w:r>
      <w:r w:rsidRPr="009F065E">
        <w:rPr>
          <w:rFonts w:ascii="Times New Roman" w:hAnsi="Times New Roman" w:cs="Times New Roman"/>
          <w:lang w:val="en-US"/>
        </w:rPr>
        <w:t xml:space="preserve"> Sarkis (2008)</w:t>
      </w:r>
      <w:r w:rsidR="00AA4C0A">
        <w:rPr>
          <w:rFonts w:ascii="Times New Roman" w:hAnsi="Times New Roman" w:cs="Times New Roman"/>
          <w:lang w:val="en-US"/>
        </w:rPr>
        <w:t xml:space="preserve"> and Haque (2017)</w:t>
      </w:r>
      <w:r w:rsidR="00010668">
        <w:rPr>
          <w:rFonts w:ascii="Times New Roman" w:hAnsi="Times New Roman" w:cs="Times New Roman"/>
          <w:lang w:val="en-US"/>
        </w:rPr>
        <w:t>.</w:t>
      </w:r>
      <w:r w:rsidRPr="009F065E">
        <w:rPr>
          <w:rFonts w:ascii="Times New Roman" w:hAnsi="Times New Roman" w:cs="Times New Roman"/>
          <w:color w:val="000000" w:themeColor="text1"/>
        </w:rPr>
        <w:t xml:space="preserve">  However, this contradicts with the arguments of Berrone </w:t>
      </w:r>
      <w:r w:rsidR="00403C43">
        <w:rPr>
          <w:rFonts w:ascii="Times New Roman" w:hAnsi="Times New Roman" w:cs="Times New Roman"/>
          <w:color w:val="000000" w:themeColor="text1"/>
        </w:rPr>
        <w:t>and</w:t>
      </w:r>
      <w:r w:rsidRPr="009F065E">
        <w:rPr>
          <w:rFonts w:ascii="Times New Roman" w:hAnsi="Times New Roman" w:cs="Times New Roman"/>
          <w:color w:val="000000" w:themeColor="text1"/>
        </w:rPr>
        <w:t xml:space="preserve"> Gomez-Mejia (2009), since an increased executive compensation does not necessarily moderate the self-serving attitude of the powerful executives, </w:t>
      </w:r>
      <w:r w:rsidR="00F1131B">
        <w:rPr>
          <w:rFonts w:ascii="Times New Roman" w:hAnsi="Times New Roman" w:cs="Times New Roman"/>
          <w:color w:val="000000" w:themeColor="text1"/>
        </w:rPr>
        <w:t>to the extent that it can</w:t>
      </w:r>
      <w:r w:rsidRPr="009F065E">
        <w:rPr>
          <w:rFonts w:ascii="Times New Roman" w:hAnsi="Times New Roman" w:cs="Times New Roman"/>
          <w:color w:val="000000" w:themeColor="text1"/>
        </w:rPr>
        <w:t xml:space="preserve"> motivate them to improve actual environmental performance of </w:t>
      </w:r>
      <w:r w:rsidR="00F1131B">
        <w:rPr>
          <w:rFonts w:ascii="Times New Roman" w:hAnsi="Times New Roman" w:cs="Times New Roman"/>
          <w:color w:val="000000" w:themeColor="text1"/>
        </w:rPr>
        <w:t>their</w:t>
      </w:r>
      <w:r w:rsidRPr="009F065E">
        <w:rPr>
          <w:rFonts w:ascii="Times New Roman" w:hAnsi="Times New Roman" w:cs="Times New Roman"/>
          <w:color w:val="000000" w:themeColor="text1"/>
        </w:rPr>
        <w:t xml:space="preserve"> firm</w:t>
      </w:r>
      <w:r w:rsidR="00F1131B">
        <w:rPr>
          <w:rFonts w:ascii="Times New Roman" w:hAnsi="Times New Roman" w:cs="Times New Roman"/>
          <w:color w:val="000000" w:themeColor="text1"/>
        </w:rPr>
        <w:t>s</w:t>
      </w:r>
      <w:r w:rsidRPr="009F065E">
        <w:rPr>
          <w:rFonts w:ascii="Times New Roman" w:hAnsi="Times New Roman" w:cs="Times New Roman"/>
          <w:color w:val="000000" w:themeColor="text1"/>
        </w:rPr>
        <w:t>. Whilst an independent board is likely to recognise the concerns of external institutions and various other stakeholders about the environment (Liao et al., 2015), it is also committed to improv</w:t>
      </w:r>
      <w:r w:rsidR="00D217EF">
        <w:rPr>
          <w:rFonts w:ascii="Times New Roman" w:hAnsi="Times New Roman" w:cs="Times New Roman"/>
          <w:color w:val="000000" w:themeColor="text1"/>
        </w:rPr>
        <w:t>ing firm</w:t>
      </w:r>
      <w:r w:rsidRPr="009F065E">
        <w:rPr>
          <w:rFonts w:ascii="Times New Roman" w:hAnsi="Times New Roman" w:cs="Times New Roman"/>
          <w:color w:val="000000" w:themeColor="text1"/>
        </w:rPr>
        <w:t xml:space="preserve"> financial performance and shareholder value. Therefore, an independent </w:t>
      </w:r>
      <w:r w:rsidRPr="009F065E">
        <w:rPr>
          <w:rFonts w:ascii="Times New Roman" w:hAnsi="Times New Roman" w:cs="Times New Roman"/>
          <w:color w:val="000000" w:themeColor="text1"/>
        </w:rPr>
        <w:lastRenderedPageBreak/>
        <w:t xml:space="preserve">board might play a balancing act to demonstrate climate-related activisms, whilst protecting the market-centric interests of shareholders. </w:t>
      </w:r>
      <w:r w:rsidR="001835E0">
        <w:rPr>
          <w:rFonts w:ascii="Times New Roman" w:hAnsi="Times New Roman" w:cs="Times New Roman"/>
          <w:color w:val="000000" w:themeColor="text1"/>
        </w:rPr>
        <w:t xml:space="preserve">Our evidence </w:t>
      </w:r>
      <w:r w:rsidR="00C42296">
        <w:rPr>
          <w:rFonts w:ascii="Times New Roman" w:hAnsi="Times New Roman" w:cs="Times New Roman"/>
          <w:color w:val="000000" w:themeColor="text1"/>
        </w:rPr>
        <w:t xml:space="preserve">suggests that </w:t>
      </w:r>
      <w:r w:rsidR="001835E0">
        <w:rPr>
          <w:rFonts w:ascii="Times New Roman" w:hAnsi="Times New Roman" w:cs="Times New Roman"/>
          <w:color w:val="000000" w:themeColor="text1"/>
        </w:rPr>
        <w:t xml:space="preserve">board size </w:t>
      </w:r>
      <w:r w:rsidR="00C42296">
        <w:rPr>
          <w:rFonts w:ascii="Times New Roman" w:hAnsi="Times New Roman" w:cs="Times New Roman"/>
          <w:color w:val="000000" w:themeColor="text1"/>
        </w:rPr>
        <w:t xml:space="preserve">has a </w:t>
      </w:r>
      <w:r w:rsidR="00411B42">
        <w:rPr>
          <w:rFonts w:ascii="Times New Roman" w:hAnsi="Times New Roman" w:cs="Times New Roman"/>
          <w:color w:val="000000" w:themeColor="text1"/>
        </w:rPr>
        <w:t xml:space="preserve">positive </w:t>
      </w:r>
      <w:r w:rsidR="001835E0">
        <w:rPr>
          <w:rFonts w:ascii="Times New Roman" w:hAnsi="Times New Roman" w:cs="Times New Roman"/>
          <w:color w:val="000000" w:themeColor="text1"/>
        </w:rPr>
        <w:t>association with GHG emissions</w:t>
      </w:r>
      <w:r w:rsidR="00C42296">
        <w:rPr>
          <w:rFonts w:ascii="Times New Roman" w:hAnsi="Times New Roman" w:cs="Times New Roman"/>
          <w:color w:val="000000" w:themeColor="text1"/>
        </w:rPr>
        <w:t xml:space="preserve">, a finding that </w:t>
      </w:r>
      <w:r w:rsidR="001835E0">
        <w:rPr>
          <w:rFonts w:ascii="Times New Roman" w:hAnsi="Times New Roman" w:cs="Times New Roman"/>
          <w:color w:val="000000" w:themeColor="text1"/>
        </w:rPr>
        <w:t xml:space="preserve">contradicts </w:t>
      </w:r>
      <w:r w:rsidR="0088143F">
        <w:rPr>
          <w:rFonts w:ascii="Times New Roman" w:hAnsi="Times New Roman" w:cs="Times New Roman"/>
          <w:color w:val="000000" w:themeColor="text1"/>
        </w:rPr>
        <w:t xml:space="preserve">those of </w:t>
      </w:r>
      <w:r w:rsidR="001835E0" w:rsidRPr="009F065E">
        <w:rPr>
          <w:rFonts w:ascii="Times New Roman" w:hAnsi="Times New Roman" w:cs="Times New Roman"/>
          <w:color w:val="000000" w:themeColor="text1"/>
        </w:rPr>
        <w:t>de Vil</w:t>
      </w:r>
      <w:r w:rsidR="001835E0">
        <w:rPr>
          <w:rFonts w:ascii="Times New Roman" w:hAnsi="Times New Roman" w:cs="Times New Roman"/>
          <w:color w:val="000000" w:themeColor="text1"/>
        </w:rPr>
        <w:t>liers et al., (</w:t>
      </w:r>
      <w:r w:rsidR="001835E0" w:rsidRPr="009F065E">
        <w:rPr>
          <w:rFonts w:ascii="Times New Roman" w:hAnsi="Times New Roman" w:cs="Times New Roman"/>
          <w:color w:val="000000" w:themeColor="text1"/>
        </w:rPr>
        <w:t>2011</w:t>
      </w:r>
      <w:r w:rsidR="001835E0">
        <w:rPr>
          <w:rFonts w:ascii="Times New Roman" w:hAnsi="Times New Roman" w:cs="Times New Roman"/>
          <w:color w:val="000000" w:themeColor="text1"/>
        </w:rPr>
        <w:t xml:space="preserve">) and </w:t>
      </w:r>
      <w:hyperlink r:id="rId22" w:history="1">
        <w:r w:rsidR="001835E0" w:rsidRPr="009F065E">
          <w:rPr>
            <w:rStyle w:val="Hyperlink"/>
            <w:rFonts w:ascii="Times New Roman" w:hAnsi="Times New Roman" w:cs="Times New Roman"/>
            <w:color w:val="000000" w:themeColor="text1"/>
            <w:u w:val="none"/>
          </w:rPr>
          <w:t>Tauringana</w:t>
        </w:r>
      </w:hyperlink>
      <w:r w:rsidR="001835E0" w:rsidRPr="009F065E">
        <w:rPr>
          <w:rFonts w:ascii="Times New Roman" w:hAnsi="Times New Roman" w:cs="Times New Roman"/>
          <w:color w:val="000000" w:themeColor="text1"/>
        </w:rPr>
        <w:t xml:space="preserve"> </w:t>
      </w:r>
      <w:r w:rsidR="001835E0">
        <w:rPr>
          <w:rFonts w:ascii="Times New Roman" w:hAnsi="Times New Roman" w:cs="Times New Roman"/>
          <w:color w:val="000000" w:themeColor="text1"/>
        </w:rPr>
        <w:t>and</w:t>
      </w:r>
      <w:r w:rsidR="001835E0" w:rsidRPr="009F065E">
        <w:rPr>
          <w:rFonts w:ascii="Times New Roman" w:hAnsi="Times New Roman" w:cs="Times New Roman"/>
          <w:color w:val="000000" w:themeColor="text1"/>
        </w:rPr>
        <w:t xml:space="preserve"> </w:t>
      </w:r>
      <w:hyperlink r:id="rId23" w:history="1">
        <w:r w:rsidR="001835E0" w:rsidRPr="009F065E">
          <w:rPr>
            <w:rStyle w:val="Hyperlink"/>
            <w:rFonts w:ascii="Times New Roman" w:hAnsi="Times New Roman" w:cs="Times New Roman"/>
            <w:color w:val="000000" w:themeColor="text1"/>
            <w:u w:val="none"/>
          </w:rPr>
          <w:t>Chithambo</w:t>
        </w:r>
      </w:hyperlink>
      <w:r w:rsidR="001835E0">
        <w:rPr>
          <w:rFonts w:ascii="Times New Roman" w:hAnsi="Times New Roman" w:cs="Times New Roman"/>
          <w:color w:val="000000" w:themeColor="text1"/>
        </w:rPr>
        <w:t xml:space="preserve"> (</w:t>
      </w:r>
      <w:r w:rsidR="001835E0" w:rsidRPr="009F065E">
        <w:rPr>
          <w:rFonts w:ascii="Times New Roman" w:hAnsi="Times New Roman" w:cs="Times New Roman"/>
          <w:color w:val="000000" w:themeColor="text1"/>
        </w:rPr>
        <w:t>2015</w:t>
      </w:r>
      <w:r w:rsidR="001835E0">
        <w:rPr>
          <w:rFonts w:ascii="Times New Roman" w:hAnsi="Times New Roman" w:cs="Times New Roman"/>
          <w:color w:val="000000" w:themeColor="text1"/>
        </w:rPr>
        <w:t>)</w:t>
      </w:r>
      <w:r w:rsidR="00C42296">
        <w:rPr>
          <w:rFonts w:ascii="Times New Roman" w:hAnsi="Times New Roman" w:cs="Times New Roman"/>
          <w:color w:val="000000" w:themeColor="text1"/>
        </w:rPr>
        <w:t>,</w:t>
      </w:r>
      <w:r w:rsidR="001835E0">
        <w:rPr>
          <w:rFonts w:ascii="Times New Roman" w:hAnsi="Times New Roman" w:cs="Times New Roman"/>
          <w:color w:val="000000" w:themeColor="text1"/>
        </w:rPr>
        <w:t xml:space="preserve"> and suggests </w:t>
      </w:r>
      <w:r w:rsidR="002B5D58">
        <w:rPr>
          <w:rFonts w:ascii="Times New Roman" w:hAnsi="Times New Roman" w:cs="Times New Roman"/>
          <w:color w:val="000000" w:themeColor="text1"/>
        </w:rPr>
        <w:t xml:space="preserve">that a </w:t>
      </w:r>
      <w:r w:rsidR="001835E0">
        <w:rPr>
          <w:rFonts w:ascii="Times New Roman" w:hAnsi="Times New Roman" w:cs="Times New Roman"/>
          <w:color w:val="000000" w:themeColor="text1"/>
        </w:rPr>
        <w:t xml:space="preserve">large board might </w:t>
      </w:r>
      <w:r w:rsidR="0088143F">
        <w:rPr>
          <w:rFonts w:ascii="Times New Roman" w:hAnsi="Times New Roman" w:cs="Times New Roman"/>
          <w:color w:val="000000" w:themeColor="text1"/>
        </w:rPr>
        <w:t>have</w:t>
      </w:r>
      <w:r w:rsidR="001835E0">
        <w:rPr>
          <w:rFonts w:ascii="Times New Roman" w:hAnsi="Times New Roman" w:cs="Times New Roman"/>
          <w:color w:val="000000" w:themeColor="text1"/>
        </w:rPr>
        <w:t xml:space="preserve"> free-rider</w:t>
      </w:r>
      <w:r w:rsidR="0088143F">
        <w:rPr>
          <w:rFonts w:ascii="Times New Roman" w:hAnsi="Times New Roman" w:cs="Times New Roman"/>
          <w:color w:val="000000" w:themeColor="text1"/>
        </w:rPr>
        <w:t>, communication and co-ordination</w:t>
      </w:r>
      <w:r w:rsidR="001835E0">
        <w:rPr>
          <w:rFonts w:ascii="Times New Roman" w:hAnsi="Times New Roman" w:cs="Times New Roman"/>
          <w:color w:val="000000" w:themeColor="text1"/>
        </w:rPr>
        <w:t xml:space="preserve"> problem</w:t>
      </w:r>
      <w:r w:rsidR="0088143F">
        <w:rPr>
          <w:rFonts w:ascii="Times New Roman" w:hAnsi="Times New Roman" w:cs="Times New Roman"/>
          <w:color w:val="000000" w:themeColor="text1"/>
        </w:rPr>
        <w:t>s that can result in</w:t>
      </w:r>
      <w:r w:rsidR="001835E0">
        <w:rPr>
          <w:rFonts w:ascii="Times New Roman" w:hAnsi="Times New Roman" w:cs="Times New Roman"/>
          <w:color w:val="000000" w:themeColor="text1"/>
        </w:rPr>
        <w:t xml:space="preserve"> greater conflicts in board decision</w:t>
      </w:r>
      <w:r w:rsidR="0088143F">
        <w:rPr>
          <w:rFonts w:ascii="Times New Roman" w:hAnsi="Times New Roman" w:cs="Times New Roman"/>
          <w:color w:val="000000" w:themeColor="text1"/>
        </w:rPr>
        <w:t>s relating to</w:t>
      </w:r>
      <w:r w:rsidR="007F1BA6">
        <w:rPr>
          <w:rFonts w:ascii="Times New Roman" w:hAnsi="Times New Roman" w:cs="Times New Roman"/>
          <w:color w:val="000000" w:themeColor="text1"/>
        </w:rPr>
        <w:t xml:space="preserve"> environmental projects</w:t>
      </w:r>
      <w:r w:rsidR="0088143F">
        <w:rPr>
          <w:rFonts w:ascii="Times New Roman" w:hAnsi="Times New Roman" w:cs="Times New Roman"/>
          <w:color w:val="000000" w:themeColor="text1"/>
        </w:rPr>
        <w:t>, and thus impact negatively on environmental performance</w:t>
      </w:r>
      <w:r w:rsidR="001835E0">
        <w:rPr>
          <w:rFonts w:ascii="Times New Roman" w:hAnsi="Times New Roman" w:cs="Times New Roman"/>
          <w:color w:val="000000" w:themeColor="text1"/>
        </w:rPr>
        <w:t xml:space="preserve">. </w:t>
      </w:r>
      <w:r w:rsidRPr="009F065E">
        <w:rPr>
          <w:rFonts w:ascii="Times New Roman" w:hAnsi="Times New Roman" w:cs="Times New Roman"/>
          <w:color w:val="000000" w:themeColor="text1"/>
        </w:rPr>
        <w:t xml:space="preserve">This evidence corroborates Prado-Lorenzo </w:t>
      </w:r>
      <w:r w:rsidR="0011510E">
        <w:rPr>
          <w:rFonts w:ascii="Times New Roman" w:hAnsi="Times New Roman" w:cs="Times New Roman"/>
          <w:color w:val="000000" w:themeColor="text1"/>
        </w:rPr>
        <w:t>and</w:t>
      </w:r>
      <w:r w:rsidRPr="009F065E">
        <w:rPr>
          <w:rFonts w:ascii="Times New Roman" w:hAnsi="Times New Roman" w:cs="Times New Roman"/>
          <w:color w:val="000000" w:themeColor="text1"/>
        </w:rPr>
        <w:t xml:space="preserve"> Garcia-Sanchez (2010) in that corporate boards generally remain inactive in improving actual environmental performance of </w:t>
      </w:r>
      <w:r w:rsidR="00DB6AB2">
        <w:rPr>
          <w:rFonts w:ascii="Times New Roman" w:hAnsi="Times New Roman" w:cs="Times New Roman"/>
          <w:color w:val="000000" w:themeColor="text1"/>
        </w:rPr>
        <w:t>their</w:t>
      </w:r>
      <w:r w:rsidRPr="009F065E">
        <w:rPr>
          <w:rFonts w:ascii="Times New Roman" w:hAnsi="Times New Roman" w:cs="Times New Roman"/>
          <w:color w:val="000000" w:themeColor="text1"/>
        </w:rPr>
        <w:t xml:space="preserve"> firm</w:t>
      </w:r>
      <w:r w:rsidR="00DB6AB2">
        <w:rPr>
          <w:rFonts w:ascii="Times New Roman" w:hAnsi="Times New Roman" w:cs="Times New Roman"/>
          <w:color w:val="000000" w:themeColor="text1"/>
        </w:rPr>
        <w:t>s</w:t>
      </w:r>
      <w:r w:rsidRPr="009F065E">
        <w:rPr>
          <w:rFonts w:ascii="Times New Roman" w:hAnsi="Times New Roman" w:cs="Times New Roman"/>
          <w:color w:val="000000" w:themeColor="text1"/>
        </w:rPr>
        <w:t xml:space="preserve">. Altogether, this evidence suggests that </w:t>
      </w:r>
      <w:r w:rsidR="00010668">
        <w:rPr>
          <w:rFonts w:ascii="Times New Roman" w:hAnsi="Times New Roman" w:cs="Times New Roman"/>
          <w:color w:val="000000" w:themeColor="text1"/>
        </w:rPr>
        <w:t xml:space="preserve">corporate </w:t>
      </w:r>
      <w:r w:rsidRPr="009F065E">
        <w:rPr>
          <w:rFonts w:ascii="Times New Roman" w:hAnsi="Times New Roman" w:cs="Times New Roman"/>
          <w:color w:val="000000" w:themeColor="text1"/>
        </w:rPr>
        <w:t>board</w:t>
      </w:r>
      <w:r w:rsidR="004944EA">
        <w:rPr>
          <w:rFonts w:ascii="Times New Roman" w:hAnsi="Times New Roman" w:cs="Times New Roman"/>
          <w:color w:val="000000" w:themeColor="text1"/>
        </w:rPr>
        <w:t>s</w:t>
      </w:r>
      <w:r w:rsidRPr="009F065E">
        <w:rPr>
          <w:rFonts w:ascii="Times New Roman" w:hAnsi="Times New Roman" w:cs="Times New Roman"/>
          <w:color w:val="000000" w:themeColor="text1"/>
        </w:rPr>
        <w:t xml:space="preserve"> and executive management can demonstrate </w:t>
      </w:r>
      <w:r w:rsidR="00010668">
        <w:rPr>
          <w:rFonts w:ascii="Times New Roman" w:hAnsi="Times New Roman" w:cs="Times New Roman"/>
          <w:color w:val="000000" w:themeColor="text1"/>
        </w:rPr>
        <w:t xml:space="preserve">superior process-oriented carbon performance </w:t>
      </w:r>
      <w:r w:rsidRPr="009F065E">
        <w:rPr>
          <w:rFonts w:ascii="Times New Roman" w:hAnsi="Times New Roman" w:cs="Times New Roman"/>
          <w:color w:val="000000" w:themeColor="text1"/>
        </w:rPr>
        <w:t>to gain</w:t>
      </w:r>
      <w:r w:rsidR="004944EA">
        <w:rPr>
          <w:rFonts w:ascii="Times New Roman" w:hAnsi="Times New Roman" w:cs="Times New Roman"/>
          <w:color w:val="000000" w:themeColor="text1"/>
        </w:rPr>
        <w:t xml:space="preserve"> </w:t>
      </w:r>
      <w:r w:rsidR="00474692">
        <w:rPr>
          <w:rFonts w:ascii="Times New Roman" w:hAnsi="Times New Roman" w:cs="Times New Roman"/>
          <w:color w:val="000000" w:themeColor="text1"/>
        </w:rPr>
        <w:t xml:space="preserve">(maintain) </w:t>
      </w:r>
      <w:r w:rsidRPr="009F065E">
        <w:rPr>
          <w:rFonts w:ascii="Times New Roman" w:hAnsi="Times New Roman" w:cs="Times New Roman"/>
          <w:color w:val="000000" w:themeColor="text1"/>
        </w:rPr>
        <w:t>environmental legitimacy, without</w:t>
      </w:r>
      <w:r w:rsidR="004944EA">
        <w:rPr>
          <w:rFonts w:ascii="Times New Roman" w:hAnsi="Times New Roman" w:cs="Times New Roman"/>
          <w:color w:val="000000" w:themeColor="text1"/>
        </w:rPr>
        <w:t xml:space="preserve"> necessarily</w:t>
      </w:r>
      <w:r w:rsidRPr="009F065E">
        <w:rPr>
          <w:rFonts w:ascii="Times New Roman" w:hAnsi="Times New Roman" w:cs="Times New Roman"/>
          <w:color w:val="000000" w:themeColor="text1"/>
        </w:rPr>
        <w:t xml:space="preserve"> improving actual outcome in the form of reduced GHG emissions. </w:t>
      </w:r>
    </w:p>
    <w:p w14:paraId="3C8F433A" w14:textId="673480D3" w:rsidR="00DE2447" w:rsidRDefault="009F065E" w:rsidP="005F7D36">
      <w:pPr>
        <w:spacing w:after="0" w:line="360" w:lineRule="auto"/>
        <w:ind w:firstLine="720"/>
        <w:jc w:val="both"/>
        <w:rPr>
          <w:rFonts w:ascii="Times New Roman" w:hAnsi="Times New Roman" w:cs="Times New Roman"/>
        </w:rPr>
      </w:pPr>
      <w:r w:rsidRPr="009F065E">
        <w:rPr>
          <w:rFonts w:ascii="Times New Roman" w:hAnsi="Times New Roman" w:cs="Times New Roman"/>
        </w:rPr>
        <w:t xml:space="preserve">Our study results are in line with DiMaggio and Powell’s ‘institutional isomorphism’ and Oliver’s typology of ‘strategic responses’ in </w:t>
      </w:r>
      <w:r w:rsidRPr="009F065E">
        <w:rPr>
          <w:rFonts w:ascii="Times New Roman" w:hAnsi="Times New Roman" w:cs="Times New Roman"/>
        </w:rPr>
        <w:lastRenderedPageBreak/>
        <w:t xml:space="preserve">that firms partly conform to institutional isomorphism (such as the </w:t>
      </w:r>
      <w:r w:rsidRPr="00821E40">
        <w:rPr>
          <w:rFonts w:ascii="Times New Roman" w:hAnsi="Times New Roman" w:cs="Times New Roman"/>
          <w:i/>
        </w:rPr>
        <w:t>C</w:t>
      </w:r>
      <w:r w:rsidR="00C305E3" w:rsidRPr="00821E40">
        <w:rPr>
          <w:rFonts w:ascii="Times New Roman" w:hAnsi="Times New Roman" w:cs="Times New Roman"/>
          <w:i/>
        </w:rPr>
        <w:t>CA</w:t>
      </w:r>
      <w:r w:rsidRPr="009F065E">
        <w:rPr>
          <w:rFonts w:ascii="Times New Roman" w:hAnsi="Times New Roman" w:cs="Times New Roman"/>
        </w:rPr>
        <w:t xml:space="preserve">) </w:t>
      </w:r>
      <w:r w:rsidR="00C305E3">
        <w:rPr>
          <w:rFonts w:ascii="Times New Roman" w:hAnsi="Times New Roman" w:cs="Times New Roman"/>
          <w:color w:val="000000" w:themeColor="text1"/>
        </w:rPr>
        <w:t>in order</w:t>
      </w:r>
      <w:r w:rsidR="00E71215">
        <w:rPr>
          <w:rFonts w:ascii="Times New Roman" w:hAnsi="Times New Roman" w:cs="Times New Roman"/>
          <w:color w:val="000000" w:themeColor="text1"/>
        </w:rPr>
        <w:t xml:space="preserve"> to</w:t>
      </w:r>
      <w:r w:rsidR="00C305E3">
        <w:rPr>
          <w:rFonts w:ascii="Times New Roman" w:hAnsi="Times New Roman" w:cs="Times New Roman"/>
          <w:color w:val="000000" w:themeColor="text1"/>
        </w:rPr>
        <w:t xml:space="preserve"> </w:t>
      </w:r>
      <w:r w:rsidRPr="009F065E">
        <w:rPr>
          <w:rFonts w:ascii="Times New Roman" w:hAnsi="Times New Roman" w:cs="Times New Roman"/>
          <w:color w:val="000000" w:themeColor="text1"/>
        </w:rPr>
        <w:t>legitimise their operations</w:t>
      </w:r>
      <w:r w:rsidRPr="009F065E">
        <w:rPr>
          <w:rFonts w:ascii="Times New Roman" w:hAnsi="Times New Roman" w:cs="Times New Roman"/>
        </w:rPr>
        <w:t>, whilst taking into consideration the interests of powerful economic agents</w:t>
      </w:r>
      <w:r w:rsidR="00CF2F9B">
        <w:rPr>
          <w:rFonts w:ascii="Times New Roman" w:hAnsi="Times New Roman" w:cs="Times New Roman"/>
        </w:rPr>
        <w:t>,</w:t>
      </w:r>
      <w:r w:rsidRPr="009F065E">
        <w:rPr>
          <w:rFonts w:ascii="Times New Roman" w:hAnsi="Times New Roman" w:cs="Times New Roman"/>
        </w:rPr>
        <w:t xml:space="preserve"> such as managers and shareholders. In other words, firms tend to follow Oliver’s ‘balancing the expectations of multiple constituents’ tactic in complying with the </w:t>
      </w:r>
      <w:r w:rsidR="0011510E" w:rsidRPr="00821E40">
        <w:rPr>
          <w:rFonts w:ascii="Times New Roman" w:hAnsi="Times New Roman" w:cs="Times New Roman"/>
          <w:i/>
        </w:rPr>
        <w:t>CCA</w:t>
      </w:r>
      <w:r w:rsidRPr="009F065E">
        <w:rPr>
          <w:rFonts w:ascii="Times New Roman" w:hAnsi="Times New Roman" w:cs="Times New Roman"/>
        </w:rPr>
        <w:t xml:space="preserve"> through </w:t>
      </w:r>
      <w:r w:rsidR="00C31E88" w:rsidRPr="00821E40">
        <w:rPr>
          <w:rFonts w:ascii="Times New Roman" w:hAnsi="Times New Roman" w:cs="Times New Roman"/>
          <w:i/>
        </w:rPr>
        <w:t>CRIs</w:t>
      </w:r>
      <w:r w:rsidRPr="009F065E">
        <w:rPr>
          <w:rFonts w:ascii="Times New Roman" w:hAnsi="Times New Roman" w:cs="Times New Roman"/>
        </w:rPr>
        <w:t xml:space="preserve">, whilst protecting the short-term interests of managers, who are reluctant to undertake massive long-term investment in carbon abatement projects. </w:t>
      </w:r>
      <w:r w:rsidR="003A3A90">
        <w:rPr>
          <w:rFonts w:ascii="Times New Roman" w:hAnsi="Times New Roman" w:cs="Times New Roman"/>
        </w:rPr>
        <w:t xml:space="preserve">Therefore, our evidence corroborates ‘legitimisation’ rather than ‘efficiency’ aspect of </w:t>
      </w:r>
      <w:r w:rsidR="000C1F0B">
        <w:rPr>
          <w:rFonts w:ascii="Times New Roman" w:hAnsi="Times New Roman" w:cs="Times New Roman"/>
        </w:rPr>
        <w:t xml:space="preserve">our </w:t>
      </w:r>
      <w:r w:rsidR="00066CB4">
        <w:rPr>
          <w:rFonts w:ascii="Times New Roman" w:hAnsi="Times New Roman" w:cs="Times New Roman"/>
        </w:rPr>
        <w:t>neo-institutional theor</w:t>
      </w:r>
      <w:r w:rsidR="000C1F0B">
        <w:rPr>
          <w:rFonts w:ascii="Times New Roman" w:hAnsi="Times New Roman" w:cs="Times New Roman"/>
        </w:rPr>
        <w:t>etical framework</w:t>
      </w:r>
      <w:r w:rsidR="003A3A90">
        <w:rPr>
          <w:rFonts w:ascii="Times New Roman" w:hAnsi="Times New Roman" w:cs="Times New Roman"/>
        </w:rPr>
        <w:t xml:space="preserve">. </w:t>
      </w:r>
      <w:r w:rsidR="004F581B">
        <w:rPr>
          <w:rFonts w:ascii="Times New Roman" w:hAnsi="Times New Roman" w:cs="Times New Roman"/>
        </w:rPr>
        <w:t>Whilst firm-</w:t>
      </w:r>
      <w:r w:rsidR="0089135C">
        <w:rPr>
          <w:rFonts w:ascii="Times New Roman" w:hAnsi="Times New Roman" w:cs="Times New Roman"/>
        </w:rPr>
        <w:t xml:space="preserve">level </w:t>
      </w:r>
      <w:r w:rsidR="000C1F0B">
        <w:rPr>
          <w:rFonts w:ascii="Times New Roman" w:hAnsi="Times New Roman" w:cs="Times New Roman"/>
        </w:rPr>
        <w:t>CG</w:t>
      </w:r>
      <w:r w:rsidR="0089135C">
        <w:rPr>
          <w:rFonts w:ascii="Times New Roman" w:hAnsi="Times New Roman" w:cs="Times New Roman"/>
        </w:rPr>
        <w:t xml:space="preserve"> structure</w:t>
      </w:r>
      <w:r w:rsidR="00F83EF6">
        <w:rPr>
          <w:rFonts w:ascii="Times New Roman" w:hAnsi="Times New Roman" w:cs="Times New Roman"/>
        </w:rPr>
        <w:t>s</w:t>
      </w:r>
      <w:r w:rsidR="0089135C">
        <w:rPr>
          <w:rFonts w:ascii="Times New Roman" w:hAnsi="Times New Roman" w:cs="Times New Roman"/>
        </w:rPr>
        <w:t xml:space="preserve"> </w:t>
      </w:r>
      <w:r w:rsidR="00F83EF6">
        <w:rPr>
          <w:rFonts w:ascii="Times New Roman" w:hAnsi="Times New Roman" w:cs="Times New Roman"/>
        </w:rPr>
        <w:t xml:space="preserve">may help in </w:t>
      </w:r>
      <w:r w:rsidR="00DE2447">
        <w:rPr>
          <w:rFonts w:ascii="Times New Roman" w:hAnsi="Times New Roman" w:cs="Times New Roman"/>
        </w:rPr>
        <w:t>develop</w:t>
      </w:r>
      <w:r w:rsidR="00F83EF6">
        <w:rPr>
          <w:rFonts w:ascii="Times New Roman" w:hAnsi="Times New Roman" w:cs="Times New Roman"/>
        </w:rPr>
        <w:t>ing</w:t>
      </w:r>
      <w:r w:rsidR="00DE2447">
        <w:rPr>
          <w:rFonts w:ascii="Times New Roman" w:hAnsi="Times New Roman" w:cs="Times New Roman"/>
        </w:rPr>
        <w:t xml:space="preserve"> sustainable corporate strategies in response to pressures from social (and global) institutions (such as </w:t>
      </w:r>
      <w:r w:rsidR="00DE2447" w:rsidRPr="00821E40">
        <w:rPr>
          <w:rFonts w:ascii="Times New Roman" w:hAnsi="Times New Roman" w:cs="Times New Roman"/>
          <w:i/>
        </w:rPr>
        <w:t>CCA</w:t>
      </w:r>
      <w:r w:rsidR="00DE2447">
        <w:rPr>
          <w:rFonts w:ascii="Times New Roman" w:hAnsi="Times New Roman" w:cs="Times New Roman"/>
        </w:rPr>
        <w:t xml:space="preserve">, </w:t>
      </w:r>
      <w:r w:rsidR="00DE2447" w:rsidRPr="00821E40">
        <w:rPr>
          <w:rFonts w:ascii="Times New Roman" w:hAnsi="Times New Roman" w:cs="Times New Roman"/>
          <w:i/>
        </w:rPr>
        <w:t>GRI</w:t>
      </w:r>
      <w:r w:rsidR="00243F34">
        <w:rPr>
          <w:rFonts w:ascii="Times New Roman" w:hAnsi="Times New Roman" w:cs="Times New Roman"/>
        </w:rPr>
        <w:t>, and interest groups</w:t>
      </w:r>
      <w:r w:rsidR="00DE2447">
        <w:rPr>
          <w:rFonts w:ascii="Times New Roman" w:hAnsi="Times New Roman" w:cs="Times New Roman"/>
        </w:rPr>
        <w:t>)</w:t>
      </w:r>
      <w:r w:rsidR="00F7728E">
        <w:rPr>
          <w:rFonts w:ascii="Times New Roman" w:hAnsi="Times New Roman" w:cs="Times New Roman"/>
        </w:rPr>
        <w:t>,</w:t>
      </w:r>
      <w:r w:rsidR="00DE2447">
        <w:rPr>
          <w:rFonts w:ascii="Times New Roman" w:hAnsi="Times New Roman" w:cs="Times New Roman"/>
        </w:rPr>
        <w:t xml:space="preserve"> as well as industry peers, </w:t>
      </w:r>
      <w:r w:rsidR="005518A9">
        <w:rPr>
          <w:rFonts w:ascii="Times New Roman" w:hAnsi="Times New Roman" w:cs="Times New Roman"/>
        </w:rPr>
        <w:t>competition for monetary resources</w:t>
      </w:r>
      <w:r w:rsidR="008A2C6A">
        <w:rPr>
          <w:rFonts w:ascii="Times New Roman" w:hAnsi="Times New Roman" w:cs="Times New Roman"/>
        </w:rPr>
        <w:t>,</w:t>
      </w:r>
      <w:r w:rsidR="005518A9">
        <w:rPr>
          <w:rFonts w:ascii="Times New Roman" w:hAnsi="Times New Roman" w:cs="Times New Roman"/>
        </w:rPr>
        <w:t xml:space="preserve"> and an </w:t>
      </w:r>
      <w:r w:rsidR="00DE2447">
        <w:rPr>
          <w:rFonts w:ascii="Times New Roman" w:hAnsi="Times New Roman" w:cs="Times New Roman"/>
        </w:rPr>
        <w:t>interplay among CG structure</w:t>
      </w:r>
      <w:r w:rsidR="00F83EF6">
        <w:rPr>
          <w:rFonts w:ascii="Times New Roman" w:hAnsi="Times New Roman" w:cs="Times New Roman"/>
        </w:rPr>
        <w:t>s</w:t>
      </w:r>
      <w:r w:rsidR="00DE2447">
        <w:rPr>
          <w:rFonts w:ascii="Times New Roman" w:hAnsi="Times New Roman" w:cs="Times New Roman"/>
        </w:rPr>
        <w:t xml:space="preserve"> and powerful actors (such as managers) is likely to constrain implementation of </w:t>
      </w:r>
      <w:r w:rsidR="00243F34">
        <w:rPr>
          <w:rFonts w:ascii="Times New Roman" w:hAnsi="Times New Roman" w:cs="Times New Roman"/>
        </w:rPr>
        <w:t xml:space="preserve">those </w:t>
      </w:r>
      <w:r w:rsidR="00DE2447">
        <w:rPr>
          <w:rFonts w:ascii="Times New Roman" w:hAnsi="Times New Roman" w:cs="Times New Roman"/>
        </w:rPr>
        <w:t xml:space="preserve">strategies. This eventually leads to a partial response to climate-related risks in the form of </w:t>
      </w:r>
      <w:r w:rsidR="005518A9">
        <w:rPr>
          <w:rFonts w:ascii="Times New Roman" w:hAnsi="Times New Roman" w:cs="Times New Roman"/>
        </w:rPr>
        <w:t>‘</w:t>
      </w:r>
      <w:r w:rsidR="00DE2447">
        <w:rPr>
          <w:rFonts w:ascii="Times New Roman" w:hAnsi="Times New Roman" w:cs="Times New Roman"/>
        </w:rPr>
        <w:t>symbol</w:t>
      </w:r>
      <w:r w:rsidR="005518A9">
        <w:rPr>
          <w:rFonts w:ascii="Times New Roman" w:hAnsi="Times New Roman" w:cs="Times New Roman"/>
        </w:rPr>
        <w:t xml:space="preserve">ic’ </w:t>
      </w:r>
      <w:r w:rsidR="00C31E88" w:rsidRPr="00821E40">
        <w:rPr>
          <w:rFonts w:ascii="Times New Roman" w:hAnsi="Times New Roman" w:cs="Times New Roman"/>
          <w:i/>
        </w:rPr>
        <w:t>CRIs</w:t>
      </w:r>
      <w:r w:rsidR="005518A9">
        <w:rPr>
          <w:rFonts w:ascii="Times New Roman" w:hAnsi="Times New Roman" w:cs="Times New Roman"/>
        </w:rPr>
        <w:t xml:space="preserve">, </w:t>
      </w:r>
      <w:r w:rsidR="005518A9">
        <w:rPr>
          <w:rFonts w:ascii="Times New Roman" w:hAnsi="Times New Roman" w:cs="Times New Roman"/>
        </w:rPr>
        <w:lastRenderedPageBreak/>
        <w:t xml:space="preserve">rather than ‘substantive’ </w:t>
      </w:r>
      <w:r w:rsidR="00C31E88">
        <w:rPr>
          <w:rFonts w:ascii="Times New Roman" w:hAnsi="Times New Roman" w:cs="Times New Roman"/>
        </w:rPr>
        <w:t>ones</w:t>
      </w:r>
      <w:r w:rsidR="00F83EF6">
        <w:rPr>
          <w:rFonts w:ascii="Times New Roman" w:hAnsi="Times New Roman" w:cs="Times New Roman"/>
        </w:rPr>
        <w:t xml:space="preserve"> that lead to significant reductions in actual GHG emissions and improvement in overall actual environmental performance</w:t>
      </w:r>
      <w:r w:rsidR="005518A9">
        <w:rPr>
          <w:rFonts w:ascii="Times New Roman" w:hAnsi="Times New Roman" w:cs="Times New Roman"/>
        </w:rPr>
        <w:t xml:space="preserve">. </w:t>
      </w:r>
    </w:p>
    <w:p w14:paraId="63108FED" w14:textId="7D0D43A5" w:rsidR="00C300C6" w:rsidRDefault="00FF4B9D" w:rsidP="00BC49E4">
      <w:pPr>
        <w:spacing w:after="0" w:line="360" w:lineRule="auto"/>
        <w:ind w:firstLine="720"/>
        <w:jc w:val="both"/>
        <w:rPr>
          <w:rFonts w:ascii="Times New Roman" w:hAnsi="Times New Roman" w:cs="Times New Roman"/>
        </w:rPr>
      </w:pPr>
      <w:r>
        <w:rPr>
          <w:rFonts w:ascii="Times New Roman" w:hAnsi="Times New Roman" w:cs="Times New Roman"/>
          <w:color w:val="000000" w:themeColor="text1"/>
        </w:rPr>
        <w:t>Overall, our evidence corroborate</w:t>
      </w:r>
      <w:r w:rsidR="004C1554">
        <w:rPr>
          <w:rFonts w:ascii="Times New Roman" w:hAnsi="Times New Roman" w:cs="Times New Roman"/>
          <w:color w:val="000000" w:themeColor="text1"/>
        </w:rPr>
        <w:t>s</w:t>
      </w:r>
      <w:r>
        <w:rPr>
          <w:rFonts w:ascii="Times New Roman" w:hAnsi="Times New Roman" w:cs="Times New Roman"/>
          <w:color w:val="000000" w:themeColor="text1"/>
        </w:rPr>
        <w:t xml:space="preserve"> the arguments of recent </w:t>
      </w:r>
      <w:r w:rsidR="00976E7F">
        <w:rPr>
          <w:rFonts w:ascii="Times New Roman" w:hAnsi="Times New Roman" w:cs="Times New Roman"/>
          <w:color w:val="000000" w:themeColor="text1"/>
        </w:rPr>
        <w:t>studies</w:t>
      </w:r>
      <w:r>
        <w:rPr>
          <w:rFonts w:ascii="Times New Roman" w:hAnsi="Times New Roman" w:cs="Times New Roman"/>
          <w:color w:val="000000" w:themeColor="text1"/>
        </w:rPr>
        <w:t xml:space="preserve"> (such as, Cong </w:t>
      </w:r>
      <w:r w:rsidR="00403C43">
        <w:rPr>
          <w:rFonts w:ascii="Times New Roman" w:hAnsi="Times New Roman" w:cs="Times New Roman"/>
          <w:color w:val="000000" w:themeColor="text1"/>
        </w:rPr>
        <w:t>and</w:t>
      </w:r>
      <w:r>
        <w:rPr>
          <w:rFonts w:ascii="Times New Roman" w:hAnsi="Times New Roman" w:cs="Times New Roman"/>
          <w:color w:val="000000" w:themeColor="text1"/>
        </w:rPr>
        <w:t xml:space="preserve"> Freeman 2011; Boiral, </w:t>
      </w:r>
      <w:r w:rsidRPr="009F065E">
        <w:rPr>
          <w:rFonts w:ascii="Times New Roman" w:hAnsi="Times New Roman" w:cs="Times New Roman"/>
          <w:color w:val="000000" w:themeColor="text1"/>
        </w:rPr>
        <w:t>2014</w:t>
      </w:r>
      <w:r>
        <w:rPr>
          <w:rFonts w:ascii="Times New Roman" w:hAnsi="Times New Roman" w:cs="Times New Roman"/>
          <w:color w:val="000000" w:themeColor="text1"/>
        </w:rPr>
        <w:t xml:space="preserve">; Comyns </w:t>
      </w:r>
      <w:r w:rsidR="00403C43">
        <w:rPr>
          <w:rFonts w:ascii="Times New Roman" w:hAnsi="Times New Roman" w:cs="Times New Roman"/>
          <w:color w:val="000000" w:themeColor="text1"/>
        </w:rPr>
        <w:t>and</w:t>
      </w:r>
      <w:r>
        <w:rPr>
          <w:rFonts w:ascii="Times New Roman" w:hAnsi="Times New Roman" w:cs="Times New Roman"/>
          <w:color w:val="000000" w:themeColor="text1"/>
        </w:rPr>
        <w:t xml:space="preserve"> Figge, 2015) that find similar evidence in the contexts of GHG and biodiversity disclosures. </w:t>
      </w:r>
      <w:r w:rsidR="009F065E" w:rsidRPr="009F065E">
        <w:rPr>
          <w:rFonts w:ascii="Times New Roman" w:hAnsi="Times New Roman" w:cs="Times New Roman"/>
        </w:rPr>
        <w:t xml:space="preserve">This evidence is </w:t>
      </w:r>
      <w:r>
        <w:rPr>
          <w:rFonts w:ascii="Times New Roman" w:hAnsi="Times New Roman" w:cs="Times New Roman"/>
        </w:rPr>
        <w:t xml:space="preserve">also </w:t>
      </w:r>
      <w:r w:rsidR="009F065E" w:rsidRPr="009F065E">
        <w:rPr>
          <w:rFonts w:ascii="Times New Roman" w:hAnsi="Times New Roman" w:cs="Times New Roman"/>
        </w:rPr>
        <w:t>in line with the observation of Bassi et al.</w:t>
      </w:r>
      <w:r w:rsidR="00E71215">
        <w:rPr>
          <w:rFonts w:ascii="Times New Roman" w:hAnsi="Times New Roman" w:cs="Times New Roman"/>
        </w:rPr>
        <w:t>,</w:t>
      </w:r>
      <w:r w:rsidR="009F065E" w:rsidRPr="009F065E">
        <w:rPr>
          <w:rFonts w:ascii="Times New Roman" w:hAnsi="Times New Roman" w:cs="Times New Roman"/>
        </w:rPr>
        <w:t xml:space="preserve"> (2013) in that the private sector in the UK is not making significant investment in green innovation and infrastructure due to the uncertainty in future returns from this investment. A lack of serious engagement and adequate investment in carbon abatement projects in the industrial sectors might be one of the reasons why the UK is currently not on track to meet the third and fourth carbon budgets. </w:t>
      </w:r>
    </w:p>
    <w:p w14:paraId="4F37D772" w14:textId="65B9E9C6" w:rsidR="00B419B1" w:rsidRDefault="009F065E" w:rsidP="001F0BD3">
      <w:pPr>
        <w:autoSpaceDE w:val="0"/>
        <w:autoSpaceDN w:val="0"/>
        <w:adjustRightInd w:val="0"/>
        <w:spacing w:after="0" w:line="360" w:lineRule="auto"/>
        <w:ind w:firstLine="720"/>
        <w:jc w:val="both"/>
        <w:rPr>
          <w:rFonts w:ascii="Times New Roman" w:hAnsi="Times New Roman" w:cs="Times New Roman"/>
          <w:lang w:val="en-US"/>
        </w:rPr>
      </w:pPr>
      <w:r w:rsidRPr="009F065E">
        <w:rPr>
          <w:rFonts w:ascii="Times New Roman" w:hAnsi="Times New Roman" w:cs="Times New Roman"/>
          <w:color w:val="000000" w:themeColor="text1"/>
        </w:rPr>
        <w:t xml:space="preserve">In support of </w:t>
      </w:r>
      <w:r w:rsidRPr="00996327">
        <w:rPr>
          <w:rFonts w:ascii="Times New Roman" w:hAnsi="Times New Roman" w:cs="Times New Roman"/>
          <w:i/>
          <w:iCs/>
          <w:color w:val="000000" w:themeColor="text1"/>
        </w:rPr>
        <w:t>Hypothesis 2a</w:t>
      </w:r>
      <w:r w:rsidRPr="009F065E">
        <w:rPr>
          <w:rFonts w:ascii="Times New Roman" w:hAnsi="Times New Roman" w:cs="Times New Roman"/>
          <w:color w:val="000000" w:themeColor="text1"/>
        </w:rPr>
        <w:t xml:space="preserve">, we find that GRI-based sustainable reporting shows a positive relationship with </w:t>
      </w:r>
      <w:r w:rsidRPr="00821E40">
        <w:rPr>
          <w:rFonts w:ascii="Times New Roman" w:hAnsi="Times New Roman" w:cs="Times New Roman"/>
          <w:i/>
          <w:color w:val="000000" w:themeColor="text1"/>
        </w:rPr>
        <w:t>CRI</w:t>
      </w:r>
      <w:r w:rsidR="005F7D36" w:rsidRPr="00821E40">
        <w:rPr>
          <w:rFonts w:ascii="Times New Roman" w:hAnsi="Times New Roman" w:cs="Times New Roman"/>
          <w:i/>
          <w:color w:val="000000" w:themeColor="text1"/>
        </w:rPr>
        <w:t>s</w:t>
      </w:r>
      <w:r w:rsidRPr="009F065E">
        <w:rPr>
          <w:rFonts w:ascii="Times New Roman" w:hAnsi="Times New Roman" w:cs="Times New Roman"/>
          <w:color w:val="000000" w:themeColor="text1"/>
        </w:rPr>
        <w:t xml:space="preserve">, </w:t>
      </w:r>
      <w:r w:rsidR="005F7D36">
        <w:rPr>
          <w:rFonts w:ascii="Times New Roman" w:hAnsi="Times New Roman" w:cs="Times New Roman"/>
          <w:color w:val="000000" w:themeColor="text1"/>
        </w:rPr>
        <w:t xml:space="preserve">but </w:t>
      </w:r>
      <w:r w:rsidRPr="009F065E">
        <w:rPr>
          <w:rFonts w:ascii="Times New Roman" w:hAnsi="Times New Roman" w:cs="Times New Roman"/>
          <w:color w:val="000000" w:themeColor="text1"/>
        </w:rPr>
        <w:t>an insignificant relationship with</w:t>
      </w:r>
      <w:r w:rsidR="005F7D36">
        <w:rPr>
          <w:rFonts w:ascii="Times New Roman" w:hAnsi="Times New Roman" w:cs="Times New Roman"/>
          <w:color w:val="000000" w:themeColor="text1"/>
        </w:rPr>
        <w:t xml:space="preserve"> actual</w:t>
      </w:r>
      <w:r w:rsidRPr="009F065E">
        <w:rPr>
          <w:rFonts w:ascii="Times New Roman" w:hAnsi="Times New Roman" w:cs="Times New Roman"/>
          <w:color w:val="000000" w:themeColor="text1"/>
        </w:rPr>
        <w:t xml:space="preserve"> GHG emissions. This evidence suggests that </w:t>
      </w:r>
      <w:r w:rsidRPr="009F065E">
        <w:rPr>
          <w:rFonts w:ascii="Times New Roman" w:hAnsi="Times New Roman" w:cs="Times New Roman"/>
          <w:color w:val="000000" w:themeColor="text1"/>
        </w:rPr>
        <w:lastRenderedPageBreak/>
        <w:t>GRI</w:t>
      </w:r>
      <w:r w:rsidR="002B548F">
        <w:rPr>
          <w:rFonts w:ascii="Times New Roman" w:hAnsi="Times New Roman" w:cs="Times New Roman"/>
          <w:color w:val="000000" w:themeColor="text1"/>
        </w:rPr>
        <w:t xml:space="preserve">-based reporting </w:t>
      </w:r>
      <w:r w:rsidR="000D7AE6">
        <w:rPr>
          <w:rFonts w:ascii="Times New Roman" w:hAnsi="Times New Roman" w:cs="Times New Roman"/>
          <w:color w:val="000000" w:themeColor="text1"/>
        </w:rPr>
        <w:t>represents superior process-oriented carbon performance</w:t>
      </w:r>
      <w:r w:rsidRPr="009F065E">
        <w:rPr>
          <w:rFonts w:ascii="Times New Roman" w:hAnsi="Times New Roman" w:cs="Times New Roman"/>
          <w:color w:val="000000" w:themeColor="text1"/>
        </w:rPr>
        <w:t>,</w:t>
      </w:r>
      <w:r w:rsidR="000D7AE6">
        <w:rPr>
          <w:rFonts w:ascii="Times New Roman" w:hAnsi="Times New Roman" w:cs="Times New Roman"/>
          <w:color w:val="000000" w:themeColor="text1"/>
        </w:rPr>
        <w:t xml:space="preserve"> rather than an improvement in actual </w:t>
      </w:r>
      <w:r w:rsidRPr="009F065E">
        <w:rPr>
          <w:rFonts w:ascii="Times New Roman" w:hAnsi="Times New Roman" w:cs="Times New Roman"/>
          <w:color w:val="000000" w:themeColor="text1"/>
        </w:rPr>
        <w:t xml:space="preserve">carbon performance of a firm. This is broadly in line with the arguments and evidence of related studies (such as, </w:t>
      </w:r>
      <w:r w:rsidRPr="009F065E">
        <w:rPr>
          <w:rFonts w:ascii="Times New Roman" w:hAnsi="Times New Roman" w:cs="Times New Roman"/>
          <w:lang w:val="en-US"/>
        </w:rPr>
        <w:t xml:space="preserve">Perez-Batres et al., 2012; Isaksson </w:t>
      </w:r>
      <w:r w:rsidR="00403C43">
        <w:rPr>
          <w:rFonts w:ascii="Times New Roman" w:hAnsi="Times New Roman" w:cs="Times New Roman"/>
          <w:lang w:val="en-US"/>
        </w:rPr>
        <w:t>and</w:t>
      </w:r>
      <w:r w:rsidRPr="009F065E">
        <w:rPr>
          <w:rFonts w:ascii="Times New Roman" w:hAnsi="Times New Roman" w:cs="Times New Roman"/>
          <w:lang w:val="en-US"/>
        </w:rPr>
        <w:t xml:space="preserve"> Steimle, 2009; Moneva et al., 2006; Morhardt et al., 2002) in that firms adopt GRI-based reporting as part of their symbolic commitments to enhance corporate legitimacy, without improving substantive environmental performance. </w:t>
      </w:r>
      <w:r w:rsidR="00B419B1">
        <w:rPr>
          <w:rFonts w:ascii="Times New Roman" w:hAnsi="Times New Roman" w:cs="Times New Roman"/>
          <w:lang w:val="en-US"/>
        </w:rPr>
        <w:t>Lokuwaduge and Heenetigala (2017) observe that GRI-based reporting provides details about the quality of ESG disclosure, rather than the performance of the sustainability strategies of a firm.</w:t>
      </w:r>
    </w:p>
    <w:p w14:paraId="2A3FFDBF" w14:textId="6AA2D3D1" w:rsidR="00C300C6" w:rsidRDefault="009F065E" w:rsidP="000651A3">
      <w:pPr>
        <w:spacing w:after="0" w:line="360" w:lineRule="auto"/>
        <w:ind w:firstLine="720"/>
        <w:jc w:val="both"/>
        <w:rPr>
          <w:rFonts w:ascii="Times New Roman" w:hAnsi="Times New Roman" w:cs="Times New Roman"/>
          <w:color w:val="000000" w:themeColor="text1"/>
        </w:rPr>
      </w:pPr>
      <w:r w:rsidRPr="009F065E">
        <w:rPr>
          <w:rFonts w:ascii="Times New Roman" w:hAnsi="Times New Roman" w:cs="Times New Roman"/>
          <w:color w:val="000000" w:themeColor="text1"/>
        </w:rPr>
        <w:t xml:space="preserve">Finally, we find </w:t>
      </w:r>
      <w:r w:rsidR="000651A3">
        <w:rPr>
          <w:rFonts w:ascii="Times New Roman" w:hAnsi="Times New Roman" w:cs="Times New Roman"/>
          <w:color w:val="000000" w:themeColor="text1"/>
        </w:rPr>
        <w:t xml:space="preserve">that </w:t>
      </w:r>
      <w:r w:rsidRPr="009F065E">
        <w:rPr>
          <w:rFonts w:ascii="Times New Roman" w:hAnsi="Times New Roman" w:cs="Times New Roman"/>
          <w:color w:val="000000" w:themeColor="text1"/>
        </w:rPr>
        <w:t xml:space="preserve">the interaction between </w:t>
      </w:r>
      <w:r w:rsidRPr="00821E40">
        <w:rPr>
          <w:rFonts w:ascii="Times New Roman" w:hAnsi="Times New Roman" w:cs="Times New Roman"/>
          <w:i/>
          <w:color w:val="000000" w:themeColor="text1"/>
        </w:rPr>
        <w:t>CCA</w:t>
      </w:r>
      <w:r w:rsidRPr="009F065E">
        <w:rPr>
          <w:rFonts w:ascii="Times New Roman" w:hAnsi="Times New Roman" w:cs="Times New Roman"/>
          <w:color w:val="000000" w:themeColor="text1"/>
        </w:rPr>
        <w:t xml:space="preserve"> and polluting firms ha</w:t>
      </w:r>
      <w:r w:rsidR="000651A3">
        <w:rPr>
          <w:rFonts w:ascii="Times New Roman" w:hAnsi="Times New Roman" w:cs="Times New Roman"/>
          <w:color w:val="000000" w:themeColor="text1"/>
        </w:rPr>
        <w:t>s</w:t>
      </w:r>
      <w:r w:rsidRPr="009F065E">
        <w:rPr>
          <w:rFonts w:ascii="Times New Roman" w:hAnsi="Times New Roman" w:cs="Times New Roman"/>
          <w:color w:val="000000" w:themeColor="text1"/>
        </w:rPr>
        <w:t xml:space="preserve"> a significant positive effect on CRI, although its relationship with </w:t>
      </w:r>
      <w:r w:rsidR="00963B34">
        <w:rPr>
          <w:rFonts w:ascii="Times New Roman" w:hAnsi="Times New Roman" w:cs="Times New Roman"/>
          <w:color w:val="000000" w:themeColor="text1"/>
        </w:rPr>
        <w:t xml:space="preserve">actual </w:t>
      </w:r>
      <w:r w:rsidRPr="009F065E">
        <w:rPr>
          <w:rFonts w:ascii="Times New Roman" w:hAnsi="Times New Roman" w:cs="Times New Roman"/>
          <w:color w:val="000000" w:themeColor="text1"/>
        </w:rPr>
        <w:t xml:space="preserve">GHG emissions is statistically insignificant. This evidence </w:t>
      </w:r>
      <w:r w:rsidR="002C29BA">
        <w:rPr>
          <w:rFonts w:ascii="Times New Roman" w:hAnsi="Times New Roman" w:cs="Times New Roman"/>
          <w:color w:val="000000" w:themeColor="text1"/>
        </w:rPr>
        <w:t xml:space="preserve">supports the arguments of </w:t>
      </w:r>
      <w:r w:rsidR="00EC41FB">
        <w:rPr>
          <w:rFonts w:ascii="Times New Roman" w:hAnsi="Times New Roman" w:cs="Times New Roman"/>
          <w:color w:val="000000" w:themeColor="text1"/>
        </w:rPr>
        <w:t xml:space="preserve">related literature (such as </w:t>
      </w:r>
      <w:r w:rsidR="002C29BA" w:rsidRPr="009F065E">
        <w:rPr>
          <w:rFonts w:ascii="Times New Roman" w:hAnsi="Times New Roman" w:cs="Times New Roman"/>
          <w:color w:val="000000" w:themeColor="text1"/>
        </w:rPr>
        <w:t xml:space="preserve">Cong </w:t>
      </w:r>
      <w:r w:rsidR="002C29BA">
        <w:rPr>
          <w:rFonts w:ascii="Times New Roman" w:hAnsi="Times New Roman" w:cs="Times New Roman"/>
          <w:color w:val="000000" w:themeColor="text1"/>
        </w:rPr>
        <w:t>and Freedman</w:t>
      </w:r>
      <w:r w:rsidR="00EC41FB">
        <w:rPr>
          <w:rFonts w:ascii="Times New Roman" w:hAnsi="Times New Roman" w:cs="Times New Roman"/>
          <w:color w:val="000000" w:themeColor="text1"/>
        </w:rPr>
        <w:t xml:space="preserve">, </w:t>
      </w:r>
      <w:r w:rsidR="002C29BA" w:rsidRPr="009F065E">
        <w:rPr>
          <w:rFonts w:ascii="Times New Roman" w:hAnsi="Times New Roman" w:cs="Times New Roman"/>
          <w:color w:val="000000" w:themeColor="text1"/>
        </w:rPr>
        <w:t>2011)</w:t>
      </w:r>
      <w:r w:rsidR="002C29BA">
        <w:rPr>
          <w:rFonts w:ascii="Times New Roman" w:hAnsi="Times New Roman" w:cs="Times New Roman"/>
          <w:color w:val="000000" w:themeColor="text1"/>
        </w:rPr>
        <w:t xml:space="preserve">, and </w:t>
      </w:r>
      <w:r w:rsidRPr="009F065E">
        <w:rPr>
          <w:rFonts w:ascii="Times New Roman" w:hAnsi="Times New Roman" w:cs="Times New Roman"/>
          <w:color w:val="000000" w:themeColor="text1"/>
        </w:rPr>
        <w:t xml:space="preserve">suggests that firms in polluting industries seem to respond to the </w:t>
      </w:r>
      <w:r w:rsidR="000651A3" w:rsidRPr="00821E40">
        <w:rPr>
          <w:rFonts w:ascii="Times New Roman" w:hAnsi="Times New Roman" w:cs="Times New Roman"/>
          <w:i/>
          <w:color w:val="000000" w:themeColor="text1"/>
        </w:rPr>
        <w:t>CCA</w:t>
      </w:r>
      <w:r w:rsidRPr="009F065E">
        <w:rPr>
          <w:rFonts w:ascii="Times New Roman" w:hAnsi="Times New Roman" w:cs="Times New Roman"/>
          <w:color w:val="000000" w:themeColor="text1"/>
        </w:rPr>
        <w:t xml:space="preserve"> by undertaking carbon reduction initiatives rather than </w:t>
      </w:r>
      <w:r w:rsidRPr="009F065E">
        <w:rPr>
          <w:rFonts w:ascii="Times New Roman" w:hAnsi="Times New Roman" w:cs="Times New Roman"/>
          <w:color w:val="000000" w:themeColor="text1"/>
        </w:rPr>
        <w:lastRenderedPageBreak/>
        <w:t xml:space="preserve">reducing actual emissions, since the former can easily be communicated to gain positive public impression or to avoid negative media publicity.  </w:t>
      </w:r>
    </w:p>
    <w:p w14:paraId="73F651BD" w14:textId="77777777" w:rsidR="00C300C6" w:rsidRDefault="00C300C6">
      <w:pPr>
        <w:spacing w:after="0" w:line="360" w:lineRule="auto"/>
        <w:jc w:val="both"/>
        <w:rPr>
          <w:rFonts w:ascii="Times New Roman" w:hAnsi="Times New Roman" w:cs="Times New Roman"/>
          <w:color w:val="000000" w:themeColor="text1"/>
        </w:rPr>
      </w:pPr>
    </w:p>
    <w:p w14:paraId="4BAAB932" w14:textId="59595F2C" w:rsidR="00C300C6" w:rsidRDefault="009F065E" w:rsidP="003B6444">
      <w:pPr>
        <w:pStyle w:val="ListParagraph"/>
        <w:numPr>
          <w:ilvl w:val="0"/>
          <w:numId w:val="1"/>
        </w:numPr>
        <w:spacing w:after="0" w:line="240" w:lineRule="auto"/>
        <w:ind w:left="360"/>
        <w:contextualSpacing w:val="0"/>
        <w:jc w:val="both"/>
        <w:rPr>
          <w:rFonts w:ascii="Times New Roman" w:hAnsi="Times New Roman" w:cs="Times New Roman"/>
          <w:b/>
          <w:color w:val="000000" w:themeColor="text1"/>
        </w:rPr>
      </w:pPr>
      <w:r w:rsidRPr="009F065E">
        <w:rPr>
          <w:rFonts w:ascii="Times New Roman" w:hAnsi="Times New Roman" w:cs="Times New Roman"/>
          <w:b/>
          <w:color w:val="000000" w:themeColor="text1"/>
        </w:rPr>
        <w:t>Conclusion</w:t>
      </w:r>
      <w:r w:rsidR="00FB14E9">
        <w:rPr>
          <w:rFonts w:ascii="Times New Roman" w:hAnsi="Times New Roman" w:cs="Times New Roman"/>
          <w:b/>
          <w:color w:val="000000" w:themeColor="text1"/>
        </w:rPr>
        <w:t>s</w:t>
      </w:r>
    </w:p>
    <w:p w14:paraId="6F8F7E9D" w14:textId="77777777" w:rsidR="00C300C6" w:rsidRDefault="00C300C6" w:rsidP="003B6444">
      <w:pPr>
        <w:spacing w:after="0" w:line="240" w:lineRule="auto"/>
        <w:jc w:val="both"/>
        <w:rPr>
          <w:rFonts w:ascii="Times New Roman" w:hAnsi="Times New Roman" w:cs="Times New Roman"/>
          <w:b/>
          <w:color w:val="000000" w:themeColor="text1"/>
        </w:rPr>
      </w:pPr>
    </w:p>
    <w:p w14:paraId="6EF949DD" w14:textId="10FDCCEC" w:rsidR="00720AD2" w:rsidRDefault="00963B34" w:rsidP="00ED4DE7">
      <w:pPr>
        <w:spacing w:after="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The development and implementa</w:t>
      </w:r>
      <w:r w:rsidR="00EB68BD">
        <w:rPr>
          <w:rFonts w:ascii="Times New Roman" w:hAnsi="Times New Roman" w:cs="Times New Roman"/>
          <w:color w:val="000000" w:themeColor="text1"/>
        </w:rPr>
        <w:t>tion of</w:t>
      </w:r>
      <w:r>
        <w:rPr>
          <w:rFonts w:ascii="Times New Roman" w:hAnsi="Times New Roman" w:cs="Times New Roman"/>
          <w:color w:val="000000" w:themeColor="text1"/>
        </w:rPr>
        <w:t xml:space="preserve"> effective </w:t>
      </w:r>
      <w:r w:rsidR="00FC1D7E">
        <w:rPr>
          <w:rFonts w:ascii="Times New Roman" w:hAnsi="Times New Roman" w:cs="Times New Roman"/>
          <w:color w:val="000000" w:themeColor="text1"/>
        </w:rPr>
        <w:t xml:space="preserve">global </w:t>
      </w:r>
      <w:r>
        <w:rPr>
          <w:rFonts w:ascii="Times New Roman" w:hAnsi="Times New Roman" w:cs="Times New Roman"/>
          <w:color w:val="000000" w:themeColor="text1"/>
        </w:rPr>
        <w:t>environmental policies that can facilitate sustainable development by improving corporate</w:t>
      </w:r>
      <w:r w:rsidR="00C303F5">
        <w:rPr>
          <w:rFonts w:ascii="Times New Roman" w:hAnsi="Times New Roman" w:cs="Times New Roman"/>
          <w:color w:val="000000" w:themeColor="text1"/>
        </w:rPr>
        <w:t xml:space="preserve"> governance (CG) and</w:t>
      </w:r>
      <w:r>
        <w:rPr>
          <w:rFonts w:ascii="Times New Roman" w:hAnsi="Times New Roman" w:cs="Times New Roman"/>
          <w:color w:val="000000" w:themeColor="text1"/>
        </w:rPr>
        <w:t xml:space="preserve"> environmental performance arguably remains</w:t>
      </w:r>
      <w:r w:rsidR="005A06EF">
        <w:rPr>
          <w:rFonts w:ascii="Times New Roman" w:hAnsi="Times New Roman" w:cs="Times New Roman"/>
          <w:color w:val="000000" w:themeColor="text1"/>
        </w:rPr>
        <w:t xml:space="preserve"> one of</w:t>
      </w:r>
      <w:r>
        <w:rPr>
          <w:rFonts w:ascii="Times New Roman" w:hAnsi="Times New Roman" w:cs="Times New Roman"/>
          <w:color w:val="000000" w:themeColor="text1"/>
        </w:rPr>
        <w:t xml:space="preserve"> the most pressing</w:t>
      </w:r>
      <w:r w:rsidR="00FC1D7E">
        <w:rPr>
          <w:rFonts w:ascii="Times New Roman" w:hAnsi="Times New Roman" w:cs="Times New Roman"/>
          <w:color w:val="000000" w:themeColor="text1"/>
        </w:rPr>
        <w:t xml:space="preserve"> global</w:t>
      </w:r>
      <w:r>
        <w:rPr>
          <w:rFonts w:ascii="Times New Roman" w:hAnsi="Times New Roman" w:cs="Times New Roman"/>
          <w:color w:val="000000" w:themeColor="text1"/>
        </w:rPr>
        <w:t xml:space="preserve"> developmental challenge</w:t>
      </w:r>
      <w:r w:rsidR="005A06EF">
        <w:rPr>
          <w:rFonts w:ascii="Times New Roman" w:hAnsi="Times New Roman" w:cs="Times New Roman"/>
          <w:color w:val="000000" w:themeColor="text1"/>
        </w:rPr>
        <w:t>s</w:t>
      </w:r>
      <w:r>
        <w:rPr>
          <w:rFonts w:ascii="Times New Roman" w:hAnsi="Times New Roman" w:cs="Times New Roman"/>
          <w:color w:val="000000" w:themeColor="text1"/>
        </w:rPr>
        <w:t xml:space="preserve"> of the 21</w:t>
      </w:r>
      <w:r w:rsidRPr="003B6444">
        <w:rPr>
          <w:rFonts w:ascii="Times New Roman" w:hAnsi="Times New Roman" w:cs="Times New Roman"/>
          <w:color w:val="000000" w:themeColor="text1"/>
          <w:vertAlign w:val="superscript"/>
        </w:rPr>
        <w:t>st</w:t>
      </w:r>
      <w:r>
        <w:rPr>
          <w:rFonts w:ascii="Times New Roman" w:hAnsi="Times New Roman" w:cs="Times New Roman"/>
          <w:color w:val="000000" w:themeColor="text1"/>
        </w:rPr>
        <w:t xml:space="preserve"> century. </w:t>
      </w:r>
      <w:r w:rsidR="002027B7">
        <w:rPr>
          <w:rFonts w:ascii="Times New Roman" w:hAnsi="Times New Roman" w:cs="Times New Roman"/>
          <w:color w:val="000000" w:themeColor="text1"/>
        </w:rPr>
        <w:t>Unsurprisingly</w:t>
      </w:r>
      <w:r>
        <w:rPr>
          <w:rFonts w:ascii="Times New Roman" w:hAnsi="Times New Roman" w:cs="Times New Roman"/>
          <w:color w:val="000000" w:themeColor="text1"/>
        </w:rPr>
        <w:t>, t</w:t>
      </w:r>
      <w:r w:rsidR="00720AD2">
        <w:rPr>
          <w:rFonts w:ascii="Times New Roman" w:hAnsi="Times New Roman" w:cs="Times New Roman"/>
          <w:color w:val="000000" w:themeColor="text1"/>
        </w:rPr>
        <w:t>he past t</w:t>
      </w:r>
      <w:r w:rsidR="00831CB4">
        <w:rPr>
          <w:rFonts w:ascii="Times New Roman" w:hAnsi="Times New Roman" w:cs="Times New Roman"/>
          <w:color w:val="000000" w:themeColor="text1"/>
        </w:rPr>
        <w:t>hree</w:t>
      </w:r>
      <w:r w:rsidR="00720AD2">
        <w:rPr>
          <w:rFonts w:ascii="Times New Roman" w:hAnsi="Times New Roman" w:cs="Times New Roman"/>
          <w:color w:val="000000" w:themeColor="text1"/>
        </w:rPr>
        <w:t xml:space="preserve"> decades </w:t>
      </w:r>
      <w:r w:rsidR="002027B7">
        <w:rPr>
          <w:rFonts w:ascii="Times New Roman" w:hAnsi="Times New Roman" w:cs="Times New Roman"/>
          <w:color w:val="000000" w:themeColor="text1"/>
        </w:rPr>
        <w:t xml:space="preserve">in particular </w:t>
      </w:r>
      <w:r w:rsidR="00720AD2">
        <w:rPr>
          <w:rFonts w:ascii="Times New Roman" w:hAnsi="Times New Roman" w:cs="Times New Roman"/>
          <w:color w:val="000000" w:themeColor="text1"/>
        </w:rPr>
        <w:t xml:space="preserve">have witnessed a considerable amount of efforts by </w:t>
      </w:r>
      <w:r w:rsidR="00757E36">
        <w:rPr>
          <w:rFonts w:ascii="Times New Roman" w:hAnsi="Times New Roman" w:cs="Times New Roman"/>
          <w:color w:val="000000" w:themeColor="text1"/>
        </w:rPr>
        <w:t xml:space="preserve">civil societies, </w:t>
      </w:r>
      <w:r w:rsidR="00720AD2">
        <w:rPr>
          <w:rFonts w:ascii="Times New Roman" w:hAnsi="Times New Roman" w:cs="Times New Roman"/>
          <w:color w:val="000000" w:themeColor="text1"/>
        </w:rPr>
        <w:t xml:space="preserve">supra-national bodies, national governments and </w:t>
      </w:r>
      <w:r w:rsidR="00C303F5">
        <w:rPr>
          <w:rFonts w:ascii="Times New Roman" w:hAnsi="Times New Roman" w:cs="Times New Roman"/>
          <w:color w:val="000000" w:themeColor="text1"/>
        </w:rPr>
        <w:t>public corporation</w:t>
      </w:r>
      <w:r w:rsidR="00720AD2">
        <w:rPr>
          <w:rFonts w:ascii="Times New Roman" w:hAnsi="Times New Roman" w:cs="Times New Roman"/>
          <w:color w:val="000000" w:themeColor="text1"/>
        </w:rPr>
        <w:t>s toward</w:t>
      </w:r>
      <w:r w:rsidR="004E16E0">
        <w:rPr>
          <w:rFonts w:ascii="Times New Roman" w:hAnsi="Times New Roman" w:cs="Times New Roman"/>
          <w:color w:val="000000" w:themeColor="text1"/>
        </w:rPr>
        <w:t>s</w:t>
      </w:r>
      <w:r w:rsidR="00720AD2">
        <w:rPr>
          <w:rFonts w:ascii="Times New Roman" w:hAnsi="Times New Roman" w:cs="Times New Roman"/>
          <w:color w:val="000000" w:themeColor="text1"/>
        </w:rPr>
        <w:t xml:space="preserve"> </w:t>
      </w:r>
      <w:r w:rsidR="00831CB4">
        <w:rPr>
          <w:rFonts w:ascii="Times New Roman" w:hAnsi="Times New Roman" w:cs="Times New Roman"/>
          <w:color w:val="000000" w:themeColor="text1"/>
        </w:rPr>
        <w:t xml:space="preserve">designing, agreeing and </w:t>
      </w:r>
      <w:r w:rsidR="00720AD2">
        <w:rPr>
          <w:rFonts w:ascii="Times New Roman" w:hAnsi="Times New Roman" w:cs="Times New Roman"/>
          <w:color w:val="000000" w:themeColor="text1"/>
        </w:rPr>
        <w:t xml:space="preserve">implementing </w:t>
      </w:r>
      <w:r w:rsidR="00831CB4">
        <w:rPr>
          <w:rFonts w:ascii="Times New Roman" w:hAnsi="Times New Roman" w:cs="Times New Roman"/>
          <w:color w:val="000000" w:themeColor="text1"/>
        </w:rPr>
        <w:t xml:space="preserve">environmental </w:t>
      </w:r>
      <w:r w:rsidR="00720AD2">
        <w:rPr>
          <w:rFonts w:ascii="Times New Roman" w:hAnsi="Times New Roman" w:cs="Times New Roman"/>
          <w:color w:val="000000" w:themeColor="text1"/>
        </w:rPr>
        <w:t xml:space="preserve">measures that </w:t>
      </w:r>
      <w:r w:rsidR="00831CB4">
        <w:rPr>
          <w:rFonts w:ascii="Times New Roman" w:hAnsi="Times New Roman" w:cs="Times New Roman"/>
          <w:color w:val="000000" w:themeColor="text1"/>
        </w:rPr>
        <w:t>seek to</w:t>
      </w:r>
      <w:r w:rsidR="00720AD2">
        <w:rPr>
          <w:rFonts w:ascii="Times New Roman" w:hAnsi="Times New Roman" w:cs="Times New Roman"/>
          <w:color w:val="000000" w:themeColor="text1"/>
        </w:rPr>
        <w:t xml:space="preserve"> reduce global warming by decreasing </w:t>
      </w:r>
      <w:r w:rsidR="004E16E0">
        <w:rPr>
          <w:rFonts w:ascii="Times New Roman" w:hAnsi="Times New Roman" w:cs="Times New Roman"/>
          <w:color w:val="000000" w:themeColor="text1"/>
        </w:rPr>
        <w:t xml:space="preserve">greenhouse gas </w:t>
      </w:r>
      <w:r w:rsidR="00C303F5">
        <w:rPr>
          <w:rFonts w:ascii="Times New Roman" w:hAnsi="Times New Roman" w:cs="Times New Roman"/>
          <w:color w:val="000000" w:themeColor="text1"/>
        </w:rPr>
        <w:t xml:space="preserve">(GHG) </w:t>
      </w:r>
      <w:r w:rsidR="004E16E0">
        <w:rPr>
          <w:rFonts w:ascii="Times New Roman" w:hAnsi="Times New Roman" w:cs="Times New Roman"/>
          <w:color w:val="000000" w:themeColor="text1"/>
        </w:rPr>
        <w:t xml:space="preserve">emissions. In the UK, </w:t>
      </w:r>
      <w:r w:rsidR="00B13AB1">
        <w:rPr>
          <w:rFonts w:ascii="Times New Roman" w:hAnsi="Times New Roman" w:cs="Times New Roman"/>
          <w:color w:val="000000" w:themeColor="text1"/>
        </w:rPr>
        <w:t xml:space="preserve">this objective has been pursued </w:t>
      </w:r>
      <w:r w:rsidR="003800D0">
        <w:rPr>
          <w:rFonts w:ascii="Times New Roman" w:hAnsi="Times New Roman" w:cs="Times New Roman"/>
          <w:color w:val="000000" w:themeColor="text1"/>
        </w:rPr>
        <w:t xml:space="preserve">mainly </w:t>
      </w:r>
      <w:r w:rsidR="00B13AB1">
        <w:rPr>
          <w:rFonts w:ascii="Times New Roman" w:hAnsi="Times New Roman" w:cs="Times New Roman"/>
          <w:color w:val="000000" w:themeColor="text1"/>
        </w:rPr>
        <w:t xml:space="preserve">through the </w:t>
      </w:r>
      <w:r w:rsidR="00757E36">
        <w:rPr>
          <w:rFonts w:ascii="Times New Roman" w:hAnsi="Times New Roman" w:cs="Times New Roman"/>
          <w:color w:val="000000" w:themeColor="text1"/>
        </w:rPr>
        <w:t xml:space="preserve">2008 </w:t>
      </w:r>
      <w:r w:rsidR="00B13AB1">
        <w:rPr>
          <w:rFonts w:ascii="Times New Roman" w:hAnsi="Times New Roman" w:cs="Times New Roman"/>
          <w:color w:val="000000" w:themeColor="text1"/>
        </w:rPr>
        <w:t>Climate Change Act (CCA). Consequently, t</w:t>
      </w:r>
      <w:r w:rsidR="009F065E" w:rsidRPr="009F065E">
        <w:rPr>
          <w:rFonts w:ascii="Times New Roman" w:hAnsi="Times New Roman" w:cs="Times New Roman"/>
          <w:color w:val="000000" w:themeColor="text1"/>
        </w:rPr>
        <w:t>his study examined the effects of the</w:t>
      </w:r>
      <w:r w:rsidR="00B13AB1">
        <w:rPr>
          <w:rFonts w:ascii="Times New Roman" w:hAnsi="Times New Roman" w:cs="Times New Roman"/>
          <w:color w:val="000000" w:themeColor="text1"/>
        </w:rPr>
        <w:t xml:space="preserve"> </w:t>
      </w:r>
      <w:r w:rsidR="009F065E" w:rsidRPr="009F065E">
        <w:rPr>
          <w:rFonts w:ascii="Times New Roman" w:hAnsi="Times New Roman" w:cs="Times New Roman"/>
          <w:color w:val="000000" w:themeColor="text1"/>
        </w:rPr>
        <w:t>CCA</w:t>
      </w:r>
      <w:r w:rsidR="00831CB4">
        <w:rPr>
          <w:rFonts w:ascii="Times New Roman" w:hAnsi="Times New Roman" w:cs="Times New Roman"/>
          <w:color w:val="000000" w:themeColor="text1"/>
        </w:rPr>
        <w:t xml:space="preserve"> along with two other </w:t>
      </w:r>
      <w:r w:rsidR="000A0830">
        <w:rPr>
          <w:rFonts w:ascii="Times New Roman" w:hAnsi="Times New Roman" w:cs="Times New Roman"/>
          <w:color w:val="000000" w:themeColor="text1"/>
        </w:rPr>
        <w:t xml:space="preserve">major global sustainable </w:t>
      </w:r>
      <w:r w:rsidR="000A0830">
        <w:rPr>
          <w:rFonts w:ascii="Times New Roman" w:hAnsi="Times New Roman" w:cs="Times New Roman"/>
          <w:color w:val="000000" w:themeColor="text1"/>
        </w:rPr>
        <w:lastRenderedPageBreak/>
        <w:t>development</w:t>
      </w:r>
      <w:r w:rsidR="00831CB4">
        <w:rPr>
          <w:rFonts w:ascii="Times New Roman" w:hAnsi="Times New Roman" w:cs="Times New Roman"/>
          <w:color w:val="000000" w:themeColor="text1"/>
        </w:rPr>
        <w:t xml:space="preserve"> initiatives (Global Reporting Initiative – GRI and UN Global Compact – UNGC)</w:t>
      </w:r>
      <w:r w:rsidR="009F065E" w:rsidRPr="009F065E">
        <w:rPr>
          <w:rFonts w:ascii="Times New Roman" w:hAnsi="Times New Roman" w:cs="Times New Roman"/>
          <w:color w:val="000000" w:themeColor="text1"/>
        </w:rPr>
        <w:t xml:space="preserve">, and </w:t>
      </w:r>
      <w:r w:rsidR="00831CB4">
        <w:rPr>
          <w:rFonts w:ascii="Times New Roman" w:hAnsi="Times New Roman" w:cs="Times New Roman"/>
          <w:color w:val="000000" w:themeColor="text1"/>
        </w:rPr>
        <w:t>the</w:t>
      </w:r>
      <w:r w:rsidR="009F065E" w:rsidRPr="009F065E">
        <w:rPr>
          <w:rFonts w:ascii="Times New Roman" w:hAnsi="Times New Roman" w:cs="Times New Roman"/>
          <w:color w:val="000000" w:themeColor="text1"/>
        </w:rPr>
        <w:t xml:space="preserve"> interactions </w:t>
      </w:r>
      <w:r w:rsidR="002566BB">
        <w:rPr>
          <w:rFonts w:ascii="Times New Roman" w:hAnsi="Times New Roman" w:cs="Times New Roman"/>
          <w:color w:val="000000" w:themeColor="text1"/>
        </w:rPr>
        <w:t xml:space="preserve">of the CCA </w:t>
      </w:r>
      <w:r w:rsidR="009F065E" w:rsidRPr="009F065E">
        <w:rPr>
          <w:rFonts w:ascii="Times New Roman" w:hAnsi="Times New Roman" w:cs="Times New Roman"/>
          <w:color w:val="000000" w:themeColor="text1"/>
        </w:rPr>
        <w:t xml:space="preserve">with </w:t>
      </w:r>
      <w:r w:rsidR="00E96C67">
        <w:rPr>
          <w:rFonts w:ascii="Times New Roman" w:hAnsi="Times New Roman" w:cs="Times New Roman"/>
          <w:color w:val="000000" w:themeColor="text1"/>
        </w:rPr>
        <w:t>CG mechanisms</w:t>
      </w:r>
      <w:r w:rsidR="009F065E" w:rsidRPr="009F065E">
        <w:rPr>
          <w:rFonts w:ascii="Times New Roman" w:hAnsi="Times New Roman" w:cs="Times New Roman"/>
          <w:color w:val="000000" w:themeColor="text1"/>
        </w:rPr>
        <w:t xml:space="preserve"> on </w:t>
      </w:r>
      <w:r w:rsidR="00621DB1">
        <w:rPr>
          <w:rFonts w:ascii="Times New Roman" w:hAnsi="Times New Roman" w:cs="Times New Roman"/>
          <w:color w:val="000000" w:themeColor="text1"/>
        </w:rPr>
        <w:t xml:space="preserve">environmental performance (i.e., </w:t>
      </w:r>
      <w:r w:rsidR="009F065E" w:rsidRPr="009F065E">
        <w:rPr>
          <w:rFonts w:ascii="Times New Roman" w:hAnsi="Times New Roman" w:cs="Times New Roman"/>
          <w:color w:val="000000" w:themeColor="text1"/>
        </w:rPr>
        <w:t xml:space="preserve">carbon reduction initiatives </w:t>
      </w:r>
      <w:r w:rsidR="00621DB1">
        <w:rPr>
          <w:rFonts w:ascii="Times New Roman" w:hAnsi="Times New Roman" w:cs="Times New Roman"/>
          <w:color w:val="000000" w:themeColor="text1"/>
        </w:rPr>
        <w:t xml:space="preserve">– </w:t>
      </w:r>
      <w:r w:rsidR="009F065E" w:rsidRPr="009F065E">
        <w:rPr>
          <w:rFonts w:ascii="Times New Roman" w:hAnsi="Times New Roman" w:cs="Times New Roman"/>
          <w:color w:val="000000" w:themeColor="text1"/>
        </w:rPr>
        <w:t>CRI</w:t>
      </w:r>
      <w:r w:rsidR="003F03FF">
        <w:rPr>
          <w:rFonts w:ascii="Times New Roman" w:hAnsi="Times New Roman" w:cs="Times New Roman"/>
          <w:color w:val="000000" w:themeColor="text1"/>
        </w:rPr>
        <w:t>s</w:t>
      </w:r>
      <w:r w:rsidR="009F065E" w:rsidRPr="009F065E">
        <w:rPr>
          <w:rFonts w:ascii="Times New Roman" w:hAnsi="Times New Roman" w:cs="Times New Roman"/>
          <w:color w:val="000000" w:themeColor="text1"/>
        </w:rPr>
        <w:t xml:space="preserve"> and </w:t>
      </w:r>
      <w:r w:rsidR="0003051E">
        <w:rPr>
          <w:rFonts w:ascii="Times New Roman" w:hAnsi="Times New Roman" w:cs="Times New Roman"/>
          <w:color w:val="000000" w:themeColor="text1"/>
        </w:rPr>
        <w:t xml:space="preserve">actual </w:t>
      </w:r>
      <w:r w:rsidR="00621DB1">
        <w:rPr>
          <w:rFonts w:ascii="Times New Roman" w:hAnsi="Times New Roman" w:cs="Times New Roman"/>
          <w:color w:val="000000" w:themeColor="text1"/>
        </w:rPr>
        <w:t xml:space="preserve">carbon performance – </w:t>
      </w:r>
      <w:r w:rsidR="0003051E">
        <w:rPr>
          <w:rFonts w:ascii="Times New Roman" w:hAnsi="Times New Roman" w:cs="Times New Roman"/>
          <w:color w:val="000000" w:themeColor="text1"/>
        </w:rPr>
        <w:t xml:space="preserve">actual </w:t>
      </w:r>
      <w:r w:rsidR="009F065E" w:rsidRPr="009F065E">
        <w:rPr>
          <w:rFonts w:ascii="Times New Roman" w:hAnsi="Times New Roman" w:cs="Times New Roman"/>
          <w:color w:val="000000" w:themeColor="text1"/>
        </w:rPr>
        <w:t>GHG emissions</w:t>
      </w:r>
      <w:r w:rsidR="00621DB1">
        <w:rPr>
          <w:rFonts w:ascii="Times New Roman" w:hAnsi="Times New Roman" w:cs="Times New Roman"/>
          <w:color w:val="000000" w:themeColor="text1"/>
        </w:rPr>
        <w:t>)</w:t>
      </w:r>
      <w:r w:rsidR="009F065E" w:rsidRPr="009F065E">
        <w:rPr>
          <w:rFonts w:ascii="Times New Roman" w:hAnsi="Times New Roman" w:cs="Times New Roman"/>
          <w:color w:val="000000" w:themeColor="text1"/>
        </w:rPr>
        <w:t xml:space="preserve"> of </w:t>
      </w:r>
      <w:r w:rsidR="0098410E">
        <w:rPr>
          <w:rFonts w:ascii="Times New Roman" w:hAnsi="Times New Roman" w:cs="Times New Roman"/>
          <w:color w:val="000000" w:themeColor="text1"/>
        </w:rPr>
        <w:t xml:space="preserve">UK </w:t>
      </w:r>
      <w:r w:rsidR="003F03FF">
        <w:rPr>
          <w:rFonts w:ascii="Times New Roman" w:hAnsi="Times New Roman" w:cs="Times New Roman"/>
        </w:rPr>
        <w:t>listed</w:t>
      </w:r>
      <w:r w:rsidR="0098410E">
        <w:rPr>
          <w:rFonts w:ascii="Times New Roman" w:hAnsi="Times New Roman" w:cs="Times New Roman"/>
        </w:rPr>
        <w:t xml:space="preserve"> corporations</w:t>
      </w:r>
      <w:r w:rsidR="009F065E" w:rsidRPr="009F065E">
        <w:rPr>
          <w:rFonts w:ascii="Times New Roman" w:hAnsi="Times New Roman" w:cs="Times New Roman"/>
          <w:color w:val="000000" w:themeColor="text1"/>
        </w:rPr>
        <w:t xml:space="preserve">. We used two-step dynamic </w:t>
      </w:r>
      <w:r w:rsidR="009F065E" w:rsidRPr="009F065E">
        <w:rPr>
          <w:rFonts w:ascii="Times New Roman" w:hAnsi="Times New Roman" w:cs="Times New Roman"/>
        </w:rPr>
        <w:t>generalised method of moments (GMM) estimation technique</w:t>
      </w:r>
      <w:r w:rsidR="009F065E" w:rsidRPr="009F065E">
        <w:rPr>
          <w:rFonts w:ascii="Times New Roman" w:hAnsi="Times New Roman" w:cs="Times New Roman"/>
          <w:color w:val="000000" w:themeColor="text1"/>
        </w:rPr>
        <w:t xml:space="preserve"> to analyse an unbalanced panel dataset on 2</w:t>
      </w:r>
      <w:r w:rsidR="00720AD2">
        <w:rPr>
          <w:rFonts w:ascii="Times New Roman" w:hAnsi="Times New Roman" w:cs="Times New Roman"/>
          <w:color w:val="000000" w:themeColor="text1"/>
        </w:rPr>
        <w:t>,</w:t>
      </w:r>
      <w:r w:rsidR="009F065E" w:rsidRPr="009F065E">
        <w:rPr>
          <w:rFonts w:ascii="Times New Roman" w:hAnsi="Times New Roman" w:cs="Times New Roman"/>
          <w:color w:val="000000" w:themeColor="text1"/>
        </w:rPr>
        <w:t xml:space="preserve">245 </w:t>
      </w:r>
      <w:r w:rsidR="0003051E">
        <w:rPr>
          <w:rFonts w:ascii="Times New Roman" w:hAnsi="Times New Roman" w:cs="Times New Roman"/>
          <w:color w:val="000000" w:themeColor="text1"/>
        </w:rPr>
        <w:t xml:space="preserve">UK </w:t>
      </w:r>
      <w:r w:rsidR="009F065E" w:rsidRPr="009F065E">
        <w:rPr>
          <w:rFonts w:ascii="Times New Roman" w:hAnsi="Times New Roman" w:cs="Times New Roman"/>
          <w:color w:val="000000" w:themeColor="text1"/>
        </w:rPr>
        <w:t>firm-year observations covering a period o</w:t>
      </w:r>
      <w:r w:rsidR="00D976AA">
        <w:rPr>
          <w:rFonts w:ascii="Times New Roman" w:hAnsi="Times New Roman" w:cs="Times New Roman"/>
          <w:color w:val="000000" w:themeColor="text1"/>
        </w:rPr>
        <w:t>f</w:t>
      </w:r>
      <w:r w:rsidR="009F065E" w:rsidRPr="009F065E">
        <w:rPr>
          <w:rFonts w:ascii="Times New Roman" w:hAnsi="Times New Roman" w:cs="Times New Roman"/>
          <w:color w:val="000000" w:themeColor="text1"/>
        </w:rPr>
        <w:t xml:space="preserve"> 13 years (2002-2014)</w:t>
      </w:r>
      <w:r w:rsidR="00B13AB1">
        <w:rPr>
          <w:rFonts w:ascii="Times New Roman" w:hAnsi="Times New Roman" w:cs="Times New Roman"/>
          <w:color w:val="000000" w:themeColor="text1"/>
        </w:rPr>
        <w:t>, and thereby extending, as well as providing a number of new contributions to the extant literature as follows</w:t>
      </w:r>
      <w:r w:rsidR="009F065E" w:rsidRPr="009F065E">
        <w:rPr>
          <w:rFonts w:ascii="Times New Roman" w:hAnsi="Times New Roman" w:cs="Times New Roman"/>
          <w:color w:val="000000" w:themeColor="text1"/>
        </w:rPr>
        <w:t xml:space="preserve">. </w:t>
      </w:r>
    </w:p>
    <w:p w14:paraId="6C9394CD" w14:textId="08E88553" w:rsidR="00720AD2" w:rsidRDefault="00720AD2" w:rsidP="004B4A76">
      <w:pPr>
        <w:spacing w:after="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First,</w:t>
      </w:r>
      <w:r w:rsidRPr="00CB6910">
        <w:rPr>
          <w:rFonts w:ascii="Times New Roman" w:hAnsi="Times New Roman" w:cs="Times New Roman"/>
          <w:color w:val="000000" w:themeColor="text1"/>
        </w:rPr>
        <w:t xml:space="preserve"> our</w:t>
      </w:r>
      <w:r w:rsidR="00B13AB1">
        <w:rPr>
          <w:rFonts w:ascii="Times New Roman" w:hAnsi="Times New Roman" w:cs="Times New Roman"/>
          <w:color w:val="000000" w:themeColor="text1"/>
        </w:rPr>
        <w:t xml:space="preserve"> </w:t>
      </w:r>
      <w:r w:rsidRPr="00CB6910">
        <w:rPr>
          <w:rFonts w:ascii="Times New Roman" w:hAnsi="Times New Roman" w:cs="Times New Roman"/>
          <w:color w:val="000000" w:themeColor="text1"/>
        </w:rPr>
        <w:t>results</w:t>
      </w:r>
      <w:r w:rsidR="00B13AB1">
        <w:rPr>
          <w:rFonts w:ascii="Times New Roman" w:hAnsi="Times New Roman" w:cs="Times New Roman"/>
          <w:color w:val="000000" w:themeColor="text1"/>
        </w:rPr>
        <w:t xml:space="preserve"> contribute to the literature by</w:t>
      </w:r>
      <w:r w:rsidRPr="00CB6910">
        <w:rPr>
          <w:rFonts w:ascii="Times New Roman" w:hAnsi="Times New Roman" w:cs="Times New Roman"/>
          <w:color w:val="000000" w:themeColor="text1"/>
        </w:rPr>
        <w:t xml:space="preserve"> suggest</w:t>
      </w:r>
      <w:r w:rsidR="00B13AB1">
        <w:rPr>
          <w:rFonts w:ascii="Times New Roman" w:hAnsi="Times New Roman" w:cs="Times New Roman"/>
          <w:color w:val="000000" w:themeColor="text1"/>
        </w:rPr>
        <w:t>ing</w:t>
      </w:r>
      <w:r w:rsidRPr="00CB6910">
        <w:rPr>
          <w:rFonts w:ascii="Times New Roman" w:hAnsi="Times New Roman" w:cs="Times New Roman"/>
          <w:color w:val="000000" w:themeColor="text1"/>
        </w:rPr>
        <w:t xml:space="preserve"> that the</w:t>
      </w:r>
      <w:r w:rsidR="0098410E">
        <w:rPr>
          <w:rFonts w:ascii="Times New Roman" w:hAnsi="Times New Roman" w:cs="Times New Roman"/>
          <w:color w:val="000000" w:themeColor="text1"/>
        </w:rPr>
        <w:t xml:space="preserve"> implementation of the</w:t>
      </w:r>
      <w:r w:rsidRPr="00CB6910">
        <w:rPr>
          <w:rFonts w:ascii="Times New Roman" w:hAnsi="Times New Roman" w:cs="Times New Roman"/>
          <w:color w:val="000000" w:themeColor="text1"/>
        </w:rPr>
        <w:t xml:space="preserve"> CCA has </w:t>
      </w:r>
      <w:r w:rsidR="0098410E">
        <w:rPr>
          <w:rFonts w:ascii="Times New Roman" w:hAnsi="Times New Roman" w:cs="Times New Roman"/>
          <w:color w:val="000000" w:themeColor="text1"/>
        </w:rPr>
        <w:t xml:space="preserve">had </w:t>
      </w:r>
      <w:r w:rsidRPr="00CB6910">
        <w:rPr>
          <w:rFonts w:ascii="Times New Roman" w:hAnsi="Times New Roman" w:cs="Times New Roman"/>
          <w:color w:val="000000" w:themeColor="text1"/>
        </w:rPr>
        <w:t>a positive effect on CRI</w:t>
      </w:r>
      <w:r w:rsidR="004E3643">
        <w:rPr>
          <w:rFonts w:ascii="Times New Roman" w:hAnsi="Times New Roman" w:cs="Times New Roman"/>
          <w:color w:val="000000" w:themeColor="text1"/>
        </w:rPr>
        <w:t>s</w:t>
      </w:r>
      <w:r w:rsidRPr="00CB6910">
        <w:rPr>
          <w:rFonts w:ascii="Times New Roman" w:hAnsi="Times New Roman" w:cs="Times New Roman"/>
          <w:color w:val="000000" w:themeColor="text1"/>
        </w:rPr>
        <w:t xml:space="preserve">, and this effect is reinforced for firms with stronger </w:t>
      </w:r>
      <w:r>
        <w:rPr>
          <w:rFonts w:ascii="Times New Roman" w:hAnsi="Times New Roman" w:cs="Times New Roman"/>
          <w:color w:val="000000" w:themeColor="text1"/>
        </w:rPr>
        <w:t>CG</w:t>
      </w:r>
      <w:r w:rsidRPr="00CB6910">
        <w:rPr>
          <w:rFonts w:ascii="Times New Roman" w:hAnsi="Times New Roman" w:cs="Times New Roman"/>
          <w:color w:val="000000" w:themeColor="text1"/>
        </w:rPr>
        <w:t xml:space="preserve"> mechanisms (i.e., greater board independence and higher executive compensation). </w:t>
      </w:r>
      <w:r>
        <w:rPr>
          <w:rFonts w:ascii="Times New Roman" w:hAnsi="Times New Roman" w:cs="Times New Roman"/>
          <w:color w:val="000000" w:themeColor="text1"/>
        </w:rPr>
        <w:t>Second</w:t>
      </w:r>
      <w:r w:rsidRPr="00CB6910">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we find that </w:t>
      </w:r>
      <w:r w:rsidRPr="00CB6910">
        <w:rPr>
          <w:rFonts w:ascii="Times New Roman" w:hAnsi="Times New Roman" w:cs="Times New Roman"/>
          <w:color w:val="000000" w:themeColor="text1"/>
        </w:rPr>
        <w:t xml:space="preserve">the GRI-based sustainable reporting </w:t>
      </w:r>
      <w:r w:rsidR="0098410E">
        <w:rPr>
          <w:rFonts w:ascii="Times New Roman" w:hAnsi="Times New Roman" w:cs="Times New Roman"/>
          <w:color w:val="000000" w:themeColor="text1"/>
        </w:rPr>
        <w:t xml:space="preserve">framework has impacted </w:t>
      </w:r>
      <w:r w:rsidRPr="00CB6910">
        <w:rPr>
          <w:rFonts w:ascii="Times New Roman" w:hAnsi="Times New Roman" w:cs="Times New Roman"/>
          <w:color w:val="000000" w:themeColor="text1"/>
        </w:rPr>
        <w:t>positive</w:t>
      </w:r>
      <w:r w:rsidR="0098410E">
        <w:rPr>
          <w:rFonts w:ascii="Times New Roman" w:hAnsi="Times New Roman" w:cs="Times New Roman"/>
          <w:color w:val="000000" w:themeColor="text1"/>
        </w:rPr>
        <w:t>ly on</w:t>
      </w:r>
      <w:r w:rsidRPr="00CB6910">
        <w:rPr>
          <w:rFonts w:ascii="Times New Roman" w:hAnsi="Times New Roman" w:cs="Times New Roman"/>
          <w:color w:val="000000" w:themeColor="text1"/>
        </w:rPr>
        <w:t xml:space="preserve"> CRI</w:t>
      </w:r>
      <w:r w:rsidR="004E3643">
        <w:rPr>
          <w:rFonts w:ascii="Times New Roman" w:hAnsi="Times New Roman" w:cs="Times New Roman"/>
          <w:color w:val="000000" w:themeColor="text1"/>
        </w:rPr>
        <w:t>s</w:t>
      </w:r>
      <w:r w:rsidRPr="00CB6910">
        <w:rPr>
          <w:rFonts w:ascii="Times New Roman" w:hAnsi="Times New Roman" w:cs="Times New Roman"/>
          <w:color w:val="000000" w:themeColor="text1"/>
        </w:rPr>
        <w:t xml:space="preserve">. </w:t>
      </w:r>
      <w:r>
        <w:rPr>
          <w:rFonts w:ascii="Times New Roman" w:hAnsi="Times New Roman" w:cs="Times New Roman"/>
          <w:color w:val="000000" w:themeColor="text1"/>
        </w:rPr>
        <w:t>Third, we find that firms with poor CG structures, as captured by larger board size, have lower actual carbon performance</w:t>
      </w:r>
      <w:r w:rsidR="004E3643">
        <w:rPr>
          <w:rFonts w:ascii="Times New Roman" w:hAnsi="Times New Roman" w:cs="Times New Roman"/>
          <w:color w:val="000000" w:themeColor="text1"/>
        </w:rPr>
        <w:t xml:space="preserve"> </w:t>
      </w:r>
      <w:r w:rsidR="004E3643">
        <w:rPr>
          <w:rFonts w:ascii="Times New Roman" w:hAnsi="Times New Roman" w:cs="Times New Roman"/>
          <w:color w:val="000000" w:themeColor="text1"/>
        </w:rPr>
        <w:lastRenderedPageBreak/>
        <w:t>(actual GHG emissions)</w:t>
      </w:r>
      <w:r>
        <w:rPr>
          <w:rFonts w:ascii="Times New Roman" w:hAnsi="Times New Roman" w:cs="Times New Roman"/>
          <w:color w:val="000000" w:themeColor="text1"/>
        </w:rPr>
        <w:t xml:space="preserve"> compared with their better-governed counterparts. </w:t>
      </w:r>
      <w:r w:rsidRPr="00CB6910">
        <w:rPr>
          <w:rFonts w:ascii="Times New Roman" w:hAnsi="Times New Roman" w:cs="Times New Roman"/>
          <w:color w:val="000000" w:themeColor="text1"/>
        </w:rPr>
        <w:t xml:space="preserve">Overall, our evidence suggests </w:t>
      </w:r>
      <w:r w:rsidRPr="00CB6910">
        <w:rPr>
          <w:rFonts w:ascii="Times New Roman" w:hAnsi="Times New Roman" w:cs="Times New Roman"/>
        </w:rPr>
        <w:t xml:space="preserve">that firms </w:t>
      </w:r>
      <w:r w:rsidR="0098410E">
        <w:rPr>
          <w:rFonts w:ascii="Times New Roman" w:hAnsi="Times New Roman" w:cs="Times New Roman"/>
        </w:rPr>
        <w:t xml:space="preserve">tend to symbolically </w:t>
      </w:r>
      <w:r w:rsidRPr="00CB6910">
        <w:rPr>
          <w:rFonts w:ascii="Times New Roman" w:hAnsi="Times New Roman" w:cs="Times New Roman"/>
        </w:rPr>
        <w:t xml:space="preserve">conform to climate regulations or sustainable reporting guidelines by demonstrating superior process-oriented </w:t>
      </w:r>
      <w:r w:rsidRPr="00CB6910">
        <w:rPr>
          <w:rFonts w:ascii="Times New Roman" w:hAnsi="Times New Roman" w:cs="Times New Roman"/>
          <w:color w:val="000000" w:themeColor="text1"/>
        </w:rPr>
        <w:t xml:space="preserve">carbon performance, without </w:t>
      </w:r>
      <w:r w:rsidR="0098410E">
        <w:rPr>
          <w:rFonts w:ascii="Times New Roman" w:hAnsi="Times New Roman" w:cs="Times New Roman"/>
          <w:color w:val="000000" w:themeColor="text1"/>
        </w:rPr>
        <w:t xml:space="preserve">necessarily </w:t>
      </w:r>
      <w:r w:rsidRPr="00CB6910">
        <w:rPr>
          <w:rFonts w:ascii="Times New Roman" w:hAnsi="Times New Roman" w:cs="Times New Roman"/>
          <w:color w:val="000000" w:themeColor="text1"/>
        </w:rPr>
        <w:t>improving actual carbon performance</w:t>
      </w:r>
      <w:r w:rsidR="0098410E">
        <w:rPr>
          <w:rFonts w:ascii="Times New Roman" w:hAnsi="Times New Roman" w:cs="Times New Roman"/>
          <w:color w:val="000000" w:themeColor="text1"/>
        </w:rPr>
        <w:t xml:space="preserve"> substantively</w:t>
      </w:r>
      <w:r w:rsidRPr="00CB6910">
        <w:rPr>
          <w:rFonts w:ascii="Times New Roman" w:hAnsi="Times New Roman" w:cs="Times New Roman"/>
          <w:color w:val="000000" w:themeColor="text1"/>
        </w:rPr>
        <w:t>.</w:t>
      </w:r>
      <w:r w:rsidR="00143FF3">
        <w:rPr>
          <w:rFonts w:ascii="Times New Roman" w:hAnsi="Times New Roman" w:cs="Times New Roman"/>
          <w:color w:val="000000" w:themeColor="text1"/>
        </w:rPr>
        <w:t xml:space="preserve"> </w:t>
      </w:r>
      <w:r w:rsidR="00D976AA">
        <w:rPr>
          <w:rFonts w:ascii="Times New Roman" w:hAnsi="Times New Roman" w:cs="Times New Roman"/>
          <w:color w:val="000000" w:themeColor="text1"/>
        </w:rPr>
        <w:t>We interpret these findings within neo-institutional theoretical prediction</w:t>
      </w:r>
      <w:r w:rsidR="00920906">
        <w:rPr>
          <w:rFonts w:ascii="Times New Roman" w:hAnsi="Times New Roman" w:cs="Times New Roman"/>
          <w:color w:val="000000" w:themeColor="text1"/>
        </w:rPr>
        <w:t>s</w:t>
      </w:r>
      <w:r w:rsidR="00D976AA">
        <w:rPr>
          <w:rFonts w:ascii="Times New Roman" w:hAnsi="Times New Roman" w:cs="Times New Roman"/>
          <w:color w:val="000000" w:themeColor="text1"/>
        </w:rPr>
        <w:t>, whereby regulative, mimetic and normative pressures, such as those posed by the CCA</w:t>
      </w:r>
      <w:r w:rsidR="001B6C00">
        <w:rPr>
          <w:rFonts w:ascii="Times New Roman" w:hAnsi="Times New Roman" w:cs="Times New Roman"/>
          <w:color w:val="000000" w:themeColor="text1"/>
        </w:rPr>
        <w:t xml:space="preserve"> can</w:t>
      </w:r>
      <w:r w:rsidR="00D976AA">
        <w:rPr>
          <w:rFonts w:ascii="Times New Roman" w:hAnsi="Times New Roman" w:cs="Times New Roman"/>
          <w:color w:val="000000" w:themeColor="text1"/>
        </w:rPr>
        <w:t xml:space="preserve"> compel firms to symbolically engage in </w:t>
      </w:r>
      <w:r w:rsidR="00182768">
        <w:rPr>
          <w:rFonts w:ascii="Times New Roman" w:hAnsi="Times New Roman" w:cs="Times New Roman"/>
          <w:color w:val="000000" w:themeColor="text1"/>
        </w:rPr>
        <w:t>CRIs</w:t>
      </w:r>
      <w:r w:rsidR="00D976AA">
        <w:rPr>
          <w:rFonts w:ascii="Times New Roman" w:hAnsi="Times New Roman" w:cs="Times New Roman"/>
          <w:color w:val="000000" w:themeColor="text1"/>
        </w:rPr>
        <w:t xml:space="preserve"> in order to gain legitimacy for their operations, but are often not backed by substantive measures that can improve actual carbon performance</w:t>
      </w:r>
      <w:r w:rsidR="001B6C00">
        <w:rPr>
          <w:rFonts w:ascii="Times New Roman" w:hAnsi="Times New Roman" w:cs="Times New Roman"/>
          <w:color w:val="000000" w:themeColor="text1"/>
        </w:rPr>
        <w:t xml:space="preserve"> by</w:t>
      </w:r>
      <w:r w:rsidR="00D976AA">
        <w:rPr>
          <w:rFonts w:ascii="Times New Roman" w:hAnsi="Times New Roman" w:cs="Times New Roman"/>
          <w:color w:val="000000" w:themeColor="text1"/>
        </w:rPr>
        <w:t xml:space="preserve"> reducing </w:t>
      </w:r>
      <w:r w:rsidR="001B6C00">
        <w:rPr>
          <w:rFonts w:ascii="Times New Roman" w:hAnsi="Times New Roman" w:cs="Times New Roman"/>
          <w:color w:val="000000" w:themeColor="text1"/>
        </w:rPr>
        <w:t xml:space="preserve">actual </w:t>
      </w:r>
      <w:r w:rsidR="00D976AA">
        <w:rPr>
          <w:rFonts w:ascii="Times New Roman" w:hAnsi="Times New Roman" w:cs="Times New Roman"/>
          <w:color w:val="000000" w:themeColor="text1"/>
        </w:rPr>
        <w:t>carbon emissions.</w:t>
      </w:r>
      <w:r w:rsidR="006C0646">
        <w:rPr>
          <w:rFonts w:ascii="Times New Roman" w:hAnsi="Times New Roman" w:cs="Times New Roman"/>
          <w:color w:val="000000" w:themeColor="text1"/>
        </w:rPr>
        <w:t xml:space="preserve"> In this case, our evidence </w:t>
      </w:r>
      <w:r w:rsidR="00B75C92">
        <w:rPr>
          <w:rFonts w:ascii="Times New Roman" w:hAnsi="Times New Roman" w:cs="Times New Roman"/>
          <w:color w:val="000000" w:themeColor="text1"/>
        </w:rPr>
        <w:t>seems to offer more support f</w:t>
      </w:r>
      <w:r w:rsidR="006C0646">
        <w:rPr>
          <w:rFonts w:ascii="Times New Roman" w:hAnsi="Times New Roman" w:cs="Times New Roman"/>
          <w:color w:val="000000" w:themeColor="text1"/>
        </w:rPr>
        <w:t>o</w:t>
      </w:r>
      <w:r w:rsidR="00B75C92">
        <w:rPr>
          <w:rFonts w:ascii="Times New Roman" w:hAnsi="Times New Roman" w:cs="Times New Roman"/>
          <w:color w:val="000000" w:themeColor="text1"/>
        </w:rPr>
        <w:t>r</w:t>
      </w:r>
      <w:r w:rsidR="006C0646">
        <w:rPr>
          <w:rFonts w:ascii="Times New Roman" w:hAnsi="Times New Roman" w:cs="Times New Roman"/>
          <w:color w:val="000000" w:themeColor="text1"/>
        </w:rPr>
        <w:t xml:space="preserve"> the legitimation (symbolic) </w:t>
      </w:r>
      <w:r w:rsidR="001B6C00">
        <w:rPr>
          <w:rFonts w:ascii="Times New Roman" w:hAnsi="Times New Roman" w:cs="Times New Roman"/>
          <w:color w:val="000000" w:themeColor="text1"/>
        </w:rPr>
        <w:t xml:space="preserve">predictions </w:t>
      </w:r>
      <w:r w:rsidR="006C0646">
        <w:rPr>
          <w:rFonts w:ascii="Times New Roman" w:hAnsi="Times New Roman" w:cs="Times New Roman"/>
          <w:color w:val="000000" w:themeColor="text1"/>
        </w:rPr>
        <w:t xml:space="preserve">of </w:t>
      </w:r>
      <w:r w:rsidR="001B6C00">
        <w:rPr>
          <w:rFonts w:ascii="Times New Roman" w:hAnsi="Times New Roman" w:cs="Times New Roman"/>
          <w:color w:val="000000" w:themeColor="text1"/>
        </w:rPr>
        <w:t>our neo-institutional theoretical framework for</w:t>
      </w:r>
      <w:r w:rsidR="006C0646">
        <w:rPr>
          <w:rFonts w:ascii="Times New Roman" w:hAnsi="Times New Roman" w:cs="Times New Roman"/>
          <w:color w:val="000000" w:themeColor="text1"/>
        </w:rPr>
        <w:t xml:space="preserve"> engaging in </w:t>
      </w:r>
      <w:r w:rsidR="00182768">
        <w:rPr>
          <w:rFonts w:ascii="Times New Roman" w:hAnsi="Times New Roman" w:cs="Times New Roman"/>
          <w:color w:val="000000" w:themeColor="text1"/>
        </w:rPr>
        <w:t>CRIs</w:t>
      </w:r>
      <w:r w:rsidR="006C0646">
        <w:rPr>
          <w:rFonts w:ascii="Times New Roman" w:hAnsi="Times New Roman" w:cs="Times New Roman"/>
          <w:color w:val="000000" w:themeColor="text1"/>
        </w:rPr>
        <w:t xml:space="preserve"> compared with </w:t>
      </w:r>
      <w:r w:rsidR="001B6C00">
        <w:rPr>
          <w:rFonts w:ascii="Times New Roman" w:hAnsi="Times New Roman" w:cs="Times New Roman"/>
          <w:color w:val="000000" w:themeColor="text1"/>
        </w:rPr>
        <w:t>its</w:t>
      </w:r>
      <w:r w:rsidR="006C0646">
        <w:rPr>
          <w:rFonts w:ascii="Times New Roman" w:hAnsi="Times New Roman" w:cs="Times New Roman"/>
          <w:color w:val="000000" w:themeColor="text1"/>
        </w:rPr>
        <w:t xml:space="preserve"> </w:t>
      </w:r>
      <w:r w:rsidR="003E25BE">
        <w:rPr>
          <w:rFonts w:ascii="Times New Roman" w:hAnsi="Times New Roman" w:cs="Times New Roman"/>
          <w:color w:val="000000" w:themeColor="text1"/>
        </w:rPr>
        <w:t xml:space="preserve">efficiency (substantive) </w:t>
      </w:r>
      <w:r w:rsidR="001B6C00">
        <w:rPr>
          <w:rFonts w:ascii="Times New Roman" w:hAnsi="Times New Roman" w:cs="Times New Roman"/>
          <w:color w:val="000000" w:themeColor="text1"/>
        </w:rPr>
        <w:t>perspectives</w:t>
      </w:r>
      <w:r w:rsidR="006C0646">
        <w:rPr>
          <w:rFonts w:ascii="Times New Roman" w:hAnsi="Times New Roman" w:cs="Times New Roman"/>
          <w:color w:val="000000" w:themeColor="text1"/>
        </w:rPr>
        <w:t>.</w:t>
      </w:r>
    </w:p>
    <w:p w14:paraId="7C24B2F6" w14:textId="0E53F694" w:rsidR="00072A3D" w:rsidRPr="00CB6910" w:rsidRDefault="00CA4B42">
      <w:pPr>
        <w:spacing w:after="0" w:line="360" w:lineRule="auto"/>
        <w:ind w:firstLine="720"/>
        <w:jc w:val="both"/>
        <w:rPr>
          <w:rFonts w:ascii="Times New Roman" w:hAnsi="Times New Roman" w:cs="Times New Roman"/>
          <w:color w:val="000000"/>
        </w:rPr>
      </w:pPr>
      <w:r>
        <w:rPr>
          <w:rFonts w:ascii="Times New Roman" w:hAnsi="Times New Roman" w:cs="Times New Roman"/>
          <w:color w:val="000000" w:themeColor="text1"/>
        </w:rPr>
        <w:t>Our results have important implications for</w:t>
      </w:r>
      <w:r w:rsidR="00B25806">
        <w:rPr>
          <w:rFonts w:ascii="Times New Roman" w:hAnsi="Times New Roman" w:cs="Times New Roman"/>
          <w:color w:val="000000" w:themeColor="text1"/>
        </w:rPr>
        <w:t xml:space="preserve"> environmental policy, sustainable development, </w:t>
      </w:r>
      <w:r w:rsidR="00B65BCA">
        <w:rPr>
          <w:rFonts w:ascii="Times New Roman" w:hAnsi="Times New Roman" w:cs="Times New Roman"/>
          <w:color w:val="000000" w:themeColor="text1"/>
        </w:rPr>
        <w:t>CG</w:t>
      </w:r>
      <w:r w:rsidR="00B25806">
        <w:rPr>
          <w:rFonts w:ascii="Times New Roman" w:hAnsi="Times New Roman" w:cs="Times New Roman"/>
          <w:color w:val="000000" w:themeColor="text1"/>
        </w:rPr>
        <w:t>, environmental performance and</w:t>
      </w:r>
      <w:r>
        <w:rPr>
          <w:rFonts w:ascii="Times New Roman" w:hAnsi="Times New Roman" w:cs="Times New Roman"/>
          <w:color w:val="000000" w:themeColor="text1"/>
        </w:rPr>
        <w:t xml:space="preserve"> business </w:t>
      </w:r>
      <w:r>
        <w:rPr>
          <w:rFonts w:ascii="Times New Roman" w:hAnsi="Times New Roman" w:cs="Times New Roman"/>
          <w:color w:val="000000" w:themeColor="text1"/>
        </w:rPr>
        <w:lastRenderedPageBreak/>
        <w:t xml:space="preserve">strategy. </w:t>
      </w:r>
      <w:r w:rsidR="00867145">
        <w:rPr>
          <w:rFonts w:ascii="Times New Roman" w:hAnsi="Times New Roman" w:cs="Times New Roman"/>
          <w:color w:val="000000" w:themeColor="text1"/>
        </w:rPr>
        <w:t>First and f</w:t>
      </w:r>
      <w:r w:rsidR="00B25806">
        <w:rPr>
          <w:rFonts w:ascii="Times New Roman" w:hAnsi="Times New Roman" w:cs="Times New Roman"/>
          <w:color w:val="000000" w:themeColor="text1"/>
        </w:rPr>
        <w:t xml:space="preserve">rom </w:t>
      </w:r>
      <w:r w:rsidR="00E630EB">
        <w:rPr>
          <w:rFonts w:ascii="Times New Roman" w:hAnsi="Times New Roman" w:cs="Times New Roman"/>
          <w:color w:val="000000" w:themeColor="text1"/>
        </w:rPr>
        <w:t xml:space="preserve">a sustainable </w:t>
      </w:r>
      <w:r w:rsidR="00B25806">
        <w:rPr>
          <w:rFonts w:ascii="Times New Roman" w:hAnsi="Times New Roman" w:cs="Times New Roman"/>
          <w:color w:val="000000" w:themeColor="text1"/>
        </w:rPr>
        <w:t>business strategy perspective</w:t>
      </w:r>
      <w:r w:rsidR="00E630EB">
        <w:rPr>
          <w:rFonts w:ascii="Times New Roman" w:hAnsi="Times New Roman" w:cs="Times New Roman"/>
          <w:color w:val="000000" w:themeColor="text1"/>
        </w:rPr>
        <w:t xml:space="preserve">, senior managers and their corporate boards may need to engage in </w:t>
      </w:r>
      <w:r w:rsidR="00831C78">
        <w:rPr>
          <w:rFonts w:ascii="Times New Roman" w:hAnsi="Times New Roman" w:cs="Times New Roman"/>
          <w:color w:val="000000" w:themeColor="text1"/>
        </w:rPr>
        <w:t xml:space="preserve">both </w:t>
      </w:r>
      <w:r w:rsidR="00E630EB">
        <w:rPr>
          <w:rFonts w:ascii="Times New Roman" w:hAnsi="Times New Roman" w:cs="Times New Roman"/>
          <w:color w:val="000000" w:themeColor="text1"/>
        </w:rPr>
        <w:t>symbolic (legitimacy</w:t>
      </w:r>
      <w:r w:rsidR="00831C78">
        <w:rPr>
          <w:rFonts w:ascii="Times New Roman" w:hAnsi="Times New Roman" w:cs="Times New Roman"/>
          <w:color w:val="000000" w:themeColor="text1"/>
        </w:rPr>
        <w:t>-oriented</w:t>
      </w:r>
      <w:r w:rsidR="00E630EB">
        <w:rPr>
          <w:rFonts w:ascii="Times New Roman" w:hAnsi="Times New Roman" w:cs="Times New Roman"/>
          <w:color w:val="000000" w:themeColor="text1"/>
        </w:rPr>
        <w:t>) and substantive (efficiency</w:t>
      </w:r>
      <w:r w:rsidR="00831C78">
        <w:rPr>
          <w:rFonts w:ascii="Times New Roman" w:hAnsi="Times New Roman" w:cs="Times New Roman"/>
          <w:color w:val="000000" w:themeColor="text1"/>
        </w:rPr>
        <w:t>-oriented</w:t>
      </w:r>
      <w:r w:rsidR="00E630EB">
        <w:rPr>
          <w:rFonts w:ascii="Times New Roman" w:hAnsi="Times New Roman" w:cs="Times New Roman"/>
          <w:color w:val="000000" w:themeColor="text1"/>
        </w:rPr>
        <w:t xml:space="preserve">) environmental performance management initiatives if they are able to achieve </w:t>
      </w:r>
      <w:r w:rsidR="00831C78">
        <w:rPr>
          <w:rFonts w:ascii="Times New Roman" w:hAnsi="Times New Roman" w:cs="Times New Roman"/>
          <w:color w:val="000000" w:themeColor="text1"/>
        </w:rPr>
        <w:t xml:space="preserve">intended </w:t>
      </w:r>
      <w:r w:rsidR="00E630EB">
        <w:rPr>
          <w:rFonts w:ascii="Times New Roman" w:hAnsi="Times New Roman" w:cs="Times New Roman"/>
          <w:color w:val="000000" w:themeColor="text1"/>
        </w:rPr>
        <w:t>sustainable competitive advantage</w:t>
      </w:r>
      <w:r w:rsidR="00A8417F">
        <w:rPr>
          <w:rFonts w:ascii="Times New Roman" w:hAnsi="Times New Roman" w:cs="Times New Roman"/>
          <w:color w:val="000000" w:themeColor="text1"/>
        </w:rPr>
        <w:t>s</w:t>
      </w:r>
      <w:r w:rsidR="00E630EB">
        <w:rPr>
          <w:rFonts w:ascii="Times New Roman" w:hAnsi="Times New Roman" w:cs="Times New Roman"/>
          <w:color w:val="000000" w:themeColor="text1"/>
        </w:rPr>
        <w:t xml:space="preserve"> in an uncertain world of climate change.  However and in line with</w:t>
      </w:r>
      <w:r w:rsidR="00B25806">
        <w:rPr>
          <w:rFonts w:ascii="Times New Roman" w:hAnsi="Times New Roman" w:cs="Times New Roman"/>
          <w:color w:val="000000" w:themeColor="text1"/>
        </w:rPr>
        <w:t xml:space="preserve"> </w:t>
      </w:r>
      <w:r w:rsidR="00E630EB">
        <w:rPr>
          <w:rFonts w:ascii="Times New Roman" w:hAnsi="Times New Roman" w:cs="Times New Roman"/>
          <w:color w:val="000000" w:themeColor="text1"/>
        </w:rPr>
        <w:t>the predictions of</w:t>
      </w:r>
      <w:r>
        <w:rPr>
          <w:rFonts w:ascii="Times New Roman" w:hAnsi="Times New Roman" w:cs="Times New Roman"/>
          <w:color w:val="000000" w:themeColor="text1"/>
        </w:rPr>
        <w:t xml:space="preserve"> our theoretical framework, </w:t>
      </w:r>
      <w:r w:rsidR="007A7656">
        <w:rPr>
          <w:rFonts w:ascii="Times New Roman" w:hAnsi="Times New Roman" w:cs="Times New Roman"/>
          <w:color w:val="000000" w:themeColor="text1"/>
        </w:rPr>
        <w:t>our findings indicate that</w:t>
      </w:r>
      <w:r w:rsidR="00831C78">
        <w:rPr>
          <w:rFonts w:ascii="Times New Roman" w:hAnsi="Times New Roman" w:cs="Times New Roman"/>
          <w:color w:val="000000" w:themeColor="text1"/>
        </w:rPr>
        <w:t xml:space="preserve"> </w:t>
      </w:r>
      <w:r w:rsidR="00D9235C">
        <w:rPr>
          <w:rFonts w:ascii="Times New Roman" w:hAnsi="Times New Roman" w:cs="Times New Roman"/>
          <w:color w:val="000000" w:themeColor="text1"/>
        </w:rPr>
        <w:t>managers and boards of our sampled firms’</w:t>
      </w:r>
      <w:r w:rsidR="00831C78">
        <w:rPr>
          <w:rFonts w:ascii="Times New Roman" w:hAnsi="Times New Roman" w:cs="Times New Roman"/>
          <w:color w:val="000000" w:themeColor="text1"/>
        </w:rPr>
        <w:t xml:space="preserve"> environmental performance management efforts and strategies have focused mainly on</w:t>
      </w:r>
      <w:r w:rsidR="00D9235C">
        <w:rPr>
          <w:rFonts w:ascii="Times New Roman" w:hAnsi="Times New Roman" w:cs="Times New Roman"/>
          <w:color w:val="000000" w:themeColor="text1"/>
        </w:rPr>
        <w:t xml:space="preserve"> symbolic ones and thereby</w:t>
      </w:r>
      <w:r w:rsidR="00831C78">
        <w:rPr>
          <w:rFonts w:ascii="Times New Roman" w:hAnsi="Times New Roman" w:cs="Times New Roman"/>
          <w:color w:val="000000" w:themeColor="text1"/>
        </w:rPr>
        <w:t xml:space="preserve"> delivering</w:t>
      </w:r>
      <w:r w:rsidR="00D9235C">
        <w:rPr>
          <w:rFonts w:ascii="Times New Roman" w:hAnsi="Times New Roman" w:cs="Times New Roman"/>
          <w:color w:val="000000" w:themeColor="text1"/>
        </w:rPr>
        <w:t xml:space="preserve"> only</w:t>
      </w:r>
      <w:r w:rsidR="00831C78">
        <w:rPr>
          <w:rFonts w:ascii="Times New Roman" w:hAnsi="Times New Roman" w:cs="Times New Roman"/>
          <w:color w:val="000000" w:themeColor="text1"/>
        </w:rPr>
        <w:t xml:space="preserve"> symbolic (legitimation) outcomes</w:t>
      </w:r>
      <w:r w:rsidR="00D9235C">
        <w:rPr>
          <w:rFonts w:ascii="Times New Roman" w:hAnsi="Times New Roman" w:cs="Times New Roman"/>
          <w:color w:val="000000" w:themeColor="text1"/>
        </w:rPr>
        <w:t xml:space="preserve">. </w:t>
      </w:r>
      <w:r w:rsidR="00A86E87">
        <w:rPr>
          <w:rFonts w:ascii="Times New Roman" w:hAnsi="Times New Roman" w:cs="Times New Roman"/>
          <w:color w:val="000000" w:themeColor="text1"/>
        </w:rPr>
        <w:t>Consequently</w:t>
      </w:r>
      <w:r w:rsidR="00072A3D">
        <w:rPr>
          <w:rFonts w:ascii="Times New Roman" w:hAnsi="Times New Roman" w:cs="Times New Roman"/>
          <w:color w:val="000000" w:themeColor="text1"/>
        </w:rPr>
        <w:t xml:space="preserve">, </w:t>
      </w:r>
      <w:r w:rsidR="00A86E87">
        <w:rPr>
          <w:rFonts w:ascii="Times New Roman" w:hAnsi="Times New Roman" w:cs="Times New Roman"/>
          <w:color w:val="000000" w:themeColor="text1"/>
        </w:rPr>
        <w:t xml:space="preserve">we suggest that </w:t>
      </w:r>
      <w:r w:rsidR="000503D9">
        <w:rPr>
          <w:rFonts w:ascii="Times New Roman" w:hAnsi="Times New Roman" w:cs="Times New Roman"/>
          <w:color w:val="000000" w:themeColor="text1"/>
        </w:rPr>
        <w:t>there is an urgency for firms</w:t>
      </w:r>
      <w:r w:rsidR="00A86E87">
        <w:rPr>
          <w:rFonts w:ascii="Times New Roman" w:hAnsi="Times New Roman" w:cs="Times New Roman"/>
          <w:color w:val="000000" w:themeColor="text1"/>
        </w:rPr>
        <w:t>, especially corporate boards and managers</w:t>
      </w:r>
      <w:r w:rsidR="000503D9">
        <w:rPr>
          <w:rFonts w:ascii="Times New Roman" w:hAnsi="Times New Roman" w:cs="Times New Roman"/>
          <w:color w:val="000000" w:themeColor="text1"/>
        </w:rPr>
        <w:t xml:space="preserve"> to </w:t>
      </w:r>
      <w:r w:rsidR="00867145">
        <w:rPr>
          <w:rFonts w:ascii="Times New Roman" w:hAnsi="Times New Roman" w:cs="Times New Roman"/>
          <w:color w:val="000000" w:themeColor="text1"/>
        </w:rPr>
        <w:t>commit to</w:t>
      </w:r>
      <w:r w:rsidR="000503D9">
        <w:rPr>
          <w:rFonts w:ascii="Times New Roman" w:hAnsi="Times New Roman" w:cs="Times New Roman"/>
          <w:color w:val="000000" w:themeColor="text1"/>
        </w:rPr>
        <w:t xml:space="preserve"> and implement comprehensive strategies </w:t>
      </w:r>
      <w:r w:rsidR="00A86E87">
        <w:rPr>
          <w:rFonts w:ascii="Times New Roman" w:hAnsi="Times New Roman" w:cs="Times New Roman"/>
          <w:color w:val="000000" w:themeColor="text1"/>
        </w:rPr>
        <w:t>that can</w:t>
      </w:r>
      <w:r w:rsidR="000503D9">
        <w:rPr>
          <w:rFonts w:ascii="Times New Roman" w:hAnsi="Times New Roman" w:cs="Times New Roman"/>
          <w:color w:val="000000" w:themeColor="text1"/>
        </w:rPr>
        <w:t xml:space="preserve"> </w:t>
      </w:r>
      <w:r w:rsidR="00963607">
        <w:rPr>
          <w:rFonts w:ascii="Times New Roman" w:hAnsi="Times New Roman" w:cs="Times New Roman"/>
          <w:color w:val="000000" w:themeColor="text1"/>
        </w:rPr>
        <w:t>improve not just process</w:t>
      </w:r>
      <w:r w:rsidR="00A86E87">
        <w:rPr>
          <w:rFonts w:ascii="Times New Roman" w:hAnsi="Times New Roman" w:cs="Times New Roman"/>
          <w:color w:val="000000" w:themeColor="text1"/>
        </w:rPr>
        <w:t>/</w:t>
      </w:r>
      <w:r w:rsidR="00963607">
        <w:rPr>
          <w:rFonts w:ascii="Times New Roman" w:hAnsi="Times New Roman" w:cs="Times New Roman"/>
          <w:color w:val="000000" w:themeColor="text1"/>
        </w:rPr>
        <w:t>management-oriented environmental performance</w:t>
      </w:r>
      <w:r w:rsidR="00A86E87">
        <w:rPr>
          <w:rFonts w:ascii="Times New Roman" w:hAnsi="Times New Roman" w:cs="Times New Roman"/>
          <w:color w:val="000000" w:themeColor="text1"/>
        </w:rPr>
        <w:t xml:space="preserve"> outcomes</w:t>
      </w:r>
      <w:r w:rsidR="008430FA">
        <w:rPr>
          <w:rFonts w:ascii="Times New Roman" w:hAnsi="Times New Roman" w:cs="Times New Roman"/>
          <w:color w:val="000000" w:themeColor="text1"/>
        </w:rPr>
        <w:t>,</w:t>
      </w:r>
      <w:r w:rsidR="00963607">
        <w:rPr>
          <w:rFonts w:ascii="Times New Roman" w:hAnsi="Times New Roman" w:cs="Times New Roman"/>
          <w:color w:val="000000" w:themeColor="text1"/>
        </w:rPr>
        <w:t xml:space="preserve"> but also actual environmental performance by undertaking long-term capital-intensive projects </w:t>
      </w:r>
      <w:r w:rsidR="00A8417F">
        <w:rPr>
          <w:rFonts w:ascii="Times New Roman" w:hAnsi="Times New Roman" w:cs="Times New Roman"/>
          <w:color w:val="000000" w:themeColor="text1"/>
        </w:rPr>
        <w:t>that can deliver</w:t>
      </w:r>
      <w:r w:rsidR="00963607">
        <w:rPr>
          <w:rFonts w:ascii="Times New Roman" w:hAnsi="Times New Roman" w:cs="Times New Roman"/>
          <w:color w:val="000000" w:themeColor="text1"/>
        </w:rPr>
        <w:t xml:space="preserve"> sustainable development</w:t>
      </w:r>
      <w:r w:rsidR="0018294F">
        <w:rPr>
          <w:rFonts w:ascii="Times New Roman" w:hAnsi="Times New Roman" w:cs="Times New Roman"/>
          <w:color w:val="000000" w:themeColor="text1"/>
        </w:rPr>
        <w:t xml:space="preserve"> and energy efficiency</w:t>
      </w:r>
      <w:r w:rsidR="00963607">
        <w:rPr>
          <w:rFonts w:ascii="Times New Roman" w:hAnsi="Times New Roman" w:cs="Times New Roman"/>
          <w:color w:val="000000" w:themeColor="text1"/>
        </w:rPr>
        <w:t>.</w:t>
      </w:r>
      <w:r w:rsidR="0018294F">
        <w:rPr>
          <w:rFonts w:ascii="Times New Roman" w:hAnsi="Times New Roman" w:cs="Times New Roman"/>
          <w:color w:val="000000" w:themeColor="text1"/>
        </w:rPr>
        <w:t xml:space="preserve"> </w:t>
      </w:r>
      <w:r w:rsidR="00A86E87">
        <w:rPr>
          <w:rFonts w:ascii="Times New Roman" w:hAnsi="Times New Roman" w:cs="Times New Roman"/>
          <w:color w:val="000000" w:themeColor="text1"/>
        </w:rPr>
        <w:t>In this case and as</w:t>
      </w:r>
      <w:r w:rsidR="0018294F">
        <w:rPr>
          <w:rFonts w:ascii="Times New Roman" w:hAnsi="Times New Roman" w:cs="Times New Roman"/>
          <w:color w:val="000000" w:themeColor="text1"/>
        </w:rPr>
        <w:t xml:space="preserve"> a </w:t>
      </w:r>
      <w:r w:rsidR="000D04C0">
        <w:rPr>
          <w:rFonts w:ascii="Times New Roman" w:hAnsi="Times New Roman" w:cs="Times New Roman"/>
          <w:color w:val="000000" w:themeColor="text1"/>
        </w:rPr>
        <w:t xml:space="preserve">direct </w:t>
      </w:r>
      <w:r w:rsidR="0018294F">
        <w:rPr>
          <w:rFonts w:ascii="Times New Roman" w:hAnsi="Times New Roman" w:cs="Times New Roman"/>
          <w:color w:val="000000" w:themeColor="text1"/>
        </w:rPr>
        <w:t xml:space="preserve">effort </w:t>
      </w:r>
      <w:r w:rsidR="0018294F">
        <w:rPr>
          <w:rFonts w:ascii="Times New Roman" w:hAnsi="Times New Roman" w:cs="Times New Roman"/>
          <w:color w:val="000000" w:themeColor="text1"/>
        </w:rPr>
        <w:lastRenderedPageBreak/>
        <w:t xml:space="preserve">to align firms’ sustainable targets with the </w:t>
      </w:r>
      <w:r w:rsidR="000D5F4F">
        <w:rPr>
          <w:rFonts w:ascii="Times New Roman" w:hAnsi="Times New Roman" w:cs="Times New Roman"/>
          <w:color w:val="000000" w:themeColor="text1"/>
        </w:rPr>
        <w:t xml:space="preserve">interests of executive </w:t>
      </w:r>
      <w:r w:rsidR="0018294F">
        <w:rPr>
          <w:rFonts w:ascii="Times New Roman" w:hAnsi="Times New Roman" w:cs="Times New Roman"/>
          <w:color w:val="000000" w:themeColor="text1"/>
        </w:rPr>
        <w:t>management</w:t>
      </w:r>
      <w:r w:rsidR="000D5F4F">
        <w:rPr>
          <w:rFonts w:ascii="Times New Roman" w:hAnsi="Times New Roman" w:cs="Times New Roman"/>
          <w:color w:val="000000" w:themeColor="text1"/>
        </w:rPr>
        <w:t xml:space="preserve">, it seems imperative to redesign firms’ </w:t>
      </w:r>
      <w:r w:rsidR="0018294F">
        <w:rPr>
          <w:rFonts w:ascii="Times New Roman" w:hAnsi="Times New Roman" w:cs="Times New Roman"/>
          <w:color w:val="000000" w:themeColor="text1"/>
        </w:rPr>
        <w:t xml:space="preserve">executive compensation </w:t>
      </w:r>
      <w:r w:rsidR="000D5F4F">
        <w:rPr>
          <w:rFonts w:ascii="Times New Roman" w:hAnsi="Times New Roman" w:cs="Times New Roman"/>
          <w:color w:val="000000" w:themeColor="text1"/>
        </w:rPr>
        <w:t>s</w:t>
      </w:r>
      <w:r w:rsidR="00867145">
        <w:rPr>
          <w:rFonts w:ascii="Times New Roman" w:hAnsi="Times New Roman" w:cs="Times New Roman"/>
          <w:color w:val="000000" w:themeColor="text1"/>
        </w:rPr>
        <w:t>chemes</w:t>
      </w:r>
      <w:r w:rsidR="000D5F4F">
        <w:rPr>
          <w:rFonts w:ascii="Times New Roman" w:hAnsi="Times New Roman" w:cs="Times New Roman"/>
          <w:color w:val="000000" w:themeColor="text1"/>
        </w:rPr>
        <w:t xml:space="preserve"> </w:t>
      </w:r>
      <w:r w:rsidR="008430FA">
        <w:rPr>
          <w:rFonts w:ascii="Times New Roman" w:hAnsi="Times New Roman" w:cs="Times New Roman"/>
          <w:color w:val="000000" w:themeColor="text1"/>
        </w:rPr>
        <w:t xml:space="preserve">by linking </w:t>
      </w:r>
      <w:r w:rsidR="00867145">
        <w:rPr>
          <w:rFonts w:ascii="Times New Roman" w:hAnsi="Times New Roman" w:cs="Times New Roman"/>
          <w:color w:val="000000" w:themeColor="text1"/>
        </w:rPr>
        <w:t>them</w:t>
      </w:r>
      <w:r w:rsidR="008430FA">
        <w:rPr>
          <w:rFonts w:ascii="Times New Roman" w:hAnsi="Times New Roman" w:cs="Times New Roman"/>
          <w:color w:val="000000" w:themeColor="text1"/>
        </w:rPr>
        <w:t xml:space="preserve"> </w:t>
      </w:r>
      <w:r w:rsidR="000D5F4F">
        <w:rPr>
          <w:rFonts w:ascii="Times New Roman" w:hAnsi="Times New Roman" w:cs="Times New Roman"/>
          <w:color w:val="000000" w:themeColor="text1"/>
        </w:rPr>
        <w:t>with long-term verifiable sustainable targets (such as GHG emissions</w:t>
      </w:r>
      <w:r w:rsidR="00867145">
        <w:rPr>
          <w:rFonts w:ascii="Times New Roman" w:hAnsi="Times New Roman" w:cs="Times New Roman"/>
          <w:color w:val="000000" w:themeColor="text1"/>
        </w:rPr>
        <w:t xml:space="preserve"> and</w:t>
      </w:r>
      <w:r w:rsidR="000D5F4F">
        <w:rPr>
          <w:rFonts w:ascii="Times New Roman" w:hAnsi="Times New Roman" w:cs="Times New Roman"/>
          <w:color w:val="000000" w:themeColor="text1"/>
        </w:rPr>
        <w:t xml:space="preserve"> energy-efficient products)</w:t>
      </w:r>
      <w:r w:rsidR="00965D0C">
        <w:rPr>
          <w:rFonts w:ascii="Times New Roman" w:hAnsi="Times New Roman" w:cs="Times New Roman"/>
          <w:color w:val="000000" w:themeColor="text1"/>
        </w:rPr>
        <w:t xml:space="preserve">. </w:t>
      </w:r>
      <w:r w:rsidR="008430FA">
        <w:rPr>
          <w:rFonts w:ascii="Times New Roman" w:hAnsi="Times New Roman" w:cs="Times New Roman"/>
          <w:color w:val="000000" w:themeColor="text1"/>
        </w:rPr>
        <w:t>In</w:t>
      </w:r>
      <w:r w:rsidR="003E76C1">
        <w:rPr>
          <w:rFonts w:ascii="Times New Roman" w:hAnsi="Times New Roman" w:cs="Times New Roman"/>
          <w:color w:val="000000" w:themeColor="text1"/>
        </w:rPr>
        <w:t xml:space="preserve"> this case</w:t>
      </w:r>
      <w:r w:rsidR="008430FA">
        <w:rPr>
          <w:rFonts w:ascii="Times New Roman" w:hAnsi="Times New Roman" w:cs="Times New Roman"/>
          <w:color w:val="000000" w:themeColor="text1"/>
        </w:rPr>
        <w:t>, a</w:t>
      </w:r>
      <w:r w:rsidR="00C33124">
        <w:rPr>
          <w:rFonts w:ascii="Times New Roman" w:hAnsi="Times New Roman" w:cs="Times New Roman"/>
          <w:color w:val="000000" w:themeColor="text1"/>
        </w:rPr>
        <w:t xml:space="preserve"> close collaboration among</w:t>
      </w:r>
      <w:r w:rsidR="00867145">
        <w:rPr>
          <w:rFonts w:ascii="Times New Roman" w:hAnsi="Times New Roman" w:cs="Times New Roman"/>
          <w:color w:val="000000" w:themeColor="text1"/>
        </w:rPr>
        <w:t>,</w:t>
      </w:r>
      <w:r w:rsidR="00C33124">
        <w:rPr>
          <w:rFonts w:ascii="Times New Roman" w:hAnsi="Times New Roman" w:cs="Times New Roman"/>
          <w:color w:val="000000" w:themeColor="text1"/>
        </w:rPr>
        <w:t xml:space="preserve"> </w:t>
      </w:r>
      <w:r w:rsidR="00867145">
        <w:rPr>
          <w:rFonts w:ascii="Times New Roman" w:hAnsi="Times New Roman" w:cs="Times New Roman"/>
          <w:color w:val="000000" w:themeColor="text1"/>
        </w:rPr>
        <w:t xml:space="preserve">and engagement with, </w:t>
      </w:r>
      <w:r w:rsidR="00C33124">
        <w:rPr>
          <w:rFonts w:ascii="Times New Roman" w:hAnsi="Times New Roman" w:cs="Times New Roman"/>
          <w:color w:val="000000" w:themeColor="text1"/>
        </w:rPr>
        <w:t xml:space="preserve">critical </w:t>
      </w:r>
      <w:r w:rsidR="00867145">
        <w:rPr>
          <w:rFonts w:ascii="Times New Roman" w:hAnsi="Times New Roman" w:cs="Times New Roman"/>
          <w:color w:val="000000" w:themeColor="text1"/>
        </w:rPr>
        <w:t>internal stakeholders</w:t>
      </w:r>
      <w:r w:rsidR="00C33124">
        <w:rPr>
          <w:rFonts w:ascii="Times New Roman" w:hAnsi="Times New Roman" w:cs="Times New Roman"/>
          <w:color w:val="000000" w:themeColor="text1"/>
        </w:rPr>
        <w:t xml:space="preserve"> (such as shareholders, board members</w:t>
      </w:r>
      <w:r w:rsidR="00E43D11">
        <w:rPr>
          <w:rFonts w:ascii="Times New Roman" w:hAnsi="Times New Roman" w:cs="Times New Roman"/>
          <w:color w:val="000000" w:themeColor="text1"/>
        </w:rPr>
        <w:t>,</w:t>
      </w:r>
      <w:r w:rsidR="00C33124">
        <w:rPr>
          <w:rFonts w:ascii="Times New Roman" w:hAnsi="Times New Roman" w:cs="Times New Roman"/>
          <w:color w:val="000000" w:themeColor="text1"/>
        </w:rPr>
        <w:t xml:space="preserve"> managers</w:t>
      </w:r>
      <w:r w:rsidR="00867145">
        <w:rPr>
          <w:rFonts w:ascii="Times New Roman" w:hAnsi="Times New Roman" w:cs="Times New Roman"/>
          <w:color w:val="000000" w:themeColor="text1"/>
        </w:rPr>
        <w:t xml:space="preserve"> and employees</w:t>
      </w:r>
      <w:r w:rsidR="00C33124">
        <w:rPr>
          <w:rFonts w:ascii="Times New Roman" w:hAnsi="Times New Roman" w:cs="Times New Roman"/>
          <w:color w:val="000000" w:themeColor="text1"/>
        </w:rPr>
        <w:t>)</w:t>
      </w:r>
      <w:r w:rsidR="00B50322">
        <w:rPr>
          <w:rFonts w:ascii="Times New Roman" w:hAnsi="Times New Roman" w:cs="Times New Roman"/>
          <w:color w:val="000000" w:themeColor="text1"/>
        </w:rPr>
        <w:t>,</w:t>
      </w:r>
      <w:r w:rsidR="00963607">
        <w:rPr>
          <w:rFonts w:ascii="Times New Roman" w:hAnsi="Times New Roman" w:cs="Times New Roman"/>
          <w:color w:val="000000" w:themeColor="text1"/>
        </w:rPr>
        <w:t xml:space="preserve"> </w:t>
      </w:r>
      <w:r w:rsidR="00C33124">
        <w:rPr>
          <w:rFonts w:ascii="Times New Roman" w:hAnsi="Times New Roman" w:cs="Times New Roman"/>
          <w:color w:val="000000" w:themeColor="text1"/>
        </w:rPr>
        <w:t xml:space="preserve">and powerful external stakeholders (such as </w:t>
      </w:r>
      <w:r w:rsidR="00867145">
        <w:rPr>
          <w:rFonts w:ascii="Times New Roman" w:hAnsi="Times New Roman" w:cs="Times New Roman"/>
          <w:color w:val="000000" w:themeColor="text1"/>
        </w:rPr>
        <w:t xml:space="preserve">consumers, </w:t>
      </w:r>
      <w:r w:rsidR="00C33124">
        <w:rPr>
          <w:rFonts w:ascii="Times New Roman" w:hAnsi="Times New Roman" w:cs="Times New Roman"/>
          <w:color w:val="000000" w:themeColor="text1"/>
        </w:rPr>
        <w:t xml:space="preserve">regulators, </w:t>
      </w:r>
      <w:r w:rsidR="00867145">
        <w:rPr>
          <w:rFonts w:ascii="Times New Roman" w:hAnsi="Times New Roman" w:cs="Times New Roman"/>
          <w:color w:val="000000" w:themeColor="text1"/>
        </w:rPr>
        <w:t xml:space="preserve">government, </w:t>
      </w:r>
      <w:r w:rsidR="00C33124">
        <w:rPr>
          <w:rFonts w:ascii="Times New Roman" w:hAnsi="Times New Roman" w:cs="Times New Roman"/>
          <w:color w:val="000000" w:themeColor="text1"/>
        </w:rPr>
        <w:t>environmentalists</w:t>
      </w:r>
      <w:r w:rsidR="00197D4B">
        <w:rPr>
          <w:rFonts w:ascii="Times New Roman" w:hAnsi="Times New Roman" w:cs="Times New Roman"/>
          <w:color w:val="000000" w:themeColor="text1"/>
        </w:rPr>
        <w:t>,</w:t>
      </w:r>
      <w:r w:rsidR="00C33124">
        <w:rPr>
          <w:rFonts w:ascii="Times New Roman" w:hAnsi="Times New Roman" w:cs="Times New Roman"/>
          <w:color w:val="000000" w:themeColor="text1"/>
        </w:rPr>
        <w:t xml:space="preserve"> media</w:t>
      </w:r>
      <w:r w:rsidR="00197D4B">
        <w:rPr>
          <w:rFonts w:ascii="Times New Roman" w:hAnsi="Times New Roman" w:cs="Times New Roman"/>
          <w:color w:val="000000" w:themeColor="text1"/>
        </w:rPr>
        <w:t>, civil societies, such as the GRI and supra-national bodies, such as the UN</w:t>
      </w:r>
      <w:r w:rsidR="00C33124">
        <w:rPr>
          <w:rFonts w:ascii="Times New Roman" w:hAnsi="Times New Roman" w:cs="Times New Roman"/>
          <w:color w:val="000000" w:themeColor="text1"/>
        </w:rPr>
        <w:t>)</w:t>
      </w:r>
      <w:r w:rsidR="00B50322">
        <w:rPr>
          <w:rFonts w:ascii="Times New Roman" w:hAnsi="Times New Roman" w:cs="Times New Roman"/>
          <w:color w:val="000000" w:themeColor="text1"/>
        </w:rPr>
        <w:t xml:space="preserve"> will</w:t>
      </w:r>
      <w:r w:rsidR="00C33124">
        <w:rPr>
          <w:rFonts w:ascii="Times New Roman" w:hAnsi="Times New Roman" w:cs="Times New Roman"/>
          <w:color w:val="000000" w:themeColor="text1"/>
        </w:rPr>
        <w:t xml:space="preserve"> seem to</w:t>
      </w:r>
      <w:r w:rsidR="00B50322">
        <w:rPr>
          <w:rFonts w:ascii="Times New Roman" w:hAnsi="Times New Roman" w:cs="Times New Roman"/>
          <w:color w:val="000000" w:themeColor="text1"/>
        </w:rPr>
        <w:t xml:space="preserve"> be appropriate to</w:t>
      </w:r>
      <w:r w:rsidR="00C33124">
        <w:rPr>
          <w:rFonts w:ascii="Times New Roman" w:hAnsi="Times New Roman" w:cs="Times New Roman"/>
          <w:color w:val="000000" w:themeColor="text1"/>
        </w:rPr>
        <w:t xml:space="preserve"> </w:t>
      </w:r>
      <w:r w:rsidR="00AE7714">
        <w:rPr>
          <w:rFonts w:ascii="Times New Roman" w:hAnsi="Times New Roman" w:cs="Times New Roman"/>
          <w:color w:val="000000" w:themeColor="text1"/>
        </w:rPr>
        <w:t>meet</w:t>
      </w:r>
      <w:r w:rsidR="00867145">
        <w:rPr>
          <w:rFonts w:ascii="Times New Roman" w:hAnsi="Times New Roman" w:cs="Times New Roman"/>
          <w:color w:val="000000" w:themeColor="text1"/>
        </w:rPr>
        <w:t>ing</w:t>
      </w:r>
      <w:r w:rsidR="00AE7714">
        <w:rPr>
          <w:rFonts w:ascii="Times New Roman" w:hAnsi="Times New Roman" w:cs="Times New Roman"/>
          <w:color w:val="000000" w:themeColor="text1"/>
        </w:rPr>
        <w:t xml:space="preserve"> the growing</w:t>
      </w:r>
      <w:r w:rsidR="00946581">
        <w:rPr>
          <w:rFonts w:ascii="Times New Roman" w:hAnsi="Times New Roman" w:cs="Times New Roman"/>
          <w:color w:val="000000" w:themeColor="text1"/>
        </w:rPr>
        <w:t xml:space="preserve"> need to develop and implement effective environmental and sustainable</w:t>
      </w:r>
      <w:r w:rsidR="00E43D11">
        <w:rPr>
          <w:rFonts w:ascii="Times New Roman" w:hAnsi="Times New Roman" w:cs="Times New Roman"/>
          <w:color w:val="000000" w:themeColor="text1"/>
        </w:rPr>
        <w:t xml:space="preserve"> development</w:t>
      </w:r>
      <w:r w:rsidR="00946581">
        <w:rPr>
          <w:rFonts w:ascii="Times New Roman" w:hAnsi="Times New Roman" w:cs="Times New Roman"/>
          <w:color w:val="000000" w:themeColor="text1"/>
        </w:rPr>
        <w:t xml:space="preserve"> policies</w:t>
      </w:r>
      <w:r w:rsidR="00AE7714">
        <w:rPr>
          <w:rFonts w:ascii="Times New Roman" w:hAnsi="Times New Roman" w:cs="Times New Roman"/>
          <w:color w:val="000000" w:themeColor="text1"/>
        </w:rPr>
        <w:t>.</w:t>
      </w:r>
    </w:p>
    <w:p w14:paraId="629ADA9A" w14:textId="734354C6" w:rsidR="007A7656" w:rsidRDefault="00946581">
      <w:pPr>
        <w:autoSpaceDE w:val="0"/>
        <w:autoSpaceDN w:val="0"/>
        <w:adjustRightInd w:val="0"/>
        <w:spacing w:after="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Second and with respect to regulatory and public policy implications of ou</w:t>
      </w:r>
      <w:r w:rsidR="00B13AB1">
        <w:rPr>
          <w:rFonts w:ascii="Times New Roman" w:hAnsi="Times New Roman" w:cs="Times New Roman"/>
          <w:color w:val="000000" w:themeColor="text1"/>
        </w:rPr>
        <w:t>r findings</w:t>
      </w:r>
      <w:r>
        <w:rPr>
          <w:rFonts w:ascii="Times New Roman" w:hAnsi="Times New Roman" w:cs="Times New Roman"/>
          <w:color w:val="000000" w:themeColor="text1"/>
        </w:rPr>
        <w:t xml:space="preserve">, they suggest that </w:t>
      </w:r>
      <w:r w:rsidR="001F0D36">
        <w:rPr>
          <w:rFonts w:ascii="Times New Roman" w:hAnsi="Times New Roman" w:cs="Times New Roman"/>
          <w:color w:val="000000" w:themeColor="text1"/>
        </w:rPr>
        <w:t>t</w:t>
      </w:r>
      <w:r w:rsidR="00A84D76">
        <w:rPr>
          <w:rFonts w:ascii="Times New Roman" w:hAnsi="Times New Roman" w:cs="Times New Roman"/>
          <w:color w:val="000000" w:themeColor="text1"/>
        </w:rPr>
        <w:t>he adoption</w:t>
      </w:r>
      <w:r>
        <w:rPr>
          <w:rFonts w:ascii="Times New Roman" w:hAnsi="Times New Roman" w:cs="Times New Roman"/>
          <w:color w:val="000000" w:themeColor="text1"/>
        </w:rPr>
        <w:t xml:space="preserve"> of</w:t>
      </w:r>
      <w:r w:rsidR="00A84D76">
        <w:rPr>
          <w:rFonts w:ascii="Times New Roman" w:hAnsi="Times New Roman" w:cs="Times New Roman"/>
          <w:color w:val="000000" w:themeColor="text1"/>
        </w:rPr>
        <w:t xml:space="preserve"> climate related </w:t>
      </w:r>
      <w:r>
        <w:rPr>
          <w:rFonts w:ascii="Times New Roman" w:hAnsi="Times New Roman" w:cs="Times New Roman"/>
          <w:color w:val="000000" w:themeColor="text1"/>
        </w:rPr>
        <w:t xml:space="preserve">environmental policies and </w:t>
      </w:r>
      <w:r w:rsidR="00A84D76">
        <w:rPr>
          <w:rFonts w:ascii="Times New Roman" w:hAnsi="Times New Roman" w:cs="Times New Roman"/>
          <w:color w:val="000000" w:themeColor="text1"/>
        </w:rPr>
        <w:t>regulations without explicit</w:t>
      </w:r>
      <w:r w:rsidR="00C430B1">
        <w:rPr>
          <w:rFonts w:ascii="Times New Roman" w:hAnsi="Times New Roman" w:cs="Times New Roman"/>
          <w:color w:val="000000" w:themeColor="text1"/>
        </w:rPr>
        <w:t xml:space="preserve"> and</w:t>
      </w:r>
      <w:r w:rsidR="009044C2">
        <w:rPr>
          <w:rFonts w:ascii="Times New Roman" w:hAnsi="Times New Roman" w:cs="Times New Roman"/>
          <w:color w:val="000000" w:themeColor="text1"/>
        </w:rPr>
        <w:t xml:space="preserve"> </w:t>
      </w:r>
      <w:r w:rsidR="00A84D76">
        <w:rPr>
          <w:rFonts w:ascii="Times New Roman" w:hAnsi="Times New Roman" w:cs="Times New Roman"/>
          <w:color w:val="000000" w:themeColor="text1"/>
        </w:rPr>
        <w:t xml:space="preserve">verifiable </w:t>
      </w:r>
      <w:r w:rsidR="001F0D36">
        <w:rPr>
          <w:rFonts w:ascii="Times New Roman" w:hAnsi="Times New Roman" w:cs="Times New Roman"/>
          <w:color w:val="000000" w:themeColor="text1"/>
        </w:rPr>
        <w:t>sustainable targets</w:t>
      </w:r>
      <w:r w:rsidR="00C430B1">
        <w:rPr>
          <w:rFonts w:ascii="Times New Roman" w:hAnsi="Times New Roman" w:cs="Times New Roman"/>
          <w:color w:val="000000" w:themeColor="text1"/>
        </w:rPr>
        <w:t>, as well as monitoring and enforcement units</w:t>
      </w:r>
      <w:r w:rsidR="001F0D36">
        <w:rPr>
          <w:rFonts w:ascii="Times New Roman" w:hAnsi="Times New Roman" w:cs="Times New Roman"/>
          <w:color w:val="000000" w:themeColor="text1"/>
        </w:rPr>
        <w:t xml:space="preserve"> for industries and firms is unlikely to </w:t>
      </w:r>
      <w:r w:rsidR="009044C2">
        <w:rPr>
          <w:rFonts w:ascii="Times New Roman" w:hAnsi="Times New Roman" w:cs="Times New Roman"/>
          <w:color w:val="000000" w:themeColor="text1"/>
        </w:rPr>
        <w:t>be successful in</w:t>
      </w:r>
      <w:r>
        <w:rPr>
          <w:rFonts w:ascii="Times New Roman" w:hAnsi="Times New Roman" w:cs="Times New Roman"/>
          <w:color w:val="000000" w:themeColor="text1"/>
        </w:rPr>
        <w:t xml:space="preserve"> </w:t>
      </w:r>
      <w:r w:rsidR="001F0D36">
        <w:rPr>
          <w:rFonts w:ascii="Times New Roman" w:hAnsi="Times New Roman" w:cs="Times New Roman"/>
          <w:color w:val="000000" w:themeColor="text1"/>
        </w:rPr>
        <w:t>reduc</w:t>
      </w:r>
      <w:r w:rsidR="009044C2">
        <w:rPr>
          <w:rFonts w:ascii="Times New Roman" w:hAnsi="Times New Roman" w:cs="Times New Roman"/>
          <w:color w:val="000000" w:themeColor="text1"/>
        </w:rPr>
        <w:t>ing</w:t>
      </w:r>
      <w:r w:rsidR="001F0D36">
        <w:rPr>
          <w:rFonts w:ascii="Times New Roman" w:hAnsi="Times New Roman" w:cs="Times New Roman"/>
          <w:color w:val="000000" w:themeColor="text1"/>
        </w:rPr>
        <w:t xml:space="preserve"> GHG emissions </w:t>
      </w:r>
      <w:r w:rsidR="001F0D36">
        <w:rPr>
          <w:rFonts w:ascii="Times New Roman" w:hAnsi="Times New Roman" w:cs="Times New Roman"/>
          <w:color w:val="000000" w:themeColor="text1"/>
        </w:rPr>
        <w:lastRenderedPageBreak/>
        <w:t>substantially</w:t>
      </w:r>
      <w:r w:rsidR="009044C2">
        <w:rPr>
          <w:rFonts w:ascii="Times New Roman" w:hAnsi="Times New Roman" w:cs="Times New Roman"/>
          <w:color w:val="000000" w:themeColor="text1"/>
        </w:rPr>
        <w:t>.</w:t>
      </w:r>
      <w:r w:rsidR="001F0D36">
        <w:rPr>
          <w:rFonts w:ascii="Times New Roman" w:hAnsi="Times New Roman" w:cs="Times New Roman"/>
          <w:color w:val="000000" w:themeColor="text1"/>
        </w:rPr>
        <w:t xml:space="preserve"> </w:t>
      </w:r>
      <w:r w:rsidR="009044C2">
        <w:rPr>
          <w:rFonts w:ascii="Times New Roman" w:hAnsi="Times New Roman" w:cs="Times New Roman"/>
          <w:color w:val="000000" w:themeColor="text1"/>
        </w:rPr>
        <w:t>This</w:t>
      </w:r>
      <w:r w:rsidR="00C430B1">
        <w:rPr>
          <w:rFonts w:ascii="Times New Roman" w:hAnsi="Times New Roman" w:cs="Times New Roman"/>
          <w:color w:val="000000" w:themeColor="text1"/>
        </w:rPr>
        <w:t xml:space="preserve"> also</w:t>
      </w:r>
      <w:r w:rsidR="009044C2">
        <w:rPr>
          <w:rFonts w:ascii="Times New Roman" w:hAnsi="Times New Roman" w:cs="Times New Roman"/>
          <w:color w:val="000000" w:themeColor="text1"/>
        </w:rPr>
        <w:t xml:space="preserve"> implies, </w:t>
      </w:r>
      <w:r>
        <w:rPr>
          <w:rFonts w:ascii="Times New Roman" w:hAnsi="Times New Roman" w:cs="Times New Roman"/>
          <w:color w:val="000000" w:themeColor="text1"/>
        </w:rPr>
        <w:t>therefore</w:t>
      </w:r>
      <w:r w:rsidR="009044C2">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C430B1">
        <w:rPr>
          <w:rFonts w:ascii="Times New Roman" w:hAnsi="Times New Roman" w:cs="Times New Roman"/>
          <w:color w:val="000000" w:themeColor="text1"/>
        </w:rPr>
        <w:t xml:space="preserve">that </w:t>
      </w:r>
      <w:r w:rsidR="009044C2">
        <w:rPr>
          <w:rFonts w:ascii="Times New Roman" w:hAnsi="Times New Roman" w:cs="Times New Roman"/>
          <w:color w:val="000000" w:themeColor="text1"/>
        </w:rPr>
        <w:t>the</w:t>
      </w:r>
      <w:r>
        <w:rPr>
          <w:rFonts w:ascii="Times New Roman" w:hAnsi="Times New Roman" w:cs="Times New Roman"/>
          <w:color w:val="000000" w:themeColor="text1"/>
        </w:rPr>
        <w:t xml:space="preserve"> ability for such </w:t>
      </w:r>
      <w:r w:rsidR="009044C2">
        <w:rPr>
          <w:rFonts w:ascii="Times New Roman" w:hAnsi="Times New Roman" w:cs="Times New Roman"/>
          <w:color w:val="000000" w:themeColor="text1"/>
        </w:rPr>
        <w:t xml:space="preserve">environmental policies and efforts </w:t>
      </w:r>
      <w:r>
        <w:rPr>
          <w:rFonts w:ascii="Times New Roman" w:hAnsi="Times New Roman" w:cs="Times New Roman"/>
          <w:color w:val="000000" w:themeColor="text1"/>
        </w:rPr>
        <w:t>to</w:t>
      </w:r>
      <w:r w:rsidR="009044C2">
        <w:rPr>
          <w:rFonts w:ascii="Times New Roman" w:hAnsi="Times New Roman" w:cs="Times New Roman"/>
          <w:color w:val="000000" w:themeColor="text1"/>
        </w:rPr>
        <w:t xml:space="preserve"> have a</w:t>
      </w:r>
      <w:r>
        <w:rPr>
          <w:rFonts w:ascii="Times New Roman" w:hAnsi="Times New Roman" w:cs="Times New Roman"/>
          <w:color w:val="000000" w:themeColor="text1"/>
        </w:rPr>
        <w:t xml:space="preserve"> </w:t>
      </w:r>
      <w:r w:rsidR="009044C2">
        <w:rPr>
          <w:rFonts w:ascii="Times New Roman" w:hAnsi="Times New Roman" w:cs="Times New Roman"/>
          <w:color w:val="000000" w:themeColor="text1"/>
        </w:rPr>
        <w:t xml:space="preserve">positive </w:t>
      </w:r>
      <w:r>
        <w:rPr>
          <w:rFonts w:ascii="Times New Roman" w:hAnsi="Times New Roman" w:cs="Times New Roman"/>
          <w:color w:val="000000" w:themeColor="text1"/>
        </w:rPr>
        <w:t>impact on climate change by reducing global warming</w:t>
      </w:r>
      <w:r w:rsidR="009044C2">
        <w:rPr>
          <w:rFonts w:ascii="Times New Roman" w:hAnsi="Times New Roman" w:cs="Times New Roman"/>
          <w:color w:val="000000" w:themeColor="text1"/>
        </w:rPr>
        <w:t xml:space="preserve"> </w:t>
      </w:r>
      <w:r w:rsidR="00B50322">
        <w:rPr>
          <w:rFonts w:ascii="Times New Roman" w:hAnsi="Times New Roman" w:cs="Times New Roman"/>
          <w:color w:val="000000" w:themeColor="text1"/>
        </w:rPr>
        <w:t xml:space="preserve">in the long-term </w:t>
      </w:r>
      <w:r w:rsidR="009044C2">
        <w:rPr>
          <w:rFonts w:ascii="Times New Roman" w:hAnsi="Times New Roman" w:cs="Times New Roman"/>
          <w:color w:val="000000" w:themeColor="text1"/>
        </w:rPr>
        <w:t>is likely to be very limited</w:t>
      </w:r>
      <w:r w:rsidR="001F0D36">
        <w:rPr>
          <w:rFonts w:ascii="Times New Roman" w:hAnsi="Times New Roman" w:cs="Times New Roman"/>
          <w:color w:val="000000" w:themeColor="text1"/>
        </w:rPr>
        <w:t xml:space="preserve">. Therefore, </w:t>
      </w:r>
      <w:r w:rsidR="00B50322">
        <w:rPr>
          <w:rFonts w:ascii="Times New Roman" w:hAnsi="Times New Roman" w:cs="Times New Roman"/>
          <w:color w:val="000000" w:themeColor="text1"/>
        </w:rPr>
        <w:t xml:space="preserve">we suggest that </w:t>
      </w:r>
      <w:r w:rsidR="00EA4C7F">
        <w:rPr>
          <w:rFonts w:ascii="Times New Roman" w:hAnsi="Times New Roman" w:cs="Times New Roman"/>
          <w:color w:val="000000" w:themeColor="text1"/>
        </w:rPr>
        <w:t xml:space="preserve">environmental regulations should have legally binding sustainable targets for industries and firms within those industries. </w:t>
      </w:r>
      <w:r w:rsidR="00B50322">
        <w:rPr>
          <w:rFonts w:ascii="Times New Roman" w:hAnsi="Times New Roman" w:cs="Times New Roman"/>
          <w:color w:val="000000" w:themeColor="text1"/>
        </w:rPr>
        <w:t>Additionally and w</w:t>
      </w:r>
      <w:r w:rsidR="00FD44E2">
        <w:rPr>
          <w:rFonts w:ascii="Times New Roman" w:hAnsi="Times New Roman" w:cs="Times New Roman"/>
          <w:color w:val="000000" w:themeColor="text1"/>
        </w:rPr>
        <w:t xml:space="preserve">hilst self-regulatory </w:t>
      </w:r>
      <w:r w:rsidR="00B50322">
        <w:rPr>
          <w:rFonts w:ascii="Times New Roman" w:hAnsi="Times New Roman" w:cs="Times New Roman"/>
          <w:color w:val="000000" w:themeColor="text1"/>
        </w:rPr>
        <w:t xml:space="preserve">global </w:t>
      </w:r>
      <w:r w:rsidR="00A2382B">
        <w:rPr>
          <w:rFonts w:ascii="Times New Roman" w:hAnsi="Times New Roman" w:cs="Times New Roman"/>
          <w:color w:val="000000" w:themeColor="text1"/>
        </w:rPr>
        <w:t xml:space="preserve">sustainability development </w:t>
      </w:r>
      <w:r w:rsidR="00FD44E2">
        <w:rPr>
          <w:rFonts w:ascii="Times New Roman" w:hAnsi="Times New Roman" w:cs="Times New Roman"/>
          <w:color w:val="000000" w:themeColor="text1"/>
        </w:rPr>
        <w:t>institutions</w:t>
      </w:r>
      <w:r w:rsidR="00C430B1">
        <w:rPr>
          <w:rFonts w:ascii="Times New Roman" w:hAnsi="Times New Roman" w:cs="Times New Roman"/>
          <w:color w:val="000000" w:themeColor="text1"/>
        </w:rPr>
        <w:t>,</w:t>
      </w:r>
      <w:r w:rsidR="00FD44E2">
        <w:rPr>
          <w:rFonts w:ascii="Times New Roman" w:hAnsi="Times New Roman" w:cs="Times New Roman"/>
          <w:color w:val="000000" w:themeColor="text1"/>
        </w:rPr>
        <w:t xml:space="preserve"> such as the GRI </w:t>
      </w:r>
      <w:r w:rsidR="00B50322">
        <w:rPr>
          <w:rFonts w:ascii="Times New Roman" w:hAnsi="Times New Roman" w:cs="Times New Roman"/>
          <w:color w:val="000000" w:themeColor="text1"/>
        </w:rPr>
        <w:t xml:space="preserve">and UNGC </w:t>
      </w:r>
      <w:r w:rsidR="00FD44E2">
        <w:rPr>
          <w:rFonts w:ascii="Times New Roman" w:hAnsi="Times New Roman" w:cs="Times New Roman"/>
          <w:color w:val="000000" w:themeColor="text1"/>
        </w:rPr>
        <w:t xml:space="preserve">play critical role in enhancing corporate sustainability, they cannot eliminate the significance of </w:t>
      </w:r>
      <w:r w:rsidR="00C430B1">
        <w:rPr>
          <w:rFonts w:ascii="Times New Roman" w:hAnsi="Times New Roman" w:cs="Times New Roman"/>
          <w:color w:val="000000" w:themeColor="text1"/>
        </w:rPr>
        <w:t xml:space="preserve">having </w:t>
      </w:r>
      <w:r w:rsidR="00FD44E2">
        <w:rPr>
          <w:rFonts w:ascii="Times New Roman" w:hAnsi="Times New Roman" w:cs="Times New Roman"/>
          <w:color w:val="000000" w:themeColor="text1"/>
        </w:rPr>
        <w:t>mandatory regulations</w:t>
      </w:r>
      <w:r w:rsidR="00C430B1">
        <w:rPr>
          <w:rFonts w:ascii="Times New Roman" w:hAnsi="Times New Roman" w:cs="Times New Roman"/>
          <w:color w:val="000000" w:themeColor="text1"/>
        </w:rPr>
        <w:t>, as well as establishing global and national environmental standards monitoring and enforcement units,</w:t>
      </w:r>
      <w:r w:rsidR="00FD44E2">
        <w:rPr>
          <w:rFonts w:ascii="Times New Roman" w:hAnsi="Times New Roman" w:cs="Times New Roman"/>
          <w:color w:val="000000" w:themeColor="text1"/>
        </w:rPr>
        <w:t xml:space="preserve"> </w:t>
      </w:r>
      <w:r w:rsidR="00C430B1">
        <w:rPr>
          <w:rFonts w:ascii="Times New Roman" w:hAnsi="Times New Roman" w:cs="Times New Roman"/>
          <w:color w:val="000000" w:themeColor="text1"/>
        </w:rPr>
        <w:t xml:space="preserve">on the successful development and implementation of </w:t>
      </w:r>
      <w:r w:rsidR="00A2382B">
        <w:rPr>
          <w:rFonts w:ascii="Times New Roman" w:hAnsi="Times New Roman" w:cs="Times New Roman"/>
          <w:color w:val="000000" w:themeColor="text1"/>
        </w:rPr>
        <w:t xml:space="preserve">global </w:t>
      </w:r>
      <w:r w:rsidR="007A7656">
        <w:rPr>
          <w:rFonts w:ascii="Times New Roman" w:hAnsi="Times New Roman" w:cs="Times New Roman"/>
          <w:color w:val="000000" w:themeColor="text1"/>
        </w:rPr>
        <w:t>environmental and sustainable development policies</w:t>
      </w:r>
      <w:r w:rsidR="002F2DBB">
        <w:rPr>
          <w:rFonts w:ascii="Times New Roman" w:hAnsi="Times New Roman" w:cs="Times New Roman"/>
          <w:color w:val="000000" w:themeColor="text1"/>
        </w:rPr>
        <w:t xml:space="preserve">. </w:t>
      </w:r>
    </w:p>
    <w:p w14:paraId="7E5F268F" w14:textId="682B053A" w:rsidR="00762B30" w:rsidRDefault="00A75811">
      <w:pPr>
        <w:autoSpaceDE w:val="0"/>
        <w:autoSpaceDN w:val="0"/>
        <w:adjustRightInd w:val="0"/>
        <w:spacing w:after="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Finally</w:t>
      </w:r>
      <w:r w:rsidR="00C430B1">
        <w:rPr>
          <w:rFonts w:ascii="Times New Roman" w:hAnsi="Times New Roman" w:cs="Times New Roman"/>
          <w:color w:val="000000" w:themeColor="text1"/>
        </w:rPr>
        <w:t>,</w:t>
      </w:r>
      <w:r w:rsidR="00C639B0">
        <w:rPr>
          <w:rFonts w:ascii="Times New Roman" w:hAnsi="Times New Roman" w:cs="Times New Roman"/>
          <w:color w:val="000000" w:themeColor="text1"/>
        </w:rPr>
        <w:t xml:space="preserve"> </w:t>
      </w:r>
      <w:r w:rsidR="00FD44E2">
        <w:rPr>
          <w:rFonts w:ascii="Times New Roman" w:hAnsi="Times New Roman" w:cs="Times New Roman"/>
          <w:color w:val="000000" w:themeColor="text1"/>
        </w:rPr>
        <w:t xml:space="preserve">our results suggest </w:t>
      </w:r>
      <w:r w:rsidR="007A7656">
        <w:rPr>
          <w:rFonts w:ascii="Times New Roman" w:hAnsi="Times New Roman" w:cs="Times New Roman"/>
          <w:color w:val="000000" w:themeColor="text1"/>
        </w:rPr>
        <w:t>that</w:t>
      </w:r>
      <w:r w:rsidR="00FD44E2">
        <w:rPr>
          <w:rFonts w:ascii="Times New Roman" w:hAnsi="Times New Roman" w:cs="Times New Roman"/>
          <w:color w:val="000000" w:themeColor="text1"/>
        </w:rPr>
        <w:t xml:space="preserve"> </w:t>
      </w:r>
      <w:r w:rsidR="007A7656">
        <w:rPr>
          <w:rFonts w:ascii="Times New Roman" w:hAnsi="Times New Roman" w:cs="Times New Roman"/>
          <w:color w:val="000000" w:themeColor="text1"/>
        </w:rPr>
        <w:t>good CG generally impacts positively on corporate environmental performance. In particular, the findings</w:t>
      </w:r>
      <w:r w:rsidR="00C469EC">
        <w:rPr>
          <w:rFonts w:ascii="Times New Roman" w:hAnsi="Times New Roman" w:cs="Times New Roman"/>
          <w:color w:val="000000" w:themeColor="text1"/>
        </w:rPr>
        <w:t xml:space="preserve"> suggest that</w:t>
      </w:r>
      <w:r w:rsidR="007A7656">
        <w:rPr>
          <w:rFonts w:ascii="Times New Roman" w:hAnsi="Times New Roman" w:cs="Times New Roman"/>
          <w:color w:val="000000" w:themeColor="text1"/>
        </w:rPr>
        <w:t xml:space="preserve"> </w:t>
      </w:r>
      <w:r w:rsidR="00FD44E2">
        <w:rPr>
          <w:rFonts w:ascii="Times New Roman" w:hAnsi="Times New Roman" w:cs="Times New Roman"/>
          <w:color w:val="000000" w:themeColor="text1"/>
        </w:rPr>
        <w:t>interact</w:t>
      </w:r>
      <w:r w:rsidR="0025118A">
        <w:rPr>
          <w:rFonts w:ascii="Times New Roman" w:hAnsi="Times New Roman" w:cs="Times New Roman"/>
          <w:color w:val="000000" w:themeColor="text1"/>
        </w:rPr>
        <w:t xml:space="preserve">ion </w:t>
      </w:r>
      <w:r w:rsidR="00C469EC">
        <w:rPr>
          <w:rFonts w:ascii="Times New Roman" w:hAnsi="Times New Roman" w:cs="Times New Roman"/>
          <w:color w:val="000000" w:themeColor="text1"/>
        </w:rPr>
        <w:t>between external environmental policies and regulations (e.g., CCA</w:t>
      </w:r>
      <w:r>
        <w:rPr>
          <w:rFonts w:ascii="Times New Roman" w:hAnsi="Times New Roman" w:cs="Times New Roman"/>
          <w:color w:val="000000" w:themeColor="text1"/>
        </w:rPr>
        <w:t>)</w:t>
      </w:r>
      <w:r w:rsidR="0025118A">
        <w:rPr>
          <w:rFonts w:ascii="Times New Roman" w:hAnsi="Times New Roman" w:cs="Times New Roman"/>
          <w:color w:val="000000" w:themeColor="text1"/>
        </w:rPr>
        <w:t xml:space="preserve"> and internal </w:t>
      </w:r>
      <w:r>
        <w:rPr>
          <w:rFonts w:ascii="Times New Roman" w:hAnsi="Times New Roman" w:cs="Times New Roman"/>
          <w:color w:val="000000" w:themeColor="text1"/>
        </w:rPr>
        <w:t>CG</w:t>
      </w:r>
      <w:r w:rsidR="0025118A">
        <w:rPr>
          <w:rFonts w:ascii="Times New Roman" w:hAnsi="Times New Roman" w:cs="Times New Roman"/>
          <w:color w:val="000000" w:themeColor="text1"/>
        </w:rPr>
        <w:t xml:space="preserve"> mechanisms</w:t>
      </w:r>
      <w:r>
        <w:rPr>
          <w:rFonts w:ascii="Times New Roman" w:hAnsi="Times New Roman" w:cs="Times New Roman"/>
          <w:color w:val="000000" w:themeColor="text1"/>
        </w:rPr>
        <w:t xml:space="preserve"> (e.g., board size, independence and executive compensation schemes) can enhance </w:t>
      </w:r>
      <w:r>
        <w:rPr>
          <w:rFonts w:ascii="Times New Roman" w:hAnsi="Times New Roman" w:cs="Times New Roman"/>
          <w:color w:val="000000" w:themeColor="text1"/>
        </w:rPr>
        <w:lastRenderedPageBreak/>
        <w:t>environmental performance</w:t>
      </w:r>
      <w:r w:rsidR="0025118A">
        <w:rPr>
          <w:rFonts w:ascii="Times New Roman" w:hAnsi="Times New Roman" w:cs="Times New Roman"/>
          <w:color w:val="000000" w:themeColor="text1"/>
        </w:rPr>
        <w:t xml:space="preserve">. </w:t>
      </w:r>
      <w:r w:rsidR="00CF697C">
        <w:rPr>
          <w:rFonts w:ascii="Times New Roman" w:hAnsi="Times New Roman" w:cs="Times New Roman"/>
          <w:color w:val="000000" w:themeColor="text1"/>
        </w:rPr>
        <w:t xml:space="preserve">This implies that efforts directed at improving environmental policy, sustainable development and </w:t>
      </w:r>
      <w:r w:rsidR="00E43D11">
        <w:rPr>
          <w:rFonts w:ascii="Times New Roman" w:hAnsi="Times New Roman" w:cs="Times New Roman"/>
          <w:color w:val="000000" w:themeColor="text1"/>
        </w:rPr>
        <w:t xml:space="preserve">corporate </w:t>
      </w:r>
      <w:r w:rsidR="00CF697C">
        <w:rPr>
          <w:rFonts w:ascii="Times New Roman" w:hAnsi="Times New Roman" w:cs="Times New Roman"/>
          <w:color w:val="000000" w:themeColor="text1"/>
        </w:rPr>
        <w:t>environmental performance should be pursued jointly along those aimed at improving</w:t>
      </w:r>
      <w:r w:rsidR="00E43D11">
        <w:rPr>
          <w:rFonts w:ascii="Times New Roman" w:hAnsi="Times New Roman" w:cs="Times New Roman"/>
          <w:color w:val="000000" w:themeColor="text1"/>
        </w:rPr>
        <w:t xml:space="preserve"> internal</w:t>
      </w:r>
      <w:r w:rsidR="00CF697C">
        <w:rPr>
          <w:rFonts w:ascii="Times New Roman" w:hAnsi="Times New Roman" w:cs="Times New Roman"/>
          <w:color w:val="000000" w:themeColor="text1"/>
        </w:rPr>
        <w:t xml:space="preserve"> CG practices</w:t>
      </w:r>
      <w:r w:rsidR="002F6F95">
        <w:rPr>
          <w:rFonts w:ascii="Times New Roman" w:hAnsi="Times New Roman" w:cs="Times New Roman"/>
          <w:color w:val="000000" w:themeColor="text1"/>
        </w:rPr>
        <w:t xml:space="preserve">. </w:t>
      </w:r>
      <w:r w:rsidR="00920449">
        <w:rPr>
          <w:rFonts w:ascii="Times New Roman" w:hAnsi="Times New Roman" w:cs="Times New Roman"/>
          <w:color w:val="000000" w:themeColor="text1"/>
        </w:rPr>
        <w:t>This can be done in the UK</w:t>
      </w:r>
      <w:r w:rsidR="00C942DF">
        <w:rPr>
          <w:rFonts w:ascii="Times New Roman" w:hAnsi="Times New Roman" w:cs="Times New Roman"/>
          <w:color w:val="000000" w:themeColor="text1"/>
        </w:rPr>
        <w:t>, for example,</w:t>
      </w:r>
      <w:r w:rsidR="00920449">
        <w:rPr>
          <w:rFonts w:ascii="Times New Roman" w:hAnsi="Times New Roman" w:cs="Times New Roman"/>
          <w:color w:val="000000" w:themeColor="text1"/>
        </w:rPr>
        <w:t xml:space="preserve"> by DEFRA engaging directly with the Financial Reporting Council and London Stock Exchange towards incorporating the CCA requirements as part of the ‘Combined Code’ for listed firms to comply with. In this case, o</w:t>
      </w:r>
      <w:r w:rsidR="009A4EEE">
        <w:rPr>
          <w:rFonts w:ascii="Times New Roman" w:hAnsi="Times New Roman" w:cs="Times New Roman"/>
          <w:color w:val="000000" w:themeColor="text1"/>
        </w:rPr>
        <w:t xml:space="preserve">ne critical aspect </w:t>
      </w:r>
      <w:r w:rsidR="00185C6D">
        <w:rPr>
          <w:rFonts w:ascii="Times New Roman" w:hAnsi="Times New Roman" w:cs="Times New Roman"/>
          <w:color w:val="000000" w:themeColor="text1"/>
        </w:rPr>
        <w:t xml:space="preserve">of </w:t>
      </w:r>
      <w:r w:rsidR="00920449">
        <w:rPr>
          <w:rFonts w:ascii="Times New Roman" w:hAnsi="Times New Roman" w:cs="Times New Roman"/>
          <w:color w:val="000000" w:themeColor="text1"/>
        </w:rPr>
        <w:t>CG</w:t>
      </w:r>
      <w:r w:rsidR="00185C6D">
        <w:rPr>
          <w:rFonts w:ascii="Times New Roman" w:hAnsi="Times New Roman" w:cs="Times New Roman"/>
          <w:color w:val="000000" w:themeColor="text1"/>
        </w:rPr>
        <w:t xml:space="preserve"> </w:t>
      </w:r>
      <w:r w:rsidR="00C942DF">
        <w:rPr>
          <w:rFonts w:ascii="Times New Roman" w:hAnsi="Times New Roman" w:cs="Times New Roman"/>
          <w:color w:val="000000" w:themeColor="text1"/>
        </w:rPr>
        <w:t>that can be linked</w:t>
      </w:r>
      <w:r w:rsidR="002D3935">
        <w:rPr>
          <w:rFonts w:ascii="Times New Roman" w:hAnsi="Times New Roman" w:cs="Times New Roman"/>
          <w:color w:val="000000" w:themeColor="text1"/>
        </w:rPr>
        <w:t xml:space="preserve"> directly to corporate environmental policy and performance</w:t>
      </w:r>
      <w:r w:rsidR="009A4EEE">
        <w:rPr>
          <w:rFonts w:ascii="Times New Roman" w:hAnsi="Times New Roman" w:cs="Times New Roman"/>
          <w:color w:val="000000" w:themeColor="text1"/>
        </w:rPr>
        <w:t xml:space="preserve"> </w:t>
      </w:r>
      <w:r w:rsidR="002D3935">
        <w:rPr>
          <w:rFonts w:ascii="Times New Roman" w:hAnsi="Times New Roman" w:cs="Times New Roman"/>
          <w:color w:val="000000" w:themeColor="text1"/>
        </w:rPr>
        <w:t>is</w:t>
      </w:r>
      <w:r w:rsidR="009A4EEE">
        <w:rPr>
          <w:rFonts w:ascii="Times New Roman" w:hAnsi="Times New Roman" w:cs="Times New Roman"/>
          <w:color w:val="000000" w:themeColor="text1"/>
        </w:rPr>
        <w:t xml:space="preserve"> executive </w:t>
      </w:r>
      <w:r w:rsidR="002B3B4C">
        <w:rPr>
          <w:rFonts w:ascii="Times New Roman" w:hAnsi="Times New Roman" w:cs="Times New Roman"/>
          <w:color w:val="000000" w:themeColor="text1"/>
        </w:rPr>
        <w:t xml:space="preserve">compensation </w:t>
      </w:r>
      <w:r w:rsidR="002D3935">
        <w:rPr>
          <w:rFonts w:ascii="Times New Roman" w:hAnsi="Times New Roman" w:cs="Times New Roman"/>
          <w:color w:val="000000" w:themeColor="text1"/>
        </w:rPr>
        <w:t xml:space="preserve">schemes. Such schemes should have </w:t>
      </w:r>
      <w:r w:rsidR="002B3B4C">
        <w:rPr>
          <w:rFonts w:ascii="Times New Roman" w:hAnsi="Times New Roman" w:cs="Times New Roman"/>
          <w:color w:val="000000" w:themeColor="text1"/>
        </w:rPr>
        <w:t>variabl</w:t>
      </w:r>
      <w:r w:rsidR="00443CDB">
        <w:rPr>
          <w:rFonts w:ascii="Times New Roman" w:hAnsi="Times New Roman" w:cs="Times New Roman"/>
          <w:color w:val="000000" w:themeColor="text1"/>
        </w:rPr>
        <w:t>e and verifiabl</w:t>
      </w:r>
      <w:r w:rsidR="002B3B4C">
        <w:rPr>
          <w:rFonts w:ascii="Times New Roman" w:hAnsi="Times New Roman" w:cs="Times New Roman"/>
          <w:color w:val="000000" w:themeColor="text1"/>
        </w:rPr>
        <w:t>e</w:t>
      </w:r>
      <w:r w:rsidR="002D3935">
        <w:rPr>
          <w:rFonts w:ascii="Times New Roman" w:hAnsi="Times New Roman" w:cs="Times New Roman"/>
          <w:color w:val="000000" w:themeColor="text1"/>
        </w:rPr>
        <w:t>, but</w:t>
      </w:r>
      <w:r w:rsidR="002B3B4C">
        <w:rPr>
          <w:rFonts w:ascii="Times New Roman" w:hAnsi="Times New Roman" w:cs="Times New Roman"/>
          <w:color w:val="000000" w:themeColor="text1"/>
        </w:rPr>
        <w:t xml:space="preserve"> </w:t>
      </w:r>
      <w:r w:rsidR="009A4EEE">
        <w:rPr>
          <w:rFonts w:ascii="Times New Roman" w:hAnsi="Times New Roman" w:cs="Times New Roman"/>
          <w:color w:val="000000" w:themeColor="text1"/>
        </w:rPr>
        <w:t>sustainab</w:t>
      </w:r>
      <w:r w:rsidR="002B3B4C">
        <w:rPr>
          <w:rFonts w:ascii="Times New Roman" w:hAnsi="Times New Roman" w:cs="Times New Roman"/>
          <w:color w:val="000000" w:themeColor="text1"/>
        </w:rPr>
        <w:t>le targets</w:t>
      </w:r>
      <w:r w:rsidR="002D3935">
        <w:rPr>
          <w:rFonts w:ascii="Times New Roman" w:hAnsi="Times New Roman" w:cs="Times New Roman"/>
          <w:color w:val="000000" w:themeColor="text1"/>
        </w:rPr>
        <w:t xml:space="preserve"> to be closely</w:t>
      </w:r>
      <w:r w:rsidR="002B3B4C">
        <w:rPr>
          <w:rFonts w:ascii="Times New Roman" w:hAnsi="Times New Roman" w:cs="Times New Roman"/>
          <w:color w:val="000000" w:themeColor="text1"/>
        </w:rPr>
        <w:t xml:space="preserve"> monitor</w:t>
      </w:r>
      <w:r w:rsidR="002D3935">
        <w:rPr>
          <w:rFonts w:ascii="Times New Roman" w:hAnsi="Times New Roman" w:cs="Times New Roman"/>
          <w:color w:val="000000" w:themeColor="text1"/>
        </w:rPr>
        <w:t>ed by corporate boards</w:t>
      </w:r>
      <w:r w:rsidR="002B3B4C">
        <w:rPr>
          <w:rFonts w:ascii="Times New Roman" w:hAnsi="Times New Roman" w:cs="Times New Roman"/>
          <w:color w:val="000000" w:themeColor="text1"/>
        </w:rPr>
        <w:t xml:space="preserve"> </w:t>
      </w:r>
      <w:r w:rsidR="002D3935">
        <w:rPr>
          <w:rFonts w:ascii="Times New Roman" w:hAnsi="Times New Roman" w:cs="Times New Roman"/>
          <w:color w:val="000000" w:themeColor="text1"/>
        </w:rPr>
        <w:t xml:space="preserve">in terms </w:t>
      </w:r>
      <w:r w:rsidR="00C303F5">
        <w:rPr>
          <w:rFonts w:ascii="Times New Roman" w:hAnsi="Times New Roman" w:cs="Times New Roman"/>
          <w:color w:val="000000" w:themeColor="text1"/>
        </w:rPr>
        <w:t xml:space="preserve">of </w:t>
      </w:r>
      <w:r w:rsidR="002D3935">
        <w:rPr>
          <w:rFonts w:ascii="Times New Roman" w:hAnsi="Times New Roman" w:cs="Times New Roman"/>
          <w:color w:val="000000" w:themeColor="text1"/>
        </w:rPr>
        <w:t xml:space="preserve">matching targets against actual managerial </w:t>
      </w:r>
      <w:r w:rsidR="004129F1">
        <w:rPr>
          <w:rFonts w:ascii="Times New Roman" w:hAnsi="Times New Roman" w:cs="Times New Roman"/>
          <w:color w:val="000000" w:themeColor="text1"/>
        </w:rPr>
        <w:t xml:space="preserve">environmental </w:t>
      </w:r>
      <w:r w:rsidR="002D3935">
        <w:rPr>
          <w:rFonts w:ascii="Times New Roman" w:hAnsi="Times New Roman" w:cs="Times New Roman"/>
          <w:color w:val="000000" w:themeColor="text1"/>
        </w:rPr>
        <w:t>performance</w:t>
      </w:r>
      <w:r w:rsidR="00185C6D">
        <w:rPr>
          <w:rFonts w:ascii="Times New Roman" w:hAnsi="Times New Roman" w:cs="Times New Roman"/>
          <w:color w:val="000000" w:themeColor="text1"/>
        </w:rPr>
        <w:t xml:space="preserve">. </w:t>
      </w:r>
    </w:p>
    <w:p w14:paraId="12D00066" w14:textId="42D83C61" w:rsidR="00C300C6" w:rsidRDefault="00A84D76" w:rsidP="003B6444">
      <w:pPr>
        <w:autoSpaceDE w:val="0"/>
        <w:autoSpaceDN w:val="0"/>
        <w:adjustRightInd w:val="0"/>
        <w:spacing w:after="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710D55">
        <w:rPr>
          <w:rFonts w:ascii="Times New Roman" w:hAnsi="Times New Roman" w:cs="Times New Roman"/>
          <w:color w:val="000000" w:themeColor="text1"/>
        </w:rPr>
        <w:t>Although our findings are robust and important, it has some</w:t>
      </w:r>
      <w:r w:rsidR="009F065E" w:rsidRPr="009F065E">
        <w:rPr>
          <w:rFonts w:ascii="Times New Roman" w:hAnsi="Times New Roman" w:cs="Times New Roman"/>
          <w:color w:val="000000" w:themeColor="text1"/>
        </w:rPr>
        <w:t xml:space="preserve"> limitations </w:t>
      </w:r>
      <w:r w:rsidR="00182768">
        <w:rPr>
          <w:rFonts w:ascii="Times New Roman" w:hAnsi="Times New Roman" w:cs="Times New Roman"/>
          <w:color w:val="000000" w:themeColor="text1"/>
        </w:rPr>
        <w:t>that need to be explicitly acknowledged</w:t>
      </w:r>
      <w:r w:rsidR="00710D55">
        <w:rPr>
          <w:rFonts w:ascii="Times New Roman" w:hAnsi="Times New Roman" w:cs="Times New Roman"/>
          <w:color w:val="000000" w:themeColor="text1"/>
        </w:rPr>
        <w:t>.</w:t>
      </w:r>
      <w:r w:rsidR="009F065E" w:rsidRPr="009F065E">
        <w:rPr>
          <w:rFonts w:ascii="Times New Roman" w:hAnsi="Times New Roman" w:cs="Times New Roman"/>
          <w:color w:val="000000" w:themeColor="text1"/>
        </w:rPr>
        <w:t xml:space="preserve"> </w:t>
      </w:r>
      <w:r w:rsidR="00A75811">
        <w:rPr>
          <w:rFonts w:ascii="Times New Roman" w:hAnsi="Times New Roman" w:cs="Times New Roman"/>
          <w:color w:val="000000" w:themeColor="text1"/>
        </w:rPr>
        <w:t xml:space="preserve">First and like most archival studies of this nature, our proxies for CCA, CRIs, CG, compensation, </w:t>
      </w:r>
      <w:r w:rsidR="00B73BC8">
        <w:rPr>
          <w:rFonts w:ascii="Times New Roman" w:hAnsi="Times New Roman" w:cs="Times New Roman"/>
          <w:color w:val="000000" w:themeColor="text1"/>
        </w:rPr>
        <w:t xml:space="preserve">GHG emissions, </w:t>
      </w:r>
      <w:r w:rsidR="00A75811">
        <w:rPr>
          <w:rFonts w:ascii="Times New Roman" w:hAnsi="Times New Roman" w:cs="Times New Roman"/>
          <w:color w:val="000000" w:themeColor="text1"/>
        </w:rPr>
        <w:t xml:space="preserve">GRI and UNGC, among others, may or may </w:t>
      </w:r>
      <w:r w:rsidR="00A75811">
        <w:rPr>
          <w:rFonts w:ascii="Times New Roman" w:hAnsi="Times New Roman" w:cs="Times New Roman"/>
          <w:color w:val="000000" w:themeColor="text1"/>
        </w:rPr>
        <w:lastRenderedPageBreak/>
        <w:t>not reflect actual corporate and management practice</w:t>
      </w:r>
      <w:r w:rsidR="004A40EF">
        <w:rPr>
          <w:rFonts w:ascii="Times New Roman" w:hAnsi="Times New Roman" w:cs="Times New Roman"/>
          <w:color w:val="000000" w:themeColor="text1"/>
        </w:rPr>
        <w:t>s</w:t>
      </w:r>
      <w:r w:rsidR="00A75811">
        <w:rPr>
          <w:rFonts w:ascii="Times New Roman" w:hAnsi="Times New Roman" w:cs="Times New Roman"/>
          <w:color w:val="000000" w:themeColor="text1"/>
        </w:rPr>
        <w:t>.</w:t>
      </w:r>
      <w:r w:rsidR="004A40EF">
        <w:rPr>
          <w:rFonts w:ascii="Times New Roman" w:hAnsi="Times New Roman" w:cs="Times New Roman"/>
          <w:color w:val="000000" w:themeColor="text1"/>
        </w:rPr>
        <w:t xml:space="preserve"> In this case, future researchers may offer in-depth insights by conducting case studies and interviews with the various external and internal stakeholders, such as managers, directors, employees, regulators, civil societies, supra national bodies and governments</w:t>
      </w:r>
      <w:r w:rsidR="00140F2E">
        <w:rPr>
          <w:rFonts w:ascii="Times New Roman" w:hAnsi="Times New Roman" w:cs="Times New Roman"/>
          <w:color w:val="000000" w:themeColor="text1"/>
        </w:rPr>
        <w:t xml:space="preserve"> to further explore these issues</w:t>
      </w:r>
      <w:r w:rsidR="004A40EF">
        <w:rPr>
          <w:rFonts w:ascii="Times New Roman" w:hAnsi="Times New Roman" w:cs="Times New Roman"/>
          <w:color w:val="000000" w:themeColor="text1"/>
        </w:rPr>
        <w:t>.</w:t>
      </w:r>
      <w:r w:rsidR="00A75811">
        <w:rPr>
          <w:rFonts w:ascii="Times New Roman" w:hAnsi="Times New Roman" w:cs="Times New Roman"/>
          <w:color w:val="000000" w:themeColor="text1"/>
        </w:rPr>
        <w:t xml:space="preserve"> Second</w:t>
      </w:r>
      <w:r w:rsidR="009F065E" w:rsidRPr="009F065E">
        <w:rPr>
          <w:rFonts w:ascii="Times New Roman" w:hAnsi="Times New Roman" w:cs="Times New Roman"/>
          <w:color w:val="000000" w:themeColor="text1"/>
        </w:rPr>
        <w:t>, our empirical estimations could have been more robust with the inclusion of sustainable compensation polic</w:t>
      </w:r>
      <w:r w:rsidR="00BE1053">
        <w:rPr>
          <w:rFonts w:ascii="Times New Roman" w:hAnsi="Times New Roman" w:cs="Times New Roman"/>
          <w:color w:val="000000" w:themeColor="text1"/>
        </w:rPr>
        <w:t>ies</w:t>
      </w:r>
      <w:r w:rsidR="009F065E" w:rsidRPr="009F065E">
        <w:rPr>
          <w:rFonts w:ascii="Times New Roman" w:hAnsi="Times New Roman" w:cs="Times New Roman"/>
          <w:color w:val="000000" w:themeColor="text1"/>
        </w:rPr>
        <w:t xml:space="preserve"> with long-term emission targets. Future research can include th</w:t>
      </w:r>
      <w:r w:rsidR="00A75811">
        <w:rPr>
          <w:rFonts w:ascii="Times New Roman" w:hAnsi="Times New Roman" w:cs="Times New Roman"/>
          <w:color w:val="000000" w:themeColor="text1"/>
        </w:rPr>
        <w:t>ese</w:t>
      </w:r>
      <w:r w:rsidR="009F065E" w:rsidRPr="009F065E">
        <w:rPr>
          <w:rFonts w:ascii="Times New Roman" w:hAnsi="Times New Roman" w:cs="Times New Roman"/>
          <w:color w:val="000000" w:themeColor="text1"/>
        </w:rPr>
        <w:t xml:space="preserve"> variable</w:t>
      </w:r>
      <w:r w:rsidR="00A75811">
        <w:rPr>
          <w:rFonts w:ascii="Times New Roman" w:hAnsi="Times New Roman" w:cs="Times New Roman"/>
          <w:color w:val="000000" w:themeColor="text1"/>
        </w:rPr>
        <w:t>s</w:t>
      </w:r>
      <w:r w:rsidR="009F065E" w:rsidRPr="009F065E">
        <w:rPr>
          <w:rFonts w:ascii="Times New Roman" w:hAnsi="Times New Roman" w:cs="Times New Roman"/>
          <w:color w:val="000000" w:themeColor="text1"/>
        </w:rPr>
        <w:t xml:space="preserve"> </w:t>
      </w:r>
      <w:r w:rsidR="00A75811">
        <w:rPr>
          <w:rFonts w:ascii="Times New Roman" w:hAnsi="Times New Roman" w:cs="Times New Roman"/>
          <w:color w:val="000000" w:themeColor="text1"/>
        </w:rPr>
        <w:t>when</w:t>
      </w:r>
      <w:r w:rsidR="009F065E" w:rsidRPr="009F065E">
        <w:rPr>
          <w:rFonts w:ascii="Times New Roman" w:hAnsi="Times New Roman" w:cs="Times New Roman"/>
          <w:color w:val="000000" w:themeColor="text1"/>
        </w:rPr>
        <w:t xml:space="preserve"> examin</w:t>
      </w:r>
      <w:r w:rsidR="00A75811">
        <w:rPr>
          <w:rFonts w:ascii="Times New Roman" w:hAnsi="Times New Roman" w:cs="Times New Roman"/>
          <w:color w:val="000000" w:themeColor="text1"/>
        </w:rPr>
        <w:t>ing</w:t>
      </w:r>
      <w:r w:rsidR="009F065E" w:rsidRPr="009F065E">
        <w:rPr>
          <w:rFonts w:ascii="Times New Roman" w:hAnsi="Times New Roman" w:cs="Times New Roman"/>
          <w:color w:val="000000" w:themeColor="text1"/>
        </w:rPr>
        <w:t xml:space="preserve"> the effectiveness of ESG-based polic</w:t>
      </w:r>
      <w:r w:rsidR="00A75811">
        <w:rPr>
          <w:rFonts w:ascii="Times New Roman" w:hAnsi="Times New Roman" w:cs="Times New Roman"/>
          <w:color w:val="000000" w:themeColor="text1"/>
        </w:rPr>
        <w:t>ies</w:t>
      </w:r>
      <w:r w:rsidR="009F065E" w:rsidRPr="009F065E">
        <w:rPr>
          <w:rFonts w:ascii="Times New Roman" w:hAnsi="Times New Roman" w:cs="Times New Roman"/>
          <w:color w:val="000000" w:themeColor="text1"/>
        </w:rPr>
        <w:t xml:space="preserve"> in enhancing firms’ actual carbon performance. </w:t>
      </w:r>
      <w:r w:rsidR="00A75811">
        <w:rPr>
          <w:rFonts w:ascii="Times New Roman" w:hAnsi="Times New Roman" w:cs="Times New Roman"/>
          <w:color w:val="000000" w:themeColor="text1"/>
        </w:rPr>
        <w:t>Third</w:t>
      </w:r>
      <w:r w:rsidR="009F065E" w:rsidRPr="009F065E">
        <w:rPr>
          <w:rFonts w:ascii="Times New Roman" w:hAnsi="Times New Roman" w:cs="Times New Roman"/>
          <w:color w:val="000000" w:themeColor="text1"/>
        </w:rPr>
        <w:t>, whilst</w:t>
      </w:r>
      <w:r w:rsidR="00A75811">
        <w:rPr>
          <w:rFonts w:ascii="Times New Roman" w:hAnsi="Times New Roman" w:cs="Times New Roman"/>
          <w:color w:val="000000" w:themeColor="text1"/>
        </w:rPr>
        <w:t xml:space="preserve"> informed by our findings,</w:t>
      </w:r>
      <w:r w:rsidR="009F065E" w:rsidRPr="009F065E">
        <w:rPr>
          <w:rFonts w:ascii="Times New Roman" w:hAnsi="Times New Roman" w:cs="Times New Roman"/>
          <w:color w:val="000000" w:themeColor="text1"/>
        </w:rPr>
        <w:t xml:space="preserve"> we argue that strategic responses of powerful economic agents (such as managers), inadequate climate-related polices and lax enforcement are some of the possible reasons that undermine the effectiveness of the CCA, it is </w:t>
      </w:r>
      <w:r w:rsidR="009A4D9C">
        <w:rPr>
          <w:rFonts w:ascii="Times New Roman" w:hAnsi="Times New Roman" w:cs="Times New Roman"/>
          <w:color w:val="000000" w:themeColor="text1"/>
        </w:rPr>
        <w:t xml:space="preserve">therefore </w:t>
      </w:r>
      <w:r w:rsidR="009F065E" w:rsidRPr="009F065E">
        <w:rPr>
          <w:rFonts w:ascii="Times New Roman" w:hAnsi="Times New Roman" w:cs="Times New Roman"/>
          <w:color w:val="000000" w:themeColor="text1"/>
        </w:rPr>
        <w:t xml:space="preserve">imperative to undertake </w:t>
      </w:r>
      <w:r w:rsidR="00A75811">
        <w:rPr>
          <w:rFonts w:ascii="Times New Roman" w:hAnsi="Times New Roman" w:cs="Times New Roman"/>
          <w:color w:val="000000" w:themeColor="text1"/>
        </w:rPr>
        <w:t>further</w:t>
      </w:r>
      <w:r w:rsidR="009F065E" w:rsidRPr="009F065E">
        <w:rPr>
          <w:rFonts w:ascii="Times New Roman" w:hAnsi="Times New Roman" w:cs="Times New Roman"/>
          <w:color w:val="000000" w:themeColor="text1"/>
        </w:rPr>
        <w:t xml:space="preserve"> empirical studies </w:t>
      </w:r>
      <w:r w:rsidR="00A75811">
        <w:rPr>
          <w:rFonts w:ascii="Times New Roman" w:hAnsi="Times New Roman" w:cs="Times New Roman"/>
          <w:color w:val="000000" w:themeColor="text1"/>
        </w:rPr>
        <w:t xml:space="preserve">in </w:t>
      </w:r>
      <w:r w:rsidR="009A4D9C">
        <w:rPr>
          <w:rFonts w:ascii="Times New Roman" w:hAnsi="Times New Roman" w:cs="Times New Roman"/>
          <w:color w:val="000000" w:themeColor="text1"/>
        </w:rPr>
        <w:t xml:space="preserve">the future in </w:t>
      </w:r>
      <w:r w:rsidR="00A75811">
        <w:rPr>
          <w:rFonts w:ascii="Times New Roman" w:hAnsi="Times New Roman" w:cs="Times New Roman"/>
          <w:color w:val="000000" w:themeColor="text1"/>
        </w:rPr>
        <w:t>order to ascertain the robustness of such a conclusion</w:t>
      </w:r>
      <w:r w:rsidR="009F065E" w:rsidRPr="009F065E">
        <w:rPr>
          <w:rFonts w:ascii="Times New Roman" w:hAnsi="Times New Roman" w:cs="Times New Roman"/>
          <w:color w:val="000000" w:themeColor="text1"/>
        </w:rPr>
        <w:t xml:space="preserve">. </w:t>
      </w:r>
      <w:r w:rsidR="00B73BC8">
        <w:rPr>
          <w:rFonts w:ascii="Times New Roman" w:hAnsi="Times New Roman" w:cs="Times New Roman"/>
          <w:color w:val="000000" w:themeColor="text1"/>
        </w:rPr>
        <w:t>Finally</w:t>
      </w:r>
      <w:r w:rsidR="009F065E" w:rsidRPr="009F065E">
        <w:rPr>
          <w:rFonts w:ascii="Times New Roman" w:hAnsi="Times New Roman" w:cs="Times New Roman"/>
          <w:color w:val="000000" w:themeColor="text1"/>
        </w:rPr>
        <w:t>, future research can extend this empirical framework to include other countries</w:t>
      </w:r>
      <w:r w:rsidR="00E85E61">
        <w:rPr>
          <w:rFonts w:ascii="Times New Roman" w:hAnsi="Times New Roman" w:cs="Times New Roman"/>
          <w:color w:val="000000" w:themeColor="text1"/>
        </w:rPr>
        <w:t xml:space="preserve"> around </w:t>
      </w:r>
      <w:r w:rsidR="00E85E61">
        <w:rPr>
          <w:rFonts w:ascii="Times New Roman" w:hAnsi="Times New Roman" w:cs="Times New Roman"/>
          <w:color w:val="000000" w:themeColor="text1"/>
        </w:rPr>
        <w:lastRenderedPageBreak/>
        <w:t>the world</w:t>
      </w:r>
      <w:r w:rsidR="009F065E" w:rsidRPr="009F065E">
        <w:rPr>
          <w:rFonts w:ascii="Times New Roman" w:hAnsi="Times New Roman" w:cs="Times New Roman"/>
          <w:color w:val="000000" w:themeColor="text1"/>
        </w:rPr>
        <w:t xml:space="preserve"> that </w:t>
      </w:r>
      <w:r w:rsidR="00561E4F">
        <w:rPr>
          <w:rFonts w:ascii="Times New Roman" w:hAnsi="Times New Roman" w:cs="Times New Roman"/>
          <w:color w:val="000000" w:themeColor="text1"/>
        </w:rPr>
        <w:t>have</w:t>
      </w:r>
      <w:r w:rsidR="00E85E61">
        <w:rPr>
          <w:rFonts w:ascii="Times New Roman" w:hAnsi="Times New Roman" w:cs="Times New Roman"/>
          <w:color w:val="000000" w:themeColor="text1"/>
        </w:rPr>
        <w:t xml:space="preserve"> also</w:t>
      </w:r>
      <w:r w:rsidR="009F065E" w:rsidRPr="009F065E">
        <w:rPr>
          <w:rFonts w:ascii="Times New Roman" w:hAnsi="Times New Roman" w:cs="Times New Roman"/>
          <w:color w:val="000000" w:themeColor="text1"/>
        </w:rPr>
        <w:t xml:space="preserve"> </w:t>
      </w:r>
      <w:r w:rsidR="00561E4F">
        <w:rPr>
          <w:rFonts w:ascii="Times New Roman" w:hAnsi="Times New Roman" w:cs="Times New Roman"/>
          <w:color w:val="000000" w:themeColor="text1"/>
        </w:rPr>
        <w:t>ratified</w:t>
      </w:r>
      <w:r w:rsidR="009F065E" w:rsidRPr="009F065E">
        <w:rPr>
          <w:rFonts w:ascii="Times New Roman" w:hAnsi="Times New Roman" w:cs="Times New Roman"/>
          <w:color w:val="000000" w:themeColor="text1"/>
        </w:rPr>
        <w:t xml:space="preserve"> the Kyoto Protocol</w:t>
      </w:r>
      <w:r w:rsidR="00E85E61">
        <w:rPr>
          <w:rFonts w:ascii="Times New Roman" w:hAnsi="Times New Roman" w:cs="Times New Roman"/>
          <w:color w:val="000000" w:themeColor="text1"/>
        </w:rPr>
        <w:t xml:space="preserve"> to conduct a cross-country study, which may enhance the generalisability of their findings</w:t>
      </w:r>
      <w:r w:rsidR="009F065E" w:rsidRPr="009F065E">
        <w:rPr>
          <w:rFonts w:ascii="Times New Roman" w:hAnsi="Times New Roman" w:cs="Times New Roman"/>
          <w:color w:val="000000" w:themeColor="text1"/>
        </w:rPr>
        <w:t xml:space="preserve">. </w:t>
      </w:r>
    </w:p>
    <w:p w14:paraId="2EB956F8" w14:textId="77777777" w:rsidR="00920906" w:rsidRDefault="00920906" w:rsidP="0014359D">
      <w:pPr>
        <w:spacing w:after="0" w:line="240" w:lineRule="auto"/>
        <w:jc w:val="both"/>
        <w:rPr>
          <w:rFonts w:ascii="Times New Roman" w:hAnsi="Times New Roman" w:cs="Times New Roman"/>
          <w:b/>
          <w:color w:val="000000" w:themeColor="text1"/>
          <w:lang w:val="en-US"/>
        </w:rPr>
      </w:pPr>
    </w:p>
    <w:p w14:paraId="7034C863" w14:textId="10C9F499" w:rsidR="00883403" w:rsidRPr="0014359D" w:rsidRDefault="009F065E" w:rsidP="0014359D">
      <w:pPr>
        <w:spacing w:after="0" w:line="240" w:lineRule="auto"/>
        <w:jc w:val="both"/>
        <w:rPr>
          <w:rFonts w:ascii="Times New Roman" w:hAnsi="Times New Roman" w:cs="Times New Roman"/>
          <w:b/>
          <w:color w:val="000000" w:themeColor="text1"/>
          <w:lang w:val="en-US"/>
        </w:rPr>
      </w:pPr>
      <w:r w:rsidRPr="009F065E">
        <w:rPr>
          <w:rFonts w:ascii="Times New Roman" w:hAnsi="Times New Roman" w:cs="Times New Roman"/>
          <w:b/>
          <w:color w:val="000000" w:themeColor="text1"/>
          <w:lang w:val="en-US"/>
        </w:rPr>
        <w:t>References</w:t>
      </w:r>
    </w:p>
    <w:p w14:paraId="595D4897" w14:textId="77777777" w:rsidR="00B952F9" w:rsidRPr="0014359D" w:rsidRDefault="00B952F9" w:rsidP="00B952F9">
      <w:pPr>
        <w:spacing w:after="0" w:line="240" w:lineRule="auto"/>
        <w:ind w:left="288" w:hanging="288"/>
        <w:jc w:val="both"/>
        <w:rPr>
          <w:rFonts w:ascii="Times New Roman" w:hAnsi="Times New Roman" w:cs="Times New Roman"/>
          <w:color w:val="000000" w:themeColor="text1"/>
        </w:rPr>
      </w:pPr>
    </w:p>
    <w:p w14:paraId="6AB6B7BF" w14:textId="77777777" w:rsidR="00B952F9" w:rsidRPr="0014359D" w:rsidRDefault="00B952F9" w:rsidP="00B952F9">
      <w:pPr>
        <w:spacing w:after="0" w:line="240" w:lineRule="auto"/>
        <w:ind w:left="288" w:hanging="288"/>
        <w:jc w:val="both"/>
        <w:rPr>
          <w:rFonts w:ascii="Times New Roman" w:hAnsi="Times New Roman" w:cs="Times New Roman"/>
        </w:rPr>
      </w:pPr>
      <w:r w:rsidRPr="009F065E">
        <w:rPr>
          <w:rFonts w:ascii="Times New Roman" w:hAnsi="Times New Roman" w:cs="Times New Roman"/>
        </w:rPr>
        <w:t>Aguilera, R. V., Rupp, D. E.,</w:t>
      </w:r>
      <w:r>
        <w:rPr>
          <w:rFonts w:ascii="Times New Roman" w:hAnsi="Times New Roman" w:cs="Times New Roman"/>
        </w:rPr>
        <w:t xml:space="preserve"> Williams, C., and Granapathi, J. 2007</w:t>
      </w:r>
      <w:r w:rsidRPr="009F065E">
        <w:rPr>
          <w:rFonts w:ascii="Times New Roman" w:hAnsi="Times New Roman" w:cs="Times New Roman"/>
        </w:rPr>
        <w:t xml:space="preserve">. Putting the s back in corporate social responsibility: A multilevel theory of social change in organizations. </w:t>
      </w:r>
      <w:r w:rsidRPr="00C40546">
        <w:rPr>
          <w:rFonts w:ascii="Times New Roman" w:hAnsi="Times New Roman" w:cs="Times New Roman"/>
          <w:i/>
        </w:rPr>
        <w:t>Academy of Management Review</w:t>
      </w:r>
      <w:r w:rsidRPr="009F065E">
        <w:rPr>
          <w:rFonts w:ascii="Times New Roman" w:hAnsi="Times New Roman" w:cs="Times New Roman"/>
        </w:rPr>
        <w:t xml:space="preserve"> </w:t>
      </w:r>
      <w:r w:rsidRPr="00C40546">
        <w:rPr>
          <w:rFonts w:ascii="Times New Roman" w:hAnsi="Times New Roman" w:cs="Times New Roman"/>
          <w:b/>
        </w:rPr>
        <w:t>32</w:t>
      </w:r>
      <w:r>
        <w:rPr>
          <w:rFonts w:ascii="Times New Roman" w:hAnsi="Times New Roman" w:cs="Times New Roman"/>
        </w:rPr>
        <w:t>:</w:t>
      </w:r>
      <w:r w:rsidRPr="009F065E">
        <w:rPr>
          <w:rFonts w:ascii="Times New Roman" w:hAnsi="Times New Roman" w:cs="Times New Roman"/>
        </w:rPr>
        <w:t xml:space="preserve"> 836–863.</w:t>
      </w:r>
    </w:p>
    <w:p w14:paraId="7EB413FE" w14:textId="77777777" w:rsidR="00B952F9" w:rsidRPr="0014359D" w:rsidRDefault="00B952F9" w:rsidP="00B952F9">
      <w:pPr>
        <w:spacing w:after="0" w:line="240" w:lineRule="auto"/>
        <w:ind w:left="288" w:hanging="288"/>
        <w:jc w:val="both"/>
        <w:rPr>
          <w:rFonts w:ascii="Times New Roman" w:hAnsi="Times New Roman" w:cs="Times New Roman"/>
          <w:color w:val="000000" w:themeColor="text1"/>
        </w:rPr>
      </w:pPr>
      <w:r w:rsidRPr="00D629B6">
        <w:rPr>
          <w:rFonts w:ascii="Times New Roman" w:hAnsi="Times New Roman" w:cs="Times New Roman"/>
        </w:rPr>
        <w:t>Alberto G</w:t>
      </w:r>
      <w:r>
        <w:rPr>
          <w:rFonts w:ascii="Times New Roman" w:hAnsi="Times New Roman" w:cs="Times New Roman"/>
        </w:rPr>
        <w:t>omez, A. and Rodriguez, M, A. 2011</w:t>
      </w:r>
      <w:r w:rsidRPr="00D629B6">
        <w:rPr>
          <w:rFonts w:ascii="Times New Roman" w:hAnsi="Times New Roman" w:cs="Times New Roman"/>
        </w:rPr>
        <w:t xml:space="preserve">. </w:t>
      </w:r>
      <w:r w:rsidRPr="009F065E">
        <w:rPr>
          <w:rFonts w:ascii="Times New Roman" w:hAnsi="Times New Roman" w:cs="Times New Roman"/>
        </w:rPr>
        <w:t xml:space="preserve">The effect of ISO 14001 certification on toxic emissions: an analysis of industrial facilities in the north of Spain. </w:t>
      </w:r>
      <w:r w:rsidRPr="0014359D">
        <w:rPr>
          <w:rFonts w:ascii="Times New Roman" w:hAnsi="Times New Roman" w:cs="Times New Roman"/>
          <w:i/>
        </w:rPr>
        <w:t>Journal of Cleaner Production</w:t>
      </w:r>
      <w:r w:rsidRPr="0014359D">
        <w:rPr>
          <w:rFonts w:ascii="Times New Roman" w:hAnsi="Times New Roman" w:cs="Times New Roman"/>
        </w:rPr>
        <w:t xml:space="preserve"> </w:t>
      </w:r>
      <w:r w:rsidRPr="00C40546">
        <w:rPr>
          <w:rFonts w:ascii="Times New Roman" w:hAnsi="Times New Roman" w:cs="Times New Roman"/>
          <w:b/>
        </w:rPr>
        <w:t>19</w:t>
      </w:r>
      <w:r>
        <w:rPr>
          <w:rFonts w:ascii="Times New Roman" w:hAnsi="Times New Roman" w:cs="Times New Roman"/>
        </w:rPr>
        <w:t>:</w:t>
      </w:r>
      <w:r w:rsidRPr="0014359D">
        <w:rPr>
          <w:rFonts w:ascii="Times New Roman" w:hAnsi="Times New Roman" w:cs="Times New Roman"/>
        </w:rPr>
        <w:t xml:space="preserve"> 1091-1095</w:t>
      </w:r>
    </w:p>
    <w:p w14:paraId="5D6FEFE8" w14:textId="77777777" w:rsidR="00B952F9" w:rsidRPr="0014359D" w:rsidRDefault="00B952F9" w:rsidP="00B952F9">
      <w:pPr>
        <w:spacing w:after="0" w:line="240" w:lineRule="auto"/>
        <w:ind w:left="288" w:hanging="288"/>
        <w:jc w:val="both"/>
        <w:rPr>
          <w:rFonts w:ascii="Times New Roman" w:hAnsi="Times New Roman" w:cs="Times New Roman"/>
          <w:lang w:val="en-US"/>
        </w:rPr>
      </w:pPr>
      <w:r w:rsidRPr="0014359D">
        <w:rPr>
          <w:rFonts w:ascii="Times New Roman" w:hAnsi="Times New Roman" w:cs="Times New Roman"/>
          <w:lang w:val="en-US"/>
        </w:rPr>
        <w:t>Al-Tuwaijri, S.A., Chr</w:t>
      </w:r>
      <w:r>
        <w:rPr>
          <w:rFonts w:ascii="Times New Roman" w:hAnsi="Times New Roman" w:cs="Times New Roman"/>
          <w:lang w:val="en-US"/>
        </w:rPr>
        <w:t>istensen, T.E., and Hughes, K.E. 2004</w:t>
      </w:r>
      <w:r w:rsidRPr="0014359D">
        <w:rPr>
          <w:rFonts w:ascii="Times New Roman" w:hAnsi="Times New Roman" w:cs="Times New Roman"/>
          <w:lang w:val="en-US"/>
        </w:rPr>
        <w:t xml:space="preserve">. The relations among environmental disclosure, environmental performance, and economic performance: A simultaneous equations approach. </w:t>
      </w:r>
      <w:r w:rsidRPr="0014359D">
        <w:rPr>
          <w:rFonts w:ascii="Times New Roman" w:hAnsi="Times New Roman" w:cs="Times New Roman"/>
          <w:i/>
          <w:lang w:val="en-US"/>
        </w:rPr>
        <w:t>Accounting Organizations and Society</w:t>
      </w:r>
      <w:r w:rsidRPr="0014359D">
        <w:rPr>
          <w:rFonts w:ascii="Times New Roman" w:hAnsi="Times New Roman" w:cs="Times New Roman"/>
          <w:lang w:val="en-US"/>
        </w:rPr>
        <w:t xml:space="preserve"> </w:t>
      </w:r>
      <w:r w:rsidRPr="00F05AD7">
        <w:rPr>
          <w:rFonts w:ascii="Times New Roman" w:hAnsi="Times New Roman" w:cs="Times New Roman"/>
          <w:b/>
          <w:lang w:val="en-US"/>
        </w:rPr>
        <w:t>29</w:t>
      </w:r>
      <w:r>
        <w:rPr>
          <w:rFonts w:ascii="Times New Roman" w:hAnsi="Times New Roman" w:cs="Times New Roman"/>
          <w:lang w:val="en-US"/>
        </w:rPr>
        <w:t>:</w:t>
      </w:r>
      <w:r w:rsidRPr="0014359D">
        <w:rPr>
          <w:rFonts w:ascii="Times New Roman" w:hAnsi="Times New Roman" w:cs="Times New Roman"/>
          <w:lang w:val="en-US"/>
        </w:rPr>
        <w:t xml:space="preserve"> 447–471</w:t>
      </w:r>
      <w:r w:rsidRPr="0014359D">
        <w:rPr>
          <w:rFonts w:ascii="Times New Roman" w:hAnsi="Times New Roman" w:cs="Times New Roman"/>
          <w:color w:val="000000"/>
          <w:lang w:val="en-US"/>
        </w:rPr>
        <w:t>.</w:t>
      </w:r>
    </w:p>
    <w:p w14:paraId="2A538235" w14:textId="77777777" w:rsidR="00B952F9" w:rsidRPr="0014359D" w:rsidRDefault="00B952F9" w:rsidP="00B952F9">
      <w:pPr>
        <w:spacing w:after="0" w:line="240" w:lineRule="auto"/>
        <w:ind w:left="288" w:hanging="288"/>
        <w:jc w:val="both"/>
        <w:rPr>
          <w:rFonts w:ascii="Times New Roman" w:hAnsi="Times New Roman" w:cs="Times New Roman"/>
          <w:lang w:val="en-US"/>
        </w:rPr>
      </w:pPr>
      <w:r>
        <w:rPr>
          <w:rFonts w:ascii="Times New Roman" w:hAnsi="Times New Roman" w:cs="Times New Roman"/>
        </w:rPr>
        <w:t>Arellano, M. and Bond, S. 1991</w:t>
      </w:r>
      <w:r w:rsidRPr="0014359D">
        <w:rPr>
          <w:rFonts w:ascii="Times New Roman" w:hAnsi="Times New Roman" w:cs="Times New Roman"/>
        </w:rPr>
        <w:t xml:space="preserve">. Some tests of specification for panel data: Monte Carlo evidence and an application to employment equations. </w:t>
      </w:r>
      <w:r w:rsidRPr="009F065E">
        <w:rPr>
          <w:rFonts w:ascii="Times New Roman" w:hAnsi="Times New Roman" w:cs="Times New Roman"/>
          <w:i/>
          <w:iCs/>
        </w:rPr>
        <w:t xml:space="preserve">Review of Economic Studies </w:t>
      </w:r>
      <w:r w:rsidRPr="004B6B79">
        <w:rPr>
          <w:rFonts w:ascii="Times New Roman" w:hAnsi="Times New Roman" w:cs="Times New Roman"/>
          <w:b/>
        </w:rPr>
        <w:t>58</w:t>
      </w:r>
      <w:r>
        <w:rPr>
          <w:rFonts w:ascii="Times New Roman" w:hAnsi="Times New Roman" w:cs="Times New Roman"/>
        </w:rPr>
        <w:t>:</w:t>
      </w:r>
      <w:r w:rsidRPr="009F065E">
        <w:rPr>
          <w:rFonts w:ascii="Times New Roman" w:hAnsi="Times New Roman" w:cs="Times New Roman"/>
        </w:rPr>
        <w:t xml:space="preserve"> 277 – 297.</w:t>
      </w:r>
    </w:p>
    <w:p w14:paraId="60B6E672" w14:textId="77777777" w:rsidR="00B952F9" w:rsidRPr="0014359D" w:rsidRDefault="00B952F9" w:rsidP="00B952F9">
      <w:pPr>
        <w:spacing w:after="0" w:line="240" w:lineRule="auto"/>
        <w:ind w:left="288" w:hanging="288"/>
        <w:jc w:val="both"/>
        <w:rPr>
          <w:rFonts w:ascii="Times New Roman" w:hAnsi="Times New Roman" w:cs="Times New Roman"/>
          <w:color w:val="000000" w:themeColor="text1"/>
        </w:rPr>
      </w:pPr>
      <w:r w:rsidRPr="009F065E">
        <w:rPr>
          <w:rFonts w:ascii="Times New Roman" w:hAnsi="Times New Roman" w:cs="Times New Roman"/>
        </w:rPr>
        <w:t>Arimura, T.H., Darnall, N.,</w:t>
      </w:r>
      <w:r>
        <w:rPr>
          <w:rFonts w:ascii="Times New Roman" w:hAnsi="Times New Roman" w:cs="Times New Roman"/>
        </w:rPr>
        <w:t xml:space="preserve"> Ganguli, R., and Katayama, H. 2016</w:t>
      </w:r>
      <w:r w:rsidRPr="009F065E">
        <w:rPr>
          <w:rFonts w:ascii="Times New Roman" w:hAnsi="Times New Roman" w:cs="Times New Roman"/>
        </w:rPr>
        <w:t xml:space="preserve">. The effect of ISO 14001 on environmental performance: Resolving equivocal findings. </w:t>
      </w:r>
      <w:r w:rsidRPr="009F065E">
        <w:rPr>
          <w:rFonts w:ascii="Times New Roman" w:hAnsi="Times New Roman" w:cs="Times New Roman"/>
          <w:i/>
        </w:rPr>
        <w:t>Journal of Environmental Management</w:t>
      </w:r>
      <w:r w:rsidRPr="009F065E">
        <w:rPr>
          <w:rFonts w:ascii="Times New Roman" w:hAnsi="Times New Roman" w:cs="Times New Roman"/>
        </w:rPr>
        <w:t xml:space="preserve"> </w:t>
      </w:r>
      <w:r w:rsidRPr="004B6B79">
        <w:rPr>
          <w:rFonts w:ascii="Times New Roman" w:hAnsi="Times New Roman" w:cs="Times New Roman"/>
          <w:b/>
        </w:rPr>
        <w:t>166</w:t>
      </w:r>
      <w:r>
        <w:rPr>
          <w:rFonts w:ascii="Times New Roman" w:hAnsi="Times New Roman" w:cs="Times New Roman"/>
        </w:rPr>
        <w:t>:</w:t>
      </w:r>
      <w:r w:rsidRPr="009F065E">
        <w:rPr>
          <w:rFonts w:ascii="Times New Roman" w:hAnsi="Times New Roman" w:cs="Times New Roman"/>
        </w:rPr>
        <w:t xml:space="preserve"> 556-566</w:t>
      </w:r>
    </w:p>
    <w:p w14:paraId="63B39048" w14:textId="77777777" w:rsidR="00B952F9" w:rsidRPr="0014359D" w:rsidRDefault="00B952F9" w:rsidP="00B952F9">
      <w:pPr>
        <w:spacing w:after="0" w:line="240" w:lineRule="auto"/>
        <w:ind w:left="288" w:hanging="288"/>
        <w:jc w:val="both"/>
        <w:rPr>
          <w:rFonts w:ascii="Times New Roman" w:hAnsi="Times New Roman" w:cs="Times New Roman"/>
        </w:rPr>
      </w:pPr>
      <w:r w:rsidRPr="009F065E">
        <w:rPr>
          <w:rFonts w:ascii="Times New Roman" w:hAnsi="Times New Roman" w:cs="Times New Roman"/>
        </w:rPr>
        <w:lastRenderedPageBreak/>
        <w:t xml:space="preserve">Bassi, </w:t>
      </w:r>
      <w:r>
        <w:rPr>
          <w:rFonts w:ascii="Times New Roman" w:hAnsi="Times New Roman" w:cs="Times New Roman"/>
        </w:rPr>
        <w:t>S., Ward, B. and Zenghelis, D. 2013</w:t>
      </w:r>
      <w:r w:rsidRPr="009F065E">
        <w:rPr>
          <w:rFonts w:ascii="Times New Roman" w:hAnsi="Times New Roman" w:cs="Times New Roman"/>
        </w:rPr>
        <w:t xml:space="preserve">. The Climate Change Act: Briefing note. </w:t>
      </w:r>
      <w:r w:rsidRPr="009F065E">
        <w:rPr>
          <w:rFonts w:ascii="Times New Roman" w:hAnsi="Times New Roman" w:cs="Times New Roman"/>
          <w:i/>
        </w:rPr>
        <w:t>Grantham Research Institute on Climate Change and the Environment</w:t>
      </w:r>
      <w:r w:rsidRPr="009F065E">
        <w:rPr>
          <w:rFonts w:ascii="Times New Roman" w:hAnsi="Times New Roman" w:cs="Times New Roman"/>
        </w:rPr>
        <w:t xml:space="preserve"> and </w:t>
      </w:r>
      <w:r w:rsidRPr="009F065E">
        <w:rPr>
          <w:rFonts w:ascii="Times New Roman" w:hAnsi="Times New Roman" w:cs="Times New Roman"/>
          <w:i/>
        </w:rPr>
        <w:t>London School of Economics and Political Science</w:t>
      </w:r>
      <w:r w:rsidRPr="009F065E">
        <w:rPr>
          <w:rFonts w:ascii="Times New Roman" w:hAnsi="Times New Roman" w:cs="Times New Roman"/>
        </w:rPr>
        <w:t xml:space="preserve">, London.    </w:t>
      </w:r>
    </w:p>
    <w:p w14:paraId="7AB3176F" w14:textId="272D59B8" w:rsidR="00B952F9" w:rsidRPr="00B952F9" w:rsidRDefault="00B952F9" w:rsidP="00B952F9">
      <w:pPr>
        <w:spacing w:after="0" w:line="240" w:lineRule="auto"/>
        <w:ind w:left="288" w:hanging="288"/>
        <w:jc w:val="both"/>
        <w:rPr>
          <w:rFonts w:ascii="Times New Roman" w:hAnsi="Times New Roman" w:cs="Times New Roman"/>
        </w:rPr>
      </w:pPr>
      <w:bookmarkStart w:id="3" w:name="_Hlk489909476"/>
      <w:r w:rsidRPr="00B952F9">
        <w:rPr>
          <w:rFonts w:ascii="Times New Roman" w:hAnsi="Times New Roman" w:cs="Times New Roman"/>
        </w:rPr>
        <w:t xml:space="preserve">Ben-Amar, W. and McIlkenny, P. 2015. </w:t>
      </w:r>
      <w:bookmarkEnd w:id="3"/>
      <w:r w:rsidRPr="00B952F9">
        <w:rPr>
          <w:rFonts w:ascii="Times New Roman" w:hAnsi="Times New Roman" w:cs="Times New Roman"/>
        </w:rPr>
        <w:t>Board effectiveness and the voluntary disclosure of climate change information</w:t>
      </w:r>
      <w:r w:rsidR="0038529A">
        <w:rPr>
          <w:rFonts w:ascii="Times New Roman" w:hAnsi="Times New Roman" w:cs="Times New Roman"/>
        </w:rPr>
        <w:t>.</w:t>
      </w:r>
      <w:r w:rsidRPr="00B952F9">
        <w:rPr>
          <w:rFonts w:ascii="Times New Roman" w:hAnsi="Times New Roman" w:cs="Times New Roman"/>
        </w:rPr>
        <w:t xml:space="preserve"> </w:t>
      </w:r>
      <w:r w:rsidRPr="0038529A">
        <w:rPr>
          <w:rFonts w:ascii="Times New Roman" w:hAnsi="Times New Roman" w:cs="Times New Roman"/>
          <w:i/>
        </w:rPr>
        <w:t>Business Strategy and the Environment</w:t>
      </w:r>
      <w:r w:rsidRPr="00B952F9">
        <w:rPr>
          <w:rFonts w:ascii="Times New Roman" w:hAnsi="Times New Roman" w:cs="Times New Roman"/>
        </w:rPr>
        <w:t xml:space="preserve"> </w:t>
      </w:r>
      <w:r w:rsidRPr="0038529A">
        <w:rPr>
          <w:rFonts w:ascii="Times New Roman" w:hAnsi="Times New Roman" w:cs="Times New Roman"/>
          <w:b/>
        </w:rPr>
        <w:t>24</w:t>
      </w:r>
      <w:r w:rsidRPr="00B952F9">
        <w:rPr>
          <w:rFonts w:ascii="Times New Roman" w:hAnsi="Times New Roman" w:cs="Times New Roman"/>
        </w:rPr>
        <w:t>, 704–719.</w:t>
      </w:r>
    </w:p>
    <w:p w14:paraId="4396F223" w14:textId="77777777" w:rsidR="00B952F9" w:rsidRPr="0014359D" w:rsidRDefault="00B952F9" w:rsidP="00B952F9">
      <w:pPr>
        <w:spacing w:after="0" w:line="240" w:lineRule="auto"/>
        <w:ind w:left="288" w:hanging="288"/>
        <w:jc w:val="both"/>
        <w:rPr>
          <w:rFonts w:ascii="Times New Roman" w:hAnsi="Times New Roman" w:cs="Times New Roman"/>
          <w:lang w:val="en-US"/>
        </w:rPr>
      </w:pPr>
      <w:r w:rsidRPr="009F065E">
        <w:rPr>
          <w:rFonts w:ascii="Times New Roman" w:hAnsi="Times New Roman" w:cs="Times New Roman"/>
          <w:lang w:val="en-US"/>
        </w:rPr>
        <w:t>Bernard, S</w:t>
      </w:r>
      <w:r>
        <w:rPr>
          <w:rFonts w:ascii="Times New Roman" w:hAnsi="Times New Roman" w:cs="Times New Roman"/>
          <w:lang w:val="en-US"/>
        </w:rPr>
        <w:t>. Abdelgadir, S. and Belkhir, L. 2015.</w:t>
      </w:r>
      <w:r w:rsidRPr="009F065E">
        <w:rPr>
          <w:rFonts w:ascii="Times New Roman" w:hAnsi="Times New Roman" w:cs="Times New Roman"/>
          <w:lang w:val="en-US"/>
        </w:rPr>
        <w:t xml:space="preserve"> Does GRI reporting impact environmental sustainability? An industry-specific analysis of CO2 emissions performance between reporting and non-reporting companies. </w:t>
      </w:r>
      <w:r w:rsidRPr="009F065E">
        <w:rPr>
          <w:rFonts w:ascii="Times New Roman" w:hAnsi="Times New Roman" w:cs="Times New Roman"/>
          <w:i/>
          <w:lang w:val="en-US"/>
        </w:rPr>
        <w:t>Journal of Sustainable Development</w:t>
      </w:r>
      <w:r>
        <w:rPr>
          <w:rFonts w:ascii="Times New Roman" w:hAnsi="Times New Roman" w:cs="Times New Roman"/>
          <w:lang w:val="en-US"/>
        </w:rPr>
        <w:t xml:space="preserve"> </w:t>
      </w:r>
      <w:r w:rsidRPr="00967F39">
        <w:rPr>
          <w:rFonts w:ascii="Times New Roman" w:hAnsi="Times New Roman" w:cs="Times New Roman"/>
          <w:b/>
          <w:lang w:val="en-US"/>
        </w:rPr>
        <w:t>8(9)</w:t>
      </w:r>
      <w:r>
        <w:rPr>
          <w:rFonts w:ascii="Times New Roman" w:hAnsi="Times New Roman" w:cs="Times New Roman"/>
          <w:lang w:val="en-US"/>
        </w:rPr>
        <w:t>:</w:t>
      </w:r>
      <w:r w:rsidRPr="009F065E">
        <w:rPr>
          <w:rFonts w:ascii="Times New Roman" w:hAnsi="Times New Roman" w:cs="Times New Roman"/>
          <w:lang w:val="en-US"/>
        </w:rPr>
        <w:t xml:space="preserve"> 190-205.</w:t>
      </w:r>
    </w:p>
    <w:p w14:paraId="10D40973" w14:textId="77777777" w:rsidR="00B952F9" w:rsidRPr="0014359D" w:rsidRDefault="00B952F9" w:rsidP="00B952F9">
      <w:pPr>
        <w:spacing w:after="0" w:line="240" w:lineRule="auto"/>
        <w:ind w:left="288" w:hanging="288"/>
        <w:jc w:val="both"/>
        <w:rPr>
          <w:rFonts w:ascii="Times New Roman" w:hAnsi="Times New Roman" w:cs="Times New Roman"/>
          <w:color w:val="000000" w:themeColor="text1"/>
          <w:lang w:val="en-US"/>
        </w:rPr>
      </w:pPr>
      <w:r w:rsidRPr="009F065E">
        <w:rPr>
          <w:rFonts w:ascii="Times New Roman" w:hAnsi="Times New Roman" w:cs="Times New Roman"/>
          <w:color w:val="000000" w:themeColor="text1"/>
          <w:lang w:val="en-US"/>
        </w:rPr>
        <w:t>Be</w:t>
      </w:r>
      <w:r>
        <w:rPr>
          <w:rFonts w:ascii="Times New Roman" w:hAnsi="Times New Roman" w:cs="Times New Roman"/>
          <w:color w:val="000000" w:themeColor="text1"/>
          <w:lang w:val="en-US"/>
        </w:rPr>
        <w:t>rrone, P. and Gomez-Mejia, L. 2009</w:t>
      </w:r>
      <w:r w:rsidRPr="009F065E">
        <w:rPr>
          <w:rFonts w:ascii="Times New Roman" w:hAnsi="Times New Roman" w:cs="Times New Roman"/>
          <w:color w:val="000000" w:themeColor="text1"/>
          <w:lang w:val="en-US"/>
        </w:rPr>
        <w:t xml:space="preserve">. Environmental performance and executive compensation: an integrated agency-institutional perspective. </w:t>
      </w:r>
      <w:r w:rsidRPr="009F065E">
        <w:rPr>
          <w:rFonts w:ascii="Times New Roman" w:hAnsi="Times New Roman" w:cs="Times New Roman"/>
          <w:i/>
          <w:color w:val="000000" w:themeColor="text1"/>
          <w:lang w:val="en-US"/>
        </w:rPr>
        <w:t>Academy of Management Journal</w:t>
      </w:r>
      <w:r>
        <w:rPr>
          <w:rFonts w:ascii="Times New Roman" w:hAnsi="Times New Roman" w:cs="Times New Roman"/>
          <w:color w:val="000000" w:themeColor="text1"/>
          <w:lang w:val="en-US"/>
        </w:rPr>
        <w:t xml:space="preserve"> </w:t>
      </w:r>
      <w:r w:rsidRPr="00967F39">
        <w:rPr>
          <w:rFonts w:ascii="Times New Roman" w:hAnsi="Times New Roman" w:cs="Times New Roman"/>
          <w:b/>
          <w:color w:val="000000" w:themeColor="text1"/>
          <w:lang w:val="en-US"/>
        </w:rPr>
        <w:t>52(1)</w:t>
      </w:r>
      <w:r>
        <w:rPr>
          <w:rFonts w:ascii="Times New Roman" w:hAnsi="Times New Roman" w:cs="Times New Roman"/>
          <w:color w:val="000000" w:themeColor="text1"/>
          <w:lang w:val="en-US"/>
        </w:rPr>
        <w:t>:</w:t>
      </w:r>
      <w:r w:rsidRPr="009F065E">
        <w:rPr>
          <w:rFonts w:ascii="Times New Roman" w:hAnsi="Times New Roman" w:cs="Times New Roman"/>
          <w:color w:val="000000" w:themeColor="text1"/>
          <w:lang w:val="en-US"/>
        </w:rPr>
        <w:t xml:space="preserve"> 103–126.</w:t>
      </w:r>
    </w:p>
    <w:p w14:paraId="317B475C" w14:textId="77777777" w:rsidR="00B952F9" w:rsidRPr="0014359D" w:rsidRDefault="00B952F9" w:rsidP="00B952F9">
      <w:pPr>
        <w:spacing w:after="0" w:line="240" w:lineRule="auto"/>
        <w:ind w:left="288" w:hanging="288"/>
        <w:jc w:val="both"/>
        <w:rPr>
          <w:rFonts w:ascii="Times New Roman" w:hAnsi="Times New Roman" w:cs="Times New Roman"/>
        </w:rPr>
      </w:pPr>
      <w:r>
        <w:rPr>
          <w:rFonts w:ascii="Times New Roman" w:hAnsi="Times New Roman" w:cs="Times New Roman"/>
        </w:rPr>
        <w:t>Boiral, O. 2014</w:t>
      </w:r>
      <w:r w:rsidRPr="009F065E">
        <w:rPr>
          <w:rFonts w:ascii="Times New Roman" w:hAnsi="Times New Roman" w:cs="Times New Roman"/>
        </w:rPr>
        <w:t xml:space="preserve">. Accounting for the unaccountable: Biodiversity reporting and impression management. </w:t>
      </w:r>
      <w:r w:rsidRPr="009F065E">
        <w:rPr>
          <w:rFonts w:ascii="Times New Roman" w:hAnsi="Times New Roman" w:cs="Times New Roman"/>
          <w:i/>
        </w:rPr>
        <w:t>Journal of Business Ethics</w:t>
      </w:r>
      <w:r w:rsidRPr="009F065E">
        <w:rPr>
          <w:rFonts w:ascii="Times New Roman" w:hAnsi="Times New Roman" w:cs="Times New Roman"/>
        </w:rPr>
        <w:t>, Forthcoming. DOI 10.1007/s10551-014-2497-9.</w:t>
      </w:r>
    </w:p>
    <w:p w14:paraId="616D724E" w14:textId="77777777" w:rsidR="00B952F9" w:rsidRPr="0014359D" w:rsidRDefault="00B952F9" w:rsidP="00B952F9">
      <w:pPr>
        <w:spacing w:after="0" w:line="240" w:lineRule="auto"/>
        <w:ind w:left="288" w:hanging="288"/>
        <w:jc w:val="both"/>
        <w:rPr>
          <w:rFonts w:ascii="Times New Roman" w:hAnsi="Times New Roman" w:cs="Times New Roman"/>
        </w:rPr>
      </w:pPr>
      <w:r>
        <w:rPr>
          <w:rFonts w:ascii="Times New Roman" w:hAnsi="Times New Roman" w:cs="Times New Roman"/>
        </w:rPr>
        <w:t>Boiral, O. and Henri, J-F. 2012</w:t>
      </w:r>
      <w:r w:rsidRPr="009F065E">
        <w:rPr>
          <w:rFonts w:ascii="Times New Roman" w:hAnsi="Times New Roman" w:cs="Times New Roman"/>
        </w:rPr>
        <w:t xml:space="preserve">. Modelling the impact of ISO 14001 on environmental performance: A comparative approach. </w:t>
      </w:r>
      <w:r w:rsidRPr="009F065E">
        <w:rPr>
          <w:rFonts w:ascii="Times New Roman" w:hAnsi="Times New Roman" w:cs="Times New Roman"/>
          <w:i/>
        </w:rPr>
        <w:t>Journal of Environmental Management</w:t>
      </w:r>
      <w:r>
        <w:rPr>
          <w:rFonts w:ascii="Times New Roman" w:hAnsi="Times New Roman" w:cs="Times New Roman"/>
        </w:rPr>
        <w:t xml:space="preserve"> </w:t>
      </w:r>
      <w:r w:rsidRPr="00967F39">
        <w:rPr>
          <w:rFonts w:ascii="Times New Roman" w:hAnsi="Times New Roman" w:cs="Times New Roman"/>
          <w:b/>
        </w:rPr>
        <w:t>99</w:t>
      </w:r>
      <w:r>
        <w:rPr>
          <w:rFonts w:ascii="Times New Roman" w:hAnsi="Times New Roman" w:cs="Times New Roman"/>
        </w:rPr>
        <w:t xml:space="preserve">: </w:t>
      </w:r>
      <w:r w:rsidRPr="009F065E">
        <w:rPr>
          <w:rFonts w:ascii="Times New Roman" w:hAnsi="Times New Roman" w:cs="Times New Roman"/>
        </w:rPr>
        <w:t>84-97.</w:t>
      </w:r>
    </w:p>
    <w:p w14:paraId="3EC70B07" w14:textId="77777777" w:rsidR="00B952F9" w:rsidRPr="0014359D" w:rsidRDefault="00B952F9" w:rsidP="00B952F9">
      <w:pPr>
        <w:spacing w:after="0" w:line="240" w:lineRule="auto"/>
        <w:ind w:left="288" w:hanging="288"/>
        <w:jc w:val="both"/>
        <w:rPr>
          <w:rFonts w:ascii="Times New Roman" w:hAnsi="Times New Roman" w:cs="Times New Roman"/>
          <w:lang w:val="en-US"/>
        </w:rPr>
      </w:pPr>
      <w:r>
        <w:rPr>
          <w:rFonts w:ascii="Times New Roman" w:hAnsi="Times New Roman" w:cs="Times New Roman"/>
        </w:rPr>
        <w:t>Bowen, A., and Rydge, J., 2011</w:t>
      </w:r>
      <w:r w:rsidRPr="009F065E">
        <w:rPr>
          <w:rFonts w:ascii="Times New Roman" w:hAnsi="Times New Roman" w:cs="Times New Roman"/>
        </w:rPr>
        <w:t xml:space="preserve">. </w:t>
      </w:r>
      <w:r w:rsidRPr="009F065E">
        <w:rPr>
          <w:rFonts w:ascii="Times New Roman" w:hAnsi="Times New Roman" w:cs="Times New Roman"/>
          <w:i/>
          <w:iCs/>
        </w:rPr>
        <w:t xml:space="preserve">Policy paper: Climate change policy in the UK. </w:t>
      </w:r>
      <w:r w:rsidRPr="009F065E">
        <w:rPr>
          <w:rFonts w:ascii="Times New Roman" w:hAnsi="Times New Roman" w:cs="Times New Roman"/>
        </w:rPr>
        <w:t xml:space="preserve">London: Grantham Research Institute on Climate Change </w:t>
      </w:r>
      <w:r w:rsidRPr="009F065E">
        <w:rPr>
          <w:rFonts w:ascii="Times New Roman" w:hAnsi="Times New Roman" w:cs="Times New Roman"/>
        </w:rPr>
        <w:lastRenderedPageBreak/>
        <w:t xml:space="preserve">and the Environment, London School of Economics and Political Science. Available at: </w:t>
      </w:r>
      <w:hyperlink r:id="rId24" w:history="1">
        <w:r w:rsidRPr="009F065E">
          <w:rPr>
            <w:rStyle w:val="Hyperlink"/>
            <w:rFonts w:ascii="Times New Roman" w:hAnsi="Times New Roman" w:cs="Times New Roman"/>
          </w:rPr>
          <w:t>http://www2.lse.ac.uk/GranthamInstitute/publications/Policy/docs/PP_climate-change-policy-uk.pdf</w:t>
        </w:r>
      </w:hyperlink>
      <w:r w:rsidRPr="009F065E">
        <w:rPr>
          <w:rFonts w:ascii="Times New Roman" w:hAnsi="Times New Roman" w:cs="Times New Roman"/>
        </w:rPr>
        <w:t xml:space="preserve"> </w:t>
      </w:r>
    </w:p>
    <w:p w14:paraId="74FEEC92" w14:textId="77777777" w:rsidR="00B952F9" w:rsidRPr="0014359D" w:rsidRDefault="00B952F9" w:rsidP="00B952F9">
      <w:pPr>
        <w:spacing w:after="0" w:line="240" w:lineRule="auto"/>
        <w:ind w:left="288" w:hanging="288"/>
        <w:jc w:val="both"/>
        <w:rPr>
          <w:rFonts w:ascii="Times New Roman" w:hAnsi="Times New Roman" w:cs="Times New Roman"/>
          <w:lang w:val="en-US"/>
        </w:rPr>
      </w:pPr>
      <w:r>
        <w:rPr>
          <w:rFonts w:ascii="Times New Roman" w:hAnsi="Times New Roman" w:cs="Times New Roman"/>
          <w:lang w:val="de-DE"/>
        </w:rPr>
        <w:t>Busch, T. and Hoffmann, V. H. 2011</w:t>
      </w:r>
      <w:r w:rsidRPr="00996327">
        <w:rPr>
          <w:rFonts w:ascii="Times New Roman" w:hAnsi="Times New Roman" w:cs="Times New Roman"/>
          <w:lang w:val="de-DE"/>
        </w:rPr>
        <w:t xml:space="preserve">. </w:t>
      </w:r>
      <w:r w:rsidRPr="009F065E">
        <w:rPr>
          <w:rFonts w:ascii="Times New Roman" w:hAnsi="Times New Roman" w:cs="Times New Roman"/>
          <w:bCs/>
          <w:lang w:val="en-US"/>
        </w:rPr>
        <w:t xml:space="preserve">How hot is your bottom line? Linking carbon and financial performance. </w:t>
      </w:r>
      <w:r w:rsidRPr="009F065E">
        <w:rPr>
          <w:rFonts w:ascii="Times New Roman" w:hAnsi="Times New Roman" w:cs="Times New Roman"/>
          <w:i/>
          <w:lang w:val="en-US"/>
        </w:rPr>
        <w:t>Business &amp; Society</w:t>
      </w:r>
      <w:r w:rsidRPr="009F065E">
        <w:rPr>
          <w:rFonts w:ascii="Times New Roman" w:hAnsi="Times New Roman" w:cs="Times New Roman"/>
          <w:lang w:val="en-US"/>
        </w:rPr>
        <w:t xml:space="preserve"> </w:t>
      </w:r>
      <w:r w:rsidRPr="00967F39">
        <w:rPr>
          <w:rFonts w:ascii="Times New Roman" w:hAnsi="Times New Roman" w:cs="Times New Roman"/>
          <w:b/>
          <w:lang w:val="en-US"/>
        </w:rPr>
        <w:t>50(2)</w:t>
      </w:r>
      <w:r>
        <w:rPr>
          <w:rFonts w:ascii="Times New Roman" w:hAnsi="Times New Roman" w:cs="Times New Roman"/>
          <w:lang w:val="en-US"/>
        </w:rPr>
        <w:t>:</w:t>
      </w:r>
      <w:r w:rsidRPr="009F065E">
        <w:rPr>
          <w:rFonts w:ascii="Times New Roman" w:hAnsi="Times New Roman" w:cs="Times New Roman"/>
          <w:lang w:val="en-US"/>
        </w:rPr>
        <w:t xml:space="preserve"> 233–265.</w:t>
      </w:r>
    </w:p>
    <w:p w14:paraId="72C6A5DB" w14:textId="77777777" w:rsidR="00B952F9" w:rsidRPr="0014359D" w:rsidRDefault="00B952F9" w:rsidP="00B952F9">
      <w:pPr>
        <w:spacing w:after="0" w:line="240" w:lineRule="auto"/>
        <w:ind w:left="288" w:hanging="288"/>
        <w:jc w:val="both"/>
        <w:rPr>
          <w:rFonts w:ascii="Times New Roman" w:hAnsi="Times New Roman" w:cs="Times New Roman"/>
          <w:color w:val="000000" w:themeColor="text1"/>
          <w:lang w:val="en-US"/>
        </w:rPr>
      </w:pPr>
      <w:r w:rsidRPr="009F065E">
        <w:rPr>
          <w:rFonts w:ascii="Times New Roman" w:hAnsi="Times New Roman" w:cs="Times New Roman"/>
          <w:color w:val="000000" w:themeColor="text1"/>
          <w:lang w:val="en-US"/>
        </w:rPr>
        <w:t xml:space="preserve">Campbell, K., Johnston, </w:t>
      </w:r>
      <w:r>
        <w:rPr>
          <w:rFonts w:ascii="Times New Roman" w:hAnsi="Times New Roman" w:cs="Times New Roman"/>
          <w:color w:val="000000" w:themeColor="text1"/>
          <w:lang w:val="en-US"/>
        </w:rPr>
        <w:t>D., Sefcik, S. E. and Soderstrom, N. S. 2007</w:t>
      </w:r>
      <w:r w:rsidRPr="009F065E">
        <w:rPr>
          <w:rFonts w:ascii="Times New Roman" w:hAnsi="Times New Roman" w:cs="Times New Roman"/>
          <w:color w:val="000000" w:themeColor="text1"/>
          <w:lang w:val="en-US"/>
        </w:rPr>
        <w:t xml:space="preserve">. Executive compensation and nonfinancial risk: An empirical examination. </w:t>
      </w:r>
      <w:r w:rsidRPr="009F065E">
        <w:rPr>
          <w:rFonts w:ascii="Times New Roman" w:hAnsi="Times New Roman" w:cs="Times New Roman"/>
          <w:i/>
          <w:iCs/>
          <w:color w:val="000000" w:themeColor="text1"/>
          <w:lang w:val="en-US"/>
        </w:rPr>
        <w:t>Journal of Accounting and Public Policy</w:t>
      </w:r>
      <w:r w:rsidRPr="009F065E">
        <w:rPr>
          <w:rFonts w:ascii="Times New Roman" w:hAnsi="Times New Roman" w:cs="Times New Roman"/>
          <w:color w:val="000000" w:themeColor="text1"/>
          <w:lang w:val="en-US"/>
        </w:rPr>
        <w:t xml:space="preserve"> </w:t>
      </w:r>
      <w:r w:rsidRPr="00967F39">
        <w:rPr>
          <w:rFonts w:ascii="Times New Roman" w:hAnsi="Times New Roman" w:cs="Times New Roman"/>
          <w:b/>
          <w:color w:val="000000" w:themeColor="text1"/>
          <w:lang w:val="en-US"/>
        </w:rPr>
        <w:t>26</w:t>
      </w:r>
      <w:r>
        <w:rPr>
          <w:rFonts w:ascii="Times New Roman" w:hAnsi="Times New Roman" w:cs="Times New Roman"/>
          <w:color w:val="000000" w:themeColor="text1"/>
          <w:lang w:val="en-US"/>
        </w:rPr>
        <w:t>:</w:t>
      </w:r>
      <w:r w:rsidRPr="009F065E">
        <w:rPr>
          <w:rFonts w:ascii="Times New Roman" w:hAnsi="Times New Roman" w:cs="Times New Roman"/>
          <w:color w:val="000000" w:themeColor="text1"/>
          <w:lang w:val="en-US"/>
        </w:rPr>
        <w:t xml:space="preserve"> 436–462.</w:t>
      </w:r>
    </w:p>
    <w:p w14:paraId="49D5B679" w14:textId="77777777" w:rsidR="00B952F9" w:rsidRPr="0014359D" w:rsidRDefault="00B952F9" w:rsidP="00B952F9">
      <w:pPr>
        <w:spacing w:after="0" w:line="240" w:lineRule="auto"/>
        <w:ind w:left="288" w:hanging="288"/>
        <w:jc w:val="both"/>
        <w:rPr>
          <w:rFonts w:ascii="Times New Roman" w:hAnsi="Times New Roman" w:cs="Times New Roman"/>
        </w:rPr>
      </w:pPr>
      <w:r>
        <w:rPr>
          <w:rFonts w:ascii="Times New Roman" w:hAnsi="Times New Roman" w:cs="Times New Roman"/>
        </w:rPr>
        <w:t>CCC. 2013.</w:t>
      </w:r>
      <w:r w:rsidRPr="009F065E">
        <w:rPr>
          <w:rFonts w:ascii="Times New Roman" w:hAnsi="Times New Roman" w:cs="Times New Roman"/>
        </w:rPr>
        <w:t>. Meeting Carbon Budgets: 2013 Progress Report to Parliament. London: Committee on Climate Change.</w:t>
      </w:r>
    </w:p>
    <w:p w14:paraId="26C619CC" w14:textId="77777777" w:rsidR="00B952F9" w:rsidRPr="0014359D" w:rsidRDefault="00B952F9" w:rsidP="00B952F9">
      <w:pPr>
        <w:spacing w:after="0" w:line="240" w:lineRule="auto"/>
        <w:ind w:left="288" w:hanging="288"/>
        <w:jc w:val="both"/>
        <w:rPr>
          <w:rFonts w:ascii="Times New Roman" w:hAnsi="Times New Roman" w:cs="Times New Roman"/>
        </w:rPr>
      </w:pPr>
      <w:r>
        <w:rPr>
          <w:rFonts w:ascii="Times New Roman" w:hAnsi="Times New Roman" w:cs="Times New Roman"/>
        </w:rPr>
        <w:t>CCC. 2014</w:t>
      </w:r>
      <w:r w:rsidRPr="009F065E">
        <w:rPr>
          <w:rFonts w:ascii="Times New Roman" w:hAnsi="Times New Roman" w:cs="Times New Roman"/>
        </w:rPr>
        <w:t xml:space="preserve">. Meeting Carbon Budgets: 2014 Progress Report to Parliament. London: Committee on Climate Change. </w:t>
      </w:r>
    </w:p>
    <w:p w14:paraId="18D878C9" w14:textId="77777777" w:rsidR="00B952F9" w:rsidRPr="0014359D" w:rsidRDefault="00B952F9" w:rsidP="00B952F9">
      <w:pPr>
        <w:spacing w:after="0" w:line="240" w:lineRule="auto"/>
        <w:ind w:left="288" w:hanging="288"/>
        <w:jc w:val="both"/>
        <w:rPr>
          <w:rFonts w:ascii="Times New Roman" w:hAnsi="Times New Roman" w:cs="Times New Roman"/>
        </w:rPr>
      </w:pPr>
      <w:r>
        <w:rPr>
          <w:rFonts w:ascii="Times New Roman" w:hAnsi="Times New Roman" w:cs="Times New Roman"/>
        </w:rPr>
        <w:t>CCC. 2015</w:t>
      </w:r>
      <w:r w:rsidRPr="009F065E">
        <w:rPr>
          <w:rFonts w:ascii="Times New Roman" w:hAnsi="Times New Roman" w:cs="Times New Roman"/>
        </w:rPr>
        <w:t xml:space="preserve">. Reducing emissions and preparing for climate change: 2015 Progress Report to Parliament. London: Committee on Climate Change. </w:t>
      </w:r>
    </w:p>
    <w:p w14:paraId="439E6A0C" w14:textId="77777777" w:rsidR="00B952F9" w:rsidRPr="00B952F9" w:rsidRDefault="00B952F9" w:rsidP="00B952F9">
      <w:pPr>
        <w:spacing w:after="0" w:line="240" w:lineRule="auto"/>
        <w:ind w:left="288" w:hanging="288"/>
        <w:jc w:val="both"/>
        <w:rPr>
          <w:rFonts w:ascii="Times New Roman" w:hAnsi="Times New Roman" w:cs="Times New Roman"/>
        </w:rPr>
      </w:pPr>
      <w:r w:rsidRPr="00B952F9">
        <w:rPr>
          <w:rFonts w:ascii="Times New Roman" w:hAnsi="Times New Roman" w:cs="Times New Roman"/>
        </w:rPr>
        <w:t xml:space="preserve">Chang, L., Li, W. and Lu, X. 2015. Government Engagement, Environmental Policy, and Environmental Performance: Evidence from the Most Polluting Chinese Listed Firms. </w:t>
      </w:r>
      <w:r w:rsidRPr="00B952F9">
        <w:rPr>
          <w:rFonts w:ascii="Times New Roman" w:hAnsi="Times New Roman" w:cs="Times New Roman"/>
          <w:i/>
        </w:rPr>
        <w:t>Business Strategy and the Environment</w:t>
      </w:r>
      <w:r w:rsidRPr="00B952F9">
        <w:rPr>
          <w:rFonts w:ascii="Times New Roman" w:hAnsi="Times New Roman" w:cs="Times New Roman"/>
        </w:rPr>
        <w:t xml:space="preserve"> </w:t>
      </w:r>
      <w:r w:rsidRPr="00B952F9">
        <w:rPr>
          <w:rFonts w:ascii="Times New Roman" w:hAnsi="Times New Roman" w:cs="Times New Roman"/>
          <w:b/>
        </w:rPr>
        <w:t>24</w:t>
      </w:r>
      <w:r w:rsidRPr="00B952F9">
        <w:rPr>
          <w:rFonts w:ascii="Times New Roman" w:hAnsi="Times New Roman" w:cs="Times New Roman"/>
        </w:rPr>
        <w:t>, 1–19.</w:t>
      </w:r>
    </w:p>
    <w:p w14:paraId="2F571C96" w14:textId="77777777" w:rsidR="00B952F9" w:rsidRPr="0014359D" w:rsidRDefault="00B952F9" w:rsidP="00B952F9">
      <w:pPr>
        <w:spacing w:after="0" w:line="240" w:lineRule="auto"/>
        <w:ind w:left="288" w:hanging="288"/>
        <w:jc w:val="both"/>
        <w:rPr>
          <w:rFonts w:ascii="Times New Roman" w:hAnsi="Times New Roman" w:cs="Times New Roman"/>
          <w:lang w:val="en-US"/>
        </w:rPr>
      </w:pPr>
      <w:r w:rsidRPr="009F065E">
        <w:rPr>
          <w:rFonts w:ascii="Times New Roman" w:hAnsi="Times New Roman" w:cs="Times New Roman"/>
          <w:lang w:val="en-US"/>
        </w:rPr>
        <w:t xml:space="preserve">Clarkson, P., Li, </w:t>
      </w:r>
      <w:r>
        <w:rPr>
          <w:rFonts w:ascii="Times New Roman" w:hAnsi="Times New Roman" w:cs="Times New Roman"/>
          <w:lang w:val="en-US"/>
        </w:rPr>
        <w:t>Y., Richardson, G., Vasvari, F.</w:t>
      </w:r>
      <w:r w:rsidRPr="009F065E">
        <w:rPr>
          <w:rFonts w:ascii="Times New Roman" w:hAnsi="Times New Roman" w:cs="Times New Roman"/>
          <w:lang w:val="en-US"/>
        </w:rPr>
        <w:t xml:space="preserve"> 2008. Revisiting the relation between environmental performance and environmental disclosure: an empirical analysis. </w:t>
      </w:r>
      <w:r w:rsidRPr="009F065E">
        <w:rPr>
          <w:rFonts w:ascii="Times New Roman" w:hAnsi="Times New Roman" w:cs="Times New Roman"/>
          <w:i/>
          <w:lang w:val="en-US"/>
        </w:rPr>
        <w:t>Accounting Organizations and Society</w:t>
      </w:r>
      <w:r>
        <w:rPr>
          <w:rFonts w:ascii="Times New Roman" w:hAnsi="Times New Roman" w:cs="Times New Roman"/>
          <w:lang w:val="en-US"/>
        </w:rPr>
        <w:t xml:space="preserve"> </w:t>
      </w:r>
      <w:r w:rsidRPr="00967F39">
        <w:rPr>
          <w:rFonts w:ascii="Times New Roman" w:hAnsi="Times New Roman" w:cs="Times New Roman"/>
          <w:b/>
          <w:lang w:val="en-US"/>
        </w:rPr>
        <w:t>33(4/5)</w:t>
      </w:r>
      <w:r>
        <w:rPr>
          <w:rFonts w:ascii="Times New Roman" w:hAnsi="Times New Roman" w:cs="Times New Roman"/>
          <w:lang w:val="en-US"/>
        </w:rPr>
        <w:t>:</w:t>
      </w:r>
      <w:r w:rsidRPr="009F065E">
        <w:rPr>
          <w:rFonts w:ascii="Times New Roman" w:hAnsi="Times New Roman" w:cs="Times New Roman"/>
          <w:lang w:val="en-US"/>
        </w:rPr>
        <w:t xml:space="preserve"> 303–327.</w:t>
      </w:r>
    </w:p>
    <w:p w14:paraId="3BF0723F" w14:textId="77777777" w:rsidR="00B952F9" w:rsidRPr="0014359D" w:rsidRDefault="00B952F9" w:rsidP="00B952F9">
      <w:pPr>
        <w:spacing w:after="0" w:line="240" w:lineRule="auto"/>
        <w:ind w:left="288" w:hanging="288"/>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lastRenderedPageBreak/>
        <w:t>Climate Change Act (CCA). 2008</w:t>
      </w:r>
      <w:r w:rsidRPr="009F065E">
        <w:rPr>
          <w:rFonts w:ascii="Times New Roman" w:hAnsi="Times New Roman" w:cs="Times New Roman"/>
          <w:color w:val="000000" w:themeColor="text1"/>
          <w:lang w:val="en-US"/>
        </w:rPr>
        <w:t>. The Climate Change Act 2008. UK Parliament: London, UK.</w:t>
      </w:r>
    </w:p>
    <w:p w14:paraId="125BA6DE" w14:textId="77777777" w:rsidR="00B952F9" w:rsidRPr="0014359D" w:rsidRDefault="00B952F9" w:rsidP="00B952F9">
      <w:pPr>
        <w:spacing w:after="0" w:line="240" w:lineRule="auto"/>
        <w:ind w:left="288" w:hanging="288"/>
        <w:jc w:val="both"/>
        <w:rPr>
          <w:rFonts w:ascii="Times New Roman" w:hAnsi="Times New Roman" w:cs="Times New Roman"/>
          <w:color w:val="000000" w:themeColor="text1"/>
        </w:rPr>
      </w:pPr>
      <w:r>
        <w:rPr>
          <w:rFonts w:ascii="Times New Roman" w:hAnsi="Times New Roman" w:cs="Times New Roman"/>
          <w:color w:val="000000" w:themeColor="text1"/>
        </w:rPr>
        <w:t>Coffey, B. S., and Wang, J. 1998</w:t>
      </w:r>
      <w:r w:rsidRPr="009F065E">
        <w:rPr>
          <w:rFonts w:ascii="Times New Roman" w:hAnsi="Times New Roman" w:cs="Times New Roman"/>
          <w:color w:val="000000" w:themeColor="text1"/>
        </w:rPr>
        <w:t xml:space="preserve">. Board diversity and managerial control as predictors of corporate social performance. </w:t>
      </w:r>
      <w:r w:rsidRPr="009F065E">
        <w:rPr>
          <w:rFonts w:ascii="Times New Roman" w:hAnsi="Times New Roman" w:cs="Times New Roman"/>
          <w:i/>
          <w:color w:val="000000" w:themeColor="text1"/>
        </w:rPr>
        <w:t>Journal of Business Ethics</w:t>
      </w:r>
      <w:r w:rsidRPr="009F065E">
        <w:rPr>
          <w:rFonts w:ascii="Times New Roman" w:hAnsi="Times New Roman" w:cs="Times New Roman"/>
          <w:color w:val="000000" w:themeColor="text1"/>
        </w:rPr>
        <w:t xml:space="preserve"> </w:t>
      </w:r>
      <w:r w:rsidRPr="00967F39">
        <w:rPr>
          <w:rFonts w:ascii="Times New Roman" w:hAnsi="Times New Roman" w:cs="Times New Roman"/>
          <w:b/>
          <w:color w:val="000000" w:themeColor="text1"/>
        </w:rPr>
        <w:t>17(14)</w:t>
      </w:r>
      <w:r>
        <w:rPr>
          <w:rFonts w:ascii="Times New Roman" w:hAnsi="Times New Roman" w:cs="Times New Roman"/>
          <w:color w:val="000000" w:themeColor="text1"/>
        </w:rPr>
        <w:t>:</w:t>
      </w:r>
      <w:r w:rsidRPr="009F065E">
        <w:rPr>
          <w:rFonts w:ascii="Times New Roman" w:hAnsi="Times New Roman" w:cs="Times New Roman"/>
          <w:color w:val="000000" w:themeColor="text1"/>
        </w:rPr>
        <w:t xml:space="preserve"> 1595–1603.</w:t>
      </w:r>
    </w:p>
    <w:p w14:paraId="611D4D2A" w14:textId="77777777" w:rsidR="00B952F9" w:rsidRPr="0014359D" w:rsidRDefault="00B952F9" w:rsidP="00B952F9">
      <w:pPr>
        <w:spacing w:after="0" w:line="240" w:lineRule="auto"/>
        <w:ind w:left="288" w:hanging="288"/>
        <w:jc w:val="both"/>
        <w:rPr>
          <w:rFonts w:ascii="Times New Roman" w:hAnsi="Times New Roman" w:cs="Times New Roman"/>
          <w:color w:val="000000" w:themeColor="text1"/>
        </w:rPr>
      </w:pPr>
      <w:r>
        <w:rPr>
          <w:rFonts w:ascii="Times New Roman" w:hAnsi="Times New Roman" w:cs="Times New Roman"/>
          <w:color w:val="000000" w:themeColor="text1"/>
        </w:rPr>
        <w:t>Comyns, B. and Figge, F. 2015</w:t>
      </w:r>
      <w:r w:rsidRPr="009F065E">
        <w:rPr>
          <w:rFonts w:ascii="Times New Roman" w:hAnsi="Times New Roman" w:cs="Times New Roman"/>
          <w:color w:val="000000" w:themeColor="text1"/>
        </w:rPr>
        <w:t xml:space="preserve">. Greenhouse gas reporting quality in the oil and gas industry. </w:t>
      </w:r>
      <w:r w:rsidRPr="009F065E">
        <w:rPr>
          <w:rFonts w:ascii="Times New Roman" w:hAnsi="Times New Roman" w:cs="Times New Roman"/>
          <w:i/>
          <w:color w:val="000000" w:themeColor="text1"/>
        </w:rPr>
        <w:t>Accounting, Auditing &amp; Accountability Journal</w:t>
      </w:r>
      <w:r w:rsidRPr="009F065E">
        <w:rPr>
          <w:rFonts w:ascii="Times New Roman" w:hAnsi="Times New Roman" w:cs="Times New Roman"/>
          <w:color w:val="000000" w:themeColor="text1"/>
        </w:rPr>
        <w:t xml:space="preserve"> </w:t>
      </w:r>
      <w:r w:rsidRPr="00967F39">
        <w:rPr>
          <w:rFonts w:ascii="Times New Roman" w:hAnsi="Times New Roman" w:cs="Times New Roman"/>
          <w:b/>
          <w:color w:val="000000" w:themeColor="text1"/>
        </w:rPr>
        <w:t>28(3)</w:t>
      </w:r>
      <w:r>
        <w:rPr>
          <w:rFonts w:ascii="Times New Roman" w:hAnsi="Times New Roman" w:cs="Times New Roman"/>
          <w:color w:val="000000" w:themeColor="text1"/>
        </w:rPr>
        <w:t>:</w:t>
      </w:r>
      <w:r w:rsidRPr="009F065E">
        <w:rPr>
          <w:rFonts w:ascii="Times New Roman" w:hAnsi="Times New Roman" w:cs="Times New Roman"/>
          <w:color w:val="000000" w:themeColor="text1"/>
        </w:rPr>
        <w:t xml:space="preserve"> 403 – 433.</w:t>
      </w:r>
    </w:p>
    <w:p w14:paraId="3C263F24" w14:textId="77777777" w:rsidR="00B952F9" w:rsidRPr="0014359D" w:rsidRDefault="00B952F9" w:rsidP="00B952F9">
      <w:pPr>
        <w:spacing w:after="0" w:line="240" w:lineRule="auto"/>
        <w:ind w:left="288" w:hanging="288"/>
        <w:jc w:val="both"/>
        <w:rPr>
          <w:rFonts w:ascii="Times New Roman" w:hAnsi="Times New Roman" w:cs="Times New Roman"/>
        </w:rPr>
      </w:pPr>
      <w:r>
        <w:rPr>
          <w:rFonts w:ascii="Times New Roman" w:hAnsi="Times New Roman" w:cs="Times New Roman"/>
        </w:rPr>
        <w:t>Cong, Y. and Freedman, M. 2011</w:t>
      </w:r>
      <w:r w:rsidRPr="009F065E">
        <w:rPr>
          <w:rFonts w:ascii="Times New Roman" w:hAnsi="Times New Roman" w:cs="Times New Roman"/>
        </w:rPr>
        <w:t xml:space="preserve">. Corporate governance and environmental performance and disclosures, </w:t>
      </w:r>
      <w:r w:rsidRPr="009F065E">
        <w:rPr>
          <w:rFonts w:ascii="Times New Roman" w:hAnsi="Times New Roman" w:cs="Times New Roman"/>
          <w:i/>
        </w:rPr>
        <w:t>Advances in Accounting, incorporating Advances in International Accounting</w:t>
      </w:r>
      <w:r w:rsidRPr="009F065E">
        <w:rPr>
          <w:rFonts w:ascii="Times New Roman" w:hAnsi="Times New Roman" w:cs="Times New Roman"/>
        </w:rPr>
        <w:t xml:space="preserve"> </w:t>
      </w:r>
      <w:r w:rsidRPr="00967F39">
        <w:rPr>
          <w:rFonts w:ascii="Times New Roman" w:hAnsi="Times New Roman" w:cs="Times New Roman"/>
          <w:b/>
        </w:rPr>
        <w:t>27</w:t>
      </w:r>
      <w:r>
        <w:rPr>
          <w:rFonts w:ascii="Times New Roman" w:hAnsi="Times New Roman" w:cs="Times New Roman"/>
        </w:rPr>
        <w:t>:</w:t>
      </w:r>
      <w:r w:rsidRPr="009F065E">
        <w:rPr>
          <w:rFonts w:ascii="Times New Roman" w:hAnsi="Times New Roman" w:cs="Times New Roman"/>
        </w:rPr>
        <w:t xml:space="preserve"> 223–232.</w:t>
      </w:r>
    </w:p>
    <w:p w14:paraId="22511DB9" w14:textId="77777777" w:rsidR="00B952F9" w:rsidRPr="0014359D" w:rsidRDefault="00B952F9" w:rsidP="00B952F9">
      <w:pPr>
        <w:spacing w:after="0" w:line="240" w:lineRule="auto"/>
        <w:ind w:left="288" w:hanging="288"/>
        <w:jc w:val="both"/>
        <w:rPr>
          <w:rFonts w:ascii="Times New Roman" w:hAnsi="Times New Roman" w:cs="Times New Roman"/>
        </w:rPr>
      </w:pPr>
      <w:r w:rsidRPr="003B6444">
        <w:rPr>
          <w:rFonts w:ascii="Times New Roman" w:hAnsi="Times New Roman" w:cs="Times New Roman"/>
        </w:rPr>
        <w:t xml:space="preserve">Cordeiro, J. J. and Sarkis, J. 2008. </w:t>
      </w:r>
      <w:r w:rsidRPr="009F065E">
        <w:rPr>
          <w:rFonts w:ascii="Times New Roman" w:hAnsi="Times New Roman" w:cs="Times New Roman"/>
        </w:rPr>
        <w:t xml:space="preserve">Does explicit contracting effectively link CEO compensation to environmental performance? </w:t>
      </w:r>
      <w:r w:rsidRPr="009F065E">
        <w:rPr>
          <w:rFonts w:ascii="Times New Roman" w:hAnsi="Times New Roman" w:cs="Times New Roman"/>
          <w:i/>
        </w:rPr>
        <w:t>Business Strategy and the Environment</w:t>
      </w:r>
      <w:r w:rsidRPr="009F065E">
        <w:rPr>
          <w:rFonts w:ascii="Times New Roman" w:hAnsi="Times New Roman" w:cs="Times New Roman"/>
        </w:rPr>
        <w:t xml:space="preserve"> </w:t>
      </w:r>
      <w:r w:rsidRPr="00967F39">
        <w:rPr>
          <w:rFonts w:ascii="Times New Roman" w:hAnsi="Times New Roman" w:cs="Times New Roman"/>
          <w:b/>
        </w:rPr>
        <w:t>17(5)</w:t>
      </w:r>
      <w:r>
        <w:rPr>
          <w:rFonts w:ascii="Times New Roman" w:hAnsi="Times New Roman" w:cs="Times New Roman"/>
        </w:rPr>
        <w:t>:</w:t>
      </w:r>
      <w:r w:rsidRPr="009F065E">
        <w:rPr>
          <w:rFonts w:ascii="Times New Roman" w:hAnsi="Times New Roman" w:cs="Times New Roman"/>
        </w:rPr>
        <w:t xml:space="preserve"> 304-317.</w:t>
      </w:r>
    </w:p>
    <w:p w14:paraId="1CEE0D4A" w14:textId="77777777" w:rsidR="00B952F9" w:rsidRPr="00B952F9" w:rsidRDefault="00B952F9" w:rsidP="00B952F9">
      <w:pPr>
        <w:spacing w:after="0" w:line="240" w:lineRule="auto"/>
        <w:ind w:left="288" w:hanging="288"/>
        <w:jc w:val="both"/>
        <w:rPr>
          <w:rFonts w:ascii="Times New Roman" w:hAnsi="Times New Roman" w:cs="Times New Roman"/>
        </w:rPr>
      </w:pPr>
      <w:r w:rsidRPr="00B952F9">
        <w:rPr>
          <w:rFonts w:ascii="Times New Roman" w:hAnsi="Times New Roman" w:cs="Times New Roman"/>
        </w:rPr>
        <w:t xml:space="preserve">D’Amico, E. Coluccia, D., Stefano Fontana, S., and Solimene, S. 2016. Factors Influencing Corporate Environmental Disclosure. </w:t>
      </w:r>
      <w:r w:rsidRPr="00B952F9">
        <w:rPr>
          <w:rFonts w:ascii="Times New Roman" w:hAnsi="Times New Roman" w:cs="Times New Roman"/>
          <w:i/>
        </w:rPr>
        <w:t>Business Strategy and the Environment</w:t>
      </w:r>
      <w:r w:rsidRPr="00B952F9">
        <w:rPr>
          <w:rFonts w:ascii="Times New Roman" w:hAnsi="Times New Roman" w:cs="Times New Roman"/>
        </w:rPr>
        <w:t xml:space="preserve"> </w:t>
      </w:r>
      <w:r w:rsidRPr="00B952F9">
        <w:rPr>
          <w:rFonts w:ascii="Times New Roman" w:hAnsi="Times New Roman" w:cs="Times New Roman"/>
          <w:b/>
        </w:rPr>
        <w:t>25</w:t>
      </w:r>
      <w:r w:rsidRPr="00B952F9">
        <w:rPr>
          <w:rFonts w:ascii="Times New Roman" w:hAnsi="Times New Roman" w:cs="Times New Roman"/>
        </w:rPr>
        <w:t>, 178–192.</w:t>
      </w:r>
    </w:p>
    <w:p w14:paraId="73808381" w14:textId="77777777" w:rsidR="00B952F9" w:rsidRPr="0014359D" w:rsidRDefault="00B952F9" w:rsidP="00B952F9">
      <w:pPr>
        <w:spacing w:after="0" w:line="240" w:lineRule="auto"/>
        <w:ind w:left="288" w:hanging="288"/>
        <w:jc w:val="both"/>
        <w:rPr>
          <w:rFonts w:ascii="Times New Roman" w:hAnsi="Times New Roman" w:cs="Times New Roman"/>
          <w:color w:val="000000" w:themeColor="text1"/>
        </w:rPr>
      </w:pPr>
      <w:r>
        <w:rPr>
          <w:rFonts w:ascii="Times New Roman" w:hAnsi="Times New Roman" w:cs="Times New Roman"/>
        </w:rPr>
        <w:t>Dahya, J. and McConnell, J. J. 2007</w:t>
      </w:r>
      <w:r w:rsidRPr="009F065E">
        <w:rPr>
          <w:rFonts w:ascii="Times New Roman" w:hAnsi="Times New Roman" w:cs="Times New Roman"/>
        </w:rPr>
        <w:t xml:space="preserve">. Board composition, corporate performance, and the Cadbury Committee Recommendation. </w:t>
      </w:r>
      <w:r w:rsidRPr="009F065E">
        <w:rPr>
          <w:rFonts w:ascii="Times New Roman" w:hAnsi="Times New Roman" w:cs="Times New Roman"/>
          <w:i/>
        </w:rPr>
        <w:t>Journal of Financial and Quantitative Analysis</w:t>
      </w:r>
      <w:r>
        <w:rPr>
          <w:rFonts w:ascii="Times New Roman" w:hAnsi="Times New Roman" w:cs="Times New Roman"/>
        </w:rPr>
        <w:t xml:space="preserve"> </w:t>
      </w:r>
      <w:r w:rsidRPr="00967F39">
        <w:rPr>
          <w:rFonts w:ascii="Times New Roman" w:hAnsi="Times New Roman" w:cs="Times New Roman"/>
          <w:b/>
        </w:rPr>
        <w:t>42(3)</w:t>
      </w:r>
      <w:r>
        <w:rPr>
          <w:rFonts w:ascii="Times New Roman" w:hAnsi="Times New Roman" w:cs="Times New Roman"/>
        </w:rPr>
        <w:t>:</w:t>
      </w:r>
      <w:r w:rsidRPr="009F065E">
        <w:rPr>
          <w:rFonts w:ascii="Times New Roman" w:hAnsi="Times New Roman" w:cs="Times New Roman"/>
        </w:rPr>
        <w:t xml:space="preserve"> </w:t>
      </w:r>
      <w:r w:rsidRPr="009F065E">
        <w:rPr>
          <w:rStyle w:val="Date1"/>
          <w:rFonts w:ascii="Times New Roman" w:hAnsi="Times New Roman" w:cs="Times New Roman"/>
        </w:rPr>
        <w:t>535-564.</w:t>
      </w:r>
      <w:r w:rsidRPr="009F065E">
        <w:rPr>
          <w:rFonts w:ascii="Times New Roman" w:hAnsi="Times New Roman" w:cs="Times New Roman"/>
        </w:rPr>
        <w:t xml:space="preserve"> </w:t>
      </w:r>
    </w:p>
    <w:p w14:paraId="2441F1D6" w14:textId="77777777" w:rsidR="00B952F9" w:rsidRPr="0014359D" w:rsidRDefault="00B952F9" w:rsidP="00B952F9">
      <w:pPr>
        <w:spacing w:after="0" w:line="240" w:lineRule="auto"/>
        <w:ind w:left="288" w:hanging="288"/>
        <w:jc w:val="both"/>
        <w:rPr>
          <w:rFonts w:ascii="Times New Roman" w:hAnsi="Times New Roman" w:cs="Times New Roman"/>
          <w:color w:val="000000" w:themeColor="text1"/>
        </w:rPr>
      </w:pPr>
      <w:r w:rsidRPr="009F065E">
        <w:rPr>
          <w:rFonts w:ascii="Times New Roman" w:hAnsi="Times New Roman" w:cs="Times New Roman"/>
          <w:color w:val="000000" w:themeColor="text1"/>
        </w:rPr>
        <w:t>de Villiers, C., Nai</w:t>
      </w:r>
      <w:r>
        <w:rPr>
          <w:rFonts w:ascii="Times New Roman" w:hAnsi="Times New Roman" w:cs="Times New Roman"/>
          <w:color w:val="000000" w:themeColor="text1"/>
        </w:rPr>
        <w:t>ker, V., and van Staden, C. J. 2011</w:t>
      </w:r>
      <w:r w:rsidRPr="009F065E">
        <w:rPr>
          <w:rFonts w:ascii="Times New Roman" w:hAnsi="Times New Roman" w:cs="Times New Roman"/>
          <w:color w:val="000000" w:themeColor="text1"/>
        </w:rPr>
        <w:t xml:space="preserve">. The effect of board characteristics on firm environmental performance. </w:t>
      </w:r>
      <w:r w:rsidRPr="009F065E">
        <w:rPr>
          <w:rFonts w:ascii="Times New Roman" w:hAnsi="Times New Roman" w:cs="Times New Roman"/>
          <w:i/>
          <w:color w:val="000000" w:themeColor="text1"/>
        </w:rPr>
        <w:t>Journal of Management</w:t>
      </w:r>
      <w:r>
        <w:rPr>
          <w:rFonts w:ascii="Times New Roman" w:hAnsi="Times New Roman" w:cs="Times New Roman"/>
          <w:color w:val="000000" w:themeColor="text1"/>
        </w:rPr>
        <w:t xml:space="preserve"> </w:t>
      </w:r>
      <w:r w:rsidRPr="00967F39">
        <w:rPr>
          <w:rFonts w:ascii="Times New Roman" w:hAnsi="Times New Roman" w:cs="Times New Roman"/>
          <w:b/>
          <w:color w:val="000000" w:themeColor="text1"/>
        </w:rPr>
        <w:t>37(6)</w:t>
      </w:r>
      <w:r>
        <w:rPr>
          <w:rFonts w:ascii="Times New Roman" w:hAnsi="Times New Roman" w:cs="Times New Roman"/>
          <w:color w:val="000000" w:themeColor="text1"/>
        </w:rPr>
        <w:t>:</w:t>
      </w:r>
      <w:r w:rsidRPr="009F065E">
        <w:rPr>
          <w:rFonts w:ascii="Times New Roman" w:hAnsi="Times New Roman" w:cs="Times New Roman"/>
          <w:color w:val="000000" w:themeColor="text1"/>
        </w:rPr>
        <w:t xml:space="preserve"> 1636–1663.</w:t>
      </w:r>
    </w:p>
    <w:p w14:paraId="10E76FE5" w14:textId="77777777" w:rsidR="00B952F9" w:rsidRPr="0014359D" w:rsidRDefault="00B952F9" w:rsidP="00B952F9">
      <w:pPr>
        <w:spacing w:after="0" w:line="240" w:lineRule="auto"/>
        <w:ind w:left="288" w:hanging="288"/>
        <w:jc w:val="both"/>
        <w:rPr>
          <w:rFonts w:ascii="Times New Roman" w:hAnsi="Times New Roman" w:cs="Times New Roman"/>
        </w:rPr>
      </w:pPr>
      <w:r>
        <w:rPr>
          <w:rFonts w:ascii="Times New Roman" w:hAnsi="Times New Roman" w:cs="Times New Roman"/>
        </w:rPr>
        <w:lastRenderedPageBreak/>
        <w:t xml:space="preserve">DECC. </w:t>
      </w:r>
      <w:r w:rsidRPr="009F065E">
        <w:rPr>
          <w:rFonts w:ascii="Times New Roman" w:hAnsi="Times New Roman" w:cs="Times New Roman"/>
        </w:rPr>
        <w:t>2009. The UK Low Carbon Transition Plan, national strategy for climate and energy. The Crown Copyright. Presented to the UK parliament on 15</w:t>
      </w:r>
      <w:r w:rsidRPr="009F065E">
        <w:rPr>
          <w:rFonts w:ascii="Times New Roman" w:hAnsi="Times New Roman" w:cs="Times New Roman"/>
          <w:vertAlign w:val="superscript"/>
        </w:rPr>
        <w:t>th</w:t>
      </w:r>
      <w:r w:rsidRPr="009F065E">
        <w:rPr>
          <w:rFonts w:ascii="Times New Roman" w:hAnsi="Times New Roman" w:cs="Times New Roman"/>
        </w:rPr>
        <w:t xml:space="preserve"> July 2009. Available at: </w:t>
      </w:r>
      <w:hyperlink r:id="rId25" w:history="1">
        <w:r w:rsidRPr="009F065E">
          <w:rPr>
            <w:rStyle w:val="Hyperlink"/>
            <w:rFonts w:ascii="Times New Roman" w:hAnsi="Times New Roman" w:cs="Times New Roman"/>
          </w:rPr>
          <w:t>https://www.gov.uk/government/uploads/system/uploads/attachment_data/file/228752/9780108508394.pdf</w:t>
        </w:r>
      </w:hyperlink>
      <w:r w:rsidRPr="009F065E">
        <w:rPr>
          <w:rFonts w:ascii="Times New Roman" w:hAnsi="Times New Roman" w:cs="Times New Roman"/>
        </w:rPr>
        <w:t xml:space="preserve"> [Accessed: 15 February 2016] </w:t>
      </w:r>
    </w:p>
    <w:p w14:paraId="19BC4CCE" w14:textId="77777777" w:rsidR="00B952F9" w:rsidRPr="0014359D" w:rsidRDefault="00B952F9" w:rsidP="00B952F9">
      <w:pPr>
        <w:spacing w:after="0" w:line="240" w:lineRule="auto"/>
        <w:ind w:left="288" w:hanging="288"/>
        <w:jc w:val="both"/>
        <w:rPr>
          <w:rFonts w:ascii="Times New Roman" w:hAnsi="Times New Roman" w:cs="Times New Roman"/>
          <w:color w:val="000000" w:themeColor="text1"/>
        </w:rPr>
      </w:pPr>
      <w:r>
        <w:rPr>
          <w:rFonts w:ascii="Times New Roman" w:hAnsi="Times New Roman" w:cs="Times New Roman"/>
          <w:color w:val="000000" w:themeColor="text1"/>
        </w:rPr>
        <w:t>DECC. 2011</w:t>
      </w:r>
      <w:r w:rsidRPr="009F065E">
        <w:rPr>
          <w:rFonts w:ascii="Times New Roman" w:hAnsi="Times New Roman" w:cs="Times New Roman"/>
          <w:color w:val="000000" w:themeColor="text1"/>
        </w:rPr>
        <w:t>. The Carbon Plan: Delivering our low carbon future. The UK Department of Energy and Climate Change, London, UK.</w:t>
      </w:r>
    </w:p>
    <w:p w14:paraId="67DB3F8B" w14:textId="77777777" w:rsidR="00B952F9" w:rsidRPr="0014359D" w:rsidRDefault="00B952F9" w:rsidP="00B952F9">
      <w:pPr>
        <w:spacing w:after="0" w:line="240" w:lineRule="auto"/>
        <w:ind w:left="288" w:hanging="288"/>
        <w:jc w:val="both"/>
        <w:rPr>
          <w:rFonts w:ascii="Times New Roman" w:hAnsi="Times New Roman" w:cs="Times New Roman"/>
          <w:color w:val="000000" w:themeColor="text1"/>
        </w:rPr>
      </w:pPr>
      <w:r>
        <w:rPr>
          <w:rFonts w:ascii="Times New Roman" w:hAnsi="Times New Roman" w:cs="Times New Roman"/>
          <w:color w:val="000000" w:themeColor="text1"/>
        </w:rPr>
        <w:t>DECC. 2015</w:t>
      </w:r>
      <w:r w:rsidRPr="009F065E">
        <w:rPr>
          <w:rFonts w:ascii="Times New Roman" w:hAnsi="Times New Roman" w:cs="Times New Roman"/>
          <w:color w:val="000000" w:themeColor="text1"/>
        </w:rPr>
        <w:t>. UK progress towards GHG emissions reduction targets. The UK Department of Energy and Climate Change, London, UK.</w:t>
      </w:r>
    </w:p>
    <w:p w14:paraId="6121A6FD" w14:textId="77777777" w:rsidR="00B952F9" w:rsidRPr="0014359D" w:rsidRDefault="00B952F9" w:rsidP="00B952F9">
      <w:pPr>
        <w:spacing w:after="0" w:line="240" w:lineRule="auto"/>
        <w:ind w:left="288" w:hanging="288"/>
        <w:jc w:val="both"/>
        <w:rPr>
          <w:rFonts w:ascii="Times New Roman" w:eastAsia="TimesNewRomanPSMT" w:hAnsi="Times New Roman" w:cs="Times New Roman"/>
        </w:rPr>
      </w:pPr>
      <w:r w:rsidRPr="003B6444">
        <w:rPr>
          <w:rFonts w:ascii="Times New Roman" w:eastAsia="TimesNewRomanPSMT" w:hAnsi="Times New Roman" w:cs="Times New Roman"/>
        </w:rPr>
        <w:t xml:space="preserve">Delmas, M. A., Etzion, D., and Nairn-Birch, N. 2013. </w:t>
      </w:r>
      <w:r w:rsidRPr="009F065E">
        <w:rPr>
          <w:rFonts w:ascii="Times New Roman" w:eastAsia="TimesNewRomanPSMT" w:hAnsi="Times New Roman" w:cs="Times New Roman"/>
        </w:rPr>
        <w:t xml:space="preserve">Triangulating environmental performance: What do corporate social responsibility ratings really capture? </w:t>
      </w:r>
      <w:r w:rsidRPr="009F065E">
        <w:rPr>
          <w:rFonts w:ascii="Times New Roman" w:eastAsia="TimesNewRomanPSMT" w:hAnsi="Times New Roman" w:cs="Times New Roman"/>
          <w:i/>
          <w:iCs/>
        </w:rPr>
        <w:t>Academy of Management Perspectives</w:t>
      </w:r>
      <w:r w:rsidRPr="009F065E">
        <w:rPr>
          <w:rFonts w:ascii="Times New Roman" w:eastAsia="TimesNewRomanPSMT" w:hAnsi="Times New Roman" w:cs="Times New Roman"/>
        </w:rPr>
        <w:t xml:space="preserve"> </w:t>
      </w:r>
      <w:r w:rsidRPr="00967F39">
        <w:rPr>
          <w:rFonts w:ascii="Times New Roman" w:eastAsia="TimesNewRomanPSMT" w:hAnsi="Times New Roman" w:cs="Times New Roman"/>
          <w:b/>
          <w:iCs/>
        </w:rPr>
        <w:t>27</w:t>
      </w:r>
      <w:r>
        <w:rPr>
          <w:rFonts w:ascii="Times New Roman" w:eastAsia="TimesNewRomanPSMT" w:hAnsi="Times New Roman" w:cs="Times New Roman"/>
          <w:i/>
          <w:iCs/>
        </w:rPr>
        <w:t>:</w:t>
      </w:r>
      <w:r w:rsidRPr="009F065E">
        <w:rPr>
          <w:rFonts w:ascii="Times New Roman" w:eastAsia="TimesNewRomanPSMT" w:hAnsi="Times New Roman" w:cs="Times New Roman"/>
        </w:rPr>
        <w:t xml:space="preserve"> 255-267.</w:t>
      </w:r>
    </w:p>
    <w:p w14:paraId="63101C89" w14:textId="77777777" w:rsidR="00B952F9" w:rsidRPr="00B952F9" w:rsidRDefault="00B952F9" w:rsidP="00B952F9">
      <w:pPr>
        <w:spacing w:after="0" w:line="240" w:lineRule="auto"/>
        <w:ind w:left="288" w:hanging="288"/>
        <w:jc w:val="both"/>
        <w:rPr>
          <w:rFonts w:ascii="Times New Roman" w:hAnsi="Times New Roman" w:cs="Times New Roman"/>
        </w:rPr>
      </w:pPr>
      <w:r w:rsidRPr="00B952F9">
        <w:rPr>
          <w:rFonts w:ascii="Times New Roman" w:hAnsi="Times New Roman" w:cs="Times New Roman"/>
        </w:rPr>
        <w:t xml:space="preserve">Diego Pérez-López, D., Moreno-Romero, A., and Barkemeyer, R. 2015. Exploring the Relationship between Sustainability Reporting and Sustainability Management Practices. </w:t>
      </w:r>
      <w:r w:rsidRPr="00B952F9">
        <w:rPr>
          <w:rFonts w:ascii="Times New Roman" w:hAnsi="Times New Roman" w:cs="Times New Roman"/>
          <w:i/>
        </w:rPr>
        <w:t xml:space="preserve">Business Strategy and the Environment </w:t>
      </w:r>
      <w:r w:rsidRPr="00B952F9">
        <w:rPr>
          <w:rFonts w:ascii="Times New Roman" w:hAnsi="Times New Roman" w:cs="Times New Roman"/>
          <w:b/>
        </w:rPr>
        <w:t>24</w:t>
      </w:r>
      <w:r w:rsidRPr="00B952F9">
        <w:rPr>
          <w:rFonts w:ascii="Times New Roman" w:hAnsi="Times New Roman" w:cs="Times New Roman"/>
        </w:rPr>
        <w:t>, 720–734.</w:t>
      </w:r>
    </w:p>
    <w:p w14:paraId="7C23B1CC" w14:textId="77777777" w:rsidR="00B952F9" w:rsidRPr="0014359D" w:rsidRDefault="00B952F9" w:rsidP="00B952F9">
      <w:pPr>
        <w:spacing w:after="0" w:line="240" w:lineRule="auto"/>
        <w:ind w:left="288" w:hanging="288"/>
        <w:jc w:val="both"/>
        <w:rPr>
          <w:rFonts w:ascii="Times New Roman" w:hAnsi="Times New Roman" w:cs="Times New Roman"/>
        </w:rPr>
      </w:pPr>
      <w:r w:rsidRPr="009F065E">
        <w:rPr>
          <w:rFonts w:ascii="Times New Roman" w:hAnsi="Times New Roman" w:cs="Times New Roman"/>
        </w:rPr>
        <w:t>DiM</w:t>
      </w:r>
      <w:r>
        <w:rPr>
          <w:rFonts w:ascii="Times New Roman" w:hAnsi="Times New Roman" w:cs="Times New Roman"/>
        </w:rPr>
        <w:t>aggio, P. J. and Powell, W. W. 1983</w:t>
      </w:r>
      <w:r w:rsidRPr="009F065E">
        <w:rPr>
          <w:rFonts w:ascii="Times New Roman" w:hAnsi="Times New Roman" w:cs="Times New Roman"/>
        </w:rPr>
        <w:t xml:space="preserve">. The iron cage revisited: Institutional isomorphism and collective rationality in organizational fields. </w:t>
      </w:r>
      <w:r w:rsidRPr="009F065E">
        <w:rPr>
          <w:rFonts w:ascii="Times New Roman" w:hAnsi="Times New Roman" w:cs="Times New Roman"/>
          <w:i/>
          <w:iCs/>
        </w:rPr>
        <w:t>American Sociological Review</w:t>
      </w:r>
      <w:r w:rsidRPr="009F065E">
        <w:rPr>
          <w:rFonts w:ascii="Times New Roman" w:hAnsi="Times New Roman" w:cs="Times New Roman"/>
        </w:rPr>
        <w:t xml:space="preserve"> </w:t>
      </w:r>
      <w:r w:rsidRPr="00967F39">
        <w:rPr>
          <w:rFonts w:ascii="Times New Roman" w:hAnsi="Times New Roman" w:cs="Times New Roman"/>
          <w:b/>
        </w:rPr>
        <w:t>48(2)</w:t>
      </w:r>
      <w:r>
        <w:rPr>
          <w:rFonts w:ascii="Times New Roman" w:hAnsi="Times New Roman" w:cs="Times New Roman"/>
        </w:rPr>
        <w:t>:</w:t>
      </w:r>
      <w:r w:rsidRPr="009F065E">
        <w:rPr>
          <w:rFonts w:ascii="Times New Roman" w:hAnsi="Times New Roman" w:cs="Times New Roman"/>
        </w:rPr>
        <w:t xml:space="preserve"> 147-160.</w:t>
      </w:r>
    </w:p>
    <w:p w14:paraId="0068CCE2" w14:textId="77777777" w:rsidR="00B952F9" w:rsidRPr="0014359D" w:rsidRDefault="00B952F9" w:rsidP="00B952F9">
      <w:pPr>
        <w:spacing w:after="0" w:line="240" w:lineRule="auto"/>
        <w:ind w:left="288" w:hanging="288"/>
        <w:jc w:val="both"/>
        <w:rPr>
          <w:rFonts w:ascii="Times New Roman" w:hAnsi="Times New Roman" w:cs="Times New Roman"/>
          <w:lang w:val="en-US"/>
        </w:rPr>
      </w:pPr>
      <w:r>
        <w:rPr>
          <w:rFonts w:ascii="Times New Roman" w:hAnsi="Times New Roman" w:cs="Times New Roman"/>
        </w:rPr>
        <w:lastRenderedPageBreak/>
        <w:t>DiMaggio, P. J., and</w:t>
      </w:r>
      <w:r w:rsidRPr="003C358D">
        <w:rPr>
          <w:rFonts w:ascii="Times New Roman" w:hAnsi="Times New Roman" w:cs="Times New Roman"/>
        </w:rPr>
        <w:t xml:space="preserve"> Powell, W. W. (1991). </w:t>
      </w:r>
      <w:r>
        <w:rPr>
          <w:rFonts w:ascii="Times New Roman" w:hAnsi="Times New Roman" w:cs="Times New Roman"/>
          <w:lang w:val="en-US"/>
        </w:rPr>
        <w:t>Introduction. In W. W. Powell and</w:t>
      </w:r>
      <w:r w:rsidRPr="009F065E">
        <w:rPr>
          <w:rFonts w:ascii="Times New Roman" w:hAnsi="Times New Roman" w:cs="Times New Roman"/>
          <w:lang w:val="en-US"/>
        </w:rPr>
        <w:t xml:space="preserve"> P. J. DiMaggio (Eds.), The new institutionalism in organizational analysis (pp. 1–38). Chicago, IL: University of Chicago Press.</w:t>
      </w:r>
    </w:p>
    <w:p w14:paraId="4F88B19F" w14:textId="77777777" w:rsidR="00B952F9" w:rsidRPr="00B952F9" w:rsidRDefault="00B952F9" w:rsidP="00B952F9">
      <w:pPr>
        <w:spacing w:after="0" w:line="240" w:lineRule="auto"/>
        <w:ind w:left="288" w:hanging="288"/>
        <w:jc w:val="both"/>
        <w:rPr>
          <w:rFonts w:ascii="Times New Roman" w:hAnsi="Times New Roman" w:cs="Times New Roman"/>
        </w:rPr>
      </w:pPr>
      <w:r w:rsidRPr="00B952F9">
        <w:rPr>
          <w:rFonts w:ascii="Times New Roman" w:hAnsi="Times New Roman" w:cs="Times New Roman"/>
        </w:rPr>
        <w:t xml:space="preserve">Dögl, C. and Behnam, M. 2015. Environmentally Sustainable Development through Stakeholder Engagement in Developed and Emerging Countries. </w:t>
      </w:r>
      <w:r w:rsidRPr="00B952F9">
        <w:rPr>
          <w:rFonts w:ascii="Times New Roman" w:hAnsi="Times New Roman" w:cs="Times New Roman"/>
          <w:i/>
        </w:rPr>
        <w:t>Business Strategy and the Environment</w:t>
      </w:r>
      <w:r w:rsidRPr="00B952F9">
        <w:rPr>
          <w:rFonts w:ascii="Times New Roman" w:hAnsi="Times New Roman" w:cs="Times New Roman"/>
        </w:rPr>
        <w:t xml:space="preserve"> </w:t>
      </w:r>
      <w:r w:rsidRPr="00B952F9">
        <w:rPr>
          <w:rFonts w:ascii="Times New Roman" w:hAnsi="Times New Roman" w:cs="Times New Roman"/>
          <w:b/>
        </w:rPr>
        <w:t>24</w:t>
      </w:r>
      <w:r w:rsidRPr="00B952F9">
        <w:rPr>
          <w:rFonts w:ascii="Times New Roman" w:hAnsi="Times New Roman" w:cs="Times New Roman"/>
        </w:rPr>
        <w:t>, 583–600.</w:t>
      </w:r>
    </w:p>
    <w:p w14:paraId="4A131174" w14:textId="77777777" w:rsidR="00B952F9" w:rsidRPr="0014359D" w:rsidRDefault="00B952F9" w:rsidP="00B952F9">
      <w:pPr>
        <w:spacing w:after="0" w:line="240" w:lineRule="auto"/>
        <w:ind w:left="288" w:hanging="288"/>
        <w:jc w:val="both"/>
        <w:rPr>
          <w:rFonts w:ascii="Times New Roman" w:hAnsi="Times New Roman" w:cs="Times New Roman"/>
          <w:lang w:val="en-US"/>
        </w:rPr>
      </w:pPr>
      <w:r w:rsidRPr="009F065E">
        <w:rPr>
          <w:rFonts w:ascii="Times New Roman" w:hAnsi="Times New Roman" w:cs="Times New Roman"/>
          <w:lang w:val="en-US"/>
        </w:rPr>
        <w:t>Doh, J. P.,</w:t>
      </w:r>
      <w:r>
        <w:rPr>
          <w:rFonts w:ascii="Times New Roman" w:hAnsi="Times New Roman" w:cs="Times New Roman"/>
          <w:lang w:val="en-US"/>
        </w:rPr>
        <w:t xml:space="preserve"> Howton, S. D., Howton, S. W., and Siegel, D. S. 2010</w:t>
      </w:r>
      <w:r w:rsidRPr="009F065E">
        <w:rPr>
          <w:rFonts w:ascii="Times New Roman" w:hAnsi="Times New Roman" w:cs="Times New Roman"/>
          <w:lang w:val="en-US"/>
        </w:rPr>
        <w:t xml:space="preserve">. Does the market respond to an endorsement of social responsibility? The role of information, institutions, and legitimacy. </w:t>
      </w:r>
      <w:r w:rsidRPr="009F065E">
        <w:rPr>
          <w:rFonts w:ascii="Times New Roman" w:hAnsi="Times New Roman" w:cs="Times New Roman"/>
          <w:i/>
          <w:lang w:val="en-US"/>
        </w:rPr>
        <w:t>Journal of Management</w:t>
      </w:r>
      <w:r w:rsidRPr="009F065E">
        <w:rPr>
          <w:rFonts w:ascii="Times New Roman" w:hAnsi="Times New Roman" w:cs="Times New Roman"/>
          <w:lang w:val="en-US"/>
        </w:rPr>
        <w:t xml:space="preserve"> </w:t>
      </w:r>
      <w:r w:rsidRPr="0081274C">
        <w:rPr>
          <w:rFonts w:ascii="Times New Roman" w:hAnsi="Times New Roman" w:cs="Times New Roman"/>
          <w:b/>
          <w:lang w:val="en-US"/>
        </w:rPr>
        <w:t>36(6)</w:t>
      </w:r>
      <w:r>
        <w:rPr>
          <w:rFonts w:ascii="Times New Roman" w:hAnsi="Times New Roman" w:cs="Times New Roman"/>
          <w:lang w:val="en-US"/>
        </w:rPr>
        <w:t>:</w:t>
      </w:r>
      <w:r w:rsidRPr="009F065E">
        <w:rPr>
          <w:rFonts w:ascii="Times New Roman" w:hAnsi="Times New Roman" w:cs="Times New Roman"/>
          <w:lang w:val="en-US"/>
        </w:rPr>
        <w:t xml:space="preserve"> 1461–1485.</w:t>
      </w:r>
    </w:p>
    <w:p w14:paraId="58917E8F" w14:textId="77777777" w:rsidR="00B952F9" w:rsidRPr="00B952F9" w:rsidRDefault="00B952F9" w:rsidP="00B952F9">
      <w:pPr>
        <w:spacing w:after="0" w:line="240" w:lineRule="auto"/>
        <w:ind w:left="288" w:hanging="288"/>
        <w:jc w:val="both"/>
        <w:rPr>
          <w:rFonts w:ascii="Times New Roman" w:hAnsi="Times New Roman" w:cs="Times New Roman"/>
        </w:rPr>
      </w:pPr>
      <w:r w:rsidRPr="00B952F9">
        <w:rPr>
          <w:rFonts w:ascii="Times New Roman" w:hAnsi="Times New Roman" w:cs="Times New Roman"/>
        </w:rPr>
        <w:t xml:space="preserve">Eleftheriadis, I. M. and Anagnostopoulou, E. G. 2015. Relationship between Corporate Climate Change Disclosures and Firm Factors. </w:t>
      </w:r>
      <w:r w:rsidRPr="00B952F9">
        <w:rPr>
          <w:rFonts w:ascii="Times New Roman" w:hAnsi="Times New Roman" w:cs="Times New Roman"/>
          <w:i/>
        </w:rPr>
        <w:t>Business Strategy and the Environment</w:t>
      </w:r>
      <w:r w:rsidRPr="00B952F9">
        <w:rPr>
          <w:rFonts w:ascii="Times New Roman" w:hAnsi="Times New Roman" w:cs="Times New Roman"/>
        </w:rPr>
        <w:t xml:space="preserve"> </w:t>
      </w:r>
      <w:r w:rsidRPr="00B952F9">
        <w:rPr>
          <w:rFonts w:ascii="Times New Roman" w:hAnsi="Times New Roman" w:cs="Times New Roman"/>
          <w:b/>
        </w:rPr>
        <w:t>24</w:t>
      </w:r>
      <w:r w:rsidRPr="00B952F9">
        <w:rPr>
          <w:rFonts w:ascii="Times New Roman" w:hAnsi="Times New Roman" w:cs="Times New Roman"/>
        </w:rPr>
        <w:t>, 780–789.</w:t>
      </w:r>
    </w:p>
    <w:p w14:paraId="60B1119C" w14:textId="77777777" w:rsidR="00B952F9" w:rsidRPr="0014359D" w:rsidRDefault="00B952F9" w:rsidP="00B952F9">
      <w:pPr>
        <w:spacing w:after="0" w:line="240" w:lineRule="auto"/>
        <w:ind w:left="288" w:hanging="288"/>
        <w:jc w:val="both"/>
        <w:rPr>
          <w:rFonts w:ascii="Times New Roman" w:hAnsi="Times New Roman" w:cs="Times New Roman"/>
          <w:color w:val="000000" w:themeColor="text1"/>
        </w:rPr>
      </w:pPr>
      <w:r>
        <w:rPr>
          <w:rFonts w:ascii="Times New Roman" w:hAnsi="Times New Roman" w:cs="Times New Roman"/>
          <w:color w:val="000000" w:themeColor="text1"/>
        </w:rPr>
        <w:t>Freedman, M. and Jaggi, B. 2005</w:t>
      </w:r>
      <w:r w:rsidRPr="009F065E">
        <w:rPr>
          <w:rFonts w:ascii="Times New Roman" w:hAnsi="Times New Roman" w:cs="Times New Roman"/>
          <w:color w:val="000000" w:themeColor="text1"/>
        </w:rPr>
        <w:t xml:space="preserve">. Global warming, commitment to the Kyoto protocol, and accounting disclosures by the largest global public firms from polluting industries. The </w:t>
      </w:r>
      <w:r w:rsidRPr="009F065E">
        <w:rPr>
          <w:rFonts w:ascii="Times New Roman" w:hAnsi="Times New Roman" w:cs="Times New Roman"/>
          <w:i/>
          <w:color w:val="000000" w:themeColor="text1"/>
        </w:rPr>
        <w:t>International Journal of Accounting</w:t>
      </w:r>
      <w:r w:rsidRPr="009F065E">
        <w:rPr>
          <w:rFonts w:ascii="Times New Roman" w:hAnsi="Times New Roman" w:cs="Times New Roman"/>
          <w:color w:val="000000" w:themeColor="text1"/>
        </w:rPr>
        <w:t xml:space="preserve"> </w:t>
      </w:r>
      <w:r w:rsidRPr="0081274C">
        <w:rPr>
          <w:rFonts w:ascii="Times New Roman" w:hAnsi="Times New Roman" w:cs="Times New Roman"/>
          <w:b/>
          <w:color w:val="000000" w:themeColor="text1"/>
        </w:rPr>
        <w:t>40(3)</w:t>
      </w:r>
      <w:r>
        <w:rPr>
          <w:rFonts w:ascii="Times New Roman" w:hAnsi="Times New Roman" w:cs="Times New Roman"/>
          <w:color w:val="000000" w:themeColor="text1"/>
        </w:rPr>
        <w:t>:</w:t>
      </w:r>
      <w:r w:rsidRPr="009F065E">
        <w:rPr>
          <w:rFonts w:ascii="Times New Roman" w:hAnsi="Times New Roman" w:cs="Times New Roman"/>
          <w:color w:val="000000" w:themeColor="text1"/>
        </w:rPr>
        <w:t xml:space="preserve"> 215-232.</w:t>
      </w:r>
    </w:p>
    <w:p w14:paraId="03FD6977" w14:textId="77777777" w:rsidR="00B952F9" w:rsidRPr="0014359D" w:rsidRDefault="00B952F9" w:rsidP="00B952F9">
      <w:pPr>
        <w:spacing w:after="0" w:line="240" w:lineRule="auto"/>
        <w:ind w:left="288" w:hanging="288"/>
        <w:jc w:val="both"/>
        <w:rPr>
          <w:rFonts w:ascii="Times New Roman" w:hAnsi="Times New Roman" w:cs="Times New Roman"/>
          <w:color w:val="000000" w:themeColor="text1"/>
        </w:rPr>
      </w:pPr>
      <w:r w:rsidRPr="009F065E">
        <w:rPr>
          <w:rFonts w:ascii="Times New Roman" w:hAnsi="Times New Roman" w:cs="Times New Roman"/>
          <w:color w:val="000000" w:themeColor="text1"/>
        </w:rPr>
        <w:t>F</w:t>
      </w:r>
      <w:r>
        <w:rPr>
          <w:rFonts w:ascii="Times New Roman" w:hAnsi="Times New Roman" w:cs="Times New Roman"/>
          <w:color w:val="000000" w:themeColor="text1"/>
        </w:rPr>
        <w:t>reedman, M. and Jaggi, B. 2011</w:t>
      </w:r>
      <w:r w:rsidRPr="009F065E">
        <w:rPr>
          <w:rFonts w:ascii="Times New Roman" w:hAnsi="Times New Roman" w:cs="Times New Roman"/>
          <w:color w:val="000000" w:themeColor="text1"/>
        </w:rPr>
        <w:t xml:space="preserve">. Global Warming Disclosures: Impact of Kyoto Protocol Across Countries. </w:t>
      </w:r>
      <w:r w:rsidRPr="009F065E">
        <w:rPr>
          <w:rFonts w:ascii="Times New Roman" w:hAnsi="Times New Roman" w:cs="Times New Roman"/>
          <w:i/>
          <w:color w:val="000000" w:themeColor="text1"/>
        </w:rPr>
        <w:t>Journal of International Fina</w:t>
      </w:r>
      <w:r>
        <w:rPr>
          <w:rFonts w:ascii="Times New Roman" w:hAnsi="Times New Roman" w:cs="Times New Roman"/>
          <w:i/>
          <w:color w:val="000000" w:themeColor="text1"/>
        </w:rPr>
        <w:t xml:space="preserve">ncial Management and Accounting </w:t>
      </w:r>
      <w:r w:rsidRPr="0081274C">
        <w:rPr>
          <w:rFonts w:ascii="Times New Roman" w:hAnsi="Times New Roman" w:cs="Times New Roman"/>
          <w:b/>
          <w:color w:val="000000" w:themeColor="text1"/>
        </w:rPr>
        <w:t>22(1)</w:t>
      </w:r>
      <w:r>
        <w:rPr>
          <w:rFonts w:ascii="Times New Roman" w:hAnsi="Times New Roman" w:cs="Times New Roman"/>
          <w:color w:val="000000" w:themeColor="text1"/>
        </w:rPr>
        <w:t>:</w:t>
      </w:r>
      <w:r w:rsidRPr="009F065E">
        <w:rPr>
          <w:rFonts w:ascii="Times New Roman" w:hAnsi="Times New Roman" w:cs="Times New Roman"/>
          <w:color w:val="000000" w:themeColor="text1"/>
        </w:rPr>
        <w:t xml:space="preserve"> 46-90.</w:t>
      </w:r>
    </w:p>
    <w:p w14:paraId="2BC39AE7" w14:textId="77777777" w:rsidR="00B952F9" w:rsidRPr="0014359D" w:rsidRDefault="00B952F9" w:rsidP="00B952F9">
      <w:pPr>
        <w:spacing w:after="0" w:line="240" w:lineRule="auto"/>
        <w:ind w:left="288" w:hanging="288"/>
        <w:jc w:val="both"/>
        <w:rPr>
          <w:rFonts w:ascii="Times New Roman" w:hAnsi="Times New Roman" w:cs="Times New Roman"/>
          <w:color w:val="000000" w:themeColor="text1"/>
        </w:rPr>
      </w:pPr>
      <w:r>
        <w:rPr>
          <w:rFonts w:ascii="Times New Roman" w:hAnsi="Times New Roman" w:cs="Times New Roman"/>
          <w:color w:val="000000" w:themeColor="text1"/>
        </w:rPr>
        <w:t>Galbreath, J. 2010</w:t>
      </w:r>
      <w:r w:rsidRPr="009F065E">
        <w:rPr>
          <w:rFonts w:ascii="Times New Roman" w:hAnsi="Times New Roman" w:cs="Times New Roman"/>
          <w:color w:val="000000" w:themeColor="text1"/>
        </w:rPr>
        <w:t xml:space="preserve">. Corporate Governance Practices that Address Climate Change: an Exploratory Study. </w:t>
      </w:r>
      <w:r w:rsidRPr="009F065E">
        <w:rPr>
          <w:rFonts w:ascii="Times New Roman" w:hAnsi="Times New Roman" w:cs="Times New Roman"/>
          <w:i/>
          <w:color w:val="000000" w:themeColor="text1"/>
        </w:rPr>
        <w:t>Business Strategy and the Environment Business Strategy and the En</w:t>
      </w:r>
      <w:r w:rsidRPr="009F065E">
        <w:rPr>
          <w:rFonts w:ascii="Times New Roman" w:hAnsi="Times New Roman" w:cs="Times New Roman"/>
          <w:color w:val="000000" w:themeColor="text1"/>
        </w:rPr>
        <w:t>v</w:t>
      </w:r>
      <w:r w:rsidRPr="009F065E">
        <w:rPr>
          <w:rFonts w:ascii="Times New Roman" w:hAnsi="Times New Roman" w:cs="Times New Roman"/>
          <w:i/>
          <w:color w:val="000000" w:themeColor="text1"/>
        </w:rPr>
        <w:t>ironment</w:t>
      </w:r>
      <w:r w:rsidRPr="009F065E">
        <w:rPr>
          <w:rFonts w:ascii="Times New Roman" w:hAnsi="Times New Roman" w:cs="Times New Roman"/>
          <w:color w:val="000000" w:themeColor="text1"/>
        </w:rPr>
        <w:t xml:space="preserve"> </w:t>
      </w:r>
      <w:r w:rsidRPr="0081274C">
        <w:rPr>
          <w:rFonts w:ascii="Times New Roman" w:hAnsi="Times New Roman" w:cs="Times New Roman"/>
          <w:b/>
          <w:color w:val="000000" w:themeColor="text1"/>
        </w:rPr>
        <w:t>19</w:t>
      </w:r>
      <w:r>
        <w:rPr>
          <w:rFonts w:ascii="Times New Roman" w:hAnsi="Times New Roman" w:cs="Times New Roman"/>
          <w:color w:val="000000" w:themeColor="text1"/>
        </w:rPr>
        <w:t>:</w:t>
      </w:r>
      <w:r w:rsidRPr="009F065E">
        <w:rPr>
          <w:rFonts w:ascii="Times New Roman" w:hAnsi="Times New Roman" w:cs="Times New Roman"/>
          <w:color w:val="000000" w:themeColor="text1"/>
        </w:rPr>
        <w:t xml:space="preserve"> 335–350.</w:t>
      </w:r>
    </w:p>
    <w:p w14:paraId="0A1A4AE4" w14:textId="77777777" w:rsidR="00B952F9" w:rsidRPr="00B952F9" w:rsidRDefault="00B952F9" w:rsidP="00B952F9">
      <w:pPr>
        <w:spacing w:after="0" w:line="240" w:lineRule="auto"/>
        <w:ind w:left="288" w:hanging="288"/>
        <w:jc w:val="both"/>
        <w:rPr>
          <w:rFonts w:ascii="Times New Roman" w:hAnsi="Times New Roman" w:cs="Times New Roman"/>
        </w:rPr>
      </w:pPr>
      <w:r w:rsidRPr="00B952F9">
        <w:rPr>
          <w:rFonts w:ascii="Times New Roman" w:hAnsi="Times New Roman" w:cs="Times New Roman"/>
        </w:rPr>
        <w:lastRenderedPageBreak/>
        <w:t xml:space="preserve">Galbreath, J. 2017. The Impact of Board Structure on Corporate Social Responsibility: A Temporal View. </w:t>
      </w:r>
      <w:r w:rsidRPr="00B952F9">
        <w:rPr>
          <w:rFonts w:ascii="Times New Roman" w:hAnsi="Times New Roman" w:cs="Times New Roman"/>
          <w:i/>
        </w:rPr>
        <w:t>Business Strategy and the Environment</w:t>
      </w:r>
      <w:r w:rsidRPr="00B952F9">
        <w:rPr>
          <w:rFonts w:ascii="Times New Roman" w:hAnsi="Times New Roman" w:cs="Times New Roman"/>
        </w:rPr>
        <w:t xml:space="preserve"> </w:t>
      </w:r>
      <w:r w:rsidRPr="00B952F9">
        <w:rPr>
          <w:rFonts w:ascii="Times New Roman" w:hAnsi="Times New Roman" w:cs="Times New Roman"/>
          <w:b/>
        </w:rPr>
        <w:t>26</w:t>
      </w:r>
      <w:r w:rsidRPr="00B952F9">
        <w:rPr>
          <w:rFonts w:ascii="Times New Roman" w:hAnsi="Times New Roman" w:cs="Times New Roman"/>
        </w:rPr>
        <w:t>, 358–370.</w:t>
      </w:r>
    </w:p>
    <w:p w14:paraId="2DB7BE6F" w14:textId="77777777" w:rsidR="00B952F9" w:rsidRPr="0014359D" w:rsidRDefault="00B952F9" w:rsidP="00B952F9">
      <w:pPr>
        <w:spacing w:after="0" w:line="240" w:lineRule="auto"/>
        <w:ind w:left="288" w:hanging="288"/>
        <w:jc w:val="both"/>
        <w:rPr>
          <w:rFonts w:ascii="Times New Roman" w:hAnsi="Times New Roman" w:cs="Times New Roman"/>
          <w:color w:val="000000" w:themeColor="text1"/>
        </w:rPr>
      </w:pPr>
      <w:r w:rsidRPr="003B6444">
        <w:rPr>
          <w:rFonts w:ascii="Times New Roman" w:hAnsi="Times New Roman" w:cs="Times New Roman"/>
          <w:color w:val="000000" w:themeColor="text1"/>
        </w:rPr>
        <w:t xml:space="preserve">Gallego-Alvarez, I. Segura, L., Martínez-Ferrero, J. 2015. </w:t>
      </w:r>
      <w:r w:rsidRPr="009F065E">
        <w:rPr>
          <w:rFonts w:ascii="Times New Roman" w:hAnsi="Times New Roman" w:cs="Times New Roman"/>
          <w:color w:val="000000" w:themeColor="text1"/>
        </w:rPr>
        <w:t xml:space="preserve">Carbon emission reduction: the impact on the financial and operational performance of international companies. </w:t>
      </w:r>
      <w:r w:rsidRPr="009F065E">
        <w:rPr>
          <w:rFonts w:ascii="Times New Roman" w:hAnsi="Times New Roman" w:cs="Times New Roman"/>
          <w:i/>
          <w:color w:val="000000" w:themeColor="text1"/>
        </w:rPr>
        <w:t>Journal of Cleaner Production</w:t>
      </w:r>
      <w:r w:rsidRPr="009F065E">
        <w:rPr>
          <w:rFonts w:ascii="Times New Roman" w:hAnsi="Times New Roman" w:cs="Times New Roman"/>
          <w:color w:val="000000" w:themeColor="text1"/>
        </w:rPr>
        <w:t xml:space="preserve"> </w:t>
      </w:r>
      <w:r w:rsidRPr="0081274C">
        <w:rPr>
          <w:rFonts w:ascii="Times New Roman" w:hAnsi="Times New Roman" w:cs="Times New Roman"/>
          <w:b/>
          <w:color w:val="000000" w:themeColor="text1"/>
        </w:rPr>
        <w:t>103</w:t>
      </w:r>
      <w:r>
        <w:rPr>
          <w:rFonts w:ascii="Times New Roman" w:hAnsi="Times New Roman" w:cs="Times New Roman"/>
          <w:color w:val="000000" w:themeColor="text1"/>
        </w:rPr>
        <w:t>:</w:t>
      </w:r>
      <w:r w:rsidRPr="009F065E">
        <w:rPr>
          <w:rFonts w:ascii="Times New Roman" w:hAnsi="Times New Roman" w:cs="Times New Roman"/>
          <w:color w:val="000000" w:themeColor="text1"/>
        </w:rPr>
        <w:t xml:space="preserve"> 149-159</w:t>
      </w:r>
    </w:p>
    <w:p w14:paraId="7D11653D" w14:textId="77777777" w:rsidR="00B952F9" w:rsidRDefault="00B952F9" w:rsidP="00B952F9">
      <w:pPr>
        <w:spacing w:after="0" w:line="240" w:lineRule="auto"/>
        <w:ind w:left="288" w:hanging="288"/>
        <w:jc w:val="both"/>
        <w:rPr>
          <w:rFonts w:ascii="Times New Roman" w:hAnsi="Times New Roman" w:cs="Times New Roman"/>
        </w:rPr>
      </w:pPr>
      <w:r>
        <w:rPr>
          <w:rFonts w:ascii="Times New Roman" w:hAnsi="Times New Roman" w:cs="Times New Roman"/>
        </w:rPr>
        <w:t xml:space="preserve">Haque, F. 2017. </w:t>
      </w:r>
      <w:r w:rsidRPr="00F2461F">
        <w:rPr>
          <w:rFonts w:ascii="Times New Roman" w:hAnsi="Times New Roman" w:cs="Times New Roman"/>
        </w:rPr>
        <w:t>The effects of board characteristics and sustainable compensation policy on</w:t>
      </w:r>
      <w:r>
        <w:rPr>
          <w:rFonts w:ascii="Times New Roman" w:hAnsi="Times New Roman" w:cs="Times New Roman"/>
        </w:rPr>
        <w:t xml:space="preserve"> carbon performance of UK firms</w:t>
      </w:r>
      <w:r w:rsidRPr="00F2461F">
        <w:rPr>
          <w:rFonts w:ascii="Times New Roman" w:hAnsi="Times New Roman" w:cs="Times New Roman"/>
        </w:rPr>
        <w:t xml:space="preserve">. </w:t>
      </w:r>
      <w:r w:rsidRPr="001833F9">
        <w:rPr>
          <w:rFonts w:ascii="Times New Roman" w:hAnsi="Times New Roman" w:cs="Times New Roman"/>
          <w:i/>
        </w:rPr>
        <w:t>The British Accounting Review</w:t>
      </w:r>
      <w:r>
        <w:rPr>
          <w:rFonts w:ascii="Times New Roman" w:hAnsi="Times New Roman" w:cs="Times New Roman"/>
        </w:rPr>
        <w:t xml:space="preserve"> </w:t>
      </w:r>
      <w:r w:rsidRPr="003E7726">
        <w:rPr>
          <w:rFonts w:ascii="Times New Roman" w:hAnsi="Times New Roman" w:cs="Times New Roman"/>
          <w:b/>
        </w:rPr>
        <w:t>49(3)</w:t>
      </w:r>
      <w:r>
        <w:rPr>
          <w:rFonts w:ascii="Times New Roman" w:hAnsi="Times New Roman" w:cs="Times New Roman"/>
        </w:rPr>
        <w:t>:</w:t>
      </w:r>
      <w:r w:rsidRPr="00F2461F">
        <w:rPr>
          <w:rFonts w:ascii="Times New Roman" w:hAnsi="Times New Roman" w:cs="Times New Roman"/>
        </w:rPr>
        <w:t xml:space="preserve"> 347–364</w:t>
      </w:r>
      <w:r>
        <w:rPr>
          <w:rFonts w:ascii="Times New Roman" w:hAnsi="Times New Roman" w:cs="Times New Roman"/>
        </w:rPr>
        <w:t>.</w:t>
      </w:r>
    </w:p>
    <w:p w14:paraId="1F65C8DA" w14:textId="77777777" w:rsidR="00B952F9" w:rsidRPr="0014359D" w:rsidRDefault="00B952F9" w:rsidP="00B952F9">
      <w:pPr>
        <w:spacing w:after="0" w:line="240" w:lineRule="auto"/>
        <w:ind w:left="288" w:hanging="288"/>
        <w:jc w:val="both"/>
        <w:rPr>
          <w:rFonts w:ascii="Times New Roman" w:hAnsi="Times New Roman" w:cs="Times New Roman"/>
        </w:rPr>
      </w:pPr>
      <w:r>
        <w:rPr>
          <w:rFonts w:ascii="Times New Roman" w:hAnsi="Times New Roman" w:cs="Times New Roman"/>
        </w:rPr>
        <w:t>Hooghiemstra, R. 2000</w:t>
      </w:r>
      <w:r w:rsidRPr="009F065E">
        <w:rPr>
          <w:rFonts w:ascii="Times New Roman" w:hAnsi="Times New Roman" w:cs="Times New Roman"/>
        </w:rPr>
        <w:t xml:space="preserve">. Corporate communication and impression management – new perspectives why companies engage in corporate social reporting. </w:t>
      </w:r>
      <w:r w:rsidRPr="009F065E">
        <w:rPr>
          <w:rFonts w:ascii="Times New Roman" w:hAnsi="Times New Roman" w:cs="Times New Roman"/>
          <w:i/>
        </w:rPr>
        <w:t>Journal of Business Ethics</w:t>
      </w:r>
      <w:r w:rsidRPr="009F065E">
        <w:rPr>
          <w:rFonts w:ascii="Times New Roman" w:hAnsi="Times New Roman" w:cs="Times New Roman"/>
        </w:rPr>
        <w:t xml:space="preserve"> </w:t>
      </w:r>
      <w:r w:rsidRPr="0081274C">
        <w:rPr>
          <w:rFonts w:ascii="Times New Roman" w:hAnsi="Times New Roman" w:cs="Times New Roman"/>
          <w:b/>
        </w:rPr>
        <w:t>27(1/2)</w:t>
      </w:r>
      <w:r>
        <w:rPr>
          <w:rFonts w:ascii="Times New Roman" w:hAnsi="Times New Roman" w:cs="Times New Roman"/>
        </w:rPr>
        <w:t>:</w:t>
      </w:r>
      <w:r w:rsidRPr="009F065E">
        <w:rPr>
          <w:rFonts w:ascii="Times New Roman" w:hAnsi="Times New Roman" w:cs="Times New Roman"/>
        </w:rPr>
        <w:t xml:space="preserve"> 55-68.</w:t>
      </w:r>
    </w:p>
    <w:p w14:paraId="1ED7180F" w14:textId="77777777" w:rsidR="00B952F9" w:rsidRPr="0014359D" w:rsidRDefault="00B952F9" w:rsidP="00B952F9">
      <w:pPr>
        <w:spacing w:after="0" w:line="240" w:lineRule="auto"/>
        <w:ind w:left="288" w:hanging="288"/>
        <w:jc w:val="both"/>
        <w:rPr>
          <w:rFonts w:ascii="Times New Roman" w:hAnsi="Times New Roman" w:cs="Times New Roman"/>
          <w:lang w:val="en-US"/>
        </w:rPr>
      </w:pPr>
      <w:r>
        <w:rPr>
          <w:rFonts w:ascii="Times New Roman" w:hAnsi="Times New Roman" w:cs="Times New Roman"/>
          <w:lang w:val="en-US"/>
        </w:rPr>
        <w:t>Isaksson, R., and Steimle, U. 2009</w:t>
      </w:r>
      <w:r w:rsidRPr="009F065E">
        <w:rPr>
          <w:rFonts w:ascii="Times New Roman" w:hAnsi="Times New Roman" w:cs="Times New Roman"/>
          <w:lang w:val="en-US"/>
        </w:rPr>
        <w:t xml:space="preserve">. What does GRI-Reporting tell us about corporate sustainability? </w:t>
      </w:r>
      <w:r>
        <w:rPr>
          <w:rFonts w:ascii="Times New Roman" w:hAnsi="Times New Roman" w:cs="Times New Roman"/>
          <w:i/>
          <w:iCs/>
          <w:lang w:val="en-US"/>
        </w:rPr>
        <w:t>The TQM Journal</w:t>
      </w:r>
      <w:r w:rsidRPr="009F065E">
        <w:rPr>
          <w:rFonts w:ascii="Times New Roman" w:hAnsi="Times New Roman" w:cs="Times New Roman"/>
          <w:i/>
          <w:iCs/>
          <w:lang w:val="en-US"/>
        </w:rPr>
        <w:t xml:space="preserve"> </w:t>
      </w:r>
      <w:r w:rsidRPr="0081274C">
        <w:rPr>
          <w:rFonts w:ascii="Times New Roman" w:hAnsi="Times New Roman" w:cs="Times New Roman"/>
          <w:b/>
          <w:iCs/>
          <w:lang w:val="en-US"/>
        </w:rPr>
        <w:t>21</w:t>
      </w:r>
      <w:r w:rsidRPr="0081274C">
        <w:rPr>
          <w:rFonts w:ascii="Times New Roman" w:hAnsi="Times New Roman" w:cs="Times New Roman"/>
          <w:b/>
          <w:lang w:val="en-US"/>
        </w:rPr>
        <w:t>(2)</w:t>
      </w:r>
      <w:r>
        <w:rPr>
          <w:rFonts w:ascii="Times New Roman" w:hAnsi="Times New Roman" w:cs="Times New Roman"/>
          <w:lang w:val="en-US"/>
        </w:rPr>
        <w:t>:</w:t>
      </w:r>
      <w:r w:rsidRPr="009F065E">
        <w:rPr>
          <w:rFonts w:ascii="Times New Roman" w:hAnsi="Times New Roman" w:cs="Times New Roman"/>
          <w:lang w:val="en-US"/>
        </w:rPr>
        <w:t xml:space="preserve"> 168-181. </w:t>
      </w:r>
      <w:hyperlink r:id="rId26" w:history="1">
        <w:r w:rsidRPr="003E7726">
          <w:rPr>
            <w:rStyle w:val="Hyperlink"/>
            <w:rFonts w:ascii="Times New Roman" w:hAnsi="Times New Roman" w:cs="Times New Roman"/>
            <w:lang w:val="en-US"/>
          </w:rPr>
          <w:t>http://dx.doi.org/10.1108/17542730910938155</w:t>
        </w:r>
      </w:hyperlink>
      <w:r w:rsidRPr="009F065E">
        <w:rPr>
          <w:rFonts w:ascii="Times New Roman" w:hAnsi="Times New Roman" w:cs="Times New Roman"/>
          <w:lang w:val="en-US"/>
        </w:rPr>
        <w:t xml:space="preserve"> </w:t>
      </w:r>
    </w:p>
    <w:p w14:paraId="3CC2A827" w14:textId="77777777" w:rsidR="00B952F9" w:rsidRPr="00B952F9" w:rsidRDefault="00B952F9" w:rsidP="00B952F9">
      <w:pPr>
        <w:spacing w:after="0" w:line="240" w:lineRule="auto"/>
        <w:ind w:left="288" w:hanging="288"/>
        <w:jc w:val="both"/>
        <w:rPr>
          <w:rFonts w:ascii="Times New Roman" w:hAnsi="Times New Roman" w:cs="Times New Roman"/>
        </w:rPr>
      </w:pPr>
      <w:r w:rsidRPr="00B952F9">
        <w:rPr>
          <w:rFonts w:ascii="Times New Roman" w:hAnsi="Times New Roman" w:cs="Times New Roman"/>
        </w:rPr>
        <w:t xml:space="preserve">Jizi, M. 2017. The Influence of Board Composition on Sustainable Development Disclosure. </w:t>
      </w:r>
      <w:r w:rsidRPr="00B952F9">
        <w:rPr>
          <w:rFonts w:ascii="Times New Roman" w:hAnsi="Times New Roman" w:cs="Times New Roman"/>
          <w:i/>
        </w:rPr>
        <w:t>Business Strategy and the Environment</w:t>
      </w:r>
      <w:r w:rsidRPr="00B952F9">
        <w:rPr>
          <w:rFonts w:ascii="Times New Roman" w:hAnsi="Times New Roman" w:cs="Times New Roman"/>
        </w:rPr>
        <w:t xml:space="preserve"> </w:t>
      </w:r>
      <w:r w:rsidRPr="00B952F9">
        <w:rPr>
          <w:rFonts w:ascii="Times New Roman" w:hAnsi="Times New Roman" w:cs="Times New Roman"/>
          <w:b/>
        </w:rPr>
        <w:t>26</w:t>
      </w:r>
      <w:r w:rsidRPr="00B952F9">
        <w:rPr>
          <w:rFonts w:ascii="Times New Roman" w:hAnsi="Times New Roman" w:cs="Times New Roman"/>
        </w:rPr>
        <w:t>, 640–655.</w:t>
      </w:r>
    </w:p>
    <w:p w14:paraId="12B9BC8F" w14:textId="77777777" w:rsidR="00B952F9" w:rsidRPr="0014359D" w:rsidRDefault="00B952F9" w:rsidP="00B952F9">
      <w:pPr>
        <w:spacing w:after="0" w:line="240" w:lineRule="auto"/>
        <w:ind w:left="288" w:hanging="288"/>
        <w:jc w:val="both"/>
        <w:rPr>
          <w:rFonts w:ascii="Times New Roman" w:hAnsi="Times New Roman" w:cs="Times New Roman"/>
        </w:rPr>
      </w:pPr>
      <w:r w:rsidRPr="009F065E">
        <w:rPr>
          <w:rFonts w:ascii="Times New Roman" w:hAnsi="Times New Roman" w:cs="Times New Roman"/>
          <w:color w:val="000000" w:themeColor="text1"/>
        </w:rPr>
        <w:t>Joh</w:t>
      </w:r>
      <w:r>
        <w:rPr>
          <w:rFonts w:ascii="Times New Roman" w:hAnsi="Times New Roman" w:cs="Times New Roman"/>
          <w:color w:val="000000" w:themeColor="text1"/>
        </w:rPr>
        <w:t>nson, R.A., and Greening, D.W. 1999</w:t>
      </w:r>
      <w:r w:rsidRPr="009F065E">
        <w:rPr>
          <w:rFonts w:ascii="Times New Roman" w:hAnsi="Times New Roman" w:cs="Times New Roman"/>
          <w:color w:val="000000" w:themeColor="text1"/>
        </w:rPr>
        <w:t xml:space="preserve">. The effects of corporate governance and institutional ownership types on corporate social performance. </w:t>
      </w:r>
      <w:r w:rsidRPr="009F065E">
        <w:rPr>
          <w:rFonts w:ascii="Times New Roman" w:hAnsi="Times New Roman" w:cs="Times New Roman"/>
          <w:i/>
          <w:color w:val="000000" w:themeColor="text1"/>
        </w:rPr>
        <w:t>Academy of Management Journal,</w:t>
      </w:r>
      <w:r w:rsidRPr="009F065E">
        <w:rPr>
          <w:rFonts w:ascii="Times New Roman" w:hAnsi="Times New Roman" w:cs="Times New Roman"/>
          <w:color w:val="000000" w:themeColor="text1"/>
        </w:rPr>
        <w:t xml:space="preserve"> </w:t>
      </w:r>
      <w:r w:rsidRPr="0081274C">
        <w:rPr>
          <w:rFonts w:ascii="Times New Roman" w:hAnsi="Times New Roman" w:cs="Times New Roman"/>
          <w:b/>
          <w:color w:val="000000" w:themeColor="text1"/>
        </w:rPr>
        <w:t>42(5)</w:t>
      </w:r>
      <w:r>
        <w:rPr>
          <w:rFonts w:ascii="Times New Roman" w:hAnsi="Times New Roman" w:cs="Times New Roman"/>
          <w:color w:val="000000" w:themeColor="text1"/>
        </w:rPr>
        <w:t>:</w:t>
      </w:r>
      <w:r w:rsidRPr="009F065E">
        <w:rPr>
          <w:rFonts w:ascii="Times New Roman" w:hAnsi="Times New Roman" w:cs="Times New Roman"/>
          <w:color w:val="000000" w:themeColor="text1"/>
        </w:rPr>
        <w:t xml:space="preserve"> 564–576.</w:t>
      </w:r>
    </w:p>
    <w:p w14:paraId="7A836C00" w14:textId="77777777" w:rsidR="00B952F9" w:rsidRPr="0014359D" w:rsidRDefault="00B952F9" w:rsidP="00B952F9">
      <w:pPr>
        <w:spacing w:after="0" w:line="240" w:lineRule="auto"/>
        <w:ind w:left="288" w:hanging="288"/>
        <w:jc w:val="both"/>
        <w:rPr>
          <w:rFonts w:ascii="Times New Roman" w:hAnsi="Times New Roman" w:cs="Times New Roman"/>
          <w:color w:val="000000" w:themeColor="text1"/>
        </w:rPr>
      </w:pPr>
      <w:r>
        <w:rPr>
          <w:rFonts w:ascii="Times New Roman" w:hAnsi="Times New Roman" w:cs="Times New Roman"/>
        </w:rPr>
        <w:lastRenderedPageBreak/>
        <w:t>Judge, W., Li, S., and Pinsker, R. 2010</w:t>
      </w:r>
      <w:r w:rsidRPr="009F065E">
        <w:rPr>
          <w:rFonts w:ascii="Times New Roman" w:hAnsi="Times New Roman" w:cs="Times New Roman"/>
        </w:rPr>
        <w:t xml:space="preserve">. National adoption of international accounting standards: An institutional perspective. </w:t>
      </w:r>
      <w:r w:rsidRPr="009F065E">
        <w:rPr>
          <w:rFonts w:ascii="Times New Roman" w:hAnsi="Times New Roman" w:cs="Times New Roman"/>
          <w:i/>
        </w:rPr>
        <w:t>Corporate Governance: An International Review</w:t>
      </w:r>
      <w:r>
        <w:rPr>
          <w:rFonts w:ascii="Times New Roman" w:hAnsi="Times New Roman" w:cs="Times New Roman"/>
        </w:rPr>
        <w:t xml:space="preserve"> </w:t>
      </w:r>
      <w:r w:rsidRPr="0081274C">
        <w:rPr>
          <w:rFonts w:ascii="Times New Roman" w:hAnsi="Times New Roman" w:cs="Times New Roman"/>
          <w:b/>
        </w:rPr>
        <w:t>18</w:t>
      </w:r>
      <w:r>
        <w:rPr>
          <w:rFonts w:ascii="Times New Roman" w:hAnsi="Times New Roman" w:cs="Times New Roman"/>
        </w:rPr>
        <w:t xml:space="preserve">: </w:t>
      </w:r>
      <w:r w:rsidRPr="009F065E">
        <w:rPr>
          <w:rFonts w:ascii="Times New Roman" w:hAnsi="Times New Roman" w:cs="Times New Roman"/>
        </w:rPr>
        <w:t>161–174.</w:t>
      </w:r>
    </w:p>
    <w:p w14:paraId="1ED322BB" w14:textId="77777777" w:rsidR="00B952F9" w:rsidRPr="00B952F9" w:rsidRDefault="00B952F9" w:rsidP="00B952F9">
      <w:pPr>
        <w:spacing w:after="0" w:line="240" w:lineRule="auto"/>
        <w:ind w:left="288" w:hanging="288"/>
        <w:jc w:val="both"/>
        <w:rPr>
          <w:rFonts w:ascii="Times New Roman" w:hAnsi="Times New Roman" w:cs="Times New Roman"/>
        </w:rPr>
      </w:pPr>
      <w:r w:rsidRPr="00B952F9">
        <w:rPr>
          <w:rFonts w:ascii="Times New Roman" w:hAnsi="Times New Roman" w:cs="Times New Roman"/>
        </w:rPr>
        <w:t xml:space="preserve">Lee, S-Y., and Klassen, R.D. 2016. Firms’ Response to Climate Change: The Interplay of Business Uncertainty and Organizational Capabilities. </w:t>
      </w:r>
      <w:r w:rsidRPr="00B952F9">
        <w:rPr>
          <w:rFonts w:ascii="Times New Roman" w:hAnsi="Times New Roman" w:cs="Times New Roman"/>
          <w:i/>
        </w:rPr>
        <w:t>Business Strategy and the Environment</w:t>
      </w:r>
      <w:r w:rsidRPr="00B952F9">
        <w:rPr>
          <w:rFonts w:ascii="Times New Roman" w:hAnsi="Times New Roman" w:cs="Times New Roman"/>
        </w:rPr>
        <w:t xml:space="preserve"> </w:t>
      </w:r>
      <w:r w:rsidRPr="00B952F9">
        <w:rPr>
          <w:rFonts w:ascii="Times New Roman" w:hAnsi="Times New Roman" w:cs="Times New Roman"/>
          <w:b/>
        </w:rPr>
        <w:t>25</w:t>
      </w:r>
      <w:r w:rsidRPr="00B952F9">
        <w:rPr>
          <w:rFonts w:ascii="Times New Roman" w:hAnsi="Times New Roman" w:cs="Times New Roman"/>
        </w:rPr>
        <w:t xml:space="preserve">, 577–592. </w:t>
      </w:r>
    </w:p>
    <w:p w14:paraId="24E8149C" w14:textId="77777777" w:rsidR="00B952F9" w:rsidRPr="0014359D" w:rsidRDefault="00B952F9" w:rsidP="00B952F9">
      <w:pPr>
        <w:spacing w:after="0" w:line="240" w:lineRule="auto"/>
        <w:ind w:left="288" w:hanging="288"/>
        <w:jc w:val="both"/>
        <w:rPr>
          <w:rFonts w:ascii="Times New Roman" w:hAnsi="Times New Roman" w:cs="Times New Roman"/>
        </w:rPr>
      </w:pPr>
      <w:r w:rsidRPr="009F065E">
        <w:rPr>
          <w:rFonts w:ascii="Times New Roman" w:hAnsi="Times New Roman" w:cs="Times New Roman"/>
        </w:rPr>
        <w:t>Liao,</w:t>
      </w:r>
      <w:r>
        <w:rPr>
          <w:rFonts w:ascii="Times New Roman" w:hAnsi="Times New Roman" w:cs="Times New Roman"/>
        </w:rPr>
        <w:t xml:space="preserve"> L., Luo, L. and Tang, Q. 2015</w:t>
      </w:r>
      <w:r w:rsidRPr="009F065E">
        <w:rPr>
          <w:rFonts w:ascii="Times New Roman" w:hAnsi="Times New Roman" w:cs="Times New Roman"/>
        </w:rPr>
        <w:t xml:space="preserve">. Gender diversity, board independence, environmental committee and greenhouse gas disclosure. </w:t>
      </w:r>
      <w:r w:rsidRPr="009F065E">
        <w:rPr>
          <w:rFonts w:ascii="Times New Roman" w:hAnsi="Times New Roman" w:cs="Times New Roman"/>
          <w:i/>
        </w:rPr>
        <w:t>British Accounting Review</w:t>
      </w:r>
      <w:r w:rsidRPr="009F065E">
        <w:rPr>
          <w:rFonts w:ascii="Times New Roman" w:hAnsi="Times New Roman" w:cs="Times New Roman"/>
        </w:rPr>
        <w:t xml:space="preserve"> </w:t>
      </w:r>
      <w:r w:rsidRPr="0081274C">
        <w:rPr>
          <w:rFonts w:ascii="Times New Roman" w:hAnsi="Times New Roman" w:cs="Times New Roman"/>
          <w:b/>
        </w:rPr>
        <w:t>47(4)</w:t>
      </w:r>
      <w:r>
        <w:rPr>
          <w:rFonts w:ascii="Times New Roman" w:hAnsi="Times New Roman" w:cs="Times New Roman"/>
        </w:rPr>
        <w:t>:</w:t>
      </w:r>
      <w:r w:rsidRPr="009F065E">
        <w:rPr>
          <w:rFonts w:ascii="Times New Roman" w:hAnsi="Times New Roman" w:cs="Times New Roman"/>
        </w:rPr>
        <w:t xml:space="preserve"> 409-425.</w:t>
      </w:r>
    </w:p>
    <w:p w14:paraId="766B72BF" w14:textId="77777777" w:rsidR="00B952F9" w:rsidRPr="00B952F9" w:rsidRDefault="00B952F9" w:rsidP="00B952F9">
      <w:pPr>
        <w:spacing w:after="0" w:line="240" w:lineRule="auto"/>
        <w:ind w:left="288" w:hanging="288"/>
        <w:jc w:val="both"/>
        <w:rPr>
          <w:rFonts w:ascii="Times New Roman" w:hAnsi="Times New Roman" w:cs="Times New Roman"/>
        </w:rPr>
      </w:pPr>
      <w:r w:rsidRPr="00B952F9">
        <w:rPr>
          <w:rFonts w:ascii="Times New Roman" w:hAnsi="Times New Roman" w:cs="Times New Roman"/>
        </w:rPr>
        <w:t xml:space="preserve">Lokuwaduge, C. S. D. S. and Heenetigala, K. 2017. Integrating Environmental, Social and Governance (ESG) Disclosure for a Sustainable Development: An Australian Study. </w:t>
      </w:r>
      <w:r w:rsidRPr="00B952F9">
        <w:rPr>
          <w:rFonts w:ascii="Times New Roman" w:hAnsi="Times New Roman" w:cs="Times New Roman"/>
          <w:i/>
        </w:rPr>
        <w:t>Business Strategy and the Environment</w:t>
      </w:r>
      <w:r w:rsidRPr="00B952F9">
        <w:rPr>
          <w:rFonts w:ascii="Times New Roman" w:hAnsi="Times New Roman" w:cs="Times New Roman"/>
        </w:rPr>
        <w:t xml:space="preserve"> </w:t>
      </w:r>
      <w:r w:rsidRPr="00B952F9">
        <w:rPr>
          <w:rFonts w:ascii="Times New Roman" w:hAnsi="Times New Roman" w:cs="Times New Roman"/>
          <w:b/>
        </w:rPr>
        <w:t>26</w:t>
      </w:r>
      <w:r w:rsidRPr="00B952F9">
        <w:rPr>
          <w:rFonts w:ascii="Times New Roman" w:hAnsi="Times New Roman" w:cs="Times New Roman"/>
        </w:rPr>
        <w:t>, 438–450.</w:t>
      </w:r>
    </w:p>
    <w:p w14:paraId="131DED92" w14:textId="77777777" w:rsidR="00B952F9" w:rsidRPr="0014359D" w:rsidRDefault="00B952F9" w:rsidP="00B952F9">
      <w:pPr>
        <w:spacing w:after="0" w:line="240" w:lineRule="auto"/>
        <w:ind w:left="288" w:hanging="288"/>
        <w:jc w:val="both"/>
        <w:rPr>
          <w:rFonts w:ascii="Times New Roman" w:hAnsi="Times New Roman" w:cs="Times New Roman"/>
        </w:rPr>
      </w:pPr>
      <w:r>
        <w:rPr>
          <w:rFonts w:ascii="Times New Roman" w:hAnsi="Times New Roman" w:cs="Times New Roman"/>
        </w:rPr>
        <w:t>Luo, I., and Tang, Q. 2014</w:t>
      </w:r>
      <w:r w:rsidRPr="009F065E">
        <w:rPr>
          <w:rFonts w:ascii="Times New Roman" w:hAnsi="Times New Roman" w:cs="Times New Roman"/>
        </w:rPr>
        <w:t xml:space="preserve">. Does voluntary carbon disclosure reflect underlying carbon performance? </w:t>
      </w:r>
      <w:r w:rsidRPr="009F065E">
        <w:rPr>
          <w:rStyle w:val="Emphasis"/>
          <w:rFonts w:ascii="Times New Roman" w:hAnsi="Times New Roman" w:cs="Times New Roman"/>
        </w:rPr>
        <w:t>Journal of Cont</w:t>
      </w:r>
      <w:r>
        <w:rPr>
          <w:rStyle w:val="Emphasis"/>
          <w:rFonts w:ascii="Times New Roman" w:hAnsi="Times New Roman" w:cs="Times New Roman"/>
        </w:rPr>
        <w:t>emporary Accounting &amp; Economics</w:t>
      </w:r>
      <w:r w:rsidRPr="009F065E">
        <w:rPr>
          <w:rFonts w:ascii="Times New Roman" w:hAnsi="Times New Roman" w:cs="Times New Roman"/>
        </w:rPr>
        <w:t xml:space="preserve"> </w:t>
      </w:r>
      <w:r w:rsidRPr="0081274C">
        <w:rPr>
          <w:rStyle w:val="Emphasis"/>
          <w:rFonts w:ascii="Times New Roman" w:hAnsi="Times New Roman" w:cs="Times New Roman"/>
          <w:b/>
          <w:i w:val="0"/>
        </w:rPr>
        <w:t>10</w:t>
      </w:r>
      <w:r>
        <w:rPr>
          <w:rFonts w:ascii="Times New Roman" w:hAnsi="Times New Roman" w:cs="Times New Roman"/>
        </w:rPr>
        <w:t xml:space="preserve">: </w:t>
      </w:r>
      <w:r w:rsidRPr="009F065E">
        <w:rPr>
          <w:rFonts w:ascii="Times New Roman" w:hAnsi="Times New Roman" w:cs="Times New Roman"/>
        </w:rPr>
        <w:t>191–205.</w:t>
      </w:r>
    </w:p>
    <w:p w14:paraId="7E2FA7F7" w14:textId="77777777" w:rsidR="00B952F9" w:rsidRPr="0014359D" w:rsidRDefault="00B952F9" w:rsidP="00B952F9">
      <w:pPr>
        <w:spacing w:after="0" w:line="240" w:lineRule="auto"/>
        <w:ind w:left="288" w:hanging="288"/>
        <w:jc w:val="both"/>
        <w:rPr>
          <w:rFonts w:ascii="Times New Roman" w:hAnsi="Times New Roman" w:cs="Times New Roman"/>
        </w:rPr>
      </w:pPr>
      <w:r w:rsidRPr="00996327">
        <w:rPr>
          <w:rFonts w:ascii="Times New Roman" w:hAnsi="Times New Roman" w:cs="Times New Roman"/>
        </w:rPr>
        <w:t>Luo, L.,</w:t>
      </w:r>
      <w:r>
        <w:rPr>
          <w:rFonts w:ascii="Times New Roman" w:hAnsi="Times New Roman" w:cs="Times New Roman"/>
        </w:rPr>
        <w:t xml:space="preserve"> Lan, Yi-Chen, and Tang, Q. 2012</w:t>
      </w:r>
      <w:r w:rsidRPr="00996327">
        <w:rPr>
          <w:rFonts w:ascii="Times New Roman" w:hAnsi="Times New Roman" w:cs="Times New Roman"/>
        </w:rPr>
        <w:t xml:space="preserve">. </w:t>
      </w:r>
      <w:r w:rsidRPr="009F065E">
        <w:rPr>
          <w:rFonts w:ascii="Times New Roman" w:hAnsi="Times New Roman" w:cs="Times New Roman"/>
        </w:rPr>
        <w:t xml:space="preserve">Corporate incentives to disclose carbon information: Evidence from CDP Global 500 report. </w:t>
      </w:r>
      <w:r w:rsidRPr="009F065E">
        <w:rPr>
          <w:rFonts w:ascii="Times New Roman" w:hAnsi="Times New Roman" w:cs="Times New Roman"/>
          <w:i/>
        </w:rPr>
        <w:t>Journal of International Fina</w:t>
      </w:r>
      <w:r>
        <w:rPr>
          <w:rFonts w:ascii="Times New Roman" w:hAnsi="Times New Roman" w:cs="Times New Roman"/>
          <w:i/>
        </w:rPr>
        <w:t>ncial Management and Accounting</w:t>
      </w:r>
      <w:r w:rsidRPr="009F065E">
        <w:rPr>
          <w:rFonts w:ascii="Times New Roman" w:hAnsi="Times New Roman" w:cs="Times New Roman"/>
          <w:i/>
        </w:rPr>
        <w:t xml:space="preserve"> </w:t>
      </w:r>
      <w:r w:rsidRPr="0081274C">
        <w:rPr>
          <w:rFonts w:ascii="Times New Roman" w:hAnsi="Times New Roman" w:cs="Times New Roman"/>
          <w:b/>
          <w:i/>
        </w:rPr>
        <w:t>23</w:t>
      </w:r>
      <w:r w:rsidRPr="0081274C">
        <w:rPr>
          <w:rFonts w:ascii="Times New Roman" w:hAnsi="Times New Roman" w:cs="Times New Roman"/>
          <w:b/>
        </w:rPr>
        <w:t>(2)</w:t>
      </w:r>
      <w:r>
        <w:rPr>
          <w:rFonts w:ascii="Times New Roman" w:hAnsi="Times New Roman" w:cs="Times New Roman"/>
        </w:rPr>
        <w:t>:</w:t>
      </w:r>
      <w:r w:rsidRPr="009F065E">
        <w:rPr>
          <w:rFonts w:ascii="Times New Roman" w:hAnsi="Times New Roman" w:cs="Times New Roman"/>
        </w:rPr>
        <w:t xml:space="preserve"> 93-120.</w:t>
      </w:r>
    </w:p>
    <w:p w14:paraId="054BBC33" w14:textId="77777777" w:rsidR="00B952F9" w:rsidRPr="00B952F9" w:rsidRDefault="00B952F9" w:rsidP="00B952F9">
      <w:pPr>
        <w:spacing w:after="0" w:line="240" w:lineRule="auto"/>
        <w:ind w:left="288" w:hanging="288"/>
        <w:jc w:val="both"/>
        <w:rPr>
          <w:rFonts w:ascii="Times New Roman" w:hAnsi="Times New Roman" w:cs="Times New Roman"/>
        </w:rPr>
      </w:pPr>
      <w:r w:rsidRPr="00B952F9">
        <w:rPr>
          <w:rFonts w:ascii="Times New Roman" w:hAnsi="Times New Roman" w:cs="Times New Roman"/>
        </w:rPr>
        <w:t xml:space="preserve">Maas, K. and Rosendaal, S. 2016. Sustainability Targets in Executive Remuneration: Targets, Time Frame, Country and Sector Specification. </w:t>
      </w:r>
      <w:r w:rsidRPr="00B952F9">
        <w:rPr>
          <w:rFonts w:ascii="Times New Roman" w:hAnsi="Times New Roman" w:cs="Times New Roman"/>
          <w:i/>
        </w:rPr>
        <w:t>Business Strategy and the Environment</w:t>
      </w:r>
      <w:r w:rsidRPr="00B952F9">
        <w:rPr>
          <w:rFonts w:ascii="Times New Roman" w:hAnsi="Times New Roman" w:cs="Times New Roman"/>
        </w:rPr>
        <w:t xml:space="preserve"> </w:t>
      </w:r>
      <w:r w:rsidRPr="00B952F9">
        <w:rPr>
          <w:rFonts w:ascii="Times New Roman" w:hAnsi="Times New Roman" w:cs="Times New Roman"/>
          <w:b/>
        </w:rPr>
        <w:t>25</w:t>
      </w:r>
      <w:r w:rsidRPr="00B952F9">
        <w:rPr>
          <w:rFonts w:ascii="Times New Roman" w:hAnsi="Times New Roman" w:cs="Times New Roman"/>
        </w:rPr>
        <w:t>, 390–401.</w:t>
      </w:r>
    </w:p>
    <w:p w14:paraId="457FA19B" w14:textId="77777777" w:rsidR="00B952F9" w:rsidRPr="0014359D" w:rsidRDefault="00B952F9" w:rsidP="00B952F9">
      <w:pPr>
        <w:spacing w:after="0" w:line="240" w:lineRule="auto"/>
        <w:ind w:left="288" w:hanging="288"/>
        <w:jc w:val="both"/>
        <w:rPr>
          <w:rFonts w:ascii="Times New Roman" w:hAnsi="Times New Roman" w:cs="Times New Roman"/>
          <w:color w:val="000000" w:themeColor="text1"/>
          <w:lang w:val="en-US"/>
        </w:rPr>
      </w:pPr>
      <w:r w:rsidRPr="009F065E">
        <w:rPr>
          <w:rFonts w:ascii="Times New Roman" w:hAnsi="Times New Roman" w:cs="Times New Roman"/>
          <w:color w:val="000000" w:themeColor="text1"/>
          <w:lang w:val="en-US"/>
        </w:rPr>
        <w:lastRenderedPageBreak/>
        <w:t>Mah</w:t>
      </w:r>
      <w:r>
        <w:rPr>
          <w:rFonts w:ascii="Times New Roman" w:hAnsi="Times New Roman" w:cs="Times New Roman"/>
          <w:color w:val="000000" w:themeColor="text1"/>
          <w:lang w:val="en-US"/>
        </w:rPr>
        <w:t>oney, L. S. and Thorn, L. 2006</w:t>
      </w:r>
      <w:r w:rsidRPr="009F065E">
        <w:rPr>
          <w:rFonts w:ascii="Times New Roman" w:hAnsi="Times New Roman" w:cs="Times New Roman"/>
          <w:color w:val="000000" w:themeColor="text1"/>
          <w:lang w:val="en-US"/>
        </w:rPr>
        <w:t xml:space="preserve">. An examination of the structure of executive compensation and corporate social responsibility: A Canadian investigation. </w:t>
      </w:r>
      <w:r w:rsidRPr="009F065E">
        <w:rPr>
          <w:rFonts w:ascii="Times New Roman" w:hAnsi="Times New Roman" w:cs="Times New Roman"/>
          <w:i/>
          <w:iCs/>
          <w:color w:val="000000" w:themeColor="text1"/>
          <w:lang w:val="en-US"/>
        </w:rPr>
        <w:t>Journal of</w:t>
      </w:r>
      <w:r w:rsidRPr="009F065E">
        <w:rPr>
          <w:rFonts w:ascii="Times New Roman" w:hAnsi="Times New Roman" w:cs="Times New Roman"/>
          <w:i/>
          <w:color w:val="000000" w:themeColor="text1"/>
          <w:lang w:val="en-US"/>
        </w:rPr>
        <w:t xml:space="preserve"> </w:t>
      </w:r>
      <w:r>
        <w:rPr>
          <w:rFonts w:ascii="Times New Roman" w:hAnsi="Times New Roman" w:cs="Times New Roman"/>
          <w:i/>
          <w:iCs/>
          <w:color w:val="000000" w:themeColor="text1"/>
          <w:lang w:val="en-US"/>
        </w:rPr>
        <w:t xml:space="preserve">Business Ethics </w:t>
      </w:r>
      <w:r w:rsidRPr="0081274C">
        <w:rPr>
          <w:rFonts w:ascii="Times New Roman" w:hAnsi="Times New Roman" w:cs="Times New Roman"/>
          <w:b/>
          <w:color w:val="000000" w:themeColor="text1"/>
          <w:lang w:val="en-US"/>
        </w:rPr>
        <w:t>69(2)</w:t>
      </w:r>
      <w:r>
        <w:rPr>
          <w:rFonts w:ascii="Times New Roman" w:hAnsi="Times New Roman" w:cs="Times New Roman"/>
          <w:color w:val="000000" w:themeColor="text1"/>
          <w:lang w:val="en-US"/>
        </w:rPr>
        <w:t>:</w:t>
      </w:r>
      <w:r w:rsidRPr="009F065E">
        <w:rPr>
          <w:rFonts w:ascii="Times New Roman" w:hAnsi="Times New Roman" w:cs="Times New Roman"/>
          <w:color w:val="000000" w:themeColor="text1"/>
          <w:lang w:val="en-US"/>
        </w:rPr>
        <w:t xml:space="preserve"> 149-162.</w:t>
      </w:r>
    </w:p>
    <w:p w14:paraId="4C67902C" w14:textId="77777777" w:rsidR="00B952F9" w:rsidRPr="0014359D" w:rsidRDefault="00B952F9" w:rsidP="00B952F9">
      <w:pPr>
        <w:spacing w:after="0" w:line="240" w:lineRule="auto"/>
        <w:ind w:left="288" w:hanging="288"/>
        <w:jc w:val="both"/>
        <w:rPr>
          <w:rFonts w:ascii="Times New Roman" w:hAnsi="Times New Roman" w:cs="Times New Roman"/>
        </w:rPr>
      </w:pPr>
      <w:r w:rsidRPr="009F065E">
        <w:rPr>
          <w:rFonts w:ascii="Times New Roman" w:hAnsi="Times New Roman" w:cs="Times New Roman"/>
        </w:rPr>
        <w:t>Ma</w:t>
      </w:r>
      <w:r>
        <w:rPr>
          <w:rFonts w:ascii="Times New Roman" w:hAnsi="Times New Roman" w:cs="Times New Roman"/>
        </w:rPr>
        <w:t>llin, C.A. and Michelon, G. 2011</w:t>
      </w:r>
      <w:r w:rsidRPr="009F065E">
        <w:rPr>
          <w:rFonts w:ascii="Times New Roman" w:hAnsi="Times New Roman" w:cs="Times New Roman"/>
        </w:rPr>
        <w:t xml:space="preserve">. Board reputation attributes and corporate social performance: an empirical investigation of US Best Corporate Citizens. </w:t>
      </w:r>
      <w:r w:rsidRPr="009F065E">
        <w:rPr>
          <w:rFonts w:ascii="Times New Roman" w:hAnsi="Times New Roman" w:cs="Times New Roman"/>
          <w:i/>
          <w:iCs/>
        </w:rPr>
        <w:t>Accounting and Business Research</w:t>
      </w:r>
      <w:r w:rsidRPr="009F065E">
        <w:rPr>
          <w:rFonts w:ascii="Times New Roman" w:hAnsi="Times New Roman" w:cs="Times New Roman"/>
        </w:rPr>
        <w:t xml:space="preserve"> </w:t>
      </w:r>
      <w:r w:rsidRPr="0081274C">
        <w:rPr>
          <w:rFonts w:ascii="Times New Roman" w:hAnsi="Times New Roman" w:cs="Times New Roman"/>
          <w:b/>
        </w:rPr>
        <w:t>41(2)</w:t>
      </w:r>
      <w:r>
        <w:rPr>
          <w:rFonts w:ascii="Times New Roman" w:hAnsi="Times New Roman" w:cs="Times New Roman"/>
        </w:rPr>
        <w:t>:</w:t>
      </w:r>
      <w:r w:rsidRPr="009F065E">
        <w:rPr>
          <w:rFonts w:ascii="Times New Roman" w:hAnsi="Times New Roman" w:cs="Times New Roman"/>
        </w:rPr>
        <w:t xml:space="preserve"> 119-144.</w:t>
      </w:r>
    </w:p>
    <w:p w14:paraId="3C12D229" w14:textId="77777777" w:rsidR="00B952F9" w:rsidRPr="00B952F9" w:rsidRDefault="00B952F9" w:rsidP="00B952F9">
      <w:pPr>
        <w:spacing w:after="0" w:line="240" w:lineRule="auto"/>
        <w:ind w:left="288" w:hanging="288"/>
        <w:jc w:val="both"/>
        <w:rPr>
          <w:rFonts w:ascii="Times New Roman" w:hAnsi="Times New Roman" w:cs="Times New Roman"/>
        </w:rPr>
      </w:pPr>
      <w:r w:rsidRPr="00831B33">
        <w:rPr>
          <w:rFonts w:ascii="Times New Roman" w:hAnsi="Times New Roman" w:cs="Times New Roman"/>
        </w:rPr>
        <w:t xml:space="preserve">Martínez-Ferrero, J. and Frías-Aceituno, J. V. 2015. </w:t>
      </w:r>
      <w:r w:rsidRPr="00B952F9">
        <w:rPr>
          <w:rFonts w:ascii="Times New Roman" w:hAnsi="Times New Roman" w:cs="Times New Roman"/>
        </w:rPr>
        <w:t xml:space="preserve">Relationship Between Sustainable Development and Financial Performance: International Empirical Research. </w:t>
      </w:r>
      <w:r w:rsidRPr="00B952F9">
        <w:rPr>
          <w:rFonts w:ascii="Times New Roman" w:hAnsi="Times New Roman" w:cs="Times New Roman"/>
          <w:i/>
        </w:rPr>
        <w:t>Business Strategy and the Environment</w:t>
      </w:r>
      <w:r w:rsidRPr="00B952F9">
        <w:rPr>
          <w:rFonts w:ascii="Times New Roman" w:hAnsi="Times New Roman" w:cs="Times New Roman"/>
        </w:rPr>
        <w:t xml:space="preserve"> </w:t>
      </w:r>
      <w:r w:rsidRPr="00B952F9">
        <w:rPr>
          <w:rFonts w:ascii="Times New Roman" w:hAnsi="Times New Roman" w:cs="Times New Roman"/>
          <w:b/>
        </w:rPr>
        <w:t>24</w:t>
      </w:r>
      <w:r w:rsidRPr="00B952F9">
        <w:rPr>
          <w:rFonts w:ascii="Times New Roman" w:hAnsi="Times New Roman" w:cs="Times New Roman"/>
        </w:rPr>
        <w:t xml:space="preserve">, 20–39. </w:t>
      </w:r>
    </w:p>
    <w:p w14:paraId="39153122" w14:textId="77777777" w:rsidR="00B952F9" w:rsidRPr="0014359D" w:rsidRDefault="00B952F9" w:rsidP="00B952F9">
      <w:pPr>
        <w:spacing w:after="0" w:line="240" w:lineRule="auto"/>
        <w:ind w:left="288" w:hanging="288"/>
        <w:jc w:val="both"/>
        <w:rPr>
          <w:rFonts w:ascii="Times New Roman" w:hAnsi="Times New Roman" w:cs="Times New Roman"/>
          <w:color w:val="000000" w:themeColor="text1"/>
        </w:rPr>
      </w:pPr>
      <w:r w:rsidRPr="009F065E">
        <w:rPr>
          <w:rFonts w:ascii="Times New Roman" w:hAnsi="Times New Roman" w:cs="Times New Roman"/>
          <w:color w:val="000000" w:themeColor="text1"/>
        </w:rPr>
        <w:t>Matsumura, E. M., Prak</w:t>
      </w:r>
      <w:r>
        <w:rPr>
          <w:rFonts w:ascii="Times New Roman" w:hAnsi="Times New Roman" w:cs="Times New Roman"/>
          <w:color w:val="000000" w:themeColor="text1"/>
        </w:rPr>
        <w:t>ash, R. and Vera-Mu˜noz, S. C. 2014</w:t>
      </w:r>
      <w:r w:rsidRPr="009F065E">
        <w:rPr>
          <w:rFonts w:ascii="Times New Roman" w:hAnsi="Times New Roman" w:cs="Times New Roman"/>
          <w:color w:val="000000" w:themeColor="text1"/>
        </w:rPr>
        <w:t xml:space="preserve">. Firm-value effects of carbon emissions and carbon disclosures. </w:t>
      </w:r>
      <w:r w:rsidRPr="009F065E">
        <w:rPr>
          <w:rFonts w:ascii="Times New Roman" w:hAnsi="Times New Roman" w:cs="Times New Roman"/>
          <w:i/>
          <w:color w:val="000000" w:themeColor="text1"/>
        </w:rPr>
        <w:t>Accounting Review</w:t>
      </w:r>
      <w:r>
        <w:rPr>
          <w:rFonts w:ascii="Times New Roman" w:hAnsi="Times New Roman" w:cs="Times New Roman"/>
          <w:color w:val="000000" w:themeColor="text1"/>
        </w:rPr>
        <w:t xml:space="preserve"> </w:t>
      </w:r>
      <w:r w:rsidRPr="0081274C">
        <w:rPr>
          <w:rFonts w:ascii="Times New Roman" w:hAnsi="Times New Roman" w:cs="Times New Roman"/>
          <w:b/>
          <w:color w:val="000000" w:themeColor="text1"/>
        </w:rPr>
        <w:t>89(2)</w:t>
      </w:r>
      <w:r>
        <w:rPr>
          <w:rFonts w:ascii="Times New Roman" w:hAnsi="Times New Roman" w:cs="Times New Roman"/>
          <w:color w:val="000000" w:themeColor="text1"/>
        </w:rPr>
        <w:t>:</w:t>
      </w:r>
      <w:r w:rsidRPr="009F065E">
        <w:rPr>
          <w:rFonts w:ascii="Times New Roman" w:hAnsi="Times New Roman" w:cs="Times New Roman"/>
          <w:color w:val="000000" w:themeColor="text1"/>
        </w:rPr>
        <w:t xml:space="preserve"> 695-724.</w:t>
      </w:r>
    </w:p>
    <w:p w14:paraId="7D0AAEB4" w14:textId="77777777" w:rsidR="00B952F9" w:rsidRPr="0014359D" w:rsidRDefault="00B952F9" w:rsidP="00B952F9">
      <w:pPr>
        <w:spacing w:after="0" w:line="240" w:lineRule="auto"/>
        <w:ind w:left="288" w:hanging="288"/>
        <w:jc w:val="both"/>
        <w:rPr>
          <w:rFonts w:ascii="Times New Roman" w:hAnsi="Times New Roman" w:cs="Times New Roman"/>
        </w:rPr>
      </w:pPr>
      <w:r w:rsidRPr="009F065E">
        <w:rPr>
          <w:rFonts w:ascii="Times New Roman" w:hAnsi="Times New Roman" w:cs="Times New Roman"/>
          <w:color w:val="000000" w:themeColor="text1"/>
        </w:rPr>
        <w:t>Miche</w:t>
      </w:r>
      <w:r>
        <w:rPr>
          <w:rFonts w:ascii="Times New Roman" w:hAnsi="Times New Roman" w:cs="Times New Roman"/>
          <w:color w:val="000000" w:themeColor="text1"/>
        </w:rPr>
        <w:t>lon, G., and Parbonetti, A. 2012</w:t>
      </w:r>
      <w:r w:rsidRPr="009F065E">
        <w:rPr>
          <w:rFonts w:ascii="Times New Roman" w:hAnsi="Times New Roman" w:cs="Times New Roman"/>
          <w:color w:val="000000" w:themeColor="text1"/>
        </w:rPr>
        <w:t xml:space="preserve">. The effect of corporate governance on sustainability disclosure. </w:t>
      </w:r>
      <w:r w:rsidRPr="009F065E">
        <w:rPr>
          <w:rFonts w:ascii="Times New Roman" w:hAnsi="Times New Roman" w:cs="Times New Roman"/>
          <w:i/>
          <w:color w:val="000000" w:themeColor="text1"/>
        </w:rPr>
        <w:t>Journal of Management and Governance</w:t>
      </w:r>
      <w:r w:rsidRPr="009F065E">
        <w:rPr>
          <w:rFonts w:ascii="Times New Roman" w:hAnsi="Times New Roman" w:cs="Times New Roman"/>
          <w:color w:val="000000" w:themeColor="text1"/>
        </w:rPr>
        <w:t xml:space="preserve"> </w:t>
      </w:r>
      <w:r w:rsidRPr="009F065E">
        <w:rPr>
          <w:rFonts w:ascii="Times New Roman" w:hAnsi="Times New Roman" w:cs="Times New Roman"/>
          <w:i/>
          <w:color w:val="000000" w:themeColor="text1"/>
        </w:rPr>
        <w:t>16</w:t>
      </w:r>
      <w:r w:rsidRPr="009F065E">
        <w:rPr>
          <w:rFonts w:ascii="Times New Roman" w:hAnsi="Times New Roman" w:cs="Times New Roman"/>
          <w:color w:val="000000" w:themeColor="text1"/>
        </w:rPr>
        <w:t>(3), 477–509.</w:t>
      </w:r>
    </w:p>
    <w:p w14:paraId="1DDD28ED" w14:textId="77777777" w:rsidR="00B952F9" w:rsidRPr="0014359D" w:rsidRDefault="00B952F9" w:rsidP="00B952F9">
      <w:pPr>
        <w:spacing w:after="0" w:line="240" w:lineRule="auto"/>
        <w:ind w:left="288" w:hanging="288"/>
        <w:jc w:val="both"/>
        <w:rPr>
          <w:rFonts w:ascii="Times New Roman" w:hAnsi="Times New Roman" w:cs="Times New Roman"/>
          <w:lang w:val="en-US"/>
        </w:rPr>
      </w:pPr>
      <w:r>
        <w:rPr>
          <w:rFonts w:ascii="Times New Roman" w:hAnsi="Times New Roman" w:cs="Times New Roman"/>
          <w:lang w:val="en-US"/>
        </w:rPr>
        <w:t>Milne, M., and Gray, R. 2013</w:t>
      </w:r>
      <w:r w:rsidRPr="009F065E">
        <w:rPr>
          <w:rFonts w:ascii="Times New Roman" w:hAnsi="Times New Roman" w:cs="Times New Roman"/>
          <w:lang w:val="en-US"/>
        </w:rPr>
        <w:t xml:space="preserve">. W(h)ither Ecology? The Triple Bottom Line, the Global Reporting Initiative, and Corporate Sustainability Reporting. </w:t>
      </w:r>
      <w:r w:rsidRPr="009F065E">
        <w:rPr>
          <w:rFonts w:ascii="Times New Roman" w:hAnsi="Times New Roman" w:cs="Times New Roman"/>
          <w:i/>
          <w:iCs/>
          <w:lang w:val="en-US"/>
        </w:rPr>
        <w:t>J</w:t>
      </w:r>
      <w:r>
        <w:rPr>
          <w:rFonts w:ascii="Times New Roman" w:hAnsi="Times New Roman" w:cs="Times New Roman"/>
          <w:i/>
          <w:iCs/>
          <w:lang w:val="en-US"/>
        </w:rPr>
        <w:t xml:space="preserve">ournal of Business Ethics </w:t>
      </w:r>
      <w:r w:rsidRPr="0081274C">
        <w:rPr>
          <w:rFonts w:ascii="Times New Roman" w:hAnsi="Times New Roman" w:cs="Times New Roman"/>
          <w:b/>
          <w:iCs/>
          <w:lang w:val="en-US"/>
        </w:rPr>
        <w:t>118</w:t>
      </w:r>
      <w:r w:rsidRPr="0081274C">
        <w:rPr>
          <w:rFonts w:ascii="Times New Roman" w:hAnsi="Times New Roman" w:cs="Times New Roman"/>
          <w:b/>
          <w:lang w:val="en-US"/>
        </w:rPr>
        <w:t>(1)</w:t>
      </w:r>
      <w:r>
        <w:rPr>
          <w:rFonts w:ascii="Times New Roman" w:hAnsi="Times New Roman" w:cs="Times New Roman"/>
          <w:lang w:val="en-US"/>
        </w:rPr>
        <w:t>:</w:t>
      </w:r>
      <w:r w:rsidRPr="009F065E">
        <w:rPr>
          <w:rFonts w:ascii="Times New Roman" w:hAnsi="Times New Roman" w:cs="Times New Roman"/>
          <w:lang w:val="en-US"/>
        </w:rPr>
        <w:t xml:space="preserve"> 13-29. </w:t>
      </w:r>
      <w:hyperlink r:id="rId27" w:history="1">
        <w:r w:rsidRPr="009F065E">
          <w:rPr>
            <w:rStyle w:val="Hyperlink"/>
            <w:rFonts w:ascii="Times New Roman" w:hAnsi="Times New Roman" w:cs="Times New Roman"/>
            <w:lang w:val="en-US"/>
          </w:rPr>
          <w:t>http://dx.doi.org/10.1007/s10551-012-1543-8</w:t>
        </w:r>
      </w:hyperlink>
      <w:r w:rsidRPr="009F065E">
        <w:rPr>
          <w:rFonts w:ascii="Times New Roman" w:hAnsi="Times New Roman" w:cs="Times New Roman"/>
          <w:lang w:val="en-US"/>
        </w:rPr>
        <w:t xml:space="preserve"> </w:t>
      </w:r>
    </w:p>
    <w:p w14:paraId="4877D78D" w14:textId="77777777" w:rsidR="00B952F9" w:rsidRPr="0014359D" w:rsidRDefault="00B952F9" w:rsidP="00B952F9">
      <w:pPr>
        <w:spacing w:after="0" w:line="240" w:lineRule="auto"/>
        <w:ind w:left="288" w:hanging="288"/>
        <w:jc w:val="both"/>
        <w:rPr>
          <w:rFonts w:ascii="Times New Roman" w:hAnsi="Times New Roman" w:cs="Times New Roman"/>
          <w:color w:val="000000" w:themeColor="text1"/>
        </w:rPr>
      </w:pPr>
      <w:r>
        <w:rPr>
          <w:rFonts w:ascii="Times New Roman" w:hAnsi="Times New Roman" w:cs="Times New Roman"/>
          <w:lang w:val="en-US"/>
        </w:rPr>
        <w:t>Moneva, J. M., Archel, P., and Correa, C. 2006</w:t>
      </w:r>
      <w:r w:rsidRPr="009F065E">
        <w:rPr>
          <w:rFonts w:ascii="Times New Roman" w:hAnsi="Times New Roman" w:cs="Times New Roman"/>
          <w:lang w:val="en-US"/>
        </w:rPr>
        <w:t xml:space="preserve">. GRI and the camouflaging of corporate unsustainability. </w:t>
      </w:r>
      <w:r w:rsidRPr="009F065E">
        <w:rPr>
          <w:rFonts w:ascii="Times New Roman" w:hAnsi="Times New Roman" w:cs="Times New Roman"/>
          <w:i/>
          <w:lang w:val="en-US"/>
        </w:rPr>
        <w:t>Accounting Forum</w:t>
      </w:r>
      <w:r w:rsidRPr="009F065E">
        <w:rPr>
          <w:rFonts w:ascii="Times New Roman" w:hAnsi="Times New Roman" w:cs="Times New Roman"/>
          <w:lang w:val="en-US"/>
        </w:rPr>
        <w:t xml:space="preserve"> </w:t>
      </w:r>
      <w:r w:rsidRPr="00967F39">
        <w:rPr>
          <w:rFonts w:ascii="Times New Roman" w:hAnsi="Times New Roman" w:cs="Times New Roman"/>
          <w:b/>
          <w:lang w:val="en-US"/>
        </w:rPr>
        <w:t>30(2)</w:t>
      </w:r>
      <w:r>
        <w:rPr>
          <w:rFonts w:ascii="Times New Roman" w:hAnsi="Times New Roman" w:cs="Times New Roman"/>
          <w:lang w:val="en-US"/>
        </w:rPr>
        <w:t>:</w:t>
      </w:r>
      <w:r w:rsidRPr="009F065E">
        <w:rPr>
          <w:rFonts w:ascii="Times New Roman" w:hAnsi="Times New Roman" w:cs="Times New Roman"/>
          <w:lang w:val="en-US"/>
        </w:rPr>
        <w:t xml:space="preserve"> 121–137.</w:t>
      </w:r>
    </w:p>
    <w:p w14:paraId="389512B1" w14:textId="77777777" w:rsidR="00B952F9" w:rsidRPr="0014359D" w:rsidRDefault="00B952F9" w:rsidP="00B952F9">
      <w:pPr>
        <w:spacing w:after="0" w:line="240" w:lineRule="auto"/>
        <w:ind w:left="288" w:hanging="288"/>
        <w:jc w:val="both"/>
        <w:rPr>
          <w:rFonts w:ascii="Times New Roman" w:hAnsi="Times New Roman" w:cs="Times New Roman"/>
          <w:color w:val="000000" w:themeColor="text1"/>
        </w:rPr>
      </w:pPr>
      <w:r w:rsidRPr="009F065E">
        <w:rPr>
          <w:rFonts w:ascii="Times New Roman" w:hAnsi="Times New Roman" w:cs="Times New Roman"/>
          <w:lang w:val="en-US"/>
        </w:rPr>
        <w:lastRenderedPageBreak/>
        <w:t xml:space="preserve">Morhardt, J. E., Baird, S., </w:t>
      </w:r>
      <w:r>
        <w:rPr>
          <w:rFonts w:ascii="Times New Roman" w:hAnsi="Times New Roman" w:cs="Times New Roman"/>
          <w:lang w:val="en-US"/>
        </w:rPr>
        <w:t>and</w:t>
      </w:r>
      <w:r w:rsidRPr="009F065E">
        <w:rPr>
          <w:rFonts w:ascii="Times New Roman" w:hAnsi="Times New Roman" w:cs="Times New Roman"/>
          <w:lang w:val="en-US"/>
        </w:rPr>
        <w:t xml:space="preserve"> Freeman, K. 2002. Scoring corporate environmental and sustainability reports using GRI 2000, ISO 14031 and other criteria. </w:t>
      </w:r>
      <w:r w:rsidRPr="009F065E">
        <w:rPr>
          <w:rFonts w:ascii="Times New Roman" w:hAnsi="Times New Roman" w:cs="Times New Roman"/>
          <w:i/>
          <w:lang w:val="en-US"/>
        </w:rPr>
        <w:t>Corporate Social Responsibility and Environmental Management</w:t>
      </w:r>
      <w:r w:rsidRPr="009F065E">
        <w:rPr>
          <w:rFonts w:ascii="Times New Roman" w:hAnsi="Times New Roman" w:cs="Times New Roman"/>
          <w:lang w:val="en-US"/>
        </w:rPr>
        <w:t xml:space="preserve"> </w:t>
      </w:r>
      <w:r w:rsidRPr="00967F39">
        <w:rPr>
          <w:rFonts w:ascii="Times New Roman" w:hAnsi="Times New Roman" w:cs="Times New Roman"/>
          <w:b/>
          <w:lang w:val="en-US"/>
        </w:rPr>
        <w:t>9</w:t>
      </w:r>
      <w:r>
        <w:rPr>
          <w:rFonts w:ascii="Times New Roman" w:hAnsi="Times New Roman" w:cs="Times New Roman"/>
          <w:lang w:val="en-US"/>
        </w:rPr>
        <w:t>:</w:t>
      </w:r>
      <w:r w:rsidRPr="009F065E">
        <w:rPr>
          <w:rFonts w:ascii="Times New Roman" w:hAnsi="Times New Roman" w:cs="Times New Roman"/>
          <w:lang w:val="en-US"/>
        </w:rPr>
        <w:t xml:space="preserve"> 215–233.</w:t>
      </w:r>
    </w:p>
    <w:p w14:paraId="49FADB4E" w14:textId="77777777" w:rsidR="00B952F9" w:rsidRPr="0014359D" w:rsidRDefault="00B952F9" w:rsidP="00B952F9">
      <w:pPr>
        <w:spacing w:after="0" w:line="240" w:lineRule="auto"/>
        <w:ind w:left="288" w:hanging="288"/>
        <w:jc w:val="both"/>
        <w:rPr>
          <w:rFonts w:ascii="Times New Roman" w:hAnsi="Times New Roman" w:cs="Times New Roman"/>
        </w:rPr>
      </w:pPr>
      <w:r>
        <w:rPr>
          <w:rFonts w:ascii="Times New Roman" w:hAnsi="Times New Roman" w:cs="Times New Roman"/>
        </w:rPr>
        <w:t>Ntim, C. G. 2016</w:t>
      </w:r>
      <w:r w:rsidRPr="009F065E">
        <w:rPr>
          <w:rFonts w:ascii="Times New Roman" w:hAnsi="Times New Roman" w:cs="Times New Roman"/>
        </w:rPr>
        <w:t xml:space="preserve">. Corporate governance, corporate health accounting, and firm value: The case of HIV/AIDS disclosures in Sub-Saharan Africa. </w:t>
      </w:r>
      <w:r w:rsidRPr="009F065E">
        <w:rPr>
          <w:rFonts w:ascii="Times New Roman" w:hAnsi="Times New Roman" w:cs="Times New Roman"/>
          <w:i/>
        </w:rPr>
        <w:t>International Journal of Accounting</w:t>
      </w:r>
      <w:r w:rsidRPr="009F065E">
        <w:rPr>
          <w:rFonts w:ascii="Times New Roman" w:hAnsi="Times New Roman" w:cs="Times New Roman"/>
        </w:rPr>
        <w:t xml:space="preserve"> </w:t>
      </w:r>
      <w:r w:rsidRPr="002B03C9">
        <w:rPr>
          <w:rFonts w:ascii="Times New Roman" w:hAnsi="Times New Roman" w:cs="Times New Roman"/>
          <w:b/>
        </w:rPr>
        <w:t>51(2)</w:t>
      </w:r>
      <w:r>
        <w:rPr>
          <w:rFonts w:ascii="Times New Roman" w:hAnsi="Times New Roman" w:cs="Times New Roman"/>
        </w:rPr>
        <w:t>:</w:t>
      </w:r>
      <w:r w:rsidRPr="009F065E">
        <w:rPr>
          <w:rFonts w:ascii="Times New Roman" w:hAnsi="Times New Roman" w:cs="Times New Roman"/>
        </w:rPr>
        <w:t xml:space="preserve"> 155–216.</w:t>
      </w:r>
    </w:p>
    <w:p w14:paraId="37BC125B" w14:textId="77777777" w:rsidR="00B952F9" w:rsidRDefault="00B952F9" w:rsidP="00B952F9">
      <w:pPr>
        <w:spacing w:after="0" w:line="240" w:lineRule="auto"/>
        <w:ind w:left="288" w:hanging="288"/>
        <w:jc w:val="both"/>
        <w:rPr>
          <w:rFonts w:ascii="Times New Roman" w:hAnsi="Times New Roman" w:cs="Times New Roman"/>
        </w:rPr>
      </w:pPr>
      <w:r>
        <w:rPr>
          <w:rFonts w:ascii="Times New Roman" w:hAnsi="Times New Roman" w:cs="Times New Roman"/>
        </w:rPr>
        <w:t xml:space="preserve">Ntim, C. G., and Soobaroyen, T. </w:t>
      </w:r>
      <w:r w:rsidRPr="009F065E">
        <w:rPr>
          <w:rFonts w:ascii="Times New Roman" w:hAnsi="Times New Roman" w:cs="Times New Roman"/>
        </w:rPr>
        <w:t>2013</w:t>
      </w:r>
      <w:r>
        <w:rPr>
          <w:rFonts w:ascii="Times New Roman" w:hAnsi="Times New Roman" w:cs="Times New Roman"/>
        </w:rPr>
        <w:t>a</w:t>
      </w:r>
      <w:r w:rsidRPr="009F065E">
        <w:rPr>
          <w:rFonts w:ascii="Times New Roman" w:hAnsi="Times New Roman" w:cs="Times New Roman"/>
        </w:rPr>
        <w:t xml:space="preserve">. Corporate governance and performance in socially responsible corporations: New empirical insights from a neo-institutional framework. </w:t>
      </w:r>
      <w:r w:rsidRPr="009F065E">
        <w:rPr>
          <w:rFonts w:ascii="Times New Roman" w:hAnsi="Times New Roman" w:cs="Times New Roman"/>
          <w:i/>
        </w:rPr>
        <w:t>Corporate Governance: An International Review</w:t>
      </w:r>
      <w:r w:rsidRPr="009F065E">
        <w:rPr>
          <w:rFonts w:ascii="Times New Roman" w:hAnsi="Times New Roman" w:cs="Times New Roman"/>
        </w:rPr>
        <w:t xml:space="preserve"> </w:t>
      </w:r>
      <w:r w:rsidRPr="002B03C9">
        <w:rPr>
          <w:rFonts w:ascii="Times New Roman" w:hAnsi="Times New Roman" w:cs="Times New Roman"/>
          <w:b/>
        </w:rPr>
        <w:t>21(5)</w:t>
      </w:r>
      <w:r>
        <w:rPr>
          <w:rFonts w:ascii="Times New Roman" w:hAnsi="Times New Roman" w:cs="Times New Roman"/>
        </w:rPr>
        <w:t>:</w:t>
      </w:r>
      <w:r w:rsidRPr="009F065E">
        <w:rPr>
          <w:rFonts w:ascii="Times New Roman" w:hAnsi="Times New Roman" w:cs="Times New Roman"/>
        </w:rPr>
        <w:t xml:space="preserve"> 468–494.</w:t>
      </w:r>
    </w:p>
    <w:p w14:paraId="451910CA" w14:textId="77777777" w:rsidR="00B952F9" w:rsidRPr="00D65CBE" w:rsidRDefault="00B952F9" w:rsidP="00B952F9">
      <w:pPr>
        <w:spacing w:after="0" w:line="240" w:lineRule="auto"/>
        <w:ind w:left="288" w:hanging="288"/>
        <w:jc w:val="both"/>
        <w:rPr>
          <w:rFonts w:ascii="Times New Roman" w:hAnsi="Times New Roman" w:cs="Times New Roman"/>
        </w:rPr>
      </w:pPr>
      <w:r>
        <w:rPr>
          <w:rFonts w:ascii="Times New Roman" w:hAnsi="Times New Roman" w:cs="Times New Roman"/>
        </w:rPr>
        <w:t xml:space="preserve">Ntim, C.G. and Soobaroyen, T. </w:t>
      </w:r>
      <w:r w:rsidRPr="009F065E">
        <w:rPr>
          <w:rFonts w:ascii="Times New Roman" w:hAnsi="Times New Roman" w:cs="Times New Roman"/>
        </w:rPr>
        <w:t>2013</w:t>
      </w:r>
      <w:r w:rsidRPr="00D65CBE">
        <w:rPr>
          <w:rFonts w:ascii="Times New Roman" w:hAnsi="Times New Roman" w:cs="Times New Roman"/>
        </w:rPr>
        <w:t>b</w:t>
      </w:r>
      <w:r w:rsidRPr="009F065E">
        <w:rPr>
          <w:rFonts w:ascii="Times New Roman" w:hAnsi="Times New Roman" w:cs="Times New Roman"/>
        </w:rPr>
        <w:t xml:space="preserve">. ‘Black Economic Empowerment Disclosures by South African Listed Corporations: The Influence of Ownership and Board Characteristics’, </w:t>
      </w:r>
      <w:r w:rsidRPr="009F065E">
        <w:rPr>
          <w:rFonts w:ascii="Times New Roman" w:hAnsi="Times New Roman" w:cs="Times New Roman"/>
          <w:i/>
        </w:rPr>
        <w:t xml:space="preserve">Journal of Business Ethics </w:t>
      </w:r>
      <w:r w:rsidRPr="002B03C9">
        <w:rPr>
          <w:rFonts w:ascii="Times New Roman" w:hAnsi="Times New Roman" w:cs="Times New Roman"/>
          <w:b/>
        </w:rPr>
        <w:t>116(1)</w:t>
      </w:r>
      <w:r>
        <w:rPr>
          <w:rFonts w:ascii="Times New Roman" w:hAnsi="Times New Roman" w:cs="Times New Roman"/>
        </w:rPr>
        <w:t>:</w:t>
      </w:r>
      <w:r w:rsidRPr="009F065E">
        <w:rPr>
          <w:rFonts w:ascii="Times New Roman" w:hAnsi="Times New Roman" w:cs="Times New Roman"/>
        </w:rPr>
        <w:t xml:space="preserve"> 121-138.</w:t>
      </w:r>
    </w:p>
    <w:p w14:paraId="6DA5E627" w14:textId="5B6C0753" w:rsidR="00B952F9" w:rsidRPr="0014359D" w:rsidRDefault="00B952F9" w:rsidP="00B952F9">
      <w:pPr>
        <w:spacing w:after="0" w:line="240" w:lineRule="auto"/>
        <w:ind w:left="288" w:hanging="288"/>
        <w:jc w:val="both"/>
        <w:rPr>
          <w:rFonts w:ascii="Times New Roman" w:hAnsi="Times New Roman" w:cs="Times New Roman"/>
          <w:color w:val="000000" w:themeColor="text1"/>
        </w:rPr>
      </w:pPr>
      <w:r>
        <w:rPr>
          <w:rFonts w:ascii="Times New Roman" w:hAnsi="Times New Roman" w:cs="Times New Roman"/>
          <w:color w:val="000000" w:themeColor="text1"/>
        </w:rPr>
        <w:t xml:space="preserve">Okereke, C. </w:t>
      </w:r>
      <w:r w:rsidRPr="009F065E">
        <w:rPr>
          <w:rFonts w:ascii="Times New Roman" w:hAnsi="Times New Roman" w:cs="Times New Roman"/>
          <w:color w:val="000000" w:themeColor="text1"/>
        </w:rPr>
        <w:t>2007. An Exploration of Motivations, Drivers and Barriers to Carbon Management: The UK FTSE 100</w:t>
      </w:r>
      <w:r w:rsidRPr="009F065E">
        <w:rPr>
          <w:rFonts w:ascii="Times New Roman" w:hAnsi="Times New Roman" w:cs="Times New Roman"/>
          <w:i/>
          <w:color w:val="000000" w:themeColor="text1"/>
        </w:rPr>
        <w:t>. European Management Jo</w:t>
      </w:r>
      <w:r>
        <w:rPr>
          <w:rFonts w:ascii="Times New Roman" w:hAnsi="Times New Roman" w:cs="Times New Roman"/>
          <w:i/>
          <w:color w:val="000000" w:themeColor="text1"/>
        </w:rPr>
        <w:t>urnal</w:t>
      </w:r>
      <w:r w:rsidRPr="009F065E">
        <w:rPr>
          <w:rFonts w:ascii="Times New Roman" w:hAnsi="Times New Roman" w:cs="Times New Roman"/>
          <w:color w:val="000000" w:themeColor="text1"/>
        </w:rPr>
        <w:t xml:space="preserve"> </w:t>
      </w:r>
      <w:r w:rsidRPr="00B952F9">
        <w:rPr>
          <w:rFonts w:ascii="Times New Roman" w:hAnsi="Times New Roman" w:cs="Times New Roman"/>
          <w:b/>
          <w:color w:val="000000" w:themeColor="text1"/>
        </w:rPr>
        <w:t>25(6)</w:t>
      </w:r>
      <w:r w:rsidRPr="009F065E">
        <w:rPr>
          <w:rFonts w:ascii="Times New Roman" w:hAnsi="Times New Roman" w:cs="Times New Roman"/>
          <w:color w:val="000000" w:themeColor="text1"/>
        </w:rPr>
        <w:t>, 475–486.</w:t>
      </w:r>
    </w:p>
    <w:p w14:paraId="107B5F08" w14:textId="77777777" w:rsidR="00B952F9" w:rsidRPr="0014359D" w:rsidRDefault="00B952F9" w:rsidP="00B952F9">
      <w:pPr>
        <w:spacing w:after="0" w:line="240" w:lineRule="auto"/>
        <w:ind w:left="288" w:hanging="288"/>
        <w:jc w:val="both"/>
        <w:rPr>
          <w:rFonts w:ascii="Times New Roman" w:hAnsi="Times New Roman" w:cs="Times New Roman"/>
        </w:rPr>
      </w:pPr>
      <w:r>
        <w:rPr>
          <w:rFonts w:ascii="Times New Roman" w:hAnsi="Times New Roman" w:cs="Times New Roman"/>
        </w:rPr>
        <w:t>Oliver, C. 1991</w:t>
      </w:r>
      <w:r w:rsidRPr="009F065E">
        <w:rPr>
          <w:rFonts w:ascii="Times New Roman" w:hAnsi="Times New Roman" w:cs="Times New Roman"/>
        </w:rPr>
        <w:t xml:space="preserve">. Strategic responses to institutional processes. </w:t>
      </w:r>
      <w:r w:rsidRPr="009F065E">
        <w:rPr>
          <w:rFonts w:ascii="Times New Roman" w:hAnsi="Times New Roman" w:cs="Times New Roman"/>
          <w:i/>
          <w:iCs/>
        </w:rPr>
        <w:t>Academy of Management Review</w:t>
      </w:r>
      <w:r w:rsidRPr="009F065E">
        <w:rPr>
          <w:rFonts w:ascii="Times New Roman" w:hAnsi="Times New Roman" w:cs="Times New Roman"/>
        </w:rPr>
        <w:t xml:space="preserve"> </w:t>
      </w:r>
      <w:r w:rsidRPr="002B03C9">
        <w:rPr>
          <w:rFonts w:ascii="Times New Roman" w:hAnsi="Times New Roman" w:cs="Times New Roman"/>
          <w:b/>
        </w:rPr>
        <w:t>16(1)</w:t>
      </w:r>
      <w:r>
        <w:rPr>
          <w:rFonts w:ascii="Times New Roman" w:hAnsi="Times New Roman" w:cs="Times New Roman"/>
        </w:rPr>
        <w:t>:</w:t>
      </w:r>
      <w:r w:rsidRPr="009F065E">
        <w:rPr>
          <w:rFonts w:ascii="Times New Roman" w:hAnsi="Times New Roman" w:cs="Times New Roman"/>
        </w:rPr>
        <w:t xml:space="preserve"> 145-179.</w:t>
      </w:r>
    </w:p>
    <w:p w14:paraId="67F968EE" w14:textId="77777777" w:rsidR="00B952F9" w:rsidRPr="0014359D" w:rsidRDefault="00B952F9" w:rsidP="00B952F9">
      <w:pPr>
        <w:spacing w:after="0" w:line="240" w:lineRule="auto"/>
        <w:ind w:left="288" w:hanging="288"/>
        <w:jc w:val="both"/>
        <w:rPr>
          <w:rFonts w:ascii="Times New Roman" w:hAnsi="Times New Roman" w:cs="Times New Roman"/>
          <w:bCs/>
          <w:lang w:val="en-US"/>
        </w:rPr>
      </w:pPr>
      <w:r w:rsidRPr="009F065E">
        <w:rPr>
          <w:rFonts w:ascii="Times New Roman" w:hAnsi="Times New Roman" w:cs="Times New Roman"/>
          <w:bCs/>
          <w:lang w:val="en-US"/>
        </w:rPr>
        <w:t>Ortas, E</w:t>
      </w:r>
      <w:r>
        <w:rPr>
          <w:rFonts w:ascii="Times New Roman" w:hAnsi="Times New Roman" w:cs="Times New Roman"/>
          <w:bCs/>
          <w:lang w:val="en-US"/>
        </w:rPr>
        <w:t>., Álvarez, I. and Garayar, A. 2015</w:t>
      </w:r>
      <w:r w:rsidRPr="009F065E">
        <w:rPr>
          <w:rFonts w:ascii="Times New Roman" w:hAnsi="Times New Roman" w:cs="Times New Roman"/>
          <w:bCs/>
          <w:lang w:val="en-US"/>
        </w:rPr>
        <w:t xml:space="preserve">. The environmental, social, governance, and financial performance effects on companies that adopt the United Nations global compact, </w:t>
      </w:r>
      <w:r w:rsidRPr="009F065E">
        <w:rPr>
          <w:rFonts w:ascii="Times New Roman" w:hAnsi="Times New Roman" w:cs="Times New Roman"/>
          <w:i/>
          <w:iCs/>
          <w:lang w:val="en-US"/>
        </w:rPr>
        <w:t xml:space="preserve">Sustainability </w:t>
      </w:r>
      <w:r w:rsidRPr="002B03C9">
        <w:rPr>
          <w:rFonts w:ascii="Times New Roman" w:hAnsi="Times New Roman" w:cs="Times New Roman"/>
          <w:b/>
          <w:iCs/>
          <w:lang w:val="en-US"/>
        </w:rPr>
        <w:t>7:</w:t>
      </w:r>
      <w:r>
        <w:rPr>
          <w:rFonts w:ascii="Times New Roman" w:hAnsi="Times New Roman" w:cs="Times New Roman"/>
          <w:lang w:val="en-US"/>
        </w:rPr>
        <w:t xml:space="preserve"> 1932-1956. DIO</w:t>
      </w:r>
      <w:r w:rsidRPr="009F065E">
        <w:rPr>
          <w:rFonts w:ascii="Times New Roman" w:hAnsi="Times New Roman" w:cs="Times New Roman"/>
          <w:lang w:val="en-US"/>
        </w:rPr>
        <w:t>:10.3390/su7021932</w:t>
      </w:r>
    </w:p>
    <w:p w14:paraId="663B670C" w14:textId="77777777" w:rsidR="00B952F9" w:rsidRPr="0014359D" w:rsidRDefault="00B952F9" w:rsidP="00B952F9">
      <w:pPr>
        <w:spacing w:after="0" w:line="240" w:lineRule="auto"/>
        <w:ind w:left="288" w:hanging="288"/>
        <w:jc w:val="both"/>
        <w:rPr>
          <w:rFonts w:ascii="Times New Roman" w:hAnsi="Times New Roman" w:cs="Times New Roman"/>
        </w:rPr>
      </w:pPr>
      <w:r>
        <w:rPr>
          <w:rFonts w:ascii="Times New Roman" w:hAnsi="Times New Roman" w:cs="Times New Roman"/>
        </w:rPr>
        <w:lastRenderedPageBreak/>
        <w:t xml:space="preserve">Pache, A.C. and Santos, F. </w:t>
      </w:r>
      <w:r w:rsidRPr="009F065E">
        <w:rPr>
          <w:rFonts w:ascii="Times New Roman" w:hAnsi="Times New Roman" w:cs="Times New Roman"/>
        </w:rPr>
        <w:t xml:space="preserve">2010. When worlds collide: The internal dynamics of organizational responses to conflicting demands. </w:t>
      </w:r>
      <w:r w:rsidRPr="009F065E">
        <w:rPr>
          <w:rFonts w:ascii="Times New Roman" w:hAnsi="Times New Roman" w:cs="Times New Roman"/>
          <w:i/>
        </w:rPr>
        <w:t>Academy of Management Review</w:t>
      </w:r>
      <w:r w:rsidRPr="009F065E">
        <w:rPr>
          <w:rFonts w:ascii="Times New Roman" w:hAnsi="Times New Roman" w:cs="Times New Roman"/>
        </w:rPr>
        <w:t xml:space="preserve"> </w:t>
      </w:r>
      <w:r w:rsidRPr="002B03C9">
        <w:rPr>
          <w:rFonts w:ascii="Times New Roman" w:hAnsi="Times New Roman" w:cs="Times New Roman"/>
          <w:b/>
        </w:rPr>
        <w:t>35(3)</w:t>
      </w:r>
      <w:r>
        <w:rPr>
          <w:rFonts w:ascii="Times New Roman" w:hAnsi="Times New Roman" w:cs="Times New Roman"/>
        </w:rPr>
        <w:t>:</w:t>
      </w:r>
      <w:r w:rsidRPr="009F065E">
        <w:rPr>
          <w:rFonts w:ascii="Times New Roman" w:hAnsi="Times New Roman" w:cs="Times New Roman"/>
        </w:rPr>
        <w:t xml:space="preserve"> 455-476.</w:t>
      </w:r>
    </w:p>
    <w:p w14:paraId="0FED297A" w14:textId="77777777" w:rsidR="00B952F9" w:rsidRPr="0014359D" w:rsidRDefault="00B952F9" w:rsidP="00B952F9">
      <w:pPr>
        <w:spacing w:after="0" w:line="240" w:lineRule="auto"/>
        <w:ind w:left="288" w:hanging="288"/>
        <w:jc w:val="both"/>
        <w:rPr>
          <w:rFonts w:ascii="Times New Roman" w:hAnsi="Times New Roman" w:cs="Times New Roman"/>
        </w:rPr>
      </w:pPr>
      <w:r w:rsidRPr="009F065E">
        <w:rPr>
          <w:rFonts w:ascii="Times New Roman" w:hAnsi="Times New Roman" w:cs="Times New Roman"/>
        </w:rPr>
        <w:t xml:space="preserve">Perez-Batres, L. </w:t>
      </w:r>
      <w:r>
        <w:rPr>
          <w:rFonts w:ascii="Times New Roman" w:hAnsi="Times New Roman" w:cs="Times New Roman"/>
        </w:rPr>
        <w:t>A., Doh, J. P., Miller, V. V., and</w:t>
      </w:r>
      <w:r w:rsidRPr="009F065E">
        <w:rPr>
          <w:rFonts w:ascii="Times New Roman" w:hAnsi="Times New Roman" w:cs="Times New Roman"/>
        </w:rPr>
        <w:t xml:space="preserve"> Pisani, M. J. (2012). Stakeholder pressures as determinants of CSR strategic choice: Why do firms choose symbolic versus substantive self-regulatory codes of conduct? </w:t>
      </w:r>
      <w:r w:rsidRPr="009F065E">
        <w:rPr>
          <w:rStyle w:val="Emphasis"/>
          <w:rFonts w:ascii="Times New Roman" w:hAnsi="Times New Roman" w:cs="Times New Roman"/>
        </w:rPr>
        <w:t>Journal of Business Ethics</w:t>
      </w:r>
      <w:r w:rsidRPr="009F065E">
        <w:rPr>
          <w:rFonts w:ascii="Times New Roman" w:hAnsi="Times New Roman" w:cs="Times New Roman"/>
        </w:rPr>
        <w:t xml:space="preserve"> </w:t>
      </w:r>
      <w:r w:rsidRPr="002B03C9">
        <w:rPr>
          <w:rStyle w:val="Emphasis"/>
          <w:rFonts w:ascii="Times New Roman" w:hAnsi="Times New Roman" w:cs="Times New Roman"/>
          <w:b/>
          <w:i w:val="0"/>
        </w:rPr>
        <w:t>110</w:t>
      </w:r>
      <w:r w:rsidRPr="002B03C9">
        <w:rPr>
          <w:rFonts w:ascii="Times New Roman" w:hAnsi="Times New Roman" w:cs="Times New Roman"/>
          <w:b/>
        </w:rPr>
        <w:t>(2)</w:t>
      </w:r>
      <w:r>
        <w:rPr>
          <w:rFonts w:ascii="Times New Roman" w:hAnsi="Times New Roman" w:cs="Times New Roman"/>
        </w:rPr>
        <w:t>:</w:t>
      </w:r>
      <w:r w:rsidRPr="009F065E">
        <w:rPr>
          <w:rFonts w:ascii="Times New Roman" w:hAnsi="Times New Roman" w:cs="Times New Roman"/>
        </w:rPr>
        <w:t xml:space="preserve"> 157–172.</w:t>
      </w:r>
    </w:p>
    <w:p w14:paraId="185CF94D" w14:textId="77777777" w:rsidR="00B952F9" w:rsidRPr="0014359D" w:rsidRDefault="00B952F9" w:rsidP="00B952F9">
      <w:pPr>
        <w:spacing w:after="0" w:line="240" w:lineRule="auto"/>
        <w:ind w:left="288" w:hanging="288"/>
        <w:jc w:val="both"/>
        <w:rPr>
          <w:rFonts w:ascii="Times New Roman" w:hAnsi="Times New Roman" w:cs="Times New Roman"/>
          <w:color w:val="000000" w:themeColor="text1"/>
        </w:rPr>
      </w:pPr>
      <w:r w:rsidRPr="00996327">
        <w:rPr>
          <w:rFonts w:ascii="Times New Roman" w:hAnsi="Times New Roman" w:cs="Times New Roman"/>
          <w:color w:val="000000" w:themeColor="text1"/>
        </w:rPr>
        <w:t xml:space="preserve">Prado-Lorenzo, </w:t>
      </w:r>
      <w:r>
        <w:rPr>
          <w:rFonts w:ascii="Times New Roman" w:hAnsi="Times New Roman" w:cs="Times New Roman"/>
          <w:color w:val="000000" w:themeColor="text1"/>
        </w:rPr>
        <w:t>J.-M., and Garcia-Sanchez, I.-M. 2010</w:t>
      </w:r>
      <w:r w:rsidRPr="00996327">
        <w:rPr>
          <w:rFonts w:ascii="Times New Roman" w:hAnsi="Times New Roman" w:cs="Times New Roman"/>
          <w:color w:val="000000" w:themeColor="text1"/>
        </w:rPr>
        <w:t xml:space="preserve">. </w:t>
      </w:r>
      <w:r w:rsidRPr="009F065E">
        <w:rPr>
          <w:rFonts w:ascii="Times New Roman" w:hAnsi="Times New Roman" w:cs="Times New Roman"/>
          <w:color w:val="000000" w:themeColor="text1"/>
        </w:rPr>
        <w:t xml:space="preserve">The role of the board of directors in disseminating relevant information on greenhouse gases. </w:t>
      </w:r>
      <w:r>
        <w:rPr>
          <w:rFonts w:ascii="Times New Roman" w:hAnsi="Times New Roman" w:cs="Times New Roman"/>
          <w:i/>
          <w:color w:val="000000" w:themeColor="text1"/>
        </w:rPr>
        <w:t>Journal of Business Ethics</w:t>
      </w:r>
      <w:r w:rsidRPr="009F065E">
        <w:rPr>
          <w:rFonts w:ascii="Times New Roman" w:hAnsi="Times New Roman" w:cs="Times New Roman"/>
          <w:color w:val="000000" w:themeColor="text1"/>
        </w:rPr>
        <w:t xml:space="preserve"> </w:t>
      </w:r>
      <w:r w:rsidRPr="002B03C9">
        <w:rPr>
          <w:rFonts w:ascii="Times New Roman" w:hAnsi="Times New Roman" w:cs="Times New Roman"/>
          <w:b/>
          <w:color w:val="000000" w:themeColor="text1"/>
        </w:rPr>
        <w:t>97(3)</w:t>
      </w:r>
      <w:r>
        <w:rPr>
          <w:rFonts w:ascii="Times New Roman" w:hAnsi="Times New Roman" w:cs="Times New Roman"/>
          <w:color w:val="000000" w:themeColor="text1"/>
        </w:rPr>
        <w:t>:</w:t>
      </w:r>
      <w:r w:rsidRPr="009F065E">
        <w:rPr>
          <w:rFonts w:ascii="Times New Roman" w:hAnsi="Times New Roman" w:cs="Times New Roman"/>
          <w:color w:val="000000" w:themeColor="text1"/>
        </w:rPr>
        <w:t xml:space="preserve"> 391–424.</w:t>
      </w:r>
    </w:p>
    <w:p w14:paraId="41D4B97E" w14:textId="77777777" w:rsidR="00B952F9" w:rsidRPr="0014359D" w:rsidRDefault="00B952F9" w:rsidP="00B952F9">
      <w:pPr>
        <w:spacing w:after="0" w:line="240" w:lineRule="auto"/>
        <w:ind w:left="288" w:hanging="288"/>
        <w:jc w:val="both"/>
        <w:rPr>
          <w:rFonts w:ascii="Times New Roman" w:hAnsi="Times New Roman" w:cs="Times New Roman"/>
          <w:color w:val="000000" w:themeColor="text1"/>
        </w:rPr>
      </w:pPr>
      <w:r w:rsidRPr="009F065E">
        <w:rPr>
          <w:rFonts w:ascii="Times New Roman" w:hAnsi="Times New Roman" w:cs="Times New Roman"/>
          <w:color w:val="000000" w:themeColor="text1"/>
        </w:rPr>
        <w:t>Qiu, Y., Sha</w:t>
      </w:r>
      <w:r>
        <w:rPr>
          <w:rFonts w:ascii="Times New Roman" w:hAnsi="Times New Roman" w:cs="Times New Roman"/>
          <w:color w:val="000000" w:themeColor="text1"/>
        </w:rPr>
        <w:t>ukat, A., and Tharyan, R. 2014</w:t>
      </w:r>
      <w:r w:rsidRPr="009F065E">
        <w:rPr>
          <w:rFonts w:ascii="Times New Roman" w:hAnsi="Times New Roman" w:cs="Times New Roman"/>
          <w:color w:val="000000" w:themeColor="text1"/>
        </w:rPr>
        <w:t xml:space="preserve">. Environmental and social disclosures: Link with corporate financial performance.  </w:t>
      </w:r>
      <w:r w:rsidRPr="009F065E">
        <w:rPr>
          <w:rFonts w:ascii="Times New Roman" w:hAnsi="Times New Roman" w:cs="Times New Roman"/>
          <w:i/>
          <w:color w:val="000000" w:themeColor="text1"/>
        </w:rPr>
        <w:t>British Accounting Review</w:t>
      </w:r>
      <w:r w:rsidRPr="009F065E">
        <w:rPr>
          <w:rFonts w:ascii="Times New Roman" w:hAnsi="Times New Roman" w:cs="Times New Roman"/>
          <w:color w:val="000000" w:themeColor="text1"/>
        </w:rPr>
        <w:t>, 1-15.</w:t>
      </w:r>
    </w:p>
    <w:p w14:paraId="18DCEB4C" w14:textId="77777777" w:rsidR="00B952F9" w:rsidRPr="0014359D" w:rsidRDefault="00B952F9" w:rsidP="00B952F9">
      <w:pPr>
        <w:spacing w:after="0" w:line="240" w:lineRule="auto"/>
        <w:ind w:left="288" w:hanging="288"/>
        <w:jc w:val="both"/>
        <w:rPr>
          <w:rFonts w:ascii="Times New Roman" w:hAnsi="Times New Roman" w:cs="Times New Roman"/>
        </w:rPr>
      </w:pPr>
      <w:r>
        <w:rPr>
          <w:rFonts w:ascii="Times New Roman" w:hAnsi="Times New Roman" w:cs="Times New Roman"/>
        </w:rPr>
        <w:t>Rankin, M., Windsor, C., and</w:t>
      </w:r>
      <w:r w:rsidRPr="009F065E">
        <w:rPr>
          <w:rFonts w:ascii="Times New Roman" w:hAnsi="Times New Roman" w:cs="Times New Roman"/>
        </w:rPr>
        <w:t xml:space="preserve"> Wahyum, D. </w:t>
      </w:r>
      <w:r>
        <w:rPr>
          <w:rFonts w:ascii="Times New Roman" w:hAnsi="Times New Roman" w:cs="Times New Roman"/>
        </w:rPr>
        <w:t>2011</w:t>
      </w:r>
      <w:r w:rsidRPr="009F065E">
        <w:rPr>
          <w:rFonts w:ascii="Times New Roman" w:hAnsi="Times New Roman" w:cs="Times New Roman"/>
        </w:rPr>
        <w:t xml:space="preserve">. An investigation of voluntary corporate greenhouse gas emissions reporting in a market governance system Australian evidence. </w:t>
      </w:r>
      <w:r w:rsidRPr="009F065E">
        <w:rPr>
          <w:rFonts w:ascii="Times New Roman" w:hAnsi="Times New Roman" w:cs="Times New Roman"/>
          <w:i/>
        </w:rPr>
        <w:t>Accounting, Auditing and Accountability Journal</w:t>
      </w:r>
      <w:r w:rsidRPr="009F065E">
        <w:rPr>
          <w:rFonts w:ascii="Times New Roman" w:hAnsi="Times New Roman" w:cs="Times New Roman"/>
        </w:rPr>
        <w:t xml:space="preserve"> </w:t>
      </w:r>
      <w:r w:rsidRPr="002B03C9">
        <w:rPr>
          <w:rFonts w:ascii="Times New Roman" w:hAnsi="Times New Roman" w:cs="Times New Roman"/>
          <w:b/>
        </w:rPr>
        <w:t>24(8)</w:t>
      </w:r>
      <w:r>
        <w:rPr>
          <w:rFonts w:ascii="Times New Roman" w:hAnsi="Times New Roman" w:cs="Times New Roman"/>
        </w:rPr>
        <w:t>:</w:t>
      </w:r>
      <w:r w:rsidRPr="009F065E">
        <w:rPr>
          <w:rFonts w:ascii="Times New Roman" w:hAnsi="Times New Roman" w:cs="Times New Roman"/>
        </w:rPr>
        <w:t xml:space="preserve"> 1037-1070.</w:t>
      </w:r>
    </w:p>
    <w:p w14:paraId="6E3B71E3" w14:textId="77777777" w:rsidR="00B952F9" w:rsidRPr="0014359D" w:rsidRDefault="00B952F9" w:rsidP="00B952F9">
      <w:pPr>
        <w:spacing w:after="0" w:line="240" w:lineRule="auto"/>
        <w:ind w:left="288" w:hanging="288"/>
        <w:jc w:val="both"/>
        <w:rPr>
          <w:rFonts w:ascii="Times New Roman" w:hAnsi="Times New Roman" w:cs="Times New Roman"/>
          <w:color w:val="000000" w:themeColor="text1"/>
        </w:rPr>
      </w:pPr>
      <w:r>
        <w:rPr>
          <w:rFonts w:ascii="Times New Roman" w:eastAsia="Times New Roman" w:hAnsi="Times New Roman" w:cs="Times New Roman"/>
          <w:lang w:eastAsia="en-US"/>
        </w:rPr>
        <w:t>Runhaar, H. and Lafferty, H. 2009</w:t>
      </w:r>
      <w:r w:rsidRPr="009F065E">
        <w:rPr>
          <w:rFonts w:ascii="Times New Roman" w:eastAsia="Times New Roman" w:hAnsi="Times New Roman" w:cs="Times New Roman"/>
          <w:lang w:eastAsia="en-US"/>
        </w:rPr>
        <w:t xml:space="preserve">. </w:t>
      </w:r>
      <w:r w:rsidRPr="009F065E">
        <w:rPr>
          <w:rFonts w:ascii="Times New Roman" w:hAnsi="Times New Roman" w:cs="Times New Roman"/>
          <w:lang w:val="en-US"/>
        </w:rPr>
        <w:t>Governing Corporate Social Responsibility: An Assessment of the Contribution of the UN Global Compact to CSR Strategies in the Telecommunications Industry.</w:t>
      </w:r>
      <w:r w:rsidRPr="009F065E">
        <w:rPr>
          <w:rFonts w:ascii="Times New Roman" w:eastAsia="Times New Roman" w:hAnsi="Times New Roman" w:cs="Times New Roman"/>
          <w:lang w:eastAsia="en-US"/>
        </w:rPr>
        <w:t xml:space="preserve"> </w:t>
      </w:r>
      <w:r w:rsidRPr="009F065E">
        <w:rPr>
          <w:rFonts w:ascii="Times New Roman" w:eastAsia="Times New Roman" w:hAnsi="Times New Roman" w:cs="Times New Roman"/>
          <w:i/>
          <w:lang w:eastAsia="en-US"/>
        </w:rPr>
        <w:t>Journal of Business Ethics</w:t>
      </w:r>
      <w:r w:rsidRPr="009F065E">
        <w:rPr>
          <w:rFonts w:ascii="Times New Roman" w:eastAsia="Times New Roman" w:hAnsi="Times New Roman" w:cs="Times New Roman"/>
          <w:lang w:eastAsia="en-US"/>
        </w:rPr>
        <w:t xml:space="preserve"> </w:t>
      </w:r>
      <w:r w:rsidRPr="002B03C9">
        <w:rPr>
          <w:rFonts w:ascii="Times New Roman" w:eastAsia="Times New Roman" w:hAnsi="Times New Roman" w:cs="Times New Roman"/>
          <w:b/>
          <w:lang w:eastAsia="en-US"/>
        </w:rPr>
        <w:t>84</w:t>
      </w:r>
      <w:r>
        <w:rPr>
          <w:rFonts w:ascii="Times New Roman" w:eastAsia="Times New Roman" w:hAnsi="Times New Roman" w:cs="Times New Roman"/>
          <w:lang w:eastAsia="en-US"/>
        </w:rPr>
        <w:t>:</w:t>
      </w:r>
      <w:r w:rsidRPr="009F065E">
        <w:rPr>
          <w:rFonts w:ascii="Times New Roman" w:eastAsia="Times New Roman" w:hAnsi="Times New Roman" w:cs="Times New Roman"/>
          <w:lang w:eastAsia="en-US"/>
        </w:rPr>
        <w:t xml:space="preserve"> 479-495. </w:t>
      </w:r>
      <w:r>
        <w:rPr>
          <w:rFonts w:ascii="Times New Roman" w:eastAsia="Times New Roman" w:hAnsi="Times New Roman" w:cs="Times New Roman"/>
          <w:lang w:eastAsia="en-US"/>
        </w:rPr>
        <w:t>DOI</w:t>
      </w:r>
      <w:r w:rsidRPr="009F065E">
        <w:rPr>
          <w:rFonts w:ascii="Times New Roman" w:eastAsia="Times New Roman" w:hAnsi="Times New Roman" w:cs="Times New Roman"/>
          <w:lang w:eastAsia="en-US"/>
        </w:rPr>
        <w:t>:</w:t>
      </w:r>
      <w:r>
        <w:rPr>
          <w:rFonts w:ascii="Times New Roman" w:eastAsia="Times New Roman" w:hAnsi="Times New Roman" w:cs="Times New Roman"/>
          <w:lang w:eastAsia="en-US"/>
        </w:rPr>
        <w:t xml:space="preserve"> </w:t>
      </w:r>
      <w:r w:rsidRPr="009F065E">
        <w:rPr>
          <w:rFonts w:ascii="Times New Roman" w:eastAsia="Times New Roman" w:hAnsi="Times New Roman" w:cs="Times New Roman"/>
          <w:lang w:eastAsia="en-US"/>
        </w:rPr>
        <w:t>10.1007/s10551-008-9720-5</w:t>
      </w:r>
      <w:r>
        <w:rPr>
          <w:rFonts w:ascii="Times New Roman" w:eastAsia="Times New Roman" w:hAnsi="Times New Roman" w:cs="Times New Roman"/>
          <w:lang w:eastAsia="en-US"/>
        </w:rPr>
        <w:t xml:space="preserve">. </w:t>
      </w:r>
    </w:p>
    <w:p w14:paraId="798D02E7" w14:textId="77777777" w:rsidR="00B952F9" w:rsidRPr="0014359D" w:rsidRDefault="00B952F9" w:rsidP="00B952F9">
      <w:pPr>
        <w:spacing w:after="0" w:line="240" w:lineRule="auto"/>
        <w:ind w:left="288" w:hanging="288"/>
        <w:jc w:val="both"/>
        <w:rPr>
          <w:rFonts w:ascii="Times New Roman" w:hAnsi="Times New Roman" w:cs="Times New Roman"/>
        </w:rPr>
      </w:pPr>
      <w:r w:rsidRPr="009F065E">
        <w:rPr>
          <w:rFonts w:ascii="Times New Roman" w:hAnsi="Times New Roman" w:cs="Times New Roman"/>
        </w:rPr>
        <w:lastRenderedPageBreak/>
        <w:t xml:space="preserve">Russo, M.V. (2007). Explaining the impact of ISO 14001 on emission performance: a dynamic capabilities perspective on process and learning. </w:t>
      </w:r>
      <w:r w:rsidRPr="009F065E">
        <w:rPr>
          <w:rFonts w:ascii="Times New Roman" w:hAnsi="Times New Roman" w:cs="Times New Roman"/>
          <w:i/>
        </w:rPr>
        <w:t>Business Strategy and the Environment</w:t>
      </w:r>
      <w:r w:rsidRPr="009F065E">
        <w:rPr>
          <w:rFonts w:ascii="Times New Roman" w:hAnsi="Times New Roman" w:cs="Times New Roman"/>
        </w:rPr>
        <w:t xml:space="preserve"> 18(5), 307-319.</w:t>
      </w:r>
    </w:p>
    <w:p w14:paraId="31B5586C" w14:textId="77777777" w:rsidR="00B952F9" w:rsidRPr="0014359D" w:rsidRDefault="00B952F9" w:rsidP="00B952F9">
      <w:pPr>
        <w:spacing w:after="0" w:line="240" w:lineRule="auto"/>
        <w:ind w:left="288" w:hanging="288"/>
        <w:jc w:val="both"/>
        <w:rPr>
          <w:rFonts w:ascii="Times New Roman" w:hAnsi="Times New Roman" w:cs="Times New Roman"/>
          <w:lang w:val="en-US"/>
        </w:rPr>
      </w:pPr>
      <w:r w:rsidRPr="009F065E">
        <w:rPr>
          <w:rFonts w:ascii="Times New Roman" w:hAnsi="Times New Roman" w:cs="Times New Roman"/>
          <w:lang w:val="en-US"/>
        </w:rPr>
        <w:t xml:space="preserve">Scott, W. R. (1995). Institutions and organizations. </w:t>
      </w:r>
      <w:r>
        <w:rPr>
          <w:rFonts w:ascii="Times New Roman" w:hAnsi="Times New Roman" w:cs="Times New Roman"/>
          <w:lang w:val="en-US"/>
        </w:rPr>
        <w:t xml:space="preserve">Sage: </w:t>
      </w:r>
      <w:r w:rsidRPr="009F065E">
        <w:rPr>
          <w:rFonts w:ascii="Times New Roman" w:hAnsi="Times New Roman" w:cs="Times New Roman"/>
          <w:lang w:val="en-US"/>
        </w:rPr>
        <w:t>Thousand Oaks.</w:t>
      </w:r>
    </w:p>
    <w:p w14:paraId="150DEE7E" w14:textId="77777777" w:rsidR="00B952F9" w:rsidRPr="00B952F9" w:rsidRDefault="00B952F9" w:rsidP="00B952F9">
      <w:pPr>
        <w:spacing w:after="0" w:line="240" w:lineRule="auto"/>
        <w:ind w:left="288" w:hanging="288"/>
        <w:jc w:val="both"/>
        <w:rPr>
          <w:rFonts w:ascii="Times New Roman" w:hAnsi="Times New Roman" w:cs="Times New Roman"/>
        </w:rPr>
      </w:pPr>
      <w:r w:rsidRPr="00B952F9">
        <w:rPr>
          <w:rFonts w:ascii="Times New Roman" w:hAnsi="Times New Roman" w:cs="Times New Roman"/>
        </w:rPr>
        <w:t xml:space="preserve">Sullivan, R. and Gouldson, A. 2017. The Governance of Corporate Responses to Climate Change: An International Comparison. </w:t>
      </w:r>
      <w:r w:rsidRPr="00B952F9">
        <w:rPr>
          <w:rFonts w:ascii="Times New Roman" w:hAnsi="Times New Roman" w:cs="Times New Roman"/>
          <w:i/>
        </w:rPr>
        <w:t>Business Strategy and the Environment</w:t>
      </w:r>
      <w:r w:rsidRPr="00B952F9">
        <w:rPr>
          <w:rFonts w:ascii="Times New Roman" w:hAnsi="Times New Roman" w:cs="Times New Roman"/>
        </w:rPr>
        <w:t xml:space="preserve"> </w:t>
      </w:r>
      <w:r w:rsidRPr="00B952F9">
        <w:rPr>
          <w:rFonts w:ascii="Times New Roman" w:hAnsi="Times New Roman" w:cs="Times New Roman"/>
          <w:b/>
        </w:rPr>
        <w:t>26</w:t>
      </w:r>
      <w:r w:rsidRPr="00B952F9">
        <w:rPr>
          <w:rFonts w:ascii="Times New Roman" w:hAnsi="Times New Roman" w:cs="Times New Roman"/>
        </w:rPr>
        <w:t>, 413–425.</w:t>
      </w:r>
    </w:p>
    <w:p w14:paraId="528327A5" w14:textId="77777777" w:rsidR="00B952F9" w:rsidRPr="0014359D" w:rsidRDefault="00EF24DF" w:rsidP="00B952F9">
      <w:pPr>
        <w:spacing w:after="0" w:line="240" w:lineRule="auto"/>
        <w:ind w:left="288" w:hanging="288"/>
        <w:jc w:val="both"/>
        <w:rPr>
          <w:rFonts w:ascii="Times New Roman" w:hAnsi="Times New Roman" w:cs="Times New Roman"/>
        </w:rPr>
      </w:pPr>
      <w:hyperlink r:id="rId28" w:history="1">
        <w:r w:rsidR="00B952F9" w:rsidRPr="009F065E">
          <w:rPr>
            <w:rStyle w:val="Hyperlink"/>
            <w:rFonts w:ascii="Times New Roman" w:hAnsi="Times New Roman" w:cs="Times New Roman"/>
            <w:color w:val="auto"/>
            <w:u w:val="none"/>
          </w:rPr>
          <w:t>Tauringana</w:t>
        </w:r>
      </w:hyperlink>
      <w:r w:rsidR="00B952F9" w:rsidRPr="009F065E">
        <w:rPr>
          <w:rFonts w:ascii="Times New Roman" w:hAnsi="Times New Roman" w:cs="Times New Roman"/>
        </w:rPr>
        <w:t xml:space="preserve">, V. and </w:t>
      </w:r>
      <w:hyperlink r:id="rId29" w:history="1">
        <w:r w:rsidR="00B952F9" w:rsidRPr="009F065E">
          <w:rPr>
            <w:rStyle w:val="Hyperlink"/>
            <w:rFonts w:ascii="Times New Roman" w:hAnsi="Times New Roman" w:cs="Times New Roman"/>
            <w:color w:val="auto"/>
            <w:u w:val="none"/>
          </w:rPr>
          <w:t>Chithambo</w:t>
        </w:r>
      </w:hyperlink>
      <w:r w:rsidR="00B952F9">
        <w:rPr>
          <w:rFonts w:ascii="Times New Roman" w:hAnsi="Times New Roman" w:cs="Times New Roman"/>
        </w:rPr>
        <w:t>, L. 2015</w:t>
      </w:r>
      <w:r w:rsidR="00B952F9" w:rsidRPr="009F065E">
        <w:rPr>
          <w:rFonts w:ascii="Times New Roman" w:hAnsi="Times New Roman" w:cs="Times New Roman"/>
        </w:rPr>
        <w:t xml:space="preserve">. The effect of DEFRA guidance on greenhouse gas disclosure. </w:t>
      </w:r>
      <w:hyperlink r:id="rId30" w:tooltip="Go to The British Accounting Review on ScienceDirect" w:history="1">
        <w:r w:rsidR="00B952F9" w:rsidRPr="009F065E">
          <w:rPr>
            <w:rStyle w:val="Hyperlink"/>
            <w:rFonts w:ascii="Times New Roman" w:hAnsi="Times New Roman" w:cs="Times New Roman"/>
            <w:i/>
            <w:color w:val="auto"/>
            <w:u w:val="none"/>
          </w:rPr>
          <w:t>British Accounting Review</w:t>
        </w:r>
      </w:hyperlink>
      <w:r w:rsidR="00B952F9" w:rsidRPr="009F065E">
        <w:rPr>
          <w:rFonts w:ascii="Times New Roman" w:hAnsi="Times New Roman" w:cs="Times New Roman"/>
        </w:rPr>
        <w:t xml:space="preserve"> </w:t>
      </w:r>
      <w:r w:rsidR="00B952F9" w:rsidRPr="002B03C9">
        <w:rPr>
          <w:rFonts w:ascii="Times New Roman" w:hAnsi="Times New Roman" w:cs="Times New Roman"/>
          <w:b/>
        </w:rPr>
        <w:t>47(4)</w:t>
      </w:r>
      <w:r w:rsidR="00B952F9">
        <w:rPr>
          <w:rFonts w:ascii="Times New Roman" w:hAnsi="Times New Roman" w:cs="Times New Roman"/>
        </w:rPr>
        <w:t>:</w:t>
      </w:r>
      <w:r w:rsidR="00B952F9" w:rsidRPr="009F065E">
        <w:rPr>
          <w:rFonts w:ascii="Times New Roman" w:hAnsi="Times New Roman" w:cs="Times New Roman"/>
        </w:rPr>
        <w:t xml:space="preserve"> 425–444.</w:t>
      </w:r>
    </w:p>
    <w:p w14:paraId="0C94D6E9" w14:textId="77777777" w:rsidR="00B952F9" w:rsidRPr="0014359D" w:rsidRDefault="00B952F9" w:rsidP="00B952F9">
      <w:pPr>
        <w:spacing w:after="0" w:line="240" w:lineRule="auto"/>
        <w:ind w:left="288" w:hanging="288"/>
        <w:jc w:val="both"/>
        <w:rPr>
          <w:rFonts w:ascii="Times New Roman" w:hAnsi="Times New Roman" w:cs="Times New Roman"/>
          <w:color w:val="000000" w:themeColor="text1"/>
        </w:rPr>
      </w:pPr>
      <w:r w:rsidRPr="009F065E">
        <w:rPr>
          <w:rFonts w:ascii="Times New Roman" w:hAnsi="Times New Roman" w:cs="Times New Roman"/>
          <w:color w:val="000000" w:themeColor="text1"/>
        </w:rPr>
        <w:t>The UK Department of En</w:t>
      </w:r>
      <w:r>
        <w:rPr>
          <w:rFonts w:ascii="Times New Roman" w:hAnsi="Times New Roman" w:cs="Times New Roman"/>
          <w:color w:val="000000" w:themeColor="text1"/>
        </w:rPr>
        <w:t>ergy and Climate Change (DECC). 2013</w:t>
      </w:r>
      <w:r w:rsidRPr="009F065E">
        <w:rPr>
          <w:rFonts w:ascii="Times New Roman" w:hAnsi="Times New Roman" w:cs="Times New Roman"/>
          <w:color w:val="000000" w:themeColor="text1"/>
        </w:rPr>
        <w:t>. Annu</w:t>
      </w:r>
      <w:r>
        <w:rPr>
          <w:rFonts w:ascii="Times New Roman" w:hAnsi="Times New Roman" w:cs="Times New Roman"/>
          <w:color w:val="000000" w:themeColor="text1"/>
        </w:rPr>
        <w:t>al Statement for Emissions 2013.</w:t>
      </w:r>
      <w:r w:rsidRPr="009F065E">
        <w:rPr>
          <w:rFonts w:ascii="Times New Roman" w:hAnsi="Times New Roman" w:cs="Times New Roman"/>
          <w:color w:val="000000" w:themeColor="text1"/>
        </w:rPr>
        <w:t xml:space="preserve"> Available at: </w:t>
      </w:r>
      <w:hyperlink r:id="rId31" w:history="1">
        <w:r w:rsidRPr="009F065E">
          <w:rPr>
            <w:rStyle w:val="Hyperlink"/>
            <w:rFonts w:ascii="Times New Roman" w:hAnsi="Times New Roman" w:cs="Times New Roman"/>
            <w:color w:val="000000" w:themeColor="text1"/>
          </w:rPr>
          <w:t>https://www.gov.uk/government/uploads/system/uploads/attachment_data/file/417680/48439_Un-Act_DECC_Web_Accessible_v0.2.pdf</w:t>
        </w:r>
      </w:hyperlink>
      <w:r w:rsidRPr="009F065E">
        <w:rPr>
          <w:rFonts w:ascii="Times New Roman" w:hAnsi="Times New Roman" w:cs="Times New Roman"/>
          <w:color w:val="000000" w:themeColor="text1"/>
        </w:rPr>
        <w:t xml:space="preserve">  [Accessed: 9 September 2015]</w:t>
      </w:r>
    </w:p>
    <w:p w14:paraId="450566AF" w14:textId="77777777" w:rsidR="00B952F9" w:rsidRPr="0014359D" w:rsidRDefault="00B952F9" w:rsidP="00B952F9">
      <w:pPr>
        <w:spacing w:after="0" w:line="240" w:lineRule="auto"/>
        <w:ind w:left="288" w:hanging="288"/>
        <w:jc w:val="both"/>
        <w:rPr>
          <w:rFonts w:ascii="Times New Roman" w:hAnsi="Times New Roman" w:cs="Times New Roman"/>
          <w:color w:val="000000" w:themeColor="text1"/>
        </w:rPr>
      </w:pPr>
      <w:r w:rsidRPr="009F065E">
        <w:rPr>
          <w:rFonts w:ascii="Times New Roman" w:hAnsi="Times New Roman" w:cs="Times New Roman"/>
          <w:color w:val="000000" w:themeColor="text1"/>
          <w:lang w:val="de-DE"/>
        </w:rPr>
        <w:t xml:space="preserve">Trumpp C., Endrikat, J.  Zopf, C. and Guenther, E. 2015. </w:t>
      </w:r>
      <w:r w:rsidRPr="009F065E">
        <w:rPr>
          <w:rFonts w:ascii="Times New Roman" w:hAnsi="Times New Roman" w:cs="Times New Roman"/>
          <w:color w:val="000000" w:themeColor="text1"/>
        </w:rPr>
        <w:t xml:space="preserve">Definition, Conceptualization, and Measurement of Corporate Environmental Performance: A Critical Examination of a Multidimensional Construct. </w:t>
      </w:r>
      <w:r>
        <w:rPr>
          <w:rFonts w:ascii="Times New Roman" w:hAnsi="Times New Roman" w:cs="Times New Roman"/>
          <w:i/>
          <w:color w:val="000000" w:themeColor="text1"/>
        </w:rPr>
        <w:t>Journal of Business Ethics</w:t>
      </w:r>
      <w:r w:rsidRPr="009F065E">
        <w:rPr>
          <w:rFonts w:ascii="Times New Roman" w:hAnsi="Times New Roman" w:cs="Times New Roman"/>
          <w:color w:val="000000" w:themeColor="text1"/>
        </w:rPr>
        <w:t xml:space="preserve"> </w:t>
      </w:r>
      <w:r w:rsidRPr="002B03C9">
        <w:rPr>
          <w:rFonts w:ascii="Times New Roman" w:hAnsi="Times New Roman" w:cs="Times New Roman"/>
          <w:b/>
          <w:color w:val="000000" w:themeColor="text1"/>
        </w:rPr>
        <w:t>126</w:t>
      </w:r>
      <w:r>
        <w:rPr>
          <w:rFonts w:ascii="Times New Roman" w:hAnsi="Times New Roman" w:cs="Times New Roman"/>
          <w:color w:val="000000" w:themeColor="text1"/>
        </w:rPr>
        <w:t>:</w:t>
      </w:r>
      <w:r w:rsidRPr="009F065E">
        <w:rPr>
          <w:rFonts w:ascii="Times New Roman" w:hAnsi="Times New Roman" w:cs="Times New Roman"/>
          <w:color w:val="000000" w:themeColor="text1"/>
        </w:rPr>
        <w:t xml:space="preserve"> 185–204.</w:t>
      </w:r>
    </w:p>
    <w:p w14:paraId="7B4130B2" w14:textId="77777777" w:rsidR="00B952F9" w:rsidRPr="0014359D" w:rsidRDefault="00B952F9" w:rsidP="00B952F9">
      <w:pPr>
        <w:spacing w:after="0" w:line="240" w:lineRule="auto"/>
        <w:ind w:left="288" w:hanging="288"/>
        <w:jc w:val="both"/>
        <w:rPr>
          <w:rFonts w:ascii="Times New Roman" w:hAnsi="Times New Roman" w:cs="Times New Roman"/>
          <w:lang w:val="en-US"/>
        </w:rPr>
      </w:pPr>
      <w:r w:rsidRPr="009F065E">
        <w:rPr>
          <w:rFonts w:ascii="Times New Roman" w:hAnsi="Times New Roman" w:cs="Times New Roman"/>
          <w:lang w:val="en-US"/>
        </w:rPr>
        <w:t>Windmeijer, F. 2000. A Finite Sample correction for the variance of linear two-step GMM estimators. Working Paper 00/19. Institute for Fiscal Studies, London.</w:t>
      </w:r>
    </w:p>
    <w:p w14:paraId="0EF616CD" w14:textId="77777777" w:rsidR="00B952F9" w:rsidRDefault="00B952F9" w:rsidP="00B952F9">
      <w:pPr>
        <w:spacing w:after="0" w:line="240" w:lineRule="auto"/>
        <w:ind w:left="288" w:hanging="288"/>
        <w:jc w:val="both"/>
        <w:rPr>
          <w:rFonts w:ascii="Times New Roman" w:hAnsi="Times New Roman" w:cs="Times New Roman"/>
          <w:color w:val="000000" w:themeColor="text1"/>
        </w:rPr>
      </w:pPr>
      <w:r w:rsidRPr="009F065E">
        <w:rPr>
          <w:rFonts w:ascii="Times New Roman" w:hAnsi="Times New Roman" w:cs="Times New Roman"/>
          <w:color w:val="000000" w:themeColor="text1"/>
        </w:rPr>
        <w:lastRenderedPageBreak/>
        <w:t xml:space="preserve">Ziegler, A., </w:t>
      </w:r>
      <w:r>
        <w:rPr>
          <w:rFonts w:ascii="Times New Roman" w:hAnsi="Times New Roman" w:cs="Times New Roman"/>
          <w:color w:val="000000" w:themeColor="text1"/>
        </w:rPr>
        <w:t>Busch, T. and Hoffmann, V. H. 2011</w:t>
      </w:r>
      <w:r w:rsidRPr="009F065E">
        <w:rPr>
          <w:rFonts w:ascii="Times New Roman" w:hAnsi="Times New Roman" w:cs="Times New Roman"/>
          <w:color w:val="000000" w:themeColor="text1"/>
        </w:rPr>
        <w:t xml:space="preserve">. Disclosed corporate responses to climate change and stock performance: An international empirical analysis. </w:t>
      </w:r>
      <w:r w:rsidRPr="009F065E">
        <w:rPr>
          <w:rFonts w:ascii="Times New Roman" w:hAnsi="Times New Roman" w:cs="Times New Roman"/>
          <w:i/>
          <w:color w:val="000000" w:themeColor="text1"/>
        </w:rPr>
        <w:t>Energy Economics</w:t>
      </w:r>
      <w:r w:rsidRPr="009F065E">
        <w:rPr>
          <w:rFonts w:ascii="Times New Roman" w:hAnsi="Times New Roman" w:cs="Times New Roman"/>
          <w:color w:val="000000" w:themeColor="text1"/>
        </w:rPr>
        <w:t xml:space="preserve"> </w:t>
      </w:r>
      <w:r w:rsidRPr="002B03C9">
        <w:rPr>
          <w:rFonts w:ascii="Times New Roman" w:hAnsi="Times New Roman" w:cs="Times New Roman"/>
          <w:b/>
          <w:color w:val="000000" w:themeColor="text1"/>
        </w:rPr>
        <w:t>33(6)</w:t>
      </w:r>
      <w:r>
        <w:rPr>
          <w:rFonts w:ascii="Times New Roman" w:hAnsi="Times New Roman" w:cs="Times New Roman"/>
          <w:color w:val="000000" w:themeColor="text1"/>
        </w:rPr>
        <w:t>:</w:t>
      </w:r>
      <w:r w:rsidRPr="009F065E">
        <w:rPr>
          <w:rFonts w:ascii="Times New Roman" w:hAnsi="Times New Roman" w:cs="Times New Roman"/>
          <w:color w:val="000000" w:themeColor="text1"/>
        </w:rPr>
        <w:t xml:space="preserve"> 1283–1294.</w:t>
      </w:r>
    </w:p>
    <w:p w14:paraId="5988FEC4" w14:textId="77777777" w:rsidR="00C655A5" w:rsidRPr="00521BDF" w:rsidRDefault="00C655A5" w:rsidP="00C655A5">
      <w:pPr>
        <w:spacing w:after="0" w:line="360" w:lineRule="auto"/>
        <w:ind w:left="432" w:hanging="432"/>
        <w:rPr>
          <w:rFonts w:ascii="Times New Roman" w:hAnsi="Times New Roman" w:cs="Times New Roman"/>
          <w:sz w:val="24"/>
          <w:szCs w:val="24"/>
        </w:rPr>
      </w:pPr>
    </w:p>
    <w:p w14:paraId="574A5140" w14:textId="77777777" w:rsidR="001624FC" w:rsidRDefault="001624FC">
      <w:pPr>
        <w:rPr>
          <w:rFonts w:ascii="Times New Roman" w:hAnsi="Times New Roman" w:cs="Times New Roman"/>
          <w:b/>
          <w:sz w:val="24"/>
          <w:szCs w:val="24"/>
        </w:rPr>
      </w:pPr>
      <w:r>
        <w:rPr>
          <w:rFonts w:ascii="Times New Roman" w:hAnsi="Times New Roman" w:cs="Times New Roman"/>
          <w:b/>
          <w:sz w:val="24"/>
          <w:szCs w:val="24"/>
        </w:rPr>
        <w:br w:type="page"/>
      </w:r>
    </w:p>
    <w:p w14:paraId="45DA76EB" w14:textId="3BF8EA89" w:rsidR="0009588D" w:rsidRPr="005F2192" w:rsidRDefault="0009588D" w:rsidP="003B6444">
      <w:pPr>
        <w:spacing w:line="240" w:lineRule="auto"/>
        <w:rPr>
          <w:rFonts w:ascii="Times New Roman" w:hAnsi="Times New Roman" w:cs="Times New Roman"/>
          <w:b/>
          <w:sz w:val="24"/>
          <w:szCs w:val="24"/>
        </w:rPr>
      </w:pPr>
      <w:r w:rsidRPr="005F2192">
        <w:rPr>
          <w:rFonts w:ascii="Times New Roman" w:hAnsi="Times New Roman" w:cs="Times New Roman"/>
          <w:b/>
          <w:sz w:val="24"/>
          <w:szCs w:val="24"/>
        </w:rPr>
        <w:lastRenderedPageBreak/>
        <w:t>Tables</w:t>
      </w:r>
    </w:p>
    <w:p w14:paraId="6910E099" w14:textId="77777777" w:rsidR="0009588D" w:rsidRPr="005F2192" w:rsidRDefault="0009588D" w:rsidP="003B6444">
      <w:pPr>
        <w:spacing w:after="0" w:line="240" w:lineRule="auto"/>
        <w:rPr>
          <w:rFonts w:ascii="Times New Roman" w:hAnsi="Times New Roman" w:cs="Times New Roman"/>
          <w:sz w:val="24"/>
          <w:szCs w:val="24"/>
        </w:rPr>
      </w:pPr>
      <w:r w:rsidRPr="005F2192">
        <w:rPr>
          <w:rFonts w:ascii="Times New Roman" w:hAnsi="Times New Roman" w:cs="Times New Roman"/>
          <w:b/>
          <w:sz w:val="24"/>
          <w:szCs w:val="24"/>
        </w:rPr>
        <w:t>Table 1</w:t>
      </w:r>
      <w:r w:rsidR="007762F9" w:rsidRPr="005F2192">
        <w:rPr>
          <w:rFonts w:ascii="Times New Roman" w:hAnsi="Times New Roman" w:cs="Times New Roman"/>
          <w:b/>
          <w:sz w:val="24"/>
          <w:szCs w:val="24"/>
        </w:rPr>
        <w:t xml:space="preserve"> </w:t>
      </w:r>
      <w:r w:rsidRPr="005F2192">
        <w:rPr>
          <w:rFonts w:ascii="Times New Roman" w:hAnsi="Times New Roman" w:cs="Times New Roman"/>
          <w:sz w:val="24"/>
          <w:szCs w:val="24"/>
        </w:rPr>
        <w:t>Industry-wise distribution of the sample</w:t>
      </w:r>
    </w:p>
    <w:tbl>
      <w:tblPr>
        <w:tblW w:w="5000" w:type="pct"/>
        <w:tblLook w:val="04A0" w:firstRow="1" w:lastRow="0" w:firstColumn="1" w:lastColumn="0" w:noHBand="0" w:noVBand="1"/>
      </w:tblPr>
      <w:tblGrid>
        <w:gridCol w:w="5063"/>
        <w:gridCol w:w="2479"/>
        <w:gridCol w:w="1818"/>
      </w:tblGrid>
      <w:tr w:rsidR="004A0591" w:rsidRPr="005F2192" w14:paraId="3CA246D5" w14:textId="77777777" w:rsidTr="004A0591">
        <w:trPr>
          <w:trHeight w:val="512"/>
        </w:trPr>
        <w:tc>
          <w:tcPr>
            <w:tcW w:w="2705" w:type="pct"/>
            <w:tcBorders>
              <w:top w:val="single" w:sz="4" w:space="0" w:color="auto"/>
              <w:bottom w:val="single" w:sz="4" w:space="0" w:color="auto"/>
            </w:tcBorders>
            <w:shd w:val="clear" w:color="auto" w:fill="auto"/>
            <w:noWrap/>
            <w:hideMark/>
          </w:tcPr>
          <w:p w14:paraId="47853582" w14:textId="77777777" w:rsidR="004A0591" w:rsidRPr="005F2192" w:rsidRDefault="004A0591" w:rsidP="004A0591">
            <w:pPr>
              <w:spacing w:after="0" w:line="360" w:lineRule="auto"/>
              <w:jc w:val="center"/>
              <w:rPr>
                <w:rFonts w:ascii="Times New Roman" w:eastAsia="Times New Roman" w:hAnsi="Times New Roman" w:cs="Times New Roman"/>
                <w:color w:val="000000"/>
                <w:sz w:val="20"/>
                <w:szCs w:val="20"/>
                <w:lang w:val="en-US"/>
              </w:rPr>
            </w:pPr>
            <w:r w:rsidRPr="005F2192">
              <w:rPr>
                <w:rFonts w:ascii="Times New Roman" w:eastAsia="Times New Roman" w:hAnsi="Times New Roman" w:cs="Times New Roman"/>
                <w:color w:val="000000"/>
                <w:sz w:val="20"/>
                <w:szCs w:val="20"/>
                <w:lang w:val="en-US"/>
              </w:rPr>
              <w:t>Industry</w:t>
            </w:r>
          </w:p>
        </w:tc>
        <w:tc>
          <w:tcPr>
            <w:tcW w:w="1324" w:type="pct"/>
            <w:tcBorders>
              <w:top w:val="single" w:sz="4" w:space="0" w:color="auto"/>
              <w:bottom w:val="single" w:sz="4" w:space="0" w:color="auto"/>
            </w:tcBorders>
            <w:shd w:val="clear" w:color="auto" w:fill="auto"/>
            <w:noWrap/>
            <w:hideMark/>
          </w:tcPr>
          <w:p w14:paraId="5C629397" w14:textId="77777777" w:rsidR="004A0591" w:rsidRPr="005F2192" w:rsidRDefault="004A0591" w:rsidP="004A0591">
            <w:pPr>
              <w:spacing w:after="0" w:line="360" w:lineRule="auto"/>
              <w:jc w:val="center"/>
              <w:rPr>
                <w:rFonts w:ascii="Times New Roman" w:eastAsia="Times New Roman" w:hAnsi="Times New Roman" w:cs="Times New Roman"/>
                <w:color w:val="000000"/>
                <w:sz w:val="20"/>
                <w:szCs w:val="20"/>
                <w:lang w:val="en-US"/>
              </w:rPr>
            </w:pPr>
            <w:r w:rsidRPr="005F2192">
              <w:rPr>
                <w:rFonts w:ascii="Times New Roman" w:eastAsia="Times New Roman" w:hAnsi="Times New Roman" w:cs="Times New Roman"/>
                <w:color w:val="000000"/>
                <w:sz w:val="20"/>
                <w:szCs w:val="20"/>
                <w:lang w:val="en-US"/>
              </w:rPr>
              <w:t>No of Observations</w:t>
            </w:r>
          </w:p>
        </w:tc>
        <w:tc>
          <w:tcPr>
            <w:tcW w:w="971" w:type="pct"/>
            <w:tcBorders>
              <w:top w:val="single" w:sz="4" w:space="0" w:color="auto"/>
              <w:bottom w:val="single" w:sz="4" w:space="0" w:color="auto"/>
            </w:tcBorders>
            <w:shd w:val="clear" w:color="auto" w:fill="auto"/>
            <w:noWrap/>
            <w:hideMark/>
          </w:tcPr>
          <w:p w14:paraId="4CC5001D" w14:textId="77777777" w:rsidR="004A0591" w:rsidRPr="005F2192" w:rsidRDefault="004A0591" w:rsidP="004A0591">
            <w:pPr>
              <w:spacing w:after="0" w:line="360" w:lineRule="auto"/>
              <w:jc w:val="center"/>
              <w:rPr>
                <w:rFonts w:ascii="Times New Roman" w:eastAsia="Times New Roman" w:hAnsi="Times New Roman" w:cs="Times New Roman"/>
                <w:color w:val="000000"/>
                <w:sz w:val="20"/>
                <w:szCs w:val="20"/>
                <w:lang w:val="en-US"/>
              </w:rPr>
            </w:pPr>
            <w:r w:rsidRPr="005F2192">
              <w:rPr>
                <w:rFonts w:ascii="Times New Roman" w:eastAsia="Times New Roman" w:hAnsi="Times New Roman" w:cs="Times New Roman"/>
                <w:color w:val="000000"/>
                <w:sz w:val="20"/>
                <w:szCs w:val="20"/>
                <w:lang w:val="en-US"/>
              </w:rPr>
              <w:t>Percent</w:t>
            </w:r>
          </w:p>
        </w:tc>
      </w:tr>
      <w:tr w:rsidR="004A0591" w:rsidRPr="005F2192" w14:paraId="7089BACE" w14:textId="77777777" w:rsidTr="004A0591">
        <w:trPr>
          <w:trHeight w:val="360"/>
        </w:trPr>
        <w:tc>
          <w:tcPr>
            <w:tcW w:w="2705" w:type="pct"/>
            <w:tcBorders>
              <w:top w:val="single" w:sz="4" w:space="0" w:color="auto"/>
            </w:tcBorders>
            <w:shd w:val="clear" w:color="auto" w:fill="auto"/>
            <w:noWrap/>
            <w:hideMark/>
          </w:tcPr>
          <w:p w14:paraId="38841B3E" w14:textId="77777777" w:rsidR="004A0591" w:rsidRPr="005F2192" w:rsidRDefault="004A0591" w:rsidP="004A0591">
            <w:pPr>
              <w:spacing w:after="0" w:line="360" w:lineRule="auto"/>
              <w:rPr>
                <w:rFonts w:ascii="Times New Roman" w:hAnsi="Times New Roman" w:cs="Times New Roman"/>
                <w:color w:val="000000"/>
                <w:sz w:val="20"/>
                <w:szCs w:val="20"/>
              </w:rPr>
            </w:pPr>
            <w:r w:rsidRPr="005F2192">
              <w:rPr>
                <w:rFonts w:ascii="Times New Roman" w:hAnsi="Times New Roman" w:cs="Times New Roman"/>
                <w:color w:val="000000"/>
                <w:sz w:val="20"/>
                <w:szCs w:val="20"/>
              </w:rPr>
              <w:t>Automobile, Aerospace and Defence</w:t>
            </w:r>
          </w:p>
        </w:tc>
        <w:tc>
          <w:tcPr>
            <w:tcW w:w="1324" w:type="pct"/>
            <w:tcBorders>
              <w:top w:val="single" w:sz="4" w:space="0" w:color="auto"/>
            </w:tcBorders>
            <w:shd w:val="clear" w:color="auto" w:fill="auto"/>
            <w:noWrap/>
            <w:hideMark/>
          </w:tcPr>
          <w:p w14:paraId="3F15E666" w14:textId="77777777" w:rsidR="004A0591" w:rsidRPr="004A0591" w:rsidRDefault="004A0591" w:rsidP="004A0591">
            <w:pPr>
              <w:jc w:val="center"/>
              <w:rPr>
                <w:rFonts w:ascii="Times New Roman" w:hAnsi="Times New Roman" w:cs="Times New Roman"/>
                <w:color w:val="000000"/>
                <w:sz w:val="20"/>
                <w:szCs w:val="20"/>
              </w:rPr>
            </w:pPr>
            <w:r w:rsidRPr="004A0591">
              <w:rPr>
                <w:rFonts w:ascii="Times New Roman" w:hAnsi="Times New Roman" w:cs="Times New Roman"/>
                <w:color w:val="000000"/>
                <w:sz w:val="20"/>
                <w:szCs w:val="20"/>
              </w:rPr>
              <w:t>91</w:t>
            </w:r>
          </w:p>
        </w:tc>
        <w:tc>
          <w:tcPr>
            <w:tcW w:w="971" w:type="pct"/>
            <w:tcBorders>
              <w:top w:val="single" w:sz="4" w:space="0" w:color="auto"/>
            </w:tcBorders>
            <w:shd w:val="clear" w:color="auto" w:fill="auto"/>
            <w:noWrap/>
            <w:hideMark/>
          </w:tcPr>
          <w:p w14:paraId="4634BED5" w14:textId="77777777" w:rsidR="004A0591" w:rsidRPr="004A0591" w:rsidRDefault="004A0591" w:rsidP="004A0591">
            <w:pPr>
              <w:jc w:val="center"/>
              <w:rPr>
                <w:rFonts w:ascii="Times New Roman" w:hAnsi="Times New Roman" w:cs="Times New Roman"/>
                <w:color w:val="000000"/>
                <w:sz w:val="20"/>
                <w:szCs w:val="20"/>
              </w:rPr>
            </w:pPr>
            <w:r w:rsidRPr="004A0591">
              <w:rPr>
                <w:rFonts w:ascii="Times New Roman" w:hAnsi="Times New Roman" w:cs="Times New Roman"/>
                <w:color w:val="000000"/>
                <w:sz w:val="20"/>
                <w:szCs w:val="20"/>
              </w:rPr>
              <w:t>4.05</w:t>
            </w:r>
          </w:p>
        </w:tc>
      </w:tr>
      <w:tr w:rsidR="004A0591" w:rsidRPr="005F2192" w14:paraId="7747CB5D" w14:textId="77777777" w:rsidTr="004A0591">
        <w:trPr>
          <w:trHeight w:val="360"/>
        </w:trPr>
        <w:tc>
          <w:tcPr>
            <w:tcW w:w="2705" w:type="pct"/>
            <w:shd w:val="clear" w:color="auto" w:fill="auto"/>
            <w:noWrap/>
            <w:hideMark/>
          </w:tcPr>
          <w:p w14:paraId="6ED07156" w14:textId="77777777" w:rsidR="004A0591" w:rsidRPr="005F2192" w:rsidRDefault="004A0591" w:rsidP="004A0591">
            <w:pPr>
              <w:spacing w:after="0" w:line="360" w:lineRule="auto"/>
              <w:rPr>
                <w:rFonts w:ascii="Times New Roman" w:hAnsi="Times New Roman" w:cs="Times New Roman"/>
                <w:color w:val="000000"/>
                <w:sz w:val="20"/>
                <w:szCs w:val="20"/>
              </w:rPr>
            </w:pPr>
            <w:r w:rsidRPr="005F2192">
              <w:rPr>
                <w:rFonts w:ascii="Times New Roman" w:hAnsi="Times New Roman" w:cs="Times New Roman"/>
                <w:color w:val="000000"/>
                <w:sz w:val="20"/>
                <w:szCs w:val="20"/>
              </w:rPr>
              <w:t>Construction materials</w:t>
            </w:r>
          </w:p>
        </w:tc>
        <w:tc>
          <w:tcPr>
            <w:tcW w:w="1324" w:type="pct"/>
            <w:shd w:val="clear" w:color="auto" w:fill="auto"/>
            <w:noWrap/>
            <w:hideMark/>
          </w:tcPr>
          <w:p w14:paraId="4D98DDDD" w14:textId="77777777" w:rsidR="004A0591" w:rsidRPr="004A0591" w:rsidRDefault="004A0591" w:rsidP="004A0591">
            <w:pPr>
              <w:jc w:val="center"/>
              <w:rPr>
                <w:rFonts w:ascii="Times New Roman" w:hAnsi="Times New Roman" w:cs="Times New Roman"/>
                <w:color w:val="000000"/>
                <w:sz w:val="20"/>
                <w:szCs w:val="20"/>
              </w:rPr>
            </w:pPr>
            <w:r w:rsidRPr="004A0591">
              <w:rPr>
                <w:rFonts w:ascii="Times New Roman" w:hAnsi="Times New Roman" w:cs="Times New Roman"/>
                <w:color w:val="000000"/>
                <w:sz w:val="20"/>
                <w:szCs w:val="20"/>
              </w:rPr>
              <w:t>190</w:t>
            </w:r>
          </w:p>
        </w:tc>
        <w:tc>
          <w:tcPr>
            <w:tcW w:w="971" w:type="pct"/>
            <w:shd w:val="clear" w:color="auto" w:fill="auto"/>
            <w:noWrap/>
            <w:hideMark/>
          </w:tcPr>
          <w:p w14:paraId="7C84373B" w14:textId="77777777" w:rsidR="004A0591" w:rsidRPr="004A0591" w:rsidRDefault="004A0591" w:rsidP="004A0591">
            <w:pPr>
              <w:jc w:val="center"/>
              <w:rPr>
                <w:rFonts w:ascii="Times New Roman" w:hAnsi="Times New Roman" w:cs="Times New Roman"/>
                <w:color w:val="000000"/>
                <w:sz w:val="20"/>
                <w:szCs w:val="20"/>
              </w:rPr>
            </w:pPr>
            <w:r w:rsidRPr="004A0591">
              <w:rPr>
                <w:rFonts w:ascii="Times New Roman" w:hAnsi="Times New Roman" w:cs="Times New Roman"/>
                <w:color w:val="000000"/>
                <w:sz w:val="20"/>
                <w:szCs w:val="20"/>
              </w:rPr>
              <w:t>8.46</w:t>
            </w:r>
          </w:p>
        </w:tc>
      </w:tr>
      <w:tr w:rsidR="004A0591" w:rsidRPr="005F2192" w14:paraId="47844A47" w14:textId="77777777" w:rsidTr="004A0591">
        <w:trPr>
          <w:trHeight w:val="360"/>
        </w:trPr>
        <w:tc>
          <w:tcPr>
            <w:tcW w:w="2705" w:type="pct"/>
            <w:shd w:val="clear" w:color="auto" w:fill="auto"/>
            <w:noWrap/>
            <w:hideMark/>
          </w:tcPr>
          <w:p w14:paraId="1851B595" w14:textId="77777777" w:rsidR="004A0591" w:rsidRPr="005F2192" w:rsidRDefault="004A0591" w:rsidP="004A0591">
            <w:pPr>
              <w:spacing w:after="0" w:line="360" w:lineRule="auto"/>
              <w:rPr>
                <w:rFonts w:ascii="Times New Roman" w:hAnsi="Times New Roman" w:cs="Times New Roman"/>
                <w:color w:val="000000"/>
                <w:sz w:val="20"/>
                <w:szCs w:val="20"/>
              </w:rPr>
            </w:pPr>
            <w:r w:rsidRPr="005F2192">
              <w:rPr>
                <w:rFonts w:ascii="Times New Roman" w:hAnsi="Times New Roman" w:cs="Times New Roman"/>
                <w:color w:val="000000"/>
                <w:sz w:val="20"/>
                <w:szCs w:val="20"/>
              </w:rPr>
              <w:t>Food and beverages</w:t>
            </w:r>
          </w:p>
        </w:tc>
        <w:tc>
          <w:tcPr>
            <w:tcW w:w="1324" w:type="pct"/>
            <w:shd w:val="clear" w:color="auto" w:fill="auto"/>
            <w:noWrap/>
            <w:hideMark/>
          </w:tcPr>
          <w:p w14:paraId="11AFE648" w14:textId="77777777" w:rsidR="004A0591" w:rsidRPr="004A0591" w:rsidRDefault="004A0591" w:rsidP="004A0591">
            <w:pPr>
              <w:jc w:val="center"/>
              <w:rPr>
                <w:rFonts w:ascii="Times New Roman" w:hAnsi="Times New Roman" w:cs="Times New Roman"/>
                <w:color w:val="000000"/>
                <w:sz w:val="20"/>
                <w:szCs w:val="20"/>
              </w:rPr>
            </w:pPr>
            <w:r w:rsidRPr="004A0591">
              <w:rPr>
                <w:rFonts w:ascii="Times New Roman" w:hAnsi="Times New Roman" w:cs="Times New Roman"/>
                <w:color w:val="000000"/>
                <w:sz w:val="20"/>
                <w:szCs w:val="20"/>
              </w:rPr>
              <w:t>107</w:t>
            </w:r>
          </w:p>
        </w:tc>
        <w:tc>
          <w:tcPr>
            <w:tcW w:w="971" w:type="pct"/>
            <w:shd w:val="clear" w:color="auto" w:fill="auto"/>
            <w:noWrap/>
            <w:hideMark/>
          </w:tcPr>
          <w:p w14:paraId="242200C5" w14:textId="77777777" w:rsidR="004A0591" w:rsidRPr="004A0591" w:rsidRDefault="004A0591" w:rsidP="004A0591">
            <w:pPr>
              <w:jc w:val="center"/>
              <w:rPr>
                <w:rFonts w:ascii="Times New Roman" w:hAnsi="Times New Roman" w:cs="Times New Roman"/>
                <w:color w:val="000000"/>
                <w:sz w:val="20"/>
                <w:szCs w:val="20"/>
              </w:rPr>
            </w:pPr>
            <w:r w:rsidRPr="004A0591">
              <w:rPr>
                <w:rFonts w:ascii="Times New Roman" w:hAnsi="Times New Roman" w:cs="Times New Roman"/>
                <w:color w:val="000000"/>
                <w:sz w:val="20"/>
                <w:szCs w:val="20"/>
              </w:rPr>
              <w:t>4.77</w:t>
            </w:r>
          </w:p>
        </w:tc>
      </w:tr>
      <w:tr w:rsidR="004A0591" w:rsidRPr="005F2192" w14:paraId="599BCCB2" w14:textId="77777777" w:rsidTr="004A0591">
        <w:trPr>
          <w:trHeight w:val="360"/>
        </w:trPr>
        <w:tc>
          <w:tcPr>
            <w:tcW w:w="2705" w:type="pct"/>
            <w:shd w:val="clear" w:color="auto" w:fill="auto"/>
            <w:noWrap/>
            <w:hideMark/>
          </w:tcPr>
          <w:p w14:paraId="39224EEC" w14:textId="77777777" w:rsidR="004A0591" w:rsidRPr="005F2192" w:rsidRDefault="004A0591" w:rsidP="004A0591">
            <w:pPr>
              <w:spacing w:after="0" w:line="360" w:lineRule="auto"/>
              <w:rPr>
                <w:rFonts w:ascii="Times New Roman" w:hAnsi="Times New Roman" w:cs="Times New Roman"/>
                <w:color w:val="000000"/>
                <w:sz w:val="20"/>
                <w:szCs w:val="20"/>
              </w:rPr>
            </w:pPr>
            <w:r w:rsidRPr="005F2192">
              <w:rPr>
                <w:rFonts w:ascii="Times New Roman" w:hAnsi="Times New Roman" w:cs="Times New Roman"/>
                <w:color w:val="000000"/>
                <w:sz w:val="20"/>
                <w:szCs w:val="20"/>
              </w:rPr>
              <w:t>Gas, Water and Utilities</w:t>
            </w:r>
          </w:p>
        </w:tc>
        <w:tc>
          <w:tcPr>
            <w:tcW w:w="1324" w:type="pct"/>
            <w:shd w:val="clear" w:color="auto" w:fill="auto"/>
            <w:noWrap/>
            <w:hideMark/>
          </w:tcPr>
          <w:p w14:paraId="743A985C" w14:textId="77777777" w:rsidR="004A0591" w:rsidRPr="004A0591" w:rsidRDefault="004A0591" w:rsidP="004A0591">
            <w:pPr>
              <w:jc w:val="center"/>
              <w:rPr>
                <w:rFonts w:ascii="Times New Roman" w:hAnsi="Times New Roman" w:cs="Times New Roman"/>
                <w:color w:val="000000"/>
                <w:sz w:val="20"/>
                <w:szCs w:val="20"/>
              </w:rPr>
            </w:pPr>
            <w:r w:rsidRPr="004A0591">
              <w:rPr>
                <w:rFonts w:ascii="Times New Roman" w:hAnsi="Times New Roman" w:cs="Times New Roman"/>
                <w:color w:val="000000"/>
                <w:sz w:val="20"/>
                <w:szCs w:val="20"/>
              </w:rPr>
              <w:t>83</w:t>
            </w:r>
          </w:p>
        </w:tc>
        <w:tc>
          <w:tcPr>
            <w:tcW w:w="971" w:type="pct"/>
            <w:shd w:val="clear" w:color="auto" w:fill="auto"/>
            <w:noWrap/>
            <w:hideMark/>
          </w:tcPr>
          <w:p w14:paraId="06F3FF75" w14:textId="77777777" w:rsidR="004A0591" w:rsidRPr="004A0591" w:rsidRDefault="004A0591" w:rsidP="004A0591">
            <w:pPr>
              <w:jc w:val="center"/>
              <w:rPr>
                <w:rFonts w:ascii="Times New Roman" w:hAnsi="Times New Roman" w:cs="Times New Roman"/>
                <w:color w:val="000000"/>
                <w:sz w:val="20"/>
                <w:szCs w:val="20"/>
              </w:rPr>
            </w:pPr>
            <w:r w:rsidRPr="004A0591">
              <w:rPr>
                <w:rFonts w:ascii="Times New Roman" w:hAnsi="Times New Roman" w:cs="Times New Roman"/>
                <w:color w:val="000000"/>
                <w:sz w:val="20"/>
                <w:szCs w:val="20"/>
              </w:rPr>
              <w:t>3.70</w:t>
            </w:r>
          </w:p>
        </w:tc>
      </w:tr>
      <w:tr w:rsidR="004A0591" w:rsidRPr="005F2192" w14:paraId="12DF1095" w14:textId="77777777" w:rsidTr="004A0591">
        <w:trPr>
          <w:trHeight w:val="360"/>
        </w:trPr>
        <w:tc>
          <w:tcPr>
            <w:tcW w:w="2705" w:type="pct"/>
            <w:shd w:val="clear" w:color="auto" w:fill="auto"/>
            <w:noWrap/>
            <w:hideMark/>
          </w:tcPr>
          <w:p w14:paraId="4908B469" w14:textId="77777777" w:rsidR="004A0591" w:rsidRPr="005F2192" w:rsidRDefault="004A0591" w:rsidP="004A0591">
            <w:pPr>
              <w:spacing w:after="0" w:line="360" w:lineRule="auto"/>
              <w:rPr>
                <w:rFonts w:ascii="Times New Roman" w:hAnsi="Times New Roman" w:cs="Times New Roman"/>
                <w:color w:val="000000"/>
                <w:sz w:val="20"/>
                <w:szCs w:val="20"/>
              </w:rPr>
            </w:pPr>
            <w:r w:rsidRPr="005F2192">
              <w:rPr>
                <w:rFonts w:ascii="Times New Roman" w:hAnsi="Times New Roman" w:cs="Times New Roman"/>
                <w:color w:val="000000"/>
                <w:sz w:val="20"/>
                <w:szCs w:val="20"/>
              </w:rPr>
              <w:t>Healthcare</w:t>
            </w:r>
          </w:p>
        </w:tc>
        <w:tc>
          <w:tcPr>
            <w:tcW w:w="1324" w:type="pct"/>
            <w:shd w:val="clear" w:color="auto" w:fill="auto"/>
            <w:noWrap/>
            <w:hideMark/>
          </w:tcPr>
          <w:p w14:paraId="6DFE01A0" w14:textId="77777777" w:rsidR="004A0591" w:rsidRPr="004A0591" w:rsidRDefault="004A0591" w:rsidP="004A0591">
            <w:pPr>
              <w:jc w:val="center"/>
              <w:rPr>
                <w:rFonts w:ascii="Times New Roman" w:hAnsi="Times New Roman" w:cs="Times New Roman"/>
                <w:color w:val="000000"/>
                <w:sz w:val="20"/>
                <w:szCs w:val="20"/>
              </w:rPr>
            </w:pPr>
            <w:r w:rsidRPr="004A0591">
              <w:rPr>
                <w:rFonts w:ascii="Times New Roman" w:hAnsi="Times New Roman" w:cs="Times New Roman"/>
                <w:color w:val="000000"/>
                <w:sz w:val="20"/>
                <w:szCs w:val="20"/>
              </w:rPr>
              <w:t>112</w:t>
            </w:r>
          </w:p>
        </w:tc>
        <w:tc>
          <w:tcPr>
            <w:tcW w:w="971" w:type="pct"/>
            <w:shd w:val="clear" w:color="auto" w:fill="auto"/>
            <w:noWrap/>
            <w:hideMark/>
          </w:tcPr>
          <w:p w14:paraId="44913D07" w14:textId="77777777" w:rsidR="004A0591" w:rsidRPr="004A0591" w:rsidRDefault="004A0591" w:rsidP="004A0591">
            <w:pPr>
              <w:jc w:val="center"/>
              <w:rPr>
                <w:rFonts w:ascii="Times New Roman" w:hAnsi="Times New Roman" w:cs="Times New Roman"/>
                <w:color w:val="000000"/>
                <w:sz w:val="20"/>
                <w:szCs w:val="20"/>
              </w:rPr>
            </w:pPr>
            <w:r w:rsidRPr="004A0591">
              <w:rPr>
                <w:rFonts w:ascii="Times New Roman" w:hAnsi="Times New Roman" w:cs="Times New Roman"/>
                <w:color w:val="000000"/>
                <w:sz w:val="20"/>
                <w:szCs w:val="20"/>
              </w:rPr>
              <w:t>4.99</w:t>
            </w:r>
          </w:p>
        </w:tc>
      </w:tr>
      <w:tr w:rsidR="004A0591" w:rsidRPr="005F2192" w14:paraId="7EEDC19B" w14:textId="77777777" w:rsidTr="004A0591">
        <w:trPr>
          <w:trHeight w:val="360"/>
        </w:trPr>
        <w:tc>
          <w:tcPr>
            <w:tcW w:w="2705" w:type="pct"/>
            <w:shd w:val="clear" w:color="auto" w:fill="auto"/>
            <w:noWrap/>
            <w:hideMark/>
          </w:tcPr>
          <w:p w14:paraId="128BF235" w14:textId="77777777" w:rsidR="004A0591" w:rsidRPr="005F2192" w:rsidRDefault="004A0591" w:rsidP="004A0591">
            <w:pPr>
              <w:spacing w:after="0" w:line="360" w:lineRule="auto"/>
              <w:rPr>
                <w:rFonts w:ascii="Times New Roman" w:hAnsi="Times New Roman" w:cs="Times New Roman"/>
                <w:color w:val="000000"/>
                <w:sz w:val="20"/>
                <w:szCs w:val="20"/>
              </w:rPr>
            </w:pPr>
            <w:r w:rsidRPr="005F2192">
              <w:rPr>
                <w:rFonts w:ascii="Times New Roman" w:hAnsi="Times New Roman" w:cs="Times New Roman"/>
                <w:color w:val="000000"/>
                <w:sz w:val="20"/>
                <w:szCs w:val="20"/>
              </w:rPr>
              <w:t>IT and Electronics</w:t>
            </w:r>
          </w:p>
        </w:tc>
        <w:tc>
          <w:tcPr>
            <w:tcW w:w="1324" w:type="pct"/>
            <w:shd w:val="clear" w:color="auto" w:fill="auto"/>
            <w:noWrap/>
            <w:hideMark/>
          </w:tcPr>
          <w:p w14:paraId="1DD79912" w14:textId="77777777" w:rsidR="004A0591" w:rsidRPr="004A0591" w:rsidRDefault="004A0591" w:rsidP="004A0591">
            <w:pPr>
              <w:jc w:val="center"/>
              <w:rPr>
                <w:rFonts w:ascii="Times New Roman" w:hAnsi="Times New Roman" w:cs="Times New Roman"/>
                <w:color w:val="000000"/>
                <w:sz w:val="20"/>
                <w:szCs w:val="20"/>
              </w:rPr>
            </w:pPr>
            <w:r w:rsidRPr="004A0591">
              <w:rPr>
                <w:rFonts w:ascii="Times New Roman" w:hAnsi="Times New Roman" w:cs="Times New Roman"/>
                <w:color w:val="000000"/>
                <w:sz w:val="20"/>
                <w:szCs w:val="20"/>
              </w:rPr>
              <w:t>151</w:t>
            </w:r>
          </w:p>
        </w:tc>
        <w:tc>
          <w:tcPr>
            <w:tcW w:w="971" w:type="pct"/>
            <w:shd w:val="clear" w:color="auto" w:fill="auto"/>
            <w:noWrap/>
            <w:hideMark/>
          </w:tcPr>
          <w:p w14:paraId="73181BC1" w14:textId="77777777" w:rsidR="004A0591" w:rsidRPr="004A0591" w:rsidRDefault="004A0591" w:rsidP="004A0591">
            <w:pPr>
              <w:jc w:val="center"/>
              <w:rPr>
                <w:rFonts w:ascii="Times New Roman" w:hAnsi="Times New Roman" w:cs="Times New Roman"/>
                <w:color w:val="000000"/>
                <w:sz w:val="20"/>
                <w:szCs w:val="20"/>
              </w:rPr>
            </w:pPr>
            <w:r w:rsidRPr="004A0591">
              <w:rPr>
                <w:rFonts w:ascii="Times New Roman" w:hAnsi="Times New Roman" w:cs="Times New Roman"/>
                <w:color w:val="000000"/>
                <w:sz w:val="20"/>
                <w:szCs w:val="20"/>
              </w:rPr>
              <w:t>6.73</w:t>
            </w:r>
          </w:p>
        </w:tc>
      </w:tr>
      <w:tr w:rsidR="004A0591" w:rsidRPr="005F2192" w14:paraId="2FC14EE9" w14:textId="77777777" w:rsidTr="004A0591">
        <w:trPr>
          <w:trHeight w:val="360"/>
        </w:trPr>
        <w:tc>
          <w:tcPr>
            <w:tcW w:w="2705" w:type="pct"/>
            <w:shd w:val="clear" w:color="auto" w:fill="auto"/>
            <w:noWrap/>
            <w:hideMark/>
          </w:tcPr>
          <w:p w14:paraId="02295950" w14:textId="77777777" w:rsidR="004A0591" w:rsidRPr="005F2192" w:rsidRDefault="004A0591" w:rsidP="004A0591">
            <w:pPr>
              <w:spacing w:after="0" w:line="360" w:lineRule="auto"/>
              <w:rPr>
                <w:rFonts w:ascii="Times New Roman" w:hAnsi="Times New Roman" w:cs="Times New Roman"/>
                <w:color w:val="000000"/>
                <w:sz w:val="20"/>
                <w:szCs w:val="20"/>
              </w:rPr>
            </w:pPr>
            <w:r w:rsidRPr="005F2192">
              <w:rPr>
                <w:rFonts w:ascii="Times New Roman" w:hAnsi="Times New Roman" w:cs="Times New Roman"/>
                <w:color w:val="000000"/>
                <w:sz w:val="20"/>
                <w:szCs w:val="20"/>
              </w:rPr>
              <w:t>Industrials</w:t>
            </w:r>
          </w:p>
        </w:tc>
        <w:tc>
          <w:tcPr>
            <w:tcW w:w="1324" w:type="pct"/>
            <w:shd w:val="clear" w:color="auto" w:fill="auto"/>
            <w:noWrap/>
            <w:hideMark/>
          </w:tcPr>
          <w:p w14:paraId="07540B3D" w14:textId="77777777" w:rsidR="004A0591" w:rsidRPr="004A0591" w:rsidRDefault="004A0591" w:rsidP="004A0591">
            <w:pPr>
              <w:jc w:val="center"/>
              <w:rPr>
                <w:rFonts w:ascii="Times New Roman" w:hAnsi="Times New Roman" w:cs="Times New Roman"/>
                <w:color w:val="000000"/>
                <w:sz w:val="20"/>
                <w:szCs w:val="20"/>
              </w:rPr>
            </w:pPr>
            <w:r w:rsidRPr="004A0591">
              <w:rPr>
                <w:rFonts w:ascii="Times New Roman" w:hAnsi="Times New Roman" w:cs="Times New Roman"/>
                <w:color w:val="000000"/>
                <w:sz w:val="20"/>
                <w:szCs w:val="20"/>
              </w:rPr>
              <w:t>148</w:t>
            </w:r>
          </w:p>
        </w:tc>
        <w:tc>
          <w:tcPr>
            <w:tcW w:w="971" w:type="pct"/>
            <w:shd w:val="clear" w:color="auto" w:fill="auto"/>
            <w:noWrap/>
            <w:hideMark/>
          </w:tcPr>
          <w:p w14:paraId="3E3FC6FB" w14:textId="77777777" w:rsidR="004A0591" w:rsidRPr="004A0591" w:rsidRDefault="004A0591" w:rsidP="004A0591">
            <w:pPr>
              <w:jc w:val="center"/>
              <w:rPr>
                <w:rFonts w:ascii="Times New Roman" w:hAnsi="Times New Roman" w:cs="Times New Roman"/>
                <w:color w:val="000000"/>
                <w:sz w:val="20"/>
                <w:szCs w:val="20"/>
              </w:rPr>
            </w:pPr>
            <w:r w:rsidRPr="004A0591">
              <w:rPr>
                <w:rFonts w:ascii="Times New Roman" w:hAnsi="Times New Roman" w:cs="Times New Roman"/>
                <w:color w:val="000000"/>
                <w:sz w:val="20"/>
                <w:szCs w:val="20"/>
              </w:rPr>
              <w:t>6.59</w:t>
            </w:r>
          </w:p>
        </w:tc>
      </w:tr>
      <w:tr w:rsidR="004A0591" w:rsidRPr="005F2192" w14:paraId="2B344BD2" w14:textId="77777777" w:rsidTr="004A0591">
        <w:trPr>
          <w:trHeight w:val="360"/>
        </w:trPr>
        <w:tc>
          <w:tcPr>
            <w:tcW w:w="2705" w:type="pct"/>
            <w:shd w:val="clear" w:color="auto" w:fill="auto"/>
            <w:noWrap/>
            <w:hideMark/>
          </w:tcPr>
          <w:p w14:paraId="25FD12FE" w14:textId="77777777" w:rsidR="004A0591" w:rsidRPr="005F2192" w:rsidRDefault="004A0591" w:rsidP="004A0591">
            <w:pPr>
              <w:spacing w:after="0" w:line="360" w:lineRule="auto"/>
              <w:rPr>
                <w:rFonts w:ascii="Times New Roman" w:hAnsi="Times New Roman" w:cs="Times New Roman"/>
                <w:color w:val="000000"/>
                <w:sz w:val="20"/>
                <w:szCs w:val="20"/>
              </w:rPr>
            </w:pPr>
            <w:r w:rsidRPr="005F2192">
              <w:rPr>
                <w:rFonts w:ascii="Times New Roman" w:hAnsi="Times New Roman" w:cs="Times New Roman"/>
                <w:color w:val="000000"/>
                <w:sz w:val="20"/>
                <w:szCs w:val="20"/>
              </w:rPr>
              <w:t>Mining</w:t>
            </w:r>
          </w:p>
        </w:tc>
        <w:tc>
          <w:tcPr>
            <w:tcW w:w="1324" w:type="pct"/>
            <w:shd w:val="clear" w:color="auto" w:fill="auto"/>
            <w:noWrap/>
            <w:hideMark/>
          </w:tcPr>
          <w:p w14:paraId="78CE65A6" w14:textId="77777777" w:rsidR="004A0591" w:rsidRPr="004A0591" w:rsidRDefault="004A0591" w:rsidP="004A0591">
            <w:pPr>
              <w:jc w:val="center"/>
              <w:rPr>
                <w:rFonts w:ascii="Times New Roman" w:hAnsi="Times New Roman" w:cs="Times New Roman"/>
                <w:color w:val="000000"/>
                <w:sz w:val="20"/>
                <w:szCs w:val="20"/>
              </w:rPr>
            </w:pPr>
            <w:r w:rsidRPr="004A0591">
              <w:rPr>
                <w:rFonts w:ascii="Times New Roman" w:hAnsi="Times New Roman" w:cs="Times New Roman"/>
                <w:color w:val="000000"/>
                <w:sz w:val="20"/>
                <w:szCs w:val="20"/>
              </w:rPr>
              <w:t>158</w:t>
            </w:r>
          </w:p>
        </w:tc>
        <w:tc>
          <w:tcPr>
            <w:tcW w:w="971" w:type="pct"/>
            <w:shd w:val="clear" w:color="auto" w:fill="auto"/>
            <w:noWrap/>
            <w:hideMark/>
          </w:tcPr>
          <w:p w14:paraId="211E872B" w14:textId="77777777" w:rsidR="004A0591" w:rsidRPr="004A0591" w:rsidRDefault="004A0591" w:rsidP="004A0591">
            <w:pPr>
              <w:jc w:val="center"/>
              <w:rPr>
                <w:rFonts w:ascii="Times New Roman" w:hAnsi="Times New Roman" w:cs="Times New Roman"/>
                <w:color w:val="000000"/>
                <w:sz w:val="20"/>
                <w:szCs w:val="20"/>
              </w:rPr>
            </w:pPr>
            <w:r w:rsidRPr="004A0591">
              <w:rPr>
                <w:rFonts w:ascii="Times New Roman" w:hAnsi="Times New Roman" w:cs="Times New Roman"/>
                <w:color w:val="000000"/>
                <w:sz w:val="20"/>
                <w:szCs w:val="20"/>
              </w:rPr>
              <w:t>7.04</w:t>
            </w:r>
          </w:p>
        </w:tc>
      </w:tr>
      <w:tr w:rsidR="004A0591" w:rsidRPr="005F2192" w14:paraId="6160E8A2" w14:textId="77777777" w:rsidTr="004A0591">
        <w:trPr>
          <w:trHeight w:val="360"/>
        </w:trPr>
        <w:tc>
          <w:tcPr>
            <w:tcW w:w="2705" w:type="pct"/>
            <w:shd w:val="clear" w:color="auto" w:fill="auto"/>
            <w:noWrap/>
            <w:hideMark/>
          </w:tcPr>
          <w:p w14:paraId="104D90E8" w14:textId="77777777" w:rsidR="004A0591" w:rsidRPr="005F2192" w:rsidRDefault="004A0591" w:rsidP="004A0591">
            <w:pPr>
              <w:spacing w:after="0" w:line="360" w:lineRule="auto"/>
              <w:rPr>
                <w:rFonts w:ascii="Times New Roman" w:hAnsi="Times New Roman" w:cs="Times New Roman"/>
                <w:color w:val="000000"/>
                <w:sz w:val="20"/>
                <w:szCs w:val="20"/>
              </w:rPr>
            </w:pPr>
            <w:r w:rsidRPr="005F2192">
              <w:rPr>
                <w:rFonts w:ascii="Times New Roman" w:hAnsi="Times New Roman" w:cs="Times New Roman"/>
                <w:color w:val="000000"/>
                <w:sz w:val="20"/>
                <w:szCs w:val="20"/>
              </w:rPr>
              <w:t>Oil and Gas</w:t>
            </w:r>
          </w:p>
        </w:tc>
        <w:tc>
          <w:tcPr>
            <w:tcW w:w="1324" w:type="pct"/>
            <w:shd w:val="clear" w:color="auto" w:fill="auto"/>
            <w:noWrap/>
            <w:hideMark/>
          </w:tcPr>
          <w:p w14:paraId="0ABCD10D" w14:textId="77777777" w:rsidR="004A0591" w:rsidRPr="004A0591" w:rsidRDefault="004A0591" w:rsidP="004A0591">
            <w:pPr>
              <w:jc w:val="center"/>
              <w:rPr>
                <w:rFonts w:ascii="Times New Roman" w:hAnsi="Times New Roman" w:cs="Times New Roman"/>
                <w:color w:val="000000"/>
                <w:sz w:val="20"/>
                <w:szCs w:val="20"/>
              </w:rPr>
            </w:pPr>
            <w:r w:rsidRPr="004A0591">
              <w:rPr>
                <w:rFonts w:ascii="Times New Roman" w:hAnsi="Times New Roman" w:cs="Times New Roman"/>
                <w:color w:val="000000"/>
                <w:sz w:val="20"/>
                <w:szCs w:val="20"/>
              </w:rPr>
              <w:t>192</w:t>
            </w:r>
          </w:p>
        </w:tc>
        <w:tc>
          <w:tcPr>
            <w:tcW w:w="971" w:type="pct"/>
            <w:shd w:val="clear" w:color="auto" w:fill="auto"/>
            <w:noWrap/>
            <w:hideMark/>
          </w:tcPr>
          <w:p w14:paraId="08AC9F1E" w14:textId="77777777" w:rsidR="004A0591" w:rsidRPr="004A0591" w:rsidRDefault="004A0591" w:rsidP="004A0591">
            <w:pPr>
              <w:jc w:val="center"/>
              <w:rPr>
                <w:rFonts w:ascii="Times New Roman" w:hAnsi="Times New Roman" w:cs="Times New Roman"/>
                <w:color w:val="000000"/>
                <w:sz w:val="20"/>
                <w:szCs w:val="20"/>
              </w:rPr>
            </w:pPr>
            <w:r w:rsidRPr="004A0591">
              <w:rPr>
                <w:rFonts w:ascii="Times New Roman" w:hAnsi="Times New Roman" w:cs="Times New Roman"/>
                <w:color w:val="000000"/>
                <w:sz w:val="20"/>
                <w:szCs w:val="20"/>
              </w:rPr>
              <w:t>8.55</w:t>
            </w:r>
          </w:p>
        </w:tc>
      </w:tr>
      <w:tr w:rsidR="004A0591" w:rsidRPr="005F2192" w14:paraId="18673D59" w14:textId="77777777" w:rsidTr="004A0591">
        <w:trPr>
          <w:trHeight w:val="360"/>
        </w:trPr>
        <w:tc>
          <w:tcPr>
            <w:tcW w:w="2705" w:type="pct"/>
            <w:shd w:val="clear" w:color="auto" w:fill="auto"/>
            <w:noWrap/>
            <w:hideMark/>
          </w:tcPr>
          <w:p w14:paraId="5DC98B88" w14:textId="77777777" w:rsidR="004A0591" w:rsidRPr="005F2192" w:rsidRDefault="004A0591" w:rsidP="004A0591">
            <w:pPr>
              <w:spacing w:after="0" w:line="360" w:lineRule="auto"/>
              <w:rPr>
                <w:rFonts w:ascii="Times New Roman" w:hAnsi="Times New Roman" w:cs="Times New Roman"/>
                <w:color w:val="000000"/>
                <w:sz w:val="20"/>
                <w:szCs w:val="20"/>
              </w:rPr>
            </w:pPr>
            <w:r w:rsidRPr="005F2192">
              <w:rPr>
                <w:rFonts w:ascii="Times New Roman" w:hAnsi="Times New Roman" w:cs="Times New Roman"/>
                <w:color w:val="000000"/>
                <w:sz w:val="20"/>
                <w:szCs w:val="20"/>
              </w:rPr>
              <w:t>Retail</w:t>
            </w:r>
          </w:p>
        </w:tc>
        <w:tc>
          <w:tcPr>
            <w:tcW w:w="1324" w:type="pct"/>
            <w:shd w:val="clear" w:color="auto" w:fill="auto"/>
            <w:noWrap/>
            <w:hideMark/>
          </w:tcPr>
          <w:p w14:paraId="17FAC3D7" w14:textId="77777777" w:rsidR="004A0591" w:rsidRPr="004A0591" w:rsidRDefault="004A0591" w:rsidP="004A0591">
            <w:pPr>
              <w:jc w:val="center"/>
              <w:rPr>
                <w:rFonts w:ascii="Times New Roman" w:hAnsi="Times New Roman" w:cs="Times New Roman"/>
                <w:color w:val="000000"/>
                <w:sz w:val="20"/>
                <w:szCs w:val="20"/>
              </w:rPr>
            </w:pPr>
            <w:r w:rsidRPr="004A0591">
              <w:rPr>
                <w:rFonts w:ascii="Times New Roman" w:hAnsi="Times New Roman" w:cs="Times New Roman"/>
                <w:color w:val="000000"/>
                <w:sz w:val="20"/>
                <w:szCs w:val="20"/>
              </w:rPr>
              <w:t>242</w:t>
            </w:r>
          </w:p>
        </w:tc>
        <w:tc>
          <w:tcPr>
            <w:tcW w:w="971" w:type="pct"/>
            <w:shd w:val="clear" w:color="auto" w:fill="auto"/>
            <w:noWrap/>
            <w:hideMark/>
          </w:tcPr>
          <w:p w14:paraId="0A37C402" w14:textId="77777777" w:rsidR="004A0591" w:rsidRPr="004A0591" w:rsidRDefault="004A0591" w:rsidP="004A0591">
            <w:pPr>
              <w:jc w:val="center"/>
              <w:rPr>
                <w:rFonts w:ascii="Times New Roman" w:hAnsi="Times New Roman" w:cs="Times New Roman"/>
                <w:color w:val="000000"/>
                <w:sz w:val="20"/>
                <w:szCs w:val="20"/>
              </w:rPr>
            </w:pPr>
            <w:r w:rsidRPr="004A0591">
              <w:rPr>
                <w:rFonts w:ascii="Times New Roman" w:hAnsi="Times New Roman" w:cs="Times New Roman"/>
                <w:color w:val="000000"/>
                <w:sz w:val="20"/>
                <w:szCs w:val="20"/>
              </w:rPr>
              <w:t>10.78</w:t>
            </w:r>
          </w:p>
        </w:tc>
      </w:tr>
      <w:tr w:rsidR="004A0591" w:rsidRPr="005F2192" w14:paraId="3BBD7C2B" w14:textId="77777777" w:rsidTr="004A0591">
        <w:trPr>
          <w:trHeight w:val="360"/>
        </w:trPr>
        <w:tc>
          <w:tcPr>
            <w:tcW w:w="2705" w:type="pct"/>
            <w:tcBorders>
              <w:bottom w:val="single" w:sz="4" w:space="0" w:color="auto"/>
            </w:tcBorders>
            <w:shd w:val="clear" w:color="auto" w:fill="auto"/>
            <w:noWrap/>
            <w:hideMark/>
          </w:tcPr>
          <w:p w14:paraId="4BA930C9" w14:textId="77777777" w:rsidR="004A0591" w:rsidRPr="005F2192" w:rsidRDefault="004A0591" w:rsidP="004A0591">
            <w:pPr>
              <w:spacing w:after="0" w:line="360" w:lineRule="auto"/>
              <w:rPr>
                <w:rFonts w:ascii="Times New Roman" w:hAnsi="Times New Roman" w:cs="Times New Roman"/>
                <w:color w:val="000000"/>
                <w:sz w:val="20"/>
                <w:szCs w:val="20"/>
              </w:rPr>
            </w:pPr>
            <w:r w:rsidRPr="005F2192">
              <w:rPr>
                <w:rFonts w:ascii="Times New Roman" w:hAnsi="Times New Roman" w:cs="Times New Roman"/>
                <w:color w:val="000000"/>
                <w:sz w:val="20"/>
                <w:szCs w:val="20"/>
              </w:rPr>
              <w:t>Services</w:t>
            </w:r>
          </w:p>
        </w:tc>
        <w:tc>
          <w:tcPr>
            <w:tcW w:w="1324" w:type="pct"/>
            <w:tcBorders>
              <w:bottom w:val="single" w:sz="4" w:space="0" w:color="auto"/>
            </w:tcBorders>
            <w:shd w:val="clear" w:color="auto" w:fill="auto"/>
            <w:noWrap/>
            <w:hideMark/>
          </w:tcPr>
          <w:p w14:paraId="34C1645D" w14:textId="77777777" w:rsidR="004A0591" w:rsidRPr="004A0591" w:rsidRDefault="004A0591" w:rsidP="004A0591">
            <w:pPr>
              <w:jc w:val="center"/>
              <w:rPr>
                <w:rFonts w:ascii="Times New Roman" w:hAnsi="Times New Roman" w:cs="Times New Roman"/>
                <w:color w:val="000000"/>
                <w:sz w:val="20"/>
                <w:szCs w:val="20"/>
              </w:rPr>
            </w:pPr>
            <w:r w:rsidRPr="004A0591">
              <w:rPr>
                <w:rFonts w:ascii="Times New Roman" w:hAnsi="Times New Roman" w:cs="Times New Roman"/>
                <w:color w:val="000000"/>
                <w:sz w:val="20"/>
                <w:szCs w:val="20"/>
              </w:rPr>
              <w:t>771</w:t>
            </w:r>
          </w:p>
        </w:tc>
        <w:tc>
          <w:tcPr>
            <w:tcW w:w="971" w:type="pct"/>
            <w:tcBorders>
              <w:bottom w:val="single" w:sz="4" w:space="0" w:color="auto"/>
            </w:tcBorders>
            <w:shd w:val="clear" w:color="auto" w:fill="auto"/>
            <w:noWrap/>
            <w:hideMark/>
          </w:tcPr>
          <w:p w14:paraId="7A34195A" w14:textId="77777777" w:rsidR="004A0591" w:rsidRPr="004A0591" w:rsidRDefault="004A0591" w:rsidP="004A0591">
            <w:pPr>
              <w:jc w:val="center"/>
              <w:rPr>
                <w:rFonts w:ascii="Times New Roman" w:hAnsi="Times New Roman" w:cs="Times New Roman"/>
                <w:color w:val="000000"/>
                <w:sz w:val="20"/>
                <w:szCs w:val="20"/>
              </w:rPr>
            </w:pPr>
            <w:r w:rsidRPr="004A0591">
              <w:rPr>
                <w:rFonts w:ascii="Times New Roman" w:hAnsi="Times New Roman" w:cs="Times New Roman"/>
                <w:color w:val="000000"/>
                <w:sz w:val="20"/>
                <w:szCs w:val="20"/>
              </w:rPr>
              <w:t>34.34</w:t>
            </w:r>
          </w:p>
        </w:tc>
      </w:tr>
      <w:tr w:rsidR="004A0591" w:rsidRPr="005F2192" w14:paraId="6CA44CAA" w14:textId="77777777" w:rsidTr="004A0591">
        <w:trPr>
          <w:trHeight w:val="360"/>
        </w:trPr>
        <w:tc>
          <w:tcPr>
            <w:tcW w:w="2705" w:type="pct"/>
            <w:tcBorders>
              <w:top w:val="single" w:sz="4" w:space="0" w:color="auto"/>
              <w:bottom w:val="single" w:sz="4" w:space="0" w:color="auto"/>
            </w:tcBorders>
            <w:shd w:val="clear" w:color="auto" w:fill="auto"/>
            <w:noWrap/>
            <w:hideMark/>
          </w:tcPr>
          <w:p w14:paraId="6F515BCE" w14:textId="77777777" w:rsidR="004A0591" w:rsidRPr="005F2192" w:rsidRDefault="004A0591" w:rsidP="004A0591">
            <w:pPr>
              <w:spacing w:after="0" w:line="360" w:lineRule="auto"/>
              <w:rPr>
                <w:rFonts w:ascii="Times New Roman" w:hAnsi="Times New Roman" w:cs="Times New Roman"/>
                <w:color w:val="000000"/>
                <w:sz w:val="20"/>
                <w:szCs w:val="20"/>
              </w:rPr>
            </w:pPr>
            <w:r w:rsidRPr="005F2192">
              <w:rPr>
                <w:rFonts w:ascii="Times New Roman" w:hAnsi="Times New Roman" w:cs="Times New Roman"/>
                <w:color w:val="000000"/>
                <w:sz w:val="20"/>
                <w:szCs w:val="20"/>
              </w:rPr>
              <w:t>Total</w:t>
            </w:r>
          </w:p>
        </w:tc>
        <w:tc>
          <w:tcPr>
            <w:tcW w:w="1324" w:type="pct"/>
            <w:tcBorders>
              <w:top w:val="single" w:sz="4" w:space="0" w:color="auto"/>
              <w:bottom w:val="single" w:sz="4" w:space="0" w:color="auto"/>
            </w:tcBorders>
            <w:shd w:val="clear" w:color="auto" w:fill="auto"/>
            <w:noWrap/>
            <w:hideMark/>
          </w:tcPr>
          <w:p w14:paraId="1F3BD40A" w14:textId="77777777" w:rsidR="004A0591" w:rsidRPr="004A0591" w:rsidRDefault="004A0591" w:rsidP="004A0591">
            <w:pPr>
              <w:jc w:val="center"/>
              <w:rPr>
                <w:rFonts w:ascii="Times New Roman" w:hAnsi="Times New Roman" w:cs="Times New Roman"/>
                <w:color w:val="000000"/>
                <w:sz w:val="20"/>
                <w:szCs w:val="20"/>
              </w:rPr>
            </w:pPr>
            <w:r w:rsidRPr="004A0591">
              <w:rPr>
                <w:rFonts w:ascii="Times New Roman" w:hAnsi="Times New Roman" w:cs="Times New Roman"/>
                <w:color w:val="000000"/>
                <w:sz w:val="20"/>
                <w:szCs w:val="20"/>
              </w:rPr>
              <w:t>2245</w:t>
            </w:r>
          </w:p>
        </w:tc>
        <w:tc>
          <w:tcPr>
            <w:tcW w:w="971" w:type="pct"/>
            <w:tcBorders>
              <w:top w:val="single" w:sz="4" w:space="0" w:color="auto"/>
              <w:bottom w:val="single" w:sz="4" w:space="0" w:color="auto"/>
            </w:tcBorders>
            <w:shd w:val="clear" w:color="auto" w:fill="auto"/>
            <w:noWrap/>
            <w:hideMark/>
          </w:tcPr>
          <w:p w14:paraId="5542542E" w14:textId="77777777" w:rsidR="004A0591" w:rsidRPr="004A0591" w:rsidRDefault="004A0591" w:rsidP="004A0591">
            <w:pPr>
              <w:jc w:val="center"/>
              <w:rPr>
                <w:rFonts w:ascii="Times New Roman" w:hAnsi="Times New Roman" w:cs="Times New Roman"/>
                <w:color w:val="000000"/>
                <w:sz w:val="20"/>
                <w:szCs w:val="20"/>
              </w:rPr>
            </w:pPr>
            <w:r w:rsidRPr="004A0591">
              <w:rPr>
                <w:rFonts w:ascii="Times New Roman" w:hAnsi="Times New Roman" w:cs="Times New Roman"/>
                <w:color w:val="000000"/>
                <w:sz w:val="20"/>
                <w:szCs w:val="20"/>
              </w:rPr>
              <w:t>100</w:t>
            </w:r>
          </w:p>
        </w:tc>
      </w:tr>
    </w:tbl>
    <w:p w14:paraId="761DFB6F" w14:textId="77777777" w:rsidR="0009588D" w:rsidRPr="005F2192" w:rsidRDefault="0009588D" w:rsidP="0009588D">
      <w:pPr>
        <w:rPr>
          <w:rFonts w:ascii="Times New Roman" w:hAnsi="Times New Roman" w:cs="Times New Roman"/>
        </w:rPr>
      </w:pPr>
    </w:p>
    <w:p w14:paraId="7743BDE4" w14:textId="77777777" w:rsidR="0009588D" w:rsidRPr="005F2192" w:rsidRDefault="0009588D" w:rsidP="009F61FB">
      <w:pPr>
        <w:spacing w:after="0" w:line="240" w:lineRule="auto"/>
        <w:rPr>
          <w:rFonts w:ascii="Times New Roman" w:hAnsi="Times New Roman" w:cs="Times New Roman"/>
          <w:sz w:val="24"/>
          <w:szCs w:val="24"/>
        </w:rPr>
      </w:pPr>
      <w:r w:rsidRPr="005F2192">
        <w:rPr>
          <w:rFonts w:ascii="Times New Roman" w:hAnsi="Times New Roman" w:cs="Times New Roman"/>
        </w:rPr>
        <w:br w:type="page"/>
      </w:r>
      <w:r w:rsidRPr="005F2192">
        <w:rPr>
          <w:rFonts w:ascii="Times New Roman" w:hAnsi="Times New Roman" w:cs="Times New Roman"/>
          <w:b/>
          <w:sz w:val="24"/>
          <w:szCs w:val="24"/>
        </w:rPr>
        <w:lastRenderedPageBreak/>
        <w:t>Table 2</w:t>
      </w:r>
      <w:r w:rsidR="007762F9" w:rsidRPr="005F2192">
        <w:rPr>
          <w:rFonts w:ascii="Times New Roman" w:hAnsi="Times New Roman" w:cs="Times New Roman"/>
          <w:b/>
          <w:sz w:val="24"/>
          <w:szCs w:val="24"/>
        </w:rPr>
        <w:t xml:space="preserve"> </w:t>
      </w:r>
      <w:r w:rsidRPr="005F2192">
        <w:rPr>
          <w:rFonts w:ascii="Times New Roman" w:hAnsi="Times New Roman" w:cs="Times New Roman"/>
          <w:sz w:val="24"/>
          <w:szCs w:val="24"/>
        </w:rPr>
        <w:t>Variable definitions</w:t>
      </w:r>
    </w:p>
    <w:tbl>
      <w:tblPr>
        <w:tblW w:w="5000" w:type="pct"/>
        <w:tblLayout w:type="fixed"/>
        <w:tblLook w:val="04A0" w:firstRow="1" w:lastRow="0" w:firstColumn="1" w:lastColumn="0" w:noHBand="0" w:noVBand="1"/>
      </w:tblPr>
      <w:tblGrid>
        <w:gridCol w:w="1689"/>
        <w:gridCol w:w="1456"/>
        <w:gridCol w:w="6215"/>
      </w:tblGrid>
      <w:tr w:rsidR="0009588D" w:rsidRPr="005F2192" w14:paraId="0D58DE34" w14:textId="77777777" w:rsidTr="003F4A66">
        <w:trPr>
          <w:trHeight w:val="576"/>
        </w:trPr>
        <w:tc>
          <w:tcPr>
            <w:tcW w:w="902" w:type="pct"/>
            <w:tcBorders>
              <w:top w:val="single" w:sz="4" w:space="0" w:color="auto"/>
              <w:bottom w:val="single" w:sz="4" w:space="0" w:color="auto"/>
            </w:tcBorders>
            <w:shd w:val="clear" w:color="auto" w:fill="auto"/>
            <w:vAlign w:val="center"/>
            <w:hideMark/>
          </w:tcPr>
          <w:p w14:paraId="7CD8DBAB" w14:textId="77777777" w:rsidR="0009588D" w:rsidRPr="005F2192" w:rsidRDefault="0009588D" w:rsidP="006F243F">
            <w:pPr>
              <w:spacing w:after="0" w:line="240" w:lineRule="auto"/>
              <w:jc w:val="center"/>
              <w:rPr>
                <w:rFonts w:ascii="Times New Roman" w:hAnsi="Times New Roman" w:cs="Times New Roman"/>
                <w:i/>
                <w:sz w:val="20"/>
                <w:szCs w:val="20"/>
              </w:rPr>
            </w:pPr>
            <w:r w:rsidRPr="005F2192">
              <w:rPr>
                <w:rFonts w:ascii="Times New Roman" w:hAnsi="Times New Roman" w:cs="Times New Roman"/>
                <w:i/>
                <w:sz w:val="20"/>
                <w:szCs w:val="20"/>
              </w:rPr>
              <w:t>Variables</w:t>
            </w:r>
          </w:p>
        </w:tc>
        <w:tc>
          <w:tcPr>
            <w:tcW w:w="778" w:type="pct"/>
            <w:tcBorders>
              <w:top w:val="single" w:sz="4" w:space="0" w:color="auto"/>
              <w:bottom w:val="single" w:sz="4" w:space="0" w:color="auto"/>
            </w:tcBorders>
            <w:vAlign w:val="center"/>
          </w:tcPr>
          <w:p w14:paraId="26703B77" w14:textId="77777777" w:rsidR="0009588D" w:rsidRPr="005F2192" w:rsidRDefault="0009588D" w:rsidP="006F243F">
            <w:pPr>
              <w:spacing w:after="0" w:line="240" w:lineRule="auto"/>
              <w:jc w:val="center"/>
              <w:rPr>
                <w:rFonts w:ascii="Times New Roman" w:hAnsi="Times New Roman" w:cs="Times New Roman"/>
                <w:i/>
                <w:sz w:val="20"/>
                <w:szCs w:val="20"/>
              </w:rPr>
            </w:pPr>
            <w:r w:rsidRPr="005F2192">
              <w:rPr>
                <w:rFonts w:ascii="Times New Roman" w:hAnsi="Times New Roman" w:cs="Times New Roman"/>
                <w:i/>
                <w:sz w:val="20"/>
                <w:szCs w:val="20"/>
              </w:rPr>
              <w:t>Symbols</w:t>
            </w:r>
          </w:p>
        </w:tc>
        <w:tc>
          <w:tcPr>
            <w:tcW w:w="3320" w:type="pct"/>
            <w:tcBorders>
              <w:top w:val="single" w:sz="4" w:space="0" w:color="auto"/>
              <w:bottom w:val="single" w:sz="4" w:space="0" w:color="auto"/>
            </w:tcBorders>
            <w:vAlign w:val="center"/>
          </w:tcPr>
          <w:p w14:paraId="3AA5FFF3" w14:textId="77777777" w:rsidR="0009588D" w:rsidRPr="005F2192" w:rsidRDefault="0009588D" w:rsidP="006F243F">
            <w:pPr>
              <w:spacing w:after="0" w:line="240" w:lineRule="auto"/>
              <w:jc w:val="center"/>
              <w:rPr>
                <w:rFonts w:ascii="Times New Roman" w:hAnsi="Times New Roman" w:cs="Times New Roman"/>
                <w:i/>
                <w:sz w:val="20"/>
                <w:szCs w:val="20"/>
              </w:rPr>
            </w:pPr>
            <w:r w:rsidRPr="005F2192">
              <w:rPr>
                <w:rFonts w:ascii="Times New Roman" w:hAnsi="Times New Roman" w:cs="Times New Roman"/>
                <w:i/>
                <w:sz w:val="20"/>
                <w:szCs w:val="20"/>
              </w:rPr>
              <w:t>Descriptions</w:t>
            </w:r>
          </w:p>
        </w:tc>
      </w:tr>
      <w:tr w:rsidR="003F4A66" w:rsidRPr="005F2192" w14:paraId="35E9F071" w14:textId="77777777" w:rsidTr="003F4A66">
        <w:trPr>
          <w:trHeight w:val="20"/>
        </w:trPr>
        <w:tc>
          <w:tcPr>
            <w:tcW w:w="5000" w:type="pct"/>
            <w:gridSpan w:val="3"/>
            <w:tcBorders>
              <w:top w:val="single" w:sz="4" w:space="0" w:color="auto"/>
            </w:tcBorders>
            <w:shd w:val="clear" w:color="auto" w:fill="auto"/>
            <w:vAlign w:val="center"/>
          </w:tcPr>
          <w:p w14:paraId="25512AF6" w14:textId="77777777" w:rsidR="003F4A66" w:rsidRPr="003F4A66" w:rsidRDefault="003F4A66" w:rsidP="005F11D2">
            <w:pPr>
              <w:spacing w:after="0"/>
              <w:jc w:val="both"/>
              <w:rPr>
                <w:rFonts w:ascii="Times New Roman" w:hAnsi="Times New Roman" w:cs="Times New Roman"/>
                <w:i/>
                <w:sz w:val="20"/>
                <w:szCs w:val="20"/>
                <w:u w:val="single"/>
              </w:rPr>
            </w:pPr>
            <w:r w:rsidRPr="003F4A66">
              <w:rPr>
                <w:rFonts w:ascii="Times New Roman" w:hAnsi="Times New Roman" w:cs="Times New Roman"/>
                <w:i/>
                <w:sz w:val="20"/>
                <w:szCs w:val="20"/>
                <w:u w:val="single"/>
              </w:rPr>
              <w:t>Dependent Variable</w:t>
            </w:r>
            <w:r w:rsidR="00BC688B">
              <w:rPr>
                <w:rFonts w:ascii="Times New Roman" w:hAnsi="Times New Roman" w:cs="Times New Roman"/>
                <w:i/>
                <w:sz w:val="20"/>
                <w:szCs w:val="20"/>
                <w:u w:val="single"/>
              </w:rPr>
              <w:t>s</w:t>
            </w:r>
          </w:p>
        </w:tc>
      </w:tr>
      <w:tr w:rsidR="0009588D" w:rsidRPr="005F2192" w14:paraId="793AA7DE" w14:textId="77777777" w:rsidTr="00293F9B">
        <w:trPr>
          <w:trHeight w:val="3852"/>
        </w:trPr>
        <w:tc>
          <w:tcPr>
            <w:tcW w:w="902" w:type="pct"/>
            <w:shd w:val="clear" w:color="auto" w:fill="auto"/>
            <w:vAlign w:val="center"/>
            <w:hideMark/>
          </w:tcPr>
          <w:p w14:paraId="6AB9E70E" w14:textId="77777777" w:rsidR="0009588D" w:rsidRPr="005F2192" w:rsidRDefault="00D673EE" w:rsidP="0051371B">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Carbon</w:t>
            </w:r>
            <w:r w:rsidR="0051371B" w:rsidRPr="005F2192">
              <w:rPr>
                <w:rFonts w:ascii="Times New Roman" w:hAnsi="Times New Roman" w:cs="Times New Roman"/>
                <w:sz w:val="20"/>
                <w:szCs w:val="20"/>
              </w:rPr>
              <w:t xml:space="preserve"> </w:t>
            </w:r>
            <w:r w:rsidR="007765A2" w:rsidRPr="005F2192">
              <w:rPr>
                <w:rFonts w:ascii="Times New Roman" w:hAnsi="Times New Roman" w:cs="Times New Roman"/>
                <w:sz w:val="20"/>
                <w:szCs w:val="20"/>
              </w:rPr>
              <w:t xml:space="preserve">reduction initiatives </w:t>
            </w:r>
          </w:p>
        </w:tc>
        <w:tc>
          <w:tcPr>
            <w:tcW w:w="778" w:type="pct"/>
            <w:vAlign w:val="center"/>
          </w:tcPr>
          <w:p w14:paraId="78E1F347" w14:textId="0F582131" w:rsidR="0009588D" w:rsidRPr="005F2192" w:rsidRDefault="00D673EE" w:rsidP="007765A2">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C</w:t>
            </w:r>
            <w:r w:rsidR="007765A2" w:rsidRPr="005F2192">
              <w:rPr>
                <w:rFonts w:ascii="Times New Roman" w:hAnsi="Times New Roman" w:cs="Times New Roman"/>
                <w:sz w:val="20"/>
                <w:szCs w:val="20"/>
              </w:rPr>
              <w:t>RI</w:t>
            </w:r>
            <w:r w:rsidR="0073560E">
              <w:rPr>
                <w:rFonts w:ascii="Times New Roman" w:hAnsi="Times New Roman" w:cs="Times New Roman"/>
                <w:sz w:val="20"/>
                <w:szCs w:val="20"/>
              </w:rPr>
              <w:t>s</w:t>
            </w:r>
            <w:r w:rsidR="007765A2" w:rsidRPr="005F2192">
              <w:rPr>
                <w:rFonts w:ascii="Times New Roman" w:hAnsi="Times New Roman" w:cs="Times New Roman"/>
                <w:sz w:val="20"/>
                <w:szCs w:val="20"/>
              </w:rPr>
              <w:t xml:space="preserve"> </w:t>
            </w:r>
          </w:p>
        </w:tc>
        <w:tc>
          <w:tcPr>
            <w:tcW w:w="3320" w:type="pct"/>
            <w:vAlign w:val="center"/>
          </w:tcPr>
          <w:p w14:paraId="0F3ED9EA" w14:textId="77777777" w:rsidR="005F11D2" w:rsidRPr="005F2192" w:rsidRDefault="00604B5B" w:rsidP="005F11D2">
            <w:pPr>
              <w:spacing w:after="0"/>
              <w:jc w:val="both"/>
              <w:rPr>
                <w:rFonts w:ascii="Times New Roman" w:hAnsi="Times New Roman" w:cs="Times New Roman"/>
                <w:sz w:val="20"/>
                <w:szCs w:val="20"/>
                <w:lang w:val="en-US"/>
              </w:rPr>
            </w:pPr>
            <w:r w:rsidRPr="005F2192">
              <w:rPr>
                <w:rFonts w:ascii="Times New Roman" w:hAnsi="Times New Roman" w:cs="Times New Roman"/>
                <w:sz w:val="20"/>
                <w:szCs w:val="20"/>
              </w:rPr>
              <w:t>This variable is calculated by adding 1 if the answer is yes to the questions 1–8 and 0 otherwise:</w:t>
            </w:r>
            <w:r w:rsidRPr="005F2192">
              <w:rPr>
                <w:rFonts w:ascii="Times New Roman" w:hAnsi="Times New Roman" w:cs="Times New Roman"/>
                <w:sz w:val="20"/>
                <w:szCs w:val="20"/>
                <w:lang w:val="en-US"/>
              </w:rPr>
              <w:t xml:space="preserve"> </w:t>
            </w:r>
            <w:r w:rsidR="00A91E3E" w:rsidRPr="005F2192">
              <w:rPr>
                <w:rFonts w:ascii="Times New Roman" w:hAnsi="Times New Roman" w:cs="Times New Roman"/>
                <w:sz w:val="20"/>
                <w:szCs w:val="20"/>
                <w:lang w:val="en-US"/>
              </w:rPr>
              <w:t>(1)</w:t>
            </w:r>
            <w:r w:rsidR="005462E1" w:rsidRPr="005F2192">
              <w:rPr>
                <w:rFonts w:ascii="Times New Roman" w:hAnsi="Times New Roman" w:cs="Times New Roman"/>
                <w:sz w:val="20"/>
                <w:szCs w:val="20"/>
                <w:lang w:val="en-US"/>
              </w:rPr>
              <w:t xml:space="preserve"> </w:t>
            </w:r>
            <w:r w:rsidR="00A91E3E" w:rsidRPr="005F2192">
              <w:rPr>
                <w:rFonts w:ascii="Times New Roman" w:hAnsi="Times New Roman" w:cs="Times New Roman"/>
                <w:sz w:val="20"/>
                <w:szCs w:val="20"/>
                <w:lang w:val="en-US"/>
              </w:rPr>
              <w:t xml:space="preserve">Does the company engage any emissions trading initiative? (2) Does the company show an initiative to reduce, reuse, recycle, substitute, phased out or compensate CO2 equivalents in the production process? (3) Does the company evaluate the commercial risks and/or opportunities in relation to climate change? (4) Does the company report on initiatives to recycle, reduce, reuse or phase out fluorinated gases such as HFCs (hydrofluorocarbons), PFCs (perfluorocarbons) or SF6 (sulfur hexafluoride)? (5) Does the company report on initiatives to reduce, substitute, or phase out ozone-depleting (CFC-11 equivalents, chlorofluorocarbon) substances? (6) Does the company make use of renewable energy? (7) Does the company have processes in place to improve its energy efficiency? (8) Does the company report on initiatives to reduce, reuse, substitute or phase out toxic chemicals or substances? </w:t>
            </w:r>
          </w:p>
        </w:tc>
      </w:tr>
      <w:tr w:rsidR="000B295C" w:rsidRPr="005F2192" w14:paraId="0F9ADBB7" w14:textId="77777777" w:rsidTr="005F11D2">
        <w:trPr>
          <w:trHeight w:val="423"/>
        </w:trPr>
        <w:tc>
          <w:tcPr>
            <w:tcW w:w="902" w:type="pct"/>
            <w:shd w:val="clear" w:color="auto" w:fill="auto"/>
            <w:vAlign w:val="center"/>
            <w:hideMark/>
          </w:tcPr>
          <w:p w14:paraId="5A46E2E3" w14:textId="77777777" w:rsidR="000B295C" w:rsidRPr="005F2192" w:rsidRDefault="000B295C" w:rsidP="00E563E0">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GHG emissions</w:t>
            </w:r>
          </w:p>
        </w:tc>
        <w:tc>
          <w:tcPr>
            <w:tcW w:w="778" w:type="pct"/>
            <w:vAlign w:val="center"/>
          </w:tcPr>
          <w:p w14:paraId="6C7B0663" w14:textId="77777777" w:rsidR="000B295C" w:rsidRPr="005F2192" w:rsidRDefault="000B295C" w:rsidP="00EA17BA">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GHG</w:t>
            </w:r>
          </w:p>
        </w:tc>
        <w:tc>
          <w:tcPr>
            <w:tcW w:w="3320" w:type="pct"/>
            <w:vAlign w:val="center"/>
          </w:tcPr>
          <w:p w14:paraId="46B101B2" w14:textId="77777777" w:rsidR="000B295C" w:rsidRPr="005F2192" w:rsidRDefault="00700B37" w:rsidP="00E563E0">
            <w:pPr>
              <w:spacing w:after="0" w:line="240" w:lineRule="auto"/>
              <w:rPr>
                <w:rFonts w:ascii="Times New Roman" w:hAnsi="Times New Roman" w:cs="Times New Roman"/>
                <w:sz w:val="20"/>
                <w:szCs w:val="20"/>
              </w:rPr>
            </w:pPr>
            <w:r>
              <w:rPr>
                <w:rFonts w:ascii="Times New Roman" w:hAnsi="Times New Roman" w:cs="Times New Roman"/>
                <w:sz w:val="20"/>
                <w:szCs w:val="20"/>
              </w:rPr>
              <w:t>Actual Carbon performance as measured by the n</w:t>
            </w:r>
            <w:r w:rsidR="000B295C" w:rsidRPr="005F2192">
              <w:rPr>
                <w:rFonts w:ascii="Times New Roman" w:hAnsi="Times New Roman" w:cs="Times New Roman"/>
                <w:sz w:val="20"/>
                <w:szCs w:val="20"/>
              </w:rPr>
              <w:t xml:space="preserve">atural log of total </w:t>
            </w:r>
            <w:r>
              <w:rPr>
                <w:rFonts w:ascii="Times New Roman" w:hAnsi="Times New Roman" w:cs="Times New Roman"/>
                <w:sz w:val="20"/>
                <w:szCs w:val="20"/>
              </w:rPr>
              <w:t xml:space="preserve">actual </w:t>
            </w:r>
            <w:r w:rsidR="000B295C" w:rsidRPr="005F2192">
              <w:rPr>
                <w:rFonts w:ascii="Times New Roman" w:hAnsi="Times New Roman" w:cs="Times New Roman"/>
                <w:sz w:val="20"/>
                <w:szCs w:val="20"/>
              </w:rPr>
              <w:t>GHG emissions in tons</w:t>
            </w:r>
            <w:r w:rsidR="00BC688B">
              <w:rPr>
                <w:rFonts w:ascii="Times New Roman" w:hAnsi="Times New Roman" w:cs="Times New Roman"/>
                <w:sz w:val="20"/>
                <w:szCs w:val="20"/>
              </w:rPr>
              <w:t>.</w:t>
            </w:r>
          </w:p>
        </w:tc>
      </w:tr>
      <w:tr w:rsidR="003F4A66" w:rsidRPr="005F2192" w14:paraId="660B6587" w14:textId="77777777" w:rsidTr="008A0540">
        <w:trPr>
          <w:trHeight w:val="432"/>
        </w:trPr>
        <w:tc>
          <w:tcPr>
            <w:tcW w:w="5000" w:type="pct"/>
            <w:gridSpan w:val="3"/>
            <w:shd w:val="clear" w:color="auto" w:fill="auto"/>
            <w:vAlign w:val="center"/>
          </w:tcPr>
          <w:p w14:paraId="42EBAAFC" w14:textId="77777777" w:rsidR="003F4A66" w:rsidRPr="003F4A66" w:rsidRDefault="003F4A66" w:rsidP="005F11D2">
            <w:pPr>
              <w:spacing w:after="0" w:line="240" w:lineRule="auto"/>
              <w:rPr>
                <w:rFonts w:ascii="Times New Roman" w:hAnsi="Times New Roman" w:cs="Times New Roman"/>
                <w:i/>
                <w:sz w:val="20"/>
                <w:szCs w:val="20"/>
                <w:u w:val="single"/>
              </w:rPr>
            </w:pPr>
            <w:r w:rsidRPr="003F4A66">
              <w:rPr>
                <w:rFonts w:ascii="Times New Roman" w:hAnsi="Times New Roman" w:cs="Times New Roman"/>
                <w:i/>
                <w:sz w:val="20"/>
                <w:szCs w:val="20"/>
                <w:u w:val="single"/>
              </w:rPr>
              <w:t>Independent Variables</w:t>
            </w:r>
          </w:p>
        </w:tc>
      </w:tr>
      <w:tr w:rsidR="000B295C" w:rsidRPr="005F2192" w14:paraId="0862FFC9" w14:textId="77777777" w:rsidTr="005F11D2">
        <w:trPr>
          <w:trHeight w:val="612"/>
        </w:trPr>
        <w:tc>
          <w:tcPr>
            <w:tcW w:w="902" w:type="pct"/>
            <w:shd w:val="clear" w:color="auto" w:fill="auto"/>
            <w:vAlign w:val="center"/>
            <w:hideMark/>
          </w:tcPr>
          <w:p w14:paraId="5E42E008" w14:textId="77777777" w:rsidR="000B295C" w:rsidRPr="005F2192" w:rsidRDefault="000B295C" w:rsidP="00E563E0">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 xml:space="preserve">Climate </w:t>
            </w:r>
            <w:r w:rsidR="00504786" w:rsidRPr="005F2192">
              <w:rPr>
                <w:rFonts w:ascii="Times New Roman" w:hAnsi="Times New Roman" w:cs="Times New Roman"/>
                <w:sz w:val="20"/>
                <w:szCs w:val="20"/>
              </w:rPr>
              <w:t xml:space="preserve">Change </w:t>
            </w:r>
            <w:r w:rsidRPr="005F2192">
              <w:rPr>
                <w:rFonts w:ascii="Times New Roman" w:hAnsi="Times New Roman" w:cs="Times New Roman"/>
                <w:sz w:val="20"/>
                <w:szCs w:val="20"/>
              </w:rPr>
              <w:t>Act</w:t>
            </w:r>
          </w:p>
        </w:tc>
        <w:tc>
          <w:tcPr>
            <w:tcW w:w="778" w:type="pct"/>
            <w:vAlign w:val="center"/>
          </w:tcPr>
          <w:p w14:paraId="469973A3" w14:textId="77777777" w:rsidR="000B295C" w:rsidRPr="005F2192" w:rsidRDefault="000B295C" w:rsidP="00EA17BA">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CCA</w:t>
            </w:r>
          </w:p>
        </w:tc>
        <w:tc>
          <w:tcPr>
            <w:tcW w:w="3320" w:type="pct"/>
            <w:vAlign w:val="center"/>
          </w:tcPr>
          <w:p w14:paraId="07F6212A" w14:textId="77777777" w:rsidR="000B295C" w:rsidRPr="005F2192" w:rsidRDefault="00FC61EA" w:rsidP="005F11D2">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A dummy variable that equals 1 if the data covers a peri</w:t>
            </w:r>
            <w:r w:rsidR="005F11D2" w:rsidRPr="005F2192">
              <w:rPr>
                <w:rFonts w:ascii="Times New Roman" w:hAnsi="Times New Roman" w:cs="Times New Roman"/>
                <w:sz w:val="20"/>
                <w:szCs w:val="20"/>
              </w:rPr>
              <w:t>o</w:t>
            </w:r>
            <w:r w:rsidRPr="005F2192">
              <w:rPr>
                <w:rFonts w:ascii="Times New Roman" w:hAnsi="Times New Roman" w:cs="Times New Roman"/>
                <w:sz w:val="20"/>
                <w:szCs w:val="20"/>
              </w:rPr>
              <w:t>d from 2008 to 2014 and 0 otherwise</w:t>
            </w:r>
            <w:r w:rsidR="00BC688B">
              <w:rPr>
                <w:rFonts w:ascii="Times New Roman" w:hAnsi="Times New Roman" w:cs="Times New Roman"/>
                <w:sz w:val="20"/>
                <w:szCs w:val="20"/>
              </w:rPr>
              <w:t>.</w:t>
            </w:r>
          </w:p>
        </w:tc>
      </w:tr>
      <w:tr w:rsidR="0009588D" w:rsidRPr="005F2192" w14:paraId="27D9E51C" w14:textId="77777777" w:rsidTr="008F443E">
        <w:trPr>
          <w:trHeight w:val="460"/>
        </w:trPr>
        <w:tc>
          <w:tcPr>
            <w:tcW w:w="902" w:type="pct"/>
            <w:shd w:val="clear" w:color="auto" w:fill="auto"/>
            <w:noWrap/>
            <w:vAlign w:val="center"/>
          </w:tcPr>
          <w:p w14:paraId="58FB65FC" w14:textId="77777777" w:rsidR="0009588D" w:rsidRPr="005F2192" w:rsidRDefault="0047687E" w:rsidP="00002CAC">
            <w:pPr>
              <w:spacing w:after="0" w:line="240" w:lineRule="auto"/>
              <w:rPr>
                <w:rFonts w:ascii="Times New Roman" w:hAnsi="Times New Roman" w:cs="Times New Roman"/>
                <w:sz w:val="20"/>
                <w:szCs w:val="20"/>
              </w:rPr>
            </w:pPr>
            <w:r>
              <w:rPr>
                <w:rFonts w:ascii="Times New Roman" w:hAnsi="Times New Roman" w:cs="Times New Roman"/>
                <w:sz w:val="20"/>
                <w:szCs w:val="20"/>
              </w:rPr>
              <w:t>GRI</w:t>
            </w:r>
            <w:r w:rsidR="00002CAC">
              <w:rPr>
                <w:rFonts w:ascii="Times New Roman" w:hAnsi="Times New Roman" w:cs="Times New Roman"/>
                <w:sz w:val="20"/>
                <w:szCs w:val="20"/>
              </w:rPr>
              <w:t xml:space="preserve"> reporting</w:t>
            </w:r>
          </w:p>
        </w:tc>
        <w:tc>
          <w:tcPr>
            <w:tcW w:w="778" w:type="pct"/>
            <w:vAlign w:val="center"/>
          </w:tcPr>
          <w:p w14:paraId="3F845594" w14:textId="77777777" w:rsidR="0009588D" w:rsidRPr="005F2192" w:rsidRDefault="00002CAC" w:rsidP="00002CAC">
            <w:pPr>
              <w:spacing w:after="0" w:line="240" w:lineRule="auto"/>
              <w:rPr>
                <w:rFonts w:ascii="Times New Roman" w:hAnsi="Times New Roman" w:cs="Times New Roman"/>
                <w:sz w:val="20"/>
                <w:szCs w:val="20"/>
              </w:rPr>
            </w:pPr>
            <w:r>
              <w:rPr>
                <w:rFonts w:ascii="Times New Roman" w:hAnsi="Times New Roman" w:cs="Times New Roman"/>
                <w:sz w:val="20"/>
                <w:szCs w:val="20"/>
              </w:rPr>
              <w:t>GRI</w:t>
            </w:r>
          </w:p>
        </w:tc>
        <w:tc>
          <w:tcPr>
            <w:tcW w:w="3320" w:type="pct"/>
            <w:vAlign w:val="center"/>
          </w:tcPr>
          <w:p w14:paraId="52D3F138" w14:textId="77777777" w:rsidR="0009588D" w:rsidRPr="00DC1073" w:rsidRDefault="00DC1073" w:rsidP="00002CAC">
            <w:pPr>
              <w:spacing w:after="0" w:line="240" w:lineRule="auto"/>
              <w:jc w:val="both"/>
              <w:rPr>
                <w:rFonts w:ascii="Times New Roman" w:hAnsi="Times New Roman" w:cs="Times New Roman"/>
                <w:sz w:val="20"/>
                <w:szCs w:val="20"/>
                <w:lang w:val="en-US"/>
              </w:rPr>
            </w:pPr>
            <w:r w:rsidRPr="00DC1073">
              <w:rPr>
                <w:rFonts w:ascii="Times New Roman" w:hAnsi="Times New Roman" w:cs="Times New Roman"/>
                <w:sz w:val="20"/>
                <w:szCs w:val="20"/>
              </w:rPr>
              <w:t xml:space="preserve">A dummy variable that equals 1 if </w:t>
            </w:r>
            <w:r w:rsidRPr="00DC1073">
              <w:rPr>
                <w:rFonts w:ascii="Times New Roman" w:hAnsi="Times New Roman" w:cs="Times New Roman"/>
                <w:sz w:val="20"/>
                <w:szCs w:val="20"/>
                <w:lang w:val="en-US"/>
              </w:rPr>
              <w:t xml:space="preserve">the firm's sustainability report is published in accordance with the GRI guidelines </w:t>
            </w:r>
            <w:r w:rsidRPr="00DC1073">
              <w:rPr>
                <w:rFonts w:ascii="Times New Roman" w:hAnsi="Times New Roman" w:cs="Times New Roman"/>
                <w:sz w:val="20"/>
                <w:szCs w:val="20"/>
              </w:rPr>
              <w:t>and 0 otherwise</w:t>
            </w:r>
            <w:r w:rsidR="00BC688B">
              <w:rPr>
                <w:rFonts w:ascii="Times New Roman" w:hAnsi="Times New Roman" w:cs="Times New Roman"/>
                <w:sz w:val="20"/>
                <w:szCs w:val="20"/>
              </w:rPr>
              <w:t>.</w:t>
            </w:r>
          </w:p>
        </w:tc>
      </w:tr>
      <w:tr w:rsidR="0009588D" w:rsidRPr="005F2192" w14:paraId="24A90EB0" w14:textId="77777777" w:rsidTr="00002CAC">
        <w:trPr>
          <w:trHeight w:val="720"/>
        </w:trPr>
        <w:tc>
          <w:tcPr>
            <w:tcW w:w="902" w:type="pct"/>
            <w:shd w:val="clear" w:color="auto" w:fill="auto"/>
            <w:noWrap/>
            <w:vAlign w:val="center"/>
          </w:tcPr>
          <w:p w14:paraId="6D372EFF" w14:textId="77777777" w:rsidR="0009588D" w:rsidRPr="005F2192" w:rsidRDefault="00002CAC" w:rsidP="00F262A3">
            <w:pPr>
              <w:spacing w:after="0" w:line="240" w:lineRule="auto"/>
              <w:rPr>
                <w:rFonts w:ascii="Times New Roman" w:hAnsi="Times New Roman" w:cs="Times New Roman"/>
                <w:sz w:val="20"/>
                <w:szCs w:val="20"/>
              </w:rPr>
            </w:pPr>
            <w:r>
              <w:rPr>
                <w:rFonts w:ascii="Times New Roman" w:hAnsi="Times New Roman" w:cs="Times New Roman"/>
                <w:sz w:val="20"/>
                <w:szCs w:val="20"/>
              </w:rPr>
              <w:t>UNGC affiliation</w:t>
            </w:r>
          </w:p>
        </w:tc>
        <w:tc>
          <w:tcPr>
            <w:tcW w:w="778" w:type="pct"/>
            <w:vAlign w:val="center"/>
          </w:tcPr>
          <w:p w14:paraId="7912E5F1" w14:textId="77777777" w:rsidR="0009588D" w:rsidRPr="005F2192" w:rsidRDefault="00002CAC" w:rsidP="00002CAC">
            <w:pPr>
              <w:spacing w:after="0" w:line="240" w:lineRule="auto"/>
              <w:rPr>
                <w:rFonts w:ascii="Times New Roman" w:hAnsi="Times New Roman" w:cs="Times New Roman"/>
                <w:sz w:val="20"/>
                <w:szCs w:val="20"/>
              </w:rPr>
            </w:pPr>
            <w:r>
              <w:rPr>
                <w:rFonts w:ascii="Times New Roman" w:hAnsi="Times New Roman" w:cs="Times New Roman"/>
                <w:sz w:val="20"/>
                <w:szCs w:val="20"/>
              </w:rPr>
              <w:t>UNGC</w:t>
            </w:r>
          </w:p>
        </w:tc>
        <w:tc>
          <w:tcPr>
            <w:tcW w:w="3320" w:type="pct"/>
            <w:vAlign w:val="center"/>
          </w:tcPr>
          <w:p w14:paraId="650C51C0" w14:textId="77777777" w:rsidR="0009588D" w:rsidRPr="00DC1073" w:rsidRDefault="00DC1073" w:rsidP="00002CAC">
            <w:pPr>
              <w:spacing w:after="0" w:line="240" w:lineRule="auto"/>
              <w:jc w:val="both"/>
              <w:rPr>
                <w:rFonts w:ascii="Times New Roman" w:hAnsi="Times New Roman" w:cs="Times New Roman"/>
                <w:sz w:val="20"/>
                <w:szCs w:val="20"/>
                <w:lang w:val="en-US"/>
              </w:rPr>
            </w:pPr>
            <w:r w:rsidRPr="00DC1073">
              <w:rPr>
                <w:rFonts w:ascii="Times New Roman" w:hAnsi="Times New Roman" w:cs="Times New Roman"/>
                <w:sz w:val="20"/>
                <w:szCs w:val="20"/>
              </w:rPr>
              <w:t xml:space="preserve">A dummy variable that equals 1 if </w:t>
            </w:r>
            <w:r w:rsidRPr="00DC1073">
              <w:rPr>
                <w:rFonts w:ascii="Times New Roman" w:hAnsi="Times New Roman" w:cs="Times New Roman"/>
                <w:sz w:val="20"/>
                <w:szCs w:val="20"/>
                <w:lang w:val="en-US"/>
              </w:rPr>
              <w:t xml:space="preserve">the firm is a signatory of the UN Global Compact </w:t>
            </w:r>
            <w:r w:rsidRPr="00DC1073">
              <w:rPr>
                <w:rFonts w:ascii="Times New Roman" w:hAnsi="Times New Roman" w:cs="Times New Roman"/>
                <w:sz w:val="20"/>
                <w:szCs w:val="20"/>
              </w:rPr>
              <w:t>and 0 otherwise</w:t>
            </w:r>
            <w:r w:rsidR="00BC688B">
              <w:rPr>
                <w:rFonts w:ascii="Times New Roman" w:hAnsi="Times New Roman" w:cs="Times New Roman"/>
                <w:sz w:val="20"/>
                <w:szCs w:val="20"/>
              </w:rPr>
              <w:t>.</w:t>
            </w:r>
          </w:p>
        </w:tc>
      </w:tr>
      <w:tr w:rsidR="00E768D8" w:rsidRPr="005F2192" w14:paraId="54377F5F" w14:textId="77777777" w:rsidTr="00E768D8">
        <w:trPr>
          <w:trHeight w:val="460"/>
        </w:trPr>
        <w:tc>
          <w:tcPr>
            <w:tcW w:w="5000" w:type="pct"/>
            <w:gridSpan w:val="3"/>
            <w:shd w:val="clear" w:color="auto" w:fill="auto"/>
            <w:noWrap/>
            <w:vAlign w:val="center"/>
          </w:tcPr>
          <w:p w14:paraId="04A54AE9" w14:textId="77777777" w:rsidR="00E768D8" w:rsidRPr="00AD24BE" w:rsidRDefault="00E768D8" w:rsidP="00E768D8">
            <w:pPr>
              <w:spacing w:after="0" w:line="240" w:lineRule="auto"/>
              <w:rPr>
                <w:rFonts w:ascii="Times New Roman" w:hAnsi="Times New Roman" w:cs="Times New Roman"/>
                <w:i/>
                <w:sz w:val="20"/>
                <w:szCs w:val="20"/>
                <w:u w:val="single"/>
              </w:rPr>
            </w:pPr>
            <w:r w:rsidRPr="00AD24BE">
              <w:rPr>
                <w:rFonts w:ascii="Times New Roman" w:hAnsi="Times New Roman" w:cs="Times New Roman"/>
                <w:i/>
                <w:sz w:val="20"/>
                <w:szCs w:val="20"/>
                <w:u w:val="single"/>
              </w:rPr>
              <w:t>Co</w:t>
            </w:r>
            <w:r w:rsidR="00BC688B">
              <w:rPr>
                <w:rFonts w:ascii="Times New Roman" w:hAnsi="Times New Roman" w:cs="Times New Roman"/>
                <w:i/>
                <w:sz w:val="20"/>
                <w:szCs w:val="20"/>
                <w:u w:val="single"/>
              </w:rPr>
              <w:t>rporate Governance</w:t>
            </w:r>
            <w:r w:rsidRPr="00AD24BE">
              <w:rPr>
                <w:rFonts w:ascii="Times New Roman" w:hAnsi="Times New Roman" w:cs="Times New Roman"/>
                <w:i/>
                <w:sz w:val="20"/>
                <w:szCs w:val="20"/>
                <w:u w:val="single"/>
              </w:rPr>
              <w:t xml:space="preserve"> Variables</w:t>
            </w:r>
          </w:p>
        </w:tc>
      </w:tr>
      <w:tr w:rsidR="00E768D8" w:rsidRPr="005F2192" w14:paraId="6F4AD72F" w14:textId="77777777" w:rsidTr="005F11D2">
        <w:trPr>
          <w:trHeight w:val="460"/>
        </w:trPr>
        <w:tc>
          <w:tcPr>
            <w:tcW w:w="902" w:type="pct"/>
            <w:shd w:val="clear" w:color="auto" w:fill="auto"/>
            <w:noWrap/>
            <w:vAlign w:val="center"/>
          </w:tcPr>
          <w:p w14:paraId="701E3839" w14:textId="77777777" w:rsidR="00E768D8" w:rsidRPr="005F2192" w:rsidRDefault="00E768D8" w:rsidP="00E768D8">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Board independence</w:t>
            </w:r>
          </w:p>
        </w:tc>
        <w:tc>
          <w:tcPr>
            <w:tcW w:w="778" w:type="pct"/>
            <w:vAlign w:val="center"/>
          </w:tcPr>
          <w:p w14:paraId="525FE54E" w14:textId="77777777" w:rsidR="00E768D8" w:rsidRPr="005F2192" w:rsidRDefault="00E768D8" w:rsidP="00E768D8">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Ind_Dir</w:t>
            </w:r>
          </w:p>
        </w:tc>
        <w:tc>
          <w:tcPr>
            <w:tcW w:w="3320" w:type="pct"/>
            <w:vAlign w:val="center"/>
          </w:tcPr>
          <w:p w14:paraId="43ECD241" w14:textId="77777777" w:rsidR="00E768D8" w:rsidRDefault="00E768D8" w:rsidP="00E768D8">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Percentage of independent directors on board</w:t>
            </w:r>
            <w:r w:rsidR="00BC688B">
              <w:rPr>
                <w:rFonts w:ascii="Times New Roman" w:hAnsi="Times New Roman" w:cs="Times New Roman"/>
                <w:sz w:val="20"/>
                <w:szCs w:val="20"/>
              </w:rPr>
              <w:t>.</w:t>
            </w:r>
          </w:p>
        </w:tc>
      </w:tr>
      <w:tr w:rsidR="00E768D8" w:rsidRPr="005F2192" w14:paraId="47DF32BD" w14:textId="77777777" w:rsidTr="005F11D2">
        <w:trPr>
          <w:trHeight w:val="460"/>
        </w:trPr>
        <w:tc>
          <w:tcPr>
            <w:tcW w:w="902" w:type="pct"/>
            <w:shd w:val="clear" w:color="auto" w:fill="auto"/>
            <w:noWrap/>
            <w:vAlign w:val="center"/>
          </w:tcPr>
          <w:p w14:paraId="252E2288" w14:textId="77777777" w:rsidR="00E768D8" w:rsidRPr="005F2192" w:rsidRDefault="00E768D8" w:rsidP="00E768D8">
            <w:pPr>
              <w:spacing w:after="0" w:line="240" w:lineRule="auto"/>
              <w:rPr>
                <w:rFonts w:ascii="Times New Roman" w:hAnsi="Times New Roman" w:cs="Times New Roman"/>
                <w:sz w:val="20"/>
                <w:szCs w:val="20"/>
              </w:rPr>
            </w:pPr>
            <w:r w:rsidRPr="001133F2">
              <w:rPr>
                <w:rFonts w:ascii="Times New Roman" w:hAnsi="Times New Roman" w:cs="Times New Roman"/>
                <w:sz w:val="20"/>
                <w:szCs w:val="20"/>
              </w:rPr>
              <w:t xml:space="preserve">Executive compensation </w:t>
            </w:r>
          </w:p>
        </w:tc>
        <w:tc>
          <w:tcPr>
            <w:tcW w:w="778" w:type="pct"/>
            <w:vAlign w:val="center"/>
          </w:tcPr>
          <w:p w14:paraId="75EF8A01" w14:textId="77777777" w:rsidR="00E768D8" w:rsidRPr="005F2192" w:rsidRDefault="00E768D8" w:rsidP="00E768D8">
            <w:pPr>
              <w:spacing w:after="0" w:line="240" w:lineRule="auto"/>
              <w:rPr>
                <w:rFonts w:ascii="Times New Roman" w:hAnsi="Times New Roman" w:cs="Times New Roman"/>
                <w:sz w:val="20"/>
                <w:szCs w:val="20"/>
              </w:rPr>
            </w:pPr>
            <w:r>
              <w:rPr>
                <w:rFonts w:ascii="Times New Roman" w:hAnsi="Times New Roman" w:cs="Times New Roman"/>
                <w:sz w:val="20"/>
                <w:szCs w:val="20"/>
              </w:rPr>
              <w:t>Exec</w:t>
            </w:r>
            <w:r w:rsidRPr="001133F2">
              <w:rPr>
                <w:rFonts w:ascii="Times New Roman" w:hAnsi="Times New Roman" w:cs="Times New Roman"/>
                <w:sz w:val="20"/>
                <w:szCs w:val="20"/>
              </w:rPr>
              <w:t>_Comp</w:t>
            </w:r>
          </w:p>
        </w:tc>
        <w:tc>
          <w:tcPr>
            <w:tcW w:w="3320" w:type="pct"/>
            <w:vAlign w:val="center"/>
          </w:tcPr>
          <w:p w14:paraId="018E36F6" w14:textId="77777777" w:rsidR="00E768D8" w:rsidRDefault="00E768D8" w:rsidP="00E768D8">
            <w:pPr>
              <w:spacing w:after="0" w:line="240" w:lineRule="auto"/>
              <w:rPr>
                <w:rFonts w:ascii="Times New Roman" w:hAnsi="Times New Roman" w:cs="Times New Roman"/>
                <w:sz w:val="20"/>
                <w:szCs w:val="20"/>
              </w:rPr>
            </w:pPr>
            <w:r>
              <w:rPr>
                <w:rFonts w:ascii="Times New Roman" w:hAnsi="Times New Roman" w:cs="Times New Roman"/>
                <w:sz w:val="20"/>
                <w:szCs w:val="20"/>
              </w:rPr>
              <w:t>The n</w:t>
            </w:r>
            <w:r w:rsidRPr="001133F2">
              <w:rPr>
                <w:rFonts w:ascii="Times New Roman" w:hAnsi="Times New Roman" w:cs="Times New Roman"/>
                <w:sz w:val="20"/>
                <w:szCs w:val="20"/>
              </w:rPr>
              <w:t>atural log of total compensation paid to all senior executives (in USD) as reported by the firm)</w:t>
            </w:r>
            <w:r w:rsidR="00BC688B">
              <w:rPr>
                <w:rFonts w:ascii="Times New Roman" w:hAnsi="Times New Roman" w:cs="Times New Roman"/>
                <w:sz w:val="20"/>
                <w:szCs w:val="20"/>
              </w:rPr>
              <w:t>.</w:t>
            </w:r>
            <w:r w:rsidRPr="001133F2">
              <w:rPr>
                <w:rFonts w:ascii="Times New Roman" w:hAnsi="Times New Roman" w:cs="Times New Roman"/>
                <w:sz w:val="20"/>
                <w:szCs w:val="20"/>
              </w:rPr>
              <w:t xml:space="preserve">  </w:t>
            </w:r>
          </w:p>
        </w:tc>
      </w:tr>
      <w:tr w:rsidR="00E768D8" w:rsidRPr="005F2192" w14:paraId="61237D80" w14:textId="77777777" w:rsidTr="005F11D2">
        <w:trPr>
          <w:trHeight w:val="460"/>
        </w:trPr>
        <w:tc>
          <w:tcPr>
            <w:tcW w:w="902" w:type="pct"/>
            <w:shd w:val="clear" w:color="auto" w:fill="auto"/>
            <w:noWrap/>
            <w:vAlign w:val="center"/>
            <w:hideMark/>
          </w:tcPr>
          <w:p w14:paraId="58AA5F6A" w14:textId="77777777" w:rsidR="00E768D8" w:rsidRPr="005F2192" w:rsidRDefault="00E768D8" w:rsidP="00E768D8">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Board size</w:t>
            </w:r>
          </w:p>
        </w:tc>
        <w:tc>
          <w:tcPr>
            <w:tcW w:w="778" w:type="pct"/>
            <w:vAlign w:val="center"/>
          </w:tcPr>
          <w:p w14:paraId="1B1B5A40" w14:textId="77777777" w:rsidR="00E768D8" w:rsidRPr="005F2192" w:rsidRDefault="00E768D8" w:rsidP="00E768D8">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BoD_size</w:t>
            </w:r>
          </w:p>
        </w:tc>
        <w:tc>
          <w:tcPr>
            <w:tcW w:w="3320" w:type="pct"/>
            <w:vAlign w:val="center"/>
          </w:tcPr>
          <w:p w14:paraId="0361FC94" w14:textId="77777777" w:rsidR="00E768D8" w:rsidRPr="005F2192" w:rsidRDefault="00E768D8" w:rsidP="00E768D8">
            <w:pPr>
              <w:spacing w:after="0" w:line="240" w:lineRule="auto"/>
              <w:rPr>
                <w:rFonts w:ascii="Times New Roman" w:hAnsi="Times New Roman" w:cs="Times New Roman"/>
                <w:sz w:val="20"/>
                <w:szCs w:val="20"/>
              </w:rPr>
            </w:pPr>
            <w:r>
              <w:rPr>
                <w:rFonts w:ascii="Times New Roman" w:hAnsi="Times New Roman" w:cs="Times New Roman"/>
                <w:sz w:val="20"/>
                <w:szCs w:val="20"/>
              </w:rPr>
              <w:t>The n</w:t>
            </w:r>
            <w:r w:rsidRPr="005F2192">
              <w:rPr>
                <w:rFonts w:ascii="Times New Roman" w:hAnsi="Times New Roman" w:cs="Times New Roman"/>
                <w:sz w:val="20"/>
                <w:szCs w:val="20"/>
              </w:rPr>
              <w:t>atural log of the number of board members</w:t>
            </w:r>
            <w:r w:rsidR="00BC688B">
              <w:rPr>
                <w:rFonts w:ascii="Times New Roman" w:hAnsi="Times New Roman" w:cs="Times New Roman"/>
                <w:sz w:val="20"/>
                <w:szCs w:val="20"/>
              </w:rPr>
              <w:t>.</w:t>
            </w:r>
          </w:p>
        </w:tc>
      </w:tr>
      <w:tr w:rsidR="00E768D8" w:rsidRPr="005F2192" w14:paraId="644AFF76" w14:textId="77777777" w:rsidTr="005F11D2">
        <w:trPr>
          <w:trHeight w:val="603"/>
        </w:trPr>
        <w:tc>
          <w:tcPr>
            <w:tcW w:w="902" w:type="pct"/>
            <w:shd w:val="clear" w:color="auto" w:fill="auto"/>
            <w:noWrap/>
            <w:vAlign w:val="center"/>
            <w:hideMark/>
          </w:tcPr>
          <w:p w14:paraId="29927922" w14:textId="77777777" w:rsidR="00E768D8" w:rsidRPr="005F2192" w:rsidRDefault="00E768D8" w:rsidP="00E768D8">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 xml:space="preserve">CEO duality </w:t>
            </w:r>
          </w:p>
        </w:tc>
        <w:tc>
          <w:tcPr>
            <w:tcW w:w="778" w:type="pct"/>
            <w:vAlign w:val="center"/>
          </w:tcPr>
          <w:p w14:paraId="733DDAD3" w14:textId="77777777" w:rsidR="00E768D8" w:rsidRPr="005F2192" w:rsidRDefault="00E768D8" w:rsidP="00E768D8">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Duality</w:t>
            </w:r>
          </w:p>
        </w:tc>
        <w:tc>
          <w:tcPr>
            <w:tcW w:w="3320" w:type="pct"/>
            <w:vAlign w:val="center"/>
          </w:tcPr>
          <w:p w14:paraId="2700C9D0" w14:textId="77777777" w:rsidR="00E768D8" w:rsidRPr="005F2192" w:rsidRDefault="00E768D8" w:rsidP="00E768D8">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A dummy variable that equals 1 if the CEO is also the chair of the board and 0 otherwise</w:t>
            </w:r>
            <w:r w:rsidR="00BC688B">
              <w:rPr>
                <w:rFonts w:ascii="Times New Roman" w:hAnsi="Times New Roman" w:cs="Times New Roman"/>
                <w:sz w:val="20"/>
                <w:szCs w:val="20"/>
              </w:rPr>
              <w:t>.</w:t>
            </w:r>
          </w:p>
        </w:tc>
      </w:tr>
      <w:tr w:rsidR="00AB4E66" w:rsidRPr="005F2192" w14:paraId="076CC087" w14:textId="77777777" w:rsidTr="00D273A1">
        <w:trPr>
          <w:trHeight w:val="603"/>
        </w:trPr>
        <w:tc>
          <w:tcPr>
            <w:tcW w:w="902" w:type="pct"/>
            <w:shd w:val="clear" w:color="auto" w:fill="auto"/>
            <w:noWrap/>
            <w:vAlign w:val="center"/>
          </w:tcPr>
          <w:p w14:paraId="735CE21A" w14:textId="583815F0" w:rsidR="00AB4E66" w:rsidRPr="005F2192" w:rsidRDefault="00AB4E66" w:rsidP="00E768D8">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ESG-based compensation</w:t>
            </w:r>
          </w:p>
        </w:tc>
        <w:tc>
          <w:tcPr>
            <w:tcW w:w="778" w:type="pct"/>
            <w:vAlign w:val="center"/>
          </w:tcPr>
          <w:p w14:paraId="4D5AE2A6" w14:textId="23B8EE03" w:rsidR="00AB4E66" w:rsidRPr="005F2192" w:rsidRDefault="00AB4E66" w:rsidP="00E768D8">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ESG_Comp</w:t>
            </w:r>
          </w:p>
        </w:tc>
        <w:tc>
          <w:tcPr>
            <w:tcW w:w="3320" w:type="pct"/>
            <w:vAlign w:val="center"/>
          </w:tcPr>
          <w:p w14:paraId="32B5E707" w14:textId="6E6DBED6" w:rsidR="00AB4E66" w:rsidRPr="005F2192" w:rsidRDefault="00AB4E66" w:rsidP="00E768D8">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A dummy variable that equals 1 if firm has environmental-social-governance (ESG) related compensation policy, and 0 otherwise</w:t>
            </w:r>
            <w:r>
              <w:rPr>
                <w:rFonts w:ascii="Times New Roman" w:hAnsi="Times New Roman" w:cs="Times New Roman"/>
                <w:sz w:val="20"/>
                <w:szCs w:val="20"/>
              </w:rPr>
              <w:t>.</w:t>
            </w:r>
          </w:p>
        </w:tc>
      </w:tr>
      <w:tr w:rsidR="00E768D8" w:rsidRPr="005F2192" w14:paraId="394B05A0" w14:textId="77777777" w:rsidTr="00D273A1">
        <w:trPr>
          <w:trHeight w:val="422"/>
        </w:trPr>
        <w:tc>
          <w:tcPr>
            <w:tcW w:w="902" w:type="pct"/>
            <w:shd w:val="clear" w:color="auto" w:fill="auto"/>
            <w:noWrap/>
            <w:vAlign w:val="center"/>
            <w:hideMark/>
          </w:tcPr>
          <w:p w14:paraId="5D1E5EB5" w14:textId="6D1B9F22" w:rsidR="00E768D8" w:rsidRPr="00D273A1" w:rsidRDefault="009F065E" w:rsidP="00E768D8">
            <w:pPr>
              <w:spacing w:after="0" w:line="240" w:lineRule="auto"/>
              <w:rPr>
                <w:rFonts w:ascii="Times New Roman" w:hAnsi="Times New Roman" w:cs="Times New Roman"/>
                <w:i/>
                <w:sz w:val="20"/>
                <w:szCs w:val="20"/>
                <w:u w:val="single"/>
              </w:rPr>
            </w:pPr>
            <w:r w:rsidRPr="002B76A7">
              <w:rPr>
                <w:rFonts w:ascii="Times New Roman" w:hAnsi="Times New Roman" w:cs="Times New Roman"/>
                <w:i/>
                <w:sz w:val="20"/>
                <w:szCs w:val="20"/>
                <w:u w:val="single"/>
              </w:rPr>
              <w:t>Control Variables</w:t>
            </w:r>
          </w:p>
        </w:tc>
        <w:tc>
          <w:tcPr>
            <w:tcW w:w="778" w:type="pct"/>
            <w:vAlign w:val="center"/>
          </w:tcPr>
          <w:p w14:paraId="71242A01" w14:textId="69A71394" w:rsidR="00E768D8" w:rsidRPr="005F2192" w:rsidRDefault="00E768D8" w:rsidP="00E768D8">
            <w:pPr>
              <w:spacing w:after="0" w:line="240" w:lineRule="auto"/>
              <w:rPr>
                <w:rFonts w:ascii="Times New Roman" w:hAnsi="Times New Roman" w:cs="Times New Roman"/>
                <w:sz w:val="20"/>
                <w:szCs w:val="20"/>
              </w:rPr>
            </w:pPr>
          </w:p>
        </w:tc>
        <w:tc>
          <w:tcPr>
            <w:tcW w:w="3320" w:type="pct"/>
            <w:vAlign w:val="center"/>
          </w:tcPr>
          <w:p w14:paraId="136C69EB" w14:textId="77777777" w:rsidR="00BC688B" w:rsidRDefault="00BC688B" w:rsidP="00E768D8">
            <w:pPr>
              <w:spacing w:after="0" w:line="240" w:lineRule="auto"/>
              <w:rPr>
                <w:rFonts w:ascii="Times New Roman" w:hAnsi="Times New Roman" w:cs="Times New Roman"/>
                <w:sz w:val="20"/>
                <w:szCs w:val="20"/>
              </w:rPr>
            </w:pPr>
          </w:p>
          <w:p w14:paraId="41281218" w14:textId="3BBC03AE" w:rsidR="00C300C6" w:rsidRDefault="00C300C6">
            <w:pPr>
              <w:spacing w:after="0" w:line="240" w:lineRule="auto"/>
              <w:jc w:val="both"/>
              <w:rPr>
                <w:rFonts w:ascii="Times New Roman" w:hAnsi="Times New Roman" w:cs="Times New Roman"/>
                <w:sz w:val="20"/>
                <w:szCs w:val="20"/>
              </w:rPr>
            </w:pPr>
          </w:p>
        </w:tc>
      </w:tr>
      <w:tr w:rsidR="00E768D8" w:rsidRPr="005F2192" w14:paraId="758FD417" w14:textId="77777777" w:rsidTr="00D273A1">
        <w:trPr>
          <w:trHeight w:val="460"/>
        </w:trPr>
        <w:tc>
          <w:tcPr>
            <w:tcW w:w="902" w:type="pct"/>
            <w:shd w:val="clear" w:color="auto" w:fill="auto"/>
            <w:noWrap/>
            <w:vAlign w:val="center"/>
            <w:hideMark/>
          </w:tcPr>
          <w:p w14:paraId="0E239BFA" w14:textId="77777777" w:rsidR="00E768D8" w:rsidRPr="005F2192" w:rsidRDefault="00E768D8" w:rsidP="00E768D8">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Firm size</w:t>
            </w:r>
          </w:p>
        </w:tc>
        <w:tc>
          <w:tcPr>
            <w:tcW w:w="778" w:type="pct"/>
            <w:vAlign w:val="center"/>
          </w:tcPr>
          <w:p w14:paraId="072378ED" w14:textId="77777777" w:rsidR="00E768D8" w:rsidRPr="005F2192" w:rsidRDefault="00E768D8" w:rsidP="00E768D8">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Size</w:t>
            </w:r>
          </w:p>
        </w:tc>
        <w:tc>
          <w:tcPr>
            <w:tcW w:w="3320" w:type="pct"/>
            <w:vAlign w:val="center"/>
          </w:tcPr>
          <w:p w14:paraId="76E2CAED" w14:textId="77777777" w:rsidR="00E768D8" w:rsidRPr="005F2192" w:rsidRDefault="00E768D8" w:rsidP="00E768D8">
            <w:pPr>
              <w:spacing w:after="0" w:line="240" w:lineRule="auto"/>
              <w:rPr>
                <w:rFonts w:ascii="Times New Roman" w:hAnsi="Times New Roman" w:cs="Times New Roman"/>
                <w:sz w:val="20"/>
                <w:szCs w:val="20"/>
              </w:rPr>
            </w:pPr>
            <w:r>
              <w:rPr>
                <w:rFonts w:ascii="Times New Roman" w:hAnsi="Times New Roman" w:cs="Times New Roman"/>
                <w:sz w:val="20"/>
                <w:szCs w:val="20"/>
              </w:rPr>
              <w:t>The n</w:t>
            </w:r>
            <w:r w:rsidRPr="005F2192">
              <w:rPr>
                <w:rFonts w:ascii="Times New Roman" w:hAnsi="Times New Roman" w:cs="Times New Roman"/>
                <w:sz w:val="20"/>
                <w:szCs w:val="20"/>
              </w:rPr>
              <w:t>atural log of total assets of a firm</w:t>
            </w:r>
            <w:r w:rsidR="0089449F">
              <w:rPr>
                <w:rFonts w:ascii="Times New Roman" w:hAnsi="Times New Roman" w:cs="Times New Roman"/>
                <w:sz w:val="20"/>
                <w:szCs w:val="20"/>
              </w:rPr>
              <w:t>.</w:t>
            </w:r>
          </w:p>
        </w:tc>
      </w:tr>
      <w:tr w:rsidR="00E768D8" w:rsidRPr="005F2192" w14:paraId="4C3249C9" w14:textId="77777777" w:rsidTr="00D273A1">
        <w:trPr>
          <w:trHeight w:val="460"/>
        </w:trPr>
        <w:tc>
          <w:tcPr>
            <w:tcW w:w="902" w:type="pct"/>
            <w:shd w:val="clear" w:color="auto" w:fill="auto"/>
            <w:noWrap/>
            <w:vAlign w:val="center"/>
            <w:hideMark/>
          </w:tcPr>
          <w:p w14:paraId="29C86913" w14:textId="77777777" w:rsidR="00E768D8" w:rsidRPr="005F2192" w:rsidRDefault="00E768D8" w:rsidP="00E768D8">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Profitability</w:t>
            </w:r>
          </w:p>
        </w:tc>
        <w:tc>
          <w:tcPr>
            <w:tcW w:w="778" w:type="pct"/>
            <w:vAlign w:val="center"/>
          </w:tcPr>
          <w:p w14:paraId="0873B4FA" w14:textId="77777777" w:rsidR="00E768D8" w:rsidRPr="005F2192" w:rsidRDefault="00E768D8" w:rsidP="00E768D8">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ROA</w:t>
            </w:r>
          </w:p>
        </w:tc>
        <w:tc>
          <w:tcPr>
            <w:tcW w:w="3320" w:type="pct"/>
            <w:vAlign w:val="center"/>
          </w:tcPr>
          <w:p w14:paraId="59F2A1B4" w14:textId="77777777" w:rsidR="00E768D8" w:rsidRPr="005F2192" w:rsidRDefault="00E768D8" w:rsidP="00E768D8">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 xml:space="preserve">Return on </w:t>
            </w:r>
            <w:r w:rsidR="0089449F">
              <w:rPr>
                <w:rFonts w:ascii="Times New Roman" w:hAnsi="Times New Roman" w:cs="Times New Roman"/>
                <w:sz w:val="20"/>
                <w:szCs w:val="20"/>
              </w:rPr>
              <w:t>a</w:t>
            </w:r>
            <w:r w:rsidRPr="005F2192">
              <w:rPr>
                <w:rFonts w:ascii="Times New Roman" w:hAnsi="Times New Roman" w:cs="Times New Roman"/>
                <w:sz w:val="20"/>
                <w:szCs w:val="20"/>
              </w:rPr>
              <w:t>ssets</w:t>
            </w:r>
            <w:r w:rsidR="0089449F">
              <w:rPr>
                <w:rFonts w:ascii="Times New Roman" w:hAnsi="Times New Roman" w:cs="Times New Roman"/>
                <w:sz w:val="20"/>
                <w:szCs w:val="20"/>
              </w:rPr>
              <w:t>.</w:t>
            </w:r>
            <w:r w:rsidRPr="005F2192">
              <w:rPr>
                <w:rFonts w:ascii="Times New Roman" w:hAnsi="Times New Roman" w:cs="Times New Roman"/>
                <w:sz w:val="20"/>
                <w:szCs w:val="20"/>
              </w:rPr>
              <w:t xml:space="preserve"> </w:t>
            </w:r>
          </w:p>
        </w:tc>
      </w:tr>
      <w:tr w:rsidR="00E768D8" w:rsidRPr="005F2192" w14:paraId="06873223" w14:textId="77777777" w:rsidTr="008F443E">
        <w:trPr>
          <w:trHeight w:val="460"/>
        </w:trPr>
        <w:tc>
          <w:tcPr>
            <w:tcW w:w="902" w:type="pct"/>
            <w:shd w:val="clear" w:color="auto" w:fill="auto"/>
            <w:noWrap/>
            <w:vAlign w:val="center"/>
            <w:hideMark/>
          </w:tcPr>
          <w:p w14:paraId="4045843A" w14:textId="77777777" w:rsidR="00E768D8" w:rsidRPr="005F2192" w:rsidRDefault="00E768D8" w:rsidP="00E768D8">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lastRenderedPageBreak/>
              <w:t>Leverage</w:t>
            </w:r>
          </w:p>
        </w:tc>
        <w:tc>
          <w:tcPr>
            <w:tcW w:w="778" w:type="pct"/>
            <w:vAlign w:val="center"/>
          </w:tcPr>
          <w:p w14:paraId="45EE879A" w14:textId="77777777" w:rsidR="00E768D8" w:rsidRPr="005F2192" w:rsidRDefault="00E768D8" w:rsidP="00E768D8">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Leverage</w:t>
            </w:r>
          </w:p>
        </w:tc>
        <w:tc>
          <w:tcPr>
            <w:tcW w:w="3320" w:type="pct"/>
            <w:vAlign w:val="center"/>
          </w:tcPr>
          <w:p w14:paraId="6AD4F350" w14:textId="77777777" w:rsidR="00E768D8" w:rsidRPr="005F2192" w:rsidRDefault="00E768D8" w:rsidP="00E768D8">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The ratio of total debt to total assets</w:t>
            </w:r>
            <w:r w:rsidR="0089449F">
              <w:rPr>
                <w:rFonts w:ascii="Times New Roman" w:hAnsi="Times New Roman" w:cs="Times New Roman"/>
                <w:sz w:val="20"/>
                <w:szCs w:val="20"/>
              </w:rPr>
              <w:t>.</w:t>
            </w:r>
            <w:r w:rsidRPr="005F2192">
              <w:rPr>
                <w:rFonts w:ascii="Times New Roman" w:hAnsi="Times New Roman" w:cs="Times New Roman"/>
                <w:sz w:val="20"/>
                <w:szCs w:val="20"/>
              </w:rPr>
              <w:t xml:space="preserve"> </w:t>
            </w:r>
          </w:p>
        </w:tc>
      </w:tr>
      <w:tr w:rsidR="00E768D8" w:rsidRPr="005F2192" w14:paraId="2AFB1F1F" w14:textId="77777777" w:rsidTr="008F443E">
        <w:trPr>
          <w:trHeight w:val="460"/>
        </w:trPr>
        <w:tc>
          <w:tcPr>
            <w:tcW w:w="902" w:type="pct"/>
            <w:shd w:val="clear" w:color="auto" w:fill="auto"/>
            <w:noWrap/>
            <w:vAlign w:val="center"/>
          </w:tcPr>
          <w:p w14:paraId="0B9B15C0" w14:textId="77777777" w:rsidR="00E768D8" w:rsidRPr="001133F2" w:rsidRDefault="00E768D8" w:rsidP="00E768D8">
            <w:pPr>
              <w:widowControl w:val="0"/>
              <w:autoSpaceDE w:val="0"/>
              <w:autoSpaceDN w:val="0"/>
              <w:adjustRightInd w:val="0"/>
              <w:spacing w:after="0" w:line="240" w:lineRule="auto"/>
              <w:rPr>
                <w:rFonts w:ascii="Times New Roman" w:hAnsi="Times New Roman" w:cs="Times New Roman"/>
                <w:sz w:val="20"/>
                <w:szCs w:val="20"/>
              </w:rPr>
            </w:pPr>
            <w:r w:rsidRPr="001133F2">
              <w:rPr>
                <w:rFonts w:ascii="Times New Roman" w:hAnsi="Times New Roman" w:cs="Times New Roman"/>
                <w:sz w:val="20"/>
                <w:szCs w:val="20"/>
              </w:rPr>
              <w:t>Employees</w:t>
            </w:r>
          </w:p>
        </w:tc>
        <w:tc>
          <w:tcPr>
            <w:tcW w:w="778" w:type="pct"/>
            <w:vAlign w:val="center"/>
          </w:tcPr>
          <w:p w14:paraId="579E2098" w14:textId="77777777" w:rsidR="00E768D8" w:rsidRPr="001133F2" w:rsidRDefault="00E768D8" w:rsidP="00E768D8">
            <w:pPr>
              <w:widowControl w:val="0"/>
              <w:autoSpaceDE w:val="0"/>
              <w:autoSpaceDN w:val="0"/>
              <w:adjustRightInd w:val="0"/>
              <w:spacing w:after="0" w:line="240" w:lineRule="auto"/>
              <w:rPr>
                <w:rFonts w:ascii="Times New Roman" w:hAnsi="Times New Roman" w:cs="Times New Roman"/>
                <w:sz w:val="20"/>
                <w:szCs w:val="20"/>
              </w:rPr>
            </w:pPr>
            <w:r w:rsidRPr="001133F2">
              <w:rPr>
                <w:rFonts w:ascii="Times New Roman" w:hAnsi="Times New Roman" w:cs="Times New Roman"/>
                <w:sz w:val="20"/>
                <w:szCs w:val="20"/>
              </w:rPr>
              <w:t>Employees</w:t>
            </w:r>
          </w:p>
        </w:tc>
        <w:tc>
          <w:tcPr>
            <w:tcW w:w="3320" w:type="pct"/>
            <w:vAlign w:val="center"/>
          </w:tcPr>
          <w:p w14:paraId="685549BF" w14:textId="77777777" w:rsidR="00E768D8" w:rsidRPr="001133F2" w:rsidRDefault="00E768D8" w:rsidP="00E768D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n</w:t>
            </w:r>
            <w:r w:rsidRPr="001133F2">
              <w:rPr>
                <w:rFonts w:ascii="Times New Roman" w:hAnsi="Times New Roman" w:cs="Times New Roman"/>
                <w:sz w:val="20"/>
                <w:szCs w:val="20"/>
              </w:rPr>
              <w:t>atural log of the number of employee of the firm</w:t>
            </w:r>
            <w:r w:rsidR="0089449F">
              <w:rPr>
                <w:rFonts w:ascii="Times New Roman" w:hAnsi="Times New Roman" w:cs="Times New Roman"/>
                <w:sz w:val="20"/>
                <w:szCs w:val="20"/>
              </w:rPr>
              <w:t>.</w:t>
            </w:r>
          </w:p>
        </w:tc>
      </w:tr>
      <w:tr w:rsidR="00E768D8" w:rsidRPr="005F2192" w14:paraId="65988509" w14:textId="77777777" w:rsidTr="008F443E">
        <w:trPr>
          <w:trHeight w:val="460"/>
        </w:trPr>
        <w:tc>
          <w:tcPr>
            <w:tcW w:w="902" w:type="pct"/>
            <w:shd w:val="clear" w:color="auto" w:fill="auto"/>
            <w:noWrap/>
            <w:vAlign w:val="center"/>
          </w:tcPr>
          <w:p w14:paraId="7EE5AFF7" w14:textId="77777777" w:rsidR="00E768D8" w:rsidRPr="001133F2" w:rsidRDefault="00E768D8" w:rsidP="00E768D8">
            <w:pPr>
              <w:widowControl w:val="0"/>
              <w:autoSpaceDE w:val="0"/>
              <w:autoSpaceDN w:val="0"/>
              <w:adjustRightInd w:val="0"/>
              <w:spacing w:after="0" w:line="240" w:lineRule="auto"/>
              <w:rPr>
                <w:rFonts w:ascii="Times New Roman" w:hAnsi="Times New Roman" w:cs="Times New Roman"/>
                <w:sz w:val="20"/>
                <w:szCs w:val="20"/>
              </w:rPr>
            </w:pPr>
            <w:r w:rsidRPr="001133F2">
              <w:rPr>
                <w:rFonts w:ascii="Times New Roman" w:hAnsi="Times New Roman" w:cs="Times New Roman"/>
                <w:sz w:val="20"/>
                <w:szCs w:val="20"/>
              </w:rPr>
              <w:t>Slack</w:t>
            </w:r>
          </w:p>
        </w:tc>
        <w:tc>
          <w:tcPr>
            <w:tcW w:w="778" w:type="pct"/>
            <w:vAlign w:val="center"/>
          </w:tcPr>
          <w:p w14:paraId="4C9C906A" w14:textId="77777777" w:rsidR="00E768D8" w:rsidRPr="001133F2" w:rsidRDefault="00E768D8" w:rsidP="00E768D8">
            <w:pPr>
              <w:widowControl w:val="0"/>
              <w:autoSpaceDE w:val="0"/>
              <w:autoSpaceDN w:val="0"/>
              <w:adjustRightInd w:val="0"/>
              <w:spacing w:after="0" w:line="240" w:lineRule="auto"/>
              <w:rPr>
                <w:rFonts w:ascii="Times New Roman" w:hAnsi="Times New Roman" w:cs="Times New Roman"/>
                <w:sz w:val="20"/>
                <w:szCs w:val="20"/>
              </w:rPr>
            </w:pPr>
            <w:r w:rsidRPr="001133F2">
              <w:rPr>
                <w:rFonts w:ascii="Times New Roman" w:hAnsi="Times New Roman" w:cs="Times New Roman"/>
                <w:sz w:val="20"/>
                <w:szCs w:val="20"/>
              </w:rPr>
              <w:t>Slack</w:t>
            </w:r>
          </w:p>
        </w:tc>
        <w:tc>
          <w:tcPr>
            <w:tcW w:w="3320" w:type="pct"/>
            <w:vAlign w:val="center"/>
          </w:tcPr>
          <w:p w14:paraId="2D5D0BC0" w14:textId="77777777" w:rsidR="00E768D8" w:rsidRPr="001133F2" w:rsidRDefault="00E768D8" w:rsidP="00E768D8">
            <w:pPr>
              <w:widowControl w:val="0"/>
              <w:autoSpaceDE w:val="0"/>
              <w:autoSpaceDN w:val="0"/>
              <w:adjustRightInd w:val="0"/>
              <w:spacing w:after="0" w:line="240" w:lineRule="auto"/>
              <w:rPr>
                <w:rFonts w:ascii="Times New Roman" w:hAnsi="Times New Roman" w:cs="Times New Roman"/>
                <w:sz w:val="20"/>
                <w:szCs w:val="20"/>
              </w:rPr>
            </w:pPr>
            <w:r w:rsidRPr="001133F2">
              <w:rPr>
                <w:rFonts w:ascii="Times New Roman" w:hAnsi="Times New Roman" w:cs="Times New Roman"/>
                <w:sz w:val="20"/>
                <w:szCs w:val="20"/>
              </w:rPr>
              <w:t>The ratio of cash and equivalents to total assets</w:t>
            </w:r>
            <w:r w:rsidR="0089449F">
              <w:rPr>
                <w:rFonts w:ascii="Times New Roman" w:hAnsi="Times New Roman" w:cs="Times New Roman"/>
                <w:sz w:val="20"/>
                <w:szCs w:val="20"/>
              </w:rPr>
              <w:t>.</w:t>
            </w:r>
          </w:p>
        </w:tc>
      </w:tr>
      <w:tr w:rsidR="00E768D8" w:rsidRPr="005F2192" w14:paraId="6BDDA825" w14:textId="77777777" w:rsidTr="008F443E">
        <w:trPr>
          <w:trHeight w:val="460"/>
        </w:trPr>
        <w:tc>
          <w:tcPr>
            <w:tcW w:w="902" w:type="pct"/>
            <w:shd w:val="clear" w:color="auto" w:fill="auto"/>
            <w:noWrap/>
            <w:vAlign w:val="center"/>
          </w:tcPr>
          <w:p w14:paraId="2734A4A1" w14:textId="77777777" w:rsidR="00E768D8" w:rsidRPr="001133F2" w:rsidRDefault="00E768D8" w:rsidP="00E768D8">
            <w:pPr>
              <w:widowControl w:val="0"/>
              <w:autoSpaceDE w:val="0"/>
              <w:autoSpaceDN w:val="0"/>
              <w:adjustRightInd w:val="0"/>
              <w:spacing w:after="0" w:line="240" w:lineRule="auto"/>
              <w:rPr>
                <w:rFonts w:ascii="Times New Roman" w:hAnsi="Times New Roman" w:cs="Times New Roman"/>
                <w:sz w:val="20"/>
                <w:szCs w:val="20"/>
              </w:rPr>
            </w:pPr>
            <w:r w:rsidRPr="001133F2">
              <w:rPr>
                <w:rFonts w:ascii="Times New Roman" w:hAnsi="Times New Roman" w:cs="Times New Roman"/>
                <w:sz w:val="20"/>
                <w:szCs w:val="20"/>
              </w:rPr>
              <w:t>Capital intensity</w:t>
            </w:r>
          </w:p>
        </w:tc>
        <w:tc>
          <w:tcPr>
            <w:tcW w:w="778" w:type="pct"/>
            <w:vAlign w:val="center"/>
          </w:tcPr>
          <w:p w14:paraId="299C7FB8" w14:textId="77777777" w:rsidR="00E768D8" w:rsidRPr="001133F2" w:rsidRDefault="00E768D8" w:rsidP="00E768D8">
            <w:pPr>
              <w:widowControl w:val="0"/>
              <w:autoSpaceDE w:val="0"/>
              <w:autoSpaceDN w:val="0"/>
              <w:adjustRightInd w:val="0"/>
              <w:spacing w:after="0" w:line="240" w:lineRule="auto"/>
              <w:rPr>
                <w:rFonts w:ascii="Times New Roman" w:hAnsi="Times New Roman" w:cs="Times New Roman"/>
                <w:sz w:val="20"/>
                <w:szCs w:val="20"/>
              </w:rPr>
            </w:pPr>
            <w:r w:rsidRPr="001133F2">
              <w:rPr>
                <w:rFonts w:ascii="Times New Roman" w:hAnsi="Times New Roman" w:cs="Times New Roman"/>
                <w:sz w:val="20"/>
                <w:szCs w:val="20"/>
              </w:rPr>
              <w:t>Cap_ intensity</w:t>
            </w:r>
          </w:p>
        </w:tc>
        <w:tc>
          <w:tcPr>
            <w:tcW w:w="3320" w:type="pct"/>
            <w:vAlign w:val="center"/>
          </w:tcPr>
          <w:p w14:paraId="73DC7767" w14:textId="77777777" w:rsidR="00E768D8" w:rsidRPr="001133F2" w:rsidRDefault="00E768D8" w:rsidP="00E768D8">
            <w:pPr>
              <w:widowControl w:val="0"/>
              <w:autoSpaceDE w:val="0"/>
              <w:autoSpaceDN w:val="0"/>
              <w:adjustRightInd w:val="0"/>
              <w:spacing w:after="0" w:line="240" w:lineRule="auto"/>
              <w:rPr>
                <w:rFonts w:ascii="Times New Roman" w:hAnsi="Times New Roman" w:cs="Times New Roman"/>
                <w:sz w:val="20"/>
                <w:szCs w:val="20"/>
              </w:rPr>
            </w:pPr>
            <w:r w:rsidRPr="001133F2">
              <w:rPr>
                <w:rFonts w:ascii="Times New Roman" w:hAnsi="Times New Roman" w:cs="Times New Roman"/>
                <w:sz w:val="20"/>
                <w:szCs w:val="20"/>
              </w:rPr>
              <w:t>The ratio of property, plant and equipment to total assets</w:t>
            </w:r>
            <w:r w:rsidR="0089449F">
              <w:rPr>
                <w:rFonts w:ascii="Times New Roman" w:hAnsi="Times New Roman" w:cs="Times New Roman"/>
                <w:sz w:val="20"/>
                <w:szCs w:val="20"/>
              </w:rPr>
              <w:t>.</w:t>
            </w:r>
            <w:r w:rsidRPr="001133F2">
              <w:rPr>
                <w:rFonts w:ascii="Times New Roman" w:hAnsi="Times New Roman" w:cs="Times New Roman"/>
                <w:sz w:val="20"/>
                <w:szCs w:val="20"/>
              </w:rPr>
              <w:t xml:space="preserve"> </w:t>
            </w:r>
          </w:p>
        </w:tc>
      </w:tr>
      <w:tr w:rsidR="00E768D8" w:rsidRPr="005F2192" w14:paraId="0575DAA1" w14:textId="77777777" w:rsidTr="008F443E">
        <w:trPr>
          <w:trHeight w:val="460"/>
        </w:trPr>
        <w:tc>
          <w:tcPr>
            <w:tcW w:w="902" w:type="pct"/>
            <w:shd w:val="clear" w:color="auto" w:fill="auto"/>
            <w:noWrap/>
            <w:vAlign w:val="center"/>
          </w:tcPr>
          <w:p w14:paraId="31888BDA" w14:textId="77777777" w:rsidR="00E768D8" w:rsidRPr="001133F2" w:rsidRDefault="00E768D8" w:rsidP="00E768D8">
            <w:pPr>
              <w:widowControl w:val="0"/>
              <w:autoSpaceDE w:val="0"/>
              <w:autoSpaceDN w:val="0"/>
              <w:adjustRightInd w:val="0"/>
              <w:spacing w:after="0" w:line="240" w:lineRule="auto"/>
              <w:rPr>
                <w:rFonts w:ascii="Times New Roman" w:hAnsi="Times New Roman" w:cs="Times New Roman"/>
                <w:sz w:val="20"/>
                <w:szCs w:val="20"/>
              </w:rPr>
            </w:pPr>
            <w:r w:rsidRPr="001133F2">
              <w:rPr>
                <w:rFonts w:ascii="Times New Roman" w:hAnsi="Times New Roman" w:cs="Times New Roman"/>
                <w:sz w:val="20"/>
                <w:szCs w:val="20"/>
              </w:rPr>
              <w:t>Capital expenditure</w:t>
            </w:r>
          </w:p>
        </w:tc>
        <w:tc>
          <w:tcPr>
            <w:tcW w:w="778" w:type="pct"/>
            <w:vAlign w:val="center"/>
          </w:tcPr>
          <w:p w14:paraId="5E6A0023" w14:textId="77777777" w:rsidR="00E768D8" w:rsidRPr="001133F2" w:rsidRDefault="00E768D8" w:rsidP="00E768D8">
            <w:pPr>
              <w:widowControl w:val="0"/>
              <w:autoSpaceDE w:val="0"/>
              <w:autoSpaceDN w:val="0"/>
              <w:adjustRightInd w:val="0"/>
              <w:spacing w:after="0" w:line="240" w:lineRule="auto"/>
              <w:rPr>
                <w:rFonts w:ascii="Times New Roman" w:hAnsi="Times New Roman" w:cs="Times New Roman"/>
                <w:sz w:val="20"/>
                <w:szCs w:val="20"/>
              </w:rPr>
            </w:pPr>
            <w:r w:rsidRPr="001133F2">
              <w:rPr>
                <w:rFonts w:ascii="Times New Roman" w:hAnsi="Times New Roman" w:cs="Times New Roman"/>
                <w:sz w:val="20"/>
                <w:szCs w:val="20"/>
              </w:rPr>
              <w:t>Capex</w:t>
            </w:r>
          </w:p>
        </w:tc>
        <w:tc>
          <w:tcPr>
            <w:tcW w:w="3320" w:type="pct"/>
            <w:vAlign w:val="center"/>
          </w:tcPr>
          <w:p w14:paraId="239425AB" w14:textId="77777777" w:rsidR="00E768D8" w:rsidRPr="001133F2" w:rsidRDefault="00E768D8" w:rsidP="00E768D8">
            <w:pPr>
              <w:widowControl w:val="0"/>
              <w:autoSpaceDE w:val="0"/>
              <w:autoSpaceDN w:val="0"/>
              <w:adjustRightInd w:val="0"/>
              <w:spacing w:after="0" w:line="240" w:lineRule="auto"/>
              <w:rPr>
                <w:rFonts w:ascii="Times New Roman" w:hAnsi="Times New Roman" w:cs="Times New Roman"/>
                <w:sz w:val="20"/>
                <w:szCs w:val="20"/>
              </w:rPr>
            </w:pPr>
            <w:r w:rsidRPr="001133F2">
              <w:rPr>
                <w:rFonts w:ascii="Times New Roman" w:hAnsi="Times New Roman" w:cs="Times New Roman"/>
                <w:sz w:val="20"/>
                <w:szCs w:val="20"/>
              </w:rPr>
              <w:t>The ratio of capital expenditure to sales</w:t>
            </w:r>
            <w:r w:rsidR="0089449F">
              <w:rPr>
                <w:rFonts w:ascii="Times New Roman" w:hAnsi="Times New Roman" w:cs="Times New Roman"/>
                <w:sz w:val="20"/>
                <w:szCs w:val="20"/>
              </w:rPr>
              <w:t>.</w:t>
            </w:r>
          </w:p>
        </w:tc>
      </w:tr>
      <w:tr w:rsidR="00E768D8" w:rsidRPr="005F2192" w14:paraId="4BEAB518" w14:textId="77777777" w:rsidTr="008F443E">
        <w:trPr>
          <w:trHeight w:val="460"/>
        </w:trPr>
        <w:tc>
          <w:tcPr>
            <w:tcW w:w="902" w:type="pct"/>
            <w:shd w:val="clear" w:color="auto" w:fill="auto"/>
            <w:noWrap/>
            <w:vAlign w:val="center"/>
          </w:tcPr>
          <w:p w14:paraId="15510D3C" w14:textId="77777777" w:rsidR="00E768D8" w:rsidRPr="001133F2" w:rsidRDefault="00E768D8" w:rsidP="00E768D8">
            <w:pPr>
              <w:widowControl w:val="0"/>
              <w:autoSpaceDE w:val="0"/>
              <w:autoSpaceDN w:val="0"/>
              <w:adjustRightInd w:val="0"/>
              <w:spacing w:after="0" w:line="240" w:lineRule="auto"/>
              <w:rPr>
                <w:rFonts w:ascii="Times New Roman" w:hAnsi="Times New Roman" w:cs="Times New Roman"/>
                <w:sz w:val="20"/>
                <w:szCs w:val="20"/>
              </w:rPr>
            </w:pPr>
            <w:r w:rsidRPr="001133F2">
              <w:rPr>
                <w:rFonts w:ascii="Times New Roman" w:hAnsi="Times New Roman" w:cs="Times New Roman"/>
                <w:sz w:val="20"/>
                <w:szCs w:val="20"/>
              </w:rPr>
              <w:t>Market-to-book</w:t>
            </w:r>
          </w:p>
        </w:tc>
        <w:tc>
          <w:tcPr>
            <w:tcW w:w="778" w:type="pct"/>
            <w:vAlign w:val="center"/>
          </w:tcPr>
          <w:p w14:paraId="617579DB" w14:textId="77777777" w:rsidR="00E768D8" w:rsidRPr="001133F2" w:rsidRDefault="00E768D8" w:rsidP="00E768D8">
            <w:pPr>
              <w:widowControl w:val="0"/>
              <w:autoSpaceDE w:val="0"/>
              <w:autoSpaceDN w:val="0"/>
              <w:adjustRightInd w:val="0"/>
              <w:spacing w:after="0" w:line="240" w:lineRule="auto"/>
              <w:rPr>
                <w:rFonts w:ascii="Times New Roman" w:hAnsi="Times New Roman" w:cs="Times New Roman"/>
                <w:sz w:val="20"/>
                <w:szCs w:val="20"/>
              </w:rPr>
            </w:pPr>
            <w:r w:rsidRPr="001133F2">
              <w:rPr>
                <w:rFonts w:ascii="Times New Roman" w:hAnsi="Times New Roman" w:cs="Times New Roman"/>
                <w:sz w:val="20"/>
                <w:szCs w:val="20"/>
              </w:rPr>
              <w:t>MTBT</w:t>
            </w:r>
          </w:p>
        </w:tc>
        <w:tc>
          <w:tcPr>
            <w:tcW w:w="3320" w:type="pct"/>
            <w:vAlign w:val="center"/>
          </w:tcPr>
          <w:p w14:paraId="72D0B633" w14:textId="77777777" w:rsidR="00C300C6" w:rsidRDefault="00E768D8">
            <w:pPr>
              <w:spacing w:after="0" w:line="240" w:lineRule="auto"/>
              <w:jc w:val="both"/>
              <w:rPr>
                <w:rFonts w:ascii="Times New Roman" w:hAnsi="Times New Roman" w:cs="Times New Roman"/>
                <w:sz w:val="20"/>
                <w:szCs w:val="20"/>
              </w:rPr>
            </w:pPr>
            <w:r w:rsidRPr="001133F2">
              <w:rPr>
                <w:rFonts w:ascii="Times New Roman" w:hAnsi="Times New Roman" w:cs="Times New Roman"/>
                <w:sz w:val="20"/>
                <w:szCs w:val="20"/>
              </w:rPr>
              <w:t>The ratio of market to book value of equity</w:t>
            </w:r>
            <w:r w:rsidR="0089449F">
              <w:rPr>
                <w:rFonts w:ascii="Times New Roman" w:hAnsi="Times New Roman" w:cs="Times New Roman"/>
                <w:sz w:val="20"/>
                <w:szCs w:val="20"/>
              </w:rPr>
              <w:t>.</w:t>
            </w:r>
          </w:p>
        </w:tc>
      </w:tr>
      <w:tr w:rsidR="00E768D8" w:rsidRPr="005F2192" w14:paraId="1929B96A" w14:textId="77777777" w:rsidTr="00AC4B35">
        <w:trPr>
          <w:trHeight w:val="783"/>
        </w:trPr>
        <w:tc>
          <w:tcPr>
            <w:tcW w:w="902" w:type="pct"/>
            <w:shd w:val="clear" w:color="auto" w:fill="auto"/>
            <w:noWrap/>
            <w:vAlign w:val="center"/>
            <w:hideMark/>
          </w:tcPr>
          <w:p w14:paraId="06322939" w14:textId="77777777" w:rsidR="00E768D8" w:rsidRPr="005F2192" w:rsidRDefault="00E768D8" w:rsidP="008A0540">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Polluting industr</w:t>
            </w:r>
            <w:r w:rsidR="008A0540">
              <w:rPr>
                <w:rFonts w:ascii="Times New Roman" w:hAnsi="Times New Roman" w:cs="Times New Roman"/>
                <w:sz w:val="20"/>
                <w:szCs w:val="20"/>
              </w:rPr>
              <w:t>ies</w:t>
            </w:r>
          </w:p>
        </w:tc>
        <w:tc>
          <w:tcPr>
            <w:tcW w:w="778" w:type="pct"/>
            <w:vAlign w:val="center"/>
          </w:tcPr>
          <w:p w14:paraId="4D641878" w14:textId="77777777" w:rsidR="00E768D8" w:rsidRPr="005F2192" w:rsidRDefault="00E768D8" w:rsidP="00E768D8">
            <w:pPr>
              <w:spacing w:after="0" w:line="240" w:lineRule="auto"/>
              <w:rPr>
                <w:rFonts w:ascii="Times New Roman" w:hAnsi="Times New Roman" w:cs="Times New Roman"/>
                <w:sz w:val="20"/>
                <w:szCs w:val="20"/>
              </w:rPr>
            </w:pPr>
            <w:r w:rsidRPr="005F2192">
              <w:rPr>
                <w:rFonts w:ascii="Times New Roman" w:hAnsi="Times New Roman" w:cs="Times New Roman"/>
                <w:sz w:val="20"/>
                <w:szCs w:val="20"/>
              </w:rPr>
              <w:t>Pollu</w:t>
            </w:r>
            <w:r>
              <w:rPr>
                <w:rFonts w:ascii="Times New Roman" w:hAnsi="Times New Roman" w:cs="Times New Roman"/>
                <w:sz w:val="20"/>
                <w:szCs w:val="20"/>
              </w:rPr>
              <w:t>ters</w:t>
            </w:r>
          </w:p>
        </w:tc>
        <w:tc>
          <w:tcPr>
            <w:tcW w:w="3320" w:type="pct"/>
            <w:vAlign w:val="center"/>
          </w:tcPr>
          <w:p w14:paraId="140B863E" w14:textId="77777777" w:rsidR="00C300C6" w:rsidRDefault="00E768D8">
            <w:pPr>
              <w:spacing w:after="0" w:line="240" w:lineRule="auto"/>
              <w:jc w:val="both"/>
              <w:rPr>
                <w:rFonts w:ascii="Times New Roman" w:hAnsi="Times New Roman" w:cs="Times New Roman"/>
                <w:sz w:val="20"/>
                <w:szCs w:val="20"/>
              </w:rPr>
            </w:pPr>
            <w:r w:rsidRPr="005F2192">
              <w:rPr>
                <w:rFonts w:ascii="Times New Roman" w:hAnsi="Times New Roman" w:cs="Times New Roman"/>
                <w:sz w:val="20"/>
                <w:szCs w:val="20"/>
              </w:rPr>
              <w:t>A dummy variable that equals 1 if the firm belongs to oil &amp; gas, mining, industrials, utilities, construction, automobile and aerospace industries, and 0 otherwise</w:t>
            </w:r>
            <w:r w:rsidR="0089449F">
              <w:rPr>
                <w:rFonts w:ascii="Times New Roman" w:hAnsi="Times New Roman" w:cs="Times New Roman"/>
                <w:sz w:val="20"/>
                <w:szCs w:val="20"/>
              </w:rPr>
              <w:t>.</w:t>
            </w:r>
          </w:p>
        </w:tc>
      </w:tr>
      <w:tr w:rsidR="00AC4B35" w:rsidRPr="005F2192" w14:paraId="4AC4A34D" w14:textId="77777777" w:rsidTr="008A0540">
        <w:trPr>
          <w:trHeight w:val="432"/>
        </w:trPr>
        <w:tc>
          <w:tcPr>
            <w:tcW w:w="5000" w:type="pct"/>
            <w:gridSpan w:val="3"/>
            <w:shd w:val="clear" w:color="auto" w:fill="auto"/>
            <w:noWrap/>
            <w:vAlign w:val="center"/>
          </w:tcPr>
          <w:p w14:paraId="70BAD685" w14:textId="77777777" w:rsidR="00AC4B35" w:rsidRPr="00AD24BE" w:rsidRDefault="00AC4B35" w:rsidP="00E768D8">
            <w:pPr>
              <w:spacing w:after="0" w:line="240" w:lineRule="auto"/>
              <w:rPr>
                <w:rFonts w:ascii="Times New Roman" w:hAnsi="Times New Roman" w:cs="Times New Roman"/>
                <w:i/>
                <w:sz w:val="20"/>
                <w:szCs w:val="20"/>
                <w:u w:val="single"/>
              </w:rPr>
            </w:pPr>
            <w:r w:rsidRPr="00AD24BE">
              <w:rPr>
                <w:rFonts w:ascii="Times New Roman" w:hAnsi="Times New Roman" w:cs="Times New Roman"/>
                <w:i/>
                <w:sz w:val="20"/>
                <w:szCs w:val="20"/>
                <w:u w:val="single"/>
              </w:rPr>
              <w:t>Interaction Variables</w:t>
            </w:r>
          </w:p>
        </w:tc>
      </w:tr>
      <w:tr w:rsidR="00AC4B35" w:rsidRPr="005F2192" w14:paraId="682CEFA2" w14:textId="77777777" w:rsidTr="008F443E">
        <w:trPr>
          <w:trHeight w:val="783"/>
        </w:trPr>
        <w:tc>
          <w:tcPr>
            <w:tcW w:w="902" w:type="pct"/>
            <w:tcBorders>
              <w:bottom w:val="single" w:sz="4" w:space="0" w:color="auto"/>
            </w:tcBorders>
            <w:shd w:val="clear" w:color="auto" w:fill="auto"/>
            <w:noWrap/>
            <w:vAlign w:val="center"/>
          </w:tcPr>
          <w:p w14:paraId="74B9ABE4" w14:textId="77777777" w:rsidR="00AC4B35" w:rsidRPr="005F2192" w:rsidRDefault="00AC4B35" w:rsidP="00AC4B35">
            <w:pPr>
              <w:spacing w:after="0" w:line="240" w:lineRule="auto"/>
              <w:rPr>
                <w:rFonts w:ascii="Times New Roman" w:hAnsi="Times New Roman" w:cs="Times New Roman"/>
                <w:sz w:val="20"/>
                <w:szCs w:val="20"/>
              </w:rPr>
            </w:pPr>
            <w:r>
              <w:rPr>
                <w:rFonts w:ascii="Times New Roman" w:hAnsi="Times New Roman" w:cs="Times New Roman"/>
                <w:sz w:val="20"/>
                <w:szCs w:val="20"/>
              </w:rPr>
              <w:t>CCA * Ind_Dir</w:t>
            </w:r>
          </w:p>
        </w:tc>
        <w:tc>
          <w:tcPr>
            <w:tcW w:w="778" w:type="pct"/>
            <w:tcBorders>
              <w:bottom w:val="single" w:sz="4" w:space="0" w:color="auto"/>
            </w:tcBorders>
            <w:vAlign w:val="center"/>
          </w:tcPr>
          <w:p w14:paraId="120451C0" w14:textId="77777777" w:rsidR="00AC4B35" w:rsidRPr="005F2192" w:rsidRDefault="00AC4B35" w:rsidP="00AC4B35">
            <w:pPr>
              <w:spacing w:after="0" w:line="240" w:lineRule="auto"/>
              <w:rPr>
                <w:rFonts w:ascii="Times New Roman" w:hAnsi="Times New Roman" w:cs="Times New Roman"/>
                <w:sz w:val="20"/>
                <w:szCs w:val="20"/>
              </w:rPr>
            </w:pPr>
          </w:p>
        </w:tc>
        <w:tc>
          <w:tcPr>
            <w:tcW w:w="3320" w:type="pct"/>
            <w:tcBorders>
              <w:bottom w:val="single" w:sz="4" w:space="0" w:color="auto"/>
            </w:tcBorders>
            <w:vAlign w:val="center"/>
          </w:tcPr>
          <w:p w14:paraId="4AC0F968" w14:textId="14037861" w:rsidR="00C300C6" w:rsidRDefault="00AC4B3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Interaction between the CCA and the proportion of independent board members. We also use the interactions </w:t>
            </w:r>
            <w:r w:rsidR="00925880">
              <w:rPr>
                <w:rFonts w:ascii="Times New Roman" w:hAnsi="Times New Roman" w:cs="Times New Roman"/>
                <w:sz w:val="20"/>
                <w:szCs w:val="20"/>
              </w:rPr>
              <w:t xml:space="preserve">of </w:t>
            </w:r>
            <w:r>
              <w:rPr>
                <w:rFonts w:ascii="Times New Roman" w:hAnsi="Times New Roman" w:cs="Times New Roman"/>
                <w:sz w:val="20"/>
                <w:szCs w:val="20"/>
              </w:rPr>
              <w:t xml:space="preserve">the CCA </w:t>
            </w:r>
            <w:r w:rsidR="00925880">
              <w:rPr>
                <w:rFonts w:ascii="Times New Roman" w:hAnsi="Times New Roman" w:cs="Times New Roman"/>
                <w:sz w:val="20"/>
                <w:szCs w:val="20"/>
              </w:rPr>
              <w:t xml:space="preserve">with </w:t>
            </w:r>
            <w:r>
              <w:rPr>
                <w:rFonts w:ascii="Times New Roman" w:hAnsi="Times New Roman" w:cs="Times New Roman"/>
                <w:sz w:val="20"/>
                <w:szCs w:val="20"/>
              </w:rPr>
              <w:t xml:space="preserve">executive compensation (CCA*Exec_Comp), </w:t>
            </w:r>
            <w:r w:rsidR="00925880">
              <w:rPr>
                <w:rFonts w:ascii="Times New Roman" w:hAnsi="Times New Roman" w:cs="Times New Roman"/>
                <w:sz w:val="20"/>
                <w:szCs w:val="20"/>
              </w:rPr>
              <w:t>ESG-based compensation (CCA*ESG_Comp)</w:t>
            </w:r>
            <w:r w:rsidR="00B877D5">
              <w:rPr>
                <w:rFonts w:ascii="Times New Roman" w:hAnsi="Times New Roman" w:cs="Times New Roman"/>
                <w:sz w:val="20"/>
                <w:szCs w:val="20"/>
              </w:rPr>
              <w:t xml:space="preserve">, board size (CCA*BoD_size), CEO duality (CCA*duality), </w:t>
            </w:r>
            <w:r>
              <w:rPr>
                <w:rFonts w:ascii="Times New Roman" w:hAnsi="Times New Roman" w:cs="Times New Roman"/>
                <w:sz w:val="20"/>
                <w:szCs w:val="20"/>
              </w:rPr>
              <w:t>and polluting industry dummies (CCA*Polluters)</w:t>
            </w:r>
            <w:r w:rsidR="0089449F">
              <w:rPr>
                <w:rFonts w:ascii="Times New Roman" w:hAnsi="Times New Roman" w:cs="Times New Roman"/>
                <w:sz w:val="20"/>
                <w:szCs w:val="20"/>
              </w:rPr>
              <w:t>.</w:t>
            </w:r>
            <w:r>
              <w:rPr>
                <w:rFonts w:ascii="Times New Roman" w:hAnsi="Times New Roman" w:cs="Times New Roman"/>
                <w:sz w:val="20"/>
                <w:szCs w:val="20"/>
              </w:rPr>
              <w:t xml:space="preserve"> </w:t>
            </w:r>
          </w:p>
        </w:tc>
      </w:tr>
    </w:tbl>
    <w:p w14:paraId="1EF2066D" w14:textId="77777777" w:rsidR="007F11D9" w:rsidRDefault="007F11D9" w:rsidP="00D673EE">
      <w:pPr>
        <w:rPr>
          <w:rFonts w:ascii="Times New Roman" w:hAnsi="Times New Roman" w:cs="Times New Roman"/>
          <w:b/>
          <w:sz w:val="24"/>
          <w:szCs w:val="24"/>
        </w:rPr>
      </w:pPr>
    </w:p>
    <w:p w14:paraId="50A09706" w14:textId="77777777" w:rsidR="0068418F" w:rsidRDefault="0068418F" w:rsidP="00D673EE">
      <w:pPr>
        <w:rPr>
          <w:rFonts w:ascii="Times New Roman" w:hAnsi="Times New Roman" w:cs="Times New Roman"/>
          <w:b/>
          <w:sz w:val="24"/>
          <w:szCs w:val="24"/>
        </w:rPr>
      </w:pPr>
    </w:p>
    <w:p w14:paraId="3BCEA522" w14:textId="77777777" w:rsidR="0068418F" w:rsidRDefault="0068418F" w:rsidP="00D673EE">
      <w:pPr>
        <w:rPr>
          <w:rFonts w:ascii="Times New Roman" w:hAnsi="Times New Roman" w:cs="Times New Roman"/>
          <w:b/>
          <w:sz w:val="24"/>
          <w:szCs w:val="24"/>
        </w:rPr>
      </w:pPr>
    </w:p>
    <w:p w14:paraId="01A1EF09" w14:textId="77777777" w:rsidR="0068418F" w:rsidRDefault="0068418F" w:rsidP="00D673EE">
      <w:pPr>
        <w:rPr>
          <w:rFonts w:ascii="Times New Roman" w:hAnsi="Times New Roman" w:cs="Times New Roman"/>
          <w:b/>
          <w:sz w:val="24"/>
          <w:szCs w:val="24"/>
        </w:rPr>
      </w:pPr>
    </w:p>
    <w:p w14:paraId="3C5BCC0A" w14:textId="77777777" w:rsidR="0068418F" w:rsidRDefault="0068418F" w:rsidP="00D673EE">
      <w:pPr>
        <w:rPr>
          <w:rFonts w:ascii="Times New Roman" w:hAnsi="Times New Roman" w:cs="Times New Roman"/>
          <w:b/>
          <w:sz w:val="24"/>
          <w:szCs w:val="24"/>
        </w:rPr>
      </w:pPr>
    </w:p>
    <w:p w14:paraId="28AF7613" w14:textId="77777777" w:rsidR="0068418F" w:rsidRDefault="0068418F" w:rsidP="00D673EE">
      <w:pPr>
        <w:rPr>
          <w:rFonts w:ascii="Times New Roman" w:hAnsi="Times New Roman" w:cs="Times New Roman"/>
          <w:b/>
          <w:sz w:val="24"/>
          <w:szCs w:val="24"/>
        </w:rPr>
      </w:pPr>
    </w:p>
    <w:p w14:paraId="6E517F0E" w14:textId="77777777" w:rsidR="0068418F" w:rsidRDefault="0068418F" w:rsidP="00D673EE">
      <w:pPr>
        <w:rPr>
          <w:rFonts w:ascii="Times New Roman" w:hAnsi="Times New Roman" w:cs="Times New Roman"/>
          <w:b/>
          <w:sz w:val="24"/>
          <w:szCs w:val="24"/>
        </w:rPr>
      </w:pPr>
    </w:p>
    <w:p w14:paraId="47843937" w14:textId="77777777" w:rsidR="0068418F" w:rsidRDefault="0068418F" w:rsidP="00D673EE">
      <w:pPr>
        <w:rPr>
          <w:rFonts w:ascii="Times New Roman" w:hAnsi="Times New Roman" w:cs="Times New Roman"/>
          <w:b/>
          <w:sz w:val="24"/>
          <w:szCs w:val="24"/>
        </w:rPr>
      </w:pPr>
    </w:p>
    <w:p w14:paraId="3693DA02" w14:textId="77777777" w:rsidR="0068418F" w:rsidRDefault="0068418F" w:rsidP="00D673EE">
      <w:pPr>
        <w:rPr>
          <w:rFonts w:ascii="Times New Roman" w:hAnsi="Times New Roman" w:cs="Times New Roman"/>
          <w:b/>
          <w:sz w:val="24"/>
          <w:szCs w:val="24"/>
        </w:rPr>
      </w:pPr>
    </w:p>
    <w:p w14:paraId="611F4F33" w14:textId="77777777" w:rsidR="0068418F" w:rsidRDefault="0068418F" w:rsidP="00D673EE">
      <w:pPr>
        <w:rPr>
          <w:rFonts w:ascii="Times New Roman" w:hAnsi="Times New Roman" w:cs="Times New Roman"/>
          <w:b/>
          <w:sz w:val="24"/>
          <w:szCs w:val="24"/>
        </w:rPr>
      </w:pPr>
    </w:p>
    <w:p w14:paraId="092E3484" w14:textId="77777777" w:rsidR="0068418F" w:rsidRDefault="0068418F" w:rsidP="00D673EE">
      <w:pPr>
        <w:rPr>
          <w:rFonts w:ascii="Times New Roman" w:hAnsi="Times New Roman" w:cs="Times New Roman"/>
          <w:b/>
          <w:sz w:val="24"/>
          <w:szCs w:val="24"/>
        </w:rPr>
      </w:pPr>
    </w:p>
    <w:p w14:paraId="4CA16F63" w14:textId="77777777" w:rsidR="0068418F" w:rsidRDefault="0068418F" w:rsidP="00D673EE">
      <w:pPr>
        <w:rPr>
          <w:rFonts w:ascii="Times New Roman" w:hAnsi="Times New Roman" w:cs="Times New Roman"/>
          <w:b/>
          <w:sz w:val="24"/>
          <w:szCs w:val="24"/>
        </w:rPr>
      </w:pPr>
    </w:p>
    <w:p w14:paraId="683B1516" w14:textId="77777777" w:rsidR="0068418F" w:rsidRDefault="0068418F" w:rsidP="00D673EE">
      <w:pPr>
        <w:rPr>
          <w:rFonts w:ascii="Times New Roman" w:hAnsi="Times New Roman" w:cs="Times New Roman"/>
          <w:b/>
          <w:sz w:val="24"/>
          <w:szCs w:val="24"/>
        </w:rPr>
      </w:pPr>
    </w:p>
    <w:p w14:paraId="3DA4CAF4" w14:textId="77777777" w:rsidR="0068418F" w:rsidRDefault="0068418F" w:rsidP="00D673EE">
      <w:pPr>
        <w:rPr>
          <w:rFonts w:ascii="Times New Roman" w:hAnsi="Times New Roman" w:cs="Times New Roman"/>
          <w:b/>
          <w:sz w:val="24"/>
          <w:szCs w:val="24"/>
        </w:rPr>
      </w:pPr>
    </w:p>
    <w:p w14:paraId="760AC3EF" w14:textId="77777777" w:rsidR="0068418F" w:rsidRDefault="0068418F" w:rsidP="00D673EE">
      <w:pPr>
        <w:rPr>
          <w:rFonts w:ascii="Times New Roman" w:hAnsi="Times New Roman" w:cs="Times New Roman"/>
          <w:b/>
          <w:sz w:val="24"/>
          <w:szCs w:val="24"/>
        </w:rPr>
      </w:pPr>
    </w:p>
    <w:p w14:paraId="160BAB1A" w14:textId="77777777" w:rsidR="0068418F" w:rsidRDefault="0068418F" w:rsidP="00D673EE">
      <w:pPr>
        <w:rPr>
          <w:rFonts w:ascii="Times New Roman" w:hAnsi="Times New Roman" w:cs="Times New Roman"/>
          <w:b/>
          <w:sz w:val="24"/>
          <w:szCs w:val="24"/>
        </w:rPr>
      </w:pPr>
    </w:p>
    <w:p w14:paraId="20B6F804" w14:textId="77777777" w:rsidR="000F5767" w:rsidRDefault="000F5767" w:rsidP="003B6444">
      <w:pPr>
        <w:spacing w:after="0" w:line="240" w:lineRule="auto"/>
        <w:rPr>
          <w:rFonts w:ascii="Times New Roman" w:hAnsi="Times New Roman" w:cs="Times New Roman"/>
          <w:sz w:val="24"/>
          <w:szCs w:val="24"/>
        </w:rPr>
      </w:pPr>
      <w:r w:rsidRPr="005F2192">
        <w:rPr>
          <w:rFonts w:ascii="Times New Roman" w:hAnsi="Times New Roman" w:cs="Times New Roman"/>
          <w:b/>
          <w:sz w:val="24"/>
          <w:szCs w:val="24"/>
        </w:rPr>
        <w:t>Table 3</w:t>
      </w:r>
      <w:r w:rsidRPr="005F2192">
        <w:rPr>
          <w:rFonts w:ascii="Times New Roman" w:hAnsi="Times New Roman" w:cs="Times New Roman"/>
          <w:sz w:val="24"/>
          <w:szCs w:val="24"/>
        </w:rPr>
        <w:t xml:space="preserve"> Descriptive Statistics</w:t>
      </w:r>
    </w:p>
    <w:tbl>
      <w:tblPr>
        <w:tblW w:w="5000" w:type="pct"/>
        <w:tblLook w:val="04A0" w:firstRow="1" w:lastRow="0" w:firstColumn="1" w:lastColumn="0" w:noHBand="0" w:noVBand="1"/>
      </w:tblPr>
      <w:tblGrid>
        <w:gridCol w:w="2904"/>
        <w:gridCol w:w="1292"/>
        <w:gridCol w:w="1292"/>
        <w:gridCol w:w="1292"/>
        <w:gridCol w:w="1292"/>
        <w:gridCol w:w="1288"/>
      </w:tblGrid>
      <w:tr w:rsidR="000F5767" w:rsidRPr="00F50E3A" w14:paraId="29385568" w14:textId="77777777" w:rsidTr="003B6444">
        <w:trPr>
          <w:trHeight w:val="360"/>
        </w:trPr>
        <w:tc>
          <w:tcPr>
            <w:tcW w:w="1552" w:type="pct"/>
            <w:tcBorders>
              <w:top w:val="single" w:sz="4" w:space="0" w:color="auto"/>
              <w:left w:val="nil"/>
              <w:bottom w:val="single" w:sz="4" w:space="0" w:color="auto"/>
              <w:right w:val="nil"/>
            </w:tcBorders>
            <w:shd w:val="clear" w:color="auto" w:fill="auto"/>
            <w:noWrap/>
            <w:vAlign w:val="center"/>
            <w:hideMark/>
          </w:tcPr>
          <w:p w14:paraId="26556D9F" w14:textId="77777777" w:rsidR="000F5767" w:rsidRPr="00F50E3A" w:rsidRDefault="000F5767" w:rsidP="00340E4E">
            <w:pPr>
              <w:spacing w:after="0" w:line="240" w:lineRule="auto"/>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Variables</w:t>
            </w:r>
          </w:p>
        </w:tc>
        <w:tc>
          <w:tcPr>
            <w:tcW w:w="690" w:type="pct"/>
            <w:tcBorders>
              <w:top w:val="single" w:sz="4" w:space="0" w:color="auto"/>
              <w:left w:val="nil"/>
              <w:bottom w:val="single" w:sz="4" w:space="0" w:color="auto"/>
              <w:right w:val="nil"/>
            </w:tcBorders>
            <w:shd w:val="clear" w:color="auto" w:fill="auto"/>
            <w:noWrap/>
            <w:vAlign w:val="center"/>
            <w:hideMark/>
          </w:tcPr>
          <w:p w14:paraId="365B4122"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Obs</w:t>
            </w:r>
          </w:p>
        </w:tc>
        <w:tc>
          <w:tcPr>
            <w:tcW w:w="690" w:type="pct"/>
            <w:tcBorders>
              <w:top w:val="single" w:sz="4" w:space="0" w:color="auto"/>
              <w:left w:val="nil"/>
              <w:bottom w:val="single" w:sz="4" w:space="0" w:color="auto"/>
              <w:right w:val="nil"/>
            </w:tcBorders>
            <w:shd w:val="clear" w:color="auto" w:fill="auto"/>
            <w:noWrap/>
            <w:vAlign w:val="center"/>
            <w:hideMark/>
          </w:tcPr>
          <w:p w14:paraId="65DE7D0E"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Mean</w:t>
            </w:r>
          </w:p>
        </w:tc>
        <w:tc>
          <w:tcPr>
            <w:tcW w:w="690" w:type="pct"/>
            <w:tcBorders>
              <w:top w:val="single" w:sz="4" w:space="0" w:color="auto"/>
              <w:left w:val="nil"/>
              <w:bottom w:val="single" w:sz="4" w:space="0" w:color="auto"/>
              <w:right w:val="nil"/>
            </w:tcBorders>
            <w:shd w:val="clear" w:color="auto" w:fill="auto"/>
            <w:noWrap/>
            <w:vAlign w:val="center"/>
            <w:hideMark/>
          </w:tcPr>
          <w:p w14:paraId="23707BC6"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Std. Dev.</w:t>
            </w:r>
          </w:p>
        </w:tc>
        <w:tc>
          <w:tcPr>
            <w:tcW w:w="690" w:type="pct"/>
            <w:tcBorders>
              <w:top w:val="single" w:sz="4" w:space="0" w:color="auto"/>
              <w:left w:val="nil"/>
              <w:bottom w:val="single" w:sz="4" w:space="0" w:color="auto"/>
              <w:right w:val="nil"/>
            </w:tcBorders>
            <w:shd w:val="clear" w:color="auto" w:fill="auto"/>
            <w:noWrap/>
            <w:vAlign w:val="center"/>
            <w:hideMark/>
          </w:tcPr>
          <w:p w14:paraId="2D490DCF"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Min</w:t>
            </w:r>
          </w:p>
        </w:tc>
        <w:tc>
          <w:tcPr>
            <w:tcW w:w="689" w:type="pct"/>
            <w:tcBorders>
              <w:top w:val="single" w:sz="4" w:space="0" w:color="auto"/>
              <w:left w:val="nil"/>
              <w:bottom w:val="single" w:sz="4" w:space="0" w:color="auto"/>
              <w:right w:val="nil"/>
            </w:tcBorders>
            <w:shd w:val="clear" w:color="auto" w:fill="auto"/>
            <w:noWrap/>
            <w:vAlign w:val="center"/>
            <w:hideMark/>
          </w:tcPr>
          <w:p w14:paraId="66A37E7C"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Max</w:t>
            </w:r>
          </w:p>
        </w:tc>
      </w:tr>
      <w:tr w:rsidR="00CC0B84" w:rsidRPr="00F50E3A" w14:paraId="360848C1" w14:textId="77777777" w:rsidTr="0013497C">
        <w:trPr>
          <w:trHeight w:val="360"/>
        </w:trPr>
        <w:tc>
          <w:tcPr>
            <w:tcW w:w="1552" w:type="pct"/>
            <w:tcBorders>
              <w:top w:val="single" w:sz="4" w:space="0" w:color="auto"/>
              <w:left w:val="nil"/>
              <w:bottom w:val="nil"/>
              <w:right w:val="nil"/>
            </w:tcBorders>
            <w:shd w:val="clear" w:color="auto" w:fill="auto"/>
            <w:noWrap/>
            <w:vAlign w:val="center"/>
          </w:tcPr>
          <w:p w14:paraId="4BDC7F58" w14:textId="1567DEDB" w:rsidR="00CC0B84" w:rsidRPr="003B6444" w:rsidRDefault="0013497C" w:rsidP="00340E4E">
            <w:pPr>
              <w:spacing w:after="0" w:line="240" w:lineRule="auto"/>
              <w:rPr>
                <w:rFonts w:ascii="Times New Roman" w:eastAsia="Times New Roman" w:hAnsi="Times New Roman" w:cs="Times New Roman"/>
                <w:i/>
                <w:color w:val="000000"/>
                <w:sz w:val="20"/>
                <w:szCs w:val="20"/>
                <w:u w:val="single"/>
                <w:lang w:val="en-US"/>
              </w:rPr>
            </w:pPr>
            <w:r w:rsidRPr="003B6444">
              <w:rPr>
                <w:rFonts w:ascii="Times New Roman" w:eastAsia="Times New Roman" w:hAnsi="Times New Roman" w:cs="Times New Roman"/>
                <w:i/>
                <w:color w:val="000000"/>
                <w:sz w:val="20"/>
                <w:szCs w:val="20"/>
                <w:u w:val="single"/>
                <w:lang w:val="en-US"/>
              </w:rPr>
              <w:t>Dependent Variables</w:t>
            </w:r>
          </w:p>
        </w:tc>
        <w:tc>
          <w:tcPr>
            <w:tcW w:w="690" w:type="pct"/>
            <w:tcBorders>
              <w:top w:val="single" w:sz="4" w:space="0" w:color="auto"/>
              <w:left w:val="nil"/>
              <w:bottom w:val="nil"/>
              <w:right w:val="nil"/>
            </w:tcBorders>
            <w:shd w:val="clear" w:color="auto" w:fill="auto"/>
            <w:noWrap/>
            <w:vAlign w:val="center"/>
          </w:tcPr>
          <w:p w14:paraId="650E33ED" w14:textId="77777777" w:rsidR="00CC0B84" w:rsidRPr="00F50E3A" w:rsidRDefault="00CC0B84" w:rsidP="00340E4E">
            <w:pPr>
              <w:spacing w:after="0" w:line="240" w:lineRule="auto"/>
              <w:jc w:val="center"/>
              <w:rPr>
                <w:rFonts w:ascii="Times New Roman" w:eastAsia="Times New Roman" w:hAnsi="Times New Roman" w:cs="Times New Roman"/>
                <w:color w:val="000000"/>
                <w:sz w:val="20"/>
                <w:szCs w:val="20"/>
                <w:lang w:val="en-US"/>
              </w:rPr>
            </w:pPr>
          </w:p>
        </w:tc>
        <w:tc>
          <w:tcPr>
            <w:tcW w:w="690" w:type="pct"/>
            <w:tcBorders>
              <w:top w:val="single" w:sz="4" w:space="0" w:color="auto"/>
              <w:left w:val="nil"/>
              <w:bottom w:val="nil"/>
              <w:right w:val="nil"/>
            </w:tcBorders>
            <w:shd w:val="clear" w:color="auto" w:fill="auto"/>
            <w:noWrap/>
            <w:vAlign w:val="center"/>
          </w:tcPr>
          <w:p w14:paraId="6CEAE695" w14:textId="77777777" w:rsidR="00CC0B84" w:rsidRPr="00F50E3A" w:rsidRDefault="00CC0B84" w:rsidP="00340E4E">
            <w:pPr>
              <w:spacing w:after="0" w:line="240" w:lineRule="auto"/>
              <w:jc w:val="center"/>
              <w:rPr>
                <w:rFonts w:ascii="Times New Roman" w:eastAsia="Times New Roman" w:hAnsi="Times New Roman" w:cs="Times New Roman"/>
                <w:color w:val="000000"/>
                <w:sz w:val="20"/>
                <w:szCs w:val="20"/>
                <w:lang w:val="en-US"/>
              </w:rPr>
            </w:pPr>
          </w:p>
        </w:tc>
        <w:tc>
          <w:tcPr>
            <w:tcW w:w="690" w:type="pct"/>
            <w:tcBorders>
              <w:top w:val="single" w:sz="4" w:space="0" w:color="auto"/>
              <w:left w:val="nil"/>
              <w:bottom w:val="nil"/>
              <w:right w:val="nil"/>
            </w:tcBorders>
            <w:shd w:val="clear" w:color="auto" w:fill="auto"/>
            <w:noWrap/>
            <w:vAlign w:val="center"/>
          </w:tcPr>
          <w:p w14:paraId="0A9CDA05" w14:textId="77777777" w:rsidR="00CC0B84" w:rsidRPr="00F50E3A" w:rsidRDefault="00CC0B84" w:rsidP="00340E4E">
            <w:pPr>
              <w:spacing w:after="0" w:line="240" w:lineRule="auto"/>
              <w:jc w:val="center"/>
              <w:rPr>
                <w:rFonts w:ascii="Times New Roman" w:eastAsia="Times New Roman" w:hAnsi="Times New Roman" w:cs="Times New Roman"/>
                <w:color w:val="000000"/>
                <w:sz w:val="20"/>
                <w:szCs w:val="20"/>
                <w:lang w:val="en-US"/>
              </w:rPr>
            </w:pPr>
          </w:p>
        </w:tc>
        <w:tc>
          <w:tcPr>
            <w:tcW w:w="690" w:type="pct"/>
            <w:tcBorders>
              <w:top w:val="single" w:sz="4" w:space="0" w:color="auto"/>
              <w:left w:val="nil"/>
              <w:bottom w:val="nil"/>
              <w:right w:val="nil"/>
            </w:tcBorders>
            <w:shd w:val="clear" w:color="auto" w:fill="auto"/>
            <w:noWrap/>
            <w:vAlign w:val="center"/>
          </w:tcPr>
          <w:p w14:paraId="3E6496E8" w14:textId="77777777" w:rsidR="00CC0B84" w:rsidRPr="00F50E3A" w:rsidRDefault="00CC0B84" w:rsidP="00340E4E">
            <w:pPr>
              <w:spacing w:after="0" w:line="240" w:lineRule="auto"/>
              <w:jc w:val="center"/>
              <w:rPr>
                <w:rFonts w:ascii="Times New Roman" w:eastAsia="Times New Roman" w:hAnsi="Times New Roman" w:cs="Times New Roman"/>
                <w:color w:val="000000"/>
                <w:sz w:val="20"/>
                <w:szCs w:val="20"/>
                <w:lang w:val="en-US"/>
              </w:rPr>
            </w:pPr>
          </w:p>
        </w:tc>
        <w:tc>
          <w:tcPr>
            <w:tcW w:w="689" w:type="pct"/>
            <w:tcBorders>
              <w:top w:val="single" w:sz="4" w:space="0" w:color="auto"/>
              <w:left w:val="nil"/>
              <w:bottom w:val="nil"/>
              <w:right w:val="nil"/>
            </w:tcBorders>
            <w:shd w:val="clear" w:color="auto" w:fill="auto"/>
            <w:noWrap/>
            <w:vAlign w:val="center"/>
          </w:tcPr>
          <w:p w14:paraId="33FE18C0" w14:textId="77777777" w:rsidR="00CC0B84" w:rsidRPr="00F50E3A" w:rsidRDefault="00CC0B84" w:rsidP="00340E4E">
            <w:pPr>
              <w:spacing w:after="0" w:line="240" w:lineRule="auto"/>
              <w:jc w:val="center"/>
              <w:rPr>
                <w:rFonts w:ascii="Times New Roman" w:eastAsia="Times New Roman" w:hAnsi="Times New Roman" w:cs="Times New Roman"/>
                <w:color w:val="000000"/>
                <w:sz w:val="20"/>
                <w:szCs w:val="20"/>
                <w:lang w:val="en-US"/>
              </w:rPr>
            </w:pPr>
          </w:p>
        </w:tc>
      </w:tr>
      <w:tr w:rsidR="000F5767" w:rsidRPr="00F50E3A" w14:paraId="279570E5" w14:textId="77777777" w:rsidTr="003B6444">
        <w:trPr>
          <w:trHeight w:val="360"/>
        </w:trPr>
        <w:tc>
          <w:tcPr>
            <w:tcW w:w="1552" w:type="pct"/>
            <w:tcBorders>
              <w:left w:val="nil"/>
              <w:bottom w:val="nil"/>
              <w:right w:val="nil"/>
            </w:tcBorders>
            <w:shd w:val="clear" w:color="auto" w:fill="auto"/>
            <w:noWrap/>
            <w:vAlign w:val="center"/>
            <w:hideMark/>
          </w:tcPr>
          <w:p w14:paraId="71314202" w14:textId="4C0D076E" w:rsidR="000F5767" w:rsidRPr="00F50E3A" w:rsidRDefault="000F5767" w:rsidP="00340E4E">
            <w:pPr>
              <w:spacing w:after="0" w:line="240" w:lineRule="auto"/>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CRI</w:t>
            </w:r>
            <w:r w:rsidR="0073560E">
              <w:rPr>
                <w:rFonts w:ascii="Times New Roman" w:eastAsia="Times New Roman" w:hAnsi="Times New Roman" w:cs="Times New Roman"/>
                <w:color w:val="000000"/>
                <w:sz w:val="20"/>
                <w:szCs w:val="20"/>
                <w:lang w:val="en-US"/>
              </w:rPr>
              <w:t>s</w:t>
            </w:r>
          </w:p>
        </w:tc>
        <w:tc>
          <w:tcPr>
            <w:tcW w:w="690" w:type="pct"/>
            <w:tcBorders>
              <w:left w:val="nil"/>
              <w:bottom w:val="nil"/>
              <w:right w:val="nil"/>
            </w:tcBorders>
            <w:shd w:val="clear" w:color="auto" w:fill="auto"/>
            <w:noWrap/>
            <w:vAlign w:val="center"/>
            <w:hideMark/>
          </w:tcPr>
          <w:p w14:paraId="09BE2EA8"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2245</w:t>
            </w:r>
          </w:p>
        </w:tc>
        <w:tc>
          <w:tcPr>
            <w:tcW w:w="690" w:type="pct"/>
            <w:tcBorders>
              <w:left w:val="nil"/>
              <w:bottom w:val="nil"/>
              <w:right w:val="nil"/>
            </w:tcBorders>
            <w:shd w:val="clear" w:color="auto" w:fill="auto"/>
            <w:noWrap/>
            <w:vAlign w:val="center"/>
            <w:hideMark/>
          </w:tcPr>
          <w:p w14:paraId="6010941C"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2.04</w:t>
            </w:r>
          </w:p>
        </w:tc>
        <w:tc>
          <w:tcPr>
            <w:tcW w:w="690" w:type="pct"/>
            <w:tcBorders>
              <w:left w:val="nil"/>
              <w:bottom w:val="nil"/>
              <w:right w:val="nil"/>
            </w:tcBorders>
            <w:shd w:val="clear" w:color="auto" w:fill="auto"/>
            <w:noWrap/>
            <w:vAlign w:val="center"/>
            <w:hideMark/>
          </w:tcPr>
          <w:p w14:paraId="770ECF09"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1.86</w:t>
            </w:r>
          </w:p>
        </w:tc>
        <w:tc>
          <w:tcPr>
            <w:tcW w:w="690" w:type="pct"/>
            <w:tcBorders>
              <w:left w:val="nil"/>
              <w:bottom w:val="nil"/>
              <w:right w:val="nil"/>
            </w:tcBorders>
            <w:shd w:val="clear" w:color="auto" w:fill="auto"/>
            <w:noWrap/>
            <w:vAlign w:val="center"/>
            <w:hideMark/>
          </w:tcPr>
          <w:p w14:paraId="0E297672"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0</w:t>
            </w:r>
          </w:p>
        </w:tc>
        <w:tc>
          <w:tcPr>
            <w:tcW w:w="689" w:type="pct"/>
            <w:tcBorders>
              <w:left w:val="nil"/>
              <w:bottom w:val="nil"/>
              <w:right w:val="nil"/>
            </w:tcBorders>
            <w:shd w:val="clear" w:color="auto" w:fill="auto"/>
            <w:noWrap/>
            <w:vAlign w:val="center"/>
            <w:hideMark/>
          </w:tcPr>
          <w:p w14:paraId="67B1B5B9"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8.00</w:t>
            </w:r>
          </w:p>
        </w:tc>
      </w:tr>
      <w:tr w:rsidR="000F5767" w:rsidRPr="00F50E3A" w14:paraId="05FF25FE" w14:textId="77777777" w:rsidTr="0013497C">
        <w:trPr>
          <w:trHeight w:val="360"/>
        </w:trPr>
        <w:tc>
          <w:tcPr>
            <w:tcW w:w="1552" w:type="pct"/>
            <w:tcBorders>
              <w:top w:val="nil"/>
              <w:left w:val="nil"/>
              <w:bottom w:val="nil"/>
              <w:right w:val="nil"/>
            </w:tcBorders>
            <w:shd w:val="clear" w:color="auto" w:fill="auto"/>
            <w:noWrap/>
            <w:vAlign w:val="center"/>
            <w:hideMark/>
          </w:tcPr>
          <w:p w14:paraId="2B18D03E" w14:textId="77777777" w:rsidR="000F5767" w:rsidRPr="00F50E3A" w:rsidRDefault="000F5767" w:rsidP="00340E4E">
            <w:pPr>
              <w:spacing w:after="0" w:line="240" w:lineRule="auto"/>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GHG</w:t>
            </w:r>
          </w:p>
        </w:tc>
        <w:tc>
          <w:tcPr>
            <w:tcW w:w="690" w:type="pct"/>
            <w:tcBorders>
              <w:top w:val="nil"/>
              <w:left w:val="nil"/>
              <w:bottom w:val="nil"/>
              <w:right w:val="nil"/>
            </w:tcBorders>
            <w:shd w:val="clear" w:color="auto" w:fill="auto"/>
            <w:noWrap/>
            <w:vAlign w:val="center"/>
            <w:hideMark/>
          </w:tcPr>
          <w:p w14:paraId="71F9A633"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1372</w:t>
            </w:r>
          </w:p>
        </w:tc>
        <w:tc>
          <w:tcPr>
            <w:tcW w:w="690" w:type="pct"/>
            <w:tcBorders>
              <w:top w:val="nil"/>
              <w:left w:val="nil"/>
              <w:bottom w:val="nil"/>
              <w:right w:val="nil"/>
            </w:tcBorders>
            <w:shd w:val="clear" w:color="auto" w:fill="auto"/>
            <w:noWrap/>
            <w:vAlign w:val="center"/>
            <w:hideMark/>
          </w:tcPr>
          <w:p w14:paraId="1169DDE7"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12.30</w:t>
            </w:r>
          </w:p>
        </w:tc>
        <w:tc>
          <w:tcPr>
            <w:tcW w:w="690" w:type="pct"/>
            <w:tcBorders>
              <w:top w:val="nil"/>
              <w:left w:val="nil"/>
              <w:bottom w:val="nil"/>
              <w:right w:val="nil"/>
            </w:tcBorders>
            <w:shd w:val="clear" w:color="auto" w:fill="auto"/>
            <w:noWrap/>
            <w:vAlign w:val="center"/>
            <w:hideMark/>
          </w:tcPr>
          <w:p w14:paraId="2572A5A3"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2.43</w:t>
            </w:r>
          </w:p>
        </w:tc>
        <w:tc>
          <w:tcPr>
            <w:tcW w:w="690" w:type="pct"/>
            <w:tcBorders>
              <w:top w:val="nil"/>
              <w:left w:val="nil"/>
              <w:bottom w:val="nil"/>
              <w:right w:val="nil"/>
            </w:tcBorders>
            <w:shd w:val="clear" w:color="auto" w:fill="auto"/>
            <w:noWrap/>
            <w:vAlign w:val="center"/>
            <w:hideMark/>
          </w:tcPr>
          <w:p w14:paraId="3A4912F7"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4.38</w:t>
            </w:r>
          </w:p>
        </w:tc>
        <w:tc>
          <w:tcPr>
            <w:tcW w:w="689" w:type="pct"/>
            <w:tcBorders>
              <w:top w:val="nil"/>
              <w:left w:val="nil"/>
              <w:bottom w:val="nil"/>
              <w:right w:val="nil"/>
            </w:tcBorders>
            <w:shd w:val="clear" w:color="auto" w:fill="auto"/>
            <w:noWrap/>
            <w:vAlign w:val="center"/>
            <w:hideMark/>
          </w:tcPr>
          <w:p w14:paraId="206962C7"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18.53</w:t>
            </w:r>
          </w:p>
        </w:tc>
      </w:tr>
      <w:tr w:rsidR="0013497C" w:rsidRPr="00F50E3A" w14:paraId="6F617A8D" w14:textId="77777777" w:rsidTr="0013497C">
        <w:trPr>
          <w:trHeight w:val="360"/>
        </w:trPr>
        <w:tc>
          <w:tcPr>
            <w:tcW w:w="1552" w:type="pct"/>
            <w:tcBorders>
              <w:top w:val="nil"/>
              <w:left w:val="nil"/>
              <w:bottom w:val="nil"/>
              <w:right w:val="nil"/>
            </w:tcBorders>
            <w:shd w:val="clear" w:color="auto" w:fill="auto"/>
            <w:noWrap/>
            <w:vAlign w:val="center"/>
          </w:tcPr>
          <w:p w14:paraId="4E59805D" w14:textId="7B605C3D" w:rsidR="0013497C" w:rsidRPr="003B6444" w:rsidRDefault="0013497C" w:rsidP="00340E4E">
            <w:pPr>
              <w:spacing w:after="0" w:line="240" w:lineRule="auto"/>
              <w:rPr>
                <w:rFonts w:ascii="Times New Roman" w:eastAsia="Times New Roman" w:hAnsi="Times New Roman" w:cs="Times New Roman"/>
                <w:i/>
                <w:color w:val="000000"/>
                <w:sz w:val="20"/>
                <w:szCs w:val="20"/>
                <w:u w:val="single"/>
                <w:lang w:val="en-US"/>
              </w:rPr>
            </w:pPr>
            <w:r w:rsidRPr="003B6444">
              <w:rPr>
                <w:rFonts w:ascii="Times New Roman" w:eastAsia="Times New Roman" w:hAnsi="Times New Roman" w:cs="Times New Roman"/>
                <w:i/>
                <w:color w:val="000000"/>
                <w:sz w:val="20"/>
                <w:szCs w:val="20"/>
                <w:u w:val="single"/>
                <w:lang w:val="en-US"/>
              </w:rPr>
              <w:t>Independent Variables</w:t>
            </w:r>
          </w:p>
        </w:tc>
        <w:tc>
          <w:tcPr>
            <w:tcW w:w="690" w:type="pct"/>
            <w:tcBorders>
              <w:top w:val="nil"/>
              <w:left w:val="nil"/>
              <w:bottom w:val="nil"/>
              <w:right w:val="nil"/>
            </w:tcBorders>
            <w:shd w:val="clear" w:color="auto" w:fill="auto"/>
            <w:noWrap/>
            <w:vAlign w:val="center"/>
          </w:tcPr>
          <w:p w14:paraId="5A9E5C81" w14:textId="77777777" w:rsidR="0013497C" w:rsidRPr="00F50E3A" w:rsidRDefault="0013497C" w:rsidP="00340E4E">
            <w:pPr>
              <w:spacing w:after="0" w:line="240" w:lineRule="auto"/>
              <w:jc w:val="center"/>
              <w:rPr>
                <w:rFonts w:ascii="Times New Roman" w:eastAsia="Times New Roman" w:hAnsi="Times New Roman" w:cs="Times New Roman"/>
                <w:color w:val="000000"/>
                <w:sz w:val="20"/>
                <w:szCs w:val="20"/>
                <w:lang w:val="en-US"/>
              </w:rPr>
            </w:pPr>
          </w:p>
        </w:tc>
        <w:tc>
          <w:tcPr>
            <w:tcW w:w="690" w:type="pct"/>
            <w:tcBorders>
              <w:top w:val="nil"/>
              <w:left w:val="nil"/>
              <w:bottom w:val="nil"/>
              <w:right w:val="nil"/>
            </w:tcBorders>
            <w:shd w:val="clear" w:color="auto" w:fill="auto"/>
            <w:noWrap/>
            <w:vAlign w:val="center"/>
          </w:tcPr>
          <w:p w14:paraId="084FB036" w14:textId="77777777" w:rsidR="0013497C" w:rsidRPr="00F50E3A" w:rsidRDefault="0013497C" w:rsidP="00340E4E">
            <w:pPr>
              <w:spacing w:after="0" w:line="240" w:lineRule="auto"/>
              <w:jc w:val="center"/>
              <w:rPr>
                <w:rFonts w:ascii="Times New Roman" w:eastAsia="Times New Roman" w:hAnsi="Times New Roman" w:cs="Times New Roman"/>
                <w:color w:val="000000"/>
                <w:sz w:val="20"/>
                <w:szCs w:val="20"/>
                <w:lang w:val="en-US"/>
              </w:rPr>
            </w:pPr>
          </w:p>
        </w:tc>
        <w:tc>
          <w:tcPr>
            <w:tcW w:w="690" w:type="pct"/>
            <w:tcBorders>
              <w:top w:val="nil"/>
              <w:left w:val="nil"/>
              <w:bottom w:val="nil"/>
              <w:right w:val="nil"/>
            </w:tcBorders>
            <w:shd w:val="clear" w:color="auto" w:fill="auto"/>
            <w:noWrap/>
            <w:vAlign w:val="center"/>
          </w:tcPr>
          <w:p w14:paraId="7427B7F1" w14:textId="77777777" w:rsidR="0013497C" w:rsidRPr="00F50E3A" w:rsidRDefault="0013497C" w:rsidP="00340E4E">
            <w:pPr>
              <w:spacing w:after="0" w:line="240" w:lineRule="auto"/>
              <w:jc w:val="center"/>
              <w:rPr>
                <w:rFonts w:ascii="Times New Roman" w:eastAsia="Times New Roman" w:hAnsi="Times New Roman" w:cs="Times New Roman"/>
                <w:color w:val="000000"/>
                <w:sz w:val="20"/>
                <w:szCs w:val="20"/>
                <w:lang w:val="en-US"/>
              </w:rPr>
            </w:pPr>
          </w:p>
        </w:tc>
        <w:tc>
          <w:tcPr>
            <w:tcW w:w="690" w:type="pct"/>
            <w:tcBorders>
              <w:top w:val="nil"/>
              <w:left w:val="nil"/>
              <w:bottom w:val="nil"/>
              <w:right w:val="nil"/>
            </w:tcBorders>
            <w:shd w:val="clear" w:color="auto" w:fill="auto"/>
            <w:noWrap/>
            <w:vAlign w:val="center"/>
          </w:tcPr>
          <w:p w14:paraId="32C89ED3" w14:textId="77777777" w:rsidR="0013497C" w:rsidRPr="00F50E3A" w:rsidRDefault="0013497C" w:rsidP="00340E4E">
            <w:pPr>
              <w:spacing w:after="0" w:line="240" w:lineRule="auto"/>
              <w:jc w:val="center"/>
              <w:rPr>
                <w:rFonts w:ascii="Times New Roman" w:eastAsia="Times New Roman" w:hAnsi="Times New Roman" w:cs="Times New Roman"/>
                <w:color w:val="000000"/>
                <w:sz w:val="20"/>
                <w:szCs w:val="20"/>
                <w:lang w:val="en-US"/>
              </w:rPr>
            </w:pPr>
          </w:p>
        </w:tc>
        <w:tc>
          <w:tcPr>
            <w:tcW w:w="689" w:type="pct"/>
            <w:tcBorders>
              <w:top w:val="nil"/>
              <w:left w:val="nil"/>
              <w:bottom w:val="nil"/>
              <w:right w:val="nil"/>
            </w:tcBorders>
            <w:shd w:val="clear" w:color="auto" w:fill="auto"/>
            <w:noWrap/>
            <w:vAlign w:val="center"/>
          </w:tcPr>
          <w:p w14:paraId="5581CB4F" w14:textId="77777777" w:rsidR="0013497C" w:rsidRPr="00F50E3A" w:rsidRDefault="0013497C" w:rsidP="00340E4E">
            <w:pPr>
              <w:spacing w:after="0" w:line="240" w:lineRule="auto"/>
              <w:jc w:val="center"/>
              <w:rPr>
                <w:rFonts w:ascii="Times New Roman" w:eastAsia="Times New Roman" w:hAnsi="Times New Roman" w:cs="Times New Roman"/>
                <w:color w:val="000000"/>
                <w:sz w:val="20"/>
                <w:szCs w:val="20"/>
                <w:lang w:val="en-US"/>
              </w:rPr>
            </w:pPr>
          </w:p>
        </w:tc>
      </w:tr>
      <w:tr w:rsidR="000F5767" w:rsidRPr="00F50E3A" w14:paraId="5840A42F" w14:textId="77777777" w:rsidTr="0013497C">
        <w:trPr>
          <w:trHeight w:val="360"/>
        </w:trPr>
        <w:tc>
          <w:tcPr>
            <w:tcW w:w="1552" w:type="pct"/>
            <w:tcBorders>
              <w:top w:val="nil"/>
              <w:left w:val="nil"/>
              <w:bottom w:val="nil"/>
              <w:right w:val="nil"/>
            </w:tcBorders>
            <w:shd w:val="clear" w:color="auto" w:fill="auto"/>
            <w:noWrap/>
            <w:vAlign w:val="center"/>
            <w:hideMark/>
          </w:tcPr>
          <w:p w14:paraId="28612F82" w14:textId="77777777" w:rsidR="000F5767" w:rsidRPr="00F50E3A" w:rsidRDefault="000F5767" w:rsidP="00340E4E">
            <w:pPr>
              <w:spacing w:after="0" w:line="240" w:lineRule="auto"/>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CCA</w:t>
            </w:r>
          </w:p>
        </w:tc>
        <w:tc>
          <w:tcPr>
            <w:tcW w:w="690" w:type="pct"/>
            <w:tcBorders>
              <w:top w:val="nil"/>
              <w:left w:val="nil"/>
              <w:bottom w:val="nil"/>
              <w:right w:val="nil"/>
            </w:tcBorders>
            <w:shd w:val="clear" w:color="auto" w:fill="auto"/>
            <w:noWrap/>
            <w:vAlign w:val="center"/>
            <w:hideMark/>
          </w:tcPr>
          <w:p w14:paraId="3368447A"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2245</w:t>
            </w:r>
          </w:p>
        </w:tc>
        <w:tc>
          <w:tcPr>
            <w:tcW w:w="690" w:type="pct"/>
            <w:tcBorders>
              <w:top w:val="nil"/>
              <w:left w:val="nil"/>
              <w:bottom w:val="nil"/>
              <w:right w:val="nil"/>
            </w:tcBorders>
            <w:shd w:val="clear" w:color="auto" w:fill="auto"/>
            <w:noWrap/>
            <w:vAlign w:val="center"/>
            <w:hideMark/>
          </w:tcPr>
          <w:p w14:paraId="4217C347"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0.63</w:t>
            </w:r>
          </w:p>
        </w:tc>
        <w:tc>
          <w:tcPr>
            <w:tcW w:w="690" w:type="pct"/>
            <w:tcBorders>
              <w:top w:val="nil"/>
              <w:left w:val="nil"/>
              <w:bottom w:val="nil"/>
              <w:right w:val="nil"/>
            </w:tcBorders>
            <w:shd w:val="clear" w:color="auto" w:fill="auto"/>
            <w:noWrap/>
            <w:vAlign w:val="center"/>
            <w:hideMark/>
          </w:tcPr>
          <w:p w14:paraId="24AB5529"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0.48</w:t>
            </w:r>
          </w:p>
        </w:tc>
        <w:tc>
          <w:tcPr>
            <w:tcW w:w="690" w:type="pct"/>
            <w:tcBorders>
              <w:top w:val="nil"/>
              <w:left w:val="nil"/>
              <w:bottom w:val="nil"/>
              <w:right w:val="nil"/>
            </w:tcBorders>
            <w:shd w:val="clear" w:color="auto" w:fill="auto"/>
            <w:noWrap/>
            <w:vAlign w:val="center"/>
            <w:hideMark/>
          </w:tcPr>
          <w:p w14:paraId="5BEEBB9E"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0</w:t>
            </w:r>
          </w:p>
        </w:tc>
        <w:tc>
          <w:tcPr>
            <w:tcW w:w="689" w:type="pct"/>
            <w:tcBorders>
              <w:top w:val="nil"/>
              <w:left w:val="nil"/>
              <w:bottom w:val="nil"/>
              <w:right w:val="nil"/>
            </w:tcBorders>
            <w:shd w:val="clear" w:color="auto" w:fill="auto"/>
            <w:noWrap/>
            <w:vAlign w:val="center"/>
            <w:hideMark/>
          </w:tcPr>
          <w:p w14:paraId="70A07F4D"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1.00</w:t>
            </w:r>
          </w:p>
        </w:tc>
      </w:tr>
      <w:tr w:rsidR="000F5767" w:rsidRPr="00F50E3A" w14:paraId="23EAF67B" w14:textId="77777777" w:rsidTr="0013497C">
        <w:trPr>
          <w:trHeight w:val="360"/>
        </w:trPr>
        <w:tc>
          <w:tcPr>
            <w:tcW w:w="1552" w:type="pct"/>
            <w:tcBorders>
              <w:top w:val="nil"/>
              <w:left w:val="nil"/>
              <w:bottom w:val="nil"/>
              <w:right w:val="nil"/>
            </w:tcBorders>
            <w:shd w:val="clear" w:color="auto" w:fill="auto"/>
            <w:noWrap/>
            <w:vAlign w:val="center"/>
            <w:hideMark/>
          </w:tcPr>
          <w:p w14:paraId="42E7789D" w14:textId="77777777" w:rsidR="000F5767" w:rsidRPr="00F50E3A" w:rsidRDefault="000F5767" w:rsidP="00340E4E">
            <w:pPr>
              <w:spacing w:after="0" w:line="240" w:lineRule="auto"/>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GRI</w:t>
            </w:r>
          </w:p>
        </w:tc>
        <w:tc>
          <w:tcPr>
            <w:tcW w:w="690" w:type="pct"/>
            <w:tcBorders>
              <w:top w:val="nil"/>
              <w:left w:val="nil"/>
              <w:bottom w:val="nil"/>
              <w:right w:val="nil"/>
            </w:tcBorders>
            <w:shd w:val="clear" w:color="auto" w:fill="auto"/>
            <w:noWrap/>
            <w:vAlign w:val="center"/>
            <w:hideMark/>
          </w:tcPr>
          <w:p w14:paraId="450AFB32"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2245</w:t>
            </w:r>
          </w:p>
        </w:tc>
        <w:tc>
          <w:tcPr>
            <w:tcW w:w="690" w:type="pct"/>
            <w:tcBorders>
              <w:top w:val="nil"/>
              <w:left w:val="nil"/>
              <w:bottom w:val="nil"/>
              <w:right w:val="nil"/>
            </w:tcBorders>
            <w:shd w:val="clear" w:color="auto" w:fill="auto"/>
            <w:noWrap/>
            <w:vAlign w:val="center"/>
            <w:hideMark/>
          </w:tcPr>
          <w:p w14:paraId="51539709"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0.19</w:t>
            </w:r>
          </w:p>
        </w:tc>
        <w:tc>
          <w:tcPr>
            <w:tcW w:w="690" w:type="pct"/>
            <w:tcBorders>
              <w:top w:val="nil"/>
              <w:left w:val="nil"/>
              <w:bottom w:val="nil"/>
              <w:right w:val="nil"/>
            </w:tcBorders>
            <w:shd w:val="clear" w:color="auto" w:fill="auto"/>
            <w:noWrap/>
            <w:vAlign w:val="center"/>
            <w:hideMark/>
          </w:tcPr>
          <w:p w14:paraId="0ED6275D"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0.40</w:t>
            </w:r>
          </w:p>
        </w:tc>
        <w:tc>
          <w:tcPr>
            <w:tcW w:w="690" w:type="pct"/>
            <w:tcBorders>
              <w:top w:val="nil"/>
              <w:left w:val="nil"/>
              <w:bottom w:val="nil"/>
              <w:right w:val="nil"/>
            </w:tcBorders>
            <w:shd w:val="clear" w:color="auto" w:fill="auto"/>
            <w:noWrap/>
            <w:vAlign w:val="center"/>
            <w:hideMark/>
          </w:tcPr>
          <w:p w14:paraId="48B0CE43"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0</w:t>
            </w:r>
          </w:p>
        </w:tc>
        <w:tc>
          <w:tcPr>
            <w:tcW w:w="689" w:type="pct"/>
            <w:tcBorders>
              <w:top w:val="nil"/>
              <w:left w:val="nil"/>
              <w:bottom w:val="nil"/>
              <w:right w:val="nil"/>
            </w:tcBorders>
            <w:shd w:val="clear" w:color="auto" w:fill="auto"/>
            <w:noWrap/>
            <w:vAlign w:val="center"/>
            <w:hideMark/>
          </w:tcPr>
          <w:p w14:paraId="41E5B203"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1.00</w:t>
            </w:r>
          </w:p>
        </w:tc>
      </w:tr>
      <w:tr w:rsidR="000F5767" w:rsidRPr="00F50E3A" w14:paraId="210BD365" w14:textId="77777777" w:rsidTr="0013497C">
        <w:trPr>
          <w:trHeight w:val="360"/>
        </w:trPr>
        <w:tc>
          <w:tcPr>
            <w:tcW w:w="1552" w:type="pct"/>
            <w:tcBorders>
              <w:top w:val="nil"/>
              <w:left w:val="nil"/>
              <w:bottom w:val="nil"/>
              <w:right w:val="nil"/>
            </w:tcBorders>
            <w:shd w:val="clear" w:color="auto" w:fill="auto"/>
            <w:noWrap/>
            <w:vAlign w:val="center"/>
            <w:hideMark/>
          </w:tcPr>
          <w:p w14:paraId="07FE9AEA" w14:textId="77777777" w:rsidR="000F5767" w:rsidRPr="00F50E3A" w:rsidRDefault="000F5767" w:rsidP="00340E4E">
            <w:pPr>
              <w:spacing w:after="0" w:line="240" w:lineRule="auto"/>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UNGC</w:t>
            </w:r>
          </w:p>
        </w:tc>
        <w:tc>
          <w:tcPr>
            <w:tcW w:w="690" w:type="pct"/>
            <w:tcBorders>
              <w:top w:val="nil"/>
              <w:left w:val="nil"/>
              <w:bottom w:val="nil"/>
              <w:right w:val="nil"/>
            </w:tcBorders>
            <w:shd w:val="clear" w:color="auto" w:fill="auto"/>
            <w:noWrap/>
            <w:vAlign w:val="center"/>
            <w:hideMark/>
          </w:tcPr>
          <w:p w14:paraId="4D89A866"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2245</w:t>
            </w:r>
          </w:p>
        </w:tc>
        <w:tc>
          <w:tcPr>
            <w:tcW w:w="690" w:type="pct"/>
            <w:tcBorders>
              <w:top w:val="nil"/>
              <w:left w:val="nil"/>
              <w:bottom w:val="nil"/>
              <w:right w:val="nil"/>
            </w:tcBorders>
            <w:shd w:val="clear" w:color="auto" w:fill="auto"/>
            <w:noWrap/>
            <w:vAlign w:val="center"/>
            <w:hideMark/>
          </w:tcPr>
          <w:p w14:paraId="350E1D08"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0.12</w:t>
            </w:r>
          </w:p>
        </w:tc>
        <w:tc>
          <w:tcPr>
            <w:tcW w:w="690" w:type="pct"/>
            <w:tcBorders>
              <w:top w:val="nil"/>
              <w:left w:val="nil"/>
              <w:bottom w:val="nil"/>
              <w:right w:val="nil"/>
            </w:tcBorders>
            <w:shd w:val="clear" w:color="auto" w:fill="auto"/>
            <w:noWrap/>
            <w:vAlign w:val="center"/>
            <w:hideMark/>
          </w:tcPr>
          <w:p w14:paraId="797C9CC9"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0.33</w:t>
            </w:r>
          </w:p>
        </w:tc>
        <w:tc>
          <w:tcPr>
            <w:tcW w:w="690" w:type="pct"/>
            <w:tcBorders>
              <w:top w:val="nil"/>
              <w:left w:val="nil"/>
              <w:bottom w:val="nil"/>
              <w:right w:val="nil"/>
            </w:tcBorders>
            <w:shd w:val="clear" w:color="auto" w:fill="auto"/>
            <w:noWrap/>
            <w:vAlign w:val="center"/>
            <w:hideMark/>
          </w:tcPr>
          <w:p w14:paraId="3C97C5E7"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0</w:t>
            </w:r>
          </w:p>
        </w:tc>
        <w:tc>
          <w:tcPr>
            <w:tcW w:w="689" w:type="pct"/>
            <w:tcBorders>
              <w:top w:val="nil"/>
              <w:left w:val="nil"/>
              <w:bottom w:val="nil"/>
              <w:right w:val="nil"/>
            </w:tcBorders>
            <w:shd w:val="clear" w:color="auto" w:fill="auto"/>
            <w:noWrap/>
            <w:vAlign w:val="center"/>
            <w:hideMark/>
          </w:tcPr>
          <w:p w14:paraId="25900490"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1.00</w:t>
            </w:r>
          </w:p>
        </w:tc>
      </w:tr>
      <w:tr w:rsidR="0013497C" w:rsidRPr="00F50E3A" w14:paraId="58D8758B" w14:textId="77777777" w:rsidTr="0013497C">
        <w:trPr>
          <w:trHeight w:val="360"/>
        </w:trPr>
        <w:tc>
          <w:tcPr>
            <w:tcW w:w="5000" w:type="pct"/>
            <w:gridSpan w:val="6"/>
            <w:tcBorders>
              <w:top w:val="nil"/>
              <w:left w:val="nil"/>
              <w:bottom w:val="nil"/>
              <w:right w:val="nil"/>
            </w:tcBorders>
            <w:shd w:val="clear" w:color="auto" w:fill="auto"/>
            <w:noWrap/>
            <w:vAlign w:val="center"/>
          </w:tcPr>
          <w:p w14:paraId="62FE8245" w14:textId="7B070490" w:rsidR="0013497C" w:rsidRPr="00F50E3A" w:rsidRDefault="0013497C" w:rsidP="003B6444">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i/>
                <w:color w:val="000000"/>
                <w:sz w:val="20"/>
                <w:szCs w:val="20"/>
                <w:u w:val="single"/>
                <w:lang w:val="en-US"/>
              </w:rPr>
              <w:t>Corporate Governance Variables</w:t>
            </w:r>
          </w:p>
        </w:tc>
      </w:tr>
      <w:tr w:rsidR="000F5767" w:rsidRPr="00F50E3A" w14:paraId="26B08589" w14:textId="77777777" w:rsidTr="0013497C">
        <w:trPr>
          <w:trHeight w:val="360"/>
        </w:trPr>
        <w:tc>
          <w:tcPr>
            <w:tcW w:w="1552" w:type="pct"/>
            <w:tcBorders>
              <w:top w:val="nil"/>
              <w:left w:val="nil"/>
              <w:bottom w:val="nil"/>
              <w:right w:val="nil"/>
            </w:tcBorders>
            <w:shd w:val="clear" w:color="auto" w:fill="auto"/>
            <w:noWrap/>
            <w:vAlign w:val="center"/>
            <w:hideMark/>
          </w:tcPr>
          <w:p w14:paraId="5DB97D51" w14:textId="23EEB9C9" w:rsidR="000F5767" w:rsidRPr="00F50E3A" w:rsidRDefault="000F5767" w:rsidP="00340E4E">
            <w:pPr>
              <w:spacing w:after="0" w:line="240" w:lineRule="auto"/>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B</w:t>
            </w:r>
            <w:r w:rsidR="00316E92">
              <w:rPr>
                <w:rFonts w:ascii="Times New Roman" w:eastAsia="Times New Roman" w:hAnsi="Times New Roman" w:cs="Times New Roman"/>
                <w:color w:val="000000"/>
                <w:sz w:val="20"/>
                <w:szCs w:val="20"/>
                <w:lang w:val="en-US"/>
              </w:rPr>
              <w:t>oard</w:t>
            </w:r>
            <w:r w:rsidRPr="00F50E3A">
              <w:rPr>
                <w:rFonts w:ascii="Times New Roman" w:eastAsia="Times New Roman" w:hAnsi="Times New Roman" w:cs="Times New Roman"/>
                <w:color w:val="000000"/>
                <w:sz w:val="20"/>
                <w:szCs w:val="20"/>
                <w:lang w:val="en-US"/>
              </w:rPr>
              <w:t xml:space="preserve"> Size</w:t>
            </w:r>
            <w:r w:rsidR="00316E92">
              <w:rPr>
                <w:rFonts w:ascii="Times New Roman" w:eastAsia="Times New Roman" w:hAnsi="Times New Roman" w:cs="Times New Roman"/>
                <w:color w:val="000000"/>
                <w:sz w:val="20"/>
                <w:szCs w:val="20"/>
                <w:lang w:val="en-US"/>
              </w:rPr>
              <w:t xml:space="preserve"> (number)</w:t>
            </w:r>
          </w:p>
        </w:tc>
        <w:tc>
          <w:tcPr>
            <w:tcW w:w="690" w:type="pct"/>
            <w:tcBorders>
              <w:top w:val="nil"/>
              <w:left w:val="nil"/>
              <w:bottom w:val="nil"/>
              <w:right w:val="nil"/>
            </w:tcBorders>
            <w:shd w:val="clear" w:color="auto" w:fill="auto"/>
            <w:noWrap/>
            <w:vAlign w:val="center"/>
            <w:hideMark/>
          </w:tcPr>
          <w:p w14:paraId="30096C09"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2243</w:t>
            </w:r>
          </w:p>
        </w:tc>
        <w:tc>
          <w:tcPr>
            <w:tcW w:w="690" w:type="pct"/>
            <w:tcBorders>
              <w:top w:val="nil"/>
              <w:left w:val="nil"/>
              <w:bottom w:val="nil"/>
              <w:right w:val="nil"/>
            </w:tcBorders>
            <w:shd w:val="clear" w:color="auto" w:fill="auto"/>
            <w:noWrap/>
            <w:vAlign w:val="center"/>
            <w:hideMark/>
          </w:tcPr>
          <w:p w14:paraId="7482666A" w14:textId="7C9120C3" w:rsidR="000F5767" w:rsidRPr="00F50E3A" w:rsidRDefault="00842823" w:rsidP="00340E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9.18</w:t>
            </w:r>
          </w:p>
        </w:tc>
        <w:tc>
          <w:tcPr>
            <w:tcW w:w="690" w:type="pct"/>
            <w:tcBorders>
              <w:top w:val="nil"/>
              <w:left w:val="nil"/>
              <w:bottom w:val="nil"/>
              <w:right w:val="nil"/>
            </w:tcBorders>
            <w:shd w:val="clear" w:color="auto" w:fill="auto"/>
            <w:noWrap/>
            <w:vAlign w:val="center"/>
            <w:hideMark/>
          </w:tcPr>
          <w:p w14:paraId="499FE5D8" w14:textId="66A2DCA3" w:rsidR="000F5767" w:rsidRPr="00F50E3A" w:rsidRDefault="00316E92" w:rsidP="00340E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2.44</w:t>
            </w:r>
          </w:p>
        </w:tc>
        <w:tc>
          <w:tcPr>
            <w:tcW w:w="690" w:type="pct"/>
            <w:tcBorders>
              <w:top w:val="nil"/>
              <w:left w:val="nil"/>
              <w:bottom w:val="nil"/>
              <w:right w:val="nil"/>
            </w:tcBorders>
            <w:shd w:val="clear" w:color="auto" w:fill="auto"/>
            <w:noWrap/>
            <w:vAlign w:val="center"/>
            <w:hideMark/>
          </w:tcPr>
          <w:p w14:paraId="16417AB2" w14:textId="10F7468A" w:rsidR="000F5767" w:rsidRPr="00F50E3A" w:rsidRDefault="00316E92" w:rsidP="00340E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4</w:t>
            </w:r>
          </w:p>
        </w:tc>
        <w:tc>
          <w:tcPr>
            <w:tcW w:w="689" w:type="pct"/>
            <w:tcBorders>
              <w:top w:val="nil"/>
              <w:left w:val="nil"/>
              <w:bottom w:val="nil"/>
              <w:right w:val="nil"/>
            </w:tcBorders>
            <w:shd w:val="clear" w:color="auto" w:fill="auto"/>
            <w:noWrap/>
            <w:vAlign w:val="center"/>
            <w:hideMark/>
          </w:tcPr>
          <w:p w14:paraId="690CAF5E" w14:textId="7959D021" w:rsidR="000F5767" w:rsidRPr="00F50E3A" w:rsidRDefault="00316E92" w:rsidP="00340E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20</w:t>
            </w:r>
          </w:p>
        </w:tc>
      </w:tr>
      <w:tr w:rsidR="000F5767" w:rsidRPr="00F50E3A" w14:paraId="7A6BF68B" w14:textId="77777777" w:rsidTr="0013497C">
        <w:trPr>
          <w:trHeight w:val="360"/>
        </w:trPr>
        <w:tc>
          <w:tcPr>
            <w:tcW w:w="1552" w:type="pct"/>
            <w:tcBorders>
              <w:top w:val="nil"/>
              <w:left w:val="nil"/>
              <w:bottom w:val="nil"/>
              <w:right w:val="nil"/>
            </w:tcBorders>
            <w:shd w:val="clear" w:color="auto" w:fill="auto"/>
            <w:noWrap/>
            <w:vAlign w:val="center"/>
            <w:hideMark/>
          </w:tcPr>
          <w:p w14:paraId="5CFFB12F" w14:textId="77777777" w:rsidR="000F5767" w:rsidRPr="00F50E3A" w:rsidRDefault="000F5767" w:rsidP="00340E4E">
            <w:pPr>
              <w:spacing w:after="0" w:line="240" w:lineRule="auto"/>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Duality</w:t>
            </w:r>
          </w:p>
        </w:tc>
        <w:tc>
          <w:tcPr>
            <w:tcW w:w="690" w:type="pct"/>
            <w:tcBorders>
              <w:top w:val="nil"/>
              <w:left w:val="nil"/>
              <w:bottom w:val="nil"/>
              <w:right w:val="nil"/>
            </w:tcBorders>
            <w:shd w:val="clear" w:color="auto" w:fill="auto"/>
            <w:noWrap/>
            <w:vAlign w:val="center"/>
            <w:hideMark/>
          </w:tcPr>
          <w:p w14:paraId="583D3ECD"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2245</w:t>
            </w:r>
          </w:p>
        </w:tc>
        <w:tc>
          <w:tcPr>
            <w:tcW w:w="690" w:type="pct"/>
            <w:tcBorders>
              <w:top w:val="nil"/>
              <w:left w:val="nil"/>
              <w:bottom w:val="nil"/>
              <w:right w:val="nil"/>
            </w:tcBorders>
            <w:shd w:val="clear" w:color="auto" w:fill="auto"/>
            <w:noWrap/>
            <w:vAlign w:val="center"/>
            <w:hideMark/>
          </w:tcPr>
          <w:p w14:paraId="409F1970"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0.04</w:t>
            </w:r>
          </w:p>
        </w:tc>
        <w:tc>
          <w:tcPr>
            <w:tcW w:w="690" w:type="pct"/>
            <w:tcBorders>
              <w:top w:val="nil"/>
              <w:left w:val="nil"/>
              <w:bottom w:val="nil"/>
              <w:right w:val="nil"/>
            </w:tcBorders>
            <w:shd w:val="clear" w:color="auto" w:fill="auto"/>
            <w:noWrap/>
            <w:vAlign w:val="center"/>
            <w:hideMark/>
          </w:tcPr>
          <w:p w14:paraId="329FA4CC"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0.20</w:t>
            </w:r>
          </w:p>
        </w:tc>
        <w:tc>
          <w:tcPr>
            <w:tcW w:w="690" w:type="pct"/>
            <w:tcBorders>
              <w:top w:val="nil"/>
              <w:left w:val="nil"/>
              <w:bottom w:val="nil"/>
              <w:right w:val="nil"/>
            </w:tcBorders>
            <w:shd w:val="clear" w:color="auto" w:fill="auto"/>
            <w:noWrap/>
            <w:vAlign w:val="center"/>
            <w:hideMark/>
          </w:tcPr>
          <w:p w14:paraId="3181E80C"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0</w:t>
            </w:r>
          </w:p>
        </w:tc>
        <w:tc>
          <w:tcPr>
            <w:tcW w:w="689" w:type="pct"/>
            <w:tcBorders>
              <w:top w:val="nil"/>
              <w:left w:val="nil"/>
              <w:bottom w:val="nil"/>
              <w:right w:val="nil"/>
            </w:tcBorders>
            <w:shd w:val="clear" w:color="auto" w:fill="auto"/>
            <w:noWrap/>
            <w:vAlign w:val="center"/>
            <w:hideMark/>
          </w:tcPr>
          <w:p w14:paraId="5FAFE834"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1.00</w:t>
            </w:r>
          </w:p>
        </w:tc>
      </w:tr>
      <w:tr w:rsidR="000F5767" w:rsidRPr="00F50E3A" w14:paraId="34C40D94" w14:textId="77777777" w:rsidTr="0013497C">
        <w:trPr>
          <w:trHeight w:val="360"/>
        </w:trPr>
        <w:tc>
          <w:tcPr>
            <w:tcW w:w="1552" w:type="pct"/>
            <w:tcBorders>
              <w:top w:val="nil"/>
              <w:left w:val="nil"/>
              <w:bottom w:val="nil"/>
              <w:right w:val="nil"/>
            </w:tcBorders>
            <w:shd w:val="clear" w:color="auto" w:fill="auto"/>
            <w:noWrap/>
            <w:vAlign w:val="center"/>
            <w:hideMark/>
          </w:tcPr>
          <w:p w14:paraId="1ADE22AB" w14:textId="77777777" w:rsidR="000F5767" w:rsidRPr="00F50E3A" w:rsidRDefault="000F5767" w:rsidP="00340E4E">
            <w:pPr>
              <w:spacing w:after="0" w:line="240" w:lineRule="auto"/>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Ind_Dir</w:t>
            </w:r>
          </w:p>
        </w:tc>
        <w:tc>
          <w:tcPr>
            <w:tcW w:w="690" w:type="pct"/>
            <w:tcBorders>
              <w:top w:val="nil"/>
              <w:left w:val="nil"/>
              <w:bottom w:val="nil"/>
              <w:right w:val="nil"/>
            </w:tcBorders>
            <w:shd w:val="clear" w:color="auto" w:fill="auto"/>
            <w:noWrap/>
            <w:vAlign w:val="center"/>
            <w:hideMark/>
          </w:tcPr>
          <w:p w14:paraId="56E4AA73"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2172</w:t>
            </w:r>
          </w:p>
        </w:tc>
        <w:tc>
          <w:tcPr>
            <w:tcW w:w="690" w:type="pct"/>
            <w:tcBorders>
              <w:top w:val="nil"/>
              <w:left w:val="nil"/>
              <w:bottom w:val="nil"/>
              <w:right w:val="nil"/>
            </w:tcBorders>
            <w:shd w:val="clear" w:color="auto" w:fill="auto"/>
            <w:noWrap/>
            <w:vAlign w:val="center"/>
            <w:hideMark/>
          </w:tcPr>
          <w:p w14:paraId="1D6BDDB0"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53.83</w:t>
            </w:r>
          </w:p>
        </w:tc>
        <w:tc>
          <w:tcPr>
            <w:tcW w:w="690" w:type="pct"/>
            <w:tcBorders>
              <w:top w:val="nil"/>
              <w:left w:val="nil"/>
              <w:bottom w:val="nil"/>
              <w:right w:val="nil"/>
            </w:tcBorders>
            <w:shd w:val="clear" w:color="auto" w:fill="auto"/>
            <w:noWrap/>
            <w:vAlign w:val="center"/>
            <w:hideMark/>
          </w:tcPr>
          <w:p w14:paraId="4E246F98"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13.50</w:t>
            </w:r>
          </w:p>
        </w:tc>
        <w:tc>
          <w:tcPr>
            <w:tcW w:w="690" w:type="pct"/>
            <w:tcBorders>
              <w:top w:val="nil"/>
              <w:left w:val="nil"/>
              <w:bottom w:val="nil"/>
              <w:right w:val="nil"/>
            </w:tcBorders>
            <w:shd w:val="clear" w:color="auto" w:fill="auto"/>
            <w:noWrap/>
            <w:vAlign w:val="center"/>
            <w:hideMark/>
          </w:tcPr>
          <w:p w14:paraId="66D9FF12"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0</w:t>
            </w:r>
          </w:p>
        </w:tc>
        <w:tc>
          <w:tcPr>
            <w:tcW w:w="689" w:type="pct"/>
            <w:tcBorders>
              <w:top w:val="nil"/>
              <w:left w:val="nil"/>
              <w:bottom w:val="nil"/>
              <w:right w:val="nil"/>
            </w:tcBorders>
            <w:shd w:val="clear" w:color="auto" w:fill="auto"/>
            <w:noWrap/>
            <w:vAlign w:val="center"/>
            <w:hideMark/>
          </w:tcPr>
          <w:p w14:paraId="541B421C"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100.00</w:t>
            </w:r>
          </w:p>
        </w:tc>
      </w:tr>
      <w:tr w:rsidR="000F5767" w:rsidRPr="00F50E3A" w14:paraId="458ED1E3" w14:textId="77777777" w:rsidTr="0013497C">
        <w:trPr>
          <w:trHeight w:val="360"/>
        </w:trPr>
        <w:tc>
          <w:tcPr>
            <w:tcW w:w="1552" w:type="pct"/>
            <w:tcBorders>
              <w:top w:val="nil"/>
              <w:left w:val="nil"/>
              <w:bottom w:val="nil"/>
              <w:right w:val="nil"/>
            </w:tcBorders>
            <w:shd w:val="clear" w:color="auto" w:fill="auto"/>
            <w:noWrap/>
            <w:vAlign w:val="center"/>
            <w:hideMark/>
          </w:tcPr>
          <w:p w14:paraId="6049C5B3" w14:textId="77777777" w:rsidR="000F5767" w:rsidRPr="00F50E3A" w:rsidRDefault="000F5767" w:rsidP="00340E4E">
            <w:pPr>
              <w:spacing w:after="0" w:line="240" w:lineRule="auto"/>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Exec_Comp</w:t>
            </w:r>
          </w:p>
        </w:tc>
        <w:tc>
          <w:tcPr>
            <w:tcW w:w="690" w:type="pct"/>
            <w:tcBorders>
              <w:top w:val="nil"/>
              <w:left w:val="nil"/>
              <w:bottom w:val="nil"/>
              <w:right w:val="nil"/>
            </w:tcBorders>
            <w:shd w:val="clear" w:color="auto" w:fill="auto"/>
            <w:noWrap/>
            <w:vAlign w:val="center"/>
            <w:hideMark/>
          </w:tcPr>
          <w:p w14:paraId="09324331"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2108</w:t>
            </w:r>
          </w:p>
        </w:tc>
        <w:tc>
          <w:tcPr>
            <w:tcW w:w="690" w:type="pct"/>
            <w:tcBorders>
              <w:top w:val="nil"/>
              <w:left w:val="nil"/>
              <w:bottom w:val="nil"/>
              <w:right w:val="nil"/>
            </w:tcBorders>
            <w:shd w:val="clear" w:color="auto" w:fill="auto"/>
            <w:noWrap/>
            <w:vAlign w:val="center"/>
            <w:hideMark/>
          </w:tcPr>
          <w:p w14:paraId="68485623"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15.26</w:t>
            </w:r>
          </w:p>
        </w:tc>
        <w:tc>
          <w:tcPr>
            <w:tcW w:w="690" w:type="pct"/>
            <w:tcBorders>
              <w:top w:val="nil"/>
              <w:left w:val="nil"/>
              <w:bottom w:val="nil"/>
              <w:right w:val="nil"/>
            </w:tcBorders>
            <w:shd w:val="clear" w:color="auto" w:fill="auto"/>
            <w:noWrap/>
            <w:vAlign w:val="center"/>
            <w:hideMark/>
          </w:tcPr>
          <w:p w14:paraId="3A1D646B"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1.03</w:t>
            </w:r>
          </w:p>
        </w:tc>
        <w:tc>
          <w:tcPr>
            <w:tcW w:w="690" w:type="pct"/>
            <w:tcBorders>
              <w:top w:val="nil"/>
              <w:left w:val="nil"/>
              <w:bottom w:val="nil"/>
              <w:right w:val="nil"/>
            </w:tcBorders>
            <w:shd w:val="clear" w:color="auto" w:fill="auto"/>
            <w:noWrap/>
            <w:vAlign w:val="center"/>
            <w:hideMark/>
          </w:tcPr>
          <w:p w14:paraId="14A21F56"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6.83</w:t>
            </w:r>
          </w:p>
        </w:tc>
        <w:tc>
          <w:tcPr>
            <w:tcW w:w="689" w:type="pct"/>
            <w:tcBorders>
              <w:top w:val="nil"/>
              <w:left w:val="nil"/>
              <w:bottom w:val="nil"/>
              <w:right w:val="nil"/>
            </w:tcBorders>
            <w:shd w:val="clear" w:color="auto" w:fill="auto"/>
            <w:noWrap/>
            <w:vAlign w:val="center"/>
            <w:hideMark/>
          </w:tcPr>
          <w:p w14:paraId="2A98DE24"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19.62</w:t>
            </w:r>
          </w:p>
        </w:tc>
      </w:tr>
      <w:tr w:rsidR="000F5767" w:rsidRPr="00F50E3A" w14:paraId="463FE737" w14:textId="77777777" w:rsidTr="0013497C">
        <w:trPr>
          <w:trHeight w:val="360"/>
        </w:trPr>
        <w:tc>
          <w:tcPr>
            <w:tcW w:w="1552" w:type="pct"/>
            <w:tcBorders>
              <w:top w:val="nil"/>
              <w:left w:val="nil"/>
              <w:bottom w:val="nil"/>
              <w:right w:val="nil"/>
            </w:tcBorders>
            <w:shd w:val="clear" w:color="auto" w:fill="auto"/>
            <w:noWrap/>
            <w:vAlign w:val="center"/>
            <w:hideMark/>
          </w:tcPr>
          <w:p w14:paraId="1316BDE5" w14:textId="77777777" w:rsidR="000F5767" w:rsidRPr="00F50E3A" w:rsidRDefault="000F5767" w:rsidP="00340E4E">
            <w:pPr>
              <w:spacing w:after="0" w:line="240" w:lineRule="auto"/>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ESG_Comp</w:t>
            </w:r>
          </w:p>
        </w:tc>
        <w:tc>
          <w:tcPr>
            <w:tcW w:w="690" w:type="pct"/>
            <w:tcBorders>
              <w:top w:val="nil"/>
              <w:left w:val="nil"/>
              <w:bottom w:val="nil"/>
              <w:right w:val="nil"/>
            </w:tcBorders>
            <w:shd w:val="clear" w:color="auto" w:fill="auto"/>
            <w:noWrap/>
            <w:vAlign w:val="center"/>
            <w:hideMark/>
          </w:tcPr>
          <w:p w14:paraId="6A7FB828"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2245</w:t>
            </w:r>
          </w:p>
        </w:tc>
        <w:tc>
          <w:tcPr>
            <w:tcW w:w="690" w:type="pct"/>
            <w:tcBorders>
              <w:top w:val="nil"/>
              <w:left w:val="nil"/>
              <w:bottom w:val="nil"/>
              <w:right w:val="nil"/>
            </w:tcBorders>
            <w:shd w:val="clear" w:color="auto" w:fill="auto"/>
            <w:noWrap/>
            <w:vAlign w:val="center"/>
            <w:hideMark/>
          </w:tcPr>
          <w:p w14:paraId="40C8B8B0"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0.35</w:t>
            </w:r>
          </w:p>
        </w:tc>
        <w:tc>
          <w:tcPr>
            <w:tcW w:w="690" w:type="pct"/>
            <w:tcBorders>
              <w:top w:val="nil"/>
              <w:left w:val="nil"/>
              <w:bottom w:val="nil"/>
              <w:right w:val="nil"/>
            </w:tcBorders>
            <w:shd w:val="clear" w:color="auto" w:fill="auto"/>
            <w:noWrap/>
            <w:vAlign w:val="center"/>
            <w:hideMark/>
          </w:tcPr>
          <w:p w14:paraId="6F620FD3"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0.48</w:t>
            </w:r>
          </w:p>
        </w:tc>
        <w:tc>
          <w:tcPr>
            <w:tcW w:w="690" w:type="pct"/>
            <w:tcBorders>
              <w:top w:val="nil"/>
              <w:left w:val="nil"/>
              <w:bottom w:val="nil"/>
              <w:right w:val="nil"/>
            </w:tcBorders>
            <w:shd w:val="clear" w:color="auto" w:fill="auto"/>
            <w:noWrap/>
            <w:vAlign w:val="center"/>
            <w:hideMark/>
          </w:tcPr>
          <w:p w14:paraId="20061454"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0.00</w:t>
            </w:r>
          </w:p>
        </w:tc>
        <w:tc>
          <w:tcPr>
            <w:tcW w:w="689" w:type="pct"/>
            <w:tcBorders>
              <w:top w:val="nil"/>
              <w:left w:val="nil"/>
              <w:bottom w:val="nil"/>
              <w:right w:val="nil"/>
            </w:tcBorders>
            <w:shd w:val="clear" w:color="auto" w:fill="auto"/>
            <w:noWrap/>
            <w:vAlign w:val="center"/>
            <w:hideMark/>
          </w:tcPr>
          <w:p w14:paraId="2446ABF7"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1.00</w:t>
            </w:r>
          </w:p>
        </w:tc>
      </w:tr>
      <w:tr w:rsidR="0013497C" w:rsidRPr="00F50E3A" w14:paraId="75CE8BCE" w14:textId="77777777" w:rsidTr="0013497C">
        <w:trPr>
          <w:trHeight w:val="360"/>
        </w:trPr>
        <w:tc>
          <w:tcPr>
            <w:tcW w:w="1552" w:type="pct"/>
            <w:tcBorders>
              <w:top w:val="nil"/>
              <w:left w:val="nil"/>
              <w:bottom w:val="nil"/>
              <w:right w:val="nil"/>
            </w:tcBorders>
            <w:shd w:val="clear" w:color="auto" w:fill="auto"/>
            <w:noWrap/>
            <w:vAlign w:val="center"/>
          </w:tcPr>
          <w:p w14:paraId="0D62B940" w14:textId="46E83AE1" w:rsidR="0013497C" w:rsidRPr="003B6444" w:rsidRDefault="0013497C" w:rsidP="00340E4E">
            <w:pPr>
              <w:spacing w:after="0" w:line="240" w:lineRule="auto"/>
              <w:rPr>
                <w:rFonts w:ascii="Times New Roman" w:eastAsia="Times New Roman" w:hAnsi="Times New Roman" w:cs="Times New Roman"/>
                <w:i/>
                <w:color w:val="000000"/>
                <w:sz w:val="20"/>
                <w:szCs w:val="20"/>
                <w:u w:val="single"/>
                <w:lang w:val="en-US"/>
              </w:rPr>
            </w:pPr>
            <w:r>
              <w:rPr>
                <w:rFonts w:ascii="Times New Roman" w:eastAsia="Times New Roman" w:hAnsi="Times New Roman" w:cs="Times New Roman"/>
                <w:i/>
                <w:color w:val="000000"/>
                <w:sz w:val="20"/>
                <w:szCs w:val="20"/>
                <w:u w:val="single"/>
                <w:lang w:val="en-US"/>
              </w:rPr>
              <w:t>Control Variables</w:t>
            </w:r>
          </w:p>
        </w:tc>
        <w:tc>
          <w:tcPr>
            <w:tcW w:w="690" w:type="pct"/>
            <w:tcBorders>
              <w:top w:val="nil"/>
              <w:left w:val="nil"/>
              <w:bottom w:val="nil"/>
              <w:right w:val="nil"/>
            </w:tcBorders>
            <w:shd w:val="clear" w:color="auto" w:fill="auto"/>
            <w:noWrap/>
            <w:vAlign w:val="center"/>
          </w:tcPr>
          <w:p w14:paraId="1F698725" w14:textId="77777777" w:rsidR="0013497C" w:rsidRPr="00F50E3A" w:rsidRDefault="0013497C" w:rsidP="00340E4E">
            <w:pPr>
              <w:spacing w:after="0" w:line="240" w:lineRule="auto"/>
              <w:jc w:val="center"/>
              <w:rPr>
                <w:rFonts w:ascii="Times New Roman" w:eastAsia="Times New Roman" w:hAnsi="Times New Roman" w:cs="Times New Roman"/>
                <w:color w:val="000000"/>
                <w:sz w:val="20"/>
                <w:szCs w:val="20"/>
                <w:lang w:val="en-US"/>
              </w:rPr>
            </w:pPr>
          </w:p>
        </w:tc>
        <w:tc>
          <w:tcPr>
            <w:tcW w:w="690" w:type="pct"/>
            <w:tcBorders>
              <w:top w:val="nil"/>
              <w:left w:val="nil"/>
              <w:bottom w:val="nil"/>
              <w:right w:val="nil"/>
            </w:tcBorders>
            <w:shd w:val="clear" w:color="auto" w:fill="auto"/>
            <w:noWrap/>
            <w:vAlign w:val="center"/>
          </w:tcPr>
          <w:p w14:paraId="2E726771" w14:textId="77777777" w:rsidR="0013497C" w:rsidRPr="00F50E3A" w:rsidRDefault="0013497C" w:rsidP="00340E4E">
            <w:pPr>
              <w:spacing w:after="0" w:line="240" w:lineRule="auto"/>
              <w:jc w:val="center"/>
              <w:rPr>
                <w:rFonts w:ascii="Times New Roman" w:eastAsia="Times New Roman" w:hAnsi="Times New Roman" w:cs="Times New Roman"/>
                <w:color w:val="000000"/>
                <w:sz w:val="20"/>
                <w:szCs w:val="20"/>
                <w:lang w:val="en-US"/>
              </w:rPr>
            </w:pPr>
          </w:p>
        </w:tc>
        <w:tc>
          <w:tcPr>
            <w:tcW w:w="690" w:type="pct"/>
            <w:tcBorders>
              <w:top w:val="nil"/>
              <w:left w:val="nil"/>
              <w:bottom w:val="nil"/>
              <w:right w:val="nil"/>
            </w:tcBorders>
            <w:shd w:val="clear" w:color="auto" w:fill="auto"/>
            <w:noWrap/>
            <w:vAlign w:val="center"/>
          </w:tcPr>
          <w:p w14:paraId="75F71B16" w14:textId="77777777" w:rsidR="0013497C" w:rsidRPr="00F50E3A" w:rsidRDefault="0013497C" w:rsidP="00340E4E">
            <w:pPr>
              <w:spacing w:after="0" w:line="240" w:lineRule="auto"/>
              <w:jc w:val="center"/>
              <w:rPr>
                <w:rFonts w:ascii="Times New Roman" w:eastAsia="Times New Roman" w:hAnsi="Times New Roman" w:cs="Times New Roman"/>
                <w:color w:val="000000"/>
                <w:sz w:val="20"/>
                <w:szCs w:val="20"/>
                <w:lang w:val="en-US"/>
              </w:rPr>
            </w:pPr>
          </w:p>
        </w:tc>
        <w:tc>
          <w:tcPr>
            <w:tcW w:w="690" w:type="pct"/>
            <w:tcBorders>
              <w:top w:val="nil"/>
              <w:left w:val="nil"/>
              <w:bottom w:val="nil"/>
              <w:right w:val="nil"/>
            </w:tcBorders>
            <w:shd w:val="clear" w:color="auto" w:fill="auto"/>
            <w:noWrap/>
            <w:vAlign w:val="center"/>
          </w:tcPr>
          <w:p w14:paraId="23D70E4F" w14:textId="77777777" w:rsidR="0013497C" w:rsidRPr="00F50E3A" w:rsidRDefault="0013497C" w:rsidP="00340E4E">
            <w:pPr>
              <w:spacing w:after="0" w:line="240" w:lineRule="auto"/>
              <w:jc w:val="center"/>
              <w:rPr>
                <w:rFonts w:ascii="Times New Roman" w:eastAsia="Times New Roman" w:hAnsi="Times New Roman" w:cs="Times New Roman"/>
                <w:color w:val="000000"/>
                <w:sz w:val="20"/>
                <w:szCs w:val="20"/>
                <w:lang w:val="en-US"/>
              </w:rPr>
            </w:pPr>
          </w:p>
        </w:tc>
        <w:tc>
          <w:tcPr>
            <w:tcW w:w="689" w:type="pct"/>
            <w:tcBorders>
              <w:top w:val="nil"/>
              <w:left w:val="nil"/>
              <w:bottom w:val="nil"/>
              <w:right w:val="nil"/>
            </w:tcBorders>
            <w:shd w:val="clear" w:color="auto" w:fill="auto"/>
            <w:noWrap/>
            <w:vAlign w:val="center"/>
          </w:tcPr>
          <w:p w14:paraId="0C4CB529" w14:textId="77777777" w:rsidR="0013497C" w:rsidRPr="00F50E3A" w:rsidRDefault="0013497C" w:rsidP="00340E4E">
            <w:pPr>
              <w:spacing w:after="0" w:line="240" w:lineRule="auto"/>
              <w:jc w:val="center"/>
              <w:rPr>
                <w:rFonts w:ascii="Times New Roman" w:eastAsia="Times New Roman" w:hAnsi="Times New Roman" w:cs="Times New Roman"/>
                <w:color w:val="000000"/>
                <w:sz w:val="20"/>
                <w:szCs w:val="20"/>
                <w:lang w:val="en-US"/>
              </w:rPr>
            </w:pPr>
          </w:p>
        </w:tc>
      </w:tr>
      <w:tr w:rsidR="000F5767" w:rsidRPr="00F50E3A" w14:paraId="76AD704C" w14:textId="77777777" w:rsidTr="0013497C">
        <w:trPr>
          <w:trHeight w:val="360"/>
        </w:trPr>
        <w:tc>
          <w:tcPr>
            <w:tcW w:w="1552" w:type="pct"/>
            <w:tcBorders>
              <w:top w:val="nil"/>
              <w:left w:val="nil"/>
              <w:bottom w:val="nil"/>
              <w:right w:val="nil"/>
            </w:tcBorders>
            <w:shd w:val="clear" w:color="auto" w:fill="auto"/>
            <w:noWrap/>
            <w:vAlign w:val="center"/>
            <w:hideMark/>
          </w:tcPr>
          <w:p w14:paraId="1C960392" w14:textId="77777777" w:rsidR="000F5767" w:rsidRPr="00F50E3A" w:rsidRDefault="000F5767" w:rsidP="00340E4E">
            <w:pPr>
              <w:spacing w:after="0" w:line="240" w:lineRule="auto"/>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Size</w:t>
            </w:r>
          </w:p>
        </w:tc>
        <w:tc>
          <w:tcPr>
            <w:tcW w:w="690" w:type="pct"/>
            <w:tcBorders>
              <w:top w:val="nil"/>
              <w:left w:val="nil"/>
              <w:bottom w:val="nil"/>
              <w:right w:val="nil"/>
            </w:tcBorders>
            <w:shd w:val="clear" w:color="auto" w:fill="auto"/>
            <w:noWrap/>
            <w:vAlign w:val="center"/>
            <w:hideMark/>
          </w:tcPr>
          <w:p w14:paraId="4213C2AB"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2235</w:t>
            </w:r>
          </w:p>
        </w:tc>
        <w:tc>
          <w:tcPr>
            <w:tcW w:w="690" w:type="pct"/>
            <w:tcBorders>
              <w:top w:val="nil"/>
              <w:left w:val="nil"/>
              <w:bottom w:val="nil"/>
              <w:right w:val="nil"/>
            </w:tcBorders>
            <w:shd w:val="clear" w:color="auto" w:fill="auto"/>
            <w:noWrap/>
            <w:vAlign w:val="center"/>
            <w:hideMark/>
          </w:tcPr>
          <w:p w14:paraId="0B1FF0AB"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14.86</w:t>
            </w:r>
          </w:p>
        </w:tc>
        <w:tc>
          <w:tcPr>
            <w:tcW w:w="690" w:type="pct"/>
            <w:tcBorders>
              <w:top w:val="nil"/>
              <w:left w:val="nil"/>
              <w:bottom w:val="nil"/>
              <w:right w:val="nil"/>
            </w:tcBorders>
            <w:shd w:val="clear" w:color="auto" w:fill="auto"/>
            <w:noWrap/>
            <w:vAlign w:val="center"/>
            <w:hideMark/>
          </w:tcPr>
          <w:p w14:paraId="63607BBA"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1.47</w:t>
            </w:r>
          </w:p>
        </w:tc>
        <w:tc>
          <w:tcPr>
            <w:tcW w:w="690" w:type="pct"/>
            <w:tcBorders>
              <w:top w:val="nil"/>
              <w:left w:val="nil"/>
              <w:bottom w:val="nil"/>
              <w:right w:val="nil"/>
            </w:tcBorders>
            <w:shd w:val="clear" w:color="auto" w:fill="auto"/>
            <w:noWrap/>
            <w:vAlign w:val="center"/>
            <w:hideMark/>
          </w:tcPr>
          <w:p w14:paraId="077783D6"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11.08</w:t>
            </w:r>
          </w:p>
        </w:tc>
        <w:tc>
          <w:tcPr>
            <w:tcW w:w="689" w:type="pct"/>
            <w:tcBorders>
              <w:top w:val="nil"/>
              <w:left w:val="nil"/>
              <w:bottom w:val="nil"/>
              <w:right w:val="nil"/>
            </w:tcBorders>
            <w:shd w:val="clear" w:color="auto" w:fill="auto"/>
            <w:noWrap/>
            <w:vAlign w:val="center"/>
            <w:hideMark/>
          </w:tcPr>
          <w:p w14:paraId="0F09667D"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19.78</w:t>
            </w:r>
          </w:p>
        </w:tc>
      </w:tr>
      <w:tr w:rsidR="000F5767" w:rsidRPr="00F50E3A" w14:paraId="41595B21" w14:textId="77777777" w:rsidTr="0013497C">
        <w:trPr>
          <w:trHeight w:val="360"/>
        </w:trPr>
        <w:tc>
          <w:tcPr>
            <w:tcW w:w="1552" w:type="pct"/>
            <w:tcBorders>
              <w:top w:val="nil"/>
              <w:left w:val="nil"/>
              <w:bottom w:val="nil"/>
              <w:right w:val="nil"/>
            </w:tcBorders>
            <w:shd w:val="clear" w:color="auto" w:fill="auto"/>
            <w:noWrap/>
            <w:vAlign w:val="center"/>
            <w:hideMark/>
          </w:tcPr>
          <w:p w14:paraId="76B9F7DC" w14:textId="77777777" w:rsidR="000F5767" w:rsidRPr="00F50E3A" w:rsidRDefault="000F5767" w:rsidP="00340E4E">
            <w:pPr>
              <w:spacing w:after="0" w:line="240" w:lineRule="auto"/>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ROA</w:t>
            </w:r>
          </w:p>
        </w:tc>
        <w:tc>
          <w:tcPr>
            <w:tcW w:w="690" w:type="pct"/>
            <w:tcBorders>
              <w:top w:val="nil"/>
              <w:left w:val="nil"/>
              <w:bottom w:val="nil"/>
              <w:right w:val="nil"/>
            </w:tcBorders>
            <w:shd w:val="clear" w:color="auto" w:fill="auto"/>
            <w:noWrap/>
            <w:vAlign w:val="center"/>
            <w:hideMark/>
          </w:tcPr>
          <w:p w14:paraId="5766B49F"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2202</w:t>
            </w:r>
          </w:p>
        </w:tc>
        <w:tc>
          <w:tcPr>
            <w:tcW w:w="690" w:type="pct"/>
            <w:tcBorders>
              <w:top w:val="nil"/>
              <w:left w:val="nil"/>
              <w:bottom w:val="nil"/>
              <w:right w:val="nil"/>
            </w:tcBorders>
            <w:shd w:val="clear" w:color="auto" w:fill="auto"/>
            <w:noWrap/>
            <w:vAlign w:val="center"/>
            <w:hideMark/>
          </w:tcPr>
          <w:p w14:paraId="1A2C21CA"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8.54</w:t>
            </w:r>
          </w:p>
        </w:tc>
        <w:tc>
          <w:tcPr>
            <w:tcW w:w="690" w:type="pct"/>
            <w:tcBorders>
              <w:top w:val="nil"/>
              <w:left w:val="nil"/>
              <w:bottom w:val="nil"/>
              <w:right w:val="nil"/>
            </w:tcBorders>
            <w:shd w:val="clear" w:color="auto" w:fill="auto"/>
            <w:noWrap/>
            <w:vAlign w:val="center"/>
            <w:hideMark/>
          </w:tcPr>
          <w:p w14:paraId="2A18F6AF"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9.32</w:t>
            </w:r>
          </w:p>
        </w:tc>
        <w:tc>
          <w:tcPr>
            <w:tcW w:w="690" w:type="pct"/>
            <w:tcBorders>
              <w:top w:val="nil"/>
              <w:left w:val="nil"/>
              <w:bottom w:val="nil"/>
              <w:right w:val="nil"/>
            </w:tcBorders>
            <w:shd w:val="clear" w:color="auto" w:fill="auto"/>
            <w:noWrap/>
            <w:vAlign w:val="center"/>
            <w:hideMark/>
          </w:tcPr>
          <w:p w14:paraId="1ABC692C"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-66.99</w:t>
            </w:r>
          </w:p>
        </w:tc>
        <w:tc>
          <w:tcPr>
            <w:tcW w:w="689" w:type="pct"/>
            <w:tcBorders>
              <w:top w:val="nil"/>
              <w:left w:val="nil"/>
              <w:bottom w:val="nil"/>
              <w:right w:val="nil"/>
            </w:tcBorders>
            <w:shd w:val="clear" w:color="auto" w:fill="auto"/>
            <w:noWrap/>
            <w:vAlign w:val="center"/>
            <w:hideMark/>
          </w:tcPr>
          <w:p w14:paraId="491B8F68"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100.83</w:t>
            </w:r>
          </w:p>
        </w:tc>
      </w:tr>
      <w:tr w:rsidR="000F5767" w:rsidRPr="00F50E3A" w14:paraId="4014C924" w14:textId="77777777" w:rsidTr="0013497C">
        <w:trPr>
          <w:trHeight w:val="360"/>
        </w:trPr>
        <w:tc>
          <w:tcPr>
            <w:tcW w:w="1552" w:type="pct"/>
            <w:tcBorders>
              <w:top w:val="nil"/>
              <w:left w:val="nil"/>
              <w:bottom w:val="nil"/>
              <w:right w:val="nil"/>
            </w:tcBorders>
            <w:shd w:val="clear" w:color="auto" w:fill="auto"/>
            <w:noWrap/>
            <w:vAlign w:val="center"/>
            <w:hideMark/>
          </w:tcPr>
          <w:p w14:paraId="1C09CC5E" w14:textId="77777777" w:rsidR="000F5767" w:rsidRPr="00F50E3A" w:rsidRDefault="000F5767" w:rsidP="00340E4E">
            <w:pPr>
              <w:spacing w:after="0" w:line="240" w:lineRule="auto"/>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Leverage</w:t>
            </w:r>
          </w:p>
        </w:tc>
        <w:tc>
          <w:tcPr>
            <w:tcW w:w="690" w:type="pct"/>
            <w:tcBorders>
              <w:top w:val="nil"/>
              <w:left w:val="nil"/>
              <w:bottom w:val="nil"/>
              <w:right w:val="nil"/>
            </w:tcBorders>
            <w:shd w:val="clear" w:color="auto" w:fill="auto"/>
            <w:noWrap/>
            <w:vAlign w:val="center"/>
            <w:hideMark/>
          </w:tcPr>
          <w:p w14:paraId="3EF201A6"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2235</w:t>
            </w:r>
          </w:p>
        </w:tc>
        <w:tc>
          <w:tcPr>
            <w:tcW w:w="690" w:type="pct"/>
            <w:tcBorders>
              <w:top w:val="nil"/>
              <w:left w:val="nil"/>
              <w:bottom w:val="nil"/>
              <w:right w:val="nil"/>
            </w:tcBorders>
            <w:shd w:val="clear" w:color="auto" w:fill="auto"/>
            <w:noWrap/>
            <w:vAlign w:val="center"/>
            <w:hideMark/>
          </w:tcPr>
          <w:p w14:paraId="65360C6D"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23.29</w:t>
            </w:r>
          </w:p>
        </w:tc>
        <w:tc>
          <w:tcPr>
            <w:tcW w:w="690" w:type="pct"/>
            <w:tcBorders>
              <w:top w:val="nil"/>
              <w:left w:val="nil"/>
              <w:bottom w:val="nil"/>
              <w:right w:val="nil"/>
            </w:tcBorders>
            <w:shd w:val="clear" w:color="auto" w:fill="auto"/>
            <w:noWrap/>
            <w:vAlign w:val="center"/>
            <w:hideMark/>
          </w:tcPr>
          <w:p w14:paraId="6587AA9B"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17.98</w:t>
            </w:r>
          </w:p>
        </w:tc>
        <w:tc>
          <w:tcPr>
            <w:tcW w:w="690" w:type="pct"/>
            <w:tcBorders>
              <w:top w:val="nil"/>
              <w:left w:val="nil"/>
              <w:bottom w:val="nil"/>
              <w:right w:val="nil"/>
            </w:tcBorders>
            <w:shd w:val="clear" w:color="auto" w:fill="auto"/>
            <w:noWrap/>
            <w:vAlign w:val="center"/>
            <w:hideMark/>
          </w:tcPr>
          <w:p w14:paraId="20A8E390"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0</w:t>
            </w:r>
          </w:p>
        </w:tc>
        <w:tc>
          <w:tcPr>
            <w:tcW w:w="689" w:type="pct"/>
            <w:tcBorders>
              <w:top w:val="nil"/>
              <w:left w:val="nil"/>
              <w:bottom w:val="nil"/>
              <w:right w:val="nil"/>
            </w:tcBorders>
            <w:shd w:val="clear" w:color="auto" w:fill="auto"/>
            <w:noWrap/>
            <w:vAlign w:val="center"/>
            <w:hideMark/>
          </w:tcPr>
          <w:p w14:paraId="0A2ECA55"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133.09</w:t>
            </w:r>
          </w:p>
        </w:tc>
      </w:tr>
      <w:tr w:rsidR="000F5767" w:rsidRPr="00F50E3A" w14:paraId="45C91D11" w14:textId="77777777" w:rsidTr="0013497C">
        <w:trPr>
          <w:trHeight w:val="360"/>
        </w:trPr>
        <w:tc>
          <w:tcPr>
            <w:tcW w:w="1552" w:type="pct"/>
            <w:tcBorders>
              <w:top w:val="nil"/>
              <w:left w:val="nil"/>
              <w:bottom w:val="nil"/>
              <w:right w:val="nil"/>
            </w:tcBorders>
            <w:shd w:val="clear" w:color="auto" w:fill="auto"/>
            <w:noWrap/>
            <w:vAlign w:val="center"/>
            <w:hideMark/>
          </w:tcPr>
          <w:p w14:paraId="78752EA2" w14:textId="77777777" w:rsidR="000F5767" w:rsidRPr="00F50E3A" w:rsidRDefault="000F5767" w:rsidP="00340E4E">
            <w:pPr>
              <w:spacing w:after="0" w:line="240" w:lineRule="auto"/>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Employees</w:t>
            </w:r>
          </w:p>
        </w:tc>
        <w:tc>
          <w:tcPr>
            <w:tcW w:w="690" w:type="pct"/>
            <w:tcBorders>
              <w:top w:val="nil"/>
              <w:left w:val="nil"/>
              <w:bottom w:val="nil"/>
              <w:right w:val="nil"/>
            </w:tcBorders>
            <w:shd w:val="clear" w:color="auto" w:fill="auto"/>
            <w:noWrap/>
            <w:vAlign w:val="center"/>
            <w:hideMark/>
          </w:tcPr>
          <w:p w14:paraId="428B04C6"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2211</w:t>
            </w:r>
          </w:p>
        </w:tc>
        <w:tc>
          <w:tcPr>
            <w:tcW w:w="690" w:type="pct"/>
            <w:tcBorders>
              <w:top w:val="nil"/>
              <w:left w:val="nil"/>
              <w:bottom w:val="nil"/>
              <w:right w:val="nil"/>
            </w:tcBorders>
            <w:shd w:val="clear" w:color="auto" w:fill="auto"/>
            <w:noWrap/>
            <w:vAlign w:val="center"/>
            <w:hideMark/>
          </w:tcPr>
          <w:p w14:paraId="6A42E696"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9.03</w:t>
            </w:r>
          </w:p>
        </w:tc>
        <w:tc>
          <w:tcPr>
            <w:tcW w:w="690" w:type="pct"/>
            <w:tcBorders>
              <w:top w:val="nil"/>
              <w:left w:val="nil"/>
              <w:bottom w:val="nil"/>
              <w:right w:val="nil"/>
            </w:tcBorders>
            <w:shd w:val="clear" w:color="auto" w:fill="auto"/>
            <w:noWrap/>
            <w:vAlign w:val="center"/>
            <w:hideMark/>
          </w:tcPr>
          <w:p w14:paraId="2394ED59"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1.65</w:t>
            </w:r>
          </w:p>
        </w:tc>
        <w:tc>
          <w:tcPr>
            <w:tcW w:w="690" w:type="pct"/>
            <w:tcBorders>
              <w:top w:val="nil"/>
              <w:left w:val="nil"/>
              <w:bottom w:val="nil"/>
              <w:right w:val="nil"/>
            </w:tcBorders>
            <w:shd w:val="clear" w:color="auto" w:fill="auto"/>
            <w:noWrap/>
            <w:vAlign w:val="center"/>
            <w:hideMark/>
          </w:tcPr>
          <w:p w14:paraId="2362358B"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1.79</w:t>
            </w:r>
          </w:p>
        </w:tc>
        <w:tc>
          <w:tcPr>
            <w:tcW w:w="689" w:type="pct"/>
            <w:tcBorders>
              <w:top w:val="nil"/>
              <w:left w:val="nil"/>
              <w:bottom w:val="nil"/>
              <w:right w:val="nil"/>
            </w:tcBorders>
            <w:shd w:val="clear" w:color="auto" w:fill="auto"/>
            <w:noWrap/>
            <w:vAlign w:val="center"/>
            <w:hideMark/>
          </w:tcPr>
          <w:p w14:paraId="09ACD08B"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13.38</w:t>
            </w:r>
          </w:p>
        </w:tc>
      </w:tr>
      <w:tr w:rsidR="000F5767" w:rsidRPr="00F50E3A" w14:paraId="6F7EEA9A" w14:textId="77777777" w:rsidTr="0013497C">
        <w:trPr>
          <w:trHeight w:val="360"/>
        </w:trPr>
        <w:tc>
          <w:tcPr>
            <w:tcW w:w="1552" w:type="pct"/>
            <w:tcBorders>
              <w:top w:val="nil"/>
              <w:left w:val="nil"/>
              <w:bottom w:val="nil"/>
              <w:right w:val="nil"/>
            </w:tcBorders>
            <w:shd w:val="clear" w:color="auto" w:fill="auto"/>
            <w:noWrap/>
            <w:vAlign w:val="center"/>
            <w:hideMark/>
          </w:tcPr>
          <w:p w14:paraId="4F6CF456" w14:textId="77777777" w:rsidR="000F5767" w:rsidRPr="00F50E3A" w:rsidRDefault="000F5767" w:rsidP="00340E4E">
            <w:pPr>
              <w:spacing w:after="0" w:line="240" w:lineRule="auto"/>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Slack</w:t>
            </w:r>
          </w:p>
        </w:tc>
        <w:tc>
          <w:tcPr>
            <w:tcW w:w="690" w:type="pct"/>
            <w:tcBorders>
              <w:top w:val="nil"/>
              <w:left w:val="nil"/>
              <w:bottom w:val="nil"/>
              <w:right w:val="nil"/>
            </w:tcBorders>
            <w:shd w:val="clear" w:color="auto" w:fill="auto"/>
            <w:noWrap/>
            <w:vAlign w:val="center"/>
            <w:hideMark/>
          </w:tcPr>
          <w:p w14:paraId="21E654F2"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2235</w:t>
            </w:r>
          </w:p>
        </w:tc>
        <w:tc>
          <w:tcPr>
            <w:tcW w:w="690" w:type="pct"/>
            <w:tcBorders>
              <w:top w:val="nil"/>
              <w:left w:val="nil"/>
              <w:bottom w:val="nil"/>
              <w:right w:val="nil"/>
            </w:tcBorders>
            <w:shd w:val="clear" w:color="auto" w:fill="auto"/>
            <w:noWrap/>
            <w:vAlign w:val="center"/>
            <w:hideMark/>
          </w:tcPr>
          <w:p w14:paraId="1C558941"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0.11</w:t>
            </w:r>
          </w:p>
        </w:tc>
        <w:tc>
          <w:tcPr>
            <w:tcW w:w="690" w:type="pct"/>
            <w:tcBorders>
              <w:top w:val="nil"/>
              <w:left w:val="nil"/>
              <w:bottom w:val="nil"/>
              <w:right w:val="nil"/>
            </w:tcBorders>
            <w:shd w:val="clear" w:color="auto" w:fill="auto"/>
            <w:noWrap/>
            <w:vAlign w:val="center"/>
            <w:hideMark/>
          </w:tcPr>
          <w:p w14:paraId="187F4514"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0.10</w:t>
            </w:r>
          </w:p>
        </w:tc>
        <w:tc>
          <w:tcPr>
            <w:tcW w:w="690" w:type="pct"/>
            <w:tcBorders>
              <w:top w:val="nil"/>
              <w:left w:val="nil"/>
              <w:bottom w:val="nil"/>
              <w:right w:val="nil"/>
            </w:tcBorders>
            <w:shd w:val="clear" w:color="auto" w:fill="auto"/>
            <w:noWrap/>
            <w:vAlign w:val="center"/>
            <w:hideMark/>
          </w:tcPr>
          <w:p w14:paraId="6589C829"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0</w:t>
            </w:r>
          </w:p>
        </w:tc>
        <w:tc>
          <w:tcPr>
            <w:tcW w:w="689" w:type="pct"/>
            <w:tcBorders>
              <w:top w:val="nil"/>
              <w:left w:val="nil"/>
              <w:bottom w:val="nil"/>
              <w:right w:val="nil"/>
            </w:tcBorders>
            <w:shd w:val="clear" w:color="auto" w:fill="auto"/>
            <w:noWrap/>
            <w:vAlign w:val="center"/>
            <w:hideMark/>
          </w:tcPr>
          <w:p w14:paraId="71D0BA10"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0.68</w:t>
            </w:r>
          </w:p>
        </w:tc>
      </w:tr>
      <w:tr w:rsidR="000F5767" w:rsidRPr="00F50E3A" w14:paraId="2A676B13" w14:textId="77777777" w:rsidTr="0013497C">
        <w:trPr>
          <w:trHeight w:val="360"/>
        </w:trPr>
        <w:tc>
          <w:tcPr>
            <w:tcW w:w="1552" w:type="pct"/>
            <w:tcBorders>
              <w:top w:val="nil"/>
              <w:left w:val="nil"/>
              <w:bottom w:val="nil"/>
              <w:right w:val="nil"/>
            </w:tcBorders>
            <w:shd w:val="clear" w:color="auto" w:fill="auto"/>
            <w:noWrap/>
            <w:vAlign w:val="center"/>
            <w:hideMark/>
          </w:tcPr>
          <w:p w14:paraId="72FAFA46" w14:textId="77777777" w:rsidR="000F5767" w:rsidRPr="00F50E3A" w:rsidRDefault="000F5767" w:rsidP="00340E4E">
            <w:pPr>
              <w:spacing w:after="0" w:line="240" w:lineRule="auto"/>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lastRenderedPageBreak/>
              <w:t xml:space="preserve">Intensity </w:t>
            </w:r>
          </w:p>
        </w:tc>
        <w:tc>
          <w:tcPr>
            <w:tcW w:w="690" w:type="pct"/>
            <w:tcBorders>
              <w:top w:val="nil"/>
              <w:left w:val="nil"/>
              <w:bottom w:val="nil"/>
              <w:right w:val="nil"/>
            </w:tcBorders>
            <w:shd w:val="clear" w:color="auto" w:fill="auto"/>
            <w:noWrap/>
            <w:vAlign w:val="center"/>
            <w:hideMark/>
          </w:tcPr>
          <w:p w14:paraId="216031AA"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2213</w:t>
            </w:r>
          </w:p>
        </w:tc>
        <w:tc>
          <w:tcPr>
            <w:tcW w:w="690" w:type="pct"/>
            <w:tcBorders>
              <w:top w:val="nil"/>
              <w:left w:val="nil"/>
              <w:bottom w:val="nil"/>
              <w:right w:val="nil"/>
            </w:tcBorders>
            <w:shd w:val="clear" w:color="auto" w:fill="auto"/>
            <w:noWrap/>
            <w:vAlign w:val="center"/>
            <w:hideMark/>
          </w:tcPr>
          <w:p w14:paraId="025DFF55"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0.52</w:t>
            </w:r>
          </w:p>
        </w:tc>
        <w:tc>
          <w:tcPr>
            <w:tcW w:w="690" w:type="pct"/>
            <w:tcBorders>
              <w:top w:val="nil"/>
              <w:left w:val="nil"/>
              <w:bottom w:val="nil"/>
              <w:right w:val="nil"/>
            </w:tcBorders>
            <w:shd w:val="clear" w:color="auto" w:fill="auto"/>
            <w:noWrap/>
            <w:vAlign w:val="center"/>
            <w:hideMark/>
          </w:tcPr>
          <w:p w14:paraId="6B1918AC"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0.37</w:t>
            </w:r>
          </w:p>
        </w:tc>
        <w:tc>
          <w:tcPr>
            <w:tcW w:w="690" w:type="pct"/>
            <w:tcBorders>
              <w:top w:val="nil"/>
              <w:left w:val="nil"/>
              <w:bottom w:val="nil"/>
              <w:right w:val="nil"/>
            </w:tcBorders>
            <w:shd w:val="clear" w:color="auto" w:fill="auto"/>
            <w:noWrap/>
            <w:vAlign w:val="center"/>
            <w:hideMark/>
          </w:tcPr>
          <w:p w14:paraId="3CD4728D"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0</w:t>
            </w:r>
          </w:p>
        </w:tc>
        <w:tc>
          <w:tcPr>
            <w:tcW w:w="689" w:type="pct"/>
            <w:tcBorders>
              <w:top w:val="nil"/>
              <w:left w:val="nil"/>
              <w:bottom w:val="nil"/>
              <w:right w:val="nil"/>
            </w:tcBorders>
            <w:shd w:val="clear" w:color="auto" w:fill="auto"/>
            <w:noWrap/>
            <w:vAlign w:val="center"/>
            <w:hideMark/>
          </w:tcPr>
          <w:p w14:paraId="3D3B6390"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2.05</w:t>
            </w:r>
          </w:p>
        </w:tc>
      </w:tr>
      <w:tr w:rsidR="000F5767" w:rsidRPr="00F50E3A" w14:paraId="38F8DF88" w14:textId="77777777" w:rsidTr="0013497C">
        <w:trPr>
          <w:trHeight w:val="360"/>
        </w:trPr>
        <w:tc>
          <w:tcPr>
            <w:tcW w:w="1552" w:type="pct"/>
            <w:tcBorders>
              <w:top w:val="nil"/>
              <w:left w:val="nil"/>
              <w:right w:val="nil"/>
            </w:tcBorders>
            <w:shd w:val="clear" w:color="auto" w:fill="auto"/>
            <w:noWrap/>
            <w:vAlign w:val="center"/>
            <w:hideMark/>
          </w:tcPr>
          <w:p w14:paraId="5C83709F" w14:textId="77777777" w:rsidR="000F5767" w:rsidRPr="00F50E3A" w:rsidRDefault="000F5767" w:rsidP="00340E4E">
            <w:pPr>
              <w:spacing w:after="0" w:line="240" w:lineRule="auto"/>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Capex</w:t>
            </w:r>
          </w:p>
        </w:tc>
        <w:tc>
          <w:tcPr>
            <w:tcW w:w="690" w:type="pct"/>
            <w:tcBorders>
              <w:top w:val="nil"/>
              <w:left w:val="nil"/>
              <w:right w:val="nil"/>
            </w:tcBorders>
            <w:shd w:val="clear" w:color="auto" w:fill="auto"/>
            <w:noWrap/>
            <w:vAlign w:val="center"/>
            <w:hideMark/>
          </w:tcPr>
          <w:p w14:paraId="398470DC"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2214</w:t>
            </w:r>
          </w:p>
        </w:tc>
        <w:tc>
          <w:tcPr>
            <w:tcW w:w="690" w:type="pct"/>
            <w:tcBorders>
              <w:top w:val="nil"/>
              <w:left w:val="nil"/>
              <w:right w:val="nil"/>
            </w:tcBorders>
            <w:shd w:val="clear" w:color="auto" w:fill="auto"/>
            <w:noWrap/>
            <w:vAlign w:val="center"/>
            <w:hideMark/>
          </w:tcPr>
          <w:p w14:paraId="28EA6D62"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8.36</w:t>
            </w:r>
          </w:p>
        </w:tc>
        <w:tc>
          <w:tcPr>
            <w:tcW w:w="690" w:type="pct"/>
            <w:tcBorders>
              <w:top w:val="nil"/>
              <w:left w:val="nil"/>
              <w:right w:val="nil"/>
            </w:tcBorders>
            <w:shd w:val="clear" w:color="auto" w:fill="auto"/>
            <w:noWrap/>
            <w:vAlign w:val="center"/>
            <w:hideMark/>
          </w:tcPr>
          <w:p w14:paraId="44730AB0"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18.56</w:t>
            </w:r>
          </w:p>
        </w:tc>
        <w:tc>
          <w:tcPr>
            <w:tcW w:w="690" w:type="pct"/>
            <w:tcBorders>
              <w:top w:val="nil"/>
              <w:left w:val="nil"/>
              <w:right w:val="nil"/>
            </w:tcBorders>
            <w:shd w:val="clear" w:color="auto" w:fill="auto"/>
            <w:noWrap/>
            <w:vAlign w:val="center"/>
            <w:hideMark/>
          </w:tcPr>
          <w:p w14:paraId="0C6DE3B9"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0</w:t>
            </w:r>
          </w:p>
        </w:tc>
        <w:tc>
          <w:tcPr>
            <w:tcW w:w="689" w:type="pct"/>
            <w:tcBorders>
              <w:top w:val="nil"/>
              <w:left w:val="nil"/>
              <w:right w:val="nil"/>
            </w:tcBorders>
            <w:shd w:val="clear" w:color="auto" w:fill="auto"/>
            <w:noWrap/>
            <w:vAlign w:val="center"/>
            <w:hideMark/>
          </w:tcPr>
          <w:p w14:paraId="6EC5E541"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456.00</w:t>
            </w:r>
          </w:p>
        </w:tc>
      </w:tr>
      <w:tr w:rsidR="000F5767" w:rsidRPr="00F50E3A" w14:paraId="64253764" w14:textId="77777777" w:rsidTr="0013497C">
        <w:trPr>
          <w:trHeight w:val="360"/>
        </w:trPr>
        <w:tc>
          <w:tcPr>
            <w:tcW w:w="1552" w:type="pct"/>
            <w:tcBorders>
              <w:top w:val="nil"/>
              <w:left w:val="nil"/>
              <w:bottom w:val="single" w:sz="4" w:space="0" w:color="auto"/>
              <w:right w:val="nil"/>
            </w:tcBorders>
            <w:shd w:val="clear" w:color="auto" w:fill="auto"/>
            <w:noWrap/>
            <w:vAlign w:val="center"/>
            <w:hideMark/>
          </w:tcPr>
          <w:p w14:paraId="3EA4340E" w14:textId="77777777" w:rsidR="000F5767" w:rsidRPr="00F50E3A" w:rsidRDefault="000F5767" w:rsidP="00340E4E">
            <w:pPr>
              <w:spacing w:after="0" w:line="240" w:lineRule="auto"/>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MTBV</w:t>
            </w:r>
          </w:p>
        </w:tc>
        <w:tc>
          <w:tcPr>
            <w:tcW w:w="690" w:type="pct"/>
            <w:tcBorders>
              <w:top w:val="nil"/>
              <w:left w:val="nil"/>
              <w:bottom w:val="single" w:sz="4" w:space="0" w:color="auto"/>
              <w:right w:val="nil"/>
            </w:tcBorders>
            <w:shd w:val="clear" w:color="auto" w:fill="auto"/>
            <w:noWrap/>
            <w:vAlign w:val="center"/>
            <w:hideMark/>
          </w:tcPr>
          <w:p w14:paraId="3C6DDA26"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2197</w:t>
            </w:r>
          </w:p>
        </w:tc>
        <w:tc>
          <w:tcPr>
            <w:tcW w:w="690" w:type="pct"/>
            <w:tcBorders>
              <w:top w:val="nil"/>
              <w:left w:val="nil"/>
              <w:bottom w:val="single" w:sz="4" w:space="0" w:color="auto"/>
              <w:right w:val="nil"/>
            </w:tcBorders>
            <w:shd w:val="clear" w:color="auto" w:fill="auto"/>
            <w:noWrap/>
            <w:vAlign w:val="center"/>
            <w:hideMark/>
          </w:tcPr>
          <w:p w14:paraId="5D56AE35"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2.51</w:t>
            </w:r>
          </w:p>
        </w:tc>
        <w:tc>
          <w:tcPr>
            <w:tcW w:w="690" w:type="pct"/>
            <w:tcBorders>
              <w:top w:val="nil"/>
              <w:left w:val="nil"/>
              <w:bottom w:val="single" w:sz="4" w:space="0" w:color="auto"/>
              <w:right w:val="nil"/>
            </w:tcBorders>
            <w:shd w:val="clear" w:color="auto" w:fill="auto"/>
            <w:noWrap/>
            <w:vAlign w:val="center"/>
            <w:hideMark/>
          </w:tcPr>
          <w:p w14:paraId="61660F41"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20.63</w:t>
            </w:r>
          </w:p>
        </w:tc>
        <w:tc>
          <w:tcPr>
            <w:tcW w:w="690" w:type="pct"/>
            <w:tcBorders>
              <w:top w:val="nil"/>
              <w:left w:val="nil"/>
              <w:bottom w:val="single" w:sz="4" w:space="0" w:color="auto"/>
              <w:right w:val="nil"/>
            </w:tcBorders>
            <w:shd w:val="clear" w:color="auto" w:fill="auto"/>
            <w:noWrap/>
            <w:vAlign w:val="center"/>
            <w:hideMark/>
          </w:tcPr>
          <w:p w14:paraId="23640EF3"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-568.78</w:t>
            </w:r>
          </w:p>
        </w:tc>
        <w:tc>
          <w:tcPr>
            <w:tcW w:w="689" w:type="pct"/>
            <w:tcBorders>
              <w:top w:val="nil"/>
              <w:left w:val="nil"/>
              <w:bottom w:val="single" w:sz="4" w:space="0" w:color="auto"/>
              <w:right w:val="nil"/>
            </w:tcBorders>
            <w:shd w:val="clear" w:color="auto" w:fill="auto"/>
            <w:noWrap/>
            <w:vAlign w:val="center"/>
            <w:hideMark/>
          </w:tcPr>
          <w:p w14:paraId="509E4E0D" w14:textId="77777777" w:rsidR="000F5767" w:rsidRPr="00F50E3A" w:rsidRDefault="000F5767" w:rsidP="00340E4E">
            <w:pPr>
              <w:spacing w:after="0" w:line="240" w:lineRule="auto"/>
              <w:jc w:val="center"/>
              <w:rPr>
                <w:rFonts w:ascii="Times New Roman" w:eastAsia="Times New Roman" w:hAnsi="Times New Roman" w:cs="Times New Roman"/>
                <w:color w:val="000000"/>
                <w:sz w:val="20"/>
                <w:szCs w:val="20"/>
                <w:lang w:val="en-US"/>
              </w:rPr>
            </w:pPr>
            <w:r w:rsidRPr="00F50E3A">
              <w:rPr>
                <w:rFonts w:ascii="Times New Roman" w:eastAsia="Times New Roman" w:hAnsi="Times New Roman" w:cs="Times New Roman"/>
                <w:color w:val="000000"/>
                <w:sz w:val="20"/>
                <w:szCs w:val="20"/>
                <w:lang w:val="en-US"/>
              </w:rPr>
              <w:t>238.68</w:t>
            </w:r>
          </w:p>
        </w:tc>
      </w:tr>
    </w:tbl>
    <w:p w14:paraId="02CADC09" w14:textId="7C2AA6A5" w:rsidR="000F5767" w:rsidRPr="00F50E3A" w:rsidRDefault="000F5767" w:rsidP="000F5767">
      <w:pPr>
        <w:spacing w:after="0" w:line="240" w:lineRule="auto"/>
        <w:jc w:val="both"/>
        <w:rPr>
          <w:rFonts w:ascii="Times New Roman" w:hAnsi="Times New Roman" w:cs="Times New Roman"/>
          <w:sz w:val="20"/>
          <w:szCs w:val="20"/>
        </w:rPr>
      </w:pPr>
      <w:r w:rsidRPr="00F50E3A">
        <w:rPr>
          <w:rFonts w:ascii="Times New Roman" w:hAnsi="Times New Roman" w:cs="Times New Roman"/>
          <w:sz w:val="20"/>
          <w:szCs w:val="20"/>
        </w:rPr>
        <w:t xml:space="preserve">Notes: </w:t>
      </w:r>
      <w:r w:rsidR="00490F20">
        <w:rPr>
          <w:rFonts w:ascii="Times New Roman" w:hAnsi="Times New Roman" w:cs="Times New Roman"/>
          <w:sz w:val="20"/>
          <w:szCs w:val="20"/>
        </w:rPr>
        <w:t>Please see Table 2 for v</w:t>
      </w:r>
      <w:r w:rsidRPr="00F50E3A">
        <w:rPr>
          <w:rFonts w:ascii="Times New Roman" w:hAnsi="Times New Roman" w:cs="Times New Roman"/>
          <w:sz w:val="20"/>
          <w:szCs w:val="20"/>
        </w:rPr>
        <w:t>ariable definitions</w:t>
      </w:r>
      <w:r w:rsidR="00490F20">
        <w:rPr>
          <w:rFonts w:ascii="Times New Roman" w:hAnsi="Times New Roman" w:cs="Times New Roman"/>
          <w:sz w:val="20"/>
          <w:szCs w:val="20"/>
        </w:rPr>
        <w:t>.</w:t>
      </w:r>
    </w:p>
    <w:p w14:paraId="079F024B" w14:textId="77777777" w:rsidR="0013497C" w:rsidRDefault="0013497C">
      <w:pPr>
        <w:jc w:val="both"/>
        <w:rPr>
          <w:rFonts w:ascii="Times New Roman" w:hAnsi="Times New Roman" w:cs="Times New Roman"/>
          <w:b/>
          <w:sz w:val="24"/>
          <w:szCs w:val="24"/>
        </w:rPr>
      </w:pPr>
    </w:p>
    <w:p w14:paraId="58AFC0E9" w14:textId="77777777" w:rsidR="0068418F" w:rsidRDefault="0068418F" w:rsidP="003B6444">
      <w:pPr>
        <w:spacing w:after="0" w:line="240" w:lineRule="auto"/>
        <w:jc w:val="both"/>
        <w:rPr>
          <w:rFonts w:ascii="Times New Roman" w:hAnsi="Times New Roman" w:cs="Times New Roman"/>
          <w:b/>
          <w:sz w:val="24"/>
          <w:szCs w:val="24"/>
        </w:rPr>
      </w:pPr>
    </w:p>
    <w:p w14:paraId="69889AE3" w14:textId="77777777" w:rsidR="0068418F" w:rsidRDefault="0068418F" w:rsidP="003B6444">
      <w:pPr>
        <w:spacing w:after="0" w:line="240" w:lineRule="auto"/>
        <w:jc w:val="both"/>
        <w:rPr>
          <w:rFonts w:ascii="Times New Roman" w:hAnsi="Times New Roman" w:cs="Times New Roman"/>
          <w:b/>
          <w:sz w:val="24"/>
          <w:szCs w:val="24"/>
        </w:rPr>
      </w:pPr>
    </w:p>
    <w:p w14:paraId="38AAD40D" w14:textId="77777777" w:rsidR="0068418F" w:rsidRDefault="0068418F" w:rsidP="003B6444">
      <w:pPr>
        <w:spacing w:after="0" w:line="240" w:lineRule="auto"/>
        <w:jc w:val="both"/>
        <w:rPr>
          <w:rFonts w:ascii="Times New Roman" w:hAnsi="Times New Roman" w:cs="Times New Roman"/>
          <w:b/>
          <w:sz w:val="24"/>
          <w:szCs w:val="24"/>
        </w:rPr>
      </w:pPr>
    </w:p>
    <w:p w14:paraId="0C95CB8C" w14:textId="77777777" w:rsidR="0068418F" w:rsidRDefault="0068418F" w:rsidP="003B6444">
      <w:pPr>
        <w:spacing w:after="0" w:line="240" w:lineRule="auto"/>
        <w:jc w:val="both"/>
        <w:rPr>
          <w:rFonts w:ascii="Times New Roman" w:hAnsi="Times New Roman" w:cs="Times New Roman"/>
          <w:b/>
          <w:sz w:val="24"/>
          <w:szCs w:val="24"/>
        </w:rPr>
      </w:pPr>
    </w:p>
    <w:p w14:paraId="69AE5EA6" w14:textId="77777777" w:rsidR="0068418F" w:rsidRDefault="0068418F" w:rsidP="003B6444">
      <w:pPr>
        <w:spacing w:after="0" w:line="240" w:lineRule="auto"/>
        <w:jc w:val="both"/>
        <w:rPr>
          <w:rFonts w:ascii="Times New Roman" w:hAnsi="Times New Roman" w:cs="Times New Roman"/>
          <w:b/>
          <w:sz w:val="24"/>
          <w:szCs w:val="24"/>
        </w:rPr>
      </w:pPr>
    </w:p>
    <w:p w14:paraId="6171E743" w14:textId="77777777" w:rsidR="0068418F" w:rsidRDefault="0068418F" w:rsidP="003B6444">
      <w:pPr>
        <w:spacing w:after="0" w:line="240" w:lineRule="auto"/>
        <w:jc w:val="both"/>
        <w:rPr>
          <w:rFonts w:ascii="Times New Roman" w:hAnsi="Times New Roman" w:cs="Times New Roman"/>
          <w:b/>
          <w:sz w:val="24"/>
          <w:szCs w:val="24"/>
        </w:rPr>
      </w:pPr>
    </w:p>
    <w:p w14:paraId="69C1D0D3" w14:textId="77777777" w:rsidR="0068418F" w:rsidRDefault="0068418F" w:rsidP="003B6444">
      <w:pPr>
        <w:spacing w:after="0" w:line="240" w:lineRule="auto"/>
        <w:jc w:val="both"/>
        <w:rPr>
          <w:rFonts w:ascii="Times New Roman" w:hAnsi="Times New Roman" w:cs="Times New Roman"/>
          <w:b/>
          <w:sz w:val="24"/>
          <w:szCs w:val="24"/>
        </w:rPr>
      </w:pPr>
    </w:p>
    <w:p w14:paraId="4B75268A" w14:textId="77777777" w:rsidR="0068418F" w:rsidRDefault="0068418F" w:rsidP="003B6444">
      <w:pPr>
        <w:spacing w:after="0" w:line="240" w:lineRule="auto"/>
        <w:jc w:val="both"/>
        <w:rPr>
          <w:rFonts w:ascii="Times New Roman" w:hAnsi="Times New Roman" w:cs="Times New Roman"/>
          <w:b/>
          <w:sz w:val="24"/>
          <w:szCs w:val="24"/>
        </w:rPr>
      </w:pPr>
    </w:p>
    <w:p w14:paraId="68544795" w14:textId="77777777" w:rsidR="0068418F" w:rsidRDefault="0068418F" w:rsidP="003B6444">
      <w:pPr>
        <w:spacing w:after="0" w:line="240" w:lineRule="auto"/>
        <w:jc w:val="both"/>
        <w:rPr>
          <w:rFonts w:ascii="Times New Roman" w:hAnsi="Times New Roman" w:cs="Times New Roman"/>
          <w:b/>
          <w:sz w:val="24"/>
          <w:szCs w:val="24"/>
        </w:rPr>
      </w:pPr>
    </w:p>
    <w:p w14:paraId="044B1BF7" w14:textId="77777777" w:rsidR="0068418F" w:rsidRDefault="0068418F" w:rsidP="003B6444">
      <w:pPr>
        <w:spacing w:after="0" w:line="240" w:lineRule="auto"/>
        <w:jc w:val="both"/>
        <w:rPr>
          <w:rFonts w:ascii="Times New Roman" w:hAnsi="Times New Roman" w:cs="Times New Roman"/>
          <w:b/>
          <w:sz w:val="24"/>
          <w:szCs w:val="24"/>
        </w:rPr>
      </w:pPr>
    </w:p>
    <w:p w14:paraId="507C775F" w14:textId="77777777" w:rsidR="0068418F" w:rsidRDefault="0068418F" w:rsidP="003B6444">
      <w:pPr>
        <w:spacing w:after="0" w:line="240" w:lineRule="auto"/>
        <w:jc w:val="both"/>
        <w:rPr>
          <w:rFonts w:ascii="Times New Roman" w:hAnsi="Times New Roman" w:cs="Times New Roman"/>
          <w:b/>
          <w:sz w:val="24"/>
          <w:szCs w:val="24"/>
        </w:rPr>
      </w:pPr>
    </w:p>
    <w:p w14:paraId="23492E4E" w14:textId="4D4FC0A9" w:rsidR="00C300C6" w:rsidRDefault="001A2073" w:rsidP="003B644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Table 4</w:t>
      </w:r>
      <w:r w:rsidR="00BB6EA1" w:rsidRPr="005F2192">
        <w:rPr>
          <w:rFonts w:ascii="Times New Roman" w:hAnsi="Times New Roman" w:cs="Times New Roman"/>
          <w:b/>
          <w:sz w:val="24"/>
          <w:szCs w:val="24"/>
        </w:rPr>
        <w:t xml:space="preserve"> </w:t>
      </w:r>
      <w:r w:rsidR="0016435F" w:rsidRPr="005F2192">
        <w:rPr>
          <w:rFonts w:ascii="Times New Roman" w:hAnsi="Times New Roman" w:cs="Times New Roman"/>
          <w:sz w:val="24"/>
          <w:szCs w:val="24"/>
        </w:rPr>
        <w:t xml:space="preserve">T-test results showing the difference in GHG emissions </w:t>
      </w:r>
      <w:r w:rsidR="00090EFC">
        <w:rPr>
          <w:rFonts w:ascii="Times New Roman" w:hAnsi="Times New Roman" w:cs="Times New Roman"/>
          <w:sz w:val="24"/>
          <w:szCs w:val="24"/>
        </w:rPr>
        <w:t>and carbon reduction initiatives (CRI)</w:t>
      </w:r>
      <w:r w:rsidR="00C22301">
        <w:rPr>
          <w:rFonts w:ascii="Times New Roman" w:hAnsi="Times New Roman" w:cs="Times New Roman"/>
          <w:sz w:val="24"/>
          <w:szCs w:val="24"/>
        </w:rPr>
        <w:t xml:space="preserve"> </w:t>
      </w:r>
      <w:r w:rsidR="0016435F" w:rsidRPr="005F2192">
        <w:rPr>
          <w:rFonts w:ascii="Times New Roman" w:hAnsi="Times New Roman" w:cs="Times New Roman"/>
          <w:sz w:val="24"/>
          <w:szCs w:val="24"/>
        </w:rPr>
        <w:t xml:space="preserve">between </w:t>
      </w:r>
      <w:r w:rsidR="002421AE" w:rsidRPr="005F2192">
        <w:rPr>
          <w:rFonts w:ascii="Times New Roman" w:hAnsi="Times New Roman" w:cs="Times New Roman"/>
          <w:sz w:val="24"/>
          <w:szCs w:val="24"/>
        </w:rPr>
        <w:t xml:space="preserve">(A) </w:t>
      </w:r>
      <w:r w:rsidR="0016435F" w:rsidRPr="005F2192">
        <w:rPr>
          <w:rFonts w:ascii="Times New Roman" w:hAnsi="Times New Roman" w:cs="Times New Roman"/>
          <w:sz w:val="24"/>
          <w:szCs w:val="24"/>
        </w:rPr>
        <w:t>the pre- and post-CCA period</w:t>
      </w:r>
      <w:r w:rsidR="002421AE" w:rsidRPr="005F2192">
        <w:rPr>
          <w:rFonts w:ascii="Times New Roman" w:hAnsi="Times New Roman" w:cs="Times New Roman"/>
          <w:sz w:val="24"/>
          <w:szCs w:val="24"/>
        </w:rPr>
        <w:t>, and (B) polluting and non-polluting industries</w:t>
      </w:r>
      <w:r w:rsidR="008611DC" w:rsidRPr="005F2192">
        <w:rPr>
          <w:rFonts w:ascii="Times New Roman" w:hAnsi="Times New Roman" w:cs="Times New Roman"/>
          <w:sz w:val="24"/>
          <w:szCs w:val="24"/>
        </w:rPr>
        <w:t xml:space="preserve"> in the post-CCA period</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5075"/>
        <w:gridCol w:w="2334"/>
        <w:gridCol w:w="1951"/>
      </w:tblGrid>
      <w:tr w:rsidR="00E60496" w14:paraId="59DC4326" w14:textId="77777777" w:rsidTr="00090EFC">
        <w:trPr>
          <w:trHeight w:val="360"/>
        </w:trPr>
        <w:tc>
          <w:tcPr>
            <w:tcW w:w="2711" w:type="pct"/>
            <w:tcBorders>
              <w:right w:val="nil"/>
            </w:tcBorders>
          </w:tcPr>
          <w:p w14:paraId="49821C36" w14:textId="77777777" w:rsidR="00E60496" w:rsidRPr="00090EFC" w:rsidRDefault="00E60496" w:rsidP="0016435F">
            <w:pPr>
              <w:rPr>
                <w:rFonts w:ascii="Times New Roman" w:hAnsi="Times New Roman" w:cs="Times New Roman"/>
                <w:sz w:val="24"/>
                <w:szCs w:val="24"/>
              </w:rPr>
            </w:pPr>
          </w:p>
        </w:tc>
        <w:tc>
          <w:tcPr>
            <w:tcW w:w="1247" w:type="pct"/>
            <w:tcBorders>
              <w:left w:val="nil"/>
              <w:right w:val="nil"/>
            </w:tcBorders>
          </w:tcPr>
          <w:p w14:paraId="1F810E19" w14:textId="77777777" w:rsidR="00E60496" w:rsidRPr="00090EFC" w:rsidRDefault="00090EFC" w:rsidP="00E60496">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val="en-US"/>
              </w:rPr>
              <w:t>GHG emissions</w:t>
            </w:r>
          </w:p>
        </w:tc>
        <w:tc>
          <w:tcPr>
            <w:tcW w:w="1042" w:type="pct"/>
            <w:tcBorders>
              <w:left w:val="nil"/>
            </w:tcBorders>
          </w:tcPr>
          <w:p w14:paraId="35069DB0" w14:textId="0E0CE50E" w:rsidR="00E60496" w:rsidRPr="00090EFC" w:rsidRDefault="00090EFC" w:rsidP="00E60496">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val="en-US"/>
              </w:rPr>
              <w:t>CRI</w:t>
            </w:r>
            <w:r w:rsidR="0073560E">
              <w:rPr>
                <w:rFonts w:ascii="Times New Roman" w:eastAsia="Times New Roman" w:hAnsi="Times New Roman" w:cs="Times New Roman"/>
                <w:color w:val="000000"/>
                <w:sz w:val="24"/>
                <w:szCs w:val="24"/>
                <w:lang w:val="en-US"/>
              </w:rPr>
              <w:t>s</w:t>
            </w:r>
          </w:p>
        </w:tc>
      </w:tr>
      <w:tr w:rsidR="00090EFC" w14:paraId="5DEAF792" w14:textId="77777777" w:rsidTr="00090EFC">
        <w:trPr>
          <w:trHeight w:val="360"/>
        </w:trPr>
        <w:tc>
          <w:tcPr>
            <w:tcW w:w="5000" w:type="pct"/>
            <w:gridSpan w:val="3"/>
            <w:tcBorders>
              <w:bottom w:val="nil"/>
            </w:tcBorders>
          </w:tcPr>
          <w:p w14:paraId="7208FD51" w14:textId="77777777" w:rsidR="00090EFC" w:rsidRPr="00090EFC" w:rsidRDefault="00090EFC" w:rsidP="00090EFC">
            <w:pPr>
              <w:rPr>
                <w:rFonts w:ascii="Times New Roman" w:eastAsia="Times New Roman" w:hAnsi="Times New Roman" w:cs="Times New Roman"/>
                <w:b/>
                <w:color w:val="000000"/>
                <w:sz w:val="24"/>
                <w:szCs w:val="24"/>
                <w:lang w:val="en-US"/>
              </w:rPr>
            </w:pPr>
            <w:r w:rsidRPr="00090EFC">
              <w:rPr>
                <w:rFonts w:ascii="Times New Roman" w:eastAsia="Times New Roman" w:hAnsi="Times New Roman" w:cs="Times New Roman"/>
                <w:b/>
                <w:color w:val="000000"/>
                <w:sz w:val="24"/>
                <w:szCs w:val="24"/>
                <w:lang w:val="en-US"/>
              </w:rPr>
              <w:t>Panel A:</w:t>
            </w:r>
          </w:p>
        </w:tc>
      </w:tr>
      <w:tr w:rsidR="00E60496" w14:paraId="1BFA9EDC" w14:textId="77777777" w:rsidTr="00090EFC">
        <w:trPr>
          <w:trHeight w:val="360"/>
        </w:trPr>
        <w:tc>
          <w:tcPr>
            <w:tcW w:w="2711" w:type="pct"/>
            <w:tcBorders>
              <w:top w:val="nil"/>
              <w:bottom w:val="nil"/>
              <w:right w:val="nil"/>
            </w:tcBorders>
          </w:tcPr>
          <w:p w14:paraId="1A2892A7" w14:textId="77777777" w:rsidR="00E60496" w:rsidRPr="00090EFC" w:rsidRDefault="00E60496" w:rsidP="0016435F">
            <w:pPr>
              <w:rPr>
                <w:rFonts w:ascii="Times New Roman" w:hAnsi="Times New Roman" w:cs="Times New Roman"/>
                <w:sz w:val="24"/>
                <w:szCs w:val="24"/>
              </w:rPr>
            </w:pPr>
            <w:r w:rsidRPr="00090EFC">
              <w:rPr>
                <w:rFonts w:ascii="Times New Roman" w:eastAsia="Times New Roman" w:hAnsi="Times New Roman" w:cs="Times New Roman"/>
                <w:color w:val="000000"/>
                <w:sz w:val="24"/>
                <w:szCs w:val="24"/>
                <w:lang w:val="en-US"/>
              </w:rPr>
              <w:t>Post-CCA</w:t>
            </w:r>
          </w:p>
        </w:tc>
        <w:tc>
          <w:tcPr>
            <w:tcW w:w="1247" w:type="pct"/>
            <w:tcBorders>
              <w:top w:val="nil"/>
              <w:left w:val="nil"/>
              <w:bottom w:val="nil"/>
              <w:right w:val="nil"/>
            </w:tcBorders>
          </w:tcPr>
          <w:p w14:paraId="218ED8C0" w14:textId="77777777" w:rsidR="00E60496" w:rsidRPr="00090EFC" w:rsidRDefault="00E60496" w:rsidP="00E60496">
            <w:pPr>
              <w:jc w:val="center"/>
              <w:rPr>
                <w:rFonts w:ascii="Times New Roman" w:hAnsi="Times New Roman" w:cs="Times New Roman"/>
                <w:sz w:val="24"/>
                <w:szCs w:val="24"/>
              </w:rPr>
            </w:pPr>
            <w:r w:rsidRPr="00090EFC">
              <w:rPr>
                <w:rFonts w:ascii="Times New Roman" w:eastAsia="Times New Roman" w:hAnsi="Times New Roman" w:cs="Times New Roman"/>
                <w:color w:val="000000"/>
                <w:sz w:val="24"/>
                <w:szCs w:val="24"/>
                <w:lang w:val="en-US"/>
              </w:rPr>
              <w:t>12.128 (1074)</w:t>
            </w:r>
          </w:p>
        </w:tc>
        <w:tc>
          <w:tcPr>
            <w:tcW w:w="1042" w:type="pct"/>
            <w:tcBorders>
              <w:top w:val="nil"/>
              <w:left w:val="nil"/>
              <w:bottom w:val="nil"/>
            </w:tcBorders>
          </w:tcPr>
          <w:p w14:paraId="001E0D8E" w14:textId="77777777" w:rsidR="00E60496" w:rsidRPr="00090EFC" w:rsidRDefault="00E60496" w:rsidP="00E60496">
            <w:pPr>
              <w:jc w:val="center"/>
              <w:rPr>
                <w:rFonts w:ascii="Times New Roman" w:hAnsi="Times New Roman" w:cs="Times New Roman"/>
                <w:sz w:val="24"/>
                <w:szCs w:val="24"/>
              </w:rPr>
            </w:pPr>
            <w:r w:rsidRPr="00090EFC">
              <w:rPr>
                <w:rFonts w:ascii="Times New Roman" w:eastAsia="Times New Roman" w:hAnsi="Times New Roman" w:cs="Times New Roman"/>
                <w:color w:val="000000"/>
                <w:sz w:val="24"/>
                <w:szCs w:val="24"/>
                <w:lang w:val="en-US"/>
              </w:rPr>
              <w:t>2.565 (1422)</w:t>
            </w:r>
          </w:p>
        </w:tc>
      </w:tr>
      <w:tr w:rsidR="00E60496" w14:paraId="417AD515" w14:textId="77777777" w:rsidTr="00090EFC">
        <w:trPr>
          <w:trHeight w:val="360"/>
        </w:trPr>
        <w:tc>
          <w:tcPr>
            <w:tcW w:w="2711" w:type="pct"/>
            <w:tcBorders>
              <w:top w:val="nil"/>
              <w:bottom w:val="nil"/>
              <w:right w:val="nil"/>
            </w:tcBorders>
          </w:tcPr>
          <w:p w14:paraId="78AD2015" w14:textId="77777777" w:rsidR="00E60496" w:rsidRPr="00090EFC" w:rsidRDefault="00E60496" w:rsidP="0016435F">
            <w:pPr>
              <w:rPr>
                <w:rFonts w:ascii="Times New Roman" w:hAnsi="Times New Roman" w:cs="Times New Roman"/>
                <w:sz w:val="24"/>
                <w:szCs w:val="24"/>
              </w:rPr>
            </w:pPr>
            <w:r w:rsidRPr="00090EFC">
              <w:rPr>
                <w:rFonts w:ascii="Times New Roman" w:eastAsia="Times New Roman" w:hAnsi="Times New Roman" w:cs="Times New Roman"/>
                <w:color w:val="000000"/>
                <w:sz w:val="24"/>
                <w:szCs w:val="24"/>
                <w:lang w:val="en-US"/>
              </w:rPr>
              <w:t>Pre-CCA</w:t>
            </w:r>
          </w:p>
        </w:tc>
        <w:tc>
          <w:tcPr>
            <w:tcW w:w="1247" w:type="pct"/>
            <w:tcBorders>
              <w:top w:val="nil"/>
              <w:left w:val="nil"/>
              <w:bottom w:val="nil"/>
              <w:right w:val="nil"/>
            </w:tcBorders>
          </w:tcPr>
          <w:p w14:paraId="24B4BCC4" w14:textId="77777777" w:rsidR="00E60496" w:rsidRPr="00090EFC" w:rsidRDefault="00E60496" w:rsidP="00E60496">
            <w:pPr>
              <w:jc w:val="center"/>
              <w:rPr>
                <w:rFonts w:ascii="Times New Roman" w:hAnsi="Times New Roman" w:cs="Times New Roman"/>
                <w:sz w:val="24"/>
                <w:szCs w:val="24"/>
              </w:rPr>
            </w:pPr>
            <w:r w:rsidRPr="00090EFC">
              <w:rPr>
                <w:rFonts w:ascii="Times New Roman" w:eastAsia="Times New Roman" w:hAnsi="Times New Roman" w:cs="Times New Roman"/>
                <w:color w:val="000000"/>
                <w:sz w:val="24"/>
                <w:szCs w:val="24"/>
                <w:lang w:val="en-US"/>
              </w:rPr>
              <w:t>12.881 (340)</w:t>
            </w:r>
          </w:p>
        </w:tc>
        <w:tc>
          <w:tcPr>
            <w:tcW w:w="1042" w:type="pct"/>
            <w:tcBorders>
              <w:top w:val="nil"/>
              <w:left w:val="nil"/>
              <w:bottom w:val="nil"/>
            </w:tcBorders>
          </w:tcPr>
          <w:p w14:paraId="44BA7DD9" w14:textId="77777777" w:rsidR="00E60496" w:rsidRPr="00090EFC" w:rsidRDefault="00E60496" w:rsidP="00E60496">
            <w:pPr>
              <w:jc w:val="center"/>
              <w:rPr>
                <w:rFonts w:ascii="Times New Roman" w:hAnsi="Times New Roman" w:cs="Times New Roman"/>
                <w:sz w:val="24"/>
                <w:szCs w:val="24"/>
              </w:rPr>
            </w:pPr>
            <w:r w:rsidRPr="00090EFC">
              <w:rPr>
                <w:rFonts w:ascii="Times New Roman" w:eastAsia="Times New Roman" w:hAnsi="Times New Roman" w:cs="Times New Roman"/>
                <w:color w:val="000000"/>
                <w:sz w:val="24"/>
                <w:szCs w:val="24"/>
                <w:lang w:val="en-US"/>
              </w:rPr>
              <w:t>1.130 (823)</w:t>
            </w:r>
          </w:p>
        </w:tc>
      </w:tr>
      <w:tr w:rsidR="00E60496" w14:paraId="09DE1D2C" w14:textId="77777777" w:rsidTr="00090EFC">
        <w:trPr>
          <w:trHeight w:val="360"/>
        </w:trPr>
        <w:tc>
          <w:tcPr>
            <w:tcW w:w="2711" w:type="pct"/>
            <w:tcBorders>
              <w:top w:val="nil"/>
              <w:right w:val="nil"/>
            </w:tcBorders>
          </w:tcPr>
          <w:p w14:paraId="204D6C02" w14:textId="77777777" w:rsidR="00E60496" w:rsidRPr="00090EFC" w:rsidRDefault="00E60496" w:rsidP="00090EFC">
            <w:pPr>
              <w:rPr>
                <w:rFonts w:ascii="Times New Roman" w:hAnsi="Times New Roman" w:cs="Times New Roman"/>
                <w:sz w:val="24"/>
                <w:szCs w:val="24"/>
              </w:rPr>
            </w:pPr>
            <w:r w:rsidRPr="00090EFC">
              <w:rPr>
                <w:rFonts w:ascii="Times New Roman" w:eastAsia="Times New Roman" w:hAnsi="Times New Roman" w:cs="Times New Roman"/>
                <w:color w:val="000000"/>
                <w:sz w:val="24"/>
                <w:szCs w:val="24"/>
                <w:lang w:val="en-US"/>
              </w:rPr>
              <w:t>Mean difference (</w:t>
            </w:r>
            <w:r w:rsidR="00090EFC">
              <w:rPr>
                <w:rFonts w:ascii="Times New Roman" w:eastAsia="Times New Roman" w:hAnsi="Times New Roman" w:cs="Times New Roman"/>
                <w:color w:val="000000"/>
                <w:sz w:val="24"/>
                <w:szCs w:val="24"/>
                <w:lang w:val="en-US"/>
              </w:rPr>
              <w:t>Post-Pre</w:t>
            </w:r>
            <w:r w:rsidRPr="00090EFC">
              <w:rPr>
                <w:rFonts w:ascii="Times New Roman" w:eastAsia="Times New Roman" w:hAnsi="Times New Roman" w:cs="Times New Roman"/>
                <w:color w:val="000000"/>
                <w:sz w:val="24"/>
                <w:szCs w:val="24"/>
                <w:lang w:val="en-US"/>
              </w:rPr>
              <w:t>)</w:t>
            </w:r>
          </w:p>
        </w:tc>
        <w:tc>
          <w:tcPr>
            <w:tcW w:w="1247" w:type="pct"/>
            <w:tcBorders>
              <w:top w:val="nil"/>
              <w:left w:val="nil"/>
              <w:right w:val="nil"/>
            </w:tcBorders>
          </w:tcPr>
          <w:p w14:paraId="55355959" w14:textId="77777777" w:rsidR="00E60496" w:rsidRPr="00090EFC" w:rsidRDefault="00E60496" w:rsidP="00E60496">
            <w:pPr>
              <w:jc w:val="center"/>
              <w:rPr>
                <w:rFonts w:ascii="Times New Roman" w:hAnsi="Times New Roman" w:cs="Times New Roman"/>
                <w:sz w:val="24"/>
                <w:szCs w:val="24"/>
              </w:rPr>
            </w:pPr>
            <w:r w:rsidRPr="00090EFC">
              <w:rPr>
                <w:rFonts w:ascii="Times New Roman" w:eastAsia="Times New Roman" w:hAnsi="Times New Roman" w:cs="Times New Roman"/>
                <w:color w:val="000000"/>
                <w:sz w:val="24"/>
                <w:szCs w:val="24"/>
                <w:lang w:val="en-US"/>
              </w:rPr>
              <w:t>-0.753***</w:t>
            </w:r>
          </w:p>
        </w:tc>
        <w:tc>
          <w:tcPr>
            <w:tcW w:w="1042" w:type="pct"/>
            <w:tcBorders>
              <w:top w:val="nil"/>
              <w:left w:val="nil"/>
            </w:tcBorders>
          </w:tcPr>
          <w:p w14:paraId="7AB19640" w14:textId="77777777" w:rsidR="00E60496" w:rsidRPr="00090EFC" w:rsidRDefault="00E60496" w:rsidP="00E60496">
            <w:pPr>
              <w:jc w:val="center"/>
              <w:rPr>
                <w:rFonts w:ascii="Times New Roman" w:hAnsi="Times New Roman" w:cs="Times New Roman"/>
                <w:sz w:val="24"/>
                <w:szCs w:val="24"/>
              </w:rPr>
            </w:pPr>
            <w:r w:rsidRPr="00090EFC">
              <w:rPr>
                <w:rFonts w:ascii="Times New Roman" w:eastAsia="Times New Roman" w:hAnsi="Times New Roman" w:cs="Times New Roman"/>
                <w:color w:val="000000"/>
                <w:sz w:val="24"/>
                <w:szCs w:val="24"/>
                <w:lang w:val="en-US"/>
              </w:rPr>
              <w:t>1.435***</w:t>
            </w:r>
          </w:p>
        </w:tc>
      </w:tr>
      <w:tr w:rsidR="00090EFC" w14:paraId="2EF0636F" w14:textId="77777777" w:rsidTr="00090EFC">
        <w:trPr>
          <w:trHeight w:val="360"/>
        </w:trPr>
        <w:tc>
          <w:tcPr>
            <w:tcW w:w="5000" w:type="pct"/>
            <w:gridSpan w:val="3"/>
            <w:tcBorders>
              <w:bottom w:val="nil"/>
            </w:tcBorders>
          </w:tcPr>
          <w:p w14:paraId="2911E7A5" w14:textId="77777777" w:rsidR="00090EFC" w:rsidRPr="00090EFC" w:rsidRDefault="00090EFC" w:rsidP="00090EFC">
            <w:pPr>
              <w:rPr>
                <w:rFonts w:ascii="Times New Roman" w:eastAsia="Times New Roman" w:hAnsi="Times New Roman" w:cs="Times New Roman"/>
                <w:b/>
                <w:color w:val="000000"/>
                <w:sz w:val="24"/>
                <w:szCs w:val="24"/>
                <w:lang w:val="en-US"/>
              </w:rPr>
            </w:pPr>
            <w:r w:rsidRPr="00090EFC">
              <w:rPr>
                <w:rFonts w:ascii="Times New Roman" w:eastAsia="Times New Roman" w:hAnsi="Times New Roman" w:cs="Times New Roman"/>
                <w:b/>
                <w:color w:val="000000"/>
                <w:sz w:val="24"/>
                <w:szCs w:val="24"/>
                <w:lang w:val="en-US"/>
              </w:rPr>
              <w:t>Panel B:</w:t>
            </w:r>
          </w:p>
        </w:tc>
      </w:tr>
      <w:tr w:rsidR="00E60496" w14:paraId="3F5B364C" w14:textId="77777777" w:rsidTr="00090EFC">
        <w:trPr>
          <w:trHeight w:val="360"/>
        </w:trPr>
        <w:tc>
          <w:tcPr>
            <w:tcW w:w="2711" w:type="pct"/>
            <w:tcBorders>
              <w:top w:val="nil"/>
              <w:bottom w:val="nil"/>
              <w:right w:val="nil"/>
            </w:tcBorders>
          </w:tcPr>
          <w:p w14:paraId="57235F88" w14:textId="77777777" w:rsidR="00E60496" w:rsidRPr="00090EFC" w:rsidRDefault="00E60496" w:rsidP="0016435F">
            <w:pPr>
              <w:rPr>
                <w:rFonts w:ascii="Times New Roman" w:hAnsi="Times New Roman" w:cs="Times New Roman"/>
                <w:sz w:val="24"/>
                <w:szCs w:val="24"/>
              </w:rPr>
            </w:pPr>
            <w:r w:rsidRPr="00090EFC">
              <w:rPr>
                <w:rFonts w:ascii="Times New Roman" w:eastAsia="Times New Roman" w:hAnsi="Times New Roman" w:cs="Times New Roman"/>
                <w:color w:val="000000"/>
                <w:sz w:val="24"/>
                <w:szCs w:val="24"/>
                <w:lang w:val="en-US"/>
              </w:rPr>
              <w:lastRenderedPageBreak/>
              <w:t>Polluting industries (Post-CCA)</w:t>
            </w:r>
          </w:p>
        </w:tc>
        <w:tc>
          <w:tcPr>
            <w:tcW w:w="1247" w:type="pct"/>
            <w:tcBorders>
              <w:top w:val="nil"/>
              <w:left w:val="nil"/>
              <w:bottom w:val="nil"/>
              <w:right w:val="nil"/>
            </w:tcBorders>
          </w:tcPr>
          <w:p w14:paraId="0314C5D1" w14:textId="77777777" w:rsidR="00E60496" w:rsidRPr="00090EFC" w:rsidRDefault="00E60496" w:rsidP="00E60496">
            <w:pPr>
              <w:jc w:val="center"/>
              <w:rPr>
                <w:rFonts w:ascii="Times New Roman" w:hAnsi="Times New Roman" w:cs="Times New Roman"/>
                <w:sz w:val="24"/>
                <w:szCs w:val="24"/>
              </w:rPr>
            </w:pPr>
            <w:r w:rsidRPr="00090EFC">
              <w:rPr>
                <w:rFonts w:ascii="Times New Roman" w:eastAsia="Times New Roman" w:hAnsi="Times New Roman" w:cs="Times New Roman"/>
                <w:color w:val="000000"/>
                <w:sz w:val="24"/>
                <w:szCs w:val="24"/>
                <w:lang w:val="en-US"/>
              </w:rPr>
              <w:t>12.866 (437)</w:t>
            </w:r>
          </w:p>
        </w:tc>
        <w:tc>
          <w:tcPr>
            <w:tcW w:w="1042" w:type="pct"/>
            <w:tcBorders>
              <w:top w:val="nil"/>
              <w:left w:val="nil"/>
              <w:bottom w:val="nil"/>
            </w:tcBorders>
          </w:tcPr>
          <w:p w14:paraId="4EF59B7F" w14:textId="77777777" w:rsidR="00E60496" w:rsidRPr="00090EFC" w:rsidRDefault="00E60496" w:rsidP="00E60496">
            <w:pPr>
              <w:jc w:val="center"/>
              <w:rPr>
                <w:rFonts w:ascii="Times New Roman" w:hAnsi="Times New Roman" w:cs="Times New Roman"/>
                <w:sz w:val="24"/>
                <w:szCs w:val="24"/>
              </w:rPr>
            </w:pPr>
            <w:r w:rsidRPr="00090EFC">
              <w:rPr>
                <w:rFonts w:ascii="Times New Roman" w:eastAsia="Times New Roman" w:hAnsi="Times New Roman" w:cs="Times New Roman"/>
                <w:color w:val="000000"/>
                <w:sz w:val="24"/>
                <w:szCs w:val="24"/>
                <w:lang w:val="en-US"/>
              </w:rPr>
              <w:t>2.677 (541)</w:t>
            </w:r>
          </w:p>
        </w:tc>
      </w:tr>
      <w:tr w:rsidR="00E60496" w14:paraId="61DBCA65" w14:textId="77777777" w:rsidTr="00090EFC">
        <w:trPr>
          <w:trHeight w:val="360"/>
        </w:trPr>
        <w:tc>
          <w:tcPr>
            <w:tcW w:w="2711" w:type="pct"/>
            <w:tcBorders>
              <w:top w:val="nil"/>
              <w:bottom w:val="nil"/>
              <w:right w:val="nil"/>
            </w:tcBorders>
          </w:tcPr>
          <w:p w14:paraId="293EE651" w14:textId="77777777" w:rsidR="00E60496" w:rsidRPr="00063000" w:rsidRDefault="00E60496" w:rsidP="0016435F">
            <w:pPr>
              <w:rPr>
                <w:rFonts w:ascii="Times New Roman" w:hAnsi="Times New Roman" w:cs="Times New Roman"/>
                <w:sz w:val="24"/>
                <w:szCs w:val="24"/>
                <w:lang w:val="fr-FR"/>
              </w:rPr>
            </w:pPr>
            <w:r w:rsidRPr="00063000">
              <w:rPr>
                <w:rFonts w:ascii="Times New Roman" w:eastAsia="Times New Roman" w:hAnsi="Times New Roman" w:cs="Times New Roman"/>
                <w:color w:val="000000"/>
                <w:sz w:val="24"/>
                <w:szCs w:val="24"/>
                <w:lang w:val="fr-FR"/>
              </w:rPr>
              <w:t>Non-Polluting industries (Post-CCA)</w:t>
            </w:r>
          </w:p>
        </w:tc>
        <w:tc>
          <w:tcPr>
            <w:tcW w:w="1247" w:type="pct"/>
            <w:tcBorders>
              <w:top w:val="nil"/>
              <w:left w:val="nil"/>
              <w:bottom w:val="nil"/>
              <w:right w:val="nil"/>
            </w:tcBorders>
          </w:tcPr>
          <w:p w14:paraId="6D1669B2" w14:textId="77777777" w:rsidR="00E60496" w:rsidRPr="00090EFC" w:rsidRDefault="00E60496" w:rsidP="00E60496">
            <w:pPr>
              <w:jc w:val="center"/>
              <w:rPr>
                <w:rFonts w:ascii="Times New Roman" w:hAnsi="Times New Roman" w:cs="Times New Roman"/>
                <w:sz w:val="24"/>
                <w:szCs w:val="24"/>
              </w:rPr>
            </w:pPr>
            <w:r w:rsidRPr="00090EFC">
              <w:rPr>
                <w:rFonts w:ascii="Times New Roman" w:eastAsia="Times New Roman" w:hAnsi="Times New Roman" w:cs="Times New Roman"/>
                <w:color w:val="000000"/>
                <w:sz w:val="24"/>
                <w:szCs w:val="24"/>
                <w:lang w:val="en-US"/>
              </w:rPr>
              <w:t>11.622 (637)</w:t>
            </w:r>
          </w:p>
        </w:tc>
        <w:tc>
          <w:tcPr>
            <w:tcW w:w="1042" w:type="pct"/>
            <w:tcBorders>
              <w:top w:val="nil"/>
              <w:left w:val="nil"/>
              <w:bottom w:val="nil"/>
            </w:tcBorders>
          </w:tcPr>
          <w:p w14:paraId="0FE1BB51" w14:textId="77777777" w:rsidR="00E60496" w:rsidRPr="00090EFC" w:rsidRDefault="00E60496" w:rsidP="00E60496">
            <w:pPr>
              <w:jc w:val="center"/>
              <w:rPr>
                <w:rFonts w:ascii="Times New Roman" w:hAnsi="Times New Roman" w:cs="Times New Roman"/>
                <w:sz w:val="24"/>
                <w:szCs w:val="24"/>
              </w:rPr>
            </w:pPr>
            <w:r w:rsidRPr="00090EFC">
              <w:rPr>
                <w:rFonts w:ascii="Times New Roman" w:eastAsia="Times New Roman" w:hAnsi="Times New Roman" w:cs="Times New Roman"/>
                <w:color w:val="000000"/>
                <w:sz w:val="24"/>
                <w:szCs w:val="24"/>
                <w:lang w:val="en-US"/>
              </w:rPr>
              <w:t>2.496 (881)</w:t>
            </w:r>
          </w:p>
        </w:tc>
      </w:tr>
      <w:tr w:rsidR="00E60496" w14:paraId="57734B6D" w14:textId="77777777" w:rsidTr="00090EFC">
        <w:trPr>
          <w:trHeight w:val="360"/>
        </w:trPr>
        <w:tc>
          <w:tcPr>
            <w:tcW w:w="2711" w:type="pct"/>
            <w:tcBorders>
              <w:top w:val="nil"/>
              <w:right w:val="nil"/>
            </w:tcBorders>
          </w:tcPr>
          <w:p w14:paraId="47F078D5" w14:textId="77777777" w:rsidR="00E60496" w:rsidRPr="00090EFC" w:rsidRDefault="00E60496" w:rsidP="00090EFC">
            <w:pPr>
              <w:rPr>
                <w:rFonts w:ascii="Times New Roman" w:hAnsi="Times New Roman" w:cs="Times New Roman"/>
                <w:sz w:val="24"/>
                <w:szCs w:val="24"/>
              </w:rPr>
            </w:pPr>
            <w:r w:rsidRPr="00090EFC">
              <w:rPr>
                <w:rFonts w:ascii="Times New Roman" w:eastAsia="Times New Roman" w:hAnsi="Times New Roman" w:cs="Times New Roman"/>
                <w:color w:val="000000"/>
                <w:sz w:val="24"/>
                <w:szCs w:val="24"/>
                <w:lang w:val="en-US"/>
              </w:rPr>
              <w:t>Mean difference (</w:t>
            </w:r>
            <w:r w:rsidR="00090EFC">
              <w:rPr>
                <w:rFonts w:ascii="Times New Roman" w:eastAsia="Times New Roman" w:hAnsi="Times New Roman" w:cs="Times New Roman"/>
                <w:color w:val="000000"/>
                <w:sz w:val="24"/>
                <w:szCs w:val="24"/>
                <w:lang w:val="en-US"/>
              </w:rPr>
              <w:t>Polluting-Non-polluting</w:t>
            </w:r>
            <w:r w:rsidRPr="00090EFC">
              <w:rPr>
                <w:rFonts w:ascii="Times New Roman" w:eastAsia="Times New Roman" w:hAnsi="Times New Roman" w:cs="Times New Roman"/>
                <w:color w:val="000000"/>
                <w:sz w:val="24"/>
                <w:szCs w:val="24"/>
                <w:lang w:val="en-US"/>
              </w:rPr>
              <w:t>)</w:t>
            </w:r>
          </w:p>
        </w:tc>
        <w:tc>
          <w:tcPr>
            <w:tcW w:w="1247" w:type="pct"/>
            <w:tcBorders>
              <w:top w:val="nil"/>
              <w:left w:val="nil"/>
              <w:right w:val="nil"/>
            </w:tcBorders>
          </w:tcPr>
          <w:p w14:paraId="6F584BAF" w14:textId="77777777" w:rsidR="00E60496" w:rsidRPr="00090EFC" w:rsidRDefault="00E60496" w:rsidP="00E60496">
            <w:pPr>
              <w:jc w:val="center"/>
              <w:rPr>
                <w:rFonts w:ascii="Times New Roman" w:hAnsi="Times New Roman" w:cs="Times New Roman"/>
                <w:sz w:val="24"/>
                <w:szCs w:val="24"/>
              </w:rPr>
            </w:pPr>
            <w:r w:rsidRPr="00090EFC">
              <w:rPr>
                <w:rFonts w:ascii="Times New Roman" w:eastAsia="Times New Roman" w:hAnsi="Times New Roman" w:cs="Times New Roman"/>
                <w:color w:val="000000"/>
                <w:sz w:val="24"/>
                <w:szCs w:val="24"/>
                <w:lang w:val="en-US"/>
              </w:rPr>
              <w:t>1.243***</w:t>
            </w:r>
          </w:p>
        </w:tc>
        <w:tc>
          <w:tcPr>
            <w:tcW w:w="1042" w:type="pct"/>
            <w:tcBorders>
              <w:top w:val="nil"/>
              <w:left w:val="nil"/>
            </w:tcBorders>
          </w:tcPr>
          <w:p w14:paraId="295C5D48" w14:textId="77777777" w:rsidR="00E60496" w:rsidRPr="00090EFC" w:rsidRDefault="00E60496" w:rsidP="00E60496">
            <w:pPr>
              <w:jc w:val="center"/>
              <w:rPr>
                <w:rFonts w:ascii="Times New Roman" w:hAnsi="Times New Roman" w:cs="Times New Roman"/>
                <w:sz w:val="24"/>
                <w:szCs w:val="24"/>
              </w:rPr>
            </w:pPr>
            <w:r w:rsidRPr="00090EFC">
              <w:rPr>
                <w:rFonts w:ascii="Times New Roman" w:eastAsia="Times New Roman" w:hAnsi="Times New Roman" w:cs="Times New Roman"/>
                <w:color w:val="000000"/>
                <w:sz w:val="24"/>
                <w:szCs w:val="24"/>
                <w:lang w:val="en-US"/>
              </w:rPr>
              <w:t>0.180*</w:t>
            </w:r>
          </w:p>
        </w:tc>
      </w:tr>
    </w:tbl>
    <w:p w14:paraId="7D217E3E" w14:textId="77777777" w:rsidR="00C300C6" w:rsidRDefault="001A1669">
      <w:pPr>
        <w:jc w:val="both"/>
        <w:rPr>
          <w:rFonts w:ascii="Times New Roman" w:hAnsi="Times New Roman" w:cs="Times New Roman"/>
          <w:sz w:val="20"/>
          <w:szCs w:val="20"/>
        </w:rPr>
      </w:pPr>
      <w:r w:rsidRPr="005F2192">
        <w:rPr>
          <w:rFonts w:ascii="Times New Roman" w:hAnsi="Times New Roman" w:cs="Times New Roman"/>
          <w:sz w:val="20"/>
          <w:szCs w:val="20"/>
        </w:rPr>
        <w:t>Notes: ***</w:t>
      </w:r>
      <w:r w:rsidR="00277D45">
        <w:rPr>
          <w:rFonts w:ascii="Times New Roman" w:hAnsi="Times New Roman" w:cs="Times New Roman"/>
          <w:sz w:val="20"/>
          <w:szCs w:val="20"/>
        </w:rPr>
        <w:t>, * indicate</w:t>
      </w:r>
      <w:r w:rsidRPr="005F2192">
        <w:rPr>
          <w:rFonts w:ascii="Times New Roman" w:hAnsi="Times New Roman" w:cs="Times New Roman"/>
          <w:sz w:val="20"/>
          <w:szCs w:val="20"/>
        </w:rPr>
        <w:t xml:space="preserve"> statistical significance at 1</w:t>
      </w:r>
      <w:r w:rsidR="00277D45">
        <w:rPr>
          <w:rFonts w:ascii="Times New Roman" w:hAnsi="Times New Roman" w:cs="Times New Roman"/>
          <w:sz w:val="20"/>
          <w:szCs w:val="20"/>
        </w:rPr>
        <w:t>% and 10% levels, respectively</w:t>
      </w:r>
      <w:r w:rsidR="0088175E" w:rsidRPr="005F2192">
        <w:rPr>
          <w:rFonts w:ascii="Times New Roman" w:hAnsi="Times New Roman" w:cs="Times New Roman"/>
          <w:sz w:val="20"/>
          <w:szCs w:val="20"/>
        </w:rPr>
        <w:t>. F</w:t>
      </w:r>
      <w:r w:rsidRPr="005F2192">
        <w:rPr>
          <w:rFonts w:ascii="Times New Roman" w:hAnsi="Times New Roman" w:cs="Times New Roman"/>
          <w:sz w:val="20"/>
          <w:szCs w:val="20"/>
        </w:rPr>
        <w:t xml:space="preserve">igures in parentheses are </w:t>
      </w:r>
      <w:r w:rsidR="005C614F" w:rsidRPr="005F2192">
        <w:rPr>
          <w:rFonts w:ascii="Times New Roman" w:hAnsi="Times New Roman" w:cs="Times New Roman"/>
          <w:sz w:val="20"/>
          <w:szCs w:val="20"/>
        </w:rPr>
        <w:t>sample size in each category</w:t>
      </w:r>
      <w:r w:rsidRPr="005F2192">
        <w:rPr>
          <w:rFonts w:ascii="Times New Roman" w:hAnsi="Times New Roman" w:cs="Times New Roman"/>
          <w:sz w:val="20"/>
          <w:szCs w:val="20"/>
        </w:rPr>
        <w:t>.</w:t>
      </w:r>
    </w:p>
    <w:p w14:paraId="3D3639D1" w14:textId="77777777" w:rsidR="00D714B6" w:rsidRDefault="00D714B6" w:rsidP="000C5DFE">
      <w:pPr>
        <w:rPr>
          <w:rFonts w:ascii="Times New Roman" w:hAnsi="Times New Roman" w:cs="Times New Roman"/>
          <w:b/>
          <w:sz w:val="24"/>
          <w:szCs w:val="24"/>
        </w:rPr>
        <w:sectPr w:rsidR="00D714B6" w:rsidSect="005D5171">
          <w:footerReference w:type="default" r:id="rId32"/>
          <w:endnotePr>
            <w:numFmt w:val="decimal"/>
          </w:endnotePr>
          <w:pgSz w:w="12240" w:h="15840"/>
          <w:pgMar w:top="1440" w:right="1440" w:bottom="1440" w:left="1440" w:header="720" w:footer="720" w:gutter="0"/>
          <w:cols w:space="720"/>
          <w:docGrid w:linePitch="360"/>
        </w:sectPr>
      </w:pPr>
    </w:p>
    <w:p w14:paraId="2F2ED0B6" w14:textId="4F43D218" w:rsidR="001A2073" w:rsidRDefault="001A2073" w:rsidP="003B6444">
      <w:pPr>
        <w:spacing w:after="0" w:line="240" w:lineRule="auto"/>
        <w:rPr>
          <w:rFonts w:ascii="Times New Roman" w:hAnsi="Times New Roman" w:cs="Times New Roman"/>
          <w:sz w:val="24"/>
          <w:szCs w:val="24"/>
        </w:rPr>
      </w:pPr>
      <w:r w:rsidRPr="005F2192">
        <w:rPr>
          <w:rFonts w:ascii="Times New Roman" w:hAnsi="Times New Roman" w:cs="Times New Roman"/>
          <w:b/>
          <w:sz w:val="24"/>
          <w:szCs w:val="24"/>
        </w:rPr>
        <w:lastRenderedPageBreak/>
        <w:t xml:space="preserve">Table </w:t>
      </w:r>
      <w:r>
        <w:rPr>
          <w:rFonts w:ascii="Times New Roman" w:hAnsi="Times New Roman" w:cs="Times New Roman"/>
          <w:b/>
          <w:sz w:val="24"/>
          <w:szCs w:val="24"/>
        </w:rPr>
        <w:t>5</w:t>
      </w:r>
      <w:r w:rsidRPr="005F2192">
        <w:rPr>
          <w:rFonts w:ascii="Times New Roman" w:hAnsi="Times New Roman" w:cs="Times New Roman"/>
          <w:sz w:val="24"/>
          <w:szCs w:val="24"/>
        </w:rPr>
        <w:t xml:space="preserve"> Correlation matrix</w:t>
      </w:r>
    </w:p>
    <w:tbl>
      <w:tblPr>
        <w:tblW w:w="5000" w:type="pct"/>
        <w:tblLook w:val="04A0" w:firstRow="1" w:lastRow="0" w:firstColumn="1" w:lastColumn="0" w:noHBand="0" w:noVBand="1"/>
      </w:tblPr>
      <w:tblGrid>
        <w:gridCol w:w="1362"/>
        <w:gridCol w:w="610"/>
        <w:gridCol w:w="616"/>
        <w:gridCol w:w="616"/>
        <w:gridCol w:w="616"/>
        <w:gridCol w:w="616"/>
        <w:gridCol w:w="616"/>
        <w:gridCol w:w="616"/>
        <w:gridCol w:w="616"/>
        <w:gridCol w:w="616"/>
        <w:gridCol w:w="616"/>
        <w:gridCol w:w="616"/>
        <w:gridCol w:w="616"/>
        <w:gridCol w:w="612"/>
      </w:tblGrid>
      <w:tr w:rsidR="00C90AC3" w:rsidRPr="00D21B0F" w14:paraId="153A3E8F" w14:textId="77777777" w:rsidTr="00792BC3">
        <w:trPr>
          <w:trHeight w:val="432"/>
        </w:trPr>
        <w:tc>
          <w:tcPr>
            <w:tcW w:w="727" w:type="pct"/>
            <w:tcBorders>
              <w:top w:val="single" w:sz="4" w:space="0" w:color="auto"/>
              <w:left w:val="nil"/>
              <w:bottom w:val="single" w:sz="4" w:space="0" w:color="auto"/>
              <w:right w:val="nil"/>
            </w:tcBorders>
            <w:shd w:val="clear" w:color="auto" w:fill="auto"/>
            <w:noWrap/>
            <w:vAlign w:val="center"/>
            <w:hideMark/>
          </w:tcPr>
          <w:p w14:paraId="5FB2FE0C" w14:textId="77777777" w:rsidR="00C90AC3" w:rsidRPr="00D21B0F" w:rsidRDefault="00C90AC3" w:rsidP="00803726">
            <w:pPr>
              <w:spacing w:after="0" w:line="240" w:lineRule="auto"/>
              <w:rPr>
                <w:rFonts w:ascii="Times New Roman" w:eastAsia="Times New Roman" w:hAnsi="Times New Roman" w:cs="Times New Roman"/>
                <w:color w:val="000000"/>
                <w:sz w:val="18"/>
                <w:szCs w:val="18"/>
                <w:lang w:val="en-US"/>
              </w:rPr>
            </w:pPr>
            <w:r w:rsidRPr="005F2192">
              <w:rPr>
                <w:rFonts w:ascii="Times New Roman" w:hAnsi="Times New Roman" w:cs="Times New Roman"/>
                <w:sz w:val="20"/>
                <w:szCs w:val="20"/>
              </w:rPr>
              <w:t>Variables</w:t>
            </w:r>
          </w:p>
        </w:tc>
        <w:tc>
          <w:tcPr>
            <w:tcW w:w="326" w:type="pct"/>
            <w:tcBorders>
              <w:top w:val="single" w:sz="4" w:space="0" w:color="auto"/>
              <w:left w:val="nil"/>
              <w:bottom w:val="single" w:sz="4" w:space="0" w:color="auto"/>
              <w:right w:val="nil"/>
            </w:tcBorders>
            <w:shd w:val="clear" w:color="auto" w:fill="auto"/>
            <w:noWrap/>
            <w:vAlign w:val="center"/>
            <w:hideMark/>
          </w:tcPr>
          <w:p w14:paraId="70C8ED8B"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1</w:t>
            </w:r>
          </w:p>
        </w:tc>
        <w:tc>
          <w:tcPr>
            <w:tcW w:w="329" w:type="pct"/>
            <w:tcBorders>
              <w:top w:val="single" w:sz="4" w:space="0" w:color="auto"/>
              <w:left w:val="nil"/>
              <w:bottom w:val="single" w:sz="4" w:space="0" w:color="auto"/>
              <w:right w:val="nil"/>
            </w:tcBorders>
            <w:shd w:val="clear" w:color="auto" w:fill="auto"/>
            <w:noWrap/>
            <w:vAlign w:val="center"/>
            <w:hideMark/>
          </w:tcPr>
          <w:p w14:paraId="674DEFDF"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2</w:t>
            </w:r>
          </w:p>
        </w:tc>
        <w:tc>
          <w:tcPr>
            <w:tcW w:w="329" w:type="pct"/>
            <w:tcBorders>
              <w:top w:val="single" w:sz="4" w:space="0" w:color="auto"/>
              <w:left w:val="nil"/>
              <w:bottom w:val="single" w:sz="4" w:space="0" w:color="auto"/>
              <w:right w:val="nil"/>
            </w:tcBorders>
            <w:shd w:val="clear" w:color="auto" w:fill="auto"/>
            <w:noWrap/>
            <w:vAlign w:val="center"/>
            <w:hideMark/>
          </w:tcPr>
          <w:p w14:paraId="33F819F3"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3</w:t>
            </w:r>
          </w:p>
        </w:tc>
        <w:tc>
          <w:tcPr>
            <w:tcW w:w="329" w:type="pct"/>
            <w:tcBorders>
              <w:top w:val="single" w:sz="4" w:space="0" w:color="auto"/>
              <w:left w:val="nil"/>
              <w:bottom w:val="single" w:sz="4" w:space="0" w:color="auto"/>
              <w:right w:val="nil"/>
            </w:tcBorders>
            <w:shd w:val="clear" w:color="auto" w:fill="auto"/>
            <w:noWrap/>
            <w:vAlign w:val="center"/>
            <w:hideMark/>
          </w:tcPr>
          <w:p w14:paraId="5008543F"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4</w:t>
            </w:r>
          </w:p>
        </w:tc>
        <w:tc>
          <w:tcPr>
            <w:tcW w:w="329" w:type="pct"/>
            <w:tcBorders>
              <w:top w:val="single" w:sz="4" w:space="0" w:color="auto"/>
              <w:left w:val="nil"/>
              <w:bottom w:val="single" w:sz="4" w:space="0" w:color="auto"/>
              <w:right w:val="nil"/>
            </w:tcBorders>
            <w:shd w:val="clear" w:color="auto" w:fill="auto"/>
            <w:noWrap/>
            <w:vAlign w:val="center"/>
            <w:hideMark/>
          </w:tcPr>
          <w:p w14:paraId="6A94CDF9"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5</w:t>
            </w:r>
          </w:p>
        </w:tc>
        <w:tc>
          <w:tcPr>
            <w:tcW w:w="329" w:type="pct"/>
            <w:tcBorders>
              <w:top w:val="single" w:sz="4" w:space="0" w:color="auto"/>
              <w:left w:val="nil"/>
              <w:bottom w:val="single" w:sz="4" w:space="0" w:color="auto"/>
              <w:right w:val="nil"/>
            </w:tcBorders>
            <w:shd w:val="clear" w:color="auto" w:fill="auto"/>
            <w:noWrap/>
            <w:vAlign w:val="center"/>
            <w:hideMark/>
          </w:tcPr>
          <w:p w14:paraId="69AEC888"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6</w:t>
            </w:r>
          </w:p>
        </w:tc>
        <w:tc>
          <w:tcPr>
            <w:tcW w:w="329" w:type="pct"/>
            <w:tcBorders>
              <w:top w:val="single" w:sz="4" w:space="0" w:color="auto"/>
              <w:left w:val="nil"/>
              <w:bottom w:val="single" w:sz="4" w:space="0" w:color="auto"/>
              <w:right w:val="nil"/>
            </w:tcBorders>
            <w:shd w:val="clear" w:color="auto" w:fill="auto"/>
            <w:noWrap/>
            <w:vAlign w:val="center"/>
            <w:hideMark/>
          </w:tcPr>
          <w:p w14:paraId="71500C01"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7</w:t>
            </w:r>
          </w:p>
        </w:tc>
        <w:tc>
          <w:tcPr>
            <w:tcW w:w="329" w:type="pct"/>
            <w:tcBorders>
              <w:top w:val="single" w:sz="4" w:space="0" w:color="auto"/>
              <w:left w:val="nil"/>
              <w:bottom w:val="single" w:sz="4" w:space="0" w:color="auto"/>
              <w:right w:val="nil"/>
            </w:tcBorders>
            <w:shd w:val="clear" w:color="auto" w:fill="auto"/>
            <w:noWrap/>
            <w:vAlign w:val="center"/>
            <w:hideMark/>
          </w:tcPr>
          <w:p w14:paraId="26E97335"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8</w:t>
            </w:r>
          </w:p>
        </w:tc>
        <w:tc>
          <w:tcPr>
            <w:tcW w:w="329" w:type="pct"/>
            <w:tcBorders>
              <w:top w:val="single" w:sz="4" w:space="0" w:color="auto"/>
              <w:left w:val="nil"/>
              <w:bottom w:val="single" w:sz="4" w:space="0" w:color="auto"/>
              <w:right w:val="nil"/>
            </w:tcBorders>
            <w:shd w:val="clear" w:color="auto" w:fill="auto"/>
            <w:noWrap/>
            <w:vAlign w:val="center"/>
            <w:hideMark/>
          </w:tcPr>
          <w:p w14:paraId="64F58102"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9</w:t>
            </w:r>
          </w:p>
        </w:tc>
        <w:tc>
          <w:tcPr>
            <w:tcW w:w="329" w:type="pct"/>
            <w:tcBorders>
              <w:top w:val="single" w:sz="4" w:space="0" w:color="auto"/>
              <w:left w:val="nil"/>
              <w:bottom w:val="single" w:sz="4" w:space="0" w:color="auto"/>
              <w:right w:val="nil"/>
            </w:tcBorders>
            <w:shd w:val="clear" w:color="auto" w:fill="auto"/>
            <w:noWrap/>
            <w:vAlign w:val="center"/>
            <w:hideMark/>
          </w:tcPr>
          <w:p w14:paraId="396311E1"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10</w:t>
            </w:r>
          </w:p>
        </w:tc>
        <w:tc>
          <w:tcPr>
            <w:tcW w:w="329" w:type="pct"/>
            <w:tcBorders>
              <w:top w:val="single" w:sz="4" w:space="0" w:color="auto"/>
              <w:left w:val="nil"/>
              <w:bottom w:val="single" w:sz="4" w:space="0" w:color="auto"/>
              <w:right w:val="nil"/>
            </w:tcBorders>
            <w:shd w:val="clear" w:color="auto" w:fill="auto"/>
            <w:noWrap/>
            <w:vAlign w:val="center"/>
            <w:hideMark/>
          </w:tcPr>
          <w:p w14:paraId="28B1AAA6"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11</w:t>
            </w:r>
          </w:p>
        </w:tc>
        <w:tc>
          <w:tcPr>
            <w:tcW w:w="329" w:type="pct"/>
            <w:tcBorders>
              <w:top w:val="single" w:sz="4" w:space="0" w:color="auto"/>
              <w:left w:val="nil"/>
              <w:bottom w:val="single" w:sz="4" w:space="0" w:color="auto"/>
              <w:right w:val="nil"/>
            </w:tcBorders>
            <w:shd w:val="clear" w:color="auto" w:fill="auto"/>
            <w:noWrap/>
            <w:vAlign w:val="center"/>
            <w:hideMark/>
          </w:tcPr>
          <w:p w14:paraId="42EC67D7"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12</w:t>
            </w:r>
          </w:p>
        </w:tc>
        <w:tc>
          <w:tcPr>
            <w:tcW w:w="327" w:type="pct"/>
            <w:tcBorders>
              <w:top w:val="single" w:sz="4" w:space="0" w:color="auto"/>
              <w:left w:val="nil"/>
              <w:bottom w:val="single" w:sz="4" w:space="0" w:color="auto"/>
              <w:right w:val="nil"/>
            </w:tcBorders>
            <w:shd w:val="clear" w:color="auto" w:fill="auto"/>
            <w:noWrap/>
            <w:vAlign w:val="center"/>
            <w:hideMark/>
          </w:tcPr>
          <w:p w14:paraId="02586C2A"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13</w:t>
            </w:r>
          </w:p>
        </w:tc>
      </w:tr>
      <w:tr w:rsidR="00C90AC3" w:rsidRPr="00D21B0F" w14:paraId="4069FF69" w14:textId="77777777" w:rsidTr="00792BC3">
        <w:trPr>
          <w:trHeight w:val="432"/>
        </w:trPr>
        <w:tc>
          <w:tcPr>
            <w:tcW w:w="727" w:type="pct"/>
            <w:tcBorders>
              <w:top w:val="single" w:sz="4" w:space="0" w:color="auto"/>
              <w:left w:val="nil"/>
              <w:bottom w:val="nil"/>
              <w:right w:val="nil"/>
            </w:tcBorders>
            <w:shd w:val="clear" w:color="auto" w:fill="auto"/>
            <w:noWrap/>
            <w:vAlign w:val="center"/>
            <w:hideMark/>
          </w:tcPr>
          <w:p w14:paraId="767EA95F" w14:textId="1BB7C924" w:rsidR="00C90AC3" w:rsidRPr="00D21B0F" w:rsidRDefault="00C90AC3" w:rsidP="00803726">
            <w:pPr>
              <w:spacing w:after="0" w:line="240" w:lineRule="auto"/>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rPr>
              <w:t>CRI</w:t>
            </w:r>
            <w:r w:rsidR="0073560E">
              <w:rPr>
                <w:rFonts w:ascii="Times New Roman" w:eastAsia="Times New Roman" w:hAnsi="Times New Roman" w:cs="Times New Roman"/>
                <w:color w:val="000000"/>
                <w:sz w:val="18"/>
                <w:szCs w:val="18"/>
              </w:rPr>
              <w:t>s</w:t>
            </w:r>
            <w:r w:rsidRPr="00D21B0F">
              <w:rPr>
                <w:rFonts w:ascii="Times New Roman" w:eastAsia="Times New Roman" w:hAnsi="Times New Roman" w:cs="Times New Roman"/>
                <w:color w:val="000000"/>
                <w:sz w:val="18"/>
                <w:szCs w:val="18"/>
              </w:rPr>
              <w:t xml:space="preserve"> (1)</w:t>
            </w:r>
          </w:p>
        </w:tc>
        <w:tc>
          <w:tcPr>
            <w:tcW w:w="326" w:type="pct"/>
            <w:tcBorders>
              <w:top w:val="single" w:sz="4" w:space="0" w:color="auto"/>
              <w:left w:val="nil"/>
              <w:bottom w:val="nil"/>
              <w:right w:val="nil"/>
            </w:tcBorders>
            <w:shd w:val="clear" w:color="auto" w:fill="auto"/>
            <w:noWrap/>
            <w:vAlign w:val="center"/>
            <w:hideMark/>
          </w:tcPr>
          <w:p w14:paraId="7434A5E8"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w:t>
            </w:r>
          </w:p>
        </w:tc>
        <w:tc>
          <w:tcPr>
            <w:tcW w:w="329" w:type="pct"/>
            <w:tcBorders>
              <w:top w:val="single" w:sz="4" w:space="0" w:color="auto"/>
              <w:left w:val="nil"/>
              <w:bottom w:val="nil"/>
              <w:right w:val="nil"/>
            </w:tcBorders>
            <w:shd w:val="clear" w:color="auto" w:fill="auto"/>
            <w:noWrap/>
            <w:vAlign w:val="center"/>
            <w:hideMark/>
          </w:tcPr>
          <w:p w14:paraId="22CDB3FD"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single" w:sz="4" w:space="0" w:color="auto"/>
              <w:left w:val="nil"/>
              <w:bottom w:val="nil"/>
              <w:right w:val="nil"/>
            </w:tcBorders>
            <w:shd w:val="clear" w:color="auto" w:fill="auto"/>
            <w:noWrap/>
            <w:vAlign w:val="center"/>
            <w:hideMark/>
          </w:tcPr>
          <w:p w14:paraId="487EAA61"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single" w:sz="4" w:space="0" w:color="auto"/>
              <w:left w:val="nil"/>
              <w:bottom w:val="nil"/>
              <w:right w:val="nil"/>
            </w:tcBorders>
            <w:shd w:val="clear" w:color="auto" w:fill="auto"/>
            <w:noWrap/>
            <w:vAlign w:val="center"/>
            <w:hideMark/>
          </w:tcPr>
          <w:p w14:paraId="3E5B314B"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single" w:sz="4" w:space="0" w:color="auto"/>
              <w:left w:val="nil"/>
              <w:bottom w:val="nil"/>
              <w:right w:val="nil"/>
            </w:tcBorders>
            <w:shd w:val="clear" w:color="auto" w:fill="auto"/>
            <w:noWrap/>
            <w:vAlign w:val="center"/>
            <w:hideMark/>
          </w:tcPr>
          <w:p w14:paraId="4B7ECCDB"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single" w:sz="4" w:space="0" w:color="auto"/>
              <w:left w:val="nil"/>
              <w:bottom w:val="nil"/>
              <w:right w:val="nil"/>
            </w:tcBorders>
            <w:shd w:val="clear" w:color="auto" w:fill="auto"/>
            <w:noWrap/>
            <w:vAlign w:val="center"/>
            <w:hideMark/>
          </w:tcPr>
          <w:p w14:paraId="5A85D9C1"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single" w:sz="4" w:space="0" w:color="auto"/>
              <w:left w:val="nil"/>
              <w:bottom w:val="nil"/>
              <w:right w:val="nil"/>
            </w:tcBorders>
            <w:shd w:val="clear" w:color="auto" w:fill="auto"/>
            <w:noWrap/>
            <w:vAlign w:val="center"/>
            <w:hideMark/>
          </w:tcPr>
          <w:p w14:paraId="5BFFA60A"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single" w:sz="4" w:space="0" w:color="auto"/>
              <w:left w:val="nil"/>
              <w:bottom w:val="nil"/>
              <w:right w:val="nil"/>
            </w:tcBorders>
            <w:shd w:val="clear" w:color="auto" w:fill="auto"/>
            <w:noWrap/>
            <w:vAlign w:val="center"/>
            <w:hideMark/>
          </w:tcPr>
          <w:p w14:paraId="7991C12B"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single" w:sz="4" w:space="0" w:color="auto"/>
              <w:left w:val="nil"/>
              <w:bottom w:val="nil"/>
              <w:right w:val="nil"/>
            </w:tcBorders>
            <w:shd w:val="clear" w:color="auto" w:fill="auto"/>
            <w:noWrap/>
            <w:vAlign w:val="center"/>
            <w:hideMark/>
          </w:tcPr>
          <w:p w14:paraId="67AC9245"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single" w:sz="4" w:space="0" w:color="auto"/>
              <w:left w:val="nil"/>
              <w:bottom w:val="nil"/>
              <w:right w:val="nil"/>
            </w:tcBorders>
            <w:shd w:val="clear" w:color="auto" w:fill="auto"/>
            <w:noWrap/>
            <w:vAlign w:val="center"/>
            <w:hideMark/>
          </w:tcPr>
          <w:p w14:paraId="62744073"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single" w:sz="4" w:space="0" w:color="auto"/>
              <w:left w:val="nil"/>
              <w:bottom w:val="nil"/>
              <w:right w:val="nil"/>
            </w:tcBorders>
            <w:shd w:val="clear" w:color="auto" w:fill="auto"/>
            <w:noWrap/>
            <w:vAlign w:val="center"/>
            <w:hideMark/>
          </w:tcPr>
          <w:p w14:paraId="20D95E63"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single" w:sz="4" w:space="0" w:color="auto"/>
              <w:left w:val="nil"/>
              <w:bottom w:val="nil"/>
              <w:right w:val="nil"/>
            </w:tcBorders>
            <w:shd w:val="clear" w:color="auto" w:fill="auto"/>
            <w:noWrap/>
            <w:vAlign w:val="center"/>
            <w:hideMark/>
          </w:tcPr>
          <w:p w14:paraId="4E06B0F0"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7" w:type="pct"/>
            <w:tcBorders>
              <w:top w:val="single" w:sz="4" w:space="0" w:color="auto"/>
              <w:left w:val="nil"/>
              <w:bottom w:val="nil"/>
              <w:right w:val="nil"/>
            </w:tcBorders>
            <w:shd w:val="clear" w:color="auto" w:fill="auto"/>
            <w:noWrap/>
            <w:vAlign w:val="center"/>
            <w:hideMark/>
          </w:tcPr>
          <w:p w14:paraId="71BED122"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r>
      <w:tr w:rsidR="00C90AC3" w:rsidRPr="00D21B0F" w14:paraId="2EA9C2E4" w14:textId="77777777" w:rsidTr="00792BC3">
        <w:trPr>
          <w:trHeight w:val="432"/>
        </w:trPr>
        <w:tc>
          <w:tcPr>
            <w:tcW w:w="727" w:type="pct"/>
            <w:tcBorders>
              <w:top w:val="nil"/>
              <w:left w:val="nil"/>
              <w:bottom w:val="nil"/>
              <w:right w:val="nil"/>
            </w:tcBorders>
            <w:shd w:val="clear" w:color="auto" w:fill="auto"/>
            <w:noWrap/>
            <w:vAlign w:val="center"/>
            <w:hideMark/>
          </w:tcPr>
          <w:p w14:paraId="3D7834F0" w14:textId="77777777" w:rsidR="00C90AC3" w:rsidRPr="00D21B0F" w:rsidRDefault="00C90AC3" w:rsidP="00803726">
            <w:pPr>
              <w:spacing w:after="0" w:line="240" w:lineRule="auto"/>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GHG (2)</w:t>
            </w:r>
          </w:p>
        </w:tc>
        <w:tc>
          <w:tcPr>
            <w:tcW w:w="326" w:type="pct"/>
            <w:tcBorders>
              <w:top w:val="nil"/>
              <w:left w:val="nil"/>
              <w:bottom w:val="nil"/>
              <w:right w:val="nil"/>
            </w:tcBorders>
            <w:shd w:val="clear" w:color="auto" w:fill="auto"/>
            <w:noWrap/>
            <w:vAlign w:val="center"/>
            <w:hideMark/>
          </w:tcPr>
          <w:p w14:paraId="4793B434"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0.46</w:t>
            </w:r>
          </w:p>
        </w:tc>
        <w:tc>
          <w:tcPr>
            <w:tcW w:w="329" w:type="pct"/>
            <w:tcBorders>
              <w:top w:val="nil"/>
              <w:left w:val="nil"/>
              <w:bottom w:val="nil"/>
              <w:right w:val="nil"/>
            </w:tcBorders>
            <w:shd w:val="clear" w:color="auto" w:fill="auto"/>
            <w:noWrap/>
            <w:vAlign w:val="center"/>
            <w:hideMark/>
          </w:tcPr>
          <w:p w14:paraId="087500A4"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w:t>
            </w:r>
          </w:p>
        </w:tc>
        <w:tc>
          <w:tcPr>
            <w:tcW w:w="329" w:type="pct"/>
            <w:tcBorders>
              <w:top w:val="nil"/>
              <w:left w:val="nil"/>
              <w:bottom w:val="nil"/>
              <w:right w:val="nil"/>
            </w:tcBorders>
            <w:shd w:val="clear" w:color="auto" w:fill="auto"/>
            <w:noWrap/>
            <w:vAlign w:val="center"/>
            <w:hideMark/>
          </w:tcPr>
          <w:p w14:paraId="0BA64D93"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05FACA83"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0137A95C"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4F68D083"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0314243C"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36BECD4A"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50D67244"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4DEA7823"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370FC3F6"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72DD87C2"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7" w:type="pct"/>
            <w:tcBorders>
              <w:top w:val="nil"/>
              <w:left w:val="nil"/>
              <w:bottom w:val="nil"/>
              <w:right w:val="nil"/>
            </w:tcBorders>
            <w:shd w:val="clear" w:color="auto" w:fill="auto"/>
            <w:noWrap/>
            <w:vAlign w:val="center"/>
            <w:hideMark/>
          </w:tcPr>
          <w:p w14:paraId="37AE240C"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r>
      <w:tr w:rsidR="00C90AC3" w:rsidRPr="00D21B0F" w14:paraId="7DB6DE4F" w14:textId="77777777" w:rsidTr="00792BC3">
        <w:trPr>
          <w:trHeight w:val="432"/>
        </w:trPr>
        <w:tc>
          <w:tcPr>
            <w:tcW w:w="727" w:type="pct"/>
            <w:tcBorders>
              <w:top w:val="nil"/>
              <w:left w:val="nil"/>
              <w:right w:val="nil"/>
            </w:tcBorders>
            <w:shd w:val="clear" w:color="auto" w:fill="auto"/>
            <w:noWrap/>
            <w:vAlign w:val="center"/>
            <w:hideMark/>
          </w:tcPr>
          <w:p w14:paraId="41A67933" w14:textId="77777777" w:rsidR="00C90AC3" w:rsidRPr="00D21B0F" w:rsidRDefault="00C90AC3" w:rsidP="00803726">
            <w:pPr>
              <w:spacing w:after="0" w:line="240" w:lineRule="auto"/>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CCA (3)</w:t>
            </w:r>
          </w:p>
        </w:tc>
        <w:tc>
          <w:tcPr>
            <w:tcW w:w="326" w:type="pct"/>
            <w:tcBorders>
              <w:top w:val="nil"/>
              <w:left w:val="nil"/>
              <w:bottom w:val="nil"/>
              <w:right w:val="nil"/>
            </w:tcBorders>
            <w:shd w:val="clear" w:color="auto" w:fill="auto"/>
            <w:noWrap/>
            <w:vAlign w:val="center"/>
            <w:hideMark/>
          </w:tcPr>
          <w:p w14:paraId="2A84613C"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0.37</w:t>
            </w:r>
          </w:p>
        </w:tc>
        <w:tc>
          <w:tcPr>
            <w:tcW w:w="329" w:type="pct"/>
            <w:tcBorders>
              <w:top w:val="nil"/>
              <w:left w:val="nil"/>
              <w:bottom w:val="nil"/>
              <w:right w:val="nil"/>
            </w:tcBorders>
            <w:shd w:val="clear" w:color="auto" w:fill="auto"/>
            <w:noWrap/>
            <w:vAlign w:val="center"/>
            <w:hideMark/>
          </w:tcPr>
          <w:p w14:paraId="33930E1E"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-0.13</w:t>
            </w:r>
          </w:p>
        </w:tc>
        <w:tc>
          <w:tcPr>
            <w:tcW w:w="329" w:type="pct"/>
            <w:tcBorders>
              <w:top w:val="nil"/>
              <w:left w:val="nil"/>
              <w:bottom w:val="nil"/>
              <w:right w:val="nil"/>
            </w:tcBorders>
            <w:shd w:val="clear" w:color="auto" w:fill="auto"/>
            <w:noWrap/>
            <w:vAlign w:val="center"/>
            <w:hideMark/>
          </w:tcPr>
          <w:p w14:paraId="2B916E24"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w:t>
            </w:r>
          </w:p>
        </w:tc>
        <w:tc>
          <w:tcPr>
            <w:tcW w:w="329" w:type="pct"/>
            <w:tcBorders>
              <w:top w:val="nil"/>
              <w:left w:val="nil"/>
              <w:bottom w:val="nil"/>
              <w:right w:val="nil"/>
            </w:tcBorders>
            <w:shd w:val="clear" w:color="auto" w:fill="auto"/>
            <w:noWrap/>
            <w:vAlign w:val="center"/>
            <w:hideMark/>
          </w:tcPr>
          <w:p w14:paraId="053B1B5F"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4795B925"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55EC8BAB"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6EB7070B"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7E962EB9"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628B679D"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1912EE58"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064E6690"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08C14575"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7" w:type="pct"/>
            <w:tcBorders>
              <w:top w:val="nil"/>
              <w:left w:val="nil"/>
              <w:bottom w:val="nil"/>
              <w:right w:val="nil"/>
            </w:tcBorders>
            <w:shd w:val="clear" w:color="auto" w:fill="auto"/>
            <w:noWrap/>
            <w:vAlign w:val="center"/>
            <w:hideMark/>
          </w:tcPr>
          <w:p w14:paraId="7992543F"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r>
      <w:tr w:rsidR="00C90AC3" w:rsidRPr="00D21B0F" w14:paraId="171EF079" w14:textId="77777777" w:rsidTr="00792BC3">
        <w:trPr>
          <w:trHeight w:val="432"/>
        </w:trPr>
        <w:tc>
          <w:tcPr>
            <w:tcW w:w="727" w:type="pct"/>
            <w:tcBorders>
              <w:top w:val="nil"/>
              <w:left w:val="nil"/>
              <w:bottom w:val="nil"/>
              <w:right w:val="nil"/>
            </w:tcBorders>
            <w:shd w:val="clear" w:color="auto" w:fill="auto"/>
            <w:noWrap/>
            <w:vAlign w:val="center"/>
            <w:hideMark/>
          </w:tcPr>
          <w:p w14:paraId="6B7B6C6A" w14:textId="77777777" w:rsidR="00C90AC3" w:rsidRPr="00D21B0F" w:rsidRDefault="00C90AC3" w:rsidP="00803726">
            <w:pPr>
              <w:spacing w:after="0" w:line="240" w:lineRule="auto"/>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rPr>
              <w:t>GRI (4)</w:t>
            </w:r>
          </w:p>
        </w:tc>
        <w:tc>
          <w:tcPr>
            <w:tcW w:w="326" w:type="pct"/>
            <w:tcBorders>
              <w:top w:val="nil"/>
              <w:left w:val="nil"/>
              <w:bottom w:val="nil"/>
              <w:right w:val="nil"/>
            </w:tcBorders>
            <w:shd w:val="clear" w:color="auto" w:fill="auto"/>
            <w:noWrap/>
            <w:vAlign w:val="center"/>
            <w:hideMark/>
          </w:tcPr>
          <w:p w14:paraId="78FB181D"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0.50</w:t>
            </w:r>
          </w:p>
        </w:tc>
        <w:tc>
          <w:tcPr>
            <w:tcW w:w="329" w:type="pct"/>
            <w:tcBorders>
              <w:top w:val="nil"/>
              <w:left w:val="nil"/>
              <w:bottom w:val="nil"/>
              <w:right w:val="nil"/>
            </w:tcBorders>
            <w:shd w:val="clear" w:color="auto" w:fill="auto"/>
            <w:noWrap/>
            <w:vAlign w:val="center"/>
            <w:hideMark/>
          </w:tcPr>
          <w:p w14:paraId="53D9093E"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0.41</w:t>
            </w:r>
          </w:p>
        </w:tc>
        <w:tc>
          <w:tcPr>
            <w:tcW w:w="329" w:type="pct"/>
            <w:tcBorders>
              <w:top w:val="nil"/>
              <w:left w:val="nil"/>
              <w:bottom w:val="nil"/>
              <w:right w:val="nil"/>
            </w:tcBorders>
            <w:shd w:val="clear" w:color="auto" w:fill="auto"/>
            <w:noWrap/>
            <w:vAlign w:val="center"/>
            <w:hideMark/>
          </w:tcPr>
          <w:p w14:paraId="48448157"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0.18</w:t>
            </w:r>
          </w:p>
        </w:tc>
        <w:tc>
          <w:tcPr>
            <w:tcW w:w="329" w:type="pct"/>
            <w:tcBorders>
              <w:top w:val="nil"/>
              <w:left w:val="nil"/>
              <w:bottom w:val="nil"/>
              <w:right w:val="nil"/>
            </w:tcBorders>
            <w:shd w:val="clear" w:color="auto" w:fill="auto"/>
            <w:noWrap/>
            <w:vAlign w:val="center"/>
            <w:hideMark/>
          </w:tcPr>
          <w:p w14:paraId="0722BD14"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w:t>
            </w:r>
          </w:p>
        </w:tc>
        <w:tc>
          <w:tcPr>
            <w:tcW w:w="329" w:type="pct"/>
            <w:tcBorders>
              <w:top w:val="nil"/>
              <w:left w:val="nil"/>
              <w:bottom w:val="nil"/>
              <w:right w:val="nil"/>
            </w:tcBorders>
            <w:shd w:val="clear" w:color="auto" w:fill="auto"/>
            <w:noWrap/>
            <w:vAlign w:val="center"/>
            <w:hideMark/>
          </w:tcPr>
          <w:p w14:paraId="5ABC4CE7"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04DF334E"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01BFF4B5"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3C1B6E2A"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035E13C3"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4B28C36E"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75DE3783"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690493A6"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7" w:type="pct"/>
            <w:tcBorders>
              <w:top w:val="nil"/>
              <w:left w:val="nil"/>
              <w:bottom w:val="nil"/>
              <w:right w:val="nil"/>
            </w:tcBorders>
            <w:shd w:val="clear" w:color="auto" w:fill="auto"/>
            <w:noWrap/>
            <w:vAlign w:val="center"/>
            <w:hideMark/>
          </w:tcPr>
          <w:p w14:paraId="6FA13945"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r>
      <w:tr w:rsidR="00C90AC3" w:rsidRPr="00D21B0F" w14:paraId="63B430D8" w14:textId="77777777" w:rsidTr="00792BC3">
        <w:trPr>
          <w:trHeight w:val="432"/>
        </w:trPr>
        <w:tc>
          <w:tcPr>
            <w:tcW w:w="727" w:type="pct"/>
            <w:tcBorders>
              <w:top w:val="nil"/>
              <w:left w:val="nil"/>
              <w:bottom w:val="nil"/>
              <w:right w:val="nil"/>
            </w:tcBorders>
            <w:shd w:val="clear" w:color="auto" w:fill="auto"/>
            <w:noWrap/>
            <w:vAlign w:val="center"/>
            <w:hideMark/>
          </w:tcPr>
          <w:p w14:paraId="18FC14B9" w14:textId="77777777" w:rsidR="00C90AC3" w:rsidRPr="00D21B0F" w:rsidRDefault="00C90AC3" w:rsidP="00803726">
            <w:pPr>
              <w:spacing w:after="0" w:line="240" w:lineRule="auto"/>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rPr>
              <w:t>UNGC (5)</w:t>
            </w:r>
          </w:p>
        </w:tc>
        <w:tc>
          <w:tcPr>
            <w:tcW w:w="326" w:type="pct"/>
            <w:tcBorders>
              <w:top w:val="nil"/>
              <w:left w:val="nil"/>
              <w:bottom w:val="nil"/>
              <w:right w:val="nil"/>
            </w:tcBorders>
            <w:shd w:val="clear" w:color="auto" w:fill="auto"/>
            <w:noWrap/>
            <w:vAlign w:val="center"/>
            <w:hideMark/>
          </w:tcPr>
          <w:p w14:paraId="19B3AA9E"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0.34</w:t>
            </w:r>
          </w:p>
        </w:tc>
        <w:tc>
          <w:tcPr>
            <w:tcW w:w="329" w:type="pct"/>
            <w:tcBorders>
              <w:top w:val="nil"/>
              <w:left w:val="nil"/>
              <w:bottom w:val="nil"/>
              <w:right w:val="nil"/>
            </w:tcBorders>
            <w:shd w:val="clear" w:color="auto" w:fill="auto"/>
            <w:noWrap/>
            <w:vAlign w:val="center"/>
            <w:hideMark/>
          </w:tcPr>
          <w:p w14:paraId="1CA525B9"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0.32</w:t>
            </w:r>
          </w:p>
        </w:tc>
        <w:tc>
          <w:tcPr>
            <w:tcW w:w="329" w:type="pct"/>
            <w:tcBorders>
              <w:top w:val="nil"/>
              <w:left w:val="nil"/>
              <w:bottom w:val="nil"/>
              <w:right w:val="nil"/>
            </w:tcBorders>
            <w:shd w:val="clear" w:color="auto" w:fill="auto"/>
            <w:noWrap/>
            <w:vAlign w:val="center"/>
            <w:hideMark/>
          </w:tcPr>
          <w:p w14:paraId="06A4F823"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0.10</w:t>
            </w:r>
          </w:p>
        </w:tc>
        <w:tc>
          <w:tcPr>
            <w:tcW w:w="329" w:type="pct"/>
            <w:tcBorders>
              <w:top w:val="nil"/>
              <w:left w:val="nil"/>
              <w:bottom w:val="nil"/>
              <w:right w:val="nil"/>
            </w:tcBorders>
            <w:shd w:val="clear" w:color="auto" w:fill="auto"/>
            <w:noWrap/>
            <w:vAlign w:val="center"/>
            <w:hideMark/>
          </w:tcPr>
          <w:p w14:paraId="01D00699"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0.41</w:t>
            </w:r>
          </w:p>
        </w:tc>
        <w:tc>
          <w:tcPr>
            <w:tcW w:w="329" w:type="pct"/>
            <w:tcBorders>
              <w:top w:val="nil"/>
              <w:left w:val="nil"/>
              <w:bottom w:val="nil"/>
              <w:right w:val="nil"/>
            </w:tcBorders>
            <w:shd w:val="clear" w:color="auto" w:fill="auto"/>
            <w:noWrap/>
            <w:vAlign w:val="center"/>
            <w:hideMark/>
          </w:tcPr>
          <w:p w14:paraId="2499D1AF"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1</w:t>
            </w:r>
          </w:p>
        </w:tc>
        <w:tc>
          <w:tcPr>
            <w:tcW w:w="329" w:type="pct"/>
            <w:tcBorders>
              <w:top w:val="nil"/>
              <w:left w:val="nil"/>
              <w:bottom w:val="nil"/>
              <w:right w:val="nil"/>
            </w:tcBorders>
            <w:shd w:val="clear" w:color="auto" w:fill="auto"/>
            <w:noWrap/>
            <w:vAlign w:val="center"/>
            <w:hideMark/>
          </w:tcPr>
          <w:p w14:paraId="3C0DDF99"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7B47C3D3"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0B306E4A"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5C03D171"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1986BD9C"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6124D02D"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5C534BA0"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7" w:type="pct"/>
            <w:tcBorders>
              <w:top w:val="nil"/>
              <w:left w:val="nil"/>
              <w:bottom w:val="nil"/>
              <w:right w:val="nil"/>
            </w:tcBorders>
            <w:shd w:val="clear" w:color="auto" w:fill="auto"/>
            <w:noWrap/>
            <w:vAlign w:val="center"/>
            <w:hideMark/>
          </w:tcPr>
          <w:p w14:paraId="02892DF1"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r>
      <w:tr w:rsidR="00C90AC3" w:rsidRPr="00D21B0F" w14:paraId="21B44FEF" w14:textId="77777777" w:rsidTr="00792BC3">
        <w:trPr>
          <w:trHeight w:val="432"/>
        </w:trPr>
        <w:tc>
          <w:tcPr>
            <w:tcW w:w="727" w:type="pct"/>
            <w:tcBorders>
              <w:top w:val="nil"/>
              <w:left w:val="nil"/>
              <w:bottom w:val="nil"/>
              <w:right w:val="nil"/>
            </w:tcBorders>
            <w:shd w:val="clear" w:color="auto" w:fill="auto"/>
            <w:noWrap/>
            <w:vAlign w:val="center"/>
            <w:hideMark/>
          </w:tcPr>
          <w:p w14:paraId="12C2B474" w14:textId="77777777" w:rsidR="00C90AC3" w:rsidRPr="00D21B0F" w:rsidRDefault="00C90AC3" w:rsidP="00803726">
            <w:pPr>
              <w:spacing w:after="0" w:line="240" w:lineRule="auto"/>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rPr>
              <w:t>BoD_size (6)</w:t>
            </w:r>
          </w:p>
        </w:tc>
        <w:tc>
          <w:tcPr>
            <w:tcW w:w="326" w:type="pct"/>
            <w:tcBorders>
              <w:top w:val="nil"/>
              <w:left w:val="nil"/>
              <w:bottom w:val="nil"/>
              <w:right w:val="nil"/>
            </w:tcBorders>
            <w:shd w:val="clear" w:color="auto" w:fill="auto"/>
            <w:noWrap/>
            <w:vAlign w:val="center"/>
            <w:hideMark/>
          </w:tcPr>
          <w:p w14:paraId="5291726C"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0.34</w:t>
            </w:r>
          </w:p>
        </w:tc>
        <w:tc>
          <w:tcPr>
            <w:tcW w:w="329" w:type="pct"/>
            <w:tcBorders>
              <w:top w:val="nil"/>
              <w:left w:val="nil"/>
              <w:bottom w:val="nil"/>
              <w:right w:val="nil"/>
            </w:tcBorders>
            <w:shd w:val="clear" w:color="auto" w:fill="auto"/>
            <w:noWrap/>
            <w:vAlign w:val="center"/>
            <w:hideMark/>
          </w:tcPr>
          <w:p w14:paraId="30DF807D"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0.38</w:t>
            </w:r>
          </w:p>
        </w:tc>
        <w:tc>
          <w:tcPr>
            <w:tcW w:w="329" w:type="pct"/>
            <w:tcBorders>
              <w:top w:val="nil"/>
              <w:left w:val="nil"/>
              <w:bottom w:val="nil"/>
              <w:right w:val="nil"/>
            </w:tcBorders>
            <w:shd w:val="clear" w:color="auto" w:fill="auto"/>
            <w:noWrap/>
            <w:vAlign w:val="center"/>
            <w:hideMark/>
          </w:tcPr>
          <w:p w14:paraId="0950FA6E"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-0.12</w:t>
            </w:r>
          </w:p>
        </w:tc>
        <w:tc>
          <w:tcPr>
            <w:tcW w:w="329" w:type="pct"/>
            <w:tcBorders>
              <w:top w:val="nil"/>
              <w:left w:val="nil"/>
              <w:bottom w:val="nil"/>
              <w:right w:val="nil"/>
            </w:tcBorders>
            <w:shd w:val="clear" w:color="auto" w:fill="auto"/>
            <w:noWrap/>
            <w:vAlign w:val="center"/>
            <w:hideMark/>
          </w:tcPr>
          <w:p w14:paraId="02A3F839"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0.30</w:t>
            </w:r>
          </w:p>
        </w:tc>
        <w:tc>
          <w:tcPr>
            <w:tcW w:w="329" w:type="pct"/>
            <w:tcBorders>
              <w:top w:val="nil"/>
              <w:left w:val="nil"/>
              <w:bottom w:val="nil"/>
              <w:right w:val="nil"/>
            </w:tcBorders>
            <w:shd w:val="clear" w:color="auto" w:fill="auto"/>
            <w:noWrap/>
            <w:vAlign w:val="center"/>
            <w:hideMark/>
          </w:tcPr>
          <w:p w14:paraId="67766744"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0.27</w:t>
            </w:r>
          </w:p>
        </w:tc>
        <w:tc>
          <w:tcPr>
            <w:tcW w:w="329" w:type="pct"/>
            <w:tcBorders>
              <w:top w:val="nil"/>
              <w:left w:val="nil"/>
              <w:bottom w:val="nil"/>
              <w:right w:val="nil"/>
            </w:tcBorders>
            <w:shd w:val="clear" w:color="auto" w:fill="auto"/>
            <w:noWrap/>
            <w:vAlign w:val="center"/>
            <w:hideMark/>
          </w:tcPr>
          <w:p w14:paraId="44647D43"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1</w:t>
            </w:r>
          </w:p>
        </w:tc>
        <w:tc>
          <w:tcPr>
            <w:tcW w:w="329" w:type="pct"/>
            <w:tcBorders>
              <w:top w:val="nil"/>
              <w:left w:val="nil"/>
              <w:bottom w:val="nil"/>
              <w:right w:val="nil"/>
            </w:tcBorders>
            <w:shd w:val="clear" w:color="auto" w:fill="auto"/>
            <w:noWrap/>
            <w:vAlign w:val="center"/>
            <w:hideMark/>
          </w:tcPr>
          <w:p w14:paraId="5E2650D9"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7EF8890B"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1FAE60A3"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7FBE0795"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3835CC13"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02E2D2F1"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7" w:type="pct"/>
            <w:tcBorders>
              <w:top w:val="nil"/>
              <w:left w:val="nil"/>
              <w:bottom w:val="nil"/>
              <w:right w:val="nil"/>
            </w:tcBorders>
            <w:shd w:val="clear" w:color="auto" w:fill="auto"/>
            <w:noWrap/>
            <w:vAlign w:val="center"/>
            <w:hideMark/>
          </w:tcPr>
          <w:p w14:paraId="52C31974"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r>
      <w:tr w:rsidR="00C90AC3" w:rsidRPr="00D21B0F" w14:paraId="6F02E43F" w14:textId="77777777" w:rsidTr="00792BC3">
        <w:trPr>
          <w:trHeight w:val="432"/>
        </w:trPr>
        <w:tc>
          <w:tcPr>
            <w:tcW w:w="727" w:type="pct"/>
            <w:tcBorders>
              <w:top w:val="nil"/>
              <w:left w:val="nil"/>
              <w:bottom w:val="nil"/>
              <w:right w:val="nil"/>
            </w:tcBorders>
            <w:shd w:val="clear" w:color="auto" w:fill="auto"/>
            <w:noWrap/>
            <w:vAlign w:val="center"/>
            <w:hideMark/>
          </w:tcPr>
          <w:p w14:paraId="1D6B57AC" w14:textId="77777777" w:rsidR="00C90AC3" w:rsidRPr="00D21B0F" w:rsidRDefault="00C90AC3" w:rsidP="00803726">
            <w:pPr>
              <w:spacing w:after="0" w:line="240" w:lineRule="auto"/>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rPr>
              <w:t>Ind_Dir (7)</w:t>
            </w:r>
          </w:p>
        </w:tc>
        <w:tc>
          <w:tcPr>
            <w:tcW w:w="326" w:type="pct"/>
            <w:tcBorders>
              <w:top w:val="nil"/>
              <w:left w:val="nil"/>
              <w:bottom w:val="nil"/>
              <w:right w:val="nil"/>
            </w:tcBorders>
            <w:shd w:val="clear" w:color="auto" w:fill="auto"/>
            <w:noWrap/>
            <w:vAlign w:val="center"/>
            <w:hideMark/>
          </w:tcPr>
          <w:p w14:paraId="3A0F1EC7"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0.31</w:t>
            </w:r>
          </w:p>
        </w:tc>
        <w:tc>
          <w:tcPr>
            <w:tcW w:w="329" w:type="pct"/>
            <w:tcBorders>
              <w:top w:val="nil"/>
              <w:left w:val="nil"/>
              <w:bottom w:val="nil"/>
              <w:right w:val="nil"/>
            </w:tcBorders>
            <w:shd w:val="clear" w:color="auto" w:fill="auto"/>
            <w:noWrap/>
            <w:vAlign w:val="center"/>
            <w:hideMark/>
          </w:tcPr>
          <w:p w14:paraId="711C8218"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0.22</w:t>
            </w:r>
          </w:p>
        </w:tc>
        <w:tc>
          <w:tcPr>
            <w:tcW w:w="329" w:type="pct"/>
            <w:tcBorders>
              <w:top w:val="nil"/>
              <w:left w:val="nil"/>
              <w:bottom w:val="nil"/>
              <w:right w:val="nil"/>
            </w:tcBorders>
            <w:shd w:val="clear" w:color="auto" w:fill="auto"/>
            <w:noWrap/>
            <w:vAlign w:val="center"/>
            <w:hideMark/>
          </w:tcPr>
          <w:p w14:paraId="6DB7CFB2"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0.22</w:t>
            </w:r>
          </w:p>
        </w:tc>
        <w:tc>
          <w:tcPr>
            <w:tcW w:w="329" w:type="pct"/>
            <w:tcBorders>
              <w:top w:val="nil"/>
              <w:left w:val="nil"/>
              <w:bottom w:val="nil"/>
              <w:right w:val="nil"/>
            </w:tcBorders>
            <w:shd w:val="clear" w:color="auto" w:fill="auto"/>
            <w:noWrap/>
            <w:vAlign w:val="center"/>
            <w:hideMark/>
          </w:tcPr>
          <w:p w14:paraId="3FA7DEF8"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0.25</w:t>
            </w:r>
          </w:p>
        </w:tc>
        <w:tc>
          <w:tcPr>
            <w:tcW w:w="329" w:type="pct"/>
            <w:tcBorders>
              <w:top w:val="nil"/>
              <w:left w:val="nil"/>
              <w:bottom w:val="nil"/>
              <w:right w:val="nil"/>
            </w:tcBorders>
            <w:shd w:val="clear" w:color="auto" w:fill="auto"/>
            <w:noWrap/>
            <w:vAlign w:val="center"/>
            <w:hideMark/>
          </w:tcPr>
          <w:p w14:paraId="26219AF3"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0.18</w:t>
            </w:r>
          </w:p>
        </w:tc>
        <w:tc>
          <w:tcPr>
            <w:tcW w:w="329" w:type="pct"/>
            <w:tcBorders>
              <w:top w:val="nil"/>
              <w:left w:val="nil"/>
              <w:bottom w:val="nil"/>
              <w:right w:val="nil"/>
            </w:tcBorders>
            <w:shd w:val="clear" w:color="auto" w:fill="auto"/>
            <w:noWrap/>
            <w:vAlign w:val="center"/>
            <w:hideMark/>
          </w:tcPr>
          <w:p w14:paraId="7242215C"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0.07</w:t>
            </w:r>
          </w:p>
        </w:tc>
        <w:tc>
          <w:tcPr>
            <w:tcW w:w="329" w:type="pct"/>
            <w:tcBorders>
              <w:top w:val="nil"/>
              <w:left w:val="nil"/>
              <w:bottom w:val="nil"/>
              <w:right w:val="nil"/>
            </w:tcBorders>
            <w:shd w:val="clear" w:color="auto" w:fill="auto"/>
            <w:noWrap/>
            <w:vAlign w:val="center"/>
            <w:hideMark/>
          </w:tcPr>
          <w:p w14:paraId="6E06B264"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1</w:t>
            </w:r>
          </w:p>
        </w:tc>
        <w:tc>
          <w:tcPr>
            <w:tcW w:w="329" w:type="pct"/>
            <w:tcBorders>
              <w:top w:val="nil"/>
              <w:left w:val="nil"/>
              <w:bottom w:val="nil"/>
              <w:right w:val="nil"/>
            </w:tcBorders>
            <w:shd w:val="clear" w:color="auto" w:fill="auto"/>
            <w:noWrap/>
            <w:vAlign w:val="center"/>
            <w:hideMark/>
          </w:tcPr>
          <w:p w14:paraId="11F69CCB"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3CE9D1F7"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7128CFBD"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45B66BCA"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0251EE0B"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7" w:type="pct"/>
            <w:tcBorders>
              <w:top w:val="nil"/>
              <w:left w:val="nil"/>
              <w:bottom w:val="nil"/>
              <w:right w:val="nil"/>
            </w:tcBorders>
            <w:shd w:val="clear" w:color="auto" w:fill="auto"/>
            <w:noWrap/>
            <w:vAlign w:val="center"/>
            <w:hideMark/>
          </w:tcPr>
          <w:p w14:paraId="1C25BE51"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r>
      <w:tr w:rsidR="00C90AC3" w:rsidRPr="00D21B0F" w14:paraId="48FFDEF3" w14:textId="77777777" w:rsidTr="00792BC3">
        <w:trPr>
          <w:trHeight w:val="432"/>
        </w:trPr>
        <w:tc>
          <w:tcPr>
            <w:tcW w:w="727" w:type="pct"/>
            <w:tcBorders>
              <w:top w:val="nil"/>
              <w:left w:val="nil"/>
              <w:bottom w:val="nil"/>
              <w:right w:val="nil"/>
            </w:tcBorders>
            <w:shd w:val="clear" w:color="auto" w:fill="auto"/>
            <w:noWrap/>
            <w:vAlign w:val="center"/>
            <w:hideMark/>
          </w:tcPr>
          <w:p w14:paraId="5CFB25EB" w14:textId="77777777" w:rsidR="00C90AC3" w:rsidRPr="00D21B0F" w:rsidRDefault="00C90AC3" w:rsidP="00803726">
            <w:pPr>
              <w:spacing w:after="0" w:line="240" w:lineRule="auto"/>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Exec_Comp (8)</w:t>
            </w:r>
          </w:p>
        </w:tc>
        <w:tc>
          <w:tcPr>
            <w:tcW w:w="326" w:type="pct"/>
            <w:tcBorders>
              <w:top w:val="nil"/>
              <w:left w:val="nil"/>
              <w:bottom w:val="nil"/>
              <w:right w:val="nil"/>
            </w:tcBorders>
            <w:shd w:val="clear" w:color="auto" w:fill="auto"/>
            <w:noWrap/>
            <w:vAlign w:val="center"/>
            <w:hideMark/>
          </w:tcPr>
          <w:p w14:paraId="29EA8AE7"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0.51</w:t>
            </w:r>
          </w:p>
        </w:tc>
        <w:tc>
          <w:tcPr>
            <w:tcW w:w="329" w:type="pct"/>
            <w:tcBorders>
              <w:top w:val="nil"/>
              <w:left w:val="nil"/>
              <w:bottom w:val="nil"/>
              <w:right w:val="nil"/>
            </w:tcBorders>
            <w:shd w:val="clear" w:color="auto" w:fill="auto"/>
            <w:noWrap/>
            <w:vAlign w:val="center"/>
            <w:hideMark/>
          </w:tcPr>
          <w:p w14:paraId="25DF944A"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0.41</w:t>
            </w:r>
          </w:p>
        </w:tc>
        <w:tc>
          <w:tcPr>
            <w:tcW w:w="329" w:type="pct"/>
            <w:tcBorders>
              <w:top w:val="nil"/>
              <w:left w:val="nil"/>
              <w:bottom w:val="nil"/>
              <w:right w:val="nil"/>
            </w:tcBorders>
            <w:shd w:val="clear" w:color="auto" w:fill="auto"/>
            <w:noWrap/>
            <w:vAlign w:val="center"/>
            <w:hideMark/>
          </w:tcPr>
          <w:p w14:paraId="0D48A298"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0.24</w:t>
            </w:r>
          </w:p>
        </w:tc>
        <w:tc>
          <w:tcPr>
            <w:tcW w:w="329" w:type="pct"/>
            <w:tcBorders>
              <w:top w:val="nil"/>
              <w:left w:val="nil"/>
              <w:bottom w:val="nil"/>
              <w:right w:val="nil"/>
            </w:tcBorders>
            <w:shd w:val="clear" w:color="auto" w:fill="auto"/>
            <w:noWrap/>
            <w:vAlign w:val="center"/>
            <w:hideMark/>
          </w:tcPr>
          <w:p w14:paraId="36924E2D"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0.41</w:t>
            </w:r>
          </w:p>
        </w:tc>
        <w:tc>
          <w:tcPr>
            <w:tcW w:w="329" w:type="pct"/>
            <w:tcBorders>
              <w:top w:val="nil"/>
              <w:left w:val="nil"/>
              <w:bottom w:val="nil"/>
              <w:right w:val="nil"/>
            </w:tcBorders>
            <w:shd w:val="clear" w:color="auto" w:fill="auto"/>
            <w:noWrap/>
            <w:vAlign w:val="center"/>
            <w:hideMark/>
          </w:tcPr>
          <w:p w14:paraId="25CDED97"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0.36</w:t>
            </w:r>
          </w:p>
        </w:tc>
        <w:tc>
          <w:tcPr>
            <w:tcW w:w="329" w:type="pct"/>
            <w:tcBorders>
              <w:top w:val="nil"/>
              <w:left w:val="nil"/>
              <w:bottom w:val="nil"/>
              <w:right w:val="nil"/>
            </w:tcBorders>
            <w:shd w:val="clear" w:color="auto" w:fill="auto"/>
            <w:noWrap/>
            <w:vAlign w:val="center"/>
            <w:hideMark/>
          </w:tcPr>
          <w:p w14:paraId="68207A24"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0.48</w:t>
            </w:r>
          </w:p>
        </w:tc>
        <w:tc>
          <w:tcPr>
            <w:tcW w:w="329" w:type="pct"/>
            <w:tcBorders>
              <w:top w:val="nil"/>
              <w:left w:val="nil"/>
              <w:bottom w:val="nil"/>
              <w:right w:val="nil"/>
            </w:tcBorders>
            <w:shd w:val="clear" w:color="auto" w:fill="auto"/>
            <w:noWrap/>
            <w:vAlign w:val="center"/>
            <w:hideMark/>
          </w:tcPr>
          <w:p w14:paraId="40FAB170"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0.26</w:t>
            </w:r>
          </w:p>
        </w:tc>
        <w:tc>
          <w:tcPr>
            <w:tcW w:w="329" w:type="pct"/>
            <w:tcBorders>
              <w:top w:val="nil"/>
              <w:left w:val="nil"/>
              <w:bottom w:val="nil"/>
              <w:right w:val="nil"/>
            </w:tcBorders>
            <w:shd w:val="clear" w:color="auto" w:fill="auto"/>
            <w:noWrap/>
            <w:vAlign w:val="center"/>
            <w:hideMark/>
          </w:tcPr>
          <w:p w14:paraId="6C75E0EA"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1</w:t>
            </w:r>
          </w:p>
        </w:tc>
        <w:tc>
          <w:tcPr>
            <w:tcW w:w="329" w:type="pct"/>
            <w:tcBorders>
              <w:top w:val="nil"/>
              <w:left w:val="nil"/>
              <w:bottom w:val="nil"/>
              <w:right w:val="nil"/>
            </w:tcBorders>
            <w:shd w:val="clear" w:color="auto" w:fill="auto"/>
            <w:noWrap/>
            <w:vAlign w:val="center"/>
            <w:hideMark/>
          </w:tcPr>
          <w:p w14:paraId="014258F0"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695AA043"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54C32991"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5E1E9550"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7" w:type="pct"/>
            <w:tcBorders>
              <w:top w:val="nil"/>
              <w:left w:val="nil"/>
              <w:bottom w:val="nil"/>
              <w:right w:val="nil"/>
            </w:tcBorders>
            <w:shd w:val="clear" w:color="auto" w:fill="auto"/>
            <w:noWrap/>
            <w:vAlign w:val="center"/>
            <w:hideMark/>
          </w:tcPr>
          <w:p w14:paraId="5652FEA5"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r>
      <w:tr w:rsidR="00C90AC3" w:rsidRPr="00D21B0F" w14:paraId="416ECC20" w14:textId="77777777" w:rsidTr="00792BC3">
        <w:trPr>
          <w:trHeight w:val="432"/>
        </w:trPr>
        <w:tc>
          <w:tcPr>
            <w:tcW w:w="727" w:type="pct"/>
            <w:tcBorders>
              <w:top w:val="nil"/>
              <w:left w:val="nil"/>
              <w:bottom w:val="nil"/>
              <w:right w:val="nil"/>
            </w:tcBorders>
            <w:shd w:val="clear" w:color="auto" w:fill="auto"/>
            <w:noWrap/>
            <w:vAlign w:val="center"/>
            <w:hideMark/>
          </w:tcPr>
          <w:p w14:paraId="1B18F668" w14:textId="77777777" w:rsidR="00C90AC3" w:rsidRPr="00D21B0F" w:rsidRDefault="00C90AC3" w:rsidP="00803726">
            <w:pPr>
              <w:spacing w:after="0" w:line="240" w:lineRule="auto"/>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rPr>
              <w:t>ESG_Comp (9)</w:t>
            </w:r>
          </w:p>
        </w:tc>
        <w:tc>
          <w:tcPr>
            <w:tcW w:w="326" w:type="pct"/>
            <w:tcBorders>
              <w:top w:val="nil"/>
              <w:left w:val="nil"/>
              <w:bottom w:val="nil"/>
              <w:right w:val="nil"/>
            </w:tcBorders>
            <w:shd w:val="clear" w:color="auto" w:fill="auto"/>
            <w:noWrap/>
            <w:vAlign w:val="center"/>
            <w:hideMark/>
          </w:tcPr>
          <w:p w14:paraId="27B1BD5D"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0.29</w:t>
            </w:r>
          </w:p>
        </w:tc>
        <w:tc>
          <w:tcPr>
            <w:tcW w:w="329" w:type="pct"/>
            <w:tcBorders>
              <w:top w:val="nil"/>
              <w:left w:val="nil"/>
              <w:bottom w:val="nil"/>
              <w:right w:val="nil"/>
            </w:tcBorders>
            <w:shd w:val="clear" w:color="auto" w:fill="auto"/>
            <w:noWrap/>
            <w:vAlign w:val="center"/>
            <w:hideMark/>
          </w:tcPr>
          <w:p w14:paraId="68BA5A7F"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0.19</w:t>
            </w:r>
          </w:p>
        </w:tc>
        <w:tc>
          <w:tcPr>
            <w:tcW w:w="329" w:type="pct"/>
            <w:tcBorders>
              <w:top w:val="nil"/>
              <w:left w:val="nil"/>
              <w:bottom w:val="nil"/>
              <w:right w:val="nil"/>
            </w:tcBorders>
            <w:shd w:val="clear" w:color="auto" w:fill="auto"/>
            <w:noWrap/>
            <w:vAlign w:val="center"/>
            <w:hideMark/>
          </w:tcPr>
          <w:p w14:paraId="502E9F70"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0.31</w:t>
            </w:r>
          </w:p>
        </w:tc>
        <w:tc>
          <w:tcPr>
            <w:tcW w:w="329" w:type="pct"/>
            <w:tcBorders>
              <w:top w:val="nil"/>
              <w:left w:val="nil"/>
              <w:bottom w:val="nil"/>
              <w:right w:val="nil"/>
            </w:tcBorders>
            <w:shd w:val="clear" w:color="auto" w:fill="auto"/>
            <w:noWrap/>
            <w:vAlign w:val="center"/>
            <w:hideMark/>
          </w:tcPr>
          <w:p w14:paraId="27A77BB5"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0.18</w:t>
            </w:r>
          </w:p>
        </w:tc>
        <w:tc>
          <w:tcPr>
            <w:tcW w:w="329" w:type="pct"/>
            <w:tcBorders>
              <w:top w:val="nil"/>
              <w:left w:val="nil"/>
              <w:bottom w:val="nil"/>
              <w:right w:val="nil"/>
            </w:tcBorders>
            <w:shd w:val="clear" w:color="auto" w:fill="auto"/>
            <w:noWrap/>
            <w:vAlign w:val="center"/>
            <w:hideMark/>
          </w:tcPr>
          <w:p w14:paraId="5F41976F"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0.17</w:t>
            </w:r>
          </w:p>
        </w:tc>
        <w:tc>
          <w:tcPr>
            <w:tcW w:w="329" w:type="pct"/>
            <w:tcBorders>
              <w:top w:val="nil"/>
              <w:left w:val="nil"/>
              <w:bottom w:val="nil"/>
              <w:right w:val="nil"/>
            </w:tcBorders>
            <w:shd w:val="clear" w:color="auto" w:fill="auto"/>
            <w:noWrap/>
            <w:vAlign w:val="center"/>
            <w:hideMark/>
          </w:tcPr>
          <w:p w14:paraId="725B5E81"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0.07</w:t>
            </w:r>
          </w:p>
        </w:tc>
        <w:tc>
          <w:tcPr>
            <w:tcW w:w="329" w:type="pct"/>
            <w:tcBorders>
              <w:top w:val="nil"/>
              <w:left w:val="nil"/>
              <w:bottom w:val="nil"/>
              <w:right w:val="nil"/>
            </w:tcBorders>
            <w:shd w:val="clear" w:color="auto" w:fill="auto"/>
            <w:noWrap/>
            <w:vAlign w:val="center"/>
            <w:hideMark/>
          </w:tcPr>
          <w:p w14:paraId="36456B42"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0.20</w:t>
            </w:r>
          </w:p>
        </w:tc>
        <w:tc>
          <w:tcPr>
            <w:tcW w:w="329" w:type="pct"/>
            <w:tcBorders>
              <w:top w:val="nil"/>
              <w:left w:val="nil"/>
              <w:bottom w:val="nil"/>
              <w:right w:val="nil"/>
            </w:tcBorders>
            <w:shd w:val="clear" w:color="auto" w:fill="auto"/>
            <w:noWrap/>
            <w:vAlign w:val="center"/>
            <w:hideMark/>
          </w:tcPr>
          <w:p w14:paraId="20308823"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0.22</w:t>
            </w:r>
          </w:p>
        </w:tc>
        <w:tc>
          <w:tcPr>
            <w:tcW w:w="329" w:type="pct"/>
            <w:tcBorders>
              <w:top w:val="nil"/>
              <w:left w:val="nil"/>
              <w:bottom w:val="nil"/>
              <w:right w:val="nil"/>
            </w:tcBorders>
            <w:shd w:val="clear" w:color="auto" w:fill="auto"/>
            <w:noWrap/>
            <w:vAlign w:val="center"/>
            <w:hideMark/>
          </w:tcPr>
          <w:p w14:paraId="00E3734C"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1</w:t>
            </w:r>
          </w:p>
        </w:tc>
        <w:tc>
          <w:tcPr>
            <w:tcW w:w="329" w:type="pct"/>
            <w:tcBorders>
              <w:top w:val="nil"/>
              <w:left w:val="nil"/>
              <w:bottom w:val="nil"/>
              <w:right w:val="nil"/>
            </w:tcBorders>
            <w:shd w:val="clear" w:color="auto" w:fill="auto"/>
            <w:noWrap/>
            <w:vAlign w:val="center"/>
            <w:hideMark/>
          </w:tcPr>
          <w:p w14:paraId="30CAD026"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6FA01BB8"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6C5445FC"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7" w:type="pct"/>
            <w:tcBorders>
              <w:top w:val="nil"/>
              <w:left w:val="nil"/>
              <w:bottom w:val="nil"/>
              <w:right w:val="nil"/>
            </w:tcBorders>
            <w:shd w:val="clear" w:color="auto" w:fill="auto"/>
            <w:noWrap/>
            <w:vAlign w:val="center"/>
            <w:hideMark/>
          </w:tcPr>
          <w:p w14:paraId="780DB893"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r>
      <w:tr w:rsidR="00C90AC3" w:rsidRPr="00D21B0F" w14:paraId="3BC15C9A" w14:textId="77777777" w:rsidTr="00792BC3">
        <w:trPr>
          <w:trHeight w:val="432"/>
        </w:trPr>
        <w:tc>
          <w:tcPr>
            <w:tcW w:w="727" w:type="pct"/>
            <w:tcBorders>
              <w:top w:val="nil"/>
              <w:left w:val="nil"/>
              <w:bottom w:val="nil"/>
              <w:right w:val="nil"/>
            </w:tcBorders>
            <w:shd w:val="clear" w:color="auto" w:fill="auto"/>
            <w:noWrap/>
            <w:vAlign w:val="center"/>
            <w:hideMark/>
          </w:tcPr>
          <w:p w14:paraId="5299B0AE" w14:textId="77777777" w:rsidR="00C90AC3" w:rsidRPr="00D21B0F" w:rsidRDefault="00C90AC3" w:rsidP="00803726">
            <w:pPr>
              <w:spacing w:after="0" w:line="240" w:lineRule="auto"/>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Size (10)</w:t>
            </w:r>
          </w:p>
        </w:tc>
        <w:tc>
          <w:tcPr>
            <w:tcW w:w="326" w:type="pct"/>
            <w:tcBorders>
              <w:top w:val="nil"/>
              <w:left w:val="nil"/>
              <w:bottom w:val="nil"/>
              <w:right w:val="nil"/>
            </w:tcBorders>
            <w:shd w:val="clear" w:color="auto" w:fill="auto"/>
            <w:noWrap/>
            <w:vAlign w:val="center"/>
            <w:hideMark/>
          </w:tcPr>
          <w:p w14:paraId="6D1BE0DE"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0.58</w:t>
            </w:r>
          </w:p>
        </w:tc>
        <w:tc>
          <w:tcPr>
            <w:tcW w:w="329" w:type="pct"/>
            <w:tcBorders>
              <w:top w:val="nil"/>
              <w:left w:val="nil"/>
              <w:bottom w:val="nil"/>
              <w:right w:val="nil"/>
            </w:tcBorders>
            <w:shd w:val="clear" w:color="auto" w:fill="auto"/>
            <w:noWrap/>
            <w:vAlign w:val="center"/>
            <w:hideMark/>
          </w:tcPr>
          <w:p w14:paraId="618EA6CC"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0.74</w:t>
            </w:r>
          </w:p>
        </w:tc>
        <w:tc>
          <w:tcPr>
            <w:tcW w:w="329" w:type="pct"/>
            <w:tcBorders>
              <w:top w:val="nil"/>
              <w:left w:val="nil"/>
              <w:bottom w:val="nil"/>
              <w:right w:val="nil"/>
            </w:tcBorders>
            <w:shd w:val="clear" w:color="auto" w:fill="auto"/>
            <w:noWrap/>
            <w:vAlign w:val="center"/>
            <w:hideMark/>
          </w:tcPr>
          <w:p w14:paraId="38A1CD95"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-0.01</w:t>
            </w:r>
          </w:p>
        </w:tc>
        <w:tc>
          <w:tcPr>
            <w:tcW w:w="329" w:type="pct"/>
            <w:tcBorders>
              <w:top w:val="nil"/>
              <w:left w:val="nil"/>
              <w:bottom w:val="nil"/>
              <w:right w:val="nil"/>
            </w:tcBorders>
            <w:shd w:val="clear" w:color="auto" w:fill="auto"/>
            <w:noWrap/>
            <w:vAlign w:val="center"/>
            <w:hideMark/>
          </w:tcPr>
          <w:p w14:paraId="32588F11"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0.44</w:t>
            </w:r>
          </w:p>
        </w:tc>
        <w:tc>
          <w:tcPr>
            <w:tcW w:w="329" w:type="pct"/>
            <w:tcBorders>
              <w:top w:val="nil"/>
              <w:left w:val="nil"/>
              <w:bottom w:val="nil"/>
              <w:right w:val="nil"/>
            </w:tcBorders>
            <w:shd w:val="clear" w:color="auto" w:fill="auto"/>
            <w:noWrap/>
            <w:vAlign w:val="center"/>
            <w:hideMark/>
          </w:tcPr>
          <w:p w14:paraId="0A755306"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0.37</w:t>
            </w:r>
          </w:p>
        </w:tc>
        <w:tc>
          <w:tcPr>
            <w:tcW w:w="329" w:type="pct"/>
            <w:tcBorders>
              <w:top w:val="nil"/>
              <w:left w:val="nil"/>
              <w:bottom w:val="nil"/>
              <w:right w:val="nil"/>
            </w:tcBorders>
            <w:shd w:val="clear" w:color="auto" w:fill="auto"/>
            <w:noWrap/>
            <w:vAlign w:val="center"/>
            <w:hideMark/>
          </w:tcPr>
          <w:p w14:paraId="51FECA78"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0.57</w:t>
            </w:r>
          </w:p>
        </w:tc>
        <w:tc>
          <w:tcPr>
            <w:tcW w:w="329" w:type="pct"/>
            <w:tcBorders>
              <w:top w:val="nil"/>
              <w:left w:val="nil"/>
              <w:bottom w:val="nil"/>
              <w:right w:val="nil"/>
            </w:tcBorders>
            <w:shd w:val="clear" w:color="auto" w:fill="auto"/>
            <w:noWrap/>
            <w:vAlign w:val="center"/>
            <w:hideMark/>
          </w:tcPr>
          <w:p w14:paraId="36AA4DC3"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0.32</w:t>
            </w:r>
          </w:p>
        </w:tc>
        <w:tc>
          <w:tcPr>
            <w:tcW w:w="329" w:type="pct"/>
            <w:tcBorders>
              <w:top w:val="nil"/>
              <w:left w:val="nil"/>
              <w:bottom w:val="nil"/>
              <w:right w:val="nil"/>
            </w:tcBorders>
            <w:shd w:val="clear" w:color="auto" w:fill="auto"/>
            <w:noWrap/>
            <w:vAlign w:val="center"/>
            <w:hideMark/>
          </w:tcPr>
          <w:p w14:paraId="3E760875"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0.58</w:t>
            </w:r>
          </w:p>
        </w:tc>
        <w:tc>
          <w:tcPr>
            <w:tcW w:w="329" w:type="pct"/>
            <w:tcBorders>
              <w:top w:val="nil"/>
              <w:left w:val="nil"/>
              <w:bottom w:val="nil"/>
              <w:right w:val="nil"/>
            </w:tcBorders>
            <w:shd w:val="clear" w:color="auto" w:fill="auto"/>
            <w:noWrap/>
            <w:vAlign w:val="center"/>
            <w:hideMark/>
          </w:tcPr>
          <w:p w14:paraId="512F4971"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0.21</w:t>
            </w:r>
          </w:p>
        </w:tc>
        <w:tc>
          <w:tcPr>
            <w:tcW w:w="329" w:type="pct"/>
            <w:tcBorders>
              <w:top w:val="nil"/>
              <w:left w:val="nil"/>
              <w:bottom w:val="nil"/>
              <w:right w:val="nil"/>
            </w:tcBorders>
            <w:shd w:val="clear" w:color="auto" w:fill="auto"/>
            <w:noWrap/>
            <w:vAlign w:val="center"/>
            <w:hideMark/>
          </w:tcPr>
          <w:p w14:paraId="1E216532"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1</w:t>
            </w:r>
          </w:p>
        </w:tc>
        <w:tc>
          <w:tcPr>
            <w:tcW w:w="329" w:type="pct"/>
            <w:tcBorders>
              <w:top w:val="nil"/>
              <w:left w:val="nil"/>
              <w:bottom w:val="nil"/>
              <w:right w:val="nil"/>
            </w:tcBorders>
            <w:shd w:val="clear" w:color="auto" w:fill="auto"/>
            <w:noWrap/>
            <w:vAlign w:val="center"/>
            <w:hideMark/>
          </w:tcPr>
          <w:p w14:paraId="0233ED49"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9" w:type="pct"/>
            <w:tcBorders>
              <w:top w:val="nil"/>
              <w:left w:val="nil"/>
              <w:bottom w:val="nil"/>
              <w:right w:val="nil"/>
            </w:tcBorders>
            <w:shd w:val="clear" w:color="auto" w:fill="auto"/>
            <w:noWrap/>
            <w:vAlign w:val="center"/>
            <w:hideMark/>
          </w:tcPr>
          <w:p w14:paraId="1D22ACE3"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7" w:type="pct"/>
            <w:tcBorders>
              <w:top w:val="nil"/>
              <w:left w:val="nil"/>
              <w:bottom w:val="nil"/>
              <w:right w:val="nil"/>
            </w:tcBorders>
            <w:shd w:val="clear" w:color="auto" w:fill="auto"/>
            <w:noWrap/>
            <w:vAlign w:val="center"/>
            <w:hideMark/>
          </w:tcPr>
          <w:p w14:paraId="564F501D"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r>
      <w:tr w:rsidR="00C90AC3" w:rsidRPr="00D21B0F" w14:paraId="3BC4EA91" w14:textId="77777777" w:rsidTr="00792BC3">
        <w:trPr>
          <w:trHeight w:val="432"/>
        </w:trPr>
        <w:tc>
          <w:tcPr>
            <w:tcW w:w="727" w:type="pct"/>
            <w:tcBorders>
              <w:top w:val="nil"/>
              <w:left w:val="nil"/>
              <w:bottom w:val="nil"/>
              <w:right w:val="nil"/>
            </w:tcBorders>
            <w:shd w:val="clear" w:color="auto" w:fill="auto"/>
            <w:noWrap/>
            <w:vAlign w:val="center"/>
            <w:hideMark/>
          </w:tcPr>
          <w:p w14:paraId="040A4149" w14:textId="77777777" w:rsidR="00C90AC3" w:rsidRPr="00D21B0F" w:rsidRDefault="00C90AC3" w:rsidP="00803726">
            <w:pPr>
              <w:spacing w:after="0" w:line="240" w:lineRule="auto"/>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ROA (11)</w:t>
            </w:r>
          </w:p>
        </w:tc>
        <w:tc>
          <w:tcPr>
            <w:tcW w:w="326" w:type="pct"/>
            <w:tcBorders>
              <w:top w:val="nil"/>
              <w:left w:val="nil"/>
              <w:bottom w:val="nil"/>
              <w:right w:val="nil"/>
            </w:tcBorders>
            <w:shd w:val="clear" w:color="auto" w:fill="auto"/>
            <w:noWrap/>
            <w:vAlign w:val="center"/>
            <w:hideMark/>
          </w:tcPr>
          <w:p w14:paraId="18774FFC"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-0.05</w:t>
            </w:r>
          </w:p>
        </w:tc>
        <w:tc>
          <w:tcPr>
            <w:tcW w:w="329" w:type="pct"/>
            <w:tcBorders>
              <w:top w:val="nil"/>
              <w:left w:val="nil"/>
              <w:bottom w:val="nil"/>
              <w:right w:val="nil"/>
            </w:tcBorders>
            <w:shd w:val="clear" w:color="auto" w:fill="auto"/>
            <w:noWrap/>
            <w:vAlign w:val="center"/>
            <w:hideMark/>
          </w:tcPr>
          <w:p w14:paraId="34442E72"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-0.08</w:t>
            </w:r>
          </w:p>
        </w:tc>
        <w:tc>
          <w:tcPr>
            <w:tcW w:w="329" w:type="pct"/>
            <w:tcBorders>
              <w:top w:val="nil"/>
              <w:left w:val="nil"/>
              <w:bottom w:val="nil"/>
              <w:right w:val="nil"/>
            </w:tcBorders>
            <w:shd w:val="clear" w:color="auto" w:fill="auto"/>
            <w:noWrap/>
            <w:vAlign w:val="center"/>
            <w:hideMark/>
          </w:tcPr>
          <w:p w14:paraId="36B69239"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-0.07</w:t>
            </w:r>
          </w:p>
        </w:tc>
        <w:tc>
          <w:tcPr>
            <w:tcW w:w="329" w:type="pct"/>
            <w:tcBorders>
              <w:top w:val="nil"/>
              <w:left w:val="nil"/>
              <w:bottom w:val="nil"/>
              <w:right w:val="nil"/>
            </w:tcBorders>
            <w:shd w:val="clear" w:color="auto" w:fill="auto"/>
            <w:noWrap/>
            <w:vAlign w:val="center"/>
            <w:hideMark/>
          </w:tcPr>
          <w:p w14:paraId="15146123"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-0.01</w:t>
            </w:r>
          </w:p>
        </w:tc>
        <w:tc>
          <w:tcPr>
            <w:tcW w:w="329" w:type="pct"/>
            <w:tcBorders>
              <w:top w:val="nil"/>
              <w:left w:val="nil"/>
              <w:bottom w:val="nil"/>
              <w:right w:val="nil"/>
            </w:tcBorders>
            <w:shd w:val="clear" w:color="auto" w:fill="auto"/>
            <w:noWrap/>
            <w:vAlign w:val="center"/>
            <w:hideMark/>
          </w:tcPr>
          <w:p w14:paraId="49DF39AE"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0.04</w:t>
            </w:r>
          </w:p>
        </w:tc>
        <w:tc>
          <w:tcPr>
            <w:tcW w:w="329" w:type="pct"/>
            <w:tcBorders>
              <w:top w:val="nil"/>
              <w:left w:val="nil"/>
              <w:bottom w:val="nil"/>
              <w:right w:val="nil"/>
            </w:tcBorders>
            <w:shd w:val="clear" w:color="auto" w:fill="auto"/>
            <w:noWrap/>
            <w:vAlign w:val="center"/>
            <w:hideMark/>
          </w:tcPr>
          <w:p w14:paraId="13B4AA5F"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-0.03</w:t>
            </w:r>
          </w:p>
        </w:tc>
        <w:tc>
          <w:tcPr>
            <w:tcW w:w="329" w:type="pct"/>
            <w:tcBorders>
              <w:top w:val="nil"/>
              <w:left w:val="nil"/>
              <w:bottom w:val="nil"/>
              <w:right w:val="nil"/>
            </w:tcBorders>
            <w:shd w:val="clear" w:color="auto" w:fill="auto"/>
            <w:noWrap/>
            <w:vAlign w:val="center"/>
            <w:hideMark/>
          </w:tcPr>
          <w:p w14:paraId="14F8B00B"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-0.01</w:t>
            </w:r>
          </w:p>
        </w:tc>
        <w:tc>
          <w:tcPr>
            <w:tcW w:w="329" w:type="pct"/>
            <w:tcBorders>
              <w:top w:val="nil"/>
              <w:left w:val="nil"/>
              <w:bottom w:val="nil"/>
              <w:right w:val="nil"/>
            </w:tcBorders>
            <w:shd w:val="clear" w:color="auto" w:fill="auto"/>
            <w:noWrap/>
            <w:vAlign w:val="center"/>
            <w:hideMark/>
          </w:tcPr>
          <w:p w14:paraId="23864BF2"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0.00</w:t>
            </w:r>
          </w:p>
        </w:tc>
        <w:tc>
          <w:tcPr>
            <w:tcW w:w="329" w:type="pct"/>
            <w:tcBorders>
              <w:top w:val="nil"/>
              <w:left w:val="nil"/>
              <w:bottom w:val="nil"/>
              <w:right w:val="nil"/>
            </w:tcBorders>
            <w:shd w:val="clear" w:color="auto" w:fill="auto"/>
            <w:noWrap/>
            <w:vAlign w:val="center"/>
            <w:hideMark/>
          </w:tcPr>
          <w:p w14:paraId="721C545C"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-0.09</w:t>
            </w:r>
          </w:p>
        </w:tc>
        <w:tc>
          <w:tcPr>
            <w:tcW w:w="329" w:type="pct"/>
            <w:tcBorders>
              <w:top w:val="nil"/>
              <w:left w:val="nil"/>
              <w:bottom w:val="nil"/>
              <w:right w:val="nil"/>
            </w:tcBorders>
            <w:shd w:val="clear" w:color="auto" w:fill="auto"/>
            <w:noWrap/>
            <w:vAlign w:val="center"/>
            <w:hideMark/>
          </w:tcPr>
          <w:p w14:paraId="43DD3845"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-0.20</w:t>
            </w:r>
          </w:p>
        </w:tc>
        <w:tc>
          <w:tcPr>
            <w:tcW w:w="329" w:type="pct"/>
            <w:tcBorders>
              <w:top w:val="nil"/>
              <w:left w:val="nil"/>
              <w:bottom w:val="nil"/>
              <w:right w:val="nil"/>
            </w:tcBorders>
            <w:shd w:val="clear" w:color="auto" w:fill="auto"/>
            <w:noWrap/>
            <w:vAlign w:val="center"/>
            <w:hideMark/>
          </w:tcPr>
          <w:p w14:paraId="18C489CF"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1</w:t>
            </w:r>
          </w:p>
        </w:tc>
        <w:tc>
          <w:tcPr>
            <w:tcW w:w="329" w:type="pct"/>
            <w:tcBorders>
              <w:top w:val="nil"/>
              <w:left w:val="nil"/>
              <w:bottom w:val="nil"/>
              <w:right w:val="nil"/>
            </w:tcBorders>
            <w:shd w:val="clear" w:color="auto" w:fill="auto"/>
            <w:noWrap/>
            <w:vAlign w:val="center"/>
            <w:hideMark/>
          </w:tcPr>
          <w:p w14:paraId="46E77C67"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c>
          <w:tcPr>
            <w:tcW w:w="327" w:type="pct"/>
            <w:tcBorders>
              <w:top w:val="nil"/>
              <w:left w:val="nil"/>
              <w:bottom w:val="nil"/>
              <w:right w:val="nil"/>
            </w:tcBorders>
            <w:shd w:val="clear" w:color="auto" w:fill="auto"/>
            <w:noWrap/>
            <w:vAlign w:val="center"/>
            <w:hideMark/>
          </w:tcPr>
          <w:p w14:paraId="399C49B8"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r>
      <w:tr w:rsidR="00C90AC3" w:rsidRPr="00D21B0F" w14:paraId="006B035D" w14:textId="77777777" w:rsidTr="00792BC3">
        <w:trPr>
          <w:trHeight w:val="432"/>
        </w:trPr>
        <w:tc>
          <w:tcPr>
            <w:tcW w:w="727" w:type="pct"/>
            <w:tcBorders>
              <w:top w:val="nil"/>
              <w:left w:val="nil"/>
              <w:bottom w:val="nil"/>
              <w:right w:val="nil"/>
            </w:tcBorders>
            <w:shd w:val="clear" w:color="auto" w:fill="auto"/>
            <w:noWrap/>
            <w:vAlign w:val="center"/>
            <w:hideMark/>
          </w:tcPr>
          <w:p w14:paraId="0C678489" w14:textId="77777777" w:rsidR="00C90AC3" w:rsidRPr="00D21B0F" w:rsidRDefault="00C90AC3" w:rsidP="00803726">
            <w:pPr>
              <w:spacing w:after="0" w:line="240" w:lineRule="auto"/>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Leverage (12)</w:t>
            </w:r>
          </w:p>
        </w:tc>
        <w:tc>
          <w:tcPr>
            <w:tcW w:w="326" w:type="pct"/>
            <w:tcBorders>
              <w:top w:val="nil"/>
              <w:left w:val="nil"/>
              <w:bottom w:val="nil"/>
              <w:right w:val="nil"/>
            </w:tcBorders>
            <w:shd w:val="clear" w:color="auto" w:fill="auto"/>
            <w:noWrap/>
            <w:vAlign w:val="center"/>
            <w:hideMark/>
          </w:tcPr>
          <w:p w14:paraId="7A5436A9"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0.09</w:t>
            </w:r>
          </w:p>
        </w:tc>
        <w:tc>
          <w:tcPr>
            <w:tcW w:w="329" w:type="pct"/>
            <w:tcBorders>
              <w:top w:val="nil"/>
              <w:left w:val="nil"/>
              <w:bottom w:val="nil"/>
              <w:right w:val="nil"/>
            </w:tcBorders>
            <w:shd w:val="clear" w:color="auto" w:fill="auto"/>
            <w:noWrap/>
            <w:vAlign w:val="center"/>
            <w:hideMark/>
          </w:tcPr>
          <w:p w14:paraId="0BC1E8C2"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0.16</w:t>
            </w:r>
          </w:p>
        </w:tc>
        <w:tc>
          <w:tcPr>
            <w:tcW w:w="329" w:type="pct"/>
            <w:tcBorders>
              <w:top w:val="nil"/>
              <w:left w:val="nil"/>
              <w:bottom w:val="nil"/>
              <w:right w:val="nil"/>
            </w:tcBorders>
            <w:shd w:val="clear" w:color="auto" w:fill="auto"/>
            <w:noWrap/>
            <w:vAlign w:val="center"/>
            <w:hideMark/>
          </w:tcPr>
          <w:p w14:paraId="290B1B97"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-0.05</w:t>
            </w:r>
          </w:p>
        </w:tc>
        <w:tc>
          <w:tcPr>
            <w:tcW w:w="329" w:type="pct"/>
            <w:tcBorders>
              <w:top w:val="nil"/>
              <w:left w:val="nil"/>
              <w:bottom w:val="nil"/>
              <w:right w:val="nil"/>
            </w:tcBorders>
            <w:shd w:val="clear" w:color="auto" w:fill="auto"/>
            <w:noWrap/>
            <w:vAlign w:val="center"/>
            <w:hideMark/>
          </w:tcPr>
          <w:p w14:paraId="2A2E43C7"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-0.02</w:t>
            </w:r>
          </w:p>
        </w:tc>
        <w:tc>
          <w:tcPr>
            <w:tcW w:w="329" w:type="pct"/>
            <w:tcBorders>
              <w:top w:val="nil"/>
              <w:left w:val="nil"/>
              <w:bottom w:val="nil"/>
              <w:right w:val="nil"/>
            </w:tcBorders>
            <w:shd w:val="clear" w:color="auto" w:fill="auto"/>
            <w:noWrap/>
            <w:vAlign w:val="center"/>
            <w:hideMark/>
          </w:tcPr>
          <w:p w14:paraId="4BEAED8D"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-0.01</w:t>
            </w:r>
          </w:p>
        </w:tc>
        <w:tc>
          <w:tcPr>
            <w:tcW w:w="329" w:type="pct"/>
            <w:tcBorders>
              <w:top w:val="nil"/>
              <w:left w:val="nil"/>
              <w:bottom w:val="nil"/>
              <w:right w:val="nil"/>
            </w:tcBorders>
            <w:shd w:val="clear" w:color="auto" w:fill="auto"/>
            <w:noWrap/>
            <w:vAlign w:val="center"/>
            <w:hideMark/>
          </w:tcPr>
          <w:p w14:paraId="0EA82646"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0.06</w:t>
            </w:r>
          </w:p>
        </w:tc>
        <w:tc>
          <w:tcPr>
            <w:tcW w:w="329" w:type="pct"/>
            <w:tcBorders>
              <w:top w:val="nil"/>
              <w:left w:val="nil"/>
              <w:bottom w:val="nil"/>
              <w:right w:val="nil"/>
            </w:tcBorders>
            <w:shd w:val="clear" w:color="auto" w:fill="auto"/>
            <w:noWrap/>
            <w:vAlign w:val="center"/>
            <w:hideMark/>
          </w:tcPr>
          <w:p w14:paraId="63D0FC0E"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-0.03</w:t>
            </w:r>
          </w:p>
        </w:tc>
        <w:tc>
          <w:tcPr>
            <w:tcW w:w="329" w:type="pct"/>
            <w:tcBorders>
              <w:top w:val="nil"/>
              <w:left w:val="nil"/>
              <w:bottom w:val="nil"/>
              <w:right w:val="nil"/>
            </w:tcBorders>
            <w:shd w:val="clear" w:color="auto" w:fill="auto"/>
            <w:noWrap/>
            <w:vAlign w:val="center"/>
            <w:hideMark/>
          </w:tcPr>
          <w:p w14:paraId="6362A0DE"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0.00</w:t>
            </w:r>
          </w:p>
        </w:tc>
        <w:tc>
          <w:tcPr>
            <w:tcW w:w="329" w:type="pct"/>
            <w:tcBorders>
              <w:top w:val="nil"/>
              <w:left w:val="nil"/>
              <w:bottom w:val="nil"/>
              <w:right w:val="nil"/>
            </w:tcBorders>
            <w:shd w:val="clear" w:color="auto" w:fill="auto"/>
            <w:noWrap/>
            <w:vAlign w:val="center"/>
            <w:hideMark/>
          </w:tcPr>
          <w:p w14:paraId="59C2412F"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-0.02</w:t>
            </w:r>
          </w:p>
        </w:tc>
        <w:tc>
          <w:tcPr>
            <w:tcW w:w="329" w:type="pct"/>
            <w:tcBorders>
              <w:top w:val="nil"/>
              <w:left w:val="nil"/>
              <w:bottom w:val="nil"/>
              <w:right w:val="nil"/>
            </w:tcBorders>
            <w:shd w:val="clear" w:color="auto" w:fill="auto"/>
            <w:noWrap/>
            <w:vAlign w:val="center"/>
            <w:hideMark/>
          </w:tcPr>
          <w:p w14:paraId="0C4B8E6E"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0.23</w:t>
            </w:r>
          </w:p>
        </w:tc>
        <w:tc>
          <w:tcPr>
            <w:tcW w:w="329" w:type="pct"/>
            <w:tcBorders>
              <w:top w:val="nil"/>
              <w:left w:val="nil"/>
              <w:bottom w:val="nil"/>
              <w:right w:val="nil"/>
            </w:tcBorders>
            <w:shd w:val="clear" w:color="auto" w:fill="auto"/>
            <w:noWrap/>
            <w:vAlign w:val="center"/>
            <w:hideMark/>
          </w:tcPr>
          <w:p w14:paraId="49A3CA15"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-0.11</w:t>
            </w:r>
          </w:p>
        </w:tc>
        <w:tc>
          <w:tcPr>
            <w:tcW w:w="329" w:type="pct"/>
            <w:tcBorders>
              <w:top w:val="nil"/>
              <w:left w:val="nil"/>
              <w:bottom w:val="nil"/>
              <w:right w:val="nil"/>
            </w:tcBorders>
            <w:shd w:val="clear" w:color="auto" w:fill="auto"/>
            <w:noWrap/>
            <w:vAlign w:val="center"/>
            <w:hideMark/>
          </w:tcPr>
          <w:p w14:paraId="2B8C6358"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1</w:t>
            </w:r>
          </w:p>
        </w:tc>
        <w:tc>
          <w:tcPr>
            <w:tcW w:w="327" w:type="pct"/>
            <w:tcBorders>
              <w:top w:val="nil"/>
              <w:left w:val="nil"/>
              <w:bottom w:val="nil"/>
              <w:right w:val="nil"/>
            </w:tcBorders>
            <w:shd w:val="clear" w:color="auto" w:fill="auto"/>
            <w:noWrap/>
            <w:vAlign w:val="center"/>
            <w:hideMark/>
          </w:tcPr>
          <w:p w14:paraId="43CBE708"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p>
        </w:tc>
      </w:tr>
      <w:tr w:rsidR="00C90AC3" w:rsidRPr="00D21B0F" w14:paraId="6D9A1ECE" w14:textId="77777777" w:rsidTr="00792BC3">
        <w:trPr>
          <w:trHeight w:val="432"/>
        </w:trPr>
        <w:tc>
          <w:tcPr>
            <w:tcW w:w="727" w:type="pct"/>
            <w:tcBorders>
              <w:top w:val="nil"/>
              <w:left w:val="nil"/>
              <w:right w:val="nil"/>
            </w:tcBorders>
            <w:shd w:val="clear" w:color="auto" w:fill="auto"/>
            <w:noWrap/>
            <w:vAlign w:val="center"/>
            <w:hideMark/>
          </w:tcPr>
          <w:p w14:paraId="246CB804" w14:textId="77777777" w:rsidR="00C90AC3" w:rsidRPr="00D21B0F" w:rsidRDefault="00C90AC3" w:rsidP="00803726">
            <w:pPr>
              <w:spacing w:after="0" w:line="240" w:lineRule="auto"/>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Intensity (13)</w:t>
            </w:r>
          </w:p>
        </w:tc>
        <w:tc>
          <w:tcPr>
            <w:tcW w:w="326" w:type="pct"/>
            <w:tcBorders>
              <w:top w:val="nil"/>
              <w:left w:val="nil"/>
              <w:right w:val="nil"/>
            </w:tcBorders>
            <w:shd w:val="clear" w:color="auto" w:fill="auto"/>
            <w:noWrap/>
            <w:vAlign w:val="center"/>
            <w:hideMark/>
          </w:tcPr>
          <w:p w14:paraId="79DC31E4"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0.14</w:t>
            </w:r>
          </w:p>
        </w:tc>
        <w:tc>
          <w:tcPr>
            <w:tcW w:w="329" w:type="pct"/>
            <w:tcBorders>
              <w:top w:val="nil"/>
              <w:left w:val="nil"/>
              <w:right w:val="nil"/>
            </w:tcBorders>
            <w:shd w:val="clear" w:color="auto" w:fill="auto"/>
            <w:noWrap/>
            <w:vAlign w:val="center"/>
            <w:hideMark/>
          </w:tcPr>
          <w:p w14:paraId="0F72E544"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0.47</w:t>
            </w:r>
          </w:p>
        </w:tc>
        <w:tc>
          <w:tcPr>
            <w:tcW w:w="329" w:type="pct"/>
            <w:tcBorders>
              <w:top w:val="nil"/>
              <w:left w:val="nil"/>
              <w:right w:val="nil"/>
            </w:tcBorders>
            <w:shd w:val="clear" w:color="auto" w:fill="auto"/>
            <w:noWrap/>
            <w:vAlign w:val="center"/>
            <w:hideMark/>
          </w:tcPr>
          <w:p w14:paraId="45D20D16"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-0.01</w:t>
            </w:r>
          </w:p>
        </w:tc>
        <w:tc>
          <w:tcPr>
            <w:tcW w:w="329" w:type="pct"/>
            <w:tcBorders>
              <w:top w:val="nil"/>
              <w:left w:val="nil"/>
              <w:right w:val="nil"/>
            </w:tcBorders>
            <w:shd w:val="clear" w:color="auto" w:fill="auto"/>
            <w:noWrap/>
            <w:vAlign w:val="center"/>
            <w:hideMark/>
          </w:tcPr>
          <w:p w14:paraId="264CE55A"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0.12</w:t>
            </w:r>
          </w:p>
        </w:tc>
        <w:tc>
          <w:tcPr>
            <w:tcW w:w="329" w:type="pct"/>
            <w:tcBorders>
              <w:top w:val="nil"/>
              <w:left w:val="nil"/>
              <w:right w:val="nil"/>
            </w:tcBorders>
            <w:shd w:val="clear" w:color="auto" w:fill="auto"/>
            <w:noWrap/>
            <w:vAlign w:val="center"/>
            <w:hideMark/>
          </w:tcPr>
          <w:p w14:paraId="6F0777CC"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0.15</w:t>
            </w:r>
          </w:p>
        </w:tc>
        <w:tc>
          <w:tcPr>
            <w:tcW w:w="329" w:type="pct"/>
            <w:tcBorders>
              <w:top w:val="nil"/>
              <w:left w:val="nil"/>
              <w:right w:val="nil"/>
            </w:tcBorders>
            <w:shd w:val="clear" w:color="auto" w:fill="auto"/>
            <w:noWrap/>
            <w:vAlign w:val="center"/>
            <w:hideMark/>
          </w:tcPr>
          <w:p w14:paraId="0C8BBF9A"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0.02</w:t>
            </w:r>
          </w:p>
        </w:tc>
        <w:tc>
          <w:tcPr>
            <w:tcW w:w="329" w:type="pct"/>
            <w:tcBorders>
              <w:top w:val="nil"/>
              <w:left w:val="nil"/>
              <w:right w:val="nil"/>
            </w:tcBorders>
            <w:shd w:val="clear" w:color="auto" w:fill="auto"/>
            <w:noWrap/>
            <w:vAlign w:val="center"/>
            <w:hideMark/>
          </w:tcPr>
          <w:p w14:paraId="68423F66"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0.04</w:t>
            </w:r>
          </w:p>
        </w:tc>
        <w:tc>
          <w:tcPr>
            <w:tcW w:w="329" w:type="pct"/>
            <w:tcBorders>
              <w:top w:val="nil"/>
              <w:left w:val="nil"/>
              <w:right w:val="nil"/>
            </w:tcBorders>
            <w:shd w:val="clear" w:color="auto" w:fill="auto"/>
            <w:noWrap/>
            <w:vAlign w:val="center"/>
            <w:hideMark/>
          </w:tcPr>
          <w:p w14:paraId="50871EB2"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0.01</w:t>
            </w:r>
          </w:p>
        </w:tc>
        <w:tc>
          <w:tcPr>
            <w:tcW w:w="329" w:type="pct"/>
            <w:tcBorders>
              <w:top w:val="nil"/>
              <w:left w:val="nil"/>
              <w:right w:val="nil"/>
            </w:tcBorders>
            <w:shd w:val="clear" w:color="auto" w:fill="auto"/>
            <w:noWrap/>
            <w:vAlign w:val="center"/>
            <w:hideMark/>
          </w:tcPr>
          <w:p w14:paraId="6AB1690E"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0.09</w:t>
            </w:r>
          </w:p>
        </w:tc>
        <w:tc>
          <w:tcPr>
            <w:tcW w:w="329" w:type="pct"/>
            <w:tcBorders>
              <w:top w:val="nil"/>
              <w:left w:val="nil"/>
              <w:right w:val="nil"/>
            </w:tcBorders>
            <w:shd w:val="clear" w:color="auto" w:fill="auto"/>
            <w:noWrap/>
            <w:vAlign w:val="center"/>
            <w:hideMark/>
          </w:tcPr>
          <w:p w14:paraId="3318287C"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0.14</w:t>
            </w:r>
          </w:p>
        </w:tc>
        <w:tc>
          <w:tcPr>
            <w:tcW w:w="329" w:type="pct"/>
            <w:tcBorders>
              <w:top w:val="nil"/>
              <w:left w:val="nil"/>
              <w:right w:val="nil"/>
            </w:tcBorders>
            <w:shd w:val="clear" w:color="auto" w:fill="auto"/>
            <w:noWrap/>
            <w:vAlign w:val="center"/>
            <w:hideMark/>
          </w:tcPr>
          <w:p w14:paraId="40D5F430"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-0.09</w:t>
            </w:r>
          </w:p>
        </w:tc>
        <w:tc>
          <w:tcPr>
            <w:tcW w:w="329" w:type="pct"/>
            <w:tcBorders>
              <w:top w:val="nil"/>
              <w:left w:val="nil"/>
              <w:right w:val="nil"/>
            </w:tcBorders>
            <w:shd w:val="clear" w:color="auto" w:fill="auto"/>
            <w:noWrap/>
            <w:vAlign w:val="center"/>
            <w:hideMark/>
          </w:tcPr>
          <w:p w14:paraId="6B05B8CA"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0.25</w:t>
            </w:r>
          </w:p>
        </w:tc>
        <w:tc>
          <w:tcPr>
            <w:tcW w:w="327" w:type="pct"/>
            <w:tcBorders>
              <w:top w:val="nil"/>
              <w:left w:val="nil"/>
              <w:right w:val="nil"/>
            </w:tcBorders>
            <w:shd w:val="clear" w:color="auto" w:fill="auto"/>
            <w:noWrap/>
            <w:vAlign w:val="center"/>
            <w:hideMark/>
          </w:tcPr>
          <w:p w14:paraId="558F180A"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1</w:t>
            </w:r>
          </w:p>
        </w:tc>
      </w:tr>
      <w:tr w:rsidR="00C90AC3" w:rsidRPr="00D21B0F" w14:paraId="6D3A4B31" w14:textId="77777777" w:rsidTr="00792BC3">
        <w:trPr>
          <w:trHeight w:val="432"/>
        </w:trPr>
        <w:tc>
          <w:tcPr>
            <w:tcW w:w="727" w:type="pct"/>
            <w:tcBorders>
              <w:top w:val="nil"/>
              <w:left w:val="nil"/>
              <w:bottom w:val="single" w:sz="4" w:space="0" w:color="auto"/>
              <w:right w:val="nil"/>
            </w:tcBorders>
            <w:shd w:val="clear" w:color="auto" w:fill="auto"/>
            <w:noWrap/>
            <w:vAlign w:val="center"/>
            <w:hideMark/>
          </w:tcPr>
          <w:p w14:paraId="4C9CC99C" w14:textId="77777777" w:rsidR="00C90AC3" w:rsidRPr="00D21B0F" w:rsidRDefault="00C90AC3" w:rsidP="00803726">
            <w:pPr>
              <w:spacing w:after="0" w:line="240" w:lineRule="auto"/>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Capex (14)</w:t>
            </w:r>
          </w:p>
        </w:tc>
        <w:tc>
          <w:tcPr>
            <w:tcW w:w="326" w:type="pct"/>
            <w:tcBorders>
              <w:top w:val="nil"/>
              <w:left w:val="nil"/>
              <w:bottom w:val="single" w:sz="4" w:space="0" w:color="auto"/>
              <w:right w:val="nil"/>
            </w:tcBorders>
            <w:shd w:val="clear" w:color="auto" w:fill="auto"/>
            <w:noWrap/>
            <w:vAlign w:val="center"/>
            <w:hideMark/>
          </w:tcPr>
          <w:p w14:paraId="35EF3A6B"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-0.02</w:t>
            </w:r>
          </w:p>
        </w:tc>
        <w:tc>
          <w:tcPr>
            <w:tcW w:w="329" w:type="pct"/>
            <w:tcBorders>
              <w:top w:val="nil"/>
              <w:left w:val="nil"/>
              <w:bottom w:val="single" w:sz="4" w:space="0" w:color="auto"/>
              <w:right w:val="nil"/>
            </w:tcBorders>
            <w:shd w:val="clear" w:color="auto" w:fill="auto"/>
            <w:noWrap/>
            <w:vAlign w:val="center"/>
            <w:hideMark/>
          </w:tcPr>
          <w:p w14:paraId="35A0DF0F"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0.19</w:t>
            </w:r>
          </w:p>
        </w:tc>
        <w:tc>
          <w:tcPr>
            <w:tcW w:w="329" w:type="pct"/>
            <w:tcBorders>
              <w:top w:val="nil"/>
              <w:left w:val="nil"/>
              <w:bottom w:val="single" w:sz="4" w:space="0" w:color="auto"/>
              <w:right w:val="nil"/>
            </w:tcBorders>
            <w:shd w:val="clear" w:color="auto" w:fill="auto"/>
            <w:noWrap/>
            <w:vAlign w:val="center"/>
            <w:hideMark/>
          </w:tcPr>
          <w:p w14:paraId="779A0129"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0.02</w:t>
            </w:r>
          </w:p>
        </w:tc>
        <w:tc>
          <w:tcPr>
            <w:tcW w:w="329" w:type="pct"/>
            <w:tcBorders>
              <w:top w:val="nil"/>
              <w:left w:val="nil"/>
              <w:bottom w:val="single" w:sz="4" w:space="0" w:color="auto"/>
              <w:right w:val="nil"/>
            </w:tcBorders>
            <w:shd w:val="clear" w:color="auto" w:fill="auto"/>
            <w:noWrap/>
            <w:vAlign w:val="center"/>
            <w:hideMark/>
          </w:tcPr>
          <w:p w14:paraId="6A2B835E"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0.10</w:t>
            </w:r>
          </w:p>
        </w:tc>
        <w:tc>
          <w:tcPr>
            <w:tcW w:w="329" w:type="pct"/>
            <w:tcBorders>
              <w:top w:val="nil"/>
              <w:left w:val="nil"/>
              <w:bottom w:val="single" w:sz="4" w:space="0" w:color="auto"/>
              <w:right w:val="nil"/>
            </w:tcBorders>
            <w:shd w:val="clear" w:color="auto" w:fill="auto"/>
            <w:noWrap/>
            <w:vAlign w:val="center"/>
            <w:hideMark/>
          </w:tcPr>
          <w:p w14:paraId="225BA88F"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0.07</w:t>
            </w:r>
          </w:p>
        </w:tc>
        <w:tc>
          <w:tcPr>
            <w:tcW w:w="329" w:type="pct"/>
            <w:tcBorders>
              <w:top w:val="nil"/>
              <w:left w:val="nil"/>
              <w:bottom w:val="single" w:sz="4" w:space="0" w:color="auto"/>
              <w:right w:val="nil"/>
            </w:tcBorders>
            <w:shd w:val="clear" w:color="auto" w:fill="auto"/>
            <w:noWrap/>
            <w:vAlign w:val="center"/>
            <w:hideMark/>
          </w:tcPr>
          <w:p w14:paraId="315E2FA5"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0.06</w:t>
            </w:r>
          </w:p>
        </w:tc>
        <w:tc>
          <w:tcPr>
            <w:tcW w:w="329" w:type="pct"/>
            <w:tcBorders>
              <w:top w:val="nil"/>
              <w:left w:val="nil"/>
              <w:bottom w:val="single" w:sz="4" w:space="0" w:color="auto"/>
              <w:right w:val="nil"/>
            </w:tcBorders>
            <w:shd w:val="clear" w:color="auto" w:fill="auto"/>
            <w:noWrap/>
            <w:vAlign w:val="center"/>
            <w:hideMark/>
          </w:tcPr>
          <w:p w14:paraId="0556A18A"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0.03</w:t>
            </w:r>
          </w:p>
        </w:tc>
        <w:tc>
          <w:tcPr>
            <w:tcW w:w="329" w:type="pct"/>
            <w:tcBorders>
              <w:top w:val="nil"/>
              <w:left w:val="nil"/>
              <w:bottom w:val="single" w:sz="4" w:space="0" w:color="auto"/>
              <w:right w:val="nil"/>
            </w:tcBorders>
            <w:shd w:val="clear" w:color="auto" w:fill="auto"/>
            <w:noWrap/>
            <w:vAlign w:val="center"/>
            <w:hideMark/>
          </w:tcPr>
          <w:p w14:paraId="677FE161"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0.03</w:t>
            </w:r>
          </w:p>
        </w:tc>
        <w:tc>
          <w:tcPr>
            <w:tcW w:w="329" w:type="pct"/>
            <w:tcBorders>
              <w:top w:val="nil"/>
              <w:left w:val="nil"/>
              <w:bottom w:val="single" w:sz="4" w:space="0" w:color="auto"/>
              <w:right w:val="nil"/>
            </w:tcBorders>
            <w:shd w:val="clear" w:color="auto" w:fill="auto"/>
            <w:noWrap/>
            <w:vAlign w:val="center"/>
            <w:hideMark/>
          </w:tcPr>
          <w:p w14:paraId="2FF6338F"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0.05</w:t>
            </w:r>
          </w:p>
        </w:tc>
        <w:tc>
          <w:tcPr>
            <w:tcW w:w="329" w:type="pct"/>
            <w:tcBorders>
              <w:top w:val="nil"/>
              <w:left w:val="nil"/>
              <w:bottom w:val="single" w:sz="4" w:space="0" w:color="auto"/>
              <w:right w:val="nil"/>
            </w:tcBorders>
            <w:shd w:val="clear" w:color="auto" w:fill="auto"/>
            <w:noWrap/>
            <w:vAlign w:val="center"/>
            <w:hideMark/>
          </w:tcPr>
          <w:p w14:paraId="1324CF51"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0.04</w:t>
            </w:r>
          </w:p>
        </w:tc>
        <w:tc>
          <w:tcPr>
            <w:tcW w:w="329" w:type="pct"/>
            <w:tcBorders>
              <w:top w:val="nil"/>
              <w:left w:val="nil"/>
              <w:bottom w:val="single" w:sz="4" w:space="0" w:color="auto"/>
              <w:right w:val="nil"/>
            </w:tcBorders>
            <w:shd w:val="clear" w:color="auto" w:fill="auto"/>
            <w:noWrap/>
            <w:vAlign w:val="center"/>
            <w:hideMark/>
          </w:tcPr>
          <w:p w14:paraId="06320C27"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-0.01</w:t>
            </w:r>
          </w:p>
        </w:tc>
        <w:tc>
          <w:tcPr>
            <w:tcW w:w="329" w:type="pct"/>
            <w:tcBorders>
              <w:top w:val="nil"/>
              <w:left w:val="nil"/>
              <w:bottom w:val="single" w:sz="4" w:space="0" w:color="auto"/>
              <w:right w:val="nil"/>
            </w:tcBorders>
            <w:shd w:val="clear" w:color="auto" w:fill="auto"/>
            <w:noWrap/>
            <w:vAlign w:val="center"/>
            <w:hideMark/>
          </w:tcPr>
          <w:p w14:paraId="4908F0B6"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0.04</w:t>
            </w:r>
          </w:p>
        </w:tc>
        <w:tc>
          <w:tcPr>
            <w:tcW w:w="327" w:type="pct"/>
            <w:tcBorders>
              <w:top w:val="nil"/>
              <w:left w:val="nil"/>
              <w:bottom w:val="single" w:sz="4" w:space="0" w:color="auto"/>
              <w:right w:val="nil"/>
            </w:tcBorders>
            <w:shd w:val="clear" w:color="auto" w:fill="auto"/>
            <w:noWrap/>
            <w:vAlign w:val="center"/>
            <w:hideMark/>
          </w:tcPr>
          <w:p w14:paraId="770746F6" w14:textId="77777777" w:rsidR="00C90AC3" w:rsidRPr="00D21B0F" w:rsidRDefault="00C90AC3" w:rsidP="00803726">
            <w:pPr>
              <w:spacing w:after="0" w:line="240" w:lineRule="auto"/>
              <w:jc w:val="center"/>
              <w:rPr>
                <w:rFonts w:ascii="Times New Roman" w:eastAsia="Times New Roman" w:hAnsi="Times New Roman" w:cs="Times New Roman"/>
                <w:color w:val="000000"/>
                <w:sz w:val="18"/>
                <w:szCs w:val="18"/>
                <w:lang w:val="en-US"/>
              </w:rPr>
            </w:pPr>
            <w:r w:rsidRPr="00D21B0F">
              <w:rPr>
                <w:rFonts w:ascii="Times New Roman" w:eastAsia="Times New Roman" w:hAnsi="Times New Roman" w:cs="Times New Roman"/>
                <w:color w:val="000000"/>
                <w:sz w:val="18"/>
                <w:szCs w:val="18"/>
                <w:lang w:val="en-US"/>
              </w:rPr>
              <w:t>0.29</w:t>
            </w:r>
          </w:p>
        </w:tc>
      </w:tr>
    </w:tbl>
    <w:p w14:paraId="70639281" w14:textId="77777777" w:rsidR="00C90AC3" w:rsidRDefault="00C90AC3" w:rsidP="00C90AC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Notes: Please see Table 2 for v</w:t>
      </w:r>
      <w:r w:rsidRPr="00F50E3A">
        <w:rPr>
          <w:rFonts w:ascii="Times New Roman" w:hAnsi="Times New Roman" w:cs="Times New Roman"/>
          <w:sz w:val="20"/>
          <w:szCs w:val="20"/>
        </w:rPr>
        <w:t>ariable definitions</w:t>
      </w:r>
      <w:r>
        <w:rPr>
          <w:rFonts w:ascii="Times New Roman" w:hAnsi="Times New Roman" w:cs="Times New Roman"/>
          <w:sz w:val="20"/>
          <w:szCs w:val="20"/>
        </w:rPr>
        <w:t>.</w:t>
      </w:r>
    </w:p>
    <w:p w14:paraId="38E2EC98" w14:textId="5F1DB8B5" w:rsidR="00CD5E75" w:rsidRDefault="00CD5E75">
      <w:pPr>
        <w:rPr>
          <w:rFonts w:ascii="Times New Roman" w:hAnsi="Times New Roman" w:cs="Times New Roman"/>
          <w:b/>
          <w:sz w:val="24"/>
          <w:szCs w:val="24"/>
        </w:rPr>
      </w:pPr>
      <w:r>
        <w:rPr>
          <w:rFonts w:ascii="Times New Roman" w:hAnsi="Times New Roman" w:cs="Times New Roman"/>
          <w:b/>
          <w:sz w:val="24"/>
          <w:szCs w:val="24"/>
        </w:rPr>
        <w:br w:type="page"/>
      </w:r>
    </w:p>
    <w:p w14:paraId="00517438" w14:textId="77777777" w:rsidR="00C90AC3" w:rsidRDefault="00C90AC3" w:rsidP="00D714B6">
      <w:pPr>
        <w:rPr>
          <w:rFonts w:ascii="Times New Roman" w:hAnsi="Times New Roman" w:cs="Times New Roman"/>
          <w:b/>
          <w:sz w:val="24"/>
          <w:szCs w:val="24"/>
        </w:rPr>
        <w:sectPr w:rsidR="00C90AC3" w:rsidSect="00C90AC3">
          <w:endnotePr>
            <w:numFmt w:val="decimal"/>
          </w:endnotePr>
          <w:pgSz w:w="12240" w:h="15840"/>
          <w:pgMar w:top="1440" w:right="1440" w:bottom="1440" w:left="1440" w:header="720" w:footer="720" w:gutter="0"/>
          <w:cols w:space="720"/>
          <w:docGrid w:linePitch="360"/>
        </w:sectPr>
      </w:pPr>
    </w:p>
    <w:p w14:paraId="6454DE71" w14:textId="3C2E0778" w:rsidR="00D714B6" w:rsidRPr="00D714B6" w:rsidRDefault="000C5DFE" w:rsidP="003B6444">
      <w:pPr>
        <w:spacing w:after="0" w:line="240" w:lineRule="auto"/>
        <w:rPr>
          <w:rFonts w:ascii="Times New Roman" w:hAnsi="Times New Roman" w:cs="Times New Roman"/>
          <w:b/>
          <w:sz w:val="24"/>
          <w:szCs w:val="24"/>
        </w:rPr>
      </w:pPr>
      <w:r w:rsidRPr="005F2192">
        <w:rPr>
          <w:rFonts w:ascii="Times New Roman" w:hAnsi="Times New Roman" w:cs="Times New Roman"/>
          <w:b/>
          <w:sz w:val="24"/>
          <w:szCs w:val="24"/>
        </w:rPr>
        <w:lastRenderedPageBreak/>
        <w:t>Table 6</w:t>
      </w:r>
      <w:r w:rsidR="00BB6EA1" w:rsidRPr="005F2192">
        <w:rPr>
          <w:rFonts w:ascii="Times New Roman" w:hAnsi="Times New Roman" w:cs="Times New Roman"/>
          <w:b/>
          <w:sz w:val="24"/>
          <w:szCs w:val="24"/>
        </w:rPr>
        <w:t xml:space="preserve"> </w:t>
      </w:r>
      <w:r w:rsidR="00D714B6">
        <w:rPr>
          <w:rFonts w:ascii="Times New Roman" w:hAnsi="Times New Roman" w:cs="Times New Roman"/>
          <w:sz w:val="24"/>
          <w:szCs w:val="24"/>
        </w:rPr>
        <w:t>GMM regression results of Carbon Reduction Initiatives (CRI</w:t>
      </w:r>
      <w:r w:rsidR="0073560E">
        <w:rPr>
          <w:rFonts w:ascii="Times New Roman" w:hAnsi="Times New Roman" w:cs="Times New Roman"/>
          <w:sz w:val="24"/>
          <w:szCs w:val="24"/>
        </w:rPr>
        <w:t>s</w:t>
      </w:r>
      <w:r w:rsidR="00D714B6">
        <w:rPr>
          <w:rFonts w:ascii="Times New Roman" w:hAnsi="Times New Roman" w:cs="Times New Roman"/>
          <w:sz w:val="24"/>
          <w:szCs w:val="24"/>
        </w:rPr>
        <w:t>) and GHG emissions</w:t>
      </w:r>
    </w:p>
    <w:tbl>
      <w:tblPr>
        <w:tblW w:w="5000" w:type="pct"/>
        <w:jc w:val="center"/>
        <w:tblCellMar>
          <w:left w:w="75" w:type="dxa"/>
          <w:right w:w="75" w:type="dxa"/>
        </w:tblCellMar>
        <w:tblLook w:val="0000" w:firstRow="0" w:lastRow="0" w:firstColumn="0" w:lastColumn="0" w:noHBand="0" w:noVBand="0"/>
      </w:tblPr>
      <w:tblGrid>
        <w:gridCol w:w="1298"/>
        <w:gridCol w:w="987"/>
        <w:gridCol w:w="987"/>
        <w:gridCol w:w="988"/>
        <w:gridCol w:w="967"/>
        <w:gridCol w:w="967"/>
        <w:gridCol w:w="972"/>
        <w:gridCol w:w="967"/>
        <w:gridCol w:w="967"/>
        <w:gridCol w:w="967"/>
        <w:gridCol w:w="967"/>
        <w:gridCol w:w="967"/>
        <w:gridCol w:w="959"/>
      </w:tblGrid>
      <w:tr w:rsidR="00D30EA4" w:rsidRPr="00411250" w14:paraId="3D14965A" w14:textId="77777777" w:rsidTr="00D30EA4">
        <w:trPr>
          <w:trHeight w:val="288"/>
          <w:jc w:val="center"/>
        </w:trPr>
        <w:tc>
          <w:tcPr>
            <w:tcW w:w="501" w:type="pct"/>
            <w:vMerge w:val="restart"/>
            <w:tcBorders>
              <w:top w:val="single" w:sz="6" w:space="0" w:color="auto"/>
              <w:left w:val="nil"/>
              <w:right w:val="nil"/>
            </w:tcBorders>
          </w:tcPr>
          <w:p w14:paraId="26E674E3" w14:textId="77777777" w:rsidR="00D30EA4" w:rsidRPr="00026A59" w:rsidRDefault="00D30EA4" w:rsidP="00C71D8E">
            <w:pPr>
              <w:widowControl w:val="0"/>
              <w:autoSpaceDE w:val="0"/>
              <w:autoSpaceDN w:val="0"/>
              <w:adjustRightInd w:val="0"/>
              <w:spacing w:after="0" w:line="240" w:lineRule="auto"/>
              <w:rPr>
                <w:rFonts w:ascii="Times New Roman" w:hAnsi="Times New Roman" w:cs="Times New Roman"/>
                <w:sz w:val="18"/>
                <w:szCs w:val="18"/>
              </w:rPr>
            </w:pPr>
            <w:r w:rsidRPr="00026A59">
              <w:rPr>
                <w:rFonts w:ascii="Times New Roman" w:hAnsi="Times New Roman" w:cs="Times New Roman"/>
                <w:sz w:val="18"/>
                <w:szCs w:val="18"/>
              </w:rPr>
              <w:t>Variables</w:t>
            </w:r>
          </w:p>
        </w:tc>
        <w:tc>
          <w:tcPr>
            <w:tcW w:w="2264" w:type="pct"/>
            <w:gridSpan w:val="6"/>
            <w:tcBorders>
              <w:top w:val="single" w:sz="6" w:space="0" w:color="auto"/>
              <w:left w:val="nil"/>
              <w:right w:val="single" w:sz="4" w:space="0" w:color="auto"/>
            </w:tcBorders>
          </w:tcPr>
          <w:p w14:paraId="721EE827" w14:textId="1E2B7988" w:rsidR="00D30EA4" w:rsidRPr="00026A59" w:rsidRDefault="00D30EA4" w:rsidP="006124C4">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Carbon Reduction Initiatives (CRI</w:t>
            </w:r>
            <w:r w:rsidR="0073560E">
              <w:rPr>
                <w:rFonts w:ascii="Times New Roman" w:hAnsi="Times New Roman" w:cs="Times New Roman"/>
                <w:sz w:val="18"/>
                <w:szCs w:val="18"/>
              </w:rPr>
              <w:t>s</w:t>
            </w:r>
            <w:r w:rsidRPr="00026A59">
              <w:rPr>
                <w:rFonts w:ascii="Times New Roman" w:hAnsi="Times New Roman" w:cs="Times New Roman"/>
                <w:sz w:val="18"/>
                <w:szCs w:val="18"/>
              </w:rPr>
              <w:t>)</w:t>
            </w:r>
          </w:p>
        </w:tc>
        <w:tc>
          <w:tcPr>
            <w:tcW w:w="2235" w:type="pct"/>
            <w:gridSpan w:val="6"/>
            <w:tcBorders>
              <w:top w:val="single" w:sz="6" w:space="0" w:color="auto"/>
              <w:left w:val="single" w:sz="4" w:space="0" w:color="auto"/>
              <w:bottom w:val="single" w:sz="6" w:space="0" w:color="auto"/>
            </w:tcBorders>
          </w:tcPr>
          <w:p w14:paraId="26BD0925" w14:textId="58167A3D" w:rsidR="00D30EA4" w:rsidRPr="00026A59" w:rsidRDefault="00D30EA4" w:rsidP="006124C4">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GHG emissions</w:t>
            </w:r>
          </w:p>
        </w:tc>
      </w:tr>
      <w:tr w:rsidR="007C37FB" w:rsidRPr="00411250" w14:paraId="7F143394" w14:textId="77777777" w:rsidTr="009F61FB">
        <w:trPr>
          <w:trHeight w:val="288"/>
          <w:jc w:val="center"/>
        </w:trPr>
        <w:tc>
          <w:tcPr>
            <w:tcW w:w="501" w:type="pct"/>
            <w:vMerge/>
            <w:tcBorders>
              <w:left w:val="nil"/>
              <w:bottom w:val="single" w:sz="4" w:space="0" w:color="auto"/>
              <w:right w:val="nil"/>
            </w:tcBorders>
          </w:tcPr>
          <w:p w14:paraId="59D8C03A" w14:textId="77777777" w:rsidR="007C37FB" w:rsidRPr="00996327" w:rsidRDefault="007C37FB" w:rsidP="00C71D8E">
            <w:pPr>
              <w:widowControl w:val="0"/>
              <w:autoSpaceDE w:val="0"/>
              <w:autoSpaceDN w:val="0"/>
              <w:adjustRightInd w:val="0"/>
              <w:spacing w:after="0" w:line="240" w:lineRule="auto"/>
              <w:rPr>
                <w:rFonts w:ascii="Times New Roman" w:hAnsi="Times New Roman" w:cs="Times New Roman"/>
                <w:sz w:val="18"/>
                <w:szCs w:val="18"/>
              </w:rPr>
            </w:pPr>
          </w:p>
        </w:tc>
        <w:tc>
          <w:tcPr>
            <w:tcW w:w="381" w:type="pct"/>
            <w:tcBorders>
              <w:top w:val="single" w:sz="6" w:space="0" w:color="auto"/>
              <w:left w:val="nil"/>
              <w:bottom w:val="single" w:sz="4" w:space="0" w:color="auto"/>
              <w:right w:val="nil"/>
            </w:tcBorders>
          </w:tcPr>
          <w:p w14:paraId="6B53607D" w14:textId="77777777" w:rsidR="007C37FB" w:rsidRPr="00996327" w:rsidRDefault="007C37FB" w:rsidP="00C71D8E">
            <w:pPr>
              <w:widowControl w:val="0"/>
              <w:autoSpaceDE w:val="0"/>
              <w:autoSpaceDN w:val="0"/>
              <w:adjustRightInd w:val="0"/>
              <w:spacing w:after="0" w:line="240" w:lineRule="auto"/>
              <w:jc w:val="center"/>
              <w:rPr>
                <w:rFonts w:ascii="Times New Roman" w:hAnsi="Times New Roman" w:cs="Times New Roman"/>
                <w:sz w:val="18"/>
                <w:szCs w:val="18"/>
              </w:rPr>
            </w:pPr>
            <w:r w:rsidRPr="00996327">
              <w:rPr>
                <w:rFonts w:ascii="Times New Roman" w:hAnsi="Times New Roman" w:cs="Times New Roman"/>
                <w:sz w:val="18"/>
                <w:szCs w:val="18"/>
              </w:rPr>
              <w:t>(1)</w:t>
            </w:r>
          </w:p>
        </w:tc>
        <w:tc>
          <w:tcPr>
            <w:tcW w:w="381" w:type="pct"/>
            <w:tcBorders>
              <w:top w:val="single" w:sz="6" w:space="0" w:color="auto"/>
              <w:left w:val="nil"/>
              <w:bottom w:val="single" w:sz="4" w:space="0" w:color="auto"/>
              <w:right w:val="nil"/>
            </w:tcBorders>
          </w:tcPr>
          <w:p w14:paraId="78A97911" w14:textId="77777777" w:rsidR="007C37FB" w:rsidRPr="00996327" w:rsidRDefault="007C37FB" w:rsidP="00C71D8E">
            <w:pPr>
              <w:widowControl w:val="0"/>
              <w:autoSpaceDE w:val="0"/>
              <w:autoSpaceDN w:val="0"/>
              <w:adjustRightInd w:val="0"/>
              <w:spacing w:after="0" w:line="240" w:lineRule="auto"/>
              <w:jc w:val="center"/>
              <w:rPr>
                <w:rFonts w:ascii="Times New Roman" w:hAnsi="Times New Roman" w:cs="Times New Roman"/>
                <w:sz w:val="18"/>
                <w:szCs w:val="18"/>
              </w:rPr>
            </w:pPr>
            <w:r w:rsidRPr="00996327">
              <w:rPr>
                <w:rFonts w:ascii="Times New Roman" w:hAnsi="Times New Roman" w:cs="Times New Roman"/>
                <w:sz w:val="18"/>
                <w:szCs w:val="18"/>
              </w:rPr>
              <w:t>(2)</w:t>
            </w:r>
          </w:p>
        </w:tc>
        <w:tc>
          <w:tcPr>
            <w:tcW w:w="381" w:type="pct"/>
            <w:tcBorders>
              <w:top w:val="single" w:sz="6" w:space="0" w:color="auto"/>
              <w:left w:val="nil"/>
              <w:bottom w:val="single" w:sz="4" w:space="0" w:color="auto"/>
              <w:right w:val="nil"/>
            </w:tcBorders>
          </w:tcPr>
          <w:p w14:paraId="1896837B" w14:textId="77777777" w:rsidR="007C37FB" w:rsidRPr="00996327" w:rsidRDefault="007C37FB" w:rsidP="00C71D8E">
            <w:pPr>
              <w:widowControl w:val="0"/>
              <w:autoSpaceDE w:val="0"/>
              <w:autoSpaceDN w:val="0"/>
              <w:adjustRightInd w:val="0"/>
              <w:spacing w:after="0" w:line="240" w:lineRule="auto"/>
              <w:jc w:val="center"/>
              <w:rPr>
                <w:rFonts w:ascii="Times New Roman" w:hAnsi="Times New Roman" w:cs="Times New Roman"/>
                <w:sz w:val="18"/>
                <w:szCs w:val="18"/>
              </w:rPr>
            </w:pPr>
            <w:r w:rsidRPr="00996327">
              <w:rPr>
                <w:rFonts w:ascii="Times New Roman" w:hAnsi="Times New Roman" w:cs="Times New Roman"/>
                <w:sz w:val="18"/>
                <w:szCs w:val="18"/>
              </w:rPr>
              <w:t>(3)</w:t>
            </w:r>
          </w:p>
        </w:tc>
        <w:tc>
          <w:tcPr>
            <w:tcW w:w="373" w:type="pct"/>
            <w:tcBorders>
              <w:top w:val="single" w:sz="6" w:space="0" w:color="auto"/>
              <w:left w:val="nil"/>
              <w:bottom w:val="single" w:sz="4" w:space="0" w:color="auto"/>
              <w:right w:val="nil"/>
            </w:tcBorders>
          </w:tcPr>
          <w:p w14:paraId="613EB45D" w14:textId="77777777" w:rsidR="007C37FB" w:rsidRPr="00996327" w:rsidRDefault="007C37FB" w:rsidP="00C71D8E">
            <w:pPr>
              <w:widowControl w:val="0"/>
              <w:autoSpaceDE w:val="0"/>
              <w:autoSpaceDN w:val="0"/>
              <w:adjustRightInd w:val="0"/>
              <w:spacing w:after="0" w:line="240" w:lineRule="auto"/>
              <w:jc w:val="center"/>
              <w:rPr>
                <w:rFonts w:ascii="Times New Roman" w:hAnsi="Times New Roman" w:cs="Times New Roman"/>
                <w:sz w:val="18"/>
                <w:szCs w:val="18"/>
              </w:rPr>
            </w:pPr>
            <w:r w:rsidRPr="00996327">
              <w:rPr>
                <w:rFonts w:ascii="Times New Roman" w:hAnsi="Times New Roman" w:cs="Times New Roman"/>
                <w:sz w:val="18"/>
                <w:szCs w:val="18"/>
              </w:rPr>
              <w:t>(4)</w:t>
            </w:r>
          </w:p>
        </w:tc>
        <w:tc>
          <w:tcPr>
            <w:tcW w:w="373" w:type="pct"/>
            <w:tcBorders>
              <w:top w:val="single" w:sz="6" w:space="0" w:color="auto"/>
              <w:left w:val="nil"/>
              <w:bottom w:val="single" w:sz="4" w:space="0" w:color="auto"/>
              <w:right w:val="nil"/>
            </w:tcBorders>
          </w:tcPr>
          <w:p w14:paraId="7E472063" w14:textId="26FBECAE" w:rsidR="007C37FB" w:rsidRPr="00996327" w:rsidRDefault="00D30EA4" w:rsidP="00C71D8E">
            <w:pPr>
              <w:widowControl w:val="0"/>
              <w:autoSpaceDE w:val="0"/>
              <w:autoSpaceDN w:val="0"/>
              <w:adjustRightInd w:val="0"/>
              <w:spacing w:after="0" w:line="240" w:lineRule="auto"/>
              <w:jc w:val="center"/>
              <w:rPr>
                <w:rFonts w:ascii="Times New Roman" w:hAnsi="Times New Roman" w:cs="Times New Roman"/>
                <w:sz w:val="18"/>
                <w:szCs w:val="18"/>
              </w:rPr>
            </w:pPr>
            <w:r w:rsidRPr="00996327">
              <w:rPr>
                <w:rFonts w:ascii="Times New Roman" w:hAnsi="Times New Roman" w:cs="Times New Roman"/>
                <w:sz w:val="18"/>
                <w:szCs w:val="18"/>
              </w:rPr>
              <w:t>(5)</w:t>
            </w:r>
          </w:p>
        </w:tc>
        <w:tc>
          <w:tcPr>
            <w:tcW w:w="375" w:type="pct"/>
            <w:tcBorders>
              <w:top w:val="single" w:sz="6" w:space="0" w:color="auto"/>
              <w:left w:val="nil"/>
              <w:bottom w:val="single" w:sz="4" w:space="0" w:color="auto"/>
              <w:right w:val="single" w:sz="4" w:space="0" w:color="auto"/>
            </w:tcBorders>
          </w:tcPr>
          <w:p w14:paraId="3D9A33D8" w14:textId="642DD802" w:rsidR="007C37FB" w:rsidRPr="00996327" w:rsidRDefault="007C37FB" w:rsidP="00C71D8E">
            <w:pPr>
              <w:widowControl w:val="0"/>
              <w:autoSpaceDE w:val="0"/>
              <w:autoSpaceDN w:val="0"/>
              <w:adjustRightInd w:val="0"/>
              <w:spacing w:after="0" w:line="240" w:lineRule="auto"/>
              <w:jc w:val="center"/>
              <w:rPr>
                <w:rFonts w:ascii="Times New Roman" w:hAnsi="Times New Roman" w:cs="Times New Roman"/>
                <w:sz w:val="18"/>
                <w:szCs w:val="18"/>
              </w:rPr>
            </w:pPr>
            <w:r w:rsidRPr="00996327">
              <w:rPr>
                <w:rFonts w:ascii="Times New Roman" w:hAnsi="Times New Roman" w:cs="Times New Roman"/>
                <w:sz w:val="18"/>
                <w:szCs w:val="18"/>
              </w:rPr>
              <w:t>(</w:t>
            </w:r>
            <w:r w:rsidR="00D30EA4" w:rsidRPr="00996327">
              <w:rPr>
                <w:rFonts w:ascii="Times New Roman" w:hAnsi="Times New Roman" w:cs="Times New Roman"/>
                <w:sz w:val="18"/>
                <w:szCs w:val="18"/>
              </w:rPr>
              <w:t>6</w:t>
            </w:r>
            <w:r w:rsidRPr="00996327">
              <w:rPr>
                <w:rFonts w:ascii="Times New Roman" w:hAnsi="Times New Roman" w:cs="Times New Roman"/>
                <w:sz w:val="18"/>
                <w:szCs w:val="18"/>
              </w:rPr>
              <w:t>)</w:t>
            </w:r>
          </w:p>
        </w:tc>
        <w:tc>
          <w:tcPr>
            <w:tcW w:w="373" w:type="pct"/>
            <w:tcBorders>
              <w:top w:val="single" w:sz="6" w:space="0" w:color="auto"/>
              <w:left w:val="single" w:sz="4" w:space="0" w:color="auto"/>
              <w:bottom w:val="single" w:sz="4" w:space="0" w:color="auto"/>
              <w:right w:val="nil"/>
            </w:tcBorders>
          </w:tcPr>
          <w:p w14:paraId="5FC3BA10" w14:textId="4DC4BC76" w:rsidR="007C37FB" w:rsidRPr="00996327" w:rsidRDefault="007C37FB" w:rsidP="00C71D8E">
            <w:pPr>
              <w:widowControl w:val="0"/>
              <w:autoSpaceDE w:val="0"/>
              <w:autoSpaceDN w:val="0"/>
              <w:adjustRightInd w:val="0"/>
              <w:spacing w:after="0" w:line="240" w:lineRule="auto"/>
              <w:jc w:val="center"/>
              <w:rPr>
                <w:rFonts w:ascii="Times New Roman" w:hAnsi="Times New Roman" w:cs="Times New Roman"/>
                <w:sz w:val="18"/>
                <w:szCs w:val="18"/>
              </w:rPr>
            </w:pPr>
            <w:r w:rsidRPr="00996327">
              <w:rPr>
                <w:rFonts w:ascii="Times New Roman" w:hAnsi="Times New Roman" w:cs="Times New Roman"/>
                <w:sz w:val="18"/>
                <w:szCs w:val="18"/>
              </w:rPr>
              <w:t>(</w:t>
            </w:r>
            <w:r w:rsidR="00D30EA4" w:rsidRPr="00996327">
              <w:rPr>
                <w:rFonts w:ascii="Times New Roman" w:hAnsi="Times New Roman" w:cs="Times New Roman"/>
                <w:sz w:val="18"/>
                <w:szCs w:val="18"/>
              </w:rPr>
              <w:t>7</w:t>
            </w:r>
            <w:r w:rsidRPr="00996327">
              <w:rPr>
                <w:rFonts w:ascii="Times New Roman" w:hAnsi="Times New Roman" w:cs="Times New Roman"/>
                <w:sz w:val="18"/>
                <w:szCs w:val="18"/>
              </w:rPr>
              <w:t>)</w:t>
            </w:r>
          </w:p>
        </w:tc>
        <w:tc>
          <w:tcPr>
            <w:tcW w:w="373" w:type="pct"/>
            <w:tcBorders>
              <w:top w:val="single" w:sz="6" w:space="0" w:color="auto"/>
              <w:left w:val="nil"/>
              <w:bottom w:val="single" w:sz="4" w:space="0" w:color="auto"/>
              <w:right w:val="nil"/>
            </w:tcBorders>
          </w:tcPr>
          <w:p w14:paraId="72C5D46C" w14:textId="0F7EDEC0" w:rsidR="007C37FB" w:rsidRPr="00996327" w:rsidRDefault="007C37FB" w:rsidP="00C71D8E">
            <w:pPr>
              <w:widowControl w:val="0"/>
              <w:autoSpaceDE w:val="0"/>
              <w:autoSpaceDN w:val="0"/>
              <w:adjustRightInd w:val="0"/>
              <w:spacing w:after="0" w:line="240" w:lineRule="auto"/>
              <w:jc w:val="center"/>
              <w:rPr>
                <w:rFonts w:ascii="Times New Roman" w:hAnsi="Times New Roman" w:cs="Times New Roman"/>
                <w:sz w:val="18"/>
                <w:szCs w:val="18"/>
              </w:rPr>
            </w:pPr>
            <w:r w:rsidRPr="00996327">
              <w:rPr>
                <w:rFonts w:ascii="Times New Roman" w:hAnsi="Times New Roman" w:cs="Times New Roman"/>
                <w:sz w:val="18"/>
                <w:szCs w:val="18"/>
              </w:rPr>
              <w:t>(</w:t>
            </w:r>
            <w:r w:rsidR="00D30EA4" w:rsidRPr="00996327">
              <w:rPr>
                <w:rFonts w:ascii="Times New Roman" w:hAnsi="Times New Roman" w:cs="Times New Roman"/>
                <w:sz w:val="18"/>
                <w:szCs w:val="18"/>
              </w:rPr>
              <w:t>8</w:t>
            </w:r>
            <w:r w:rsidRPr="00996327">
              <w:rPr>
                <w:rFonts w:ascii="Times New Roman" w:hAnsi="Times New Roman" w:cs="Times New Roman"/>
                <w:sz w:val="18"/>
                <w:szCs w:val="18"/>
              </w:rPr>
              <w:t>)</w:t>
            </w:r>
          </w:p>
        </w:tc>
        <w:tc>
          <w:tcPr>
            <w:tcW w:w="373" w:type="pct"/>
            <w:tcBorders>
              <w:top w:val="single" w:sz="6" w:space="0" w:color="auto"/>
              <w:left w:val="nil"/>
              <w:bottom w:val="single" w:sz="4" w:space="0" w:color="auto"/>
              <w:right w:val="nil"/>
            </w:tcBorders>
          </w:tcPr>
          <w:p w14:paraId="2A73208E" w14:textId="11342419" w:rsidR="007C37FB" w:rsidRPr="00996327" w:rsidRDefault="007C37FB" w:rsidP="00C71D8E">
            <w:pPr>
              <w:widowControl w:val="0"/>
              <w:autoSpaceDE w:val="0"/>
              <w:autoSpaceDN w:val="0"/>
              <w:adjustRightInd w:val="0"/>
              <w:spacing w:after="0" w:line="240" w:lineRule="auto"/>
              <w:jc w:val="center"/>
              <w:rPr>
                <w:rFonts w:ascii="Times New Roman" w:hAnsi="Times New Roman" w:cs="Times New Roman"/>
                <w:sz w:val="18"/>
                <w:szCs w:val="18"/>
              </w:rPr>
            </w:pPr>
            <w:r w:rsidRPr="00996327">
              <w:rPr>
                <w:rFonts w:ascii="Times New Roman" w:hAnsi="Times New Roman" w:cs="Times New Roman"/>
                <w:sz w:val="18"/>
                <w:szCs w:val="18"/>
              </w:rPr>
              <w:t>(</w:t>
            </w:r>
            <w:r w:rsidR="00D30EA4" w:rsidRPr="00996327">
              <w:rPr>
                <w:rFonts w:ascii="Times New Roman" w:hAnsi="Times New Roman" w:cs="Times New Roman"/>
                <w:sz w:val="18"/>
                <w:szCs w:val="18"/>
              </w:rPr>
              <w:t>9</w:t>
            </w:r>
            <w:r w:rsidRPr="00996327">
              <w:rPr>
                <w:rFonts w:ascii="Times New Roman" w:hAnsi="Times New Roman" w:cs="Times New Roman"/>
                <w:sz w:val="18"/>
                <w:szCs w:val="18"/>
              </w:rPr>
              <w:t>)</w:t>
            </w:r>
          </w:p>
        </w:tc>
        <w:tc>
          <w:tcPr>
            <w:tcW w:w="373" w:type="pct"/>
            <w:tcBorders>
              <w:top w:val="single" w:sz="6" w:space="0" w:color="auto"/>
              <w:left w:val="nil"/>
              <w:bottom w:val="single" w:sz="4" w:space="0" w:color="auto"/>
              <w:right w:val="nil"/>
            </w:tcBorders>
          </w:tcPr>
          <w:p w14:paraId="1DB4C207" w14:textId="18599D57" w:rsidR="007C37FB" w:rsidRPr="00996327" w:rsidRDefault="007C37FB" w:rsidP="00C71D8E">
            <w:pPr>
              <w:widowControl w:val="0"/>
              <w:autoSpaceDE w:val="0"/>
              <w:autoSpaceDN w:val="0"/>
              <w:adjustRightInd w:val="0"/>
              <w:spacing w:after="0" w:line="240" w:lineRule="auto"/>
              <w:jc w:val="center"/>
              <w:rPr>
                <w:rFonts w:ascii="Times New Roman" w:hAnsi="Times New Roman" w:cs="Times New Roman"/>
                <w:sz w:val="18"/>
                <w:szCs w:val="18"/>
              </w:rPr>
            </w:pPr>
            <w:r w:rsidRPr="00996327">
              <w:rPr>
                <w:rFonts w:ascii="Times New Roman" w:hAnsi="Times New Roman" w:cs="Times New Roman"/>
                <w:sz w:val="18"/>
                <w:szCs w:val="18"/>
              </w:rPr>
              <w:t>(</w:t>
            </w:r>
            <w:r w:rsidR="00D30EA4" w:rsidRPr="00996327">
              <w:rPr>
                <w:rFonts w:ascii="Times New Roman" w:hAnsi="Times New Roman" w:cs="Times New Roman"/>
                <w:sz w:val="18"/>
                <w:szCs w:val="18"/>
              </w:rPr>
              <w:t>10</w:t>
            </w:r>
            <w:r w:rsidRPr="00996327">
              <w:rPr>
                <w:rFonts w:ascii="Times New Roman" w:hAnsi="Times New Roman" w:cs="Times New Roman"/>
                <w:sz w:val="18"/>
                <w:szCs w:val="18"/>
              </w:rPr>
              <w:t>)</w:t>
            </w:r>
          </w:p>
        </w:tc>
        <w:tc>
          <w:tcPr>
            <w:tcW w:w="373" w:type="pct"/>
            <w:tcBorders>
              <w:top w:val="single" w:sz="6" w:space="0" w:color="auto"/>
              <w:left w:val="nil"/>
              <w:bottom w:val="single" w:sz="4" w:space="0" w:color="auto"/>
              <w:right w:val="nil"/>
            </w:tcBorders>
          </w:tcPr>
          <w:p w14:paraId="68C4570A" w14:textId="6C6D730A" w:rsidR="007C37FB" w:rsidRPr="00996327" w:rsidRDefault="00D30EA4" w:rsidP="00C71D8E">
            <w:pPr>
              <w:widowControl w:val="0"/>
              <w:autoSpaceDE w:val="0"/>
              <w:autoSpaceDN w:val="0"/>
              <w:adjustRightInd w:val="0"/>
              <w:spacing w:after="0" w:line="240" w:lineRule="auto"/>
              <w:jc w:val="center"/>
              <w:rPr>
                <w:rFonts w:ascii="Times New Roman" w:hAnsi="Times New Roman" w:cs="Times New Roman"/>
                <w:sz w:val="18"/>
                <w:szCs w:val="18"/>
              </w:rPr>
            </w:pPr>
            <w:r w:rsidRPr="00996327">
              <w:rPr>
                <w:rFonts w:ascii="Times New Roman" w:hAnsi="Times New Roman" w:cs="Times New Roman"/>
                <w:sz w:val="18"/>
                <w:szCs w:val="18"/>
              </w:rPr>
              <w:t>(11)</w:t>
            </w:r>
          </w:p>
        </w:tc>
        <w:tc>
          <w:tcPr>
            <w:tcW w:w="370" w:type="pct"/>
            <w:tcBorders>
              <w:top w:val="single" w:sz="6" w:space="0" w:color="auto"/>
              <w:left w:val="nil"/>
              <w:bottom w:val="single" w:sz="4" w:space="0" w:color="auto"/>
              <w:right w:val="nil"/>
            </w:tcBorders>
          </w:tcPr>
          <w:p w14:paraId="3A84433C" w14:textId="40F5C64E" w:rsidR="007C37FB" w:rsidRPr="00996327" w:rsidRDefault="007C37FB" w:rsidP="00C71D8E">
            <w:pPr>
              <w:widowControl w:val="0"/>
              <w:autoSpaceDE w:val="0"/>
              <w:autoSpaceDN w:val="0"/>
              <w:adjustRightInd w:val="0"/>
              <w:spacing w:after="0" w:line="240" w:lineRule="auto"/>
              <w:jc w:val="center"/>
              <w:rPr>
                <w:rFonts w:ascii="Times New Roman" w:hAnsi="Times New Roman" w:cs="Times New Roman"/>
                <w:sz w:val="18"/>
                <w:szCs w:val="18"/>
              </w:rPr>
            </w:pPr>
            <w:r w:rsidRPr="00996327">
              <w:rPr>
                <w:rFonts w:ascii="Times New Roman" w:hAnsi="Times New Roman" w:cs="Times New Roman"/>
                <w:sz w:val="18"/>
                <w:szCs w:val="18"/>
              </w:rPr>
              <w:t>(1</w:t>
            </w:r>
            <w:r w:rsidR="00D30EA4" w:rsidRPr="00996327">
              <w:rPr>
                <w:rFonts w:ascii="Times New Roman" w:hAnsi="Times New Roman" w:cs="Times New Roman"/>
                <w:sz w:val="18"/>
                <w:szCs w:val="18"/>
              </w:rPr>
              <w:t>2</w:t>
            </w:r>
            <w:r w:rsidRPr="00996327">
              <w:rPr>
                <w:rFonts w:ascii="Times New Roman" w:hAnsi="Times New Roman" w:cs="Times New Roman"/>
                <w:sz w:val="18"/>
                <w:szCs w:val="18"/>
              </w:rPr>
              <w:t>)</w:t>
            </w:r>
          </w:p>
        </w:tc>
      </w:tr>
      <w:tr w:rsidR="005C69B8" w:rsidRPr="00411250" w14:paraId="363797D6" w14:textId="77777777" w:rsidTr="005C69B8">
        <w:trPr>
          <w:trHeight w:val="288"/>
          <w:jc w:val="center"/>
        </w:trPr>
        <w:tc>
          <w:tcPr>
            <w:tcW w:w="2765" w:type="pct"/>
            <w:gridSpan w:val="7"/>
            <w:tcBorders>
              <w:top w:val="single" w:sz="4" w:space="0" w:color="auto"/>
              <w:left w:val="nil"/>
              <w:bottom w:val="nil"/>
              <w:right w:val="single" w:sz="4" w:space="0" w:color="auto"/>
            </w:tcBorders>
          </w:tcPr>
          <w:p w14:paraId="33B369E7" w14:textId="22F7B353" w:rsidR="005C69B8" w:rsidRPr="003B6444" w:rsidRDefault="005C69B8" w:rsidP="003B6444">
            <w:pPr>
              <w:widowControl w:val="0"/>
              <w:autoSpaceDE w:val="0"/>
              <w:autoSpaceDN w:val="0"/>
              <w:adjustRightInd w:val="0"/>
              <w:spacing w:after="0" w:line="240" w:lineRule="auto"/>
              <w:rPr>
                <w:rFonts w:ascii="Times New Roman" w:hAnsi="Times New Roman" w:cs="Times New Roman"/>
                <w:i/>
                <w:sz w:val="18"/>
                <w:szCs w:val="18"/>
                <w:u w:val="single"/>
              </w:rPr>
            </w:pPr>
            <w:r w:rsidRPr="003B6444">
              <w:rPr>
                <w:rFonts w:ascii="Times New Roman" w:hAnsi="Times New Roman" w:cs="Times New Roman"/>
                <w:i/>
                <w:sz w:val="18"/>
                <w:szCs w:val="18"/>
                <w:u w:val="single"/>
              </w:rPr>
              <w:t>First lag of the dependent variables</w:t>
            </w:r>
          </w:p>
        </w:tc>
        <w:tc>
          <w:tcPr>
            <w:tcW w:w="373" w:type="pct"/>
            <w:tcBorders>
              <w:top w:val="single" w:sz="4" w:space="0" w:color="auto"/>
              <w:left w:val="single" w:sz="4" w:space="0" w:color="auto"/>
              <w:bottom w:val="nil"/>
              <w:right w:val="nil"/>
            </w:tcBorders>
          </w:tcPr>
          <w:p w14:paraId="04F28D8D" w14:textId="77777777" w:rsidR="005C69B8" w:rsidRPr="00026A59" w:rsidRDefault="005C69B8" w:rsidP="00FD0D50">
            <w:pPr>
              <w:widowControl w:val="0"/>
              <w:autoSpaceDE w:val="0"/>
              <w:autoSpaceDN w:val="0"/>
              <w:adjustRightInd w:val="0"/>
              <w:spacing w:after="0" w:line="240" w:lineRule="auto"/>
              <w:jc w:val="center"/>
              <w:rPr>
                <w:rFonts w:ascii="Times New Roman" w:hAnsi="Times New Roman" w:cs="Times New Roman"/>
                <w:sz w:val="18"/>
                <w:szCs w:val="18"/>
              </w:rPr>
            </w:pPr>
          </w:p>
        </w:tc>
        <w:tc>
          <w:tcPr>
            <w:tcW w:w="373" w:type="pct"/>
            <w:tcBorders>
              <w:top w:val="single" w:sz="4" w:space="0" w:color="auto"/>
              <w:left w:val="nil"/>
              <w:bottom w:val="nil"/>
              <w:right w:val="nil"/>
            </w:tcBorders>
          </w:tcPr>
          <w:p w14:paraId="682D0A66" w14:textId="77777777" w:rsidR="005C69B8" w:rsidRPr="00026A59" w:rsidRDefault="005C69B8" w:rsidP="00FD0D50">
            <w:pPr>
              <w:widowControl w:val="0"/>
              <w:autoSpaceDE w:val="0"/>
              <w:autoSpaceDN w:val="0"/>
              <w:adjustRightInd w:val="0"/>
              <w:spacing w:after="0" w:line="240" w:lineRule="auto"/>
              <w:jc w:val="center"/>
              <w:rPr>
                <w:rFonts w:ascii="Times New Roman" w:hAnsi="Times New Roman" w:cs="Times New Roman"/>
                <w:sz w:val="18"/>
                <w:szCs w:val="18"/>
              </w:rPr>
            </w:pPr>
          </w:p>
        </w:tc>
        <w:tc>
          <w:tcPr>
            <w:tcW w:w="373" w:type="pct"/>
            <w:tcBorders>
              <w:top w:val="single" w:sz="4" w:space="0" w:color="auto"/>
              <w:left w:val="nil"/>
              <w:bottom w:val="nil"/>
              <w:right w:val="nil"/>
            </w:tcBorders>
          </w:tcPr>
          <w:p w14:paraId="22F4E364" w14:textId="77777777" w:rsidR="005C69B8" w:rsidRPr="00026A59" w:rsidRDefault="005C69B8" w:rsidP="00FD0D50">
            <w:pPr>
              <w:widowControl w:val="0"/>
              <w:autoSpaceDE w:val="0"/>
              <w:autoSpaceDN w:val="0"/>
              <w:adjustRightInd w:val="0"/>
              <w:spacing w:after="0" w:line="240" w:lineRule="auto"/>
              <w:jc w:val="center"/>
              <w:rPr>
                <w:rFonts w:ascii="Times New Roman" w:hAnsi="Times New Roman" w:cs="Times New Roman"/>
                <w:sz w:val="18"/>
                <w:szCs w:val="18"/>
              </w:rPr>
            </w:pPr>
          </w:p>
        </w:tc>
        <w:tc>
          <w:tcPr>
            <w:tcW w:w="373" w:type="pct"/>
            <w:tcBorders>
              <w:top w:val="single" w:sz="4" w:space="0" w:color="auto"/>
              <w:left w:val="nil"/>
              <w:bottom w:val="nil"/>
              <w:right w:val="nil"/>
            </w:tcBorders>
          </w:tcPr>
          <w:p w14:paraId="27C4423B" w14:textId="77777777" w:rsidR="005C69B8" w:rsidRPr="00026A59" w:rsidRDefault="005C69B8" w:rsidP="00FD0D50">
            <w:pPr>
              <w:widowControl w:val="0"/>
              <w:autoSpaceDE w:val="0"/>
              <w:autoSpaceDN w:val="0"/>
              <w:adjustRightInd w:val="0"/>
              <w:spacing w:after="0" w:line="240" w:lineRule="auto"/>
              <w:jc w:val="center"/>
              <w:rPr>
                <w:rFonts w:ascii="Times New Roman" w:hAnsi="Times New Roman" w:cs="Times New Roman"/>
                <w:sz w:val="18"/>
                <w:szCs w:val="18"/>
              </w:rPr>
            </w:pPr>
          </w:p>
        </w:tc>
        <w:tc>
          <w:tcPr>
            <w:tcW w:w="373" w:type="pct"/>
            <w:tcBorders>
              <w:top w:val="single" w:sz="4" w:space="0" w:color="auto"/>
              <w:left w:val="nil"/>
              <w:bottom w:val="nil"/>
              <w:right w:val="nil"/>
            </w:tcBorders>
          </w:tcPr>
          <w:p w14:paraId="2F2D8F2D" w14:textId="77777777" w:rsidR="005C69B8" w:rsidRPr="0047334B" w:rsidRDefault="005C69B8" w:rsidP="00FD0D50">
            <w:pPr>
              <w:widowControl w:val="0"/>
              <w:autoSpaceDE w:val="0"/>
              <w:autoSpaceDN w:val="0"/>
              <w:adjustRightInd w:val="0"/>
              <w:spacing w:after="0" w:line="240" w:lineRule="auto"/>
              <w:jc w:val="center"/>
              <w:rPr>
                <w:rFonts w:ascii="Times New Roman" w:hAnsi="Times New Roman" w:cs="Times New Roman"/>
                <w:sz w:val="18"/>
                <w:szCs w:val="18"/>
              </w:rPr>
            </w:pPr>
          </w:p>
        </w:tc>
        <w:tc>
          <w:tcPr>
            <w:tcW w:w="370" w:type="pct"/>
            <w:tcBorders>
              <w:top w:val="single" w:sz="4" w:space="0" w:color="auto"/>
              <w:left w:val="nil"/>
              <w:bottom w:val="nil"/>
              <w:right w:val="nil"/>
            </w:tcBorders>
          </w:tcPr>
          <w:p w14:paraId="01DA7E9A" w14:textId="77777777" w:rsidR="005C69B8" w:rsidRPr="00026A59" w:rsidRDefault="005C69B8" w:rsidP="00FD0D50">
            <w:pPr>
              <w:widowControl w:val="0"/>
              <w:autoSpaceDE w:val="0"/>
              <w:autoSpaceDN w:val="0"/>
              <w:adjustRightInd w:val="0"/>
              <w:spacing w:after="0" w:line="240" w:lineRule="auto"/>
              <w:jc w:val="center"/>
              <w:rPr>
                <w:rFonts w:ascii="Times New Roman" w:hAnsi="Times New Roman" w:cs="Times New Roman"/>
                <w:sz w:val="18"/>
                <w:szCs w:val="18"/>
              </w:rPr>
            </w:pPr>
          </w:p>
        </w:tc>
      </w:tr>
      <w:tr w:rsidR="00FD0D50" w:rsidRPr="00411250" w14:paraId="3AEC674E" w14:textId="77777777" w:rsidTr="003B6444">
        <w:trPr>
          <w:trHeight w:val="288"/>
          <w:jc w:val="center"/>
        </w:trPr>
        <w:tc>
          <w:tcPr>
            <w:tcW w:w="501" w:type="pct"/>
            <w:tcBorders>
              <w:left w:val="nil"/>
              <w:bottom w:val="nil"/>
              <w:right w:val="nil"/>
            </w:tcBorders>
          </w:tcPr>
          <w:p w14:paraId="450BAC5A" w14:textId="607DEB04" w:rsidR="00FD0D50" w:rsidRPr="00026A59" w:rsidRDefault="00FD0D50" w:rsidP="00FD0D50">
            <w:pPr>
              <w:widowControl w:val="0"/>
              <w:autoSpaceDE w:val="0"/>
              <w:autoSpaceDN w:val="0"/>
              <w:adjustRightInd w:val="0"/>
              <w:spacing w:after="0" w:line="240" w:lineRule="auto"/>
              <w:rPr>
                <w:rFonts w:ascii="Times New Roman" w:hAnsi="Times New Roman" w:cs="Times New Roman"/>
                <w:sz w:val="18"/>
                <w:szCs w:val="18"/>
              </w:rPr>
            </w:pPr>
            <w:r w:rsidRPr="00026A59">
              <w:rPr>
                <w:rFonts w:ascii="Times New Roman" w:hAnsi="Times New Roman" w:cs="Times New Roman"/>
                <w:sz w:val="18"/>
                <w:szCs w:val="18"/>
              </w:rPr>
              <w:t>Lag_CRI</w:t>
            </w:r>
            <w:r w:rsidR="0073560E">
              <w:rPr>
                <w:rFonts w:ascii="Times New Roman" w:hAnsi="Times New Roman" w:cs="Times New Roman"/>
                <w:sz w:val="18"/>
                <w:szCs w:val="18"/>
              </w:rPr>
              <w:t>s</w:t>
            </w:r>
          </w:p>
        </w:tc>
        <w:tc>
          <w:tcPr>
            <w:tcW w:w="381" w:type="pct"/>
            <w:tcBorders>
              <w:left w:val="nil"/>
              <w:bottom w:val="nil"/>
              <w:right w:val="nil"/>
            </w:tcBorders>
          </w:tcPr>
          <w:p w14:paraId="6BDFCEA3"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0.105</w:t>
            </w:r>
          </w:p>
        </w:tc>
        <w:tc>
          <w:tcPr>
            <w:tcW w:w="381" w:type="pct"/>
            <w:tcBorders>
              <w:left w:val="nil"/>
              <w:bottom w:val="nil"/>
              <w:right w:val="nil"/>
            </w:tcBorders>
          </w:tcPr>
          <w:p w14:paraId="04072A2C"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0.0509</w:t>
            </w:r>
          </w:p>
        </w:tc>
        <w:tc>
          <w:tcPr>
            <w:tcW w:w="381" w:type="pct"/>
            <w:tcBorders>
              <w:left w:val="nil"/>
              <w:bottom w:val="nil"/>
              <w:right w:val="nil"/>
            </w:tcBorders>
          </w:tcPr>
          <w:p w14:paraId="21E97D47"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0.0819</w:t>
            </w:r>
          </w:p>
        </w:tc>
        <w:tc>
          <w:tcPr>
            <w:tcW w:w="373" w:type="pct"/>
            <w:tcBorders>
              <w:left w:val="nil"/>
              <w:bottom w:val="nil"/>
              <w:right w:val="nil"/>
            </w:tcBorders>
          </w:tcPr>
          <w:p w14:paraId="1577D57A"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0.0858</w:t>
            </w:r>
          </w:p>
        </w:tc>
        <w:tc>
          <w:tcPr>
            <w:tcW w:w="373" w:type="pct"/>
            <w:tcBorders>
              <w:left w:val="nil"/>
              <w:bottom w:val="nil"/>
              <w:right w:val="nil"/>
            </w:tcBorders>
          </w:tcPr>
          <w:p w14:paraId="200A0EBF" w14:textId="36247691"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0.0369</w:t>
            </w:r>
          </w:p>
        </w:tc>
        <w:tc>
          <w:tcPr>
            <w:tcW w:w="375" w:type="pct"/>
            <w:tcBorders>
              <w:left w:val="nil"/>
              <w:bottom w:val="nil"/>
              <w:right w:val="single" w:sz="4" w:space="0" w:color="auto"/>
            </w:tcBorders>
          </w:tcPr>
          <w:p w14:paraId="31456424" w14:textId="09B280F6"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0.201*</w:t>
            </w:r>
          </w:p>
        </w:tc>
        <w:tc>
          <w:tcPr>
            <w:tcW w:w="373" w:type="pct"/>
            <w:tcBorders>
              <w:left w:val="single" w:sz="4" w:space="0" w:color="auto"/>
              <w:bottom w:val="nil"/>
              <w:right w:val="nil"/>
            </w:tcBorders>
          </w:tcPr>
          <w:p w14:paraId="4E1F831B"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p>
        </w:tc>
        <w:tc>
          <w:tcPr>
            <w:tcW w:w="373" w:type="pct"/>
            <w:tcBorders>
              <w:left w:val="nil"/>
              <w:bottom w:val="nil"/>
              <w:right w:val="nil"/>
            </w:tcBorders>
          </w:tcPr>
          <w:p w14:paraId="29F58E55"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0.0214</w:t>
            </w:r>
          </w:p>
        </w:tc>
        <w:tc>
          <w:tcPr>
            <w:tcW w:w="373" w:type="pct"/>
            <w:tcBorders>
              <w:left w:val="nil"/>
              <w:bottom w:val="nil"/>
              <w:right w:val="nil"/>
            </w:tcBorders>
          </w:tcPr>
          <w:p w14:paraId="4C621F75"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0.0208</w:t>
            </w:r>
          </w:p>
        </w:tc>
        <w:tc>
          <w:tcPr>
            <w:tcW w:w="373" w:type="pct"/>
            <w:tcBorders>
              <w:left w:val="nil"/>
              <w:bottom w:val="nil"/>
              <w:right w:val="nil"/>
            </w:tcBorders>
          </w:tcPr>
          <w:p w14:paraId="6B5D9767"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0.0254**</w:t>
            </w:r>
          </w:p>
        </w:tc>
        <w:tc>
          <w:tcPr>
            <w:tcW w:w="373" w:type="pct"/>
            <w:tcBorders>
              <w:left w:val="nil"/>
              <w:bottom w:val="nil"/>
              <w:right w:val="nil"/>
            </w:tcBorders>
          </w:tcPr>
          <w:p w14:paraId="327B25BD" w14:textId="41138F8D"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0.0238</w:t>
            </w:r>
          </w:p>
        </w:tc>
        <w:tc>
          <w:tcPr>
            <w:tcW w:w="370" w:type="pct"/>
            <w:tcBorders>
              <w:left w:val="nil"/>
              <w:bottom w:val="nil"/>
              <w:right w:val="nil"/>
            </w:tcBorders>
          </w:tcPr>
          <w:p w14:paraId="00864AB3" w14:textId="4F4C057B"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0.0266**</w:t>
            </w:r>
          </w:p>
        </w:tc>
      </w:tr>
      <w:tr w:rsidR="00FD0D50" w:rsidRPr="00411250" w14:paraId="39A1C555" w14:textId="77777777" w:rsidTr="00D30EA4">
        <w:trPr>
          <w:trHeight w:val="288"/>
          <w:jc w:val="center"/>
        </w:trPr>
        <w:tc>
          <w:tcPr>
            <w:tcW w:w="501" w:type="pct"/>
            <w:tcBorders>
              <w:top w:val="nil"/>
              <w:left w:val="nil"/>
              <w:bottom w:val="nil"/>
              <w:right w:val="nil"/>
            </w:tcBorders>
          </w:tcPr>
          <w:p w14:paraId="1A43F09C" w14:textId="77777777" w:rsidR="00FD0D50" w:rsidRPr="00026A59" w:rsidRDefault="00FD0D50" w:rsidP="00FD0D50">
            <w:pPr>
              <w:widowControl w:val="0"/>
              <w:autoSpaceDE w:val="0"/>
              <w:autoSpaceDN w:val="0"/>
              <w:adjustRightInd w:val="0"/>
              <w:spacing w:after="0" w:line="240" w:lineRule="auto"/>
              <w:rPr>
                <w:rFonts w:ascii="Times New Roman" w:hAnsi="Times New Roman" w:cs="Times New Roman"/>
                <w:sz w:val="18"/>
                <w:szCs w:val="18"/>
              </w:rPr>
            </w:pPr>
          </w:p>
        </w:tc>
        <w:tc>
          <w:tcPr>
            <w:tcW w:w="381" w:type="pct"/>
            <w:tcBorders>
              <w:top w:val="nil"/>
              <w:left w:val="nil"/>
              <w:bottom w:val="nil"/>
              <w:right w:val="nil"/>
            </w:tcBorders>
          </w:tcPr>
          <w:p w14:paraId="3B72445F"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(0.105)</w:t>
            </w:r>
          </w:p>
        </w:tc>
        <w:tc>
          <w:tcPr>
            <w:tcW w:w="381" w:type="pct"/>
            <w:tcBorders>
              <w:top w:val="nil"/>
              <w:left w:val="nil"/>
              <w:bottom w:val="nil"/>
              <w:right w:val="nil"/>
            </w:tcBorders>
          </w:tcPr>
          <w:p w14:paraId="29B5D717"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(0.0918)</w:t>
            </w:r>
          </w:p>
        </w:tc>
        <w:tc>
          <w:tcPr>
            <w:tcW w:w="381" w:type="pct"/>
            <w:tcBorders>
              <w:top w:val="nil"/>
              <w:left w:val="nil"/>
              <w:bottom w:val="nil"/>
              <w:right w:val="nil"/>
            </w:tcBorders>
          </w:tcPr>
          <w:p w14:paraId="40095A62"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(0.0878)</w:t>
            </w:r>
          </w:p>
        </w:tc>
        <w:tc>
          <w:tcPr>
            <w:tcW w:w="373" w:type="pct"/>
            <w:tcBorders>
              <w:top w:val="nil"/>
              <w:left w:val="nil"/>
              <w:bottom w:val="nil"/>
              <w:right w:val="nil"/>
            </w:tcBorders>
          </w:tcPr>
          <w:p w14:paraId="41DD30F3"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(0.0945)</w:t>
            </w:r>
          </w:p>
        </w:tc>
        <w:tc>
          <w:tcPr>
            <w:tcW w:w="373" w:type="pct"/>
            <w:tcBorders>
              <w:top w:val="nil"/>
              <w:left w:val="nil"/>
              <w:bottom w:val="nil"/>
              <w:right w:val="nil"/>
            </w:tcBorders>
          </w:tcPr>
          <w:p w14:paraId="259FA988" w14:textId="2FE5596A"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(0.0882)</w:t>
            </w:r>
          </w:p>
        </w:tc>
        <w:tc>
          <w:tcPr>
            <w:tcW w:w="375" w:type="pct"/>
            <w:tcBorders>
              <w:top w:val="nil"/>
              <w:left w:val="nil"/>
              <w:bottom w:val="nil"/>
              <w:right w:val="single" w:sz="4" w:space="0" w:color="auto"/>
            </w:tcBorders>
          </w:tcPr>
          <w:p w14:paraId="5DABC1D4" w14:textId="3CE483C3"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(0.112)</w:t>
            </w:r>
          </w:p>
        </w:tc>
        <w:tc>
          <w:tcPr>
            <w:tcW w:w="373" w:type="pct"/>
            <w:tcBorders>
              <w:top w:val="nil"/>
              <w:left w:val="single" w:sz="4" w:space="0" w:color="auto"/>
              <w:bottom w:val="nil"/>
              <w:right w:val="nil"/>
            </w:tcBorders>
          </w:tcPr>
          <w:p w14:paraId="2137BCE8"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p>
        </w:tc>
        <w:tc>
          <w:tcPr>
            <w:tcW w:w="373" w:type="pct"/>
            <w:tcBorders>
              <w:top w:val="nil"/>
              <w:left w:val="nil"/>
              <w:bottom w:val="nil"/>
              <w:right w:val="nil"/>
            </w:tcBorders>
          </w:tcPr>
          <w:p w14:paraId="7256D06B"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(0.0134)</w:t>
            </w:r>
          </w:p>
        </w:tc>
        <w:tc>
          <w:tcPr>
            <w:tcW w:w="373" w:type="pct"/>
            <w:tcBorders>
              <w:top w:val="nil"/>
              <w:left w:val="nil"/>
              <w:bottom w:val="nil"/>
              <w:right w:val="nil"/>
            </w:tcBorders>
          </w:tcPr>
          <w:p w14:paraId="0786854C"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(0.0135)</w:t>
            </w:r>
          </w:p>
        </w:tc>
        <w:tc>
          <w:tcPr>
            <w:tcW w:w="373" w:type="pct"/>
            <w:tcBorders>
              <w:top w:val="nil"/>
              <w:left w:val="nil"/>
              <w:bottom w:val="nil"/>
              <w:right w:val="nil"/>
            </w:tcBorders>
          </w:tcPr>
          <w:p w14:paraId="4EB461CA"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(0.0128)</w:t>
            </w:r>
          </w:p>
        </w:tc>
        <w:tc>
          <w:tcPr>
            <w:tcW w:w="373" w:type="pct"/>
            <w:tcBorders>
              <w:top w:val="nil"/>
              <w:left w:val="nil"/>
              <w:bottom w:val="nil"/>
              <w:right w:val="nil"/>
            </w:tcBorders>
          </w:tcPr>
          <w:p w14:paraId="3A22F143" w14:textId="2676E2F9"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(0.0158)</w:t>
            </w:r>
          </w:p>
        </w:tc>
        <w:tc>
          <w:tcPr>
            <w:tcW w:w="370" w:type="pct"/>
            <w:tcBorders>
              <w:top w:val="nil"/>
              <w:left w:val="nil"/>
              <w:bottom w:val="nil"/>
              <w:right w:val="nil"/>
            </w:tcBorders>
          </w:tcPr>
          <w:p w14:paraId="79187086" w14:textId="39638646"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(0.0132)</w:t>
            </w:r>
          </w:p>
        </w:tc>
      </w:tr>
      <w:tr w:rsidR="00FD0D50" w:rsidRPr="00411250" w14:paraId="4E4A8746" w14:textId="77777777" w:rsidTr="00D30EA4">
        <w:trPr>
          <w:trHeight w:val="288"/>
          <w:jc w:val="center"/>
        </w:trPr>
        <w:tc>
          <w:tcPr>
            <w:tcW w:w="501" w:type="pct"/>
            <w:tcBorders>
              <w:top w:val="nil"/>
              <w:left w:val="nil"/>
              <w:bottom w:val="nil"/>
              <w:right w:val="nil"/>
            </w:tcBorders>
          </w:tcPr>
          <w:p w14:paraId="0E1C2313" w14:textId="77777777" w:rsidR="00FD0D50" w:rsidRPr="00026A59" w:rsidRDefault="00FD0D50" w:rsidP="00FD0D50">
            <w:pPr>
              <w:widowControl w:val="0"/>
              <w:autoSpaceDE w:val="0"/>
              <w:autoSpaceDN w:val="0"/>
              <w:adjustRightInd w:val="0"/>
              <w:spacing w:after="0" w:line="240" w:lineRule="auto"/>
              <w:rPr>
                <w:rFonts w:ascii="Times New Roman" w:hAnsi="Times New Roman" w:cs="Times New Roman"/>
                <w:sz w:val="18"/>
                <w:szCs w:val="18"/>
              </w:rPr>
            </w:pPr>
            <w:r w:rsidRPr="00026A59">
              <w:rPr>
                <w:rFonts w:ascii="Times New Roman" w:hAnsi="Times New Roman" w:cs="Times New Roman"/>
                <w:sz w:val="18"/>
                <w:szCs w:val="18"/>
              </w:rPr>
              <w:t>Lag_GHG</w:t>
            </w:r>
          </w:p>
        </w:tc>
        <w:tc>
          <w:tcPr>
            <w:tcW w:w="381" w:type="pct"/>
            <w:tcBorders>
              <w:top w:val="nil"/>
              <w:left w:val="nil"/>
              <w:bottom w:val="nil"/>
              <w:right w:val="nil"/>
            </w:tcBorders>
          </w:tcPr>
          <w:p w14:paraId="687A5788"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p>
        </w:tc>
        <w:tc>
          <w:tcPr>
            <w:tcW w:w="381" w:type="pct"/>
            <w:tcBorders>
              <w:top w:val="nil"/>
              <w:left w:val="nil"/>
              <w:bottom w:val="nil"/>
              <w:right w:val="nil"/>
            </w:tcBorders>
          </w:tcPr>
          <w:p w14:paraId="387CEF1F"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0.0250</w:t>
            </w:r>
          </w:p>
        </w:tc>
        <w:tc>
          <w:tcPr>
            <w:tcW w:w="381" w:type="pct"/>
            <w:tcBorders>
              <w:top w:val="nil"/>
              <w:left w:val="nil"/>
              <w:bottom w:val="nil"/>
              <w:right w:val="nil"/>
            </w:tcBorders>
          </w:tcPr>
          <w:p w14:paraId="2BEE55A0"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0.0460</w:t>
            </w:r>
          </w:p>
        </w:tc>
        <w:tc>
          <w:tcPr>
            <w:tcW w:w="373" w:type="pct"/>
            <w:tcBorders>
              <w:top w:val="nil"/>
              <w:left w:val="nil"/>
              <w:bottom w:val="nil"/>
              <w:right w:val="nil"/>
            </w:tcBorders>
          </w:tcPr>
          <w:p w14:paraId="71579B09"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0.0431</w:t>
            </w:r>
          </w:p>
        </w:tc>
        <w:tc>
          <w:tcPr>
            <w:tcW w:w="373" w:type="pct"/>
            <w:tcBorders>
              <w:top w:val="nil"/>
              <w:left w:val="nil"/>
              <w:bottom w:val="nil"/>
              <w:right w:val="nil"/>
            </w:tcBorders>
          </w:tcPr>
          <w:p w14:paraId="62BB68B5" w14:textId="0CA40EF4"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-0.00801</w:t>
            </w:r>
          </w:p>
        </w:tc>
        <w:tc>
          <w:tcPr>
            <w:tcW w:w="375" w:type="pct"/>
            <w:tcBorders>
              <w:top w:val="nil"/>
              <w:left w:val="nil"/>
              <w:bottom w:val="nil"/>
              <w:right w:val="single" w:sz="4" w:space="0" w:color="auto"/>
            </w:tcBorders>
          </w:tcPr>
          <w:p w14:paraId="48E3A626" w14:textId="79378A23"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0.0554</w:t>
            </w:r>
          </w:p>
        </w:tc>
        <w:tc>
          <w:tcPr>
            <w:tcW w:w="373" w:type="pct"/>
            <w:tcBorders>
              <w:top w:val="nil"/>
              <w:left w:val="single" w:sz="4" w:space="0" w:color="auto"/>
              <w:bottom w:val="nil"/>
              <w:right w:val="nil"/>
            </w:tcBorders>
          </w:tcPr>
          <w:p w14:paraId="6069DFA3"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-0.0191</w:t>
            </w:r>
          </w:p>
        </w:tc>
        <w:tc>
          <w:tcPr>
            <w:tcW w:w="373" w:type="pct"/>
            <w:tcBorders>
              <w:top w:val="nil"/>
              <w:left w:val="nil"/>
              <w:bottom w:val="nil"/>
              <w:right w:val="nil"/>
            </w:tcBorders>
          </w:tcPr>
          <w:p w14:paraId="58B55644"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-0.0344</w:t>
            </w:r>
          </w:p>
        </w:tc>
        <w:tc>
          <w:tcPr>
            <w:tcW w:w="373" w:type="pct"/>
            <w:tcBorders>
              <w:top w:val="nil"/>
              <w:left w:val="nil"/>
              <w:bottom w:val="nil"/>
              <w:right w:val="nil"/>
            </w:tcBorders>
          </w:tcPr>
          <w:p w14:paraId="3FBB57AE"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-0.0327</w:t>
            </w:r>
          </w:p>
        </w:tc>
        <w:tc>
          <w:tcPr>
            <w:tcW w:w="373" w:type="pct"/>
            <w:tcBorders>
              <w:top w:val="nil"/>
              <w:left w:val="nil"/>
              <w:bottom w:val="nil"/>
              <w:right w:val="nil"/>
            </w:tcBorders>
          </w:tcPr>
          <w:p w14:paraId="111F740C"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-0.0422</w:t>
            </w:r>
          </w:p>
        </w:tc>
        <w:tc>
          <w:tcPr>
            <w:tcW w:w="373" w:type="pct"/>
            <w:tcBorders>
              <w:top w:val="nil"/>
              <w:left w:val="nil"/>
              <w:bottom w:val="nil"/>
              <w:right w:val="nil"/>
            </w:tcBorders>
          </w:tcPr>
          <w:p w14:paraId="1A42303F" w14:textId="39EE40A0"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-0.0749</w:t>
            </w:r>
          </w:p>
        </w:tc>
        <w:tc>
          <w:tcPr>
            <w:tcW w:w="370" w:type="pct"/>
            <w:tcBorders>
              <w:top w:val="nil"/>
              <w:left w:val="nil"/>
              <w:bottom w:val="nil"/>
              <w:right w:val="nil"/>
            </w:tcBorders>
          </w:tcPr>
          <w:p w14:paraId="7EB3AEEC" w14:textId="698E7C44"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-0.0289</w:t>
            </w:r>
          </w:p>
        </w:tc>
      </w:tr>
      <w:tr w:rsidR="00FD0D50" w:rsidRPr="00411250" w14:paraId="6BBED54B" w14:textId="77777777" w:rsidTr="00D30EA4">
        <w:trPr>
          <w:trHeight w:val="288"/>
          <w:jc w:val="center"/>
        </w:trPr>
        <w:tc>
          <w:tcPr>
            <w:tcW w:w="501" w:type="pct"/>
            <w:tcBorders>
              <w:top w:val="nil"/>
              <w:left w:val="nil"/>
              <w:bottom w:val="nil"/>
              <w:right w:val="nil"/>
            </w:tcBorders>
          </w:tcPr>
          <w:p w14:paraId="1C3465DE" w14:textId="77777777" w:rsidR="00FD0D50" w:rsidRPr="00026A59" w:rsidRDefault="00FD0D50" w:rsidP="00FD0D50">
            <w:pPr>
              <w:widowControl w:val="0"/>
              <w:autoSpaceDE w:val="0"/>
              <w:autoSpaceDN w:val="0"/>
              <w:adjustRightInd w:val="0"/>
              <w:spacing w:after="0" w:line="240" w:lineRule="auto"/>
              <w:rPr>
                <w:rFonts w:ascii="Times New Roman" w:hAnsi="Times New Roman" w:cs="Times New Roman"/>
                <w:sz w:val="18"/>
                <w:szCs w:val="18"/>
              </w:rPr>
            </w:pPr>
          </w:p>
        </w:tc>
        <w:tc>
          <w:tcPr>
            <w:tcW w:w="381" w:type="pct"/>
            <w:tcBorders>
              <w:top w:val="nil"/>
              <w:left w:val="nil"/>
              <w:bottom w:val="nil"/>
              <w:right w:val="nil"/>
            </w:tcBorders>
          </w:tcPr>
          <w:p w14:paraId="2134BC88"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p>
        </w:tc>
        <w:tc>
          <w:tcPr>
            <w:tcW w:w="381" w:type="pct"/>
            <w:tcBorders>
              <w:top w:val="nil"/>
              <w:left w:val="nil"/>
              <w:bottom w:val="nil"/>
              <w:right w:val="nil"/>
            </w:tcBorders>
          </w:tcPr>
          <w:p w14:paraId="7F3180CC"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(0.0912)</w:t>
            </w:r>
          </w:p>
        </w:tc>
        <w:tc>
          <w:tcPr>
            <w:tcW w:w="381" w:type="pct"/>
            <w:tcBorders>
              <w:top w:val="nil"/>
              <w:left w:val="nil"/>
              <w:bottom w:val="nil"/>
              <w:right w:val="nil"/>
            </w:tcBorders>
          </w:tcPr>
          <w:p w14:paraId="292718AF"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(0.0902)</w:t>
            </w:r>
          </w:p>
        </w:tc>
        <w:tc>
          <w:tcPr>
            <w:tcW w:w="373" w:type="pct"/>
            <w:tcBorders>
              <w:top w:val="nil"/>
              <w:left w:val="nil"/>
              <w:bottom w:val="nil"/>
              <w:right w:val="nil"/>
            </w:tcBorders>
          </w:tcPr>
          <w:p w14:paraId="5BEAADBE"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(0.0989)</w:t>
            </w:r>
          </w:p>
        </w:tc>
        <w:tc>
          <w:tcPr>
            <w:tcW w:w="373" w:type="pct"/>
            <w:tcBorders>
              <w:top w:val="nil"/>
              <w:left w:val="nil"/>
              <w:bottom w:val="nil"/>
              <w:right w:val="nil"/>
            </w:tcBorders>
          </w:tcPr>
          <w:p w14:paraId="647408E2" w14:textId="0CDE5925"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(0.0670)</w:t>
            </w:r>
          </w:p>
        </w:tc>
        <w:tc>
          <w:tcPr>
            <w:tcW w:w="375" w:type="pct"/>
            <w:tcBorders>
              <w:top w:val="nil"/>
              <w:left w:val="nil"/>
              <w:bottom w:val="nil"/>
              <w:right w:val="single" w:sz="4" w:space="0" w:color="auto"/>
            </w:tcBorders>
          </w:tcPr>
          <w:p w14:paraId="55182664" w14:textId="4AACDBAB"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(0.0916)</w:t>
            </w:r>
          </w:p>
        </w:tc>
        <w:tc>
          <w:tcPr>
            <w:tcW w:w="373" w:type="pct"/>
            <w:tcBorders>
              <w:top w:val="nil"/>
              <w:left w:val="single" w:sz="4" w:space="0" w:color="auto"/>
              <w:bottom w:val="nil"/>
              <w:right w:val="nil"/>
            </w:tcBorders>
          </w:tcPr>
          <w:p w14:paraId="1A85B867"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(0.150)</w:t>
            </w:r>
          </w:p>
        </w:tc>
        <w:tc>
          <w:tcPr>
            <w:tcW w:w="373" w:type="pct"/>
            <w:tcBorders>
              <w:top w:val="nil"/>
              <w:left w:val="nil"/>
              <w:bottom w:val="nil"/>
              <w:right w:val="nil"/>
            </w:tcBorders>
          </w:tcPr>
          <w:p w14:paraId="16FFF461"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(0.169)</w:t>
            </w:r>
          </w:p>
        </w:tc>
        <w:tc>
          <w:tcPr>
            <w:tcW w:w="373" w:type="pct"/>
            <w:tcBorders>
              <w:top w:val="nil"/>
              <w:left w:val="nil"/>
              <w:bottom w:val="nil"/>
              <w:right w:val="nil"/>
            </w:tcBorders>
          </w:tcPr>
          <w:p w14:paraId="744EE01D"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(0.169)</w:t>
            </w:r>
          </w:p>
        </w:tc>
        <w:tc>
          <w:tcPr>
            <w:tcW w:w="373" w:type="pct"/>
            <w:tcBorders>
              <w:top w:val="nil"/>
              <w:left w:val="nil"/>
              <w:bottom w:val="nil"/>
              <w:right w:val="nil"/>
            </w:tcBorders>
          </w:tcPr>
          <w:p w14:paraId="10F89F31"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(0.174)</w:t>
            </w:r>
          </w:p>
        </w:tc>
        <w:tc>
          <w:tcPr>
            <w:tcW w:w="373" w:type="pct"/>
            <w:tcBorders>
              <w:top w:val="nil"/>
              <w:left w:val="nil"/>
              <w:bottom w:val="nil"/>
              <w:right w:val="nil"/>
            </w:tcBorders>
          </w:tcPr>
          <w:p w14:paraId="0769BF83" w14:textId="04320F9F"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(0.178)</w:t>
            </w:r>
          </w:p>
        </w:tc>
        <w:tc>
          <w:tcPr>
            <w:tcW w:w="370" w:type="pct"/>
            <w:tcBorders>
              <w:top w:val="nil"/>
              <w:left w:val="nil"/>
              <w:bottom w:val="nil"/>
              <w:right w:val="nil"/>
            </w:tcBorders>
          </w:tcPr>
          <w:p w14:paraId="2CFFC895" w14:textId="784197CE"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(0.175)</w:t>
            </w:r>
          </w:p>
        </w:tc>
      </w:tr>
      <w:tr w:rsidR="005C69B8" w:rsidRPr="00411250" w14:paraId="156309F6" w14:textId="77777777" w:rsidTr="005C69B8">
        <w:trPr>
          <w:trHeight w:val="288"/>
          <w:jc w:val="center"/>
        </w:trPr>
        <w:tc>
          <w:tcPr>
            <w:tcW w:w="2765" w:type="pct"/>
            <w:gridSpan w:val="7"/>
            <w:tcBorders>
              <w:top w:val="nil"/>
              <w:left w:val="nil"/>
              <w:bottom w:val="nil"/>
              <w:right w:val="single" w:sz="4" w:space="0" w:color="auto"/>
            </w:tcBorders>
          </w:tcPr>
          <w:p w14:paraId="0D94C542" w14:textId="176647F4" w:rsidR="005C69B8" w:rsidRPr="003B6444" w:rsidRDefault="005C69B8" w:rsidP="003B6444">
            <w:pPr>
              <w:widowControl w:val="0"/>
              <w:autoSpaceDE w:val="0"/>
              <w:autoSpaceDN w:val="0"/>
              <w:adjustRightInd w:val="0"/>
              <w:spacing w:after="0" w:line="240" w:lineRule="auto"/>
              <w:rPr>
                <w:rFonts w:ascii="Times New Roman" w:hAnsi="Times New Roman" w:cs="Times New Roman"/>
                <w:i/>
                <w:sz w:val="18"/>
                <w:szCs w:val="18"/>
                <w:u w:val="single"/>
              </w:rPr>
            </w:pPr>
            <w:r>
              <w:rPr>
                <w:rFonts w:ascii="Times New Roman" w:hAnsi="Times New Roman" w:cs="Times New Roman"/>
                <w:i/>
                <w:sz w:val="18"/>
                <w:szCs w:val="18"/>
                <w:u w:val="single"/>
              </w:rPr>
              <w:t>Independent variables</w:t>
            </w:r>
          </w:p>
        </w:tc>
        <w:tc>
          <w:tcPr>
            <w:tcW w:w="373" w:type="pct"/>
            <w:tcBorders>
              <w:top w:val="nil"/>
              <w:left w:val="single" w:sz="4" w:space="0" w:color="auto"/>
              <w:bottom w:val="nil"/>
              <w:right w:val="nil"/>
            </w:tcBorders>
          </w:tcPr>
          <w:p w14:paraId="1F60332B" w14:textId="77777777" w:rsidR="005C69B8" w:rsidRPr="00026A59" w:rsidRDefault="005C69B8" w:rsidP="0024748A">
            <w:pPr>
              <w:widowControl w:val="0"/>
              <w:autoSpaceDE w:val="0"/>
              <w:autoSpaceDN w:val="0"/>
              <w:adjustRightInd w:val="0"/>
              <w:spacing w:after="0" w:line="240" w:lineRule="auto"/>
              <w:jc w:val="center"/>
              <w:rPr>
                <w:rFonts w:ascii="Times New Roman" w:hAnsi="Times New Roman" w:cs="Times New Roman"/>
                <w:sz w:val="18"/>
                <w:szCs w:val="18"/>
              </w:rPr>
            </w:pPr>
          </w:p>
        </w:tc>
        <w:tc>
          <w:tcPr>
            <w:tcW w:w="373" w:type="pct"/>
            <w:tcBorders>
              <w:top w:val="nil"/>
              <w:left w:val="nil"/>
              <w:bottom w:val="nil"/>
              <w:right w:val="nil"/>
            </w:tcBorders>
          </w:tcPr>
          <w:p w14:paraId="4897C952" w14:textId="77777777" w:rsidR="005C69B8" w:rsidRPr="00026A59" w:rsidRDefault="005C69B8" w:rsidP="0024748A">
            <w:pPr>
              <w:widowControl w:val="0"/>
              <w:autoSpaceDE w:val="0"/>
              <w:autoSpaceDN w:val="0"/>
              <w:adjustRightInd w:val="0"/>
              <w:spacing w:after="0" w:line="240" w:lineRule="auto"/>
              <w:jc w:val="center"/>
              <w:rPr>
                <w:rFonts w:ascii="Times New Roman" w:hAnsi="Times New Roman" w:cs="Times New Roman"/>
                <w:sz w:val="18"/>
                <w:szCs w:val="18"/>
              </w:rPr>
            </w:pPr>
          </w:p>
        </w:tc>
        <w:tc>
          <w:tcPr>
            <w:tcW w:w="373" w:type="pct"/>
            <w:tcBorders>
              <w:top w:val="nil"/>
              <w:left w:val="nil"/>
              <w:bottom w:val="nil"/>
              <w:right w:val="nil"/>
            </w:tcBorders>
          </w:tcPr>
          <w:p w14:paraId="02131A52" w14:textId="77777777" w:rsidR="005C69B8" w:rsidRPr="00026A59" w:rsidRDefault="005C69B8" w:rsidP="0024748A">
            <w:pPr>
              <w:widowControl w:val="0"/>
              <w:autoSpaceDE w:val="0"/>
              <w:autoSpaceDN w:val="0"/>
              <w:adjustRightInd w:val="0"/>
              <w:spacing w:after="0" w:line="240" w:lineRule="auto"/>
              <w:jc w:val="center"/>
              <w:rPr>
                <w:rFonts w:ascii="Times New Roman" w:hAnsi="Times New Roman" w:cs="Times New Roman"/>
                <w:sz w:val="18"/>
                <w:szCs w:val="18"/>
              </w:rPr>
            </w:pPr>
          </w:p>
        </w:tc>
        <w:tc>
          <w:tcPr>
            <w:tcW w:w="373" w:type="pct"/>
            <w:tcBorders>
              <w:top w:val="nil"/>
              <w:left w:val="nil"/>
              <w:bottom w:val="nil"/>
              <w:right w:val="nil"/>
            </w:tcBorders>
          </w:tcPr>
          <w:p w14:paraId="31E572DD" w14:textId="77777777" w:rsidR="005C69B8" w:rsidRPr="00026A59" w:rsidRDefault="005C69B8" w:rsidP="0024748A">
            <w:pPr>
              <w:widowControl w:val="0"/>
              <w:autoSpaceDE w:val="0"/>
              <w:autoSpaceDN w:val="0"/>
              <w:adjustRightInd w:val="0"/>
              <w:spacing w:after="0" w:line="240" w:lineRule="auto"/>
              <w:jc w:val="center"/>
              <w:rPr>
                <w:rFonts w:ascii="Times New Roman" w:hAnsi="Times New Roman" w:cs="Times New Roman"/>
                <w:sz w:val="18"/>
                <w:szCs w:val="18"/>
              </w:rPr>
            </w:pPr>
          </w:p>
        </w:tc>
        <w:tc>
          <w:tcPr>
            <w:tcW w:w="373" w:type="pct"/>
            <w:tcBorders>
              <w:top w:val="nil"/>
              <w:left w:val="nil"/>
              <w:bottom w:val="nil"/>
              <w:right w:val="nil"/>
            </w:tcBorders>
          </w:tcPr>
          <w:p w14:paraId="4A744F2B" w14:textId="77777777" w:rsidR="005C69B8" w:rsidRPr="00026A59" w:rsidRDefault="005C69B8" w:rsidP="0024748A">
            <w:pPr>
              <w:widowControl w:val="0"/>
              <w:autoSpaceDE w:val="0"/>
              <w:autoSpaceDN w:val="0"/>
              <w:adjustRightInd w:val="0"/>
              <w:spacing w:after="0" w:line="240" w:lineRule="auto"/>
              <w:jc w:val="center"/>
              <w:rPr>
                <w:rFonts w:ascii="Times New Roman" w:hAnsi="Times New Roman" w:cs="Times New Roman"/>
                <w:sz w:val="18"/>
                <w:szCs w:val="18"/>
              </w:rPr>
            </w:pPr>
          </w:p>
        </w:tc>
        <w:tc>
          <w:tcPr>
            <w:tcW w:w="370" w:type="pct"/>
            <w:tcBorders>
              <w:top w:val="nil"/>
              <w:left w:val="nil"/>
              <w:bottom w:val="nil"/>
              <w:right w:val="nil"/>
            </w:tcBorders>
          </w:tcPr>
          <w:p w14:paraId="6B0E0F04" w14:textId="77777777" w:rsidR="005C69B8" w:rsidRPr="00026A59" w:rsidRDefault="005C69B8" w:rsidP="0024748A">
            <w:pPr>
              <w:widowControl w:val="0"/>
              <w:autoSpaceDE w:val="0"/>
              <w:autoSpaceDN w:val="0"/>
              <w:adjustRightInd w:val="0"/>
              <w:spacing w:after="0" w:line="240" w:lineRule="auto"/>
              <w:jc w:val="center"/>
              <w:rPr>
                <w:rFonts w:ascii="Times New Roman" w:hAnsi="Times New Roman" w:cs="Times New Roman"/>
                <w:sz w:val="18"/>
                <w:szCs w:val="18"/>
              </w:rPr>
            </w:pPr>
          </w:p>
        </w:tc>
      </w:tr>
      <w:tr w:rsidR="0024748A" w:rsidRPr="00411250" w14:paraId="158F607D" w14:textId="77777777" w:rsidTr="00D30EA4">
        <w:trPr>
          <w:trHeight w:val="288"/>
          <w:jc w:val="center"/>
        </w:trPr>
        <w:tc>
          <w:tcPr>
            <w:tcW w:w="501" w:type="pct"/>
            <w:tcBorders>
              <w:top w:val="nil"/>
              <w:left w:val="nil"/>
              <w:bottom w:val="nil"/>
              <w:right w:val="nil"/>
            </w:tcBorders>
          </w:tcPr>
          <w:p w14:paraId="13097DEF" w14:textId="77777777" w:rsidR="0024748A" w:rsidRPr="00026A59" w:rsidRDefault="0024748A" w:rsidP="0024748A">
            <w:pPr>
              <w:widowControl w:val="0"/>
              <w:autoSpaceDE w:val="0"/>
              <w:autoSpaceDN w:val="0"/>
              <w:adjustRightInd w:val="0"/>
              <w:spacing w:after="0" w:line="240" w:lineRule="auto"/>
              <w:rPr>
                <w:rFonts w:ascii="Times New Roman" w:hAnsi="Times New Roman" w:cs="Times New Roman"/>
                <w:sz w:val="18"/>
                <w:szCs w:val="18"/>
              </w:rPr>
            </w:pPr>
            <w:r w:rsidRPr="00026A59">
              <w:rPr>
                <w:rFonts w:ascii="Times New Roman" w:hAnsi="Times New Roman" w:cs="Times New Roman"/>
                <w:sz w:val="18"/>
                <w:szCs w:val="18"/>
              </w:rPr>
              <w:t>CCA</w:t>
            </w:r>
          </w:p>
        </w:tc>
        <w:tc>
          <w:tcPr>
            <w:tcW w:w="381" w:type="pct"/>
            <w:tcBorders>
              <w:top w:val="nil"/>
              <w:left w:val="nil"/>
              <w:bottom w:val="nil"/>
              <w:right w:val="nil"/>
            </w:tcBorders>
          </w:tcPr>
          <w:p w14:paraId="6E30EBA6" w14:textId="77777777" w:rsidR="0024748A" w:rsidRPr="00026A59" w:rsidRDefault="0024748A" w:rsidP="0024748A">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0.445***</w:t>
            </w:r>
          </w:p>
        </w:tc>
        <w:tc>
          <w:tcPr>
            <w:tcW w:w="381" w:type="pct"/>
            <w:tcBorders>
              <w:top w:val="nil"/>
              <w:left w:val="nil"/>
              <w:bottom w:val="nil"/>
              <w:right w:val="nil"/>
            </w:tcBorders>
          </w:tcPr>
          <w:p w14:paraId="65CD377D" w14:textId="77777777" w:rsidR="0024748A" w:rsidRPr="00026A59" w:rsidRDefault="0024748A" w:rsidP="0024748A">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0.657***</w:t>
            </w:r>
          </w:p>
        </w:tc>
        <w:tc>
          <w:tcPr>
            <w:tcW w:w="381" w:type="pct"/>
            <w:tcBorders>
              <w:top w:val="nil"/>
              <w:left w:val="nil"/>
              <w:bottom w:val="nil"/>
              <w:right w:val="nil"/>
            </w:tcBorders>
          </w:tcPr>
          <w:p w14:paraId="0CD69DBD" w14:textId="77777777" w:rsidR="0024748A" w:rsidRPr="00026A59" w:rsidRDefault="0024748A" w:rsidP="0024748A">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3" w:type="pct"/>
            <w:tcBorders>
              <w:top w:val="nil"/>
              <w:left w:val="nil"/>
              <w:bottom w:val="nil"/>
              <w:right w:val="nil"/>
            </w:tcBorders>
          </w:tcPr>
          <w:p w14:paraId="206E21A5" w14:textId="77777777" w:rsidR="0024748A" w:rsidRPr="00026A59" w:rsidRDefault="0024748A" w:rsidP="0024748A">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3" w:type="pct"/>
            <w:tcBorders>
              <w:top w:val="nil"/>
              <w:left w:val="nil"/>
              <w:bottom w:val="nil"/>
              <w:right w:val="nil"/>
            </w:tcBorders>
          </w:tcPr>
          <w:p w14:paraId="6ED0CA21" w14:textId="6B31D51F" w:rsidR="0024748A" w:rsidRPr="00026A59" w:rsidRDefault="0024748A" w:rsidP="0024748A">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5" w:type="pct"/>
            <w:tcBorders>
              <w:top w:val="nil"/>
              <w:left w:val="nil"/>
              <w:bottom w:val="nil"/>
              <w:right w:val="single" w:sz="4" w:space="0" w:color="auto"/>
            </w:tcBorders>
          </w:tcPr>
          <w:p w14:paraId="3C0D8372" w14:textId="5285B72B" w:rsidR="0024748A" w:rsidRPr="00026A59" w:rsidRDefault="0024748A" w:rsidP="0024748A">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3" w:type="pct"/>
            <w:tcBorders>
              <w:top w:val="nil"/>
              <w:left w:val="single" w:sz="4" w:space="0" w:color="auto"/>
              <w:bottom w:val="nil"/>
              <w:right w:val="nil"/>
            </w:tcBorders>
          </w:tcPr>
          <w:p w14:paraId="6D787158" w14:textId="77777777" w:rsidR="0024748A" w:rsidRPr="00026A59" w:rsidRDefault="0024748A" w:rsidP="0024748A">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0.0427</w:t>
            </w:r>
          </w:p>
        </w:tc>
        <w:tc>
          <w:tcPr>
            <w:tcW w:w="373" w:type="pct"/>
            <w:tcBorders>
              <w:top w:val="nil"/>
              <w:left w:val="nil"/>
              <w:bottom w:val="nil"/>
              <w:right w:val="nil"/>
            </w:tcBorders>
          </w:tcPr>
          <w:p w14:paraId="40A1415E" w14:textId="77777777" w:rsidR="0024748A" w:rsidRPr="00026A59" w:rsidRDefault="0024748A" w:rsidP="0024748A">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0.0150</w:t>
            </w:r>
          </w:p>
        </w:tc>
        <w:tc>
          <w:tcPr>
            <w:tcW w:w="373" w:type="pct"/>
            <w:tcBorders>
              <w:top w:val="nil"/>
              <w:left w:val="nil"/>
              <w:bottom w:val="nil"/>
              <w:right w:val="nil"/>
            </w:tcBorders>
          </w:tcPr>
          <w:p w14:paraId="05558B7E" w14:textId="77777777" w:rsidR="0024748A" w:rsidRPr="00026A59" w:rsidRDefault="0024748A" w:rsidP="0024748A">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3" w:type="pct"/>
            <w:tcBorders>
              <w:top w:val="nil"/>
              <w:left w:val="nil"/>
              <w:bottom w:val="nil"/>
              <w:right w:val="nil"/>
            </w:tcBorders>
          </w:tcPr>
          <w:p w14:paraId="3DD51A2B" w14:textId="77777777" w:rsidR="0024748A" w:rsidRPr="00026A59" w:rsidRDefault="0024748A" w:rsidP="0024748A">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3" w:type="pct"/>
            <w:tcBorders>
              <w:top w:val="nil"/>
              <w:left w:val="nil"/>
              <w:bottom w:val="nil"/>
              <w:right w:val="nil"/>
            </w:tcBorders>
          </w:tcPr>
          <w:p w14:paraId="27BB32BF" w14:textId="20052392" w:rsidR="0024748A" w:rsidRPr="00026A59" w:rsidRDefault="0024748A" w:rsidP="0024748A">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0" w:type="pct"/>
            <w:tcBorders>
              <w:top w:val="nil"/>
              <w:left w:val="nil"/>
              <w:bottom w:val="nil"/>
              <w:right w:val="nil"/>
            </w:tcBorders>
          </w:tcPr>
          <w:p w14:paraId="3359C2B5" w14:textId="7EE4B9DC" w:rsidR="0024748A" w:rsidRPr="00026A59" w:rsidRDefault="0024748A" w:rsidP="0024748A">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r>
      <w:tr w:rsidR="0024748A" w:rsidRPr="00411250" w14:paraId="63EA1F4D" w14:textId="77777777" w:rsidTr="00D30EA4">
        <w:trPr>
          <w:trHeight w:val="288"/>
          <w:jc w:val="center"/>
        </w:trPr>
        <w:tc>
          <w:tcPr>
            <w:tcW w:w="501" w:type="pct"/>
            <w:tcBorders>
              <w:top w:val="nil"/>
              <w:left w:val="nil"/>
              <w:bottom w:val="nil"/>
              <w:right w:val="nil"/>
            </w:tcBorders>
          </w:tcPr>
          <w:p w14:paraId="387560DF" w14:textId="77777777" w:rsidR="0024748A" w:rsidRPr="00026A59" w:rsidRDefault="0024748A" w:rsidP="0024748A">
            <w:pPr>
              <w:widowControl w:val="0"/>
              <w:autoSpaceDE w:val="0"/>
              <w:autoSpaceDN w:val="0"/>
              <w:adjustRightInd w:val="0"/>
              <w:spacing w:after="0" w:line="240" w:lineRule="auto"/>
              <w:rPr>
                <w:rFonts w:ascii="Times New Roman" w:hAnsi="Times New Roman" w:cs="Times New Roman"/>
                <w:sz w:val="18"/>
                <w:szCs w:val="18"/>
              </w:rPr>
            </w:pPr>
          </w:p>
        </w:tc>
        <w:tc>
          <w:tcPr>
            <w:tcW w:w="381" w:type="pct"/>
            <w:tcBorders>
              <w:top w:val="nil"/>
              <w:left w:val="nil"/>
              <w:bottom w:val="nil"/>
              <w:right w:val="nil"/>
            </w:tcBorders>
          </w:tcPr>
          <w:p w14:paraId="0A120D1A" w14:textId="77777777" w:rsidR="0024748A" w:rsidRPr="00026A59" w:rsidRDefault="0024748A" w:rsidP="0024748A">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(0.115)</w:t>
            </w:r>
          </w:p>
        </w:tc>
        <w:tc>
          <w:tcPr>
            <w:tcW w:w="381" w:type="pct"/>
            <w:tcBorders>
              <w:top w:val="nil"/>
              <w:left w:val="nil"/>
              <w:bottom w:val="nil"/>
              <w:right w:val="nil"/>
            </w:tcBorders>
          </w:tcPr>
          <w:p w14:paraId="718D59DC" w14:textId="77777777" w:rsidR="0024748A" w:rsidRPr="00026A59" w:rsidRDefault="0024748A" w:rsidP="0024748A">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(0.176)</w:t>
            </w:r>
          </w:p>
        </w:tc>
        <w:tc>
          <w:tcPr>
            <w:tcW w:w="381" w:type="pct"/>
            <w:tcBorders>
              <w:top w:val="nil"/>
              <w:left w:val="nil"/>
              <w:bottom w:val="nil"/>
              <w:right w:val="nil"/>
            </w:tcBorders>
          </w:tcPr>
          <w:p w14:paraId="56BD4EB2" w14:textId="77777777" w:rsidR="0024748A" w:rsidRPr="00026A59" w:rsidRDefault="0024748A" w:rsidP="0024748A">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3" w:type="pct"/>
            <w:tcBorders>
              <w:top w:val="nil"/>
              <w:left w:val="nil"/>
              <w:bottom w:val="nil"/>
              <w:right w:val="nil"/>
            </w:tcBorders>
          </w:tcPr>
          <w:p w14:paraId="3780F395" w14:textId="77777777" w:rsidR="0024748A" w:rsidRPr="00026A59" w:rsidRDefault="0024748A" w:rsidP="0024748A">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3" w:type="pct"/>
            <w:tcBorders>
              <w:top w:val="nil"/>
              <w:left w:val="nil"/>
              <w:bottom w:val="nil"/>
              <w:right w:val="nil"/>
            </w:tcBorders>
          </w:tcPr>
          <w:p w14:paraId="75C9C23D" w14:textId="71C9ECB0" w:rsidR="0024748A" w:rsidRPr="00026A59" w:rsidRDefault="0024748A" w:rsidP="0024748A">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5" w:type="pct"/>
            <w:tcBorders>
              <w:top w:val="nil"/>
              <w:left w:val="nil"/>
              <w:bottom w:val="nil"/>
              <w:right w:val="single" w:sz="4" w:space="0" w:color="auto"/>
            </w:tcBorders>
          </w:tcPr>
          <w:p w14:paraId="690D6AB3" w14:textId="5AE74833" w:rsidR="0024748A" w:rsidRPr="00026A59" w:rsidRDefault="0024748A" w:rsidP="0024748A">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3" w:type="pct"/>
            <w:tcBorders>
              <w:top w:val="nil"/>
              <w:left w:val="single" w:sz="4" w:space="0" w:color="auto"/>
              <w:bottom w:val="nil"/>
              <w:right w:val="nil"/>
            </w:tcBorders>
          </w:tcPr>
          <w:p w14:paraId="42C3517C" w14:textId="77777777" w:rsidR="0024748A" w:rsidRPr="00026A59" w:rsidRDefault="0024748A" w:rsidP="0024748A">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(0.0344)</w:t>
            </w:r>
          </w:p>
        </w:tc>
        <w:tc>
          <w:tcPr>
            <w:tcW w:w="373" w:type="pct"/>
            <w:tcBorders>
              <w:top w:val="nil"/>
              <w:left w:val="nil"/>
              <w:bottom w:val="nil"/>
              <w:right w:val="nil"/>
            </w:tcBorders>
          </w:tcPr>
          <w:p w14:paraId="5A19D092" w14:textId="77777777" w:rsidR="0024748A" w:rsidRPr="00026A59" w:rsidRDefault="0024748A" w:rsidP="0024748A">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(0.0361)</w:t>
            </w:r>
          </w:p>
        </w:tc>
        <w:tc>
          <w:tcPr>
            <w:tcW w:w="373" w:type="pct"/>
            <w:tcBorders>
              <w:top w:val="nil"/>
              <w:left w:val="nil"/>
              <w:bottom w:val="nil"/>
              <w:right w:val="nil"/>
            </w:tcBorders>
          </w:tcPr>
          <w:p w14:paraId="2B6358AB" w14:textId="77777777" w:rsidR="0024748A" w:rsidRPr="00026A59" w:rsidRDefault="0024748A" w:rsidP="0024748A">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3" w:type="pct"/>
            <w:tcBorders>
              <w:top w:val="nil"/>
              <w:left w:val="nil"/>
              <w:bottom w:val="nil"/>
              <w:right w:val="nil"/>
            </w:tcBorders>
          </w:tcPr>
          <w:p w14:paraId="1D4D539E" w14:textId="77777777" w:rsidR="0024748A" w:rsidRPr="00026A59" w:rsidRDefault="0024748A" w:rsidP="0024748A">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3" w:type="pct"/>
            <w:tcBorders>
              <w:top w:val="nil"/>
              <w:left w:val="nil"/>
              <w:bottom w:val="nil"/>
              <w:right w:val="nil"/>
            </w:tcBorders>
          </w:tcPr>
          <w:p w14:paraId="51A2608A" w14:textId="003259E8" w:rsidR="0024748A" w:rsidRPr="00026A59" w:rsidRDefault="0024748A" w:rsidP="0024748A">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0" w:type="pct"/>
            <w:tcBorders>
              <w:top w:val="nil"/>
              <w:left w:val="nil"/>
              <w:bottom w:val="nil"/>
              <w:right w:val="nil"/>
            </w:tcBorders>
          </w:tcPr>
          <w:p w14:paraId="3A8D906B" w14:textId="53968CBF" w:rsidR="0024748A" w:rsidRPr="00026A59" w:rsidRDefault="0024748A" w:rsidP="0024748A">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r>
      <w:tr w:rsidR="00FD0D50" w:rsidRPr="00411250" w14:paraId="2C9ED38D" w14:textId="77777777" w:rsidTr="00D30EA4">
        <w:trPr>
          <w:trHeight w:val="288"/>
          <w:jc w:val="center"/>
        </w:trPr>
        <w:tc>
          <w:tcPr>
            <w:tcW w:w="501" w:type="pct"/>
            <w:tcBorders>
              <w:top w:val="nil"/>
              <w:left w:val="nil"/>
              <w:bottom w:val="nil"/>
              <w:right w:val="nil"/>
            </w:tcBorders>
          </w:tcPr>
          <w:p w14:paraId="27BFC349" w14:textId="77777777" w:rsidR="00FD0D50" w:rsidRPr="00026A59" w:rsidRDefault="00FD0D50" w:rsidP="00FD0D50">
            <w:pPr>
              <w:widowControl w:val="0"/>
              <w:autoSpaceDE w:val="0"/>
              <w:autoSpaceDN w:val="0"/>
              <w:adjustRightInd w:val="0"/>
              <w:spacing w:after="0" w:line="240" w:lineRule="auto"/>
              <w:rPr>
                <w:rFonts w:ascii="Times New Roman" w:hAnsi="Times New Roman" w:cs="Times New Roman"/>
                <w:sz w:val="18"/>
                <w:szCs w:val="18"/>
              </w:rPr>
            </w:pPr>
            <w:r w:rsidRPr="00026A59">
              <w:rPr>
                <w:rFonts w:ascii="Times New Roman" w:hAnsi="Times New Roman" w:cs="Times New Roman"/>
                <w:sz w:val="18"/>
                <w:szCs w:val="18"/>
              </w:rPr>
              <w:t>GRI</w:t>
            </w:r>
          </w:p>
        </w:tc>
        <w:tc>
          <w:tcPr>
            <w:tcW w:w="381" w:type="pct"/>
            <w:tcBorders>
              <w:top w:val="nil"/>
              <w:left w:val="nil"/>
              <w:bottom w:val="nil"/>
              <w:right w:val="nil"/>
            </w:tcBorders>
          </w:tcPr>
          <w:p w14:paraId="02B39A18"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0.333***</w:t>
            </w:r>
          </w:p>
        </w:tc>
        <w:tc>
          <w:tcPr>
            <w:tcW w:w="381" w:type="pct"/>
            <w:tcBorders>
              <w:top w:val="nil"/>
              <w:left w:val="nil"/>
              <w:bottom w:val="nil"/>
              <w:right w:val="nil"/>
            </w:tcBorders>
          </w:tcPr>
          <w:p w14:paraId="3F2B44A4"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0.367**</w:t>
            </w:r>
          </w:p>
        </w:tc>
        <w:tc>
          <w:tcPr>
            <w:tcW w:w="381" w:type="pct"/>
            <w:tcBorders>
              <w:top w:val="nil"/>
              <w:left w:val="nil"/>
              <w:bottom w:val="nil"/>
              <w:right w:val="nil"/>
            </w:tcBorders>
          </w:tcPr>
          <w:p w14:paraId="79F50AB7"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0.382**</w:t>
            </w:r>
          </w:p>
        </w:tc>
        <w:tc>
          <w:tcPr>
            <w:tcW w:w="373" w:type="pct"/>
            <w:tcBorders>
              <w:top w:val="nil"/>
              <w:left w:val="nil"/>
              <w:bottom w:val="nil"/>
              <w:right w:val="nil"/>
            </w:tcBorders>
          </w:tcPr>
          <w:p w14:paraId="48A8F5BB"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0.359**</w:t>
            </w:r>
          </w:p>
        </w:tc>
        <w:tc>
          <w:tcPr>
            <w:tcW w:w="373" w:type="pct"/>
            <w:tcBorders>
              <w:top w:val="nil"/>
              <w:left w:val="nil"/>
              <w:bottom w:val="nil"/>
              <w:right w:val="nil"/>
            </w:tcBorders>
          </w:tcPr>
          <w:p w14:paraId="656F7227" w14:textId="1EC48F92"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0.338**</w:t>
            </w:r>
          </w:p>
        </w:tc>
        <w:tc>
          <w:tcPr>
            <w:tcW w:w="375" w:type="pct"/>
            <w:tcBorders>
              <w:top w:val="nil"/>
              <w:left w:val="nil"/>
              <w:bottom w:val="nil"/>
              <w:right w:val="single" w:sz="4" w:space="0" w:color="auto"/>
            </w:tcBorders>
          </w:tcPr>
          <w:p w14:paraId="14E7EC77" w14:textId="582D85B6"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0.354**</w:t>
            </w:r>
          </w:p>
        </w:tc>
        <w:tc>
          <w:tcPr>
            <w:tcW w:w="373" w:type="pct"/>
            <w:tcBorders>
              <w:top w:val="nil"/>
              <w:left w:val="single" w:sz="4" w:space="0" w:color="auto"/>
              <w:bottom w:val="nil"/>
              <w:right w:val="nil"/>
            </w:tcBorders>
          </w:tcPr>
          <w:p w14:paraId="2067496E"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-0.0119</w:t>
            </w:r>
          </w:p>
        </w:tc>
        <w:tc>
          <w:tcPr>
            <w:tcW w:w="373" w:type="pct"/>
            <w:tcBorders>
              <w:top w:val="nil"/>
              <w:left w:val="nil"/>
              <w:bottom w:val="nil"/>
              <w:right w:val="nil"/>
            </w:tcBorders>
          </w:tcPr>
          <w:p w14:paraId="3578BD47"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-0.000723</w:t>
            </w:r>
          </w:p>
        </w:tc>
        <w:tc>
          <w:tcPr>
            <w:tcW w:w="373" w:type="pct"/>
            <w:tcBorders>
              <w:top w:val="nil"/>
              <w:left w:val="nil"/>
              <w:bottom w:val="nil"/>
              <w:right w:val="nil"/>
            </w:tcBorders>
          </w:tcPr>
          <w:p w14:paraId="74022F19"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-0.00108</w:t>
            </w:r>
          </w:p>
        </w:tc>
        <w:tc>
          <w:tcPr>
            <w:tcW w:w="373" w:type="pct"/>
            <w:tcBorders>
              <w:top w:val="nil"/>
              <w:left w:val="nil"/>
              <w:bottom w:val="nil"/>
              <w:right w:val="nil"/>
            </w:tcBorders>
          </w:tcPr>
          <w:p w14:paraId="12D5B7EA"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0.00405</w:t>
            </w:r>
          </w:p>
        </w:tc>
        <w:tc>
          <w:tcPr>
            <w:tcW w:w="373" w:type="pct"/>
            <w:tcBorders>
              <w:top w:val="nil"/>
              <w:left w:val="nil"/>
              <w:bottom w:val="nil"/>
              <w:right w:val="nil"/>
            </w:tcBorders>
          </w:tcPr>
          <w:p w14:paraId="0B03BEE8" w14:textId="24A3E2A8"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0.0116</w:t>
            </w:r>
          </w:p>
        </w:tc>
        <w:tc>
          <w:tcPr>
            <w:tcW w:w="370" w:type="pct"/>
            <w:tcBorders>
              <w:top w:val="nil"/>
              <w:left w:val="nil"/>
              <w:bottom w:val="nil"/>
              <w:right w:val="nil"/>
            </w:tcBorders>
          </w:tcPr>
          <w:p w14:paraId="2BFD39CA" w14:textId="5D5E7036"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0.00796</w:t>
            </w:r>
          </w:p>
        </w:tc>
      </w:tr>
      <w:tr w:rsidR="00FD0D50" w:rsidRPr="00411250" w14:paraId="1319CB36" w14:textId="77777777" w:rsidTr="00D30EA4">
        <w:trPr>
          <w:trHeight w:val="288"/>
          <w:jc w:val="center"/>
        </w:trPr>
        <w:tc>
          <w:tcPr>
            <w:tcW w:w="501" w:type="pct"/>
            <w:tcBorders>
              <w:top w:val="nil"/>
              <w:left w:val="nil"/>
              <w:bottom w:val="nil"/>
              <w:right w:val="nil"/>
            </w:tcBorders>
          </w:tcPr>
          <w:p w14:paraId="6426818A" w14:textId="77777777" w:rsidR="00FD0D50" w:rsidRPr="00026A59" w:rsidRDefault="00FD0D50" w:rsidP="00FD0D50">
            <w:pPr>
              <w:widowControl w:val="0"/>
              <w:autoSpaceDE w:val="0"/>
              <w:autoSpaceDN w:val="0"/>
              <w:adjustRightInd w:val="0"/>
              <w:spacing w:after="0" w:line="240" w:lineRule="auto"/>
              <w:rPr>
                <w:rFonts w:ascii="Times New Roman" w:hAnsi="Times New Roman" w:cs="Times New Roman"/>
                <w:sz w:val="18"/>
                <w:szCs w:val="18"/>
              </w:rPr>
            </w:pPr>
          </w:p>
        </w:tc>
        <w:tc>
          <w:tcPr>
            <w:tcW w:w="381" w:type="pct"/>
            <w:tcBorders>
              <w:top w:val="nil"/>
              <w:left w:val="nil"/>
              <w:bottom w:val="nil"/>
              <w:right w:val="nil"/>
            </w:tcBorders>
          </w:tcPr>
          <w:p w14:paraId="3444899D"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(0.117)</w:t>
            </w:r>
          </w:p>
        </w:tc>
        <w:tc>
          <w:tcPr>
            <w:tcW w:w="381" w:type="pct"/>
            <w:tcBorders>
              <w:top w:val="nil"/>
              <w:left w:val="nil"/>
              <w:bottom w:val="nil"/>
              <w:right w:val="nil"/>
            </w:tcBorders>
          </w:tcPr>
          <w:p w14:paraId="446016E3"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(0.151)</w:t>
            </w:r>
          </w:p>
        </w:tc>
        <w:tc>
          <w:tcPr>
            <w:tcW w:w="381" w:type="pct"/>
            <w:tcBorders>
              <w:top w:val="nil"/>
              <w:left w:val="nil"/>
              <w:bottom w:val="nil"/>
              <w:right w:val="nil"/>
            </w:tcBorders>
          </w:tcPr>
          <w:p w14:paraId="355AEDEA"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(0.156)</w:t>
            </w:r>
          </w:p>
        </w:tc>
        <w:tc>
          <w:tcPr>
            <w:tcW w:w="373" w:type="pct"/>
            <w:tcBorders>
              <w:top w:val="nil"/>
              <w:left w:val="nil"/>
              <w:bottom w:val="nil"/>
              <w:right w:val="nil"/>
            </w:tcBorders>
          </w:tcPr>
          <w:p w14:paraId="7C65EF9D"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(0.145)</w:t>
            </w:r>
          </w:p>
        </w:tc>
        <w:tc>
          <w:tcPr>
            <w:tcW w:w="373" w:type="pct"/>
            <w:tcBorders>
              <w:top w:val="nil"/>
              <w:left w:val="nil"/>
              <w:bottom w:val="nil"/>
              <w:right w:val="nil"/>
            </w:tcBorders>
          </w:tcPr>
          <w:p w14:paraId="34EABC7D" w14:textId="75C4849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(0.148)</w:t>
            </w:r>
          </w:p>
        </w:tc>
        <w:tc>
          <w:tcPr>
            <w:tcW w:w="375" w:type="pct"/>
            <w:tcBorders>
              <w:top w:val="nil"/>
              <w:left w:val="nil"/>
              <w:bottom w:val="nil"/>
              <w:right w:val="single" w:sz="4" w:space="0" w:color="auto"/>
            </w:tcBorders>
          </w:tcPr>
          <w:p w14:paraId="6DA6506B" w14:textId="7F7B369A"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(0.142)</w:t>
            </w:r>
          </w:p>
        </w:tc>
        <w:tc>
          <w:tcPr>
            <w:tcW w:w="373" w:type="pct"/>
            <w:tcBorders>
              <w:top w:val="nil"/>
              <w:left w:val="single" w:sz="4" w:space="0" w:color="auto"/>
              <w:bottom w:val="nil"/>
              <w:right w:val="nil"/>
            </w:tcBorders>
          </w:tcPr>
          <w:p w14:paraId="206818C7"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(0.0310)</w:t>
            </w:r>
          </w:p>
        </w:tc>
        <w:tc>
          <w:tcPr>
            <w:tcW w:w="373" w:type="pct"/>
            <w:tcBorders>
              <w:top w:val="nil"/>
              <w:left w:val="nil"/>
              <w:bottom w:val="nil"/>
              <w:right w:val="nil"/>
            </w:tcBorders>
          </w:tcPr>
          <w:p w14:paraId="548B402A"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(0.0321)</w:t>
            </w:r>
          </w:p>
        </w:tc>
        <w:tc>
          <w:tcPr>
            <w:tcW w:w="373" w:type="pct"/>
            <w:tcBorders>
              <w:top w:val="nil"/>
              <w:left w:val="nil"/>
              <w:bottom w:val="nil"/>
              <w:right w:val="nil"/>
            </w:tcBorders>
          </w:tcPr>
          <w:p w14:paraId="7D297C19"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(0.0339)</w:t>
            </w:r>
          </w:p>
        </w:tc>
        <w:tc>
          <w:tcPr>
            <w:tcW w:w="373" w:type="pct"/>
            <w:tcBorders>
              <w:top w:val="nil"/>
              <w:left w:val="nil"/>
              <w:bottom w:val="nil"/>
              <w:right w:val="nil"/>
            </w:tcBorders>
          </w:tcPr>
          <w:p w14:paraId="3B8ABA0D"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(0.0307)</w:t>
            </w:r>
          </w:p>
        </w:tc>
        <w:tc>
          <w:tcPr>
            <w:tcW w:w="373" w:type="pct"/>
            <w:tcBorders>
              <w:top w:val="nil"/>
              <w:left w:val="nil"/>
              <w:bottom w:val="nil"/>
              <w:right w:val="nil"/>
            </w:tcBorders>
          </w:tcPr>
          <w:p w14:paraId="334541C5" w14:textId="3E3B1CE6"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(0.0341)</w:t>
            </w:r>
          </w:p>
        </w:tc>
        <w:tc>
          <w:tcPr>
            <w:tcW w:w="370" w:type="pct"/>
            <w:tcBorders>
              <w:top w:val="nil"/>
              <w:left w:val="nil"/>
              <w:bottom w:val="nil"/>
              <w:right w:val="nil"/>
            </w:tcBorders>
          </w:tcPr>
          <w:p w14:paraId="54105F03" w14:textId="29BF845A"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(0.0335)</w:t>
            </w:r>
          </w:p>
        </w:tc>
      </w:tr>
      <w:tr w:rsidR="00FD0D50" w:rsidRPr="00411250" w14:paraId="151F1EE1" w14:textId="77777777" w:rsidTr="00D30EA4">
        <w:trPr>
          <w:trHeight w:val="288"/>
          <w:jc w:val="center"/>
        </w:trPr>
        <w:tc>
          <w:tcPr>
            <w:tcW w:w="501" w:type="pct"/>
            <w:tcBorders>
              <w:top w:val="nil"/>
              <w:left w:val="nil"/>
              <w:bottom w:val="nil"/>
              <w:right w:val="nil"/>
            </w:tcBorders>
          </w:tcPr>
          <w:p w14:paraId="5F959747" w14:textId="77777777" w:rsidR="00FD0D50" w:rsidRPr="00026A59" w:rsidRDefault="00FD0D50" w:rsidP="00FD0D50">
            <w:pPr>
              <w:widowControl w:val="0"/>
              <w:autoSpaceDE w:val="0"/>
              <w:autoSpaceDN w:val="0"/>
              <w:adjustRightInd w:val="0"/>
              <w:spacing w:after="0" w:line="240" w:lineRule="auto"/>
              <w:rPr>
                <w:rFonts w:ascii="Times New Roman" w:hAnsi="Times New Roman" w:cs="Times New Roman"/>
                <w:sz w:val="18"/>
                <w:szCs w:val="18"/>
              </w:rPr>
            </w:pPr>
            <w:r w:rsidRPr="00026A59">
              <w:rPr>
                <w:rFonts w:ascii="Times New Roman" w:hAnsi="Times New Roman" w:cs="Times New Roman"/>
                <w:sz w:val="18"/>
                <w:szCs w:val="18"/>
              </w:rPr>
              <w:t>UNGC</w:t>
            </w:r>
          </w:p>
        </w:tc>
        <w:tc>
          <w:tcPr>
            <w:tcW w:w="381" w:type="pct"/>
            <w:tcBorders>
              <w:top w:val="nil"/>
              <w:left w:val="nil"/>
              <w:bottom w:val="nil"/>
              <w:right w:val="nil"/>
            </w:tcBorders>
          </w:tcPr>
          <w:p w14:paraId="08D975A2"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0.498**</w:t>
            </w:r>
          </w:p>
        </w:tc>
        <w:tc>
          <w:tcPr>
            <w:tcW w:w="381" w:type="pct"/>
            <w:tcBorders>
              <w:top w:val="nil"/>
              <w:left w:val="nil"/>
              <w:bottom w:val="nil"/>
              <w:right w:val="nil"/>
            </w:tcBorders>
          </w:tcPr>
          <w:p w14:paraId="19827E7A"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0.318</w:t>
            </w:r>
          </w:p>
        </w:tc>
        <w:tc>
          <w:tcPr>
            <w:tcW w:w="381" w:type="pct"/>
            <w:tcBorders>
              <w:top w:val="nil"/>
              <w:left w:val="nil"/>
              <w:bottom w:val="nil"/>
              <w:right w:val="nil"/>
            </w:tcBorders>
          </w:tcPr>
          <w:p w14:paraId="3E3AD1C2"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0.399</w:t>
            </w:r>
          </w:p>
        </w:tc>
        <w:tc>
          <w:tcPr>
            <w:tcW w:w="373" w:type="pct"/>
            <w:tcBorders>
              <w:top w:val="nil"/>
              <w:left w:val="nil"/>
              <w:bottom w:val="nil"/>
              <w:right w:val="nil"/>
            </w:tcBorders>
          </w:tcPr>
          <w:p w14:paraId="718DC53B"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0.346</w:t>
            </w:r>
          </w:p>
        </w:tc>
        <w:tc>
          <w:tcPr>
            <w:tcW w:w="373" w:type="pct"/>
            <w:tcBorders>
              <w:top w:val="nil"/>
              <w:left w:val="nil"/>
              <w:bottom w:val="nil"/>
              <w:right w:val="nil"/>
            </w:tcBorders>
          </w:tcPr>
          <w:p w14:paraId="41F26F7E" w14:textId="0F1F89AC"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0.307</w:t>
            </w:r>
          </w:p>
        </w:tc>
        <w:tc>
          <w:tcPr>
            <w:tcW w:w="375" w:type="pct"/>
            <w:tcBorders>
              <w:top w:val="nil"/>
              <w:left w:val="nil"/>
              <w:bottom w:val="nil"/>
              <w:right w:val="single" w:sz="4" w:space="0" w:color="auto"/>
            </w:tcBorders>
          </w:tcPr>
          <w:p w14:paraId="66D46CC1" w14:textId="2C4DDBB5"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0.300</w:t>
            </w:r>
          </w:p>
        </w:tc>
        <w:tc>
          <w:tcPr>
            <w:tcW w:w="373" w:type="pct"/>
            <w:tcBorders>
              <w:top w:val="nil"/>
              <w:left w:val="single" w:sz="4" w:space="0" w:color="auto"/>
              <w:bottom w:val="nil"/>
              <w:right w:val="nil"/>
            </w:tcBorders>
          </w:tcPr>
          <w:p w14:paraId="7E5D1FEC"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0.0290</w:t>
            </w:r>
          </w:p>
        </w:tc>
        <w:tc>
          <w:tcPr>
            <w:tcW w:w="373" w:type="pct"/>
            <w:tcBorders>
              <w:top w:val="nil"/>
              <w:left w:val="nil"/>
              <w:bottom w:val="nil"/>
              <w:right w:val="nil"/>
            </w:tcBorders>
          </w:tcPr>
          <w:p w14:paraId="559E8B95"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-0.00520</w:t>
            </w:r>
          </w:p>
        </w:tc>
        <w:tc>
          <w:tcPr>
            <w:tcW w:w="373" w:type="pct"/>
            <w:tcBorders>
              <w:top w:val="nil"/>
              <w:left w:val="nil"/>
              <w:bottom w:val="nil"/>
              <w:right w:val="nil"/>
            </w:tcBorders>
          </w:tcPr>
          <w:p w14:paraId="3E5DADDE"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-0.00807</w:t>
            </w:r>
          </w:p>
        </w:tc>
        <w:tc>
          <w:tcPr>
            <w:tcW w:w="373" w:type="pct"/>
            <w:tcBorders>
              <w:top w:val="nil"/>
              <w:left w:val="nil"/>
              <w:bottom w:val="nil"/>
              <w:right w:val="nil"/>
            </w:tcBorders>
          </w:tcPr>
          <w:p w14:paraId="2AE3F637"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0.000906</w:t>
            </w:r>
          </w:p>
        </w:tc>
        <w:tc>
          <w:tcPr>
            <w:tcW w:w="373" w:type="pct"/>
            <w:tcBorders>
              <w:top w:val="nil"/>
              <w:left w:val="nil"/>
              <w:bottom w:val="nil"/>
              <w:right w:val="nil"/>
            </w:tcBorders>
          </w:tcPr>
          <w:p w14:paraId="224BD23C" w14:textId="7CD08389"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-0.00663</w:t>
            </w:r>
          </w:p>
        </w:tc>
        <w:tc>
          <w:tcPr>
            <w:tcW w:w="370" w:type="pct"/>
            <w:tcBorders>
              <w:top w:val="nil"/>
              <w:left w:val="nil"/>
              <w:bottom w:val="nil"/>
              <w:right w:val="nil"/>
            </w:tcBorders>
          </w:tcPr>
          <w:p w14:paraId="06696A49" w14:textId="02F8EA94"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-0.00357</w:t>
            </w:r>
          </w:p>
        </w:tc>
      </w:tr>
      <w:tr w:rsidR="00FD0D50" w:rsidRPr="00411250" w14:paraId="2A9F2169" w14:textId="77777777" w:rsidTr="00D30EA4">
        <w:trPr>
          <w:trHeight w:val="288"/>
          <w:jc w:val="center"/>
        </w:trPr>
        <w:tc>
          <w:tcPr>
            <w:tcW w:w="501" w:type="pct"/>
            <w:tcBorders>
              <w:top w:val="nil"/>
              <w:left w:val="nil"/>
              <w:bottom w:val="nil"/>
              <w:right w:val="nil"/>
            </w:tcBorders>
          </w:tcPr>
          <w:p w14:paraId="65F06598" w14:textId="77777777" w:rsidR="00FD0D50" w:rsidRPr="00026A59" w:rsidRDefault="00FD0D50" w:rsidP="00FD0D50">
            <w:pPr>
              <w:widowControl w:val="0"/>
              <w:autoSpaceDE w:val="0"/>
              <w:autoSpaceDN w:val="0"/>
              <w:adjustRightInd w:val="0"/>
              <w:spacing w:after="0" w:line="240" w:lineRule="auto"/>
              <w:rPr>
                <w:rFonts w:ascii="Times New Roman" w:hAnsi="Times New Roman" w:cs="Times New Roman"/>
                <w:sz w:val="18"/>
                <w:szCs w:val="18"/>
              </w:rPr>
            </w:pPr>
          </w:p>
        </w:tc>
        <w:tc>
          <w:tcPr>
            <w:tcW w:w="381" w:type="pct"/>
            <w:tcBorders>
              <w:top w:val="nil"/>
              <w:left w:val="nil"/>
              <w:bottom w:val="nil"/>
              <w:right w:val="nil"/>
            </w:tcBorders>
          </w:tcPr>
          <w:p w14:paraId="5276597A"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(0.217)</w:t>
            </w:r>
          </w:p>
        </w:tc>
        <w:tc>
          <w:tcPr>
            <w:tcW w:w="381" w:type="pct"/>
            <w:tcBorders>
              <w:top w:val="nil"/>
              <w:left w:val="nil"/>
              <w:bottom w:val="nil"/>
              <w:right w:val="nil"/>
            </w:tcBorders>
          </w:tcPr>
          <w:p w14:paraId="21536E52"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(0.251)</w:t>
            </w:r>
          </w:p>
        </w:tc>
        <w:tc>
          <w:tcPr>
            <w:tcW w:w="381" w:type="pct"/>
            <w:tcBorders>
              <w:top w:val="nil"/>
              <w:left w:val="nil"/>
              <w:bottom w:val="nil"/>
              <w:right w:val="nil"/>
            </w:tcBorders>
          </w:tcPr>
          <w:p w14:paraId="18BC00D4"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(0.310)</w:t>
            </w:r>
          </w:p>
        </w:tc>
        <w:tc>
          <w:tcPr>
            <w:tcW w:w="373" w:type="pct"/>
            <w:tcBorders>
              <w:top w:val="nil"/>
              <w:left w:val="nil"/>
              <w:bottom w:val="nil"/>
              <w:right w:val="nil"/>
            </w:tcBorders>
          </w:tcPr>
          <w:p w14:paraId="7F7891F7"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(0.260)</w:t>
            </w:r>
          </w:p>
        </w:tc>
        <w:tc>
          <w:tcPr>
            <w:tcW w:w="373" w:type="pct"/>
            <w:tcBorders>
              <w:top w:val="nil"/>
              <w:left w:val="nil"/>
              <w:bottom w:val="nil"/>
              <w:right w:val="nil"/>
            </w:tcBorders>
          </w:tcPr>
          <w:p w14:paraId="3F5D72D9" w14:textId="47F145DA"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(0.228)</w:t>
            </w:r>
          </w:p>
        </w:tc>
        <w:tc>
          <w:tcPr>
            <w:tcW w:w="375" w:type="pct"/>
            <w:tcBorders>
              <w:top w:val="nil"/>
              <w:left w:val="nil"/>
              <w:bottom w:val="nil"/>
              <w:right w:val="single" w:sz="4" w:space="0" w:color="auto"/>
            </w:tcBorders>
          </w:tcPr>
          <w:p w14:paraId="4F849F79" w14:textId="0CAC0C38"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(0.345)</w:t>
            </w:r>
          </w:p>
        </w:tc>
        <w:tc>
          <w:tcPr>
            <w:tcW w:w="373" w:type="pct"/>
            <w:tcBorders>
              <w:top w:val="nil"/>
              <w:left w:val="single" w:sz="4" w:space="0" w:color="auto"/>
              <w:bottom w:val="nil"/>
              <w:right w:val="nil"/>
            </w:tcBorders>
          </w:tcPr>
          <w:p w14:paraId="2DE6D0C8"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(0.0602)</w:t>
            </w:r>
          </w:p>
        </w:tc>
        <w:tc>
          <w:tcPr>
            <w:tcW w:w="373" w:type="pct"/>
            <w:tcBorders>
              <w:top w:val="nil"/>
              <w:left w:val="nil"/>
              <w:bottom w:val="nil"/>
              <w:right w:val="nil"/>
            </w:tcBorders>
          </w:tcPr>
          <w:p w14:paraId="0AE44ABF"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(0.0691)</w:t>
            </w:r>
          </w:p>
        </w:tc>
        <w:tc>
          <w:tcPr>
            <w:tcW w:w="373" w:type="pct"/>
            <w:tcBorders>
              <w:top w:val="nil"/>
              <w:left w:val="nil"/>
              <w:bottom w:val="nil"/>
              <w:right w:val="nil"/>
            </w:tcBorders>
          </w:tcPr>
          <w:p w14:paraId="73143CCD"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(0.0694)</w:t>
            </w:r>
          </w:p>
        </w:tc>
        <w:tc>
          <w:tcPr>
            <w:tcW w:w="373" w:type="pct"/>
            <w:tcBorders>
              <w:top w:val="nil"/>
              <w:left w:val="nil"/>
              <w:bottom w:val="nil"/>
              <w:right w:val="nil"/>
            </w:tcBorders>
          </w:tcPr>
          <w:p w14:paraId="6A6D863F"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(0.0614)</w:t>
            </w:r>
          </w:p>
        </w:tc>
        <w:tc>
          <w:tcPr>
            <w:tcW w:w="373" w:type="pct"/>
            <w:tcBorders>
              <w:top w:val="nil"/>
              <w:left w:val="nil"/>
              <w:bottom w:val="nil"/>
              <w:right w:val="nil"/>
            </w:tcBorders>
          </w:tcPr>
          <w:p w14:paraId="4300F060" w14:textId="665312C2"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(0.0653)</w:t>
            </w:r>
          </w:p>
        </w:tc>
        <w:tc>
          <w:tcPr>
            <w:tcW w:w="370" w:type="pct"/>
            <w:tcBorders>
              <w:top w:val="nil"/>
              <w:left w:val="nil"/>
              <w:bottom w:val="nil"/>
              <w:right w:val="nil"/>
            </w:tcBorders>
          </w:tcPr>
          <w:p w14:paraId="06C40FCF" w14:textId="51CD108E"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(0.0705)</w:t>
            </w:r>
          </w:p>
        </w:tc>
      </w:tr>
      <w:tr w:rsidR="005C69B8" w:rsidRPr="00411250" w14:paraId="665E0A48" w14:textId="77777777" w:rsidTr="005C69B8">
        <w:trPr>
          <w:trHeight w:val="288"/>
          <w:jc w:val="center"/>
        </w:trPr>
        <w:tc>
          <w:tcPr>
            <w:tcW w:w="2765" w:type="pct"/>
            <w:gridSpan w:val="7"/>
            <w:tcBorders>
              <w:top w:val="nil"/>
              <w:left w:val="nil"/>
              <w:bottom w:val="nil"/>
              <w:right w:val="single" w:sz="4" w:space="0" w:color="auto"/>
            </w:tcBorders>
          </w:tcPr>
          <w:p w14:paraId="527EBDCA" w14:textId="6B1B66E9" w:rsidR="005C69B8" w:rsidRPr="003B6444" w:rsidRDefault="005C69B8" w:rsidP="003B6444">
            <w:pPr>
              <w:widowControl w:val="0"/>
              <w:autoSpaceDE w:val="0"/>
              <w:autoSpaceDN w:val="0"/>
              <w:adjustRightInd w:val="0"/>
              <w:spacing w:after="0" w:line="240" w:lineRule="auto"/>
              <w:rPr>
                <w:rFonts w:ascii="Times New Roman" w:hAnsi="Times New Roman" w:cs="Times New Roman"/>
                <w:i/>
                <w:sz w:val="18"/>
                <w:szCs w:val="18"/>
                <w:u w:val="single"/>
              </w:rPr>
            </w:pPr>
            <w:r>
              <w:rPr>
                <w:rFonts w:ascii="Times New Roman" w:hAnsi="Times New Roman" w:cs="Times New Roman"/>
                <w:i/>
                <w:sz w:val="18"/>
                <w:szCs w:val="18"/>
                <w:u w:val="single"/>
              </w:rPr>
              <w:t>Corporate governance variables</w:t>
            </w:r>
          </w:p>
        </w:tc>
        <w:tc>
          <w:tcPr>
            <w:tcW w:w="373" w:type="pct"/>
            <w:tcBorders>
              <w:top w:val="nil"/>
              <w:left w:val="single" w:sz="4" w:space="0" w:color="auto"/>
              <w:bottom w:val="nil"/>
              <w:right w:val="nil"/>
            </w:tcBorders>
          </w:tcPr>
          <w:p w14:paraId="6343DDA6" w14:textId="77777777" w:rsidR="005C69B8" w:rsidRPr="00026A59" w:rsidRDefault="005C69B8" w:rsidP="00EC2CD2">
            <w:pPr>
              <w:widowControl w:val="0"/>
              <w:autoSpaceDE w:val="0"/>
              <w:autoSpaceDN w:val="0"/>
              <w:adjustRightInd w:val="0"/>
              <w:spacing w:after="0" w:line="240" w:lineRule="auto"/>
              <w:jc w:val="center"/>
              <w:rPr>
                <w:rFonts w:ascii="Times New Roman" w:hAnsi="Times New Roman" w:cs="Times New Roman"/>
                <w:sz w:val="18"/>
                <w:szCs w:val="18"/>
              </w:rPr>
            </w:pPr>
          </w:p>
        </w:tc>
        <w:tc>
          <w:tcPr>
            <w:tcW w:w="373" w:type="pct"/>
            <w:tcBorders>
              <w:top w:val="nil"/>
              <w:left w:val="nil"/>
              <w:bottom w:val="nil"/>
              <w:right w:val="nil"/>
            </w:tcBorders>
          </w:tcPr>
          <w:p w14:paraId="3D9B1F64" w14:textId="77777777" w:rsidR="005C69B8" w:rsidRPr="00026A59" w:rsidRDefault="005C69B8" w:rsidP="00EC2CD2">
            <w:pPr>
              <w:widowControl w:val="0"/>
              <w:autoSpaceDE w:val="0"/>
              <w:autoSpaceDN w:val="0"/>
              <w:adjustRightInd w:val="0"/>
              <w:spacing w:after="0" w:line="240" w:lineRule="auto"/>
              <w:jc w:val="center"/>
              <w:rPr>
                <w:rFonts w:ascii="Times New Roman" w:hAnsi="Times New Roman" w:cs="Times New Roman"/>
                <w:sz w:val="18"/>
                <w:szCs w:val="18"/>
              </w:rPr>
            </w:pPr>
          </w:p>
        </w:tc>
        <w:tc>
          <w:tcPr>
            <w:tcW w:w="373" w:type="pct"/>
            <w:tcBorders>
              <w:top w:val="nil"/>
              <w:left w:val="nil"/>
              <w:bottom w:val="nil"/>
              <w:right w:val="nil"/>
            </w:tcBorders>
          </w:tcPr>
          <w:p w14:paraId="0310235D" w14:textId="77777777" w:rsidR="005C69B8" w:rsidRPr="00026A59" w:rsidRDefault="005C69B8" w:rsidP="00EC2CD2">
            <w:pPr>
              <w:widowControl w:val="0"/>
              <w:autoSpaceDE w:val="0"/>
              <w:autoSpaceDN w:val="0"/>
              <w:adjustRightInd w:val="0"/>
              <w:spacing w:after="0" w:line="240" w:lineRule="auto"/>
              <w:jc w:val="center"/>
              <w:rPr>
                <w:rFonts w:ascii="Times New Roman" w:hAnsi="Times New Roman" w:cs="Times New Roman"/>
                <w:sz w:val="18"/>
                <w:szCs w:val="18"/>
              </w:rPr>
            </w:pPr>
          </w:p>
        </w:tc>
        <w:tc>
          <w:tcPr>
            <w:tcW w:w="373" w:type="pct"/>
            <w:tcBorders>
              <w:top w:val="nil"/>
              <w:left w:val="nil"/>
              <w:bottom w:val="nil"/>
              <w:right w:val="nil"/>
            </w:tcBorders>
          </w:tcPr>
          <w:p w14:paraId="1D2946B5" w14:textId="77777777" w:rsidR="005C69B8" w:rsidRPr="00026A59" w:rsidRDefault="005C69B8" w:rsidP="00EC2CD2">
            <w:pPr>
              <w:widowControl w:val="0"/>
              <w:autoSpaceDE w:val="0"/>
              <w:autoSpaceDN w:val="0"/>
              <w:adjustRightInd w:val="0"/>
              <w:spacing w:after="0" w:line="240" w:lineRule="auto"/>
              <w:jc w:val="center"/>
              <w:rPr>
                <w:rFonts w:ascii="Times New Roman" w:hAnsi="Times New Roman" w:cs="Times New Roman"/>
                <w:sz w:val="18"/>
                <w:szCs w:val="18"/>
              </w:rPr>
            </w:pPr>
          </w:p>
        </w:tc>
        <w:tc>
          <w:tcPr>
            <w:tcW w:w="373" w:type="pct"/>
            <w:tcBorders>
              <w:top w:val="nil"/>
              <w:left w:val="nil"/>
              <w:bottom w:val="nil"/>
              <w:right w:val="nil"/>
            </w:tcBorders>
          </w:tcPr>
          <w:p w14:paraId="538A4FC4" w14:textId="77777777" w:rsidR="005C69B8" w:rsidRPr="00026A59" w:rsidRDefault="005C69B8" w:rsidP="00EC2CD2">
            <w:pPr>
              <w:widowControl w:val="0"/>
              <w:autoSpaceDE w:val="0"/>
              <w:autoSpaceDN w:val="0"/>
              <w:adjustRightInd w:val="0"/>
              <w:spacing w:after="0" w:line="240" w:lineRule="auto"/>
              <w:jc w:val="center"/>
              <w:rPr>
                <w:rFonts w:ascii="Times New Roman" w:hAnsi="Times New Roman" w:cs="Times New Roman"/>
                <w:sz w:val="18"/>
                <w:szCs w:val="18"/>
              </w:rPr>
            </w:pPr>
          </w:p>
        </w:tc>
        <w:tc>
          <w:tcPr>
            <w:tcW w:w="370" w:type="pct"/>
            <w:tcBorders>
              <w:top w:val="nil"/>
              <w:left w:val="nil"/>
              <w:bottom w:val="nil"/>
              <w:right w:val="nil"/>
            </w:tcBorders>
          </w:tcPr>
          <w:p w14:paraId="7C230404" w14:textId="77777777" w:rsidR="005C69B8" w:rsidRPr="00026A59" w:rsidRDefault="005C69B8" w:rsidP="00EC2CD2">
            <w:pPr>
              <w:widowControl w:val="0"/>
              <w:autoSpaceDE w:val="0"/>
              <w:autoSpaceDN w:val="0"/>
              <w:adjustRightInd w:val="0"/>
              <w:spacing w:after="0" w:line="240" w:lineRule="auto"/>
              <w:jc w:val="center"/>
              <w:rPr>
                <w:rFonts w:ascii="Times New Roman" w:hAnsi="Times New Roman" w:cs="Times New Roman"/>
                <w:sz w:val="18"/>
                <w:szCs w:val="18"/>
              </w:rPr>
            </w:pPr>
          </w:p>
        </w:tc>
      </w:tr>
      <w:tr w:rsidR="00EC2CD2" w:rsidRPr="00411250" w14:paraId="2E8743F0" w14:textId="77777777" w:rsidTr="00D30EA4">
        <w:trPr>
          <w:trHeight w:val="288"/>
          <w:jc w:val="center"/>
        </w:trPr>
        <w:tc>
          <w:tcPr>
            <w:tcW w:w="501" w:type="pct"/>
            <w:tcBorders>
              <w:top w:val="nil"/>
              <w:left w:val="nil"/>
              <w:bottom w:val="nil"/>
              <w:right w:val="nil"/>
            </w:tcBorders>
          </w:tcPr>
          <w:p w14:paraId="35D18F3D" w14:textId="77777777" w:rsidR="00EC2CD2" w:rsidRPr="00026A59" w:rsidRDefault="00EC2CD2" w:rsidP="00EC2CD2">
            <w:pPr>
              <w:widowControl w:val="0"/>
              <w:autoSpaceDE w:val="0"/>
              <w:autoSpaceDN w:val="0"/>
              <w:adjustRightInd w:val="0"/>
              <w:spacing w:after="0" w:line="240" w:lineRule="auto"/>
              <w:rPr>
                <w:rFonts w:ascii="Times New Roman" w:hAnsi="Times New Roman" w:cs="Times New Roman"/>
                <w:sz w:val="18"/>
                <w:szCs w:val="18"/>
              </w:rPr>
            </w:pPr>
            <w:r w:rsidRPr="00026A59">
              <w:rPr>
                <w:rFonts w:ascii="Times New Roman" w:hAnsi="Times New Roman" w:cs="Times New Roman"/>
                <w:sz w:val="18"/>
                <w:szCs w:val="18"/>
              </w:rPr>
              <w:t>BoD_size</w:t>
            </w:r>
          </w:p>
        </w:tc>
        <w:tc>
          <w:tcPr>
            <w:tcW w:w="381" w:type="pct"/>
            <w:tcBorders>
              <w:top w:val="nil"/>
              <w:left w:val="nil"/>
              <w:bottom w:val="nil"/>
              <w:right w:val="nil"/>
            </w:tcBorders>
          </w:tcPr>
          <w:p w14:paraId="4370E5AF" w14:textId="77777777" w:rsidR="00EC2CD2" w:rsidRPr="00026A59" w:rsidRDefault="00EC2CD2" w:rsidP="00EC2CD2">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0.0357</w:t>
            </w:r>
          </w:p>
        </w:tc>
        <w:tc>
          <w:tcPr>
            <w:tcW w:w="381" w:type="pct"/>
            <w:tcBorders>
              <w:top w:val="nil"/>
              <w:left w:val="nil"/>
              <w:bottom w:val="nil"/>
              <w:right w:val="nil"/>
            </w:tcBorders>
          </w:tcPr>
          <w:p w14:paraId="5D285233" w14:textId="77777777" w:rsidR="00EC2CD2" w:rsidRPr="00026A59" w:rsidRDefault="00EC2CD2" w:rsidP="00EC2CD2">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-0.0186</w:t>
            </w:r>
          </w:p>
        </w:tc>
        <w:tc>
          <w:tcPr>
            <w:tcW w:w="381" w:type="pct"/>
            <w:tcBorders>
              <w:top w:val="nil"/>
              <w:left w:val="nil"/>
              <w:bottom w:val="nil"/>
              <w:right w:val="nil"/>
            </w:tcBorders>
          </w:tcPr>
          <w:p w14:paraId="6EE65062" w14:textId="77777777" w:rsidR="00EC2CD2" w:rsidRPr="00026A59" w:rsidRDefault="00EC2CD2" w:rsidP="00EC2CD2">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0.0813</w:t>
            </w:r>
          </w:p>
        </w:tc>
        <w:tc>
          <w:tcPr>
            <w:tcW w:w="373" w:type="pct"/>
            <w:tcBorders>
              <w:top w:val="nil"/>
              <w:left w:val="nil"/>
              <w:bottom w:val="nil"/>
              <w:right w:val="nil"/>
            </w:tcBorders>
          </w:tcPr>
          <w:p w14:paraId="14A6A1FC" w14:textId="77777777" w:rsidR="00EC2CD2" w:rsidRPr="00026A59" w:rsidRDefault="00EC2CD2" w:rsidP="00EC2CD2">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-0.0682</w:t>
            </w:r>
          </w:p>
        </w:tc>
        <w:tc>
          <w:tcPr>
            <w:tcW w:w="373" w:type="pct"/>
            <w:tcBorders>
              <w:top w:val="nil"/>
              <w:left w:val="nil"/>
              <w:bottom w:val="nil"/>
              <w:right w:val="nil"/>
            </w:tcBorders>
          </w:tcPr>
          <w:p w14:paraId="7ED1262D" w14:textId="3FA3DD03" w:rsidR="00EC2CD2" w:rsidRPr="00026A59" w:rsidRDefault="00EC2CD2" w:rsidP="00EC2CD2">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5" w:type="pct"/>
            <w:tcBorders>
              <w:top w:val="nil"/>
              <w:left w:val="nil"/>
              <w:bottom w:val="nil"/>
              <w:right w:val="single" w:sz="4" w:space="0" w:color="auto"/>
            </w:tcBorders>
          </w:tcPr>
          <w:p w14:paraId="57A1070E" w14:textId="7F0BB2A3" w:rsidR="00EC2CD2" w:rsidRPr="00026A59" w:rsidRDefault="00EC2CD2" w:rsidP="00EC2CD2">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-0.0482</w:t>
            </w:r>
          </w:p>
        </w:tc>
        <w:tc>
          <w:tcPr>
            <w:tcW w:w="373" w:type="pct"/>
            <w:tcBorders>
              <w:top w:val="nil"/>
              <w:left w:val="single" w:sz="4" w:space="0" w:color="auto"/>
              <w:bottom w:val="nil"/>
              <w:right w:val="nil"/>
            </w:tcBorders>
          </w:tcPr>
          <w:p w14:paraId="57987B00" w14:textId="77777777" w:rsidR="00EC2CD2" w:rsidRPr="00026A59" w:rsidRDefault="00EC2CD2" w:rsidP="00EC2CD2">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0.214**</w:t>
            </w:r>
          </w:p>
        </w:tc>
        <w:tc>
          <w:tcPr>
            <w:tcW w:w="373" w:type="pct"/>
            <w:tcBorders>
              <w:top w:val="nil"/>
              <w:left w:val="nil"/>
              <w:bottom w:val="nil"/>
              <w:right w:val="nil"/>
            </w:tcBorders>
          </w:tcPr>
          <w:p w14:paraId="0FB3A3D1" w14:textId="77777777" w:rsidR="00EC2CD2" w:rsidRPr="00026A59" w:rsidRDefault="00EC2CD2" w:rsidP="00EC2CD2">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0.228**</w:t>
            </w:r>
          </w:p>
        </w:tc>
        <w:tc>
          <w:tcPr>
            <w:tcW w:w="373" w:type="pct"/>
            <w:tcBorders>
              <w:top w:val="nil"/>
              <w:left w:val="nil"/>
              <w:bottom w:val="nil"/>
              <w:right w:val="nil"/>
            </w:tcBorders>
          </w:tcPr>
          <w:p w14:paraId="79A04338" w14:textId="77777777" w:rsidR="00EC2CD2" w:rsidRPr="00026A59" w:rsidRDefault="00EC2CD2" w:rsidP="00EC2CD2">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0.224**</w:t>
            </w:r>
          </w:p>
        </w:tc>
        <w:tc>
          <w:tcPr>
            <w:tcW w:w="373" w:type="pct"/>
            <w:tcBorders>
              <w:top w:val="nil"/>
              <w:left w:val="nil"/>
              <w:bottom w:val="nil"/>
              <w:right w:val="nil"/>
            </w:tcBorders>
          </w:tcPr>
          <w:p w14:paraId="143FA153" w14:textId="77777777" w:rsidR="00EC2CD2" w:rsidRPr="00026A59" w:rsidRDefault="00EC2CD2" w:rsidP="00EC2CD2">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0.209*</w:t>
            </w:r>
          </w:p>
        </w:tc>
        <w:tc>
          <w:tcPr>
            <w:tcW w:w="373" w:type="pct"/>
            <w:tcBorders>
              <w:top w:val="nil"/>
              <w:left w:val="nil"/>
              <w:bottom w:val="nil"/>
              <w:right w:val="nil"/>
            </w:tcBorders>
          </w:tcPr>
          <w:p w14:paraId="5D48C9FC" w14:textId="74D3D8F0" w:rsidR="00EC2CD2" w:rsidRPr="00026A59" w:rsidRDefault="00EC2CD2" w:rsidP="00EC2CD2">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0" w:type="pct"/>
            <w:tcBorders>
              <w:top w:val="nil"/>
              <w:left w:val="nil"/>
              <w:bottom w:val="nil"/>
              <w:right w:val="nil"/>
            </w:tcBorders>
          </w:tcPr>
          <w:p w14:paraId="681CA8DE" w14:textId="16127615" w:rsidR="00EC2CD2" w:rsidRPr="00026A59" w:rsidRDefault="00EC2CD2" w:rsidP="00EC2CD2">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0.225**</w:t>
            </w:r>
          </w:p>
        </w:tc>
      </w:tr>
      <w:tr w:rsidR="00EC2CD2" w:rsidRPr="00411250" w14:paraId="5510C2FE" w14:textId="77777777" w:rsidTr="00D30EA4">
        <w:trPr>
          <w:trHeight w:val="288"/>
          <w:jc w:val="center"/>
        </w:trPr>
        <w:tc>
          <w:tcPr>
            <w:tcW w:w="501" w:type="pct"/>
            <w:tcBorders>
              <w:top w:val="nil"/>
              <w:left w:val="nil"/>
              <w:bottom w:val="nil"/>
              <w:right w:val="nil"/>
            </w:tcBorders>
          </w:tcPr>
          <w:p w14:paraId="16460843" w14:textId="77777777" w:rsidR="00EC2CD2" w:rsidRPr="00026A59" w:rsidRDefault="00EC2CD2" w:rsidP="00EC2CD2">
            <w:pPr>
              <w:widowControl w:val="0"/>
              <w:autoSpaceDE w:val="0"/>
              <w:autoSpaceDN w:val="0"/>
              <w:adjustRightInd w:val="0"/>
              <w:spacing w:after="0" w:line="240" w:lineRule="auto"/>
              <w:rPr>
                <w:rFonts w:ascii="Times New Roman" w:hAnsi="Times New Roman" w:cs="Times New Roman"/>
                <w:sz w:val="18"/>
                <w:szCs w:val="18"/>
              </w:rPr>
            </w:pPr>
          </w:p>
        </w:tc>
        <w:tc>
          <w:tcPr>
            <w:tcW w:w="381" w:type="pct"/>
            <w:tcBorders>
              <w:top w:val="nil"/>
              <w:left w:val="nil"/>
              <w:bottom w:val="nil"/>
              <w:right w:val="nil"/>
            </w:tcBorders>
          </w:tcPr>
          <w:p w14:paraId="17B79D0D" w14:textId="77777777" w:rsidR="00EC2CD2" w:rsidRPr="00026A59" w:rsidRDefault="00EC2CD2" w:rsidP="00EC2CD2">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(0.197)</w:t>
            </w:r>
          </w:p>
        </w:tc>
        <w:tc>
          <w:tcPr>
            <w:tcW w:w="381" w:type="pct"/>
            <w:tcBorders>
              <w:top w:val="nil"/>
              <w:left w:val="nil"/>
              <w:bottom w:val="nil"/>
              <w:right w:val="nil"/>
            </w:tcBorders>
          </w:tcPr>
          <w:p w14:paraId="7A10C3BA" w14:textId="77777777" w:rsidR="00EC2CD2" w:rsidRPr="00026A59" w:rsidRDefault="00EC2CD2" w:rsidP="00EC2CD2">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(0.265)</w:t>
            </w:r>
          </w:p>
        </w:tc>
        <w:tc>
          <w:tcPr>
            <w:tcW w:w="381" w:type="pct"/>
            <w:tcBorders>
              <w:top w:val="nil"/>
              <w:left w:val="nil"/>
              <w:bottom w:val="nil"/>
              <w:right w:val="nil"/>
            </w:tcBorders>
          </w:tcPr>
          <w:p w14:paraId="7031A5C3" w14:textId="77777777" w:rsidR="00EC2CD2" w:rsidRPr="00026A59" w:rsidRDefault="00EC2CD2" w:rsidP="00EC2CD2">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(0.224)</w:t>
            </w:r>
          </w:p>
        </w:tc>
        <w:tc>
          <w:tcPr>
            <w:tcW w:w="373" w:type="pct"/>
            <w:tcBorders>
              <w:top w:val="nil"/>
              <w:left w:val="nil"/>
              <w:bottom w:val="nil"/>
              <w:right w:val="nil"/>
            </w:tcBorders>
          </w:tcPr>
          <w:p w14:paraId="3BB118F6" w14:textId="77777777" w:rsidR="00EC2CD2" w:rsidRPr="00026A59" w:rsidRDefault="00EC2CD2" w:rsidP="00EC2CD2">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(0.270)</w:t>
            </w:r>
          </w:p>
        </w:tc>
        <w:tc>
          <w:tcPr>
            <w:tcW w:w="373" w:type="pct"/>
            <w:tcBorders>
              <w:top w:val="nil"/>
              <w:left w:val="nil"/>
              <w:bottom w:val="nil"/>
              <w:right w:val="nil"/>
            </w:tcBorders>
          </w:tcPr>
          <w:p w14:paraId="324E6B6C" w14:textId="0C62812D" w:rsidR="00EC2CD2" w:rsidRPr="00026A59" w:rsidRDefault="00EC2CD2" w:rsidP="00EC2CD2">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5" w:type="pct"/>
            <w:tcBorders>
              <w:top w:val="nil"/>
              <w:left w:val="nil"/>
              <w:bottom w:val="nil"/>
              <w:right w:val="single" w:sz="4" w:space="0" w:color="auto"/>
            </w:tcBorders>
          </w:tcPr>
          <w:p w14:paraId="1417573B" w14:textId="38B27C11" w:rsidR="00EC2CD2" w:rsidRPr="00026A59" w:rsidRDefault="00EC2CD2" w:rsidP="00EC2CD2">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(0.275)</w:t>
            </w:r>
          </w:p>
        </w:tc>
        <w:tc>
          <w:tcPr>
            <w:tcW w:w="373" w:type="pct"/>
            <w:tcBorders>
              <w:top w:val="nil"/>
              <w:left w:val="single" w:sz="4" w:space="0" w:color="auto"/>
              <w:bottom w:val="nil"/>
              <w:right w:val="nil"/>
            </w:tcBorders>
          </w:tcPr>
          <w:p w14:paraId="5E7A3F4F" w14:textId="77777777" w:rsidR="00EC2CD2" w:rsidRPr="00026A59" w:rsidRDefault="00EC2CD2" w:rsidP="00EC2CD2">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(0.101)</w:t>
            </w:r>
          </w:p>
        </w:tc>
        <w:tc>
          <w:tcPr>
            <w:tcW w:w="373" w:type="pct"/>
            <w:tcBorders>
              <w:top w:val="nil"/>
              <w:left w:val="nil"/>
              <w:bottom w:val="nil"/>
              <w:right w:val="nil"/>
            </w:tcBorders>
          </w:tcPr>
          <w:p w14:paraId="12DBA17A" w14:textId="77777777" w:rsidR="00EC2CD2" w:rsidRPr="00026A59" w:rsidRDefault="00EC2CD2" w:rsidP="00EC2CD2">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(0.105)</w:t>
            </w:r>
          </w:p>
        </w:tc>
        <w:tc>
          <w:tcPr>
            <w:tcW w:w="373" w:type="pct"/>
            <w:tcBorders>
              <w:top w:val="nil"/>
              <w:left w:val="nil"/>
              <w:bottom w:val="nil"/>
              <w:right w:val="nil"/>
            </w:tcBorders>
          </w:tcPr>
          <w:p w14:paraId="0ECE8EC1" w14:textId="77777777" w:rsidR="00EC2CD2" w:rsidRPr="00026A59" w:rsidRDefault="00EC2CD2" w:rsidP="00EC2CD2">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(0.102)</w:t>
            </w:r>
          </w:p>
        </w:tc>
        <w:tc>
          <w:tcPr>
            <w:tcW w:w="373" w:type="pct"/>
            <w:tcBorders>
              <w:top w:val="nil"/>
              <w:left w:val="nil"/>
              <w:bottom w:val="nil"/>
              <w:right w:val="nil"/>
            </w:tcBorders>
          </w:tcPr>
          <w:p w14:paraId="254735E4" w14:textId="77777777" w:rsidR="00EC2CD2" w:rsidRPr="00026A59" w:rsidRDefault="00EC2CD2" w:rsidP="00EC2CD2">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(0.107)</w:t>
            </w:r>
          </w:p>
        </w:tc>
        <w:tc>
          <w:tcPr>
            <w:tcW w:w="373" w:type="pct"/>
            <w:tcBorders>
              <w:top w:val="nil"/>
              <w:left w:val="nil"/>
              <w:bottom w:val="nil"/>
              <w:right w:val="nil"/>
            </w:tcBorders>
          </w:tcPr>
          <w:p w14:paraId="74907C84" w14:textId="7E36651F" w:rsidR="00EC2CD2" w:rsidRPr="00026A59" w:rsidRDefault="00EC2CD2" w:rsidP="00EC2CD2">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0" w:type="pct"/>
            <w:tcBorders>
              <w:top w:val="nil"/>
              <w:left w:val="nil"/>
              <w:bottom w:val="nil"/>
              <w:right w:val="nil"/>
            </w:tcBorders>
          </w:tcPr>
          <w:p w14:paraId="37EB3303" w14:textId="4C79B7E4" w:rsidR="00EC2CD2" w:rsidRPr="00026A59" w:rsidRDefault="00EC2CD2" w:rsidP="00EC2CD2">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(0.106)</w:t>
            </w:r>
          </w:p>
        </w:tc>
      </w:tr>
      <w:tr w:rsidR="00FD0D50" w:rsidRPr="00411250" w14:paraId="7D190238" w14:textId="77777777" w:rsidTr="00D30EA4">
        <w:trPr>
          <w:trHeight w:val="288"/>
          <w:jc w:val="center"/>
        </w:trPr>
        <w:tc>
          <w:tcPr>
            <w:tcW w:w="501" w:type="pct"/>
            <w:tcBorders>
              <w:top w:val="nil"/>
              <w:left w:val="nil"/>
              <w:bottom w:val="nil"/>
              <w:right w:val="nil"/>
            </w:tcBorders>
          </w:tcPr>
          <w:p w14:paraId="7F15805B" w14:textId="77777777" w:rsidR="00FD0D50" w:rsidRPr="00026A59" w:rsidRDefault="00FD0D50" w:rsidP="00FD0D50">
            <w:pPr>
              <w:spacing w:after="0" w:line="240" w:lineRule="auto"/>
              <w:rPr>
                <w:rFonts w:ascii="Times New Roman" w:hAnsi="Times New Roman" w:cs="Times New Roman"/>
                <w:sz w:val="18"/>
                <w:szCs w:val="18"/>
              </w:rPr>
            </w:pPr>
            <w:r w:rsidRPr="00026A59">
              <w:rPr>
                <w:rFonts w:ascii="Times New Roman" w:hAnsi="Times New Roman" w:cs="Times New Roman"/>
                <w:sz w:val="18"/>
                <w:szCs w:val="18"/>
              </w:rPr>
              <w:t>Duality</w:t>
            </w:r>
          </w:p>
        </w:tc>
        <w:tc>
          <w:tcPr>
            <w:tcW w:w="381" w:type="pct"/>
            <w:tcBorders>
              <w:top w:val="nil"/>
              <w:left w:val="nil"/>
              <w:bottom w:val="nil"/>
              <w:right w:val="nil"/>
            </w:tcBorders>
          </w:tcPr>
          <w:p w14:paraId="76EA2D73"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0.0136</w:t>
            </w:r>
          </w:p>
        </w:tc>
        <w:tc>
          <w:tcPr>
            <w:tcW w:w="381" w:type="pct"/>
            <w:tcBorders>
              <w:top w:val="nil"/>
              <w:left w:val="nil"/>
              <w:bottom w:val="nil"/>
              <w:right w:val="nil"/>
            </w:tcBorders>
          </w:tcPr>
          <w:p w14:paraId="10DE8180"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-0.196</w:t>
            </w:r>
          </w:p>
        </w:tc>
        <w:tc>
          <w:tcPr>
            <w:tcW w:w="381" w:type="pct"/>
            <w:tcBorders>
              <w:top w:val="nil"/>
              <w:left w:val="nil"/>
              <w:bottom w:val="nil"/>
              <w:right w:val="nil"/>
            </w:tcBorders>
          </w:tcPr>
          <w:p w14:paraId="431AD48E"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-0.0967</w:t>
            </w:r>
          </w:p>
        </w:tc>
        <w:tc>
          <w:tcPr>
            <w:tcW w:w="373" w:type="pct"/>
            <w:tcBorders>
              <w:top w:val="nil"/>
              <w:left w:val="nil"/>
              <w:bottom w:val="nil"/>
              <w:right w:val="nil"/>
            </w:tcBorders>
          </w:tcPr>
          <w:p w14:paraId="7759293E"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-0.249</w:t>
            </w:r>
          </w:p>
        </w:tc>
        <w:tc>
          <w:tcPr>
            <w:tcW w:w="373" w:type="pct"/>
            <w:tcBorders>
              <w:top w:val="nil"/>
              <w:left w:val="nil"/>
              <w:bottom w:val="nil"/>
              <w:right w:val="nil"/>
            </w:tcBorders>
          </w:tcPr>
          <w:p w14:paraId="7C609FA2" w14:textId="7C88E49D"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-0.166</w:t>
            </w:r>
          </w:p>
        </w:tc>
        <w:tc>
          <w:tcPr>
            <w:tcW w:w="375" w:type="pct"/>
            <w:tcBorders>
              <w:top w:val="nil"/>
              <w:left w:val="nil"/>
              <w:bottom w:val="nil"/>
              <w:right w:val="single" w:sz="4" w:space="0" w:color="auto"/>
            </w:tcBorders>
          </w:tcPr>
          <w:p w14:paraId="329031AD" w14:textId="057BE082"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-0.213</w:t>
            </w:r>
          </w:p>
        </w:tc>
        <w:tc>
          <w:tcPr>
            <w:tcW w:w="373" w:type="pct"/>
            <w:tcBorders>
              <w:top w:val="nil"/>
              <w:left w:val="single" w:sz="4" w:space="0" w:color="auto"/>
              <w:bottom w:val="nil"/>
              <w:right w:val="nil"/>
            </w:tcBorders>
          </w:tcPr>
          <w:p w14:paraId="60CE80F4"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-0.144</w:t>
            </w:r>
          </w:p>
        </w:tc>
        <w:tc>
          <w:tcPr>
            <w:tcW w:w="373" w:type="pct"/>
            <w:tcBorders>
              <w:top w:val="nil"/>
              <w:left w:val="nil"/>
              <w:bottom w:val="nil"/>
              <w:right w:val="nil"/>
            </w:tcBorders>
          </w:tcPr>
          <w:p w14:paraId="6D35F8F0"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-0.132</w:t>
            </w:r>
          </w:p>
        </w:tc>
        <w:tc>
          <w:tcPr>
            <w:tcW w:w="373" w:type="pct"/>
            <w:tcBorders>
              <w:top w:val="nil"/>
              <w:left w:val="nil"/>
              <w:bottom w:val="nil"/>
              <w:right w:val="nil"/>
            </w:tcBorders>
          </w:tcPr>
          <w:p w14:paraId="4A9C0965"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-0.133</w:t>
            </w:r>
          </w:p>
        </w:tc>
        <w:tc>
          <w:tcPr>
            <w:tcW w:w="373" w:type="pct"/>
            <w:tcBorders>
              <w:top w:val="nil"/>
              <w:left w:val="nil"/>
              <w:bottom w:val="nil"/>
              <w:right w:val="nil"/>
            </w:tcBorders>
          </w:tcPr>
          <w:p w14:paraId="5F214B6B"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-0.106</w:t>
            </w:r>
          </w:p>
        </w:tc>
        <w:tc>
          <w:tcPr>
            <w:tcW w:w="373" w:type="pct"/>
            <w:tcBorders>
              <w:top w:val="nil"/>
              <w:left w:val="nil"/>
              <w:bottom w:val="nil"/>
              <w:right w:val="nil"/>
            </w:tcBorders>
          </w:tcPr>
          <w:p w14:paraId="0991A9BB" w14:textId="216C2933"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-0.121</w:t>
            </w:r>
          </w:p>
        </w:tc>
        <w:tc>
          <w:tcPr>
            <w:tcW w:w="370" w:type="pct"/>
            <w:tcBorders>
              <w:top w:val="nil"/>
              <w:left w:val="nil"/>
              <w:bottom w:val="nil"/>
              <w:right w:val="nil"/>
            </w:tcBorders>
          </w:tcPr>
          <w:p w14:paraId="1B573F02" w14:textId="6605DA39"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-0.127</w:t>
            </w:r>
          </w:p>
        </w:tc>
      </w:tr>
      <w:tr w:rsidR="00FD0D50" w:rsidRPr="00411250" w14:paraId="2056E85E" w14:textId="77777777" w:rsidTr="00D30EA4">
        <w:trPr>
          <w:trHeight w:val="288"/>
          <w:jc w:val="center"/>
        </w:trPr>
        <w:tc>
          <w:tcPr>
            <w:tcW w:w="501" w:type="pct"/>
            <w:tcBorders>
              <w:top w:val="nil"/>
              <w:left w:val="nil"/>
              <w:bottom w:val="nil"/>
              <w:right w:val="nil"/>
            </w:tcBorders>
          </w:tcPr>
          <w:p w14:paraId="43771E06" w14:textId="77777777" w:rsidR="00FD0D50" w:rsidRPr="00026A59" w:rsidRDefault="00FD0D50" w:rsidP="00FD0D50">
            <w:pPr>
              <w:spacing w:after="0" w:line="240" w:lineRule="auto"/>
              <w:rPr>
                <w:rFonts w:ascii="Times New Roman" w:hAnsi="Times New Roman" w:cs="Times New Roman"/>
                <w:sz w:val="18"/>
                <w:szCs w:val="18"/>
              </w:rPr>
            </w:pPr>
          </w:p>
        </w:tc>
        <w:tc>
          <w:tcPr>
            <w:tcW w:w="381" w:type="pct"/>
            <w:tcBorders>
              <w:top w:val="nil"/>
              <w:left w:val="nil"/>
              <w:bottom w:val="nil"/>
              <w:right w:val="nil"/>
            </w:tcBorders>
          </w:tcPr>
          <w:p w14:paraId="4BC79370"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(0.170)</w:t>
            </w:r>
          </w:p>
        </w:tc>
        <w:tc>
          <w:tcPr>
            <w:tcW w:w="381" w:type="pct"/>
            <w:tcBorders>
              <w:top w:val="nil"/>
              <w:left w:val="nil"/>
              <w:bottom w:val="nil"/>
              <w:right w:val="nil"/>
            </w:tcBorders>
          </w:tcPr>
          <w:p w14:paraId="426FFF90"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(0.159)</w:t>
            </w:r>
          </w:p>
        </w:tc>
        <w:tc>
          <w:tcPr>
            <w:tcW w:w="381" w:type="pct"/>
            <w:tcBorders>
              <w:top w:val="nil"/>
              <w:left w:val="nil"/>
              <w:bottom w:val="nil"/>
              <w:right w:val="nil"/>
            </w:tcBorders>
          </w:tcPr>
          <w:p w14:paraId="5DAC02EA"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(0.154)</w:t>
            </w:r>
          </w:p>
        </w:tc>
        <w:tc>
          <w:tcPr>
            <w:tcW w:w="373" w:type="pct"/>
            <w:tcBorders>
              <w:top w:val="nil"/>
              <w:left w:val="nil"/>
              <w:bottom w:val="nil"/>
              <w:right w:val="nil"/>
            </w:tcBorders>
          </w:tcPr>
          <w:p w14:paraId="2AF8AF6A"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(0.169)</w:t>
            </w:r>
          </w:p>
        </w:tc>
        <w:tc>
          <w:tcPr>
            <w:tcW w:w="373" w:type="pct"/>
            <w:tcBorders>
              <w:top w:val="nil"/>
              <w:left w:val="nil"/>
              <w:bottom w:val="nil"/>
              <w:right w:val="nil"/>
            </w:tcBorders>
          </w:tcPr>
          <w:p w14:paraId="1D74F77F" w14:textId="2AB750F9"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(0.155)</w:t>
            </w:r>
          </w:p>
        </w:tc>
        <w:tc>
          <w:tcPr>
            <w:tcW w:w="375" w:type="pct"/>
            <w:tcBorders>
              <w:top w:val="nil"/>
              <w:left w:val="nil"/>
              <w:bottom w:val="nil"/>
              <w:right w:val="single" w:sz="4" w:space="0" w:color="auto"/>
            </w:tcBorders>
          </w:tcPr>
          <w:p w14:paraId="216E3845" w14:textId="21D903D6"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(0.190)</w:t>
            </w:r>
          </w:p>
        </w:tc>
        <w:tc>
          <w:tcPr>
            <w:tcW w:w="373" w:type="pct"/>
            <w:tcBorders>
              <w:top w:val="nil"/>
              <w:left w:val="single" w:sz="4" w:space="0" w:color="auto"/>
              <w:bottom w:val="nil"/>
              <w:right w:val="nil"/>
            </w:tcBorders>
          </w:tcPr>
          <w:p w14:paraId="1C7182D7"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(0.129)</w:t>
            </w:r>
          </w:p>
        </w:tc>
        <w:tc>
          <w:tcPr>
            <w:tcW w:w="373" w:type="pct"/>
            <w:tcBorders>
              <w:top w:val="nil"/>
              <w:left w:val="nil"/>
              <w:bottom w:val="nil"/>
              <w:right w:val="nil"/>
            </w:tcBorders>
          </w:tcPr>
          <w:p w14:paraId="49B5286E"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(0.137)</w:t>
            </w:r>
          </w:p>
        </w:tc>
        <w:tc>
          <w:tcPr>
            <w:tcW w:w="373" w:type="pct"/>
            <w:tcBorders>
              <w:top w:val="nil"/>
              <w:left w:val="nil"/>
              <w:bottom w:val="nil"/>
              <w:right w:val="nil"/>
            </w:tcBorders>
          </w:tcPr>
          <w:p w14:paraId="45DCD1E3"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(0.135)</w:t>
            </w:r>
          </w:p>
        </w:tc>
        <w:tc>
          <w:tcPr>
            <w:tcW w:w="373" w:type="pct"/>
            <w:tcBorders>
              <w:top w:val="nil"/>
              <w:left w:val="nil"/>
              <w:bottom w:val="nil"/>
              <w:right w:val="nil"/>
            </w:tcBorders>
          </w:tcPr>
          <w:p w14:paraId="436CC7B5"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(0.138)</w:t>
            </w:r>
          </w:p>
        </w:tc>
        <w:tc>
          <w:tcPr>
            <w:tcW w:w="373" w:type="pct"/>
            <w:tcBorders>
              <w:top w:val="nil"/>
              <w:left w:val="nil"/>
              <w:bottom w:val="nil"/>
              <w:right w:val="nil"/>
            </w:tcBorders>
          </w:tcPr>
          <w:p w14:paraId="2A2700CF" w14:textId="4D754758"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(0.179)</w:t>
            </w:r>
          </w:p>
        </w:tc>
        <w:tc>
          <w:tcPr>
            <w:tcW w:w="370" w:type="pct"/>
            <w:tcBorders>
              <w:top w:val="nil"/>
              <w:left w:val="nil"/>
              <w:bottom w:val="nil"/>
              <w:right w:val="nil"/>
            </w:tcBorders>
          </w:tcPr>
          <w:p w14:paraId="3F364737" w14:textId="3429296D"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(0.137)</w:t>
            </w:r>
          </w:p>
        </w:tc>
      </w:tr>
      <w:tr w:rsidR="00FD0D50" w:rsidRPr="00411250" w14:paraId="3266A999" w14:textId="77777777" w:rsidTr="00D30EA4">
        <w:trPr>
          <w:trHeight w:val="288"/>
          <w:jc w:val="center"/>
        </w:trPr>
        <w:tc>
          <w:tcPr>
            <w:tcW w:w="501" w:type="pct"/>
            <w:tcBorders>
              <w:top w:val="nil"/>
              <w:left w:val="nil"/>
              <w:bottom w:val="nil"/>
              <w:right w:val="nil"/>
            </w:tcBorders>
          </w:tcPr>
          <w:p w14:paraId="411D1A64" w14:textId="77777777" w:rsidR="00FD0D50" w:rsidRPr="00026A59" w:rsidRDefault="00FD0D50" w:rsidP="00FD0D50">
            <w:pPr>
              <w:spacing w:after="0" w:line="240" w:lineRule="auto"/>
              <w:rPr>
                <w:rFonts w:ascii="Times New Roman" w:hAnsi="Times New Roman" w:cs="Times New Roman"/>
                <w:sz w:val="18"/>
                <w:szCs w:val="18"/>
              </w:rPr>
            </w:pPr>
            <w:r w:rsidRPr="00026A59">
              <w:rPr>
                <w:rFonts w:ascii="Times New Roman" w:hAnsi="Times New Roman" w:cs="Times New Roman"/>
                <w:sz w:val="18"/>
                <w:szCs w:val="18"/>
              </w:rPr>
              <w:t>Ind_Dir</w:t>
            </w:r>
          </w:p>
        </w:tc>
        <w:tc>
          <w:tcPr>
            <w:tcW w:w="381" w:type="pct"/>
            <w:tcBorders>
              <w:top w:val="nil"/>
              <w:left w:val="nil"/>
              <w:bottom w:val="nil"/>
              <w:right w:val="nil"/>
            </w:tcBorders>
          </w:tcPr>
          <w:p w14:paraId="148A49AB"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0.00434**</w:t>
            </w:r>
          </w:p>
        </w:tc>
        <w:tc>
          <w:tcPr>
            <w:tcW w:w="381" w:type="pct"/>
            <w:tcBorders>
              <w:top w:val="nil"/>
              <w:left w:val="nil"/>
              <w:bottom w:val="nil"/>
              <w:right w:val="nil"/>
            </w:tcBorders>
          </w:tcPr>
          <w:p w14:paraId="1838E8B6"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0.00752**</w:t>
            </w:r>
          </w:p>
        </w:tc>
        <w:tc>
          <w:tcPr>
            <w:tcW w:w="381" w:type="pct"/>
            <w:tcBorders>
              <w:top w:val="nil"/>
              <w:left w:val="nil"/>
              <w:bottom w:val="nil"/>
              <w:right w:val="nil"/>
            </w:tcBorders>
          </w:tcPr>
          <w:p w14:paraId="5A443B73"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0.00664**</w:t>
            </w:r>
          </w:p>
        </w:tc>
        <w:tc>
          <w:tcPr>
            <w:tcW w:w="373" w:type="pct"/>
            <w:tcBorders>
              <w:top w:val="nil"/>
              <w:left w:val="nil"/>
              <w:bottom w:val="nil"/>
              <w:right w:val="nil"/>
            </w:tcBorders>
          </w:tcPr>
          <w:p w14:paraId="06A98080"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b/>
                <w:sz w:val="18"/>
                <w:szCs w:val="18"/>
              </w:rPr>
            </w:pPr>
            <w:r w:rsidRPr="00026A59">
              <w:rPr>
                <w:rFonts w:ascii="Times New Roman" w:hAnsi="Times New Roman" w:cs="Times New Roman"/>
                <w:b/>
                <w:sz w:val="18"/>
                <w:szCs w:val="18"/>
              </w:rPr>
              <w:t>-</w:t>
            </w:r>
          </w:p>
        </w:tc>
        <w:tc>
          <w:tcPr>
            <w:tcW w:w="373" w:type="pct"/>
            <w:tcBorders>
              <w:top w:val="nil"/>
              <w:left w:val="nil"/>
              <w:bottom w:val="nil"/>
              <w:right w:val="nil"/>
            </w:tcBorders>
          </w:tcPr>
          <w:p w14:paraId="6F115D0B" w14:textId="55AA36B3"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0.00736**</w:t>
            </w:r>
          </w:p>
        </w:tc>
        <w:tc>
          <w:tcPr>
            <w:tcW w:w="375" w:type="pct"/>
            <w:tcBorders>
              <w:top w:val="nil"/>
              <w:left w:val="nil"/>
              <w:bottom w:val="nil"/>
              <w:right w:val="single" w:sz="4" w:space="0" w:color="auto"/>
            </w:tcBorders>
          </w:tcPr>
          <w:p w14:paraId="2FB35A2F" w14:textId="2B4772F1"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0.0057*</w:t>
            </w:r>
          </w:p>
        </w:tc>
        <w:tc>
          <w:tcPr>
            <w:tcW w:w="373" w:type="pct"/>
            <w:tcBorders>
              <w:top w:val="nil"/>
              <w:left w:val="single" w:sz="4" w:space="0" w:color="auto"/>
              <w:bottom w:val="nil"/>
              <w:right w:val="nil"/>
            </w:tcBorders>
          </w:tcPr>
          <w:p w14:paraId="0E9792F2"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0.0009</w:t>
            </w:r>
          </w:p>
        </w:tc>
        <w:tc>
          <w:tcPr>
            <w:tcW w:w="373" w:type="pct"/>
            <w:tcBorders>
              <w:top w:val="nil"/>
              <w:left w:val="nil"/>
              <w:bottom w:val="nil"/>
              <w:right w:val="nil"/>
            </w:tcBorders>
          </w:tcPr>
          <w:p w14:paraId="67ED0788"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0.0008</w:t>
            </w:r>
          </w:p>
        </w:tc>
        <w:tc>
          <w:tcPr>
            <w:tcW w:w="373" w:type="pct"/>
            <w:tcBorders>
              <w:top w:val="nil"/>
              <w:left w:val="nil"/>
              <w:bottom w:val="nil"/>
              <w:right w:val="nil"/>
            </w:tcBorders>
          </w:tcPr>
          <w:p w14:paraId="0B46E066"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0.0008</w:t>
            </w:r>
          </w:p>
        </w:tc>
        <w:tc>
          <w:tcPr>
            <w:tcW w:w="373" w:type="pct"/>
            <w:tcBorders>
              <w:top w:val="nil"/>
              <w:left w:val="nil"/>
              <w:bottom w:val="nil"/>
              <w:right w:val="nil"/>
            </w:tcBorders>
          </w:tcPr>
          <w:p w14:paraId="391B636D"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3" w:type="pct"/>
            <w:tcBorders>
              <w:top w:val="nil"/>
              <w:left w:val="nil"/>
              <w:bottom w:val="nil"/>
              <w:right w:val="nil"/>
            </w:tcBorders>
          </w:tcPr>
          <w:p w14:paraId="5C19E975" w14:textId="273ECF31"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0.000521</w:t>
            </w:r>
          </w:p>
        </w:tc>
        <w:tc>
          <w:tcPr>
            <w:tcW w:w="370" w:type="pct"/>
            <w:tcBorders>
              <w:top w:val="nil"/>
              <w:left w:val="nil"/>
              <w:bottom w:val="nil"/>
              <w:right w:val="nil"/>
            </w:tcBorders>
          </w:tcPr>
          <w:p w14:paraId="6AC2132E" w14:textId="3556C03E"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0.00010</w:t>
            </w:r>
          </w:p>
        </w:tc>
      </w:tr>
      <w:tr w:rsidR="00FD0D50" w:rsidRPr="00411250" w14:paraId="138E1517" w14:textId="77777777" w:rsidTr="00D30EA4">
        <w:trPr>
          <w:trHeight w:val="288"/>
          <w:jc w:val="center"/>
        </w:trPr>
        <w:tc>
          <w:tcPr>
            <w:tcW w:w="501" w:type="pct"/>
            <w:tcBorders>
              <w:top w:val="nil"/>
              <w:left w:val="nil"/>
              <w:bottom w:val="nil"/>
              <w:right w:val="nil"/>
            </w:tcBorders>
          </w:tcPr>
          <w:p w14:paraId="27851CEA" w14:textId="77777777" w:rsidR="00FD0D50" w:rsidRPr="00026A59" w:rsidRDefault="00FD0D50" w:rsidP="00FD0D50">
            <w:pPr>
              <w:widowControl w:val="0"/>
              <w:autoSpaceDE w:val="0"/>
              <w:autoSpaceDN w:val="0"/>
              <w:adjustRightInd w:val="0"/>
              <w:spacing w:after="0" w:line="240" w:lineRule="auto"/>
              <w:rPr>
                <w:rFonts w:ascii="Times New Roman" w:hAnsi="Times New Roman" w:cs="Times New Roman"/>
                <w:sz w:val="18"/>
                <w:szCs w:val="18"/>
              </w:rPr>
            </w:pPr>
          </w:p>
        </w:tc>
        <w:tc>
          <w:tcPr>
            <w:tcW w:w="381" w:type="pct"/>
            <w:tcBorders>
              <w:top w:val="nil"/>
              <w:left w:val="nil"/>
              <w:bottom w:val="nil"/>
              <w:right w:val="nil"/>
            </w:tcBorders>
          </w:tcPr>
          <w:p w14:paraId="38B2F7AD"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(0.0020)</w:t>
            </w:r>
          </w:p>
        </w:tc>
        <w:tc>
          <w:tcPr>
            <w:tcW w:w="381" w:type="pct"/>
            <w:tcBorders>
              <w:top w:val="nil"/>
              <w:left w:val="nil"/>
              <w:bottom w:val="nil"/>
              <w:right w:val="nil"/>
            </w:tcBorders>
          </w:tcPr>
          <w:p w14:paraId="44D48A4E"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(0.0034)</w:t>
            </w:r>
          </w:p>
        </w:tc>
        <w:tc>
          <w:tcPr>
            <w:tcW w:w="381" w:type="pct"/>
            <w:tcBorders>
              <w:top w:val="nil"/>
              <w:left w:val="nil"/>
              <w:bottom w:val="nil"/>
              <w:right w:val="nil"/>
            </w:tcBorders>
          </w:tcPr>
          <w:p w14:paraId="28CA9FBD"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(0.0032)</w:t>
            </w:r>
          </w:p>
        </w:tc>
        <w:tc>
          <w:tcPr>
            <w:tcW w:w="373" w:type="pct"/>
            <w:tcBorders>
              <w:top w:val="nil"/>
              <w:left w:val="nil"/>
              <w:bottom w:val="nil"/>
              <w:right w:val="nil"/>
            </w:tcBorders>
          </w:tcPr>
          <w:p w14:paraId="005EE17E"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b/>
                <w:sz w:val="18"/>
                <w:szCs w:val="18"/>
              </w:rPr>
            </w:pPr>
            <w:r w:rsidRPr="00026A59">
              <w:rPr>
                <w:rFonts w:ascii="Times New Roman" w:hAnsi="Times New Roman" w:cs="Times New Roman"/>
                <w:b/>
                <w:sz w:val="18"/>
                <w:szCs w:val="18"/>
              </w:rPr>
              <w:t>-</w:t>
            </w:r>
          </w:p>
        </w:tc>
        <w:tc>
          <w:tcPr>
            <w:tcW w:w="373" w:type="pct"/>
            <w:tcBorders>
              <w:top w:val="nil"/>
              <w:left w:val="nil"/>
              <w:bottom w:val="nil"/>
              <w:right w:val="nil"/>
            </w:tcBorders>
          </w:tcPr>
          <w:p w14:paraId="0108DABC" w14:textId="7E014D7C"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(0.00336)</w:t>
            </w:r>
          </w:p>
        </w:tc>
        <w:tc>
          <w:tcPr>
            <w:tcW w:w="375" w:type="pct"/>
            <w:tcBorders>
              <w:top w:val="nil"/>
              <w:left w:val="nil"/>
              <w:bottom w:val="nil"/>
              <w:right w:val="single" w:sz="4" w:space="0" w:color="auto"/>
            </w:tcBorders>
          </w:tcPr>
          <w:p w14:paraId="52FD4B5B" w14:textId="082B5281"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(0.0033)</w:t>
            </w:r>
          </w:p>
        </w:tc>
        <w:tc>
          <w:tcPr>
            <w:tcW w:w="373" w:type="pct"/>
            <w:tcBorders>
              <w:top w:val="nil"/>
              <w:left w:val="single" w:sz="4" w:space="0" w:color="auto"/>
              <w:bottom w:val="nil"/>
              <w:right w:val="nil"/>
            </w:tcBorders>
          </w:tcPr>
          <w:p w14:paraId="5A40BED2"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(0.0015)</w:t>
            </w:r>
          </w:p>
        </w:tc>
        <w:tc>
          <w:tcPr>
            <w:tcW w:w="373" w:type="pct"/>
            <w:tcBorders>
              <w:top w:val="nil"/>
              <w:left w:val="nil"/>
              <w:bottom w:val="nil"/>
              <w:right w:val="nil"/>
            </w:tcBorders>
          </w:tcPr>
          <w:p w14:paraId="00E56193"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(0.0015)</w:t>
            </w:r>
          </w:p>
        </w:tc>
        <w:tc>
          <w:tcPr>
            <w:tcW w:w="373" w:type="pct"/>
            <w:tcBorders>
              <w:top w:val="nil"/>
              <w:left w:val="nil"/>
              <w:bottom w:val="nil"/>
              <w:right w:val="nil"/>
            </w:tcBorders>
          </w:tcPr>
          <w:p w14:paraId="7ADCEB5D"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(0.0015)</w:t>
            </w:r>
          </w:p>
        </w:tc>
        <w:tc>
          <w:tcPr>
            <w:tcW w:w="373" w:type="pct"/>
            <w:tcBorders>
              <w:top w:val="nil"/>
              <w:left w:val="nil"/>
              <w:bottom w:val="nil"/>
              <w:right w:val="nil"/>
            </w:tcBorders>
          </w:tcPr>
          <w:p w14:paraId="083E3A03"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3" w:type="pct"/>
            <w:tcBorders>
              <w:top w:val="nil"/>
              <w:left w:val="nil"/>
              <w:bottom w:val="nil"/>
              <w:right w:val="nil"/>
            </w:tcBorders>
          </w:tcPr>
          <w:p w14:paraId="40D8A375" w14:textId="2F9F4492"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(0.00114)</w:t>
            </w:r>
          </w:p>
        </w:tc>
        <w:tc>
          <w:tcPr>
            <w:tcW w:w="370" w:type="pct"/>
            <w:tcBorders>
              <w:top w:val="nil"/>
              <w:left w:val="nil"/>
              <w:bottom w:val="nil"/>
              <w:right w:val="nil"/>
            </w:tcBorders>
          </w:tcPr>
          <w:p w14:paraId="56444168" w14:textId="691E0CA9"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(0.0016)</w:t>
            </w:r>
          </w:p>
        </w:tc>
      </w:tr>
      <w:tr w:rsidR="00FD0D50" w:rsidRPr="00411250" w14:paraId="2A6839D7" w14:textId="77777777" w:rsidTr="00D30EA4">
        <w:trPr>
          <w:trHeight w:val="288"/>
          <w:jc w:val="center"/>
        </w:trPr>
        <w:tc>
          <w:tcPr>
            <w:tcW w:w="501" w:type="pct"/>
            <w:tcBorders>
              <w:top w:val="nil"/>
              <w:left w:val="nil"/>
              <w:bottom w:val="nil"/>
              <w:right w:val="nil"/>
            </w:tcBorders>
          </w:tcPr>
          <w:p w14:paraId="4CCBD2D2" w14:textId="77777777" w:rsidR="00FD0D50" w:rsidRPr="00026A59" w:rsidRDefault="00FD0D50" w:rsidP="00FD0D50">
            <w:pPr>
              <w:widowControl w:val="0"/>
              <w:autoSpaceDE w:val="0"/>
              <w:autoSpaceDN w:val="0"/>
              <w:adjustRightInd w:val="0"/>
              <w:spacing w:after="0" w:line="240" w:lineRule="auto"/>
              <w:rPr>
                <w:rFonts w:ascii="Times New Roman" w:hAnsi="Times New Roman" w:cs="Times New Roman"/>
                <w:sz w:val="18"/>
                <w:szCs w:val="18"/>
              </w:rPr>
            </w:pPr>
            <w:r w:rsidRPr="00026A59">
              <w:rPr>
                <w:rFonts w:ascii="Times New Roman" w:hAnsi="Times New Roman" w:cs="Times New Roman"/>
                <w:sz w:val="18"/>
                <w:szCs w:val="18"/>
              </w:rPr>
              <w:t>Exec_Comp</w:t>
            </w:r>
          </w:p>
        </w:tc>
        <w:tc>
          <w:tcPr>
            <w:tcW w:w="381" w:type="pct"/>
            <w:tcBorders>
              <w:top w:val="nil"/>
              <w:left w:val="nil"/>
              <w:bottom w:val="nil"/>
              <w:right w:val="nil"/>
            </w:tcBorders>
          </w:tcPr>
          <w:p w14:paraId="4263965C"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0.218***</w:t>
            </w:r>
          </w:p>
        </w:tc>
        <w:tc>
          <w:tcPr>
            <w:tcW w:w="381" w:type="pct"/>
            <w:tcBorders>
              <w:top w:val="nil"/>
              <w:left w:val="nil"/>
              <w:bottom w:val="nil"/>
              <w:right w:val="nil"/>
            </w:tcBorders>
          </w:tcPr>
          <w:p w14:paraId="018C199F"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0.240***</w:t>
            </w:r>
          </w:p>
        </w:tc>
        <w:tc>
          <w:tcPr>
            <w:tcW w:w="381" w:type="pct"/>
            <w:tcBorders>
              <w:top w:val="nil"/>
              <w:left w:val="nil"/>
              <w:bottom w:val="nil"/>
              <w:right w:val="nil"/>
            </w:tcBorders>
          </w:tcPr>
          <w:p w14:paraId="76BFA633"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3" w:type="pct"/>
            <w:tcBorders>
              <w:top w:val="nil"/>
              <w:left w:val="nil"/>
              <w:bottom w:val="nil"/>
              <w:right w:val="nil"/>
            </w:tcBorders>
          </w:tcPr>
          <w:p w14:paraId="3157F0A2"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0.241***</w:t>
            </w:r>
          </w:p>
        </w:tc>
        <w:tc>
          <w:tcPr>
            <w:tcW w:w="373" w:type="pct"/>
            <w:tcBorders>
              <w:top w:val="nil"/>
              <w:left w:val="nil"/>
              <w:bottom w:val="nil"/>
              <w:right w:val="nil"/>
            </w:tcBorders>
          </w:tcPr>
          <w:p w14:paraId="09C341F1" w14:textId="130693CC"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0.250***</w:t>
            </w:r>
          </w:p>
        </w:tc>
        <w:tc>
          <w:tcPr>
            <w:tcW w:w="375" w:type="pct"/>
            <w:tcBorders>
              <w:top w:val="nil"/>
              <w:left w:val="nil"/>
              <w:bottom w:val="nil"/>
              <w:right w:val="single" w:sz="4" w:space="0" w:color="auto"/>
            </w:tcBorders>
          </w:tcPr>
          <w:p w14:paraId="15B750D8" w14:textId="4BBC16CB"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0.221***</w:t>
            </w:r>
          </w:p>
        </w:tc>
        <w:tc>
          <w:tcPr>
            <w:tcW w:w="373" w:type="pct"/>
            <w:tcBorders>
              <w:top w:val="nil"/>
              <w:left w:val="single" w:sz="4" w:space="0" w:color="auto"/>
              <w:bottom w:val="nil"/>
              <w:right w:val="nil"/>
            </w:tcBorders>
          </w:tcPr>
          <w:p w14:paraId="34A527B7"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0.0048</w:t>
            </w:r>
          </w:p>
        </w:tc>
        <w:tc>
          <w:tcPr>
            <w:tcW w:w="373" w:type="pct"/>
            <w:tcBorders>
              <w:top w:val="nil"/>
              <w:left w:val="nil"/>
              <w:bottom w:val="nil"/>
              <w:right w:val="nil"/>
            </w:tcBorders>
          </w:tcPr>
          <w:p w14:paraId="3EF168A1"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0.0040</w:t>
            </w:r>
          </w:p>
        </w:tc>
        <w:tc>
          <w:tcPr>
            <w:tcW w:w="373" w:type="pct"/>
            <w:tcBorders>
              <w:top w:val="nil"/>
              <w:left w:val="nil"/>
              <w:bottom w:val="nil"/>
              <w:right w:val="nil"/>
            </w:tcBorders>
          </w:tcPr>
          <w:p w14:paraId="4E47B776"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3" w:type="pct"/>
            <w:tcBorders>
              <w:top w:val="nil"/>
              <w:left w:val="nil"/>
              <w:bottom w:val="nil"/>
              <w:right w:val="nil"/>
            </w:tcBorders>
          </w:tcPr>
          <w:p w14:paraId="305614F1"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0.00533</w:t>
            </w:r>
          </w:p>
        </w:tc>
        <w:tc>
          <w:tcPr>
            <w:tcW w:w="373" w:type="pct"/>
            <w:tcBorders>
              <w:top w:val="nil"/>
              <w:left w:val="nil"/>
              <w:bottom w:val="nil"/>
              <w:right w:val="nil"/>
            </w:tcBorders>
          </w:tcPr>
          <w:p w14:paraId="71325EB6" w14:textId="0C16709B"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0.0147</w:t>
            </w:r>
          </w:p>
        </w:tc>
        <w:tc>
          <w:tcPr>
            <w:tcW w:w="370" w:type="pct"/>
            <w:tcBorders>
              <w:top w:val="nil"/>
              <w:left w:val="nil"/>
              <w:bottom w:val="nil"/>
              <w:right w:val="nil"/>
            </w:tcBorders>
          </w:tcPr>
          <w:p w14:paraId="716E2AAE" w14:textId="5203A734"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0.00852</w:t>
            </w:r>
          </w:p>
        </w:tc>
      </w:tr>
      <w:tr w:rsidR="00FD0D50" w:rsidRPr="00411250" w14:paraId="5066E410" w14:textId="77777777" w:rsidTr="00D30EA4">
        <w:trPr>
          <w:trHeight w:val="288"/>
          <w:jc w:val="center"/>
        </w:trPr>
        <w:tc>
          <w:tcPr>
            <w:tcW w:w="501" w:type="pct"/>
            <w:tcBorders>
              <w:top w:val="nil"/>
              <w:left w:val="nil"/>
              <w:bottom w:val="nil"/>
              <w:right w:val="nil"/>
            </w:tcBorders>
          </w:tcPr>
          <w:p w14:paraId="7B7FC4D8" w14:textId="77777777" w:rsidR="00FD0D50" w:rsidRPr="00026A59" w:rsidRDefault="00FD0D50" w:rsidP="00FD0D50">
            <w:pPr>
              <w:widowControl w:val="0"/>
              <w:autoSpaceDE w:val="0"/>
              <w:autoSpaceDN w:val="0"/>
              <w:adjustRightInd w:val="0"/>
              <w:spacing w:after="0" w:line="240" w:lineRule="auto"/>
              <w:rPr>
                <w:rFonts w:ascii="Times New Roman" w:hAnsi="Times New Roman" w:cs="Times New Roman"/>
                <w:sz w:val="18"/>
                <w:szCs w:val="18"/>
              </w:rPr>
            </w:pPr>
          </w:p>
        </w:tc>
        <w:tc>
          <w:tcPr>
            <w:tcW w:w="381" w:type="pct"/>
            <w:tcBorders>
              <w:top w:val="nil"/>
              <w:left w:val="nil"/>
              <w:bottom w:val="nil"/>
              <w:right w:val="nil"/>
            </w:tcBorders>
          </w:tcPr>
          <w:p w14:paraId="6FAF8734"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(0.0416)</w:t>
            </w:r>
          </w:p>
        </w:tc>
        <w:tc>
          <w:tcPr>
            <w:tcW w:w="381" w:type="pct"/>
            <w:tcBorders>
              <w:top w:val="nil"/>
              <w:left w:val="nil"/>
              <w:bottom w:val="nil"/>
              <w:right w:val="nil"/>
            </w:tcBorders>
          </w:tcPr>
          <w:p w14:paraId="3BE2D618"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(0.0720)</w:t>
            </w:r>
          </w:p>
        </w:tc>
        <w:tc>
          <w:tcPr>
            <w:tcW w:w="381" w:type="pct"/>
            <w:tcBorders>
              <w:top w:val="nil"/>
              <w:left w:val="nil"/>
              <w:bottom w:val="nil"/>
              <w:right w:val="nil"/>
            </w:tcBorders>
          </w:tcPr>
          <w:p w14:paraId="083C2878"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3" w:type="pct"/>
            <w:tcBorders>
              <w:top w:val="nil"/>
              <w:left w:val="nil"/>
              <w:bottom w:val="nil"/>
              <w:right w:val="nil"/>
            </w:tcBorders>
          </w:tcPr>
          <w:p w14:paraId="06E93D98"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(0.0648)</w:t>
            </w:r>
          </w:p>
        </w:tc>
        <w:tc>
          <w:tcPr>
            <w:tcW w:w="373" w:type="pct"/>
            <w:tcBorders>
              <w:top w:val="nil"/>
              <w:left w:val="nil"/>
              <w:bottom w:val="nil"/>
              <w:right w:val="nil"/>
            </w:tcBorders>
          </w:tcPr>
          <w:p w14:paraId="0B9F0E45" w14:textId="7E60B56C"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(0.0748)</w:t>
            </w:r>
          </w:p>
        </w:tc>
        <w:tc>
          <w:tcPr>
            <w:tcW w:w="375" w:type="pct"/>
            <w:tcBorders>
              <w:top w:val="nil"/>
              <w:left w:val="nil"/>
              <w:bottom w:val="nil"/>
              <w:right w:val="single" w:sz="4" w:space="0" w:color="auto"/>
            </w:tcBorders>
          </w:tcPr>
          <w:p w14:paraId="3CEC93F6" w14:textId="22C5717A"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(0.0755)</w:t>
            </w:r>
          </w:p>
        </w:tc>
        <w:tc>
          <w:tcPr>
            <w:tcW w:w="373" w:type="pct"/>
            <w:tcBorders>
              <w:top w:val="nil"/>
              <w:left w:val="single" w:sz="4" w:space="0" w:color="auto"/>
              <w:bottom w:val="nil"/>
              <w:right w:val="nil"/>
            </w:tcBorders>
          </w:tcPr>
          <w:p w14:paraId="5AF5107E"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(0.0314)</w:t>
            </w:r>
          </w:p>
        </w:tc>
        <w:tc>
          <w:tcPr>
            <w:tcW w:w="373" w:type="pct"/>
            <w:tcBorders>
              <w:top w:val="nil"/>
              <w:left w:val="nil"/>
              <w:bottom w:val="nil"/>
              <w:right w:val="nil"/>
            </w:tcBorders>
          </w:tcPr>
          <w:p w14:paraId="0686A099"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(0.0314)</w:t>
            </w:r>
          </w:p>
        </w:tc>
        <w:tc>
          <w:tcPr>
            <w:tcW w:w="373" w:type="pct"/>
            <w:tcBorders>
              <w:top w:val="nil"/>
              <w:left w:val="nil"/>
              <w:bottom w:val="nil"/>
              <w:right w:val="nil"/>
            </w:tcBorders>
          </w:tcPr>
          <w:p w14:paraId="75CBB37E"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3" w:type="pct"/>
            <w:tcBorders>
              <w:top w:val="nil"/>
              <w:left w:val="nil"/>
              <w:bottom w:val="nil"/>
              <w:right w:val="nil"/>
            </w:tcBorders>
          </w:tcPr>
          <w:p w14:paraId="22B1E588"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(0.0273)</w:t>
            </w:r>
          </w:p>
        </w:tc>
        <w:tc>
          <w:tcPr>
            <w:tcW w:w="373" w:type="pct"/>
            <w:tcBorders>
              <w:top w:val="nil"/>
              <w:left w:val="nil"/>
              <w:bottom w:val="nil"/>
              <w:right w:val="nil"/>
            </w:tcBorders>
          </w:tcPr>
          <w:p w14:paraId="25B9EFFC" w14:textId="53EA9C6F"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(0.0285)</w:t>
            </w:r>
          </w:p>
        </w:tc>
        <w:tc>
          <w:tcPr>
            <w:tcW w:w="370" w:type="pct"/>
            <w:tcBorders>
              <w:top w:val="nil"/>
              <w:left w:val="nil"/>
              <w:bottom w:val="nil"/>
              <w:right w:val="nil"/>
            </w:tcBorders>
          </w:tcPr>
          <w:p w14:paraId="1DBF5685" w14:textId="346870BE"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(0.0296)</w:t>
            </w:r>
          </w:p>
        </w:tc>
      </w:tr>
      <w:tr w:rsidR="00FD0D50" w:rsidRPr="00411250" w14:paraId="628F7E54" w14:textId="77777777" w:rsidTr="00D30EA4">
        <w:trPr>
          <w:trHeight w:val="288"/>
          <w:jc w:val="center"/>
        </w:trPr>
        <w:tc>
          <w:tcPr>
            <w:tcW w:w="501" w:type="pct"/>
            <w:tcBorders>
              <w:top w:val="nil"/>
              <w:left w:val="nil"/>
              <w:bottom w:val="nil"/>
              <w:right w:val="nil"/>
            </w:tcBorders>
          </w:tcPr>
          <w:p w14:paraId="1648190D" w14:textId="77777777" w:rsidR="00FD0D50" w:rsidRPr="00026A59" w:rsidRDefault="00FD0D50" w:rsidP="00FD0D50">
            <w:pPr>
              <w:widowControl w:val="0"/>
              <w:autoSpaceDE w:val="0"/>
              <w:autoSpaceDN w:val="0"/>
              <w:adjustRightInd w:val="0"/>
              <w:spacing w:after="0" w:line="240" w:lineRule="auto"/>
              <w:rPr>
                <w:rFonts w:ascii="Times New Roman" w:hAnsi="Times New Roman" w:cs="Times New Roman"/>
                <w:sz w:val="18"/>
                <w:szCs w:val="18"/>
              </w:rPr>
            </w:pPr>
            <w:r w:rsidRPr="00026A59">
              <w:rPr>
                <w:rFonts w:ascii="Times New Roman" w:hAnsi="Times New Roman" w:cs="Times New Roman"/>
                <w:sz w:val="18"/>
                <w:szCs w:val="18"/>
              </w:rPr>
              <w:t>ESG_Comp</w:t>
            </w:r>
          </w:p>
        </w:tc>
        <w:tc>
          <w:tcPr>
            <w:tcW w:w="381" w:type="pct"/>
            <w:tcBorders>
              <w:top w:val="nil"/>
              <w:left w:val="nil"/>
              <w:bottom w:val="nil"/>
              <w:right w:val="nil"/>
            </w:tcBorders>
          </w:tcPr>
          <w:p w14:paraId="66F5B607"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0.260***</w:t>
            </w:r>
          </w:p>
        </w:tc>
        <w:tc>
          <w:tcPr>
            <w:tcW w:w="381" w:type="pct"/>
            <w:tcBorders>
              <w:top w:val="nil"/>
              <w:left w:val="nil"/>
              <w:bottom w:val="nil"/>
              <w:right w:val="nil"/>
            </w:tcBorders>
          </w:tcPr>
          <w:p w14:paraId="7B550E1F"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0.199*</w:t>
            </w:r>
          </w:p>
        </w:tc>
        <w:tc>
          <w:tcPr>
            <w:tcW w:w="381" w:type="pct"/>
            <w:tcBorders>
              <w:top w:val="nil"/>
              <w:left w:val="nil"/>
              <w:bottom w:val="nil"/>
              <w:right w:val="nil"/>
            </w:tcBorders>
          </w:tcPr>
          <w:p w14:paraId="090BA477"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0.197*</w:t>
            </w:r>
          </w:p>
        </w:tc>
        <w:tc>
          <w:tcPr>
            <w:tcW w:w="373" w:type="pct"/>
            <w:tcBorders>
              <w:top w:val="nil"/>
              <w:left w:val="nil"/>
              <w:bottom w:val="nil"/>
              <w:right w:val="nil"/>
            </w:tcBorders>
          </w:tcPr>
          <w:p w14:paraId="1EB11D9C"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0.197*</w:t>
            </w:r>
          </w:p>
        </w:tc>
        <w:tc>
          <w:tcPr>
            <w:tcW w:w="373" w:type="pct"/>
            <w:tcBorders>
              <w:top w:val="nil"/>
              <w:left w:val="nil"/>
              <w:bottom w:val="nil"/>
              <w:right w:val="nil"/>
            </w:tcBorders>
          </w:tcPr>
          <w:p w14:paraId="5D794310" w14:textId="5F1CF8E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0.222*</w:t>
            </w:r>
          </w:p>
        </w:tc>
        <w:tc>
          <w:tcPr>
            <w:tcW w:w="375" w:type="pct"/>
            <w:tcBorders>
              <w:top w:val="nil"/>
              <w:left w:val="nil"/>
              <w:bottom w:val="nil"/>
              <w:right w:val="single" w:sz="4" w:space="0" w:color="auto"/>
            </w:tcBorders>
          </w:tcPr>
          <w:p w14:paraId="0BC99BE1" w14:textId="6FF32256"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0.201*</w:t>
            </w:r>
          </w:p>
        </w:tc>
        <w:tc>
          <w:tcPr>
            <w:tcW w:w="373" w:type="pct"/>
            <w:tcBorders>
              <w:top w:val="nil"/>
              <w:left w:val="single" w:sz="4" w:space="0" w:color="auto"/>
              <w:bottom w:val="nil"/>
              <w:right w:val="nil"/>
            </w:tcBorders>
          </w:tcPr>
          <w:p w14:paraId="506DAEAD"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-0.0339</w:t>
            </w:r>
          </w:p>
        </w:tc>
        <w:tc>
          <w:tcPr>
            <w:tcW w:w="373" w:type="pct"/>
            <w:tcBorders>
              <w:top w:val="nil"/>
              <w:left w:val="nil"/>
              <w:bottom w:val="nil"/>
              <w:right w:val="nil"/>
            </w:tcBorders>
          </w:tcPr>
          <w:p w14:paraId="1AD2F592"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-0.0678</w:t>
            </w:r>
          </w:p>
        </w:tc>
        <w:tc>
          <w:tcPr>
            <w:tcW w:w="373" w:type="pct"/>
            <w:tcBorders>
              <w:top w:val="nil"/>
              <w:left w:val="nil"/>
              <w:bottom w:val="nil"/>
              <w:right w:val="nil"/>
            </w:tcBorders>
          </w:tcPr>
          <w:p w14:paraId="2A23A9E6"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-0.0738</w:t>
            </w:r>
          </w:p>
        </w:tc>
        <w:tc>
          <w:tcPr>
            <w:tcW w:w="373" w:type="pct"/>
            <w:tcBorders>
              <w:top w:val="nil"/>
              <w:left w:val="nil"/>
              <w:bottom w:val="nil"/>
              <w:right w:val="nil"/>
            </w:tcBorders>
          </w:tcPr>
          <w:p w14:paraId="35399773"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-0.0569</w:t>
            </w:r>
          </w:p>
        </w:tc>
        <w:tc>
          <w:tcPr>
            <w:tcW w:w="373" w:type="pct"/>
            <w:tcBorders>
              <w:top w:val="nil"/>
              <w:left w:val="nil"/>
              <w:bottom w:val="nil"/>
              <w:right w:val="nil"/>
            </w:tcBorders>
          </w:tcPr>
          <w:p w14:paraId="2F90B8F3" w14:textId="6A803C04"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-0.0966</w:t>
            </w:r>
          </w:p>
        </w:tc>
        <w:tc>
          <w:tcPr>
            <w:tcW w:w="370" w:type="pct"/>
            <w:tcBorders>
              <w:top w:val="nil"/>
              <w:left w:val="nil"/>
              <w:bottom w:val="nil"/>
              <w:right w:val="nil"/>
            </w:tcBorders>
          </w:tcPr>
          <w:p w14:paraId="7D73E7C5" w14:textId="69384A8C"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-0.0573</w:t>
            </w:r>
          </w:p>
        </w:tc>
      </w:tr>
      <w:tr w:rsidR="00FD0D50" w:rsidRPr="00411250" w14:paraId="016D2E45" w14:textId="77777777" w:rsidTr="00D30EA4">
        <w:trPr>
          <w:trHeight w:val="288"/>
          <w:jc w:val="center"/>
        </w:trPr>
        <w:tc>
          <w:tcPr>
            <w:tcW w:w="501" w:type="pct"/>
            <w:tcBorders>
              <w:top w:val="nil"/>
              <w:left w:val="nil"/>
              <w:bottom w:val="nil"/>
              <w:right w:val="nil"/>
            </w:tcBorders>
          </w:tcPr>
          <w:p w14:paraId="35EE4FD5" w14:textId="77777777" w:rsidR="00FD0D50" w:rsidRPr="00026A59" w:rsidRDefault="00FD0D50" w:rsidP="00FD0D50">
            <w:pPr>
              <w:widowControl w:val="0"/>
              <w:autoSpaceDE w:val="0"/>
              <w:autoSpaceDN w:val="0"/>
              <w:adjustRightInd w:val="0"/>
              <w:spacing w:after="0" w:line="240" w:lineRule="auto"/>
              <w:rPr>
                <w:rFonts w:ascii="Times New Roman" w:hAnsi="Times New Roman" w:cs="Times New Roman"/>
                <w:sz w:val="18"/>
                <w:szCs w:val="18"/>
              </w:rPr>
            </w:pPr>
          </w:p>
        </w:tc>
        <w:tc>
          <w:tcPr>
            <w:tcW w:w="381" w:type="pct"/>
            <w:tcBorders>
              <w:top w:val="nil"/>
              <w:left w:val="nil"/>
              <w:bottom w:val="nil"/>
              <w:right w:val="nil"/>
            </w:tcBorders>
          </w:tcPr>
          <w:p w14:paraId="127966C3"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(0.0866)</w:t>
            </w:r>
          </w:p>
        </w:tc>
        <w:tc>
          <w:tcPr>
            <w:tcW w:w="381" w:type="pct"/>
            <w:tcBorders>
              <w:top w:val="nil"/>
              <w:left w:val="nil"/>
              <w:bottom w:val="nil"/>
              <w:right w:val="nil"/>
            </w:tcBorders>
          </w:tcPr>
          <w:p w14:paraId="56680C26"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(0.109)</w:t>
            </w:r>
          </w:p>
        </w:tc>
        <w:tc>
          <w:tcPr>
            <w:tcW w:w="381" w:type="pct"/>
            <w:tcBorders>
              <w:top w:val="nil"/>
              <w:left w:val="nil"/>
              <w:bottom w:val="nil"/>
              <w:right w:val="nil"/>
            </w:tcBorders>
          </w:tcPr>
          <w:p w14:paraId="70A6E851"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(0.117)</w:t>
            </w:r>
          </w:p>
        </w:tc>
        <w:tc>
          <w:tcPr>
            <w:tcW w:w="373" w:type="pct"/>
            <w:tcBorders>
              <w:top w:val="nil"/>
              <w:left w:val="nil"/>
              <w:bottom w:val="nil"/>
              <w:right w:val="nil"/>
            </w:tcBorders>
          </w:tcPr>
          <w:p w14:paraId="4E2B5573"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(0.111)</w:t>
            </w:r>
          </w:p>
        </w:tc>
        <w:tc>
          <w:tcPr>
            <w:tcW w:w="373" w:type="pct"/>
            <w:tcBorders>
              <w:top w:val="nil"/>
              <w:left w:val="nil"/>
              <w:bottom w:val="nil"/>
              <w:right w:val="nil"/>
            </w:tcBorders>
          </w:tcPr>
          <w:p w14:paraId="1D17BAED" w14:textId="75859BBE"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(0.114)</w:t>
            </w:r>
          </w:p>
        </w:tc>
        <w:tc>
          <w:tcPr>
            <w:tcW w:w="375" w:type="pct"/>
            <w:tcBorders>
              <w:top w:val="nil"/>
              <w:left w:val="nil"/>
              <w:bottom w:val="nil"/>
              <w:right w:val="single" w:sz="4" w:space="0" w:color="auto"/>
            </w:tcBorders>
          </w:tcPr>
          <w:p w14:paraId="6F79F783" w14:textId="100EA68A"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(0.111)</w:t>
            </w:r>
          </w:p>
        </w:tc>
        <w:tc>
          <w:tcPr>
            <w:tcW w:w="373" w:type="pct"/>
            <w:tcBorders>
              <w:top w:val="nil"/>
              <w:left w:val="single" w:sz="4" w:space="0" w:color="auto"/>
              <w:bottom w:val="nil"/>
              <w:right w:val="nil"/>
            </w:tcBorders>
          </w:tcPr>
          <w:p w14:paraId="35195B85"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(0.0759)</w:t>
            </w:r>
          </w:p>
        </w:tc>
        <w:tc>
          <w:tcPr>
            <w:tcW w:w="373" w:type="pct"/>
            <w:tcBorders>
              <w:top w:val="nil"/>
              <w:left w:val="nil"/>
              <w:bottom w:val="nil"/>
              <w:right w:val="nil"/>
            </w:tcBorders>
          </w:tcPr>
          <w:p w14:paraId="28D8CBC5"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(0.0785)</w:t>
            </w:r>
          </w:p>
        </w:tc>
        <w:tc>
          <w:tcPr>
            <w:tcW w:w="373" w:type="pct"/>
            <w:tcBorders>
              <w:top w:val="nil"/>
              <w:left w:val="nil"/>
              <w:bottom w:val="nil"/>
              <w:right w:val="nil"/>
            </w:tcBorders>
          </w:tcPr>
          <w:p w14:paraId="200DFEDD"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(0.0785)</w:t>
            </w:r>
          </w:p>
        </w:tc>
        <w:tc>
          <w:tcPr>
            <w:tcW w:w="373" w:type="pct"/>
            <w:tcBorders>
              <w:top w:val="nil"/>
              <w:left w:val="nil"/>
              <w:bottom w:val="nil"/>
              <w:right w:val="nil"/>
            </w:tcBorders>
          </w:tcPr>
          <w:p w14:paraId="53F723E6"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(0.0737)</w:t>
            </w:r>
          </w:p>
        </w:tc>
        <w:tc>
          <w:tcPr>
            <w:tcW w:w="373" w:type="pct"/>
            <w:tcBorders>
              <w:top w:val="nil"/>
              <w:left w:val="nil"/>
              <w:bottom w:val="nil"/>
              <w:right w:val="nil"/>
            </w:tcBorders>
          </w:tcPr>
          <w:p w14:paraId="40238F23" w14:textId="548B62A8"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(0.0589)</w:t>
            </w:r>
          </w:p>
        </w:tc>
        <w:tc>
          <w:tcPr>
            <w:tcW w:w="370" w:type="pct"/>
            <w:tcBorders>
              <w:top w:val="nil"/>
              <w:left w:val="nil"/>
              <w:bottom w:val="nil"/>
              <w:right w:val="nil"/>
            </w:tcBorders>
          </w:tcPr>
          <w:p w14:paraId="4B29108F" w14:textId="5E13FED1"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(0.0740)</w:t>
            </w:r>
          </w:p>
        </w:tc>
      </w:tr>
      <w:tr w:rsidR="005C69B8" w:rsidRPr="00411250" w14:paraId="7CB9DFA3" w14:textId="77777777" w:rsidTr="005C69B8">
        <w:trPr>
          <w:trHeight w:val="288"/>
          <w:jc w:val="center"/>
        </w:trPr>
        <w:tc>
          <w:tcPr>
            <w:tcW w:w="2765" w:type="pct"/>
            <w:gridSpan w:val="7"/>
            <w:tcBorders>
              <w:top w:val="nil"/>
              <w:left w:val="nil"/>
              <w:bottom w:val="nil"/>
              <w:right w:val="single" w:sz="4" w:space="0" w:color="auto"/>
            </w:tcBorders>
          </w:tcPr>
          <w:p w14:paraId="348E61D4" w14:textId="0979FBD1" w:rsidR="005C69B8" w:rsidRPr="003B6444" w:rsidRDefault="005C69B8" w:rsidP="003B6444">
            <w:pPr>
              <w:widowControl w:val="0"/>
              <w:autoSpaceDE w:val="0"/>
              <w:autoSpaceDN w:val="0"/>
              <w:adjustRightInd w:val="0"/>
              <w:spacing w:after="0" w:line="240" w:lineRule="auto"/>
              <w:rPr>
                <w:rFonts w:ascii="Times New Roman" w:hAnsi="Times New Roman" w:cs="Times New Roman"/>
                <w:i/>
                <w:sz w:val="18"/>
                <w:szCs w:val="18"/>
                <w:u w:val="single"/>
              </w:rPr>
            </w:pPr>
            <w:r>
              <w:rPr>
                <w:rFonts w:ascii="Times New Roman" w:hAnsi="Times New Roman" w:cs="Times New Roman"/>
                <w:i/>
                <w:sz w:val="18"/>
                <w:szCs w:val="18"/>
                <w:u w:val="single"/>
              </w:rPr>
              <w:t>Control variables</w:t>
            </w:r>
          </w:p>
        </w:tc>
        <w:tc>
          <w:tcPr>
            <w:tcW w:w="373" w:type="pct"/>
            <w:tcBorders>
              <w:top w:val="nil"/>
              <w:left w:val="single" w:sz="4" w:space="0" w:color="auto"/>
              <w:bottom w:val="nil"/>
              <w:right w:val="nil"/>
            </w:tcBorders>
          </w:tcPr>
          <w:p w14:paraId="554BD39D" w14:textId="77777777" w:rsidR="005C69B8" w:rsidRPr="00026A59" w:rsidRDefault="005C69B8" w:rsidP="00FD0D50">
            <w:pPr>
              <w:widowControl w:val="0"/>
              <w:autoSpaceDE w:val="0"/>
              <w:autoSpaceDN w:val="0"/>
              <w:adjustRightInd w:val="0"/>
              <w:spacing w:after="0" w:line="240" w:lineRule="auto"/>
              <w:jc w:val="center"/>
              <w:rPr>
                <w:rFonts w:ascii="Times New Roman" w:hAnsi="Times New Roman" w:cs="Times New Roman"/>
                <w:sz w:val="18"/>
                <w:szCs w:val="18"/>
              </w:rPr>
            </w:pPr>
          </w:p>
        </w:tc>
        <w:tc>
          <w:tcPr>
            <w:tcW w:w="373" w:type="pct"/>
            <w:tcBorders>
              <w:top w:val="nil"/>
              <w:left w:val="nil"/>
              <w:bottom w:val="nil"/>
              <w:right w:val="nil"/>
            </w:tcBorders>
          </w:tcPr>
          <w:p w14:paraId="59020074" w14:textId="77777777" w:rsidR="005C69B8" w:rsidRPr="00026A59" w:rsidRDefault="005C69B8" w:rsidP="00FD0D50">
            <w:pPr>
              <w:widowControl w:val="0"/>
              <w:autoSpaceDE w:val="0"/>
              <w:autoSpaceDN w:val="0"/>
              <w:adjustRightInd w:val="0"/>
              <w:spacing w:after="0" w:line="240" w:lineRule="auto"/>
              <w:jc w:val="center"/>
              <w:rPr>
                <w:rFonts w:ascii="Times New Roman" w:hAnsi="Times New Roman" w:cs="Times New Roman"/>
                <w:sz w:val="18"/>
                <w:szCs w:val="18"/>
              </w:rPr>
            </w:pPr>
          </w:p>
        </w:tc>
        <w:tc>
          <w:tcPr>
            <w:tcW w:w="373" w:type="pct"/>
            <w:tcBorders>
              <w:top w:val="nil"/>
              <w:left w:val="nil"/>
              <w:bottom w:val="nil"/>
              <w:right w:val="nil"/>
            </w:tcBorders>
          </w:tcPr>
          <w:p w14:paraId="3CD85ADA" w14:textId="77777777" w:rsidR="005C69B8" w:rsidRPr="00026A59" w:rsidRDefault="005C69B8" w:rsidP="00FD0D50">
            <w:pPr>
              <w:widowControl w:val="0"/>
              <w:autoSpaceDE w:val="0"/>
              <w:autoSpaceDN w:val="0"/>
              <w:adjustRightInd w:val="0"/>
              <w:spacing w:after="0" w:line="240" w:lineRule="auto"/>
              <w:jc w:val="center"/>
              <w:rPr>
                <w:rFonts w:ascii="Times New Roman" w:hAnsi="Times New Roman" w:cs="Times New Roman"/>
                <w:sz w:val="18"/>
                <w:szCs w:val="18"/>
              </w:rPr>
            </w:pPr>
          </w:p>
        </w:tc>
        <w:tc>
          <w:tcPr>
            <w:tcW w:w="373" w:type="pct"/>
            <w:tcBorders>
              <w:top w:val="nil"/>
              <w:left w:val="nil"/>
              <w:bottom w:val="nil"/>
              <w:right w:val="nil"/>
            </w:tcBorders>
          </w:tcPr>
          <w:p w14:paraId="53222893" w14:textId="77777777" w:rsidR="005C69B8" w:rsidRPr="00026A59" w:rsidRDefault="005C69B8" w:rsidP="00FD0D50">
            <w:pPr>
              <w:widowControl w:val="0"/>
              <w:autoSpaceDE w:val="0"/>
              <w:autoSpaceDN w:val="0"/>
              <w:adjustRightInd w:val="0"/>
              <w:spacing w:after="0" w:line="240" w:lineRule="auto"/>
              <w:jc w:val="center"/>
              <w:rPr>
                <w:rFonts w:ascii="Times New Roman" w:hAnsi="Times New Roman" w:cs="Times New Roman"/>
                <w:sz w:val="18"/>
                <w:szCs w:val="18"/>
              </w:rPr>
            </w:pPr>
          </w:p>
        </w:tc>
        <w:tc>
          <w:tcPr>
            <w:tcW w:w="373" w:type="pct"/>
            <w:tcBorders>
              <w:top w:val="nil"/>
              <w:left w:val="nil"/>
              <w:bottom w:val="nil"/>
              <w:right w:val="nil"/>
            </w:tcBorders>
          </w:tcPr>
          <w:p w14:paraId="607B5EE6" w14:textId="77777777" w:rsidR="005C69B8" w:rsidRPr="0047334B" w:rsidRDefault="005C69B8" w:rsidP="00FD0D50">
            <w:pPr>
              <w:widowControl w:val="0"/>
              <w:autoSpaceDE w:val="0"/>
              <w:autoSpaceDN w:val="0"/>
              <w:adjustRightInd w:val="0"/>
              <w:spacing w:after="0" w:line="240" w:lineRule="auto"/>
              <w:jc w:val="center"/>
              <w:rPr>
                <w:rFonts w:ascii="Times New Roman" w:hAnsi="Times New Roman" w:cs="Times New Roman"/>
                <w:sz w:val="18"/>
                <w:szCs w:val="18"/>
              </w:rPr>
            </w:pPr>
          </w:p>
        </w:tc>
        <w:tc>
          <w:tcPr>
            <w:tcW w:w="370" w:type="pct"/>
            <w:tcBorders>
              <w:top w:val="nil"/>
              <w:left w:val="nil"/>
              <w:bottom w:val="nil"/>
              <w:right w:val="nil"/>
            </w:tcBorders>
          </w:tcPr>
          <w:p w14:paraId="77F4930A" w14:textId="77777777" w:rsidR="005C69B8" w:rsidRPr="00026A59" w:rsidRDefault="005C69B8" w:rsidP="00FD0D50">
            <w:pPr>
              <w:widowControl w:val="0"/>
              <w:autoSpaceDE w:val="0"/>
              <w:autoSpaceDN w:val="0"/>
              <w:adjustRightInd w:val="0"/>
              <w:spacing w:after="0" w:line="240" w:lineRule="auto"/>
              <w:jc w:val="center"/>
              <w:rPr>
                <w:rFonts w:ascii="Times New Roman" w:hAnsi="Times New Roman" w:cs="Times New Roman"/>
                <w:sz w:val="18"/>
                <w:szCs w:val="18"/>
              </w:rPr>
            </w:pPr>
          </w:p>
        </w:tc>
      </w:tr>
      <w:tr w:rsidR="00FD0D50" w:rsidRPr="00411250" w14:paraId="01893F86" w14:textId="77777777" w:rsidTr="00D30EA4">
        <w:trPr>
          <w:trHeight w:val="288"/>
          <w:jc w:val="center"/>
        </w:trPr>
        <w:tc>
          <w:tcPr>
            <w:tcW w:w="501" w:type="pct"/>
            <w:tcBorders>
              <w:top w:val="nil"/>
              <w:left w:val="nil"/>
              <w:bottom w:val="nil"/>
              <w:right w:val="nil"/>
            </w:tcBorders>
          </w:tcPr>
          <w:p w14:paraId="5494CB42" w14:textId="77777777" w:rsidR="00FD0D50" w:rsidRPr="00026A59" w:rsidRDefault="00FD0D50" w:rsidP="00FD0D50">
            <w:pPr>
              <w:widowControl w:val="0"/>
              <w:autoSpaceDE w:val="0"/>
              <w:autoSpaceDN w:val="0"/>
              <w:adjustRightInd w:val="0"/>
              <w:spacing w:after="0" w:line="240" w:lineRule="auto"/>
              <w:rPr>
                <w:rFonts w:ascii="Times New Roman" w:hAnsi="Times New Roman" w:cs="Times New Roman"/>
                <w:sz w:val="18"/>
                <w:szCs w:val="18"/>
              </w:rPr>
            </w:pPr>
            <w:r w:rsidRPr="00026A59">
              <w:rPr>
                <w:rFonts w:ascii="Times New Roman" w:hAnsi="Times New Roman" w:cs="Times New Roman"/>
                <w:sz w:val="18"/>
                <w:szCs w:val="18"/>
              </w:rPr>
              <w:t>Size</w:t>
            </w:r>
          </w:p>
        </w:tc>
        <w:tc>
          <w:tcPr>
            <w:tcW w:w="381" w:type="pct"/>
            <w:tcBorders>
              <w:top w:val="nil"/>
              <w:left w:val="nil"/>
              <w:bottom w:val="nil"/>
              <w:right w:val="nil"/>
            </w:tcBorders>
          </w:tcPr>
          <w:p w14:paraId="6B4673AC"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0.202*</w:t>
            </w:r>
          </w:p>
        </w:tc>
        <w:tc>
          <w:tcPr>
            <w:tcW w:w="381" w:type="pct"/>
            <w:tcBorders>
              <w:top w:val="nil"/>
              <w:left w:val="nil"/>
              <w:bottom w:val="nil"/>
              <w:right w:val="nil"/>
            </w:tcBorders>
          </w:tcPr>
          <w:p w14:paraId="08D08AD8"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0.0505</w:t>
            </w:r>
          </w:p>
        </w:tc>
        <w:tc>
          <w:tcPr>
            <w:tcW w:w="381" w:type="pct"/>
            <w:tcBorders>
              <w:top w:val="nil"/>
              <w:left w:val="nil"/>
              <w:bottom w:val="nil"/>
              <w:right w:val="nil"/>
            </w:tcBorders>
          </w:tcPr>
          <w:p w14:paraId="436B2F99"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0.0790</w:t>
            </w:r>
          </w:p>
        </w:tc>
        <w:tc>
          <w:tcPr>
            <w:tcW w:w="373" w:type="pct"/>
            <w:tcBorders>
              <w:top w:val="nil"/>
              <w:left w:val="nil"/>
              <w:bottom w:val="nil"/>
              <w:right w:val="nil"/>
            </w:tcBorders>
          </w:tcPr>
          <w:p w14:paraId="020DE417"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0.0819</w:t>
            </w:r>
          </w:p>
        </w:tc>
        <w:tc>
          <w:tcPr>
            <w:tcW w:w="373" w:type="pct"/>
            <w:tcBorders>
              <w:top w:val="nil"/>
              <w:left w:val="nil"/>
              <w:bottom w:val="nil"/>
              <w:right w:val="nil"/>
            </w:tcBorders>
          </w:tcPr>
          <w:p w14:paraId="47000FD9" w14:textId="255332D5"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0.0511</w:t>
            </w:r>
          </w:p>
        </w:tc>
        <w:tc>
          <w:tcPr>
            <w:tcW w:w="375" w:type="pct"/>
            <w:tcBorders>
              <w:top w:val="nil"/>
              <w:left w:val="nil"/>
              <w:bottom w:val="nil"/>
              <w:right w:val="single" w:sz="4" w:space="0" w:color="auto"/>
            </w:tcBorders>
          </w:tcPr>
          <w:p w14:paraId="69F40239" w14:textId="326AD1D1"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0.146</w:t>
            </w:r>
          </w:p>
        </w:tc>
        <w:tc>
          <w:tcPr>
            <w:tcW w:w="373" w:type="pct"/>
            <w:tcBorders>
              <w:top w:val="nil"/>
              <w:left w:val="single" w:sz="4" w:space="0" w:color="auto"/>
              <w:bottom w:val="nil"/>
              <w:right w:val="nil"/>
            </w:tcBorders>
          </w:tcPr>
          <w:p w14:paraId="51062391"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0.0159</w:t>
            </w:r>
          </w:p>
        </w:tc>
        <w:tc>
          <w:tcPr>
            <w:tcW w:w="373" w:type="pct"/>
            <w:tcBorders>
              <w:top w:val="nil"/>
              <w:left w:val="nil"/>
              <w:bottom w:val="nil"/>
              <w:right w:val="nil"/>
            </w:tcBorders>
          </w:tcPr>
          <w:p w14:paraId="738F60DE"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0.0452</w:t>
            </w:r>
          </w:p>
        </w:tc>
        <w:tc>
          <w:tcPr>
            <w:tcW w:w="373" w:type="pct"/>
            <w:tcBorders>
              <w:top w:val="nil"/>
              <w:left w:val="nil"/>
              <w:bottom w:val="nil"/>
              <w:right w:val="nil"/>
            </w:tcBorders>
          </w:tcPr>
          <w:p w14:paraId="5E8413C4"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0.0470</w:t>
            </w:r>
          </w:p>
        </w:tc>
        <w:tc>
          <w:tcPr>
            <w:tcW w:w="373" w:type="pct"/>
            <w:tcBorders>
              <w:top w:val="nil"/>
              <w:left w:val="nil"/>
              <w:bottom w:val="nil"/>
              <w:right w:val="nil"/>
            </w:tcBorders>
          </w:tcPr>
          <w:p w14:paraId="0BF72E6F"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0.0647</w:t>
            </w:r>
          </w:p>
        </w:tc>
        <w:tc>
          <w:tcPr>
            <w:tcW w:w="373" w:type="pct"/>
            <w:tcBorders>
              <w:top w:val="nil"/>
              <w:left w:val="nil"/>
              <w:bottom w:val="nil"/>
              <w:right w:val="nil"/>
            </w:tcBorders>
          </w:tcPr>
          <w:p w14:paraId="6DB4B8E7" w14:textId="55E2461C"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0.0988</w:t>
            </w:r>
          </w:p>
        </w:tc>
        <w:tc>
          <w:tcPr>
            <w:tcW w:w="370" w:type="pct"/>
            <w:tcBorders>
              <w:top w:val="nil"/>
              <w:left w:val="nil"/>
              <w:bottom w:val="nil"/>
              <w:right w:val="nil"/>
            </w:tcBorders>
          </w:tcPr>
          <w:p w14:paraId="24BCFED7" w14:textId="2F370B2E"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0.0501</w:t>
            </w:r>
          </w:p>
        </w:tc>
      </w:tr>
      <w:tr w:rsidR="00FD0D50" w:rsidRPr="00411250" w14:paraId="11645FBB" w14:textId="77777777" w:rsidTr="00D30EA4">
        <w:trPr>
          <w:trHeight w:val="288"/>
          <w:jc w:val="center"/>
        </w:trPr>
        <w:tc>
          <w:tcPr>
            <w:tcW w:w="501" w:type="pct"/>
            <w:tcBorders>
              <w:top w:val="nil"/>
              <w:left w:val="nil"/>
              <w:bottom w:val="nil"/>
              <w:right w:val="nil"/>
            </w:tcBorders>
          </w:tcPr>
          <w:p w14:paraId="09569AC0" w14:textId="77777777" w:rsidR="00FD0D50" w:rsidRPr="00026A59" w:rsidRDefault="00FD0D50" w:rsidP="00FD0D50">
            <w:pPr>
              <w:widowControl w:val="0"/>
              <w:autoSpaceDE w:val="0"/>
              <w:autoSpaceDN w:val="0"/>
              <w:adjustRightInd w:val="0"/>
              <w:spacing w:after="0" w:line="240" w:lineRule="auto"/>
              <w:rPr>
                <w:rFonts w:ascii="Times New Roman" w:hAnsi="Times New Roman" w:cs="Times New Roman"/>
                <w:sz w:val="18"/>
                <w:szCs w:val="18"/>
              </w:rPr>
            </w:pPr>
          </w:p>
        </w:tc>
        <w:tc>
          <w:tcPr>
            <w:tcW w:w="381" w:type="pct"/>
            <w:tcBorders>
              <w:top w:val="nil"/>
              <w:left w:val="nil"/>
              <w:bottom w:val="nil"/>
              <w:right w:val="nil"/>
            </w:tcBorders>
          </w:tcPr>
          <w:p w14:paraId="5A7B6B86"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(0.113)</w:t>
            </w:r>
          </w:p>
        </w:tc>
        <w:tc>
          <w:tcPr>
            <w:tcW w:w="381" w:type="pct"/>
            <w:tcBorders>
              <w:top w:val="nil"/>
              <w:left w:val="nil"/>
              <w:bottom w:val="nil"/>
              <w:right w:val="nil"/>
            </w:tcBorders>
          </w:tcPr>
          <w:p w14:paraId="4BD8ECBA"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(0.239)</w:t>
            </w:r>
          </w:p>
        </w:tc>
        <w:tc>
          <w:tcPr>
            <w:tcW w:w="381" w:type="pct"/>
            <w:tcBorders>
              <w:top w:val="nil"/>
              <w:left w:val="nil"/>
              <w:bottom w:val="nil"/>
              <w:right w:val="nil"/>
            </w:tcBorders>
          </w:tcPr>
          <w:p w14:paraId="5BFE7316"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(0.283)</w:t>
            </w:r>
          </w:p>
        </w:tc>
        <w:tc>
          <w:tcPr>
            <w:tcW w:w="373" w:type="pct"/>
            <w:tcBorders>
              <w:top w:val="nil"/>
              <w:left w:val="nil"/>
              <w:bottom w:val="nil"/>
              <w:right w:val="nil"/>
            </w:tcBorders>
          </w:tcPr>
          <w:p w14:paraId="4B91F2D3"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(0.236)</w:t>
            </w:r>
          </w:p>
        </w:tc>
        <w:tc>
          <w:tcPr>
            <w:tcW w:w="373" w:type="pct"/>
            <w:tcBorders>
              <w:top w:val="nil"/>
              <w:left w:val="nil"/>
              <w:bottom w:val="nil"/>
              <w:right w:val="nil"/>
            </w:tcBorders>
          </w:tcPr>
          <w:p w14:paraId="32B179C7" w14:textId="03D1E88E"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(0.234)</w:t>
            </w:r>
          </w:p>
        </w:tc>
        <w:tc>
          <w:tcPr>
            <w:tcW w:w="375" w:type="pct"/>
            <w:tcBorders>
              <w:top w:val="nil"/>
              <w:left w:val="nil"/>
              <w:bottom w:val="nil"/>
              <w:right w:val="single" w:sz="4" w:space="0" w:color="auto"/>
            </w:tcBorders>
          </w:tcPr>
          <w:p w14:paraId="391D6EB5" w14:textId="686CD843"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(0.231)</w:t>
            </w:r>
          </w:p>
        </w:tc>
        <w:tc>
          <w:tcPr>
            <w:tcW w:w="373" w:type="pct"/>
            <w:tcBorders>
              <w:top w:val="nil"/>
              <w:left w:val="single" w:sz="4" w:space="0" w:color="auto"/>
              <w:bottom w:val="nil"/>
              <w:right w:val="nil"/>
            </w:tcBorders>
          </w:tcPr>
          <w:p w14:paraId="392CD85E"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(0.0807)</w:t>
            </w:r>
          </w:p>
        </w:tc>
        <w:tc>
          <w:tcPr>
            <w:tcW w:w="373" w:type="pct"/>
            <w:tcBorders>
              <w:top w:val="nil"/>
              <w:left w:val="nil"/>
              <w:bottom w:val="nil"/>
              <w:right w:val="nil"/>
            </w:tcBorders>
          </w:tcPr>
          <w:p w14:paraId="087553FC"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(0.0866)</w:t>
            </w:r>
          </w:p>
        </w:tc>
        <w:tc>
          <w:tcPr>
            <w:tcW w:w="373" w:type="pct"/>
            <w:tcBorders>
              <w:top w:val="nil"/>
              <w:left w:val="nil"/>
              <w:bottom w:val="nil"/>
              <w:right w:val="nil"/>
            </w:tcBorders>
          </w:tcPr>
          <w:p w14:paraId="1823A91D"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(0.0858)</w:t>
            </w:r>
          </w:p>
        </w:tc>
        <w:tc>
          <w:tcPr>
            <w:tcW w:w="373" w:type="pct"/>
            <w:tcBorders>
              <w:top w:val="nil"/>
              <w:left w:val="nil"/>
              <w:bottom w:val="nil"/>
              <w:right w:val="nil"/>
            </w:tcBorders>
          </w:tcPr>
          <w:p w14:paraId="2B1B8AB7"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(0.0974)</w:t>
            </w:r>
          </w:p>
        </w:tc>
        <w:tc>
          <w:tcPr>
            <w:tcW w:w="373" w:type="pct"/>
            <w:tcBorders>
              <w:top w:val="nil"/>
              <w:left w:val="nil"/>
              <w:bottom w:val="nil"/>
              <w:right w:val="nil"/>
            </w:tcBorders>
          </w:tcPr>
          <w:p w14:paraId="60D3D45C" w14:textId="64A88792"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(0.112)</w:t>
            </w:r>
          </w:p>
        </w:tc>
        <w:tc>
          <w:tcPr>
            <w:tcW w:w="370" w:type="pct"/>
            <w:tcBorders>
              <w:top w:val="nil"/>
              <w:left w:val="nil"/>
              <w:bottom w:val="nil"/>
              <w:right w:val="nil"/>
            </w:tcBorders>
          </w:tcPr>
          <w:p w14:paraId="5AA54567" w14:textId="492663EA"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(0.0925)</w:t>
            </w:r>
          </w:p>
        </w:tc>
      </w:tr>
      <w:tr w:rsidR="00FD0D50" w:rsidRPr="00411250" w14:paraId="31085354" w14:textId="77777777" w:rsidTr="003B6444">
        <w:trPr>
          <w:trHeight w:val="288"/>
          <w:jc w:val="center"/>
        </w:trPr>
        <w:tc>
          <w:tcPr>
            <w:tcW w:w="501" w:type="pct"/>
            <w:tcBorders>
              <w:top w:val="nil"/>
              <w:left w:val="nil"/>
              <w:right w:val="nil"/>
            </w:tcBorders>
          </w:tcPr>
          <w:p w14:paraId="52B93E35" w14:textId="77777777" w:rsidR="00FD0D50" w:rsidRPr="00026A59" w:rsidRDefault="00FD0D50" w:rsidP="00FD0D50">
            <w:pPr>
              <w:spacing w:after="0" w:line="240" w:lineRule="auto"/>
              <w:rPr>
                <w:rFonts w:ascii="Times New Roman" w:hAnsi="Times New Roman" w:cs="Times New Roman"/>
                <w:sz w:val="18"/>
                <w:szCs w:val="18"/>
              </w:rPr>
            </w:pPr>
            <w:r w:rsidRPr="00026A59">
              <w:rPr>
                <w:rFonts w:ascii="Times New Roman" w:hAnsi="Times New Roman" w:cs="Times New Roman"/>
                <w:sz w:val="18"/>
                <w:szCs w:val="18"/>
              </w:rPr>
              <w:t>ROA</w:t>
            </w:r>
          </w:p>
        </w:tc>
        <w:tc>
          <w:tcPr>
            <w:tcW w:w="381" w:type="pct"/>
            <w:tcBorders>
              <w:top w:val="nil"/>
              <w:left w:val="nil"/>
              <w:right w:val="nil"/>
            </w:tcBorders>
          </w:tcPr>
          <w:p w14:paraId="279456B7"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0.0014</w:t>
            </w:r>
          </w:p>
        </w:tc>
        <w:tc>
          <w:tcPr>
            <w:tcW w:w="381" w:type="pct"/>
            <w:tcBorders>
              <w:top w:val="nil"/>
              <w:left w:val="nil"/>
              <w:right w:val="nil"/>
            </w:tcBorders>
          </w:tcPr>
          <w:p w14:paraId="00CF6DB2"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0.0003</w:t>
            </w:r>
          </w:p>
        </w:tc>
        <w:tc>
          <w:tcPr>
            <w:tcW w:w="381" w:type="pct"/>
            <w:tcBorders>
              <w:top w:val="nil"/>
              <w:left w:val="nil"/>
              <w:right w:val="nil"/>
            </w:tcBorders>
          </w:tcPr>
          <w:p w14:paraId="30AFF685"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0.0008</w:t>
            </w:r>
          </w:p>
        </w:tc>
        <w:tc>
          <w:tcPr>
            <w:tcW w:w="373" w:type="pct"/>
            <w:tcBorders>
              <w:top w:val="nil"/>
              <w:left w:val="nil"/>
              <w:right w:val="nil"/>
            </w:tcBorders>
          </w:tcPr>
          <w:p w14:paraId="69911046"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-0.0003</w:t>
            </w:r>
          </w:p>
        </w:tc>
        <w:tc>
          <w:tcPr>
            <w:tcW w:w="373" w:type="pct"/>
            <w:tcBorders>
              <w:top w:val="nil"/>
              <w:left w:val="nil"/>
              <w:right w:val="nil"/>
            </w:tcBorders>
          </w:tcPr>
          <w:p w14:paraId="671B45CD" w14:textId="26D3348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0.000480</w:t>
            </w:r>
          </w:p>
        </w:tc>
        <w:tc>
          <w:tcPr>
            <w:tcW w:w="375" w:type="pct"/>
            <w:tcBorders>
              <w:top w:val="nil"/>
              <w:left w:val="nil"/>
              <w:right w:val="single" w:sz="4" w:space="0" w:color="auto"/>
            </w:tcBorders>
          </w:tcPr>
          <w:p w14:paraId="7D2A4F77" w14:textId="5D998F4C"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-0.0001</w:t>
            </w:r>
          </w:p>
        </w:tc>
        <w:tc>
          <w:tcPr>
            <w:tcW w:w="373" w:type="pct"/>
            <w:tcBorders>
              <w:top w:val="nil"/>
              <w:left w:val="single" w:sz="4" w:space="0" w:color="auto"/>
              <w:right w:val="nil"/>
            </w:tcBorders>
          </w:tcPr>
          <w:p w14:paraId="5B377E51"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-0.0022</w:t>
            </w:r>
          </w:p>
        </w:tc>
        <w:tc>
          <w:tcPr>
            <w:tcW w:w="373" w:type="pct"/>
            <w:tcBorders>
              <w:top w:val="nil"/>
              <w:left w:val="nil"/>
              <w:right w:val="nil"/>
            </w:tcBorders>
          </w:tcPr>
          <w:p w14:paraId="7AF5CD74"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-0.0023*</w:t>
            </w:r>
          </w:p>
        </w:tc>
        <w:tc>
          <w:tcPr>
            <w:tcW w:w="373" w:type="pct"/>
            <w:tcBorders>
              <w:top w:val="nil"/>
              <w:left w:val="nil"/>
              <w:right w:val="nil"/>
            </w:tcBorders>
          </w:tcPr>
          <w:p w14:paraId="42D7C7C9"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-0.0023*</w:t>
            </w:r>
          </w:p>
        </w:tc>
        <w:tc>
          <w:tcPr>
            <w:tcW w:w="373" w:type="pct"/>
            <w:tcBorders>
              <w:top w:val="nil"/>
              <w:left w:val="nil"/>
              <w:right w:val="nil"/>
            </w:tcBorders>
          </w:tcPr>
          <w:p w14:paraId="6B18528B"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-0.0021</w:t>
            </w:r>
          </w:p>
        </w:tc>
        <w:tc>
          <w:tcPr>
            <w:tcW w:w="373" w:type="pct"/>
            <w:tcBorders>
              <w:top w:val="nil"/>
              <w:left w:val="nil"/>
              <w:right w:val="nil"/>
            </w:tcBorders>
          </w:tcPr>
          <w:p w14:paraId="7E52A0EE" w14:textId="3065DF5B"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-0.00240*</w:t>
            </w:r>
          </w:p>
        </w:tc>
        <w:tc>
          <w:tcPr>
            <w:tcW w:w="370" w:type="pct"/>
            <w:tcBorders>
              <w:top w:val="nil"/>
              <w:left w:val="nil"/>
              <w:right w:val="nil"/>
            </w:tcBorders>
          </w:tcPr>
          <w:p w14:paraId="1F238740" w14:textId="3986AAC9"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-0.0024*</w:t>
            </w:r>
          </w:p>
        </w:tc>
      </w:tr>
      <w:tr w:rsidR="00FD0D50" w:rsidRPr="00411250" w14:paraId="4FB44340" w14:textId="77777777" w:rsidTr="003B6444">
        <w:trPr>
          <w:trHeight w:val="288"/>
          <w:jc w:val="center"/>
        </w:trPr>
        <w:tc>
          <w:tcPr>
            <w:tcW w:w="501" w:type="pct"/>
            <w:tcBorders>
              <w:top w:val="nil"/>
              <w:left w:val="nil"/>
              <w:bottom w:val="single" w:sz="4" w:space="0" w:color="auto"/>
              <w:right w:val="nil"/>
            </w:tcBorders>
          </w:tcPr>
          <w:p w14:paraId="27719662" w14:textId="77777777" w:rsidR="00FD0D50" w:rsidRPr="00026A59" w:rsidRDefault="00FD0D50" w:rsidP="00FD0D50">
            <w:pPr>
              <w:widowControl w:val="0"/>
              <w:autoSpaceDE w:val="0"/>
              <w:autoSpaceDN w:val="0"/>
              <w:adjustRightInd w:val="0"/>
              <w:spacing w:after="0" w:line="240" w:lineRule="auto"/>
              <w:rPr>
                <w:rFonts w:ascii="Times New Roman" w:hAnsi="Times New Roman" w:cs="Times New Roman"/>
                <w:sz w:val="18"/>
                <w:szCs w:val="18"/>
              </w:rPr>
            </w:pPr>
          </w:p>
        </w:tc>
        <w:tc>
          <w:tcPr>
            <w:tcW w:w="381" w:type="pct"/>
            <w:tcBorders>
              <w:top w:val="nil"/>
              <w:left w:val="nil"/>
              <w:bottom w:val="single" w:sz="4" w:space="0" w:color="auto"/>
              <w:right w:val="nil"/>
            </w:tcBorders>
          </w:tcPr>
          <w:p w14:paraId="4BA2F169"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(0.0023)</w:t>
            </w:r>
          </w:p>
        </w:tc>
        <w:tc>
          <w:tcPr>
            <w:tcW w:w="381" w:type="pct"/>
            <w:tcBorders>
              <w:top w:val="nil"/>
              <w:left w:val="nil"/>
              <w:bottom w:val="single" w:sz="4" w:space="0" w:color="auto"/>
              <w:right w:val="nil"/>
            </w:tcBorders>
          </w:tcPr>
          <w:p w14:paraId="451431BF"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(0.0025)</w:t>
            </w:r>
          </w:p>
        </w:tc>
        <w:tc>
          <w:tcPr>
            <w:tcW w:w="381" w:type="pct"/>
            <w:tcBorders>
              <w:top w:val="nil"/>
              <w:left w:val="nil"/>
              <w:bottom w:val="single" w:sz="4" w:space="0" w:color="auto"/>
              <w:right w:val="nil"/>
            </w:tcBorders>
          </w:tcPr>
          <w:p w14:paraId="32C535BE"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(0.0024)</w:t>
            </w:r>
          </w:p>
        </w:tc>
        <w:tc>
          <w:tcPr>
            <w:tcW w:w="373" w:type="pct"/>
            <w:tcBorders>
              <w:top w:val="nil"/>
              <w:left w:val="nil"/>
              <w:bottom w:val="single" w:sz="4" w:space="0" w:color="auto"/>
              <w:right w:val="nil"/>
            </w:tcBorders>
          </w:tcPr>
          <w:p w14:paraId="52AB8D31"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(0.0027)</w:t>
            </w:r>
          </w:p>
        </w:tc>
        <w:tc>
          <w:tcPr>
            <w:tcW w:w="373" w:type="pct"/>
            <w:tcBorders>
              <w:top w:val="nil"/>
              <w:left w:val="nil"/>
              <w:bottom w:val="single" w:sz="4" w:space="0" w:color="auto"/>
              <w:right w:val="nil"/>
            </w:tcBorders>
          </w:tcPr>
          <w:p w14:paraId="06236102" w14:textId="0F92E794"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(0.00268)</w:t>
            </w:r>
          </w:p>
        </w:tc>
        <w:tc>
          <w:tcPr>
            <w:tcW w:w="375" w:type="pct"/>
            <w:tcBorders>
              <w:top w:val="nil"/>
              <w:left w:val="nil"/>
              <w:bottom w:val="single" w:sz="4" w:space="0" w:color="auto"/>
              <w:right w:val="single" w:sz="4" w:space="0" w:color="auto"/>
            </w:tcBorders>
          </w:tcPr>
          <w:p w14:paraId="1A548278" w14:textId="1C51B898"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(0.0027)</w:t>
            </w:r>
          </w:p>
        </w:tc>
        <w:tc>
          <w:tcPr>
            <w:tcW w:w="373" w:type="pct"/>
            <w:tcBorders>
              <w:top w:val="nil"/>
              <w:left w:val="single" w:sz="4" w:space="0" w:color="auto"/>
              <w:bottom w:val="single" w:sz="4" w:space="0" w:color="auto"/>
              <w:right w:val="nil"/>
            </w:tcBorders>
          </w:tcPr>
          <w:p w14:paraId="371DFE20"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(0.0016)</w:t>
            </w:r>
          </w:p>
        </w:tc>
        <w:tc>
          <w:tcPr>
            <w:tcW w:w="373" w:type="pct"/>
            <w:tcBorders>
              <w:top w:val="nil"/>
              <w:left w:val="nil"/>
              <w:bottom w:val="single" w:sz="4" w:space="0" w:color="auto"/>
              <w:right w:val="nil"/>
            </w:tcBorders>
          </w:tcPr>
          <w:p w14:paraId="14AAE4E0"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(0.0013)</w:t>
            </w:r>
          </w:p>
        </w:tc>
        <w:tc>
          <w:tcPr>
            <w:tcW w:w="373" w:type="pct"/>
            <w:tcBorders>
              <w:top w:val="nil"/>
              <w:left w:val="nil"/>
              <w:bottom w:val="single" w:sz="4" w:space="0" w:color="auto"/>
              <w:right w:val="nil"/>
            </w:tcBorders>
          </w:tcPr>
          <w:p w14:paraId="7B1B1148"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(0.0014)</w:t>
            </w:r>
          </w:p>
        </w:tc>
        <w:tc>
          <w:tcPr>
            <w:tcW w:w="373" w:type="pct"/>
            <w:tcBorders>
              <w:top w:val="nil"/>
              <w:left w:val="nil"/>
              <w:bottom w:val="single" w:sz="4" w:space="0" w:color="auto"/>
              <w:right w:val="nil"/>
            </w:tcBorders>
          </w:tcPr>
          <w:p w14:paraId="5872E1EE" w14:textId="7777777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(0.0013)</w:t>
            </w:r>
          </w:p>
        </w:tc>
        <w:tc>
          <w:tcPr>
            <w:tcW w:w="373" w:type="pct"/>
            <w:tcBorders>
              <w:top w:val="nil"/>
              <w:left w:val="nil"/>
              <w:bottom w:val="single" w:sz="4" w:space="0" w:color="auto"/>
              <w:right w:val="nil"/>
            </w:tcBorders>
          </w:tcPr>
          <w:p w14:paraId="43B69170" w14:textId="4F366E70"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(0.00132)</w:t>
            </w:r>
          </w:p>
        </w:tc>
        <w:tc>
          <w:tcPr>
            <w:tcW w:w="370" w:type="pct"/>
            <w:tcBorders>
              <w:top w:val="nil"/>
              <w:left w:val="nil"/>
              <w:bottom w:val="single" w:sz="4" w:space="0" w:color="auto"/>
              <w:right w:val="nil"/>
            </w:tcBorders>
          </w:tcPr>
          <w:p w14:paraId="4A523B28" w14:textId="42F4C857" w:rsidR="00FD0D50" w:rsidRPr="00026A59" w:rsidRDefault="00FD0D50" w:rsidP="00FD0D5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(0.0013)</w:t>
            </w:r>
          </w:p>
        </w:tc>
      </w:tr>
    </w:tbl>
    <w:p w14:paraId="4BACD4C0" w14:textId="77777777" w:rsidR="00FA6A82" w:rsidRDefault="00FA6A82" w:rsidP="003B6444">
      <w:pPr>
        <w:spacing w:after="0" w:line="240" w:lineRule="auto"/>
        <w:rPr>
          <w:rFonts w:ascii="Times New Roman" w:hAnsi="Times New Roman" w:cs="Times New Roman"/>
          <w:b/>
          <w:sz w:val="24"/>
          <w:szCs w:val="24"/>
        </w:rPr>
      </w:pPr>
    </w:p>
    <w:p w14:paraId="07175FCE" w14:textId="1AD0E821" w:rsidR="000954CF" w:rsidRPr="00D714B6" w:rsidRDefault="000954CF" w:rsidP="003B6444">
      <w:pPr>
        <w:spacing w:after="0" w:line="240" w:lineRule="auto"/>
        <w:rPr>
          <w:rFonts w:ascii="Times New Roman" w:hAnsi="Times New Roman" w:cs="Times New Roman"/>
          <w:b/>
          <w:sz w:val="24"/>
          <w:szCs w:val="24"/>
        </w:rPr>
      </w:pPr>
      <w:r w:rsidRPr="005F2192">
        <w:rPr>
          <w:rFonts w:ascii="Times New Roman" w:hAnsi="Times New Roman" w:cs="Times New Roman"/>
          <w:b/>
          <w:sz w:val="24"/>
          <w:szCs w:val="24"/>
        </w:rPr>
        <w:t>Table 6</w:t>
      </w:r>
      <w:r>
        <w:rPr>
          <w:rFonts w:ascii="Times New Roman" w:hAnsi="Times New Roman" w:cs="Times New Roman"/>
          <w:b/>
          <w:sz w:val="24"/>
          <w:szCs w:val="24"/>
        </w:rPr>
        <w:t xml:space="preserve"> (continued)</w:t>
      </w:r>
      <w:r w:rsidRPr="005F2192">
        <w:rPr>
          <w:rFonts w:ascii="Times New Roman" w:hAnsi="Times New Roman" w:cs="Times New Roman"/>
          <w:b/>
          <w:sz w:val="24"/>
          <w:szCs w:val="24"/>
        </w:rPr>
        <w:t xml:space="preserve"> </w:t>
      </w:r>
      <w:r>
        <w:rPr>
          <w:rFonts w:ascii="Times New Roman" w:hAnsi="Times New Roman" w:cs="Times New Roman"/>
          <w:sz w:val="24"/>
          <w:szCs w:val="24"/>
        </w:rPr>
        <w:t>GMM regression results of Carbon Reduction Initiatives (CRI</w:t>
      </w:r>
      <w:r w:rsidR="0073560E">
        <w:rPr>
          <w:rFonts w:ascii="Times New Roman" w:hAnsi="Times New Roman" w:cs="Times New Roman"/>
          <w:sz w:val="24"/>
          <w:szCs w:val="24"/>
        </w:rPr>
        <w:t>s</w:t>
      </w:r>
      <w:r>
        <w:rPr>
          <w:rFonts w:ascii="Times New Roman" w:hAnsi="Times New Roman" w:cs="Times New Roman"/>
          <w:sz w:val="24"/>
          <w:szCs w:val="24"/>
        </w:rPr>
        <w:t>) and GHG emissions</w:t>
      </w:r>
    </w:p>
    <w:tbl>
      <w:tblPr>
        <w:tblW w:w="5000" w:type="pct"/>
        <w:jc w:val="center"/>
        <w:tblCellMar>
          <w:left w:w="75" w:type="dxa"/>
          <w:right w:w="75" w:type="dxa"/>
        </w:tblCellMar>
        <w:tblLook w:val="0000" w:firstRow="0" w:lastRow="0" w:firstColumn="0" w:lastColumn="0" w:noHBand="0" w:noVBand="0"/>
      </w:tblPr>
      <w:tblGrid>
        <w:gridCol w:w="1411"/>
        <w:gridCol w:w="965"/>
        <w:gridCol w:w="964"/>
        <w:gridCol w:w="964"/>
        <w:gridCol w:w="964"/>
        <w:gridCol w:w="897"/>
        <w:gridCol w:w="969"/>
        <w:gridCol w:w="964"/>
        <w:gridCol w:w="964"/>
        <w:gridCol w:w="964"/>
        <w:gridCol w:w="964"/>
        <w:gridCol w:w="1006"/>
        <w:gridCol w:w="964"/>
      </w:tblGrid>
      <w:tr w:rsidR="00D30EA4" w:rsidRPr="00411250" w14:paraId="7A929112" w14:textId="77777777" w:rsidTr="005C69B8">
        <w:trPr>
          <w:trHeight w:val="288"/>
          <w:jc w:val="center"/>
        </w:trPr>
        <w:tc>
          <w:tcPr>
            <w:tcW w:w="544" w:type="pct"/>
            <w:vMerge w:val="restart"/>
            <w:tcBorders>
              <w:top w:val="single" w:sz="4" w:space="0" w:color="auto"/>
              <w:left w:val="nil"/>
              <w:right w:val="nil"/>
            </w:tcBorders>
          </w:tcPr>
          <w:p w14:paraId="26C30D85" w14:textId="77777777" w:rsidR="00D30EA4" w:rsidRPr="00026A59" w:rsidRDefault="00D30EA4" w:rsidP="00E156C7">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Variables</w:t>
            </w:r>
          </w:p>
        </w:tc>
        <w:tc>
          <w:tcPr>
            <w:tcW w:w="2208" w:type="pct"/>
            <w:gridSpan w:val="6"/>
            <w:tcBorders>
              <w:top w:val="single" w:sz="4" w:space="0" w:color="auto"/>
              <w:left w:val="nil"/>
              <w:bottom w:val="single" w:sz="4" w:space="0" w:color="auto"/>
              <w:right w:val="single" w:sz="4" w:space="0" w:color="auto"/>
            </w:tcBorders>
          </w:tcPr>
          <w:p w14:paraId="23EA7D30" w14:textId="1531C0FE" w:rsidR="00D30EA4" w:rsidRPr="00026A59" w:rsidRDefault="00D30EA4" w:rsidP="00E156C7">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Carbon Reduction Initiatives (CRI</w:t>
            </w:r>
            <w:r w:rsidR="0073560E">
              <w:rPr>
                <w:rFonts w:ascii="Times New Roman" w:hAnsi="Times New Roman" w:cs="Times New Roman"/>
                <w:sz w:val="18"/>
                <w:szCs w:val="18"/>
              </w:rPr>
              <w:t>s</w:t>
            </w:r>
            <w:r w:rsidRPr="00026A59">
              <w:rPr>
                <w:rFonts w:ascii="Times New Roman" w:hAnsi="Times New Roman" w:cs="Times New Roman"/>
                <w:sz w:val="18"/>
                <w:szCs w:val="18"/>
              </w:rPr>
              <w:t>)</w:t>
            </w:r>
          </w:p>
        </w:tc>
        <w:tc>
          <w:tcPr>
            <w:tcW w:w="2248" w:type="pct"/>
            <w:gridSpan w:val="6"/>
            <w:tcBorders>
              <w:top w:val="single" w:sz="4" w:space="0" w:color="auto"/>
              <w:left w:val="single" w:sz="4" w:space="0" w:color="auto"/>
              <w:bottom w:val="single" w:sz="6" w:space="0" w:color="auto"/>
            </w:tcBorders>
          </w:tcPr>
          <w:p w14:paraId="75D1540E" w14:textId="6D4BC9BB" w:rsidR="00D30EA4" w:rsidRPr="00026A59" w:rsidRDefault="00D30EA4" w:rsidP="00CB6515">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GHG emissions</w:t>
            </w:r>
          </w:p>
        </w:tc>
      </w:tr>
      <w:tr w:rsidR="00CA5C10" w:rsidRPr="00411250" w14:paraId="373B7602" w14:textId="77777777" w:rsidTr="005C69B8">
        <w:trPr>
          <w:trHeight w:val="288"/>
          <w:jc w:val="center"/>
        </w:trPr>
        <w:tc>
          <w:tcPr>
            <w:tcW w:w="544" w:type="pct"/>
            <w:vMerge/>
            <w:tcBorders>
              <w:left w:val="nil"/>
              <w:bottom w:val="single" w:sz="6" w:space="0" w:color="auto"/>
              <w:right w:val="nil"/>
            </w:tcBorders>
          </w:tcPr>
          <w:p w14:paraId="63D466A2" w14:textId="77777777" w:rsidR="007C37FB" w:rsidRPr="00996327" w:rsidRDefault="007C37FB" w:rsidP="00CB6515">
            <w:pPr>
              <w:widowControl w:val="0"/>
              <w:autoSpaceDE w:val="0"/>
              <w:autoSpaceDN w:val="0"/>
              <w:adjustRightInd w:val="0"/>
              <w:spacing w:after="0" w:line="240" w:lineRule="auto"/>
              <w:rPr>
                <w:rFonts w:ascii="Times New Roman" w:hAnsi="Times New Roman" w:cs="Times New Roman"/>
                <w:sz w:val="18"/>
                <w:szCs w:val="18"/>
              </w:rPr>
            </w:pPr>
          </w:p>
        </w:tc>
        <w:tc>
          <w:tcPr>
            <w:tcW w:w="372" w:type="pct"/>
            <w:tcBorders>
              <w:top w:val="single" w:sz="4" w:space="0" w:color="auto"/>
              <w:left w:val="nil"/>
              <w:bottom w:val="single" w:sz="6" w:space="0" w:color="auto"/>
              <w:right w:val="nil"/>
            </w:tcBorders>
          </w:tcPr>
          <w:p w14:paraId="667241DF" w14:textId="77777777" w:rsidR="007C37FB" w:rsidRPr="00996327" w:rsidRDefault="007C37FB" w:rsidP="006124C4">
            <w:pPr>
              <w:widowControl w:val="0"/>
              <w:autoSpaceDE w:val="0"/>
              <w:autoSpaceDN w:val="0"/>
              <w:adjustRightInd w:val="0"/>
              <w:spacing w:after="0" w:line="240" w:lineRule="auto"/>
              <w:jc w:val="center"/>
              <w:rPr>
                <w:rFonts w:ascii="Times New Roman" w:hAnsi="Times New Roman" w:cs="Times New Roman"/>
                <w:sz w:val="18"/>
                <w:szCs w:val="18"/>
              </w:rPr>
            </w:pPr>
            <w:r w:rsidRPr="00996327">
              <w:rPr>
                <w:rFonts w:ascii="Times New Roman" w:hAnsi="Times New Roman" w:cs="Times New Roman"/>
                <w:sz w:val="18"/>
                <w:szCs w:val="18"/>
              </w:rPr>
              <w:t>(1)</w:t>
            </w:r>
          </w:p>
        </w:tc>
        <w:tc>
          <w:tcPr>
            <w:tcW w:w="372" w:type="pct"/>
            <w:tcBorders>
              <w:top w:val="single" w:sz="4" w:space="0" w:color="auto"/>
              <w:left w:val="nil"/>
              <w:bottom w:val="single" w:sz="6" w:space="0" w:color="auto"/>
              <w:right w:val="nil"/>
            </w:tcBorders>
          </w:tcPr>
          <w:p w14:paraId="4855ECDD" w14:textId="77777777" w:rsidR="007C37FB" w:rsidRPr="00996327" w:rsidRDefault="007C37FB" w:rsidP="006124C4">
            <w:pPr>
              <w:widowControl w:val="0"/>
              <w:autoSpaceDE w:val="0"/>
              <w:autoSpaceDN w:val="0"/>
              <w:adjustRightInd w:val="0"/>
              <w:spacing w:after="0" w:line="240" w:lineRule="auto"/>
              <w:jc w:val="center"/>
              <w:rPr>
                <w:rFonts w:ascii="Times New Roman" w:hAnsi="Times New Roman" w:cs="Times New Roman"/>
                <w:sz w:val="18"/>
                <w:szCs w:val="18"/>
              </w:rPr>
            </w:pPr>
            <w:r w:rsidRPr="00996327">
              <w:rPr>
                <w:rFonts w:ascii="Times New Roman" w:hAnsi="Times New Roman" w:cs="Times New Roman"/>
                <w:sz w:val="18"/>
                <w:szCs w:val="18"/>
              </w:rPr>
              <w:t>(2)</w:t>
            </w:r>
          </w:p>
        </w:tc>
        <w:tc>
          <w:tcPr>
            <w:tcW w:w="372" w:type="pct"/>
            <w:tcBorders>
              <w:top w:val="single" w:sz="4" w:space="0" w:color="auto"/>
              <w:left w:val="nil"/>
              <w:bottom w:val="single" w:sz="6" w:space="0" w:color="auto"/>
              <w:right w:val="nil"/>
            </w:tcBorders>
          </w:tcPr>
          <w:p w14:paraId="236CC6DC" w14:textId="77777777" w:rsidR="007C37FB" w:rsidRPr="00996327" w:rsidRDefault="007C37FB" w:rsidP="006124C4">
            <w:pPr>
              <w:widowControl w:val="0"/>
              <w:autoSpaceDE w:val="0"/>
              <w:autoSpaceDN w:val="0"/>
              <w:adjustRightInd w:val="0"/>
              <w:spacing w:after="0" w:line="240" w:lineRule="auto"/>
              <w:jc w:val="center"/>
              <w:rPr>
                <w:rFonts w:ascii="Times New Roman" w:hAnsi="Times New Roman" w:cs="Times New Roman"/>
                <w:sz w:val="18"/>
                <w:szCs w:val="18"/>
              </w:rPr>
            </w:pPr>
            <w:r w:rsidRPr="00996327">
              <w:rPr>
                <w:rFonts w:ascii="Times New Roman" w:hAnsi="Times New Roman" w:cs="Times New Roman"/>
                <w:sz w:val="18"/>
                <w:szCs w:val="18"/>
              </w:rPr>
              <w:t>(3)</w:t>
            </w:r>
          </w:p>
        </w:tc>
        <w:tc>
          <w:tcPr>
            <w:tcW w:w="372" w:type="pct"/>
            <w:tcBorders>
              <w:top w:val="single" w:sz="4" w:space="0" w:color="auto"/>
              <w:left w:val="nil"/>
              <w:bottom w:val="single" w:sz="6" w:space="0" w:color="auto"/>
              <w:right w:val="nil"/>
            </w:tcBorders>
          </w:tcPr>
          <w:p w14:paraId="1F15A0F8" w14:textId="77777777" w:rsidR="007C37FB" w:rsidRPr="00996327" w:rsidRDefault="007C37FB" w:rsidP="006124C4">
            <w:pPr>
              <w:widowControl w:val="0"/>
              <w:autoSpaceDE w:val="0"/>
              <w:autoSpaceDN w:val="0"/>
              <w:adjustRightInd w:val="0"/>
              <w:spacing w:after="0" w:line="240" w:lineRule="auto"/>
              <w:jc w:val="center"/>
              <w:rPr>
                <w:rFonts w:ascii="Times New Roman" w:hAnsi="Times New Roman" w:cs="Times New Roman"/>
                <w:sz w:val="18"/>
                <w:szCs w:val="18"/>
              </w:rPr>
            </w:pPr>
            <w:r w:rsidRPr="00996327">
              <w:rPr>
                <w:rFonts w:ascii="Times New Roman" w:hAnsi="Times New Roman" w:cs="Times New Roman"/>
                <w:sz w:val="18"/>
                <w:szCs w:val="18"/>
              </w:rPr>
              <w:t>(4)</w:t>
            </w:r>
          </w:p>
        </w:tc>
        <w:tc>
          <w:tcPr>
            <w:tcW w:w="346" w:type="pct"/>
            <w:tcBorders>
              <w:top w:val="single" w:sz="4" w:space="0" w:color="auto"/>
              <w:left w:val="nil"/>
              <w:bottom w:val="single" w:sz="6" w:space="0" w:color="auto"/>
              <w:right w:val="nil"/>
            </w:tcBorders>
          </w:tcPr>
          <w:p w14:paraId="102F3E4A" w14:textId="2C881815" w:rsidR="007C37FB" w:rsidRPr="00996327" w:rsidRDefault="00D30EA4" w:rsidP="006124C4">
            <w:pPr>
              <w:widowControl w:val="0"/>
              <w:autoSpaceDE w:val="0"/>
              <w:autoSpaceDN w:val="0"/>
              <w:adjustRightInd w:val="0"/>
              <w:spacing w:after="0" w:line="240" w:lineRule="auto"/>
              <w:jc w:val="center"/>
              <w:rPr>
                <w:rFonts w:ascii="Times New Roman" w:hAnsi="Times New Roman" w:cs="Times New Roman"/>
                <w:sz w:val="18"/>
                <w:szCs w:val="18"/>
              </w:rPr>
            </w:pPr>
            <w:r w:rsidRPr="00996327">
              <w:rPr>
                <w:rFonts w:ascii="Times New Roman" w:hAnsi="Times New Roman" w:cs="Times New Roman"/>
                <w:sz w:val="18"/>
                <w:szCs w:val="18"/>
              </w:rPr>
              <w:t>(5)</w:t>
            </w:r>
          </w:p>
        </w:tc>
        <w:tc>
          <w:tcPr>
            <w:tcW w:w="374" w:type="pct"/>
            <w:tcBorders>
              <w:top w:val="single" w:sz="4" w:space="0" w:color="auto"/>
              <w:left w:val="nil"/>
              <w:bottom w:val="single" w:sz="6" w:space="0" w:color="auto"/>
              <w:right w:val="single" w:sz="4" w:space="0" w:color="auto"/>
            </w:tcBorders>
          </w:tcPr>
          <w:p w14:paraId="1BCD02AB" w14:textId="2FC584EA" w:rsidR="007C37FB" w:rsidRPr="00996327" w:rsidRDefault="007C37FB" w:rsidP="006124C4">
            <w:pPr>
              <w:widowControl w:val="0"/>
              <w:autoSpaceDE w:val="0"/>
              <w:autoSpaceDN w:val="0"/>
              <w:adjustRightInd w:val="0"/>
              <w:spacing w:after="0" w:line="240" w:lineRule="auto"/>
              <w:jc w:val="center"/>
              <w:rPr>
                <w:rFonts w:ascii="Times New Roman" w:hAnsi="Times New Roman" w:cs="Times New Roman"/>
                <w:sz w:val="18"/>
                <w:szCs w:val="18"/>
              </w:rPr>
            </w:pPr>
            <w:r w:rsidRPr="00996327">
              <w:rPr>
                <w:rFonts w:ascii="Times New Roman" w:hAnsi="Times New Roman" w:cs="Times New Roman"/>
                <w:sz w:val="18"/>
                <w:szCs w:val="18"/>
              </w:rPr>
              <w:t>(</w:t>
            </w:r>
            <w:r w:rsidR="00D30EA4" w:rsidRPr="00996327">
              <w:rPr>
                <w:rFonts w:ascii="Times New Roman" w:hAnsi="Times New Roman" w:cs="Times New Roman"/>
                <w:sz w:val="18"/>
                <w:szCs w:val="18"/>
              </w:rPr>
              <w:t>6</w:t>
            </w:r>
            <w:r w:rsidRPr="00996327">
              <w:rPr>
                <w:rFonts w:ascii="Times New Roman" w:hAnsi="Times New Roman" w:cs="Times New Roman"/>
                <w:sz w:val="18"/>
                <w:szCs w:val="18"/>
              </w:rPr>
              <w:t>)</w:t>
            </w:r>
          </w:p>
        </w:tc>
        <w:tc>
          <w:tcPr>
            <w:tcW w:w="372" w:type="pct"/>
            <w:tcBorders>
              <w:top w:val="nil"/>
              <w:left w:val="single" w:sz="4" w:space="0" w:color="auto"/>
              <w:bottom w:val="single" w:sz="6" w:space="0" w:color="auto"/>
              <w:right w:val="nil"/>
            </w:tcBorders>
          </w:tcPr>
          <w:p w14:paraId="22EC12EB" w14:textId="4788D209" w:rsidR="007C37FB" w:rsidRPr="00996327" w:rsidRDefault="007C37FB" w:rsidP="006124C4">
            <w:pPr>
              <w:widowControl w:val="0"/>
              <w:autoSpaceDE w:val="0"/>
              <w:autoSpaceDN w:val="0"/>
              <w:adjustRightInd w:val="0"/>
              <w:spacing w:after="0" w:line="240" w:lineRule="auto"/>
              <w:jc w:val="center"/>
              <w:rPr>
                <w:rFonts w:ascii="Times New Roman" w:hAnsi="Times New Roman" w:cs="Times New Roman"/>
                <w:sz w:val="18"/>
                <w:szCs w:val="18"/>
              </w:rPr>
            </w:pPr>
            <w:r w:rsidRPr="00996327">
              <w:rPr>
                <w:rFonts w:ascii="Times New Roman" w:hAnsi="Times New Roman" w:cs="Times New Roman"/>
                <w:sz w:val="18"/>
                <w:szCs w:val="18"/>
              </w:rPr>
              <w:t>(</w:t>
            </w:r>
            <w:r w:rsidR="00026A59" w:rsidRPr="00996327">
              <w:rPr>
                <w:rFonts w:ascii="Times New Roman" w:hAnsi="Times New Roman" w:cs="Times New Roman"/>
                <w:sz w:val="18"/>
                <w:szCs w:val="18"/>
              </w:rPr>
              <w:t>7</w:t>
            </w:r>
            <w:r w:rsidRPr="00996327">
              <w:rPr>
                <w:rFonts w:ascii="Times New Roman" w:hAnsi="Times New Roman" w:cs="Times New Roman"/>
                <w:sz w:val="18"/>
                <w:szCs w:val="18"/>
              </w:rPr>
              <w:t>)</w:t>
            </w:r>
          </w:p>
        </w:tc>
        <w:tc>
          <w:tcPr>
            <w:tcW w:w="372" w:type="pct"/>
            <w:tcBorders>
              <w:top w:val="nil"/>
              <w:left w:val="nil"/>
              <w:bottom w:val="single" w:sz="6" w:space="0" w:color="auto"/>
              <w:right w:val="nil"/>
            </w:tcBorders>
          </w:tcPr>
          <w:p w14:paraId="559E8F12" w14:textId="66EE729E" w:rsidR="007C37FB" w:rsidRPr="00996327" w:rsidRDefault="007C37FB" w:rsidP="006124C4">
            <w:pPr>
              <w:widowControl w:val="0"/>
              <w:autoSpaceDE w:val="0"/>
              <w:autoSpaceDN w:val="0"/>
              <w:adjustRightInd w:val="0"/>
              <w:spacing w:after="0" w:line="240" w:lineRule="auto"/>
              <w:jc w:val="center"/>
              <w:rPr>
                <w:rFonts w:ascii="Times New Roman" w:hAnsi="Times New Roman" w:cs="Times New Roman"/>
                <w:sz w:val="18"/>
                <w:szCs w:val="18"/>
              </w:rPr>
            </w:pPr>
            <w:r w:rsidRPr="00996327">
              <w:rPr>
                <w:rFonts w:ascii="Times New Roman" w:hAnsi="Times New Roman" w:cs="Times New Roman"/>
                <w:sz w:val="18"/>
                <w:szCs w:val="18"/>
              </w:rPr>
              <w:t>(</w:t>
            </w:r>
            <w:r w:rsidR="00026A59" w:rsidRPr="00996327">
              <w:rPr>
                <w:rFonts w:ascii="Times New Roman" w:hAnsi="Times New Roman" w:cs="Times New Roman"/>
                <w:sz w:val="18"/>
                <w:szCs w:val="18"/>
              </w:rPr>
              <w:t>8</w:t>
            </w:r>
            <w:r w:rsidRPr="00996327">
              <w:rPr>
                <w:rFonts w:ascii="Times New Roman" w:hAnsi="Times New Roman" w:cs="Times New Roman"/>
                <w:sz w:val="18"/>
                <w:szCs w:val="18"/>
              </w:rPr>
              <w:t>)</w:t>
            </w:r>
          </w:p>
        </w:tc>
        <w:tc>
          <w:tcPr>
            <w:tcW w:w="372" w:type="pct"/>
            <w:tcBorders>
              <w:top w:val="nil"/>
              <w:left w:val="nil"/>
              <w:bottom w:val="single" w:sz="6" w:space="0" w:color="auto"/>
              <w:right w:val="nil"/>
            </w:tcBorders>
          </w:tcPr>
          <w:p w14:paraId="3EE38D3D" w14:textId="64AFFEF3" w:rsidR="007C37FB" w:rsidRPr="00996327" w:rsidRDefault="007C37FB" w:rsidP="006124C4">
            <w:pPr>
              <w:widowControl w:val="0"/>
              <w:autoSpaceDE w:val="0"/>
              <w:autoSpaceDN w:val="0"/>
              <w:adjustRightInd w:val="0"/>
              <w:spacing w:after="0" w:line="240" w:lineRule="auto"/>
              <w:jc w:val="center"/>
              <w:rPr>
                <w:rFonts w:ascii="Times New Roman" w:hAnsi="Times New Roman" w:cs="Times New Roman"/>
                <w:sz w:val="18"/>
                <w:szCs w:val="18"/>
              </w:rPr>
            </w:pPr>
            <w:r w:rsidRPr="00996327">
              <w:rPr>
                <w:rFonts w:ascii="Times New Roman" w:hAnsi="Times New Roman" w:cs="Times New Roman"/>
                <w:sz w:val="18"/>
                <w:szCs w:val="18"/>
              </w:rPr>
              <w:t>(</w:t>
            </w:r>
            <w:r w:rsidR="00026A59" w:rsidRPr="00996327">
              <w:rPr>
                <w:rFonts w:ascii="Times New Roman" w:hAnsi="Times New Roman" w:cs="Times New Roman"/>
                <w:sz w:val="18"/>
                <w:szCs w:val="18"/>
              </w:rPr>
              <w:t>9</w:t>
            </w:r>
            <w:r w:rsidRPr="00996327">
              <w:rPr>
                <w:rFonts w:ascii="Times New Roman" w:hAnsi="Times New Roman" w:cs="Times New Roman"/>
                <w:sz w:val="18"/>
                <w:szCs w:val="18"/>
              </w:rPr>
              <w:t>)</w:t>
            </w:r>
          </w:p>
        </w:tc>
        <w:tc>
          <w:tcPr>
            <w:tcW w:w="372" w:type="pct"/>
            <w:tcBorders>
              <w:top w:val="nil"/>
              <w:left w:val="nil"/>
              <w:bottom w:val="single" w:sz="6" w:space="0" w:color="auto"/>
              <w:right w:val="nil"/>
            </w:tcBorders>
          </w:tcPr>
          <w:p w14:paraId="3AAE45FC" w14:textId="4ED48B2A" w:rsidR="007C37FB" w:rsidRPr="00996327" w:rsidRDefault="007C37FB" w:rsidP="006124C4">
            <w:pPr>
              <w:widowControl w:val="0"/>
              <w:autoSpaceDE w:val="0"/>
              <w:autoSpaceDN w:val="0"/>
              <w:adjustRightInd w:val="0"/>
              <w:spacing w:after="0" w:line="240" w:lineRule="auto"/>
              <w:jc w:val="center"/>
              <w:rPr>
                <w:rFonts w:ascii="Times New Roman" w:hAnsi="Times New Roman" w:cs="Times New Roman"/>
                <w:sz w:val="18"/>
                <w:szCs w:val="18"/>
              </w:rPr>
            </w:pPr>
            <w:r w:rsidRPr="00996327">
              <w:rPr>
                <w:rFonts w:ascii="Times New Roman" w:hAnsi="Times New Roman" w:cs="Times New Roman"/>
                <w:sz w:val="18"/>
                <w:szCs w:val="18"/>
              </w:rPr>
              <w:t>(</w:t>
            </w:r>
            <w:r w:rsidR="00026A59" w:rsidRPr="00996327">
              <w:rPr>
                <w:rFonts w:ascii="Times New Roman" w:hAnsi="Times New Roman" w:cs="Times New Roman"/>
                <w:sz w:val="18"/>
                <w:szCs w:val="18"/>
              </w:rPr>
              <w:t>10</w:t>
            </w:r>
            <w:r w:rsidRPr="00996327">
              <w:rPr>
                <w:rFonts w:ascii="Times New Roman" w:hAnsi="Times New Roman" w:cs="Times New Roman"/>
                <w:sz w:val="18"/>
                <w:szCs w:val="18"/>
              </w:rPr>
              <w:t>)</w:t>
            </w:r>
          </w:p>
        </w:tc>
        <w:tc>
          <w:tcPr>
            <w:tcW w:w="388" w:type="pct"/>
            <w:tcBorders>
              <w:top w:val="nil"/>
              <w:left w:val="nil"/>
              <w:bottom w:val="single" w:sz="6" w:space="0" w:color="auto"/>
              <w:right w:val="nil"/>
            </w:tcBorders>
          </w:tcPr>
          <w:p w14:paraId="3CA13BC2" w14:textId="48F80A11" w:rsidR="007C37FB" w:rsidRPr="00996327" w:rsidRDefault="00026A59" w:rsidP="006124C4">
            <w:pPr>
              <w:widowControl w:val="0"/>
              <w:autoSpaceDE w:val="0"/>
              <w:autoSpaceDN w:val="0"/>
              <w:adjustRightInd w:val="0"/>
              <w:spacing w:after="0" w:line="240" w:lineRule="auto"/>
              <w:jc w:val="center"/>
              <w:rPr>
                <w:rFonts w:ascii="Times New Roman" w:hAnsi="Times New Roman" w:cs="Times New Roman"/>
                <w:sz w:val="18"/>
                <w:szCs w:val="18"/>
              </w:rPr>
            </w:pPr>
            <w:r w:rsidRPr="00996327">
              <w:rPr>
                <w:rFonts w:ascii="Times New Roman" w:hAnsi="Times New Roman" w:cs="Times New Roman"/>
                <w:sz w:val="18"/>
                <w:szCs w:val="18"/>
              </w:rPr>
              <w:t>(11)</w:t>
            </w:r>
          </w:p>
        </w:tc>
        <w:tc>
          <w:tcPr>
            <w:tcW w:w="372" w:type="pct"/>
            <w:tcBorders>
              <w:top w:val="nil"/>
              <w:left w:val="nil"/>
              <w:bottom w:val="single" w:sz="6" w:space="0" w:color="auto"/>
              <w:right w:val="nil"/>
            </w:tcBorders>
          </w:tcPr>
          <w:p w14:paraId="4ABFB2CE" w14:textId="4AEBB0C2" w:rsidR="007C37FB" w:rsidRPr="00996327" w:rsidRDefault="007C37FB" w:rsidP="006124C4">
            <w:pPr>
              <w:widowControl w:val="0"/>
              <w:autoSpaceDE w:val="0"/>
              <w:autoSpaceDN w:val="0"/>
              <w:adjustRightInd w:val="0"/>
              <w:spacing w:after="0" w:line="240" w:lineRule="auto"/>
              <w:jc w:val="center"/>
              <w:rPr>
                <w:rFonts w:ascii="Times New Roman" w:hAnsi="Times New Roman" w:cs="Times New Roman"/>
                <w:sz w:val="18"/>
                <w:szCs w:val="18"/>
              </w:rPr>
            </w:pPr>
            <w:r w:rsidRPr="00996327">
              <w:rPr>
                <w:rFonts w:ascii="Times New Roman" w:hAnsi="Times New Roman" w:cs="Times New Roman"/>
                <w:sz w:val="18"/>
                <w:szCs w:val="18"/>
              </w:rPr>
              <w:t>(1</w:t>
            </w:r>
            <w:r w:rsidR="00026A59" w:rsidRPr="00996327">
              <w:rPr>
                <w:rFonts w:ascii="Times New Roman" w:hAnsi="Times New Roman" w:cs="Times New Roman"/>
                <w:sz w:val="18"/>
                <w:szCs w:val="18"/>
              </w:rPr>
              <w:t>2</w:t>
            </w:r>
            <w:r w:rsidRPr="00996327">
              <w:rPr>
                <w:rFonts w:ascii="Times New Roman" w:hAnsi="Times New Roman" w:cs="Times New Roman"/>
                <w:sz w:val="18"/>
                <w:szCs w:val="18"/>
              </w:rPr>
              <w:t>)</w:t>
            </w:r>
          </w:p>
        </w:tc>
      </w:tr>
      <w:tr w:rsidR="005C69B8" w:rsidRPr="00411250" w14:paraId="6966DC8F" w14:textId="77777777" w:rsidTr="005C69B8">
        <w:trPr>
          <w:trHeight w:val="288"/>
          <w:jc w:val="center"/>
        </w:trPr>
        <w:tc>
          <w:tcPr>
            <w:tcW w:w="544" w:type="pct"/>
            <w:tcBorders>
              <w:top w:val="nil"/>
              <w:left w:val="nil"/>
              <w:bottom w:val="nil"/>
              <w:right w:val="nil"/>
            </w:tcBorders>
          </w:tcPr>
          <w:p w14:paraId="43DD4B3A" w14:textId="759A8F80" w:rsidR="005C69B8" w:rsidRPr="00026A59" w:rsidRDefault="005C69B8" w:rsidP="005C69B8">
            <w:pPr>
              <w:widowControl w:val="0"/>
              <w:autoSpaceDE w:val="0"/>
              <w:autoSpaceDN w:val="0"/>
              <w:adjustRightInd w:val="0"/>
              <w:spacing w:after="0" w:line="240" w:lineRule="auto"/>
              <w:rPr>
                <w:rFonts w:ascii="Times New Roman" w:hAnsi="Times New Roman" w:cs="Times New Roman"/>
                <w:sz w:val="18"/>
                <w:szCs w:val="18"/>
              </w:rPr>
            </w:pPr>
            <w:r w:rsidRPr="00026A59">
              <w:rPr>
                <w:rFonts w:ascii="Times New Roman" w:hAnsi="Times New Roman" w:cs="Times New Roman"/>
                <w:sz w:val="18"/>
                <w:szCs w:val="18"/>
              </w:rPr>
              <w:t>Leverage</w:t>
            </w:r>
          </w:p>
        </w:tc>
        <w:tc>
          <w:tcPr>
            <w:tcW w:w="372" w:type="pct"/>
            <w:tcBorders>
              <w:top w:val="nil"/>
              <w:left w:val="nil"/>
              <w:bottom w:val="nil"/>
              <w:right w:val="nil"/>
            </w:tcBorders>
          </w:tcPr>
          <w:p w14:paraId="1B9BCE68" w14:textId="45800D2C" w:rsidR="005C69B8" w:rsidRPr="00026A59" w:rsidRDefault="005C69B8" w:rsidP="005C69B8">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0.0011</w:t>
            </w:r>
          </w:p>
        </w:tc>
        <w:tc>
          <w:tcPr>
            <w:tcW w:w="372" w:type="pct"/>
            <w:tcBorders>
              <w:top w:val="nil"/>
              <w:left w:val="nil"/>
              <w:bottom w:val="nil"/>
              <w:right w:val="nil"/>
            </w:tcBorders>
          </w:tcPr>
          <w:p w14:paraId="434A398F" w14:textId="5C862B92" w:rsidR="005C69B8" w:rsidRPr="00026A59" w:rsidRDefault="005C69B8" w:rsidP="005C69B8">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-0.0038</w:t>
            </w:r>
          </w:p>
        </w:tc>
        <w:tc>
          <w:tcPr>
            <w:tcW w:w="372" w:type="pct"/>
            <w:tcBorders>
              <w:top w:val="nil"/>
              <w:left w:val="nil"/>
              <w:bottom w:val="nil"/>
              <w:right w:val="nil"/>
            </w:tcBorders>
          </w:tcPr>
          <w:p w14:paraId="118EEB42" w14:textId="22427108" w:rsidR="005C69B8" w:rsidRPr="00026A59" w:rsidRDefault="005C69B8" w:rsidP="005C69B8">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-0.0077</w:t>
            </w:r>
          </w:p>
        </w:tc>
        <w:tc>
          <w:tcPr>
            <w:tcW w:w="372" w:type="pct"/>
            <w:tcBorders>
              <w:top w:val="nil"/>
              <w:left w:val="nil"/>
              <w:bottom w:val="nil"/>
              <w:right w:val="nil"/>
            </w:tcBorders>
          </w:tcPr>
          <w:p w14:paraId="32E40151" w14:textId="69F71672" w:rsidR="005C69B8" w:rsidRPr="00026A59" w:rsidRDefault="005C69B8" w:rsidP="005C69B8">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-0.0038</w:t>
            </w:r>
          </w:p>
        </w:tc>
        <w:tc>
          <w:tcPr>
            <w:tcW w:w="346" w:type="pct"/>
            <w:tcBorders>
              <w:top w:val="nil"/>
              <w:left w:val="nil"/>
              <w:bottom w:val="nil"/>
              <w:right w:val="nil"/>
            </w:tcBorders>
          </w:tcPr>
          <w:p w14:paraId="70135F0F" w14:textId="47250BC0" w:rsidR="005C69B8" w:rsidRPr="0047334B" w:rsidRDefault="005C69B8" w:rsidP="005C69B8">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-0.00391</w:t>
            </w:r>
          </w:p>
        </w:tc>
        <w:tc>
          <w:tcPr>
            <w:tcW w:w="374" w:type="pct"/>
            <w:tcBorders>
              <w:top w:val="nil"/>
              <w:left w:val="nil"/>
              <w:bottom w:val="nil"/>
              <w:right w:val="single" w:sz="4" w:space="0" w:color="auto"/>
            </w:tcBorders>
          </w:tcPr>
          <w:p w14:paraId="3232AC19" w14:textId="734093A6" w:rsidR="005C69B8" w:rsidRPr="00026A59" w:rsidRDefault="005C69B8" w:rsidP="005C69B8">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-0.0025</w:t>
            </w:r>
          </w:p>
        </w:tc>
        <w:tc>
          <w:tcPr>
            <w:tcW w:w="372" w:type="pct"/>
            <w:tcBorders>
              <w:top w:val="nil"/>
              <w:left w:val="single" w:sz="4" w:space="0" w:color="auto"/>
              <w:bottom w:val="nil"/>
              <w:right w:val="nil"/>
            </w:tcBorders>
          </w:tcPr>
          <w:p w14:paraId="5D01196A" w14:textId="0F6D2B6A" w:rsidR="005C69B8" w:rsidRPr="00026A59" w:rsidRDefault="005C69B8" w:rsidP="005C69B8">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0.0010</w:t>
            </w:r>
          </w:p>
        </w:tc>
        <w:tc>
          <w:tcPr>
            <w:tcW w:w="372" w:type="pct"/>
            <w:tcBorders>
              <w:top w:val="nil"/>
              <w:left w:val="nil"/>
              <w:bottom w:val="nil"/>
              <w:right w:val="nil"/>
            </w:tcBorders>
          </w:tcPr>
          <w:p w14:paraId="0E38EBA6" w14:textId="6A272865" w:rsidR="005C69B8" w:rsidRPr="00026A59" w:rsidRDefault="005C69B8" w:rsidP="005C69B8">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0.0007</w:t>
            </w:r>
          </w:p>
        </w:tc>
        <w:tc>
          <w:tcPr>
            <w:tcW w:w="372" w:type="pct"/>
            <w:tcBorders>
              <w:top w:val="nil"/>
              <w:left w:val="nil"/>
              <w:bottom w:val="nil"/>
              <w:right w:val="nil"/>
            </w:tcBorders>
          </w:tcPr>
          <w:p w14:paraId="38B5079C" w14:textId="7B458EF1" w:rsidR="005C69B8" w:rsidRPr="00026A59" w:rsidRDefault="005C69B8" w:rsidP="005C69B8">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0.0006</w:t>
            </w:r>
          </w:p>
        </w:tc>
        <w:tc>
          <w:tcPr>
            <w:tcW w:w="372" w:type="pct"/>
            <w:tcBorders>
              <w:top w:val="nil"/>
              <w:left w:val="nil"/>
              <w:bottom w:val="nil"/>
              <w:right w:val="nil"/>
            </w:tcBorders>
          </w:tcPr>
          <w:p w14:paraId="13F1D061" w14:textId="3689B51A" w:rsidR="005C69B8" w:rsidRPr="00026A59" w:rsidRDefault="005C69B8" w:rsidP="005C69B8">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0.0006</w:t>
            </w:r>
          </w:p>
        </w:tc>
        <w:tc>
          <w:tcPr>
            <w:tcW w:w="388" w:type="pct"/>
            <w:tcBorders>
              <w:top w:val="nil"/>
              <w:left w:val="nil"/>
              <w:bottom w:val="nil"/>
              <w:right w:val="nil"/>
            </w:tcBorders>
          </w:tcPr>
          <w:p w14:paraId="3ED3D183" w14:textId="5BF58288" w:rsidR="005C69B8" w:rsidRPr="0047334B" w:rsidRDefault="005C69B8" w:rsidP="005C69B8">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0.000658</w:t>
            </w:r>
          </w:p>
        </w:tc>
        <w:tc>
          <w:tcPr>
            <w:tcW w:w="372" w:type="pct"/>
            <w:tcBorders>
              <w:top w:val="nil"/>
              <w:left w:val="nil"/>
              <w:bottom w:val="nil"/>
              <w:right w:val="nil"/>
            </w:tcBorders>
          </w:tcPr>
          <w:p w14:paraId="5F1951E0" w14:textId="749D7E4F" w:rsidR="005C69B8" w:rsidRPr="00026A59" w:rsidRDefault="005C69B8" w:rsidP="005C69B8">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0.0008</w:t>
            </w:r>
          </w:p>
        </w:tc>
      </w:tr>
      <w:tr w:rsidR="005C69B8" w:rsidRPr="00411250" w14:paraId="6262C855" w14:textId="77777777" w:rsidTr="005C69B8">
        <w:trPr>
          <w:trHeight w:val="288"/>
          <w:jc w:val="center"/>
        </w:trPr>
        <w:tc>
          <w:tcPr>
            <w:tcW w:w="544" w:type="pct"/>
            <w:tcBorders>
              <w:top w:val="nil"/>
              <w:left w:val="nil"/>
              <w:bottom w:val="nil"/>
              <w:right w:val="nil"/>
            </w:tcBorders>
          </w:tcPr>
          <w:p w14:paraId="539536B6" w14:textId="77777777" w:rsidR="005C69B8" w:rsidRPr="00026A59" w:rsidRDefault="005C69B8" w:rsidP="005C69B8">
            <w:pPr>
              <w:widowControl w:val="0"/>
              <w:autoSpaceDE w:val="0"/>
              <w:autoSpaceDN w:val="0"/>
              <w:adjustRightInd w:val="0"/>
              <w:spacing w:after="0" w:line="240" w:lineRule="auto"/>
              <w:rPr>
                <w:rFonts w:ascii="Times New Roman" w:hAnsi="Times New Roman" w:cs="Times New Roman"/>
                <w:sz w:val="18"/>
                <w:szCs w:val="18"/>
              </w:rPr>
            </w:pPr>
          </w:p>
        </w:tc>
        <w:tc>
          <w:tcPr>
            <w:tcW w:w="372" w:type="pct"/>
            <w:tcBorders>
              <w:top w:val="nil"/>
              <w:left w:val="nil"/>
              <w:bottom w:val="nil"/>
              <w:right w:val="nil"/>
            </w:tcBorders>
          </w:tcPr>
          <w:p w14:paraId="1E60CA2C" w14:textId="590393E9" w:rsidR="005C69B8" w:rsidRPr="00026A59" w:rsidRDefault="005C69B8" w:rsidP="005C69B8">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(0.0037)</w:t>
            </w:r>
          </w:p>
        </w:tc>
        <w:tc>
          <w:tcPr>
            <w:tcW w:w="372" w:type="pct"/>
            <w:tcBorders>
              <w:top w:val="nil"/>
              <w:left w:val="nil"/>
              <w:bottom w:val="nil"/>
              <w:right w:val="nil"/>
            </w:tcBorders>
          </w:tcPr>
          <w:p w14:paraId="0238BC9A" w14:textId="794E2B2E" w:rsidR="005C69B8" w:rsidRPr="00026A59" w:rsidRDefault="005C69B8" w:rsidP="005C69B8">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(0.0052)</w:t>
            </w:r>
          </w:p>
        </w:tc>
        <w:tc>
          <w:tcPr>
            <w:tcW w:w="372" w:type="pct"/>
            <w:tcBorders>
              <w:top w:val="nil"/>
              <w:left w:val="nil"/>
              <w:bottom w:val="nil"/>
              <w:right w:val="nil"/>
            </w:tcBorders>
          </w:tcPr>
          <w:p w14:paraId="55A7FF6A" w14:textId="46DB863C" w:rsidR="005C69B8" w:rsidRPr="00026A59" w:rsidRDefault="005C69B8" w:rsidP="005C69B8">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(0.0050)</w:t>
            </w:r>
          </w:p>
        </w:tc>
        <w:tc>
          <w:tcPr>
            <w:tcW w:w="372" w:type="pct"/>
            <w:tcBorders>
              <w:top w:val="nil"/>
              <w:left w:val="nil"/>
              <w:bottom w:val="nil"/>
              <w:right w:val="nil"/>
            </w:tcBorders>
          </w:tcPr>
          <w:p w14:paraId="28FE6A71" w14:textId="6EB995D1" w:rsidR="005C69B8" w:rsidRPr="00026A59" w:rsidRDefault="005C69B8" w:rsidP="005C69B8">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(0.0049)</w:t>
            </w:r>
          </w:p>
        </w:tc>
        <w:tc>
          <w:tcPr>
            <w:tcW w:w="346" w:type="pct"/>
            <w:tcBorders>
              <w:top w:val="nil"/>
              <w:left w:val="nil"/>
              <w:bottom w:val="nil"/>
              <w:right w:val="nil"/>
            </w:tcBorders>
          </w:tcPr>
          <w:p w14:paraId="43462EDE" w14:textId="60B573F3" w:rsidR="005C69B8" w:rsidRPr="0047334B" w:rsidRDefault="005C69B8" w:rsidP="005C69B8">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(0.00537)</w:t>
            </w:r>
          </w:p>
        </w:tc>
        <w:tc>
          <w:tcPr>
            <w:tcW w:w="374" w:type="pct"/>
            <w:tcBorders>
              <w:top w:val="nil"/>
              <w:left w:val="nil"/>
              <w:bottom w:val="nil"/>
              <w:right w:val="single" w:sz="4" w:space="0" w:color="auto"/>
            </w:tcBorders>
          </w:tcPr>
          <w:p w14:paraId="7680CEDD" w14:textId="2C2E2964" w:rsidR="005C69B8" w:rsidRPr="00026A59" w:rsidRDefault="005C69B8" w:rsidP="005C69B8">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(0.0050)</w:t>
            </w:r>
          </w:p>
        </w:tc>
        <w:tc>
          <w:tcPr>
            <w:tcW w:w="372" w:type="pct"/>
            <w:tcBorders>
              <w:top w:val="nil"/>
              <w:left w:val="single" w:sz="4" w:space="0" w:color="auto"/>
              <w:bottom w:val="nil"/>
              <w:right w:val="nil"/>
            </w:tcBorders>
          </w:tcPr>
          <w:p w14:paraId="468CFAC8" w14:textId="01F69B54" w:rsidR="005C69B8" w:rsidRPr="00026A59" w:rsidRDefault="005C69B8" w:rsidP="005C69B8">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(0.0019)</w:t>
            </w:r>
          </w:p>
        </w:tc>
        <w:tc>
          <w:tcPr>
            <w:tcW w:w="372" w:type="pct"/>
            <w:tcBorders>
              <w:top w:val="nil"/>
              <w:left w:val="nil"/>
              <w:bottom w:val="nil"/>
              <w:right w:val="nil"/>
            </w:tcBorders>
          </w:tcPr>
          <w:p w14:paraId="297DA64C" w14:textId="6CB18941" w:rsidR="005C69B8" w:rsidRPr="00026A59" w:rsidRDefault="005C69B8" w:rsidP="005C69B8">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(0.0020)</w:t>
            </w:r>
          </w:p>
        </w:tc>
        <w:tc>
          <w:tcPr>
            <w:tcW w:w="372" w:type="pct"/>
            <w:tcBorders>
              <w:top w:val="nil"/>
              <w:left w:val="nil"/>
              <w:bottom w:val="nil"/>
              <w:right w:val="nil"/>
            </w:tcBorders>
          </w:tcPr>
          <w:p w14:paraId="54616AB4" w14:textId="71EB751A" w:rsidR="005C69B8" w:rsidRPr="00026A59" w:rsidRDefault="005C69B8" w:rsidP="005C69B8">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(0.0019)</w:t>
            </w:r>
          </w:p>
        </w:tc>
        <w:tc>
          <w:tcPr>
            <w:tcW w:w="372" w:type="pct"/>
            <w:tcBorders>
              <w:top w:val="nil"/>
              <w:left w:val="nil"/>
              <w:bottom w:val="nil"/>
              <w:right w:val="nil"/>
            </w:tcBorders>
          </w:tcPr>
          <w:p w14:paraId="384764F7" w14:textId="70F86C57" w:rsidR="005C69B8" w:rsidRPr="00026A59" w:rsidRDefault="005C69B8" w:rsidP="005C69B8">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(0.0020)</w:t>
            </w:r>
          </w:p>
        </w:tc>
        <w:tc>
          <w:tcPr>
            <w:tcW w:w="388" w:type="pct"/>
            <w:tcBorders>
              <w:top w:val="nil"/>
              <w:left w:val="nil"/>
              <w:bottom w:val="nil"/>
              <w:right w:val="nil"/>
            </w:tcBorders>
          </w:tcPr>
          <w:p w14:paraId="25F92EF3" w14:textId="0561363A" w:rsidR="005C69B8" w:rsidRPr="0047334B" w:rsidRDefault="005C69B8" w:rsidP="005C69B8">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(0.00225)</w:t>
            </w:r>
          </w:p>
        </w:tc>
        <w:tc>
          <w:tcPr>
            <w:tcW w:w="372" w:type="pct"/>
            <w:tcBorders>
              <w:top w:val="nil"/>
              <w:left w:val="nil"/>
              <w:bottom w:val="nil"/>
              <w:right w:val="nil"/>
            </w:tcBorders>
          </w:tcPr>
          <w:p w14:paraId="638AE43C" w14:textId="7D6A02D8" w:rsidR="005C69B8" w:rsidRPr="00026A59" w:rsidRDefault="005C69B8" w:rsidP="005C69B8">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(0.0021)</w:t>
            </w:r>
          </w:p>
        </w:tc>
      </w:tr>
      <w:tr w:rsidR="00CA5C10" w:rsidRPr="00411250" w14:paraId="136E8791" w14:textId="77777777" w:rsidTr="005C69B8">
        <w:trPr>
          <w:trHeight w:val="288"/>
          <w:jc w:val="center"/>
        </w:trPr>
        <w:tc>
          <w:tcPr>
            <w:tcW w:w="544" w:type="pct"/>
            <w:tcBorders>
              <w:top w:val="nil"/>
              <w:left w:val="nil"/>
              <w:bottom w:val="nil"/>
              <w:right w:val="nil"/>
            </w:tcBorders>
          </w:tcPr>
          <w:p w14:paraId="7F2AF726" w14:textId="77777777" w:rsidR="00CA5C10" w:rsidRPr="00026A59" w:rsidRDefault="00CA5C10" w:rsidP="00CA5C10">
            <w:pPr>
              <w:widowControl w:val="0"/>
              <w:autoSpaceDE w:val="0"/>
              <w:autoSpaceDN w:val="0"/>
              <w:adjustRightInd w:val="0"/>
              <w:spacing w:after="0" w:line="240" w:lineRule="auto"/>
              <w:rPr>
                <w:rFonts w:ascii="Times New Roman" w:hAnsi="Times New Roman" w:cs="Times New Roman"/>
                <w:sz w:val="18"/>
                <w:szCs w:val="18"/>
              </w:rPr>
            </w:pPr>
            <w:r w:rsidRPr="00026A59">
              <w:rPr>
                <w:rFonts w:ascii="Times New Roman" w:hAnsi="Times New Roman" w:cs="Times New Roman"/>
                <w:sz w:val="18"/>
                <w:szCs w:val="18"/>
              </w:rPr>
              <w:lastRenderedPageBreak/>
              <w:t>Employees</w:t>
            </w:r>
          </w:p>
        </w:tc>
        <w:tc>
          <w:tcPr>
            <w:tcW w:w="372" w:type="pct"/>
            <w:tcBorders>
              <w:top w:val="nil"/>
              <w:left w:val="nil"/>
              <w:bottom w:val="nil"/>
              <w:right w:val="nil"/>
            </w:tcBorders>
          </w:tcPr>
          <w:p w14:paraId="2E587780"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0.0271</w:t>
            </w:r>
          </w:p>
        </w:tc>
        <w:tc>
          <w:tcPr>
            <w:tcW w:w="372" w:type="pct"/>
            <w:tcBorders>
              <w:top w:val="nil"/>
              <w:left w:val="nil"/>
              <w:bottom w:val="nil"/>
              <w:right w:val="nil"/>
            </w:tcBorders>
          </w:tcPr>
          <w:p w14:paraId="12ED255F"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-0.122**</w:t>
            </w:r>
          </w:p>
        </w:tc>
        <w:tc>
          <w:tcPr>
            <w:tcW w:w="372" w:type="pct"/>
            <w:tcBorders>
              <w:top w:val="nil"/>
              <w:left w:val="nil"/>
              <w:bottom w:val="nil"/>
              <w:right w:val="nil"/>
            </w:tcBorders>
          </w:tcPr>
          <w:p w14:paraId="2EBF6602"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-0.148**</w:t>
            </w:r>
          </w:p>
        </w:tc>
        <w:tc>
          <w:tcPr>
            <w:tcW w:w="372" w:type="pct"/>
            <w:tcBorders>
              <w:top w:val="nil"/>
              <w:left w:val="nil"/>
              <w:bottom w:val="nil"/>
              <w:right w:val="nil"/>
            </w:tcBorders>
          </w:tcPr>
          <w:p w14:paraId="7FB932EA"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-0.128**</w:t>
            </w:r>
          </w:p>
        </w:tc>
        <w:tc>
          <w:tcPr>
            <w:tcW w:w="346" w:type="pct"/>
            <w:tcBorders>
              <w:top w:val="nil"/>
              <w:left w:val="nil"/>
              <w:bottom w:val="nil"/>
              <w:right w:val="nil"/>
            </w:tcBorders>
          </w:tcPr>
          <w:p w14:paraId="5655E007" w14:textId="706AF339"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-0.116**</w:t>
            </w:r>
          </w:p>
        </w:tc>
        <w:tc>
          <w:tcPr>
            <w:tcW w:w="374" w:type="pct"/>
            <w:tcBorders>
              <w:top w:val="nil"/>
              <w:left w:val="nil"/>
              <w:bottom w:val="nil"/>
              <w:right w:val="single" w:sz="4" w:space="0" w:color="auto"/>
            </w:tcBorders>
          </w:tcPr>
          <w:p w14:paraId="7EE33330" w14:textId="7F75694E"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-0.122**</w:t>
            </w:r>
          </w:p>
        </w:tc>
        <w:tc>
          <w:tcPr>
            <w:tcW w:w="372" w:type="pct"/>
            <w:tcBorders>
              <w:top w:val="nil"/>
              <w:left w:val="single" w:sz="4" w:space="0" w:color="auto"/>
              <w:bottom w:val="nil"/>
              <w:right w:val="nil"/>
            </w:tcBorders>
          </w:tcPr>
          <w:p w14:paraId="6D2FC620"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0.0484</w:t>
            </w:r>
          </w:p>
        </w:tc>
        <w:tc>
          <w:tcPr>
            <w:tcW w:w="372" w:type="pct"/>
            <w:tcBorders>
              <w:top w:val="nil"/>
              <w:left w:val="nil"/>
              <w:bottom w:val="nil"/>
              <w:right w:val="nil"/>
            </w:tcBorders>
          </w:tcPr>
          <w:p w14:paraId="5CD0A60B"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0.0477</w:t>
            </w:r>
          </w:p>
        </w:tc>
        <w:tc>
          <w:tcPr>
            <w:tcW w:w="372" w:type="pct"/>
            <w:tcBorders>
              <w:top w:val="nil"/>
              <w:left w:val="nil"/>
              <w:bottom w:val="nil"/>
              <w:right w:val="nil"/>
            </w:tcBorders>
          </w:tcPr>
          <w:p w14:paraId="4B7EEDE7"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0.0482</w:t>
            </w:r>
          </w:p>
        </w:tc>
        <w:tc>
          <w:tcPr>
            <w:tcW w:w="372" w:type="pct"/>
            <w:tcBorders>
              <w:top w:val="nil"/>
              <w:left w:val="nil"/>
              <w:bottom w:val="nil"/>
              <w:right w:val="nil"/>
            </w:tcBorders>
          </w:tcPr>
          <w:p w14:paraId="5F79A510"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0.0501</w:t>
            </w:r>
          </w:p>
        </w:tc>
        <w:tc>
          <w:tcPr>
            <w:tcW w:w="388" w:type="pct"/>
            <w:tcBorders>
              <w:top w:val="nil"/>
              <w:left w:val="nil"/>
              <w:bottom w:val="nil"/>
              <w:right w:val="nil"/>
            </w:tcBorders>
          </w:tcPr>
          <w:p w14:paraId="5A934352" w14:textId="053DD4F3"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0.0789</w:t>
            </w:r>
          </w:p>
        </w:tc>
        <w:tc>
          <w:tcPr>
            <w:tcW w:w="372" w:type="pct"/>
            <w:tcBorders>
              <w:top w:val="nil"/>
              <w:left w:val="nil"/>
              <w:bottom w:val="nil"/>
              <w:right w:val="nil"/>
            </w:tcBorders>
          </w:tcPr>
          <w:p w14:paraId="58BE311A" w14:textId="107E5BC5"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0.0444</w:t>
            </w:r>
          </w:p>
        </w:tc>
      </w:tr>
      <w:tr w:rsidR="00CA5C10" w:rsidRPr="00411250" w14:paraId="3F6E7291" w14:textId="77777777" w:rsidTr="005C69B8">
        <w:trPr>
          <w:trHeight w:val="288"/>
          <w:jc w:val="center"/>
        </w:trPr>
        <w:tc>
          <w:tcPr>
            <w:tcW w:w="544" w:type="pct"/>
            <w:tcBorders>
              <w:top w:val="nil"/>
              <w:left w:val="nil"/>
              <w:bottom w:val="nil"/>
              <w:right w:val="nil"/>
            </w:tcBorders>
          </w:tcPr>
          <w:p w14:paraId="12538658" w14:textId="77777777" w:rsidR="00CA5C10" w:rsidRPr="00026A59" w:rsidRDefault="00CA5C10" w:rsidP="00CA5C10">
            <w:pPr>
              <w:widowControl w:val="0"/>
              <w:autoSpaceDE w:val="0"/>
              <w:autoSpaceDN w:val="0"/>
              <w:adjustRightInd w:val="0"/>
              <w:spacing w:after="0" w:line="240" w:lineRule="auto"/>
              <w:rPr>
                <w:rFonts w:ascii="Times New Roman" w:hAnsi="Times New Roman" w:cs="Times New Roman"/>
                <w:sz w:val="18"/>
                <w:szCs w:val="18"/>
              </w:rPr>
            </w:pPr>
          </w:p>
        </w:tc>
        <w:tc>
          <w:tcPr>
            <w:tcW w:w="372" w:type="pct"/>
            <w:tcBorders>
              <w:top w:val="nil"/>
              <w:left w:val="nil"/>
              <w:bottom w:val="nil"/>
              <w:right w:val="nil"/>
            </w:tcBorders>
          </w:tcPr>
          <w:p w14:paraId="29558815"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(0.106)</w:t>
            </w:r>
          </w:p>
        </w:tc>
        <w:tc>
          <w:tcPr>
            <w:tcW w:w="372" w:type="pct"/>
            <w:tcBorders>
              <w:top w:val="nil"/>
              <w:left w:val="nil"/>
              <w:bottom w:val="nil"/>
              <w:right w:val="nil"/>
            </w:tcBorders>
          </w:tcPr>
          <w:p w14:paraId="51524440"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(0.0539)</w:t>
            </w:r>
          </w:p>
        </w:tc>
        <w:tc>
          <w:tcPr>
            <w:tcW w:w="372" w:type="pct"/>
            <w:tcBorders>
              <w:top w:val="nil"/>
              <w:left w:val="nil"/>
              <w:bottom w:val="nil"/>
              <w:right w:val="nil"/>
            </w:tcBorders>
          </w:tcPr>
          <w:p w14:paraId="5C11350C"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(0.0689)</w:t>
            </w:r>
          </w:p>
        </w:tc>
        <w:tc>
          <w:tcPr>
            <w:tcW w:w="372" w:type="pct"/>
            <w:tcBorders>
              <w:top w:val="nil"/>
              <w:left w:val="nil"/>
              <w:bottom w:val="nil"/>
              <w:right w:val="nil"/>
            </w:tcBorders>
          </w:tcPr>
          <w:p w14:paraId="1B2CF97C"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(0.0559)</w:t>
            </w:r>
          </w:p>
        </w:tc>
        <w:tc>
          <w:tcPr>
            <w:tcW w:w="346" w:type="pct"/>
            <w:tcBorders>
              <w:top w:val="nil"/>
              <w:left w:val="nil"/>
              <w:bottom w:val="nil"/>
              <w:right w:val="nil"/>
            </w:tcBorders>
          </w:tcPr>
          <w:p w14:paraId="505AE0CA" w14:textId="5201C99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(0.0524)</w:t>
            </w:r>
          </w:p>
        </w:tc>
        <w:tc>
          <w:tcPr>
            <w:tcW w:w="374" w:type="pct"/>
            <w:tcBorders>
              <w:top w:val="nil"/>
              <w:left w:val="nil"/>
              <w:bottom w:val="nil"/>
              <w:right w:val="single" w:sz="4" w:space="0" w:color="auto"/>
            </w:tcBorders>
          </w:tcPr>
          <w:p w14:paraId="276BC1A5" w14:textId="37804EC6"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(0.0577)</w:t>
            </w:r>
          </w:p>
        </w:tc>
        <w:tc>
          <w:tcPr>
            <w:tcW w:w="372" w:type="pct"/>
            <w:tcBorders>
              <w:top w:val="nil"/>
              <w:left w:val="single" w:sz="4" w:space="0" w:color="auto"/>
              <w:bottom w:val="nil"/>
              <w:right w:val="nil"/>
            </w:tcBorders>
          </w:tcPr>
          <w:p w14:paraId="6BF0A83C"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(0.0646)</w:t>
            </w:r>
          </w:p>
        </w:tc>
        <w:tc>
          <w:tcPr>
            <w:tcW w:w="372" w:type="pct"/>
            <w:tcBorders>
              <w:top w:val="nil"/>
              <w:left w:val="nil"/>
              <w:bottom w:val="nil"/>
              <w:right w:val="nil"/>
            </w:tcBorders>
          </w:tcPr>
          <w:p w14:paraId="0A730913"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(0.0635)</w:t>
            </w:r>
          </w:p>
        </w:tc>
        <w:tc>
          <w:tcPr>
            <w:tcW w:w="372" w:type="pct"/>
            <w:tcBorders>
              <w:top w:val="nil"/>
              <w:left w:val="nil"/>
              <w:bottom w:val="nil"/>
              <w:right w:val="nil"/>
            </w:tcBorders>
          </w:tcPr>
          <w:p w14:paraId="7A2FDA5E"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(0.0634)</w:t>
            </w:r>
          </w:p>
        </w:tc>
        <w:tc>
          <w:tcPr>
            <w:tcW w:w="372" w:type="pct"/>
            <w:tcBorders>
              <w:top w:val="nil"/>
              <w:left w:val="nil"/>
              <w:bottom w:val="nil"/>
              <w:right w:val="nil"/>
            </w:tcBorders>
          </w:tcPr>
          <w:p w14:paraId="18D93865"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(0.0648)</w:t>
            </w:r>
          </w:p>
        </w:tc>
        <w:tc>
          <w:tcPr>
            <w:tcW w:w="388" w:type="pct"/>
            <w:tcBorders>
              <w:top w:val="nil"/>
              <w:left w:val="nil"/>
              <w:bottom w:val="nil"/>
              <w:right w:val="nil"/>
            </w:tcBorders>
          </w:tcPr>
          <w:p w14:paraId="03892D67" w14:textId="301F2786"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(0.0656)</w:t>
            </w:r>
          </w:p>
        </w:tc>
        <w:tc>
          <w:tcPr>
            <w:tcW w:w="372" w:type="pct"/>
            <w:tcBorders>
              <w:top w:val="nil"/>
              <w:left w:val="nil"/>
              <w:bottom w:val="nil"/>
              <w:right w:val="nil"/>
            </w:tcBorders>
          </w:tcPr>
          <w:p w14:paraId="60553210" w14:textId="5E8A87D0"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(0.0645)</w:t>
            </w:r>
          </w:p>
        </w:tc>
      </w:tr>
      <w:tr w:rsidR="00CA5C10" w:rsidRPr="00411250" w14:paraId="50D9C139" w14:textId="77777777" w:rsidTr="005C69B8">
        <w:trPr>
          <w:trHeight w:val="288"/>
          <w:jc w:val="center"/>
        </w:trPr>
        <w:tc>
          <w:tcPr>
            <w:tcW w:w="544" w:type="pct"/>
            <w:tcBorders>
              <w:top w:val="nil"/>
              <w:left w:val="nil"/>
              <w:bottom w:val="nil"/>
              <w:right w:val="nil"/>
            </w:tcBorders>
          </w:tcPr>
          <w:p w14:paraId="0B2E0DF4" w14:textId="77777777" w:rsidR="00CA5C10" w:rsidRPr="00026A59" w:rsidRDefault="00CA5C10" w:rsidP="00CA5C10">
            <w:pPr>
              <w:widowControl w:val="0"/>
              <w:autoSpaceDE w:val="0"/>
              <w:autoSpaceDN w:val="0"/>
              <w:adjustRightInd w:val="0"/>
              <w:spacing w:after="0" w:line="240" w:lineRule="auto"/>
              <w:rPr>
                <w:rFonts w:ascii="Times New Roman" w:hAnsi="Times New Roman" w:cs="Times New Roman"/>
                <w:sz w:val="18"/>
                <w:szCs w:val="18"/>
              </w:rPr>
            </w:pPr>
            <w:r w:rsidRPr="00026A59">
              <w:rPr>
                <w:rFonts w:ascii="Times New Roman" w:hAnsi="Times New Roman" w:cs="Times New Roman"/>
                <w:sz w:val="18"/>
                <w:szCs w:val="18"/>
              </w:rPr>
              <w:t>Slack</w:t>
            </w:r>
          </w:p>
        </w:tc>
        <w:tc>
          <w:tcPr>
            <w:tcW w:w="372" w:type="pct"/>
            <w:tcBorders>
              <w:top w:val="nil"/>
              <w:left w:val="nil"/>
              <w:bottom w:val="nil"/>
              <w:right w:val="nil"/>
            </w:tcBorders>
          </w:tcPr>
          <w:p w14:paraId="00DA04FD"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-0.426</w:t>
            </w:r>
          </w:p>
        </w:tc>
        <w:tc>
          <w:tcPr>
            <w:tcW w:w="372" w:type="pct"/>
            <w:tcBorders>
              <w:top w:val="nil"/>
              <w:left w:val="nil"/>
              <w:bottom w:val="nil"/>
              <w:right w:val="nil"/>
            </w:tcBorders>
          </w:tcPr>
          <w:p w14:paraId="46FE0BFE"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-0.592</w:t>
            </w:r>
          </w:p>
        </w:tc>
        <w:tc>
          <w:tcPr>
            <w:tcW w:w="372" w:type="pct"/>
            <w:tcBorders>
              <w:top w:val="nil"/>
              <w:left w:val="nil"/>
              <w:bottom w:val="nil"/>
              <w:right w:val="nil"/>
            </w:tcBorders>
          </w:tcPr>
          <w:p w14:paraId="1B1EDDF4"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-0.333</w:t>
            </w:r>
          </w:p>
        </w:tc>
        <w:tc>
          <w:tcPr>
            <w:tcW w:w="372" w:type="pct"/>
            <w:tcBorders>
              <w:top w:val="nil"/>
              <w:left w:val="nil"/>
              <w:bottom w:val="nil"/>
              <w:right w:val="nil"/>
            </w:tcBorders>
          </w:tcPr>
          <w:p w14:paraId="0A358DF2"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-0.739</w:t>
            </w:r>
          </w:p>
        </w:tc>
        <w:tc>
          <w:tcPr>
            <w:tcW w:w="346" w:type="pct"/>
            <w:tcBorders>
              <w:top w:val="nil"/>
              <w:left w:val="nil"/>
              <w:bottom w:val="nil"/>
              <w:right w:val="nil"/>
            </w:tcBorders>
          </w:tcPr>
          <w:p w14:paraId="2ED4423A" w14:textId="299F97AC"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-0.627</w:t>
            </w:r>
          </w:p>
        </w:tc>
        <w:tc>
          <w:tcPr>
            <w:tcW w:w="374" w:type="pct"/>
            <w:tcBorders>
              <w:top w:val="nil"/>
              <w:left w:val="nil"/>
              <w:bottom w:val="nil"/>
              <w:right w:val="single" w:sz="4" w:space="0" w:color="auto"/>
            </w:tcBorders>
          </w:tcPr>
          <w:p w14:paraId="43932826" w14:textId="496E7D93"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-0.585</w:t>
            </w:r>
          </w:p>
        </w:tc>
        <w:tc>
          <w:tcPr>
            <w:tcW w:w="372" w:type="pct"/>
            <w:tcBorders>
              <w:top w:val="nil"/>
              <w:left w:val="single" w:sz="4" w:space="0" w:color="auto"/>
              <w:bottom w:val="nil"/>
              <w:right w:val="nil"/>
            </w:tcBorders>
          </w:tcPr>
          <w:p w14:paraId="7F780C39"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-0.173</w:t>
            </w:r>
          </w:p>
        </w:tc>
        <w:tc>
          <w:tcPr>
            <w:tcW w:w="372" w:type="pct"/>
            <w:tcBorders>
              <w:top w:val="nil"/>
              <w:left w:val="nil"/>
              <w:bottom w:val="nil"/>
              <w:right w:val="nil"/>
            </w:tcBorders>
          </w:tcPr>
          <w:p w14:paraId="3B79DF6B"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-0.118</w:t>
            </w:r>
          </w:p>
        </w:tc>
        <w:tc>
          <w:tcPr>
            <w:tcW w:w="372" w:type="pct"/>
            <w:tcBorders>
              <w:top w:val="nil"/>
              <w:left w:val="nil"/>
              <w:bottom w:val="nil"/>
              <w:right w:val="nil"/>
            </w:tcBorders>
          </w:tcPr>
          <w:p w14:paraId="4D7CD753"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-0.136</w:t>
            </w:r>
          </w:p>
        </w:tc>
        <w:tc>
          <w:tcPr>
            <w:tcW w:w="372" w:type="pct"/>
            <w:tcBorders>
              <w:top w:val="nil"/>
              <w:left w:val="nil"/>
              <w:bottom w:val="nil"/>
              <w:right w:val="nil"/>
            </w:tcBorders>
          </w:tcPr>
          <w:p w14:paraId="495D619F"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-0.111</w:t>
            </w:r>
          </w:p>
        </w:tc>
        <w:tc>
          <w:tcPr>
            <w:tcW w:w="388" w:type="pct"/>
            <w:tcBorders>
              <w:top w:val="nil"/>
              <w:left w:val="nil"/>
              <w:bottom w:val="nil"/>
              <w:right w:val="nil"/>
            </w:tcBorders>
          </w:tcPr>
          <w:p w14:paraId="41D98C6F" w14:textId="363C10D4"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-0.179</w:t>
            </w:r>
          </w:p>
        </w:tc>
        <w:tc>
          <w:tcPr>
            <w:tcW w:w="372" w:type="pct"/>
            <w:tcBorders>
              <w:top w:val="nil"/>
              <w:left w:val="nil"/>
              <w:bottom w:val="nil"/>
              <w:right w:val="nil"/>
            </w:tcBorders>
          </w:tcPr>
          <w:p w14:paraId="1E76DBC4" w14:textId="409F7F0A"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-0.141</w:t>
            </w:r>
          </w:p>
        </w:tc>
      </w:tr>
      <w:tr w:rsidR="00CA5C10" w:rsidRPr="00411250" w14:paraId="63ED8D5B" w14:textId="77777777" w:rsidTr="005C69B8">
        <w:trPr>
          <w:trHeight w:val="288"/>
          <w:jc w:val="center"/>
        </w:trPr>
        <w:tc>
          <w:tcPr>
            <w:tcW w:w="544" w:type="pct"/>
            <w:tcBorders>
              <w:top w:val="nil"/>
              <w:left w:val="nil"/>
              <w:bottom w:val="nil"/>
              <w:right w:val="nil"/>
            </w:tcBorders>
          </w:tcPr>
          <w:p w14:paraId="4CD68B70" w14:textId="77777777" w:rsidR="00CA5C10" w:rsidRPr="00026A59" w:rsidRDefault="00CA5C10" w:rsidP="00CA5C10">
            <w:pPr>
              <w:widowControl w:val="0"/>
              <w:autoSpaceDE w:val="0"/>
              <w:autoSpaceDN w:val="0"/>
              <w:adjustRightInd w:val="0"/>
              <w:spacing w:after="0" w:line="240" w:lineRule="auto"/>
              <w:rPr>
                <w:rFonts w:ascii="Times New Roman" w:hAnsi="Times New Roman" w:cs="Times New Roman"/>
                <w:sz w:val="18"/>
                <w:szCs w:val="18"/>
              </w:rPr>
            </w:pPr>
          </w:p>
        </w:tc>
        <w:tc>
          <w:tcPr>
            <w:tcW w:w="372" w:type="pct"/>
            <w:tcBorders>
              <w:top w:val="nil"/>
              <w:left w:val="nil"/>
              <w:bottom w:val="nil"/>
              <w:right w:val="nil"/>
            </w:tcBorders>
          </w:tcPr>
          <w:p w14:paraId="5DB01875"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(0.315)</w:t>
            </w:r>
          </w:p>
        </w:tc>
        <w:tc>
          <w:tcPr>
            <w:tcW w:w="372" w:type="pct"/>
            <w:tcBorders>
              <w:top w:val="nil"/>
              <w:left w:val="nil"/>
              <w:bottom w:val="nil"/>
              <w:right w:val="nil"/>
            </w:tcBorders>
          </w:tcPr>
          <w:p w14:paraId="47A7395D"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(0.529)</w:t>
            </w:r>
          </w:p>
        </w:tc>
        <w:tc>
          <w:tcPr>
            <w:tcW w:w="372" w:type="pct"/>
            <w:tcBorders>
              <w:top w:val="nil"/>
              <w:left w:val="nil"/>
              <w:bottom w:val="nil"/>
              <w:right w:val="nil"/>
            </w:tcBorders>
          </w:tcPr>
          <w:p w14:paraId="75507E19"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(0.557)</w:t>
            </w:r>
          </w:p>
        </w:tc>
        <w:tc>
          <w:tcPr>
            <w:tcW w:w="372" w:type="pct"/>
            <w:tcBorders>
              <w:top w:val="nil"/>
              <w:left w:val="nil"/>
              <w:bottom w:val="nil"/>
              <w:right w:val="nil"/>
            </w:tcBorders>
          </w:tcPr>
          <w:p w14:paraId="2C0272B4"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(0.516)</w:t>
            </w:r>
          </w:p>
        </w:tc>
        <w:tc>
          <w:tcPr>
            <w:tcW w:w="346" w:type="pct"/>
            <w:tcBorders>
              <w:top w:val="nil"/>
              <w:left w:val="nil"/>
              <w:bottom w:val="nil"/>
              <w:right w:val="nil"/>
            </w:tcBorders>
          </w:tcPr>
          <w:p w14:paraId="58265B40" w14:textId="6A8A77F3"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(0.512)</w:t>
            </w:r>
          </w:p>
        </w:tc>
        <w:tc>
          <w:tcPr>
            <w:tcW w:w="374" w:type="pct"/>
            <w:tcBorders>
              <w:top w:val="nil"/>
              <w:left w:val="nil"/>
              <w:bottom w:val="nil"/>
              <w:right w:val="single" w:sz="4" w:space="0" w:color="auto"/>
            </w:tcBorders>
          </w:tcPr>
          <w:p w14:paraId="74F73356" w14:textId="1FFD6C09"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(0.541)</w:t>
            </w:r>
          </w:p>
        </w:tc>
        <w:tc>
          <w:tcPr>
            <w:tcW w:w="372" w:type="pct"/>
            <w:tcBorders>
              <w:top w:val="nil"/>
              <w:left w:val="single" w:sz="4" w:space="0" w:color="auto"/>
              <w:bottom w:val="nil"/>
              <w:right w:val="nil"/>
            </w:tcBorders>
          </w:tcPr>
          <w:p w14:paraId="4A79632D"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(0.190)</w:t>
            </w:r>
          </w:p>
        </w:tc>
        <w:tc>
          <w:tcPr>
            <w:tcW w:w="372" w:type="pct"/>
            <w:tcBorders>
              <w:top w:val="nil"/>
              <w:left w:val="nil"/>
              <w:bottom w:val="nil"/>
              <w:right w:val="nil"/>
            </w:tcBorders>
          </w:tcPr>
          <w:p w14:paraId="2DDE95C8"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(0.226)</w:t>
            </w:r>
          </w:p>
        </w:tc>
        <w:tc>
          <w:tcPr>
            <w:tcW w:w="372" w:type="pct"/>
            <w:tcBorders>
              <w:top w:val="nil"/>
              <w:left w:val="nil"/>
              <w:bottom w:val="nil"/>
              <w:right w:val="nil"/>
            </w:tcBorders>
          </w:tcPr>
          <w:p w14:paraId="4F24EABA"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(0.248)</w:t>
            </w:r>
          </w:p>
        </w:tc>
        <w:tc>
          <w:tcPr>
            <w:tcW w:w="372" w:type="pct"/>
            <w:tcBorders>
              <w:top w:val="nil"/>
              <w:left w:val="nil"/>
              <w:bottom w:val="nil"/>
              <w:right w:val="nil"/>
            </w:tcBorders>
          </w:tcPr>
          <w:p w14:paraId="564DCFF0"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(0.252)</w:t>
            </w:r>
          </w:p>
        </w:tc>
        <w:tc>
          <w:tcPr>
            <w:tcW w:w="388" w:type="pct"/>
            <w:tcBorders>
              <w:top w:val="nil"/>
              <w:left w:val="nil"/>
              <w:bottom w:val="nil"/>
              <w:right w:val="nil"/>
            </w:tcBorders>
          </w:tcPr>
          <w:p w14:paraId="1659B798" w14:textId="395E63FE"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(0.265)</w:t>
            </w:r>
          </w:p>
        </w:tc>
        <w:tc>
          <w:tcPr>
            <w:tcW w:w="372" w:type="pct"/>
            <w:tcBorders>
              <w:top w:val="nil"/>
              <w:left w:val="nil"/>
              <w:bottom w:val="nil"/>
              <w:right w:val="nil"/>
            </w:tcBorders>
          </w:tcPr>
          <w:p w14:paraId="022F1963" w14:textId="51ED4415"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(0.251)</w:t>
            </w:r>
          </w:p>
        </w:tc>
      </w:tr>
      <w:tr w:rsidR="00CA5C10" w:rsidRPr="00411250" w14:paraId="1F93B1A8" w14:textId="77777777" w:rsidTr="005C69B8">
        <w:trPr>
          <w:trHeight w:val="288"/>
          <w:jc w:val="center"/>
        </w:trPr>
        <w:tc>
          <w:tcPr>
            <w:tcW w:w="544" w:type="pct"/>
            <w:tcBorders>
              <w:top w:val="nil"/>
              <w:left w:val="nil"/>
              <w:bottom w:val="nil"/>
              <w:right w:val="nil"/>
            </w:tcBorders>
          </w:tcPr>
          <w:p w14:paraId="2B54C436" w14:textId="77777777" w:rsidR="00CA5C10" w:rsidRPr="00026A59" w:rsidRDefault="00CA5C10" w:rsidP="00CA5C10">
            <w:pPr>
              <w:widowControl w:val="0"/>
              <w:autoSpaceDE w:val="0"/>
              <w:autoSpaceDN w:val="0"/>
              <w:adjustRightInd w:val="0"/>
              <w:spacing w:after="0" w:line="240" w:lineRule="auto"/>
              <w:rPr>
                <w:rFonts w:ascii="Times New Roman" w:hAnsi="Times New Roman" w:cs="Times New Roman"/>
                <w:sz w:val="18"/>
                <w:szCs w:val="18"/>
              </w:rPr>
            </w:pPr>
            <w:r w:rsidRPr="00026A59">
              <w:rPr>
                <w:rFonts w:ascii="Times New Roman" w:hAnsi="Times New Roman" w:cs="Times New Roman"/>
                <w:sz w:val="18"/>
                <w:szCs w:val="18"/>
              </w:rPr>
              <w:t>Intensity</w:t>
            </w:r>
          </w:p>
        </w:tc>
        <w:tc>
          <w:tcPr>
            <w:tcW w:w="372" w:type="pct"/>
            <w:tcBorders>
              <w:top w:val="nil"/>
              <w:left w:val="nil"/>
              <w:bottom w:val="nil"/>
              <w:right w:val="nil"/>
            </w:tcBorders>
          </w:tcPr>
          <w:p w14:paraId="6DF82887"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0.167</w:t>
            </w:r>
          </w:p>
        </w:tc>
        <w:tc>
          <w:tcPr>
            <w:tcW w:w="372" w:type="pct"/>
            <w:tcBorders>
              <w:top w:val="nil"/>
              <w:left w:val="nil"/>
              <w:bottom w:val="nil"/>
              <w:right w:val="nil"/>
            </w:tcBorders>
          </w:tcPr>
          <w:p w14:paraId="6437A5DF"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-0.296</w:t>
            </w:r>
          </w:p>
        </w:tc>
        <w:tc>
          <w:tcPr>
            <w:tcW w:w="372" w:type="pct"/>
            <w:tcBorders>
              <w:top w:val="nil"/>
              <w:left w:val="nil"/>
              <w:bottom w:val="nil"/>
              <w:right w:val="nil"/>
            </w:tcBorders>
          </w:tcPr>
          <w:p w14:paraId="45E34C54"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-0.249</w:t>
            </w:r>
          </w:p>
        </w:tc>
        <w:tc>
          <w:tcPr>
            <w:tcW w:w="372" w:type="pct"/>
            <w:tcBorders>
              <w:top w:val="nil"/>
              <w:left w:val="nil"/>
              <w:bottom w:val="nil"/>
              <w:right w:val="nil"/>
            </w:tcBorders>
          </w:tcPr>
          <w:p w14:paraId="3BF41712"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-0.279</w:t>
            </w:r>
          </w:p>
        </w:tc>
        <w:tc>
          <w:tcPr>
            <w:tcW w:w="346" w:type="pct"/>
            <w:tcBorders>
              <w:top w:val="nil"/>
              <w:left w:val="nil"/>
              <w:bottom w:val="nil"/>
              <w:right w:val="nil"/>
            </w:tcBorders>
          </w:tcPr>
          <w:p w14:paraId="3709D8D5" w14:textId="5D2896A4"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-0.235</w:t>
            </w:r>
          </w:p>
        </w:tc>
        <w:tc>
          <w:tcPr>
            <w:tcW w:w="374" w:type="pct"/>
            <w:tcBorders>
              <w:top w:val="nil"/>
              <w:left w:val="nil"/>
              <w:bottom w:val="nil"/>
              <w:right w:val="single" w:sz="4" w:space="0" w:color="auto"/>
            </w:tcBorders>
          </w:tcPr>
          <w:p w14:paraId="1E25DE3D" w14:textId="5287991D"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-0.337</w:t>
            </w:r>
          </w:p>
        </w:tc>
        <w:tc>
          <w:tcPr>
            <w:tcW w:w="372" w:type="pct"/>
            <w:tcBorders>
              <w:top w:val="nil"/>
              <w:left w:val="single" w:sz="4" w:space="0" w:color="auto"/>
              <w:bottom w:val="nil"/>
              <w:right w:val="nil"/>
            </w:tcBorders>
          </w:tcPr>
          <w:p w14:paraId="2DCB95B0"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-0.0483</w:t>
            </w:r>
          </w:p>
        </w:tc>
        <w:tc>
          <w:tcPr>
            <w:tcW w:w="372" w:type="pct"/>
            <w:tcBorders>
              <w:top w:val="nil"/>
              <w:left w:val="nil"/>
              <w:bottom w:val="nil"/>
              <w:right w:val="nil"/>
            </w:tcBorders>
          </w:tcPr>
          <w:p w14:paraId="763A5E5F"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0.0402</w:t>
            </w:r>
          </w:p>
        </w:tc>
        <w:tc>
          <w:tcPr>
            <w:tcW w:w="372" w:type="pct"/>
            <w:tcBorders>
              <w:top w:val="nil"/>
              <w:left w:val="nil"/>
              <w:bottom w:val="nil"/>
              <w:right w:val="nil"/>
            </w:tcBorders>
          </w:tcPr>
          <w:p w14:paraId="38434FC2"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0.0381</w:t>
            </w:r>
          </w:p>
        </w:tc>
        <w:tc>
          <w:tcPr>
            <w:tcW w:w="372" w:type="pct"/>
            <w:tcBorders>
              <w:top w:val="nil"/>
              <w:left w:val="nil"/>
              <w:bottom w:val="nil"/>
              <w:right w:val="nil"/>
            </w:tcBorders>
          </w:tcPr>
          <w:p w14:paraId="09579906"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0.0646</w:t>
            </w:r>
          </w:p>
        </w:tc>
        <w:tc>
          <w:tcPr>
            <w:tcW w:w="388" w:type="pct"/>
            <w:tcBorders>
              <w:top w:val="nil"/>
              <w:left w:val="nil"/>
              <w:bottom w:val="nil"/>
              <w:right w:val="nil"/>
            </w:tcBorders>
          </w:tcPr>
          <w:p w14:paraId="0B6ACE15" w14:textId="752ECBFB"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-0.00545</w:t>
            </w:r>
          </w:p>
        </w:tc>
        <w:tc>
          <w:tcPr>
            <w:tcW w:w="372" w:type="pct"/>
            <w:tcBorders>
              <w:top w:val="nil"/>
              <w:left w:val="nil"/>
              <w:bottom w:val="nil"/>
              <w:right w:val="nil"/>
            </w:tcBorders>
          </w:tcPr>
          <w:p w14:paraId="009642F7" w14:textId="0AE4ED28"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0.0302</w:t>
            </w:r>
          </w:p>
        </w:tc>
      </w:tr>
      <w:tr w:rsidR="00CA5C10" w:rsidRPr="00411250" w14:paraId="375C2A10" w14:textId="77777777" w:rsidTr="005C69B8">
        <w:trPr>
          <w:trHeight w:val="288"/>
          <w:jc w:val="center"/>
        </w:trPr>
        <w:tc>
          <w:tcPr>
            <w:tcW w:w="544" w:type="pct"/>
            <w:tcBorders>
              <w:top w:val="nil"/>
              <w:left w:val="nil"/>
              <w:bottom w:val="nil"/>
              <w:right w:val="nil"/>
            </w:tcBorders>
          </w:tcPr>
          <w:p w14:paraId="00134F28" w14:textId="77777777" w:rsidR="00CA5C10" w:rsidRPr="00026A59" w:rsidRDefault="00CA5C10" w:rsidP="00CA5C10">
            <w:pPr>
              <w:widowControl w:val="0"/>
              <w:autoSpaceDE w:val="0"/>
              <w:autoSpaceDN w:val="0"/>
              <w:adjustRightInd w:val="0"/>
              <w:spacing w:after="0" w:line="240" w:lineRule="auto"/>
              <w:rPr>
                <w:rFonts w:ascii="Times New Roman" w:hAnsi="Times New Roman" w:cs="Times New Roman"/>
                <w:sz w:val="18"/>
                <w:szCs w:val="18"/>
              </w:rPr>
            </w:pPr>
          </w:p>
        </w:tc>
        <w:tc>
          <w:tcPr>
            <w:tcW w:w="372" w:type="pct"/>
            <w:tcBorders>
              <w:top w:val="nil"/>
              <w:left w:val="nil"/>
              <w:bottom w:val="nil"/>
              <w:right w:val="nil"/>
            </w:tcBorders>
          </w:tcPr>
          <w:p w14:paraId="7FD05754"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(0.347)</w:t>
            </w:r>
          </w:p>
        </w:tc>
        <w:tc>
          <w:tcPr>
            <w:tcW w:w="372" w:type="pct"/>
            <w:tcBorders>
              <w:top w:val="nil"/>
              <w:left w:val="nil"/>
              <w:bottom w:val="nil"/>
              <w:right w:val="nil"/>
            </w:tcBorders>
          </w:tcPr>
          <w:p w14:paraId="76B33700"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(0.479)</w:t>
            </w:r>
          </w:p>
        </w:tc>
        <w:tc>
          <w:tcPr>
            <w:tcW w:w="372" w:type="pct"/>
            <w:tcBorders>
              <w:top w:val="nil"/>
              <w:left w:val="nil"/>
              <w:bottom w:val="nil"/>
              <w:right w:val="nil"/>
            </w:tcBorders>
          </w:tcPr>
          <w:p w14:paraId="5451E612"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(0.465)</w:t>
            </w:r>
          </w:p>
        </w:tc>
        <w:tc>
          <w:tcPr>
            <w:tcW w:w="372" w:type="pct"/>
            <w:tcBorders>
              <w:top w:val="nil"/>
              <w:left w:val="nil"/>
              <w:bottom w:val="nil"/>
              <w:right w:val="nil"/>
            </w:tcBorders>
          </w:tcPr>
          <w:p w14:paraId="64F4301B"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(0.462)</w:t>
            </w:r>
          </w:p>
        </w:tc>
        <w:tc>
          <w:tcPr>
            <w:tcW w:w="346" w:type="pct"/>
            <w:tcBorders>
              <w:top w:val="nil"/>
              <w:left w:val="nil"/>
              <w:bottom w:val="nil"/>
              <w:right w:val="nil"/>
            </w:tcBorders>
          </w:tcPr>
          <w:p w14:paraId="436A57C6" w14:textId="79280AF5"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(0.460)</w:t>
            </w:r>
          </w:p>
        </w:tc>
        <w:tc>
          <w:tcPr>
            <w:tcW w:w="374" w:type="pct"/>
            <w:tcBorders>
              <w:top w:val="nil"/>
              <w:left w:val="nil"/>
              <w:bottom w:val="nil"/>
              <w:right w:val="single" w:sz="4" w:space="0" w:color="auto"/>
            </w:tcBorders>
          </w:tcPr>
          <w:p w14:paraId="06E66769" w14:textId="0FD0416B"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(0.525)</w:t>
            </w:r>
          </w:p>
        </w:tc>
        <w:tc>
          <w:tcPr>
            <w:tcW w:w="372" w:type="pct"/>
            <w:tcBorders>
              <w:top w:val="nil"/>
              <w:left w:val="single" w:sz="4" w:space="0" w:color="auto"/>
              <w:bottom w:val="nil"/>
              <w:right w:val="nil"/>
            </w:tcBorders>
          </w:tcPr>
          <w:p w14:paraId="5019D453"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(0.182)</w:t>
            </w:r>
          </w:p>
        </w:tc>
        <w:tc>
          <w:tcPr>
            <w:tcW w:w="372" w:type="pct"/>
            <w:tcBorders>
              <w:top w:val="nil"/>
              <w:left w:val="nil"/>
              <w:bottom w:val="nil"/>
              <w:right w:val="nil"/>
            </w:tcBorders>
          </w:tcPr>
          <w:p w14:paraId="09F3624D"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(0.168)</w:t>
            </w:r>
          </w:p>
        </w:tc>
        <w:tc>
          <w:tcPr>
            <w:tcW w:w="372" w:type="pct"/>
            <w:tcBorders>
              <w:top w:val="nil"/>
              <w:left w:val="nil"/>
              <w:bottom w:val="nil"/>
              <w:right w:val="nil"/>
            </w:tcBorders>
          </w:tcPr>
          <w:p w14:paraId="590ED7E6"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(0.168)</w:t>
            </w:r>
          </w:p>
        </w:tc>
        <w:tc>
          <w:tcPr>
            <w:tcW w:w="372" w:type="pct"/>
            <w:tcBorders>
              <w:top w:val="nil"/>
              <w:left w:val="nil"/>
              <w:bottom w:val="nil"/>
              <w:right w:val="nil"/>
            </w:tcBorders>
          </w:tcPr>
          <w:p w14:paraId="297D67AD"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(0.166)</w:t>
            </w:r>
          </w:p>
        </w:tc>
        <w:tc>
          <w:tcPr>
            <w:tcW w:w="388" w:type="pct"/>
            <w:tcBorders>
              <w:top w:val="nil"/>
              <w:left w:val="nil"/>
              <w:bottom w:val="nil"/>
              <w:right w:val="nil"/>
            </w:tcBorders>
          </w:tcPr>
          <w:p w14:paraId="4E5360F6" w14:textId="1F544BAE"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(0.188)</w:t>
            </w:r>
          </w:p>
        </w:tc>
        <w:tc>
          <w:tcPr>
            <w:tcW w:w="372" w:type="pct"/>
            <w:tcBorders>
              <w:top w:val="nil"/>
              <w:left w:val="nil"/>
              <w:bottom w:val="nil"/>
              <w:right w:val="nil"/>
            </w:tcBorders>
          </w:tcPr>
          <w:p w14:paraId="4AFF1883" w14:textId="1B70B819"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(0.168)</w:t>
            </w:r>
          </w:p>
        </w:tc>
      </w:tr>
      <w:tr w:rsidR="00CA5C10" w:rsidRPr="00411250" w14:paraId="75285CCF" w14:textId="77777777" w:rsidTr="005C69B8">
        <w:trPr>
          <w:trHeight w:val="288"/>
          <w:jc w:val="center"/>
        </w:trPr>
        <w:tc>
          <w:tcPr>
            <w:tcW w:w="544" w:type="pct"/>
            <w:tcBorders>
              <w:top w:val="nil"/>
              <w:left w:val="nil"/>
              <w:bottom w:val="nil"/>
              <w:right w:val="nil"/>
            </w:tcBorders>
          </w:tcPr>
          <w:p w14:paraId="65C684CC" w14:textId="77777777" w:rsidR="00CA5C10" w:rsidRPr="00026A59" w:rsidRDefault="00CA5C10" w:rsidP="00CA5C10">
            <w:pPr>
              <w:widowControl w:val="0"/>
              <w:autoSpaceDE w:val="0"/>
              <w:autoSpaceDN w:val="0"/>
              <w:adjustRightInd w:val="0"/>
              <w:spacing w:after="0" w:line="240" w:lineRule="auto"/>
              <w:rPr>
                <w:rFonts w:ascii="Times New Roman" w:hAnsi="Times New Roman" w:cs="Times New Roman"/>
                <w:sz w:val="18"/>
                <w:szCs w:val="18"/>
              </w:rPr>
            </w:pPr>
            <w:r w:rsidRPr="00026A59">
              <w:rPr>
                <w:rFonts w:ascii="Times New Roman" w:hAnsi="Times New Roman" w:cs="Times New Roman"/>
                <w:sz w:val="18"/>
                <w:szCs w:val="18"/>
              </w:rPr>
              <w:t>Capex</w:t>
            </w:r>
          </w:p>
        </w:tc>
        <w:tc>
          <w:tcPr>
            <w:tcW w:w="372" w:type="pct"/>
            <w:tcBorders>
              <w:top w:val="nil"/>
              <w:left w:val="nil"/>
              <w:bottom w:val="nil"/>
              <w:right w:val="nil"/>
            </w:tcBorders>
          </w:tcPr>
          <w:p w14:paraId="0BE16FE9"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0.0005</w:t>
            </w:r>
          </w:p>
        </w:tc>
        <w:tc>
          <w:tcPr>
            <w:tcW w:w="372" w:type="pct"/>
            <w:tcBorders>
              <w:top w:val="nil"/>
              <w:left w:val="nil"/>
              <w:bottom w:val="nil"/>
              <w:right w:val="nil"/>
            </w:tcBorders>
          </w:tcPr>
          <w:p w14:paraId="628F0367"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0.0004</w:t>
            </w:r>
          </w:p>
        </w:tc>
        <w:tc>
          <w:tcPr>
            <w:tcW w:w="372" w:type="pct"/>
            <w:tcBorders>
              <w:top w:val="nil"/>
              <w:left w:val="nil"/>
              <w:bottom w:val="nil"/>
              <w:right w:val="nil"/>
            </w:tcBorders>
          </w:tcPr>
          <w:p w14:paraId="23826461"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-0.0003</w:t>
            </w:r>
          </w:p>
        </w:tc>
        <w:tc>
          <w:tcPr>
            <w:tcW w:w="372" w:type="pct"/>
            <w:tcBorders>
              <w:top w:val="nil"/>
              <w:left w:val="nil"/>
              <w:bottom w:val="nil"/>
              <w:right w:val="nil"/>
            </w:tcBorders>
          </w:tcPr>
          <w:p w14:paraId="5C51AE89"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0.0002</w:t>
            </w:r>
          </w:p>
        </w:tc>
        <w:tc>
          <w:tcPr>
            <w:tcW w:w="346" w:type="pct"/>
            <w:tcBorders>
              <w:top w:val="nil"/>
              <w:left w:val="nil"/>
              <w:bottom w:val="nil"/>
              <w:right w:val="nil"/>
            </w:tcBorders>
          </w:tcPr>
          <w:p w14:paraId="22EBB90D" w14:textId="18ECF5DB"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0.000472</w:t>
            </w:r>
          </w:p>
        </w:tc>
        <w:tc>
          <w:tcPr>
            <w:tcW w:w="374" w:type="pct"/>
            <w:tcBorders>
              <w:top w:val="nil"/>
              <w:left w:val="nil"/>
              <w:bottom w:val="nil"/>
              <w:right w:val="single" w:sz="4" w:space="0" w:color="auto"/>
            </w:tcBorders>
          </w:tcPr>
          <w:p w14:paraId="44A19AAE" w14:textId="61B61FB8"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-0.0010</w:t>
            </w:r>
          </w:p>
        </w:tc>
        <w:tc>
          <w:tcPr>
            <w:tcW w:w="372" w:type="pct"/>
            <w:tcBorders>
              <w:top w:val="nil"/>
              <w:left w:val="single" w:sz="4" w:space="0" w:color="auto"/>
              <w:bottom w:val="nil"/>
              <w:right w:val="nil"/>
            </w:tcBorders>
          </w:tcPr>
          <w:p w14:paraId="06B7E80C"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-0.0061***</w:t>
            </w:r>
          </w:p>
        </w:tc>
        <w:tc>
          <w:tcPr>
            <w:tcW w:w="372" w:type="pct"/>
            <w:tcBorders>
              <w:top w:val="nil"/>
              <w:left w:val="nil"/>
              <w:bottom w:val="nil"/>
              <w:right w:val="nil"/>
            </w:tcBorders>
          </w:tcPr>
          <w:p w14:paraId="584DB7E0"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-0.0068***</w:t>
            </w:r>
          </w:p>
        </w:tc>
        <w:tc>
          <w:tcPr>
            <w:tcW w:w="372" w:type="pct"/>
            <w:tcBorders>
              <w:top w:val="nil"/>
              <w:left w:val="nil"/>
              <w:bottom w:val="nil"/>
              <w:right w:val="nil"/>
            </w:tcBorders>
          </w:tcPr>
          <w:p w14:paraId="3893E9F6"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-0.0067***</w:t>
            </w:r>
          </w:p>
        </w:tc>
        <w:tc>
          <w:tcPr>
            <w:tcW w:w="372" w:type="pct"/>
            <w:tcBorders>
              <w:top w:val="nil"/>
              <w:left w:val="nil"/>
              <w:bottom w:val="nil"/>
              <w:right w:val="nil"/>
            </w:tcBorders>
          </w:tcPr>
          <w:p w14:paraId="1D835730"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-0.0068***</w:t>
            </w:r>
          </w:p>
        </w:tc>
        <w:tc>
          <w:tcPr>
            <w:tcW w:w="388" w:type="pct"/>
            <w:tcBorders>
              <w:top w:val="nil"/>
              <w:left w:val="nil"/>
              <w:bottom w:val="nil"/>
              <w:right w:val="nil"/>
            </w:tcBorders>
          </w:tcPr>
          <w:p w14:paraId="0B345777" w14:textId="4AE37A22"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-0.00709***</w:t>
            </w:r>
          </w:p>
        </w:tc>
        <w:tc>
          <w:tcPr>
            <w:tcW w:w="372" w:type="pct"/>
            <w:tcBorders>
              <w:top w:val="nil"/>
              <w:left w:val="nil"/>
              <w:bottom w:val="nil"/>
              <w:right w:val="nil"/>
            </w:tcBorders>
          </w:tcPr>
          <w:p w14:paraId="52B49797" w14:textId="6FBB9AF3"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-0.0067***</w:t>
            </w:r>
          </w:p>
        </w:tc>
      </w:tr>
      <w:tr w:rsidR="00CA5C10" w:rsidRPr="00411250" w14:paraId="5B3E5E95" w14:textId="77777777" w:rsidTr="005C69B8">
        <w:trPr>
          <w:trHeight w:val="288"/>
          <w:jc w:val="center"/>
        </w:trPr>
        <w:tc>
          <w:tcPr>
            <w:tcW w:w="544" w:type="pct"/>
            <w:tcBorders>
              <w:top w:val="nil"/>
              <w:left w:val="nil"/>
              <w:bottom w:val="nil"/>
              <w:right w:val="nil"/>
            </w:tcBorders>
          </w:tcPr>
          <w:p w14:paraId="287D730D" w14:textId="77777777" w:rsidR="00CA5C10" w:rsidRPr="00026A59" w:rsidRDefault="00CA5C10" w:rsidP="00CA5C10">
            <w:pPr>
              <w:widowControl w:val="0"/>
              <w:autoSpaceDE w:val="0"/>
              <w:autoSpaceDN w:val="0"/>
              <w:adjustRightInd w:val="0"/>
              <w:spacing w:after="0" w:line="240" w:lineRule="auto"/>
              <w:rPr>
                <w:rFonts w:ascii="Times New Roman" w:hAnsi="Times New Roman" w:cs="Times New Roman"/>
                <w:sz w:val="18"/>
                <w:szCs w:val="18"/>
              </w:rPr>
            </w:pPr>
          </w:p>
        </w:tc>
        <w:tc>
          <w:tcPr>
            <w:tcW w:w="372" w:type="pct"/>
            <w:tcBorders>
              <w:top w:val="nil"/>
              <w:left w:val="nil"/>
              <w:bottom w:val="nil"/>
              <w:right w:val="nil"/>
            </w:tcBorders>
          </w:tcPr>
          <w:p w14:paraId="6FB38B51"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(0.0011)</w:t>
            </w:r>
          </w:p>
        </w:tc>
        <w:tc>
          <w:tcPr>
            <w:tcW w:w="372" w:type="pct"/>
            <w:tcBorders>
              <w:top w:val="nil"/>
              <w:left w:val="nil"/>
              <w:bottom w:val="nil"/>
              <w:right w:val="nil"/>
            </w:tcBorders>
          </w:tcPr>
          <w:p w14:paraId="55F49B36"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(0.0015)</w:t>
            </w:r>
          </w:p>
        </w:tc>
        <w:tc>
          <w:tcPr>
            <w:tcW w:w="372" w:type="pct"/>
            <w:tcBorders>
              <w:top w:val="nil"/>
              <w:left w:val="nil"/>
              <w:bottom w:val="nil"/>
              <w:right w:val="nil"/>
            </w:tcBorders>
          </w:tcPr>
          <w:p w14:paraId="23F338F7"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(0.0016)</w:t>
            </w:r>
          </w:p>
        </w:tc>
        <w:tc>
          <w:tcPr>
            <w:tcW w:w="372" w:type="pct"/>
            <w:tcBorders>
              <w:top w:val="nil"/>
              <w:left w:val="nil"/>
              <w:bottom w:val="nil"/>
              <w:right w:val="nil"/>
            </w:tcBorders>
          </w:tcPr>
          <w:p w14:paraId="44DD271C"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(0.0016)</w:t>
            </w:r>
          </w:p>
        </w:tc>
        <w:tc>
          <w:tcPr>
            <w:tcW w:w="346" w:type="pct"/>
            <w:tcBorders>
              <w:top w:val="nil"/>
              <w:left w:val="nil"/>
              <w:bottom w:val="nil"/>
              <w:right w:val="nil"/>
            </w:tcBorders>
          </w:tcPr>
          <w:p w14:paraId="1888649D" w14:textId="55A096D1"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(0.00165)</w:t>
            </w:r>
          </w:p>
        </w:tc>
        <w:tc>
          <w:tcPr>
            <w:tcW w:w="374" w:type="pct"/>
            <w:tcBorders>
              <w:top w:val="nil"/>
              <w:left w:val="nil"/>
              <w:bottom w:val="nil"/>
              <w:right w:val="single" w:sz="4" w:space="0" w:color="auto"/>
            </w:tcBorders>
          </w:tcPr>
          <w:p w14:paraId="73322CAB" w14:textId="4826EE15"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(0.0015)</w:t>
            </w:r>
          </w:p>
        </w:tc>
        <w:tc>
          <w:tcPr>
            <w:tcW w:w="372" w:type="pct"/>
            <w:tcBorders>
              <w:top w:val="nil"/>
              <w:left w:val="single" w:sz="4" w:space="0" w:color="auto"/>
              <w:bottom w:val="nil"/>
              <w:right w:val="nil"/>
            </w:tcBorders>
          </w:tcPr>
          <w:p w14:paraId="66E8919B"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(0.0021)</w:t>
            </w:r>
          </w:p>
        </w:tc>
        <w:tc>
          <w:tcPr>
            <w:tcW w:w="372" w:type="pct"/>
            <w:tcBorders>
              <w:top w:val="nil"/>
              <w:left w:val="nil"/>
              <w:bottom w:val="nil"/>
              <w:right w:val="nil"/>
            </w:tcBorders>
          </w:tcPr>
          <w:p w14:paraId="0326E052"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(0.0020)</w:t>
            </w:r>
          </w:p>
        </w:tc>
        <w:tc>
          <w:tcPr>
            <w:tcW w:w="372" w:type="pct"/>
            <w:tcBorders>
              <w:top w:val="nil"/>
              <w:left w:val="nil"/>
              <w:bottom w:val="nil"/>
              <w:right w:val="nil"/>
            </w:tcBorders>
          </w:tcPr>
          <w:p w14:paraId="05786AAE"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(0.0021)</w:t>
            </w:r>
          </w:p>
        </w:tc>
        <w:tc>
          <w:tcPr>
            <w:tcW w:w="372" w:type="pct"/>
            <w:tcBorders>
              <w:top w:val="nil"/>
              <w:left w:val="nil"/>
              <w:bottom w:val="nil"/>
              <w:right w:val="nil"/>
            </w:tcBorders>
          </w:tcPr>
          <w:p w14:paraId="77A1543A"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(0.0020)</w:t>
            </w:r>
          </w:p>
        </w:tc>
        <w:tc>
          <w:tcPr>
            <w:tcW w:w="388" w:type="pct"/>
            <w:tcBorders>
              <w:top w:val="nil"/>
              <w:left w:val="nil"/>
              <w:bottom w:val="nil"/>
              <w:right w:val="nil"/>
            </w:tcBorders>
          </w:tcPr>
          <w:p w14:paraId="548F41C6" w14:textId="13D1494A"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(0.00179)</w:t>
            </w:r>
          </w:p>
        </w:tc>
        <w:tc>
          <w:tcPr>
            <w:tcW w:w="372" w:type="pct"/>
            <w:tcBorders>
              <w:top w:val="nil"/>
              <w:left w:val="nil"/>
              <w:bottom w:val="nil"/>
              <w:right w:val="nil"/>
            </w:tcBorders>
          </w:tcPr>
          <w:p w14:paraId="03291CB1" w14:textId="720C1504"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(0.0020)</w:t>
            </w:r>
          </w:p>
        </w:tc>
      </w:tr>
      <w:tr w:rsidR="00CA5C10" w:rsidRPr="00411250" w14:paraId="686FC61C" w14:textId="77777777" w:rsidTr="005C69B8">
        <w:trPr>
          <w:trHeight w:val="288"/>
          <w:jc w:val="center"/>
        </w:trPr>
        <w:tc>
          <w:tcPr>
            <w:tcW w:w="544" w:type="pct"/>
            <w:tcBorders>
              <w:top w:val="nil"/>
              <w:left w:val="nil"/>
              <w:bottom w:val="nil"/>
              <w:right w:val="nil"/>
            </w:tcBorders>
          </w:tcPr>
          <w:p w14:paraId="02BF6163" w14:textId="77777777" w:rsidR="00CA5C10" w:rsidRPr="00026A59" w:rsidRDefault="00CA5C10" w:rsidP="00CA5C10">
            <w:pPr>
              <w:widowControl w:val="0"/>
              <w:autoSpaceDE w:val="0"/>
              <w:autoSpaceDN w:val="0"/>
              <w:adjustRightInd w:val="0"/>
              <w:spacing w:after="0" w:line="240" w:lineRule="auto"/>
              <w:rPr>
                <w:rFonts w:ascii="Times New Roman" w:hAnsi="Times New Roman" w:cs="Times New Roman"/>
                <w:sz w:val="18"/>
                <w:szCs w:val="18"/>
              </w:rPr>
            </w:pPr>
            <w:r w:rsidRPr="00026A59">
              <w:rPr>
                <w:rFonts w:ascii="Times New Roman" w:hAnsi="Times New Roman" w:cs="Times New Roman"/>
                <w:sz w:val="18"/>
                <w:szCs w:val="18"/>
              </w:rPr>
              <w:t>MTBV</w:t>
            </w:r>
          </w:p>
        </w:tc>
        <w:tc>
          <w:tcPr>
            <w:tcW w:w="372" w:type="pct"/>
            <w:tcBorders>
              <w:top w:val="nil"/>
              <w:left w:val="nil"/>
              <w:bottom w:val="nil"/>
              <w:right w:val="nil"/>
            </w:tcBorders>
          </w:tcPr>
          <w:p w14:paraId="0307C2A0"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-0.0006</w:t>
            </w:r>
          </w:p>
        </w:tc>
        <w:tc>
          <w:tcPr>
            <w:tcW w:w="372" w:type="pct"/>
            <w:tcBorders>
              <w:top w:val="nil"/>
              <w:left w:val="nil"/>
              <w:bottom w:val="nil"/>
              <w:right w:val="nil"/>
            </w:tcBorders>
          </w:tcPr>
          <w:p w14:paraId="5BC21552"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-0.0006</w:t>
            </w:r>
          </w:p>
        </w:tc>
        <w:tc>
          <w:tcPr>
            <w:tcW w:w="372" w:type="pct"/>
            <w:tcBorders>
              <w:top w:val="nil"/>
              <w:left w:val="nil"/>
              <w:bottom w:val="nil"/>
              <w:right w:val="nil"/>
            </w:tcBorders>
          </w:tcPr>
          <w:p w14:paraId="3FB8C72C"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-0.0003</w:t>
            </w:r>
          </w:p>
        </w:tc>
        <w:tc>
          <w:tcPr>
            <w:tcW w:w="372" w:type="pct"/>
            <w:tcBorders>
              <w:top w:val="nil"/>
              <w:left w:val="nil"/>
              <w:bottom w:val="nil"/>
              <w:right w:val="nil"/>
            </w:tcBorders>
          </w:tcPr>
          <w:p w14:paraId="2EBDB3C2"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-0.0007</w:t>
            </w:r>
          </w:p>
        </w:tc>
        <w:tc>
          <w:tcPr>
            <w:tcW w:w="346" w:type="pct"/>
            <w:tcBorders>
              <w:top w:val="nil"/>
              <w:left w:val="nil"/>
              <w:bottom w:val="nil"/>
              <w:right w:val="nil"/>
            </w:tcBorders>
          </w:tcPr>
          <w:p w14:paraId="68574EB1" w14:textId="0CC6BBFA"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-0.000336</w:t>
            </w:r>
          </w:p>
        </w:tc>
        <w:tc>
          <w:tcPr>
            <w:tcW w:w="374" w:type="pct"/>
            <w:tcBorders>
              <w:top w:val="nil"/>
              <w:left w:val="nil"/>
              <w:bottom w:val="nil"/>
              <w:right w:val="single" w:sz="4" w:space="0" w:color="auto"/>
            </w:tcBorders>
          </w:tcPr>
          <w:p w14:paraId="3EA5EBF9" w14:textId="43888B5D"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-0.0008</w:t>
            </w:r>
          </w:p>
        </w:tc>
        <w:tc>
          <w:tcPr>
            <w:tcW w:w="372" w:type="pct"/>
            <w:tcBorders>
              <w:top w:val="nil"/>
              <w:left w:val="single" w:sz="4" w:space="0" w:color="auto"/>
              <w:bottom w:val="nil"/>
              <w:right w:val="nil"/>
            </w:tcBorders>
          </w:tcPr>
          <w:p w14:paraId="7E5A88C5"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8.06e-05</w:t>
            </w:r>
          </w:p>
        </w:tc>
        <w:tc>
          <w:tcPr>
            <w:tcW w:w="372" w:type="pct"/>
            <w:tcBorders>
              <w:top w:val="nil"/>
              <w:left w:val="nil"/>
              <w:bottom w:val="nil"/>
              <w:right w:val="nil"/>
            </w:tcBorders>
          </w:tcPr>
          <w:p w14:paraId="723DDB2F"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-3.10e-06</w:t>
            </w:r>
          </w:p>
        </w:tc>
        <w:tc>
          <w:tcPr>
            <w:tcW w:w="372" w:type="pct"/>
            <w:tcBorders>
              <w:top w:val="nil"/>
              <w:left w:val="nil"/>
              <w:bottom w:val="nil"/>
              <w:right w:val="nil"/>
            </w:tcBorders>
          </w:tcPr>
          <w:p w14:paraId="4A0E9063"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4.07e-06</w:t>
            </w:r>
          </w:p>
        </w:tc>
        <w:tc>
          <w:tcPr>
            <w:tcW w:w="372" w:type="pct"/>
            <w:tcBorders>
              <w:top w:val="nil"/>
              <w:left w:val="nil"/>
              <w:bottom w:val="nil"/>
              <w:right w:val="nil"/>
            </w:tcBorders>
          </w:tcPr>
          <w:p w14:paraId="2BC5F89D"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-1.91e-05</w:t>
            </w:r>
          </w:p>
        </w:tc>
        <w:tc>
          <w:tcPr>
            <w:tcW w:w="388" w:type="pct"/>
            <w:tcBorders>
              <w:top w:val="nil"/>
              <w:left w:val="nil"/>
              <w:bottom w:val="nil"/>
              <w:right w:val="nil"/>
            </w:tcBorders>
          </w:tcPr>
          <w:p w14:paraId="7016AE22" w14:textId="5EF554AD"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-6.95e-05</w:t>
            </w:r>
          </w:p>
        </w:tc>
        <w:tc>
          <w:tcPr>
            <w:tcW w:w="372" w:type="pct"/>
            <w:tcBorders>
              <w:top w:val="nil"/>
              <w:left w:val="nil"/>
              <w:bottom w:val="nil"/>
              <w:right w:val="nil"/>
            </w:tcBorders>
          </w:tcPr>
          <w:p w14:paraId="64DF5FEC" w14:textId="16DB2492"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-1.95e-05</w:t>
            </w:r>
          </w:p>
        </w:tc>
      </w:tr>
      <w:tr w:rsidR="00CA5C10" w:rsidRPr="00411250" w14:paraId="657BCF33" w14:textId="77777777" w:rsidTr="005C69B8">
        <w:trPr>
          <w:trHeight w:val="288"/>
          <w:jc w:val="center"/>
        </w:trPr>
        <w:tc>
          <w:tcPr>
            <w:tcW w:w="544" w:type="pct"/>
            <w:tcBorders>
              <w:top w:val="nil"/>
              <w:left w:val="nil"/>
              <w:bottom w:val="nil"/>
              <w:right w:val="nil"/>
            </w:tcBorders>
          </w:tcPr>
          <w:p w14:paraId="23101729" w14:textId="77777777" w:rsidR="00CA5C10" w:rsidRPr="00026A59" w:rsidRDefault="00CA5C10" w:rsidP="00CA5C10">
            <w:pPr>
              <w:widowControl w:val="0"/>
              <w:autoSpaceDE w:val="0"/>
              <w:autoSpaceDN w:val="0"/>
              <w:adjustRightInd w:val="0"/>
              <w:spacing w:after="0" w:line="240" w:lineRule="auto"/>
              <w:rPr>
                <w:rFonts w:ascii="Times New Roman" w:hAnsi="Times New Roman" w:cs="Times New Roman"/>
                <w:sz w:val="18"/>
                <w:szCs w:val="18"/>
              </w:rPr>
            </w:pPr>
          </w:p>
        </w:tc>
        <w:tc>
          <w:tcPr>
            <w:tcW w:w="372" w:type="pct"/>
            <w:tcBorders>
              <w:top w:val="nil"/>
              <w:left w:val="nil"/>
              <w:bottom w:val="nil"/>
              <w:right w:val="nil"/>
            </w:tcBorders>
          </w:tcPr>
          <w:p w14:paraId="3B554474"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(0.0011)</w:t>
            </w:r>
          </w:p>
        </w:tc>
        <w:tc>
          <w:tcPr>
            <w:tcW w:w="372" w:type="pct"/>
            <w:tcBorders>
              <w:top w:val="nil"/>
              <w:left w:val="nil"/>
              <w:bottom w:val="nil"/>
              <w:right w:val="nil"/>
            </w:tcBorders>
          </w:tcPr>
          <w:p w14:paraId="512FF7B2"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(0.0010)</w:t>
            </w:r>
          </w:p>
        </w:tc>
        <w:tc>
          <w:tcPr>
            <w:tcW w:w="372" w:type="pct"/>
            <w:tcBorders>
              <w:top w:val="nil"/>
              <w:left w:val="nil"/>
              <w:bottom w:val="nil"/>
              <w:right w:val="nil"/>
            </w:tcBorders>
          </w:tcPr>
          <w:p w14:paraId="383E5489"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(0.0015)</w:t>
            </w:r>
          </w:p>
        </w:tc>
        <w:tc>
          <w:tcPr>
            <w:tcW w:w="372" w:type="pct"/>
            <w:tcBorders>
              <w:top w:val="nil"/>
              <w:left w:val="nil"/>
              <w:bottom w:val="nil"/>
              <w:right w:val="nil"/>
            </w:tcBorders>
          </w:tcPr>
          <w:p w14:paraId="4A3DE2B0"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(0.0010)</w:t>
            </w:r>
          </w:p>
        </w:tc>
        <w:tc>
          <w:tcPr>
            <w:tcW w:w="346" w:type="pct"/>
            <w:tcBorders>
              <w:top w:val="nil"/>
              <w:left w:val="nil"/>
              <w:bottom w:val="nil"/>
              <w:right w:val="nil"/>
            </w:tcBorders>
          </w:tcPr>
          <w:p w14:paraId="66A233A4" w14:textId="3F261673"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(0.00103)</w:t>
            </w:r>
          </w:p>
        </w:tc>
        <w:tc>
          <w:tcPr>
            <w:tcW w:w="374" w:type="pct"/>
            <w:tcBorders>
              <w:top w:val="nil"/>
              <w:left w:val="nil"/>
              <w:bottom w:val="nil"/>
              <w:right w:val="single" w:sz="4" w:space="0" w:color="auto"/>
            </w:tcBorders>
          </w:tcPr>
          <w:p w14:paraId="432E4863" w14:textId="7872C951"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(0.0012)</w:t>
            </w:r>
          </w:p>
        </w:tc>
        <w:tc>
          <w:tcPr>
            <w:tcW w:w="372" w:type="pct"/>
            <w:tcBorders>
              <w:top w:val="nil"/>
              <w:left w:val="single" w:sz="4" w:space="0" w:color="auto"/>
              <w:bottom w:val="nil"/>
              <w:right w:val="nil"/>
            </w:tcBorders>
          </w:tcPr>
          <w:p w14:paraId="619BDE9F"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(0.0002)</w:t>
            </w:r>
          </w:p>
        </w:tc>
        <w:tc>
          <w:tcPr>
            <w:tcW w:w="372" w:type="pct"/>
            <w:tcBorders>
              <w:top w:val="nil"/>
              <w:left w:val="nil"/>
              <w:bottom w:val="nil"/>
              <w:right w:val="nil"/>
            </w:tcBorders>
          </w:tcPr>
          <w:p w14:paraId="33B85FBD"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(0.0002)</w:t>
            </w:r>
          </w:p>
        </w:tc>
        <w:tc>
          <w:tcPr>
            <w:tcW w:w="372" w:type="pct"/>
            <w:tcBorders>
              <w:top w:val="nil"/>
              <w:left w:val="nil"/>
              <w:bottom w:val="nil"/>
              <w:right w:val="nil"/>
            </w:tcBorders>
          </w:tcPr>
          <w:p w14:paraId="433DB7AB"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(0.0002)</w:t>
            </w:r>
          </w:p>
        </w:tc>
        <w:tc>
          <w:tcPr>
            <w:tcW w:w="372" w:type="pct"/>
            <w:tcBorders>
              <w:top w:val="nil"/>
              <w:left w:val="nil"/>
              <w:bottom w:val="nil"/>
              <w:right w:val="nil"/>
            </w:tcBorders>
          </w:tcPr>
          <w:p w14:paraId="31BBE514"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(0.0002)</w:t>
            </w:r>
          </w:p>
        </w:tc>
        <w:tc>
          <w:tcPr>
            <w:tcW w:w="388" w:type="pct"/>
            <w:tcBorders>
              <w:top w:val="nil"/>
              <w:left w:val="nil"/>
              <w:bottom w:val="nil"/>
              <w:right w:val="nil"/>
            </w:tcBorders>
          </w:tcPr>
          <w:p w14:paraId="2F255664" w14:textId="04BE64EA"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(0.000238)</w:t>
            </w:r>
          </w:p>
        </w:tc>
        <w:tc>
          <w:tcPr>
            <w:tcW w:w="372" w:type="pct"/>
            <w:tcBorders>
              <w:top w:val="nil"/>
              <w:left w:val="nil"/>
              <w:bottom w:val="nil"/>
              <w:right w:val="nil"/>
            </w:tcBorders>
          </w:tcPr>
          <w:p w14:paraId="104FEE76" w14:textId="312337ED"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(0.0002)</w:t>
            </w:r>
          </w:p>
        </w:tc>
      </w:tr>
      <w:tr w:rsidR="005C69B8" w:rsidRPr="00411250" w14:paraId="14779B8F" w14:textId="77777777" w:rsidTr="005C69B8">
        <w:trPr>
          <w:trHeight w:val="288"/>
          <w:jc w:val="center"/>
        </w:trPr>
        <w:tc>
          <w:tcPr>
            <w:tcW w:w="2752" w:type="pct"/>
            <w:gridSpan w:val="7"/>
            <w:tcBorders>
              <w:top w:val="nil"/>
              <w:left w:val="nil"/>
              <w:bottom w:val="nil"/>
              <w:right w:val="single" w:sz="4" w:space="0" w:color="auto"/>
            </w:tcBorders>
          </w:tcPr>
          <w:p w14:paraId="7DA6B081" w14:textId="7B7DFD11" w:rsidR="005C69B8" w:rsidRPr="003B6444" w:rsidRDefault="005C69B8" w:rsidP="003B6444">
            <w:pPr>
              <w:widowControl w:val="0"/>
              <w:autoSpaceDE w:val="0"/>
              <w:autoSpaceDN w:val="0"/>
              <w:adjustRightInd w:val="0"/>
              <w:spacing w:after="0" w:line="240" w:lineRule="auto"/>
              <w:rPr>
                <w:rFonts w:ascii="Times New Roman" w:hAnsi="Times New Roman" w:cs="Times New Roman"/>
                <w:i/>
                <w:sz w:val="18"/>
                <w:szCs w:val="18"/>
                <w:u w:val="single"/>
              </w:rPr>
            </w:pPr>
            <w:r>
              <w:rPr>
                <w:rFonts w:ascii="Times New Roman" w:hAnsi="Times New Roman" w:cs="Times New Roman"/>
                <w:i/>
                <w:sz w:val="18"/>
                <w:szCs w:val="18"/>
                <w:u w:val="single"/>
              </w:rPr>
              <w:t>Interaction variables</w:t>
            </w:r>
          </w:p>
        </w:tc>
        <w:tc>
          <w:tcPr>
            <w:tcW w:w="372" w:type="pct"/>
            <w:tcBorders>
              <w:top w:val="nil"/>
              <w:left w:val="single" w:sz="4" w:space="0" w:color="auto"/>
              <w:bottom w:val="nil"/>
              <w:right w:val="nil"/>
            </w:tcBorders>
          </w:tcPr>
          <w:p w14:paraId="7ECE4A28" w14:textId="77777777" w:rsidR="005C69B8" w:rsidRPr="00026A59" w:rsidRDefault="005C69B8" w:rsidP="00CA5C10">
            <w:pPr>
              <w:widowControl w:val="0"/>
              <w:autoSpaceDE w:val="0"/>
              <w:autoSpaceDN w:val="0"/>
              <w:adjustRightInd w:val="0"/>
              <w:spacing w:after="0" w:line="240" w:lineRule="auto"/>
              <w:jc w:val="center"/>
              <w:rPr>
                <w:rFonts w:ascii="Times New Roman" w:hAnsi="Times New Roman" w:cs="Times New Roman"/>
                <w:sz w:val="18"/>
                <w:szCs w:val="18"/>
              </w:rPr>
            </w:pPr>
          </w:p>
        </w:tc>
        <w:tc>
          <w:tcPr>
            <w:tcW w:w="372" w:type="pct"/>
            <w:tcBorders>
              <w:top w:val="nil"/>
              <w:left w:val="nil"/>
              <w:bottom w:val="nil"/>
              <w:right w:val="nil"/>
            </w:tcBorders>
          </w:tcPr>
          <w:p w14:paraId="4AFFE621" w14:textId="77777777" w:rsidR="005C69B8" w:rsidRPr="00026A59" w:rsidRDefault="005C69B8" w:rsidP="00CA5C10">
            <w:pPr>
              <w:widowControl w:val="0"/>
              <w:autoSpaceDE w:val="0"/>
              <w:autoSpaceDN w:val="0"/>
              <w:adjustRightInd w:val="0"/>
              <w:spacing w:after="0" w:line="240" w:lineRule="auto"/>
              <w:jc w:val="center"/>
              <w:rPr>
                <w:rFonts w:ascii="Times New Roman" w:hAnsi="Times New Roman" w:cs="Times New Roman"/>
                <w:sz w:val="18"/>
                <w:szCs w:val="18"/>
              </w:rPr>
            </w:pPr>
          </w:p>
        </w:tc>
        <w:tc>
          <w:tcPr>
            <w:tcW w:w="372" w:type="pct"/>
            <w:tcBorders>
              <w:top w:val="nil"/>
              <w:left w:val="nil"/>
              <w:bottom w:val="nil"/>
              <w:right w:val="nil"/>
            </w:tcBorders>
          </w:tcPr>
          <w:p w14:paraId="562C54BB" w14:textId="77777777" w:rsidR="005C69B8" w:rsidRPr="00026A59" w:rsidRDefault="005C69B8" w:rsidP="00CA5C10">
            <w:pPr>
              <w:widowControl w:val="0"/>
              <w:autoSpaceDE w:val="0"/>
              <w:autoSpaceDN w:val="0"/>
              <w:adjustRightInd w:val="0"/>
              <w:spacing w:after="0" w:line="240" w:lineRule="auto"/>
              <w:jc w:val="center"/>
              <w:rPr>
                <w:rFonts w:ascii="Times New Roman" w:hAnsi="Times New Roman" w:cs="Times New Roman"/>
                <w:sz w:val="18"/>
                <w:szCs w:val="18"/>
              </w:rPr>
            </w:pPr>
          </w:p>
        </w:tc>
        <w:tc>
          <w:tcPr>
            <w:tcW w:w="372" w:type="pct"/>
            <w:tcBorders>
              <w:top w:val="nil"/>
              <w:left w:val="nil"/>
              <w:bottom w:val="nil"/>
              <w:right w:val="nil"/>
            </w:tcBorders>
          </w:tcPr>
          <w:p w14:paraId="7DBB747A" w14:textId="77777777" w:rsidR="005C69B8" w:rsidRPr="00026A59" w:rsidRDefault="005C69B8" w:rsidP="00CA5C10">
            <w:pPr>
              <w:widowControl w:val="0"/>
              <w:autoSpaceDE w:val="0"/>
              <w:autoSpaceDN w:val="0"/>
              <w:adjustRightInd w:val="0"/>
              <w:spacing w:after="0" w:line="240" w:lineRule="auto"/>
              <w:jc w:val="center"/>
              <w:rPr>
                <w:rFonts w:ascii="Times New Roman" w:hAnsi="Times New Roman" w:cs="Times New Roman"/>
                <w:sz w:val="18"/>
                <w:szCs w:val="18"/>
              </w:rPr>
            </w:pPr>
          </w:p>
        </w:tc>
        <w:tc>
          <w:tcPr>
            <w:tcW w:w="388" w:type="pct"/>
            <w:tcBorders>
              <w:top w:val="nil"/>
              <w:left w:val="nil"/>
              <w:bottom w:val="nil"/>
              <w:right w:val="nil"/>
            </w:tcBorders>
          </w:tcPr>
          <w:p w14:paraId="1B7077C4" w14:textId="77777777" w:rsidR="005C69B8" w:rsidRPr="00026A59" w:rsidRDefault="005C69B8" w:rsidP="00CA5C10">
            <w:pPr>
              <w:widowControl w:val="0"/>
              <w:autoSpaceDE w:val="0"/>
              <w:autoSpaceDN w:val="0"/>
              <w:adjustRightInd w:val="0"/>
              <w:spacing w:after="0" w:line="240" w:lineRule="auto"/>
              <w:jc w:val="center"/>
              <w:rPr>
                <w:rFonts w:ascii="Times New Roman" w:hAnsi="Times New Roman" w:cs="Times New Roman"/>
                <w:sz w:val="18"/>
                <w:szCs w:val="18"/>
              </w:rPr>
            </w:pPr>
          </w:p>
        </w:tc>
        <w:tc>
          <w:tcPr>
            <w:tcW w:w="372" w:type="pct"/>
            <w:tcBorders>
              <w:top w:val="nil"/>
              <w:left w:val="nil"/>
              <w:bottom w:val="nil"/>
              <w:right w:val="nil"/>
            </w:tcBorders>
          </w:tcPr>
          <w:p w14:paraId="44AF4F07" w14:textId="77777777" w:rsidR="005C69B8" w:rsidRPr="00026A59" w:rsidRDefault="005C69B8" w:rsidP="00CA5C10">
            <w:pPr>
              <w:widowControl w:val="0"/>
              <w:autoSpaceDE w:val="0"/>
              <w:autoSpaceDN w:val="0"/>
              <w:adjustRightInd w:val="0"/>
              <w:spacing w:after="0" w:line="240" w:lineRule="auto"/>
              <w:jc w:val="center"/>
              <w:rPr>
                <w:rFonts w:ascii="Times New Roman" w:hAnsi="Times New Roman" w:cs="Times New Roman"/>
                <w:sz w:val="18"/>
                <w:szCs w:val="18"/>
              </w:rPr>
            </w:pPr>
          </w:p>
        </w:tc>
      </w:tr>
      <w:tr w:rsidR="00CA5C10" w:rsidRPr="00411250" w14:paraId="57CF73B4" w14:textId="77777777" w:rsidTr="005C69B8">
        <w:trPr>
          <w:trHeight w:val="288"/>
          <w:jc w:val="center"/>
        </w:trPr>
        <w:tc>
          <w:tcPr>
            <w:tcW w:w="544" w:type="pct"/>
            <w:tcBorders>
              <w:top w:val="nil"/>
              <w:left w:val="nil"/>
              <w:bottom w:val="nil"/>
              <w:right w:val="nil"/>
            </w:tcBorders>
          </w:tcPr>
          <w:p w14:paraId="59C8C96B" w14:textId="77777777" w:rsidR="00CA5C10" w:rsidRPr="00026A59" w:rsidRDefault="00CA5C10" w:rsidP="00CA5C10">
            <w:pPr>
              <w:widowControl w:val="0"/>
              <w:autoSpaceDE w:val="0"/>
              <w:autoSpaceDN w:val="0"/>
              <w:adjustRightInd w:val="0"/>
              <w:spacing w:after="0" w:line="240" w:lineRule="auto"/>
              <w:rPr>
                <w:rFonts w:ascii="Times New Roman" w:hAnsi="Times New Roman" w:cs="Times New Roman"/>
                <w:sz w:val="18"/>
                <w:szCs w:val="18"/>
              </w:rPr>
            </w:pPr>
            <w:r w:rsidRPr="00026A59">
              <w:rPr>
                <w:rFonts w:ascii="Times New Roman" w:hAnsi="Times New Roman" w:cs="Times New Roman"/>
                <w:sz w:val="18"/>
                <w:szCs w:val="18"/>
              </w:rPr>
              <w:t>CCA*ExecComp</w:t>
            </w:r>
          </w:p>
        </w:tc>
        <w:tc>
          <w:tcPr>
            <w:tcW w:w="372" w:type="pct"/>
            <w:tcBorders>
              <w:top w:val="nil"/>
              <w:left w:val="nil"/>
              <w:bottom w:val="nil"/>
              <w:right w:val="nil"/>
            </w:tcBorders>
          </w:tcPr>
          <w:p w14:paraId="06E3EB4F"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70C6FC94"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1CD4B387"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0.0442***</w:t>
            </w:r>
          </w:p>
        </w:tc>
        <w:tc>
          <w:tcPr>
            <w:tcW w:w="372" w:type="pct"/>
            <w:tcBorders>
              <w:top w:val="nil"/>
              <w:left w:val="nil"/>
              <w:bottom w:val="nil"/>
              <w:right w:val="nil"/>
            </w:tcBorders>
          </w:tcPr>
          <w:p w14:paraId="26F7FBF7"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46" w:type="pct"/>
            <w:tcBorders>
              <w:top w:val="nil"/>
              <w:left w:val="nil"/>
              <w:bottom w:val="nil"/>
              <w:right w:val="nil"/>
            </w:tcBorders>
          </w:tcPr>
          <w:p w14:paraId="6AB8DDF3" w14:textId="3836B42B"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4" w:type="pct"/>
            <w:tcBorders>
              <w:top w:val="nil"/>
              <w:left w:val="nil"/>
              <w:bottom w:val="nil"/>
              <w:right w:val="single" w:sz="4" w:space="0" w:color="auto"/>
            </w:tcBorders>
          </w:tcPr>
          <w:p w14:paraId="1289F5DF" w14:textId="77A4074C"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single" w:sz="4" w:space="0" w:color="auto"/>
              <w:bottom w:val="nil"/>
              <w:right w:val="nil"/>
            </w:tcBorders>
          </w:tcPr>
          <w:p w14:paraId="51AA15E5"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0516E0A4"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59B49D03"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0.0010</w:t>
            </w:r>
          </w:p>
        </w:tc>
        <w:tc>
          <w:tcPr>
            <w:tcW w:w="372" w:type="pct"/>
            <w:tcBorders>
              <w:top w:val="nil"/>
              <w:left w:val="nil"/>
              <w:bottom w:val="nil"/>
              <w:right w:val="nil"/>
            </w:tcBorders>
          </w:tcPr>
          <w:p w14:paraId="00F86717"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88" w:type="pct"/>
            <w:tcBorders>
              <w:top w:val="nil"/>
              <w:left w:val="nil"/>
              <w:bottom w:val="nil"/>
              <w:right w:val="nil"/>
            </w:tcBorders>
          </w:tcPr>
          <w:p w14:paraId="52868107" w14:textId="7B9347CF"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54979F84" w14:textId="46700542"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r>
      <w:tr w:rsidR="00CA5C10" w:rsidRPr="00411250" w14:paraId="3F125BA2" w14:textId="77777777" w:rsidTr="005C69B8">
        <w:trPr>
          <w:trHeight w:val="288"/>
          <w:jc w:val="center"/>
        </w:trPr>
        <w:tc>
          <w:tcPr>
            <w:tcW w:w="544" w:type="pct"/>
            <w:tcBorders>
              <w:top w:val="nil"/>
              <w:left w:val="nil"/>
              <w:bottom w:val="nil"/>
              <w:right w:val="nil"/>
            </w:tcBorders>
          </w:tcPr>
          <w:p w14:paraId="4C96A325" w14:textId="77777777" w:rsidR="00CA5C10" w:rsidRPr="00026A59" w:rsidRDefault="00CA5C10" w:rsidP="00CA5C10">
            <w:pPr>
              <w:widowControl w:val="0"/>
              <w:autoSpaceDE w:val="0"/>
              <w:autoSpaceDN w:val="0"/>
              <w:adjustRightInd w:val="0"/>
              <w:spacing w:after="0" w:line="240" w:lineRule="auto"/>
              <w:rPr>
                <w:rFonts w:ascii="Times New Roman" w:hAnsi="Times New Roman" w:cs="Times New Roman"/>
                <w:sz w:val="18"/>
                <w:szCs w:val="18"/>
              </w:rPr>
            </w:pPr>
          </w:p>
        </w:tc>
        <w:tc>
          <w:tcPr>
            <w:tcW w:w="372" w:type="pct"/>
            <w:tcBorders>
              <w:top w:val="nil"/>
              <w:left w:val="nil"/>
              <w:bottom w:val="nil"/>
              <w:right w:val="nil"/>
            </w:tcBorders>
          </w:tcPr>
          <w:p w14:paraId="49FDABB7"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23B16D30"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68B69EE1" w14:textId="77777777" w:rsidR="00CA5C10" w:rsidRPr="00026A59" w:rsidRDefault="00CA5C10" w:rsidP="00CA5C10">
            <w:pPr>
              <w:widowControl w:val="0"/>
              <w:autoSpaceDE w:val="0"/>
              <w:autoSpaceDN w:val="0"/>
              <w:adjustRightInd w:val="0"/>
              <w:spacing w:after="0" w:line="240" w:lineRule="auto"/>
              <w:rPr>
                <w:rFonts w:ascii="Times New Roman" w:hAnsi="Times New Roman" w:cs="Times New Roman"/>
                <w:sz w:val="18"/>
                <w:szCs w:val="18"/>
              </w:rPr>
            </w:pPr>
            <w:r w:rsidRPr="00026A59">
              <w:rPr>
                <w:rFonts w:ascii="Times New Roman" w:hAnsi="Times New Roman" w:cs="Times New Roman"/>
                <w:sz w:val="18"/>
                <w:szCs w:val="18"/>
              </w:rPr>
              <w:t>(0.0104)</w:t>
            </w:r>
          </w:p>
        </w:tc>
        <w:tc>
          <w:tcPr>
            <w:tcW w:w="372" w:type="pct"/>
            <w:tcBorders>
              <w:top w:val="nil"/>
              <w:left w:val="nil"/>
              <w:bottom w:val="nil"/>
              <w:right w:val="nil"/>
            </w:tcBorders>
          </w:tcPr>
          <w:p w14:paraId="40FA12C7"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46" w:type="pct"/>
            <w:tcBorders>
              <w:top w:val="nil"/>
              <w:left w:val="nil"/>
              <w:bottom w:val="nil"/>
              <w:right w:val="nil"/>
            </w:tcBorders>
          </w:tcPr>
          <w:p w14:paraId="7AAA4C86" w14:textId="25AAB468"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4" w:type="pct"/>
            <w:tcBorders>
              <w:top w:val="nil"/>
              <w:left w:val="nil"/>
              <w:bottom w:val="nil"/>
              <w:right w:val="single" w:sz="4" w:space="0" w:color="auto"/>
            </w:tcBorders>
          </w:tcPr>
          <w:p w14:paraId="54AF2B7E" w14:textId="5127B07B"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single" w:sz="4" w:space="0" w:color="auto"/>
              <w:bottom w:val="nil"/>
              <w:right w:val="nil"/>
            </w:tcBorders>
          </w:tcPr>
          <w:p w14:paraId="5F245A63"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10AC6B19"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41955D79"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(0.0024)</w:t>
            </w:r>
          </w:p>
        </w:tc>
        <w:tc>
          <w:tcPr>
            <w:tcW w:w="372" w:type="pct"/>
            <w:tcBorders>
              <w:top w:val="nil"/>
              <w:left w:val="nil"/>
              <w:bottom w:val="nil"/>
              <w:right w:val="nil"/>
            </w:tcBorders>
          </w:tcPr>
          <w:p w14:paraId="1A2FB810"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88" w:type="pct"/>
            <w:tcBorders>
              <w:top w:val="nil"/>
              <w:left w:val="nil"/>
              <w:bottom w:val="nil"/>
              <w:right w:val="nil"/>
            </w:tcBorders>
          </w:tcPr>
          <w:p w14:paraId="593DE017" w14:textId="5C36CBC1"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33B4EDC5" w14:textId="0D10D166"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r>
      <w:tr w:rsidR="00CA5C10" w:rsidRPr="00411250" w14:paraId="53D4D6DE" w14:textId="77777777" w:rsidTr="005C69B8">
        <w:trPr>
          <w:trHeight w:val="288"/>
          <w:jc w:val="center"/>
        </w:trPr>
        <w:tc>
          <w:tcPr>
            <w:tcW w:w="544" w:type="pct"/>
            <w:tcBorders>
              <w:top w:val="nil"/>
              <w:left w:val="nil"/>
              <w:bottom w:val="nil"/>
              <w:right w:val="nil"/>
            </w:tcBorders>
          </w:tcPr>
          <w:p w14:paraId="3E52311D" w14:textId="77777777" w:rsidR="00CA5C10" w:rsidRPr="00026A59" w:rsidRDefault="00CA5C10" w:rsidP="00CA5C10">
            <w:pPr>
              <w:widowControl w:val="0"/>
              <w:autoSpaceDE w:val="0"/>
              <w:autoSpaceDN w:val="0"/>
              <w:adjustRightInd w:val="0"/>
              <w:spacing w:after="0" w:line="240" w:lineRule="auto"/>
              <w:rPr>
                <w:rFonts w:ascii="Times New Roman" w:hAnsi="Times New Roman" w:cs="Times New Roman"/>
                <w:sz w:val="18"/>
                <w:szCs w:val="18"/>
              </w:rPr>
            </w:pPr>
            <w:r w:rsidRPr="00026A59">
              <w:rPr>
                <w:rFonts w:ascii="Times New Roman" w:hAnsi="Times New Roman" w:cs="Times New Roman"/>
                <w:sz w:val="18"/>
                <w:szCs w:val="18"/>
              </w:rPr>
              <w:t>CCA*IndDir</w:t>
            </w:r>
          </w:p>
        </w:tc>
        <w:tc>
          <w:tcPr>
            <w:tcW w:w="372" w:type="pct"/>
            <w:tcBorders>
              <w:top w:val="nil"/>
              <w:left w:val="nil"/>
              <w:bottom w:val="nil"/>
              <w:right w:val="nil"/>
            </w:tcBorders>
          </w:tcPr>
          <w:p w14:paraId="72330883"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2ADA87C5"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1C9765EA"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772D7136"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0.0093***</w:t>
            </w:r>
          </w:p>
        </w:tc>
        <w:tc>
          <w:tcPr>
            <w:tcW w:w="346" w:type="pct"/>
            <w:tcBorders>
              <w:top w:val="nil"/>
              <w:left w:val="nil"/>
              <w:bottom w:val="nil"/>
              <w:right w:val="nil"/>
            </w:tcBorders>
          </w:tcPr>
          <w:p w14:paraId="1EA04CF8" w14:textId="20D7CB01"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4" w:type="pct"/>
            <w:tcBorders>
              <w:top w:val="nil"/>
              <w:left w:val="nil"/>
              <w:bottom w:val="nil"/>
              <w:right w:val="single" w:sz="4" w:space="0" w:color="auto"/>
            </w:tcBorders>
          </w:tcPr>
          <w:p w14:paraId="255D0F18" w14:textId="7246BBD2"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single" w:sz="4" w:space="0" w:color="auto"/>
              <w:bottom w:val="nil"/>
              <w:right w:val="nil"/>
            </w:tcBorders>
          </w:tcPr>
          <w:p w14:paraId="7E18C389"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17126B56"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38AC92CA"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4F883356"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-2.56e-05</w:t>
            </w:r>
          </w:p>
        </w:tc>
        <w:tc>
          <w:tcPr>
            <w:tcW w:w="388" w:type="pct"/>
            <w:tcBorders>
              <w:top w:val="nil"/>
              <w:left w:val="nil"/>
              <w:bottom w:val="nil"/>
              <w:right w:val="nil"/>
            </w:tcBorders>
          </w:tcPr>
          <w:p w14:paraId="3AAA326F" w14:textId="3D33992F"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37264FEC" w14:textId="35CAA860"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r>
      <w:tr w:rsidR="00CA5C10" w:rsidRPr="00411250" w14:paraId="141298E8" w14:textId="77777777" w:rsidTr="005C69B8">
        <w:trPr>
          <w:trHeight w:val="288"/>
          <w:jc w:val="center"/>
        </w:trPr>
        <w:tc>
          <w:tcPr>
            <w:tcW w:w="544" w:type="pct"/>
            <w:tcBorders>
              <w:top w:val="nil"/>
              <w:left w:val="nil"/>
              <w:bottom w:val="nil"/>
              <w:right w:val="nil"/>
            </w:tcBorders>
          </w:tcPr>
          <w:p w14:paraId="2743DD17" w14:textId="77777777" w:rsidR="00CA5C10" w:rsidRPr="00026A59" w:rsidRDefault="00CA5C10" w:rsidP="00CA5C10">
            <w:pPr>
              <w:widowControl w:val="0"/>
              <w:autoSpaceDE w:val="0"/>
              <w:autoSpaceDN w:val="0"/>
              <w:adjustRightInd w:val="0"/>
              <w:spacing w:after="0" w:line="240" w:lineRule="auto"/>
              <w:rPr>
                <w:rFonts w:ascii="Times New Roman" w:hAnsi="Times New Roman" w:cs="Times New Roman"/>
                <w:sz w:val="18"/>
                <w:szCs w:val="18"/>
              </w:rPr>
            </w:pPr>
          </w:p>
        </w:tc>
        <w:tc>
          <w:tcPr>
            <w:tcW w:w="372" w:type="pct"/>
            <w:tcBorders>
              <w:top w:val="nil"/>
              <w:left w:val="nil"/>
              <w:bottom w:val="nil"/>
              <w:right w:val="nil"/>
            </w:tcBorders>
          </w:tcPr>
          <w:p w14:paraId="7185780B"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285B4325"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502BB3BD"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379B3692"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(0.0024)</w:t>
            </w:r>
          </w:p>
        </w:tc>
        <w:tc>
          <w:tcPr>
            <w:tcW w:w="346" w:type="pct"/>
            <w:tcBorders>
              <w:top w:val="nil"/>
              <w:left w:val="nil"/>
              <w:bottom w:val="nil"/>
              <w:right w:val="nil"/>
            </w:tcBorders>
          </w:tcPr>
          <w:p w14:paraId="7DD44760" w14:textId="1193BB4F"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4" w:type="pct"/>
            <w:tcBorders>
              <w:top w:val="nil"/>
              <w:left w:val="nil"/>
              <w:bottom w:val="nil"/>
              <w:right w:val="single" w:sz="4" w:space="0" w:color="auto"/>
            </w:tcBorders>
          </w:tcPr>
          <w:p w14:paraId="588961DE" w14:textId="06B58C4E"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single" w:sz="4" w:space="0" w:color="auto"/>
              <w:bottom w:val="nil"/>
              <w:right w:val="nil"/>
            </w:tcBorders>
          </w:tcPr>
          <w:p w14:paraId="297C71E5"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262A156A"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37845854"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6B3D59AB"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(0.0007)</w:t>
            </w:r>
          </w:p>
        </w:tc>
        <w:tc>
          <w:tcPr>
            <w:tcW w:w="388" w:type="pct"/>
            <w:tcBorders>
              <w:top w:val="nil"/>
              <w:left w:val="nil"/>
              <w:bottom w:val="nil"/>
              <w:right w:val="nil"/>
            </w:tcBorders>
          </w:tcPr>
          <w:p w14:paraId="56ABAE3C" w14:textId="7F887364"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2BA5D614" w14:textId="2E5D91B6"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r>
      <w:tr w:rsidR="00D43C0B" w:rsidRPr="00411250" w14:paraId="1F471910" w14:textId="77777777" w:rsidTr="005C69B8">
        <w:trPr>
          <w:trHeight w:val="288"/>
          <w:jc w:val="center"/>
        </w:trPr>
        <w:tc>
          <w:tcPr>
            <w:tcW w:w="544" w:type="pct"/>
            <w:tcBorders>
              <w:top w:val="nil"/>
              <w:left w:val="nil"/>
              <w:bottom w:val="nil"/>
              <w:right w:val="nil"/>
            </w:tcBorders>
          </w:tcPr>
          <w:p w14:paraId="5ACBFBA6" w14:textId="19132609" w:rsidR="00D43C0B" w:rsidRPr="00026A59" w:rsidRDefault="00D43C0B" w:rsidP="00D43C0B">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CCA*BoD_size</w:t>
            </w:r>
          </w:p>
        </w:tc>
        <w:tc>
          <w:tcPr>
            <w:tcW w:w="372" w:type="pct"/>
            <w:tcBorders>
              <w:top w:val="nil"/>
              <w:left w:val="nil"/>
              <w:bottom w:val="nil"/>
              <w:right w:val="nil"/>
            </w:tcBorders>
          </w:tcPr>
          <w:p w14:paraId="5E81F6A1" w14:textId="2519A1AE" w:rsidR="00D43C0B" w:rsidRPr="00026A59" w:rsidRDefault="00D43C0B" w:rsidP="00D43C0B">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3ADF6AD6" w14:textId="635C4B7A" w:rsidR="00D43C0B" w:rsidRPr="00026A59" w:rsidRDefault="00D43C0B" w:rsidP="00D43C0B">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2812603F" w14:textId="66C87B28" w:rsidR="00D43C0B" w:rsidRPr="00026A59" w:rsidRDefault="00D43C0B" w:rsidP="00D43C0B">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640315D2" w14:textId="3429A6B1" w:rsidR="00D43C0B" w:rsidRPr="00026A59" w:rsidRDefault="00D43C0B" w:rsidP="00D43C0B">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46" w:type="pct"/>
            <w:tcBorders>
              <w:top w:val="nil"/>
              <w:left w:val="nil"/>
              <w:bottom w:val="nil"/>
              <w:right w:val="nil"/>
            </w:tcBorders>
          </w:tcPr>
          <w:p w14:paraId="6568F752" w14:textId="761AC2EA" w:rsidR="00D43C0B" w:rsidRPr="00026A59" w:rsidRDefault="00D43C0B" w:rsidP="00D43C0B">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0.292***</w:t>
            </w:r>
          </w:p>
        </w:tc>
        <w:tc>
          <w:tcPr>
            <w:tcW w:w="374" w:type="pct"/>
            <w:tcBorders>
              <w:top w:val="nil"/>
              <w:left w:val="nil"/>
              <w:bottom w:val="nil"/>
              <w:right w:val="single" w:sz="4" w:space="0" w:color="auto"/>
            </w:tcBorders>
          </w:tcPr>
          <w:p w14:paraId="06E5036C" w14:textId="4B7DCF68" w:rsidR="00D43C0B" w:rsidRPr="00026A59" w:rsidRDefault="00D43C0B" w:rsidP="00D43C0B">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single" w:sz="4" w:space="0" w:color="auto"/>
              <w:bottom w:val="nil"/>
              <w:right w:val="nil"/>
            </w:tcBorders>
          </w:tcPr>
          <w:p w14:paraId="1AC0F8AA" w14:textId="156B55D5" w:rsidR="00D43C0B" w:rsidRPr="00026A59" w:rsidRDefault="00D43C0B" w:rsidP="00D43C0B">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78104E99" w14:textId="51C8950F" w:rsidR="00D43C0B" w:rsidRPr="00026A59" w:rsidRDefault="00D43C0B" w:rsidP="00D43C0B">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24A4304E" w14:textId="170B41A2" w:rsidR="00D43C0B" w:rsidRPr="00026A59" w:rsidRDefault="00D43C0B" w:rsidP="00D43C0B">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49DDE964" w14:textId="25E1ADE2" w:rsidR="00D43C0B" w:rsidRPr="00026A59" w:rsidRDefault="00D43C0B" w:rsidP="00D43C0B">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88" w:type="pct"/>
            <w:tcBorders>
              <w:top w:val="nil"/>
              <w:left w:val="nil"/>
              <w:bottom w:val="nil"/>
              <w:right w:val="nil"/>
            </w:tcBorders>
          </w:tcPr>
          <w:p w14:paraId="614F7EFD" w14:textId="25771426" w:rsidR="00D43C0B" w:rsidRPr="00026A59" w:rsidRDefault="00D43C0B" w:rsidP="00D43C0B">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0.00124</w:t>
            </w:r>
          </w:p>
        </w:tc>
        <w:tc>
          <w:tcPr>
            <w:tcW w:w="372" w:type="pct"/>
            <w:tcBorders>
              <w:top w:val="nil"/>
              <w:left w:val="nil"/>
              <w:bottom w:val="nil"/>
              <w:right w:val="nil"/>
            </w:tcBorders>
          </w:tcPr>
          <w:p w14:paraId="41C78BB3" w14:textId="49A72484" w:rsidR="00D43C0B" w:rsidRPr="00026A59" w:rsidRDefault="00D43C0B" w:rsidP="00D43C0B">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r>
      <w:tr w:rsidR="00D43C0B" w:rsidRPr="00411250" w14:paraId="3DCB8BC4" w14:textId="77777777" w:rsidTr="005C69B8">
        <w:trPr>
          <w:trHeight w:val="288"/>
          <w:jc w:val="center"/>
        </w:trPr>
        <w:tc>
          <w:tcPr>
            <w:tcW w:w="544" w:type="pct"/>
            <w:tcBorders>
              <w:top w:val="nil"/>
              <w:left w:val="nil"/>
              <w:bottom w:val="nil"/>
              <w:right w:val="nil"/>
            </w:tcBorders>
          </w:tcPr>
          <w:p w14:paraId="38F48634" w14:textId="77777777" w:rsidR="00D43C0B" w:rsidRPr="00026A59" w:rsidRDefault="00D43C0B" w:rsidP="00D43C0B">
            <w:pPr>
              <w:widowControl w:val="0"/>
              <w:autoSpaceDE w:val="0"/>
              <w:autoSpaceDN w:val="0"/>
              <w:adjustRightInd w:val="0"/>
              <w:spacing w:after="0" w:line="240" w:lineRule="auto"/>
              <w:rPr>
                <w:rFonts w:ascii="Times New Roman" w:hAnsi="Times New Roman" w:cs="Times New Roman"/>
                <w:sz w:val="18"/>
                <w:szCs w:val="18"/>
              </w:rPr>
            </w:pPr>
          </w:p>
        </w:tc>
        <w:tc>
          <w:tcPr>
            <w:tcW w:w="372" w:type="pct"/>
            <w:tcBorders>
              <w:top w:val="nil"/>
              <w:left w:val="nil"/>
              <w:bottom w:val="nil"/>
              <w:right w:val="nil"/>
            </w:tcBorders>
          </w:tcPr>
          <w:p w14:paraId="17CD5E45" w14:textId="3CECA320" w:rsidR="00D43C0B" w:rsidRPr="00026A59" w:rsidRDefault="00D43C0B" w:rsidP="00D43C0B">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3CA64DB1" w14:textId="5D3ADFC2" w:rsidR="00D43C0B" w:rsidRPr="00026A59" w:rsidRDefault="00D43C0B" w:rsidP="00D43C0B">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52FF43DC" w14:textId="36A70D36" w:rsidR="00D43C0B" w:rsidRPr="00026A59" w:rsidRDefault="00D43C0B" w:rsidP="00D43C0B">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25DB307B" w14:textId="41B2B47F" w:rsidR="00D43C0B" w:rsidRPr="00026A59" w:rsidRDefault="00D43C0B" w:rsidP="00D43C0B">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46" w:type="pct"/>
            <w:tcBorders>
              <w:top w:val="nil"/>
              <w:left w:val="nil"/>
              <w:bottom w:val="nil"/>
              <w:right w:val="nil"/>
            </w:tcBorders>
          </w:tcPr>
          <w:p w14:paraId="64DFA530" w14:textId="7BB48C2E" w:rsidR="00D43C0B" w:rsidRPr="00026A59" w:rsidRDefault="00D43C0B" w:rsidP="00D43C0B">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(0.0786)</w:t>
            </w:r>
          </w:p>
        </w:tc>
        <w:tc>
          <w:tcPr>
            <w:tcW w:w="374" w:type="pct"/>
            <w:tcBorders>
              <w:top w:val="nil"/>
              <w:left w:val="nil"/>
              <w:bottom w:val="nil"/>
              <w:right w:val="single" w:sz="4" w:space="0" w:color="auto"/>
            </w:tcBorders>
          </w:tcPr>
          <w:p w14:paraId="72D11FB7" w14:textId="348AB8F3" w:rsidR="00D43C0B" w:rsidRPr="00026A59" w:rsidRDefault="00D43C0B" w:rsidP="00D43C0B">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single" w:sz="4" w:space="0" w:color="auto"/>
              <w:bottom w:val="nil"/>
              <w:right w:val="nil"/>
            </w:tcBorders>
          </w:tcPr>
          <w:p w14:paraId="5BBAA44B" w14:textId="5DD87C42" w:rsidR="00D43C0B" w:rsidRPr="00026A59" w:rsidRDefault="00D43C0B" w:rsidP="00D43C0B">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223DB1FB" w14:textId="5523E2EA" w:rsidR="00D43C0B" w:rsidRPr="00026A59" w:rsidRDefault="00D43C0B" w:rsidP="00D43C0B">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33E1B0C4" w14:textId="5CC51D46" w:rsidR="00D43C0B" w:rsidRPr="00026A59" w:rsidRDefault="00D43C0B" w:rsidP="00D43C0B">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74472D16" w14:textId="1100E059" w:rsidR="00D43C0B" w:rsidRPr="00026A59" w:rsidRDefault="00D43C0B" w:rsidP="00D43C0B">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88" w:type="pct"/>
            <w:tcBorders>
              <w:top w:val="nil"/>
              <w:left w:val="nil"/>
              <w:bottom w:val="nil"/>
              <w:right w:val="nil"/>
            </w:tcBorders>
          </w:tcPr>
          <w:p w14:paraId="699995AF" w14:textId="644CB4AB" w:rsidR="00D43C0B" w:rsidRPr="00026A59" w:rsidRDefault="00D43C0B" w:rsidP="00D43C0B">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(0.0161)</w:t>
            </w:r>
          </w:p>
        </w:tc>
        <w:tc>
          <w:tcPr>
            <w:tcW w:w="372" w:type="pct"/>
            <w:tcBorders>
              <w:top w:val="nil"/>
              <w:left w:val="nil"/>
              <w:bottom w:val="nil"/>
              <w:right w:val="nil"/>
            </w:tcBorders>
          </w:tcPr>
          <w:p w14:paraId="44103B9B" w14:textId="2C30BE43" w:rsidR="00D43C0B" w:rsidRPr="00026A59" w:rsidRDefault="00D43C0B" w:rsidP="00D43C0B">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r>
      <w:tr w:rsidR="00CA5C10" w:rsidRPr="00411250" w14:paraId="5A57562A" w14:textId="77777777" w:rsidTr="005C69B8">
        <w:trPr>
          <w:trHeight w:val="288"/>
          <w:jc w:val="center"/>
        </w:trPr>
        <w:tc>
          <w:tcPr>
            <w:tcW w:w="544" w:type="pct"/>
            <w:tcBorders>
              <w:top w:val="nil"/>
              <w:left w:val="nil"/>
              <w:bottom w:val="nil"/>
              <w:right w:val="nil"/>
            </w:tcBorders>
          </w:tcPr>
          <w:p w14:paraId="2880B561" w14:textId="77777777" w:rsidR="00CA5C10" w:rsidRPr="00026A59" w:rsidRDefault="00CA5C10" w:rsidP="00CA5C10">
            <w:pPr>
              <w:widowControl w:val="0"/>
              <w:autoSpaceDE w:val="0"/>
              <w:autoSpaceDN w:val="0"/>
              <w:adjustRightInd w:val="0"/>
              <w:spacing w:after="0" w:line="240" w:lineRule="auto"/>
              <w:rPr>
                <w:rFonts w:ascii="Times New Roman" w:hAnsi="Times New Roman" w:cs="Times New Roman"/>
                <w:sz w:val="18"/>
                <w:szCs w:val="18"/>
              </w:rPr>
            </w:pPr>
            <w:r w:rsidRPr="00026A59">
              <w:rPr>
                <w:rFonts w:ascii="Times New Roman" w:hAnsi="Times New Roman" w:cs="Times New Roman"/>
                <w:sz w:val="18"/>
                <w:szCs w:val="18"/>
              </w:rPr>
              <w:t>CCA*Polluters</w:t>
            </w:r>
          </w:p>
        </w:tc>
        <w:tc>
          <w:tcPr>
            <w:tcW w:w="372" w:type="pct"/>
            <w:tcBorders>
              <w:top w:val="nil"/>
              <w:left w:val="nil"/>
              <w:bottom w:val="nil"/>
              <w:right w:val="nil"/>
            </w:tcBorders>
          </w:tcPr>
          <w:p w14:paraId="6CBB0D72"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5EFFCBFE"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1641B999"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7279F2C1"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46" w:type="pct"/>
            <w:tcBorders>
              <w:top w:val="nil"/>
              <w:left w:val="nil"/>
              <w:bottom w:val="nil"/>
              <w:right w:val="nil"/>
            </w:tcBorders>
          </w:tcPr>
          <w:p w14:paraId="028EFE39" w14:textId="5EC0F39F"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4" w:type="pct"/>
            <w:tcBorders>
              <w:top w:val="nil"/>
              <w:left w:val="nil"/>
              <w:bottom w:val="nil"/>
              <w:right w:val="single" w:sz="4" w:space="0" w:color="auto"/>
            </w:tcBorders>
          </w:tcPr>
          <w:p w14:paraId="4B62BD97" w14:textId="53C3332C"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0.590***</w:t>
            </w:r>
          </w:p>
        </w:tc>
        <w:tc>
          <w:tcPr>
            <w:tcW w:w="372" w:type="pct"/>
            <w:tcBorders>
              <w:top w:val="nil"/>
              <w:left w:val="single" w:sz="4" w:space="0" w:color="auto"/>
              <w:bottom w:val="nil"/>
              <w:right w:val="nil"/>
            </w:tcBorders>
          </w:tcPr>
          <w:p w14:paraId="26101DDA"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5355FF6C"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2534BA29"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72D68E42"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88" w:type="pct"/>
            <w:tcBorders>
              <w:top w:val="nil"/>
              <w:left w:val="nil"/>
              <w:bottom w:val="nil"/>
              <w:right w:val="nil"/>
            </w:tcBorders>
          </w:tcPr>
          <w:p w14:paraId="500EC311" w14:textId="30BFC2EF"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2C1C723D" w14:textId="134819B4"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-0.0244</w:t>
            </w:r>
          </w:p>
        </w:tc>
      </w:tr>
      <w:tr w:rsidR="00CA5C10" w:rsidRPr="00411250" w14:paraId="5D286FC2" w14:textId="77777777" w:rsidTr="005C69B8">
        <w:trPr>
          <w:trHeight w:val="288"/>
          <w:jc w:val="center"/>
        </w:trPr>
        <w:tc>
          <w:tcPr>
            <w:tcW w:w="544" w:type="pct"/>
            <w:tcBorders>
              <w:top w:val="nil"/>
              <w:left w:val="nil"/>
              <w:bottom w:val="nil"/>
              <w:right w:val="nil"/>
            </w:tcBorders>
          </w:tcPr>
          <w:p w14:paraId="63917873" w14:textId="77777777" w:rsidR="00CA5C10" w:rsidRPr="00026A59" w:rsidRDefault="00CA5C10" w:rsidP="00CA5C10">
            <w:pPr>
              <w:widowControl w:val="0"/>
              <w:autoSpaceDE w:val="0"/>
              <w:autoSpaceDN w:val="0"/>
              <w:adjustRightInd w:val="0"/>
              <w:spacing w:after="0" w:line="240" w:lineRule="auto"/>
              <w:rPr>
                <w:rFonts w:ascii="Times New Roman" w:hAnsi="Times New Roman" w:cs="Times New Roman"/>
                <w:sz w:val="18"/>
                <w:szCs w:val="18"/>
              </w:rPr>
            </w:pPr>
          </w:p>
        </w:tc>
        <w:tc>
          <w:tcPr>
            <w:tcW w:w="372" w:type="pct"/>
            <w:tcBorders>
              <w:top w:val="nil"/>
              <w:left w:val="nil"/>
              <w:bottom w:val="nil"/>
              <w:right w:val="nil"/>
            </w:tcBorders>
          </w:tcPr>
          <w:p w14:paraId="5EC6C2E5"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0A2FB358"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62FFFCE0"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11950946"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46" w:type="pct"/>
            <w:tcBorders>
              <w:top w:val="nil"/>
              <w:left w:val="nil"/>
              <w:bottom w:val="nil"/>
              <w:right w:val="nil"/>
            </w:tcBorders>
          </w:tcPr>
          <w:p w14:paraId="2E0479AC" w14:textId="2B4F1665"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4" w:type="pct"/>
            <w:tcBorders>
              <w:top w:val="nil"/>
              <w:left w:val="nil"/>
              <w:bottom w:val="nil"/>
              <w:right w:val="single" w:sz="4" w:space="0" w:color="auto"/>
            </w:tcBorders>
          </w:tcPr>
          <w:p w14:paraId="1D918B7D" w14:textId="42BB7F03"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(0.218)</w:t>
            </w:r>
          </w:p>
        </w:tc>
        <w:tc>
          <w:tcPr>
            <w:tcW w:w="372" w:type="pct"/>
            <w:tcBorders>
              <w:top w:val="nil"/>
              <w:left w:val="single" w:sz="4" w:space="0" w:color="auto"/>
              <w:bottom w:val="nil"/>
              <w:right w:val="nil"/>
            </w:tcBorders>
          </w:tcPr>
          <w:p w14:paraId="73A0F1B4"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0065888C"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5234039A"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307B1340"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88" w:type="pct"/>
            <w:tcBorders>
              <w:top w:val="nil"/>
              <w:left w:val="nil"/>
              <w:bottom w:val="nil"/>
              <w:right w:val="nil"/>
            </w:tcBorders>
          </w:tcPr>
          <w:p w14:paraId="7594486D" w14:textId="47A60B30"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w:t>
            </w:r>
          </w:p>
        </w:tc>
        <w:tc>
          <w:tcPr>
            <w:tcW w:w="372" w:type="pct"/>
            <w:tcBorders>
              <w:top w:val="nil"/>
              <w:left w:val="nil"/>
              <w:bottom w:val="nil"/>
              <w:right w:val="nil"/>
            </w:tcBorders>
          </w:tcPr>
          <w:p w14:paraId="7C9E3A1D" w14:textId="615E3140"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(0.0452)</w:t>
            </w:r>
          </w:p>
        </w:tc>
      </w:tr>
      <w:tr w:rsidR="00CA5C10" w:rsidRPr="00411250" w14:paraId="2A6827F3" w14:textId="77777777" w:rsidTr="005C69B8">
        <w:trPr>
          <w:trHeight w:val="288"/>
          <w:jc w:val="center"/>
        </w:trPr>
        <w:tc>
          <w:tcPr>
            <w:tcW w:w="544" w:type="pct"/>
            <w:tcBorders>
              <w:top w:val="nil"/>
              <w:left w:val="nil"/>
              <w:bottom w:val="nil"/>
              <w:right w:val="nil"/>
            </w:tcBorders>
          </w:tcPr>
          <w:p w14:paraId="73543DD0" w14:textId="77777777" w:rsidR="00CA5C10" w:rsidRPr="00026A59" w:rsidRDefault="00CA5C10" w:rsidP="00CA5C10">
            <w:pPr>
              <w:widowControl w:val="0"/>
              <w:autoSpaceDE w:val="0"/>
              <w:autoSpaceDN w:val="0"/>
              <w:adjustRightInd w:val="0"/>
              <w:spacing w:after="0" w:line="240" w:lineRule="auto"/>
              <w:rPr>
                <w:rFonts w:ascii="Times New Roman" w:hAnsi="Times New Roman" w:cs="Times New Roman"/>
                <w:sz w:val="18"/>
                <w:szCs w:val="18"/>
              </w:rPr>
            </w:pPr>
            <w:r w:rsidRPr="00026A59">
              <w:rPr>
                <w:rFonts w:ascii="Times New Roman" w:hAnsi="Times New Roman" w:cs="Times New Roman"/>
                <w:sz w:val="18"/>
                <w:szCs w:val="18"/>
              </w:rPr>
              <w:t>Constant</w:t>
            </w:r>
          </w:p>
        </w:tc>
        <w:tc>
          <w:tcPr>
            <w:tcW w:w="372" w:type="pct"/>
            <w:tcBorders>
              <w:top w:val="nil"/>
              <w:left w:val="nil"/>
              <w:bottom w:val="nil"/>
              <w:right w:val="nil"/>
            </w:tcBorders>
          </w:tcPr>
          <w:p w14:paraId="01D45AB0"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-5.627***</w:t>
            </w:r>
          </w:p>
        </w:tc>
        <w:tc>
          <w:tcPr>
            <w:tcW w:w="372" w:type="pct"/>
            <w:tcBorders>
              <w:top w:val="nil"/>
              <w:left w:val="nil"/>
              <w:bottom w:val="nil"/>
              <w:right w:val="nil"/>
            </w:tcBorders>
          </w:tcPr>
          <w:p w14:paraId="4AA7CACF"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-1.881</w:t>
            </w:r>
          </w:p>
        </w:tc>
        <w:tc>
          <w:tcPr>
            <w:tcW w:w="372" w:type="pct"/>
            <w:tcBorders>
              <w:top w:val="nil"/>
              <w:left w:val="nil"/>
              <w:bottom w:val="nil"/>
              <w:right w:val="nil"/>
            </w:tcBorders>
          </w:tcPr>
          <w:p w14:paraId="221C3BDF"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1.176</w:t>
            </w:r>
          </w:p>
        </w:tc>
        <w:tc>
          <w:tcPr>
            <w:tcW w:w="372" w:type="pct"/>
            <w:tcBorders>
              <w:top w:val="nil"/>
              <w:left w:val="nil"/>
              <w:bottom w:val="nil"/>
              <w:right w:val="nil"/>
            </w:tcBorders>
          </w:tcPr>
          <w:p w14:paraId="3031AE3B"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-1.963</w:t>
            </w:r>
          </w:p>
        </w:tc>
        <w:tc>
          <w:tcPr>
            <w:tcW w:w="346" w:type="pct"/>
            <w:tcBorders>
              <w:top w:val="nil"/>
              <w:left w:val="nil"/>
              <w:bottom w:val="nil"/>
              <w:right w:val="nil"/>
            </w:tcBorders>
          </w:tcPr>
          <w:p w14:paraId="69B962D2" w14:textId="4E003BF5"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-1.735</w:t>
            </w:r>
          </w:p>
        </w:tc>
        <w:tc>
          <w:tcPr>
            <w:tcW w:w="374" w:type="pct"/>
            <w:tcBorders>
              <w:top w:val="nil"/>
              <w:left w:val="nil"/>
              <w:bottom w:val="nil"/>
              <w:right w:val="single" w:sz="4" w:space="0" w:color="auto"/>
            </w:tcBorders>
          </w:tcPr>
          <w:p w14:paraId="7CF5ED90" w14:textId="7CBC9552"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-3.270</w:t>
            </w:r>
          </w:p>
        </w:tc>
        <w:tc>
          <w:tcPr>
            <w:tcW w:w="372" w:type="pct"/>
            <w:tcBorders>
              <w:top w:val="nil"/>
              <w:left w:val="single" w:sz="4" w:space="0" w:color="auto"/>
              <w:bottom w:val="nil"/>
              <w:right w:val="nil"/>
            </w:tcBorders>
          </w:tcPr>
          <w:p w14:paraId="01A7AF3E"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11.24***</w:t>
            </w:r>
          </w:p>
        </w:tc>
        <w:tc>
          <w:tcPr>
            <w:tcW w:w="372" w:type="pct"/>
            <w:tcBorders>
              <w:top w:val="nil"/>
              <w:left w:val="nil"/>
              <w:bottom w:val="nil"/>
              <w:right w:val="nil"/>
            </w:tcBorders>
          </w:tcPr>
          <w:p w14:paraId="18FA8FCE"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10.91***</w:t>
            </w:r>
          </w:p>
        </w:tc>
        <w:tc>
          <w:tcPr>
            <w:tcW w:w="372" w:type="pct"/>
            <w:tcBorders>
              <w:top w:val="nil"/>
              <w:left w:val="nil"/>
              <w:bottom w:val="nil"/>
              <w:right w:val="nil"/>
            </w:tcBorders>
          </w:tcPr>
          <w:p w14:paraId="5F6B80BE"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10.96***</w:t>
            </w:r>
          </w:p>
        </w:tc>
        <w:tc>
          <w:tcPr>
            <w:tcW w:w="372" w:type="pct"/>
            <w:tcBorders>
              <w:top w:val="nil"/>
              <w:left w:val="nil"/>
              <w:bottom w:val="nil"/>
              <w:right w:val="nil"/>
            </w:tcBorders>
          </w:tcPr>
          <w:p w14:paraId="3A36D320"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10.71***</w:t>
            </w:r>
          </w:p>
        </w:tc>
        <w:tc>
          <w:tcPr>
            <w:tcW w:w="388" w:type="pct"/>
            <w:tcBorders>
              <w:top w:val="nil"/>
              <w:left w:val="nil"/>
              <w:bottom w:val="nil"/>
              <w:right w:val="nil"/>
            </w:tcBorders>
          </w:tcPr>
          <w:p w14:paraId="512E5CD8" w14:textId="5079F33D"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10.68***</w:t>
            </w:r>
          </w:p>
        </w:tc>
        <w:tc>
          <w:tcPr>
            <w:tcW w:w="372" w:type="pct"/>
            <w:tcBorders>
              <w:top w:val="nil"/>
              <w:left w:val="nil"/>
              <w:bottom w:val="nil"/>
              <w:right w:val="nil"/>
            </w:tcBorders>
          </w:tcPr>
          <w:p w14:paraId="644E498A" w14:textId="54AB782E"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10.72***</w:t>
            </w:r>
          </w:p>
        </w:tc>
      </w:tr>
      <w:tr w:rsidR="00CA5C10" w:rsidRPr="00411250" w14:paraId="0C650E98" w14:textId="77777777" w:rsidTr="005C69B8">
        <w:trPr>
          <w:trHeight w:val="288"/>
          <w:jc w:val="center"/>
        </w:trPr>
        <w:tc>
          <w:tcPr>
            <w:tcW w:w="544" w:type="pct"/>
            <w:tcBorders>
              <w:top w:val="nil"/>
              <w:left w:val="nil"/>
              <w:bottom w:val="single" w:sz="4" w:space="0" w:color="auto"/>
              <w:right w:val="nil"/>
            </w:tcBorders>
          </w:tcPr>
          <w:p w14:paraId="78D14F92" w14:textId="77777777" w:rsidR="00CA5C10" w:rsidRPr="00026A59" w:rsidRDefault="00CA5C10" w:rsidP="00CA5C10">
            <w:pPr>
              <w:widowControl w:val="0"/>
              <w:autoSpaceDE w:val="0"/>
              <w:autoSpaceDN w:val="0"/>
              <w:adjustRightInd w:val="0"/>
              <w:spacing w:after="0" w:line="240" w:lineRule="auto"/>
              <w:rPr>
                <w:rFonts w:ascii="Times New Roman" w:hAnsi="Times New Roman" w:cs="Times New Roman"/>
                <w:sz w:val="18"/>
                <w:szCs w:val="18"/>
              </w:rPr>
            </w:pPr>
          </w:p>
        </w:tc>
        <w:tc>
          <w:tcPr>
            <w:tcW w:w="372" w:type="pct"/>
            <w:tcBorders>
              <w:top w:val="nil"/>
              <w:left w:val="nil"/>
              <w:bottom w:val="single" w:sz="4" w:space="0" w:color="auto"/>
              <w:right w:val="nil"/>
            </w:tcBorders>
          </w:tcPr>
          <w:p w14:paraId="10E67A05"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(1.852)</w:t>
            </w:r>
          </w:p>
        </w:tc>
        <w:tc>
          <w:tcPr>
            <w:tcW w:w="372" w:type="pct"/>
            <w:tcBorders>
              <w:top w:val="nil"/>
              <w:left w:val="nil"/>
              <w:bottom w:val="single" w:sz="4" w:space="0" w:color="auto"/>
              <w:right w:val="nil"/>
            </w:tcBorders>
          </w:tcPr>
          <w:p w14:paraId="74E3CD88"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(3.420)</w:t>
            </w:r>
          </w:p>
        </w:tc>
        <w:tc>
          <w:tcPr>
            <w:tcW w:w="372" w:type="pct"/>
            <w:tcBorders>
              <w:top w:val="nil"/>
              <w:left w:val="nil"/>
              <w:bottom w:val="single" w:sz="4" w:space="0" w:color="auto"/>
              <w:right w:val="nil"/>
            </w:tcBorders>
          </w:tcPr>
          <w:p w14:paraId="6250D1B1"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(4.391)</w:t>
            </w:r>
          </w:p>
        </w:tc>
        <w:tc>
          <w:tcPr>
            <w:tcW w:w="372" w:type="pct"/>
            <w:tcBorders>
              <w:top w:val="nil"/>
              <w:left w:val="nil"/>
              <w:bottom w:val="single" w:sz="4" w:space="0" w:color="auto"/>
              <w:right w:val="nil"/>
            </w:tcBorders>
          </w:tcPr>
          <w:p w14:paraId="518953BC"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(3.515)</w:t>
            </w:r>
          </w:p>
        </w:tc>
        <w:tc>
          <w:tcPr>
            <w:tcW w:w="346" w:type="pct"/>
            <w:tcBorders>
              <w:top w:val="nil"/>
              <w:left w:val="nil"/>
              <w:bottom w:val="single" w:sz="4" w:space="0" w:color="auto"/>
              <w:right w:val="nil"/>
            </w:tcBorders>
          </w:tcPr>
          <w:p w14:paraId="11F3BDF7" w14:textId="7A09053C"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(3.326)</w:t>
            </w:r>
          </w:p>
        </w:tc>
        <w:tc>
          <w:tcPr>
            <w:tcW w:w="374" w:type="pct"/>
            <w:tcBorders>
              <w:top w:val="nil"/>
              <w:left w:val="nil"/>
              <w:bottom w:val="single" w:sz="4" w:space="0" w:color="auto"/>
              <w:right w:val="single" w:sz="4" w:space="0" w:color="auto"/>
            </w:tcBorders>
          </w:tcPr>
          <w:p w14:paraId="1C5E245F" w14:textId="08111232"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(3.482)</w:t>
            </w:r>
          </w:p>
        </w:tc>
        <w:tc>
          <w:tcPr>
            <w:tcW w:w="372" w:type="pct"/>
            <w:tcBorders>
              <w:top w:val="nil"/>
              <w:left w:val="single" w:sz="4" w:space="0" w:color="auto"/>
              <w:bottom w:val="single" w:sz="4" w:space="0" w:color="auto"/>
              <w:right w:val="nil"/>
            </w:tcBorders>
          </w:tcPr>
          <w:p w14:paraId="62A61884"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(2.083)</w:t>
            </w:r>
          </w:p>
        </w:tc>
        <w:tc>
          <w:tcPr>
            <w:tcW w:w="372" w:type="pct"/>
            <w:tcBorders>
              <w:top w:val="nil"/>
              <w:left w:val="nil"/>
              <w:bottom w:val="single" w:sz="4" w:space="0" w:color="auto"/>
              <w:right w:val="nil"/>
            </w:tcBorders>
          </w:tcPr>
          <w:p w14:paraId="19076F26"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(2.072)</w:t>
            </w:r>
          </w:p>
        </w:tc>
        <w:tc>
          <w:tcPr>
            <w:tcW w:w="372" w:type="pct"/>
            <w:tcBorders>
              <w:top w:val="nil"/>
              <w:left w:val="nil"/>
              <w:bottom w:val="single" w:sz="4" w:space="0" w:color="auto"/>
              <w:right w:val="nil"/>
            </w:tcBorders>
          </w:tcPr>
          <w:p w14:paraId="4D3FCD8F"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(2.127)</w:t>
            </w:r>
          </w:p>
        </w:tc>
        <w:tc>
          <w:tcPr>
            <w:tcW w:w="372" w:type="pct"/>
            <w:tcBorders>
              <w:top w:val="nil"/>
              <w:left w:val="nil"/>
              <w:bottom w:val="single" w:sz="4" w:space="0" w:color="auto"/>
              <w:right w:val="nil"/>
            </w:tcBorders>
          </w:tcPr>
          <w:p w14:paraId="23BDCF1A"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(2.203)</w:t>
            </w:r>
          </w:p>
        </w:tc>
        <w:tc>
          <w:tcPr>
            <w:tcW w:w="388" w:type="pct"/>
            <w:tcBorders>
              <w:top w:val="nil"/>
              <w:left w:val="nil"/>
              <w:bottom w:val="single" w:sz="4" w:space="0" w:color="auto"/>
              <w:right w:val="nil"/>
            </w:tcBorders>
          </w:tcPr>
          <w:p w14:paraId="4C6A5965" w14:textId="717547EB"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(2.599)</w:t>
            </w:r>
          </w:p>
        </w:tc>
        <w:tc>
          <w:tcPr>
            <w:tcW w:w="372" w:type="pct"/>
            <w:tcBorders>
              <w:top w:val="nil"/>
              <w:left w:val="nil"/>
              <w:bottom w:val="single" w:sz="4" w:space="0" w:color="auto"/>
              <w:right w:val="nil"/>
            </w:tcBorders>
          </w:tcPr>
          <w:p w14:paraId="43BEDE5A" w14:textId="7AACA60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(2.033)</w:t>
            </w:r>
          </w:p>
        </w:tc>
      </w:tr>
      <w:tr w:rsidR="00CA5C10" w:rsidRPr="00411250" w14:paraId="528A4E73" w14:textId="77777777" w:rsidTr="005C69B8">
        <w:trPr>
          <w:trHeight w:val="288"/>
          <w:jc w:val="center"/>
        </w:trPr>
        <w:tc>
          <w:tcPr>
            <w:tcW w:w="544" w:type="pct"/>
            <w:tcBorders>
              <w:top w:val="single" w:sz="4" w:space="0" w:color="auto"/>
              <w:left w:val="nil"/>
              <w:bottom w:val="nil"/>
              <w:right w:val="nil"/>
            </w:tcBorders>
          </w:tcPr>
          <w:p w14:paraId="1BEDA647" w14:textId="77777777" w:rsidR="00CA5C10" w:rsidRPr="00026A59" w:rsidRDefault="00CA5C10" w:rsidP="00CA5C10">
            <w:pPr>
              <w:widowControl w:val="0"/>
              <w:autoSpaceDE w:val="0"/>
              <w:autoSpaceDN w:val="0"/>
              <w:adjustRightInd w:val="0"/>
              <w:spacing w:after="0" w:line="240" w:lineRule="auto"/>
              <w:rPr>
                <w:rFonts w:ascii="Times New Roman" w:hAnsi="Times New Roman" w:cs="Times New Roman"/>
                <w:sz w:val="18"/>
                <w:szCs w:val="18"/>
              </w:rPr>
            </w:pPr>
            <w:r w:rsidRPr="00026A59">
              <w:rPr>
                <w:rFonts w:ascii="Times New Roman" w:hAnsi="Times New Roman" w:cs="Times New Roman"/>
                <w:sz w:val="18"/>
                <w:szCs w:val="18"/>
              </w:rPr>
              <w:t>Observations</w:t>
            </w:r>
          </w:p>
        </w:tc>
        <w:tc>
          <w:tcPr>
            <w:tcW w:w="372" w:type="pct"/>
            <w:tcBorders>
              <w:top w:val="single" w:sz="4" w:space="0" w:color="auto"/>
              <w:left w:val="nil"/>
              <w:bottom w:val="nil"/>
              <w:right w:val="nil"/>
            </w:tcBorders>
          </w:tcPr>
          <w:p w14:paraId="0710A918"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1,520</w:t>
            </w:r>
          </w:p>
        </w:tc>
        <w:tc>
          <w:tcPr>
            <w:tcW w:w="372" w:type="pct"/>
            <w:tcBorders>
              <w:top w:val="single" w:sz="4" w:space="0" w:color="auto"/>
              <w:left w:val="nil"/>
              <w:bottom w:val="nil"/>
              <w:right w:val="nil"/>
            </w:tcBorders>
          </w:tcPr>
          <w:p w14:paraId="2533B325"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846</w:t>
            </w:r>
          </w:p>
        </w:tc>
        <w:tc>
          <w:tcPr>
            <w:tcW w:w="372" w:type="pct"/>
            <w:tcBorders>
              <w:top w:val="single" w:sz="4" w:space="0" w:color="auto"/>
              <w:left w:val="nil"/>
              <w:bottom w:val="nil"/>
              <w:right w:val="nil"/>
            </w:tcBorders>
          </w:tcPr>
          <w:p w14:paraId="4B6C5979"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846</w:t>
            </w:r>
          </w:p>
        </w:tc>
        <w:tc>
          <w:tcPr>
            <w:tcW w:w="372" w:type="pct"/>
            <w:tcBorders>
              <w:top w:val="single" w:sz="4" w:space="0" w:color="auto"/>
              <w:left w:val="nil"/>
              <w:bottom w:val="nil"/>
              <w:right w:val="nil"/>
            </w:tcBorders>
          </w:tcPr>
          <w:p w14:paraId="16B1584B"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846</w:t>
            </w:r>
          </w:p>
        </w:tc>
        <w:tc>
          <w:tcPr>
            <w:tcW w:w="346" w:type="pct"/>
            <w:tcBorders>
              <w:top w:val="single" w:sz="4" w:space="0" w:color="auto"/>
              <w:left w:val="nil"/>
              <w:bottom w:val="nil"/>
              <w:right w:val="nil"/>
            </w:tcBorders>
          </w:tcPr>
          <w:p w14:paraId="6D9DC73F" w14:textId="5DFFFFAD"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846</w:t>
            </w:r>
          </w:p>
        </w:tc>
        <w:tc>
          <w:tcPr>
            <w:tcW w:w="374" w:type="pct"/>
            <w:tcBorders>
              <w:top w:val="single" w:sz="4" w:space="0" w:color="auto"/>
              <w:left w:val="nil"/>
              <w:bottom w:val="nil"/>
              <w:right w:val="single" w:sz="4" w:space="0" w:color="auto"/>
            </w:tcBorders>
          </w:tcPr>
          <w:p w14:paraId="2C94E6DA" w14:textId="4ECB703E"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846</w:t>
            </w:r>
          </w:p>
        </w:tc>
        <w:tc>
          <w:tcPr>
            <w:tcW w:w="372" w:type="pct"/>
            <w:tcBorders>
              <w:top w:val="single" w:sz="4" w:space="0" w:color="auto"/>
              <w:left w:val="single" w:sz="4" w:space="0" w:color="auto"/>
              <w:bottom w:val="nil"/>
              <w:right w:val="nil"/>
            </w:tcBorders>
          </w:tcPr>
          <w:p w14:paraId="6768F61C"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852</w:t>
            </w:r>
          </w:p>
        </w:tc>
        <w:tc>
          <w:tcPr>
            <w:tcW w:w="372" w:type="pct"/>
            <w:tcBorders>
              <w:top w:val="single" w:sz="4" w:space="0" w:color="auto"/>
              <w:left w:val="nil"/>
              <w:bottom w:val="nil"/>
              <w:right w:val="nil"/>
            </w:tcBorders>
          </w:tcPr>
          <w:p w14:paraId="40B683DD"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828</w:t>
            </w:r>
          </w:p>
        </w:tc>
        <w:tc>
          <w:tcPr>
            <w:tcW w:w="372" w:type="pct"/>
            <w:tcBorders>
              <w:top w:val="single" w:sz="4" w:space="0" w:color="auto"/>
              <w:left w:val="nil"/>
              <w:bottom w:val="nil"/>
              <w:right w:val="nil"/>
            </w:tcBorders>
          </w:tcPr>
          <w:p w14:paraId="34ED7A25"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828</w:t>
            </w:r>
          </w:p>
        </w:tc>
        <w:tc>
          <w:tcPr>
            <w:tcW w:w="372" w:type="pct"/>
            <w:tcBorders>
              <w:top w:val="single" w:sz="4" w:space="0" w:color="auto"/>
              <w:left w:val="nil"/>
              <w:bottom w:val="nil"/>
              <w:right w:val="nil"/>
            </w:tcBorders>
          </w:tcPr>
          <w:p w14:paraId="1573B483"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828</w:t>
            </w:r>
          </w:p>
        </w:tc>
        <w:tc>
          <w:tcPr>
            <w:tcW w:w="388" w:type="pct"/>
            <w:tcBorders>
              <w:top w:val="single" w:sz="4" w:space="0" w:color="auto"/>
              <w:left w:val="nil"/>
              <w:bottom w:val="nil"/>
              <w:right w:val="nil"/>
            </w:tcBorders>
          </w:tcPr>
          <w:p w14:paraId="08E53DAE" w14:textId="405438AB"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828</w:t>
            </w:r>
          </w:p>
        </w:tc>
        <w:tc>
          <w:tcPr>
            <w:tcW w:w="372" w:type="pct"/>
            <w:tcBorders>
              <w:top w:val="single" w:sz="4" w:space="0" w:color="auto"/>
              <w:left w:val="nil"/>
              <w:bottom w:val="nil"/>
              <w:right w:val="nil"/>
            </w:tcBorders>
          </w:tcPr>
          <w:p w14:paraId="12E0BB9E" w14:textId="26F465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828</w:t>
            </w:r>
          </w:p>
        </w:tc>
      </w:tr>
      <w:tr w:rsidR="00CA5C10" w:rsidRPr="00411250" w14:paraId="7CD7B51F" w14:textId="77777777" w:rsidTr="005C69B8">
        <w:tblPrEx>
          <w:tblBorders>
            <w:bottom w:val="single" w:sz="6" w:space="0" w:color="auto"/>
          </w:tblBorders>
        </w:tblPrEx>
        <w:trPr>
          <w:trHeight w:val="288"/>
          <w:jc w:val="center"/>
        </w:trPr>
        <w:tc>
          <w:tcPr>
            <w:tcW w:w="544" w:type="pct"/>
            <w:tcBorders>
              <w:top w:val="nil"/>
              <w:left w:val="nil"/>
              <w:bottom w:val="nil"/>
              <w:right w:val="nil"/>
            </w:tcBorders>
          </w:tcPr>
          <w:p w14:paraId="1EF07882" w14:textId="77777777" w:rsidR="00CA5C10" w:rsidRPr="00026A59" w:rsidRDefault="00CA5C10" w:rsidP="00CA5C10">
            <w:pPr>
              <w:widowControl w:val="0"/>
              <w:autoSpaceDE w:val="0"/>
              <w:autoSpaceDN w:val="0"/>
              <w:adjustRightInd w:val="0"/>
              <w:spacing w:after="0" w:line="240" w:lineRule="auto"/>
              <w:rPr>
                <w:rFonts w:ascii="Times New Roman" w:hAnsi="Times New Roman" w:cs="Times New Roman"/>
                <w:sz w:val="18"/>
                <w:szCs w:val="18"/>
              </w:rPr>
            </w:pPr>
            <w:r w:rsidRPr="00026A59">
              <w:rPr>
                <w:rFonts w:ascii="Times New Roman" w:hAnsi="Times New Roman" w:cs="Times New Roman"/>
                <w:sz w:val="18"/>
                <w:szCs w:val="18"/>
              </w:rPr>
              <w:t>Number of firms</w:t>
            </w:r>
          </w:p>
        </w:tc>
        <w:tc>
          <w:tcPr>
            <w:tcW w:w="372" w:type="pct"/>
            <w:tcBorders>
              <w:top w:val="nil"/>
              <w:left w:val="nil"/>
              <w:bottom w:val="nil"/>
              <w:right w:val="nil"/>
            </w:tcBorders>
          </w:tcPr>
          <w:p w14:paraId="0A4BC7D4"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231</w:t>
            </w:r>
          </w:p>
        </w:tc>
        <w:tc>
          <w:tcPr>
            <w:tcW w:w="372" w:type="pct"/>
            <w:tcBorders>
              <w:top w:val="nil"/>
              <w:left w:val="nil"/>
              <w:bottom w:val="nil"/>
              <w:right w:val="nil"/>
            </w:tcBorders>
          </w:tcPr>
          <w:p w14:paraId="183DD720"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170</w:t>
            </w:r>
          </w:p>
        </w:tc>
        <w:tc>
          <w:tcPr>
            <w:tcW w:w="372" w:type="pct"/>
            <w:tcBorders>
              <w:top w:val="nil"/>
              <w:left w:val="nil"/>
              <w:bottom w:val="nil"/>
              <w:right w:val="nil"/>
            </w:tcBorders>
          </w:tcPr>
          <w:p w14:paraId="1772A891"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170</w:t>
            </w:r>
          </w:p>
        </w:tc>
        <w:tc>
          <w:tcPr>
            <w:tcW w:w="372" w:type="pct"/>
            <w:tcBorders>
              <w:top w:val="nil"/>
              <w:left w:val="nil"/>
              <w:bottom w:val="nil"/>
              <w:right w:val="nil"/>
            </w:tcBorders>
          </w:tcPr>
          <w:p w14:paraId="24B97029"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170</w:t>
            </w:r>
          </w:p>
        </w:tc>
        <w:tc>
          <w:tcPr>
            <w:tcW w:w="346" w:type="pct"/>
            <w:tcBorders>
              <w:top w:val="nil"/>
              <w:left w:val="nil"/>
              <w:bottom w:val="nil"/>
              <w:right w:val="nil"/>
            </w:tcBorders>
          </w:tcPr>
          <w:p w14:paraId="4CC9901A" w14:textId="4100797F"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170</w:t>
            </w:r>
          </w:p>
        </w:tc>
        <w:tc>
          <w:tcPr>
            <w:tcW w:w="374" w:type="pct"/>
            <w:tcBorders>
              <w:top w:val="nil"/>
              <w:left w:val="nil"/>
              <w:bottom w:val="nil"/>
              <w:right w:val="single" w:sz="4" w:space="0" w:color="auto"/>
            </w:tcBorders>
          </w:tcPr>
          <w:p w14:paraId="7910922F" w14:textId="58F1BC16"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170</w:t>
            </w:r>
          </w:p>
        </w:tc>
        <w:tc>
          <w:tcPr>
            <w:tcW w:w="372" w:type="pct"/>
            <w:tcBorders>
              <w:top w:val="nil"/>
              <w:left w:val="single" w:sz="4" w:space="0" w:color="auto"/>
              <w:bottom w:val="nil"/>
              <w:right w:val="nil"/>
            </w:tcBorders>
          </w:tcPr>
          <w:p w14:paraId="0BC5053F"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168</w:t>
            </w:r>
          </w:p>
        </w:tc>
        <w:tc>
          <w:tcPr>
            <w:tcW w:w="372" w:type="pct"/>
            <w:tcBorders>
              <w:top w:val="nil"/>
              <w:left w:val="nil"/>
              <w:bottom w:val="nil"/>
              <w:right w:val="nil"/>
            </w:tcBorders>
          </w:tcPr>
          <w:p w14:paraId="2066F238"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164</w:t>
            </w:r>
          </w:p>
        </w:tc>
        <w:tc>
          <w:tcPr>
            <w:tcW w:w="372" w:type="pct"/>
            <w:tcBorders>
              <w:top w:val="nil"/>
              <w:left w:val="nil"/>
              <w:bottom w:val="nil"/>
              <w:right w:val="nil"/>
            </w:tcBorders>
          </w:tcPr>
          <w:p w14:paraId="286707E4"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164</w:t>
            </w:r>
          </w:p>
        </w:tc>
        <w:tc>
          <w:tcPr>
            <w:tcW w:w="372" w:type="pct"/>
            <w:tcBorders>
              <w:top w:val="nil"/>
              <w:left w:val="nil"/>
              <w:bottom w:val="nil"/>
              <w:right w:val="nil"/>
            </w:tcBorders>
          </w:tcPr>
          <w:p w14:paraId="13A67C7D" w14:textId="77777777"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164</w:t>
            </w:r>
          </w:p>
        </w:tc>
        <w:tc>
          <w:tcPr>
            <w:tcW w:w="388" w:type="pct"/>
            <w:tcBorders>
              <w:top w:val="nil"/>
              <w:left w:val="nil"/>
              <w:bottom w:val="nil"/>
              <w:right w:val="nil"/>
            </w:tcBorders>
          </w:tcPr>
          <w:p w14:paraId="79086930" w14:textId="7A0EC85E"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47334B">
              <w:rPr>
                <w:rFonts w:ascii="Times New Roman" w:hAnsi="Times New Roman" w:cs="Times New Roman"/>
                <w:sz w:val="18"/>
                <w:szCs w:val="18"/>
              </w:rPr>
              <w:t>164</w:t>
            </w:r>
          </w:p>
        </w:tc>
        <w:tc>
          <w:tcPr>
            <w:tcW w:w="372" w:type="pct"/>
            <w:tcBorders>
              <w:top w:val="nil"/>
              <w:left w:val="nil"/>
              <w:bottom w:val="nil"/>
              <w:right w:val="nil"/>
            </w:tcBorders>
          </w:tcPr>
          <w:p w14:paraId="750285E6" w14:textId="5D7BFF92" w:rsidR="00CA5C10" w:rsidRPr="00026A59" w:rsidRDefault="00CA5C10" w:rsidP="00CA5C10">
            <w:pPr>
              <w:widowControl w:val="0"/>
              <w:autoSpaceDE w:val="0"/>
              <w:autoSpaceDN w:val="0"/>
              <w:adjustRightInd w:val="0"/>
              <w:spacing w:after="0" w:line="240" w:lineRule="auto"/>
              <w:jc w:val="center"/>
              <w:rPr>
                <w:rFonts w:ascii="Times New Roman" w:hAnsi="Times New Roman" w:cs="Times New Roman"/>
                <w:sz w:val="18"/>
                <w:szCs w:val="18"/>
              </w:rPr>
            </w:pPr>
            <w:r w:rsidRPr="00026A59">
              <w:rPr>
                <w:rFonts w:ascii="Times New Roman" w:hAnsi="Times New Roman" w:cs="Times New Roman"/>
                <w:sz w:val="18"/>
                <w:szCs w:val="18"/>
              </w:rPr>
              <w:t>164</w:t>
            </w:r>
          </w:p>
        </w:tc>
      </w:tr>
      <w:tr w:rsidR="00CA5C10" w:rsidRPr="00411250" w14:paraId="79C8445A" w14:textId="77777777" w:rsidTr="005C69B8">
        <w:tblPrEx>
          <w:tblBorders>
            <w:bottom w:val="single" w:sz="6" w:space="0" w:color="auto"/>
          </w:tblBorders>
        </w:tblPrEx>
        <w:trPr>
          <w:trHeight w:val="288"/>
          <w:jc w:val="center"/>
        </w:trPr>
        <w:tc>
          <w:tcPr>
            <w:tcW w:w="544" w:type="pct"/>
            <w:tcBorders>
              <w:top w:val="nil"/>
              <w:left w:val="nil"/>
              <w:bottom w:val="nil"/>
              <w:right w:val="nil"/>
            </w:tcBorders>
          </w:tcPr>
          <w:p w14:paraId="7A4C6E1A" w14:textId="77777777" w:rsidR="007C37FB" w:rsidRPr="00026A59" w:rsidRDefault="007C37FB" w:rsidP="00CB6515">
            <w:pPr>
              <w:spacing w:after="0" w:line="240" w:lineRule="auto"/>
              <w:rPr>
                <w:rFonts w:ascii="Times New Roman" w:hAnsi="Times New Roman" w:cs="Times New Roman"/>
                <w:color w:val="000000"/>
                <w:sz w:val="18"/>
                <w:szCs w:val="18"/>
              </w:rPr>
            </w:pPr>
            <w:r w:rsidRPr="00026A59">
              <w:rPr>
                <w:rFonts w:ascii="Times New Roman" w:hAnsi="Times New Roman" w:cs="Times New Roman"/>
                <w:color w:val="000000"/>
                <w:sz w:val="18"/>
                <w:szCs w:val="18"/>
              </w:rPr>
              <w:t>AR(1) (p-value)</w:t>
            </w:r>
          </w:p>
        </w:tc>
        <w:tc>
          <w:tcPr>
            <w:tcW w:w="372" w:type="pct"/>
            <w:tcBorders>
              <w:top w:val="nil"/>
              <w:left w:val="nil"/>
              <w:bottom w:val="nil"/>
              <w:right w:val="nil"/>
            </w:tcBorders>
          </w:tcPr>
          <w:p w14:paraId="6128E7C9" w14:textId="77777777" w:rsidR="007C37FB" w:rsidRPr="006348D0" w:rsidRDefault="007C37FB" w:rsidP="00CB6515">
            <w:pPr>
              <w:widowControl w:val="0"/>
              <w:autoSpaceDE w:val="0"/>
              <w:autoSpaceDN w:val="0"/>
              <w:adjustRightInd w:val="0"/>
              <w:spacing w:after="0" w:line="240" w:lineRule="auto"/>
              <w:jc w:val="center"/>
              <w:rPr>
                <w:rFonts w:ascii="Times New Roman" w:hAnsi="Times New Roman" w:cs="Times New Roman"/>
                <w:sz w:val="16"/>
                <w:szCs w:val="16"/>
              </w:rPr>
            </w:pPr>
            <w:r w:rsidRPr="006348D0">
              <w:rPr>
                <w:rFonts w:ascii="Times New Roman" w:hAnsi="Times New Roman" w:cs="Times New Roman"/>
                <w:sz w:val="16"/>
                <w:szCs w:val="16"/>
              </w:rPr>
              <w:t>-2.64(0.001)</w:t>
            </w:r>
          </w:p>
        </w:tc>
        <w:tc>
          <w:tcPr>
            <w:tcW w:w="372" w:type="pct"/>
            <w:tcBorders>
              <w:top w:val="nil"/>
              <w:left w:val="nil"/>
              <w:bottom w:val="nil"/>
              <w:right w:val="nil"/>
            </w:tcBorders>
          </w:tcPr>
          <w:p w14:paraId="7950EC19" w14:textId="77777777" w:rsidR="007C37FB" w:rsidRPr="006348D0" w:rsidRDefault="007C37FB" w:rsidP="00CB6515">
            <w:pPr>
              <w:widowControl w:val="0"/>
              <w:autoSpaceDE w:val="0"/>
              <w:autoSpaceDN w:val="0"/>
              <w:adjustRightInd w:val="0"/>
              <w:spacing w:after="0" w:line="240" w:lineRule="auto"/>
              <w:jc w:val="center"/>
              <w:rPr>
                <w:rFonts w:ascii="Times New Roman" w:hAnsi="Times New Roman" w:cs="Times New Roman"/>
                <w:sz w:val="16"/>
                <w:szCs w:val="16"/>
              </w:rPr>
            </w:pPr>
            <w:r w:rsidRPr="006348D0">
              <w:rPr>
                <w:rFonts w:ascii="Times New Roman" w:hAnsi="Times New Roman" w:cs="Times New Roman"/>
                <w:sz w:val="16"/>
                <w:szCs w:val="16"/>
              </w:rPr>
              <w:t>-2.21(0.03)</w:t>
            </w:r>
          </w:p>
        </w:tc>
        <w:tc>
          <w:tcPr>
            <w:tcW w:w="372" w:type="pct"/>
            <w:tcBorders>
              <w:top w:val="nil"/>
              <w:left w:val="nil"/>
              <w:bottom w:val="nil"/>
              <w:right w:val="nil"/>
            </w:tcBorders>
          </w:tcPr>
          <w:p w14:paraId="307E725F" w14:textId="77777777" w:rsidR="007C37FB" w:rsidRPr="006348D0" w:rsidRDefault="007C37FB" w:rsidP="00CB6515">
            <w:pPr>
              <w:widowControl w:val="0"/>
              <w:autoSpaceDE w:val="0"/>
              <w:autoSpaceDN w:val="0"/>
              <w:adjustRightInd w:val="0"/>
              <w:spacing w:after="0" w:line="240" w:lineRule="auto"/>
              <w:jc w:val="center"/>
              <w:rPr>
                <w:rFonts w:ascii="Times New Roman" w:hAnsi="Times New Roman" w:cs="Times New Roman"/>
                <w:sz w:val="16"/>
                <w:szCs w:val="16"/>
              </w:rPr>
            </w:pPr>
            <w:r w:rsidRPr="006348D0">
              <w:rPr>
                <w:rFonts w:ascii="Times New Roman" w:hAnsi="Times New Roman" w:cs="Times New Roman"/>
                <w:sz w:val="16"/>
                <w:szCs w:val="16"/>
              </w:rPr>
              <w:t>-2.43(0.02)</w:t>
            </w:r>
          </w:p>
        </w:tc>
        <w:tc>
          <w:tcPr>
            <w:tcW w:w="372" w:type="pct"/>
            <w:tcBorders>
              <w:top w:val="nil"/>
              <w:left w:val="nil"/>
              <w:bottom w:val="nil"/>
              <w:right w:val="nil"/>
            </w:tcBorders>
          </w:tcPr>
          <w:p w14:paraId="7DF66094" w14:textId="77777777" w:rsidR="007C37FB" w:rsidRPr="006348D0" w:rsidRDefault="007C37FB" w:rsidP="00CB6515">
            <w:pPr>
              <w:widowControl w:val="0"/>
              <w:autoSpaceDE w:val="0"/>
              <w:autoSpaceDN w:val="0"/>
              <w:adjustRightInd w:val="0"/>
              <w:spacing w:after="0" w:line="240" w:lineRule="auto"/>
              <w:jc w:val="center"/>
              <w:rPr>
                <w:rFonts w:ascii="Times New Roman" w:hAnsi="Times New Roman" w:cs="Times New Roman"/>
                <w:sz w:val="16"/>
                <w:szCs w:val="16"/>
              </w:rPr>
            </w:pPr>
            <w:r w:rsidRPr="006348D0">
              <w:rPr>
                <w:rFonts w:ascii="Times New Roman" w:hAnsi="Times New Roman" w:cs="Times New Roman"/>
                <w:sz w:val="16"/>
                <w:szCs w:val="16"/>
              </w:rPr>
              <w:t>-2.31(0.02)</w:t>
            </w:r>
          </w:p>
        </w:tc>
        <w:tc>
          <w:tcPr>
            <w:tcW w:w="346" w:type="pct"/>
            <w:tcBorders>
              <w:top w:val="nil"/>
              <w:left w:val="nil"/>
              <w:bottom w:val="nil"/>
              <w:right w:val="nil"/>
            </w:tcBorders>
          </w:tcPr>
          <w:p w14:paraId="771349F0" w14:textId="09238026" w:rsidR="007C37FB" w:rsidRPr="006348D0" w:rsidRDefault="0031360E" w:rsidP="00CB6515">
            <w:pPr>
              <w:widowControl w:val="0"/>
              <w:autoSpaceDE w:val="0"/>
              <w:autoSpaceDN w:val="0"/>
              <w:adjustRightInd w:val="0"/>
              <w:spacing w:after="0" w:line="240" w:lineRule="auto"/>
              <w:jc w:val="center"/>
              <w:rPr>
                <w:rFonts w:ascii="Times New Roman" w:hAnsi="Times New Roman" w:cs="Times New Roman"/>
                <w:sz w:val="16"/>
                <w:szCs w:val="16"/>
              </w:rPr>
            </w:pPr>
            <w:r w:rsidRPr="006348D0">
              <w:rPr>
                <w:rFonts w:ascii="Times New Roman" w:hAnsi="Times New Roman" w:cs="Times New Roman"/>
                <w:sz w:val="16"/>
                <w:szCs w:val="16"/>
              </w:rPr>
              <w:t>-2.17(0.03)</w:t>
            </w:r>
          </w:p>
        </w:tc>
        <w:tc>
          <w:tcPr>
            <w:tcW w:w="374" w:type="pct"/>
            <w:tcBorders>
              <w:top w:val="nil"/>
              <w:left w:val="nil"/>
              <w:bottom w:val="nil"/>
              <w:right w:val="single" w:sz="4" w:space="0" w:color="auto"/>
            </w:tcBorders>
          </w:tcPr>
          <w:p w14:paraId="6FE40533" w14:textId="6BAA15CD" w:rsidR="007C37FB" w:rsidRPr="006348D0" w:rsidRDefault="007C37FB" w:rsidP="00CB6515">
            <w:pPr>
              <w:widowControl w:val="0"/>
              <w:autoSpaceDE w:val="0"/>
              <w:autoSpaceDN w:val="0"/>
              <w:adjustRightInd w:val="0"/>
              <w:spacing w:after="0" w:line="240" w:lineRule="auto"/>
              <w:jc w:val="center"/>
              <w:rPr>
                <w:rFonts w:ascii="Times New Roman" w:hAnsi="Times New Roman" w:cs="Times New Roman"/>
                <w:sz w:val="16"/>
                <w:szCs w:val="16"/>
              </w:rPr>
            </w:pPr>
            <w:r w:rsidRPr="006348D0">
              <w:rPr>
                <w:rFonts w:ascii="Times New Roman" w:hAnsi="Times New Roman" w:cs="Times New Roman"/>
                <w:sz w:val="16"/>
                <w:szCs w:val="16"/>
              </w:rPr>
              <w:t>-2.41(0.02)</w:t>
            </w:r>
          </w:p>
        </w:tc>
        <w:tc>
          <w:tcPr>
            <w:tcW w:w="372" w:type="pct"/>
            <w:tcBorders>
              <w:top w:val="nil"/>
              <w:left w:val="single" w:sz="4" w:space="0" w:color="auto"/>
              <w:bottom w:val="nil"/>
              <w:right w:val="nil"/>
            </w:tcBorders>
          </w:tcPr>
          <w:p w14:paraId="19A8640D" w14:textId="77777777" w:rsidR="007C37FB" w:rsidRPr="006348D0" w:rsidRDefault="007C37FB" w:rsidP="00CB6515">
            <w:pPr>
              <w:widowControl w:val="0"/>
              <w:autoSpaceDE w:val="0"/>
              <w:autoSpaceDN w:val="0"/>
              <w:adjustRightInd w:val="0"/>
              <w:spacing w:after="0" w:line="240" w:lineRule="auto"/>
              <w:jc w:val="center"/>
              <w:rPr>
                <w:rFonts w:ascii="Times New Roman" w:hAnsi="Times New Roman" w:cs="Times New Roman"/>
                <w:sz w:val="16"/>
                <w:szCs w:val="16"/>
              </w:rPr>
            </w:pPr>
            <w:r w:rsidRPr="006348D0">
              <w:rPr>
                <w:rFonts w:ascii="Times New Roman" w:hAnsi="Times New Roman" w:cs="Times New Roman"/>
                <w:sz w:val="16"/>
                <w:szCs w:val="16"/>
              </w:rPr>
              <w:t>-0.31(0.75)</w:t>
            </w:r>
          </w:p>
        </w:tc>
        <w:tc>
          <w:tcPr>
            <w:tcW w:w="372" w:type="pct"/>
            <w:tcBorders>
              <w:top w:val="nil"/>
              <w:left w:val="nil"/>
              <w:bottom w:val="nil"/>
              <w:right w:val="nil"/>
            </w:tcBorders>
          </w:tcPr>
          <w:p w14:paraId="6C12F733" w14:textId="77777777" w:rsidR="007C37FB" w:rsidRPr="006348D0" w:rsidRDefault="007C37FB" w:rsidP="00CB6515">
            <w:pPr>
              <w:widowControl w:val="0"/>
              <w:autoSpaceDE w:val="0"/>
              <w:autoSpaceDN w:val="0"/>
              <w:adjustRightInd w:val="0"/>
              <w:spacing w:after="0" w:line="240" w:lineRule="auto"/>
              <w:jc w:val="center"/>
              <w:rPr>
                <w:rFonts w:ascii="Times New Roman" w:hAnsi="Times New Roman" w:cs="Times New Roman"/>
                <w:sz w:val="16"/>
                <w:szCs w:val="16"/>
              </w:rPr>
            </w:pPr>
            <w:r w:rsidRPr="006348D0">
              <w:rPr>
                <w:rFonts w:ascii="Times New Roman" w:hAnsi="Times New Roman" w:cs="Times New Roman"/>
                <w:sz w:val="16"/>
                <w:szCs w:val="16"/>
              </w:rPr>
              <w:t>-0.21(0.83)</w:t>
            </w:r>
          </w:p>
        </w:tc>
        <w:tc>
          <w:tcPr>
            <w:tcW w:w="372" w:type="pct"/>
            <w:tcBorders>
              <w:top w:val="nil"/>
              <w:left w:val="nil"/>
              <w:bottom w:val="nil"/>
              <w:right w:val="nil"/>
            </w:tcBorders>
          </w:tcPr>
          <w:p w14:paraId="2EA24D60" w14:textId="77777777" w:rsidR="007C37FB" w:rsidRPr="006348D0" w:rsidRDefault="007C37FB" w:rsidP="00CB6515">
            <w:pPr>
              <w:widowControl w:val="0"/>
              <w:autoSpaceDE w:val="0"/>
              <w:autoSpaceDN w:val="0"/>
              <w:adjustRightInd w:val="0"/>
              <w:spacing w:after="0" w:line="240" w:lineRule="auto"/>
              <w:jc w:val="center"/>
              <w:rPr>
                <w:rFonts w:ascii="Times New Roman" w:hAnsi="Times New Roman" w:cs="Times New Roman"/>
                <w:sz w:val="16"/>
                <w:szCs w:val="16"/>
              </w:rPr>
            </w:pPr>
            <w:r w:rsidRPr="006348D0">
              <w:rPr>
                <w:rFonts w:ascii="Times New Roman" w:hAnsi="Times New Roman" w:cs="Times New Roman"/>
                <w:sz w:val="16"/>
                <w:szCs w:val="16"/>
              </w:rPr>
              <w:t>-0.22(0.83)</w:t>
            </w:r>
          </w:p>
        </w:tc>
        <w:tc>
          <w:tcPr>
            <w:tcW w:w="372" w:type="pct"/>
            <w:tcBorders>
              <w:top w:val="nil"/>
              <w:left w:val="nil"/>
              <w:bottom w:val="nil"/>
              <w:right w:val="nil"/>
            </w:tcBorders>
          </w:tcPr>
          <w:p w14:paraId="237F1A71" w14:textId="77777777" w:rsidR="007C37FB" w:rsidRPr="006348D0" w:rsidRDefault="007C37FB" w:rsidP="00CB6515">
            <w:pPr>
              <w:widowControl w:val="0"/>
              <w:autoSpaceDE w:val="0"/>
              <w:autoSpaceDN w:val="0"/>
              <w:adjustRightInd w:val="0"/>
              <w:spacing w:after="0" w:line="240" w:lineRule="auto"/>
              <w:jc w:val="center"/>
              <w:rPr>
                <w:rFonts w:ascii="Times New Roman" w:hAnsi="Times New Roman" w:cs="Times New Roman"/>
                <w:sz w:val="16"/>
                <w:szCs w:val="16"/>
              </w:rPr>
            </w:pPr>
            <w:r w:rsidRPr="006348D0">
              <w:rPr>
                <w:rFonts w:ascii="Times New Roman" w:hAnsi="Times New Roman" w:cs="Times New Roman"/>
                <w:sz w:val="16"/>
                <w:szCs w:val="16"/>
              </w:rPr>
              <w:t>-0.16(0.87)</w:t>
            </w:r>
          </w:p>
        </w:tc>
        <w:tc>
          <w:tcPr>
            <w:tcW w:w="388" w:type="pct"/>
            <w:tcBorders>
              <w:top w:val="nil"/>
              <w:left w:val="nil"/>
              <w:bottom w:val="nil"/>
              <w:right w:val="nil"/>
            </w:tcBorders>
          </w:tcPr>
          <w:p w14:paraId="061CD51A" w14:textId="20B77130" w:rsidR="007C37FB" w:rsidRPr="006348D0" w:rsidRDefault="002D285C" w:rsidP="00CB6515">
            <w:pPr>
              <w:widowControl w:val="0"/>
              <w:autoSpaceDE w:val="0"/>
              <w:autoSpaceDN w:val="0"/>
              <w:adjustRightInd w:val="0"/>
              <w:spacing w:after="0" w:line="240" w:lineRule="auto"/>
              <w:jc w:val="center"/>
              <w:rPr>
                <w:rFonts w:ascii="Times New Roman" w:hAnsi="Times New Roman" w:cs="Times New Roman"/>
                <w:sz w:val="16"/>
                <w:szCs w:val="16"/>
              </w:rPr>
            </w:pPr>
            <w:r w:rsidRPr="006348D0">
              <w:rPr>
                <w:rFonts w:ascii="Times New Roman" w:hAnsi="Times New Roman" w:cs="Times New Roman"/>
                <w:sz w:val="16"/>
                <w:szCs w:val="16"/>
              </w:rPr>
              <w:t>-0.02(0.98)</w:t>
            </w:r>
          </w:p>
        </w:tc>
        <w:tc>
          <w:tcPr>
            <w:tcW w:w="372" w:type="pct"/>
            <w:tcBorders>
              <w:top w:val="nil"/>
              <w:left w:val="nil"/>
              <w:bottom w:val="nil"/>
              <w:right w:val="nil"/>
            </w:tcBorders>
          </w:tcPr>
          <w:p w14:paraId="5E262E3A" w14:textId="52B85EE2" w:rsidR="007C37FB" w:rsidRPr="006348D0" w:rsidRDefault="007C37FB" w:rsidP="00CB6515">
            <w:pPr>
              <w:widowControl w:val="0"/>
              <w:autoSpaceDE w:val="0"/>
              <w:autoSpaceDN w:val="0"/>
              <w:adjustRightInd w:val="0"/>
              <w:spacing w:after="0" w:line="240" w:lineRule="auto"/>
              <w:jc w:val="center"/>
              <w:rPr>
                <w:rFonts w:ascii="Times New Roman" w:hAnsi="Times New Roman" w:cs="Times New Roman"/>
                <w:sz w:val="16"/>
                <w:szCs w:val="16"/>
              </w:rPr>
            </w:pPr>
            <w:r w:rsidRPr="006348D0">
              <w:rPr>
                <w:rFonts w:ascii="Times New Roman" w:hAnsi="Times New Roman" w:cs="Times New Roman"/>
                <w:sz w:val="16"/>
                <w:szCs w:val="16"/>
              </w:rPr>
              <w:t>-0.24(0.81)</w:t>
            </w:r>
          </w:p>
        </w:tc>
      </w:tr>
      <w:tr w:rsidR="00CA5C10" w:rsidRPr="00411250" w14:paraId="7DB449A8" w14:textId="77777777" w:rsidTr="005C69B8">
        <w:tblPrEx>
          <w:tblBorders>
            <w:bottom w:val="single" w:sz="6" w:space="0" w:color="auto"/>
          </w:tblBorders>
        </w:tblPrEx>
        <w:trPr>
          <w:trHeight w:val="288"/>
          <w:jc w:val="center"/>
        </w:trPr>
        <w:tc>
          <w:tcPr>
            <w:tcW w:w="544" w:type="pct"/>
            <w:tcBorders>
              <w:top w:val="nil"/>
              <w:left w:val="nil"/>
              <w:bottom w:val="nil"/>
              <w:right w:val="nil"/>
            </w:tcBorders>
          </w:tcPr>
          <w:p w14:paraId="12F3365F" w14:textId="77777777" w:rsidR="007C37FB" w:rsidRPr="00026A59" w:rsidRDefault="007C37FB" w:rsidP="00CB6515">
            <w:pPr>
              <w:spacing w:after="0" w:line="240" w:lineRule="auto"/>
              <w:rPr>
                <w:rFonts w:ascii="Times New Roman" w:hAnsi="Times New Roman" w:cs="Times New Roman"/>
                <w:color w:val="000000"/>
                <w:sz w:val="18"/>
                <w:szCs w:val="18"/>
              </w:rPr>
            </w:pPr>
            <w:r w:rsidRPr="00026A59">
              <w:rPr>
                <w:rFonts w:ascii="Times New Roman" w:hAnsi="Times New Roman" w:cs="Times New Roman"/>
                <w:color w:val="000000"/>
                <w:sz w:val="18"/>
                <w:szCs w:val="18"/>
              </w:rPr>
              <w:t>AR(2) (p-value)</w:t>
            </w:r>
          </w:p>
        </w:tc>
        <w:tc>
          <w:tcPr>
            <w:tcW w:w="372" w:type="pct"/>
            <w:tcBorders>
              <w:top w:val="nil"/>
              <w:left w:val="nil"/>
              <w:bottom w:val="nil"/>
              <w:right w:val="nil"/>
            </w:tcBorders>
          </w:tcPr>
          <w:p w14:paraId="17798FCA" w14:textId="77777777" w:rsidR="007C37FB" w:rsidRPr="006348D0" w:rsidRDefault="007C37FB" w:rsidP="00CB6515">
            <w:pPr>
              <w:widowControl w:val="0"/>
              <w:autoSpaceDE w:val="0"/>
              <w:autoSpaceDN w:val="0"/>
              <w:adjustRightInd w:val="0"/>
              <w:spacing w:after="0" w:line="240" w:lineRule="auto"/>
              <w:jc w:val="center"/>
              <w:rPr>
                <w:rFonts w:ascii="Times New Roman" w:hAnsi="Times New Roman" w:cs="Times New Roman"/>
                <w:sz w:val="16"/>
                <w:szCs w:val="16"/>
              </w:rPr>
            </w:pPr>
            <w:r w:rsidRPr="006348D0">
              <w:rPr>
                <w:rFonts w:ascii="Times New Roman" w:hAnsi="Times New Roman" w:cs="Times New Roman"/>
                <w:sz w:val="16"/>
                <w:szCs w:val="16"/>
              </w:rPr>
              <w:t>1.62(0.11)</w:t>
            </w:r>
          </w:p>
        </w:tc>
        <w:tc>
          <w:tcPr>
            <w:tcW w:w="372" w:type="pct"/>
            <w:tcBorders>
              <w:top w:val="nil"/>
              <w:left w:val="nil"/>
              <w:bottom w:val="nil"/>
              <w:right w:val="nil"/>
            </w:tcBorders>
          </w:tcPr>
          <w:p w14:paraId="2D8DF17B" w14:textId="77777777" w:rsidR="007C37FB" w:rsidRPr="006348D0" w:rsidRDefault="007C37FB" w:rsidP="00CB6515">
            <w:pPr>
              <w:widowControl w:val="0"/>
              <w:autoSpaceDE w:val="0"/>
              <w:autoSpaceDN w:val="0"/>
              <w:adjustRightInd w:val="0"/>
              <w:spacing w:after="0" w:line="240" w:lineRule="auto"/>
              <w:jc w:val="center"/>
              <w:rPr>
                <w:rFonts w:ascii="Times New Roman" w:hAnsi="Times New Roman" w:cs="Times New Roman"/>
                <w:sz w:val="16"/>
                <w:szCs w:val="16"/>
              </w:rPr>
            </w:pPr>
            <w:r w:rsidRPr="006348D0">
              <w:rPr>
                <w:rFonts w:ascii="Times New Roman" w:hAnsi="Times New Roman" w:cs="Times New Roman"/>
                <w:sz w:val="16"/>
                <w:szCs w:val="16"/>
              </w:rPr>
              <w:t>0.99(0.32)</w:t>
            </w:r>
          </w:p>
        </w:tc>
        <w:tc>
          <w:tcPr>
            <w:tcW w:w="372" w:type="pct"/>
            <w:tcBorders>
              <w:top w:val="nil"/>
              <w:left w:val="nil"/>
              <w:bottom w:val="nil"/>
              <w:right w:val="nil"/>
            </w:tcBorders>
          </w:tcPr>
          <w:p w14:paraId="3975BEE5" w14:textId="77777777" w:rsidR="007C37FB" w:rsidRPr="006348D0" w:rsidRDefault="007C37FB" w:rsidP="00CB6515">
            <w:pPr>
              <w:widowControl w:val="0"/>
              <w:autoSpaceDE w:val="0"/>
              <w:autoSpaceDN w:val="0"/>
              <w:adjustRightInd w:val="0"/>
              <w:spacing w:after="0" w:line="240" w:lineRule="auto"/>
              <w:jc w:val="center"/>
              <w:rPr>
                <w:rFonts w:ascii="Times New Roman" w:hAnsi="Times New Roman" w:cs="Times New Roman"/>
                <w:sz w:val="16"/>
                <w:szCs w:val="16"/>
              </w:rPr>
            </w:pPr>
            <w:r w:rsidRPr="006348D0">
              <w:rPr>
                <w:rFonts w:ascii="Times New Roman" w:hAnsi="Times New Roman" w:cs="Times New Roman"/>
                <w:sz w:val="16"/>
                <w:szCs w:val="16"/>
              </w:rPr>
              <w:t>0.95(0.34)</w:t>
            </w:r>
          </w:p>
        </w:tc>
        <w:tc>
          <w:tcPr>
            <w:tcW w:w="372" w:type="pct"/>
            <w:tcBorders>
              <w:top w:val="nil"/>
              <w:left w:val="nil"/>
              <w:bottom w:val="nil"/>
              <w:right w:val="nil"/>
            </w:tcBorders>
          </w:tcPr>
          <w:p w14:paraId="75292E68" w14:textId="77777777" w:rsidR="007C37FB" w:rsidRPr="006348D0" w:rsidRDefault="007C37FB" w:rsidP="00CB6515">
            <w:pPr>
              <w:widowControl w:val="0"/>
              <w:autoSpaceDE w:val="0"/>
              <w:autoSpaceDN w:val="0"/>
              <w:adjustRightInd w:val="0"/>
              <w:spacing w:after="0" w:line="240" w:lineRule="auto"/>
              <w:jc w:val="center"/>
              <w:rPr>
                <w:rFonts w:ascii="Times New Roman" w:hAnsi="Times New Roman" w:cs="Times New Roman"/>
                <w:sz w:val="16"/>
                <w:szCs w:val="16"/>
              </w:rPr>
            </w:pPr>
            <w:r w:rsidRPr="006348D0">
              <w:rPr>
                <w:rFonts w:ascii="Times New Roman" w:hAnsi="Times New Roman" w:cs="Times New Roman"/>
                <w:sz w:val="16"/>
                <w:szCs w:val="16"/>
              </w:rPr>
              <w:t>1.15(0.25)</w:t>
            </w:r>
          </w:p>
        </w:tc>
        <w:tc>
          <w:tcPr>
            <w:tcW w:w="346" w:type="pct"/>
            <w:tcBorders>
              <w:top w:val="nil"/>
              <w:left w:val="nil"/>
              <w:bottom w:val="nil"/>
              <w:right w:val="nil"/>
            </w:tcBorders>
          </w:tcPr>
          <w:p w14:paraId="708DB19C" w14:textId="19C34B78" w:rsidR="007C37FB" w:rsidRPr="006348D0" w:rsidRDefault="002D285C" w:rsidP="00CB6515">
            <w:pPr>
              <w:widowControl w:val="0"/>
              <w:autoSpaceDE w:val="0"/>
              <w:autoSpaceDN w:val="0"/>
              <w:adjustRightInd w:val="0"/>
              <w:spacing w:after="0" w:line="240" w:lineRule="auto"/>
              <w:jc w:val="center"/>
              <w:rPr>
                <w:rFonts w:ascii="Times New Roman" w:hAnsi="Times New Roman" w:cs="Times New Roman"/>
                <w:sz w:val="16"/>
                <w:szCs w:val="16"/>
              </w:rPr>
            </w:pPr>
            <w:r w:rsidRPr="006348D0">
              <w:rPr>
                <w:rFonts w:ascii="Times New Roman" w:hAnsi="Times New Roman" w:cs="Times New Roman"/>
                <w:sz w:val="16"/>
                <w:szCs w:val="16"/>
              </w:rPr>
              <w:t>0.90(0.37)</w:t>
            </w:r>
          </w:p>
        </w:tc>
        <w:tc>
          <w:tcPr>
            <w:tcW w:w="374" w:type="pct"/>
            <w:tcBorders>
              <w:top w:val="nil"/>
              <w:left w:val="nil"/>
              <w:bottom w:val="nil"/>
              <w:right w:val="single" w:sz="4" w:space="0" w:color="auto"/>
            </w:tcBorders>
          </w:tcPr>
          <w:p w14:paraId="47E6361B" w14:textId="3A086EC1" w:rsidR="007C37FB" w:rsidRPr="006348D0" w:rsidRDefault="007C37FB" w:rsidP="00CB6515">
            <w:pPr>
              <w:widowControl w:val="0"/>
              <w:autoSpaceDE w:val="0"/>
              <w:autoSpaceDN w:val="0"/>
              <w:adjustRightInd w:val="0"/>
              <w:spacing w:after="0" w:line="240" w:lineRule="auto"/>
              <w:jc w:val="center"/>
              <w:rPr>
                <w:rFonts w:ascii="Times New Roman" w:hAnsi="Times New Roman" w:cs="Times New Roman"/>
                <w:sz w:val="16"/>
                <w:szCs w:val="16"/>
              </w:rPr>
            </w:pPr>
            <w:r w:rsidRPr="006348D0">
              <w:rPr>
                <w:rFonts w:ascii="Times New Roman" w:hAnsi="Times New Roman" w:cs="Times New Roman"/>
                <w:sz w:val="16"/>
                <w:szCs w:val="16"/>
              </w:rPr>
              <w:t>1.56(0.12)</w:t>
            </w:r>
          </w:p>
        </w:tc>
        <w:tc>
          <w:tcPr>
            <w:tcW w:w="372" w:type="pct"/>
            <w:tcBorders>
              <w:top w:val="nil"/>
              <w:left w:val="single" w:sz="4" w:space="0" w:color="auto"/>
              <w:bottom w:val="nil"/>
              <w:right w:val="nil"/>
            </w:tcBorders>
          </w:tcPr>
          <w:p w14:paraId="65B67A0E" w14:textId="77777777" w:rsidR="007C37FB" w:rsidRPr="006348D0" w:rsidRDefault="007C37FB" w:rsidP="00CB6515">
            <w:pPr>
              <w:widowControl w:val="0"/>
              <w:autoSpaceDE w:val="0"/>
              <w:autoSpaceDN w:val="0"/>
              <w:adjustRightInd w:val="0"/>
              <w:spacing w:after="0" w:line="240" w:lineRule="auto"/>
              <w:jc w:val="center"/>
              <w:rPr>
                <w:rFonts w:ascii="Times New Roman" w:hAnsi="Times New Roman" w:cs="Times New Roman"/>
                <w:sz w:val="16"/>
                <w:szCs w:val="16"/>
              </w:rPr>
            </w:pPr>
            <w:r w:rsidRPr="006348D0">
              <w:rPr>
                <w:rFonts w:ascii="Times New Roman" w:hAnsi="Times New Roman" w:cs="Times New Roman"/>
                <w:sz w:val="16"/>
                <w:szCs w:val="16"/>
              </w:rPr>
              <w:t>0.84(0.40)</w:t>
            </w:r>
          </w:p>
        </w:tc>
        <w:tc>
          <w:tcPr>
            <w:tcW w:w="372" w:type="pct"/>
            <w:tcBorders>
              <w:top w:val="nil"/>
              <w:left w:val="nil"/>
              <w:bottom w:val="nil"/>
              <w:right w:val="nil"/>
            </w:tcBorders>
          </w:tcPr>
          <w:p w14:paraId="24755988" w14:textId="77777777" w:rsidR="007C37FB" w:rsidRPr="006348D0" w:rsidRDefault="007C37FB" w:rsidP="00CB6515">
            <w:pPr>
              <w:widowControl w:val="0"/>
              <w:autoSpaceDE w:val="0"/>
              <w:autoSpaceDN w:val="0"/>
              <w:adjustRightInd w:val="0"/>
              <w:spacing w:after="0" w:line="240" w:lineRule="auto"/>
              <w:jc w:val="center"/>
              <w:rPr>
                <w:rFonts w:ascii="Times New Roman" w:hAnsi="Times New Roman" w:cs="Times New Roman"/>
                <w:sz w:val="16"/>
                <w:szCs w:val="16"/>
              </w:rPr>
            </w:pPr>
            <w:r w:rsidRPr="006348D0">
              <w:rPr>
                <w:rFonts w:ascii="Times New Roman" w:hAnsi="Times New Roman" w:cs="Times New Roman"/>
                <w:sz w:val="16"/>
                <w:szCs w:val="16"/>
              </w:rPr>
              <w:t>0.67(0.50)</w:t>
            </w:r>
          </w:p>
        </w:tc>
        <w:tc>
          <w:tcPr>
            <w:tcW w:w="372" w:type="pct"/>
            <w:tcBorders>
              <w:top w:val="nil"/>
              <w:left w:val="nil"/>
              <w:bottom w:val="nil"/>
              <w:right w:val="nil"/>
            </w:tcBorders>
          </w:tcPr>
          <w:p w14:paraId="44F88634" w14:textId="77777777" w:rsidR="007C37FB" w:rsidRPr="006348D0" w:rsidRDefault="007C37FB" w:rsidP="00CB6515">
            <w:pPr>
              <w:widowControl w:val="0"/>
              <w:autoSpaceDE w:val="0"/>
              <w:autoSpaceDN w:val="0"/>
              <w:adjustRightInd w:val="0"/>
              <w:spacing w:after="0" w:line="240" w:lineRule="auto"/>
              <w:jc w:val="center"/>
              <w:rPr>
                <w:rFonts w:ascii="Times New Roman" w:hAnsi="Times New Roman" w:cs="Times New Roman"/>
                <w:sz w:val="16"/>
                <w:szCs w:val="16"/>
              </w:rPr>
            </w:pPr>
            <w:r w:rsidRPr="006348D0">
              <w:rPr>
                <w:rFonts w:ascii="Times New Roman" w:hAnsi="Times New Roman" w:cs="Times New Roman"/>
                <w:sz w:val="16"/>
                <w:szCs w:val="16"/>
              </w:rPr>
              <w:t>0.67(0.50)</w:t>
            </w:r>
          </w:p>
        </w:tc>
        <w:tc>
          <w:tcPr>
            <w:tcW w:w="372" w:type="pct"/>
            <w:tcBorders>
              <w:top w:val="nil"/>
              <w:left w:val="nil"/>
              <w:bottom w:val="nil"/>
              <w:right w:val="nil"/>
            </w:tcBorders>
          </w:tcPr>
          <w:p w14:paraId="0D4163E4" w14:textId="77777777" w:rsidR="007C37FB" w:rsidRPr="006348D0" w:rsidRDefault="007C37FB" w:rsidP="00CB6515">
            <w:pPr>
              <w:widowControl w:val="0"/>
              <w:autoSpaceDE w:val="0"/>
              <w:autoSpaceDN w:val="0"/>
              <w:adjustRightInd w:val="0"/>
              <w:spacing w:after="0" w:line="240" w:lineRule="auto"/>
              <w:jc w:val="center"/>
              <w:rPr>
                <w:rFonts w:ascii="Times New Roman" w:hAnsi="Times New Roman" w:cs="Times New Roman"/>
                <w:sz w:val="16"/>
                <w:szCs w:val="16"/>
              </w:rPr>
            </w:pPr>
            <w:r w:rsidRPr="006348D0">
              <w:rPr>
                <w:rFonts w:ascii="Times New Roman" w:hAnsi="Times New Roman" w:cs="Times New Roman"/>
                <w:sz w:val="16"/>
                <w:szCs w:val="16"/>
              </w:rPr>
              <w:t>0.59(0.56)</w:t>
            </w:r>
          </w:p>
        </w:tc>
        <w:tc>
          <w:tcPr>
            <w:tcW w:w="388" w:type="pct"/>
            <w:tcBorders>
              <w:top w:val="nil"/>
              <w:left w:val="nil"/>
              <w:bottom w:val="nil"/>
              <w:right w:val="nil"/>
            </w:tcBorders>
          </w:tcPr>
          <w:p w14:paraId="69B3ECFF" w14:textId="047063B1" w:rsidR="007C37FB" w:rsidRPr="006348D0" w:rsidRDefault="002D285C" w:rsidP="00CB6515">
            <w:pPr>
              <w:widowControl w:val="0"/>
              <w:autoSpaceDE w:val="0"/>
              <w:autoSpaceDN w:val="0"/>
              <w:adjustRightInd w:val="0"/>
              <w:spacing w:after="0" w:line="240" w:lineRule="auto"/>
              <w:jc w:val="center"/>
              <w:rPr>
                <w:rFonts w:ascii="Times New Roman" w:hAnsi="Times New Roman" w:cs="Times New Roman"/>
                <w:sz w:val="16"/>
                <w:szCs w:val="16"/>
              </w:rPr>
            </w:pPr>
            <w:r w:rsidRPr="006348D0">
              <w:rPr>
                <w:rFonts w:ascii="Times New Roman" w:hAnsi="Times New Roman" w:cs="Times New Roman"/>
                <w:sz w:val="16"/>
                <w:szCs w:val="16"/>
              </w:rPr>
              <w:t>0.50(0.62)</w:t>
            </w:r>
          </w:p>
        </w:tc>
        <w:tc>
          <w:tcPr>
            <w:tcW w:w="372" w:type="pct"/>
            <w:tcBorders>
              <w:top w:val="nil"/>
              <w:left w:val="nil"/>
              <w:bottom w:val="nil"/>
              <w:right w:val="nil"/>
            </w:tcBorders>
          </w:tcPr>
          <w:p w14:paraId="20A1E3FE" w14:textId="1B28077C" w:rsidR="007C37FB" w:rsidRPr="006348D0" w:rsidRDefault="007C37FB" w:rsidP="00CB6515">
            <w:pPr>
              <w:widowControl w:val="0"/>
              <w:autoSpaceDE w:val="0"/>
              <w:autoSpaceDN w:val="0"/>
              <w:adjustRightInd w:val="0"/>
              <w:spacing w:after="0" w:line="240" w:lineRule="auto"/>
              <w:jc w:val="center"/>
              <w:rPr>
                <w:rFonts w:ascii="Times New Roman" w:hAnsi="Times New Roman" w:cs="Times New Roman"/>
                <w:sz w:val="16"/>
                <w:szCs w:val="16"/>
              </w:rPr>
            </w:pPr>
            <w:r w:rsidRPr="006348D0">
              <w:rPr>
                <w:rFonts w:ascii="Times New Roman" w:hAnsi="Times New Roman" w:cs="Times New Roman"/>
                <w:sz w:val="16"/>
                <w:szCs w:val="16"/>
              </w:rPr>
              <w:t>0.65(0.52)</w:t>
            </w:r>
          </w:p>
        </w:tc>
      </w:tr>
      <w:tr w:rsidR="00CA5C10" w:rsidRPr="00411250" w14:paraId="50CB563E" w14:textId="77777777" w:rsidTr="005C69B8">
        <w:tblPrEx>
          <w:tblBorders>
            <w:bottom w:val="single" w:sz="6" w:space="0" w:color="auto"/>
          </w:tblBorders>
        </w:tblPrEx>
        <w:trPr>
          <w:trHeight w:val="288"/>
          <w:jc w:val="center"/>
        </w:trPr>
        <w:tc>
          <w:tcPr>
            <w:tcW w:w="544" w:type="pct"/>
            <w:tcBorders>
              <w:top w:val="nil"/>
              <w:left w:val="nil"/>
              <w:bottom w:val="single" w:sz="6" w:space="0" w:color="auto"/>
              <w:right w:val="nil"/>
            </w:tcBorders>
          </w:tcPr>
          <w:p w14:paraId="087AAFB1" w14:textId="77777777" w:rsidR="007C37FB" w:rsidRPr="00026A59" w:rsidRDefault="007C37FB" w:rsidP="00CB6515">
            <w:pPr>
              <w:spacing w:after="0" w:line="240" w:lineRule="auto"/>
              <w:rPr>
                <w:rFonts w:ascii="Times New Roman" w:hAnsi="Times New Roman" w:cs="Times New Roman"/>
                <w:color w:val="000000"/>
                <w:sz w:val="18"/>
                <w:szCs w:val="18"/>
              </w:rPr>
            </w:pPr>
            <w:r w:rsidRPr="00026A59">
              <w:rPr>
                <w:rFonts w:ascii="Times New Roman" w:hAnsi="Times New Roman" w:cs="Times New Roman"/>
                <w:color w:val="000000"/>
                <w:sz w:val="18"/>
                <w:szCs w:val="18"/>
              </w:rPr>
              <w:t>Sargan (p-value)</w:t>
            </w:r>
          </w:p>
        </w:tc>
        <w:tc>
          <w:tcPr>
            <w:tcW w:w="372" w:type="pct"/>
            <w:tcBorders>
              <w:top w:val="nil"/>
              <w:left w:val="nil"/>
              <w:bottom w:val="single" w:sz="6" w:space="0" w:color="auto"/>
              <w:right w:val="nil"/>
            </w:tcBorders>
          </w:tcPr>
          <w:p w14:paraId="65B2BDF0" w14:textId="77777777" w:rsidR="007C37FB" w:rsidRPr="006348D0" w:rsidRDefault="007C37FB" w:rsidP="00CB6515">
            <w:pPr>
              <w:widowControl w:val="0"/>
              <w:autoSpaceDE w:val="0"/>
              <w:autoSpaceDN w:val="0"/>
              <w:adjustRightInd w:val="0"/>
              <w:spacing w:after="0" w:line="240" w:lineRule="auto"/>
              <w:jc w:val="center"/>
              <w:rPr>
                <w:rFonts w:ascii="Times New Roman" w:hAnsi="Times New Roman" w:cs="Times New Roman"/>
                <w:sz w:val="16"/>
                <w:szCs w:val="16"/>
              </w:rPr>
            </w:pPr>
            <w:r w:rsidRPr="006348D0">
              <w:rPr>
                <w:rFonts w:ascii="Times New Roman" w:hAnsi="Times New Roman" w:cs="Times New Roman"/>
                <w:sz w:val="16"/>
                <w:szCs w:val="16"/>
              </w:rPr>
              <w:t>79.88(0.11)</w:t>
            </w:r>
          </w:p>
        </w:tc>
        <w:tc>
          <w:tcPr>
            <w:tcW w:w="372" w:type="pct"/>
            <w:tcBorders>
              <w:top w:val="nil"/>
              <w:left w:val="nil"/>
              <w:bottom w:val="single" w:sz="6" w:space="0" w:color="auto"/>
              <w:right w:val="nil"/>
            </w:tcBorders>
          </w:tcPr>
          <w:p w14:paraId="152D9993" w14:textId="77777777" w:rsidR="007C37FB" w:rsidRPr="006348D0" w:rsidRDefault="007C37FB" w:rsidP="00CB6515">
            <w:pPr>
              <w:widowControl w:val="0"/>
              <w:autoSpaceDE w:val="0"/>
              <w:autoSpaceDN w:val="0"/>
              <w:adjustRightInd w:val="0"/>
              <w:spacing w:after="0" w:line="240" w:lineRule="auto"/>
              <w:jc w:val="center"/>
              <w:rPr>
                <w:rFonts w:ascii="Times New Roman" w:hAnsi="Times New Roman" w:cs="Times New Roman"/>
                <w:sz w:val="16"/>
                <w:szCs w:val="16"/>
              </w:rPr>
            </w:pPr>
            <w:r w:rsidRPr="006348D0">
              <w:rPr>
                <w:rFonts w:ascii="Times New Roman" w:hAnsi="Times New Roman" w:cs="Times New Roman"/>
                <w:sz w:val="16"/>
                <w:szCs w:val="16"/>
              </w:rPr>
              <w:t>64.47(0.50)</w:t>
            </w:r>
          </w:p>
        </w:tc>
        <w:tc>
          <w:tcPr>
            <w:tcW w:w="372" w:type="pct"/>
            <w:tcBorders>
              <w:top w:val="nil"/>
              <w:left w:val="nil"/>
              <w:bottom w:val="single" w:sz="6" w:space="0" w:color="auto"/>
              <w:right w:val="nil"/>
            </w:tcBorders>
          </w:tcPr>
          <w:p w14:paraId="116959C6" w14:textId="77777777" w:rsidR="007C37FB" w:rsidRPr="006348D0" w:rsidRDefault="007C37FB" w:rsidP="00CB6515">
            <w:pPr>
              <w:widowControl w:val="0"/>
              <w:autoSpaceDE w:val="0"/>
              <w:autoSpaceDN w:val="0"/>
              <w:adjustRightInd w:val="0"/>
              <w:spacing w:after="0" w:line="240" w:lineRule="auto"/>
              <w:jc w:val="center"/>
              <w:rPr>
                <w:rFonts w:ascii="Times New Roman" w:hAnsi="Times New Roman" w:cs="Times New Roman"/>
                <w:sz w:val="16"/>
                <w:szCs w:val="16"/>
              </w:rPr>
            </w:pPr>
            <w:r w:rsidRPr="006348D0">
              <w:rPr>
                <w:rFonts w:ascii="Times New Roman" w:hAnsi="Times New Roman" w:cs="Times New Roman"/>
                <w:sz w:val="16"/>
                <w:szCs w:val="16"/>
              </w:rPr>
              <w:t>56.48(0.77)</w:t>
            </w:r>
          </w:p>
        </w:tc>
        <w:tc>
          <w:tcPr>
            <w:tcW w:w="372" w:type="pct"/>
            <w:tcBorders>
              <w:top w:val="nil"/>
              <w:left w:val="nil"/>
              <w:bottom w:val="single" w:sz="6" w:space="0" w:color="auto"/>
              <w:right w:val="nil"/>
            </w:tcBorders>
          </w:tcPr>
          <w:p w14:paraId="11A5AB58" w14:textId="77777777" w:rsidR="007C37FB" w:rsidRPr="006348D0" w:rsidRDefault="007C37FB" w:rsidP="00CB6515">
            <w:pPr>
              <w:widowControl w:val="0"/>
              <w:autoSpaceDE w:val="0"/>
              <w:autoSpaceDN w:val="0"/>
              <w:adjustRightInd w:val="0"/>
              <w:spacing w:after="0" w:line="240" w:lineRule="auto"/>
              <w:jc w:val="center"/>
              <w:rPr>
                <w:rFonts w:ascii="Times New Roman" w:hAnsi="Times New Roman" w:cs="Times New Roman"/>
                <w:sz w:val="16"/>
                <w:szCs w:val="16"/>
              </w:rPr>
            </w:pPr>
            <w:r w:rsidRPr="006348D0">
              <w:rPr>
                <w:rFonts w:ascii="Times New Roman" w:hAnsi="Times New Roman" w:cs="Times New Roman"/>
                <w:sz w:val="16"/>
                <w:szCs w:val="16"/>
              </w:rPr>
              <w:t>63.76(0.52)</w:t>
            </w:r>
          </w:p>
        </w:tc>
        <w:tc>
          <w:tcPr>
            <w:tcW w:w="346" w:type="pct"/>
            <w:tcBorders>
              <w:top w:val="nil"/>
              <w:left w:val="nil"/>
              <w:bottom w:val="single" w:sz="6" w:space="0" w:color="auto"/>
              <w:right w:val="nil"/>
            </w:tcBorders>
          </w:tcPr>
          <w:p w14:paraId="65F72E8A" w14:textId="252C9EB9" w:rsidR="007C37FB" w:rsidRPr="006348D0" w:rsidRDefault="002D285C" w:rsidP="00CB6515">
            <w:pPr>
              <w:widowControl w:val="0"/>
              <w:autoSpaceDE w:val="0"/>
              <w:autoSpaceDN w:val="0"/>
              <w:adjustRightInd w:val="0"/>
              <w:spacing w:after="0" w:line="240" w:lineRule="auto"/>
              <w:jc w:val="center"/>
              <w:rPr>
                <w:rFonts w:ascii="Times New Roman" w:hAnsi="Times New Roman" w:cs="Times New Roman"/>
                <w:sz w:val="16"/>
                <w:szCs w:val="16"/>
              </w:rPr>
            </w:pPr>
            <w:r w:rsidRPr="006348D0">
              <w:rPr>
                <w:rFonts w:ascii="Times New Roman" w:hAnsi="Times New Roman" w:cs="Times New Roman"/>
                <w:sz w:val="16"/>
                <w:szCs w:val="16"/>
              </w:rPr>
              <w:t>64.35(0.50)</w:t>
            </w:r>
          </w:p>
        </w:tc>
        <w:tc>
          <w:tcPr>
            <w:tcW w:w="374" w:type="pct"/>
            <w:tcBorders>
              <w:top w:val="nil"/>
              <w:left w:val="nil"/>
              <w:bottom w:val="single" w:sz="6" w:space="0" w:color="auto"/>
              <w:right w:val="single" w:sz="4" w:space="0" w:color="auto"/>
            </w:tcBorders>
          </w:tcPr>
          <w:p w14:paraId="1BAAFB1B" w14:textId="06E3A32A" w:rsidR="007C37FB" w:rsidRPr="006348D0" w:rsidRDefault="007C37FB" w:rsidP="00CB6515">
            <w:pPr>
              <w:widowControl w:val="0"/>
              <w:autoSpaceDE w:val="0"/>
              <w:autoSpaceDN w:val="0"/>
              <w:adjustRightInd w:val="0"/>
              <w:spacing w:after="0" w:line="240" w:lineRule="auto"/>
              <w:jc w:val="center"/>
              <w:rPr>
                <w:rFonts w:ascii="Times New Roman" w:hAnsi="Times New Roman" w:cs="Times New Roman"/>
                <w:sz w:val="16"/>
                <w:szCs w:val="16"/>
              </w:rPr>
            </w:pPr>
            <w:r w:rsidRPr="006348D0">
              <w:rPr>
                <w:rFonts w:ascii="Times New Roman" w:hAnsi="Times New Roman" w:cs="Times New Roman"/>
                <w:sz w:val="16"/>
                <w:szCs w:val="16"/>
              </w:rPr>
              <w:t>63.71(0.52)</w:t>
            </w:r>
          </w:p>
        </w:tc>
        <w:tc>
          <w:tcPr>
            <w:tcW w:w="372" w:type="pct"/>
            <w:tcBorders>
              <w:top w:val="nil"/>
              <w:left w:val="single" w:sz="4" w:space="0" w:color="auto"/>
              <w:bottom w:val="single" w:sz="6" w:space="0" w:color="auto"/>
              <w:right w:val="nil"/>
            </w:tcBorders>
          </w:tcPr>
          <w:p w14:paraId="096FEDC3" w14:textId="77777777" w:rsidR="007C37FB" w:rsidRPr="006348D0" w:rsidRDefault="007C37FB" w:rsidP="00CB6515">
            <w:pPr>
              <w:widowControl w:val="0"/>
              <w:autoSpaceDE w:val="0"/>
              <w:autoSpaceDN w:val="0"/>
              <w:adjustRightInd w:val="0"/>
              <w:spacing w:after="0" w:line="240" w:lineRule="auto"/>
              <w:jc w:val="center"/>
              <w:rPr>
                <w:rFonts w:ascii="Times New Roman" w:hAnsi="Times New Roman" w:cs="Times New Roman"/>
                <w:sz w:val="16"/>
                <w:szCs w:val="16"/>
              </w:rPr>
            </w:pPr>
            <w:r w:rsidRPr="006348D0">
              <w:rPr>
                <w:rFonts w:ascii="Times New Roman" w:hAnsi="Times New Roman" w:cs="Times New Roman"/>
                <w:sz w:val="16"/>
                <w:szCs w:val="16"/>
              </w:rPr>
              <w:t>71.27(0.28)</w:t>
            </w:r>
          </w:p>
        </w:tc>
        <w:tc>
          <w:tcPr>
            <w:tcW w:w="372" w:type="pct"/>
            <w:tcBorders>
              <w:top w:val="nil"/>
              <w:left w:val="nil"/>
              <w:bottom w:val="single" w:sz="6" w:space="0" w:color="auto"/>
              <w:right w:val="nil"/>
            </w:tcBorders>
          </w:tcPr>
          <w:p w14:paraId="26011919" w14:textId="77777777" w:rsidR="007C37FB" w:rsidRPr="006348D0" w:rsidRDefault="007C37FB" w:rsidP="00CB6515">
            <w:pPr>
              <w:widowControl w:val="0"/>
              <w:autoSpaceDE w:val="0"/>
              <w:autoSpaceDN w:val="0"/>
              <w:adjustRightInd w:val="0"/>
              <w:spacing w:after="0" w:line="240" w:lineRule="auto"/>
              <w:jc w:val="center"/>
              <w:rPr>
                <w:rFonts w:ascii="Times New Roman" w:hAnsi="Times New Roman" w:cs="Times New Roman"/>
                <w:sz w:val="16"/>
                <w:szCs w:val="16"/>
              </w:rPr>
            </w:pPr>
            <w:r w:rsidRPr="006348D0">
              <w:rPr>
                <w:rFonts w:ascii="Times New Roman" w:hAnsi="Times New Roman" w:cs="Times New Roman"/>
                <w:sz w:val="16"/>
                <w:szCs w:val="16"/>
              </w:rPr>
              <w:t>72.44(0.25)</w:t>
            </w:r>
          </w:p>
        </w:tc>
        <w:tc>
          <w:tcPr>
            <w:tcW w:w="372" w:type="pct"/>
            <w:tcBorders>
              <w:top w:val="nil"/>
              <w:left w:val="nil"/>
              <w:bottom w:val="single" w:sz="6" w:space="0" w:color="auto"/>
              <w:right w:val="nil"/>
            </w:tcBorders>
          </w:tcPr>
          <w:p w14:paraId="132CA3F5" w14:textId="77777777" w:rsidR="007C37FB" w:rsidRPr="006348D0" w:rsidRDefault="007C37FB" w:rsidP="00CB6515">
            <w:pPr>
              <w:widowControl w:val="0"/>
              <w:autoSpaceDE w:val="0"/>
              <w:autoSpaceDN w:val="0"/>
              <w:adjustRightInd w:val="0"/>
              <w:spacing w:after="0" w:line="240" w:lineRule="auto"/>
              <w:jc w:val="center"/>
              <w:rPr>
                <w:rFonts w:ascii="Times New Roman" w:hAnsi="Times New Roman" w:cs="Times New Roman"/>
                <w:sz w:val="16"/>
                <w:szCs w:val="16"/>
              </w:rPr>
            </w:pPr>
            <w:r w:rsidRPr="006348D0">
              <w:rPr>
                <w:rFonts w:ascii="Times New Roman" w:hAnsi="Times New Roman" w:cs="Times New Roman"/>
                <w:sz w:val="16"/>
                <w:szCs w:val="16"/>
              </w:rPr>
              <w:t>72.91(0.23)</w:t>
            </w:r>
          </w:p>
        </w:tc>
        <w:tc>
          <w:tcPr>
            <w:tcW w:w="372" w:type="pct"/>
            <w:tcBorders>
              <w:top w:val="nil"/>
              <w:left w:val="nil"/>
              <w:bottom w:val="single" w:sz="6" w:space="0" w:color="auto"/>
              <w:right w:val="nil"/>
            </w:tcBorders>
          </w:tcPr>
          <w:p w14:paraId="329AB99C" w14:textId="77777777" w:rsidR="007C37FB" w:rsidRPr="006348D0" w:rsidRDefault="007C37FB" w:rsidP="00CB6515">
            <w:pPr>
              <w:widowControl w:val="0"/>
              <w:autoSpaceDE w:val="0"/>
              <w:autoSpaceDN w:val="0"/>
              <w:adjustRightInd w:val="0"/>
              <w:spacing w:after="0" w:line="240" w:lineRule="auto"/>
              <w:jc w:val="center"/>
              <w:rPr>
                <w:rFonts w:ascii="Times New Roman" w:hAnsi="Times New Roman" w:cs="Times New Roman"/>
                <w:sz w:val="16"/>
                <w:szCs w:val="16"/>
              </w:rPr>
            </w:pPr>
            <w:r w:rsidRPr="006348D0">
              <w:rPr>
                <w:rFonts w:ascii="Times New Roman" w:hAnsi="Times New Roman" w:cs="Times New Roman"/>
                <w:sz w:val="16"/>
                <w:szCs w:val="16"/>
              </w:rPr>
              <w:t>68.96(0.35)</w:t>
            </w:r>
          </w:p>
        </w:tc>
        <w:tc>
          <w:tcPr>
            <w:tcW w:w="388" w:type="pct"/>
            <w:tcBorders>
              <w:top w:val="nil"/>
              <w:left w:val="nil"/>
              <w:bottom w:val="single" w:sz="6" w:space="0" w:color="auto"/>
              <w:right w:val="nil"/>
            </w:tcBorders>
          </w:tcPr>
          <w:p w14:paraId="7BAE31E8" w14:textId="17A34231" w:rsidR="007C37FB" w:rsidRPr="006348D0" w:rsidRDefault="002D285C" w:rsidP="00CB6515">
            <w:pPr>
              <w:widowControl w:val="0"/>
              <w:autoSpaceDE w:val="0"/>
              <w:autoSpaceDN w:val="0"/>
              <w:adjustRightInd w:val="0"/>
              <w:spacing w:after="0" w:line="240" w:lineRule="auto"/>
              <w:jc w:val="center"/>
              <w:rPr>
                <w:rFonts w:ascii="Times New Roman" w:hAnsi="Times New Roman" w:cs="Times New Roman"/>
                <w:sz w:val="16"/>
                <w:szCs w:val="16"/>
              </w:rPr>
            </w:pPr>
            <w:r w:rsidRPr="006348D0">
              <w:rPr>
                <w:rFonts w:ascii="Times New Roman" w:hAnsi="Times New Roman" w:cs="Times New Roman"/>
                <w:sz w:val="16"/>
                <w:szCs w:val="16"/>
              </w:rPr>
              <w:t>70.51(0.30)</w:t>
            </w:r>
          </w:p>
        </w:tc>
        <w:tc>
          <w:tcPr>
            <w:tcW w:w="372" w:type="pct"/>
            <w:tcBorders>
              <w:top w:val="nil"/>
              <w:left w:val="nil"/>
              <w:bottom w:val="single" w:sz="6" w:space="0" w:color="auto"/>
              <w:right w:val="nil"/>
            </w:tcBorders>
          </w:tcPr>
          <w:p w14:paraId="74CF53B6" w14:textId="3697E162" w:rsidR="007C37FB" w:rsidRPr="006348D0" w:rsidRDefault="007C37FB" w:rsidP="00CB6515">
            <w:pPr>
              <w:widowControl w:val="0"/>
              <w:autoSpaceDE w:val="0"/>
              <w:autoSpaceDN w:val="0"/>
              <w:adjustRightInd w:val="0"/>
              <w:spacing w:after="0" w:line="240" w:lineRule="auto"/>
              <w:jc w:val="center"/>
              <w:rPr>
                <w:rFonts w:ascii="Times New Roman" w:hAnsi="Times New Roman" w:cs="Times New Roman"/>
                <w:sz w:val="16"/>
                <w:szCs w:val="16"/>
              </w:rPr>
            </w:pPr>
            <w:r w:rsidRPr="006348D0">
              <w:rPr>
                <w:rFonts w:ascii="Times New Roman" w:hAnsi="Times New Roman" w:cs="Times New Roman"/>
                <w:sz w:val="16"/>
                <w:szCs w:val="16"/>
              </w:rPr>
              <w:t>74.12(0.21)</w:t>
            </w:r>
          </w:p>
        </w:tc>
      </w:tr>
    </w:tbl>
    <w:p w14:paraId="23B85C5F" w14:textId="79EBEC50" w:rsidR="00C300C6" w:rsidRDefault="000954CF">
      <w:pPr>
        <w:spacing w:after="0" w:line="240" w:lineRule="auto"/>
        <w:jc w:val="both"/>
        <w:rPr>
          <w:rFonts w:ascii="Times New Roman" w:hAnsi="Times New Roman" w:cs="Times New Roman"/>
          <w:sz w:val="20"/>
          <w:szCs w:val="20"/>
        </w:rPr>
      </w:pPr>
      <w:r w:rsidRPr="00A04B9F">
        <w:rPr>
          <w:rFonts w:ascii="Times New Roman" w:hAnsi="Times New Roman" w:cs="Times New Roman"/>
          <w:sz w:val="20"/>
          <w:szCs w:val="20"/>
        </w:rPr>
        <w:t xml:space="preserve">Notes: This table presents results based on dynamic two-step system GMM panel data estimator, as proposed by Arellano and Bond (1991). We use the lagged dependent variables as endogenous, so that ‘GMM-style’ instruments of deeper lags are created. AR(1) and AR(2) are the first and second order Arellano-Bond tests for serial autocorrelation and </w:t>
      </w:r>
      <w:r>
        <w:rPr>
          <w:rFonts w:ascii="Times New Roman" w:hAnsi="Times New Roman" w:cs="Times New Roman"/>
          <w:sz w:val="20"/>
          <w:szCs w:val="20"/>
        </w:rPr>
        <w:t>Sargan</w:t>
      </w:r>
      <w:r w:rsidRPr="00A04B9F">
        <w:rPr>
          <w:rFonts w:ascii="Times New Roman" w:hAnsi="Times New Roman" w:cs="Times New Roman"/>
          <w:sz w:val="20"/>
          <w:szCs w:val="20"/>
        </w:rPr>
        <w:t xml:space="preserve"> is a test of over-identifying restrictions. The test</w:t>
      </w:r>
      <w:r>
        <w:rPr>
          <w:rFonts w:ascii="Times New Roman" w:hAnsi="Times New Roman" w:cs="Times New Roman"/>
          <w:sz w:val="20"/>
          <w:szCs w:val="20"/>
        </w:rPr>
        <w:t xml:space="preserve">s </w:t>
      </w:r>
      <w:r w:rsidR="00BE6B63">
        <w:rPr>
          <w:rFonts w:ascii="Times New Roman" w:hAnsi="Times New Roman" w:cs="Times New Roman"/>
          <w:sz w:val="20"/>
          <w:szCs w:val="20"/>
        </w:rPr>
        <w:t xml:space="preserve">fail to </w:t>
      </w:r>
      <w:r>
        <w:rPr>
          <w:rFonts w:ascii="Times New Roman" w:hAnsi="Times New Roman" w:cs="Times New Roman"/>
          <w:sz w:val="20"/>
          <w:szCs w:val="20"/>
        </w:rPr>
        <w:t>reject the null hypotheses for</w:t>
      </w:r>
      <w:r w:rsidRPr="00A04B9F">
        <w:rPr>
          <w:rFonts w:ascii="Times New Roman" w:hAnsi="Times New Roman" w:cs="Times New Roman"/>
          <w:sz w:val="20"/>
          <w:szCs w:val="20"/>
        </w:rPr>
        <w:t xml:space="preserve"> </w:t>
      </w:r>
      <w:r w:rsidR="00BE6B63">
        <w:rPr>
          <w:rFonts w:ascii="Times New Roman" w:hAnsi="Times New Roman" w:cs="Times New Roman"/>
          <w:sz w:val="20"/>
          <w:szCs w:val="20"/>
        </w:rPr>
        <w:t xml:space="preserve">‘no </w:t>
      </w:r>
      <w:r w:rsidRPr="00A04B9F">
        <w:rPr>
          <w:rFonts w:ascii="Times New Roman" w:hAnsi="Times New Roman" w:cs="Times New Roman"/>
          <w:sz w:val="20"/>
          <w:szCs w:val="20"/>
        </w:rPr>
        <w:t>second order serial autocorrelation</w:t>
      </w:r>
      <w:r w:rsidR="00BE6B63">
        <w:rPr>
          <w:rFonts w:ascii="Times New Roman" w:hAnsi="Times New Roman" w:cs="Times New Roman"/>
          <w:sz w:val="20"/>
          <w:szCs w:val="20"/>
        </w:rPr>
        <w:t>’</w:t>
      </w:r>
      <w:r w:rsidRPr="00A04B9F">
        <w:rPr>
          <w:rFonts w:ascii="Times New Roman" w:hAnsi="Times New Roman" w:cs="Times New Roman"/>
          <w:sz w:val="20"/>
          <w:szCs w:val="20"/>
        </w:rPr>
        <w:t xml:space="preserve"> and over-identifying restrictions. ***, ** and * indicate statistical significance at 1, 5 and 10% levels, respectively. The figures in parentheses are the </w:t>
      </w:r>
      <w:r w:rsidR="00605E50" w:rsidRPr="00A04B9F">
        <w:rPr>
          <w:rFonts w:ascii="Times New Roman" w:hAnsi="Times New Roman" w:cs="Times New Roman"/>
          <w:sz w:val="20"/>
          <w:szCs w:val="20"/>
        </w:rPr>
        <w:t xml:space="preserve">heteroskedasticity-adjusted </w:t>
      </w:r>
      <w:r w:rsidR="00876CA4" w:rsidRPr="00876CA4">
        <w:rPr>
          <w:rFonts w:ascii="Times New Roman" w:hAnsi="Times New Roman" w:cs="Times New Roman"/>
          <w:sz w:val="20"/>
          <w:szCs w:val="20"/>
          <w:lang w:val="en-US"/>
        </w:rPr>
        <w:t>robust standard errors</w:t>
      </w:r>
      <w:r w:rsidRPr="00876CA4">
        <w:rPr>
          <w:rFonts w:ascii="Times New Roman" w:hAnsi="Times New Roman" w:cs="Times New Roman"/>
          <w:sz w:val="20"/>
          <w:szCs w:val="20"/>
        </w:rPr>
        <w:t xml:space="preserve">. </w:t>
      </w:r>
      <w:r w:rsidR="0063646B">
        <w:rPr>
          <w:rFonts w:ascii="Times New Roman" w:hAnsi="Times New Roman" w:cs="Times New Roman"/>
          <w:sz w:val="20"/>
          <w:szCs w:val="20"/>
        </w:rPr>
        <w:t>Please see Table 2 for v</w:t>
      </w:r>
      <w:r w:rsidR="0063646B" w:rsidRPr="00F50E3A">
        <w:rPr>
          <w:rFonts w:ascii="Times New Roman" w:hAnsi="Times New Roman" w:cs="Times New Roman"/>
          <w:sz w:val="20"/>
          <w:szCs w:val="20"/>
        </w:rPr>
        <w:t>ariable definitions</w:t>
      </w:r>
      <w:r w:rsidR="0063646B">
        <w:rPr>
          <w:rFonts w:ascii="Times New Roman" w:hAnsi="Times New Roman" w:cs="Times New Roman"/>
          <w:sz w:val="20"/>
          <w:szCs w:val="20"/>
        </w:rPr>
        <w:t xml:space="preserve">. </w:t>
      </w:r>
    </w:p>
    <w:p w14:paraId="72BC65CD" w14:textId="77777777" w:rsidR="00573CAE" w:rsidRPr="00876CA4" w:rsidRDefault="00573CAE" w:rsidP="0012519A">
      <w:pPr>
        <w:spacing w:before="120" w:after="120"/>
        <w:jc w:val="both"/>
        <w:rPr>
          <w:rFonts w:ascii="Times New Roman" w:hAnsi="Times New Roman" w:cs="Times New Roman"/>
          <w:b/>
          <w:sz w:val="20"/>
          <w:szCs w:val="20"/>
        </w:rPr>
      </w:pPr>
    </w:p>
    <w:sectPr w:rsidR="00573CAE" w:rsidRPr="00876CA4" w:rsidSect="00C90AC3">
      <w:endnotePr>
        <w:numFmt w:val="decimal"/>
      </w:endnotePr>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21DAA" w14:textId="77777777" w:rsidR="000C1841" w:rsidRDefault="000C1841" w:rsidP="000F0C0E">
      <w:pPr>
        <w:spacing w:after="0" w:line="240" w:lineRule="auto"/>
      </w:pPr>
      <w:r>
        <w:separator/>
      </w:r>
    </w:p>
  </w:endnote>
  <w:endnote w:type="continuationSeparator" w:id="0">
    <w:p w14:paraId="05BE8901" w14:textId="77777777" w:rsidR="000C1841" w:rsidRDefault="000C1841" w:rsidP="000F0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roman"/>
    <w:notTrueType/>
    <w:pitch w:val="default"/>
    <w:sig w:usb0="00000003" w:usb1="08070000" w:usb2="00000010" w:usb3="00000000" w:csb0="00020001" w:csb1="00000000"/>
  </w:font>
  <w:font w:name="AdvTTcbb99584+20">
    <w:altName w:val="Yu Gothic"/>
    <w:panose1 w:val="00000000000000000000"/>
    <w:charset w:val="80"/>
    <w:family w:val="auto"/>
    <w:notTrueType/>
    <w:pitch w:val="default"/>
    <w:sig w:usb0="00000003" w:usb1="08070000" w:usb2="00000010" w:usb3="00000000" w:csb0="00020001" w:csb1="00000000"/>
  </w:font>
  <w:font w:name="OnemtmiguAAAA">
    <w:altName w:val="MS Mincho"/>
    <w:panose1 w:val="00000000000000000000"/>
    <w:charset w:val="80"/>
    <w:family w:val="auto"/>
    <w:notTrueType/>
    <w:pitch w:val="default"/>
    <w:sig w:usb0="00000000" w:usb1="08070000" w:usb2="00000010" w:usb3="00000000" w:csb0="00020000" w:csb1="00000000"/>
  </w:font>
  <w:font w:name="MTSY">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475860"/>
      <w:docPartObj>
        <w:docPartGallery w:val="Page Numbers (Bottom of Page)"/>
        <w:docPartUnique/>
      </w:docPartObj>
    </w:sdtPr>
    <w:sdtEndPr>
      <w:rPr>
        <w:rFonts w:ascii="Times New Roman" w:hAnsi="Times New Roman" w:cs="Times New Roman"/>
      </w:rPr>
    </w:sdtEndPr>
    <w:sdtContent>
      <w:p w14:paraId="19194026" w14:textId="25F54324" w:rsidR="00AD57FA" w:rsidRPr="00C23EA7" w:rsidRDefault="00AD57FA">
        <w:pPr>
          <w:pStyle w:val="Footer"/>
          <w:jc w:val="center"/>
          <w:rPr>
            <w:rFonts w:ascii="Times New Roman" w:hAnsi="Times New Roman" w:cs="Times New Roman"/>
          </w:rPr>
        </w:pPr>
        <w:r w:rsidRPr="00C23EA7">
          <w:rPr>
            <w:rFonts w:ascii="Times New Roman" w:hAnsi="Times New Roman" w:cs="Times New Roman"/>
          </w:rPr>
          <w:fldChar w:fldCharType="begin"/>
        </w:r>
        <w:r w:rsidRPr="00C23EA7">
          <w:rPr>
            <w:rFonts w:ascii="Times New Roman" w:hAnsi="Times New Roman" w:cs="Times New Roman"/>
          </w:rPr>
          <w:instrText xml:space="preserve"> PAGE   \* MERGEFORMAT </w:instrText>
        </w:r>
        <w:r w:rsidRPr="00C23EA7">
          <w:rPr>
            <w:rFonts w:ascii="Times New Roman" w:hAnsi="Times New Roman" w:cs="Times New Roman"/>
          </w:rPr>
          <w:fldChar w:fldCharType="separate"/>
        </w:r>
        <w:r w:rsidR="00EF24DF">
          <w:rPr>
            <w:rFonts w:ascii="Times New Roman" w:hAnsi="Times New Roman" w:cs="Times New Roman"/>
            <w:noProof/>
          </w:rPr>
          <w:t>2</w:t>
        </w:r>
        <w:r w:rsidRPr="00C23EA7">
          <w:rPr>
            <w:rFonts w:ascii="Times New Roman" w:hAnsi="Times New Roman" w:cs="Times New Roman"/>
          </w:rPr>
          <w:fldChar w:fldCharType="end"/>
        </w:r>
      </w:p>
    </w:sdtContent>
  </w:sdt>
  <w:p w14:paraId="78BEBADB" w14:textId="77777777" w:rsidR="00AD57FA" w:rsidRDefault="00AD5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EF9A4" w14:textId="77777777" w:rsidR="000C1841" w:rsidRDefault="000C1841" w:rsidP="000F0C0E">
      <w:pPr>
        <w:spacing w:after="0" w:line="240" w:lineRule="auto"/>
      </w:pPr>
      <w:r>
        <w:separator/>
      </w:r>
    </w:p>
  </w:footnote>
  <w:footnote w:type="continuationSeparator" w:id="0">
    <w:p w14:paraId="4C3D35D6" w14:textId="77777777" w:rsidR="000C1841" w:rsidRDefault="000C1841" w:rsidP="000F0C0E">
      <w:pPr>
        <w:spacing w:after="0" w:line="240" w:lineRule="auto"/>
      </w:pPr>
      <w:r>
        <w:continuationSeparator/>
      </w:r>
    </w:p>
  </w:footnote>
  <w:footnote w:id="1">
    <w:p w14:paraId="7CC6C920" w14:textId="77777777" w:rsidR="001E546D" w:rsidRDefault="001E546D" w:rsidP="001E546D">
      <w:pPr>
        <w:pStyle w:val="FootnoteText"/>
      </w:pPr>
      <w:r>
        <w:rPr>
          <w:rStyle w:val="FootnoteReference"/>
        </w:rPr>
        <w:footnoteRef/>
      </w:r>
      <w:r w:rsidRPr="00037AE5">
        <w:rPr>
          <w:rFonts w:ascii="Times New Roman" w:hAnsi="Times New Roman" w:cs="Times New Roman"/>
        </w:rPr>
        <w:t>Corresponding author.</w:t>
      </w:r>
      <w:r>
        <w:t xml:space="preserve"> </w:t>
      </w:r>
    </w:p>
  </w:footnote>
  <w:footnote w:id="2">
    <w:p w14:paraId="46F85488" w14:textId="3A3CF971" w:rsidR="00AD57FA" w:rsidRPr="00DE5084" w:rsidRDefault="00AD57FA" w:rsidP="000266FD">
      <w:pPr>
        <w:pStyle w:val="FootnoteText"/>
        <w:rPr>
          <w:rFonts w:ascii="Times New Roman" w:hAnsi="Times New Roman" w:cs="Times New Roman"/>
          <w:lang w:val="en-US"/>
        </w:rPr>
      </w:pPr>
      <w:r w:rsidRPr="00DE5084">
        <w:rPr>
          <w:rStyle w:val="FootnoteReference"/>
          <w:rFonts w:ascii="Times New Roman" w:hAnsi="Times New Roman" w:cs="Times New Roman"/>
        </w:rPr>
        <w:footnoteRef/>
      </w:r>
      <w:r w:rsidRPr="00DE5084">
        <w:rPr>
          <w:rFonts w:ascii="Times New Roman" w:hAnsi="Times New Roman" w:cs="Times New Roman"/>
          <w:lang w:val="en-US"/>
        </w:rPr>
        <w:t>TBL is commonly referred to as social, environmental and economic aspects of a firm.</w:t>
      </w:r>
    </w:p>
  </w:footnote>
  <w:footnote w:id="3">
    <w:p w14:paraId="3FCFBE32" w14:textId="503A34F9" w:rsidR="00AD57FA" w:rsidRPr="005329E4" w:rsidRDefault="00AD57FA" w:rsidP="00D049D2">
      <w:pPr>
        <w:spacing w:after="0" w:line="240" w:lineRule="auto"/>
        <w:rPr>
          <w:rFonts w:ascii="Times New Roman" w:hAnsi="Times New Roman" w:cs="Times New Roman"/>
          <w:color w:val="000000" w:themeColor="text1"/>
          <w:sz w:val="20"/>
          <w:szCs w:val="20"/>
        </w:rPr>
      </w:pPr>
      <w:r>
        <w:rPr>
          <w:rStyle w:val="FootnoteReference"/>
        </w:rPr>
        <w:footnoteRef/>
      </w:r>
      <w:hyperlink r:id="rId1" w:history="1">
        <w:r w:rsidRPr="005329E4">
          <w:rPr>
            <w:rStyle w:val="Hyperlink"/>
            <w:rFonts w:ascii="Times New Roman" w:hAnsi="Times New Roman" w:cs="Times New Roman"/>
            <w:color w:val="000000" w:themeColor="text1"/>
            <w:sz w:val="20"/>
            <w:szCs w:val="20"/>
            <w:u w:val="none"/>
          </w:rPr>
          <w:t>Tauringana</w:t>
        </w:r>
      </w:hyperlink>
      <w:r w:rsidRPr="005329E4">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and</w:t>
      </w:r>
      <w:r w:rsidRPr="005329E4">
        <w:rPr>
          <w:rFonts w:ascii="Times New Roman" w:hAnsi="Times New Roman" w:cs="Times New Roman"/>
          <w:color w:val="000000" w:themeColor="text1"/>
          <w:sz w:val="20"/>
          <w:szCs w:val="20"/>
        </w:rPr>
        <w:t xml:space="preserve"> </w:t>
      </w:r>
      <w:hyperlink r:id="rId2" w:history="1">
        <w:r w:rsidRPr="005329E4">
          <w:rPr>
            <w:rStyle w:val="Hyperlink"/>
            <w:rFonts w:ascii="Times New Roman" w:hAnsi="Times New Roman" w:cs="Times New Roman"/>
            <w:color w:val="000000" w:themeColor="text1"/>
            <w:sz w:val="20"/>
            <w:szCs w:val="20"/>
            <w:u w:val="none"/>
          </w:rPr>
          <w:t>Chithambo</w:t>
        </w:r>
      </w:hyperlink>
      <w:r w:rsidRPr="005329E4">
        <w:rPr>
          <w:rFonts w:ascii="Times New Roman" w:hAnsi="Times New Roman" w:cs="Times New Roman"/>
          <w:color w:val="000000" w:themeColor="text1"/>
          <w:sz w:val="20"/>
          <w:szCs w:val="20"/>
        </w:rPr>
        <w:t xml:space="preserve"> (2015) use panel data (covering four years from 2008 to 2011) to examine the effect of the DEFRA guidance of GHG disclosures of FTSE350 companies. </w:t>
      </w:r>
    </w:p>
    <w:p w14:paraId="1FC0675F" w14:textId="77777777" w:rsidR="00AD57FA" w:rsidRPr="005329E4" w:rsidRDefault="00AD57FA" w:rsidP="00D049D2">
      <w:pPr>
        <w:pStyle w:val="FootnoteText"/>
        <w:rPr>
          <w:lang w:val="en-US"/>
        </w:rPr>
      </w:pPr>
    </w:p>
  </w:footnote>
  <w:footnote w:id="4">
    <w:p w14:paraId="4965CCFE" w14:textId="616840D2" w:rsidR="00AD57FA" w:rsidRPr="00F71024" w:rsidRDefault="00AD57FA" w:rsidP="008E4039">
      <w:pPr>
        <w:spacing w:after="0" w:line="240" w:lineRule="auto"/>
        <w:rPr>
          <w:rFonts w:ascii="Times New Roman" w:hAnsi="Times New Roman" w:cs="Times New Roman"/>
          <w:sz w:val="20"/>
          <w:szCs w:val="20"/>
          <w:lang w:val="en-US"/>
        </w:rPr>
      </w:pPr>
      <w:r>
        <w:rPr>
          <w:rStyle w:val="FootnoteReference"/>
        </w:rPr>
        <w:footnoteRef/>
      </w:r>
      <w:r>
        <w:t xml:space="preserve"> </w:t>
      </w:r>
      <w:hyperlink r:id="rId3" w:history="1">
        <w:r w:rsidRPr="00F71024">
          <w:rPr>
            <w:rStyle w:val="Hyperlink"/>
            <w:rFonts w:ascii="Times New Roman" w:hAnsi="Times New Roman" w:cs="Times New Roman"/>
            <w:sz w:val="20"/>
            <w:szCs w:val="20"/>
            <w:lang w:val="en-US"/>
          </w:rPr>
          <w:t>https://www.unglobalcompact.org/what-is-gc</w:t>
        </w:r>
      </w:hyperlink>
      <w:r w:rsidRPr="00F71024">
        <w:rPr>
          <w:rFonts w:ascii="Times New Roman" w:hAnsi="Times New Roman" w:cs="Times New Roman"/>
          <w:sz w:val="20"/>
          <w:szCs w:val="20"/>
          <w:lang w:val="en-US"/>
        </w:rPr>
        <w:t xml:space="preserve"> (Accessed: 4 July 2016)</w:t>
      </w:r>
      <w:r>
        <w:rPr>
          <w:rFonts w:ascii="Times New Roman" w:hAnsi="Times New Roman" w:cs="Times New Roman"/>
          <w:sz w:val="20"/>
          <w:szCs w:val="20"/>
          <w:lang w:val="en-US"/>
        </w:rPr>
        <w:t>.</w:t>
      </w:r>
    </w:p>
  </w:footnote>
  <w:footnote w:id="5">
    <w:p w14:paraId="617602F7" w14:textId="778BB2CB" w:rsidR="00AD57FA" w:rsidRPr="00F71024" w:rsidRDefault="00AD57FA" w:rsidP="008E4039">
      <w:pPr>
        <w:spacing w:after="0" w:line="240" w:lineRule="auto"/>
        <w:rPr>
          <w:rFonts w:ascii="Times New Roman" w:hAnsi="Times New Roman" w:cs="Times New Roman"/>
          <w:sz w:val="20"/>
          <w:szCs w:val="20"/>
          <w:lang w:val="en-US"/>
        </w:rPr>
      </w:pPr>
      <w:r w:rsidRPr="00F71024">
        <w:rPr>
          <w:rStyle w:val="FootnoteReference"/>
          <w:rFonts w:ascii="Times New Roman" w:hAnsi="Times New Roman" w:cs="Times New Roman"/>
          <w:sz w:val="20"/>
          <w:szCs w:val="20"/>
        </w:rPr>
        <w:footnoteRef/>
      </w:r>
      <w:r w:rsidRPr="00F71024">
        <w:rPr>
          <w:rFonts w:ascii="Times New Roman" w:hAnsi="Times New Roman" w:cs="Times New Roman"/>
          <w:sz w:val="20"/>
          <w:szCs w:val="20"/>
        </w:rPr>
        <w:t xml:space="preserve"> </w:t>
      </w:r>
      <w:hyperlink r:id="rId4" w:history="1">
        <w:r w:rsidRPr="00F71024">
          <w:rPr>
            <w:rStyle w:val="Hyperlink"/>
            <w:rFonts w:ascii="Times New Roman" w:hAnsi="Times New Roman" w:cs="Times New Roman"/>
            <w:sz w:val="20"/>
            <w:szCs w:val="20"/>
            <w:lang w:val="en-US"/>
          </w:rPr>
          <w:t>https://www.globalreporting.org/information/about-gri/alliances-and-synergies/Pages/United-Nations-Global-Compact.aspx</w:t>
        </w:r>
      </w:hyperlink>
      <w:r w:rsidRPr="00F71024">
        <w:rPr>
          <w:rFonts w:ascii="Times New Roman" w:hAnsi="Times New Roman" w:cs="Times New Roman"/>
          <w:sz w:val="20"/>
          <w:szCs w:val="20"/>
          <w:lang w:val="en-US"/>
        </w:rPr>
        <w:t xml:space="preserve"> (Accessed: 4 July 2016)</w:t>
      </w:r>
      <w:r>
        <w:rPr>
          <w:rFonts w:ascii="Times New Roman" w:hAnsi="Times New Roman" w:cs="Times New Roman"/>
          <w:sz w:val="20"/>
          <w:szCs w:val="20"/>
          <w:lang w:val="en-US"/>
        </w:rPr>
        <w:t>.</w:t>
      </w:r>
    </w:p>
    <w:p w14:paraId="075C9DA4" w14:textId="77777777" w:rsidR="00AD57FA" w:rsidRPr="00F71024" w:rsidRDefault="00AD57FA" w:rsidP="008E4039">
      <w:pPr>
        <w:pStyle w:val="FootnoteText"/>
        <w:rPr>
          <w:lang w:val="en-US"/>
        </w:rPr>
      </w:pPr>
    </w:p>
  </w:footnote>
  <w:footnote w:id="6">
    <w:p w14:paraId="680BEFC8" w14:textId="640F14E3" w:rsidR="00AD57FA" w:rsidRPr="00605E50" w:rsidRDefault="00AD57FA" w:rsidP="00996327">
      <w:pPr>
        <w:pStyle w:val="FootnoteText"/>
        <w:jc w:val="both"/>
        <w:rPr>
          <w:rFonts w:ascii="Times New Roman" w:hAnsi="Times New Roman" w:cs="Times New Roman"/>
          <w:lang w:val="en-US"/>
        </w:rPr>
      </w:pPr>
      <w:r w:rsidRPr="00605E50">
        <w:rPr>
          <w:rStyle w:val="FootnoteReference"/>
          <w:rFonts w:ascii="Times New Roman" w:hAnsi="Times New Roman" w:cs="Times New Roman"/>
        </w:rPr>
        <w:footnoteRef/>
      </w:r>
      <w:r w:rsidRPr="00605E50">
        <w:rPr>
          <w:rFonts w:ascii="Times New Roman" w:hAnsi="Times New Roman" w:cs="Times New Roman"/>
        </w:rPr>
        <w:t xml:space="preserve">Since the Sargan test is based is </w:t>
      </w:r>
      <w:r>
        <w:rPr>
          <w:rFonts w:ascii="Times New Roman" w:hAnsi="Times New Roman" w:cs="Times New Roman"/>
        </w:rPr>
        <w:t xml:space="preserve">on </w:t>
      </w:r>
      <w:r w:rsidRPr="00605E50">
        <w:rPr>
          <w:rFonts w:ascii="Times New Roman" w:hAnsi="Times New Roman" w:cs="Times New Roman"/>
          <w:lang w:val="en-US"/>
        </w:rPr>
        <w:t>homoskedastic error term</w:t>
      </w:r>
      <w:r w:rsidRPr="00605E50">
        <w:rPr>
          <w:rFonts w:ascii="Times New Roman" w:hAnsi="Times New Roman" w:cs="Times New Roman"/>
        </w:rPr>
        <w:t>, it is computed without including VCE(robust) option in the specification</w:t>
      </w:r>
      <w:r>
        <w:rPr>
          <w:rFonts w:ascii="Times New Roman" w:hAnsi="Times New Roman" w:cs="Times New Roman"/>
        </w:rPr>
        <w:t>.</w:t>
      </w:r>
      <w:r w:rsidRPr="00605E50">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44BD"/>
    <w:multiLevelType w:val="hybridMultilevel"/>
    <w:tmpl w:val="C33C8490"/>
    <w:lvl w:ilvl="0" w:tplc="2A98792E">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C2090"/>
    <w:multiLevelType w:val="hybridMultilevel"/>
    <w:tmpl w:val="DE6A377C"/>
    <w:lvl w:ilvl="0" w:tplc="3E7443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F479CD"/>
    <w:multiLevelType w:val="multilevel"/>
    <w:tmpl w:val="DF30B58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i/>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12E724D"/>
    <w:multiLevelType w:val="hybridMultilevel"/>
    <w:tmpl w:val="0AC23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A5960"/>
    <w:multiLevelType w:val="multilevel"/>
    <w:tmpl w:val="750A73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3BB51CF"/>
    <w:multiLevelType w:val="hybridMultilevel"/>
    <w:tmpl w:val="ACDC0D94"/>
    <w:lvl w:ilvl="0" w:tplc="53C2977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DE14D0"/>
    <w:multiLevelType w:val="hybridMultilevel"/>
    <w:tmpl w:val="066CA7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676DEF"/>
    <w:multiLevelType w:val="hybridMultilevel"/>
    <w:tmpl w:val="00FC27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8F1F65"/>
    <w:multiLevelType w:val="multilevel"/>
    <w:tmpl w:val="3E28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0"/>
  </w:num>
  <w:num w:numId="5">
    <w:abstractNumId w:val="8"/>
  </w:num>
  <w:num w:numId="6">
    <w:abstractNumId w:val="1"/>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it-IT" w:vendorID="64" w:dllVersion="0" w:nlCheck="1" w:checkStyle="0"/>
  <w:activeWritingStyle w:appName="MSWord" w:lang="fr-FR" w:vendorID="64" w:dllVersion="0" w:nlCheck="1" w:checkStyle="0"/>
  <w:activeWritingStyle w:appName="MSWord" w:lang="en-GB" w:vendorID="64" w:dllVersion="0" w:nlCheck="1" w:checkStyle="1"/>
  <w:activeWritingStyle w:appName="MSWord" w:lang="de-DE" w:vendorID="64" w:dllVersion="0" w:nlCheck="1" w:checkStyle="1"/>
  <w:activeWritingStyle w:appName="MSWord" w:lang="en-US" w:vendorID="64" w:dllVersion="0" w:nlCheck="1" w:checkStyle="1"/>
  <w:activeWritingStyle w:appName="MSWord" w:lang="es-ES" w:vendorID="64" w:dllVersion="0"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de-DE" w:vendorID="64" w:dllVersion="6" w:nlCheck="1" w:checkStyle="1"/>
  <w:activeWritingStyle w:appName="MSWord" w:lang="en-GB" w:vendorID="64" w:dllVersion="131078" w:nlCheck="1" w:checkStyle="1"/>
  <w:activeWritingStyle w:appName="MSWord" w:lang="it-IT" w:vendorID="64" w:dllVersion="131078" w:nlCheck="1" w:checkStyle="0"/>
  <w:activeWritingStyle w:appName="MSWord" w:lang="fr-FR" w:vendorID="64" w:dllVersion="131078" w:nlCheck="1" w:checkStyle="1"/>
  <w:activeWritingStyle w:appName="MSWord" w:lang="en-US" w:vendorID="64" w:dllVersion="131078" w:nlCheck="1" w:checkStyle="1"/>
  <w:activeWritingStyle w:appName="MSWord" w:lang="de-DE" w:vendorID="64" w:dllVersion="131078" w:nlCheck="1" w:checkStyle="1"/>
  <w:defaultTabStop w:val="720"/>
  <w:drawingGridHorizontalSpacing w:val="110"/>
  <w:displayHorizont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374"/>
    <w:rsid w:val="000008A5"/>
    <w:rsid w:val="000016B2"/>
    <w:rsid w:val="000016DA"/>
    <w:rsid w:val="0000188F"/>
    <w:rsid w:val="00001B7C"/>
    <w:rsid w:val="00002479"/>
    <w:rsid w:val="00002CAC"/>
    <w:rsid w:val="00002FE3"/>
    <w:rsid w:val="00003D59"/>
    <w:rsid w:val="0000482E"/>
    <w:rsid w:val="00006DBA"/>
    <w:rsid w:val="00007528"/>
    <w:rsid w:val="00007BD8"/>
    <w:rsid w:val="00010668"/>
    <w:rsid w:val="00011240"/>
    <w:rsid w:val="00011BA8"/>
    <w:rsid w:val="00011F44"/>
    <w:rsid w:val="00013893"/>
    <w:rsid w:val="0001390A"/>
    <w:rsid w:val="00013A34"/>
    <w:rsid w:val="00014090"/>
    <w:rsid w:val="00015B67"/>
    <w:rsid w:val="000160F8"/>
    <w:rsid w:val="00016B7E"/>
    <w:rsid w:val="00020A47"/>
    <w:rsid w:val="00020A8C"/>
    <w:rsid w:val="00020F91"/>
    <w:rsid w:val="000213E8"/>
    <w:rsid w:val="00021E63"/>
    <w:rsid w:val="0002368D"/>
    <w:rsid w:val="00024710"/>
    <w:rsid w:val="00024AA1"/>
    <w:rsid w:val="00024B40"/>
    <w:rsid w:val="00025E4E"/>
    <w:rsid w:val="000266FD"/>
    <w:rsid w:val="00026A59"/>
    <w:rsid w:val="00026BDF"/>
    <w:rsid w:val="00026DCC"/>
    <w:rsid w:val="000271CE"/>
    <w:rsid w:val="0002773A"/>
    <w:rsid w:val="0003051E"/>
    <w:rsid w:val="000312D9"/>
    <w:rsid w:val="0003194C"/>
    <w:rsid w:val="00031CAB"/>
    <w:rsid w:val="000324E3"/>
    <w:rsid w:val="0003250C"/>
    <w:rsid w:val="000329EB"/>
    <w:rsid w:val="000341CC"/>
    <w:rsid w:val="000350CB"/>
    <w:rsid w:val="00035257"/>
    <w:rsid w:val="0003525E"/>
    <w:rsid w:val="00035ABA"/>
    <w:rsid w:val="000365C1"/>
    <w:rsid w:val="000370EB"/>
    <w:rsid w:val="00037A6D"/>
    <w:rsid w:val="00037AE5"/>
    <w:rsid w:val="00042068"/>
    <w:rsid w:val="000423DF"/>
    <w:rsid w:val="00042F3A"/>
    <w:rsid w:val="00042FF0"/>
    <w:rsid w:val="00043237"/>
    <w:rsid w:val="00043DCC"/>
    <w:rsid w:val="0004427F"/>
    <w:rsid w:val="00044E91"/>
    <w:rsid w:val="00045126"/>
    <w:rsid w:val="0004529C"/>
    <w:rsid w:val="000458E8"/>
    <w:rsid w:val="00046965"/>
    <w:rsid w:val="000479E5"/>
    <w:rsid w:val="000503D9"/>
    <w:rsid w:val="00050508"/>
    <w:rsid w:val="000510BB"/>
    <w:rsid w:val="00051325"/>
    <w:rsid w:val="00052323"/>
    <w:rsid w:val="00052989"/>
    <w:rsid w:val="000531D4"/>
    <w:rsid w:val="00056C95"/>
    <w:rsid w:val="000607EE"/>
    <w:rsid w:val="00060A1C"/>
    <w:rsid w:val="00061C18"/>
    <w:rsid w:val="00062507"/>
    <w:rsid w:val="000628D2"/>
    <w:rsid w:val="000629F7"/>
    <w:rsid w:val="00062B26"/>
    <w:rsid w:val="00063000"/>
    <w:rsid w:val="00063612"/>
    <w:rsid w:val="000643F6"/>
    <w:rsid w:val="0006496A"/>
    <w:rsid w:val="000651A3"/>
    <w:rsid w:val="0006540D"/>
    <w:rsid w:val="00065C7D"/>
    <w:rsid w:val="000662FD"/>
    <w:rsid w:val="00066B2A"/>
    <w:rsid w:val="00066CB4"/>
    <w:rsid w:val="000674B2"/>
    <w:rsid w:val="0006767B"/>
    <w:rsid w:val="00070959"/>
    <w:rsid w:val="000719C3"/>
    <w:rsid w:val="0007205D"/>
    <w:rsid w:val="00072214"/>
    <w:rsid w:val="00072A3D"/>
    <w:rsid w:val="00072D41"/>
    <w:rsid w:val="00074085"/>
    <w:rsid w:val="00076176"/>
    <w:rsid w:val="00080215"/>
    <w:rsid w:val="00080923"/>
    <w:rsid w:val="000811C6"/>
    <w:rsid w:val="00081765"/>
    <w:rsid w:val="000818A7"/>
    <w:rsid w:val="000842FD"/>
    <w:rsid w:val="00085810"/>
    <w:rsid w:val="00085DFB"/>
    <w:rsid w:val="00087AD4"/>
    <w:rsid w:val="000901BA"/>
    <w:rsid w:val="00090EFC"/>
    <w:rsid w:val="00091811"/>
    <w:rsid w:val="000925CB"/>
    <w:rsid w:val="00092A43"/>
    <w:rsid w:val="00093088"/>
    <w:rsid w:val="00094291"/>
    <w:rsid w:val="000942F7"/>
    <w:rsid w:val="00095015"/>
    <w:rsid w:val="000954CF"/>
    <w:rsid w:val="0009588D"/>
    <w:rsid w:val="00095F89"/>
    <w:rsid w:val="00096F19"/>
    <w:rsid w:val="00096FEF"/>
    <w:rsid w:val="0009743E"/>
    <w:rsid w:val="00097E3F"/>
    <w:rsid w:val="000A07DB"/>
    <w:rsid w:val="000A0830"/>
    <w:rsid w:val="000A08CE"/>
    <w:rsid w:val="000A0F7E"/>
    <w:rsid w:val="000A19FF"/>
    <w:rsid w:val="000A2141"/>
    <w:rsid w:val="000A2DA2"/>
    <w:rsid w:val="000A3675"/>
    <w:rsid w:val="000A4171"/>
    <w:rsid w:val="000A4E26"/>
    <w:rsid w:val="000A56F7"/>
    <w:rsid w:val="000A74DF"/>
    <w:rsid w:val="000A79CC"/>
    <w:rsid w:val="000A7A30"/>
    <w:rsid w:val="000B0196"/>
    <w:rsid w:val="000B085E"/>
    <w:rsid w:val="000B134A"/>
    <w:rsid w:val="000B1937"/>
    <w:rsid w:val="000B1FDF"/>
    <w:rsid w:val="000B295C"/>
    <w:rsid w:val="000B4867"/>
    <w:rsid w:val="000B636A"/>
    <w:rsid w:val="000B6B1F"/>
    <w:rsid w:val="000B6FF2"/>
    <w:rsid w:val="000C1299"/>
    <w:rsid w:val="000C1841"/>
    <w:rsid w:val="000C1954"/>
    <w:rsid w:val="000C1982"/>
    <w:rsid w:val="000C1F0B"/>
    <w:rsid w:val="000C20BB"/>
    <w:rsid w:val="000C27C6"/>
    <w:rsid w:val="000C286C"/>
    <w:rsid w:val="000C3C12"/>
    <w:rsid w:val="000C45E1"/>
    <w:rsid w:val="000C4816"/>
    <w:rsid w:val="000C5DFE"/>
    <w:rsid w:val="000C6236"/>
    <w:rsid w:val="000C6380"/>
    <w:rsid w:val="000C63C5"/>
    <w:rsid w:val="000C6FF3"/>
    <w:rsid w:val="000D04C0"/>
    <w:rsid w:val="000D1B2A"/>
    <w:rsid w:val="000D1D00"/>
    <w:rsid w:val="000D33E8"/>
    <w:rsid w:val="000D380C"/>
    <w:rsid w:val="000D3A0B"/>
    <w:rsid w:val="000D3D92"/>
    <w:rsid w:val="000D4163"/>
    <w:rsid w:val="000D49B8"/>
    <w:rsid w:val="000D5F4F"/>
    <w:rsid w:val="000D6254"/>
    <w:rsid w:val="000D763A"/>
    <w:rsid w:val="000D782B"/>
    <w:rsid w:val="000D7AE6"/>
    <w:rsid w:val="000D7B47"/>
    <w:rsid w:val="000D7F33"/>
    <w:rsid w:val="000E0009"/>
    <w:rsid w:val="000E0A49"/>
    <w:rsid w:val="000E109A"/>
    <w:rsid w:val="000E13AE"/>
    <w:rsid w:val="000E2784"/>
    <w:rsid w:val="000E29AF"/>
    <w:rsid w:val="000E33CE"/>
    <w:rsid w:val="000E367F"/>
    <w:rsid w:val="000E40C3"/>
    <w:rsid w:val="000E4A24"/>
    <w:rsid w:val="000E55A6"/>
    <w:rsid w:val="000E5989"/>
    <w:rsid w:val="000E5A4A"/>
    <w:rsid w:val="000E5A7E"/>
    <w:rsid w:val="000E5C09"/>
    <w:rsid w:val="000E5CE0"/>
    <w:rsid w:val="000E6635"/>
    <w:rsid w:val="000E66B5"/>
    <w:rsid w:val="000E7497"/>
    <w:rsid w:val="000E7D2D"/>
    <w:rsid w:val="000F03A3"/>
    <w:rsid w:val="000F09C4"/>
    <w:rsid w:val="000F0C0E"/>
    <w:rsid w:val="000F1244"/>
    <w:rsid w:val="000F12DF"/>
    <w:rsid w:val="000F1432"/>
    <w:rsid w:val="000F4FCB"/>
    <w:rsid w:val="000F511A"/>
    <w:rsid w:val="000F552E"/>
    <w:rsid w:val="000F55E1"/>
    <w:rsid w:val="000F5767"/>
    <w:rsid w:val="000F6029"/>
    <w:rsid w:val="000F67E0"/>
    <w:rsid w:val="000F6A93"/>
    <w:rsid w:val="000F702F"/>
    <w:rsid w:val="0010095F"/>
    <w:rsid w:val="001009F8"/>
    <w:rsid w:val="00101248"/>
    <w:rsid w:val="0010188F"/>
    <w:rsid w:val="00101903"/>
    <w:rsid w:val="001028F7"/>
    <w:rsid w:val="00102D83"/>
    <w:rsid w:val="001037C5"/>
    <w:rsid w:val="00103BA1"/>
    <w:rsid w:val="00104B02"/>
    <w:rsid w:val="00104C08"/>
    <w:rsid w:val="00104DB7"/>
    <w:rsid w:val="0010563F"/>
    <w:rsid w:val="00107627"/>
    <w:rsid w:val="00107695"/>
    <w:rsid w:val="0010775B"/>
    <w:rsid w:val="001077B9"/>
    <w:rsid w:val="00107F51"/>
    <w:rsid w:val="00110105"/>
    <w:rsid w:val="00110F4C"/>
    <w:rsid w:val="001116D3"/>
    <w:rsid w:val="001118C2"/>
    <w:rsid w:val="001118E8"/>
    <w:rsid w:val="00111950"/>
    <w:rsid w:val="00112687"/>
    <w:rsid w:val="00112E49"/>
    <w:rsid w:val="0011322F"/>
    <w:rsid w:val="00114300"/>
    <w:rsid w:val="0011510E"/>
    <w:rsid w:val="0011536E"/>
    <w:rsid w:val="00115424"/>
    <w:rsid w:val="00115BF3"/>
    <w:rsid w:val="0011622A"/>
    <w:rsid w:val="00116691"/>
    <w:rsid w:val="001170BD"/>
    <w:rsid w:val="001171C8"/>
    <w:rsid w:val="00117223"/>
    <w:rsid w:val="00117754"/>
    <w:rsid w:val="0012291F"/>
    <w:rsid w:val="001230EE"/>
    <w:rsid w:val="00123A39"/>
    <w:rsid w:val="001240D7"/>
    <w:rsid w:val="00124201"/>
    <w:rsid w:val="001246CE"/>
    <w:rsid w:val="0012489E"/>
    <w:rsid w:val="00124C4F"/>
    <w:rsid w:val="0012519A"/>
    <w:rsid w:val="00125DDF"/>
    <w:rsid w:val="0012600F"/>
    <w:rsid w:val="00126427"/>
    <w:rsid w:val="00126B9C"/>
    <w:rsid w:val="001270F4"/>
    <w:rsid w:val="0012772D"/>
    <w:rsid w:val="00127A5C"/>
    <w:rsid w:val="0013032E"/>
    <w:rsid w:val="001304C5"/>
    <w:rsid w:val="00130EFD"/>
    <w:rsid w:val="001316C3"/>
    <w:rsid w:val="00132923"/>
    <w:rsid w:val="001334BB"/>
    <w:rsid w:val="00133745"/>
    <w:rsid w:val="0013384A"/>
    <w:rsid w:val="00133BA1"/>
    <w:rsid w:val="0013497C"/>
    <w:rsid w:val="00134F29"/>
    <w:rsid w:val="00134FF9"/>
    <w:rsid w:val="00135548"/>
    <w:rsid w:val="001362F7"/>
    <w:rsid w:val="001364BE"/>
    <w:rsid w:val="00137B65"/>
    <w:rsid w:val="00140DC9"/>
    <w:rsid w:val="00140F2E"/>
    <w:rsid w:val="001410A5"/>
    <w:rsid w:val="00141640"/>
    <w:rsid w:val="00142600"/>
    <w:rsid w:val="00142735"/>
    <w:rsid w:val="00142F3C"/>
    <w:rsid w:val="001432DA"/>
    <w:rsid w:val="0014359D"/>
    <w:rsid w:val="001438B8"/>
    <w:rsid w:val="00143FF3"/>
    <w:rsid w:val="001444D6"/>
    <w:rsid w:val="00144A22"/>
    <w:rsid w:val="00144D10"/>
    <w:rsid w:val="00145D42"/>
    <w:rsid w:val="00145EED"/>
    <w:rsid w:val="0014618B"/>
    <w:rsid w:val="0014770B"/>
    <w:rsid w:val="00150A64"/>
    <w:rsid w:val="00150F50"/>
    <w:rsid w:val="00151607"/>
    <w:rsid w:val="0015192A"/>
    <w:rsid w:val="00151FCF"/>
    <w:rsid w:val="00152BB5"/>
    <w:rsid w:val="0015304E"/>
    <w:rsid w:val="001539B1"/>
    <w:rsid w:val="00154AA1"/>
    <w:rsid w:val="001551DF"/>
    <w:rsid w:val="00155637"/>
    <w:rsid w:val="001559FB"/>
    <w:rsid w:val="0015745A"/>
    <w:rsid w:val="001575BF"/>
    <w:rsid w:val="001577D9"/>
    <w:rsid w:val="00160845"/>
    <w:rsid w:val="00160D2C"/>
    <w:rsid w:val="00161155"/>
    <w:rsid w:val="00161C8E"/>
    <w:rsid w:val="001624FC"/>
    <w:rsid w:val="0016289D"/>
    <w:rsid w:val="00162A44"/>
    <w:rsid w:val="00162B23"/>
    <w:rsid w:val="00162F63"/>
    <w:rsid w:val="001630D5"/>
    <w:rsid w:val="00163915"/>
    <w:rsid w:val="00163F75"/>
    <w:rsid w:val="00164113"/>
    <w:rsid w:val="0016435F"/>
    <w:rsid w:val="00164409"/>
    <w:rsid w:val="001648D8"/>
    <w:rsid w:val="00165D64"/>
    <w:rsid w:val="00165E37"/>
    <w:rsid w:val="001668BB"/>
    <w:rsid w:val="00166E03"/>
    <w:rsid w:val="0016737A"/>
    <w:rsid w:val="00167E8A"/>
    <w:rsid w:val="00170B41"/>
    <w:rsid w:val="00170DDC"/>
    <w:rsid w:val="001712B7"/>
    <w:rsid w:val="0017161A"/>
    <w:rsid w:val="00171D98"/>
    <w:rsid w:val="00171EA1"/>
    <w:rsid w:val="00171FA6"/>
    <w:rsid w:val="001720D1"/>
    <w:rsid w:val="001721F1"/>
    <w:rsid w:val="00172E52"/>
    <w:rsid w:val="00173D12"/>
    <w:rsid w:val="001747FA"/>
    <w:rsid w:val="00175D9E"/>
    <w:rsid w:val="00176212"/>
    <w:rsid w:val="001809FF"/>
    <w:rsid w:val="00182568"/>
    <w:rsid w:val="00182768"/>
    <w:rsid w:val="0018293D"/>
    <w:rsid w:val="0018294F"/>
    <w:rsid w:val="00182D74"/>
    <w:rsid w:val="0018311F"/>
    <w:rsid w:val="001833F9"/>
    <w:rsid w:val="001835E0"/>
    <w:rsid w:val="00183BF4"/>
    <w:rsid w:val="00183BFA"/>
    <w:rsid w:val="001847A3"/>
    <w:rsid w:val="001852ED"/>
    <w:rsid w:val="0018537C"/>
    <w:rsid w:val="00185C6D"/>
    <w:rsid w:val="00186762"/>
    <w:rsid w:val="00187154"/>
    <w:rsid w:val="001911C0"/>
    <w:rsid w:val="001919BD"/>
    <w:rsid w:val="0019289D"/>
    <w:rsid w:val="00193050"/>
    <w:rsid w:val="00194615"/>
    <w:rsid w:val="00194719"/>
    <w:rsid w:val="0019624D"/>
    <w:rsid w:val="00196C17"/>
    <w:rsid w:val="00197234"/>
    <w:rsid w:val="0019723A"/>
    <w:rsid w:val="00197457"/>
    <w:rsid w:val="00197D4B"/>
    <w:rsid w:val="001A0778"/>
    <w:rsid w:val="001A0AF8"/>
    <w:rsid w:val="001A0CD2"/>
    <w:rsid w:val="001A1669"/>
    <w:rsid w:val="001A1746"/>
    <w:rsid w:val="001A2073"/>
    <w:rsid w:val="001A421D"/>
    <w:rsid w:val="001A4973"/>
    <w:rsid w:val="001A4E4A"/>
    <w:rsid w:val="001A55C1"/>
    <w:rsid w:val="001A5C12"/>
    <w:rsid w:val="001A6231"/>
    <w:rsid w:val="001A6235"/>
    <w:rsid w:val="001A6745"/>
    <w:rsid w:val="001A6CD1"/>
    <w:rsid w:val="001A7B4E"/>
    <w:rsid w:val="001B051F"/>
    <w:rsid w:val="001B0942"/>
    <w:rsid w:val="001B10F6"/>
    <w:rsid w:val="001B1802"/>
    <w:rsid w:val="001B1F38"/>
    <w:rsid w:val="001B39C2"/>
    <w:rsid w:val="001B4E7B"/>
    <w:rsid w:val="001B6476"/>
    <w:rsid w:val="001B6BDE"/>
    <w:rsid w:val="001B6C00"/>
    <w:rsid w:val="001B6DA6"/>
    <w:rsid w:val="001B7C74"/>
    <w:rsid w:val="001B7F56"/>
    <w:rsid w:val="001C0E09"/>
    <w:rsid w:val="001C13A6"/>
    <w:rsid w:val="001C159E"/>
    <w:rsid w:val="001C1714"/>
    <w:rsid w:val="001C1A54"/>
    <w:rsid w:val="001C3216"/>
    <w:rsid w:val="001C4232"/>
    <w:rsid w:val="001C54CF"/>
    <w:rsid w:val="001C624C"/>
    <w:rsid w:val="001C663C"/>
    <w:rsid w:val="001C6E69"/>
    <w:rsid w:val="001C7666"/>
    <w:rsid w:val="001C7CA6"/>
    <w:rsid w:val="001C7F41"/>
    <w:rsid w:val="001D0AFF"/>
    <w:rsid w:val="001D0B73"/>
    <w:rsid w:val="001D0E9D"/>
    <w:rsid w:val="001D0FB0"/>
    <w:rsid w:val="001D134C"/>
    <w:rsid w:val="001D18C0"/>
    <w:rsid w:val="001D197A"/>
    <w:rsid w:val="001D2143"/>
    <w:rsid w:val="001D3E16"/>
    <w:rsid w:val="001D4350"/>
    <w:rsid w:val="001D4E53"/>
    <w:rsid w:val="001D5087"/>
    <w:rsid w:val="001D5630"/>
    <w:rsid w:val="001D5B13"/>
    <w:rsid w:val="001D60E0"/>
    <w:rsid w:val="001D62B8"/>
    <w:rsid w:val="001D6542"/>
    <w:rsid w:val="001D6A0E"/>
    <w:rsid w:val="001D7513"/>
    <w:rsid w:val="001E0C01"/>
    <w:rsid w:val="001E0D4F"/>
    <w:rsid w:val="001E0E4E"/>
    <w:rsid w:val="001E1E0F"/>
    <w:rsid w:val="001E2902"/>
    <w:rsid w:val="001E4465"/>
    <w:rsid w:val="001E546D"/>
    <w:rsid w:val="001E5B05"/>
    <w:rsid w:val="001E6058"/>
    <w:rsid w:val="001E65C3"/>
    <w:rsid w:val="001E7D7F"/>
    <w:rsid w:val="001F0BD3"/>
    <w:rsid w:val="001F0D36"/>
    <w:rsid w:val="001F1709"/>
    <w:rsid w:val="001F18B9"/>
    <w:rsid w:val="001F193E"/>
    <w:rsid w:val="001F250B"/>
    <w:rsid w:val="001F2FA3"/>
    <w:rsid w:val="001F38DC"/>
    <w:rsid w:val="001F4243"/>
    <w:rsid w:val="001F58B4"/>
    <w:rsid w:val="001F5ED4"/>
    <w:rsid w:val="001F6570"/>
    <w:rsid w:val="001F6783"/>
    <w:rsid w:val="001F7315"/>
    <w:rsid w:val="001F7C34"/>
    <w:rsid w:val="00200554"/>
    <w:rsid w:val="002009D5"/>
    <w:rsid w:val="00200E4B"/>
    <w:rsid w:val="0020154B"/>
    <w:rsid w:val="002027B7"/>
    <w:rsid w:val="00203217"/>
    <w:rsid w:val="00203319"/>
    <w:rsid w:val="002034A8"/>
    <w:rsid w:val="002034BF"/>
    <w:rsid w:val="00205618"/>
    <w:rsid w:val="00205C8B"/>
    <w:rsid w:val="0020705E"/>
    <w:rsid w:val="00210062"/>
    <w:rsid w:val="00210662"/>
    <w:rsid w:val="002107C8"/>
    <w:rsid w:val="002118A3"/>
    <w:rsid w:val="00211A07"/>
    <w:rsid w:val="00212374"/>
    <w:rsid w:val="00212642"/>
    <w:rsid w:val="00213297"/>
    <w:rsid w:val="00213B95"/>
    <w:rsid w:val="002150AA"/>
    <w:rsid w:val="002153FB"/>
    <w:rsid w:val="00215E08"/>
    <w:rsid w:val="002160E9"/>
    <w:rsid w:val="00216B25"/>
    <w:rsid w:val="002172ED"/>
    <w:rsid w:val="0021739D"/>
    <w:rsid w:val="002178EC"/>
    <w:rsid w:val="0022040C"/>
    <w:rsid w:val="002213ED"/>
    <w:rsid w:val="00221CC5"/>
    <w:rsid w:val="00222470"/>
    <w:rsid w:val="00222F51"/>
    <w:rsid w:val="002239B2"/>
    <w:rsid w:val="0022433B"/>
    <w:rsid w:val="00224C7C"/>
    <w:rsid w:val="00224E25"/>
    <w:rsid w:val="00226771"/>
    <w:rsid w:val="00226FFD"/>
    <w:rsid w:val="002277A2"/>
    <w:rsid w:val="00227941"/>
    <w:rsid w:val="00227A75"/>
    <w:rsid w:val="00227E77"/>
    <w:rsid w:val="0023022E"/>
    <w:rsid w:val="0023058D"/>
    <w:rsid w:val="00230944"/>
    <w:rsid w:val="002315C6"/>
    <w:rsid w:val="00231B54"/>
    <w:rsid w:val="00232AB0"/>
    <w:rsid w:val="00232F21"/>
    <w:rsid w:val="00235DAA"/>
    <w:rsid w:val="00236124"/>
    <w:rsid w:val="002367BB"/>
    <w:rsid w:val="0023706C"/>
    <w:rsid w:val="002371C2"/>
    <w:rsid w:val="0023742D"/>
    <w:rsid w:val="002403FB"/>
    <w:rsid w:val="00240483"/>
    <w:rsid w:val="002408C4"/>
    <w:rsid w:val="00241944"/>
    <w:rsid w:val="00241B86"/>
    <w:rsid w:val="00241D22"/>
    <w:rsid w:val="002421AE"/>
    <w:rsid w:val="0024320D"/>
    <w:rsid w:val="00243765"/>
    <w:rsid w:val="00243F34"/>
    <w:rsid w:val="00243F6A"/>
    <w:rsid w:val="00244329"/>
    <w:rsid w:val="00244B39"/>
    <w:rsid w:val="002456CC"/>
    <w:rsid w:val="002473AE"/>
    <w:rsid w:val="0024748A"/>
    <w:rsid w:val="002479D3"/>
    <w:rsid w:val="002506A5"/>
    <w:rsid w:val="0025118A"/>
    <w:rsid w:val="00251AB9"/>
    <w:rsid w:val="00251B44"/>
    <w:rsid w:val="00252363"/>
    <w:rsid w:val="00252659"/>
    <w:rsid w:val="00252987"/>
    <w:rsid w:val="00253B6A"/>
    <w:rsid w:val="00254AC6"/>
    <w:rsid w:val="00255717"/>
    <w:rsid w:val="00255D13"/>
    <w:rsid w:val="002566BB"/>
    <w:rsid w:val="002568C9"/>
    <w:rsid w:val="00256C09"/>
    <w:rsid w:val="00256F92"/>
    <w:rsid w:val="00260045"/>
    <w:rsid w:val="00260A80"/>
    <w:rsid w:val="00260BFB"/>
    <w:rsid w:val="0026111B"/>
    <w:rsid w:val="002612A8"/>
    <w:rsid w:val="00261B43"/>
    <w:rsid w:val="00261F43"/>
    <w:rsid w:val="0026317B"/>
    <w:rsid w:val="00263208"/>
    <w:rsid w:val="0026333F"/>
    <w:rsid w:val="0026404E"/>
    <w:rsid w:val="0026428A"/>
    <w:rsid w:val="00264477"/>
    <w:rsid w:val="0026485B"/>
    <w:rsid w:val="002649D2"/>
    <w:rsid w:val="00264B4F"/>
    <w:rsid w:val="002652AB"/>
    <w:rsid w:val="0026565B"/>
    <w:rsid w:val="0026589C"/>
    <w:rsid w:val="00266AA1"/>
    <w:rsid w:val="0027000B"/>
    <w:rsid w:val="00270582"/>
    <w:rsid w:val="0027154B"/>
    <w:rsid w:val="0027172E"/>
    <w:rsid w:val="00271C96"/>
    <w:rsid w:val="0027341D"/>
    <w:rsid w:val="00273A51"/>
    <w:rsid w:val="00273C6E"/>
    <w:rsid w:val="00273EC1"/>
    <w:rsid w:val="002769D1"/>
    <w:rsid w:val="00277717"/>
    <w:rsid w:val="0027772B"/>
    <w:rsid w:val="002779DD"/>
    <w:rsid w:val="00277D45"/>
    <w:rsid w:val="002806A8"/>
    <w:rsid w:val="002822B8"/>
    <w:rsid w:val="002824E9"/>
    <w:rsid w:val="00282897"/>
    <w:rsid w:val="002828F8"/>
    <w:rsid w:val="00283488"/>
    <w:rsid w:val="0028350B"/>
    <w:rsid w:val="0028511C"/>
    <w:rsid w:val="002854F2"/>
    <w:rsid w:val="00286306"/>
    <w:rsid w:val="00291E2A"/>
    <w:rsid w:val="002923EC"/>
    <w:rsid w:val="0029240A"/>
    <w:rsid w:val="002924B0"/>
    <w:rsid w:val="002925EF"/>
    <w:rsid w:val="002929D9"/>
    <w:rsid w:val="00292C05"/>
    <w:rsid w:val="00293F3E"/>
    <w:rsid w:val="00293F9B"/>
    <w:rsid w:val="00294D40"/>
    <w:rsid w:val="00295B48"/>
    <w:rsid w:val="002971AF"/>
    <w:rsid w:val="002974E5"/>
    <w:rsid w:val="0029791E"/>
    <w:rsid w:val="00297F55"/>
    <w:rsid w:val="002A0209"/>
    <w:rsid w:val="002A02DA"/>
    <w:rsid w:val="002A1B55"/>
    <w:rsid w:val="002A2CBF"/>
    <w:rsid w:val="002A3983"/>
    <w:rsid w:val="002A39CE"/>
    <w:rsid w:val="002A3E2D"/>
    <w:rsid w:val="002A6D34"/>
    <w:rsid w:val="002A7516"/>
    <w:rsid w:val="002B0137"/>
    <w:rsid w:val="002B023D"/>
    <w:rsid w:val="002B0270"/>
    <w:rsid w:val="002B03C9"/>
    <w:rsid w:val="002B0C0F"/>
    <w:rsid w:val="002B17D5"/>
    <w:rsid w:val="002B1C0F"/>
    <w:rsid w:val="002B229C"/>
    <w:rsid w:val="002B38E9"/>
    <w:rsid w:val="002B39D6"/>
    <w:rsid w:val="002B3B4C"/>
    <w:rsid w:val="002B3FB2"/>
    <w:rsid w:val="002B43B5"/>
    <w:rsid w:val="002B511C"/>
    <w:rsid w:val="002B5276"/>
    <w:rsid w:val="002B548F"/>
    <w:rsid w:val="002B5D58"/>
    <w:rsid w:val="002B76A7"/>
    <w:rsid w:val="002B7CFF"/>
    <w:rsid w:val="002C06DA"/>
    <w:rsid w:val="002C13EE"/>
    <w:rsid w:val="002C16E4"/>
    <w:rsid w:val="002C1908"/>
    <w:rsid w:val="002C2097"/>
    <w:rsid w:val="002C240F"/>
    <w:rsid w:val="002C26FE"/>
    <w:rsid w:val="002C2976"/>
    <w:rsid w:val="002C29BA"/>
    <w:rsid w:val="002C34BA"/>
    <w:rsid w:val="002C455E"/>
    <w:rsid w:val="002C4B08"/>
    <w:rsid w:val="002C5AF2"/>
    <w:rsid w:val="002C6659"/>
    <w:rsid w:val="002C69B3"/>
    <w:rsid w:val="002D00DC"/>
    <w:rsid w:val="002D1092"/>
    <w:rsid w:val="002D1BF3"/>
    <w:rsid w:val="002D285C"/>
    <w:rsid w:val="002D33E9"/>
    <w:rsid w:val="002D3511"/>
    <w:rsid w:val="002D38E0"/>
    <w:rsid w:val="002D3935"/>
    <w:rsid w:val="002D39B5"/>
    <w:rsid w:val="002D3F73"/>
    <w:rsid w:val="002D4CAB"/>
    <w:rsid w:val="002D5A3D"/>
    <w:rsid w:val="002D605B"/>
    <w:rsid w:val="002D651B"/>
    <w:rsid w:val="002D67CA"/>
    <w:rsid w:val="002D6825"/>
    <w:rsid w:val="002D7FF8"/>
    <w:rsid w:val="002E0803"/>
    <w:rsid w:val="002E0FC5"/>
    <w:rsid w:val="002E1536"/>
    <w:rsid w:val="002E1E6D"/>
    <w:rsid w:val="002E294E"/>
    <w:rsid w:val="002E3788"/>
    <w:rsid w:val="002E4333"/>
    <w:rsid w:val="002E4892"/>
    <w:rsid w:val="002E5678"/>
    <w:rsid w:val="002E5BC9"/>
    <w:rsid w:val="002E5BFD"/>
    <w:rsid w:val="002E5E19"/>
    <w:rsid w:val="002E61EC"/>
    <w:rsid w:val="002E6F6F"/>
    <w:rsid w:val="002F020D"/>
    <w:rsid w:val="002F0DF0"/>
    <w:rsid w:val="002F12E4"/>
    <w:rsid w:val="002F2057"/>
    <w:rsid w:val="002F2506"/>
    <w:rsid w:val="002F2DBB"/>
    <w:rsid w:val="002F3BDF"/>
    <w:rsid w:val="002F49F2"/>
    <w:rsid w:val="002F5428"/>
    <w:rsid w:val="002F6E79"/>
    <w:rsid w:val="002F6F95"/>
    <w:rsid w:val="00301A39"/>
    <w:rsid w:val="00302D56"/>
    <w:rsid w:val="00302F60"/>
    <w:rsid w:val="003036F8"/>
    <w:rsid w:val="003040E2"/>
    <w:rsid w:val="00304289"/>
    <w:rsid w:val="003043F3"/>
    <w:rsid w:val="0030461A"/>
    <w:rsid w:val="00305636"/>
    <w:rsid w:val="00305EA5"/>
    <w:rsid w:val="0030640E"/>
    <w:rsid w:val="00306753"/>
    <w:rsid w:val="00306CDC"/>
    <w:rsid w:val="00307236"/>
    <w:rsid w:val="00307A37"/>
    <w:rsid w:val="00310662"/>
    <w:rsid w:val="00311D38"/>
    <w:rsid w:val="00312702"/>
    <w:rsid w:val="00312DBF"/>
    <w:rsid w:val="0031360E"/>
    <w:rsid w:val="003142CD"/>
    <w:rsid w:val="003146B5"/>
    <w:rsid w:val="00314F25"/>
    <w:rsid w:val="00315402"/>
    <w:rsid w:val="0031614A"/>
    <w:rsid w:val="00316E92"/>
    <w:rsid w:val="00317A68"/>
    <w:rsid w:val="00320C17"/>
    <w:rsid w:val="0032105A"/>
    <w:rsid w:val="0032172C"/>
    <w:rsid w:val="003221B8"/>
    <w:rsid w:val="00322D54"/>
    <w:rsid w:val="00322EE5"/>
    <w:rsid w:val="003232FF"/>
    <w:rsid w:val="003233C5"/>
    <w:rsid w:val="00323671"/>
    <w:rsid w:val="003240E1"/>
    <w:rsid w:val="00324114"/>
    <w:rsid w:val="00324B74"/>
    <w:rsid w:val="00326381"/>
    <w:rsid w:val="00326AF7"/>
    <w:rsid w:val="003271DF"/>
    <w:rsid w:val="00330543"/>
    <w:rsid w:val="003307D7"/>
    <w:rsid w:val="00331591"/>
    <w:rsid w:val="00331962"/>
    <w:rsid w:val="00331F1B"/>
    <w:rsid w:val="00333E61"/>
    <w:rsid w:val="0033477B"/>
    <w:rsid w:val="00334819"/>
    <w:rsid w:val="0033530E"/>
    <w:rsid w:val="003375C3"/>
    <w:rsid w:val="00337DBD"/>
    <w:rsid w:val="003406D8"/>
    <w:rsid w:val="00340850"/>
    <w:rsid w:val="00340A34"/>
    <w:rsid w:val="00340A99"/>
    <w:rsid w:val="00340BC3"/>
    <w:rsid w:val="00340E4E"/>
    <w:rsid w:val="00341C7A"/>
    <w:rsid w:val="00342349"/>
    <w:rsid w:val="00342EC5"/>
    <w:rsid w:val="003431F7"/>
    <w:rsid w:val="00343370"/>
    <w:rsid w:val="00343C70"/>
    <w:rsid w:val="00343CF4"/>
    <w:rsid w:val="00343EFD"/>
    <w:rsid w:val="0034489F"/>
    <w:rsid w:val="00344DF9"/>
    <w:rsid w:val="00344E80"/>
    <w:rsid w:val="003451A6"/>
    <w:rsid w:val="0034597E"/>
    <w:rsid w:val="003461CC"/>
    <w:rsid w:val="0034621B"/>
    <w:rsid w:val="003472A5"/>
    <w:rsid w:val="0034735B"/>
    <w:rsid w:val="00347765"/>
    <w:rsid w:val="00350645"/>
    <w:rsid w:val="00351A62"/>
    <w:rsid w:val="003527D3"/>
    <w:rsid w:val="003538DE"/>
    <w:rsid w:val="003540B2"/>
    <w:rsid w:val="003558C7"/>
    <w:rsid w:val="003561F6"/>
    <w:rsid w:val="003567FA"/>
    <w:rsid w:val="00356902"/>
    <w:rsid w:val="00357689"/>
    <w:rsid w:val="00360A82"/>
    <w:rsid w:val="003620D8"/>
    <w:rsid w:val="003625E6"/>
    <w:rsid w:val="00362F1F"/>
    <w:rsid w:val="00363142"/>
    <w:rsid w:val="0036356F"/>
    <w:rsid w:val="0036370D"/>
    <w:rsid w:val="0036392E"/>
    <w:rsid w:val="00363FC1"/>
    <w:rsid w:val="00364F6E"/>
    <w:rsid w:val="00365705"/>
    <w:rsid w:val="00366798"/>
    <w:rsid w:val="00366902"/>
    <w:rsid w:val="00366D45"/>
    <w:rsid w:val="00366F88"/>
    <w:rsid w:val="00367CAD"/>
    <w:rsid w:val="00370AD1"/>
    <w:rsid w:val="00371335"/>
    <w:rsid w:val="00371999"/>
    <w:rsid w:val="00372368"/>
    <w:rsid w:val="00372612"/>
    <w:rsid w:val="0037271E"/>
    <w:rsid w:val="003728F2"/>
    <w:rsid w:val="0037328D"/>
    <w:rsid w:val="00373AA9"/>
    <w:rsid w:val="00374C87"/>
    <w:rsid w:val="003752F9"/>
    <w:rsid w:val="00375981"/>
    <w:rsid w:val="00375EBF"/>
    <w:rsid w:val="0037615B"/>
    <w:rsid w:val="003763B8"/>
    <w:rsid w:val="0037640A"/>
    <w:rsid w:val="00376BE4"/>
    <w:rsid w:val="00376E4B"/>
    <w:rsid w:val="00377798"/>
    <w:rsid w:val="003778FD"/>
    <w:rsid w:val="00377BBE"/>
    <w:rsid w:val="003800D0"/>
    <w:rsid w:val="00380A86"/>
    <w:rsid w:val="00380B1B"/>
    <w:rsid w:val="00380F16"/>
    <w:rsid w:val="0038199E"/>
    <w:rsid w:val="00382714"/>
    <w:rsid w:val="0038335E"/>
    <w:rsid w:val="00383D3E"/>
    <w:rsid w:val="00383E8C"/>
    <w:rsid w:val="0038444A"/>
    <w:rsid w:val="00384A07"/>
    <w:rsid w:val="0038529A"/>
    <w:rsid w:val="0038569B"/>
    <w:rsid w:val="003856F6"/>
    <w:rsid w:val="0038638F"/>
    <w:rsid w:val="003874B8"/>
    <w:rsid w:val="00390EFD"/>
    <w:rsid w:val="00391BCB"/>
    <w:rsid w:val="00391E1A"/>
    <w:rsid w:val="0039232D"/>
    <w:rsid w:val="00393C17"/>
    <w:rsid w:val="00393F74"/>
    <w:rsid w:val="00394165"/>
    <w:rsid w:val="0039438F"/>
    <w:rsid w:val="00394801"/>
    <w:rsid w:val="0039540E"/>
    <w:rsid w:val="00395833"/>
    <w:rsid w:val="00395AFD"/>
    <w:rsid w:val="00397619"/>
    <w:rsid w:val="00397F2E"/>
    <w:rsid w:val="003A0726"/>
    <w:rsid w:val="003A0D20"/>
    <w:rsid w:val="003A0F62"/>
    <w:rsid w:val="003A1B16"/>
    <w:rsid w:val="003A3A54"/>
    <w:rsid w:val="003A3A90"/>
    <w:rsid w:val="003A4098"/>
    <w:rsid w:val="003A43DB"/>
    <w:rsid w:val="003A4CE1"/>
    <w:rsid w:val="003A55BF"/>
    <w:rsid w:val="003A5AD6"/>
    <w:rsid w:val="003A5C88"/>
    <w:rsid w:val="003A72CD"/>
    <w:rsid w:val="003A7F7E"/>
    <w:rsid w:val="003B044D"/>
    <w:rsid w:val="003B0AB5"/>
    <w:rsid w:val="003B12BE"/>
    <w:rsid w:val="003B2810"/>
    <w:rsid w:val="003B2BC7"/>
    <w:rsid w:val="003B2E40"/>
    <w:rsid w:val="003B34BC"/>
    <w:rsid w:val="003B399F"/>
    <w:rsid w:val="003B3BD7"/>
    <w:rsid w:val="003B4490"/>
    <w:rsid w:val="003B470C"/>
    <w:rsid w:val="003B6444"/>
    <w:rsid w:val="003B737F"/>
    <w:rsid w:val="003B75D9"/>
    <w:rsid w:val="003B7FCA"/>
    <w:rsid w:val="003C0116"/>
    <w:rsid w:val="003C01A4"/>
    <w:rsid w:val="003C06D5"/>
    <w:rsid w:val="003C0FD8"/>
    <w:rsid w:val="003C13B1"/>
    <w:rsid w:val="003C1917"/>
    <w:rsid w:val="003C1F61"/>
    <w:rsid w:val="003C1F9D"/>
    <w:rsid w:val="003C2792"/>
    <w:rsid w:val="003C34F0"/>
    <w:rsid w:val="003C358D"/>
    <w:rsid w:val="003C4177"/>
    <w:rsid w:val="003C484D"/>
    <w:rsid w:val="003C5A31"/>
    <w:rsid w:val="003C5DB5"/>
    <w:rsid w:val="003C7582"/>
    <w:rsid w:val="003C76DA"/>
    <w:rsid w:val="003D04AC"/>
    <w:rsid w:val="003D09E5"/>
    <w:rsid w:val="003D237A"/>
    <w:rsid w:val="003D2964"/>
    <w:rsid w:val="003D2C07"/>
    <w:rsid w:val="003D3A69"/>
    <w:rsid w:val="003D413E"/>
    <w:rsid w:val="003D4EAA"/>
    <w:rsid w:val="003D5D6A"/>
    <w:rsid w:val="003D601E"/>
    <w:rsid w:val="003D6950"/>
    <w:rsid w:val="003D6976"/>
    <w:rsid w:val="003D7546"/>
    <w:rsid w:val="003E01C1"/>
    <w:rsid w:val="003E069B"/>
    <w:rsid w:val="003E0CC5"/>
    <w:rsid w:val="003E0EC8"/>
    <w:rsid w:val="003E113F"/>
    <w:rsid w:val="003E2051"/>
    <w:rsid w:val="003E25BE"/>
    <w:rsid w:val="003E2B70"/>
    <w:rsid w:val="003E3A22"/>
    <w:rsid w:val="003E3CE1"/>
    <w:rsid w:val="003E49FD"/>
    <w:rsid w:val="003E5D04"/>
    <w:rsid w:val="003E73CA"/>
    <w:rsid w:val="003E76C1"/>
    <w:rsid w:val="003E7726"/>
    <w:rsid w:val="003E7CCE"/>
    <w:rsid w:val="003E7F70"/>
    <w:rsid w:val="003F03FF"/>
    <w:rsid w:val="003F0D74"/>
    <w:rsid w:val="003F1529"/>
    <w:rsid w:val="003F1541"/>
    <w:rsid w:val="003F2198"/>
    <w:rsid w:val="003F3474"/>
    <w:rsid w:val="003F35D3"/>
    <w:rsid w:val="003F3DAC"/>
    <w:rsid w:val="003F4A66"/>
    <w:rsid w:val="003F5D03"/>
    <w:rsid w:val="003F5D0C"/>
    <w:rsid w:val="003F6182"/>
    <w:rsid w:val="003F67C4"/>
    <w:rsid w:val="003F7CC4"/>
    <w:rsid w:val="004024B8"/>
    <w:rsid w:val="004028E1"/>
    <w:rsid w:val="00403C43"/>
    <w:rsid w:val="00404A2B"/>
    <w:rsid w:val="00404B22"/>
    <w:rsid w:val="004051FB"/>
    <w:rsid w:val="004064E3"/>
    <w:rsid w:val="00406534"/>
    <w:rsid w:val="00406A33"/>
    <w:rsid w:val="00406A38"/>
    <w:rsid w:val="004071AC"/>
    <w:rsid w:val="0041130F"/>
    <w:rsid w:val="00411B42"/>
    <w:rsid w:val="0041298B"/>
    <w:rsid w:val="004129F1"/>
    <w:rsid w:val="00413736"/>
    <w:rsid w:val="004138CF"/>
    <w:rsid w:val="00413E06"/>
    <w:rsid w:val="00413FB5"/>
    <w:rsid w:val="00414D92"/>
    <w:rsid w:val="00415F0B"/>
    <w:rsid w:val="004166B0"/>
    <w:rsid w:val="0041742C"/>
    <w:rsid w:val="004207CE"/>
    <w:rsid w:val="00420FF3"/>
    <w:rsid w:val="0042108F"/>
    <w:rsid w:val="004214F4"/>
    <w:rsid w:val="004219CC"/>
    <w:rsid w:val="00421DC2"/>
    <w:rsid w:val="004220AE"/>
    <w:rsid w:val="0042257D"/>
    <w:rsid w:val="00422C68"/>
    <w:rsid w:val="00422E0A"/>
    <w:rsid w:val="00424BAE"/>
    <w:rsid w:val="004255CA"/>
    <w:rsid w:val="00425E34"/>
    <w:rsid w:val="00426089"/>
    <w:rsid w:val="00427D0D"/>
    <w:rsid w:val="00427E48"/>
    <w:rsid w:val="0043156C"/>
    <w:rsid w:val="00432697"/>
    <w:rsid w:val="004329F1"/>
    <w:rsid w:val="00432E21"/>
    <w:rsid w:val="00433077"/>
    <w:rsid w:val="004335E5"/>
    <w:rsid w:val="0043395E"/>
    <w:rsid w:val="00434FD1"/>
    <w:rsid w:val="00436AFA"/>
    <w:rsid w:val="00437260"/>
    <w:rsid w:val="00440314"/>
    <w:rsid w:val="00440905"/>
    <w:rsid w:val="00440AA0"/>
    <w:rsid w:val="0044259F"/>
    <w:rsid w:val="00443AAD"/>
    <w:rsid w:val="00443B91"/>
    <w:rsid w:val="00443CDB"/>
    <w:rsid w:val="0044450F"/>
    <w:rsid w:val="00444514"/>
    <w:rsid w:val="004446C0"/>
    <w:rsid w:val="00444E2E"/>
    <w:rsid w:val="00445E1F"/>
    <w:rsid w:val="00446492"/>
    <w:rsid w:val="00446D64"/>
    <w:rsid w:val="00446F68"/>
    <w:rsid w:val="00447438"/>
    <w:rsid w:val="004474EF"/>
    <w:rsid w:val="00447DC3"/>
    <w:rsid w:val="00447ECD"/>
    <w:rsid w:val="00450632"/>
    <w:rsid w:val="00450880"/>
    <w:rsid w:val="0045131F"/>
    <w:rsid w:val="00452A65"/>
    <w:rsid w:val="0045385C"/>
    <w:rsid w:val="00453B39"/>
    <w:rsid w:val="00453CF1"/>
    <w:rsid w:val="00453E7E"/>
    <w:rsid w:val="00454811"/>
    <w:rsid w:val="00454CA4"/>
    <w:rsid w:val="004550A3"/>
    <w:rsid w:val="0045562D"/>
    <w:rsid w:val="0045609B"/>
    <w:rsid w:val="0045647F"/>
    <w:rsid w:val="004569E1"/>
    <w:rsid w:val="00456BA7"/>
    <w:rsid w:val="00456C31"/>
    <w:rsid w:val="00456CF5"/>
    <w:rsid w:val="0045777F"/>
    <w:rsid w:val="00457D7A"/>
    <w:rsid w:val="00457DFD"/>
    <w:rsid w:val="00460239"/>
    <w:rsid w:val="00460369"/>
    <w:rsid w:val="004608AB"/>
    <w:rsid w:val="00461095"/>
    <w:rsid w:val="004610DC"/>
    <w:rsid w:val="00461EF9"/>
    <w:rsid w:val="0046322C"/>
    <w:rsid w:val="00463235"/>
    <w:rsid w:val="00463A8A"/>
    <w:rsid w:val="00463F08"/>
    <w:rsid w:val="004647AE"/>
    <w:rsid w:val="00464C65"/>
    <w:rsid w:val="0046507B"/>
    <w:rsid w:val="00465604"/>
    <w:rsid w:val="00465DB4"/>
    <w:rsid w:val="00465E50"/>
    <w:rsid w:val="00465EFC"/>
    <w:rsid w:val="004661F2"/>
    <w:rsid w:val="0046754D"/>
    <w:rsid w:val="0047016E"/>
    <w:rsid w:val="00471E2B"/>
    <w:rsid w:val="00472FE9"/>
    <w:rsid w:val="00473665"/>
    <w:rsid w:val="0047374D"/>
    <w:rsid w:val="00473EDD"/>
    <w:rsid w:val="00474692"/>
    <w:rsid w:val="00474942"/>
    <w:rsid w:val="00474D02"/>
    <w:rsid w:val="004757C4"/>
    <w:rsid w:val="004760DA"/>
    <w:rsid w:val="00476358"/>
    <w:rsid w:val="0047687E"/>
    <w:rsid w:val="00480238"/>
    <w:rsid w:val="00480355"/>
    <w:rsid w:val="00480477"/>
    <w:rsid w:val="004811AE"/>
    <w:rsid w:val="004815BA"/>
    <w:rsid w:val="00481767"/>
    <w:rsid w:val="00481D77"/>
    <w:rsid w:val="00481F51"/>
    <w:rsid w:val="004820DF"/>
    <w:rsid w:val="004830E8"/>
    <w:rsid w:val="00483259"/>
    <w:rsid w:val="00483C2C"/>
    <w:rsid w:val="00483E6A"/>
    <w:rsid w:val="00483EF0"/>
    <w:rsid w:val="00484845"/>
    <w:rsid w:val="004849D9"/>
    <w:rsid w:val="004850F7"/>
    <w:rsid w:val="00486795"/>
    <w:rsid w:val="004867E2"/>
    <w:rsid w:val="00486DF3"/>
    <w:rsid w:val="004872DA"/>
    <w:rsid w:val="00487793"/>
    <w:rsid w:val="0048790F"/>
    <w:rsid w:val="00487E77"/>
    <w:rsid w:val="00487EC4"/>
    <w:rsid w:val="00490DD0"/>
    <w:rsid w:val="00490F20"/>
    <w:rsid w:val="00491519"/>
    <w:rsid w:val="00491B86"/>
    <w:rsid w:val="00491E71"/>
    <w:rsid w:val="00492499"/>
    <w:rsid w:val="004934D6"/>
    <w:rsid w:val="0049389D"/>
    <w:rsid w:val="00493A29"/>
    <w:rsid w:val="00494074"/>
    <w:rsid w:val="004944EA"/>
    <w:rsid w:val="0049461A"/>
    <w:rsid w:val="00494BFA"/>
    <w:rsid w:val="0049517B"/>
    <w:rsid w:val="00495E7A"/>
    <w:rsid w:val="0049775B"/>
    <w:rsid w:val="00497D54"/>
    <w:rsid w:val="004A0591"/>
    <w:rsid w:val="004A170C"/>
    <w:rsid w:val="004A28D8"/>
    <w:rsid w:val="004A3954"/>
    <w:rsid w:val="004A40EF"/>
    <w:rsid w:val="004A4B2D"/>
    <w:rsid w:val="004A568B"/>
    <w:rsid w:val="004A5796"/>
    <w:rsid w:val="004A5A26"/>
    <w:rsid w:val="004A5AF1"/>
    <w:rsid w:val="004A682C"/>
    <w:rsid w:val="004A75A9"/>
    <w:rsid w:val="004A7CFF"/>
    <w:rsid w:val="004B0295"/>
    <w:rsid w:val="004B0629"/>
    <w:rsid w:val="004B2550"/>
    <w:rsid w:val="004B2B93"/>
    <w:rsid w:val="004B2D25"/>
    <w:rsid w:val="004B2EA5"/>
    <w:rsid w:val="004B30BF"/>
    <w:rsid w:val="004B4A76"/>
    <w:rsid w:val="004B4C27"/>
    <w:rsid w:val="004B5084"/>
    <w:rsid w:val="004B5D17"/>
    <w:rsid w:val="004B674F"/>
    <w:rsid w:val="004B6A21"/>
    <w:rsid w:val="004B6B79"/>
    <w:rsid w:val="004B7822"/>
    <w:rsid w:val="004C01D4"/>
    <w:rsid w:val="004C0E49"/>
    <w:rsid w:val="004C1554"/>
    <w:rsid w:val="004C1A24"/>
    <w:rsid w:val="004C2147"/>
    <w:rsid w:val="004C24B0"/>
    <w:rsid w:val="004C2975"/>
    <w:rsid w:val="004C2CD9"/>
    <w:rsid w:val="004C366F"/>
    <w:rsid w:val="004C599B"/>
    <w:rsid w:val="004C6397"/>
    <w:rsid w:val="004C657C"/>
    <w:rsid w:val="004C65B9"/>
    <w:rsid w:val="004C667F"/>
    <w:rsid w:val="004C6690"/>
    <w:rsid w:val="004C68BF"/>
    <w:rsid w:val="004C729C"/>
    <w:rsid w:val="004D06A5"/>
    <w:rsid w:val="004D0780"/>
    <w:rsid w:val="004D1312"/>
    <w:rsid w:val="004D15D1"/>
    <w:rsid w:val="004D2240"/>
    <w:rsid w:val="004D34AF"/>
    <w:rsid w:val="004D377A"/>
    <w:rsid w:val="004D512D"/>
    <w:rsid w:val="004D5311"/>
    <w:rsid w:val="004D5F59"/>
    <w:rsid w:val="004D6D06"/>
    <w:rsid w:val="004D7214"/>
    <w:rsid w:val="004E0453"/>
    <w:rsid w:val="004E0C93"/>
    <w:rsid w:val="004E0CA9"/>
    <w:rsid w:val="004E1657"/>
    <w:rsid w:val="004E16E0"/>
    <w:rsid w:val="004E1924"/>
    <w:rsid w:val="004E19E5"/>
    <w:rsid w:val="004E1A2C"/>
    <w:rsid w:val="004E1EF8"/>
    <w:rsid w:val="004E2AC0"/>
    <w:rsid w:val="004E2E59"/>
    <w:rsid w:val="004E35CD"/>
    <w:rsid w:val="004E3643"/>
    <w:rsid w:val="004E44C7"/>
    <w:rsid w:val="004E4598"/>
    <w:rsid w:val="004E462D"/>
    <w:rsid w:val="004E49DD"/>
    <w:rsid w:val="004E4C46"/>
    <w:rsid w:val="004E518B"/>
    <w:rsid w:val="004E521E"/>
    <w:rsid w:val="004E5438"/>
    <w:rsid w:val="004E55A6"/>
    <w:rsid w:val="004E5718"/>
    <w:rsid w:val="004E61FF"/>
    <w:rsid w:val="004E6502"/>
    <w:rsid w:val="004E6717"/>
    <w:rsid w:val="004E6AB9"/>
    <w:rsid w:val="004E7BFC"/>
    <w:rsid w:val="004F0180"/>
    <w:rsid w:val="004F03B4"/>
    <w:rsid w:val="004F0541"/>
    <w:rsid w:val="004F09C5"/>
    <w:rsid w:val="004F19DB"/>
    <w:rsid w:val="004F24EC"/>
    <w:rsid w:val="004F27B6"/>
    <w:rsid w:val="004F2B6B"/>
    <w:rsid w:val="004F38AB"/>
    <w:rsid w:val="004F3B63"/>
    <w:rsid w:val="004F3CD1"/>
    <w:rsid w:val="004F4195"/>
    <w:rsid w:val="004F47A5"/>
    <w:rsid w:val="004F48A0"/>
    <w:rsid w:val="004F4EE2"/>
    <w:rsid w:val="004F57C9"/>
    <w:rsid w:val="004F581B"/>
    <w:rsid w:val="004F652C"/>
    <w:rsid w:val="004F65A4"/>
    <w:rsid w:val="004F66A4"/>
    <w:rsid w:val="004F688A"/>
    <w:rsid w:val="004F6AA3"/>
    <w:rsid w:val="004F770C"/>
    <w:rsid w:val="00502070"/>
    <w:rsid w:val="00502091"/>
    <w:rsid w:val="005026F3"/>
    <w:rsid w:val="00503440"/>
    <w:rsid w:val="0050363C"/>
    <w:rsid w:val="00503EB4"/>
    <w:rsid w:val="00504708"/>
    <w:rsid w:val="00504786"/>
    <w:rsid w:val="00504CE0"/>
    <w:rsid w:val="0050546F"/>
    <w:rsid w:val="00506B5A"/>
    <w:rsid w:val="00510214"/>
    <w:rsid w:val="00510541"/>
    <w:rsid w:val="0051085E"/>
    <w:rsid w:val="0051193F"/>
    <w:rsid w:val="00511A4D"/>
    <w:rsid w:val="00511D2B"/>
    <w:rsid w:val="005128A0"/>
    <w:rsid w:val="005132B9"/>
    <w:rsid w:val="0051371B"/>
    <w:rsid w:val="00515BFB"/>
    <w:rsid w:val="0051665F"/>
    <w:rsid w:val="0051700E"/>
    <w:rsid w:val="00520966"/>
    <w:rsid w:val="00520C6E"/>
    <w:rsid w:val="00521AB1"/>
    <w:rsid w:val="005226C0"/>
    <w:rsid w:val="0052282B"/>
    <w:rsid w:val="00522C53"/>
    <w:rsid w:val="00523E4A"/>
    <w:rsid w:val="0052422B"/>
    <w:rsid w:val="00525264"/>
    <w:rsid w:val="00525310"/>
    <w:rsid w:val="0052561A"/>
    <w:rsid w:val="00525BD0"/>
    <w:rsid w:val="00525FDC"/>
    <w:rsid w:val="00526BA4"/>
    <w:rsid w:val="00527F38"/>
    <w:rsid w:val="00530D0E"/>
    <w:rsid w:val="0053289B"/>
    <w:rsid w:val="005329E4"/>
    <w:rsid w:val="00532A41"/>
    <w:rsid w:val="00532D41"/>
    <w:rsid w:val="00532E42"/>
    <w:rsid w:val="00533F0C"/>
    <w:rsid w:val="005352DF"/>
    <w:rsid w:val="00535625"/>
    <w:rsid w:val="00535A94"/>
    <w:rsid w:val="00536073"/>
    <w:rsid w:val="00536224"/>
    <w:rsid w:val="00537593"/>
    <w:rsid w:val="005378F1"/>
    <w:rsid w:val="00537DE4"/>
    <w:rsid w:val="00537EA3"/>
    <w:rsid w:val="0054078F"/>
    <w:rsid w:val="005410E5"/>
    <w:rsid w:val="00541854"/>
    <w:rsid w:val="00542E83"/>
    <w:rsid w:val="005440C6"/>
    <w:rsid w:val="00544E7A"/>
    <w:rsid w:val="005458E7"/>
    <w:rsid w:val="00545AA3"/>
    <w:rsid w:val="00545BA8"/>
    <w:rsid w:val="00545BEE"/>
    <w:rsid w:val="00545F37"/>
    <w:rsid w:val="005462E1"/>
    <w:rsid w:val="00546FB7"/>
    <w:rsid w:val="0054705A"/>
    <w:rsid w:val="0054721A"/>
    <w:rsid w:val="00547452"/>
    <w:rsid w:val="0054784A"/>
    <w:rsid w:val="00547CC9"/>
    <w:rsid w:val="00550C09"/>
    <w:rsid w:val="00551310"/>
    <w:rsid w:val="00551579"/>
    <w:rsid w:val="005518A9"/>
    <w:rsid w:val="00551B5F"/>
    <w:rsid w:val="00551D33"/>
    <w:rsid w:val="00551DED"/>
    <w:rsid w:val="00552836"/>
    <w:rsid w:val="005529F2"/>
    <w:rsid w:val="005535CA"/>
    <w:rsid w:val="00553705"/>
    <w:rsid w:val="0055392D"/>
    <w:rsid w:val="00554620"/>
    <w:rsid w:val="005547C9"/>
    <w:rsid w:val="00554EAF"/>
    <w:rsid w:val="00555495"/>
    <w:rsid w:val="00555ADB"/>
    <w:rsid w:val="00555BE8"/>
    <w:rsid w:val="0055665B"/>
    <w:rsid w:val="00557EFC"/>
    <w:rsid w:val="00557F40"/>
    <w:rsid w:val="00557FA6"/>
    <w:rsid w:val="00561E4F"/>
    <w:rsid w:val="00562523"/>
    <w:rsid w:val="005635D7"/>
    <w:rsid w:val="0056434E"/>
    <w:rsid w:val="00564AC7"/>
    <w:rsid w:val="005655BD"/>
    <w:rsid w:val="00566C33"/>
    <w:rsid w:val="005671F2"/>
    <w:rsid w:val="005673C4"/>
    <w:rsid w:val="0056753A"/>
    <w:rsid w:val="005701A5"/>
    <w:rsid w:val="00570ABA"/>
    <w:rsid w:val="00570E2B"/>
    <w:rsid w:val="005717F6"/>
    <w:rsid w:val="00571918"/>
    <w:rsid w:val="00571DA8"/>
    <w:rsid w:val="005722B3"/>
    <w:rsid w:val="005724F8"/>
    <w:rsid w:val="005729EE"/>
    <w:rsid w:val="00573CAE"/>
    <w:rsid w:val="00574622"/>
    <w:rsid w:val="005748C8"/>
    <w:rsid w:val="00574AB9"/>
    <w:rsid w:val="00574E59"/>
    <w:rsid w:val="00575C70"/>
    <w:rsid w:val="00576C4D"/>
    <w:rsid w:val="005774E5"/>
    <w:rsid w:val="0058064A"/>
    <w:rsid w:val="00580BE4"/>
    <w:rsid w:val="00580C01"/>
    <w:rsid w:val="005810C7"/>
    <w:rsid w:val="00581576"/>
    <w:rsid w:val="00581854"/>
    <w:rsid w:val="00582570"/>
    <w:rsid w:val="00583180"/>
    <w:rsid w:val="005831C7"/>
    <w:rsid w:val="005843D2"/>
    <w:rsid w:val="00584F3E"/>
    <w:rsid w:val="005866B1"/>
    <w:rsid w:val="00586A06"/>
    <w:rsid w:val="00586DE1"/>
    <w:rsid w:val="005872DF"/>
    <w:rsid w:val="00587454"/>
    <w:rsid w:val="00587A3E"/>
    <w:rsid w:val="00587D78"/>
    <w:rsid w:val="00587EA6"/>
    <w:rsid w:val="00591FF1"/>
    <w:rsid w:val="005924A4"/>
    <w:rsid w:val="0059340C"/>
    <w:rsid w:val="00593B5E"/>
    <w:rsid w:val="00593BDE"/>
    <w:rsid w:val="005944C1"/>
    <w:rsid w:val="005949B6"/>
    <w:rsid w:val="00594DB0"/>
    <w:rsid w:val="00595035"/>
    <w:rsid w:val="0059541F"/>
    <w:rsid w:val="00595FA3"/>
    <w:rsid w:val="00596A35"/>
    <w:rsid w:val="00596B0D"/>
    <w:rsid w:val="00596E07"/>
    <w:rsid w:val="00597520"/>
    <w:rsid w:val="00597AB1"/>
    <w:rsid w:val="005A0619"/>
    <w:rsid w:val="005A06EF"/>
    <w:rsid w:val="005A0BD8"/>
    <w:rsid w:val="005A1997"/>
    <w:rsid w:val="005A199D"/>
    <w:rsid w:val="005A1E65"/>
    <w:rsid w:val="005A2A3D"/>
    <w:rsid w:val="005A3918"/>
    <w:rsid w:val="005A3EE1"/>
    <w:rsid w:val="005A4104"/>
    <w:rsid w:val="005A42E5"/>
    <w:rsid w:val="005A4AE0"/>
    <w:rsid w:val="005A57C7"/>
    <w:rsid w:val="005A5B37"/>
    <w:rsid w:val="005A5C2D"/>
    <w:rsid w:val="005A5EFF"/>
    <w:rsid w:val="005A639D"/>
    <w:rsid w:val="005A7722"/>
    <w:rsid w:val="005A7DDB"/>
    <w:rsid w:val="005B0037"/>
    <w:rsid w:val="005B081B"/>
    <w:rsid w:val="005B1A44"/>
    <w:rsid w:val="005B1E93"/>
    <w:rsid w:val="005B29C3"/>
    <w:rsid w:val="005B3E78"/>
    <w:rsid w:val="005B6471"/>
    <w:rsid w:val="005B6F66"/>
    <w:rsid w:val="005B7015"/>
    <w:rsid w:val="005B770B"/>
    <w:rsid w:val="005B79EC"/>
    <w:rsid w:val="005C0676"/>
    <w:rsid w:val="005C1D53"/>
    <w:rsid w:val="005C2E1E"/>
    <w:rsid w:val="005C2E3C"/>
    <w:rsid w:val="005C30A2"/>
    <w:rsid w:val="005C3EAE"/>
    <w:rsid w:val="005C614F"/>
    <w:rsid w:val="005C6253"/>
    <w:rsid w:val="005C69B8"/>
    <w:rsid w:val="005C7ED9"/>
    <w:rsid w:val="005C7F18"/>
    <w:rsid w:val="005D049B"/>
    <w:rsid w:val="005D06A9"/>
    <w:rsid w:val="005D18A0"/>
    <w:rsid w:val="005D1BBA"/>
    <w:rsid w:val="005D3287"/>
    <w:rsid w:val="005D35A2"/>
    <w:rsid w:val="005D4C1F"/>
    <w:rsid w:val="005D4FA1"/>
    <w:rsid w:val="005D5171"/>
    <w:rsid w:val="005D51C4"/>
    <w:rsid w:val="005D526A"/>
    <w:rsid w:val="005D5C36"/>
    <w:rsid w:val="005D6AD3"/>
    <w:rsid w:val="005D74CE"/>
    <w:rsid w:val="005D7695"/>
    <w:rsid w:val="005D7C2D"/>
    <w:rsid w:val="005D7D08"/>
    <w:rsid w:val="005E0359"/>
    <w:rsid w:val="005E07E2"/>
    <w:rsid w:val="005E0EB9"/>
    <w:rsid w:val="005E133A"/>
    <w:rsid w:val="005E1B51"/>
    <w:rsid w:val="005E27E5"/>
    <w:rsid w:val="005E29CA"/>
    <w:rsid w:val="005E3066"/>
    <w:rsid w:val="005E313D"/>
    <w:rsid w:val="005E3491"/>
    <w:rsid w:val="005E3AE7"/>
    <w:rsid w:val="005E40C9"/>
    <w:rsid w:val="005E4292"/>
    <w:rsid w:val="005E4503"/>
    <w:rsid w:val="005E4A72"/>
    <w:rsid w:val="005E5E6C"/>
    <w:rsid w:val="005E6467"/>
    <w:rsid w:val="005E6784"/>
    <w:rsid w:val="005E6A64"/>
    <w:rsid w:val="005E6C55"/>
    <w:rsid w:val="005E7222"/>
    <w:rsid w:val="005E7704"/>
    <w:rsid w:val="005E7C2F"/>
    <w:rsid w:val="005E7D2D"/>
    <w:rsid w:val="005F0C0A"/>
    <w:rsid w:val="005F1060"/>
    <w:rsid w:val="005F11D2"/>
    <w:rsid w:val="005F16C6"/>
    <w:rsid w:val="005F2192"/>
    <w:rsid w:val="005F2410"/>
    <w:rsid w:val="005F321D"/>
    <w:rsid w:val="005F391B"/>
    <w:rsid w:val="005F39FF"/>
    <w:rsid w:val="005F4341"/>
    <w:rsid w:val="005F4647"/>
    <w:rsid w:val="005F4766"/>
    <w:rsid w:val="005F4C71"/>
    <w:rsid w:val="005F5328"/>
    <w:rsid w:val="005F5812"/>
    <w:rsid w:val="005F62E3"/>
    <w:rsid w:val="005F66C7"/>
    <w:rsid w:val="005F672E"/>
    <w:rsid w:val="005F7C1F"/>
    <w:rsid w:val="005F7C2A"/>
    <w:rsid w:val="005F7D36"/>
    <w:rsid w:val="005F7E38"/>
    <w:rsid w:val="005F7EBF"/>
    <w:rsid w:val="0060151F"/>
    <w:rsid w:val="0060182D"/>
    <w:rsid w:val="00601B58"/>
    <w:rsid w:val="00601D1B"/>
    <w:rsid w:val="00602C42"/>
    <w:rsid w:val="00603064"/>
    <w:rsid w:val="00603298"/>
    <w:rsid w:val="006035CB"/>
    <w:rsid w:val="006046B0"/>
    <w:rsid w:val="00604B06"/>
    <w:rsid w:val="00604B5B"/>
    <w:rsid w:val="00604E85"/>
    <w:rsid w:val="006051D1"/>
    <w:rsid w:val="00605E50"/>
    <w:rsid w:val="006077FF"/>
    <w:rsid w:val="0061043A"/>
    <w:rsid w:val="00610B3E"/>
    <w:rsid w:val="0061108E"/>
    <w:rsid w:val="00611564"/>
    <w:rsid w:val="006124C4"/>
    <w:rsid w:val="00613195"/>
    <w:rsid w:val="006136A0"/>
    <w:rsid w:val="00614833"/>
    <w:rsid w:val="0061507D"/>
    <w:rsid w:val="00620337"/>
    <w:rsid w:val="006207CC"/>
    <w:rsid w:val="006211A6"/>
    <w:rsid w:val="00621497"/>
    <w:rsid w:val="00621B40"/>
    <w:rsid w:val="00621D16"/>
    <w:rsid w:val="00621DB1"/>
    <w:rsid w:val="006229DF"/>
    <w:rsid w:val="00622A59"/>
    <w:rsid w:val="00622AE4"/>
    <w:rsid w:val="0062301E"/>
    <w:rsid w:val="00623FC5"/>
    <w:rsid w:val="006240E7"/>
    <w:rsid w:val="006243C4"/>
    <w:rsid w:val="006243EC"/>
    <w:rsid w:val="00624C5F"/>
    <w:rsid w:val="00625304"/>
    <w:rsid w:val="0062577B"/>
    <w:rsid w:val="00626993"/>
    <w:rsid w:val="00626F3F"/>
    <w:rsid w:val="0062700D"/>
    <w:rsid w:val="00627721"/>
    <w:rsid w:val="00627E81"/>
    <w:rsid w:val="0063001B"/>
    <w:rsid w:val="00631813"/>
    <w:rsid w:val="00631FF9"/>
    <w:rsid w:val="00632A54"/>
    <w:rsid w:val="00632D72"/>
    <w:rsid w:val="006332B2"/>
    <w:rsid w:val="006338D0"/>
    <w:rsid w:val="00633A04"/>
    <w:rsid w:val="006341DB"/>
    <w:rsid w:val="006348D0"/>
    <w:rsid w:val="00634EA4"/>
    <w:rsid w:val="00634FEF"/>
    <w:rsid w:val="006357A2"/>
    <w:rsid w:val="0063646B"/>
    <w:rsid w:val="00636B40"/>
    <w:rsid w:val="00636BAC"/>
    <w:rsid w:val="0063700B"/>
    <w:rsid w:val="006374A1"/>
    <w:rsid w:val="006377D5"/>
    <w:rsid w:val="00637978"/>
    <w:rsid w:val="00640E6A"/>
    <w:rsid w:val="0064197B"/>
    <w:rsid w:val="006423EF"/>
    <w:rsid w:val="00642E32"/>
    <w:rsid w:val="0064474F"/>
    <w:rsid w:val="00645373"/>
    <w:rsid w:val="00645382"/>
    <w:rsid w:val="00645712"/>
    <w:rsid w:val="00645C35"/>
    <w:rsid w:val="00645E00"/>
    <w:rsid w:val="00645E25"/>
    <w:rsid w:val="0064679C"/>
    <w:rsid w:val="00646BF3"/>
    <w:rsid w:val="00646F56"/>
    <w:rsid w:val="00647265"/>
    <w:rsid w:val="00650DFE"/>
    <w:rsid w:val="006515BF"/>
    <w:rsid w:val="006523AF"/>
    <w:rsid w:val="00652E0E"/>
    <w:rsid w:val="00652E27"/>
    <w:rsid w:val="00653482"/>
    <w:rsid w:val="00653CC6"/>
    <w:rsid w:val="006542AA"/>
    <w:rsid w:val="00656C98"/>
    <w:rsid w:val="00656EB5"/>
    <w:rsid w:val="00657139"/>
    <w:rsid w:val="00657301"/>
    <w:rsid w:val="0065756B"/>
    <w:rsid w:val="00657AE3"/>
    <w:rsid w:val="00660340"/>
    <w:rsid w:val="0066037E"/>
    <w:rsid w:val="00660533"/>
    <w:rsid w:val="00660CE9"/>
    <w:rsid w:val="006625BA"/>
    <w:rsid w:val="00662E61"/>
    <w:rsid w:val="0066591B"/>
    <w:rsid w:val="00666092"/>
    <w:rsid w:val="006662D4"/>
    <w:rsid w:val="00666762"/>
    <w:rsid w:val="006669D7"/>
    <w:rsid w:val="00670512"/>
    <w:rsid w:val="00670D08"/>
    <w:rsid w:val="006710F1"/>
    <w:rsid w:val="00671959"/>
    <w:rsid w:val="006728CF"/>
    <w:rsid w:val="006733CD"/>
    <w:rsid w:val="00673AF7"/>
    <w:rsid w:val="00673FC4"/>
    <w:rsid w:val="0067406F"/>
    <w:rsid w:val="00674284"/>
    <w:rsid w:val="0067453E"/>
    <w:rsid w:val="0067493E"/>
    <w:rsid w:val="0067535C"/>
    <w:rsid w:val="006760F1"/>
    <w:rsid w:val="006764FC"/>
    <w:rsid w:val="00677638"/>
    <w:rsid w:val="006800F9"/>
    <w:rsid w:val="006808B2"/>
    <w:rsid w:val="00680977"/>
    <w:rsid w:val="00680CFC"/>
    <w:rsid w:val="00681042"/>
    <w:rsid w:val="00682EA3"/>
    <w:rsid w:val="00683795"/>
    <w:rsid w:val="0068404A"/>
    <w:rsid w:val="0068418F"/>
    <w:rsid w:val="00684411"/>
    <w:rsid w:val="00684584"/>
    <w:rsid w:val="006847B0"/>
    <w:rsid w:val="00684C39"/>
    <w:rsid w:val="006850EC"/>
    <w:rsid w:val="006853D8"/>
    <w:rsid w:val="00685B1A"/>
    <w:rsid w:val="00686034"/>
    <w:rsid w:val="00686A00"/>
    <w:rsid w:val="00687394"/>
    <w:rsid w:val="006902D6"/>
    <w:rsid w:val="00690A49"/>
    <w:rsid w:val="00691688"/>
    <w:rsid w:val="00691FFB"/>
    <w:rsid w:val="00692E7A"/>
    <w:rsid w:val="00693265"/>
    <w:rsid w:val="00694497"/>
    <w:rsid w:val="00694562"/>
    <w:rsid w:val="0069465F"/>
    <w:rsid w:val="006948D2"/>
    <w:rsid w:val="00695C49"/>
    <w:rsid w:val="006963C2"/>
    <w:rsid w:val="0069649F"/>
    <w:rsid w:val="00696CD8"/>
    <w:rsid w:val="00697732"/>
    <w:rsid w:val="006977E0"/>
    <w:rsid w:val="006A0020"/>
    <w:rsid w:val="006A0ABC"/>
    <w:rsid w:val="006A0F08"/>
    <w:rsid w:val="006A2FD6"/>
    <w:rsid w:val="006A314F"/>
    <w:rsid w:val="006A40BA"/>
    <w:rsid w:val="006A4420"/>
    <w:rsid w:val="006A49E1"/>
    <w:rsid w:val="006A4B2B"/>
    <w:rsid w:val="006A5204"/>
    <w:rsid w:val="006A54F8"/>
    <w:rsid w:val="006A7AAB"/>
    <w:rsid w:val="006A7C25"/>
    <w:rsid w:val="006B063F"/>
    <w:rsid w:val="006B0748"/>
    <w:rsid w:val="006B341B"/>
    <w:rsid w:val="006B4627"/>
    <w:rsid w:val="006B5BA4"/>
    <w:rsid w:val="006B5BFA"/>
    <w:rsid w:val="006B6057"/>
    <w:rsid w:val="006B7145"/>
    <w:rsid w:val="006B7720"/>
    <w:rsid w:val="006C0646"/>
    <w:rsid w:val="006C1374"/>
    <w:rsid w:val="006C15D2"/>
    <w:rsid w:val="006C1ACD"/>
    <w:rsid w:val="006C27B1"/>
    <w:rsid w:val="006C32EE"/>
    <w:rsid w:val="006C344E"/>
    <w:rsid w:val="006C368F"/>
    <w:rsid w:val="006C3884"/>
    <w:rsid w:val="006C492C"/>
    <w:rsid w:val="006C49AD"/>
    <w:rsid w:val="006C55C3"/>
    <w:rsid w:val="006C59C2"/>
    <w:rsid w:val="006C644D"/>
    <w:rsid w:val="006C742A"/>
    <w:rsid w:val="006C7B29"/>
    <w:rsid w:val="006C7BF1"/>
    <w:rsid w:val="006D0C1F"/>
    <w:rsid w:val="006D1447"/>
    <w:rsid w:val="006D16D0"/>
    <w:rsid w:val="006D1E39"/>
    <w:rsid w:val="006D2079"/>
    <w:rsid w:val="006D20FB"/>
    <w:rsid w:val="006D2522"/>
    <w:rsid w:val="006D2612"/>
    <w:rsid w:val="006D263D"/>
    <w:rsid w:val="006D344A"/>
    <w:rsid w:val="006D4EDC"/>
    <w:rsid w:val="006D5073"/>
    <w:rsid w:val="006D5961"/>
    <w:rsid w:val="006D6047"/>
    <w:rsid w:val="006D621C"/>
    <w:rsid w:val="006D7482"/>
    <w:rsid w:val="006E27DF"/>
    <w:rsid w:val="006E290C"/>
    <w:rsid w:val="006E3EA6"/>
    <w:rsid w:val="006E4EDB"/>
    <w:rsid w:val="006E5428"/>
    <w:rsid w:val="006E6C56"/>
    <w:rsid w:val="006E6E52"/>
    <w:rsid w:val="006E71FC"/>
    <w:rsid w:val="006E73BA"/>
    <w:rsid w:val="006E74D9"/>
    <w:rsid w:val="006F0995"/>
    <w:rsid w:val="006F22D2"/>
    <w:rsid w:val="006F243F"/>
    <w:rsid w:val="006F30E2"/>
    <w:rsid w:val="006F3348"/>
    <w:rsid w:val="006F345C"/>
    <w:rsid w:val="006F3B20"/>
    <w:rsid w:val="006F3C35"/>
    <w:rsid w:val="006F3F34"/>
    <w:rsid w:val="006F5B5D"/>
    <w:rsid w:val="006F5FBC"/>
    <w:rsid w:val="006F6585"/>
    <w:rsid w:val="006F67CC"/>
    <w:rsid w:val="006F680B"/>
    <w:rsid w:val="006F69E6"/>
    <w:rsid w:val="006F6F2D"/>
    <w:rsid w:val="006F76CF"/>
    <w:rsid w:val="006F7A43"/>
    <w:rsid w:val="00700B37"/>
    <w:rsid w:val="00700F72"/>
    <w:rsid w:val="00701E4F"/>
    <w:rsid w:val="00702370"/>
    <w:rsid w:val="0070279B"/>
    <w:rsid w:val="00703186"/>
    <w:rsid w:val="0070333F"/>
    <w:rsid w:val="007036C7"/>
    <w:rsid w:val="00703A66"/>
    <w:rsid w:val="0070417A"/>
    <w:rsid w:val="00705339"/>
    <w:rsid w:val="00705AC9"/>
    <w:rsid w:val="0070620E"/>
    <w:rsid w:val="0070702A"/>
    <w:rsid w:val="00707526"/>
    <w:rsid w:val="007100E9"/>
    <w:rsid w:val="00710D55"/>
    <w:rsid w:val="00711D4F"/>
    <w:rsid w:val="00711EC0"/>
    <w:rsid w:val="007142CD"/>
    <w:rsid w:val="007144DC"/>
    <w:rsid w:val="00715047"/>
    <w:rsid w:val="007166C5"/>
    <w:rsid w:val="00716A84"/>
    <w:rsid w:val="00716C78"/>
    <w:rsid w:val="0071739E"/>
    <w:rsid w:val="0071741C"/>
    <w:rsid w:val="007201B2"/>
    <w:rsid w:val="0072030F"/>
    <w:rsid w:val="00720882"/>
    <w:rsid w:val="00720AD2"/>
    <w:rsid w:val="0072161C"/>
    <w:rsid w:val="00721B52"/>
    <w:rsid w:val="007220DD"/>
    <w:rsid w:val="00722315"/>
    <w:rsid w:val="00723F4C"/>
    <w:rsid w:val="00724865"/>
    <w:rsid w:val="00724C8D"/>
    <w:rsid w:val="0072515A"/>
    <w:rsid w:val="0072571C"/>
    <w:rsid w:val="007257C3"/>
    <w:rsid w:val="00725AB8"/>
    <w:rsid w:val="00725E41"/>
    <w:rsid w:val="007263AB"/>
    <w:rsid w:val="00726EC8"/>
    <w:rsid w:val="0072775F"/>
    <w:rsid w:val="00727E9E"/>
    <w:rsid w:val="007300CE"/>
    <w:rsid w:val="007303A3"/>
    <w:rsid w:val="0073040C"/>
    <w:rsid w:val="007307D4"/>
    <w:rsid w:val="00731928"/>
    <w:rsid w:val="00731C73"/>
    <w:rsid w:val="007328A4"/>
    <w:rsid w:val="0073323A"/>
    <w:rsid w:val="007332EB"/>
    <w:rsid w:val="00733844"/>
    <w:rsid w:val="00734213"/>
    <w:rsid w:val="00734678"/>
    <w:rsid w:val="0073560E"/>
    <w:rsid w:val="00735AA6"/>
    <w:rsid w:val="00736794"/>
    <w:rsid w:val="00736F2C"/>
    <w:rsid w:val="007376B4"/>
    <w:rsid w:val="00737CBD"/>
    <w:rsid w:val="00737F4E"/>
    <w:rsid w:val="007404F5"/>
    <w:rsid w:val="00741EA6"/>
    <w:rsid w:val="00742D3B"/>
    <w:rsid w:val="007433F7"/>
    <w:rsid w:val="00743408"/>
    <w:rsid w:val="0074355C"/>
    <w:rsid w:val="00743A23"/>
    <w:rsid w:val="00743BCB"/>
    <w:rsid w:val="0074442C"/>
    <w:rsid w:val="007450DF"/>
    <w:rsid w:val="007452CA"/>
    <w:rsid w:val="0074573A"/>
    <w:rsid w:val="00746348"/>
    <w:rsid w:val="007463DA"/>
    <w:rsid w:val="00746564"/>
    <w:rsid w:val="007473C1"/>
    <w:rsid w:val="00747DE1"/>
    <w:rsid w:val="00750429"/>
    <w:rsid w:val="0075231A"/>
    <w:rsid w:val="00752F80"/>
    <w:rsid w:val="00753D4A"/>
    <w:rsid w:val="00753E9E"/>
    <w:rsid w:val="00754204"/>
    <w:rsid w:val="0075569A"/>
    <w:rsid w:val="00755FCC"/>
    <w:rsid w:val="00756835"/>
    <w:rsid w:val="00756D34"/>
    <w:rsid w:val="00756F37"/>
    <w:rsid w:val="00757448"/>
    <w:rsid w:val="007578FC"/>
    <w:rsid w:val="00757E36"/>
    <w:rsid w:val="007607B3"/>
    <w:rsid w:val="00761BE3"/>
    <w:rsid w:val="007626FB"/>
    <w:rsid w:val="00762B30"/>
    <w:rsid w:val="00762BED"/>
    <w:rsid w:val="00763294"/>
    <w:rsid w:val="0076343E"/>
    <w:rsid w:val="007635CC"/>
    <w:rsid w:val="00764439"/>
    <w:rsid w:val="00764BE5"/>
    <w:rsid w:val="00765154"/>
    <w:rsid w:val="007652CF"/>
    <w:rsid w:val="007653AF"/>
    <w:rsid w:val="00765CB7"/>
    <w:rsid w:val="00766561"/>
    <w:rsid w:val="0076670A"/>
    <w:rsid w:val="00766F3D"/>
    <w:rsid w:val="00767024"/>
    <w:rsid w:val="00767120"/>
    <w:rsid w:val="00770FE0"/>
    <w:rsid w:val="007719EC"/>
    <w:rsid w:val="00771EC2"/>
    <w:rsid w:val="00772123"/>
    <w:rsid w:val="00772782"/>
    <w:rsid w:val="00772BA3"/>
    <w:rsid w:val="00772C72"/>
    <w:rsid w:val="00773206"/>
    <w:rsid w:val="007733D5"/>
    <w:rsid w:val="00773BBF"/>
    <w:rsid w:val="0077418C"/>
    <w:rsid w:val="00774235"/>
    <w:rsid w:val="00774643"/>
    <w:rsid w:val="00774DAA"/>
    <w:rsid w:val="0077567F"/>
    <w:rsid w:val="007761D8"/>
    <w:rsid w:val="007762F9"/>
    <w:rsid w:val="007763EB"/>
    <w:rsid w:val="00776444"/>
    <w:rsid w:val="007765A2"/>
    <w:rsid w:val="007776ED"/>
    <w:rsid w:val="0078067F"/>
    <w:rsid w:val="00780B7A"/>
    <w:rsid w:val="00782105"/>
    <w:rsid w:val="00782137"/>
    <w:rsid w:val="00783C47"/>
    <w:rsid w:val="007848B7"/>
    <w:rsid w:val="00784A03"/>
    <w:rsid w:val="00786032"/>
    <w:rsid w:val="00786E3C"/>
    <w:rsid w:val="00787336"/>
    <w:rsid w:val="0078768A"/>
    <w:rsid w:val="00787900"/>
    <w:rsid w:val="00790959"/>
    <w:rsid w:val="00790D49"/>
    <w:rsid w:val="00791398"/>
    <w:rsid w:val="00791574"/>
    <w:rsid w:val="00791F77"/>
    <w:rsid w:val="00791FE9"/>
    <w:rsid w:val="00792BC3"/>
    <w:rsid w:val="00792D4E"/>
    <w:rsid w:val="007930A0"/>
    <w:rsid w:val="00793242"/>
    <w:rsid w:val="00793F38"/>
    <w:rsid w:val="00794749"/>
    <w:rsid w:val="00794E6B"/>
    <w:rsid w:val="007956DF"/>
    <w:rsid w:val="00795C9A"/>
    <w:rsid w:val="007966F9"/>
    <w:rsid w:val="00796B5F"/>
    <w:rsid w:val="007A0133"/>
    <w:rsid w:val="007A08F8"/>
    <w:rsid w:val="007A0B3E"/>
    <w:rsid w:val="007A2467"/>
    <w:rsid w:val="007A3771"/>
    <w:rsid w:val="007A3DC2"/>
    <w:rsid w:val="007A46AE"/>
    <w:rsid w:val="007A4BCB"/>
    <w:rsid w:val="007A4C0D"/>
    <w:rsid w:val="007A5263"/>
    <w:rsid w:val="007A5B02"/>
    <w:rsid w:val="007A6338"/>
    <w:rsid w:val="007A6819"/>
    <w:rsid w:val="007A6FE9"/>
    <w:rsid w:val="007A719E"/>
    <w:rsid w:val="007A7656"/>
    <w:rsid w:val="007A76F6"/>
    <w:rsid w:val="007A7903"/>
    <w:rsid w:val="007A7B9C"/>
    <w:rsid w:val="007A7E39"/>
    <w:rsid w:val="007B0739"/>
    <w:rsid w:val="007B0AC1"/>
    <w:rsid w:val="007B0FD1"/>
    <w:rsid w:val="007B20E1"/>
    <w:rsid w:val="007B215C"/>
    <w:rsid w:val="007B2ECC"/>
    <w:rsid w:val="007B36F7"/>
    <w:rsid w:val="007B38FE"/>
    <w:rsid w:val="007B3A9D"/>
    <w:rsid w:val="007B5250"/>
    <w:rsid w:val="007B5365"/>
    <w:rsid w:val="007B541D"/>
    <w:rsid w:val="007B5888"/>
    <w:rsid w:val="007B5D5C"/>
    <w:rsid w:val="007B7129"/>
    <w:rsid w:val="007B76B2"/>
    <w:rsid w:val="007C014C"/>
    <w:rsid w:val="007C0E07"/>
    <w:rsid w:val="007C0E84"/>
    <w:rsid w:val="007C2D50"/>
    <w:rsid w:val="007C33B4"/>
    <w:rsid w:val="007C360D"/>
    <w:rsid w:val="007C37FB"/>
    <w:rsid w:val="007C3FF5"/>
    <w:rsid w:val="007C435C"/>
    <w:rsid w:val="007C52F0"/>
    <w:rsid w:val="007C64B3"/>
    <w:rsid w:val="007C69A6"/>
    <w:rsid w:val="007C6EEB"/>
    <w:rsid w:val="007C70A8"/>
    <w:rsid w:val="007D109D"/>
    <w:rsid w:val="007D1346"/>
    <w:rsid w:val="007D2815"/>
    <w:rsid w:val="007D2B67"/>
    <w:rsid w:val="007D3B36"/>
    <w:rsid w:val="007D3E6B"/>
    <w:rsid w:val="007D3FE4"/>
    <w:rsid w:val="007D4B0F"/>
    <w:rsid w:val="007D4E14"/>
    <w:rsid w:val="007D4E1E"/>
    <w:rsid w:val="007D538C"/>
    <w:rsid w:val="007D6718"/>
    <w:rsid w:val="007D6F4E"/>
    <w:rsid w:val="007D7725"/>
    <w:rsid w:val="007E0B7B"/>
    <w:rsid w:val="007E2A1D"/>
    <w:rsid w:val="007E3138"/>
    <w:rsid w:val="007E4A21"/>
    <w:rsid w:val="007E4D89"/>
    <w:rsid w:val="007E62C6"/>
    <w:rsid w:val="007E6AC5"/>
    <w:rsid w:val="007E6B11"/>
    <w:rsid w:val="007E7BAC"/>
    <w:rsid w:val="007F026F"/>
    <w:rsid w:val="007F05F8"/>
    <w:rsid w:val="007F06EE"/>
    <w:rsid w:val="007F11D9"/>
    <w:rsid w:val="007F13B5"/>
    <w:rsid w:val="007F1BA6"/>
    <w:rsid w:val="007F26CF"/>
    <w:rsid w:val="007F3066"/>
    <w:rsid w:val="007F3154"/>
    <w:rsid w:val="007F3395"/>
    <w:rsid w:val="007F4601"/>
    <w:rsid w:val="007F54D0"/>
    <w:rsid w:val="007F5CBD"/>
    <w:rsid w:val="007F664F"/>
    <w:rsid w:val="007F6CF0"/>
    <w:rsid w:val="007F7908"/>
    <w:rsid w:val="007F7B88"/>
    <w:rsid w:val="008006D9"/>
    <w:rsid w:val="00800B91"/>
    <w:rsid w:val="008017C5"/>
    <w:rsid w:val="00801EF5"/>
    <w:rsid w:val="008021D9"/>
    <w:rsid w:val="00802551"/>
    <w:rsid w:val="00803726"/>
    <w:rsid w:val="008041E8"/>
    <w:rsid w:val="00804588"/>
    <w:rsid w:val="00804DD0"/>
    <w:rsid w:val="0080564B"/>
    <w:rsid w:val="00805A1F"/>
    <w:rsid w:val="00805F9E"/>
    <w:rsid w:val="008066B3"/>
    <w:rsid w:val="008073CA"/>
    <w:rsid w:val="0080744F"/>
    <w:rsid w:val="00807BDB"/>
    <w:rsid w:val="0081074C"/>
    <w:rsid w:val="008108B8"/>
    <w:rsid w:val="00810F78"/>
    <w:rsid w:val="008114B2"/>
    <w:rsid w:val="00811668"/>
    <w:rsid w:val="008119C1"/>
    <w:rsid w:val="00812030"/>
    <w:rsid w:val="00812093"/>
    <w:rsid w:val="008125A7"/>
    <w:rsid w:val="0081274C"/>
    <w:rsid w:val="00813DA9"/>
    <w:rsid w:val="008144A3"/>
    <w:rsid w:val="0081452D"/>
    <w:rsid w:val="00814D67"/>
    <w:rsid w:val="008153FD"/>
    <w:rsid w:val="00815640"/>
    <w:rsid w:val="00816452"/>
    <w:rsid w:val="00816E4F"/>
    <w:rsid w:val="00820C7C"/>
    <w:rsid w:val="00821E40"/>
    <w:rsid w:val="00823C57"/>
    <w:rsid w:val="00823F28"/>
    <w:rsid w:val="0082410E"/>
    <w:rsid w:val="00824142"/>
    <w:rsid w:val="00826030"/>
    <w:rsid w:val="0082636B"/>
    <w:rsid w:val="0082684C"/>
    <w:rsid w:val="00826E52"/>
    <w:rsid w:val="00827822"/>
    <w:rsid w:val="00827DF3"/>
    <w:rsid w:val="00827F9B"/>
    <w:rsid w:val="00830676"/>
    <w:rsid w:val="0083112B"/>
    <w:rsid w:val="00831B33"/>
    <w:rsid w:val="00831C78"/>
    <w:rsid w:val="00831CB4"/>
    <w:rsid w:val="00831E1A"/>
    <w:rsid w:val="00831F3D"/>
    <w:rsid w:val="00832066"/>
    <w:rsid w:val="008320A8"/>
    <w:rsid w:val="00832585"/>
    <w:rsid w:val="00832D16"/>
    <w:rsid w:val="00835830"/>
    <w:rsid w:val="0083693F"/>
    <w:rsid w:val="00837517"/>
    <w:rsid w:val="00840919"/>
    <w:rsid w:val="008409A1"/>
    <w:rsid w:val="00841451"/>
    <w:rsid w:val="00841F3A"/>
    <w:rsid w:val="00841F5C"/>
    <w:rsid w:val="00842225"/>
    <w:rsid w:val="0084281F"/>
    <w:rsid w:val="00842823"/>
    <w:rsid w:val="008430FA"/>
    <w:rsid w:val="008433F8"/>
    <w:rsid w:val="008434F9"/>
    <w:rsid w:val="00844B53"/>
    <w:rsid w:val="00845398"/>
    <w:rsid w:val="00846750"/>
    <w:rsid w:val="0084740E"/>
    <w:rsid w:val="0085005C"/>
    <w:rsid w:val="008508CC"/>
    <w:rsid w:val="0085184E"/>
    <w:rsid w:val="008519EB"/>
    <w:rsid w:val="00853667"/>
    <w:rsid w:val="008537D6"/>
    <w:rsid w:val="00854B5C"/>
    <w:rsid w:val="00854F21"/>
    <w:rsid w:val="00855600"/>
    <w:rsid w:val="00857A0C"/>
    <w:rsid w:val="00857B2C"/>
    <w:rsid w:val="00860677"/>
    <w:rsid w:val="00860704"/>
    <w:rsid w:val="008611DC"/>
    <w:rsid w:val="00861264"/>
    <w:rsid w:val="00861C2B"/>
    <w:rsid w:val="008628D7"/>
    <w:rsid w:val="008637D3"/>
    <w:rsid w:val="00866C10"/>
    <w:rsid w:val="00867145"/>
    <w:rsid w:val="008705C1"/>
    <w:rsid w:val="00871447"/>
    <w:rsid w:val="008720C8"/>
    <w:rsid w:val="008723D3"/>
    <w:rsid w:val="008725F2"/>
    <w:rsid w:val="00872916"/>
    <w:rsid w:val="008735F8"/>
    <w:rsid w:val="0087478D"/>
    <w:rsid w:val="00874A03"/>
    <w:rsid w:val="0087506F"/>
    <w:rsid w:val="008750DB"/>
    <w:rsid w:val="00875561"/>
    <w:rsid w:val="008759CD"/>
    <w:rsid w:val="00875AEB"/>
    <w:rsid w:val="00875FAD"/>
    <w:rsid w:val="00876208"/>
    <w:rsid w:val="00876CA4"/>
    <w:rsid w:val="00880422"/>
    <w:rsid w:val="00880796"/>
    <w:rsid w:val="00880DC5"/>
    <w:rsid w:val="00881182"/>
    <w:rsid w:val="0088143F"/>
    <w:rsid w:val="0088149A"/>
    <w:rsid w:val="0088175E"/>
    <w:rsid w:val="00881A06"/>
    <w:rsid w:val="00881EFC"/>
    <w:rsid w:val="008825F1"/>
    <w:rsid w:val="00883272"/>
    <w:rsid w:val="00883403"/>
    <w:rsid w:val="00883444"/>
    <w:rsid w:val="0088395F"/>
    <w:rsid w:val="0088455E"/>
    <w:rsid w:val="0088518E"/>
    <w:rsid w:val="00885AAC"/>
    <w:rsid w:val="008867D4"/>
    <w:rsid w:val="00886852"/>
    <w:rsid w:val="00886A43"/>
    <w:rsid w:val="0089093D"/>
    <w:rsid w:val="0089135C"/>
    <w:rsid w:val="00891CFC"/>
    <w:rsid w:val="008931AF"/>
    <w:rsid w:val="00893C56"/>
    <w:rsid w:val="008943E5"/>
    <w:rsid w:val="00894487"/>
    <w:rsid w:val="0089449F"/>
    <w:rsid w:val="00894E1A"/>
    <w:rsid w:val="00894E97"/>
    <w:rsid w:val="008952BA"/>
    <w:rsid w:val="0089583B"/>
    <w:rsid w:val="0089601C"/>
    <w:rsid w:val="00896676"/>
    <w:rsid w:val="008A0540"/>
    <w:rsid w:val="008A0C7D"/>
    <w:rsid w:val="008A1435"/>
    <w:rsid w:val="008A1638"/>
    <w:rsid w:val="008A1790"/>
    <w:rsid w:val="008A1F43"/>
    <w:rsid w:val="008A21CE"/>
    <w:rsid w:val="008A2C6A"/>
    <w:rsid w:val="008A2E8D"/>
    <w:rsid w:val="008A40D1"/>
    <w:rsid w:val="008A4ADB"/>
    <w:rsid w:val="008A4E5B"/>
    <w:rsid w:val="008A5014"/>
    <w:rsid w:val="008A5A67"/>
    <w:rsid w:val="008A5D6D"/>
    <w:rsid w:val="008A6567"/>
    <w:rsid w:val="008A7C71"/>
    <w:rsid w:val="008B017C"/>
    <w:rsid w:val="008B01FD"/>
    <w:rsid w:val="008B0C84"/>
    <w:rsid w:val="008B1095"/>
    <w:rsid w:val="008B1B88"/>
    <w:rsid w:val="008B1C4D"/>
    <w:rsid w:val="008B208C"/>
    <w:rsid w:val="008B2445"/>
    <w:rsid w:val="008B25DF"/>
    <w:rsid w:val="008B38B2"/>
    <w:rsid w:val="008B3AEA"/>
    <w:rsid w:val="008B4934"/>
    <w:rsid w:val="008B55D7"/>
    <w:rsid w:val="008B5CB1"/>
    <w:rsid w:val="008B797C"/>
    <w:rsid w:val="008C0574"/>
    <w:rsid w:val="008C0ABC"/>
    <w:rsid w:val="008C13B8"/>
    <w:rsid w:val="008C150C"/>
    <w:rsid w:val="008C3090"/>
    <w:rsid w:val="008C3D42"/>
    <w:rsid w:val="008C3E6F"/>
    <w:rsid w:val="008C4339"/>
    <w:rsid w:val="008C5608"/>
    <w:rsid w:val="008C5B9B"/>
    <w:rsid w:val="008C69B6"/>
    <w:rsid w:val="008C7499"/>
    <w:rsid w:val="008C74D2"/>
    <w:rsid w:val="008C74EF"/>
    <w:rsid w:val="008C7835"/>
    <w:rsid w:val="008C7D37"/>
    <w:rsid w:val="008C7FB2"/>
    <w:rsid w:val="008D1CBC"/>
    <w:rsid w:val="008D2E55"/>
    <w:rsid w:val="008D2F8E"/>
    <w:rsid w:val="008D457F"/>
    <w:rsid w:val="008D4D6A"/>
    <w:rsid w:val="008D50C2"/>
    <w:rsid w:val="008D512A"/>
    <w:rsid w:val="008D5E6A"/>
    <w:rsid w:val="008D6ECC"/>
    <w:rsid w:val="008D7460"/>
    <w:rsid w:val="008D7E28"/>
    <w:rsid w:val="008E0044"/>
    <w:rsid w:val="008E0535"/>
    <w:rsid w:val="008E05E9"/>
    <w:rsid w:val="008E2750"/>
    <w:rsid w:val="008E2F2A"/>
    <w:rsid w:val="008E3AA8"/>
    <w:rsid w:val="008E3CBA"/>
    <w:rsid w:val="008E4039"/>
    <w:rsid w:val="008E444B"/>
    <w:rsid w:val="008E45E0"/>
    <w:rsid w:val="008E4B7D"/>
    <w:rsid w:val="008E4F63"/>
    <w:rsid w:val="008E5B69"/>
    <w:rsid w:val="008E5F45"/>
    <w:rsid w:val="008E609D"/>
    <w:rsid w:val="008E75C9"/>
    <w:rsid w:val="008E790C"/>
    <w:rsid w:val="008F0964"/>
    <w:rsid w:val="008F0D8D"/>
    <w:rsid w:val="008F0E8B"/>
    <w:rsid w:val="008F1582"/>
    <w:rsid w:val="008F1BFC"/>
    <w:rsid w:val="008F249B"/>
    <w:rsid w:val="008F2C0D"/>
    <w:rsid w:val="008F2E73"/>
    <w:rsid w:val="008F36A1"/>
    <w:rsid w:val="008F3979"/>
    <w:rsid w:val="008F443E"/>
    <w:rsid w:val="008F6167"/>
    <w:rsid w:val="008F68A9"/>
    <w:rsid w:val="008F6D6A"/>
    <w:rsid w:val="008F6DB5"/>
    <w:rsid w:val="008F7953"/>
    <w:rsid w:val="009000BF"/>
    <w:rsid w:val="009003B1"/>
    <w:rsid w:val="0090095E"/>
    <w:rsid w:val="00900D07"/>
    <w:rsid w:val="00901296"/>
    <w:rsid w:val="00901A7B"/>
    <w:rsid w:val="00903140"/>
    <w:rsid w:val="009044C2"/>
    <w:rsid w:val="009052F0"/>
    <w:rsid w:val="00905E67"/>
    <w:rsid w:val="0090643A"/>
    <w:rsid w:val="009065EB"/>
    <w:rsid w:val="00906B03"/>
    <w:rsid w:val="00906FF1"/>
    <w:rsid w:val="0090789D"/>
    <w:rsid w:val="00907A21"/>
    <w:rsid w:val="00910E91"/>
    <w:rsid w:val="009116AE"/>
    <w:rsid w:val="0091179A"/>
    <w:rsid w:val="00911E38"/>
    <w:rsid w:val="009124C6"/>
    <w:rsid w:val="00912D84"/>
    <w:rsid w:val="0091377A"/>
    <w:rsid w:val="009140F4"/>
    <w:rsid w:val="00916375"/>
    <w:rsid w:val="0091646D"/>
    <w:rsid w:val="00916542"/>
    <w:rsid w:val="009169D2"/>
    <w:rsid w:val="009171EC"/>
    <w:rsid w:val="00920449"/>
    <w:rsid w:val="00920906"/>
    <w:rsid w:val="00920EC4"/>
    <w:rsid w:val="009216D8"/>
    <w:rsid w:val="00922049"/>
    <w:rsid w:val="00922B4A"/>
    <w:rsid w:val="009233F6"/>
    <w:rsid w:val="00923B14"/>
    <w:rsid w:val="00925880"/>
    <w:rsid w:val="009270EC"/>
    <w:rsid w:val="00927442"/>
    <w:rsid w:val="0092752A"/>
    <w:rsid w:val="00927B5D"/>
    <w:rsid w:val="009303E9"/>
    <w:rsid w:val="0093040C"/>
    <w:rsid w:val="009309C6"/>
    <w:rsid w:val="00930FB3"/>
    <w:rsid w:val="009311F3"/>
    <w:rsid w:val="00931631"/>
    <w:rsid w:val="009319B4"/>
    <w:rsid w:val="00931BF5"/>
    <w:rsid w:val="00932EC6"/>
    <w:rsid w:val="00935297"/>
    <w:rsid w:val="009366A0"/>
    <w:rsid w:val="00936DF8"/>
    <w:rsid w:val="009373BB"/>
    <w:rsid w:val="009375B1"/>
    <w:rsid w:val="009376C2"/>
    <w:rsid w:val="0094017C"/>
    <w:rsid w:val="009404CF"/>
    <w:rsid w:val="0094077E"/>
    <w:rsid w:val="00940A2A"/>
    <w:rsid w:val="00942B7A"/>
    <w:rsid w:val="009431CA"/>
    <w:rsid w:val="009434B8"/>
    <w:rsid w:val="0094373F"/>
    <w:rsid w:val="009443BE"/>
    <w:rsid w:val="00944D45"/>
    <w:rsid w:val="00946284"/>
    <w:rsid w:val="00946581"/>
    <w:rsid w:val="00947851"/>
    <w:rsid w:val="00947A47"/>
    <w:rsid w:val="00951B1D"/>
    <w:rsid w:val="00952144"/>
    <w:rsid w:val="00952A52"/>
    <w:rsid w:val="009530EF"/>
    <w:rsid w:val="00953947"/>
    <w:rsid w:val="00954EAE"/>
    <w:rsid w:val="009550B7"/>
    <w:rsid w:val="00955357"/>
    <w:rsid w:val="00956386"/>
    <w:rsid w:val="00956DCE"/>
    <w:rsid w:val="00956F9D"/>
    <w:rsid w:val="009573D8"/>
    <w:rsid w:val="00957564"/>
    <w:rsid w:val="00957E9B"/>
    <w:rsid w:val="0096111A"/>
    <w:rsid w:val="009618DB"/>
    <w:rsid w:val="00961F2B"/>
    <w:rsid w:val="009629BF"/>
    <w:rsid w:val="00962A5B"/>
    <w:rsid w:val="0096301C"/>
    <w:rsid w:val="009631EC"/>
    <w:rsid w:val="009632EE"/>
    <w:rsid w:val="00963607"/>
    <w:rsid w:val="00963B34"/>
    <w:rsid w:val="0096403C"/>
    <w:rsid w:val="00964450"/>
    <w:rsid w:val="00964F6E"/>
    <w:rsid w:val="00965D0C"/>
    <w:rsid w:val="00966CA8"/>
    <w:rsid w:val="0096704B"/>
    <w:rsid w:val="00967DB7"/>
    <w:rsid w:val="00967F39"/>
    <w:rsid w:val="00970076"/>
    <w:rsid w:val="00970102"/>
    <w:rsid w:val="0097016A"/>
    <w:rsid w:val="0097082F"/>
    <w:rsid w:val="00970889"/>
    <w:rsid w:val="00970E8D"/>
    <w:rsid w:val="00971E58"/>
    <w:rsid w:val="009725D5"/>
    <w:rsid w:val="00972A90"/>
    <w:rsid w:val="009732E9"/>
    <w:rsid w:val="0097340B"/>
    <w:rsid w:val="00974461"/>
    <w:rsid w:val="009746B2"/>
    <w:rsid w:val="00974D11"/>
    <w:rsid w:val="00975C8F"/>
    <w:rsid w:val="00976E7F"/>
    <w:rsid w:val="009772CB"/>
    <w:rsid w:val="00980E5E"/>
    <w:rsid w:val="00981F5F"/>
    <w:rsid w:val="00982901"/>
    <w:rsid w:val="00983557"/>
    <w:rsid w:val="00983AF7"/>
    <w:rsid w:val="0098410E"/>
    <w:rsid w:val="00984337"/>
    <w:rsid w:val="00984396"/>
    <w:rsid w:val="009848A5"/>
    <w:rsid w:val="00984B5E"/>
    <w:rsid w:val="00985EA0"/>
    <w:rsid w:val="0098666B"/>
    <w:rsid w:val="00986878"/>
    <w:rsid w:val="00987308"/>
    <w:rsid w:val="00987F37"/>
    <w:rsid w:val="00991655"/>
    <w:rsid w:val="009918B4"/>
    <w:rsid w:val="00991D1C"/>
    <w:rsid w:val="009923E3"/>
    <w:rsid w:val="009925C7"/>
    <w:rsid w:val="00992B3B"/>
    <w:rsid w:val="00993C7B"/>
    <w:rsid w:val="00993E9D"/>
    <w:rsid w:val="00994753"/>
    <w:rsid w:val="0099487A"/>
    <w:rsid w:val="00996327"/>
    <w:rsid w:val="00996F1A"/>
    <w:rsid w:val="0099785B"/>
    <w:rsid w:val="009978CC"/>
    <w:rsid w:val="00997F47"/>
    <w:rsid w:val="009A0BD4"/>
    <w:rsid w:val="009A1945"/>
    <w:rsid w:val="009A2B35"/>
    <w:rsid w:val="009A2BA6"/>
    <w:rsid w:val="009A37F5"/>
    <w:rsid w:val="009A3BFB"/>
    <w:rsid w:val="009A4079"/>
    <w:rsid w:val="009A444F"/>
    <w:rsid w:val="009A44AE"/>
    <w:rsid w:val="009A4C9C"/>
    <w:rsid w:val="009A4D0F"/>
    <w:rsid w:val="009A4D9C"/>
    <w:rsid w:val="009A4EEE"/>
    <w:rsid w:val="009A59B2"/>
    <w:rsid w:val="009A5C65"/>
    <w:rsid w:val="009A77E5"/>
    <w:rsid w:val="009A7D66"/>
    <w:rsid w:val="009A7F81"/>
    <w:rsid w:val="009B1D20"/>
    <w:rsid w:val="009B20FC"/>
    <w:rsid w:val="009B27E9"/>
    <w:rsid w:val="009B2B7E"/>
    <w:rsid w:val="009B3345"/>
    <w:rsid w:val="009B46EB"/>
    <w:rsid w:val="009B49B2"/>
    <w:rsid w:val="009B53E3"/>
    <w:rsid w:val="009B589D"/>
    <w:rsid w:val="009B5A85"/>
    <w:rsid w:val="009B6249"/>
    <w:rsid w:val="009B675A"/>
    <w:rsid w:val="009B6D1F"/>
    <w:rsid w:val="009B7728"/>
    <w:rsid w:val="009B7C0F"/>
    <w:rsid w:val="009C1106"/>
    <w:rsid w:val="009C1CF0"/>
    <w:rsid w:val="009C22D2"/>
    <w:rsid w:val="009C2363"/>
    <w:rsid w:val="009C39BB"/>
    <w:rsid w:val="009C3FC6"/>
    <w:rsid w:val="009C48DA"/>
    <w:rsid w:val="009C4A7A"/>
    <w:rsid w:val="009C6942"/>
    <w:rsid w:val="009C6977"/>
    <w:rsid w:val="009C69D0"/>
    <w:rsid w:val="009C72E6"/>
    <w:rsid w:val="009D0542"/>
    <w:rsid w:val="009D1141"/>
    <w:rsid w:val="009D2026"/>
    <w:rsid w:val="009D247F"/>
    <w:rsid w:val="009D2AE4"/>
    <w:rsid w:val="009D2DD5"/>
    <w:rsid w:val="009D3C6D"/>
    <w:rsid w:val="009D499E"/>
    <w:rsid w:val="009D5C16"/>
    <w:rsid w:val="009D6A28"/>
    <w:rsid w:val="009E0071"/>
    <w:rsid w:val="009E0525"/>
    <w:rsid w:val="009E0729"/>
    <w:rsid w:val="009E0792"/>
    <w:rsid w:val="009E09C4"/>
    <w:rsid w:val="009E1412"/>
    <w:rsid w:val="009E1A70"/>
    <w:rsid w:val="009E1AE1"/>
    <w:rsid w:val="009E1F8C"/>
    <w:rsid w:val="009E2A96"/>
    <w:rsid w:val="009E3681"/>
    <w:rsid w:val="009E47D4"/>
    <w:rsid w:val="009E5F05"/>
    <w:rsid w:val="009E6CB5"/>
    <w:rsid w:val="009E72EE"/>
    <w:rsid w:val="009E7EEE"/>
    <w:rsid w:val="009F065E"/>
    <w:rsid w:val="009F0995"/>
    <w:rsid w:val="009F12DE"/>
    <w:rsid w:val="009F1DD8"/>
    <w:rsid w:val="009F245B"/>
    <w:rsid w:val="009F2735"/>
    <w:rsid w:val="009F3065"/>
    <w:rsid w:val="009F346C"/>
    <w:rsid w:val="009F34D8"/>
    <w:rsid w:val="009F4F24"/>
    <w:rsid w:val="009F5AC5"/>
    <w:rsid w:val="009F5F89"/>
    <w:rsid w:val="009F61FB"/>
    <w:rsid w:val="009F6CEE"/>
    <w:rsid w:val="009F6DFF"/>
    <w:rsid w:val="00A007EA"/>
    <w:rsid w:val="00A0349D"/>
    <w:rsid w:val="00A03DBD"/>
    <w:rsid w:val="00A043B4"/>
    <w:rsid w:val="00A0496F"/>
    <w:rsid w:val="00A0545F"/>
    <w:rsid w:val="00A0594C"/>
    <w:rsid w:val="00A0634F"/>
    <w:rsid w:val="00A064FC"/>
    <w:rsid w:val="00A06966"/>
    <w:rsid w:val="00A077FE"/>
    <w:rsid w:val="00A07891"/>
    <w:rsid w:val="00A1066F"/>
    <w:rsid w:val="00A1099D"/>
    <w:rsid w:val="00A110FC"/>
    <w:rsid w:val="00A11126"/>
    <w:rsid w:val="00A115A1"/>
    <w:rsid w:val="00A11ABE"/>
    <w:rsid w:val="00A13C78"/>
    <w:rsid w:val="00A14057"/>
    <w:rsid w:val="00A14576"/>
    <w:rsid w:val="00A14707"/>
    <w:rsid w:val="00A15609"/>
    <w:rsid w:val="00A16C2F"/>
    <w:rsid w:val="00A20230"/>
    <w:rsid w:val="00A208E1"/>
    <w:rsid w:val="00A211E9"/>
    <w:rsid w:val="00A21604"/>
    <w:rsid w:val="00A216E8"/>
    <w:rsid w:val="00A21AF5"/>
    <w:rsid w:val="00A21F0C"/>
    <w:rsid w:val="00A224EA"/>
    <w:rsid w:val="00A233B6"/>
    <w:rsid w:val="00A2382B"/>
    <w:rsid w:val="00A23897"/>
    <w:rsid w:val="00A2576B"/>
    <w:rsid w:val="00A2585F"/>
    <w:rsid w:val="00A27055"/>
    <w:rsid w:val="00A2749A"/>
    <w:rsid w:val="00A30420"/>
    <w:rsid w:val="00A318C3"/>
    <w:rsid w:val="00A31C73"/>
    <w:rsid w:val="00A32470"/>
    <w:rsid w:val="00A32835"/>
    <w:rsid w:val="00A32A1E"/>
    <w:rsid w:val="00A33087"/>
    <w:rsid w:val="00A330B9"/>
    <w:rsid w:val="00A33AAF"/>
    <w:rsid w:val="00A33DE1"/>
    <w:rsid w:val="00A3477C"/>
    <w:rsid w:val="00A34D47"/>
    <w:rsid w:val="00A35334"/>
    <w:rsid w:val="00A3541E"/>
    <w:rsid w:val="00A356A3"/>
    <w:rsid w:val="00A36D6D"/>
    <w:rsid w:val="00A36E3A"/>
    <w:rsid w:val="00A37BF6"/>
    <w:rsid w:val="00A402A0"/>
    <w:rsid w:val="00A416B2"/>
    <w:rsid w:val="00A418B1"/>
    <w:rsid w:val="00A41B78"/>
    <w:rsid w:val="00A41BAF"/>
    <w:rsid w:val="00A41EFF"/>
    <w:rsid w:val="00A42B04"/>
    <w:rsid w:val="00A42E4E"/>
    <w:rsid w:val="00A42FA7"/>
    <w:rsid w:val="00A4349D"/>
    <w:rsid w:val="00A43541"/>
    <w:rsid w:val="00A43645"/>
    <w:rsid w:val="00A448B8"/>
    <w:rsid w:val="00A4504E"/>
    <w:rsid w:val="00A45824"/>
    <w:rsid w:val="00A45E84"/>
    <w:rsid w:val="00A45F86"/>
    <w:rsid w:val="00A460A5"/>
    <w:rsid w:val="00A462C7"/>
    <w:rsid w:val="00A46DA6"/>
    <w:rsid w:val="00A47CC6"/>
    <w:rsid w:val="00A52046"/>
    <w:rsid w:val="00A52264"/>
    <w:rsid w:val="00A52349"/>
    <w:rsid w:val="00A53EF9"/>
    <w:rsid w:val="00A541D2"/>
    <w:rsid w:val="00A547F0"/>
    <w:rsid w:val="00A54DB4"/>
    <w:rsid w:val="00A55404"/>
    <w:rsid w:val="00A5645D"/>
    <w:rsid w:val="00A5672B"/>
    <w:rsid w:val="00A56BB9"/>
    <w:rsid w:val="00A57F99"/>
    <w:rsid w:val="00A6022A"/>
    <w:rsid w:val="00A604A4"/>
    <w:rsid w:val="00A61473"/>
    <w:rsid w:val="00A61632"/>
    <w:rsid w:val="00A62C22"/>
    <w:rsid w:val="00A62E22"/>
    <w:rsid w:val="00A6386C"/>
    <w:rsid w:val="00A63B7D"/>
    <w:rsid w:val="00A63C10"/>
    <w:rsid w:val="00A6666D"/>
    <w:rsid w:val="00A66ADD"/>
    <w:rsid w:val="00A66C7A"/>
    <w:rsid w:val="00A67C3F"/>
    <w:rsid w:val="00A70750"/>
    <w:rsid w:val="00A70794"/>
    <w:rsid w:val="00A70873"/>
    <w:rsid w:val="00A71208"/>
    <w:rsid w:val="00A7262B"/>
    <w:rsid w:val="00A72FF7"/>
    <w:rsid w:val="00A732AE"/>
    <w:rsid w:val="00A73F21"/>
    <w:rsid w:val="00A749CC"/>
    <w:rsid w:val="00A74C24"/>
    <w:rsid w:val="00A7557A"/>
    <w:rsid w:val="00A75811"/>
    <w:rsid w:val="00A75CFC"/>
    <w:rsid w:val="00A75F94"/>
    <w:rsid w:val="00A769C6"/>
    <w:rsid w:val="00A76A74"/>
    <w:rsid w:val="00A77450"/>
    <w:rsid w:val="00A77CA6"/>
    <w:rsid w:val="00A80BFA"/>
    <w:rsid w:val="00A810C9"/>
    <w:rsid w:val="00A815C0"/>
    <w:rsid w:val="00A823FC"/>
    <w:rsid w:val="00A8417F"/>
    <w:rsid w:val="00A84833"/>
    <w:rsid w:val="00A84835"/>
    <w:rsid w:val="00A84CFC"/>
    <w:rsid w:val="00A84D76"/>
    <w:rsid w:val="00A84E7C"/>
    <w:rsid w:val="00A84E80"/>
    <w:rsid w:val="00A8512A"/>
    <w:rsid w:val="00A85584"/>
    <w:rsid w:val="00A85997"/>
    <w:rsid w:val="00A86D70"/>
    <w:rsid w:val="00A86E87"/>
    <w:rsid w:val="00A87CA1"/>
    <w:rsid w:val="00A91DD1"/>
    <w:rsid w:val="00A91E3E"/>
    <w:rsid w:val="00A920F9"/>
    <w:rsid w:val="00A923F3"/>
    <w:rsid w:val="00A92C8C"/>
    <w:rsid w:val="00A92CA6"/>
    <w:rsid w:val="00A92D17"/>
    <w:rsid w:val="00A930E7"/>
    <w:rsid w:val="00A93197"/>
    <w:rsid w:val="00A935F5"/>
    <w:rsid w:val="00A93B21"/>
    <w:rsid w:val="00A95723"/>
    <w:rsid w:val="00A95AE8"/>
    <w:rsid w:val="00A95E90"/>
    <w:rsid w:val="00A9607B"/>
    <w:rsid w:val="00A965FB"/>
    <w:rsid w:val="00A96E45"/>
    <w:rsid w:val="00A971A5"/>
    <w:rsid w:val="00A979A7"/>
    <w:rsid w:val="00A97BFD"/>
    <w:rsid w:val="00AA021B"/>
    <w:rsid w:val="00AA0450"/>
    <w:rsid w:val="00AA46AC"/>
    <w:rsid w:val="00AA4C0A"/>
    <w:rsid w:val="00AA65F7"/>
    <w:rsid w:val="00AA6FC8"/>
    <w:rsid w:val="00AA70AF"/>
    <w:rsid w:val="00AA7723"/>
    <w:rsid w:val="00AB0A65"/>
    <w:rsid w:val="00AB0C8D"/>
    <w:rsid w:val="00AB12AE"/>
    <w:rsid w:val="00AB1C5E"/>
    <w:rsid w:val="00AB1C96"/>
    <w:rsid w:val="00AB21D2"/>
    <w:rsid w:val="00AB2A2C"/>
    <w:rsid w:val="00AB2A83"/>
    <w:rsid w:val="00AB2D6B"/>
    <w:rsid w:val="00AB2F98"/>
    <w:rsid w:val="00AB4E66"/>
    <w:rsid w:val="00AB4F67"/>
    <w:rsid w:val="00AB5134"/>
    <w:rsid w:val="00AB6025"/>
    <w:rsid w:val="00AB609F"/>
    <w:rsid w:val="00AB611B"/>
    <w:rsid w:val="00AB628D"/>
    <w:rsid w:val="00AB69AB"/>
    <w:rsid w:val="00AB6CC6"/>
    <w:rsid w:val="00AB71C1"/>
    <w:rsid w:val="00AB742E"/>
    <w:rsid w:val="00AB7F32"/>
    <w:rsid w:val="00AC0A44"/>
    <w:rsid w:val="00AC0C23"/>
    <w:rsid w:val="00AC15EA"/>
    <w:rsid w:val="00AC1674"/>
    <w:rsid w:val="00AC1976"/>
    <w:rsid w:val="00AC1EF7"/>
    <w:rsid w:val="00AC1F70"/>
    <w:rsid w:val="00AC2294"/>
    <w:rsid w:val="00AC476C"/>
    <w:rsid w:val="00AC4B35"/>
    <w:rsid w:val="00AC59DE"/>
    <w:rsid w:val="00AC5DD4"/>
    <w:rsid w:val="00AC5F77"/>
    <w:rsid w:val="00AC7942"/>
    <w:rsid w:val="00AC7BAB"/>
    <w:rsid w:val="00AC7CD6"/>
    <w:rsid w:val="00AD11B5"/>
    <w:rsid w:val="00AD1D6A"/>
    <w:rsid w:val="00AD24BE"/>
    <w:rsid w:val="00AD342A"/>
    <w:rsid w:val="00AD3881"/>
    <w:rsid w:val="00AD4476"/>
    <w:rsid w:val="00AD55F7"/>
    <w:rsid w:val="00AD57FA"/>
    <w:rsid w:val="00AD58CA"/>
    <w:rsid w:val="00AD59C8"/>
    <w:rsid w:val="00AD5D8B"/>
    <w:rsid w:val="00AD5ECB"/>
    <w:rsid w:val="00AD60FF"/>
    <w:rsid w:val="00AD7E6A"/>
    <w:rsid w:val="00AD7F0C"/>
    <w:rsid w:val="00AE2353"/>
    <w:rsid w:val="00AE23D2"/>
    <w:rsid w:val="00AE2FE2"/>
    <w:rsid w:val="00AE3912"/>
    <w:rsid w:val="00AE4327"/>
    <w:rsid w:val="00AE46A9"/>
    <w:rsid w:val="00AE4C4C"/>
    <w:rsid w:val="00AE5237"/>
    <w:rsid w:val="00AE6016"/>
    <w:rsid w:val="00AE6FEA"/>
    <w:rsid w:val="00AE6FF2"/>
    <w:rsid w:val="00AE7714"/>
    <w:rsid w:val="00AE77EB"/>
    <w:rsid w:val="00AE797D"/>
    <w:rsid w:val="00AE7D29"/>
    <w:rsid w:val="00AF07DB"/>
    <w:rsid w:val="00AF426B"/>
    <w:rsid w:val="00AF4547"/>
    <w:rsid w:val="00AF4576"/>
    <w:rsid w:val="00AF57AB"/>
    <w:rsid w:val="00AF6211"/>
    <w:rsid w:val="00AF667D"/>
    <w:rsid w:val="00AF6B11"/>
    <w:rsid w:val="00AF705B"/>
    <w:rsid w:val="00AF79F8"/>
    <w:rsid w:val="00B012F1"/>
    <w:rsid w:val="00B01BD2"/>
    <w:rsid w:val="00B01C69"/>
    <w:rsid w:val="00B030E9"/>
    <w:rsid w:val="00B043EB"/>
    <w:rsid w:val="00B05086"/>
    <w:rsid w:val="00B050AD"/>
    <w:rsid w:val="00B05255"/>
    <w:rsid w:val="00B05560"/>
    <w:rsid w:val="00B06B19"/>
    <w:rsid w:val="00B06D79"/>
    <w:rsid w:val="00B06E0A"/>
    <w:rsid w:val="00B074BB"/>
    <w:rsid w:val="00B077B9"/>
    <w:rsid w:val="00B079EF"/>
    <w:rsid w:val="00B07BCE"/>
    <w:rsid w:val="00B07DDB"/>
    <w:rsid w:val="00B1047A"/>
    <w:rsid w:val="00B11916"/>
    <w:rsid w:val="00B12001"/>
    <w:rsid w:val="00B12BFB"/>
    <w:rsid w:val="00B13AB1"/>
    <w:rsid w:val="00B14289"/>
    <w:rsid w:val="00B14FB5"/>
    <w:rsid w:val="00B164D9"/>
    <w:rsid w:val="00B16718"/>
    <w:rsid w:val="00B170D6"/>
    <w:rsid w:val="00B177D4"/>
    <w:rsid w:val="00B17BEE"/>
    <w:rsid w:val="00B17DF3"/>
    <w:rsid w:val="00B206B7"/>
    <w:rsid w:val="00B20F3D"/>
    <w:rsid w:val="00B2139B"/>
    <w:rsid w:val="00B219DA"/>
    <w:rsid w:val="00B239EE"/>
    <w:rsid w:val="00B24D20"/>
    <w:rsid w:val="00B25806"/>
    <w:rsid w:val="00B25AF0"/>
    <w:rsid w:val="00B25B6A"/>
    <w:rsid w:val="00B25F25"/>
    <w:rsid w:val="00B25F70"/>
    <w:rsid w:val="00B26699"/>
    <w:rsid w:val="00B26CB3"/>
    <w:rsid w:val="00B276D4"/>
    <w:rsid w:val="00B27980"/>
    <w:rsid w:val="00B27A27"/>
    <w:rsid w:val="00B27B18"/>
    <w:rsid w:val="00B301B7"/>
    <w:rsid w:val="00B31967"/>
    <w:rsid w:val="00B31B1D"/>
    <w:rsid w:val="00B325F3"/>
    <w:rsid w:val="00B32A69"/>
    <w:rsid w:val="00B33063"/>
    <w:rsid w:val="00B34267"/>
    <w:rsid w:val="00B343BA"/>
    <w:rsid w:val="00B34CD7"/>
    <w:rsid w:val="00B35621"/>
    <w:rsid w:val="00B36F2C"/>
    <w:rsid w:val="00B37B4B"/>
    <w:rsid w:val="00B37FAA"/>
    <w:rsid w:val="00B400F5"/>
    <w:rsid w:val="00B404EF"/>
    <w:rsid w:val="00B4093C"/>
    <w:rsid w:val="00B419B1"/>
    <w:rsid w:val="00B42008"/>
    <w:rsid w:val="00B4233A"/>
    <w:rsid w:val="00B42F5E"/>
    <w:rsid w:val="00B434F3"/>
    <w:rsid w:val="00B43A7D"/>
    <w:rsid w:val="00B44451"/>
    <w:rsid w:val="00B44530"/>
    <w:rsid w:val="00B4456C"/>
    <w:rsid w:val="00B446CF"/>
    <w:rsid w:val="00B45054"/>
    <w:rsid w:val="00B45710"/>
    <w:rsid w:val="00B45F6E"/>
    <w:rsid w:val="00B46A2E"/>
    <w:rsid w:val="00B47E9B"/>
    <w:rsid w:val="00B50322"/>
    <w:rsid w:val="00B50DDB"/>
    <w:rsid w:val="00B51D43"/>
    <w:rsid w:val="00B521B4"/>
    <w:rsid w:val="00B52D0F"/>
    <w:rsid w:val="00B53CDC"/>
    <w:rsid w:val="00B55D82"/>
    <w:rsid w:val="00B55E99"/>
    <w:rsid w:val="00B55EE3"/>
    <w:rsid w:val="00B575AA"/>
    <w:rsid w:val="00B57A49"/>
    <w:rsid w:val="00B57EFE"/>
    <w:rsid w:val="00B60169"/>
    <w:rsid w:val="00B615C4"/>
    <w:rsid w:val="00B618BC"/>
    <w:rsid w:val="00B61A05"/>
    <w:rsid w:val="00B61C49"/>
    <w:rsid w:val="00B61E7F"/>
    <w:rsid w:val="00B61E9F"/>
    <w:rsid w:val="00B621C8"/>
    <w:rsid w:val="00B62B6D"/>
    <w:rsid w:val="00B63013"/>
    <w:rsid w:val="00B63757"/>
    <w:rsid w:val="00B63B91"/>
    <w:rsid w:val="00B657A4"/>
    <w:rsid w:val="00B65AF0"/>
    <w:rsid w:val="00B65BCA"/>
    <w:rsid w:val="00B65C96"/>
    <w:rsid w:val="00B65FAF"/>
    <w:rsid w:val="00B6764E"/>
    <w:rsid w:val="00B67EA7"/>
    <w:rsid w:val="00B706D5"/>
    <w:rsid w:val="00B70C0E"/>
    <w:rsid w:val="00B71A72"/>
    <w:rsid w:val="00B721CE"/>
    <w:rsid w:val="00B7234C"/>
    <w:rsid w:val="00B728E2"/>
    <w:rsid w:val="00B73A84"/>
    <w:rsid w:val="00B73BC8"/>
    <w:rsid w:val="00B7439B"/>
    <w:rsid w:val="00B75C92"/>
    <w:rsid w:val="00B765ED"/>
    <w:rsid w:val="00B771EB"/>
    <w:rsid w:val="00B77818"/>
    <w:rsid w:val="00B77AFD"/>
    <w:rsid w:val="00B80FDC"/>
    <w:rsid w:val="00B813AF"/>
    <w:rsid w:val="00B814C3"/>
    <w:rsid w:val="00B815E9"/>
    <w:rsid w:val="00B82044"/>
    <w:rsid w:val="00B824A7"/>
    <w:rsid w:val="00B82759"/>
    <w:rsid w:val="00B82844"/>
    <w:rsid w:val="00B8367B"/>
    <w:rsid w:val="00B856FB"/>
    <w:rsid w:val="00B877D5"/>
    <w:rsid w:val="00B87DAE"/>
    <w:rsid w:val="00B9056C"/>
    <w:rsid w:val="00B917AC"/>
    <w:rsid w:val="00B92019"/>
    <w:rsid w:val="00B92162"/>
    <w:rsid w:val="00B92D1C"/>
    <w:rsid w:val="00B93A29"/>
    <w:rsid w:val="00B93FFD"/>
    <w:rsid w:val="00B94328"/>
    <w:rsid w:val="00B943DC"/>
    <w:rsid w:val="00B9445C"/>
    <w:rsid w:val="00B94C1D"/>
    <w:rsid w:val="00B952F9"/>
    <w:rsid w:val="00B9588B"/>
    <w:rsid w:val="00B9691B"/>
    <w:rsid w:val="00BA0929"/>
    <w:rsid w:val="00BA0E51"/>
    <w:rsid w:val="00BA0EA8"/>
    <w:rsid w:val="00BA17A0"/>
    <w:rsid w:val="00BA185C"/>
    <w:rsid w:val="00BA203D"/>
    <w:rsid w:val="00BA204B"/>
    <w:rsid w:val="00BA387A"/>
    <w:rsid w:val="00BA768E"/>
    <w:rsid w:val="00BB13D7"/>
    <w:rsid w:val="00BB2940"/>
    <w:rsid w:val="00BB2B5E"/>
    <w:rsid w:val="00BB2BFB"/>
    <w:rsid w:val="00BB38C7"/>
    <w:rsid w:val="00BB4222"/>
    <w:rsid w:val="00BB44CF"/>
    <w:rsid w:val="00BB513C"/>
    <w:rsid w:val="00BB5F6E"/>
    <w:rsid w:val="00BB6A84"/>
    <w:rsid w:val="00BB6EA1"/>
    <w:rsid w:val="00BB781D"/>
    <w:rsid w:val="00BB7D57"/>
    <w:rsid w:val="00BC00B8"/>
    <w:rsid w:val="00BC0B07"/>
    <w:rsid w:val="00BC1B0F"/>
    <w:rsid w:val="00BC20A4"/>
    <w:rsid w:val="00BC265F"/>
    <w:rsid w:val="00BC3CB4"/>
    <w:rsid w:val="00BC4095"/>
    <w:rsid w:val="00BC4962"/>
    <w:rsid w:val="00BC49E4"/>
    <w:rsid w:val="00BC52BE"/>
    <w:rsid w:val="00BC5FE5"/>
    <w:rsid w:val="00BC6312"/>
    <w:rsid w:val="00BC688B"/>
    <w:rsid w:val="00BC6AAD"/>
    <w:rsid w:val="00BC7585"/>
    <w:rsid w:val="00BC7652"/>
    <w:rsid w:val="00BC79CD"/>
    <w:rsid w:val="00BD0105"/>
    <w:rsid w:val="00BD01D9"/>
    <w:rsid w:val="00BD028B"/>
    <w:rsid w:val="00BD0B18"/>
    <w:rsid w:val="00BD1B8A"/>
    <w:rsid w:val="00BD1F8E"/>
    <w:rsid w:val="00BD2418"/>
    <w:rsid w:val="00BD300C"/>
    <w:rsid w:val="00BD31D5"/>
    <w:rsid w:val="00BD39C6"/>
    <w:rsid w:val="00BD3C56"/>
    <w:rsid w:val="00BD49DF"/>
    <w:rsid w:val="00BD4F83"/>
    <w:rsid w:val="00BD516D"/>
    <w:rsid w:val="00BD59D6"/>
    <w:rsid w:val="00BD5C0B"/>
    <w:rsid w:val="00BD6489"/>
    <w:rsid w:val="00BD6E54"/>
    <w:rsid w:val="00BD718C"/>
    <w:rsid w:val="00BD72F4"/>
    <w:rsid w:val="00BD7F35"/>
    <w:rsid w:val="00BE03EE"/>
    <w:rsid w:val="00BE09C5"/>
    <w:rsid w:val="00BE1053"/>
    <w:rsid w:val="00BE150C"/>
    <w:rsid w:val="00BE193D"/>
    <w:rsid w:val="00BE1E7F"/>
    <w:rsid w:val="00BE1FB1"/>
    <w:rsid w:val="00BE20B3"/>
    <w:rsid w:val="00BE263E"/>
    <w:rsid w:val="00BE3006"/>
    <w:rsid w:val="00BE33A8"/>
    <w:rsid w:val="00BE38CD"/>
    <w:rsid w:val="00BE45DB"/>
    <w:rsid w:val="00BE4A52"/>
    <w:rsid w:val="00BE4AEB"/>
    <w:rsid w:val="00BE61EF"/>
    <w:rsid w:val="00BE623E"/>
    <w:rsid w:val="00BE6B63"/>
    <w:rsid w:val="00BE7022"/>
    <w:rsid w:val="00BE7258"/>
    <w:rsid w:val="00BE7421"/>
    <w:rsid w:val="00BE7CAA"/>
    <w:rsid w:val="00BE7CB3"/>
    <w:rsid w:val="00BF0EE0"/>
    <w:rsid w:val="00BF195F"/>
    <w:rsid w:val="00BF1CF9"/>
    <w:rsid w:val="00BF1D3F"/>
    <w:rsid w:val="00BF1D94"/>
    <w:rsid w:val="00BF230B"/>
    <w:rsid w:val="00BF311E"/>
    <w:rsid w:val="00BF3486"/>
    <w:rsid w:val="00BF3C92"/>
    <w:rsid w:val="00BF3EDF"/>
    <w:rsid w:val="00BF4A60"/>
    <w:rsid w:val="00BF551A"/>
    <w:rsid w:val="00BF600A"/>
    <w:rsid w:val="00BF72C3"/>
    <w:rsid w:val="00C007FB"/>
    <w:rsid w:val="00C0151C"/>
    <w:rsid w:val="00C01A46"/>
    <w:rsid w:val="00C01F24"/>
    <w:rsid w:val="00C025D9"/>
    <w:rsid w:val="00C02A25"/>
    <w:rsid w:val="00C02AE6"/>
    <w:rsid w:val="00C02B8A"/>
    <w:rsid w:val="00C03450"/>
    <w:rsid w:val="00C03E05"/>
    <w:rsid w:val="00C04263"/>
    <w:rsid w:val="00C04297"/>
    <w:rsid w:val="00C046C9"/>
    <w:rsid w:val="00C0507B"/>
    <w:rsid w:val="00C0519B"/>
    <w:rsid w:val="00C05862"/>
    <w:rsid w:val="00C058E0"/>
    <w:rsid w:val="00C07254"/>
    <w:rsid w:val="00C10201"/>
    <w:rsid w:val="00C10E38"/>
    <w:rsid w:val="00C110EC"/>
    <w:rsid w:val="00C11C3F"/>
    <w:rsid w:val="00C12174"/>
    <w:rsid w:val="00C134B8"/>
    <w:rsid w:val="00C13C24"/>
    <w:rsid w:val="00C14122"/>
    <w:rsid w:val="00C1542C"/>
    <w:rsid w:val="00C1626E"/>
    <w:rsid w:val="00C16860"/>
    <w:rsid w:val="00C16A9C"/>
    <w:rsid w:val="00C16D2D"/>
    <w:rsid w:val="00C17136"/>
    <w:rsid w:val="00C1735D"/>
    <w:rsid w:val="00C17FF0"/>
    <w:rsid w:val="00C20474"/>
    <w:rsid w:val="00C204D9"/>
    <w:rsid w:val="00C20782"/>
    <w:rsid w:val="00C21E09"/>
    <w:rsid w:val="00C22301"/>
    <w:rsid w:val="00C22CFF"/>
    <w:rsid w:val="00C23EA7"/>
    <w:rsid w:val="00C24044"/>
    <w:rsid w:val="00C243A3"/>
    <w:rsid w:val="00C244C2"/>
    <w:rsid w:val="00C24C04"/>
    <w:rsid w:val="00C256E6"/>
    <w:rsid w:val="00C25F48"/>
    <w:rsid w:val="00C269EE"/>
    <w:rsid w:val="00C26B1E"/>
    <w:rsid w:val="00C26DFF"/>
    <w:rsid w:val="00C300C6"/>
    <w:rsid w:val="00C303F5"/>
    <w:rsid w:val="00C305E3"/>
    <w:rsid w:val="00C307BF"/>
    <w:rsid w:val="00C30CD1"/>
    <w:rsid w:val="00C31CB8"/>
    <w:rsid w:val="00C31E84"/>
    <w:rsid w:val="00C31E88"/>
    <w:rsid w:val="00C32392"/>
    <w:rsid w:val="00C32CFB"/>
    <w:rsid w:val="00C33124"/>
    <w:rsid w:val="00C3317C"/>
    <w:rsid w:val="00C3333F"/>
    <w:rsid w:val="00C33E96"/>
    <w:rsid w:val="00C340DA"/>
    <w:rsid w:val="00C34BE3"/>
    <w:rsid w:val="00C35B4B"/>
    <w:rsid w:val="00C36C18"/>
    <w:rsid w:val="00C37356"/>
    <w:rsid w:val="00C40546"/>
    <w:rsid w:val="00C411D0"/>
    <w:rsid w:val="00C41537"/>
    <w:rsid w:val="00C41C08"/>
    <w:rsid w:val="00C41FD4"/>
    <w:rsid w:val="00C42093"/>
    <w:rsid w:val="00C421DA"/>
    <w:rsid w:val="00C42296"/>
    <w:rsid w:val="00C430B1"/>
    <w:rsid w:val="00C43920"/>
    <w:rsid w:val="00C44B31"/>
    <w:rsid w:val="00C44C82"/>
    <w:rsid w:val="00C44CA5"/>
    <w:rsid w:val="00C44E2D"/>
    <w:rsid w:val="00C451A2"/>
    <w:rsid w:val="00C45246"/>
    <w:rsid w:val="00C4528B"/>
    <w:rsid w:val="00C463E8"/>
    <w:rsid w:val="00C4653E"/>
    <w:rsid w:val="00C46601"/>
    <w:rsid w:val="00C469EC"/>
    <w:rsid w:val="00C46C2B"/>
    <w:rsid w:val="00C4757A"/>
    <w:rsid w:val="00C47D84"/>
    <w:rsid w:val="00C50210"/>
    <w:rsid w:val="00C50A88"/>
    <w:rsid w:val="00C50E45"/>
    <w:rsid w:val="00C51478"/>
    <w:rsid w:val="00C5264A"/>
    <w:rsid w:val="00C52EB5"/>
    <w:rsid w:val="00C52F00"/>
    <w:rsid w:val="00C53423"/>
    <w:rsid w:val="00C544C2"/>
    <w:rsid w:val="00C54875"/>
    <w:rsid w:val="00C54F4B"/>
    <w:rsid w:val="00C5528E"/>
    <w:rsid w:val="00C55362"/>
    <w:rsid w:val="00C55384"/>
    <w:rsid w:val="00C55B91"/>
    <w:rsid w:val="00C55E00"/>
    <w:rsid w:val="00C5620B"/>
    <w:rsid w:val="00C569A2"/>
    <w:rsid w:val="00C57217"/>
    <w:rsid w:val="00C57757"/>
    <w:rsid w:val="00C6094C"/>
    <w:rsid w:val="00C62534"/>
    <w:rsid w:val="00C631FE"/>
    <w:rsid w:val="00C6350F"/>
    <w:rsid w:val="00C637C5"/>
    <w:rsid w:val="00C639B0"/>
    <w:rsid w:val="00C64B86"/>
    <w:rsid w:val="00C64CCD"/>
    <w:rsid w:val="00C655A5"/>
    <w:rsid w:val="00C657FB"/>
    <w:rsid w:val="00C66371"/>
    <w:rsid w:val="00C66511"/>
    <w:rsid w:val="00C66A07"/>
    <w:rsid w:val="00C6772A"/>
    <w:rsid w:val="00C67826"/>
    <w:rsid w:val="00C67F0B"/>
    <w:rsid w:val="00C70225"/>
    <w:rsid w:val="00C71D8E"/>
    <w:rsid w:val="00C727B0"/>
    <w:rsid w:val="00C7281B"/>
    <w:rsid w:val="00C7297E"/>
    <w:rsid w:val="00C72C49"/>
    <w:rsid w:val="00C74C95"/>
    <w:rsid w:val="00C75129"/>
    <w:rsid w:val="00C755F5"/>
    <w:rsid w:val="00C764AD"/>
    <w:rsid w:val="00C8044C"/>
    <w:rsid w:val="00C80A79"/>
    <w:rsid w:val="00C813C3"/>
    <w:rsid w:val="00C8212F"/>
    <w:rsid w:val="00C82F73"/>
    <w:rsid w:val="00C83285"/>
    <w:rsid w:val="00C83821"/>
    <w:rsid w:val="00C83973"/>
    <w:rsid w:val="00C842E8"/>
    <w:rsid w:val="00C85946"/>
    <w:rsid w:val="00C86E9E"/>
    <w:rsid w:val="00C900F5"/>
    <w:rsid w:val="00C9033E"/>
    <w:rsid w:val="00C90AC3"/>
    <w:rsid w:val="00C92016"/>
    <w:rsid w:val="00C92495"/>
    <w:rsid w:val="00C92C59"/>
    <w:rsid w:val="00C936AB"/>
    <w:rsid w:val="00C942DF"/>
    <w:rsid w:val="00C947BF"/>
    <w:rsid w:val="00C94C09"/>
    <w:rsid w:val="00C9682D"/>
    <w:rsid w:val="00C97E3C"/>
    <w:rsid w:val="00CA0C64"/>
    <w:rsid w:val="00CA11D7"/>
    <w:rsid w:val="00CA1307"/>
    <w:rsid w:val="00CA240E"/>
    <w:rsid w:val="00CA265B"/>
    <w:rsid w:val="00CA2818"/>
    <w:rsid w:val="00CA2F8F"/>
    <w:rsid w:val="00CA368B"/>
    <w:rsid w:val="00CA3752"/>
    <w:rsid w:val="00CA46D7"/>
    <w:rsid w:val="00CA4965"/>
    <w:rsid w:val="00CA4B42"/>
    <w:rsid w:val="00CA513F"/>
    <w:rsid w:val="00CA58E2"/>
    <w:rsid w:val="00CA5C10"/>
    <w:rsid w:val="00CA5E49"/>
    <w:rsid w:val="00CA6273"/>
    <w:rsid w:val="00CA68E7"/>
    <w:rsid w:val="00CA7025"/>
    <w:rsid w:val="00CA74FC"/>
    <w:rsid w:val="00CB00B5"/>
    <w:rsid w:val="00CB071C"/>
    <w:rsid w:val="00CB0C6F"/>
    <w:rsid w:val="00CB0CB7"/>
    <w:rsid w:val="00CB1598"/>
    <w:rsid w:val="00CB1A13"/>
    <w:rsid w:val="00CB1A64"/>
    <w:rsid w:val="00CB2C56"/>
    <w:rsid w:val="00CB2FBB"/>
    <w:rsid w:val="00CB422D"/>
    <w:rsid w:val="00CB4C5A"/>
    <w:rsid w:val="00CB4D4B"/>
    <w:rsid w:val="00CB511A"/>
    <w:rsid w:val="00CB6515"/>
    <w:rsid w:val="00CB6554"/>
    <w:rsid w:val="00CB65B5"/>
    <w:rsid w:val="00CB677B"/>
    <w:rsid w:val="00CB6910"/>
    <w:rsid w:val="00CB727F"/>
    <w:rsid w:val="00CB73DA"/>
    <w:rsid w:val="00CB79C6"/>
    <w:rsid w:val="00CB7DEC"/>
    <w:rsid w:val="00CB7F5D"/>
    <w:rsid w:val="00CC09D2"/>
    <w:rsid w:val="00CC0B84"/>
    <w:rsid w:val="00CC17C9"/>
    <w:rsid w:val="00CC1BAD"/>
    <w:rsid w:val="00CC1E1C"/>
    <w:rsid w:val="00CC2798"/>
    <w:rsid w:val="00CC2C98"/>
    <w:rsid w:val="00CC2DFA"/>
    <w:rsid w:val="00CC3183"/>
    <w:rsid w:val="00CC329D"/>
    <w:rsid w:val="00CC3F38"/>
    <w:rsid w:val="00CC4594"/>
    <w:rsid w:val="00CC5524"/>
    <w:rsid w:val="00CC6486"/>
    <w:rsid w:val="00CC6C97"/>
    <w:rsid w:val="00CC7761"/>
    <w:rsid w:val="00CD0437"/>
    <w:rsid w:val="00CD20A7"/>
    <w:rsid w:val="00CD2673"/>
    <w:rsid w:val="00CD316C"/>
    <w:rsid w:val="00CD3399"/>
    <w:rsid w:val="00CD3461"/>
    <w:rsid w:val="00CD4112"/>
    <w:rsid w:val="00CD4560"/>
    <w:rsid w:val="00CD4C00"/>
    <w:rsid w:val="00CD5E75"/>
    <w:rsid w:val="00CD600D"/>
    <w:rsid w:val="00CD62A3"/>
    <w:rsid w:val="00CD716E"/>
    <w:rsid w:val="00CD724B"/>
    <w:rsid w:val="00CD754D"/>
    <w:rsid w:val="00CE08B0"/>
    <w:rsid w:val="00CE0DE2"/>
    <w:rsid w:val="00CE1DA6"/>
    <w:rsid w:val="00CE6469"/>
    <w:rsid w:val="00CE6703"/>
    <w:rsid w:val="00CE6C53"/>
    <w:rsid w:val="00CF0281"/>
    <w:rsid w:val="00CF1A28"/>
    <w:rsid w:val="00CF2579"/>
    <w:rsid w:val="00CF27B2"/>
    <w:rsid w:val="00CF2F9B"/>
    <w:rsid w:val="00CF33C4"/>
    <w:rsid w:val="00CF5220"/>
    <w:rsid w:val="00CF5815"/>
    <w:rsid w:val="00CF5BB3"/>
    <w:rsid w:val="00CF695C"/>
    <w:rsid w:val="00CF697C"/>
    <w:rsid w:val="00CF7933"/>
    <w:rsid w:val="00CF795A"/>
    <w:rsid w:val="00CF7E9B"/>
    <w:rsid w:val="00D01823"/>
    <w:rsid w:val="00D026C2"/>
    <w:rsid w:val="00D02B3F"/>
    <w:rsid w:val="00D03119"/>
    <w:rsid w:val="00D03436"/>
    <w:rsid w:val="00D04140"/>
    <w:rsid w:val="00D046B5"/>
    <w:rsid w:val="00D04935"/>
    <w:rsid w:val="00D049D2"/>
    <w:rsid w:val="00D04B71"/>
    <w:rsid w:val="00D05132"/>
    <w:rsid w:val="00D069B6"/>
    <w:rsid w:val="00D06A5E"/>
    <w:rsid w:val="00D07923"/>
    <w:rsid w:val="00D07A5F"/>
    <w:rsid w:val="00D07C13"/>
    <w:rsid w:val="00D10008"/>
    <w:rsid w:val="00D10E40"/>
    <w:rsid w:val="00D11433"/>
    <w:rsid w:val="00D1242D"/>
    <w:rsid w:val="00D128D2"/>
    <w:rsid w:val="00D13417"/>
    <w:rsid w:val="00D135A2"/>
    <w:rsid w:val="00D136FE"/>
    <w:rsid w:val="00D1377B"/>
    <w:rsid w:val="00D13F4E"/>
    <w:rsid w:val="00D153CE"/>
    <w:rsid w:val="00D15DA2"/>
    <w:rsid w:val="00D16EFC"/>
    <w:rsid w:val="00D1768A"/>
    <w:rsid w:val="00D17725"/>
    <w:rsid w:val="00D205C6"/>
    <w:rsid w:val="00D20DA6"/>
    <w:rsid w:val="00D20F69"/>
    <w:rsid w:val="00D217EF"/>
    <w:rsid w:val="00D21A25"/>
    <w:rsid w:val="00D21B0F"/>
    <w:rsid w:val="00D21E91"/>
    <w:rsid w:val="00D22288"/>
    <w:rsid w:val="00D222F7"/>
    <w:rsid w:val="00D22C0E"/>
    <w:rsid w:val="00D233B8"/>
    <w:rsid w:val="00D23912"/>
    <w:rsid w:val="00D23A4E"/>
    <w:rsid w:val="00D2593B"/>
    <w:rsid w:val="00D26270"/>
    <w:rsid w:val="00D262C4"/>
    <w:rsid w:val="00D26311"/>
    <w:rsid w:val="00D2664C"/>
    <w:rsid w:val="00D273A1"/>
    <w:rsid w:val="00D278ED"/>
    <w:rsid w:val="00D27AC9"/>
    <w:rsid w:val="00D3050B"/>
    <w:rsid w:val="00D30EA4"/>
    <w:rsid w:val="00D3189A"/>
    <w:rsid w:val="00D31C35"/>
    <w:rsid w:val="00D31D03"/>
    <w:rsid w:val="00D32023"/>
    <w:rsid w:val="00D32F69"/>
    <w:rsid w:val="00D330FF"/>
    <w:rsid w:val="00D33955"/>
    <w:rsid w:val="00D339F7"/>
    <w:rsid w:val="00D33E88"/>
    <w:rsid w:val="00D35505"/>
    <w:rsid w:val="00D3614B"/>
    <w:rsid w:val="00D3677C"/>
    <w:rsid w:val="00D36873"/>
    <w:rsid w:val="00D4008C"/>
    <w:rsid w:val="00D40547"/>
    <w:rsid w:val="00D41DA2"/>
    <w:rsid w:val="00D4222F"/>
    <w:rsid w:val="00D42AB9"/>
    <w:rsid w:val="00D42E20"/>
    <w:rsid w:val="00D43C0B"/>
    <w:rsid w:val="00D441AE"/>
    <w:rsid w:val="00D45991"/>
    <w:rsid w:val="00D45FED"/>
    <w:rsid w:val="00D4601F"/>
    <w:rsid w:val="00D46879"/>
    <w:rsid w:val="00D46D82"/>
    <w:rsid w:val="00D46EB9"/>
    <w:rsid w:val="00D478AF"/>
    <w:rsid w:val="00D47D2F"/>
    <w:rsid w:val="00D51140"/>
    <w:rsid w:val="00D51EB0"/>
    <w:rsid w:val="00D525FA"/>
    <w:rsid w:val="00D52BCD"/>
    <w:rsid w:val="00D53C73"/>
    <w:rsid w:val="00D53E4D"/>
    <w:rsid w:val="00D54AE6"/>
    <w:rsid w:val="00D54ED3"/>
    <w:rsid w:val="00D56599"/>
    <w:rsid w:val="00D56814"/>
    <w:rsid w:val="00D569DD"/>
    <w:rsid w:val="00D56BDC"/>
    <w:rsid w:val="00D570EB"/>
    <w:rsid w:val="00D57946"/>
    <w:rsid w:val="00D609F6"/>
    <w:rsid w:val="00D60FB6"/>
    <w:rsid w:val="00D61032"/>
    <w:rsid w:val="00D6107F"/>
    <w:rsid w:val="00D61D92"/>
    <w:rsid w:val="00D62563"/>
    <w:rsid w:val="00D6268E"/>
    <w:rsid w:val="00D62705"/>
    <w:rsid w:val="00D629B6"/>
    <w:rsid w:val="00D62D77"/>
    <w:rsid w:val="00D62FA8"/>
    <w:rsid w:val="00D63770"/>
    <w:rsid w:val="00D64C3B"/>
    <w:rsid w:val="00D65CBE"/>
    <w:rsid w:val="00D66606"/>
    <w:rsid w:val="00D66B46"/>
    <w:rsid w:val="00D673EE"/>
    <w:rsid w:val="00D702B5"/>
    <w:rsid w:val="00D7034F"/>
    <w:rsid w:val="00D714B6"/>
    <w:rsid w:val="00D71808"/>
    <w:rsid w:val="00D71AB0"/>
    <w:rsid w:val="00D72117"/>
    <w:rsid w:val="00D72151"/>
    <w:rsid w:val="00D73124"/>
    <w:rsid w:val="00D73416"/>
    <w:rsid w:val="00D737BF"/>
    <w:rsid w:val="00D74BAF"/>
    <w:rsid w:val="00D7557B"/>
    <w:rsid w:val="00D806F7"/>
    <w:rsid w:val="00D81148"/>
    <w:rsid w:val="00D812E5"/>
    <w:rsid w:val="00D818BD"/>
    <w:rsid w:val="00D81D06"/>
    <w:rsid w:val="00D820DC"/>
    <w:rsid w:val="00D8289B"/>
    <w:rsid w:val="00D82D97"/>
    <w:rsid w:val="00D82DBD"/>
    <w:rsid w:val="00D82EC6"/>
    <w:rsid w:val="00D833B1"/>
    <w:rsid w:val="00D8350C"/>
    <w:rsid w:val="00D84013"/>
    <w:rsid w:val="00D8579E"/>
    <w:rsid w:val="00D87274"/>
    <w:rsid w:val="00D8739A"/>
    <w:rsid w:val="00D875BA"/>
    <w:rsid w:val="00D87D04"/>
    <w:rsid w:val="00D92280"/>
    <w:rsid w:val="00D922A2"/>
    <w:rsid w:val="00D9235C"/>
    <w:rsid w:val="00D92CB2"/>
    <w:rsid w:val="00D932DD"/>
    <w:rsid w:val="00D939B9"/>
    <w:rsid w:val="00D93C9D"/>
    <w:rsid w:val="00D93F59"/>
    <w:rsid w:val="00D946BA"/>
    <w:rsid w:val="00D94848"/>
    <w:rsid w:val="00D9571C"/>
    <w:rsid w:val="00D967FA"/>
    <w:rsid w:val="00D96941"/>
    <w:rsid w:val="00D969BB"/>
    <w:rsid w:val="00D96D3F"/>
    <w:rsid w:val="00D96DDE"/>
    <w:rsid w:val="00D976AA"/>
    <w:rsid w:val="00D97B08"/>
    <w:rsid w:val="00DA0301"/>
    <w:rsid w:val="00DA04E1"/>
    <w:rsid w:val="00DA17C3"/>
    <w:rsid w:val="00DA2493"/>
    <w:rsid w:val="00DA2B1E"/>
    <w:rsid w:val="00DA2CC9"/>
    <w:rsid w:val="00DA2E1B"/>
    <w:rsid w:val="00DA5266"/>
    <w:rsid w:val="00DA5F67"/>
    <w:rsid w:val="00DA68D0"/>
    <w:rsid w:val="00DA69C6"/>
    <w:rsid w:val="00DA705C"/>
    <w:rsid w:val="00DA7538"/>
    <w:rsid w:val="00DB0410"/>
    <w:rsid w:val="00DB20F1"/>
    <w:rsid w:val="00DB24F8"/>
    <w:rsid w:val="00DB2CEE"/>
    <w:rsid w:val="00DB3201"/>
    <w:rsid w:val="00DB4079"/>
    <w:rsid w:val="00DB4936"/>
    <w:rsid w:val="00DB4FEA"/>
    <w:rsid w:val="00DB55BA"/>
    <w:rsid w:val="00DB651E"/>
    <w:rsid w:val="00DB68CD"/>
    <w:rsid w:val="00DB69AC"/>
    <w:rsid w:val="00DB6AB2"/>
    <w:rsid w:val="00DB6DA2"/>
    <w:rsid w:val="00DB6E13"/>
    <w:rsid w:val="00DB796E"/>
    <w:rsid w:val="00DC07BD"/>
    <w:rsid w:val="00DC098E"/>
    <w:rsid w:val="00DC0A08"/>
    <w:rsid w:val="00DC1073"/>
    <w:rsid w:val="00DC187B"/>
    <w:rsid w:val="00DC1C12"/>
    <w:rsid w:val="00DC232A"/>
    <w:rsid w:val="00DC2E6A"/>
    <w:rsid w:val="00DC3964"/>
    <w:rsid w:val="00DC43F8"/>
    <w:rsid w:val="00DC4DD4"/>
    <w:rsid w:val="00DC4EA0"/>
    <w:rsid w:val="00DC597E"/>
    <w:rsid w:val="00DC6D8B"/>
    <w:rsid w:val="00DC6E12"/>
    <w:rsid w:val="00DC7D00"/>
    <w:rsid w:val="00DD20AD"/>
    <w:rsid w:val="00DD34B9"/>
    <w:rsid w:val="00DD3B4E"/>
    <w:rsid w:val="00DD3F36"/>
    <w:rsid w:val="00DD4229"/>
    <w:rsid w:val="00DD4B7F"/>
    <w:rsid w:val="00DD6596"/>
    <w:rsid w:val="00DD7955"/>
    <w:rsid w:val="00DE0BE9"/>
    <w:rsid w:val="00DE1025"/>
    <w:rsid w:val="00DE1761"/>
    <w:rsid w:val="00DE2447"/>
    <w:rsid w:val="00DE270C"/>
    <w:rsid w:val="00DE46CF"/>
    <w:rsid w:val="00DE4AB7"/>
    <w:rsid w:val="00DE4BE5"/>
    <w:rsid w:val="00DE5084"/>
    <w:rsid w:val="00DE5B20"/>
    <w:rsid w:val="00DE61CD"/>
    <w:rsid w:val="00DE66CA"/>
    <w:rsid w:val="00DE72EB"/>
    <w:rsid w:val="00DE736F"/>
    <w:rsid w:val="00DE7B10"/>
    <w:rsid w:val="00DE7C91"/>
    <w:rsid w:val="00DE7EDD"/>
    <w:rsid w:val="00DF0A8F"/>
    <w:rsid w:val="00DF0AAB"/>
    <w:rsid w:val="00DF0F77"/>
    <w:rsid w:val="00DF0FC2"/>
    <w:rsid w:val="00DF1311"/>
    <w:rsid w:val="00DF1A6C"/>
    <w:rsid w:val="00DF1D1F"/>
    <w:rsid w:val="00DF27F8"/>
    <w:rsid w:val="00DF2F0D"/>
    <w:rsid w:val="00DF36A9"/>
    <w:rsid w:val="00DF37DD"/>
    <w:rsid w:val="00DF3BEB"/>
    <w:rsid w:val="00DF79BE"/>
    <w:rsid w:val="00DF7FD5"/>
    <w:rsid w:val="00E002E2"/>
    <w:rsid w:val="00E00A7F"/>
    <w:rsid w:val="00E00BA5"/>
    <w:rsid w:val="00E01655"/>
    <w:rsid w:val="00E01FDE"/>
    <w:rsid w:val="00E020A2"/>
    <w:rsid w:val="00E021B0"/>
    <w:rsid w:val="00E02998"/>
    <w:rsid w:val="00E02E78"/>
    <w:rsid w:val="00E031D6"/>
    <w:rsid w:val="00E03213"/>
    <w:rsid w:val="00E035A9"/>
    <w:rsid w:val="00E036F9"/>
    <w:rsid w:val="00E03BEE"/>
    <w:rsid w:val="00E03E1B"/>
    <w:rsid w:val="00E0517C"/>
    <w:rsid w:val="00E05C50"/>
    <w:rsid w:val="00E06312"/>
    <w:rsid w:val="00E10B22"/>
    <w:rsid w:val="00E10BC6"/>
    <w:rsid w:val="00E1127E"/>
    <w:rsid w:val="00E1267B"/>
    <w:rsid w:val="00E12A44"/>
    <w:rsid w:val="00E12CA2"/>
    <w:rsid w:val="00E13199"/>
    <w:rsid w:val="00E138A6"/>
    <w:rsid w:val="00E13ABE"/>
    <w:rsid w:val="00E13E98"/>
    <w:rsid w:val="00E156C7"/>
    <w:rsid w:val="00E16189"/>
    <w:rsid w:val="00E161DF"/>
    <w:rsid w:val="00E1642D"/>
    <w:rsid w:val="00E17408"/>
    <w:rsid w:val="00E17B99"/>
    <w:rsid w:val="00E20E76"/>
    <w:rsid w:val="00E215E2"/>
    <w:rsid w:val="00E21ED3"/>
    <w:rsid w:val="00E225BC"/>
    <w:rsid w:val="00E228D1"/>
    <w:rsid w:val="00E22A26"/>
    <w:rsid w:val="00E22A45"/>
    <w:rsid w:val="00E231DD"/>
    <w:rsid w:val="00E24CED"/>
    <w:rsid w:val="00E25633"/>
    <w:rsid w:val="00E25658"/>
    <w:rsid w:val="00E256AE"/>
    <w:rsid w:val="00E2590B"/>
    <w:rsid w:val="00E25C36"/>
    <w:rsid w:val="00E260B0"/>
    <w:rsid w:val="00E260F4"/>
    <w:rsid w:val="00E2712D"/>
    <w:rsid w:val="00E27605"/>
    <w:rsid w:val="00E27F40"/>
    <w:rsid w:val="00E304B5"/>
    <w:rsid w:val="00E30665"/>
    <w:rsid w:val="00E31138"/>
    <w:rsid w:val="00E3127B"/>
    <w:rsid w:val="00E325E8"/>
    <w:rsid w:val="00E3272F"/>
    <w:rsid w:val="00E332DC"/>
    <w:rsid w:val="00E33CAD"/>
    <w:rsid w:val="00E33E5B"/>
    <w:rsid w:val="00E34897"/>
    <w:rsid w:val="00E34F50"/>
    <w:rsid w:val="00E34FC5"/>
    <w:rsid w:val="00E3571C"/>
    <w:rsid w:val="00E35CC6"/>
    <w:rsid w:val="00E35D9E"/>
    <w:rsid w:val="00E35E98"/>
    <w:rsid w:val="00E3662D"/>
    <w:rsid w:val="00E36A47"/>
    <w:rsid w:val="00E36BDB"/>
    <w:rsid w:val="00E40488"/>
    <w:rsid w:val="00E419A7"/>
    <w:rsid w:val="00E428A4"/>
    <w:rsid w:val="00E428BE"/>
    <w:rsid w:val="00E43689"/>
    <w:rsid w:val="00E43795"/>
    <w:rsid w:val="00E43D11"/>
    <w:rsid w:val="00E43D14"/>
    <w:rsid w:val="00E43F36"/>
    <w:rsid w:val="00E4473E"/>
    <w:rsid w:val="00E44AE2"/>
    <w:rsid w:val="00E44E8A"/>
    <w:rsid w:val="00E451D7"/>
    <w:rsid w:val="00E4631B"/>
    <w:rsid w:val="00E47686"/>
    <w:rsid w:val="00E5012A"/>
    <w:rsid w:val="00E50881"/>
    <w:rsid w:val="00E515CD"/>
    <w:rsid w:val="00E521E2"/>
    <w:rsid w:val="00E525A9"/>
    <w:rsid w:val="00E554A3"/>
    <w:rsid w:val="00E55F89"/>
    <w:rsid w:val="00E563E0"/>
    <w:rsid w:val="00E568CE"/>
    <w:rsid w:val="00E576CA"/>
    <w:rsid w:val="00E57895"/>
    <w:rsid w:val="00E57CD7"/>
    <w:rsid w:val="00E57CE6"/>
    <w:rsid w:val="00E60304"/>
    <w:rsid w:val="00E60496"/>
    <w:rsid w:val="00E60972"/>
    <w:rsid w:val="00E60ED6"/>
    <w:rsid w:val="00E61401"/>
    <w:rsid w:val="00E621F9"/>
    <w:rsid w:val="00E62D0B"/>
    <w:rsid w:val="00E630EB"/>
    <w:rsid w:val="00E63174"/>
    <w:rsid w:val="00E63737"/>
    <w:rsid w:val="00E63C06"/>
    <w:rsid w:val="00E64398"/>
    <w:rsid w:val="00E64AD0"/>
    <w:rsid w:val="00E65063"/>
    <w:rsid w:val="00E66AD5"/>
    <w:rsid w:val="00E670CF"/>
    <w:rsid w:val="00E672FB"/>
    <w:rsid w:val="00E677D3"/>
    <w:rsid w:val="00E67AC4"/>
    <w:rsid w:val="00E67D14"/>
    <w:rsid w:val="00E67D87"/>
    <w:rsid w:val="00E67FCE"/>
    <w:rsid w:val="00E702CD"/>
    <w:rsid w:val="00E706B2"/>
    <w:rsid w:val="00E71215"/>
    <w:rsid w:val="00E71CA7"/>
    <w:rsid w:val="00E73211"/>
    <w:rsid w:val="00E73531"/>
    <w:rsid w:val="00E74FC1"/>
    <w:rsid w:val="00E768D8"/>
    <w:rsid w:val="00E768FE"/>
    <w:rsid w:val="00E769F5"/>
    <w:rsid w:val="00E77FBC"/>
    <w:rsid w:val="00E80558"/>
    <w:rsid w:val="00E80A4D"/>
    <w:rsid w:val="00E80B50"/>
    <w:rsid w:val="00E80DDD"/>
    <w:rsid w:val="00E81715"/>
    <w:rsid w:val="00E81905"/>
    <w:rsid w:val="00E81FBE"/>
    <w:rsid w:val="00E8205C"/>
    <w:rsid w:val="00E828CA"/>
    <w:rsid w:val="00E82B6C"/>
    <w:rsid w:val="00E830A8"/>
    <w:rsid w:val="00E83965"/>
    <w:rsid w:val="00E85861"/>
    <w:rsid w:val="00E85E61"/>
    <w:rsid w:val="00E86383"/>
    <w:rsid w:val="00E867AB"/>
    <w:rsid w:val="00E86B2E"/>
    <w:rsid w:val="00E86FB0"/>
    <w:rsid w:val="00E87140"/>
    <w:rsid w:val="00E903BD"/>
    <w:rsid w:val="00E91241"/>
    <w:rsid w:val="00E9163C"/>
    <w:rsid w:val="00E92636"/>
    <w:rsid w:val="00E92F4F"/>
    <w:rsid w:val="00E93CC4"/>
    <w:rsid w:val="00E93F80"/>
    <w:rsid w:val="00E94751"/>
    <w:rsid w:val="00E949DD"/>
    <w:rsid w:val="00E94DB4"/>
    <w:rsid w:val="00E951C9"/>
    <w:rsid w:val="00E962F5"/>
    <w:rsid w:val="00E969B8"/>
    <w:rsid w:val="00E96C67"/>
    <w:rsid w:val="00E976FD"/>
    <w:rsid w:val="00E97A59"/>
    <w:rsid w:val="00E97F30"/>
    <w:rsid w:val="00EA02B5"/>
    <w:rsid w:val="00EA0AC3"/>
    <w:rsid w:val="00EA0FA9"/>
    <w:rsid w:val="00EA17BA"/>
    <w:rsid w:val="00EA2466"/>
    <w:rsid w:val="00EA2A5F"/>
    <w:rsid w:val="00EA3E89"/>
    <w:rsid w:val="00EA453C"/>
    <w:rsid w:val="00EA45CA"/>
    <w:rsid w:val="00EA48DB"/>
    <w:rsid w:val="00EA4AD4"/>
    <w:rsid w:val="00EA4C7F"/>
    <w:rsid w:val="00EA4FE9"/>
    <w:rsid w:val="00EA53F3"/>
    <w:rsid w:val="00EA5D72"/>
    <w:rsid w:val="00EB05A1"/>
    <w:rsid w:val="00EB095E"/>
    <w:rsid w:val="00EB10D5"/>
    <w:rsid w:val="00EB1942"/>
    <w:rsid w:val="00EB23F7"/>
    <w:rsid w:val="00EB260E"/>
    <w:rsid w:val="00EB293F"/>
    <w:rsid w:val="00EB298D"/>
    <w:rsid w:val="00EB2F22"/>
    <w:rsid w:val="00EB369C"/>
    <w:rsid w:val="00EB3BB4"/>
    <w:rsid w:val="00EB400D"/>
    <w:rsid w:val="00EB4751"/>
    <w:rsid w:val="00EB4DCD"/>
    <w:rsid w:val="00EB5FD7"/>
    <w:rsid w:val="00EB60BE"/>
    <w:rsid w:val="00EB61E1"/>
    <w:rsid w:val="00EB6543"/>
    <w:rsid w:val="00EB68BD"/>
    <w:rsid w:val="00EB6ED1"/>
    <w:rsid w:val="00EB6ED6"/>
    <w:rsid w:val="00EB7377"/>
    <w:rsid w:val="00EB7861"/>
    <w:rsid w:val="00EB7956"/>
    <w:rsid w:val="00EC01B2"/>
    <w:rsid w:val="00EC05A5"/>
    <w:rsid w:val="00EC1DB4"/>
    <w:rsid w:val="00EC2CD2"/>
    <w:rsid w:val="00EC2F18"/>
    <w:rsid w:val="00EC36DE"/>
    <w:rsid w:val="00EC3EA8"/>
    <w:rsid w:val="00EC41FB"/>
    <w:rsid w:val="00EC44AA"/>
    <w:rsid w:val="00EC649C"/>
    <w:rsid w:val="00EC666B"/>
    <w:rsid w:val="00EC73B8"/>
    <w:rsid w:val="00EC79C2"/>
    <w:rsid w:val="00ED0D17"/>
    <w:rsid w:val="00ED150A"/>
    <w:rsid w:val="00ED1C29"/>
    <w:rsid w:val="00ED1EA4"/>
    <w:rsid w:val="00ED35EF"/>
    <w:rsid w:val="00ED3A38"/>
    <w:rsid w:val="00ED3AF4"/>
    <w:rsid w:val="00ED3EC9"/>
    <w:rsid w:val="00ED40FE"/>
    <w:rsid w:val="00ED4276"/>
    <w:rsid w:val="00ED4956"/>
    <w:rsid w:val="00ED4DE7"/>
    <w:rsid w:val="00ED5964"/>
    <w:rsid w:val="00ED6A9F"/>
    <w:rsid w:val="00ED743F"/>
    <w:rsid w:val="00ED7F0D"/>
    <w:rsid w:val="00EE0015"/>
    <w:rsid w:val="00EE2826"/>
    <w:rsid w:val="00EE2CE3"/>
    <w:rsid w:val="00EE4919"/>
    <w:rsid w:val="00EE59E7"/>
    <w:rsid w:val="00EE60F4"/>
    <w:rsid w:val="00EE7D44"/>
    <w:rsid w:val="00EE7F3E"/>
    <w:rsid w:val="00EF0984"/>
    <w:rsid w:val="00EF0AEB"/>
    <w:rsid w:val="00EF0EBA"/>
    <w:rsid w:val="00EF24DF"/>
    <w:rsid w:val="00EF2ED2"/>
    <w:rsid w:val="00EF30CC"/>
    <w:rsid w:val="00EF3C99"/>
    <w:rsid w:val="00EF43A9"/>
    <w:rsid w:val="00EF4468"/>
    <w:rsid w:val="00EF4EEA"/>
    <w:rsid w:val="00EF518A"/>
    <w:rsid w:val="00EF5547"/>
    <w:rsid w:val="00EF5C6B"/>
    <w:rsid w:val="00EF6213"/>
    <w:rsid w:val="00EF653C"/>
    <w:rsid w:val="00EF66B5"/>
    <w:rsid w:val="00EF6E0C"/>
    <w:rsid w:val="00EF7188"/>
    <w:rsid w:val="00F0086E"/>
    <w:rsid w:val="00F008DA"/>
    <w:rsid w:val="00F011C0"/>
    <w:rsid w:val="00F0194B"/>
    <w:rsid w:val="00F027EC"/>
    <w:rsid w:val="00F02DC9"/>
    <w:rsid w:val="00F035CA"/>
    <w:rsid w:val="00F04AB0"/>
    <w:rsid w:val="00F05AD7"/>
    <w:rsid w:val="00F05CBC"/>
    <w:rsid w:val="00F0689A"/>
    <w:rsid w:val="00F0694A"/>
    <w:rsid w:val="00F075CF"/>
    <w:rsid w:val="00F10854"/>
    <w:rsid w:val="00F10890"/>
    <w:rsid w:val="00F1131B"/>
    <w:rsid w:val="00F1141E"/>
    <w:rsid w:val="00F11BDE"/>
    <w:rsid w:val="00F11E54"/>
    <w:rsid w:val="00F12296"/>
    <w:rsid w:val="00F12FE8"/>
    <w:rsid w:val="00F142C8"/>
    <w:rsid w:val="00F145C7"/>
    <w:rsid w:val="00F147CD"/>
    <w:rsid w:val="00F150E9"/>
    <w:rsid w:val="00F16510"/>
    <w:rsid w:val="00F16651"/>
    <w:rsid w:val="00F16EF0"/>
    <w:rsid w:val="00F1728D"/>
    <w:rsid w:val="00F17E23"/>
    <w:rsid w:val="00F2058B"/>
    <w:rsid w:val="00F20884"/>
    <w:rsid w:val="00F21054"/>
    <w:rsid w:val="00F21B26"/>
    <w:rsid w:val="00F223BE"/>
    <w:rsid w:val="00F22C65"/>
    <w:rsid w:val="00F24345"/>
    <w:rsid w:val="00F24916"/>
    <w:rsid w:val="00F25C73"/>
    <w:rsid w:val="00F262A3"/>
    <w:rsid w:val="00F26A8B"/>
    <w:rsid w:val="00F275E1"/>
    <w:rsid w:val="00F316BD"/>
    <w:rsid w:val="00F3216D"/>
    <w:rsid w:val="00F327E7"/>
    <w:rsid w:val="00F3353D"/>
    <w:rsid w:val="00F33BF4"/>
    <w:rsid w:val="00F34075"/>
    <w:rsid w:val="00F34137"/>
    <w:rsid w:val="00F348BE"/>
    <w:rsid w:val="00F3541A"/>
    <w:rsid w:val="00F35681"/>
    <w:rsid w:val="00F36E00"/>
    <w:rsid w:val="00F40079"/>
    <w:rsid w:val="00F401A2"/>
    <w:rsid w:val="00F401F6"/>
    <w:rsid w:val="00F40C2F"/>
    <w:rsid w:val="00F41859"/>
    <w:rsid w:val="00F418F3"/>
    <w:rsid w:val="00F419A6"/>
    <w:rsid w:val="00F42979"/>
    <w:rsid w:val="00F436D3"/>
    <w:rsid w:val="00F44989"/>
    <w:rsid w:val="00F44EB6"/>
    <w:rsid w:val="00F45330"/>
    <w:rsid w:val="00F45E0C"/>
    <w:rsid w:val="00F45ED2"/>
    <w:rsid w:val="00F46355"/>
    <w:rsid w:val="00F47E3B"/>
    <w:rsid w:val="00F50249"/>
    <w:rsid w:val="00F50B68"/>
    <w:rsid w:val="00F516F1"/>
    <w:rsid w:val="00F517D3"/>
    <w:rsid w:val="00F51FA8"/>
    <w:rsid w:val="00F520FF"/>
    <w:rsid w:val="00F52304"/>
    <w:rsid w:val="00F52F0F"/>
    <w:rsid w:val="00F53069"/>
    <w:rsid w:val="00F53334"/>
    <w:rsid w:val="00F5375F"/>
    <w:rsid w:val="00F53929"/>
    <w:rsid w:val="00F541F3"/>
    <w:rsid w:val="00F5426B"/>
    <w:rsid w:val="00F549A2"/>
    <w:rsid w:val="00F5568B"/>
    <w:rsid w:val="00F55EB0"/>
    <w:rsid w:val="00F5726B"/>
    <w:rsid w:val="00F604F5"/>
    <w:rsid w:val="00F62CC4"/>
    <w:rsid w:val="00F639A5"/>
    <w:rsid w:val="00F64A35"/>
    <w:rsid w:val="00F64DA8"/>
    <w:rsid w:val="00F64FEB"/>
    <w:rsid w:val="00F65126"/>
    <w:rsid w:val="00F65240"/>
    <w:rsid w:val="00F652C5"/>
    <w:rsid w:val="00F65769"/>
    <w:rsid w:val="00F65907"/>
    <w:rsid w:val="00F659D9"/>
    <w:rsid w:val="00F65A63"/>
    <w:rsid w:val="00F663B0"/>
    <w:rsid w:val="00F665AF"/>
    <w:rsid w:val="00F6676F"/>
    <w:rsid w:val="00F67C69"/>
    <w:rsid w:val="00F67EC3"/>
    <w:rsid w:val="00F70846"/>
    <w:rsid w:val="00F71A34"/>
    <w:rsid w:val="00F71B27"/>
    <w:rsid w:val="00F72B70"/>
    <w:rsid w:val="00F73028"/>
    <w:rsid w:val="00F730D5"/>
    <w:rsid w:val="00F74DEB"/>
    <w:rsid w:val="00F752FE"/>
    <w:rsid w:val="00F75786"/>
    <w:rsid w:val="00F75DA5"/>
    <w:rsid w:val="00F7728E"/>
    <w:rsid w:val="00F80DB6"/>
    <w:rsid w:val="00F81A65"/>
    <w:rsid w:val="00F81CB5"/>
    <w:rsid w:val="00F81E42"/>
    <w:rsid w:val="00F8234E"/>
    <w:rsid w:val="00F83185"/>
    <w:rsid w:val="00F833C3"/>
    <w:rsid w:val="00F83EF6"/>
    <w:rsid w:val="00F84143"/>
    <w:rsid w:val="00F8426C"/>
    <w:rsid w:val="00F8471F"/>
    <w:rsid w:val="00F847BC"/>
    <w:rsid w:val="00F84CC2"/>
    <w:rsid w:val="00F87B08"/>
    <w:rsid w:val="00F9022C"/>
    <w:rsid w:val="00F903D8"/>
    <w:rsid w:val="00F93589"/>
    <w:rsid w:val="00F93C7E"/>
    <w:rsid w:val="00F93E28"/>
    <w:rsid w:val="00F97293"/>
    <w:rsid w:val="00F97640"/>
    <w:rsid w:val="00F97AB2"/>
    <w:rsid w:val="00F97EB9"/>
    <w:rsid w:val="00FA17F0"/>
    <w:rsid w:val="00FA19E8"/>
    <w:rsid w:val="00FA1EAF"/>
    <w:rsid w:val="00FA207E"/>
    <w:rsid w:val="00FA24C9"/>
    <w:rsid w:val="00FA27D9"/>
    <w:rsid w:val="00FA2CA9"/>
    <w:rsid w:val="00FA2CDE"/>
    <w:rsid w:val="00FA3956"/>
    <w:rsid w:val="00FA3D17"/>
    <w:rsid w:val="00FA437A"/>
    <w:rsid w:val="00FA536E"/>
    <w:rsid w:val="00FA54B8"/>
    <w:rsid w:val="00FA5534"/>
    <w:rsid w:val="00FA57A0"/>
    <w:rsid w:val="00FA5DC6"/>
    <w:rsid w:val="00FA5E24"/>
    <w:rsid w:val="00FA645B"/>
    <w:rsid w:val="00FA654F"/>
    <w:rsid w:val="00FA68CF"/>
    <w:rsid w:val="00FA6A82"/>
    <w:rsid w:val="00FB00C9"/>
    <w:rsid w:val="00FB0494"/>
    <w:rsid w:val="00FB10BC"/>
    <w:rsid w:val="00FB14E9"/>
    <w:rsid w:val="00FB1659"/>
    <w:rsid w:val="00FB2C73"/>
    <w:rsid w:val="00FB3478"/>
    <w:rsid w:val="00FB3988"/>
    <w:rsid w:val="00FB3BC5"/>
    <w:rsid w:val="00FB466B"/>
    <w:rsid w:val="00FB4C01"/>
    <w:rsid w:val="00FB5478"/>
    <w:rsid w:val="00FB5A40"/>
    <w:rsid w:val="00FB5B6B"/>
    <w:rsid w:val="00FB6CF5"/>
    <w:rsid w:val="00FB7691"/>
    <w:rsid w:val="00FC1D02"/>
    <w:rsid w:val="00FC1D7E"/>
    <w:rsid w:val="00FC2BAA"/>
    <w:rsid w:val="00FC46CE"/>
    <w:rsid w:val="00FC600A"/>
    <w:rsid w:val="00FC61EA"/>
    <w:rsid w:val="00FC68E3"/>
    <w:rsid w:val="00FC6E66"/>
    <w:rsid w:val="00FC7079"/>
    <w:rsid w:val="00FC7215"/>
    <w:rsid w:val="00FC75D9"/>
    <w:rsid w:val="00FD0872"/>
    <w:rsid w:val="00FD0A3D"/>
    <w:rsid w:val="00FD0D36"/>
    <w:rsid w:val="00FD0D50"/>
    <w:rsid w:val="00FD1515"/>
    <w:rsid w:val="00FD1641"/>
    <w:rsid w:val="00FD1691"/>
    <w:rsid w:val="00FD1867"/>
    <w:rsid w:val="00FD1EF4"/>
    <w:rsid w:val="00FD270A"/>
    <w:rsid w:val="00FD3A09"/>
    <w:rsid w:val="00FD44E2"/>
    <w:rsid w:val="00FD4B79"/>
    <w:rsid w:val="00FD57C2"/>
    <w:rsid w:val="00FD5F63"/>
    <w:rsid w:val="00FD5FE5"/>
    <w:rsid w:val="00FD6B6E"/>
    <w:rsid w:val="00FD7001"/>
    <w:rsid w:val="00FD7072"/>
    <w:rsid w:val="00FD7345"/>
    <w:rsid w:val="00FE08E4"/>
    <w:rsid w:val="00FE1A4B"/>
    <w:rsid w:val="00FE1D2C"/>
    <w:rsid w:val="00FE3A46"/>
    <w:rsid w:val="00FE43D8"/>
    <w:rsid w:val="00FE51E6"/>
    <w:rsid w:val="00FE57F1"/>
    <w:rsid w:val="00FE5977"/>
    <w:rsid w:val="00FE62F8"/>
    <w:rsid w:val="00FE6A7F"/>
    <w:rsid w:val="00FE6DA1"/>
    <w:rsid w:val="00FE6F2E"/>
    <w:rsid w:val="00FF0238"/>
    <w:rsid w:val="00FF0567"/>
    <w:rsid w:val="00FF07E3"/>
    <w:rsid w:val="00FF0BD3"/>
    <w:rsid w:val="00FF1CCA"/>
    <w:rsid w:val="00FF238F"/>
    <w:rsid w:val="00FF2554"/>
    <w:rsid w:val="00FF2EED"/>
    <w:rsid w:val="00FF318B"/>
    <w:rsid w:val="00FF3203"/>
    <w:rsid w:val="00FF4B9D"/>
    <w:rsid w:val="00FF525D"/>
    <w:rsid w:val="00FF5272"/>
    <w:rsid w:val="00FF5B71"/>
    <w:rsid w:val="00FF78CE"/>
    <w:rsid w:val="00FF7D3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C3538"/>
  <w15:docId w15:val="{E7D08AFC-A537-4CDC-944E-758FC9D2A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9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13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374"/>
    <w:rPr>
      <w:rFonts w:ascii="Tahoma" w:hAnsi="Tahoma" w:cs="Tahoma"/>
      <w:sz w:val="16"/>
      <w:szCs w:val="16"/>
      <w:lang w:val="en-GB"/>
    </w:rPr>
  </w:style>
  <w:style w:type="paragraph" w:styleId="Header">
    <w:name w:val="header"/>
    <w:basedOn w:val="Normal"/>
    <w:link w:val="HeaderChar"/>
    <w:uiPriority w:val="99"/>
    <w:unhideWhenUsed/>
    <w:rsid w:val="000F0C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C0E"/>
    <w:rPr>
      <w:lang w:val="en-GB"/>
    </w:rPr>
  </w:style>
  <w:style w:type="paragraph" w:styleId="Footer">
    <w:name w:val="footer"/>
    <w:basedOn w:val="Normal"/>
    <w:link w:val="FooterChar"/>
    <w:uiPriority w:val="99"/>
    <w:unhideWhenUsed/>
    <w:rsid w:val="000F0C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C0E"/>
    <w:rPr>
      <w:lang w:val="en-GB"/>
    </w:rPr>
  </w:style>
  <w:style w:type="paragraph" w:styleId="ListParagraph">
    <w:name w:val="List Paragraph"/>
    <w:basedOn w:val="Normal"/>
    <w:uiPriority w:val="34"/>
    <w:qFormat/>
    <w:rsid w:val="00B47E9B"/>
    <w:pPr>
      <w:ind w:left="720"/>
      <w:contextualSpacing/>
    </w:pPr>
  </w:style>
  <w:style w:type="paragraph" w:customStyle="1" w:styleId="Default">
    <w:name w:val="Default"/>
    <w:rsid w:val="00A86D70"/>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unhideWhenUsed/>
    <w:rsid w:val="00D233B8"/>
    <w:pPr>
      <w:spacing w:after="0" w:line="240" w:lineRule="auto"/>
    </w:pPr>
    <w:rPr>
      <w:sz w:val="20"/>
      <w:szCs w:val="20"/>
    </w:rPr>
  </w:style>
  <w:style w:type="character" w:customStyle="1" w:styleId="FootnoteTextChar">
    <w:name w:val="Footnote Text Char"/>
    <w:basedOn w:val="DefaultParagraphFont"/>
    <w:link w:val="FootnoteText"/>
    <w:uiPriority w:val="99"/>
    <w:rsid w:val="00D233B8"/>
    <w:rPr>
      <w:sz w:val="20"/>
      <w:szCs w:val="20"/>
      <w:lang w:val="en-GB"/>
    </w:rPr>
  </w:style>
  <w:style w:type="character" w:styleId="FootnoteReference">
    <w:name w:val="footnote reference"/>
    <w:basedOn w:val="DefaultParagraphFont"/>
    <w:uiPriority w:val="99"/>
    <w:semiHidden/>
    <w:unhideWhenUsed/>
    <w:rsid w:val="00D233B8"/>
    <w:rPr>
      <w:vertAlign w:val="superscript"/>
    </w:rPr>
  </w:style>
  <w:style w:type="character" w:styleId="Hyperlink">
    <w:name w:val="Hyperlink"/>
    <w:basedOn w:val="DefaultParagraphFont"/>
    <w:uiPriority w:val="99"/>
    <w:unhideWhenUsed/>
    <w:rsid w:val="00883403"/>
    <w:rPr>
      <w:color w:val="0000FF" w:themeColor="hyperlink"/>
      <w:u w:val="single"/>
    </w:rPr>
  </w:style>
  <w:style w:type="character" w:styleId="HTMLCite">
    <w:name w:val="HTML Cite"/>
    <w:basedOn w:val="DefaultParagraphFont"/>
    <w:uiPriority w:val="99"/>
    <w:semiHidden/>
    <w:unhideWhenUsed/>
    <w:rsid w:val="00FA57A0"/>
    <w:rPr>
      <w:i/>
      <w:iCs/>
    </w:rPr>
  </w:style>
  <w:style w:type="paragraph" w:styleId="EndnoteText">
    <w:name w:val="endnote text"/>
    <w:basedOn w:val="Normal"/>
    <w:link w:val="EndnoteTextChar"/>
    <w:uiPriority w:val="99"/>
    <w:semiHidden/>
    <w:unhideWhenUsed/>
    <w:rsid w:val="00D511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51140"/>
    <w:rPr>
      <w:sz w:val="20"/>
      <w:szCs w:val="20"/>
      <w:lang w:val="en-GB"/>
    </w:rPr>
  </w:style>
  <w:style w:type="character" w:styleId="EndnoteReference">
    <w:name w:val="endnote reference"/>
    <w:basedOn w:val="DefaultParagraphFont"/>
    <w:uiPriority w:val="99"/>
    <w:semiHidden/>
    <w:unhideWhenUsed/>
    <w:rsid w:val="00D51140"/>
    <w:rPr>
      <w:vertAlign w:val="superscript"/>
    </w:rPr>
  </w:style>
  <w:style w:type="character" w:styleId="Strong">
    <w:name w:val="Strong"/>
    <w:basedOn w:val="DefaultParagraphFont"/>
    <w:uiPriority w:val="22"/>
    <w:qFormat/>
    <w:rsid w:val="001304C5"/>
    <w:rPr>
      <w:rFonts w:ascii="Arial" w:hAnsi="Arial" w:cs="Arial" w:hint="default"/>
      <w:b w:val="0"/>
      <w:bCs w:val="0"/>
      <w:i w:val="0"/>
      <w:iCs w:val="0"/>
    </w:rPr>
  </w:style>
  <w:style w:type="table" w:styleId="TableGrid">
    <w:name w:val="Table Grid"/>
    <w:basedOn w:val="TableNormal"/>
    <w:uiPriority w:val="59"/>
    <w:rsid w:val="00E60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12CA2"/>
    <w:rPr>
      <w:i/>
      <w:iCs/>
    </w:rPr>
  </w:style>
  <w:style w:type="paragraph" w:styleId="PlainText">
    <w:name w:val="Plain Text"/>
    <w:basedOn w:val="Normal"/>
    <w:link w:val="PlainTextChar"/>
    <w:uiPriority w:val="99"/>
    <w:unhideWhenUsed/>
    <w:rsid w:val="001F657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F6570"/>
    <w:rPr>
      <w:rFonts w:ascii="Calibri" w:hAnsi="Calibri"/>
      <w:szCs w:val="21"/>
      <w:lang w:val="en-GB"/>
    </w:rPr>
  </w:style>
  <w:style w:type="character" w:styleId="CommentReference">
    <w:name w:val="annotation reference"/>
    <w:basedOn w:val="DefaultParagraphFont"/>
    <w:uiPriority w:val="99"/>
    <w:semiHidden/>
    <w:unhideWhenUsed/>
    <w:rsid w:val="00D818BD"/>
    <w:rPr>
      <w:sz w:val="16"/>
      <w:szCs w:val="16"/>
    </w:rPr>
  </w:style>
  <w:style w:type="paragraph" w:styleId="CommentText">
    <w:name w:val="annotation text"/>
    <w:basedOn w:val="Normal"/>
    <w:link w:val="CommentTextChar"/>
    <w:uiPriority w:val="99"/>
    <w:unhideWhenUsed/>
    <w:rsid w:val="00D818BD"/>
    <w:pPr>
      <w:spacing w:line="240" w:lineRule="auto"/>
    </w:pPr>
    <w:rPr>
      <w:sz w:val="20"/>
      <w:szCs w:val="20"/>
    </w:rPr>
  </w:style>
  <w:style w:type="character" w:customStyle="1" w:styleId="CommentTextChar">
    <w:name w:val="Comment Text Char"/>
    <w:basedOn w:val="DefaultParagraphFont"/>
    <w:link w:val="CommentText"/>
    <w:uiPriority w:val="99"/>
    <w:rsid w:val="00D818BD"/>
    <w:rPr>
      <w:sz w:val="20"/>
      <w:szCs w:val="20"/>
    </w:rPr>
  </w:style>
  <w:style w:type="paragraph" w:styleId="CommentSubject">
    <w:name w:val="annotation subject"/>
    <w:basedOn w:val="CommentText"/>
    <w:next w:val="CommentText"/>
    <w:link w:val="CommentSubjectChar"/>
    <w:uiPriority w:val="99"/>
    <w:semiHidden/>
    <w:unhideWhenUsed/>
    <w:rsid w:val="00D818BD"/>
    <w:rPr>
      <w:b/>
      <w:bCs/>
    </w:rPr>
  </w:style>
  <w:style w:type="character" w:customStyle="1" w:styleId="CommentSubjectChar">
    <w:name w:val="Comment Subject Char"/>
    <w:basedOn w:val="CommentTextChar"/>
    <w:link w:val="CommentSubject"/>
    <w:uiPriority w:val="99"/>
    <w:semiHidden/>
    <w:rsid w:val="00D818BD"/>
    <w:rPr>
      <w:b/>
      <w:bCs/>
      <w:sz w:val="20"/>
      <w:szCs w:val="20"/>
    </w:rPr>
  </w:style>
  <w:style w:type="paragraph" w:styleId="Revision">
    <w:name w:val="Revision"/>
    <w:hidden/>
    <w:uiPriority w:val="99"/>
    <w:semiHidden/>
    <w:rsid w:val="00E06312"/>
    <w:pPr>
      <w:spacing w:after="0" w:line="240" w:lineRule="auto"/>
    </w:pPr>
  </w:style>
  <w:style w:type="character" w:customStyle="1" w:styleId="Date1">
    <w:name w:val="Date1"/>
    <w:basedOn w:val="DefaultParagraphFont"/>
    <w:rsid w:val="00CB0CB7"/>
  </w:style>
  <w:style w:type="character" w:customStyle="1" w:styleId="UnresolvedMention1">
    <w:name w:val="Unresolved Mention1"/>
    <w:basedOn w:val="DefaultParagraphFont"/>
    <w:uiPriority w:val="99"/>
    <w:semiHidden/>
    <w:unhideWhenUsed/>
    <w:rsid w:val="003E772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6725">
      <w:bodyDiv w:val="1"/>
      <w:marLeft w:val="0"/>
      <w:marRight w:val="0"/>
      <w:marTop w:val="0"/>
      <w:marBottom w:val="0"/>
      <w:divBdr>
        <w:top w:val="none" w:sz="0" w:space="0" w:color="auto"/>
        <w:left w:val="none" w:sz="0" w:space="0" w:color="auto"/>
        <w:bottom w:val="none" w:sz="0" w:space="0" w:color="auto"/>
        <w:right w:val="none" w:sz="0" w:space="0" w:color="auto"/>
      </w:divBdr>
    </w:div>
    <w:div w:id="82605575">
      <w:bodyDiv w:val="1"/>
      <w:marLeft w:val="0"/>
      <w:marRight w:val="0"/>
      <w:marTop w:val="0"/>
      <w:marBottom w:val="0"/>
      <w:divBdr>
        <w:top w:val="none" w:sz="0" w:space="0" w:color="auto"/>
        <w:left w:val="none" w:sz="0" w:space="0" w:color="auto"/>
        <w:bottom w:val="none" w:sz="0" w:space="0" w:color="auto"/>
        <w:right w:val="none" w:sz="0" w:space="0" w:color="auto"/>
      </w:divBdr>
    </w:div>
    <w:div w:id="140775583">
      <w:bodyDiv w:val="1"/>
      <w:marLeft w:val="0"/>
      <w:marRight w:val="0"/>
      <w:marTop w:val="0"/>
      <w:marBottom w:val="0"/>
      <w:divBdr>
        <w:top w:val="none" w:sz="0" w:space="0" w:color="auto"/>
        <w:left w:val="none" w:sz="0" w:space="0" w:color="auto"/>
        <w:bottom w:val="none" w:sz="0" w:space="0" w:color="auto"/>
        <w:right w:val="none" w:sz="0" w:space="0" w:color="auto"/>
      </w:divBdr>
      <w:divsChild>
        <w:div w:id="17893230">
          <w:marLeft w:val="0"/>
          <w:marRight w:val="0"/>
          <w:marTop w:val="0"/>
          <w:marBottom w:val="0"/>
          <w:divBdr>
            <w:top w:val="none" w:sz="0" w:space="0" w:color="auto"/>
            <w:left w:val="none" w:sz="0" w:space="0" w:color="auto"/>
            <w:bottom w:val="none" w:sz="0" w:space="0" w:color="auto"/>
            <w:right w:val="none" w:sz="0" w:space="0" w:color="auto"/>
          </w:divBdr>
          <w:divsChild>
            <w:div w:id="426341858">
              <w:marLeft w:val="0"/>
              <w:marRight w:val="0"/>
              <w:marTop w:val="0"/>
              <w:marBottom w:val="0"/>
              <w:divBdr>
                <w:top w:val="none" w:sz="0" w:space="0" w:color="auto"/>
                <w:left w:val="none" w:sz="0" w:space="0" w:color="auto"/>
                <w:bottom w:val="none" w:sz="0" w:space="0" w:color="auto"/>
                <w:right w:val="none" w:sz="0" w:space="0" w:color="auto"/>
              </w:divBdr>
              <w:divsChild>
                <w:div w:id="17780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59246">
      <w:bodyDiv w:val="1"/>
      <w:marLeft w:val="0"/>
      <w:marRight w:val="0"/>
      <w:marTop w:val="0"/>
      <w:marBottom w:val="0"/>
      <w:divBdr>
        <w:top w:val="none" w:sz="0" w:space="0" w:color="auto"/>
        <w:left w:val="none" w:sz="0" w:space="0" w:color="auto"/>
        <w:bottom w:val="none" w:sz="0" w:space="0" w:color="auto"/>
        <w:right w:val="none" w:sz="0" w:space="0" w:color="auto"/>
      </w:divBdr>
    </w:div>
    <w:div w:id="234124559">
      <w:bodyDiv w:val="1"/>
      <w:marLeft w:val="0"/>
      <w:marRight w:val="0"/>
      <w:marTop w:val="0"/>
      <w:marBottom w:val="0"/>
      <w:divBdr>
        <w:top w:val="none" w:sz="0" w:space="0" w:color="auto"/>
        <w:left w:val="none" w:sz="0" w:space="0" w:color="auto"/>
        <w:bottom w:val="none" w:sz="0" w:space="0" w:color="auto"/>
        <w:right w:val="none" w:sz="0" w:space="0" w:color="auto"/>
      </w:divBdr>
    </w:div>
    <w:div w:id="357240921">
      <w:bodyDiv w:val="1"/>
      <w:marLeft w:val="0"/>
      <w:marRight w:val="0"/>
      <w:marTop w:val="0"/>
      <w:marBottom w:val="0"/>
      <w:divBdr>
        <w:top w:val="none" w:sz="0" w:space="0" w:color="auto"/>
        <w:left w:val="none" w:sz="0" w:space="0" w:color="auto"/>
        <w:bottom w:val="none" w:sz="0" w:space="0" w:color="auto"/>
        <w:right w:val="none" w:sz="0" w:space="0" w:color="auto"/>
      </w:divBdr>
    </w:div>
    <w:div w:id="754596418">
      <w:bodyDiv w:val="1"/>
      <w:marLeft w:val="0"/>
      <w:marRight w:val="0"/>
      <w:marTop w:val="0"/>
      <w:marBottom w:val="0"/>
      <w:divBdr>
        <w:top w:val="none" w:sz="0" w:space="0" w:color="auto"/>
        <w:left w:val="none" w:sz="0" w:space="0" w:color="auto"/>
        <w:bottom w:val="none" w:sz="0" w:space="0" w:color="auto"/>
        <w:right w:val="none" w:sz="0" w:space="0" w:color="auto"/>
      </w:divBdr>
    </w:div>
    <w:div w:id="951398893">
      <w:bodyDiv w:val="1"/>
      <w:marLeft w:val="0"/>
      <w:marRight w:val="0"/>
      <w:marTop w:val="0"/>
      <w:marBottom w:val="0"/>
      <w:divBdr>
        <w:top w:val="none" w:sz="0" w:space="0" w:color="auto"/>
        <w:left w:val="none" w:sz="0" w:space="0" w:color="auto"/>
        <w:bottom w:val="none" w:sz="0" w:space="0" w:color="auto"/>
        <w:right w:val="none" w:sz="0" w:space="0" w:color="auto"/>
      </w:divBdr>
    </w:div>
    <w:div w:id="1093169246">
      <w:bodyDiv w:val="1"/>
      <w:marLeft w:val="0"/>
      <w:marRight w:val="0"/>
      <w:marTop w:val="0"/>
      <w:marBottom w:val="0"/>
      <w:divBdr>
        <w:top w:val="none" w:sz="0" w:space="0" w:color="auto"/>
        <w:left w:val="none" w:sz="0" w:space="0" w:color="auto"/>
        <w:bottom w:val="none" w:sz="0" w:space="0" w:color="auto"/>
        <w:right w:val="none" w:sz="0" w:space="0" w:color="auto"/>
      </w:divBdr>
    </w:div>
    <w:div w:id="1167477903">
      <w:bodyDiv w:val="1"/>
      <w:marLeft w:val="0"/>
      <w:marRight w:val="0"/>
      <w:marTop w:val="0"/>
      <w:marBottom w:val="0"/>
      <w:divBdr>
        <w:top w:val="none" w:sz="0" w:space="0" w:color="auto"/>
        <w:left w:val="none" w:sz="0" w:space="0" w:color="auto"/>
        <w:bottom w:val="none" w:sz="0" w:space="0" w:color="auto"/>
        <w:right w:val="none" w:sz="0" w:space="0" w:color="auto"/>
      </w:divBdr>
    </w:div>
    <w:div w:id="1193761372">
      <w:bodyDiv w:val="1"/>
      <w:marLeft w:val="0"/>
      <w:marRight w:val="0"/>
      <w:marTop w:val="0"/>
      <w:marBottom w:val="0"/>
      <w:divBdr>
        <w:top w:val="none" w:sz="0" w:space="0" w:color="auto"/>
        <w:left w:val="none" w:sz="0" w:space="0" w:color="auto"/>
        <w:bottom w:val="none" w:sz="0" w:space="0" w:color="auto"/>
        <w:right w:val="none" w:sz="0" w:space="0" w:color="auto"/>
      </w:divBdr>
    </w:div>
    <w:div w:id="1231884692">
      <w:bodyDiv w:val="1"/>
      <w:marLeft w:val="0"/>
      <w:marRight w:val="0"/>
      <w:marTop w:val="0"/>
      <w:marBottom w:val="0"/>
      <w:divBdr>
        <w:top w:val="none" w:sz="0" w:space="0" w:color="auto"/>
        <w:left w:val="none" w:sz="0" w:space="0" w:color="auto"/>
        <w:bottom w:val="none" w:sz="0" w:space="0" w:color="auto"/>
        <w:right w:val="none" w:sz="0" w:space="0" w:color="auto"/>
      </w:divBdr>
    </w:div>
    <w:div w:id="1639799497">
      <w:bodyDiv w:val="1"/>
      <w:marLeft w:val="0"/>
      <w:marRight w:val="0"/>
      <w:marTop w:val="0"/>
      <w:marBottom w:val="0"/>
      <w:divBdr>
        <w:top w:val="none" w:sz="0" w:space="0" w:color="auto"/>
        <w:left w:val="none" w:sz="0" w:space="0" w:color="auto"/>
        <w:bottom w:val="none" w:sz="0" w:space="0" w:color="auto"/>
        <w:right w:val="none" w:sz="0" w:space="0" w:color="auto"/>
      </w:divBdr>
    </w:div>
    <w:div w:id="1844970334">
      <w:bodyDiv w:val="1"/>
      <w:marLeft w:val="0"/>
      <w:marRight w:val="0"/>
      <w:marTop w:val="0"/>
      <w:marBottom w:val="0"/>
      <w:divBdr>
        <w:top w:val="none" w:sz="0" w:space="0" w:color="auto"/>
        <w:left w:val="none" w:sz="0" w:space="0" w:color="auto"/>
        <w:bottom w:val="none" w:sz="0" w:space="0" w:color="auto"/>
        <w:right w:val="none" w:sz="0" w:space="0" w:color="auto"/>
      </w:divBdr>
    </w:div>
    <w:div w:id="1855263474">
      <w:bodyDiv w:val="1"/>
      <w:marLeft w:val="0"/>
      <w:marRight w:val="0"/>
      <w:marTop w:val="0"/>
      <w:marBottom w:val="0"/>
      <w:divBdr>
        <w:top w:val="none" w:sz="0" w:space="0" w:color="auto"/>
        <w:left w:val="none" w:sz="0" w:space="0" w:color="auto"/>
        <w:bottom w:val="none" w:sz="0" w:space="0" w:color="auto"/>
        <w:right w:val="none" w:sz="0" w:space="0" w:color="auto"/>
      </w:divBdr>
      <w:divsChild>
        <w:div w:id="1050769282">
          <w:marLeft w:val="0"/>
          <w:marRight w:val="0"/>
          <w:marTop w:val="0"/>
          <w:marBottom w:val="0"/>
          <w:divBdr>
            <w:top w:val="none" w:sz="0" w:space="0" w:color="auto"/>
            <w:left w:val="none" w:sz="0" w:space="0" w:color="auto"/>
            <w:bottom w:val="none" w:sz="0" w:space="0" w:color="auto"/>
            <w:right w:val="none" w:sz="0" w:space="0" w:color="auto"/>
          </w:divBdr>
          <w:divsChild>
            <w:div w:id="399444490">
              <w:marLeft w:val="0"/>
              <w:marRight w:val="0"/>
              <w:marTop w:val="0"/>
              <w:marBottom w:val="0"/>
              <w:divBdr>
                <w:top w:val="none" w:sz="0" w:space="0" w:color="auto"/>
                <w:left w:val="none" w:sz="0" w:space="0" w:color="auto"/>
                <w:bottom w:val="none" w:sz="0" w:space="0" w:color="auto"/>
                <w:right w:val="none" w:sz="0" w:space="0" w:color="auto"/>
              </w:divBdr>
              <w:divsChild>
                <w:div w:id="1630167568">
                  <w:marLeft w:val="0"/>
                  <w:marRight w:val="0"/>
                  <w:marTop w:val="0"/>
                  <w:marBottom w:val="0"/>
                  <w:divBdr>
                    <w:top w:val="none" w:sz="0" w:space="0" w:color="auto"/>
                    <w:left w:val="none" w:sz="0" w:space="0" w:color="auto"/>
                    <w:bottom w:val="none" w:sz="0" w:space="0" w:color="auto"/>
                    <w:right w:val="none" w:sz="0" w:space="0" w:color="auto"/>
                  </w:divBdr>
                  <w:divsChild>
                    <w:div w:id="1094276838">
                      <w:marLeft w:val="0"/>
                      <w:marRight w:val="0"/>
                      <w:marTop w:val="0"/>
                      <w:marBottom w:val="0"/>
                      <w:divBdr>
                        <w:top w:val="none" w:sz="0" w:space="0" w:color="auto"/>
                        <w:left w:val="none" w:sz="0" w:space="0" w:color="auto"/>
                        <w:bottom w:val="none" w:sz="0" w:space="0" w:color="auto"/>
                        <w:right w:val="none" w:sz="0" w:space="0" w:color="auto"/>
                      </w:divBdr>
                      <w:divsChild>
                        <w:div w:id="2020767437">
                          <w:marLeft w:val="0"/>
                          <w:marRight w:val="0"/>
                          <w:marTop w:val="0"/>
                          <w:marBottom w:val="0"/>
                          <w:divBdr>
                            <w:top w:val="none" w:sz="0" w:space="0" w:color="auto"/>
                            <w:left w:val="none" w:sz="0" w:space="0" w:color="auto"/>
                            <w:bottom w:val="none" w:sz="0" w:space="0" w:color="auto"/>
                            <w:right w:val="none" w:sz="0" w:space="0" w:color="auto"/>
                          </w:divBdr>
                          <w:divsChild>
                            <w:div w:id="1763600888">
                              <w:marLeft w:val="0"/>
                              <w:marRight w:val="0"/>
                              <w:marTop w:val="0"/>
                              <w:marBottom w:val="0"/>
                              <w:divBdr>
                                <w:top w:val="none" w:sz="0" w:space="0" w:color="auto"/>
                                <w:left w:val="none" w:sz="0" w:space="0" w:color="auto"/>
                                <w:bottom w:val="none" w:sz="0" w:space="0" w:color="auto"/>
                                <w:right w:val="none" w:sz="0" w:space="0" w:color="auto"/>
                              </w:divBdr>
                              <w:divsChild>
                                <w:div w:id="204411908">
                                  <w:marLeft w:val="0"/>
                                  <w:marRight w:val="0"/>
                                  <w:marTop w:val="0"/>
                                  <w:marBottom w:val="0"/>
                                  <w:divBdr>
                                    <w:top w:val="none" w:sz="0" w:space="0" w:color="auto"/>
                                    <w:left w:val="none" w:sz="0" w:space="0" w:color="auto"/>
                                    <w:bottom w:val="none" w:sz="0" w:space="0" w:color="auto"/>
                                    <w:right w:val="none" w:sz="0" w:space="0" w:color="auto"/>
                                  </w:divBdr>
                                  <w:divsChild>
                                    <w:div w:id="156075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226607">
      <w:bodyDiv w:val="1"/>
      <w:marLeft w:val="0"/>
      <w:marRight w:val="0"/>
      <w:marTop w:val="0"/>
      <w:marBottom w:val="0"/>
      <w:divBdr>
        <w:top w:val="none" w:sz="0" w:space="0" w:color="auto"/>
        <w:left w:val="none" w:sz="0" w:space="0" w:color="auto"/>
        <w:bottom w:val="none" w:sz="0" w:space="0" w:color="auto"/>
        <w:right w:val="none" w:sz="0" w:space="0" w:color="auto"/>
      </w:divBdr>
    </w:div>
    <w:div w:id="1966809212">
      <w:bodyDiv w:val="1"/>
      <w:marLeft w:val="0"/>
      <w:marRight w:val="0"/>
      <w:marTop w:val="0"/>
      <w:marBottom w:val="0"/>
      <w:divBdr>
        <w:top w:val="none" w:sz="0" w:space="0" w:color="auto"/>
        <w:left w:val="none" w:sz="0" w:space="0" w:color="auto"/>
        <w:bottom w:val="none" w:sz="0" w:space="0" w:color="auto"/>
        <w:right w:val="none" w:sz="0" w:space="0" w:color="auto"/>
      </w:divBdr>
    </w:div>
    <w:div w:id="206641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Haque@hw.ac.uk" TargetMode="External"/><Relationship Id="rId13" Type="http://schemas.openxmlformats.org/officeDocument/2006/relationships/hyperlink" Target="http://www.sciencedirect.com/science/article/pii/S0890838914000560" TargetMode="External"/><Relationship Id="rId18" Type="http://schemas.openxmlformats.org/officeDocument/2006/relationships/hyperlink" Target="http://www.sciencedirect.com/science/article/pii/S0890838914000560" TargetMode="External"/><Relationship Id="rId26" Type="http://schemas.openxmlformats.org/officeDocument/2006/relationships/hyperlink" Target="http://dx.doi.org/10.1108/17542730910938155" TargetMode="External"/><Relationship Id="rId3" Type="http://schemas.openxmlformats.org/officeDocument/2006/relationships/styles" Target="styles.xml"/><Relationship Id="rId21" Type="http://schemas.openxmlformats.org/officeDocument/2006/relationships/hyperlink" Target="http://www.sciencedirect.com/science/article/pii/S089083891400056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ciencedirect.com/science/article/pii/S0890838914000560" TargetMode="External"/><Relationship Id="rId17" Type="http://schemas.openxmlformats.org/officeDocument/2006/relationships/hyperlink" Target="http://www.sciencedirect.com/science/article/pii/S0890838914000560" TargetMode="External"/><Relationship Id="rId25" Type="http://schemas.openxmlformats.org/officeDocument/2006/relationships/hyperlink" Target="https://www.gov.uk/government/uploads/system/uploads/attachment_data/file/228752/9780108508394.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ciencedirect.com/science/article/pii/S0890838914000560" TargetMode="External"/><Relationship Id="rId20" Type="http://schemas.openxmlformats.org/officeDocument/2006/relationships/hyperlink" Target="http://www.sciencedirect.com/science/article/pii/S0890838914000560" TargetMode="External"/><Relationship Id="rId29" Type="http://schemas.openxmlformats.org/officeDocument/2006/relationships/hyperlink" Target="http://www.sciencedirect.com/science/article/pii/S08908389140005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direct.com/science/article/pii/S0890838914000560" TargetMode="External"/><Relationship Id="rId24" Type="http://schemas.openxmlformats.org/officeDocument/2006/relationships/hyperlink" Target="http://www2.lse.ac.uk/GranthamInstitute/publications/Policy/docs/PP_climate-change-policy-uk.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ciencedirect.com/science/article/pii/S0890838914000560" TargetMode="External"/><Relationship Id="rId23" Type="http://schemas.openxmlformats.org/officeDocument/2006/relationships/hyperlink" Target="http://www.sciencedirect.com/science/article/pii/S0890838914000560" TargetMode="External"/><Relationship Id="rId28" Type="http://schemas.openxmlformats.org/officeDocument/2006/relationships/hyperlink" Target="http://www.sciencedirect.com/science/article/pii/S0890838914000560" TargetMode="External"/><Relationship Id="rId10" Type="http://schemas.openxmlformats.org/officeDocument/2006/relationships/hyperlink" Target="http://www.sciencedirect.com/science/article/pii/S0890838914000560" TargetMode="External"/><Relationship Id="rId19" Type="http://schemas.openxmlformats.org/officeDocument/2006/relationships/hyperlink" Target="http://www.sciencedirect.com/science/article/pii/S0890838914000560" TargetMode="External"/><Relationship Id="rId31" Type="http://schemas.openxmlformats.org/officeDocument/2006/relationships/hyperlink" Target="https://www.gov.uk/government/uploads/system/uploads/attachment_data/file/417680/48439_Un-Act_DECC_Web_Accessible_v0.2.pdf" TargetMode="External"/><Relationship Id="rId4" Type="http://schemas.openxmlformats.org/officeDocument/2006/relationships/settings" Target="settings.xml"/><Relationship Id="rId9" Type="http://schemas.openxmlformats.org/officeDocument/2006/relationships/hyperlink" Target="mailto:c.g.ntim@soton.ac.uk" TargetMode="External"/><Relationship Id="rId14" Type="http://schemas.openxmlformats.org/officeDocument/2006/relationships/hyperlink" Target="http://www.sciencedirect.com/science/article/pii/S0890838914000560" TargetMode="External"/><Relationship Id="rId22" Type="http://schemas.openxmlformats.org/officeDocument/2006/relationships/hyperlink" Target="http://www.sciencedirect.com/science/article/pii/S0890838914000560" TargetMode="External"/><Relationship Id="rId27" Type="http://schemas.openxmlformats.org/officeDocument/2006/relationships/hyperlink" Target="http://dx.doi.org/10.1007/s10551-012-1543-8" TargetMode="External"/><Relationship Id="rId30" Type="http://schemas.openxmlformats.org/officeDocument/2006/relationships/hyperlink" Target="http://www.sciencedirect.com/science/journal/0890838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nglobalcompact.org/what-is-gc" TargetMode="External"/><Relationship Id="rId2" Type="http://schemas.openxmlformats.org/officeDocument/2006/relationships/hyperlink" Target="http://www.sciencedirect.com/science/article/pii/S0890838914000560" TargetMode="External"/><Relationship Id="rId1" Type="http://schemas.openxmlformats.org/officeDocument/2006/relationships/hyperlink" Target="http://www.sciencedirect.com/science/article/pii/S0890838914000560" TargetMode="External"/><Relationship Id="rId4" Type="http://schemas.openxmlformats.org/officeDocument/2006/relationships/hyperlink" Target="https://www.globalreporting.org/information/about-gri/alliances-and-synergies/Pages/United-Nations-Global-Compac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600692-65BF-44BF-B187-49A60B32B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13859</Words>
  <Characters>79000</Characters>
  <Application>Microsoft Office Word</Application>
  <DocSecurity>4</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faizul pc</dc:creator>
  <cp:keywords/>
  <dc:description/>
  <cp:lastModifiedBy>Lapage K.P.</cp:lastModifiedBy>
  <cp:revision>2</cp:revision>
  <cp:lastPrinted>2016-07-13T15:02:00Z</cp:lastPrinted>
  <dcterms:created xsi:type="dcterms:W3CDTF">2017-09-13T10:56:00Z</dcterms:created>
  <dcterms:modified xsi:type="dcterms:W3CDTF">2017-09-13T10:56:00Z</dcterms:modified>
</cp:coreProperties>
</file>