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0BD386" w14:textId="77777777" w:rsidR="00156228" w:rsidRDefault="00156228" w:rsidP="003E08C7">
      <w:pPr>
        <w:spacing w:line="480" w:lineRule="auto"/>
        <w:jc w:val="center"/>
        <w:rPr>
          <w:rFonts w:ascii="Times New Roman" w:hAnsi="Times New Roman" w:cs="Times New Roman"/>
          <w:b/>
        </w:rPr>
      </w:pPr>
      <w:r w:rsidRPr="00156228">
        <w:rPr>
          <w:rFonts w:ascii="Times New Roman" w:hAnsi="Times New Roman" w:cs="Times New Roman"/>
          <w:b/>
        </w:rPr>
        <w:softHyphen/>
      </w:r>
      <w:r w:rsidRPr="00156228">
        <w:rPr>
          <w:rFonts w:ascii="Times New Roman" w:hAnsi="Times New Roman" w:cs="Times New Roman"/>
          <w:b/>
        </w:rPr>
        <w:softHyphen/>
        <w:t>Psychometric evaluation of the Hope, Agency and Opportunity (HAO);</w:t>
      </w:r>
    </w:p>
    <w:p w14:paraId="0A77F985" w14:textId="22C36BCC" w:rsidR="00156228" w:rsidRPr="00156228" w:rsidRDefault="00156228" w:rsidP="00156228">
      <w:pPr>
        <w:spacing w:line="480" w:lineRule="auto"/>
        <w:jc w:val="center"/>
        <w:rPr>
          <w:rFonts w:ascii="Times New Roman" w:hAnsi="Times New Roman" w:cs="Times New Roman"/>
          <w:b/>
        </w:rPr>
      </w:pPr>
      <w:r w:rsidRPr="00156228">
        <w:rPr>
          <w:rFonts w:ascii="Times New Roman" w:hAnsi="Times New Roman" w:cs="Times New Roman"/>
          <w:b/>
        </w:rPr>
        <w:t>A brief measure of mental health recovery</w:t>
      </w:r>
    </w:p>
    <w:p w14:paraId="37AC2B2C" w14:textId="77777777" w:rsidR="00156228" w:rsidRDefault="00156228" w:rsidP="00703BF5">
      <w:pPr>
        <w:spacing w:line="480" w:lineRule="auto"/>
        <w:rPr>
          <w:rFonts w:ascii="Times New Roman" w:hAnsi="Times New Roman" w:cs="Times New Roman"/>
          <w:b/>
        </w:rPr>
      </w:pPr>
    </w:p>
    <w:p w14:paraId="124DD72B" w14:textId="787AA505" w:rsidR="00B63039" w:rsidRPr="0096478E" w:rsidRDefault="00B63039" w:rsidP="00703BF5">
      <w:pPr>
        <w:spacing w:line="480" w:lineRule="auto"/>
        <w:rPr>
          <w:rFonts w:ascii="Times New Roman" w:hAnsi="Times New Roman" w:cs="Times New Roman"/>
          <w:b/>
        </w:rPr>
      </w:pPr>
      <w:r w:rsidRPr="0096478E">
        <w:rPr>
          <w:rFonts w:ascii="Times New Roman" w:hAnsi="Times New Roman" w:cs="Times New Roman"/>
          <w:b/>
        </w:rPr>
        <w:t>Abstract</w:t>
      </w:r>
    </w:p>
    <w:p w14:paraId="382DCDEF" w14:textId="1684DC5E" w:rsidR="00D77C60" w:rsidRDefault="00CA351D" w:rsidP="008F4E73">
      <w:pPr>
        <w:spacing w:line="480" w:lineRule="auto"/>
        <w:rPr>
          <w:rFonts w:ascii="Times New Roman" w:hAnsi="Times New Roman" w:cs="Times New Roman"/>
          <w:bCs/>
        </w:rPr>
      </w:pPr>
      <w:r>
        <w:rPr>
          <w:rFonts w:ascii="Times New Roman" w:hAnsi="Times New Roman" w:cs="Times New Roman"/>
          <w:b/>
          <w:bCs/>
        </w:rPr>
        <w:t>Background</w:t>
      </w:r>
      <w:r w:rsidR="00EE6A4A" w:rsidRPr="00CA351D">
        <w:rPr>
          <w:rFonts w:ascii="Times New Roman" w:hAnsi="Times New Roman" w:cs="Times New Roman"/>
          <w:b/>
          <w:bCs/>
        </w:rPr>
        <w:t xml:space="preserve">:  </w:t>
      </w:r>
      <w:r w:rsidR="005A1BF5" w:rsidRPr="00CA351D">
        <w:rPr>
          <w:rFonts w:ascii="Times New Roman" w:hAnsi="Times New Roman" w:cs="Times New Roman"/>
        </w:rPr>
        <w:t>T</w:t>
      </w:r>
      <w:r w:rsidR="00B518C9" w:rsidRPr="00CA351D">
        <w:rPr>
          <w:rFonts w:ascii="Times New Roman" w:hAnsi="Times New Roman" w:cs="Times New Roman"/>
        </w:rPr>
        <w:t>he development of safe and effective mental health services</w:t>
      </w:r>
      <w:r w:rsidR="005A1BF5" w:rsidRPr="00CA351D">
        <w:rPr>
          <w:rFonts w:ascii="Times New Roman" w:hAnsi="Times New Roman" w:cs="Times New Roman"/>
        </w:rPr>
        <w:t xml:space="preserve"> is a priority</w:t>
      </w:r>
      <w:r w:rsidR="00B518C9" w:rsidRPr="00CA351D">
        <w:rPr>
          <w:rFonts w:ascii="Times New Roman" w:hAnsi="Times New Roman" w:cs="Times New Roman"/>
        </w:rPr>
        <w:t xml:space="preserve">.  This requires valid </w:t>
      </w:r>
      <w:r w:rsidR="00101046" w:rsidRPr="00CA351D">
        <w:rPr>
          <w:rFonts w:ascii="Times New Roman" w:hAnsi="Times New Roman" w:cs="Times New Roman"/>
        </w:rPr>
        <w:t>measures of personal recovery</w:t>
      </w:r>
      <w:r w:rsidR="00A35B07">
        <w:rPr>
          <w:rFonts w:ascii="Times New Roman" w:hAnsi="Times New Roman" w:cs="Times New Roman"/>
        </w:rPr>
        <w:t>, yet these t</w:t>
      </w:r>
      <w:r w:rsidR="00D77C60">
        <w:rPr>
          <w:rFonts w:ascii="Times New Roman" w:hAnsi="Times New Roman" w:cs="Times New Roman"/>
        </w:rPr>
        <w:t xml:space="preserve">ools are not </w:t>
      </w:r>
      <w:r w:rsidR="00E26456">
        <w:rPr>
          <w:rFonts w:ascii="Times New Roman" w:hAnsi="Times New Roman" w:cs="Times New Roman"/>
        </w:rPr>
        <w:t>embedded</w:t>
      </w:r>
      <w:r w:rsidR="00D77C60">
        <w:rPr>
          <w:rFonts w:ascii="Times New Roman" w:hAnsi="Times New Roman" w:cs="Times New Roman"/>
        </w:rPr>
        <w:t xml:space="preserve"> in routine clinical practice.  </w:t>
      </w:r>
      <w:r w:rsidR="00B55D16" w:rsidRPr="00CA351D">
        <w:rPr>
          <w:rFonts w:ascii="Times New Roman" w:hAnsi="Times New Roman" w:cs="Times New Roman"/>
        </w:rPr>
        <w:t>B</w:t>
      </w:r>
      <w:r w:rsidR="00B518C9" w:rsidRPr="00CA351D">
        <w:rPr>
          <w:rFonts w:ascii="Times New Roman" w:hAnsi="Times New Roman" w:cs="Times New Roman"/>
        </w:rPr>
        <w:t xml:space="preserve">rief ‘patient reported measures’ are most likely to be acceptable to </w:t>
      </w:r>
      <w:r w:rsidR="00D77C60">
        <w:rPr>
          <w:rFonts w:ascii="Times New Roman" w:hAnsi="Times New Roman" w:cs="Times New Roman"/>
        </w:rPr>
        <w:t>service</w:t>
      </w:r>
      <w:r w:rsidR="008F4E73">
        <w:rPr>
          <w:rFonts w:ascii="Times New Roman" w:hAnsi="Times New Roman" w:cs="Times New Roman"/>
        </w:rPr>
        <w:t>-</w:t>
      </w:r>
      <w:r w:rsidR="00D77C60">
        <w:rPr>
          <w:rFonts w:ascii="Times New Roman" w:hAnsi="Times New Roman" w:cs="Times New Roman"/>
        </w:rPr>
        <w:t xml:space="preserve">users </w:t>
      </w:r>
      <w:r w:rsidR="00B518C9" w:rsidRPr="00CA351D">
        <w:rPr>
          <w:rFonts w:ascii="Times New Roman" w:hAnsi="Times New Roman" w:cs="Times New Roman"/>
        </w:rPr>
        <w:t xml:space="preserve">and </w:t>
      </w:r>
      <w:r w:rsidR="00B20829" w:rsidRPr="00CA351D">
        <w:rPr>
          <w:rFonts w:ascii="Times New Roman" w:hAnsi="Times New Roman" w:cs="Times New Roman"/>
        </w:rPr>
        <w:t>clinicians</w:t>
      </w:r>
      <w:r w:rsidR="00B518C9" w:rsidRPr="00CA351D">
        <w:rPr>
          <w:rFonts w:ascii="Times New Roman" w:hAnsi="Times New Roman" w:cs="Times New Roman"/>
        </w:rPr>
        <w:t xml:space="preserve">.  </w:t>
      </w:r>
      <w:r w:rsidR="005A1BF5" w:rsidRPr="00CA351D">
        <w:rPr>
          <w:rFonts w:ascii="Times New Roman" w:hAnsi="Times New Roman" w:cs="Times New Roman"/>
        </w:rPr>
        <w:t>T</w:t>
      </w:r>
      <w:r w:rsidR="00B518C9" w:rsidRPr="00CA351D">
        <w:rPr>
          <w:rFonts w:ascii="Times New Roman" w:hAnsi="Times New Roman" w:cs="Times New Roman"/>
        </w:rPr>
        <w:t xml:space="preserve">he 4-item ‘Hope, Agency and Opportunity’ </w:t>
      </w:r>
      <w:r w:rsidR="004061E2" w:rsidRPr="00CA351D">
        <w:rPr>
          <w:rFonts w:ascii="Times New Roman" w:hAnsi="Times New Roman" w:cs="Times New Roman"/>
        </w:rPr>
        <w:t>(HAO)</w:t>
      </w:r>
      <w:r w:rsidR="00B518C9" w:rsidRPr="00CA351D">
        <w:rPr>
          <w:rFonts w:ascii="Times New Roman" w:hAnsi="Times New Roman" w:cs="Times New Roman"/>
        </w:rPr>
        <w:t xml:space="preserve"> </w:t>
      </w:r>
      <w:r w:rsidR="00B95E58">
        <w:rPr>
          <w:rFonts w:ascii="Times New Roman" w:hAnsi="Times New Roman" w:cs="Times New Roman"/>
        </w:rPr>
        <w:t xml:space="preserve">was co-produced </w:t>
      </w:r>
      <w:r w:rsidR="005F1A02">
        <w:rPr>
          <w:rFonts w:ascii="Times New Roman" w:hAnsi="Times New Roman" w:cs="Times New Roman"/>
        </w:rPr>
        <w:t>to assess</w:t>
      </w:r>
      <w:r w:rsidR="00101046" w:rsidRPr="00CA351D">
        <w:rPr>
          <w:rFonts w:ascii="Times New Roman" w:hAnsi="Times New Roman" w:cs="Times New Roman"/>
        </w:rPr>
        <w:t xml:space="preserve"> </w:t>
      </w:r>
      <w:r w:rsidR="00B55D16" w:rsidRPr="00CA351D">
        <w:rPr>
          <w:rFonts w:ascii="Times New Roman" w:hAnsi="Times New Roman" w:cs="Times New Roman"/>
        </w:rPr>
        <w:t xml:space="preserve">recovery </w:t>
      </w:r>
      <w:r w:rsidR="00101046" w:rsidRPr="00CA351D">
        <w:rPr>
          <w:rFonts w:ascii="Times New Roman" w:hAnsi="Times New Roman" w:cs="Times New Roman"/>
        </w:rPr>
        <w:t xml:space="preserve">outcomes and experience of </w:t>
      </w:r>
      <w:r w:rsidR="004A5719">
        <w:rPr>
          <w:rFonts w:ascii="Times New Roman" w:hAnsi="Times New Roman" w:cs="Times New Roman"/>
        </w:rPr>
        <w:t xml:space="preserve">mental health </w:t>
      </w:r>
      <w:r w:rsidR="00101046" w:rsidRPr="00CA351D">
        <w:rPr>
          <w:rFonts w:ascii="Times New Roman" w:hAnsi="Times New Roman" w:cs="Times New Roman"/>
        </w:rPr>
        <w:t>services.</w:t>
      </w:r>
      <w:r w:rsidR="00EE6A4A" w:rsidRPr="00CA351D">
        <w:rPr>
          <w:rFonts w:ascii="Times New Roman" w:hAnsi="Times New Roman" w:cs="Times New Roman"/>
          <w:bCs/>
        </w:rPr>
        <w:t xml:space="preserve">  </w:t>
      </w:r>
    </w:p>
    <w:p w14:paraId="333497EC" w14:textId="43806D5E" w:rsidR="00CC7972" w:rsidRPr="00CA351D" w:rsidRDefault="00CA351D" w:rsidP="00FC5F2F">
      <w:pPr>
        <w:spacing w:line="480" w:lineRule="auto"/>
        <w:rPr>
          <w:rFonts w:ascii="Times New Roman" w:hAnsi="Times New Roman" w:cs="Times New Roman"/>
          <w:b/>
          <w:bCs/>
        </w:rPr>
      </w:pPr>
      <w:r w:rsidRPr="00CA351D">
        <w:rPr>
          <w:rFonts w:ascii="Times New Roman" w:hAnsi="Times New Roman" w:cs="Times New Roman"/>
          <w:b/>
        </w:rPr>
        <w:t xml:space="preserve">Aim:  </w:t>
      </w:r>
      <w:r w:rsidR="00EE6A4A" w:rsidRPr="00CA351D">
        <w:rPr>
          <w:rFonts w:ascii="Times New Roman" w:hAnsi="Times New Roman" w:cs="Times New Roman"/>
          <w:bCs/>
        </w:rPr>
        <w:t>T</w:t>
      </w:r>
      <w:r w:rsidR="00FC5F2F">
        <w:rPr>
          <w:rFonts w:ascii="Times New Roman" w:hAnsi="Times New Roman" w:cs="Times New Roman"/>
          <w:bCs/>
        </w:rPr>
        <w:t>o</w:t>
      </w:r>
      <w:r w:rsidR="00EE6A4A" w:rsidRPr="00CA351D">
        <w:rPr>
          <w:rFonts w:ascii="Times New Roman" w:hAnsi="Times New Roman" w:cs="Times New Roman"/>
          <w:bCs/>
        </w:rPr>
        <w:t xml:space="preserve"> </w:t>
      </w:r>
      <w:r w:rsidR="00942071" w:rsidRPr="00CA351D">
        <w:rPr>
          <w:rFonts w:ascii="Times New Roman" w:hAnsi="Times New Roman" w:cs="Times New Roman"/>
          <w:bCs/>
        </w:rPr>
        <w:t>evaluate the psychometric properties of the HAO.</w:t>
      </w:r>
    </w:p>
    <w:p w14:paraId="0FD71111" w14:textId="62BE9E93" w:rsidR="00942071" w:rsidRPr="00D77C60" w:rsidRDefault="00DA77B7" w:rsidP="00B95E58">
      <w:pPr>
        <w:spacing w:line="480" w:lineRule="auto"/>
        <w:rPr>
          <w:rFonts w:ascii="Times New Roman" w:hAnsi="Times New Roman" w:cs="Times New Roman"/>
          <w:b/>
          <w:bCs/>
        </w:rPr>
      </w:pPr>
      <w:r w:rsidRPr="00D77C60">
        <w:rPr>
          <w:rFonts w:ascii="Times New Roman" w:hAnsi="Times New Roman" w:cs="Times New Roman"/>
          <w:b/>
          <w:bCs/>
        </w:rPr>
        <w:t>Method</w:t>
      </w:r>
      <w:r w:rsidR="00EE6A4A" w:rsidRPr="00D77C60">
        <w:rPr>
          <w:rFonts w:ascii="Times New Roman" w:hAnsi="Times New Roman" w:cs="Times New Roman"/>
          <w:b/>
          <w:bCs/>
        </w:rPr>
        <w:t xml:space="preserve">:  </w:t>
      </w:r>
      <w:r w:rsidR="00B518C9" w:rsidRPr="00D77C60">
        <w:rPr>
          <w:rFonts w:ascii="Times New Roman" w:hAnsi="Times New Roman" w:cs="Times New Roman"/>
          <w:bCs/>
        </w:rPr>
        <w:t xml:space="preserve">A clinical sample </w:t>
      </w:r>
      <w:r w:rsidR="00B20829" w:rsidRPr="00D77C60">
        <w:rPr>
          <w:rFonts w:ascii="Times New Roman" w:hAnsi="Times New Roman" w:cs="Times New Roman"/>
          <w:bCs/>
        </w:rPr>
        <w:t>from</w:t>
      </w:r>
      <w:r w:rsidR="00B518C9" w:rsidRPr="00D77C60">
        <w:rPr>
          <w:rFonts w:ascii="Times New Roman" w:hAnsi="Times New Roman" w:cs="Times New Roman"/>
          <w:bCs/>
        </w:rPr>
        <w:t xml:space="preserve"> secondary healthcare services </w:t>
      </w:r>
      <w:r w:rsidR="00227206" w:rsidRPr="00D77C60">
        <w:rPr>
          <w:rFonts w:ascii="Times New Roman" w:hAnsi="Times New Roman" w:cs="Times New Roman"/>
          <w:bCs/>
        </w:rPr>
        <w:t xml:space="preserve">and a non-clinical sample </w:t>
      </w:r>
      <w:r w:rsidR="00B518C9" w:rsidRPr="00D77C60">
        <w:rPr>
          <w:rFonts w:ascii="Times New Roman" w:hAnsi="Times New Roman" w:cs="Times New Roman"/>
          <w:bCs/>
        </w:rPr>
        <w:t>we</w:t>
      </w:r>
      <w:r w:rsidR="00B20829" w:rsidRPr="00D77C60">
        <w:rPr>
          <w:rFonts w:ascii="Times New Roman" w:hAnsi="Times New Roman" w:cs="Times New Roman"/>
          <w:bCs/>
        </w:rPr>
        <w:t xml:space="preserve">re assessed at baseline and two </w:t>
      </w:r>
      <w:r w:rsidR="00B518C9" w:rsidRPr="00D77C60">
        <w:rPr>
          <w:rFonts w:ascii="Times New Roman" w:hAnsi="Times New Roman" w:cs="Times New Roman"/>
          <w:bCs/>
        </w:rPr>
        <w:t>weeks, on measures of personal recovery.</w:t>
      </w:r>
    </w:p>
    <w:p w14:paraId="57BD6452" w14:textId="295F3C71" w:rsidR="00BE3BD0" w:rsidRPr="00731984" w:rsidRDefault="00DA77B7" w:rsidP="002F54CB">
      <w:pPr>
        <w:spacing w:line="480" w:lineRule="auto"/>
        <w:rPr>
          <w:rFonts w:ascii="Times New Roman" w:hAnsi="Times New Roman" w:cs="Times New Roman"/>
          <w:b/>
          <w:bCs/>
        </w:rPr>
      </w:pPr>
      <w:r w:rsidRPr="00731984">
        <w:rPr>
          <w:rFonts w:ascii="Times New Roman" w:hAnsi="Times New Roman" w:cs="Times New Roman"/>
          <w:b/>
          <w:bCs/>
        </w:rPr>
        <w:t>Results</w:t>
      </w:r>
      <w:r w:rsidR="00EE6A4A" w:rsidRPr="00731984">
        <w:rPr>
          <w:rFonts w:ascii="Times New Roman" w:hAnsi="Times New Roman" w:cs="Times New Roman"/>
          <w:b/>
          <w:bCs/>
        </w:rPr>
        <w:t xml:space="preserve">:  </w:t>
      </w:r>
      <w:r w:rsidR="00BE3BD0" w:rsidRPr="00731984">
        <w:rPr>
          <w:rFonts w:asciiTheme="majorBidi" w:hAnsiTheme="majorBidi" w:cstheme="majorBidi"/>
          <w:bCs/>
        </w:rPr>
        <w:t xml:space="preserve">Factor analysis </w:t>
      </w:r>
      <w:r w:rsidR="002F54CB" w:rsidRPr="00731984">
        <w:rPr>
          <w:rFonts w:asciiTheme="majorBidi" w:hAnsiTheme="majorBidi" w:cstheme="majorBidi"/>
          <w:bCs/>
        </w:rPr>
        <w:t>indicated goodness of fit</w:t>
      </w:r>
      <w:r w:rsidR="00BE3BD0" w:rsidRPr="00731984">
        <w:rPr>
          <w:rFonts w:asciiTheme="majorBidi" w:hAnsiTheme="majorBidi" w:cstheme="majorBidi"/>
          <w:bCs/>
        </w:rPr>
        <w:t xml:space="preserve"> for </w:t>
      </w:r>
      <w:r w:rsidR="0001338E" w:rsidRPr="00731984">
        <w:rPr>
          <w:rFonts w:asciiTheme="majorBidi" w:hAnsiTheme="majorBidi" w:cstheme="majorBidi"/>
          <w:bCs/>
        </w:rPr>
        <w:t xml:space="preserve">the </w:t>
      </w:r>
      <w:r w:rsidR="00D710EB" w:rsidRPr="00731984">
        <w:rPr>
          <w:rFonts w:asciiTheme="majorBidi" w:hAnsiTheme="majorBidi" w:cstheme="majorBidi"/>
          <w:bCs/>
        </w:rPr>
        <w:t xml:space="preserve">HAO with both </w:t>
      </w:r>
      <w:r w:rsidR="00BE3BD0" w:rsidRPr="00731984">
        <w:rPr>
          <w:rFonts w:asciiTheme="majorBidi" w:hAnsiTheme="majorBidi" w:cstheme="majorBidi"/>
          <w:bCs/>
        </w:rPr>
        <w:t xml:space="preserve">clinical and non-clinical samples.  </w:t>
      </w:r>
      <w:r w:rsidR="00D710EB" w:rsidRPr="00731984">
        <w:rPr>
          <w:rFonts w:asciiTheme="majorBidi" w:hAnsiTheme="majorBidi" w:cstheme="majorBidi"/>
          <w:bCs/>
        </w:rPr>
        <w:t xml:space="preserve">The measure demonstrated acceptable internal consistency, </w:t>
      </w:r>
      <w:r w:rsidR="00BE3BD0" w:rsidRPr="00731984">
        <w:rPr>
          <w:rFonts w:asciiTheme="majorBidi" w:hAnsiTheme="majorBidi" w:cstheme="majorBidi"/>
          <w:bCs/>
        </w:rPr>
        <w:t>moderate</w:t>
      </w:r>
      <w:r w:rsidR="00D77C60" w:rsidRPr="00731984">
        <w:rPr>
          <w:rFonts w:asciiTheme="majorBidi" w:hAnsiTheme="majorBidi" w:cstheme="majorBidi"/>
          <w:bCs/>
        </w:rPr>
        <w:t xml:space="preserve"> to strong con</w:t>
      </w:r>
      <w:r w:rsidR="0044655D" w:rsidRPr="00731984">
        <w:rPr>
          <w:rFonts w:asciiTheme="majorBidi" w:hAnsiTheme="majorBidi" w:cstheme="majorBidi"/>
          <w:bCs/>
        </w:rPr>
        <w:t>struct</w:t>
      </w:r>
      <w:r w:rsidR="00D77C60" w:rsidRPr="00731984">
        <w:rPr>
          <w:rFonts w:asciiTheme="majorBidi" w:hAnsiTheme="majorBidi" w:cstheme="majorBidi"/>
          <w:bCs/>
        </w:rPr>
        <w:t xml:space="preserve"> validity and </w:t>
      </w:r>
      <w:r w:rsidR="00BE3BD0" w:rsidRPr="00731984">
        <w:rPr>
          <w:rFonts w:asciiTheme="majorBidi" w:hAnsiTheme="majorBidi" w:cstheme="majorBidi"/>
          <w:bCs/>
        </w:rPr>
        <w:t>substantial test-re</w:t>
      </w:r>
      <w:r w:rsidR="00E8433F" w:rsidRPr="00731984">
        <w:rPr>
          <w:rFonts w:asciiTheme="majorBidi" w:hAnsiTheme="majorBidi" w:cstheme="majorBidi"/>
          <w:bCs/>
        </w:rPr>
        <w:t>test reliability over two we</w:t>
      </w:r>
      <w:r w:rsidR="00D77C60" w:rsidRPr="00731984">
        <w:rPr>
          <w:rFonts w:asciiTheme="majorBidi" w:hAnsiTheme="majorBidi" w:cstheme="majorBidi"/>
          <w:bCs/>
        </w:rPr>
        <w:t>eks</w:t>
      </w:r>
      <w:r w:rsidR="004E3019" w:rsidRPr="00731984">
        <w:rPr>
          <w:rFonts w:asciiTheme="majorBidi" w:hAnsiTheme="majorBidi" w:cstheme="majorBidi"/>
          <w:bCs/>
        </w:rPr>
        <w:t>.</w:t>
      </w:r>
    </w:p>
    <w:p w14:paraId="3959E5AE" w14:textId="41C76CB2" w:rsidR="00DA77B7" w:rsidRPr="00EE6A4A" w:rsidRDefault="00EE6A4A" w:rsidP="00B95E58">
      <w:pPr>
        <w:spacing w:line="480" w:lineRule="auto"/>
        <w:rPr>
          <w:rFonts w:asciiTheme="majorBidi" w:hAnsiTheme="majorBidi" w:cstheme="majorBidi"/>
          <w:b/>
          <w:bCs/>
        </w:rPr>
      </w:pPr>
      <w:r w:rsidRPr="00D77C60">
        <w:rPr>
          <w:rFonts w:asciiTheme="majorBidi" w:hAnsiTheme="majorBidi" w:cstheme="majorBidi"/>
          <w:b/>
          <w:bCs/>
        </w:rPr>
        <w:t>Conclusion</w:t>
      </w:r>
      <w:r w:rsidR="00516681" w:rsidRPr="00D77C60">
        <w:rPr>
          <w:rFonts w:asciiTheme="majorBidi" w:hAnsiTheme="majorBidi" w:cstheme="majorBidi"/>
          <w:b/>
          <w:bCs/>
        </w:rPr>
        <w:t>s</w:t>
      </w:r>
      <w:r w:rsidRPr="00D77C60">
        <w:rPr>
          <w:rFonts w:asciiTheme="majorBidi" w:hAnsiTheme="majorBidi" w:cstheme="majorBidi"/>
          <w:b/>
          <w:bCs/>
        </w:rPr>
        <w:t xml:space="preserve">:  </w:t>
      </w:r>
      <w:r w:rsidR="00BE3BD0" w:rsidRPr="00D77C60">
        <w:rPr>
          <w:rFonts w:asciiTheme="majorBidi" w:hAnsiTheme="majorBidi" w:cstheme="majorBidi"/>
        </w:rPr>
        <w:t>The HAO demonstrates sati</w:t>
      </w:r>
      <w:r w:rsidR="00A35B07">
        <w:rPr>
          <w:rFonts w:asciiTheme="majorBidi" w:hAnsiTheme="majorBidi" w:cstheme="majorBidi"/>
        </w:rPr>
        <w:t>sfactory psychometric properties</w:t>
      </w:r>
      <w:r w:rsidR="00BE3BD0" w:rsidRPr="00D77C60">
        <w:rPr>
          <w:rFonts w:asciiTheme="majorBidi" w:hAnsiTheme="majorBidi" w:cstheme="majorBidi"/>
        </w:rPr>
        <w:t xml:space="preserve">.  </w:t>
      </w:r>
      <w:r w:rsidR="00B95E58">
        <w:rPr>
          <w:rFonts w:asciiTheme="majorBidi" w:hAnsiTheme="majorBidi" w:cstheme="majorBidi"/>
        </w:rPr>
        <w:t xml:space="preserve">Co-production of the measure confers clinical credibility.  </w:t>
      </w:r>
      <w:r w:rsidR="00BE3BD0" w:rsidRPr="00D77C60">
        <w:rPr>
          <w:rFonts w:asciiTheme="majorBidi" w:hAnsiTheme="majorBidi" w:cstheme="majorBidi"/>
        </w:rPr>
        <w:t>The brevity of th</w:t>
      </w:r>
      <w:r w:rsidR="00227206" w:rsidRPr="00D77C60">
        <w:rPr>
          <w:rFonts w:asciiTheme="majorBidi" w:hAnsiTheme="majorBidi" w:cstheme="majorBidi"/>
        </w:rPr>
        <w:t>e</w:t>
      </w:r>
      <w:r w:rsidR="00BE3BD0" w:rsidRPr="00D77C60">
        <w:rPr>
          <w:rFonts w:asciiTheme="majorBidi" w:hAnsiTheme="majorBidi" w:cstheme="majorBidi"/>
        </w:rPr>
        <w:t xml:space="preserve"> tool means it can be incorporated into routine clinical practice to </w:t>
      </w:r>
      <w:r w:rsidR="00190D49" w:rsidRPr="00D77C60">
        <w:rPr>
          <w:rFonts w:asciiTheme="majorBidi" w:hAnsiTheme="majorBidi" w:cstheme="majorBidi"/>
        </w:rPr>
        <w:t>drive improvements in</w:t>
      </w:r>
      <w:r w:rsidR="00BE3BD0" w:rsidRPr="00D77C60">
        <w:rPr>
          <w:rFonts w:asciiTheme="majorBidi" w:hAnsiTheme="majorBidi" w:cstheme="majorBidi"/>
        </w:rPr>
        <w:t xml:space="preserve"> service quality.</w:t>
      </w:r>
    </w:p>
    <w:p w14:paraId="5503EAE5" w14:textId="77777777" w:rsidR="00D77C60" w:rsidRDefault="00D77C60" w:rsidP="00D77C60">
      <w:pPr>
        <w:spacing w:line="480" w:lineRule="auto"/>
        <w:rPr>
          <w:rFonts w:ascii="Times New Roman" w:hAnsi="Times New Roman" w:cs="Times New Roman"/>
          <w:b/>
        </w:rPr>
      </w:pPr>
    </w:p>
    <w:p w14:paraId="3F3364C0" w14:textId="77777777" w:rsidR="00D77C60" w:rsidRDefault="00D77C60" w:rsidP="00D77C60">
      <w:pPr>
        <w:spacing w:line="480" w:lineRule="auto"/>
        <w:rPr>
          <w:rFonts w:ascii="Times New Roman" w:hAnsi="Times New Roman" w:cs="Times New Roman"/>
          <w:bCs/>
        </w:rPr>
      </w:pPr>
      <w:r>
        <w:rPr>
          <w:rFonts w:ascii="Times New Roman" w:hAnsi="Times New Roman" w:cs="Times New Roman"/>
          <w:b/>
        </w:rPr>
        <w:t xml:space="preserve">Declaration of </w:t>
      </w:r>
      <w:r w:rsidRPr="00D77C60">
        <w:rPr>
          <w:rFonts w:ascii="Times New Roman" w:hAnsi="Times New Roman" w:cs="Times New Roman"/>
          <w:b/>
        </w:rPr>
        <w:t>interest:</w:t>
      </w:r>
      <w:r w:rsidRPr="00D77C60">
        <w:rPr>
          <w:rFonts w:ascii="Times New Roman" w:hAnsi="Times New Roman" w:cs="Times New Roman"/>
          <w:bCs/>
        </w:rPr>
        <w:t xml:space="preserve">  None</w:t>
      </w:r>
    </w:p>
    <w:p w14:paraId="125741B7" w14:textId="77777777" w:rsidR="00D77C60" w:rsidRDefault="00D77C60" w:rsidP="00D77C60">
      <w:pPr>
        <w:spacing w:line="480" w:lineRule="auto"/>
        <w:rPr>
          <w:rFonts w:ascii="Times New Roman" w:hAnsi="Times New Roman" w:cs="Times New Roman"/>
          <w:b/>
        </w:rPr>
      </w:pPr>
    </w:p>
    <w:p w14:paraId="310A3149" w14:textId="71F12131" w:rsidR="00B55D16" w:rsidRPr="00D77C60" w:rsidRDefault="00D77C60" w:rsidP="00D77C60">
      <w:pPr>
        <w:spacing w:line="480" w:lineRule="auto"/>
        <w:rPr>
          <w:rFonts w:ascii="Times New Roman" w:hAnsi="Times New Roman" w:cs="Times New Roman"/>
        </w:rPr>
      </w:pPr>
      <w:r w:rsidRPr="0081710D">
        <w:rPr>
          <w:rFonts w:ascii="Times New Roman" w:hAnsi="Times New Roman" w:cs="Times New Roman"/>
          <w:b/>
        </w:rPr>
        <w:t xml:space="preserve">Keywords: </w:t>
      </w:r>
      <w:r>
        <w:rPr>
          <w:rFonts w:ascii="Times New Roman" w:hAnsi="Times New Roman" w:cs="Times New Roman"/>
          <w:b/>
        </w:rPr>
        <w:t xml:space="preserve"> </w:t>
      </w:r>
      <w:r w:rsidRPr="0081710D">
        <w:rPr>
          <w:rFonts w:ascii="Times New Roman" w:hAnsi="Times New Roman" w:cs="Times New Roman"/>
        </w:rPr>
        <w:t xml:space="preserve">Patient reported measures, </w:t>
      </w:r>
      <w:r>
        <w:rPr>
          <w:rFonts w:ascii="Times New Roman" w:hAnsi="Times New Roman" w:cs="Times New Roman"/>
        </w:rPr>
        <w:t xml:space="preserve">outcome evaluation, </w:t>
      </w:r>
      <w:r w:rsidRPr="0081710D">
        <w:rPr>
          <w:rFonts w:ascii="Times New Roman" w:hAnsi="Times New Roman" w:cs="Times New Roman"/>
        </w:rPr>
        <w:t xml:space="preserve">PROMs, PREMs, </w:t>
      </w:r>
      <w:r>
        <w:rPr>
          <w:rFonts w:ascii="Times New Roman" w:hAnsi="Times New Roman" w:cs="Times New Roman"/>
          <w:bCs/>
        </w:rPr>
        <w:t>psychometric evaluation, recovery</w:t>
      </w:r>
      <w:r w:rsidR="00A35B07">
        <w:rPr>
          <w:rFonts w:ascii="Times New Roman" w:hAnsi="Times New Roman" w:cs="Times New Roman"/>
          <w:bCs/>
        </w:rPr>
        <w:t>, questionnaire validation</w:t>
      </w:r>
      <w:r w:rsidR="00B55D16" w:rsidRPr="00D77C60">
        <w:rPr>
          <w:rFonts w:ascii="Times New Roman" w:hAnsi="Times New Roman" w:cs="Times New Roman"/>
          <w:b/>
        </w:rPr>
        <w:br w:type="page"/>
      </w:r>
    </w:p>
    <w:p w14:paraId="48CD0819" w14:textId="1F55938C" w:rsidR="007E35D8" w:rsidRDefault="007E35D8" w:rsidP="00014439">
      <w:pPr>
        <w:spacing w:line="480" w:lineRule="auto"/>
        <w:rPr>
          <w:rFonts w:ascii="Times New Roman" w:hAnsi="Times New Roman" w:cs="Times New Roman"/>
          <w:b/>
        </w:rPr>
      </w:pPr>
      <w:r w:rsidRPr="0096478E">
        <w:rPr>
          <w:rFonts w:ascii="Times New Roman" w:hAnsi="Times New Roman" w:cs="Times New Roman"/>
          <w:b/>
        </w:rPr>
        <w:lastRenderedPageBreak/>
        <w:t>Introduction</w:t>
      </w:r>
    </w:p>
    <w:p w14:paraId="254E9490" w14:textId="52A61BAC" w:rsidR="00A11F1C" w:rsidRPr="00A11F1C" w:rsidRDefault="00A11F1C" w:rsidP="00014439">
      <w:pPr>
        <w:spacing w:line="480" w:lineRule="auto"/>
        <w:rPr>
          <w:rFonts w:ascii="Times New Roman" w:hAnsi="Times New Roman" w:cs="Times New Roman"/>
          <w:b/>
          <w:i/>
        </w:rPr>
      </w:pPr>
      <w:r w:rsidRPr="00A11F1C">
        <w:rPr>
          <w:rFonts w:ascii="Times New Roman" w:hAnsi="Times New Roman" w:cs="Times New Roman"/>
          <w:b/>
          <w:i/>
        </w:rPr>
        <w:t>The case for brief measures of recovery</w:t>
      </w:r>
    </w:p>
    <w:p w14:paraId="7AADA3A2" w14:textId="59083B98" w:rsidR="00815A9D" w:rsidRDefault="0005170D" w:rsidP="00014439">
      <w:pPr>
        <w:spacing w:line="480" w:lineRule="auto"/>
        <w:rPr>
          <w:rFonts w:ascii="Times New Roman" w:hAnsi="Times New Roman" w:cs="Times New Roman"/>
        </w:rPr>
      </w:pPr>
      <w:r>
        <w:rPr>
          <w:rFonts w:ascii="Times New Roman" w:hAnsi="Times New Roman" w:cs="Times New Roman"/>
        </w:rPr>
        <w:t>T</w:t>
      </w:r>
      <w:r w:rsidR="003D2462">
        <w:rPr>
          <w:rFonts w:ascii="Times New Roman" w:hAnsi="Times New Roman" w:cs="Times New Roman"/>
        </w:rPr>
        <w:t xml:space="preserve">he </w:t>
      </w:r>
      <w:r w:rsidR="00C2486F" w:rsidRPr="00C2486F">
        <w:rPr>
          <w:rFonts w:ascii="Times New Roman" w:hAnsi="Times New Roman" w:cs="Times New Roman"/>
        </w:rPr>
        <w:t xml:space="preserve">quality of mental health services </w:t>
      </w:r>
      <w:r>
        <w:rPr>
          <w:rFonts w:ascii="Times New Roman" w:hAnsi="Times New Roman" w:cs="Times New Roman"/>
        </w:rPr>
        <w:t xml:space="preserve">is </w:t>
      </w:r>
      <w:r w:rsidR="00C2486F" w:rsidRPr="00C2486F">
        <w:rPr>
          <w:rFonts w:ascii="Times New Roman" w:hAnsi="Times New Roman" w:cs="Times New Roman"/>
        </w:rPr>
        <w:t>an international priority</w:t>
      </w:r>
      <w:r w:rsidR="00946C02">
        <w:rPr>
          <w:rFonts w:ascii="Times New Roman" w:hAnsi="Times New Roman" w:cs="Times New Roman"/>
        </w:rPr>
        <w:t xml:space="preserve"> </w:t>
      </w:r>
      <w:r w:rsidR="00C2486F" w:rsidRPr="00C2486F">
        <w:rPr>
          <w:rFonts w:ascii="Times New Roman" w:hAnsi="Times New Roman" w:cs="Times New Roman"/>
        </w:rPr>
        <w:t>(Australian Health Ministers’ Advisory Council</w:t>
      </w:r>
      <w:r w:rsidR="00527190">
        <w:rPr>
          <w:rFonts w:ascii="Times New Roman" w:hAnsi="Times New Roman" w:cs="Times New Roman"/>
        </w:rPr>
        <w:t xml:space="preserve">, </w:t>
      </w:r>
      <w:r w:rsidR="00C2486F" w:rsidRPr="00C2486F">
        <w:rPr>
          <w:rFonts w:ascii="Times New Roman" w:hAnsi="Times New Roman" w:cs="Times New Roman"/>
        </w:rPr>
        <w:t>20</w:t>
      </w:r>
      <w:r w:rsidR="00527190">
        <w:rPr>
          <w:rFonts w:ascii="Times New Roman" w:hAnsi="Times New Roman" w:cs="Times New Roman"/>
        </w:rPr>
        <w:t>13</w:t>
      </w:r>
      <w:r w:rsidR="00C2486F">
        <w:rPr>
          <w:rFonts w:ascii="Times New Roman" w:hAnsi="Times New Roman" w:cs="Times New Roman"/>
        </w:rPr>
        <w:t>;</w:t>
      </w:r>
      <w:r w:rsidR="006D264D">
        <w:rPr>
          <w:rFonts w:ascii="Times New Roman" w:hAnsi="Times New Roman" w:cs="Times New Roman"/>
        </w:rPr>
        <w:t xml:space="preserve"> </w:t>
      </w:r>
      <w:r w:rsidR="00527190">
        <w:rPr>
          <w:rFonts w:ascii="Times New Roman" w:hAnsi="Times New Roman" w:cs="Times New Roman"/>
        </w:rPr>
        <w:t>New Zealand Mental Health Commission, 2012;</w:t>
      </w:r>
      <w:r w:rsidR="006D264D">
        <w:rPr>
          <w:rFonts w:ascii="Times New Roman" w:hAnsi="Times New Roman" w:cs="Times New Roman"/>
        </w:rPr>
        <w:t xml:space="preserve"> </w:t>
      </w:r>
      <w:proofErr w:type="spellStart"/>
      <w:r w:rsidR="00946C02" w:rsidRPr="00946C02">
        <w:rPr>
          <w:rFonts w:ascii="Times New Roman" w:hAnsi="Times New Roman" w:cs="Times New Roman"/>
        </w:rPr>
        <w:t>Piat</w:t>
      </w:r>
      <w:proofErr w:type="spellEnd"/>
      <w:r w:rsidR="00946C02" w:rsidRPr="00946C02">
        <w:rPr>
          <w:rFonts w:ascii="Times New Roman" w:hAnsi="Times New Roman" w:cs="Times New Roman"/>
        </w:rPr>
        <w:t xml:space="preserve">, </w:t>
      </w:r>
      <w:proofErr w:type="spellStart"/>
      <w:r w:rsidR="00946C02">
        <w:rPr>
          <w:rFonts w:ascii="Times New Roman" w:hAnsi="Times New Roman" w:cs="Times New Roman"/>
        </w:rPr>
        <w:t>S</w:t>
      </w:r>
      <w:r w:rsidR="00946C02" w:rsidRPr="00946C02">
        <w:rPr>
          <w:rFonts w:ascii="Times New Roman" w:hAnsi="Times New Roman" w:cs="Times New Roman"/>
        </w:rPr>
        <w:t>abetti</w:t>
      </w:r>
      <w:proofErr w:type="spellEnd"/>
      <w:r w:rsidR="00946C02" w:rsidRPr="00946C02">
        <w:rPr>
          <w:rFonts w:ascii="Times New Roman" w:hAnsi="Times New Roman" w:cs="Times New Roman"/>
        </w:rPr>
        <w:t xml:space="preserve"> &amp; Bloom, 2010</w:t>
      </w:r>
      <w:r w:rsidR="00527190">
        <w:rPr>
          <w:rFonts w:ascii="Times New Roman" w:hAnsi="Times New Roman" w:cs="Times New Roman"/>
        </w:rPr>
        <w:t>;</w:t>
      </w:r>
      <w:r w:rsidR="006D264D">
        <w:t xml:space="preserve"> </w:t>
      </w:r>
      <w:r w:rsidR="00527190" w:rsidRPr="00527190">
        <w:rPr>
          <w:rFonts w:ascii="Times New Roman" w:hAnsi="Times New Roman" w:cs="Times New Roman"/>
        </w:rPr>
        <w:t>President's New Freedom Co</w:t>
      </w:r>
      <w:r w:rsidR="00527190">
        <w:rPr>
          <w:rFonts w:ascii="Times New Roman" w:hAnsi="Times New Roman" w:cs="Times New Roman"/>
        </w:rPr>
        <w:t>mmission on Mental Health, 2003</w:t>
      </w:r>
      <w:r w:rsidR="006D264D">
        <w:rPr>
          <w:rFonts w:ascii="Times New Roman" w:hAnsi="Times New Roman" w:cs="Times New Roman"/>
        </w:rPr>
        <w:t>;</w:t>
      </w:r>
      <w:r w:rsidR="006D264D">
        <w:t xml:space="preserve"> </w:t>
      </w:r>
      <w:r w:rsidR="006D264D">
        <w:rPr>
          <w:rFonts w:ascii="Times New Roman" w:hAnsi="Times New Roman" w:cs="Times New Roman"/>
        </w:rPr>
        <w:t>UK Department of Health, 2011;</w:t>
      </w:r>
      <w:r w:rsidR="006D264D" w:rsidRPr="006D264D">
        <w:rPr>
          <w:rFonts w:ascii="Times New Roman" w:hAnsi="Times New Roman" w:cs="Times New Roman"/>
        </w:rPr>
        <w:t xml:space="preserve"> 2014</w:t>
      </w:r>
      <w:r w:rsidR="00C2486F" w:rsidRPr="00C2486F">
        <w:rPr>
          <w:rFonts w:ascii="Times New Roman" w:hAnsi="Times New Roman" w:cs="Times New Roman"/>
        </w:rPr>
        <w:t>).</w:t>
      </w:r>
      <w:r w:rsidR="00B5125A" w:rsidRPr="00B5125A">
        <w:rPr>
          <w:rFonts w:ascii="Times New Roman" w:hAnsi="Times New Roman" w:cs="Times New Roman"/>
        </w:rPr>
        <w:t xml:space="preserve"> </w:t>
      </w:r>
      <w:r w:rsidR="00B5125A">
        <w:rPr>
          <w:rFonts w:ascii="Times New Roman" w:hAnsi="Times New Roman" w:cs="Times New Roman"/>
        </w:rPr>
        <w:t xml:space="preserve"> </w:t>
      </w:r>
      <w:r w:rsidR="00FC5F2F">
        <w:rPr>
          <w:rFonts w:ascii="Times New Roman" w:hAnsi="Times New Roman" w:cs="Times New Roman"/>
        </w:rPr>
        <w:t>A</w:t>
      </w:r>
      <w:r w:rsidR="00B5125A">
        <w:rPr>
          <w:rFonts w:ascii="Times New Roman" w:hAnsi="Times New Roman" w:cs="Times New Roman"/>
        </w:rPr>
        <w:t xml:space="preserve"> </w:t>
      </w:r>
      <w:r w:rsidR="00B5125A" w:rsidRPr="00B5125A">
        <w:rPr>
          <w:rFonts w:ascii="Times New Roman" w:hAnsi="Times New Roman" w:cs="Times New Roman"/>
        </w:rPr>
        <w:t>recovery approach</w:t>
      </w:r>
      <w:r w:rsidR="00B5125A">
        <w:rPr>
          <w:rFonts w:ascii="Times New Roman" w:hAnsi="Times New Roman" w:cs="Times New Roman"/>
        </w:rPr>
        <w:t xml:space="preserve"> focuses on </w:t>
      </w:r>
      <w:r w:rsidR="00B5125A">
        <w:rPr>
          <w:rFonts w:ascii="Times New Roman" w:hAnsi="Times New Roman" w:cs="Times New Roman"/>
          <w:i/>
          <w:iCs/>
        </w:rPr>
        <w:t>‘b</w:t>
      </w:r>
      <w:r w:rsidRPr="0005170D">
        <w:rPr>
          <w:rFonts w:ascii="Times New Roman" w:hAnsi="Times New Roman" w:cs="Times New Roman"/>
          <w:i/>
          <w:iCs/>
        </w:rPr>
        <w:t>uilding a meaningful and satisfying life, whethe</w:t>
      </w:r>
      <w:r w:rsidR="00815A9D">
        <w:rPr>
          <w:rFonts w:ascii="Times New Roman" w:hAnsi="Times New Roman" w:cs="Times New Roman"/>
          <w:i/>
          <w:iCs/>
        </w:rPr>
        <w:t xml:space="preserve">r or not there are </w:t>
      </w:r>
      <w:r w:rsidRPr="0005170D">
        <w:rPr>
          <w:rFonts w:ascii="Times New Roman" w:hAnsi="Times New Roman" w:cs="Times New Roman"/>
          <w:i/>
          <w:iCs/>
        </w:rPr>
        <w:t xml:space="preserve">ongoing </w:t>
      </w:r>
      <w:r w:rsidR="00815A9D">
        <w:rPr>
          <w:rFonts w:ascii="Times New Roman" w:hAnsi="Times New Roman" w:cs="Times New Roman"/>
          <w:i/>
          <w:iCs/>
        </w:rPr>
        <w:t xml:space="preserve">or recurring </w:t>
      </w:r>
      <w:r w:rsidRPr="0005170D">
        <w:rPr>
          <w:rFonts w:ascii="Times New Roman" w:hAnsi="Times New Roman" w:cs="Times New Roman"/>
          <w:i/>
          <w:iCs/>
        </w:rPr>
        <w:t>symptoms or problems’</w:t>
      </w:r>
      <w:r>
        <w:rPr>
          <w:rFonts w:ascii="Times New Roman" w:hAnsi="Times New Roman" w:cs="Times New Roman"/>
        </w:rPr>
        <w:t xml:space="preserve"> </w:t>
      </w:r>
      <w:r w:rsidR="00071A92" w:rsidRPr="00071A92">
        <w:rPr>
          <w:rFonts w:ascii="Times New Roman" w:hAnsi="Times New Roman" w:cs="Times New Roman"/>
        </w:rPr>
        <w:t>(</w:t>
      </w:r>
      <w:r w:rsidR="00815A9D">
        <w:rPr>
          <w:rFonts w:ascii="Times New Roman" w:hAnsi="Times New Roman" w:cs="Times New Roman"/>
        </w:rPr>
        <w:t>Shepherd</w:t>
      </w:r>
      <w:r w:rsidR="00A35B07">
        <w:rPr>
          <w:rFonts w:ascii="Times New Roman" w:hAnsi="Times New Roman" w:cs="Times New Roman"/>
        </w:rPr>
        <w:t xml:space="preserve"> et al.</w:t>
      </w:r>
      <w:r w:rsidR="00815A9D" w:rsidRPr="00815A9D">
        <w:rPr>
          <w:rFonts w:ascii="Times New Roman" w:hAnsi="Times New Roman" w:cs="Times New Roman"/>
        </w:rPr>
        <w:t>,</w:t>
      </w:r>
      <w:r w:rsidR="00815A9D">
        <w:rPr>
          <w:rFonts w:ascii="Times New Roman" w:hAnsi="Times New Roman" w:cs="Times New Roman"/>
        </w:rPr>
        <w:t xml:space="preserve"> </w:t>
      </w:r>
      <w:r w:rsidR="00071A92" w:rsidRPr="00071A92">
        <w:rPr>
          <w:rFonts w:ascii="Times New Roman" w:hAnsi="Times New Roman" w:cs="Times New Roman"/>
        </w:rPr>
        <w:t>20</w:t>
      </w:r>
      <w:r w:rsidR="00815A9D">
        <w:rPr>
          <w:rFonts w:ascii="Times New Roman" w:hAnsi="Times New Roman" w:cs="Times New Roman"/>
        </w:rPr>
        <w:t>08</w:t>
      </w:r>
      <w:r w:rsidR="00071A92" w:rsidRPr="00071A92">
        <w:rPr>
          <w:rFonts w:ascii="Times New Roman" w:hAnsi="Times New Roman" w:cs="Times New Roman"/>
        </w:rPr>
        <w:t>)</w:t>
      </w:r>
      <w:r w:rsidR="00B5125A">
        <w:rPr>
          <w:rFonts w:ascii="Times New Roman" w:hAnsi="Times New Roman" w:cs="Times New Roman"/>
        </w:rPr>
        <w:t>, and has been</w:t>
      </w:r>
      <w:r w:rsidR="00B5125A" w:rsidRPr="00B5125A">
        <w:t xml:space="preserve"> </w:t>
      </w:r>
      <w:r w:rsidR="00B5125A" w:rsidRPr="00B5125A">
        <w:rPr>
          <w:rFonts w:ascii="Times New Roman" w:hAnsi="Times New Roman" w:cs="Times New Roman"/>
        </w:rPr>
        <w:t xml:space="preserve">adopted as </w:t>
      </w:r>
      <w:r w:rsidR="00B5125A">
        <w:rPr>
          <w:rFonts w:ascii="Times New Roman" w:hAnsi="Times New Roman" w:cs="Times New Roman"/>
        </w:rPr>
        <w:t>the</w:t>
      </w:r>
      <w:r w:rsidR="00B5125A" w:rsidRPr="00B5125A">
        <w:rPr>
          <w:rFonts w:ascii="Times New Roman" w:hAnsi="Times New Roman" w:cs="Times New Roman"/>
        </w:rPr>
        <w:t xml:space="preserve"> </w:t>
      </w:r>
      <w:proofErr w:type="spellStart"/>
      <w:r w:rsidR="00B5125A" w:rsidRPr="00B5125A">
        <w:rPr>
          <w:rFonts w:ascii="Times New Roman" w:hAnsi="Times New Roman" w:cs="Times New Roman"/>
        </w:rPr>
        <w:t>organising</w:t>
      </w:r>
      <w:proofErr w:type="spellEnd"/>
      <w:r w:rsidR="00B5125A" w:rsidRPr="00B5125A">
        <w:rPr>
          <w:rFonts w:ascii="Times New Roman" w:hAnsi="Times New Roman" w:cs="Times New Roman"/>
        </w:rPr>
        <w:t xml:space="preserve"> framework </w:t>
      </w:r>
      <w:r w:rsidR="00135B47">
        <w:rPr>
          <w:rFonts w:ascii="Times New Roman" w:hAnsi="Times New Roman" w:cs="Times New Roman"/>
        </w:rPr>
        <w:t>for</w:t>
      </w:r>
      <w:r w:rsidR="00B5125A">
        <w:rPr>
          <w:rFonts w:ascii="Times New Roman" w:hAnsi="Times New Roman" w:cs="Times New Roman"/>
        </w:rPr>
        <w:t xml:space="preserve"> </w:t>
      </w:r>
      <w:r w:rsidR="00B5125A" w:rsidRPr="00B5125A">
        <w:rPr>
          <w:rFonts w:ascii="Times New Roman" w:hAnsi="Times New Roman" w:cs="Times New Roman"/>
        </w:rPr>
        <w:t>policymakers</w:t>
      </w:r>
      <w:r w:rsidR="00B5125A">
        <w:rPr>
          <w:rFonts w:ascii="Times New Roman" w:hAnsi="Times New Roman" w:cs="Times New Roman"/>
        </w:rPr>
        <w:t xml:space="preserve"> </w:t>
      </w:r>
      <w:r w:rsidR="0017124F">
        <w:rPr>
          <w:rFonts w:ascii="Times New Roman" w:hAnsi="Times New Roman" w:cs="Times New Roman"/>
        </w:rPr>
        <w:t>in Britain</w:t>
      </w:r>
      <w:r w:rsidR="00B5125A" w:rsidRPr="00B5125A">
        <w:rPr>
          <w:rFonts w:ascii="Times New Roman" w:hAnsi="Times New Roman" w:cs="Times New Roman"/>
        </w:rPr>
        <w:t xml:space="preserve">, Australasia and North America </w:t>
      </w:r>
      <w:r w:rsidR="00B5125A">
        <w:rPr>
          <w:rFonts w:ascii="Times New Roman" w:hAnsi="Times New Roman" w:cs="Times New Roman"/>
        </w:rPr>
        <w:t>(</w:t>
      </w:r>
      <w:r w:rsidR="00B5125A" w:rsidRPr="00B5125A">
        <w:rPr>
          <w:rFonts w:ascii="Times New Roman" w:hAnsi="Times New Roman" w:cs="Times New Roman"/>
          <w:i/>
          <w:iCs/>
        </w:rPr>
        <w:t>ibid</w:t>
      </w:r>
      <w:r w:rsidR="00B5125A">
        <w:rPr>
          <w:rFonts w:ascii="Times New Roman" w:hAnsi="Times New Roman" w:cs="Times New Roman"/>
        </w:rPr>
        <w:t>)</w:t>
      </w:r>
      <w:r w:rsidR="00C668CD">
        <w:rPr>
          <w:rFonts w:ascii="Times New Roman" w:hAnsi="Times New Roman" w:cs="Times New Roman"/>
        </w:rPr>
        <w:t xml:space="preserve">.  This involves </w:t>
      </w:r>
      <w:r w:rsidR="00071A92">
        <w:rPr>
          <w:rFonts w:ascii="Times New Roman" w:hAnsi="Times New Roman" w:cs="Times New Roman"/>
        </w:rPr>
        <w:t xml:space="preserve">a </w:t>
      </w:r>
      <w:r w:rsidR="00A35B07">
        <w:rPr>
          <w:rFonts w:ascii="Times New Roman" w:hAnsi="Times New Roman" w:cs="Times New Roman"/>
        </w:rPr>
        <w:t>fundamental change</w:t>
      </w:r>
      <w:r w:rsidR="00527190">
        <w:rPr>
          <w:rFonts w:ascii="Times New Roman" w:hAnsi="Times New Roman" w:cs="Times New Roman"/>
        </w:rPr>
        <w:t xml:space="preserve"> </w:t>
      </w:r>
      <w:r w:rsidR="00C668CD">
        <w:rPr>
          <w:rFonts w:ascii="Times New Roman" w:hAnsi="Times New Roman" w:cs="Times New Roman"/>
        </w:rPr>
        <w:t xml:space="preserve">in the </w:t>
      </w:r>
      <w:r w:rsidR="00B818FD">
        <w:rPr>
          <w:rFonts w:ascii="Times New Roman" w:hAnsi="Times New Roman" w:cs="Times New Roman"/>
        </w:rPr>
        <w:t>overarching</w:t>
      </w:r>
      <w:r w:rsidR="001207A3">
        <w:rPr>
          <w:rFonts w:ascii="Times New Roman" w:hAnsi="Times New Roman" w:cs="Times New Roman"/>
        </w:rPr>
        <w:t xml:space="preserve"> </w:t>
      </w:r>
      <w:r w:rsidR="00C668CD">
        <w:rPr>
          <w:rFonts w:ascii="Times New Roman" w:hAnsi="Times New Roman" w:cs="Times New Roman"/>
        </w:rPr>
        <w:t xml:space="preserve">aims of </w:t>
      </w:r>
      <w:r w:rsidR="00B5125A">
        <w:rPr>
          <w:rFonts w:ascii="Times New Roman" w:hAnsi="Times New Roman" w:cs="Times New Roman"/>
        </w:rPr>
        <w:t>mental health services</w:t>
      </w:r>
      <w:r w:rsidR="00C668CD">
        <w:rPr>
          <w:rFonts w:ascii="Times New Roman" w:hAnsi="Times New Roman" w:cs="Times New Roman"/>
        </w:rPr>
        <w:t xml:space="preserve">, from </w:t>
      </w:r>
      <w:r w:rsidR="00071A92">
        <w:rPr>
          <w:rFonts w:ascii="Times New Roman" w:hAnsi="Times New Roman" w:cs="Times New Roman"/>
        </w:rPr>
        <w:t>traditional notions of cure to</w:t>
      </w:r>
      <w:r w:rsidR="00527190">
        <w:rPr>
          <w:rFonts w:ascii="Times New Roman" w:hAnsi="Times New Roman" w:cs="Times New Roman"/>
        </w:rPr>
        <w:t xml:space="preserve"> </w:t>
      </w:r>
      <w:r w:rsidR="00A35B07">
        <w:rPr>
          <w:rFonts w:ascii="Times New Roman" w:hAnsi="Times New Roman" w:cs="Times New Roman"/>
        </w:rPr>
        <w:t xml:space="preserve">supporting people to </w:t>
      </w:r>
      <w:r w:rsidR="00527190">
        <w:rPr>
          <w:rFonts w:ascii="Times New Roman" w:hAnsi="Times New Roman" w:cs="Times New Roman"/>
        </w:rPr>
        <w:t>liv</w:t>
      </w:r>
      <w:r w:rsidR="00A35B07">
        <w:rPr>
          <w:rFonts w:ascii="Times New Roman" w:hAnsi="Times New Roman" w:cs="Times New Roman"/>
        </w:rPr>
        <w:t>e</w:t>
      </w:r>
      <w:r w:rsidR="00C668CD">
        <w:rPr>
          <w:rFonts w:ascii="Times New Roman" w:hAnsi="Times New Roman" w:cs="Times New Roman"/>
        </w:rPr>
        <w:t xml:space="preserve"> </w:t>
      </w:r>
      <w:r w:rsidR="00071A92">
        <w:rPr>
          <w:rFonts w:ascii="Times New Roman" w:hAnsi="Times New Roman" w:cs="Times New Roman"/>
        </w:rPr>
        <w:t>well with long</w:t>
      </w:r>
      <w:r w:rsidR="00C668CD">
        <w:rPr>
          <w:rFonts w:ascii="Times New Roman" w:hAnsi="Times New Roman" w:cs="Times New Roman"/>
        </w:rPr>
        <w:t>er</w:t>
      </w:r>
      <w:r w:rsidR="00071A92">
        <w:rPr>
          <w:rFonts w:ascii="Times New Roman" w:hAnsi="Times New Roman" w:cs="Times New Roman"/>
        </w:rPr>
        <w:t xml:space="preserve"> term conditions</w:t>
      </w:r>
      <w:r w:rsidR="006D264D">
        <w:rPr>
          <w:rFonts w:ascii="Times New Roman" w:hAnsi="Times New Roman" w:cs="Times New Roman"/>
        </w:rPr>
        <w:t xml:space="preserve"> (</w:t>
      </w:r>
      <w:r w:rsidR="0017124F">
        <w:rPr>
          <w:rFonts w:ascii="Times New Roman" w:hAnsi="Times New Roman" w:cs="Times New Roman"/>
        </w:rPr>
        <w:t>Slade et al., 2014</w:t>
      </w:r>
      <w:r w:rsidR="00E26456">
        <w:rPr>
          <w:rFonts w:ascii="Times New Roman" w:hAnsi="Times New Roman" w:cs="Times New Roman"/>
        </w:rPr>
        <w:t>; cf. Rose, 2014</w:t>
      </w:r>
      <w:r w:rsidR="006D264D" w:rsidRPr="006D264D">
        <w:rPr>
          <w:rFonts w:ascii="Times New Roman" w:hAnsi="Times New Roman" w:cs="Times New Roman"/>
        </w:rPr>
        <w:t>)</w:t>
      </w:r>
      <w:r w:rsidR="006D264D">
        <w:rPr>
          <w:rFonts w:ascii="Times New Roman" w:hAnsi="Times New Roman" w:cs="Times New Roman"/>
        </w:rPr>
        <w:t>.</w:t>
      </w:r>
    </w:p>
    <w:p w14:paraId="56D807F8" w14:textId="79441444" w:rsidR="00AF5CE2" w:rsidRDefault="001207A3" w:rsidP="00014439">
      <w:pPr>
        <w:spacing w:line="480" w:lineRule="auto"/>
        <w:ind w:firstLine="720"/>
        <w:rPr>
          <w:rFonts w:ascii="Times New Roman" w:hAnsi="Times New Roman" w:cs="Times New Roman"/>
        </w:rPr>
      </w:pPr>
      <w:r>
        <w:rPr>
          <w:rFonts w:ascii="Times New Roman" w:hAnsi="Times New Roman" w:cs="Times New Roman"/>
        </w:rPr>
        <w:t>T</w:t>
      </w:r>
      <w:r w:rsidR="00C2486F" w:rsidRPr="00C2486F">
        <w:rPr>
          <w:rFonts w:ascii="Times New Roman" w:hAnsi="Times New Roman" w:cs="Times New Roman"/>
        </w:rPr>
        <w:t>he UK Royal College of Psy</w:t>
      </w:r>
      <w:r w:rsidR="009C1AD7">
        <w:rPr>
          <w:rFonts w:ascii="Times New Roman" w:hAnsi="Times New Roman" w:cs="Times New Roman"/>
        </w:rPr>
        <w:t xml:space="preserve">chiatrists (2013) </w:t>
      </w:r>
      <w:r w:rsidR="00946C02">
        <w:rPr>
          <w:rFonts w:ascii="Times New Roman" w:hAnsi="Times New Roman" w:cs="Times New Roman"/>
        </w:rPr>
        <w:t>identifies</w:t>
      </w:r>
      <w:r w:rsidR="00C2486F" w:rsidRPr="00C2486F">
        <w:rPr>
          <w:rFonts w:ascii="Times New Roman" w:hAnsi="Times New Roman" w:cs="Times New Roman"/>
        </w:rPr>
        <w:t xml:space="preserve"> the use of </w:t>
      </w:r>
      <w:r w:rsidR="00EE4F63">
        <w:rPr>
          <w:rFonts w:ascii="Times New Roman" w:hAnsi="Times New Roman" w:cs="Times New Roman"/>
        </w:rPr>
        <w:t xml:space="preserve">reliable </w:t>
      </w:r>
      <w:r w:rsidR="00C2486F" w:rsidRPr="00C2486F">
        <w:rPr>
          <w:rFonts w:ascii="Times New Roman" w:hAnsi="Times New Roman" w:cs="Times New Roman"/>
        </w:rPr>
        <w:t xml:space="preserve">outcome data as key to </w:t>
      </w:r>
      <w:r w:rsidR="00135B47">
        <w:rPr>
          <w:rFonts w:ascii="Times New Roman" w:hAnsi="Times New Roman" w:cs="Times New Roman"/>
        </w:rPr>
        <w:t>this</w:t>
      </w:r>
      <w:r w:rsidR="008B0773">
        <w:rPr>
          <w:rFonts w:ascii="Times New Roman" w:hAnsi="Times New Roman" w:cs="Times New Roman"/>
        </w:rPr>
        <w:t xml:space="preserve"> change, </w:t>
      </w:r>
      <w:r w:rsidR="005F1A02">
        <w:rPr>
          <w:rFonts w:ascii="Times New Roman" w:hAnsi="Times New Roman" w:cs="Times New Roman"/>
        </w:rPr>
        <w:t>and t</w:t>
      </w:r>
      <w:r w:rsidR="008B0773">
        <w:rPr>
          <w:rFonts w:ascii="Times New Roman" w:hAnsi="Times New Roman" w:cs="Times New Roman"/>
        </w:rPr>
        <w:t xml:space="preserve">o ensure </w:t>
      </w:r>
      <w:r w:rsidR="00C2486F" w:rsidRPr="00C2486F">
        <w:rPr>
          <w:rFonts w:ascii="Times New Roman" w:hAnsi="Times New Roman" w:cs="Times New Roman"/>
        </w:rPr>
        <w:t xml:space="preserve">safe and effective healthcare.  Routine use of validated ‘patient reported measures’ meets the need to gather information directly from people using services </w:t>
      </w:r>
      <w:r w:rsidR="00135B47">
        <w:rPr>
          <w:rFonts w:ascii="Times New Roman" w:hAnsi="Times New Roman" w:cs="Times New Roman"/>
        </w:rPr>
        <w:t xml:space="preserve">to </w:t>
      </w:r>
      <w:r w:rsidR="004A1783">
        <w:rPr>
          <w:rFonts w:ascii="Times New Roman" w:hAnsi="Times New Roman" w:cs="Times New Roman"/>
        </w:rPr>
        <w:t>assess</w:t>
      </w:r>
      <w:r w:rsidR="00135B47">
        <w:rPr>
          <w:rFonts w:ascii="Times New Roman" w:hAnsi="Times New Roman" w:cs="Times New Roman"/>
        </w:rPr>
        <w:t xml:space="preserve"> and improve </w:t>
      </w:r>
      <w:r w:rsidR="004A1783">
        <w:rPr>
          <w:rFonts w:ascii="Times New Roman" w:hAnsi="Times New Roman" w:cs="Times New Roman"/>
        </w:rPr>
        <w:t xml:space="preserve">provision </w:t>
      </w:r>
      <w:r w:rsidR="00C2486F" w:rsidRPr="00C2486F">
        <w:rPr>
          <w:rFonts w:ascii="Times New Roman" w:hAnsi="Times New Roman" w:cs="Times New Roman"/>
        </w:rPr>
        <w:t>(Dawson et al</w:t>
      </w:r>
      <w:r w:rsidR="00C2486F" w:rsidRPr="001F5457">
        <w:rPr>
          <w:rFonts w:ascii="Times New Roman" w:hAnsi="Times New Roman" w:cs="Times New Roman"/>
        </w:rPr>
        <w:t>., 2010</w:t>
      </w:r>
      <w:r w:rsidR="00060040" w:rsidRPr="001F5457">
        <w:rPr>
          <w:rFonts w:ascii="Times New Roman" w:hAnsi="Times New Roman" w:cs="Times New Roman"/>
        </w:rPr>
        <w:t xml:space="preserve">; cf. Lewis &amp; </w:t>
      </w:r>
      <w:proofErr w:type="spellStart"/>
      <w:r w:rsidR="00060040" w:rsidRPr="001F5457">
        <w:rPr>
          <w:rFonts w:ascii="Times New Roman" w:hAnsi="Times New Roman" w:cs="Times New Roman"/>
        </w:rPr>
        <w:t>Killaspy</w:t>
      </w:r>
      <w:proofErr w:type="spellEnd"/>
      <w:r w:rsidR="00060040" w:rsidRPr="001F5457">
        <w:rPr>
          <w:rFonts w:ascii="Times New Roman" w:hAnsi="Times New Roman" w:cs="Times New Roman"/>
        </w:rPr>
        <w:t>, 2014</w:t>
      </w:r>
      <w:r w:rsidR="00C2486F" w:rsidRPr="001F5457">
        <w:rPr>
          <w:rFonts w:ascii="Times New Roman" w:hAnsi="Times New Roman" w:cs="Times New Roman"/>
        </w:rPr>
        <w:t xml:space="preserve">).  </w:t>
      </w:r>
      <w:r w:rsidR="00071A92" w:rsidRPr="001F5457">
        <w:rPr>
          <w:rFonts w:ascii="Times New Roman" w:hAnsi="Times New Roman" w:cs="Times New Roman"/>
        </w:rPr>
        <w:t xml:space="preserve">With the </w:t>
      </w:r>
      <w:r w:rsidR="008B0773" w:rsidRPr="001F5457">
        <w:rPr>
          <w:rFonts w:ascii="Times New Roman" w:hAnsi="Times New Roman" w:cs="Times New Roman"/>
        </w:rPr>
        <w:t xml:space="preserve">growing </w:t>
      </w:r>
      <w:r w:rsidR="00C2486F" w:rsidRPr="001F5457">
        <w:rPr>
          <w:rFonts w:ascii="Times New Roman" w:hAnsi="Times New Roman" w:cs="Times New Roman"/>
        </w:rPr>
        <w:t>emphasis on personal recovery a</w:t>
      </w:r>
      <w:r w:rsidR="00C2486F" w:rsidRPr="00C2486F">
        <w:rPr>
          <w:rFonts w:ascii="Times New Roman" w:hAnsi="Times New Roman" w:cs="Times New Roman"/>
        </w:rPr>
        <w:t>s well as clinical outcomes</w:t>
      </w:r>
      <w:r w:rsidR="002F4D89">
        <w:rPr>
          <w:rFonts w:ascii="Times New Roman" w:hAnsi="Times New Roman" w:cs="Times New Roman"/>
        </w:rPr>
        <w:t xml:space="preserve"> (</w:t>
      </w:r>
      <w:r w:rsidR="001F642A">
        <w:rPr>
          <w:rFonts w:ascii="Times New Roman" w:hAnsi="Times New Roman" w:cs="Times New Roman"/>
        </w:rPr>
        <w:t>Hasson-</w:t>
      </w:r>
      <w:proofErr w:type="spellStart"/>
      <w:r w:rsidR="001F642A">
        <w:rPr>
          <w:rFonts w:ascii="Times New Roman" w:hAnsi="Times New Roman" w:cs="Times New Roman"/>
        </w:rPr>
        <w:t>Ohayon</w:t>
      </w:r>
      <w:proofErr w:type="spellEnd"/>
      <w:r w:rsidR="001F642A">
        <w:rPr>
          <w:rFonts w:ascii="Times New Roman" w:hAnsi="Times New Roman" w:cs="Times New Roman"/>
        </w:rPr>
        <w:t xml:space="preserve">, Roe, </w:t>
      </w:r>
      <w:proofErr w:type="spellStart"/>
      <w:r w:rsidR="001F642A">
        <w:rPr>
          <w:rFonts w:ascii="Times New Roman" w:hAnsi="Times New Roman" w:cs="Times New Roman"/>
        </w:rPr>
        <w:t>Yanos</w:t>
      </w:r>
      <w:proofErr w:type="spellEnd"/>
      <w:r w:rsidR="001F642A">
        <w:rPr>
          <w:rFonts w:ascii="Times New Roman" w:hAnsi="Times New Roman" w:cs="Times New Roman"/>
        </w:rPr>
        <w:t xml:space="preserve"> &amp; </w:t>
      </w:r>
      <w:proofErr w:type="spellStart"/>
      <w:r w:rsidR="001F642A">
        <w:rPr>
          <w:rFonts w:ascii="Times New Roman" w:hAnsi="Times New Roman" w:cs="Times New Roman"/>
        </w:rPr>
        <w:t>Lysaker</w:t>
      </w:r>
      <w:proofErr w:type="spellEnd"/>
      <w:r w:rsidR="001F642A">
        <w:rPr>
          <w:rFonts w:ascii="Times New Roman" w:hAnsi="Times New Roman" w:cs="Times New Roman"/>
        </w:rPr>
        <w:t xml:space="preserve">, 2015; </w:t>
      </w:r>
      <w:r w:rsidR="00071A92" w:rsidRPr="00071A92">
        <w:rPr>
          <w:rFonts w:ascii="Times New Roman" w:hAnsi="Times New Roman" w:cs="Times New Roman"/>
        </w:rPr>
        <w:t>Shepherd</w:t>
      </w:r>
      <w:r w:rsidR="00A35B07">
        <w:rPr>
          <w:rFonts w:ascii="Times New Roman" w:hAnsi="Times New Roman" w:cs="Times New Roman"/>
        </w:rPr>
        <w:t xml:space="preserve"> et al., </w:t>
      </w:r>
      <w:r w:rsidR="00071A92">
        <w:rPr>
          <w:rFonts w:ascii="Times New Roman" w:hAnsi="Times New Roman" w:cs="Times New Roman"/>
        </w:rPr>
        <w:t>2014</w:t>
      </w:r>
      <w:r w:rsidR="002F4D89">
        <w:rPr>
          <w:rFonts w:ascii="Times New Roman" w:hAnsi="Times New Roman" w:cs="Times New Roman"/>
        </w:rPr>
        <w:t>)</w:t>
      </w:r>
      <w:r w:rsidR="00C2486F" w:rsidRPr="00C2486F">
        <w:rPr>
          <w:rFonts w:ascii="Times New Roman" w:hAnsi="Times New Roman" w:cs="Times New Roman"/>
        </w:rPr>
        <w:t>, and specifically the experience of hope, agency and opportunity for purposeful activity and social inclusion irrespective of mental health status</w:t>
      </w:r>
      <w:r w:rsidR="008B0773">
        <w:rPr>
          <w:rFonts w:ascii="Times New Roman" w:hAnsi="Times New Roman" w:cs="Times New Roman"/>
        </w:rPr>
        <w:t xml:space="preserve">, </w:t>
      </w:r>
      <w:r w:rsidR="005F1A02">
        <w:rPr>
          <w:rFonts w:ascii="Times New Roman" w:hAnsi="Times New Roman" w:cs="Times New Roman"/>
        </w:rPr>
        <w:t xml:space="preserve">reliable </w:t>
      </w:r>
      <w:r w:rsidR="00FA34C8">
        <w:rPr>
          <w:rFonts w:ascii="Times New Roman" w:hAnsi="Times New Roman" w:cs="Times New Roman"/>
        </w:rPr>
        <w:t>self-r</w:t>
      </w:r>
      <w:r w:rsidR="00C2486F" w:rsidRPr="00C2486F">
        <w:rPr>
          <w:rFonts w:ascii="Times New Roman" w:hAnsi="Times New Roman" w:cs="Times New Roman"/>
        </w:rPr>
        <w:t xml:space="preserve">eport measures of personal recovery are essential </w:t>
      </w:r>
      <w:r w:rsidR="004A1783">
        <w:t>(</w:t>
      </w:r>
      <w:r w:rsidR="004A1783" w:rsidRPr="004A1783">
        <w:rPr>
          <w:rFonts w:ascii="Times New Roman" w:hAnsi="Times New Roman" w:cs="Times New Roman"/>
        </w:rPr>
        <w:t>Shepherd et al., 2014</w:t>
      </w:r>
      <w:r w:rsidR="004A1783">
        <w:rPr>
          <w:rFonts w:ascii="Times New Roman" w:hAnsi="Times New Roman" w:cs="Times New Roman"/>
        </w:rPr>
        <w:t>)</w:t>
      </w:r>
      <w:r w:rsidR="008B0773">
        <w:rPr>
          <w:rFonts w:ascii="Times New Roman" w:hAnsi="Times New Roman" w:cs="Times New Roman"/>
        </w:rPr>
        <w:t>.</w:t>
      </w:r>
    </w:p>
    <w:p w14:paraId="60A0151E" w14:textId="4C7CA11C" w:rsidR="00A448AF" w:rsidRDefault="004A1783" w:rsidP="00014439">
      <w:pPr>
        <w:spacing w:line="480" w:lineRule="auto"/>
        <w:ind w:firstLine="720"/>
        <w:rPr>
          <w:rFonts w:ascii="Times New Roman" w:hAnsi="Times New Roman" w:cs="Times New Roman"/>
        </w:rPr>
      </w:pPr>
      <w:r>
        <w:rPr>
          <w:rFonts w:ascii="Times New Roman" w:hAnsi="Times New Roman" w:cs="Times New Roman"/>
        </w:rPr>
        <w:t>While p</w:t>
      </w:r>
      <w:r w:rsidR="00B42507">
        <w:rPr>
          <w:rFonts w:ascii="Times New Roman" w:hAnsi="Times New Roman" w:cs="Times New Roman"/>
        </w:rPr>
        <w:t xml:space="preserve">olicy and best practice guidelines </w:t>
      </w:r>
      <w:proofErr w:type="spellStart"/>
      <w:r w:rsidR="0045131B">
        <w:rPr>
          <w:rFonts w:ascii="Times New Roman" w:hAnsi="Times New Roman" w:cs="Times New Roman"/>
        </w:rPr>
        <w:t>prioritise</w:t>
      </w:r>
      <w:proofErr w:type="spellEnd"/>
      <w:r w:rsidR="0045131B">
        <w:rPr>
          <w:rFonts w:ascii="Times New Roman" w:hAnsi="Times New Roman" w:cs="Times New Roman"/>
        </w:rPr>
        <w:t xml:space="preserve"> recovery </w:t>
      </w:r>
      <w:r w:rsidR="003F58C1">
        <w:rPr>
          <w:rFonts w:ascii="Times New Roman" w:hAnsi="Times New Roman" w:cs="Times New Roman"/>
        </w:rPr>
        <w:t xml:space="preserve">outcomes </w:t>
      </w:r>
      <w:r w:rsidR="00AF5CE2" w:rsidRPr="009829FC">
        <w:rPr>
          <w:rFonts w:ascii="Times New Roman" w:hAnsi="Times New Roman" w:cs="Times New Roman"/>
        </w:rPr>
        <w:t>(</w:t>
      </w:r>
      <w:r w:rsidR="009829FC">
        <w:rPr>
          <w:rFonts w:ascii="Times New Roman" w:hAnsi="Times New Roman" w:cs="Times New Roman"/>
        </w:rPr>
        <w:t>Burgess</w:t>
      </w:r>
      <w:r w:rsidR="00A35B07">
        <w:rPr>
          <w:rFonts w:ascii="Times New Roman" w:hAnsi="Times New Roman" w:cs="Times New Roman"/>
        </w:rPr>
        <w:t xml:space="preserve"> et al., </w:t>
      </w:r>
      <w:r w:rsidR="009829FC">
        <w:rPr>
          <w:rFonts w:ascii="Times New Roman" w:hAnsi="Times New Roman" w:cs="Times New Roman"/>
        </w:rPr>
        <w:t>2011</w:t>
      </w:r>
      <w:r w:rsidR="00AF5CE2" w:rsidRPr="009829FC">
        <w:rPr>
          <w:rFonts w:ascii="Times New Roman" w:hAnsi="Times New Roman" w:cs="Times New Roman"/>
        </w:rPr>
        <w:t xml:space="preserve">; </w:t>
      </w:r>
      <w:r w:rsidR="009829FC">
        <w:rPr>
          <w:rFonts w:ascii="Times New Roman" w:hAnsi="Times New Roman" w:cs="Times New Roman"/>
        </w:rPr>
        <w:t>Thornicroft &amp;</w:t>
      </w:r>
      <w:r w:rsidR="00AF5CE2" w:rsidRPr="009829FC">
        <w:rPr>
          <w:rFonts w:ascii="Times New Roman" w:hAnsi="Times New Roman" w:cs="Times New Roman"/>
        </w:rPr>
        <w:t xml:space="preserve"> Slad</w:t>
      </w:r>
      <w:r w:rsidR="00F0652B">
        <w:rPr>
          <w:rFonts w:ascii="Times New Roman" w:hAnsi="Times New Roman" w:cs="Times New Roman"/>
        </w:rPr>
        <w:t>e, 2014)</w:t>
      </w:r>
      <w:r>
        <w:rPr>
          <w:rFonts w:ascii="Times New Roman" w:hAnsi="Times New Roman" w:cs="Times New Roman"/>
        </w:rPr>
        <w:t xml:space="preserve">, </w:t>
      </w:r>
      <w:r w:rsidR="00F0652B">
        <w:rPr>
          <w:rFonts w:ascii="Times New Roman" w:hAnsi="Times New Roman" w:cs="Times New Roman"/>
        </w:rPr>
        <w:t xml:space="preserve">efforts to embed </w:t>
      </w:r>
      <w:r w:rsidR="0045131B">
        <w:rPr>
          <w:rFonts w:ascii="Times New Roman" w:hAnsi="Times New Roman" w:cs="Times New Roman"/>
        </w:rPr>
        <w:t xml:space="preserve">measures </w:t>
      </w:r>
      <w:r w:rsidR="00B42507">
        <w:rPr>
          <w:rFonts w:ascii="Times New Roman" w:hAnsi="Times New Roman" w:cs="Times New Roman"/>
        </w:rPr>
        <w:t xml:space="preserve">in </w:t>
      </w:r>
      <w:r w:rsidR="00160BDC">
        <w:rPr>
          <w:rFonts w:ascii="Times New Roman" w:hAnsi="Times New Roman" w:cs="Times New Roman"/>
        </w:rPr>
        <w:t>routine</w:t>
      </w:r>
      <w:r w:rsidR="001A5EEB">
        <w:rPr>
          <w:rFonts w:ascii="Times New Roman" w:hAnsi="Times New Roman" w:cs="Times New Roman"/>
        </w:rPr>
        <w:t xml:space="preserve"> </w:t>
      </w:r>
      <w:r w:rsidR="00B42507">
        <w:rPr>
          <w:rFonts w:ascii="Times New Roman" w:hAnsi="Times New Roman" w:cs="Times New Roman"/>
        </w:rPr>
        <w:t>practice</w:t>
      </w:r>
      <w:r w:rsidR="00EE4F63">
        <w:rPr>
          <w:rFonts w:ascii="Times New Roman" w:hAnsi="Times New Roman" w:cs="Times New Roman"/>
        </w:rPr>
        <w:t xml:space="preserve"> </w:t>
      </w:r>
      <w:r>
        <w:rPr>
          <w:rFonts w:ascii="Times New Roman" w:hAnsi="Times New Roman" w:cs="Times New Roman"/>
        </w:rPr>
        <w:t xml:space="preserve">have </w:t>
      </w:r>
      <w:r w:rsidR="00FC5F2F">
        <w:rPr>
          <w:rFonts w:ascii="Times New Roman" w:hAnsi="Times New Roman" w:cs="Times New Roman"/>
        </w:rPr>
        <w:t xml:space="preserve">repeatedly </w:t>
      </w:r>
      <w:r>
        <w:rPr>
          <w:rFonts w:ascii="Times New Roman" w:hAnsi="Times New Roman" w:cs="Times New Roman"/>
        </w:rPr>
        <w:t xml:space="preserve">failed, largely due to </w:t>
      </w:r>
      <w:r w:rsidR="00F721B8">
        <w:rPr>
          <w:rFonts w:ascii="Times New Roman" w:hAnsi="Times New Roman" w:cs="Times New Roman"/>
        </w:rPr>
        <w:t xml:space="preserve">validity and </w:t>
      </w:r>
      <w:r w:rsidR="00B305AE">
        <w:rPr>
          <w:rFonts w:ascii="Times New Roman" w:hAnsi="Times New Roman" w:cs="Times New Roman"/>
        </w:rPr>
        <w:t xml:space="preserve">feasibility concerns </w:t>
      </w:r>
      <w:r w:rsidR="00AF5CE2" w:rsidRPr="009829FC">
        <w:rPr>
          <w:rFonts w:ascii="Times New Roman" w:hAnsi="Times New Roman" w:cs="Times New Roman"/>
        </w:rPr>
        <w:t>(</w:t>
      </w:r>
      <w:proofErr w:type="spellStart"/>
      <w:r w:rsidR="00F0652B">
        <w:rPr>
          <w:rFonts w:ascii="Times New Roman" w:hAnsi="Times New Roman" w:cs="Times New Roman"/>
          <w:bCs/>
        </w:rPr>
        <w:t>Gilbody</w:t>
      </w:r>
      <w:proofErr w:type="spellEnd"/>
      <w:r w:rsidR="001A5EEB">
        <w:rPr>
          <w:rFonts w:ascii="Times New Roman" w:hAnsi="Times New Roman" w:cs="Times New Roman"/>
          <w:bCs/>
        </w:rPr>
        <w:t xml:space="preserve"> et al, </w:t>
      </w:r>
      <w:r w:rsidR="00F0652B">
        <w:rPr>
          <w:rFonts w:ascii="Times New Roman" w:hAnsi="Times New Roman" w:cs="Times New Roman"/>
          <w:bCs/>
        </w:rPr>
        <w:t xml:space="preserve">2002; </w:t>
      </w:r>
      <w:proofErr w:type="spellStart"/>
      <w:r w:rsidR="00AF5CE2" w:rsidRPr="009829FC">
        <w:rPr>
          <w:rFonts w:ascii="Times New Roman" w:hAnsi="Times New Roman" w:cs="Times New Roman"/>
        </w:rPr>
        <w:t>Kightley</w:t>
      </w:r>
      <w:proofErr w:type="spellEnd"/>
      <w:r w:rsidR="001A5EEB">
        <w:rPr>
          <w:rFonts w:ascii="Times New Roman" w:hAnsi="Times New Roman" w:cs="Times New Roman"/>
        </w:rPr>
        <w:t xml:space="preserve"> et al., </w:t>
      </w:r>
      <w:r w:rsidR="00B305AE">
        <w:rPr>
          <w:rFonts w:ascii="Times New Roman" w:hAnsi="Times New Roman" w:cs="Times New Roman"/>
        </w:rPr>
        <w:t xml:space="preserve">2010; </w:t>
      </w:r>
      <w:proofErr w:type="spellStart"/>
      <w:r w:rsidR="00B305AE">
        <w:rPr>
          <w:rFonts w:ascii="Times New Roman" w:hAnsi="Times New Roman" w:cs="Times New Roman"/>
        </w:rPr>
        <w:t>Pirkis</w:t>
      </w:r>
      <w:proofErr w:type="spellEnd"/>
      <w:r w:rsidR="00B305AE">
        <w:rPr>
          <w:rFonts w:ascii="Times New Roman" w:hAnsi="Times New Roman" w:cs="Times New Roman"/>
        </w:rPr>
        <w:t xml:space="preserve"> &amp;</w:t>
      </w:r>
      <w:r w:rsidR="00AF5CE2" w:rsidRPr="009829FC">
        <w:rPr>
          <w:rFonts w:ascii="Times New Roman" w:hAnsi="Times New Roman" w:cs="Times New Roman"/>
        </w:rPr>
        <w:t xml:space="preserve"> </w:t>
      </w:r>
      <w:proofErr w:type="spellStart"/>
      <w:r w:rsidR="00AF5CE2" w:rsidRPr="009829FC">
        <w:rPr>
          <w:rFonts w:ascii="Times New Roman" w:hAnsi="Times New Roman" w:cs="Times New Roman"/>
        </w:rPr>
        <w:t>Callaly</w:t>
      </w:r>
      <w:proofErr w:type="spellEnd"/>
      <w:r w:rsidR="00AF5CE2" w:rsidRPr="009829FC">
        <w:rPr>
          <w:rFonts w:ascii="Times New Roman" w:hAnsi="Times New Roman" w:cs="Times New Roman"/>
        </w:rPr>
        <w:t xml:space="preserve">, </w:t>
      </w:r>
      <w:r w:rsidR="00AF5CE2" w:rsidRPr="001F5457">
        <w:rPr>
          <w:rFonts w:ascii="Times New Roman" w:hAnsi="Times New Roman" w:cs="Times New Roman"/>
        </w:rPr>
        <w:t xml:space="preserve">2010). </w:t>
      </w:r>
      <w:r w:rsidR="00B305AE" w:rsidRPr="001F5457">
        <w:rPr>
          <w:rFonts w:ascii="Times New Roman" w:hAnsi="Times New Roman" w:cs="Times New Roman"/>
        </w:rPr>
        <w:t xml:space="preserve"> </w:t>
      </w:r>
      <w:r w:rsidR="00F93252" w:rsidRPr="001F5457">
        <w:rPr>
          <w:rFonts w:ascii="Times New Roman" w:hAnsi="Times New Roman" w:cs="Times New Roman"/>
        </w:rPr>
        <w:t xml:space="preserve">Reviews </w:t>
      </w:r>
      <w:r w:rsidR="00060040" w:rsidRPr="001F5457">
        <w:rPr>
          <w:rFonts w:ascii="Times New Roman" w:hAnsi="Times New Roman" w:cs="Times New Roman"/>
        </w:rPr>
        <w:t>reach</w:t>
      </w:r>
      <w:r w:rsidR="00F93252" w:rsidRPr="001F5457">
        <w:rPr>
          <w:rFonts w:ascii="Times New Roman" w:hAnsi="Times New Roman" w:cs="Times New Roman"/>
        </w:rPr>
        <w:t xml:space="preserve"> </w:t>
      </w:r>
      <w:r w:rsidR="00F829FF" w:rsidRPr="001F5457">
        <w:rPr>
          <w:rFonts w:ascii="Times New Roman" w:hAnsi="Times New Roman" w:cs="Times New Roman"/>
        </w:rPr>
        <w:t>differing</w:t>
      </w:r>
      <w:r w:rsidR="00F93252" w:rsidRPr="001F5457">
        <w:rPr>
          <w:rFonts w:ascii="Times New Roman" w:hAnsi="Times New Roman" w:cs="Times New Roman"/>
        </w:rPr>
        <w:t xml:space="preserve"> conclusions about whether clinicians </w:t>
      </w:r>
      <w:r w:rsidR="007E1E4D" w:rsidRPr="001F5457">
        <w:rPr>
          <w:rFonts w:ascii="Times New Roman" w:hAnsi="Times New Roman" w:cs="Times New Roman"/>
        </w:rPr>
        <w:t xml:space="preserve">believe </w:t>
      </w:r>
      <w:r w:rsidR="001D082B" w:rsidRPr="001F5457">
        <w:rPr>
          <w:rFonts w:ascii="Times New Roman" w:hAnsi="Times New Roman" w:cs="Times New Roman"/>
        </w:rPr>
        <w:t xml:space="preserve">these </w:t>
      </w:r>
      <w:r w:rsidR="00D7251D" w:rsidRPr="001F5457">
        <w:rPr>
          <w:rFonts w:ascii="Times New Roman" w:hAnsi="Times New Roman" w:cs="Times New Roman"/>
        </w:rPr>
        <w:t>measure</w:t>
      </w:r>
      <w:r w:rsidR="001D082B" w:rsidRPr="001F5457">
        <w:rPr>
          <w:rFonts w:ascii="Times New Roman" w:hAnsi="Times New Roman" w:cs="Times New Roman"/>
        </w:rPr>
        <w:t>s</w:t>
      </w:r>
      <w:r w:rsidR="007E1E4D" w:rsidRPr="001F5457">
        <w:rPr>
          <w:rFonts w:ascii="Times New Roman" w:hAnsi="Times New Roman" w:cs="Times New Roman"/>
        </w:rPr>
        <w:t xml:space="preserve"> to be </w:t>
      </w:r>
      <w:r w:rsidR="001D082B" w:rsidRPr="001F5457">
        <w:rPr>
          <w:rFonts w:ascii="Times New Roman" w:hAnsi="Times New Roman" w:cs="Times New Roman"/>
        </w:rPr>
        <w:t>useful</w:t>
      </w:r>
      <w:r w:rsidR="00F93252" w:rsidRPr="001F5457">
        <w:rPr>
          <w:rFonts w:ascii="Times New Roman" w:hAnsi="Times New Roman" w:cs="Times New Roman"/>
        </w:rPr>
        <w:t xml:space="preserve">, but agree </w:t>
      </w:r>
      <w:r w:rsidR="00F829FF" w:rsidRPr="001F5457">
        <w:rPr>
          <w:rFonts w:ascii="Times New Roman" w:hAnsi="Times New Roman" w:cs="Times New Roman"/>
        </w:rPr>
        <w:t xml:space="preserve">that NHS </w:t>
      </w:r>
      <w:r w:rsidR="000319AB" w:rsidRPr="001F5457">
        <w:rPr>
          <w:rFonts w:ascii="Times New Roman" w:hAnsi="Times New Roman" w:cs="Times New Roman"/>
        </w:rPr>
        <w:t>services</w:t>
      </w:r>
      <w:r w:rsidR="00634A21" w:rsidRPr="001F5457">
        <w:rPr>
          <w:rFonts w:ascii="Times New Roman" w:hAnsi="Times New Roman" w:cs="Times New Roman"/>
        </w:rPr>
        <w:t xml:space="preserve"> have </w:t>
      </w:r>
      <w:r w:rsidR="00060040" w:rsidRPr="001F5457">
        <w:rPr>
          <w:rFonts w:ascii="Times New Roman" w:hAnsi="Times New Roman" w:cs="Times New Roman"/>
        </w:rPr>
        <w:lastRenderedPageBreak/>
        <w:t>failed to</w:t>
      </w:r>
      <w:r w:rsidR="000319AB" w:rsidRPr="001F5457">
        <w:rPr>
          <w:rFonts w:ascii="Times New Roman" w:hAnsi="Times New Roman" w:cs="Times New Roman"/>
        </w:rPr>
        <w:t xml:space="preserve"> </w:t>
      </w:r>
      <w:r w:rsidR="00160BDC" w:rsidRPr="001F5457">
        <w:rPr>
          <w:rFonts w:ascii="Times New Roman" w:hAnsi="Times New Roman" w:cs="Times New Roman"/>
        </w:rPr>
        <w:t xml:space="preserve">establish an outcome oriented culture despite over </w:t>
      </w:r>
      <w:r w:rsidR="00060040" w:rsidRPr="001F5457">
        <w:rPr>
          <w:rFonts w:ascii="Times New Roman" w:hAnsi="Times New Roman" w:cs="Times New Roman"/>
        </w:rPr>
        <w:t>20 years</w:t>
      </w:r>
      <w:r w:rsidR="00160BDC" w:rsidRPr="001F5457">
        <w:rPr>
          <w:rFonts w:ascii="Times New Roman" w:hAnsi="Times New Roman" w:cs="Times New Roman"/>
        </w:rPr>
        <w:t xml:space="preserve">’ </w:t>
      </w:r>
      <w:r w:rsidR="00D7251D" w:rsidRPr="001F5457">
        <w:rPr>
          <w:rFonts w:ascii="Times New Roman" w:hAnsi="Times New Roman" w:cs="Times New Roman"/>
        </w:rPr>
        <w:t>policy</w:t>
      </w:r>
      <w:r w:rsidR="007E1E4D" w:rsidRPr="001F5457">
        <w:rPr>
          <w:rFonts w:ascii="Times New Roman" w:hAnsi="Times New Roman" w:cs="Times New Roman"/>
        </w:rPr>
        <w:t xml:space="preserve"> </w:t>
      </w:r>
      <w:r w:rsidR="001D082B" w:rsidRPr="001F5457">
        <w:rPr>
          <w:rFonts w:ascii="Times New Roman" w:hAnsi="Times New Roman" w:cs="Times New Roman"/>
        </w:rPr>
        <w:t xml:space="preserve">and linked initiatives </w:t>
      </w:r>
      <w:r w:rsidR="00C17428" w:rsidRPr="001F5457">
        <w:rPr>
          <w:rFonts w:ascii="Times New Roman" w:hAnsi="Times New Roman" w:cs="Times New Roman"/>
        </w:rPr>
        <w:t>(</w:t>
      </w:r>
      <w:r w:rsidR="00F829FF" w:rsidRPr="001F5457">
        <w:rPr>
          <w:rFonts w:ascii="Times New Roman" w:hAnsi="Times New Roman" w:cs="Times New Roman"/>
        </w:rPr>
        <w:t>Duncan &amp; Murray, 2012; Jacobs, 2009)</w:t>
      </w:r>
      <w:r w:rsidR="00C17428" w:rsidRPr="001F5457">
        <w:rPr>
          <w:rFonts w:ascii="Times New Roman" w:hAnsi="Times New Roman" w:cs="Times New Roman"/>
        </w:rPr>
        <w:t xml:space="preserve">.  </w:t>
      </w:r>
      <w:r w:rsidR="00060040" w:rsidRPr="001F5457">
        <w:rPr>
          <w:rFonts w:ascii="Times New Roman" w:hAnsi="Times New Roman" w:cs="Times New Roman"/>
        </w:rPr>
        <w:t>Barriers include poor communication of the</w:t>
      </w:r>
      <w:r w:rsidR="00C17428" w:rsidRPr="001F5457">
        <w:rPr>
          <w:rFonts w:ascii="Times New Roman" w:hAnsi="Times New Roman" w:cs="Times New Roman"/>
        </w:rPr>
        <w:t xml:space="preserve"> </w:t>
      </w:r>
      <w:r w:rsidR="00D7251D" w:rsidRPr="001F5457">
        <w:rPr>
          <w:rFonts w:ascii="Times New Roman" w:hAnsi="Times New Roman" w:cs="Times New Roman"/>
        </w:rPr>
        <w:t>rationale</w:t>
      </w:r>
      <w:r w:rsidR="00060040" w:rsidRPr="001F5457">
        <w:rPr>
          <w:rFonts w:ascii="Times New Roman" w:hAnsi="Times New Roman" w:cs="Times New Roman"/>
        </w:rPr>
        <w:t xml:space="preserve"> for measures</w:t>
      </w:r>
      <w:r w:rsidR="00D7251D" w:rsidRPr="001F5457">
        <w:rPr>
          <w:rFonts w:ascii="Times New Roman" w:hAnsi="Times New Roman" w:cs="Times New Roman"/>
        </w:rPr>
        <w:t xml:space="preserve">, </w:t>
      </w:r>
      <w:r w:rsidR="00060040" w:rsidRPr="001F5457">
        <w:rPr>
          <w:rFonts w:ascii="Times New Roman" w:hAnsi="Times New Roman" w:cs="Times New Roman"/>
        </w:rPr>
        <w:t>limited</w:t>
      </w:r>
      <w:r w:rsidR="00D7251D" w:rsidRPr="001F5457">
        <w:rPr>
          <w:rFonts w:ascii="Times New Roman" w:hAnsi="Times New Roman" w:cs="Times New Roman"/>
        </w:rPr>
        <w:t xml:space="preserve"> IT support </w:t>
      </w:r>
      <w:r w:rsidR="00060040" w:rsidRPr="001F5457">
        <w:rPr>
          <w:rFonts w:ascii="Times New Roman" w:hAnsi="Times New Roman" w:cs="Times New Roman"/>
        </w:rPr>
        <w:t xml:space="preserve">and </w:t>
      </w:r>
      <w:r w:rsidR="00160BDC" w:rsidRPr="001F5457">
        <w:rPr>
          <w:rFonts w:ascii="Times New Roman" w:hAnsi="Times New Roman" w:cs="Times New Roman"/>
        </w:rPr>
        <w:t xml:space="preserve">lack of </w:t>
      </w:r>
      <w:r w:rsidR="00060040" w:rsidRPr="001F5457">
        <w:rPr>
          <w:rFonts w:ascii="Times New Roman" w:hAnsi="Times New Roman" w:cs="Times New Roman"/>
        </w:rPr>
        <w:t xml:space="preserve">feedback </w:t>
      </w:r>
      <w:r w:rsidR="00D7251D" w:rsidRPr="001F5457">
        <w:rPr>
          <w:rFonts w:ascii="Times New Roman" w:hAnsi="Times New Roman" w:cs="Times New Roman"/>
        </w:rPr>
        <w:t>(Jacobs, 2009)</w:t>
      </w:r>
      <w:r w:rsidR="00634A21" w:rsidRPr="001F5457">
        <w:rPr>
          <w:rFonts w:ascii="Times New Roman" w:hAnsi="Times New Roman" w:cs="Times New Roman"/>
        </w:rPr>
        <w:t xml:space="preserve">.  </w:t>
      </w:r>
      <w:r w:rsidR="001A5EEB" w:rsidRPr="001F5457">
        <w:rPr>
          <w:rFonts w:ascii="Times New Roman" w:hAnsi="Times New Roman" w:cs="Times New Roman"/>
        </w:rPr>
        <w:t xml:space="preserve">This is a serious problem.  We are not following best practice guidelines because measures are considered </w:t>
      </w:r>
      <w:r w:rsidR="00FC5F2F" w:rsidRPr="001F5457">
        <w:rPr>
          <w:rFonts w:ascii="Times New Roman" w:hAnsi="Times New Roman" w:cs="Times New Roman"/>
        </w:rPr>
        <w:t>ir</w:t>
      </w:r>
      <w:r w:rsidR="00B95E58" w:rsidRPr="001F5457">
        <w:rPr>
          <w:rFonts w:ascii="Times New Roman" w:hAnsi="Times New Roman" w:cs="Times New Roman"/>
        </w:rPr>
        <w:t xml:space="preserve">relevant </w:t>
      </w:r>
      <w:r w:rsidR="00FC5F2F" w:rsidRPr="001F5457">
        <w:rPr>
          <w:rFonts w:ascii="Times New Roman" w:hAnsi="Times New Roman" w:cs="Times New Roman"/>
        </w:rPr>
        <w:t xml:space="preserve">to therapeutic work </w:t>
      </w:r>
      <w:r w:rsidR="00B95E58" w:rsidRPr="001F5457">
        <w:rPr>
          <w:rFonts w:ascii="Times New Roman" w:hAnsi="Times New Roman" w:cs="Times New Roman"/>
        </w:rPr>
        <w:t xml:space="preserve">or too burdensome.  </w:t>
      </w:r>
      <w:r w:rsidR="001D082B" w:rsidRPr="001F5457">
        <w:rPr>
          <w:rFonts w:ascii="Times New Roman" w:hAnsi="Times New Roman" w:cs="Times New Roman"/>
        </w:rPr>
        <w:t xml:space="preserve">Importantly, the limited evidence from </w:t>
      </w:r>
      <w:r w:rsidR="008F4E73" w:rsidRPr="001F5457">
        <w:rPr>
          <w:rFonts w:ascii="Times New Roman" w:hAnsi="Times New Roman" w:cs="Times New Roman"/>
        </w:rPr>
        <w:t>service-</w:t>
      </w:r>
      <w:r w:rsidR="001D082B" w:rsidRPr="001F5457">
        <w:rPr>
          <w:rFonts w:ascii="Times New Roman" w:hAnsi="Times New Roman" w:cs="Times New Roman"/>
        </w:rPr>
        <w:t xml:space="preserve">users and </w:t>
      </w:r>
      <w:proofErr w:type="spellStart"/>
      <w:r w:rsidR="001D082B" w:rsidRPr="001F5457">
        <w:rPr>
          <w:rFonts w:ascii="Times New Roman" w:hAnsi="Times New Roman" w:cs="Times New Roman"/>
        </w:rPr>
        <w:t>carers</w:t>
      </w:r>
      <w:proofErr w:type="spellEnd"/>
      <w:r w:rsidR="001D082B" w:rsidRPr="001F5457">
        <w:rPr>
          <w:rFonts w:ascii="Times New Roman" w:hAnsi="Times New Roman" w:cs="Times New Roman"/>
        </w:rPr>
        <w:t xml:space="preserve"> themselves indicates that those receiving services find the tools useful (Black et al., 2009; Law et al., 2012).  </w:t>
      </w:r>
      <w:r w:rsidR="00A448AF" w:rsidRPr="001F5457">
        <w:rPr>
          <w:rFonts w:ascii="Times New Roman" w:hAnsi="Times New Roman" w:cs="Times New Roman"/>
        </w:rPr>
        <w:t xml:space="preserve">Duncan and Murray (2012) argue that </w:t>
      </w:r>
      <w:r w:rsidR="001D082B" w:rsidRPr="001F5457">
        <w:rPr>
          <w:rFonts w:ascii="Times New Roman" w:hAnsi="Times New Roman" w:cs="Times New Roman"/>
        </w:rPr>
        <w:t xml:space="preserve">the </w:t>
      </w:r>
      <w:r w:rsidR="00A448AF" w:rsidRPr="001F5457">
        <w:rPr>
          <w:rFonts w:ascii="Times New Roman" w:hAnsi="Times New Roman" w:cs="Times New Roman"/>
        </w:rPr>
        <w:t xml:space="preserve">current </w:t>
      </w:r>
      <w:r w:rsidR="001D082B" w:rsidRPr="001F5457">
        <w:rPr>
          <w:rFonts w:ascii="Times New Roman" w:hAnsi="Times New Roman" w:cs="Times New Roman"/>
        </w:rPr>
        <w:t xml:space="preserve">situation </w:t>
      </w:r>
      <w:r w:rsidR="00A448AF" w:rsidRPr="001F5457">
        <w:rPr>
          <w:rFonts w:ascii="Times New Roman" w:hAnsi="Times New Roman" w:cs="Times New Roman"/>
        </w:rPr>
        <w:t xml:space="preserve">is unlikely to </w:t>
      </w:r>
      <w:r w:rsidR="001D082B" w:rsidRPr="001F5457">
        <w:rPr>
          <w:rFonts w:ascii="Times New Roman" w:hAnsi="Times New Roman" w:cs="Times New Roman"/>
        </w:rPr>
        <w:t xml:space="preserve">change without clinician, team and </w:t>
      </w:r>
      <w:proofErr w:type="spellStart"/>
      <w:r w:rsidR="001D082B" w:rsidRPr="001F5457">
        <w:rPr>
          <w:rFonts w:ascii="Times New Roman" w:hAnsi="Times New Roman" w:cs="Times New Roman"/>
        </w:rPr>
        <w:t>organisational</w:t>
      </w:r>
      <w:proofErr w:type="spellEnd"/>
      <w:r w:rsidR="001D082B" w:rsidRPr="001F5457">
        <w:rPr>
          <w:rFonts w:ascii="Times New Roman" w:hAnsi="Times New Roman" w:cs="Times New Roman"/>
        </w:rPr>
        <w:t xml:space="preserve"> level commitment.</w:t>
      </w:r>
    </w:p>
    <w:p w14:paraId="13751061" w14:textId="26F5F6A7" w:rsidR="003F58C1" w:rsidRDefault="00F721B8" w:rsidP="00014439">
      <w:pPr>
        <w:spacing w:line="480" w:lineRule="auto"/>
        <w:ind w:firstLine="720"/>
        <w:rPr>
          <w:rFonts w:ascii="Times New Roman" w:hAnsi="Times New Roman" w:cs="Times New Roman"/>
        </w:rPr>
      </w:pPr>
      <w:r>
        <w:rPr>
          <w:rFonts w:ascii="Times New Roman" w:hAnsi="Times New Roman" w:cs="Times New Roman"/>
        </w:rPr>
        <w:t xml:space="preserve">Using a </w:t>
      </w:r>
      <w:r w:rsidRPr="00F721B8">
        <w:rPr>
          <w:rFonts w:ascii="Times New Roman" w:hAnsi="Times New Roman" w:cs="Times New Roman"/>
        </w:rPr>
        <w:t xml:space="preserve">hierarchical, criterion-based </w:t>
      </w:r>
      <w:r w:rsidR="003F58C1">
        <w:rPr>
          <w:rFonts w:ascii="Times New Roman" w:hAnsi="Times New Roman" w:cs="Times New Roman"/>
        </w:rPr>
        <w:t>review of available tools</w:t>
      </w:r>
      <w:r w:rsidR="00D37285">
        <w:rPr>
          <w:rFonts w:ascii="Times New Roman" w:hAnsi="Times New Roman" w:cs="Times New Roman"/>
        </w:rPr>
        <w:t xml:space="preserve">, </w:t>
      </w:r>
      <w:r>
        <w:rPr>
          <w:rFonts w:ascii="Times New Roman" w:hAnsi="Times New Roman" w:cs="Times New Roman"/>
        </w:rPr>
        <w:t xml:space="preserve">Burgess and colleagues </w:t>
      </w:r>
      <w:r w:rsidR="00D37285">
        <w:rPr>
          <w:rFonts w:ascii="Times New Roman" w:hAnsi="Times New Roman" w:cs="Times New Roman"/>
        </w:rPr>
        <w:t xml:space="preserve">identified four measures </w:t>
      </w:r>
      <w:r w:rsidR="0045131B">
        <w:rPr>
          <w:rFonts w:ascii="Times New Roman" w:hAnsi="Times New Roman" w:cs="Times New Roman"/>
        </w:rPr>
        <w:t xml:space="preserve">of individual recovery </w:t>
      </w:r>
      <w:r w:rsidR="00BC400B">
        <w:rPr>
          <w:rFonts w:ascii="Times New Roman" w:hAnsi="Times New Roman" w:cs="Times New Roman"/>
        </w:rPr>
        <w:t xml:space="preserve">suitable for </w:t>
      </w:r>
      <w:r w:rsidR="00FC5F2F">
        <w:rPr>
          <w:rFonts w:ascii="Times New Roman" w:hAnsi="Times New Roman" w:cs="Times New Roman"/>
        </w:rPr>
        <w:t xml:space="preserve">routine </w:t>
      </w:r>
      <w:r w:rsidR="00BC400B">
        <w:rPr>
          <w:rFonts w:ascii="Times New Roman" w:hAnsi="Times New Roman" w:cs="Times New Roman"/>
        </w:rPr>
        <w:t>use</w:t>
      </w:r>
      <w:r w:rsidR="003159A7">
        <w:rPr>
          <w:rFonts w:ascii="Times New Roman" w:hAnsi="Times New Roman" w:cs="Times New Roman"/>
        </w:rPr>
        <w:t xml:space="preserve"> </w:t>
      </w:r>
      <w:r w:rsidR="0045131B">
        <w:rPr>
          <w:rFonts w:ascii="Times New Roman" w:hAnsi="Times New Roman" w:cs="Times New Roman"/>
        </w:rPr>
        <w:t>(</w:t>
      </w:r>
      <w:r w:rsidR="00D37285">
        <w:rPr>
          <w:rFonts w:ascii="Times New Roman" w:hAnsi="Times New Roman" w:cs="Times New Roman"/>
        </w:rPr>
        <w:t>rang</w:t>
      </w:r>
      <w:r w:rsidR="0045131B">
        <w:rPr>
          <w:rFonts w:ascii="Times New Roman" w:hAnsi="Times New Roman" w:cs="Times New Roman"/>
        </w:rPr>
        <w:t xml:space="preserve">ing </w:t>
      </w:r>
      <w:r w:rsidR="00D37285">
        <w:rPr>
          <w:rFonts w:ascii="Times New Roman" w:hAnsi="Times New Roman" w:cs="Times New Roman"/>
        </w:rPr>
        <w:t>from 15 to 50 items</w:t>
      </w:r>
      <w:r w:rsidR="0045131B">
        <w:rPr>
          <w:rFonts w:ascii="Times New Roman" w:hAnsi="Times New Roman" w:cs="Times New Roman"/>
        </w:rPr>
        <w:t xml:space="preserve">).  The </w:t>
      </w:r>
      <w:r w:rsidR="003F58C1">
        <w:rPr>
          <w:rFonts w:ascii="Times New Roman" w:hAnsi="Times New Roman" w:cs="Times New Roman"/>
        </w:rPr>
        <w:t>authors conclude</w:t>
      </w:r>
      <w:r w:rsidR="003159A7">
        <w:rPr>
          <w:rFonts w:ascii="Times New Roman" w:hAnsi="Times New Roman" w:cs="Times New Roman"/>
        </w:rPr>
        <w:t>d</w:t>
      </w:r>
      <w:r w:rsidR="003F58C1">
        <w:rPr>
          <w:rFonts w:ascii="Times New Roman" w:hAnsi="Times New Roman" w:cs="Times New Roman"/>
        </w:rPr>
        <w:t xml:space="preserve"> that the</w:t>
      </w:r>
      <w:r w:rsidR="00BC400B">
        <w:rPr>
          <w:rFonts w:ascii="Times New Roman" w:hAnsi="Times New Roman" w:cs="Times New Roman"/>
        </w:rPr>
        <w:t>se</w:t>
      </w:r>
      <w:r w:rsidR="003F58C1">
        <w:rPr>
          <w:rFonts w:ascii="Times New Roman" w:hAnsi="Times New Roman" w:cs="Times New Roman"/>
        </w:rPr>
        <w:t xml:space="preserve"> tools need to be assessed for feasibility in public sector settings, and that </w:t>
      </w:r>
      <w:r w:rsidR="00D37285">
        <w:rPr>
          <w:rFonts w:ascii="Times New Roman" w:hAnsi="Times New Roman" w:cs="Times New Roman"/>
        </w:rPr>
        <w:t>modifi</w:t>
      </w:r>
      <w:r w:rsidR="003F58C1">
        <w:rPr>
          <w:rFonts w:ascii="Times New Roman" w:hAnsi="Times New Roman" w:cs="Times New Roman"/>
        </w:rPr>
        <w:t>cations and</w:t>
      </w:r>
      <w:r w:rsidR="00D37285">
        <w:rPr>
          <w:rFonts w:ascii="Times New Roman" w:hAnsi="Times New Roman" w:cs="Times New Roman"/>
        </w:rPr>
        <w:t xml:space="preserve"> </w:t>
      </w:r>
      <w:r w:rsidR="004542BE">
        <w:rPr>
          <w:rFonts w:ascii="Times New Roman" w:hAnsi="Times New Roman" w:cs="Times New Roman"/>
        </w:rPr>
        <w:t xml:space="preserve">new </w:t>
      </w:r>
      <w:r w:rsidR="00D37285">
        <w:rPr>
          <w:rFonts w:ascii="Times New Roman" w:hAnsi="Times New Roman" w:cs="Times New Roman"/>
        </w:rPr>
        <w:t>tools may be required (Burgess et al.</w:t>
      </w:r>
      <w:r w:rsidR="004542BE">
        <w:rPr>
          <w:rFonts w:ascii="Times New Roman" w:hAnsi="Times New Roman" w:cs="Times New Roman"/>
        </w:rPr>
        <w:t>, 2011)</w:t>
      </w:r>
      <w:r w:rsidR="00D37285">
        <w:rPr>
          <w:rFonts w:ascii="Times New Roman" w:hAnsi="Times New Roman" w:cs="Times New Roman"/>
        </w:rPr>
        <w:t xml:space="preserve">.  </w:t>
      </w:r>
      <w:r w:rsidR="009B2058">
        <w:rPr>
          <w:rFonts w:ascii="Times New Roman" w:hAnsi="Times New Roman" w:cs="Times New Roman"/>
        </w:rPr>
        <w:t>Similarly, Law et al. (2012) reviewed measures of recovery for clinical utility and acceptabi</w:t>
      </w:r>
      <w:r w:rsidR="00BD7CC5">
        <w:rPr>
          <w:rFonts w:ascii="Times New Roman" w:hAnsi="Times New Roman" w:cs="Times New Roman"/>
        </w:rPr>
        <w:t>lity, and concluded that the 41-</w:t>
      </w:r>
      <w:r w:rsidR="009B2058">
        <w:rPr>
          <w:rFonts w:ascii="Times New Roman" w:hAnsi="Times New Roman" w:cs="Times New Roman"/>
        </w:rPr>
        <w:t xml:space="preserve">item </w:t>
      </w:r>
      <w:r w:rsidR="009B2058" w:rsidRPr="009B2058">
        <w:rPr>
          <w:rFonts w:ascii="Times New Roman" w:hAnsi="Times New Roman" w:cs="Times New Roman"/>
        </w:rPr>
        <w:t xml:space="preserve">Recovery Assessment Scale </w:t>
      </w:r>
      <w:r w:rsidR="009B2058">
        <w:rPr>
          <w:rFonts w:ascii="Times New Roman" w:hAnsi="Times New Roman" w:cs="Times New Roman"/>
        </w:rPr>
        <w:t>(</w:t>
      </w:r>
      <w:proofErr w:type="spellStart"/>
      <w:r w:rsidR="009B2058">
        <w:rPr>
          <w:rFonts w:ascii="Times New Roman" w:hAnsi="Times New Roman" w:cs="Times New Roman"/>
        </w:rPr>
        <w:t>Giffort</w:t>
      </w:r>
      <w:proofErr w:type="spellEnd"/>
      <w:r w:rsidR="009B2058">
        <w:rPr>
          <w:rFonts w:ascii="Times New Roman" w:hAnsi="Times New Roman" w:cs="Times New Roman"/>
        </w:rPr>
        <w:t xml:space="preserve"> et al., 1995) met validity requirements and</w:t>
      </w:r>
      <w:r w:rsidR="008F4E73">
        <w:rPr>
          <w:rFonts w:ascii="Times New Roman" w:hAnsi="Times New Roman" w:cs="Times New Roman"/>
        </w:rPr>
        <w:t xml:space="preserve"> was most acceptable to service-</w:t>
      </w:r>
      <w:r w:rsidR="009B2058">
        <w:rPr>
          <w:rFonts w:ascii="Times New Roman" w:hAnsi="Times New Roman" w:cs="Times New Roman"/>
        </w:rPr>
        <w:t xml:space="preserve">users.  </w:t>
      </w:r>
      <w:r w:rsidR="003F58C1">
        <w:rPr>
          <w:rFonts w:ascii="Times New Roman" w:hAnsi="Times New Roman" w:cs="Times New Roman"/>
        </w:rPr>
        <w:t>Importantly, n</w:t>
      </w:r>
      <w:r w:rsidR="00D37285">
        <w:rPr>
          <w:rFonts w:ascii="Times New Roman" w:hAnsi="Times New Roman" w:cs="Times New Roman"/>
        </w:rPr>
        <w:t>o brief measures of less than 15 items were identified</w:t>
      </w:r>
      <w:r w:rsidR="009B2058">
        <w:rPr>
          <w:rFonts w:ascii="Times New Roman" w:hAnsi="Times New Roman" w:cs="Times New Roman"/>
        </w:rPr>
        <w:t xml:space="preserve"> in either of the reviews</w:t>
      </w:r>
      <w:r w:rsidR="004A1783">
        <w:rPr>
          <w:rFonts w:ascii="Times New Roman" w:hAnsi="Times New Roman" w:cs="Times New Roman"/>
        </w:rPr>
        <w:t>.  W</w:t>
      </w:r>
      <w:r w:rsidR="00222FA6">
        <w:rPr>
          <w:rFonts w:ascii="Times New Roman" w:hAnsi="Times New Roman" w:cs="Times New Roman"/>
        </w:rPr>
        <w:t>hile 15 items may no</w:t>
      </w:r>
      <w:r w:rsidR="004A1783">
        <w:rPr>
          <w:rFonts w:ascii="Times New Roman" w:hAnsi="Times New Roman" w:cs="Times New Roman"/>
        </w:rPr>
        <w:t xml:space="preserve">t seem long to researchers, the </w:t>
      </w:r>
      <w:r w:rsidR="00222FA6">
        <w:rPr>
          <w:rFonts w:ascii="Times New Roman" w:hAnsi="Times New Roman" w:cs="Times New Roman"/>
        </w:rPr>
        <w:t xml:space="preserve">evidence to date suggests that measures of this length are unlikely to be </w:t>
      </w:r>
      <w:r w:rsidR="004A1783">
        <w:rPr>
          <w:rFonts w:ascii="Times New Roman" w:hAnsi="Times New Roman" w:cs="Times New Roman"/>
        </w:rPr>
        <w:t xml:space="preserve">implemented </w:t>
      </w:r>
      <w:r w:rsidR="00491223">
        <w:rPr>
          <w:rFonts w:ascii="Times New Roman" w:hAnsi="Times New Roman" w:cs="Times New Roman"/>
        </w:rPr>
        <w:t>in routine service settings</w:t>
      </w:r>
      <w:r w:rsidR="00222FA6">
        <w:rPr>
          <w:rFonts w:ascii="Times New Roman" w:hAnsi="Times New Roman" w:cs="Times New Roman"/>
        </w:rPr>
        <w:t>.</w:t>
      </w:r>
    </w:p>
    <w:p w14:paraId="49807AA3" w14:textId="5039E3ED" w:rsidR="00A11F1C" w:rsidRDefault="00C2486F" w:rsidP="00014439">
      <w:pPr>
        <w:spacing w:line="480" w:lineRule="auto"/>
        <w:ind w:firstLine="720"/>
        <w:rPr>
          <w:rFonts w:ascii="Times New Roman" w:hAnsi="Times New Roman" w:cs="Times New Roman"/>
        </w:rPr>
      </w:pPr>
      <w:r w:rsidRPr="00C2486F">
        <w:rPr>
          <w:rFonts w:ascii="Times New Roman" w:hAnsi="Times New Roman" w:cs="Times New Roman"/>
        </w:rPr>
        <w:t xml:space="preserve">Current </w:t>
      </w:r>
      <w:r w:rsidR="00D37285">
        <w:rPr>
          <w:rFonts w:ascii="Times New Roman" w:hAnsi="Times New Roman" w:cs="Times New Roman"/>
        </w:rPr>
        <w:t xml:space="preserve">brief </w:t>
      </w:r>
      <w:r w:rsidRPr="00C2486F">
        <w:rPr>
          <w:rFonts w:ascii="Times New Roman" w:hAnsi="Times New Roman" w:cs="Times New Roman"/>
        </w:rPr>
        <w:t xml:space="preserve">measures of </w:t>
      </w:r>
      <w:r w:rsidR="003F58C1">
        <w:rPr>
          <w:rFonts w:ascii="Times New Roman" w:hAnsi="Times New Roman" w:cs="Times New Roman"/>
        </w:rPr>
        <w:t xml:space="preserve">personal </w:t>
      </w:r>
      <w:r w:rsidRPr="00C2486F">
        <w:rPr>
          <w:rFonts w:ascii="Times New Roman" w:hAnsi="Times New Roman" w:cs="Times New Roman"/>
        </w:rPr>
        <w:t>recovery include the Questionnaire about the Process of Recovery (</w:t>
      </w:r>
      <w:r w:rsidRPr="001F5457">
        <w:rPr>
          <w:rFonts w:ascii="Times New Roman" w:hAnsi="Times New Roman" w:cs="Times New Roman"/>
        </w:rPr>
        <w:t>QPR</w:t>
      </w:r>
      <w:r w:rsidR="00090F64" w:rsidRPr="001F5457">
        <w:rPr>
          <w:rFonts w:ascii="Times New Roman" w:hAnsi="Times New Roman" w:cs="Times New Roman"/>
        </w:rPr>
        <w:t xml:space="preserve">; Neil et al., 2009) </w:t>
      </w:r>
      <w:r w:rsidRPr="001F5457">
        <w:rPr>
          <w:rFonts w:ascii="Times New Roman" w:hAnsi="Times New Roman" w:cs="Times New Roman"/>
        </w:rPr>
        <w:t xml:space="preserve">and </w:t>
      </w:r>
      <w:r w:rsidR="004F4C00" w:rsidRPr="001F5457">
        <w:rPr>
          <w:rFonts w:ascii="Times New Roman" w:hAnsi="Times New Roman" w:cs="Times New Roman"/>
        </w:rPr>
        <w:t>versions of the</w:t>
      </w:r>
      <w:r w:rsidRPr="001F5457">
        <w:rPr>
          <w:rFonts w:ascii="Times New Roman" w:hAnsi="Times New Roman" w:cs="Times New Roman"/>
        </w:rPr>
        <w:t xml:space="preserve"> INSPIRE (Williams, </w:t>
      </w:r>
      <w:proofErr w:type="spellStart"/>
      <w:r w:rsidRPr="001F5457">
        <w:rPr>
          <w:rFonts w:ascii="Times New Roman" w:hAnsi="Times New Roman" w:cs="Times New Roman"/>
        </w:rPr>
        <w:t>Leamy</w:t>
      </w:r>
      <w:proofErr w:type="spellEnd"/>
      <w:r w:rsidRPr="001F5457">
        <w:rPr>
          <w:rFonts w:ascii="Times New Roman" w:hAnsi="Times New Roman" w:cs="Times New Roman"/>
        </w:rPr>
        <w:t>, Bird et al., 2015</w:t>
      </w:r>
      <w:r w:rsidRPr="003D6DD1">
        <w:rPr>
          <w:rFonts w:ascii="Times New Roman" w:hAnsi="Times New Roman" w:cs="Times New Roman"/>
        </w:rPr>
        <w:t>).</w:t>
      </w:r>
      <w:r w:rsidR="00090F64" w:rsidRPr="003D6DD1">
        <w:rPr>
          <w:rFonts w:ascii="Times New Roman" w:hAnsi="Times New Roman" w:cs="Times New Roman"/>
        </w:rPr>
        <w:t xml:space="preserve"> </w:t>
      </w:r>
      <w:r w:rsidRPr="003D6DD1">
        <w:rPr>
          <w:rFonts w:ascii="Times New Roman" w:hAnsi="Times New Roman" w:cs="Times New Roman"/>
        </w:rPr>
        <w:t xml:space="preserve"> </w:t>
      </w:r>
      <w:r w:rsidR="00090F64" w:rsidRPr="003D6DD1">
        <w:rPr>
          <w:rFonts w:ascii="Times New Roman" w:hAnsi="Times New Roman" w:cs="Times New Roman"/>
        </w:rPr>
        <w:t xml:space="preserve">The 22-item QPR and shorter </w:t>
      </w:r>
      <w:r w:rsidRPr="003D6DD1">
        <w:rPr>
          <w:rFonts w:ascii="Times New Roman" w:hAnsi="Times New Roman" w:cs="Times New Roman"/>
        </w:rPr>
        <w:t xml:space="preserve">15-item </w:t>
      </w:r>
      <w:r w:rsidR="00090F64" w:rsidRPr="003D6DD1">
        <w:rPr>
          <w:rFonts w:ascii="Times New Roman" w:hAnsi="Times New Roman" w:cs="Times New Roman"/>
        </w:rPr>
        <w:t>ve</w:t>
      </w:r>
      <w:r w:rsidR="001F5457" w:rsidRPr="003D6DD1">
        <w:rPr>
          <w:rFonts w:ascii="Times New Roman" w:hAnsi="Times New Roman" w:cs="Times New Roman"/>
        </w:rPr>
        <w:t>r</w:t>
      </w:r>
      <w:r w:rsidR="00090F64" w:rsidRPr="003D6DD1">
        <w:rPr>
          <w:rFonts w:ascii="Times New Roman" w:hAnsi="Times New Roman" w:cs="Times New Roman"/>
        </w:rPr>
        <w:t>sion (</w:t>
      </w:r>
      <w:r w:rsidR="001F5457" w:rsidRPr="003D6DD1">
        <w:rPr>
          <w:rFonts w:ascii="Times New Roman" w:hAnsi="Times New Roman" w:cs="Times New Roman"/>
        </w:rPr>
        <w:t>Law, Neil, Dunn &amp; Morrison, 2014</w:t>
      </w:r>
      <w:r w:rsidR="00090F64" w:rsidRPr="003D6DD1">
        <w:rPr>
          <w:rFonts w:ascii="Times New Roman" w:hAnsi="Times New Roman" w:cs="Times New Roman"/>
        </w:rPr>
        <w:t xml:space="preserve">) </w:t>
      </w:r>
      <w:r w:rsidR="00B73768" w:rsidRPr="003D6DD1">
        <w:rPr>
          <w:rFonts w:ascii="Times New Roman" w:hAnsi="Times New Roman" w:cs="Times New Roman"/>
        </w:rPr>
        <w:t>are</w:t>
      </w:r>
      <w:r w:rsidRPr="003D6DD1">
        <w:rPr>
          <w:rFonts w:ascii="Times New Roman" w:hAnsi="Times New Roman" w:cs="Times New Roman"/>
        </w:rPr>
        <w:t xml:space="preserve"> ‘patient reported outcome measure</w:t>
      </w:r>
      <w:r w:rsidR="00B73768" w:rsidRPr="003D6DD1">
        <w:rPr>
          <w:rFonts w:ascii="Times New Roman" w:hAnsi="Times New Roman" w:cs="Times New Roman"/>
        </w:rPr>
        <w:t>s</w:t>
      </w:r>
      <w:r w:rsidRPr="003D6DD1">
        <w:rPr>
          <w:rFonts w:ascii="Times New Roman" w:hAnsi="Times New Roman" w:cs="Times New Roman"/>
        </w:rPr>
        <w:t>’ (PROM</w:t>
      </w:r>
      <w:r w:rsidR="00B73768" w:rsidRPr="003D6DD1">
        <w:rPr>
          <w:rFonts w:ascii="Times New Roman" w:hAnsi="Times New Roman" w:cs="Times New Roman"/>
        </w:rPr>
        <w:t>s</w:t>
      </w:r>
      <w:r w:rsidR="001F5457" w:rsidRPr="003D6DD1">
        <w:rPr>
          <w:rFonts w:ascii="Times New Roman" w:hAnsi="Times New Roman" w:cs="Times New Roman"/>
        </w:rPr>
        <w:t>).  The</w:t>
      </w:r>
      <w:r w:rsidR="004F4C00" w:rsidRPr="003D6DD1">
        <w:rPr>
          <w:rFonts w:ascii="Times New Roman" w:hAnsi="Times New Roman" w:cs="Times New Roman"/>
        </w:rPr>
        <w:t xml:space="preserve"> 27-item </w:t>
      </w:r>
      <w:proofErr w:type="gramStart"/>
      <w:r w:rsidR="004F4C00" w:rsidRPr="003D6DD1">
        <w:rPr>
          <w:rFonts w:ascii="Times New Roman" w:hAnsi="Times New Roman" w:cs="Times New Roman"/>
        </w:rPr>
        <w:t>INSPIRE</w:t>
      </w:r>
      <w:proofErr w:type="gramEnd"/>
      <w:r w:rsidR="004F4C00" w:rsidRPr="003D6DD1">
        <w:rPr>
          <w:rFonts w:ascii="Times New Roman" w:hAnsi="Times New Roman" w:cs="Times New Roman"/>
        </w:rPr>
        <w:t xml:space="preserve"> and 5-item Brief-</w:t>
      </w:r>
      <w:r w:rsidRPr="003D6DD1">
        <w:rPr>
          <w:rFonts w:ascii="Times New Roman" w:hAnsi="Times New Roman" w:cs="Times New Roman"/>
        </w:rPr>
        <w:t>INSPIRE</w:t>
      </w:r>
      <w:r w:rsidR="0017124F" w:rsidRPr="003D6DD1">
        <w:rPr>
          <w:rFonts w:ascii="Times New Roman" w:hAnsi="Times New Roman" w:cs="Times New Roman"/>
        </w:rPr>
        <w:t xml:space="preserve"> </w:t>
      </w:r>
      <w:r w:rsidR="004F4C00" w:rsidRPr="003D6DD1">
        <w:rPr>
          <w:rFonts w:ascii="Times New Roman" w:hAnsi="Times New Roman" w:cs="Times New Roman"/>
        </w:rPr>
        <w:t>are</w:t>
      </w:r>
      <w:r w:rsidR="0017124F" w:rsidRPr="003D6DD1">
        <w:rPr>
          <w:rFonts w:ascii="Times New Roman" w:hAnsi="Times New Roman" w:cs="Times New Roman"/>
        </w:rPr>
        <w:t xml:space="preserve"> </w:t>
      </w:r>
      <w:r w:rsidRPr="003D6DD1">
        <w:rPr>
          <w:rFonts w:ascii="Times New Roman" w:hAnsi="Times New Roman" w:cs="Times New Roman"/>
        </w:rPr>
        <w:t>‘patient reported experience measure</w:t>
      </w:r>
      <w:r w:rsidR="004F4C00" w:rsidRPr="003D6DD1">
        <w:rPr>
          <w:rFonts w:ascii="Times New Roman" w:hAnsi="Times New Roman" w:cs="Times New Roman"/>
        </w:rPr>
        <w:t>s</w:t>
      </w:r>
      <w:r w:rsidRPr="003D6DD1">
        <w:rPr>
          <w:rFonts w:ascii="Times New Roman" w:hAnsi="Times New Roman" w:cs="Times New Roman"/>
        </w:rPr>
        <w:t>’ (PREM</w:t>
      </w:r>
      <w:r w:rsidR="004F4C00" w:rsidRPr="003D6DD1">
        <w:rPr>
          <w:rFonts w:ascii="Times New Roman" w:hAnsi="Times New Roman" w:cs="Times New Roman"/>
        </w:rPr>
        <w:t>s</w:t>
      </w:r>
      <w:r w:rsidRPr="003D6DD1">
        <w:rPr>
          <w:rFonts w:ascii="Times New Roman" w:hAnsi="Times New Roman" w:cs="Times New Roman"/>
        </w:rPr>
        <w:t>).  Each</w:t>
      </w:r>
      <w:r w:rsidRPr="00C2486F">
        <w:rPr>
          <w:rFonts w:ascii="Times New Roman" w:hAnsi="Times New Roman" w:cs="Times New Roman"/>
        </w:rPr>
        <w:t xml:space="preserve"> demonstrates satisfactory psychometric properties.  To incorporate assessment of personal </w:t>
      </w:r>
      <w:r w:rsidRPr="00C2486F">
        <w:rPr>
          <w:rFonts w:ascii="Times New Roman" w:hAnsi="Times New Roman" w:cs="Times New Roman"/>
        </w:rPr>
        <w:lastRenderedPageBreak/>
        <w:t xml:space="preserve">recovery into routine clinical practice, a brief valid measure of both outcome and experience of services is required.  The 4-item ‘Hope, Agency and Opportunity’ (HAO) scale is a very brief measure of recovery, </w:t>
      </w:r>
      <w:r w:rsidR="0017124F">
        <w:rPr>
          <w:rFonts w:ascii="Times New Roman" w:hAnsi="Times New Roman" w:cs="Times New Roman"/>
        </w:rPr>
        <w:t>combin</w:t>
      </w:r>
      <w:r w:rsidRPr="00C2486F">
        <w:rPr>
          <w:rFonts w:ascii="Times New Roman" w:hAnsi="Times New Roman" w:cs="Times New Roman"/>
        </w:rPr>
        <w:t>ing patient rep</w:t>
      </w:r>
      <w:r w:rsidR="00BF472D">
        <w:rPr>
          <w:rFonts w:ascii="Times New Roman" w:hAnsi="Times New Roman" w:cs="Times New Roman"/>
        </w:rPr>
        <w:t>orted outcomes and experience.</w:t>
      </w:r>
    </w:p>
    <w:p w14:paraId="5E95E410" w14:textId="77777777" w:rsidR="00BF472D" w:rsidRDefault="00BF472D" w:rsidP="00014439">
      <w:pPr>
        <w:spacing w:line="480" w:lineRule="auto"/>
        <w:ind w:firstLine="720"/>
        <w:rPr>
          <w:rFonts w:ascii="Times New Roman" w:hAnsi="Times New Roman" w:cs="Times New Roman"/>
        </w:rPr>
      </w:pPr>
    </w:p>
    <w:p w14:paraId="1751B189" w14:textId="13B89F2E" w:rsidR="00A11F1C" w:rsidRPr="00E93FBC" w:rsidRDefault="00A11F1C" w:rsidP="00014439">
      <w:pPr>
        <w:spacing w:line="480" w:lineRule="auto"/>
        <w:rPr>
          <w:rFonts w:ascii="Times New Roman" w:hAnsi="Times New Roman" w:cs="Times New Roman"/>
          <w:b/>
          <w:i/>
        </w:rPr>
      </w:pPr>
      <w:r w:rsidRPr="00E93FBC">
        <w:rPr>
          <w:rFonts w:ascii="Times New Roman" w:hAnsi="Times New Roman" w:cs="Times New Roman"/>
          <w:b/>
          <w:i/>
        </w:rPr>
        <w:t>Development of the HAO</w:t>
      </w:r>
    </w:p>
    <w:p w14:paraId="79E66077" w14:textId="10CA9B00" w:rsidR="005F701E" w:rsidRPr="00E93FBC" w:rsidRDefault="00BF472D" w:rsidP="00014439">
      <w:pPr>
        <w:spacing w:line="480" w:lineRule="auto"/>
        <w:rPr>
          <w:rFonts w:ascii="Times New Roman" w:hAnsi="Times New Roman" w:cs="Times New Roman"/>
        </w:rPr>
      </w:pPr>
      <w:r w:rsidRPr="00E93FBC">
        <w:rPr>
          <w:rFonts w:ascii="Times New Roman" w:hAnsi="Times New Roman" w:cs="Times New Roman"/>
        </w:rPr>
        <w:t xml:space="preserve">An initial version of the HAO was drafted jointly by the </w:t>
      </w:r>
      <w:r w:rsidR="008F4E73" w:rsidRPr="00E93FBC">
        <w:rPr>
          <w:rFonts w:ascii="Times New Roman" w:hAnsi="Times New Roman" w:cs="Times New Roman"/>
        </w:rPr>
        <w:t>service-</w:t>
      </w:r>
      <w:r w:rsidRPr="00E93FBC">
        <w:rPr>
          <w:rFonts w:ascii="Times New Roman" w:hAnsi="Times New Roman" w:cs="Times New Roman"/>
        </w:rPr>
        <w:t xml:space="preserve">user lead </w:t>
      </w:r>
      <w:r w:rsidR="004449FA" w:rsidRPr="00E93FBC">
        <w:rPr>
          <w:rFonts w:ascii="Times New Roman" w:hAnsi="Times New Roman" w:cs="Times New Roman"/>
        </w:rPr>
        <w:t xml:space="preserve">for an NHS Trust in the South of England </w:t>
      </w:r>
      <w:r w:rsidRPr="00E93FBC">
        <w:rPr>
          <w:rFonts w:ascii="Times New Roman" w:hAnsi="Times New Roman" w:cs="Times New Roman"/>
        </w:rPr>
        <w:t>(with lived experience of mental ill-health) and a clinical psychologist</w:t>
      </w:r>
      <w:r w:rsidR="00966CB1" w:rsidRPr="00E93FBC">
        <w:rPr>
          <w:rFonts w:ascii="Times New Roman" w:hAnsi="Times New Roman" w:cs="Times New Roman"/>
        </w:rPr>
        <w:t>,</w:t>
      </w:r>
      <w:r w:rsidRPr="00E93FBC">
        <w:rPr>
          <w:rFonts w:ascii="Times New Roman" w:hAnsi="Times New Roman" w:cs="Times New Roman"/>
        </w:rPr>
        <w:t xml:space="preserve"> to assess the impact of the local Recovery College.  The </w:t>
      </w:r>
      <w:r w:rsidR="00966CB1" w:rsidRPr="00E93FBC">
        <w:rPr>
          <w:rFonts w:ascii="Times New Roman" w:hAnsi="Times New Roman" w:cs="Times New Roman"/>
        </w:rPr>
        <w:t xml:space="preserve">first three </w:t>
      </w:r>
      <w:r w:rsidRPr="00E93FBC">
        <w:rPr>
          <w:rFonts w:ascii="Times New Roman" w:hAnsi="Times New Roman" w:cs="Times New Roman"/>
        </w:rPr>
        <w:t xml:space="preserve">items </w:t>
      </w:r>
      <w:r w:rsidR="00966CB1" w:rsidRPr="00E93FBC">
        <w:rPr>
          <w:rFonts w:ascii="Times New Roman" w:hAnsi="Times New Roman" w:cs="Times New Roman"/>
        </w:rPr>
        <w:t>correspond</w:t>
      </w:r>
      <w:r w:rsidRPr="00E93FBC">
        <w:rPr>
          <w:rFonts w:ascii="Times New Roman" w:hAnsi="Times New Roman" w:cs="Times New Roman"/>
        </w:rPr>
        <w:t xml:space="preserve"> </w:t>
      </w:r>
      <w:r w:rsidR="00966CB1" w:rsidRPr="00E93FBC">
        <w:rPr>
          <w:rFonts w:ascii="Times New Roman" w:hAnsi="Times New Roman" w:cs="Times New Roman"/>
        </w:rPr>
        <w:t>to</w:t>
      </w:r>
      <w:r w:rsidRPr="00E93FBC">
        <w:rPr>
          <w:rFonts w:ascii="Times New Roman" w:hAnsi="Times New Roman" w:cs="Times New Roman"/>
        </w:rPr>
        <w:t xml:space="preserve"> the</w:t>
      </w:r>
      <w:r w:rsidR="00680827" w:rsidRPr="00E93FBC">
        <w:rPr>
          <w:rFonts w:ascii="Times New Roman" w:hAnsi="Times New Roman" w:cs="Times New Roman"/>
        </w:rPr>
        <w:t xml:space="preserve"> key</w:t>
      </w:r>
      <w:r w:rsidRPr="00E93FBC">
        <w:rPr>
          <w:rFonts w:ascii="Times New Roman" w:hAnsi="Times New Roman" w:cs="Times New Roman"/>
        </w:rPr>
        <w:t xml:space="preserve"> themes identified </w:t>
      </w:r>
      <w:r w:rsidR="00966CB1" w:rsidRPr="00E93FBC">
        <w:rPr>
          <w:rFonts w:ascii="Times New Roman" w:hAnsi="Times New Roman" w:cs="Times New Roman"/>
        </w:rPr>
        <w:t xml:space="preserve">in the literature </w:t>
      </w:r>
      <w:r w:rsidRPr="00E93FBC">
        <w:rPr>
          <w:rFonts w:ascii="Times New Roman" w:hAnsi="Times New Roman" w:cs="Times New Roman"/>
        </w:rPr>
        <w:t xml:space="preserve">as </w:t>
      </w:r>
      <w:r w:rsidR="00680827" w:rsidRPr="00E93FBC">
        <w:rPr>
          <w:rFonts w:ascii="Times New Roman" w:hAnsi="Times New Roman" w:cs="Times New Roman"/>
        </w:rPr>
        <w:t xml:space="preserve">predictive of </w:t>
      </w:r>
      <w:r w:rsidRPr="00E93FBC">
        <w:rPr>
          <w:rFonts w:ascii="Times New Roman" w:hAnsi="Times New Roman" w:cs="Times New Roman"/>
        </w:rPr>
        <w:t>recovery: hope, agency and opportunity for purposeful activity and social inclusion (</w:t>
      </w:r>
      <w:proofErr w:type="spellStart"/>
      <w:r w:rsidRPr="00E93FBC">
        <w:rPr>
          <w:rFonts w:ascii="Times New Roman" w:hAnsi="Times New Roman" w:cs="Times New Roman"/>
        </w:rPr>
        <w:t>Repper</w:t>
      </w:r>
      <w:proofErr w:type="spellEnd"/>
      <w:r w:rsidRPr="00E93FBC">
        <w:rPr>
          <w:rFonts w:ascii="Times New Roman" w:hAnsi="Times New Roman" w:cs="Times New Roman"/>
        </w:rPr>
        <w:t xml:space="preserve"> &amp; Perkins, 2003; Shepherd et al., 2014). </w:t>
      </w:r>
      <w:r w:rsidR="00966CB1" w:rsidRPr="00E93FBC">
        <w:rPr>
          <w:rFonts w:ascii="Times New Roman" w:hAnsi="Times New Roman" w:cs="Times New Roman"/>
        </w:rPr>
        <w:t xml:space="preserve"> The final item assumes that the working alliance is integral to </w:t>
      </w:r>
      <w:r w:rsidR="00680827" w:rsidRPr="00E93FBC">
        <w:rPr>
          <w:rFonts w:ascii="Times New Roman" w:hAnsi="Times New Roman" w:cs="Times New Roman"/>
        </w:rPr>
        <w:t xml:space="preserve">effective service provision </w:t>
      </w:r>
      <w:r w:rsidR="00966CB1" w:rsidRPr="00E93FBC">
        <w:rPr>
          <w:rFonts w:ascii="Times New Roman" w:hAnsi="Times New Roman" w:cs="Times New Roman"/>
        </w:rPr>
        <w:t xml:space="preserve">(Borg &amp; Kristiansen, 2009; Hicks et al., 2012; Slade, 2009), and was included to </w:t>
      </w:r>
      <w:r w:rsidR="006F7B6D" w:rsidRPr="00E93FBC">
        <w:rPr>
          <w:rFonts w:ascii="Times New Roman" w:hAnsi="Times New Roman" w:cs="Times New Roman"/>
        </w:rPr>
        <w:t>assess</w:t>
      </w:r>
      <w:r w:rsidR="00966CB1" w:rsidRPr="00E93FBC">
        <w:rPr>
          <w:rFonts w:ascii="Times New Roman" w:hAnsi="Times New Roman" w:cs="Times New Roman"/>
        </w:rPr>
        <w:t xml:space="preserve"> experience of services as well as outcomes.</w:t>
      </w:r>
      <w:r w:rsidR="00F66131" w:rsidRPr="00E93FBC">
        <w:rPr>
          <w:rFonts w:ascii="Times New Roman" w:hAnsi="Times New Roman" w:cs="Times New Roman"/>
        </w:rPr>
        <w:t xml:space="preserve">  </w:t>
      </w:r>
      <w:r w:rsidR="005F701E" w:rsidRPr="00E93FBC">
        <w:rPr>
          <w:rFonts w:ascii="Times New Roman" w:hAnsi="Times New Roman" w:cs="Times New Roman"/>
        </w:rPr>
        <w:t>Other frameworks of recovery (</w:t>
      </w:r>
      <w:proofErr w:type="spellStart"/>
      <w:r w:rsidR="005F701E" w:rsidRPr="00E93FBC">
        <w:rPr>
          <w:rFonts w:ascii="Times New Roman" w:hAnsi="Times New Roman" w:cs="Times New Roman"/>
        </w:rPr>
        <w:t>eg</w:t>
      </w:r>
      <w:proofErr w:type="spellEnd"/>
      <w:r w:rsidR="005F701E" w:rsidRPr="00E93FBC">
        <w:rPr>
          <w:rFonts w:ascii="Times New Roman" w:hAnsi="Times New Roman" w:cs="Times New Roman"/>
        </w:rPr>
        <w:t xml:space="preserve"> CHIME</w:t>
      </w:r>
      <w:r w:rsidR="00C571F6" w:rsidRPr="00E93FBC">
        <w:rPr>
          <w:rFonts w:ascii="Times New Roman" w:hAnsi="Times New Roman" w:cs="Times New Roman"/>
        </w:rPr>
        <w:t xml:space="preserve">; </w:t>
      </w:r>
      <w:proofErr w:type="spellStart"/>
      <w:r w:rsidR="00C571F6" w:rsidRPr="00E93FBC">
        <w:rPr>
          <w:rFonts w:ascii="Times New Roman" w:hAnsi="Times New Roman" w:cs="Times New Roman"/>
        </w:rPr>
        <w:t>Leamy</w:t>
      </w:r>
      <w:proofErr w:type="spellEnd"/>
      <w:r w:rsidR="00C571F6" w:rsidRPr="00E93FBC">
        <w:rPr>
          <w:rFonts w:ascii="Times New Roman" w:hAnsi="Times New Roman" w:cs="Times New Roman"/>
        </w:rPr>
        <w:t xml:space="preserve">, Bird, Le </w:t>
      </w:r>
      <w:proofErr w:type="spellStart"/>
      <w:r w:rsidR="00C571F6" w:rsidRPr="00E93FBC">
        <w:rPr>
          <w:rFonts w:ascii="Times New Roman" w:hAnsi="Times New Roman" w:cs="Times New Roman"/>
        </w:rPr>
        <w:t>Boutillier</w:t>
      </w:r>
      <w:proofErr w:type="spellEnd"/>
      <w:r w:rsidR="00C571F6" w:rsidRPr="00E93FBC">
        <w:rPr>
          <w:rFonts w:ascii="Times New Roman" w:hAnsi="Times New Roman" w:cs="Times New Roman"/>
        </w:rPr>
        <w:t>, Williams &amp; Slade</w:t>
      </w:r>
      <w:r w:rsidR="005F701E" w:rsidRPr="00E93FBC">
        <w:rPr>
          <w:rFonts w:ascii="Times New Roman" w:hAnsi="Times New Roman" w:cs="Times New Roman"/>
        </w:rPr>
        <w:t xml:space="preserve">, </w:t>
      </w:r>
      <w:r w:rsidR="00C571F6" w:rsidRPr="00E93FBC">
        <w:rPr>
          <w:rFonts w:ascii="Times New Roman" w:hAnsi="Times New Roman" w:cs="Times New Roman"/>
        </w:rPr>
        <w:t>2011</w:t>
      </w:r>
      <w:r w:rsidR="005F701E" w:rsidRPr="00E93FBC">
        <w:rPr>
          <w:rFonts w:ascii="Times New Roman" w:hAnsi="Times New Roman" w:cs="Times New Roman"/>
        </w:rPr>
        <w:t xml:space="preserve">) </w:t>
      </w:r>
      <w:r w:rsidR="004449FA" w:rsidRPr="00E93FBC">
        <w:rPr>
          <w:rFonts w:ascii="Times New Roman" w:hAnsi="Times New Roman" w:cs="Times New Roman"/>
        </w:rPr>
        <w:t xml:space="preserve">incorporate </w:t>
      </w:r>
      <w:r w:rsidR="0081008A" w:rsidRPr="00E93FBC">
        <w:rPr>
          <w:rFonts w:ascii="Times New Roman" w:hAnsi="Times New Roman" w:cs="Times New Roman"/>
        </w:rPr>
        <w:t>additional</w:t>
      </w:r>
      <w:r w:rsidR="005F701E" w:rsidRPr="00E93FBC">
        <w:rPr>
          <w:rFonts w:ascii="Times New Roman" w:hAnsi="Times New Roman" w:cs="Times New Roman"/>
        </w:rPr>
        <w:t xml:space="preserve"> components such as connectedness and </w:t>
      </w:r>
      <w:r w:rsidR="00251C12" w:rsidRPr="00E93FBC">
        <w:rPr>
          <w:rFonts w:ascii="Times New Roman" w:hAnsi="Times New Roman" w:cs="Times New Roman"/>
        </w:rPr>
        <w:t>identity</w:t>
      </w:r>
      <w:r w:rsidR="0081008A" w:rsidRPr="00E93FBC">
        <w:rPr>
          <w:rFonts w:ascii="Times New Roman" w:hAnsi="Times New Roman" w:cs="Times New Roman"/>
        </w:rPr>
        <w:t xml:space="preserve">.  We decided to use just the three themes identified by </w:t>
      </w:r>
      <w:proofErr w:type="spellStart"/>
      <w:r w:rsidR="0081008A" w:rsidRPr="00E93FBC">
        <w:rPr>
          <w:rFonts w:ascii="Times New Roman" w:hAnsi="Times New Roman" w:cs="Times New Roman"/>
        </w:rPr>
        <w:t>Repper</w:t>
      </w:r>
      <w:proofErr w:type="spellEnd"/>
      <w:r w:rsidR="0081008A" w:rsidRPr="00E93FBC">
        <w:rPr>
          <w:rFonts w:ascii="Times New Roman" w:hAnsi="Times New Roman" w:cs="Times New Roman"/>
        </w:rPr>
        <w:t xml:space="preserve"> and Perkins (2003) in order to keep the measure as brief as possible.</w:t>
      </w:r>
    </w:p>
    <w:p w14:paraId="464C78A0" w14:textId="1016DF2C" w:rsidR="00BF472D" w:rsidRPr="00E93FBC" w:rsidRDefault="00F66131" w:rsidP="00014439">
      <w:pPr>
        <w:spacing w:line="480" w:lineRule="auto"/>
        <w:ind w:firstLine="720"/>
        <w:rPr>
          <w:rFonts w:ascii="Times New Roman" w:hAnsi="Times New Roman" w:cs="Times New Roman"/>
        </w:rPr>
      </w:pPr>
      <w:r w:rsidRPr="00E93FBC">
        <w:rPr>
          <w:rFonts w:ascii="Times New Roman" w:hAnsi="Times New Roman" w:cs="Times New Roman"/>
        </w:rPr>
        <w:t xml:space="preserve">A consultation group of four people with lived experience and four clinicians then worked together to shape the measure </w:t>
      </w:r>
      <w:r w:rsidR="006F7B6D" w:rsidRPr="00E93FBC">
        <w:rPr>
          <w:rFonts w:ascii="Times New Roman" w:hAnsi="Times New Roman" w:cs="Times New Roman"/>
        </w:rPr>
        <w:t>prior to wider roll out</w:t>
      </w:r>
      <w:r w:rsidRPr="00E93FBC">
        <w:rPr>
          <w:rFonts w:ascii="Times New Roman" w:hAnsi="Times New Roman" w:cs="Times New Roman"/>
        </w:rPr>
        <w:t xml:space="preserve">.  </w:t>
      </w:r>
      <w:r w:rsidR="00062208" w:rsidRPr="00E93FBC">
        <w:rPr>
          <w:rFonts w:ascii="Times New Roman" w:hAnsi="Times New Roman" w:cs="Times New Roman"/>
        </w:rPr>
        <w:t xml:space="preserve">This group brought together people from across the Trust who </w:t>
      </w:r>
      <w:proofErr w:type="gramStart"/>
      <w:r w:rsidR="00062208" w:rsidRPr="00E93FBC">
        <w:rPr>
          <w:rFonts w:ascii="Times New Roman" w:hAnsi="Times New Roman" w:cs="Times New Roman"/>
        </w:rPr>
        <w:t>were</w:t>
      </w:r>
      <w:proofErr w:type="gramEnd"/>
      <w:r w:rsidR="00062208" w:rsidRPr="00E93FBC">
        <w:rPr>
          <w:rFonts w:ascii="Times New Roman" w:hAnsi="Times New Roman" w:cs="Times New Roman"/>
        </w:rPr>
        <w:t xml:space="preserve"> involved in the Recovery College or other recovery developments across the </w:t>
      </w:r>
      <w:proofErr w:type="spellStart"/>
      <w:r w:rsidR="00062208" w:rsidRPr="00E93FBC">
        <w:rPr>
          <w:rFonts w:ascii="Times New Roman" w:hAnsi="Times New Roman" w:cs="Times New Roman"/>
        </w:rPr>
        <w:t>organisation</w:t>
      </w:r>
      <w:proofErr w:type="spellEnd"/>
      <w:r w:rsidR="00062208" w:rsidRPr="00E93FBC">
        <w:rPr>
          <w:rFonts w:ascii="Times New Roman" w:hAnsi="Times New Roman" w:cs="Times New Roman"/>
        </w:rPr>
        <w:t>.</w:t>
      </w:r>
      <w:r w:rsidR="005F701E" w:rsidRPr="00E93FBC">
        <w:rPr>
          <w:rFonts w:ascii="Times New Roman" w:hAnsi="Times New Roman" w:cs="Times New Roman"/>
        </w:rPr>
        <w:t xml:space="preserve">  </w:t>
      </w:r>
      <w:r w:rsidRPr="00E93FBC">
        <w:rPr>
          <w:rFonts w:ascii="Times New Roman" w:hAnsi="Times New Roman" w:cs="Times New Roman"/>
        </w:rPr>
        <w:t>The consultation group retained the four questions</w:t>
      </w:r>
      <w:r w:rsidR="0081008A" w:rsidRPr="00E93FBC">
        <w:rPr>
          <w:rFonts w:ascii="Times New Roman" w:hAnsi="Times New Roman" w:cs="Times New Roman"/>
        </w:rPr>
        <w:t xml:space="preserve">, and </w:t>
      </w:r>
      <w:r w:rsidRPr="00E93FBC">
        <w:rPr>
          <w:rFonts w:ascii="Times New Roman" w:hAnsi="Times New Roman" w:cs="Times New Roman"/>
        </w:rPr>
        <w:t>add</w:t>
      </w:r>
      <w:r w:rsidR="006F7B6D" w:rsidRPr="00E93FBC">
        <w:rPr>
          <w:rFonts w:ascii="Times New Roman" w:hAnsi="Times New Roman" w:cs="Times New Roman"/>
        </w:rPr>
        <w:t>ed</w:t>
      </w:r>
      <w:r w:rsidRPr="00E93FBC">
        <w:rPr>
          <w:rFonts w:ascii="Times New Roman" w:hAnsi="Times New Roman" w:cs="Times New Roman"/>
        </w:rPr>
        <w:t xml:space="preserve"> prompts as a means of encouraging reflection on each item, and</w:t>
      </w:r>
      <w:r w:rsidR="00BF472D" w:rsidRPr="00E93FBC">
        <w:rPr>
          <w:rFonts w:ascii="Times New Roman" w:hAnsi="Times New Roman" w:cs="Times New Roman"/>
        </w:rPr>
        <w:t xml:space="preserve"> </w:t>
      </w:r>
      <w:r w:rsidRPr="00E93FBC">
        <w:rPr>
          <w:rFonts w:ascii="Times New Roman" w:hAnsi="Times New Roman" w:cs="Times New Roman"/>
        </w:rPr>
        <w:t>facilitating</w:t>
      </w:r>
      <w:r w:rsidR="00BF472D" w:rsidRPr="00E93FBC">
        <w:rPr>
          <w:rFonts w:ascii="Times New Roman" w:hAnsi="Times New Roman" w:cs="Times New Roman"/>
        </w:rPr>
        <w:t xml:space="preserve"> recovery conversations</w:t>
      </w:r>
      <w:r w:rsidRPr="00E93FBC">
        <w:rPr>
          <w:rFonts w:ascii="Times New Roman" w:hAnsi="Times New Roman" w:cs="Times New Roman"/>
        </w:rPr>
        <w:t xml:space="preserve"> betwee</w:t>
      </w:r>
      <w:r w:rsidR="005F701E" w:rsidRPr="00E93FBC">
        <w:rPr>
          <w:rFonts w:ascii="Times New Roman" w:hAnsi="Times New Roman" w:cs="Times New Roman"/>
        </w:rPr>
        <w:t xml:space="preserve">n service-users and clinicians.  </w:t>
      </w:r>
      <w:r w:rsidR="0081008A" w:rsidRPr="00E93FBC">
        <w:rPr>
          <w:rFonts w:ascii="Times New Roman" w:hAnsi="Times New Roman" w:cs="Times New Roman"/>
        </w:rPr>
        <w:t>The group did not seek additional items</w:t>
      </w:r>
      <w:r w:rsidR="004449FA" w:rsidRPr="00E93FBC">
        <w:rPr>
          <w:rFonts w:ascii="Times New Roman" w:hAnsi="Times New Roman" w:cs="Times New Roman"/>
        </w:rPr>
        <w:t xml:space="preserve"> but </w:t>
      </w:r>
      <w:r w:rsidR="006F7B6D" w:rsidRPr="00E93FBC">
        <w:rPr>
          <w:rFonts w:ascii="Times New Roman" w:hAnsi="Times New Roman" w:cs="Times New Roman"/>
        </w:rPr>
        <w:t>decided to improve the design</w:t>
      </w:r>
      <w:r w:rsidR="004449FA" w:rsidRPr="00E93FBC">
        <w:rPr>
          <w:rFonts w:ascii="Times New Roman" w:hAnsi="Times New Roman" w:cs="Times New Roman"/>
        </w:rPr>
        <w:t xml:space="preserve"> (</w:t>
      </w:r>
      <w:r w:rsidR="006F7B6D" w:rsidRPr="00E93FBC">
        <w:rPr>
          <w:rFonts w:ascii="Times New Roman" w:hAnsi="Times New Roman" w:cs="Times New Roman"/>
        </w:rPr>
        <w:t xml:space="preserve">adding </w:t>
      </w:r>
      <w:proofErr w:type="spellStart"/>
      <w:r w:rsidR="006F7B6D" w:rsidRPr="00E93FBC">
        <w:rPr>
          <w:rFonts w:ascii="Times New Roman" w:hAnsi="Times New Roman" w:cs="Times New Roman"/>
        </w:rPr>
        <w:t>colour</w:t>
      </w:r>
      <w:proofErr w:type="spellEnd"/>
      <w:r w:rsidR="006F7B6D" w:rsidRPr="00E93FBC">
        <w:rPr>
          <w:rFonts w:ascii="Times New Roman" w:hAnsi="Times New Roman" w:cs="Times New Roman"/>
        </w:rPr>
        <w:t xml:space="preserve"> and </w:t>
      </w:r>
      <w:r w:rsidR="004449FA" w:rsidRPr="00E93FBC">
        <w:rPr>
          <w:rFonts w:ascii="Times New Roman" w:hAnsi="Times New Roman" w:cs="Times New Roman"/>
        </w:rPr>
        <w:t xml:space="preserve">a more </w:t>
      </w:r>
      <w:r w:rsidR="006F7B6D" w:rsidRPr="00E93FBC">
        <w:rPr>
          <w:rFonts w:ascii="Times New Roman" w:hAnsi="Times New Roman" w:cs="Times New Roman"/>
        </w:rPr>
        <w:t>professional layout</w:t>
      </w:r>
      <w:r w:rsidR="004449FA" w:rsidRPr="00E93FBC">
        <w:rPr>
          <w:rFonts w:ascii="Times New Roman" w:hAnsi="Times New Roman" w:cs="Times New Roman"/>
        </w:rPr>
        <w:t>)</w:t>
      </w:r>
      <w:r w:rsidR="006F7B6D" w:rsidRPr="00E93FBC">
        <w:rPr>
          <w:rFonts w:ascii="Times New Roman" w:hAnsi="Times New Roman" w:cs="Times New Roman"/>
        </w:rPr>
        <w:t xml:space="preserve"> to increase likelihood of engagement with the tool.  </w:t>
      </w:r>
      <w:r w:rsidR="00BF472D" w:rsidRPr="00E93FBC">
        <w:rPr>
          <w:rFonts w:ascii="Times New Roman" w:hAnsi="Times New Roman" w:cs="Times New Roman"/>
        </w:rPr>
        <w:t xml:space="preserve">This </w:t>
      </w:r>
      <w:r w:rsidR="006F7B6D" w:rsidRPr="00E93FBC">
        <w:rPr>
          <w:rFonts w:ascii="Times New Roman" w:hAnsi="Times New Roman" w:cs="Times New Roman"/>
        </w:rPr>
        <w:t xml:space="preserve">work was done through </w:t>
      </w:r>
      <w:r w:rsidR="00BF472D" w:rsidRPr="00E93FBC">
        <w:rPr>
          <w:rFonts w:ascii="Times New Roman" w:hAnsi="Times New Roman" w:cs="Times New Roman"/>
        </w:rPr>
        <w:t xml:space="preserve">an </w:t>
      </w:r>
      <w:r w:rsidR="00BF472D" w:rsidRPr="00E93FBC">
        <w:rPr>
          <w:rFonts w:ascii="Times New Roman" w:hAnsi="Times New Roman" w:cs="Times New Roman"/>
        </w:rPr>
        <w:lastRenderedPageBreak/>
        <w:t xml:space="preserve">iterative process whereby changes were </w:t>
      </w:r>
      <w:r w:rsidR="004449FA" w:rsidRPr="00E93FBC">
        <w:rPr>
          <w:rFonts w:ascii="Times New Roman" w:hAnsi="Times New Roman" w:cs="Times New Roman"/>
        </w:rPr>
        <w:t>proposed</w:t>
      </w:r>
      <w:r w:rsidR="00BF472D" w:rsidRPr="00E93FBC">
        <w:rPr>
          <w:rFonts w:ascii="Times New Roman" w:hAnsi="Times New Roman" w:cs="Times New Roman"/>
        </w:rPr>
        <w:t xml:space="preserve">, </w:t>
      </w:r>
      <w:r w:rsidR="006F7B6D" w:rsidRPr="00E93FBC">
        <w:rPr>
          <w:rFonts w:ascii="Times New Roman" w:hAnsi="Times New Roman" w:cs="Times New Roman"/>
        </w:rPr>
        <w:t xml:space="preserve">updated versions were reviewed by the group and local clinicians, and further refinements made.  </w:t>
      </w:r>
      <w:r w:rsidR="00BF472D" w:rsidRPr="00E93FBC">
        <w:rPr>
          <w:rFonts w:ascii="Times New Roman" w:hAnsi="Times New Roman" w:cs="Times New Roman"/>
        </w:rPr>
        <w:t>At each step changes were discussed with</w:t>
      </w:r>
      <w:r w:rsidR="006F7B6D" w:rsidRPr="00E93FBC">
        <w:rPr>
          <w:rFonts w:ascii="Times New Roman" w:hAnsi="Times New Roman" w:cs="Times New Roman"/>
        </w:rPr>
        <w:t>in</w:t>
      </w:r>
      <w:r w:rsidR="00BF472D" w:rsidRPr="00E93FBC">
        <w:rPr>
          <w:rFonts w:ascii="Times New Roman" w:hAnsi="Times New Roman" w:cs="Times New Roman"/>
        </w:rPr>
        <w:t xml:space="preserve"> the consultation group </w:t>
      </w:r>
      <w:r w:rsidR="006F7B6D" w:rsidRPr="00E93FBC">
        <w:rPr>
          <w:rFonts w:ascii="Times New Roman" w:hAnsi="Times New Roman" w:cs="Times New Roman"/>
        </w:rPr>
        <w:t>through</w:t>
      </w:r>
      <w:r w:rsidR="00BF472D" w:rsidRPr="00E93FBC">
        <w:rPr>
          <w:rFonts w:ascii="Times New Roman" w:hAnsi="Times New Roman" w:cs="Times New Roman"/>
        </w:rPr>
        <w:t xml:space="preserve"> face-to-face meetings </w:t>
      </w:r>
      <w:r w:rsidR="006F7B6D" w:rsidRPr="00E93FBC">
        <w:rPr>
          <w:rFonts w:ascii="Times New Roman" w:hAnsi="Times New Roman" w:cs="Times New Roman"/>
        </w:rPr>
        <w:t xml:space="preserve">and email, </w:t>
      </w:r>
      <w:r w:rsidR="00BF472D" w:rsidRPr="00E93FBC">
        <w:rPr>
          <w:rFonts w:ascii="Times New Roman" w:hAnsi="Times New Roman" w:cs="Times New Roman"/>
        </w:rPr>
        <w:t xml:space="preserve">until </w:t>
      </w:r>
      <w:proofErr w:type="gramStart"/>
      <w:r w:rsidR="004449FA" w:rsidRPr="00E93FBC">
        <w:rPr>
          <w:rFonts w:ascii="Times New Roman" w:hAnsi="Times New Roman" w:cs="Times New Roman"/>
        </w:rPr>
        <w:t xml:space="preserve">a </w:t>
      </w:r>
      <w:r w:rsidR="00BF472D" w:rsidRPr="00E93FBC">
        <w:rPr>
          <w:rFonts w:ascii="Times New Roman" w:hAnsi="Times New Roman" w:cs="Times New Roman"/>
        </w:rPr>
        <w:t xml:space="preserve"> final</w:t>
      </w:r>
      <w:proofErr w:type="gramEnd"/>
      <w:r w:rsidR="00BF472D" w:rsidRPr="00E93FBC">
        <w:rPr>
          <w:rFonts w:ascii="Times New Roman" w:hAnsi="Times New Roman" w:cs="Times New Roman"/>
        </w:rPr>
        <w:t xml:space="preserve"> version was </w:t>
      </w:r>
      <w:r w:rsidR="006F7B6D" w:rsidRPr="00E93FBC">
        <w:rPr>
          <w:rFonts w:ascii="Times New Roman" w:hAnsi="Times New Roman" w:cs="Times New Roman"/>
        </w:rPr>
        <w:t>agreed by all.</w:t>
      </w:r>
    </w:p>
    <w:p w14:paraId="1D4BB4C8" w14:textId="5227D92F" w:rsidR="00C2486F" w:rsidRPr="00E93FBC" w:rsidRDefault="00C2486F" w:rsidP="00014439">
      <w:pPr>
        <w:spacing w:line="480" w:lineRule="auto"/>
        <w:ind w:firstLine="720"/>
        <w:rPr>
          <w:rFonts w:ascii="Times New Roman" w:hAnsi="Times New Roman" w:cs="Times New Roman"/>
          <w:bCs/>
        </w:rPr>
      </w:pPr>
      <w:r w:rsidRPr="00E93FBC">
        <w:rPr>
          <w:rFonts w:ascii="Times New Roman" w:hAnsi="Times New Roman" w:cs="Times New Roman"/>
        </w:rPr>
        <w:t>The current study evaluates the psychometric properties of th</w:t>
      </w:r>
      <w:r w:rsidR="003159A7" w:rsidRPr="00E93FBC">
        <w:rPr>
          <w:rFonts w:ascii="Times New Roman" w:hAnsi="Times New Roman" w:cs="Times New Roman"/>
        </w:rPr>
        <w:t>e HAO</w:t>
      </w:r>
      <w:r w:rsidR="00B73768" w:rsidRPr="00E93FBC">
        <w:rPr>
          <w:rFonts w:ascii="Times New Roman" w:hAnsi="Times New Roman" w:cs="Times New Roman"/>
        </w:rPr>
        <w:t xml:space="preserve">, a brief co-developed measure of recovery, designed </w:t>
      </w:r>
      <w:r w:rsidR="006D7213" w:rsidRPr="00E93FBC">
        <w:rPr>
          <w:rFonts w:ascii="Times New Roman" w:hAnsi="Times New Roman" w:cs="Times New Roman"/>
        </w:rPr>
        <w:t>for use</w:t>
      </w:r>
      <w:r w:rsidR="00B73768" w:rsidRPr="00E93FBC">
        <w:rPr>
          <w:rFonts w:ascii="Times New Roman" w:hAnsi="Times New Roman" w:cs="Times New Roman"/>
        </w:rPr>
        <w:t xml:space="preserve"> in routine clinical practice</w:t>
      </w:r>
      <w:r w:rsidRPr="00E93FBC">
        <w:rPr>
          <w:rFonts w:ascii="Times New Roman" w:hAnsi="Times New Roman" w:cs="Times New Roman"/>
        </w:rPr>
        <w:t>.</w:t>
      </w:r>
    </w:p>
    <w:p w14:paraId="2C637B71" w14:textId="77777777" w:rsidR="00346D5E" w:rsidRPr="00E93FBC" w:rsidRDefault="00346D5E" w:rsidP="00014439">
      <w:pPr>
        <w:spacing w:line="480" w:lineRule="auto"/>
        <w:rPr>
          <w:rFonts w:ascii="Times New Roman" w:hAnsi="Times New Roman" w:cs="Times New Roman"/>
        </w:rPr>
      </w:pPr>
    </w:p>
    <w:p w14:paraId="421DBF74" w14:textId="38050603" w:rsidR="007E35D8" w:rsidRPr="00E93FBC" w:rsidRDefault="007E35D8" w:rsidP="00014439">
      <w:pPr>
        <w:spacing w:line="480" w:lineRule="auto"/>
        <w:rPr>
          <w:rFonts w:ascii="Times New Roman" w:hAnsi="Times New Roman" w:cs="Times New Roman"/>
          <w:b/>
        </w:rPr>
      </w:pPr>
      <w:r w:rsidRPr="00E93FBC">
        <w:rPr>
          <w:rFonts w:ascii="Times New Roman" w:hAnsi="Times New Roman" w:cs="Times New Roman"/>
          <w:b/>
        </w:rPr>
        <w:t>Method</w:t>
      </w:r>
    </w:p>
    <w:p w14:paraId="5198C877" w14:textId="72624CD7" w:rsidR="007E35D8" w:rsidRPr="00FB7647" w:rsidRDefault="007E35D8" w:rsidP="00014439">
      <w:pPr>
        <w:spacing w:line="480" w:lineRule="auto"/>
        <w:rPr>
          <w:rFonts w:ascii="Times New Roman" w:hAnsi="Times New Roman" w:cs="Times New Roman"/>
          <w:b/>
          <w:i/>
        </w:rPr>
      </w:pPr>
      <w:r w:rsidRPr="00E93FBC">
        <w:rPr>
          <w:rFonts w:ascii="Times New Roman" w:hAnsi="Times New Roman" w:cs="Times New Roman"/>
          <w:b/>
          <w:i/>
        </w:rPr>
        <w:t>Participants</w:t>
      </w:r>
    </w:p>
    <w:p w14:paraId="10818CBA" w14:textId="3D99DFEF" w:rsidR="00F57B23" w:rsidRPr="0096478E" w:rsidRDefault="00F549A9" w:rsidP="00014439">
      <w:pPr>
        <w:spacing w:line="480" w:lineRule="auto"/>
        <w:rPr>
          <w:rFonts w:ascii="Times New Roman" w:hAnsi="Times New Roman" w:cs="Times New Roman"/>
        </w:rPr>
      </w:pPr>
      <w:r w:rsidRPr="00FC5D51">
        <w:rPr>
          <w:rFonts w:ascii="Times New Roman" w:hAnsi="Times New Roman" w:cs="Times New Roman"/>
        </w:rPr>
        <w:t>The clin</w:t>
      </w:r>
      <w:r w:rsidR="008B6567">
        <w:rPr>
          <w:rFonts w:ascii="Times New Roman" w:hAnsi="Times New Roman" w:cs="Times New Roman"/>
        </w:rPr>
        <w:t>ical group comprised</w:t>
      </w:r>
      <w:r w:rsidRPr="00FC5D51">
        <w:rPr>
          <w:rFonts w:ascii="Times New Roman" w:hAnsi="Times New Roman" w:cs="Times New Roman"/>
        </w:rPr>
        <w:t xml:space="preserve"> 139 </w:t>
      </w:r>
      <w:r w:rsidR="00FC5D51" w:rsidRPr="00FC5D51">
        <w:rPr>
          <w:rFonts w:ascii="Times New Roman" w:hAnsi="Times New Roman" w:cs="Times New Roman"/>
        </w:rPr>
        <w:t xml:space="preserve">people </w:t>
      </w:r>
      <w:proofErr w:type="spellStart"/>
      <w:r w:rsidR="00CF4267">
        <w:rPr>
          <w:rFonts w:ascii="Times New Roman" w:hAnsi="Times New Roman" w:cs="Times New Roman"/>
        </w:rPr>
        <w:t>utilising</w:t>
      </w:r>
      <w:proofErr w:type="spellEnd"/>
      <w:r w:rsidR="00954C4D" w:rsidRPr="00FC5D51">
        <w:rPr>
          <w:rFonts w:ascii="Times New Roman" w:hAnsi="Times New Roman" w:cs="Times New Roman"/>
        </w:rPr>
        <w:t xml:space="preserve"> </w:t>
      </w:r>
      <w:r w:rsidR="0045750A" w:rsidRPr="00FC5D51">
        <w:rPr>
          <w:rFonts w:ascii="Times New Roman" w:hAnsi="Times New Roman" w:cs="Times New Roman"/>
        </w:rPr>
        <w:t xml:space="preserve">secondary care </w:t>
      </w:r>
      <w:r w:rsidR="00AC6D3D" w:rsidRPr="00FC5D51">
        <w:rPr>
          <w:rFonts w:ascii="Times New Roman" w:hAnsi="Times New Roman" w:cs="Times New Roman"/>
        </w:rPr>
        <w:t xml:space="preserve">mental health </w:t>
      </w:r>
      <w:r w:rsidR="0045750A" w:rsidRPr="00FC5D51">
        <w:rPr>
          <w:rFonts w:ascii="Times New Roman" w:hAnsi="Times New Roman" w:cs="Times New Roman"/>
        </w:rPr>
        <w:t>service</w:t>
      </w:r>
      <w:r w:rsidR="00954C4D" w:rsidRPr="00FC5D51">
        <w:rPr>
          <w:rFonts w:ascii="Times New Roman" w:hAnsi="Times New Roman" w:cs="Times New Roman"/>
        </w:rPr>
        <w:t>s</w:t>
      </w:r>
      <w:r w:rsidR="00AC6D3D" w:rsidRPr="00FC5D51">
        <w:rPr>
          <w:rFonts w:ascii="Times New Roman" w:hAnsi="Times New Roman" w:cs="Times New Roman"/>
        </w:rPr>
        <w:t>,</w:t>
      </w:r>
      <w:r w:rsidRPr="00FC5D51">
        <w:rPr>
          <w:rFonts w:ascii="Times New Roman" w:hAnsi="Times New Roman" w:cs="Times New Roman"/>
        </w:rPr>
        <w:t xml:space="preserve"> recruited </w:t>
      </w:r>
      <w:r w:rsidR="00AC6D3D" w:rsidRPr="00FC5D51">
        <w:rPr>
          <w:rFonts w:ascii="Times New Roman" w:hAnsi="Times New Roman" w:cs="Times New Roman"/>
        </w:rPr>
        <w:t>via</w:t>
      </w:r>
      <w:r w:rsidR="00491223">
        <w:rPr>
          <w:rFonts w:ascii="Times New Roman" w:hAnsi="Times New Roman" w:cs="Times New Roman"/>
        </w:rPr>
        <w:t xml:space="preserve"> third sector </w:t>
      </w:r>
      <w:r w:rsidR="00954C4D" w:rsidRPr="00FC5D51">
        <w:rPr>
          <w:rFonts w:ascii="Times New Roman" w:hAnsi="Times New Roman" w:cs="Times New Roman"/>
        </w:rPr>
        <w:t>drop-in settings</w:t>
      </w:r>
      <w:r w:rsidR="00AC6D3D" w:rsidRPr="00FC5D51">
        <w:rPr>
          <w:rFonts w:ascii="Times New Roman" w:hAnsi="Times New Roman" w:cs="Times New Roman"/>
        </w:rPr>
        <w:t xml:space="preserve"> (see Table 1)</w:t>
      </w:r>
      <w:r w:rsidRPr="00FC5D51">
        <w:rPr>
          <w:rFonts w:ascii="Times New Roman" w:hAnsi="Times New Roman" w:cs="Times New Roman"/>
        </w:rPr>
        <w:t xml:space="preserve">.  </w:t>
      </w:r>
      <w:r w:rsidR="00A33AC3" w:rsidRPr="00FC5D51">
        <w:rPr>
          <w:rFonts w:ascii="Times New Roman" w:hAnsi="Times New Roman" w:cs="Times New Roman"/>
        </w:rPr>
        <w:t>Participants’</w:t>
      </w:r>
      <w:r w:rsidR="00F57B23" w:rsidRPr="00FC5D51">
        <w:rPr>
          <w:rFonts w:ascii="Times New Roman" w:hAnsi="Times New Roman" w:cs="Times New Roman"/>
        </w:rPr>
        <w:t xml:space="preserve"> ages ranged from </w:t>
      </w:r>
      <w:r w:rsidR="00D90885" w:rsidRPr="00FC5D51">
        <w:rPr>
          <w:rFonts w:ascii="Times New Roman" w:hAnsi="Times New Roman" w:cs="Times New Roman"/>
        </w:rPr>
        <w:t>19</w:t>
      </w:r>
      <w:r w:rsidR="00F57B23" w:rsidRPr="00FC5D51">
        <w:rPr>
          <w:rFonts w:ascii="Times New Roman" w:hAnsi="Times New Roman" w:cs="Times New Roman"/>
        </w:rPr>
        <w:t xml:space="preserve"> to </w:t>
      </w:r>
      <w:r w:rsidR="00D90885" w:rsidRPr="00FC5D51">
        <w:rPr>
          <w:rFonts w:ascii="Times New Roman" w:hAnsi="Times New Roman" w:cs="Times New Roman"/>
        </w:rPr>
        <w:t>69</w:t>
      </w:r>
      <w:r w:rsidR="00F57B23" w:rsidRPr="00FC5D51">
        <w:rPr>
          <w:rFonts w:ascii="Times New Roman" w:hAnsi="Times New Roman" w:cs="Times New Roman"/>
        </w:rPr>
        <w:t xml:space="preserve"> years (</w:t>
      </w:r>
      <w:r w:rsidR="00F57B23" w:rsidRPr="00FC5D51">
        <w:rPr>
          <w:rFonts w:ascii="Times New Roman" w:hAnsi="Times New Roman" w:cs="Times New Roman"/>
          <w:i/>
        </w:rPr>
        <w:t>M</w:t>
      </w:r>
      <w:r w:rsidR="004979FF">
        <w:rPr>
          <w:rFonts w:ascii="Times New Roman" w:hAnsi="Times New Roman" w:cs="Times New Roman"/>
          <w:i/>
        </w:rPr>
        <w:t xml:space="preserve"> </w:t>
      </w:r>
      <w:r w:rsidR="00F57B23" w:rsidRPr="00FC5D51">
        <w:rPr>
          <w:rFonts w:ascii="Times New Roman" w:hAnsi="Times New Roman" w:cs="Times New Roman"/>
        </w:rPr>
        <w:t>=</w:t>
      </w:r>
      <w:r w:rsidR="004979FF">
        <w:rPr>
          <w:rFonts w:ascii="Times New Roman" w:hAnsi="Times New Roman" w:cs="Times New Roman"/>
        </w:rPr>
        <w:t xml:space="preserve"> </w:t>
      </w:r>
      <w:r w:rsidR="00D90885" w:rsidRPr="00FC5D51">
        <w:rPr>
          <w:rFonts w:ascii="Times New Roman" w:hAnsi="Times New Roman" w:cs="Times New Roman"/>
        </w:rPr>
        <w:t>45.6</w:t>
      </w:r>
      <w:r w:rsidR="00F57B23" w:rsidRPr="00FC5D51">
        <w:rPr>
          <w:rFonts w:ascii="Times New Roman" w:hAnsi="Times New Roman" w:cs="Times New Roman"/>
        </w:rPr>
        <w:t xml:space="preserve">, </w:t>
      </w:r>
      <w:r w:rsidR="00F57B23" w:rsidRPr="00FC5D51">
        <w:rPr>
          <w:rFonts w:ascii="Times New Roman" w:hAnsi="Times New Roman" w:cs="Times New Roman"/>
          <w:i/>
        </w:rPr>
        <w:t>SD</w:t>
      </w:r>
      <w:r w:rsidR="004979FF">
        <w:rPr>
          <w:rFonts w:ascii="Times New Roman" w:hAnsi="Times New Roman" w:cs="Times New Roman"/>
          <w:i/>
        </w:rPr>
        <w:t xml:space="preserve"> </w:t>
      </w:r>
      <w:r w:rsidR="00F57B23" w:rsidRPr="00FC5D51">
        <w:rPr>
          <w:rFonts w:ascii="Times New Roman" w:hAnsi="Times New Roman" w:cs="Times New Roman"/>
        </w:rPr>
        <w:t>=</w:t>
      </w:r>
      <w:r w:rsidR="004979FF">
        <w:rPr>
          <w:rFonts w:ascii="Times New Roman" w:hAnsi="Times New Roman" w:cs="Times New Roman"/>
        </w:rPr>
        <w:t xml:space="preserve"> </w:t>
      </w:r>
      <w:r w:rsidR="00D90885" w:rsidRPr="00FC5D51">
        <w:rPr>
          <w:rFonts w:ascii="Times New Roman" w:hAnsi="Times New Roman" w:cs="Times New Roman"/>
        </w:rPr>
        <w:t>11.3</w:t>
      </w:r>
      <w:r w:rsidR="00F57B23" w:rsidRPr="00FC5D51">
        <w:rPr>
          <w:rFonts w:ascii="Times New Roman" w:hAnsi="Times New Roman" w:cs="Times New Roman"/>
        </w:rPr>
        <w:t xml:space="preserve">), and included </w:t>
      </w:r>
      <w:r w:rsidR="00D90885" w:rsidRPr="00FC5D51">
        <w:rPr>
          <w:rFonts w:ascii="Times New Roman" w:hAnsi="Times New Roman" w:cs="Times New Roman"/>
        </w:rPr>
        <w:t>78</w:t>
      </w:r>
      <w:r w:rsidR="00F57B23" w:rsidRPr="00FC5D51">
        <w:rPr>
          <w:rFonts w:ascii="Times New Roman" w:hAnsi="Times New Roman" w:cs="Times New Roman"/>
        </w:rPr>
        <w:t xml:space="preserve"> </w:t>
      </w:r>
      <w:r w:rsidR="00FD0A8D" w:rsidRPr="00FC5D51">
        <w:rPr>
          <w:rFonts w:ascii="Times New Roman" w:hAnsi="Times New Roman" w:cs="Times New Roman"/>
        </w:rPr>
        <w:t>women</w:t>
      </w:r>
      <w:r w:rsidR="00F57B23" w:rsidRPr="00FC5D51">
        <w:rPr>
          <w:rFonts w:ascii="Times New Roman" w:hAnsi="Times New Roman" w:cs="Times New Roman"/>
        </w:rPr>
        <w:t xml:space="preserve"> (</w:t>
      </w:r>
      <w:r w:rsidR="00D90885" w:rsidRPr="00FC5D51">
        <w:rPr>
          <w:rFonts w:ascii="Times New Roman" w:hAnsi="Times New Roman" w:cs="Times New Roman"/>
        </w:rPr>
        <w:t>56.1</w:t>
      </w:r>
      <w:r w:rsidR="00F57B23" w:rsidRPr="00FC5D51">
        <w:rPr>
          <w:rFonts w:ascii="Times New Roman" w:hAnsi="Times New Roman" w:cs="Times New Roman"/>
        </w:rPr>
        <w:t xml:space="preserve">%) and </w:t>
      </w:r>
      <w:r w:rsidR="00D90885" w:rsidRPr="00FC5D51">
        <w:rPr>
          <w:rFonts w:ascii="Times New Roman" w:hAnsi="Times New Roman" w:cs="Times New Roman"/>
        </w:rPr>
        <w:t>61</w:t>
      </w:r>
      <w:r w:rsidR="00F57B23" w:rsidRPr="00FC5D51">
        <w:rPr>
          <w:rFonts w:ascii="Times New Roman" w:hAnsi="Times New Roman" w:cs="Times New Roman"/>
        </w:rPr>
        <w:t xml:space="preserve"> m</w:t>
      </w:r>
      <w:r w:rsidR="00FD0A8D" w:rsidRPr="00FC5D51">
        <w:rPr>
          <w:rFonts w:ascii="Times New Roman" w:hAnsi="Times New Roman" w:cs="Times New Roman"/>
        </w:rPr>
        <w:t>en</w:t>
      </w:r>
      <w:r w:rsidR="00F57B23" w:rsidRPr="00FC5D51">
        <w:rPr>
          <w:rFonts w:ascii="Times New Roman" w:hAnsi="Times New Roman" w:cs="Times New Roman"/>
        </w:rPr>
        <w:t xml:space="preserve"> (</w:t>
      </w:r>
      <w:r w:rsidR="00D90885" w:rsidRPr="00FC5D51">
        <w:rPr>
          <w:rFonts w:ascii="Times New Roman" w:hAnsi="Times New Roman" w:cs="Times New Roman"/>
        </w:rPr>
        <w:t>43.9</w:t>
      </w:r>
      <w:r w:rsidR="00954C4D" w:rsidRPr="00FC5D51">
        <w:rPr>
          <w:rFonts w:ascii="Times New Roman" w:hAnsi="Times New Roman" w:cs="Times New Roman"/>
        </w:rPr>
        <w:t>%),</w:t>
      </w:r>
      <w:r w:rsidR="00954C4D">
        <w:rPr>
          <w:rFonts w:ascii="Times New Roman" w:hAnsi="Times New Roman" w:cs="Times New Roman"/>
        </w:rPr>
        <w:t xml:space="preserve"> with a broad range of diagnoses (see Table 1).  </w:t>
      </w:r>
      <w:r w:rsidR="00F57B23" w:rsidRPr="0096478E">
        <w:rPr>
          <w:rFonts w:ascii="Times New Roman" w:hAnsi="Times New Roman" w:cs="Times New Roman"/>
        </w:rPr>
        <w:t>The majority identified themselves as ‘British’ (</w:t>
      </w:r>
      <w:r w:rsidR="00D90885" w:rsidRPr="0096478E">
        <w:rPr>
          <w:rFonts w:ascii="Times New Roman" w:hAnsi="Times New Roman" w:cs="Times New Roman"/>
        </w:rPr>
        <w:t>95</w:t>
      </w:r>
      <w:r w:rsidR="007550C3">
        <w:rPr>
          <w:rFonts w:ascii="Times New Roman" w:hAnsi="Times New Roman" w:cs="Times New Roman"/>
        </w:rPr>
        <w:t>.0</w:t>
      </w:r>
      <w:r w:rsidR="00F57B23" w:rsidRPr="0096478E">
        <w:rPr>
          <w:rFonts w:ascii="Times New Roman" w:hAnsi="Times New Roman" w:cs="Times New Roman"/>
        </w:rPr>
        <w:t>%).</w:t>
      </w:r>
      <w:r w:rsidR="00ED5EA4" w:rsidRPr="0096478E">
        <w:rPr>
          <w:rFonts w:ascii="Times New Roman" w:hAnsi="Times New Roman" w:cs="Times New Roman"/>
        </w:rPr>
        <w:t xml:space="preserve">  </w:t>
      </w:r>
      <w:r w:rsidR="00F57B23" w:rsidRPr="0096478E">
        <w:rPr>
          <w:rFonts w:ascii="Times New Roman" w:hAnsi="Times New Roman" w:cs="Times New Roman"/>
        </w:rPr>
        <w:t xml:space="preserve">The non-clinical sample comprised </w:t>
      </w:r>
      <w:r w:rsidR="00D90885" w:rsidRPr="0096478E">
        <w:rPr>
          <w:rFonts w:ascii="Times New Roman" w:hAnsi="Times New Roman" w:cs="Times New Roman"/>
        </w:rPr>
        <w:t>201</w:t>
      </w:r>
      <w:r w:rsidR="00F57B23" w:rsidRPr="0096478E">
        <w:rPr>
          <w:rFonts w:ascii="Times New Roman" w:hAnsi="Times New Roman" w:cs="Times New Roman"/>
        </w:rPr>
        <w:t xml:space="preserve"> </w:t>
      </w:r>
      <w:r w:rsidR="00FA0548" w:rsidRPr="0096478E">
        <w:rPr>
          <w:rFonts w:ascii="Times New Roman" w:hAnsi="Times New Roman" w:cs="Times New Roman"/>
        </w:rPr>
        <w:t xml:space="preserve">individuals </w:t>
      </w:r>
      <w:r w:rsidR="00D90885" w:rsidRPr="0096478E">
        <w:rPr>
          <w:rFonts w:ascii="Times New Roman" w:hAnsi="Times New Roman" w:cs="Times New Roman"/>
        </w:rPr>
        <w:t xml:space="preserve">recruited from </w:t>
      </w:r>
      <w:r w:rsidR="0051603A">
        <w:rPr>
          <w:rFonts w:ascii="Times New Roman" w:hAnsi="Times New Roman" w:cs="Times New Roman"/>
        </w:rPr>
        <w:t>a university pool</w:t>
      </w:r>
      <w:r w:rsidR="00D90885" w:rsidRPr="0096478E">
        <w:rPr>
          <w:rFonts w:ascii="Times New Roman" w:hAnsi="Times New Roman" w:cs="Times New Roman"/>
        </w:rPr>
        <w:t>.</w:t>
      </w:r>
      <w:r w:rsidR="0056596A" w:rsidRPr="0096478E">
        <w:rPr>
          <w:rFonts w:ascii="Times New Roman" w:hAnsi="Times New Roman" w:cs="Times New Roman"/>
        </w:rPr>
        <w:t xml:space="preserve"> </w:t>
      </w:r>
      <w:r w:rsidR="00ED5EA4" w:rsidRPr="0096478E">
        <w:rPr>
          <w:rFonts w:ascii="Times New Roman" w:hAnsi="Times New Roman" w:cs="Times New Roman"/>
        </w:rPr>
        <w:t xml:space="preserve"> Non-clinical participants were excluded if they </w:t>
      </w:r>
      <w:r w:rsidR="00AC6D3D">
        <w:rPr>
          <w:rFonts w:ascii="Times New Roman" w:hAnsi="Times New Roman" w:cs="Times New Roman"/>
        </w:rPr>
        <w:t>reported</w:t>
      </w:r>
      <w:r w:rsidR="00ED5EA4" w:rsidRPr="0096478E">
        <w:rPr>
          <w:rFonts w:ascii="Times New Roman" w:hAnsi="Times New Roman" w:cs="Times New Roman"/>
        </w:rPr>
        <w:t xml:space="preserve"> </w:t>
      </w:r>
      <w:r w:rsidR="00AC6D3D">
        <w:rPr>
          <w:rFonts w:ascii="Times New Roman" w:hAnsi="Times New Roman" w:cs="Times New Roman"/>
        </w:rPr>
        <w:t xml:space="preserve">current </w:t>
      </w:r>
      <w:r w:rsidR="00ED5EA4" w:rsidRPr="0096478E">
        <w:rPr>
          <w:rFonts w:ascii="Times New Roman" w:hAnsi="Times New Roman" w:cs="Times New Roman"/>
        </w:rPr>
        <w:t xml:space="preserve">mental health </w:t>
      </w:r>
      <w:r w:rsidR="0056596A" w:rsidRPr="0096478E">
        <w:rPr>
          <w:rFonts w:ascii="Times New Roman" w:hAnsi="Times New Roman" w:cs="Times New Roman"/>
        </w:rPr>
        <w:t>difficulties</w:t>
      </w:r>
      <w:r w:rsidR="00ED5EA4" w:rsidRPr="0096478E">
        <w:rPr>
          <w:rFonts w:ascii="Times New Roman" w:hAnsi="Times New Roman" w:cs="Times New Roman"/>
        </w:rPr>
        <w:t>.</w:t>
      </w:r>
      <w:r w:rsidR="00F57B23" w:rsidRPr="0096478E">
        <w:rPr>
          <w:rFonts w:ascii="Times New Roman" w:hAnsi="Times New Roman" w:cs="Times New Roman"/>
        </w:rPr>
        <w:t xml:space="preserve">  The group’s ages ranged from </w:t>
      </w:r>
      <w:r w:rsidR="00D90885" w:rsidRPr="0096478E">
        <w:rPr>
          <w:rFonts w:ascii="Times New Roman" w:hAnsi="Times New Roman" w:cs="Times New Roman"/>
        </w:rPr>
        <w:t>17</w:t>
      </w:r>
      <w:r w:rsidR="00F57B23" w:rsidRPr="0096478E">
        <w:rPr>
          <w:rFonts w:ascii="Times New Roman" w:hAnsi="Times New Roman" w:cs="Times New Roman"/>
        </w:rPr>
        <w:t xml:space="preserve"> to </w:t>
      </w:r>
      <w:r w:rsidR="00D90885" w:rsidRPr="0096478E">
        <w:rPr>
          <w:rFonts w:ascii="Times New Roman" w:hAnsi="Times New Roman" w:cs="Times New Roman"/>
        </w:rPr>
        <w:t>48</w:t>
      </w:r>
      <w:r w:rsidR="00F57B23" w:rsidRPr="0096478E">
        <w:rPr>
          <w:rFonts w:ascii="Times New Roman" w:hAnsi="Times New Roman" w:cs="Times New Roman"/>
        </w:rPr>
        <w:t xml:space="preserve"> years (</w:t>
      </w:r>
      <w:r w:rsidR="00F57B23" w:rsidRPr="0096478E">
        <w:rPr>
          <w:rFonts w:ascii="Times New Roman" w:hAnsi="Times New Roman" w:cs="Times New Roman"/>
          <w:i/>
        </w:rPr>
        <w:t>M</w:t>
      </w:r>
      <w:r w:rsidR="004979FF">
        <w:rPr>
          <w:rFonts w:ascii="Times New Roman" w:hAnsi="Times New Roman" w:cs="Times New Roman"/>
          <w:i/>
        </w:rPr>
        <w:t xml:space="preserve"> </w:t>
      </w:r>
      <w:r w:rsidR="00F57B23" w:rsidRPr="0096478E">
        <w:rPr>
          <w:rFonts w:ascii="Times New Roman" w:hAnsi="Times New Roman" w:cs="Times New Roman"/>
        </w:rPr>
        <w:t>=</w:t>
      </w:r>
      <w:r w:rsidR="004979FF">
        <w:rPr>
          <w:rFonts w:ascii="Times New Roman" w:hAnsi="Times New Roman" w:cs="Times New Roman"/>
        </w:rPr>
        <w:t xml:space="preserve"> </w:t>
      </w:r>
      <w:r w:rsidR="00D90885" w:rsidRPr="0096478E">
        <w:rPr>
          <w:rFonts w:ascii="Times New Roman" w:hAnsi="Times New Roman" w:cs="Times New Roman"/>
        </w:rPr>
        <w:t>20.35</w:t>
      </w:r>
      <w:r w:rsidR="00F57B23" w:rsidRPr="0096478E">
        <w:rPr>
          <w:rFonts w:ascii="Times New Roman" w:hAnsi="Times New Roman" w:cs="Times New Roman"/>
        </w:rPr>
        <w:t xml:space="preserve">, </w:t>
      </w:r>
      <w:r w:rsidR="00F57B23" w:rsidRPr="0096478E">
        <w:rPr>
          <w:rFonts w:ascii="Times New Roman" w:hAnsi="Times New Roman" w:cs="Times New Roman"/>
          <w:i/>
        </w:rPr>
        <w:t>SD</w:t>
      </w:r>
      <w:r w:rsidR="004979FF">
        <w:rPr>
          <w:rFonts w:ascii="Times New Roman" w:hAnsi="Times New Roman" w:cs="Times New Roman"/>
          <w:i/>
        </w:rPr>
        <w:t xml:space="preserve"> </w:t>
      </w:r>
      <w:r w:rsidR="00F57B23" w:rsidRPr="0096478E">
        <w:rPr>
          <w:rFonts w:ascii="Times New Roman" w:hAnsi="Times New Roman" w:cs="Times New Roman"/>
        </w:rPr>
        <w:t>=</w:t>
      </w:r>
      <w:r w:rsidR="004979FF">
        <w:rPr>
          <w:rFonts w:ascii="Times New Roman" w:hAnsi="Times New Roman" w:cs="Times New Roman"/>
        </w:rPr>
        <w:t xml:space="preserve"> </w:t>
      </w:r>
      <w:r w:rsidR="00D90885" w:rsidRPr="0096478E">
        <w:rPr>
          <w:rFonts w:ascii="Times New Roman" w:hAnsi="Times New Roman" w:cs="Times New Roman"/>
        </w:rPr>
        <w:t>3.6</w:t>
      </w:r>
      <w:r w:rsidR="00F57B23" w:rsidRPr="0096478E">
        <w:rPr>
          <w:rFonts w:ascii="Times New Roman" w:hAnsi="Times New Roman" w:cs="Times New Roman"/>
        </w:rPr>
        <w:t xml:space="preserve">), and included </w:t>
      </w:r>
      <w:r w:rsidR="00D90885" w:rsidRPr="0096478E">
        <w:rPr>
          <w:rFonts w:ascii="Times New Roman" w:hAnsi="Times New Roman" w:cs="Times New Roman"/>
        </w:rPr>
        <w:t>173</w:t>
      </w:r>
      <w:r w:rsidR="00F57B23" w:rsidRPr="0096478E">
        <w:rPr>
          <w:rFonts w:ascii="Times New Roman" w:hAnsi="Times New Roman" w:cs="Times New Roman"/>
        </w:rPr>
        <w:t xml:space="preserve"> </w:t>
      </w:r>
      <w:r w:rsidR="00FD0A8D" w:rsidRPr="0096478E">
        <w:rPr>
          <w:rFonts w:ascii="Times New Roman" w:hAnsi="Times New Roman" w:cs="Times New Roman"/>
        </w:rPr>
        <w:t>women</w:t>
      </w:r>
      <w:r w:rsidR="00F57B23" w:rsidRPr="0096478E">
        <w:rPr>
          <w:rFonts w:ascii="Times New Roman" w:hAnsi="Times New Roman" w:cs="Times New Roman"/>
        </w:rPr>
        <w:t xml:space="preserve"> (</w:t>
      </w:r>
      <w:r w:rsidR="00D90885" w:rsidRPr="0096478E">
        <w:rPr>
          <w:rFonts w:ascii="Times New Roman" w:hAnsi="Times New Roman" w:cs="Times New Roman"/>
        </w:rPr>
        <w:t>86.1</w:t>
      </w:r>
      <w:r w:rsidR="00F57B23" w:rsidRPr="0096478E">
        <w:rPr>
          <w:rFonts w:ascii="Times New Roman" w:hAnsi="Times New Roman" w:cs="Times New Roman"/>
        </w:rPr>
        <w:t xml:space="preserve">%) and </w:t>
      </w:r>
      <w:r w:rsidR="00D90885" w:rsidRPr="0096478E">
        <w:rPr>
          <w:rFonts w:ascii="Times New Roman" w:hAnsi="Times New Roman" w:cs="Times New Roman"/>
        </w:rPr>
        <w:t>28</w:t>
      </w:r>
      <w:r w:rsidR="00F57B23" w:rsidRPr="0096478E">
        <w:rPr>
          <w:rFonts w:ascii="Times New Roman" w:hAnsi="Times New Roman" w:cs="Times New Roman"/>
        </w:rPr>
        <w:t xml:space="preserve"> m</w:t>
      </w:r>
      <w:r w:rsidR="00FD0A8D" w:rsidRPr="0096478E">
        <w:rPr>
          <w:rFonts w:ascii="Times New Roman" w:hAnsi="Times New Roman" w:cs="Times New Roman"/>
        </w:rPr>
        <w:t xml:space="preserve">en </w:t>
      </w:r>
      <w:r w:rsidR="00F57B23" w:rsidRPr="0096478E">
        <w:rPr>
          <w:rFonts w:ascii="Times New Roman" w:hAnsi="Times New Roman" w:cs="Times New Roman"/>
        </w:rPr>
        <w:t>(</w:t>
      </w:r>
      <w:r w:rsidR="00D90885" w:rsidRPr="0096478E">
        <w:rPr>
          <w:rFonts w:ascii="Times New Roman" w:hAnsi="Times New Roman" w:cs="Times New Roman"/>
        </w:rPr>
        <w:t>13.9</w:t>
      </w:r>
      <w:r w:rsidR="00F57B23" w:rsidRPr="0096478E">
        <w:rPr>
          <w:rFonts w:ascii="Times New Roman" w:hAnsi="Times New Roman" w:cs="Times New Roman"/>
        </w:rPr>
        <w:t>%).  The majority identified themselves as ‘British’ (</w:t>
      </w:r>
      <w:r w:rsidR="00D90885" w:rsidRPr="0096478E">
        <w:rPr>
          <w:rFonts w:ascii="Times New Roman" w:hAnsi="Times New Roman" w:cs="Times New Roman"/>
        </w:rPr>
        <w:t>73.1</w:t>
      </w:r>
      <w:r w:rsidR="00F57B23" w:rsidRPr="0096478E">
        <w:rPr>
          <w:rFonts w:ascii="Times New Roman" w:hAnsi="Times New Roman" w:cs="Times New Roman"/>
        </w:rPr>
        <w:t>%) or ‘Any other White background’ (</w:t>
      </w:r>
      <w:r w:rsidR="00D90885" w:rsidRPr="0096478E">
        <w:rPr>
          <w:rFonts w:ascii="Times New Roman" w:hAnsi="Times New Roman" w:cs="Times New Roman"/>
        </w:rPr>
        <w:t>8</w:t>
      </w:r>
      <w:r w:rsidR="00F57B23" w:rsidRPr="0096478E">
        <w:rPr>
          <w:rFonts w:ascii="Times New Roman" w:hAnsi="Times New Roman" w:cs="Times New Roman"/>
        </w:rPr>
        <w:t>%)</w:t>
      </w:r>
      <w:r w:rsidR="00AC6D3D">
        <w:rPr>
          <w:rFonts w:ascii="Times New Roman" w:hAnsi="Times New Roman" w:cs="Times New Roman"/>
        </w:rPr>
        <w:t>.</w:t>
      </w:r>
      <w:r w:rsidR="00F57B23" w:rsidRPr="0096478E">
        <w:rPr>
          <w:rFonts w:ascii="Times New Roman" w:hAnsi="Times New Roman" w:cs="Times New Roman"/>
        </w:rPr>
        <w:t xml:space="preserve"> </w:t>
      </w:r>
    </w:p>
    <w:p w14:paraId="338163A4" w14:textId="77777777" w:rsidR="0096478E" w:rsidRDefault="0096478E" w:rsidP="00014439">
      <w:pPr>
        <w:spacing w:line="480" w:lineRule="auto"/>
        <w:rPr>
          <w:rFonts w:ascii="Times New Roman" w:hAnsi="Times New Roman" w:cs="Times New Roman"/>
        </w:rPr>
      </w:pPr>
    </w:p>
    <w:p w14:paraId="491010ED" w14:textId="08663762" w:rsidR="0051603A" w:rsidRDefault="0051603A" w:rsidP="00014439">
      <w:pPr>
        <w:spacing w:line="480" w:lineRule="auto"/>
        <w:jc w:val="center"/>
        <w:rPr>
          <w:rFonts w:ascii="Times New Roman" w:hAnsi="Times New Roman" w:cs="Times New Roman"/>
        </w:rPr>
      </w:pPr>
      <w:r>
        <w:rPr>
          <w:rFonts w:ascii="Times New Roman" w:hAnsi="Times New Roman" w:cs="Times New Roman"/>
        </w:rPr>
        <w:t>Table 1 about here</w:t>
      </w:r>
    </w:p>
    <w:p w14:paraId="05D86133" w14:textId="77777777" w:rsidR="0096478E" w:rsidRDefault="0096478E" w:rsidP="00014439">
      <w:pPr>
        <w:spacing w:line="480" w:lineRule="auto"/>
        <w:rPr>
          <w:rFonts w:ascii="Times New Roman" w:hAnsi="Times New Roman" w:cs="Times New Roman"/>
        </w:rPr>
      </w:pPr>
    </w:p>
    <w:p w14:paraId="6D4F6C0C" w14:textId="0934DF90" w:rsidR="007E35D8" w:rsidRPr="00FB7647" w:rsidRDefault="00F57B23" w:rsidP="00014439">
      <w:pPr>
        <w:spacing w:line="480" w:lineRule="auto"/>
        <w:rPr>
          <w:rFonts w:ascii="Times New Roman" w:hAnsi="Times New Roman" w:cs="Times New Roman"/>
          <w:b/>
          <w:i/>
        </w:rPr>
      </w:pPr>
      <w:r w:rsidRPr="00FB7647">
        <w:rPr>
          <w:rFonts w:ascii="Times New Roman" w:hAnsi="Times New Roman" w:cs="Times New Roman"/>
          <w:b/>
          <w:i/>
        </w:rPr>
        <w:t>Procedure</w:t>
      </w:r>
    </w:p>
    <w:p w14:paraId="1E9D7095" w14:textId="086D3014" w:rsidR="004A2508" w:rsidRPr="00E93FBC" w:rsidRDefault="00FC321A" w:rsidP="00014439">
      <w:pPr>
        <w:spacing w:line="480" w:lineRule="auto"/>
        <w:rPr>
          <w:rFonts w:ascii="Times New Roman" w:hAnsi="Times New Roman" w:cs="Times New Roman"/>
        </w:rPr>
      </w:pPr>
      <w:r w:rsidRPr="00E93FBC">
        <w:rPr>
          <w:rFonts w:ascii="Times New Roman" w:hAnsi="Times New Roman" w:cs="Times New Roman"/>
        </w:rPr>
        <w:t xml:space="preserve">Ethical approval was obtained from </w:t>
      </w:r>
      <w:r w:rsidR="0051603A" w:rsidRPr="00E93FBC">
        <w:rPr>
          <w:rFonts w:ascii="Times New Roman" w:hAnsi="Times New Roman" w:cs="Times New Roman"/>
        </w:rPr>
        <w:t xml:space="preserve">the local </w:t>
      </w:r>
      <w:r w:rsidR="000D205F" w:rsidRPr="00E93FBC">
        <w:rPr>
          <w:rFonts w:ascii="Times New Roman" w:hAnsi="Times New Roman" w:cs="Times New Roman"/>
        </w:rPr>
        <w:t xml:space="preserve">NHS Trust and </w:t>
      </w:r>
      <w:r w:rsidR="0051603A" w:rsidRPr="00E93FBC">
        <w:rPr>
          <w:rFonts w:ascii="Times New Roman" w:hAnsi="Times New Roman" w:cs="Times New Roman"/>
        </w:rPr>
        <w:t xml:space="preserve">County Council </w:t>
      </w:r>
      <w:r w:rsidR="0045750A" w:rsidRPr="00E93FBC">
        <w:rPr>
          <w:rFonts w:ascii="Times New Roman" w:hAnsi="Times New Roman" w:cs="Times New Roman"/>
        </w:rPr>
        <w:t>for the clinical group</w:t>
      </w:r>
      <w:r w:rsidR="0051603A" w:rsidRPr="00E93FBC">
        <w:rPr>
          <w:rFonts w:ascii="Times New Roman" w:hAnsi="Times New Roman" w:cs="Times New Roman"/>
        </w:rPr>
        <w:t xml:space="preserve">, and </w:t>
      </w:r>
      <w:r w:rsidR="000D205F" w:rsidRPr="00E93FBC">
        <w:rPr>
          <w:rFonts w:ascii="Times New Roman" w:hAnsi="Times New Roman" w:cs="Times New Roman"/>
        </w:rPr>
        <w:t>U</w:t>
      </w:r>
      <w:r w:rsidR="0051603A" w:rsidRPr="00E93FBC">
        <w:rPr>
          <w:rFonts w:ascii="Times New Roman" w:hAnsi="Times New Roman" w:cs="Times New Roman"/>
        </w:rPr>
        <w:t>niversity</w:t>
      </w:r>
      <w:r w:rsidR="002B7C49" w:rsidRPr="00E93FBC">
        <w:rPr>
          <w:rFonts w:ascii="Times New Roman" w:hAnsi="Times New Roman" w:cs="Times New Roman"/>
        </w:rPr>
        <w:t xml:space="preserve"> </w:t>
      </w:r>
      <w:r w:rsidR="0051603A" w:rsidRPr="00E93FBC">
        <w:rPr>
          <w:rFonts w:ascii="Times New Roman" w:hAnsi="Times New Roman" w:cs="Times New Roman"/>
        </w:rPr>
        <w:t>for the non-clinical group</w:t>
      </w:r>
      <w:r w:rsidRPr="00E93FBC">
        <w:rPr>
          <w:rFonts w:ascii="Times New Roman" w:hAnsi="Times New Roman" w:cs="Times New Roman"/>
        </w:rPr>
        <w:t xml:space="preserve">. </w:t>
      </w:r>
      <w:r w:rsidR="00104D87" w:rsidRPr="00E93FBC">
        <w:rPr>
          <w:rFonts w:ascii="Times New Roman" w:hAnsi="Times New Roman" w:cs="Times New Roman"/>
        </w:rPr>
        <w:t xml:space="preserve"> </w:t>
      </w:r>
      <w:r w:rsidR="004A2508" w:rsidRPr="00E93FBC">
        <w:rPr>
          <w:rFonts w:ascii="Times New Roman" w:hAnsi="Times New Roman" w:cs="Times New Roman"/>
        </w:rPr>
        <w:t xml:space="preserve">Clinical participants were recruited through ‘Wellbeing </w:t>
      </w:r>
      <w:proofErr w:type="spellStart"/>
      <w:r w:rsidR="004A2508" w:rsidRPr="00E93FBC">
        <w:rPr>
          <w:rFonts w:ascii="Times New Roman" w:hAnsi="Times New Roman" w:cs="Times New Roman"/>
        </w:rPr>
        <w:t>Centres’</w:t>
      </w:r>
      <w:proofErr w:type="spellEnd"/>
      <w:r w:rsidR="004A2508" w:rsidRPr="00E93FBC">
        <w:rPr>
          <w:rFonts w:ascii="Times New Roman" w:hAnsi="Times New Roman" w:cs="Times New Roman"/>
        </w:rPr>
        <w:t xml:space="preserve"> which support people accessing local secondary care services.  The non-</w:t>
      </w:r>
      <w:r w:rsidR="004A2508" w:rsidRPr="00E93FBC">
        <w:rPr>
          <w:rFonts w:ascii="Times New Roman" w:hAnsi="Times New Roman" w:cs="Times New Roman"/>
        </w:rPr>
        <w:lastRenderedPageBreak/>
        <w:t xml:space="preserve">clinical group was recruited through a university pool. </w:t>
      </w:r>
      <w:r w:rsidR="00F505B9" w:rsidRPr="00E93FBC">
        <w:rPr>
          <w:rFonts w:ascii="Times New Roman" w:hAnsi="Times New Roman" w:cs="Times New Roman"/>
        </w:rPr>
        <w:t xml:space="preserve"> </w:t>
      </w:r>
      <w:r w:rsidR="00104D87" w:rsidRPr="00E93FBC">
        <w:rPr>
          <w:rFonts w:ascii="Times New Roman" w:hAnsi="Times New Roman" w:cs="Times New Roman"/>
        </w:rPr>
        <w:t xml:space="preserve">Participants were excluded if they were unable </w:t>
      </w:r>
      <w:r w:rsidR="004A2508" w:rsidRPr="00E93FBC">
        <w:rPr>
          <w:rFonts w:ascii="Times New Roman" w:hAnsi="Times New Roman" w:cs="Times New Roman"/>
        </w:rPr>
        <w:t>to read English</w:t>
      </w:r>
      <w:r w:rsidR="00F505B9" w:rsidRPr="00E93FBC">
        <w:rPr>
          <w:rFonts w:ascii="Times New Roman" w:hAnsi="Times New Roman" w:cs="Times New Roman"/>
        </w:rPr>
        <w:t xml:space="preserve"> (as measures </w:t>
      </w:r>
      <w:r w:rsidR="00AB27BB" w:rsidRPr="00E93FBC">
        <w:rPr>
          <w:rFonts w:ascii="Times New Roman" w:hAnsi="Times New Roman" w:cs="Times New Roman"/>
        </w:rPr>
        <w:t>are</w:t>
      </w:r>
      <w:r w:rsidR="00F505B9" w:rsidRPr="00E93FBC">
        <w:rPr>
          <w:rFonts w:ascii="Times New Roman" w:hAnsi="Times New Roman" w:cs="Times New Roman"/>
        </w:rPr>
        <w:t xml:space="preserve"> validated in English)</w:t>
      </w:r>
      <w:r w:rsidR="00104D87" w:rsidRPr="00E93FBC">
        <w:rPr>
          <w:rFonts w:ascii="Times New Roman" w:hAnsi="Times New Roman" w:cs="Times New Roman"/>
        </w:rPr>
        <w:t>.  Clinical participants had ongoing mental health</w:t>
      </w:r>
      <w:r w:rsidR="00680827" w:rsidRPr="00E93FBC">
        <w:rPr>
          <w:rFonts w:ascii="Times New Roman" w:hAnsi="Times New Roman" w:cs="Times New Roman"/>
        </w:rPr>
        <w:t xml:space="preserve"> difficulties.  N</w:t>
      </w:r>
      <w:r w:rsidR="00104D87" w:rsidRPr="00E93FBC">
        <w:rPr>
          <w:rFonts w:ascii="Times New Roman" w:hAnsi="Times New Roman" w:cs="Times New Roman"/>
        </w:rPr>
        <w:t xml:space="preserve">on-clinical participants were </w:t>
      </w:r>
      <w:r w:rsidR="00A41884" w:rsidRPr="00E93FBC">
        <w:rPr>
          <w:rFonts w:ascii="Times New Roman" w:hAnsi="Times New Roman" w:cs="Times New Roman"/>
        </w:rPr>
        <w:t xml:space="preserve">included if they confirmed that they were </w:t>
      </w:r>
      <w:r w:rsidR="00104D87" w:rsidRPr="00E93FBC">
        <w:rPr>
          <w:rFonts w:ascii="Times New Roman" w:hAnsi="Times New Roman" w:cs="Times New Roman"/>
        </w:rPr>
        <w:t xml:space="preserve">not seeking treatment for mental </w:t>
      </w:r>
      <w:r w:rsidR="00AB27BB" w:rsidRPr="00E93FBC">
        <w:rPr>
          <w:rFonts w:ascii="Times New Roman" w:hAnsi="Times New Roman" w:cs="Times New Roman"/>
        </w:rPr>
        <w:t>ill-</w:t>
      </w:r>
      <w:r w:rsidR="00104D87" w:rsidRPr="00E93FBC">
        <w:rPr>
          <w:rFonts w:ascii="Times New Roman" w:hAnsi="Times New Roman" w:cs="Times New Roman"/>
        </w:rPr>
        <w:t xml:space="preserve">health </w:t>
      </w:r>
      <w:r w:rsidR="00F505B9" w:rsidRPr="00E93FBC">
        <w:rPr>
          <w:rFonts w:ascii="Times New Roman" w:hAnsi="Times New Roman" w:cs="Times New Roman"/>
        </w:rPr>
        <w:t xml:space="preserve">at the time of the study.  All participants were given written information about the study and consented.  No one requested </w:t>
      </w:r>
      <w:r w:rsidR="00F505B9" w:rsidRPr="00E93FBC">
        <w:t>assistance to complete the questionnaires.</w:t>
      </w:r>
    </w:p>
    <w:p w14:paraId="5253ECEE" w14:textId="26F13195" w:rsidR="00BA4233" w:rsidRPr="00E93FBC" w:rsidRDefault="00707F42" w:rsidP="00014439">
      <w:pPr>
        <w:spacing w:line="480" w:lineRule="auto"/>
        <w:ind w:firstLine="720"/>
        <w:rPr>
          <w:rFonts w:ascii="Times New Roman" w:hAnsi="Times New Roman" w:cs="Times New Roman"/>
        </w:rPr>
      </w:pPr>
      <w:r w:rsidRPr="00E93FBC">
        <w:rPr>
          <w:rFonts w:ascii="Times New Roman" w:hAnsi="Times New Roman" w:cs="Times New Roman"/>
        </w:rPr>
        <w:t xml:space="preserve">The clinical group completed the HAO, QPR, </w:t>
      </w:r>
      <w:r w:rsidR="006C347E" w:rsidRPr="00E93FBC">
        <w:rPr>
          <w:rFonts w:ascii="Times New Roman" w:hAnsi="Times New Roman" w:cs="Times New Roman"/>
        </w:rPr>
        <w:t>Warwick-Edinburgh Mental Wellbeing Scale (</w:t>
      </w:r>
      <w:r w:rsidRPr="00E93FBC">
        <w:rPr>
          <w:rFonts w:ascii="Times New Roman" w:hAnsi="Times New Roman" w:cs="Times New Roman"/>
        </w:rPr>
        <w:t>WEMWBS</w:t>
      </w:r>
      <w:r w:rsidR="006C347E" w:rsidRPr="00E93FBC">
        <w:rPr>
          <w:rFonts w:ascii="Times New Roman" w:hAnsi="Times New Roman" w:cs="Times New Roman"/>
        </w:rPr>
        <w:t>)</w:t>
      </w:r>
      <w:r w:rsidRPr="00E93FBC">
        <w:rPr>
          <w:rFonts w:ascii="Times New Roman" w:hAnsi="Times New Roman" w:cs="Times New Roman"/>
        </w:rPr>
        <w:t xml:space="preserve"> and INSPIRE</w:t>
      </w:r>
      <w:r w:rsidR="00DB73AF" w:rsidRPr="00E93FBC">
        <w:rPr>
          <w:rFonts w:ascii="Times New Roman" w:hAnsi="Times New Roman" w:cs="Times New Roman"/>
        </w:rPr>
        <w:t>-CHIME (</w:t>
      </w:r>
      <w:r w:rsidR="00AB27BB" w:rsidRPr="00E93FBC">
        <w:rPr>
          <w:rFonts w:ascii="Times New Roman" w:hAnsi="Times New Roman" w:cs="Times New Roman"/>
        </w:rPr>
        <w:t>an earlier version of the Brief-</w:t>
      </w:r>
      <w:r w:rsidR="00DB73AF" w:rsidRPr="00E93FBC">
        <w:rPr>
          <w:rFonts w:ascii="Times New Roman" w:hAnsi="Times New Roman" w:cs="Times New Roman"/>
        </w:rPr>
        <w:t>INSPIRE)</w:t>
      </w:r>
      <w:r w:rsidRPr="00E93FBC">
        <w:rPr>
          <w:rFonts w:ascii="Times New Roman" w:hAnsi="Times New Roman" w:cs="Times New Roman"/>
        </w:rPr>
        <w:t xml:space="preserve"> at baseline, and repeated the HAO </w:t>
      </w:r>
      <w:r w:rsidR="008B62FB" w:rsidRPr="00E93FBC">
        <w:rPr>
          <w:rFonts w:ascii="Times New Roman" w:hAnsi="Times New Roman" w:cs="Times New Roman"/>
        </w:rPr>
        <w:t>at</w:t>
      </w:r>
      <w:r w:rsidRPr="00E93FBC">
        <w:rPr>
          <w:rFonts w:ascii="Times New Roman" w:hAnsi="Times New Roman" w:cs="Times New Roman"/>
        </w:rPr>
        <w:t xml:space="preserve"> </w:t>
      </w:r>
      <w:r w:rsidR="00AC6D3D" w:rsidRPr="00E93FBC">
        <w:rPr>
          <w:rFonts w:ascii="Times New Roman" w:hAnsi="Times New Roman" w:cs="Times New Roman"/>
        </w:rPr>
        <w:t>two-</w:t>
      </w:r>
      <w:r w:rsidR="000D205F" w:rsidRPr="00E93FBC">
        <w:rPr>
          <w:rFonts w:ascii="Times New Roman" w:hAnsi="Times New Roman" w:cs="Times New Roman"/>
        </w:rPr>
        <w:t>week follow-up</w:t>
      </w:r>
      <w:r w:rsidRPr="00E93FBC">
        <w:rPr>
          <w:rFonts w:ascii="Times New Roman" w:hAnsi="Times New Roman" w:cs="Times New Roman"/>
        </w:rPr>
        <w:t xml:space="preserve">.  The non-clinical group completed the HAO, WEMWBS and </w:t>
      </w:r>
      <w:r w:rsidR="00DB73AF" w:rsidRPr="00E93FBC">
        <w:rPr>
          <w:rFonts w:ascii="Times New Roman" w:hAnsi="Times New Roman" w:cs="Times New Roman"/>
        </w:rPr>
        <w:t xml:space="preserve">INSPIRE-CHIME </w:t>
      </w:r>
      <w:r w:rsidRPr="00E93FBC">
        <w:rPr>
          <w:rFonts w:ascii="Times New Roman" w:hAnsi="Times New Roman" w:cs="Times New Roman"/>
        </w:rPr>
        <w:t>at baseli</w:t>
      </w:r>
      <w:r w:rsidR="00AC6D3D" w:rsidRPr="00E93FBC">
        <w:rPr>
          <w:rFonts w:ascii="Times New Roman" w:hAnsi="Times New Roman" w:cs="Times New Roman"/>
        </w:rPr>
        <w:t>ne, and repeated the HAO at two-</w:t>
      </w:r>
      <w:r w:rsidRPr="00E93FBC">
        <w:rPr>
          <w:rFonts w:ascii="Times New Roman" w:hAnsi="Times New Roman" w:cs="Times New Roman"/>
        </w:rPr>
        <w:t>week</w:t>
      </w:r>
      <w:r w:rsidR="008B62FB" w:rsidRPr="00E93FBC">
        <w:rPr>
          <w:rFonts w:ascii="Times New Roman" w:hAnsi="Times New Roman" w:cs="Times New Roman"/>
        </w:rPr>
        <w:t xml:space="preserve"> follow-up.</w:t>
      </w:r>
      <w:r w:rsidRPr="00E93FBC">
        <w:rPr>
          <w:rFonts w:ascii="Times New Roman" w:hAnsi="Times New Roman" w:cs="Times New Roman"/>
        </w:rPr>
        <w:t xml:space="preserve"> </w:t>
      </w:r>
      <w:r w:rsidR="000D205F" w:rsidRPr="00E93FBC">
        <w:rPr>
          <w:rFonts w:ascii="Times New Roman" w:hAnsi="Times New Roman" w:cs="Times New Roman"/>
        </w:rPr>
        <w:t xml:space="preserve"> </w:t>
      </w:r>
      <w:r w:rsidR="00983163" w:rsidRPr="00E93FBC">
        <w:rPr>
          <w:rFonts w:ascii="Times New Roman" w:hAnsi="Times New Roman" w:cs="Times New Roman"/>
        </w:rPr>
        <w:t>Participants wer</w:t>
      </w:r>
      <w:r w:rsidR="00FC321A" w:rsidRPr="00E93FBC">
        <w:rPr>
          <w:rFonts w:ascii="Times New Roman" w:hAnsi="Times New Roman" w:cs="Times New Roman"/>
        </w:rPr>
        <w:t>e debriefed at the end of the</w:t>
      </w:r>
      <w:r w:rsidR="00983163" w:rsidRPr="00E93FBC">
        <w:rPr>
          <w:rFonts w:ascii="Times New Roman" w:hAnsi="Times New Roman" w:cs="Times New Roman"/>
        </w:rPr>
        <w:t xml:space="preserve"> study.</w:t>
      </w:r>
    </w:p>
    <w:p w14:paraId="16A74B65" w14:textId="77777777" w:rsidR="0096485B" w:rsidRPr="00E93FBC" w:rsidRDefault="0096485B" w:rsidP="00014439">
      <w:pPr>
        <w:spacing w:line="480" w:lineRule="auto"/>
        <w:rPr>
          <w:rFonts w:ascii="Times New Roman" w:hAnsi="Times New Roman" w:cs="Times New Roman"/>
        </w:rPr>
      </w:pPr>
    </w:p>
    <w:p w14:paraId="1AF0FB01" w14:textId="5DF109BB" w:rsidR="00B63039" w:rsidRPr="00E93FBC" w:rsidRDefault="00B63039" w:rsidP="00014439">
      <w:pPr>
        <w:spacing w:line="480" w:lineRule="auto"/>
        <w:rPr>
          <w:rFonts w:ascii="Times New Roman" w:hAnsi="Times New Roman" w:cs="Times New Roman"/>
          <w:b/>
          <w:i/>
        </w:rPr>
      </w:pPr>
      <w:r w:rsidRPr="00E93FBC">
        <w:rPr>
          <w:rFonts w:ascii="Times New Roman" w:hAnsi="Times New Roman" w:cs="Times New Roman"/>
          <w:b/>
          <w:i/>
        </w:rPr>
        <w:t>Measures</w:t>
      </w:r>
    </w:p>
    <w:p w14:paraId="1F95B535" w14:textId="401C6A9A" w:rsidR="00D21B87" w:rsidRDefault="005E74DD" w:rsidP="00014439">
      <w:pPr>
        <w:spacing w:line="480" w:lineRule="auto"/>
        <w:rPr>
          <w:rFonts w:ascii="Times New Roman" w:hAnsi="Times New Roman" w:cs="Times New Roman"/>
        </w:rPr>
      </w:pPr>
      <w:r w:rsidRPr="00E93FBC">
        <w:rPr>
          <w:rFonts w:ascii="Times New Roman" w:hAnsi="Times New Roman" w:cs="Times New Roman"/>
        </w:rPr>
        <w:t xml:space="preserve">The </w:t>
      </w:r>
      <w:r w:rsidR="00B92D46" w:rsidRPr="00E93FBC">
        <w:rPr>
          <w:rFonts w:ascii="Times New Roman" w:hAnsi="Times New Roman" w:cs="Times New Roman"/>
        </w:rPr>
        <w:t>HAO</w:t>
      </w:r>
      <w:r w:rsidRPr="00E93FBC">
        <w:rPr>
          <w:rFonts w:ascii="Times New Roman" w:hAnsi="Times New Roman" w:cs="Times New Roman"/>
        </w:rPr>
        <w:t xml:space="preserve"> is a 4-item self-report measure of recovery</w:t>
      </w:r>
      <w:r w:rsidR="00AC6D3D" w:rsidRPr="00E93FBC">
        <w:rPr>
          <w:rFonts w:ascii="Times New Roman" w:hAnsi="Times New Roman" w:cs="Times New Roman"/>
        </w:rPr>
        <w:t xml:space="preserve"> developed </w:t>
      </w:r>
      <w:r w:rsidR="00DA4812" w:rsidRPr="00E93FBC">
        <w:rPr>
          <w:rFonts w:ascii="Times New Roman" w:hAnsi="Times New Roman" w:cs="Times New Roman"/>
        </w:rPr>
        <w:t>in consultation with people with mental ill-health</w:t>
      </w:r>
      <w:r w:rsidR="004A1C19" w:rsidRPr="00E93FBC">
        <w:rPr>
          <w:rFonts w:ascii="Times New Roman" w:hAnsi="Times New Roman" w:cs="Times New Roman"/>
        </w:rPr>
        <w:t xml:space="preserve"> (see Figure 1)</w:t>
      </w:r>
      <w:r w:rsidR="00DA4812" w:rsidRPr="00E93FBC">
        <w:rPr>
          <w:rFonts w:ascii="Times New Roman" w:hAnsi="Times New Roman" w:cs="Times New Roman"/>
        </w:rPr>
        <w:t xml:space="preserve">.  </w:t>
      </w:r>
      <w:r w:rsidR="0025096C" w:rsidRPr="00E93FBC">
        <w:rPr>
          <w:rFonts w:ascii="Times New Roman" w:hAnsi="Times New Roman" w:cs="Times New Roman"/>
        </w:rPr>
        <w:t xml:space="preserve">Consistent with the principle that mental well-being, </w:t>
      </w:r>
      <w:r w:rsidR="00B818FD" w:rsidRPr="00E93FBC">
        <w:rPr>
          <w:rFonts w:ascii="Times New Roman" w:hAnsi="Times New Roman" w:cs="Times New Roman"/>
        </w:rPr>
        <w:t xml:space="preserve">self-determination </w:t>
      </w:r>
      <w:r w:rsidR="0025096C" w:rsidRPr="00E93FBC">
        <w:rPr>
          <w:rFonts w:ascii="Times New Roman" w:hAnsi="Times New Roman" w:cs="Times New Roman"/>
        </w:rPr>
        <w:t xml:space="preserve">and social inclusion </w:t>
      </w:r>
      <w:r w:rsidR="00491223" w:rsidRPr="00E93FBC">
        <w:rPr>
          <w:rFonts w:ascii="Times New Roman" w:hAnsi="Times New Roman" w:cs="Times New Roman"/>
        </w:rPr>
        <w:t xml:space="preserve">are relevant </w:t>
      </w:r>
      <w:r w:rsidR="0025096C" w:rsidRPr="00E93FBC">
        <w:rPr>
          <w:rFonts w:ascii="Times New Roman" w:hAnsi="Times New Roman" w:cs="Times New Roman"/>
        </w:rPr>
        <w:t>to all of us, t</w:t>
      </w:r>
      <w:r w:rsidR="00B818FD" w:rsidRPr="00E93FBC">
        <w:rPr>
          <w:rFonts w:ascii="Times New Roman" w:hAnsi="Times New Roman" w:cs="Times New Roman"/>
        </w:rPr>
        <w:t xml:space="preserve">he HAO was designed </w:t>
      </w:r>
      <w:r w:rsidR="0025096C" w:rsidRPr="00E93FBC">
        <w:rPr>
          <w:rFonts w:ascii="Times New Roman" w:hAnsi="Times New Roman" w:cs="Times New Roman"/>
        </w:rPr>
        <w:t xml:space="preserve">for use in clinical and non-clinical groups.  </w:t>
      </w:r>
      <w:r w:rsidRPr="00E93FBC">
        <w:rPr>
          <w:rFonts w:ascii="Times New Roman" w:hAnsi="Times New Roman" w:cs="Times New Roman"/>
        </w:rPr>
        <w:t xml:space="preserve">The questionnaire incorporates </w:t>
      </w:r>
      <w:r w:rsidR="009F79D7" w:rsidRPr="00E93FBC">
        <w:rPr>
          <w:rFonts w:ascii="Times New Roman" w:hAnsi="Times New Roman" w:cs="Times New Roman"/>
        </w:rPr>
        <w:t xml:space="preserve">both </w:t>
      </w:r>
      <w:r w:rsidR="00D86B50" w:rsidRPr="00E93FBC">
        <w:rPr>
          <w:rFonts w:ascii="Times New Roman" w:hAnsi="Times New Roman" w:cs="Times New Roman"/>
        </w:rPr>
        <w:t>outcome</w:t>
      </w:r>
      <w:r w:rsidRPr="00E93FBC">
        <w:rPr>
          <w:rFonts w:ascii="Times New Roman" w:hAnsi="Times New Roman" w:cs="Times New Roman"/>
        </w:rPr>
        <w:t xml:space="preserve"> (PROM) and experience (PREM) items.  </w:t>
      </w:r>
      <w:r w:rsidR="00BA4233" w:rsidRPr="00E93FBC">
        <w:rPr>
          <w:rFonts w:ascii="Times New Roman" w:hAnsi="Times New Roman" w:cs="Times New Roman"/>
        </w:rPr>
        <w:t>O</w:t>
      </w:r>
      <w:r w:rsidRPr="00E93FBC">
        <w:rPr>
          <w:rFonts w:ascii="Times New Roman" w:hAnsi="Times New Roman" w:cs="Times New Roman"/>
        </w:rPr>
        <w:t>utcome items refer to the three key components of recovery identified in the literature: hope, agency and opportunity for purposeful activity and social inclusion</w:t>
      </w:r>
      <w:r w:rsidR="00C2486F" w:rsidRPr="00E93FBC">
        <w:rPr>
          <w:rFonts w:ascii="Times New Roman" w:hAnsi="Times New Roman" w:cs="Times New Roman"/>
          <w:vertAlign w:val="superscript"/>
        </w:rPr>
        <w:t xml:space="preserve"> </w:t>
      </w:r>
      <w:r w:rsidR="00C2486F" w:rsidRPr="00E93FBC">
        <w:rPr>
          <w:rFonts w:ascii="Times New Roman" w:hAnsi="Times New Roman" w:cs="Times New Roman"/>
        </w:rPr>
        <w:t>(</w:t>
      </w:r>
      <w:proofErr w:type="spellStart"/>
      <w:r w:rsidR="003159A7" w:rsidRPr="00E93FBC">
        <w:rPr>
          <w:rFonts w:ascii="Times New Roman" w:hAnsi="Times New Roman" w:cs="Times New Roman"/>
        </w:rPr>
        <w:t>Repper</w:t>
      </w:r>
      <w:proofErr w:type="spellEnd"/>
      <w:r w:rsidR="003159A7" w:rsidRPr="00E93FBC">
        <w:rPr>
          <w:rFonts w:ascii="Times New Roman" w:hAnsi="Times New Roman" w:cs="Times New Roman"/>
        </w:rPr>
        <w:t xml:space="preserve"> &amp; Perkins, 2003; Shepherd et al., 2014</w:t>
      </w:r>
      <w:r w:rsidR="00C2486F" w:rsidRPr="00E93FBC">
        <w:rPr>
          <w:rFonts w:ascii="Times New Roman" w:hAnsi="Times New Roman" w:cs="Times New Roman"/>
        </w:rPr>
        <w:t>)</w:t>
      </w:r>
      <w:r w:rsidRPr="00E93FBC">
        <w:rPr>
          <w:rFonts w:ascii="Times New Roman" w:hAnsi="Times New Roman" w:cs="Times New Roman"/>
        </w:rPr>
        <w:t xml:space="preserve">.  </w:t>
      </w:r>
      <w:r w:rsidR="008E4D5A" w:rsidRPr="00E93FBC">
        <w:rPr>
          <w:rFonts w:ascii="Times New Roman" w:hAnsi="Times New Roman" w:cs="Times New Roman"/>
        </w:rPr>
        <w:t>The final item refers to experience of services and is therefore only completed by people in contact with services</w:t>
      </w:r>
      <w:r w:rsidR="006836A0" w:rsidRPr="00E93FBC">
        <w:rPr>
          <w:rFonts w:ascii="Times New Roman" w:hAnsi="Times New Roman" w:cs="Times New Roman"/>
        </w:rPr>
        <w:t>.</w:t>
      </w:r>
      <w:r w:rsidR="006836A0">
        <w:rPr>
          <w:rFonts w:ascii="Times New Roman" w:hAnsi="Times New Roman" w:cs="Times New Roman"/>
        </w:rPr>
        <w:t xml:space="preserve">  This </w:t>
      </w:r>
      <w:r w:rsidR="00FA34C8">
        <w:rPr>
          <w:rFonts w:ascii="Times New Roman" w:hAnsi="Times New Roman" w:cs="Times New Roman"/>
        </w:rPr>
        <w:t xml:space="preserve">final </w:t>
      </w:r>
      <w:r w:rsidR="006836A0">
        <w:rPr>
          <w:rFonts w:ascii="Times New Roman" w:hAnsi="Times New Roman" w:cs="Times New Roman"/>
        </w:rPr>
        <w:t>item is based on the assumption that when services are effective, the working alliance is integral to recovery (Borg &amp; Kristiansen, 2009; Hicks et al., 2012; Slade, 2009).</w:t>
      </w:r>
      <w:r w:rsidR="00B818FD">
        <w:rPr>
          <w:rFonts w:ascii="Times New Roman" w:hAnsi="Times New Roman" w:cs="Times New Roman"/>
        </w:rPr>
        <w:t xml:space="preserve">  </w:t>
      </w:r>
      <w:r w:rsidR="00186309">
        <w:rPr>
          <w:rFonts w:ascii="Times New Roman" w:hAnsi="Times New Roman" w:cs="Times New Roman"/>
        </w:rPr>
        <w:t xml:space="preserve">The consultation group </w:t>
      </w:r>
      <w:r w:rsidR="00FA34C8">
        <w:rPr>
          <w:rFonts w:ascii="Times New Roman" w:hAnsi="Times New Roman" w:cs="Times New Roman"/>
        </w:rPr>
        <w:t xml:space="preserve">of </w:t>
      </w:r>
      <w:r w:rsidR="00FA34C8" w:rsidRPr="00FA34C8">
        <w:rPr>
          <w:rFonts w:ascii="Times New Roman" w:hAnsi="Times New Roman" w:cs="Times New Roman"/>
        </w:rPr>
        <w:t xml:space="preserve">people with </w:t>
      </w:r>
      <w:r w:rsidR="00FA34C8">
        <w:rPr>
          <w:rFonts w:ascii="Times New Roman" w:hAnsi="Times New Roman" w:cs="Times New Roman"/>
        </w:rPr>
        <w:t xml:space="preserve">lived experience of </w:t>
      </w:r>
      <w:r w:rsidR="00FA34C8" w:rsidRPr="00FA34C8">
        <w:rPr>
          <w:rFonts w:ascii="Times New Roman" w:hAnsi="Times New Roman" w:cs="Times New Roman"/>
        </w:rPr>
        <w:t xml:space="preserve">mental ill-health </w:t>
      </w:r>
      <w:r w:rsidR="00186309">
        <w:rPr>
          <w:rFonts w:ascii="Times New Roman" w:hAnsi="Times New Roman" w:cs="Times New Roman"/>
        </w:rPr>
        <w:t xml:space="preserve">added three prompts to each of the four main questions.  The group felt strongly that people should be </w:t>
      </w:r>
      <w:r w:rsidR="004A5719">
        <w:rPr>
          <w:rFonts w:ascii="Times New Roman" w:hAnsi="Times New Roman" w:cs="Times New Roman"/>
        </w:rPr>
        <w:lastRenderedPageBreak/>
        <w:t>encouraged</w:t>
      </w:r>
      <w:r w:rsidR="00186309">
        <w:rPr>
          <w:rFonts w:ascii="Times New Roman" w:hAnsi="Times New Roman" w:cs="Times New Roman"/>
        </w:rPr>
        <w:t xml:space="preserve"> to consider different aspects of each of the </w:t>
      </w:r>
      <w:r w:rsidR="00253586">
        <w:rPr>
          <w:rFonts w:ascii="Times New Roman" w:hAnsi="Times New Roman" w:cs="Times New Roman"/>
        </w:rPr>
        <w:t xml:space="preserve">items </w:t>
      </w:r>
      <w:r w:rsidR="00186309">
        <w:rPr>
          <w:rFonts w:ascii="Times New Roman" w:hAnsi="Times New Roman" w:cs="Times New Roman"/>
        </w:rPr>
        <w:t xml:space="preserve">before deciding on a rating.  </w:t>
      </w:r>
      <w:r w:rsidR="00253586">
        <w:rPr>
          <w:rFonts w:ascii="Times New Roman" w:hAnsi="Times New Roman" w:cs="Times New Roman"/>
        </w:rPr>
        <w:t>C</w:t>
      </w:r>
      <w:r w:rsidR="00186309">
        <w:rPr>
          <w:rFonts w:ascii="Times New Roman" w:hAnsi="Times New Roman" w:cs="Times New Roman"/>
        </w:rPr>
        <w:t>omment</w:t>
      </w:r>
      <w:r w:rsidR="00253586">
        <w:rPr>
          <w:rFonts w:ascii="Times New Roman" w:hAnsi="Times New Roman" w:cs="Times New Roman"/>
        </w:rPr>
        <w:t xml:space="preserve"> boxes were</w:t>
      </w:r>
      <w:r w:rsidR="00186309">
        <w:rPr>
          <w:rFonts w:ascii="Times New Roman" w:hAnsi="Times New Roman" w:cs="Times New Roman"/>
        </w:rPr>
        <w:t xml:space="preserve"> also included to add clinical utility, </w:t>
      </w:r>
      <w:r w:rsidR="00491223">
        <w:rPr>
          <w:rFonts w:ascii="Times New Roman" w:hAnsi="Times New Roman" w:cs="Times New Roman"/>
        </w:rPr>
        <w:t>for</w:t>
      </w:r>
      <w:r w:rsidR="00253586">
        <w:rPr>
          <w:rFonts w:ascii="Times New Roman" w:hAnsi="Times New Roman" w:cs="Times New Roman"/>
        </w:rPr>
        <w:t xml:space="preserve"> notes to guide </w:t>
      </w:r>
      <w:r w:rsidR="00491223">
        <w:rPr>
          <w:rFonts w:ascii="Times New Roman" w:hAnsi="Times New Roman" w:cs="Times New Roman"/>
        </w:rPr>
        <w:t>re</w:t>
      </w:r>
      <w:r w:rsidR="00186309">
        <w:rPr>
          <w:rFonts w:ascii="Times New Roman" w:hAnsi="Times New Roman" w:cs="Times New Roman"/>
        </w:rPr>
        <w:t xml:space="preserve">covery based </w:t>
      </w:r>
      <w:r w:rsidR="00491223">
        <w:rPr>
          <w:rFonts w:ascii="Times New Roman" w:hAnsi="Times New Roman" w:cs="Times New Roman"/>
        </w:rPr>
        <w:t>conversations and care planning</w:t>
      </w:r>
      <w:r w:rsidR="00253586">
        <w:rPr>
          <w:rFonts w:ascii="Times New Roman" w:hAnsi="Times New Roman" w:cs="Times New Roman"/>
        </w:rPr>
        <w:t xml:space="preserve">, </w:t>
      </w:r>
      <w:r w:rsidR="00253586" w:rsidRPr="00F02CA2">
        <w:rPr>
          <w:rFonts w:ascii="Times New Roman" w:hAnsi="Times New Roman" w:cs="Times New Roman"/>
        </w:rPr>
        <w:t>for example</w:t>
      </w:r>
      <w:r w:rsidR="00186309" w:rsidRPr="00F02CA2">
        <w:rPr>
          <w:rFonts w:ascii="Times New Roman" w:hAnsi="Times New Roman" w:cs="Times New Roman"/>
        </w:rPr>
        <w:t xml:space="preserve">.  We </w:t>
      </w:r>
      <w:proofErr w:type="spellStart"/>
      <w:r w:rsidR="00186309" w:rsidRPr="00F02CA2">
        <w:rPr>
          <w:rFonts w:ascii="Times New Roman" w:hAnsi="Times New Roman" w:cs="Times New Roman"/>
        </w:rPr>
        <w:t>recognise</w:t>
      </w:r>
      <w:proofErr w:type="spellEnd"/>
      <w:r w:rsidR="00186309" w:rsidRPr="00F02CA2">
        <w:rPr>
          <w:rFonts w:ascii="Times New Roman" w:hAnsi="Times New Roman" w:cs="Times New Roman"/>
        </w:rPr>
        <w:t xml:space="preserve"> the tension between including prompts and </w:t>
      </w:r>
      <w:r w:rsidR="00FA34C8" w:rsidRPr="00F02CA2">
        <w:rPr>
          <w:rFonts w:ascii="Times New Roman" w:hAnsi="Times New Roman" w:cs="Times New Roman"/>
        </w:rPr>
        <w:t xml:space="preserve">usual </w:t>
      </w:r>
      <w:r w:rsidR="00186309" w:rsidRPr="00F02CA2">
        <w:rPr>
          <w:rFonts w:ascii="Times New Roman" w:hAnsi="Times New Roman" w:cs="Times New Roman"/>
        </w:rPr>
        <w:t xml:space="preserve">best practice </w:t>
      </w:r>
      <w:r w:rsidR="00491223" w:rsidRPr="00F02CA2">
        <w:rPr>
          <w:rFonts w:ascii="Times New Roman" w:hAnsi="Times New Roman" w:cs="Times New Roman"/>
        </w:rPr>
        <w:t xml:space="preserve">in </w:t>
      </w:r>
      <w:r w:rsidR="00186309" w:rsidRPr="00F02CA2">
        <w:rPr>
          <w:rFonts w:ascii="Times New Roman" w:hAnsi="Times New Roman" w:cs="Times New Roman"/>
        </w:rPr>
        <w:t xml:space="preserve">questionnaire design (which would </w:t>
      </w:r>
      <w:r w:rsidR="00491223" w:rsidRPr="00F02CA2">
        <w:rPr>
          <w:rFonts w:ascii="Times New Roman" w:hAnsi="Times New Roman" w:cs="Times New Roman"/>
        </w:rPr>
        <w:t>include</w:t>
      </w:r>
      <w:r w:rsidR="00186309" w:rsidRPr="00F02CA2">
        <w:rPr>
          <w:rFonts w:ascii="Times New Roman" w:hAnsi="Times New Roman" w:cs="Times New Roman"/>
        </w:rPr>
        <w:t xml:space="preserve"> just one question per item to avoid ambiguity).  We </w:t>
      </w:r>
      <w:r w:rsidR="00914BC9" w:rsidRPr="00F02CA2">
        <w:rPr>
          <w:rFonts w:ascii="Times New Roman" w:hAnsi="Times New Roman" w:cs="Times New Roman"/>
        </w:rPr>
        <w:t>privileged</w:t>
      </w:r>
      <w:r w:rsidR="00186309" w:rsidRPr="00F02CA2">
        <w:rPr>
          <w:rFonts w:ascii="Times New Roman" w:hAnsi="Times New Roman" w:cs="Times New Roman"/>
        </w:rPr>
        <w:t xml:space="preserve"> the advice of our consultation group and acknowledge the methodological limitations resulting from this.</w:t>
      </w:r>
      <w:r w:rsidR="00186309">
        <w:rPr>
          <w:rFonts w:ascii="Times New Roman" w:hAnsi="Times New Roman" w:cs="Times New Roman"/>
        </w:rPr>
        <w:t xml:space="preserve">  </w:t>
      </w:r>
      <w:r w:rsidR="00BA4233" w:rsidRPr="0096478E">
        <w:rPr>
          <w:rFonts w:ascii="Times New Roman" w:hAnsi="Times New Roman" w:cs="Times New Roman"/>
        </w:rPr>
        <w:t>I</w:t>
      </w:r>
      <w:r w:rsidRPr="0096478E">
        <w:rPr>
          <w:rFonts w:ascii="Times New Roman" w:hAnsi="Times New Roman" w:cs="Times New Roman"/>
        </w:rPr>
        <w:t xml:space="preserve">tems are rated on a </w:t>
      </w:r>
      <w:r w:rsidR="00FD0A8D" w:rsidRPr="0096478E">
        <w:rPr>
          <w:rFonts w:ascii="Times New Roman" w:hAnsi="Times New Roman" w:cs="Times New Roman"/>
        </w:rPr>
        <w:t>5-</w:t>
      </w:r>
      <w:r w:rsidRPr="0096478E">
        <w:rPr>
          <w:rFonts w:ascii="Times New Roman" w:hAnsi="Times New Roman" w:cs="Times New Roman"/>
        </w:rPr>
        <w:t>point scale from 0 (none of the time) to 4 (all of the time)</w:t>
      </w:r>
      <w:r w:rsidR="006C347E" w:rsidRPr="0096478E">
        <w:rPr>
          <w:rFonts w:ascii="Times New Roman" w:hAnsi="Times New Roman" w:cs="Times New Roman"/>
        </w:rPr>
        <w:t>, and summed to give a total score (0-16)</w:t>
      </w:r>
      <w:r w:rsidRPr="0096478E">
        <w:rPr>
          <w:rFonts w:ascii="Times New Roman" w:hAnsi="Times New Roman" w:cs="Times New Roman"/>
        </w:rPr>
        <w:t xml:space="preserve">. </w:t>
      </w:r>
      <w:r w:rsidR="006C347E" w:rsidRPr="0096478E">
        <w:rPr>
          <w:rFonts w:ascii="Times New Roman" w:hAnsi="Times New Roman" w:cs="Times New Roman"/>
        </w:rPr>
        <w:t xml:space="preserve"> </w:t>
      </w:r>
      <w:r w:rsidRPr="0096478E">
        <w:rPr>
          <w:rFonts w:ascii="Times New Roman" w:hAnsi="Times New Roman" w:cs="Times New Roman"/>
        </w:rPr>
        <w:t>Higher sco</w:t>
      </w:r>
      <w:r w:rsidR="00BA4233" w:rsidRPr="0096478E">
        <w:rPr>
          <w:rFonts w:ascii="Times New Roman" w:hAnsi="Times New Roman" w:cs="Times New Roman"/>
        </w:rPr>
        <w:t>res indicate greater recovery</w:t>
      </w:r>
      <w:r w:rsidR="008E4D5A">
        <w:rPr>
          <w:rFonts w:ascii="Times New Roman" w:hAnsi="Times New Roman" w:cs="Times New Roman"/>
        </w:rPr>
        <w:t>.</w:t>
      </w:r>
    </w:p>
    <w:p w14:paraId="71DAA811" w14:textId="77777777" w:rsidR="00D21B87" w:rsidRDefault="00D21B87" w:rsidP="00014439">
      <w:pPr>
        <w:spacing w:line="480" w:lineRule="auto"/>
        <w:rPr>
          <w:rFonts w:ascii="Times New Roman" w:hAnsi="Times New Roman" w:cs="Times New Roman"/>
        </w:rPr>
      </w:pPr>
    </w:p>
    <w:p w14:paraId="64DE128C" w14:textId="0A6A52C0" w:rsidR="00D21B87" w:rsidRDefault="00D21B87" w:rsidP="00014439">
      <w:pPr>
        <w:spacing w:line="480" w:lineRule="auto"/>
        <w:jc w:val="center"/>
        <w:rPr>
          <w:rFonts w:ascii="Times New Roman" w:hAnsi="Times New Roman" w:cs="Times New Roman"/>
        </w:rPr>
      </w:pPr>
      <w:r>
        <w:rPr>
          <w:rFonts w:ascii="Times New Roman" w:hAnsi="Times New Roman" w:cs="Times New Roman"/>
        </w:rPr>
        <w:t>Figure 1 about here</w:t>
      </w:r>
    </w:p>
    <w:p w14:paraId="0333B606" w14:textId="77777777" w:rsidR="00D21B87" w:rsidRPr="00DA4812" w:rsidRDefault="00D21B87" w:rsidP="00014439">
      <w:pPr>
        <w:spacing w:line="480" w:lineRule="auto"/>
        <w:jc w:val="center"/>
        <w:rPr>
          <w:rFonts w:ascii="Times New Roman" w:hAnsi="Times New Roman" w:cs="Times New Roman"/>
        </w:rPr>
      </w:pPr>
    </w:p>
    <w:p w14:paraId="1492894F" w14:textId="18541943" w:rsidR="00C612EC" w:rsidRPr="0096478E" w:rsidRDefault="006C347E" w:rsidP="00014439">
      <w:pPr>
        <w:spacing w:line="480" w:lineRule="auto"/>
        <w:ind w:firstLine="720"/>
        <w:rPr>
          <w:rFonts w:ascii="Times New Roman" w:hAnsi="Times New Roman" w:cs="Times New Roman"/>
        </w:rPr>
      </w:pPr>
      <w:r w:rsidRPr="0096478E">
        <w:rPr>
          <w:rFonts w:ascii="Times New Roman" w:hAnsi="Times New Roman" w:cs="Times New Roman"/>
        </w:rPr>
        <w:t xml:space="preserve">The 15-item QPR </w:t>
      </w:r>
      <w:r w:rsidR="00AE3D2E">
        <w:rPr>
          <w:rFonts w:ascii="Times New Roman" w:hAnsi="Times New Roman" w:cs="Times New Roman"/>
        </w:rPr>
        <w:t>(</w:t>
      </w:r>
      <w:r w:rsidR="009829C2">
        <w:rPr>
          <w:rFonts w:ascii="Times New Roman" w:hAnsi="Times New Roman" w:cs="Times New Roman"/>
        </w:rPr>
        <w:t>Law</w:t>
      </w:r>
      <w:r w:rsidR="001D31DF" w:rsidRPr="001D31DF">
        <w:rPr>
          <w:rFonts w:ascii="Times New Roman" w:hAnsi="Times New Roman" w:cs="Times New Roman"/>
        </w:rPr>
        <w:t xml:space="preserve"> et al., 2015</w:t>
      </w:r>
      <w:proofErr w:type="gramStart"/>
      <w:r w:rsidR="00AE3D2E">
        <w:rPr>
          <w:rFonts w:ascii="Times New Roman" w:hAnsi="Times New Roman" w:cs="Times New Roman"/>
        </w:rPr>
        <w:t xml:space="preserve">)  </w:t>
      </w:r>
      <w:r w:rsidRPr="0096478E">
        <w:rPr>
          <w:rFonts w:ascii="Times New Roman" w:hAnsi="Times New Roman" w:cs="Times New Roman"/>
        </w:rPr>
        <w:t>is</w:t>
      </w:r>
      <w:proofErr w:type="gramEnd"/>
      <w:r w:rsidRPr="0096478E">
        <w:rPr>
          <w:rFonts w:ascii="Times New Roman" w:hAnsi="Times New Roman" w:cs="Times New Roman"/>
        </w:rPr>
        <w:t xml:space="preserve"> a</w:t>
      </w:r>
      <w:r w:rsidR="00D86B50" w:rsidRPr="0096478E">
        <w:rPr>
          <w:rFonts w:ascii="Times New Roman" w:hAnsi="Times New Roman" w:cs="Times New Roman"/>
        </w:rPr>
        <w:t>n</w:t>
      </w:r>
      <w:r w:rsidRPr="0096478E">
        <w:rPr>
          <w:rFonts w:ascii="Times New Roman" w:hAnsi="Times New Roman" w:cs="Times New Roman"/>
        </w:rPr>
        <w:t xml:space="preserve"> outcome </w:t>
      </w:r>
      <w:r w:rsidR="00D86B50" w:rsidRPr="0096478E">
        <w:rPr>
          <w:rFonts w:ascii="Times New Roman" w:hAnsi="Times New Roman" w:cs="Times New Roman"/>
        </w:rPr>
        <w:t xml:space="preserve">measure </w:t>
      </w:r>
      <w:r w:rsidRPr="0096478E">
        <w:rPr>
          <w:rFonts w:ascii="Times New Roman" w:hAnsi="Times New Roman" w:cs="Times New Roman"/>
        </w:rPr>
        <w:t>(PROM)</w:t>
      </w:r>
      <w:r w:rsidR="007C13CA" w:rsidRPr="0096478E">
        <w:rPr>
          <w:rFonts w:ascii="Times New Roman" w:hAnsi="Times New Roman" w:cs="Times New Roman"/>
        </w:rPr>
        <w:t xml:space="preserve"> of recovery</w:t>
      </w:r>
      <w:r w:rsidR="00D86B50" w:rsidRPr="0096478E">
        <w:rPr>
          <w:rFonts w:ascii="Times New Roman" w:hAnsi="Times New Roman" w:cs="Times New Roman"/>
        </w:rPr>
        <w:t xml:space="preserve"> developed from a qualitative study led by researchers with experience of mental ill-health.  </w:t>
      </w:r>
      <w:r w:rsidRPr="0096478E">
        <w:rPr>
          <w:rFonts w:ascii="Times New Roman" w:hAnsi="Times New Roman" w:cs="Times New Roman"/>
        </w:rPr>
        <w:t>Items are rated on a five-point scale (0</w:t>
      </w:r>
      <w:r w:rsidR="00C612EC" w:rsidRPr="0096478E">
        <w:rPr>
          <w:rFonts w:ascii="Times New Roman" w:hAnsi="Times New Roman" w:cs="Times New Roman"/>
        </w:rPr>
        <w:t xml:space="preserve"> </w:t>
      </w:r>
      <w:r w:rsidRPr="0096478E">
        <w:rPr>
          <w:rFonts w:ascii="Times New Roman" w:hAnsi="Times New Roman" w:cs="Times New Roman"/>
        </w:rPr>
        <w:t>=</w:t>
      </w:r>
      <w:r w:rsidR="00C612EC" w:rsidRPr="0096478E">
        <w:rPr>
          <w:rFonts w:ascii="Times New Roman" w:hAnsi="Times New Roman" w:cs="Times New Roman"/>
        </w:rPr>
        <w:t xml:space="preserve"> disagree strongly</w:t>
      </w:r>
      <w:r w:rsidRPr="0096478E">
        <w:rPr>
          <w:rFonts w:ascii="Times New Roman" w:hAnsi="Times New Roman" w:cs="Times New Roman"/>
        </w:rPr>
        <w:t>; 4</w:t>
      </w:r>
      <w:r w:rsidR="00C612EC" w:rsidRPr="0096478E">
        <w:rPr>
          <w:rFonts w:ascii="Times New Roman" w:hAnsi="Times New Roman" w:cs="Times New Roman"/>
        </w:rPr>
        <w:t xml:space="preserve"> </w:t>
      </w:r>
      <w:r w:rsidRPr="0096478E">
        <w:rPr>
          <w:rFonts w:ascii="Times New Roman" w:hAnsi="Times New Roman" w:cs="Times New Roman"/>
        </w:rPr>
        <w:t>=</w:t>
      </w:r>
      <w:r w:rsidR="00C612EC" w:rsidRPr="0096478E">
        <w:rPr>
          <w:rFonts w:ascii="Times New Roman" w:hAnsi="Times New Roman" w:cs="Times New Roman"/>
        </w:rPr>
        <w:t xml:space="preserve"> agree strongly</w:t>
      </w:r>
      <w:r w:rsidRPr="0096478E">
        <w:rPr>
          <w:rFonts w:ascii="Times New Roman" w:hAnsi="Times New Roman" w:cs="Times New Roman"/>
        </w:rPr>
        <w:t>)</w:t>
      </w:r>
      <w:r w:rsidR="00D86B50" w:rsidRPr="0096478E">
        <w:rPr>
          <w:rFonts w:ascii="Times New Roman" w:hAnsi="Times New Roman" w:cs="Times New Roman"/>
        </w:rPr>
        <w:t>, and summed to give a total score (0-60).  Higher scores indicate greater recovery</w:t>
      </w:r>
      <w:r w:rsidR="00D86B50" w:rsidRPr="003D6DD1">
        <w:rPr>
          <w:rFonts w:ascii="Times New Roman" w:hAnsi="Times New Roman" w:cs="Times New Roman"/>
        </w:rPr>
        <w:t xml:space="preserve">.  </w:t>
      </w:r>
      <w:r w:rsidR="002E5335" w:rsidRPr="003D6DD1">
        <w:rPr>
          <w:rFonts w:ascii="Times New Roman" w:hAnsi="Times New Roman" w:cs="Times New Roman"/>
        </w:rPr>
        <w:t>In the original sample, test-retest reliability wa</w:t>
      </w:r>
      <w:r w:rsidR="00D86B50" w:rsidRPr="003D6DD1">
        <w:rPr>
          <w:rFonts w:ascii="Times New Roman" w:hAnsi="Times New Roman" w:cs="Times New Roman"/>
        </w:rPr>
        <w:t>s good</w:t>
      </w:r>
      <w:r w:rsidR="004A38DA" w:rsidRPr="003D6DD1">
        <w:rPr>
          <w:rFonts w:ascii="Times New Roman" w:hAnsi="Times New Roman" w:cs="Times New Roman"/>
        </w:rPr>
        <w:t xml:space="preserve"> </w:t>
      </w:r>
      <w:r w:rsidR="00D86B50" w:rsidRPr="003D6DD1">
        <w:rPr>
          <w:rFonts w:ascii="Times New Roman" w:hAnsi="Times New Roman" w:cs="Times New Roman"/>
        </w:rPr>
        <w:t>(</w:t>
      </w:r>
      <w:r w:rsidR="00374948" w:rsidRPr="003D6DD1">
        <w:rPr>
          <w:rFonts w:ascii="Times New Roman" w:hAnsi="Times New Roman" w:cs="Times New Roman"/>
          <w:i/>
          <w:iCs/>
        </w:rPr>
        <w:t>r</w:t>
      </w:r>
      <w:r w:rsidR="008869D5" w:rsidRPr="003D6DD1">
        <w:rPr>
          <w:rFonts w:ascii="Times New Roman" w:hAnsi="Times New Roman" w:cs="Times New Roman"/>
        </w:rPr>
        <w:t xml:space="preserve"> = 0.70) </w:t>
      </w:r>
      <w:r w:rsidR="002E5335" w:rsidRPr="003D6DD1">
        <w:rPr>
          <w:rFonts w:ascii="Times New Roman" w:hAnsi="Times New Roman" w:cs="Times New Roman"/>
        </w:rPr>
        <w:t>and i</w:t>
      </w:r>
      <w:r w:rsidR="00D86B50" w:rsidRPr="003D6DD1">
        <w:rPr>
          <w:rFonts w:ascii="Times New Roman" w:hAnsi="Times New Roman" w:cs="Times New Roman"/>
        </w:rPr>
        <w:t xml:space="preserve">nternal consistency was </w:t>
      </w:r>
      <w:r w:rsidR="008869D5" w:rsidRPr="003D6DD1">
        <w:rPr>
          <w:rFonts w:ascii="Times New Roman" w:hAnsi="Times New Roman" w:cs="Times New Roman"/>
        </w:rPr>
        <w:t>excellent</w:t>
      </w:r>
      <w:r w:rsidR="002E5335" w:rsidRPr="003D6DD1">
        <w:rPr>
          <w:rFonts w:ascii="Times New Roman" w:hAnsi="Times New Roman" w:cs="Times New Roman"/>
        </w:rPr>
        <w:t xml:space="preserve"> (</w:t>
      </w:r>
      <w:r w:rsidR="00D86B50" w:rsidRPr="003D6DD1">
        <w:rPr>
          <w:rFonts w:ascii="Times New Roman" w:hAnsi="Times New Roman" w:cs="Times New Roman"/>
          <w:i/>
          <w:iCs/>
        </w:rPr>
        <w:t>α</w:t>
      </w:r>
      <w:r w:rsidR="00D86B50" w:rsidRPr="003D6DD1">
        <w:rPr>
          <w:rFonts w:ascii="Times New Roman" w:hAnsi="Times New Roman" w:cs="Times New Roman"/>
        </w:rPr>
        <w:t xml:space="preserve"> = 0.</w:t>
      </w:r>
      <w:r w:rsidR="008869D5" w:rsidRPr="003D6DD1">
        <w:rPr>
          <w:rFonts w:ascii="Times New Roman" w:hAnsi="Times New Roman" w:cs="Times New Roman"/>
        </w:rPr>
        <w:t>93</w:t>
      </w:r>
      <w:r w:rsidR="00D86B50" w:rsidRPr="003D6DD1">
        <w:rPr>
          <w:rFonts w:ascii="Times New Roman" w:hAnsi="Times New Roman" w:cs="Times New Roman"/>
        </w:rPr>
        <w:t>)</w:t>
      </w:r>
      <w:r w:rsidR="002E5335" w:rsidRPr="003D6DD1">
        <w:rPr>
          <w:rFonts w:ascii="Times New Roman" w:hAnsi="Times New Roman" w:cs="Times New Roman"/>
        </w:rPr>
        <w:t>.</w:t>
      </w:r>
    </w:p>
    <w:p w14:paraId="6C8A890D" w14:textId="0FC1E67B" w:rsidR="007C13CA" w:rsidRPr="00E93FBC" w:rsidRDefault="00D86B50" w:rsidP="00014439">
      <w:pPr>
        <w:spacing w:line="480" w:lineRule="auto"/>
        <w:ind w:firstLine="720"/>
        <w:rPr>
          <w:rFonts w:ascii="Times New Roman" w:hAnsi="Times New Roman" w:cs="Times New Roman"/>
        </w:rPr>
      </w:pPr>
      <w:r w:rsidRPr="0096478E">
        <w:rPr>
          <w:rFonts w:ascii="Times New Roman" w:hAnsi="Times New Roman" w:cs="Times New Roman"/>
        </w:rPr>
        <w:t xml:space="preserve">The </w:t>
      </w:r>
      <w:r w:rsidR="006C347E" w:rsidRPr="0096478E">
        <w:rPr>
          <w:rFonts w:ascii="Times New Roman" w:hAnsi="Times New Roman" w:cs="Times New Roman"/>
        </w:rPr>
        <w:t>Warwick-Edinburgh Mental Wellbeing Scale (</w:t>
      </w:r>
      <w:r w:rsidR="00C2486F" w:rsidRPr="0096478E">
        <w:rPr>
          <w:rFonts w:ascii="Times New Roman" w:hAnsi="Times New Roman" w:cs="Times New Roman"/>
        </w:rPr>
        <w:t>WEMWBS</w:t>
      </w:r>
      <w:r w:rsidR="00C2486F">
        <w:rPr>
          <w:rFonts w:ascii="Times New Roman" w:hAnsi="Times New Roman" w:cs="Times New Roman"/>
        </w:rPr>
        <w:t xml:space="preserve">; Tennant et al., 2007) </w:t>
      </w:r>
      <w:r w:rsidRPr="0096478E">
        <w:rPr>
          <w:rFonts w:ascii="Times New Roman" w:hAnsi="Times New Roman" w:cs="Times New Roman"/>
        </w:rPr>
        <w:t xml:space="preserve">is a </w:t>
      </w:r>
      <w:r w:rsidR="007C13CA" w:rsidRPr="0096478E">
        <w:rPr>
          <w:rFonts w:ascii="Times New Roman" w:hAnsi="Times New Roman" w:cs="Times New Roman"/>
        </w:rPr>
        <w:t xml:space="preserve">14-item measure of </w:t>
      </w:r>
      <w:r w:rsidRPr="0096478E">
        <w:rPr>
          <w:rFonts w:ascii="Times New Roman" w:hAnsi="Times New Roman" w:cs="Times New Roman"/>
        </w:rPr>
        <w:t>mental wellbeing in the general population</w:t>
      </w:r>
      <w:r w:rsidR="007C13CA" w:rsidRPr="0096478E">
        <w:rPr>
          <w:rFonts w:ascii="Times New Roman" w:hAnsi="Times New Roman" w:cs="Times New Roman"/>
        </w:rPr>
        <w:t xml:space="preserve">.  Items are rated on a </w:t>
      </w:r>
      <w:r w:rsidR="00FD0A8D" w:rsidRPr="0096478E">
        <w:rPr>
          <w:rFonts w:ascii="Times New Roman" w:hAnsi="Times New Roman" w:cs="Times New Roman"/>
        </w:rPr>
        <w:t>5</w:t>
      </w:r>
      <w:r w:rsidR="007C13CA" w:rsidRPr="0096478E">
        <w:rPr>
          <w:rFonts w:ascii="Times New Roman" w:hAnsi="Times New Roman" w:cs="Times New Roman"/>
        </w:rPr>
        <w:t xml:space="preserve">-point scale (1 = none of the time; 5 = all of the time), and summed to give a total score (14-70).  Higher scores indicate greater wellbeing.  </w:t>
      </w:r>
      <w:r w:rsidR="002E5335" w:rsidRPr="0096478E">
        <w:rPr>
          <w:rFonts w:ascii="Times New Roman" w:hAnsi="Times New Roman" w:cs="Times New Roman"/>
        </w:rPr>
        <w:t xml:space="preserve">In the original sample, </w:t>
      </w:r>
      <w:r w:rsidR="002E5335" w:rsidRPr="009E2672">
        <w:rPr>
          <w:rFonts w:ascii="Times New Roman" w:hAnsi="Times New Roman" w:cs="Times New Roman"/>
        </w:rPr>
        <w:t xml:space="preserve">test–retest reliability was </w:t>
      </w:r>
      <w:r w:rsidR="009E2672" w:rsidRPr="009E2672">
        <w:rPr>
          <w:rFonts w:ascii="Times New Roman" w:hAnsi="Times New Roman" w:cs="Times New Roman"/>
        </w:rPr>
        <w:t>excellent</w:t>
      </w:r>
      <w:r w:rsidR="002E5335" w:rsidRPr="009E2672">
        <w:rPr>
          <w:rFonts w:ascii="Times New Roman" w:hAnsi="Times New Roman" w:cs="Times New Roman"/>
        </w:rPr>
        <w:t xml:space="preserve"> (0.83)</w:t>
      </w:r>
      <w:r w:rsidR="002E5335" w:rsidRPr="0096478E">
        <w:rPr>
          <w:rFonts w:ascii="Times New Roman" w:hAnsi="Times New Roman" w:cs="Times New Roman"/>
        </w:rPr>
        <w:t xml:space="preserve"> and i</w:t>
      </w:r>
      <w:r w:rsidR="007C13CA" w:rsidRPr="0096478E">
        <w:rPr>
          <w:rFonts w:ascii="Times New Roman" w:hAnsi="Times New Roman" w:cs="Times New Roman"/>
        </w:rPr>
        <w:t xml:space="preserve">nternal consistency was </w:t>
      </w:r>
      <w:r w:rsidR="002E5335" w:rsidRPr="0096478E">
        <w:rPr>
          <w:rFonts w:ascii="Times New Roman" w:hAnsi="Times New Roman" w:cs="Times New Roman"/>
        </w:rPr>
        <w:t>good (</w:t>
      </w:r>
      <w:r w:rsidR="002E5335" w:rsidRPr="008E4D5A">
        <w:rPr>
          <w:rFonts w:ascii="Times New Roman" w:hAnsi="Times New Roman" w:cs="Times New Roman"/>
          <w:i/>
          <w:iCs/>
        </w:rPr>
        <w:t>α</w:t>
      </w:r>
      <w:r w:rsidR="002E5335" w:rsidRPr="0096478E">
        <w:rPr>
          <w:rFonts w:ascii="Times New Roman" w:hAnsi="Times New Roman" w:cs="Times New Roman"/>
        </w:rPr>
        <w:t xml:space="preserve"> = 0.89, student sample) to </w:t>
      </w:r>
      <w:r w:rsidR="007C13CA" w:rsidRPr="00E93FBC">
        <w:rPr>
          <w:rFonts w:ascii="Times New Roman" w:hAnsi="Times New Roman" w:cs="Times New Roman"/>
        </w:rPr>
        <w:t xml:space="preserve">excellent </w:t>
      </w:r>
      <w:r w:rsidR="002E5335" w:rsidRPr="00E93FBC">
        <w:rPr>
          <w:rFonts w:ascii="Times New Roman" w:hAnsi="Times New Roman" w:cs="Times New Roman"/>
        </w:rPr>
        <w:t>(</w:t>
      </w:r>
      <w:r w:rsidR="002E5335" w:rsidRPr="00E93FBC">
        <w:rPr>
          <w:rFonts w:ascii="Times New Roman" w:hAnsi="Times New Roman" w:cs="Times New Roman"/>
          <w:i/>
          <w:iCs/>
        </w:rPr>
        <w:t>α</w:t>
      </w:r>
      <w:r w:rsidR="002E5335" w:rsidRPr="00E93FBC">
        <w:rPr>
          <w:rFonts w:ascii="Times New Roman" w:hAnsi="Times New Roman" w:cs="Times New Roman"/>
        </w:rPr>
        <w:t xml:space="preserve"> = 0.91, population sample).</w:t>
      </w:r>
    </w:p>
    <w:p w14:paraId="04868299" w14:textId="7CD476FB" w:rsidR="00B92D46" w:rsidRPr="00E93FBC" w:rsidRDefault="0063533B" w:rsidP="00014439">
      <w:pPr>
        <w:spacing w:line="480" w:lineRule="auto"/>
        <w:ind w:firstLine="720"/>
        <w:rPr>
          <w:rFonts w:ascii="Times New Roman" w:hAnsi="Times New Roman" w:cs="Times New Roman"/>
        </w:rPr>
      </w:pPr>
      <w:r w:rsidRPr="00E93FBC">
        <w:rPr>
          <w:rFonts w:ascii="Times New Roman" w:hAnsi="Times New Roman" w:cs="Times New Roman"/>
        </w:rPr>
        <w:t xml:space="preserve">The 5-item </w:t>
      </w:r>
      <w:r w:rsidR="00DB73AF" w:rsidRPr="00E93FBC">
        <w:rPr>
          <w:rFonts w:ascii="Times New Roman" w:hAnsi="Times New Roman" w:cs="Times New Roman"/>
        </w:rPr>
        <w:t xml:space="preserve">INSPIRE-CHIME was used in the present study.  This has subsequently been adapted to </w:t>
      </w:r>
      <w:r w:rsidR="00B17F25" w:rsidRPr="00E93FBC">
        <w:rPr>
          <w:rFonts w:ascii="Times New Roman" w:hAnsi="Times New Roman" w:cs="Times New Roman"/>
        </w:rPr>
        <w:t xml:space="preserve">form the </w:t>
      </w:r>
      <w:r w:rsidR="00DB73AF" w:rsidRPr="00E93FBC">
        <w:rPr>
          <w:rFonts w:ascii="Times New Roman" w:hAnsi="Times New Roman" w:cs="Times New Roman"/>
        </w:rPr>
        <w:t>Brief-INSPIRE</w:t>
      </w:r>
      <w:r w:rsidR="001D31DF" w:rsidRPr="00E93FBC">
        <w:rPr>
          <w:rFonts w:ascii="Times New Roman" w:hAnsi="Times New Roman" w:cs="Times New Roman"/>
        </w:rPr>
        <w:t xml:space="preserve"> (Williams, </w:t>
      </w:r>
      <w:proofErr w:type="spellStart"/>
      <w:r w:rsidR="001D31DF" w:rsidRPr="00E93FBC">
        <w:rPr>
          <w:rFonts w:ascii="Times New Roman" w:hAnsi="Times New Roman" w:cs="Times New Roman"/>
        </w:rPr>
        <w:t>Leamy</w:t>
      </w:r>
      <w:proofErr w:type="spellEnd"/>
      <w:r w:rsidR="001D31DF" w:rsidRPr="00E93FBC">
        <w:rPr>
          <w:rFonts w:ascii="Times New Roman" w:hAnsi="Times New Roman" w:cs="Times New Roman"/>
        </w:rPr>
        <w:t>, Bird et al., 2015)</w:t>
      </w:r>
      <w:r w:rsidR="00B17F25" w:rsidRPr="00E93FBC">
        <w:rPr>
          <w:rFonts w:ascii="Times New Roman" w:hAnsi="Times New Roman" w:cs="Times New Roman"/>
        </w:rPr>
        <w:t xml:space="preserve">.  </w:t>
      </w:r>
      <w:r w:rsidR="001D31DF" w:rsidRPr="00E93FBC">
        <w:rPr>
          <w:rFonts w:ascii="Times New Roman" w:hAnsi="Times New Roman" w:cs="Times New Roman"/>
        </w:rPr>
        <w:t xml:space="preserve">Versions of the </w:t>
      </w:r>
      <w:r w:rsidR="00B17F25" w:rsidRPr="00E93FBC">
        <w:rPr>
          <w:rFonts w:ascii="Times New Roman" w:hAnsi="Times New Roman" w:cs="Times New Roman"/>
        </w:rPr>
        <w:t xml:space="preserve">INSPIRE </w:t>
      </w:r>
      <w:r w:rsidRPr="00E93FBC">
        <w:rPr>
          <w:rFonts w:ascii="Times New Roman" w:hAnsi="Times New Roman" w:cs="Times New Roman"/>
        </w:rPr>
        <w:t xml:space="preserve">measure people’s experience of support </w:t>
      </w:r>
      <w:r w:rsidR="00DB73AF" w:rsidRPr="00E93FBC">
        <w:rPr>
          <w:rFonts w:ascii="Times New Roman" w:hAnsi="Times New Roman" w:cs="Times New Roman"/>
        </w:rPr>
        <w:t xml:space="preserve">in their </w:t>
      </w:r>
      <w:r w:rsidR="001D31DF" w:rsidRPr="00E93FBC">
        <w:rPr>
          <w:rFonts w:ascii="Times New Roman" w:hAnsi="Times New Roman" w:cs="Times New Roman"/>
        </w:rPr>
        <w:t>recovery (</w:t>
      </w:r>
      <w:r w:rsidRPr="00E93FBC">
        <w:rPr>
          <w:rFonts w:ascii="Times New Roman" w:hAnsi="Times New Roman" w:cs="Times New Roman"/>
        </w:rPr>
        <w:t>PREM</w:t>
      </w:r>
      <w:r w:rsidR="001D31DF" w:rsidRPr="00E93FBC">
        <w:rPr>
          <w:rFonts w:ascii="Times New Roman" w:hAnsi="Times New Roman" w:cs="Times New Roman"/>
        </w:rPr>
        <w:t>s</w:t>
      </w:r>
      <w:r w:rsidRPr="00E93FBC">
        <w:rPr>
          <w:rFonts w:ascii="Times New Roman" w:hAnsi="Times New Roman" w:cs="Times New Roman"/>
        </w:rPr>
        <w:t xml:space="preserve">).  </w:t>
      </w:r>
      <w:r w:rsidR="00DB73AF" w:rsidRPr="00E93FBC">
        <w:rPr>
          <w:rFonts w:ascii="Times New Roman" w:hAnsi="Times New Roman" w:cs="Times New Roman"/>
        </w:rPr>
        <w:t xml:space="preserve">The </w:t>
      </w:r>
      <w:r w:rsidR="00DB73AF" w:rsidRPr="00E93FBC">
        <w:rPr>
          <w:rFonts w:ascii="Times New Roman" w:hAnsi="Times New Roman" w:cs="Times New Roman"/>
        </w:rPr>
        <w:lastRenderedPageBreak/>
        <w:t>INSPIRE-CHIME differs fr</w:t>
      </w:r>
      <w:r w:rsidR="00B17F25" w:rsidRPr="00E93FBC">
        <w:rPr>
          <w:rFonts w:ascii="Times New Roman" w:hAnsi="Times New Roman" w:cs="Times New Roman"/>
        </w:rPr>
        <w:t>om the Brief-INSPIRE in one way</w:t>
      </w:r>
      <w:proofErr w:type="gramStart"/>
      <w:r w:rsidR="00B17F25" w:rsidRPr="00E93FBC">
        <w:rPr>
          <w:rFonts w:ascii="Times New Roman" w:hAnsi="Times New Roman" w:cs="Times New Roman"/>
        </w:rPr>
        <w:t>;</w:t>
      </w:r>
      <w:r w:rsidR="00DB73AF" w:rsidRPr="00E93FBC">
        <w:rPr>
          <w:rFonts w:ascii="Times New Roman" w:hAnsi="Times New Roman" w:cs="Times New Roman"/>
        </w:rPr>
        <w:t xml:space="preserve">  each</w:t>
      </w:r>
      <w:proofErr w:type="gramEnd"/>
      <w:r w:rsidR="00DB73AF" w:rsidRPr="00E93FBC">
        <w:rPr>
          <w:rFonts w:ascii="Times New Roman" w:hAnsi="Times New Roman" w:cs="Times New Roman"/>
        </w:rPr>
        <w:t xml:space="preserve"> item is prefaced with the question </w:t>
      </w:r>
      <w:r w:rsidR="00B17F25" w:rsidRPr="00E93FBC">
        <w:rPr>
          <w:rFonts w:ascii="Times New Roman" w:hAnsi="Times New Roman" w:cs="Times New Roman"/>
        </w:rPr>
        <w:t>‘</w:t>
      </w:r>
      <w:r w:rsidR="00DB73AF" w:rsidRPr="00E93FBC">
        <w:rPr>
          <w:rFonts w:ascii="Times New Roman" w:hAnsi="Times New Roman" w:cs="Times New Roman"/>
        </w:rPr>
        <w:t>An important part of my recovery is…</w:t>
      </w:r>
      <w:r w:rsidR="00B17F25" w:rsidRPr="00E93FBC">
        <w:rPr>
          <w:rFonts w:ascii="Times New Roman" w:hAnsi="Times New Roman" w:cs="Times New Roman"/>
        </w:rPr>
        <w:t>’ to which participants state yes or no.</w:t>
      </w:r>
      <w:r w:rsidR="004F4B96" w:rsidRPr="00E93FBC">
        <w:rPr>
          <w:rFonts w:ascii="Times New Roman" w:hAnsi="Times New Roman" w:cs="Times New Roman"/>
        </w:rPr>
        <w:t xml:space="preserve">  In both the INSPIRE-CHIME </w:t>
      </w:r>
      <w:r w:rsidR="001D31DF" w:rsidRPr="00E93FBC">
        <w:rPr>
          <w:rFonts w:ascii="Times New Roman" w:hAnsi="Times New Roman" w:cs="Times New Roman"/>
        </w:rPr>
        <w:t>and Brief-INSPIRE</w:t>
      </w:r>
      <w:r w:rsidR="004F4B96" w:rsidRPr="00E93FBC">
        <w:rPr>
          <w:rFonts w:ascii="Times New Roman" w:hAnsi="Times New Roman" w:cs="Times New Roman"/>
        </w:rPr>
        <w:t xml:space="preserve"> participants are then asked to rate how much they feel supported by their worker (or ‘others’ for the non-clinical group) in each domain.  </w:t>
      </w:r>
      <w:r w:rsidRPr="00E93FBC">
        <w:rPr>
          <w:rFonts w:ascii="Times New Roman" w:hAnsi="Times New Roman" w:cs="Times New Roman"/>
        </w:rPr>
        <w:t xml:space="preserve">Items are rated on a </w:t>
      </w:r>
      <w:r w:rsidR="00FD0A8D" w:rsidRPr="00E93FBC">
        <w:rPr>
          <w:rFonts w:ascii="Times New Roman" w:hAnsi="Times New Roman" w:cs="Times New Roman"/>
        </w:rPr>
        <w:t>5</w:t>
      </w:r>
      <w:r w:rsidRPr="00E93FBC">
        <w:rPr>
          <w:rFonts w:ascii="Times New Roman" w:hAnsi="Times New Roman" w:cs="Times New Roman"/>
        </w:rPr>
        <w:t>-point scale (</w:t>
      </w:r>
      <w:r w:rsidR="007D17C2" w:rsidRPr="00E93FBC">
        <w:rPr>
          <w:rFonts w:ascii="Times New Roman" w:hAnsi="Times New Roman" w:cs="Times New Roman"/>
        </w:rPr>
        <w:t>0</w:t>
      </w:r>
      <w:r w:rsidRPr="00E93FBC">
        <w:rPr>
          <w:rFonts w:ascii="Times New Roman" w:hAnsi="Times New Roman" w:cs="Times New Roman"/>
        </w:rPr>
        <w:t xml:space="preserve"> = no</w:t>
      </w:r>
      <w:r w:rsidR="007D17C2" w:rsidRPr="00E93FBC">
        <w:rPr>
          <w:rFonts w:ascii="Times New Roman" w:hAnsi="Times New Roman" w:cs="Times New Roman"/>
        </w:rPr>
        <w:t>t at all</w:t>
      </w:r>
      <w:r w:rsidRPr="00E93FBC">
        <w:rPr>
          <w:rFonts w:ascii="Times New Roman" w:hAnsi="Times New Roman" w:cs="Times New Roman"/>
        </w:rPr>
        <w:t xml:space="preserve">; </w:t>
      </w:r>
      <w:r w:rsidR="007D17C2" w:rsidRPr="00E93FBC">
        <w:rPr>
          <w:rFonts w:ascii="Times New Roman" w:hAnsi="Times New Roman" w:cs="Times New Roman"/>
        </w:rPr>
        <w:t>4</w:t>
      </w:r>
      <w:r w:rsidRPr="00E93FBC">
        <w:rPr>
          <w:rFonts w:ascii="Times New Roman" w:hAnsi="Times New Roman" w:cs="Times New Roman"/>
        </w:rPr>
        <w:t xml:space="preserve"> = </w:t>
      </w:r>
      <w:r w:rsidR="007D17C2" w:rsidRPr="00E93FBC">
        <w:rPr>
          <w:rFonts w:ascii="Times New Roman" w:hAnsi="Times New Roman" w:cs="Times New Roman"/>
        </w:rPr>
        <w:t>very much</w:t>
      </w:r>
      <w:r w:rsidRPr="00E93FBC">
        <w:rPr>
          <w:rFonts w:ascii="Times New Roman" w:hAnsi="Times New Roman" w:cs="Times New Roman"/>
        </w:rPr>
        <w:t>)</w:t>
      </w:r>
      <w:r w:rsidR="007D17C2" w:rsidRPr="00E93FBC">
        <w:rPr>
          <w:rFonts w:ascii="Times New Roman" w:hAnsi="Times New Roman" w:cs="Times New Roman"/>
        </w:rPr>
        <w:t>.  The summed total is multiplied by five to giv</w:t>
      </w:r>
      <w:r w:rsidRPr="00E93FBC">
        <w:rPr>
          <w:rFonts w:ascii="Times New Roman" w:hAnsi="Times New Roman" w:cs="Times New Roman"/>
        </w:rPr>
        <w:t xml:space="preserve">e a </w:t>
      </w:r>
      <w:r w:rsidR="004A1C19" w:rsidRPr="00E93FBC">
        <w:rPr>
          <w:rFonts w:ascii="Times New Roman" w:hAnsi="Times New Roman" w:cs="Times New Roman"/>
        </w:rPr>
        <w:t xml:space="preserve">final </w:t>
      </w:r>
      <w:r w:rsidRPr="00E93FBC">
        <w:rPr>
          <w:rFonts w:ascii="Times New Roman" w:hAnsi="Times New Roman" w:cs="Times New Roman"/>
        </w:rPr>
        <w:t>score (</w:t>
      </w:r>
      <w:r w:rsidR="007D17C2" w:rsidRPr="00E93FBC">
        <w:rPr>
          <w:rFonts w:ascii="Times New Roman" w:hAnsi="Times New Roman" w:cs="Times New Roman"/>
        </w:rPr>
        <w:t>0</w:t>
      </w:r>
      <w:r w:rsidRPr="00E93FBC">
        <w:rPr>
          <w:rFonts w:ascii="Times New Roman" w:hAnsi="Times New Roman" w:cs="Times New Roman"/>
        </w:rPr>
        <w:t>-</w:t>
      </w:r>
      <w:r w:rsidR="007D17C2" w:rsidRPr="00E93FBC">
        <w:rPr>
          <w:rFonts w:ascii="Times New Roman" w:hAnsi="Times New Roman" w:cs="Times New Roman"/>
        </w:rPr>
        <w:t>100</w:t>
      </w:r>
      <w:r w:rsidRPr="00E93FBC">
        <w:rPr>
          <w:rFonts w:ascii="Times New Roman" w:hAnsi="Times New Roman" w:cs="Times New Roman"/>
        </w:rPr>
        <w:t xml:space="preserve">).  Higher scores indicate </w:t>
      </w:r>
      <w:r w:rsidR="007D17C2" w:rsidRPr="00E93FBC">
        <w:rPr>
          <w:rFonts w:ascii="Times New Roman" w:hAnsi="Times New Roman" w:cs="Times New Roman"/>
        </w:rPr>
        <w:t xml:space="preserve">greater levels of </w:t>
      </w:r>
      <w:r w:rsidR="004A1C19" w:rsidRPr="00E93FBC">
        <w:rPr>
          <w:rFonts w:ascii="Times New Roman" w:hAnsi="Times New Roman" w:cs="Times New Roman"/>
        </w:rPr>
        <w:t>perceived</w:t>
      </w:r>
      <w:r w:rsidR="007D17C2" w:rsidRPr="00E93FBC">
        <w:rPr>
          <w:rFonts w:ascii="Times New Roman" w:hAnsi="Times New Roman" w:cs="Times New Roman"/>
        </w:rPr>
        <w:t xml:space="preserve"> support</w:t>
      </w:r>
      <w:r w:rsidRPr="00E93FBC">
        <w:rPr>
          <w:rFonts w:ascii="Times New Roman" w:hAnsi="Times New Roman" w:cs="Times New Roman"/>
        </w:rPr>
        <w:t xml:space="preserve">.  </w:t>
      </w:r>
      <w:r w:rsidR="004F4B96" w:rsidRPr="00E93FBC">
        <w:rPr>
          <w:rFonts w:ascii="Times New Roman" w:hAnsi="Times New Roman" w:cs="Times New Roman"/>
        </w:rPr>
        <w:t>T</w:t>
      </w:r>
      <w:r w:rsidRPr="00E93FBC">
        <w:rPr>
          <w:rFonts w:ascii="Times New Roman" w:hAnsi="Times New Roman" w:cs="Times New Roman"/>
        </w:rPr>
        <w:t xml:space="preserve">est–retest reliability </w:t>
      </w:r>
      <w:r w:rsidR="004F4B96" w:rsidRPr="00E93FBC">
        <w:rPr>
          <w:rFonts w:ascii="Times New Roman" w:hAnsi="Times New Roman" w:cs="Times New Roman"/>
        </w:rPr>
        <w:t>for the Brief-INSPIRE was</w:t>
      </w:r>
      <w:r w:rsidRPr="00E93FBC">
        <w:rPr>
          <w:rFonts w:ascii="Times New Roman" w:hAnsi="Times New Roman" w:cs="Times New Roman"/>
        </w:rPr>
        <w:t xml:space="preserve"> 0.</w:t>
      </w:r>
      <w:r w:rsidR="007D17C2" w:rsidRPr="00E93FBC">
        <w:rPr>
          <w:rFonts w:ascii="Times New Roman" w:hAnsi="Times New Roman" w:cs="Times New Roman"/>
        </w:rPr>
        <w:t>72</w:t>
      </w:r>
      <w:r w:rsidR="00546718" w:rsidRPr="00E93FBC">
        <w:rPr>
          <w:rFonts w:ascii="Times New Roman" w:hAnsi="Times New Roman" w:cs="Times New Roman"/>
        </w:rPr>
        <w:t>,</w:t>
      </w:r>
      <w:r w:rsidRPr="00E93FBC">
        <w:rPr>
          <w:rFonts w:ascii="Times New Roman" w:hAnsi="Times New Roman" w:cs="Times New Roman"/>
        </w:rPr>
        <w:t xml:space="preserve"> and internal consistency was good (</w:t>
      </w:r>
      <w:r w:rsidRPr="00E93FBC">
        <w:rPr>
          <w:rFonts w:ascii="Times New Roman" w:hAnsi="Times New Roman" w:cs="Times New Roman"/>
          <w:i/>
          <w:iCs/>
        </w:rPr>
        <w:t>α</w:t>
      </w:r>
      <w:r w:rsidRPr="00E93FBC">
        <w:rPr>
          <w:rFonts w:ascii="Times New Roman" w:hAnsi="Times New Roman" w:cs="Times New Roman"/>
        </w:rPr>
        <w:t xml:space="preserve"> = 0.8</w:t>
      </w:r>
      <w:r w:rsidR="007D17C2" w:rsidRPr="00E93FBC">
        <w:rPr>
          <w:rFonts w:ascii="Times New Roman" w:hAnsi="Times New Roman" w:cs="Times New Roman"/>
        </w:rPr>
        <w:t>6)</w:t>
      </w:r>
      <w:r w:rsidR="004F4B96" w:rsidRPr="00E93FBC">
        <w:rPr>
          <w:rFonts w:ascii="Times New Roman" w:hAnsi="Times New Roman" w:cs="Times New Roman"/>
        </w:rPr>
        <w:t>, in the original sample</w:t>
      </w:r>
      <w:r w:rsidRPr="00E93FBC">
        <w:rPr>
          <w:rFonts w:ascii="Times New Roman" w:hAnsi="Times New Roman" w:cs="Times New Roman"/>
        </w:rPr>
        <w:t>.</w:t>
      </w:r>
      <w:r w:rsidR="00B17F25" w:rsidRPr="00E93FBC">
        <w:rPr>
          <w:rFonts w:ascii="Times New Roman" w:hAnsi="Times New Roman" w:cs="Times New Roman"/>
        </w:rPr>
        <w:t xml:space="preserve">  Given the slight difference between the INSPIRE-CHIME and the Brief-INSPIRE, we cannot assume these levels of reliability, and </w:t>
      </w:r>
      <w:r w:rsidR="001D31DF" w:rsidRPr="00E93FBC">
        <w:rPr>
          <w:rFonts w:ascii="Times New Roman" w:hAnsi="Times New Roman" w:cs="Times New Roman"/>
        </w:rPr>
        <w:t xml:space="preserve">so </w:t>
      </w:r>
      <w:r w:rsidR="00B17F25" w:rsidRPr="00E93FBC">
        <w:rPr>
          <w:rFonts w:ascii="Times New Roman" w:hAnsi="Times New Roman" w:cs="Times New Roman"/>
        </w:rPr>
        <w:t>assessed internal consistency for the present clinical and non-clinical samples.</w:t>
      </w:r>
    </w:p>
    <w:p w14:paraId="44D3E394" w14:textId="77777777" w:rsidR="0096485B" w:rsidRPr="00E93FBC" w:rsidRDefault="0096485B" w:rsidP="00014439">
      <w:pPr>
        <w:spacing w:line="480" w:lineRule="auto"/>
        <w:ind w:firstLine="720"/>
        <w:rPr>
          <w:rFonts w:ascii="Times New Roman" w:hAnsi="Times New Roman" w:cs="Times New Roman"/>
        </w:rPr>
      </w:pPr>
    </w:p>
    <w:p w14:paraId="29DA058B" w14:textId="02615079" w:rsidR="007E35D8" w:rsidRPr="00FB7647" w:rsidRDefault="007E35D8" w:rsidP="00014439">
      <w:pPr>
        <w:spacing w:line="480" w:lineRule="auto"/>
        <w:rPr>
          <w:rFonts w:ascii="Times New Roman" w:hAnsi="Times New Roman" w:cs="Times New Roman"/>
          <w:b/>
          <w:i/>
        </w:rPr>
      </w:pPr>
      <w:r w:rsidRPr="00E93FBC">
        <w:rPr>
          <w:rFonts w:ascii="Times New Roman" w:hAnsi="Times New Roman" w:cs="Times New Roman"/>
          <w:b/>
          <w:i/>
        </w:rPr>
        <w:t xml:space="preserve">Data </w:t>
      </w:r>
      <w:r w:rsidR="00FC321A" w:rsidRPr="00E93FBC">
        <w:rPr>
          <w:rFonts w:ascii="Times New Roman" w:hAnsi="Times New Roman" w:cs="Times New Roman"/>
          <w:b/>
          <w:i/>
        </w:rPr>
        <w:t>A</w:t>
      </w:r>
      <w:r w:rsidRPr="00E93FBC">
        <w:rPr>
          <w:rFonts w:ascii="Times New Roman" w:hAnsi="Times New Roman" w:cs="Times New Roman"/>
          <w:b/>
          <w:i/>
        </w:rPr>
        <w:t>nalysis</w:t>
      </w:r>
      <w:r w:rsidRPr="00FB7647">
        <w:rPr>
          <w:rFonts w:ascii="Times New Roman" w:hAnsi="Times New Roman" w:cs="Times New Roman"/>
          <w:b/>
          <w:i/>
        </w:rPr>
        <w:t xml:space="preserve"> </w:t>
      </w:r>
    </w:p>
    <w:p w14:paraId="6550142F" w14:textId="3EE53C89" w:rsidR="0033387D" w:rsidRPr="006342B3" w:rsidRDefault="004979FF" w:rsidP="00014439">
      <w:pPr>
        <w:spacing w:line="480" w:lineRule="auto"/>
        <w:rPr>
          <w:rFonts w:ascii="Times New Roman" w:hAnsi="Times New Roman" w:cs="Times New Roman"/>
          <w:highlight w:val="yellow"/>
        </w:rPr>
      </w:pPr>
      <w:r w:rsidRPr="004979FF">
        <w:rPr>
          <w:rFonts w:ascii="Times New Roman" w:hAnsi="Times New Roman" w:cs="Times New Roman"/>
        </w:rPr>
        <w:t xml:space="preserve">Confirmatory factor analysis (CFA) was used to assess how well a </w:t>
      </w:r>
      <w:r w:rsidR="004A5719">
        <w:rPr>
          <w:rFonts w:ascii="Times New Roman" w:hAnsi="Times New Roman" w:cs="Times New Roman"/>
        </w:rPr>
        <w:t xml:space="preserve">single </w:t>
      </w:r>
      <w:r w:rsidRPr="004979FF">
        <w:rPr>
          <w:rFonts w:ascii="Times New Roman" w:hAnsi="Times New Roman" w:cs="Times New Roman"/>
        </w:rPr>
        <w:t>factor model for HAO fitted the full data</w:t>
      </w:r>
      <w:r>
        <w:rPr>
          <w:rFonts w:ascii="Times New Roman" w:hAnsi="Times New Roman" w:cs="Times New Roman"/>
        </w:rPr>
        <w:t>set</w:t>
      </w:r>
      <w:r w:rsidRPr="004979FF">
        <w:rPr>
          <w:rFonts w:ascii="Times New Roman" w:hAnsi="Times New Roman" w:cs="Times New Roman"/>
        </w:rPr>
        <w:t xml:space="preserve"> (clinical and non-clinical sample</w:t>
      </w:r>
      <w:r>
        <w:rPr>
          <w:rFonts w:ascii="Times New Roman" w:hAnsi="Times New Roman" w:cs="Times New Roman"/>
        </w:rPr>
        <w:t>s</w:t>
      </w:r>
      <w:r w:rsidRPr="004979FF">
        <w:rPr>
          <w:rFonts w:ascii="Times New Roman" w:hAnsi="Times New Roman" w:cs="Times New Roman"/>
        </w:rPr>
        <w:t xml:space="preserve"> combined) and for the clinical and non-clinical data </w:t>
      </w:r>
      <w:r>
        <w:rPr>
          <w:rFonts w:ascii="Times New Roman" w:hAnsi="Times New Roman" w:cs="Times New Roman"/>
        </w:rPr>
        <w:t>separately</w:t>
      </w:r>
      <w:r w:rsidRPr="004979FF">
        <w:rPr>
          <w:rFonts w:ascii="Times New Roman" w:hAnsi="Times New Roman" w:cs="Times New Roman"/>
        </w:rPr>
        <w:t xml:space="preserve">. </w:t>
      </w:r>
      <w:r>
        <w:rPr>
          <w:rFonts w:ascii="Times New Roman" w:hAnsi="Times New Roman" w:cs="Times New Roman"/>
        </w:rPr>
        <w:t xml:space="preserve"> </w:t>
      </w:r>
      <w:r w:rsidRPr="004979FF">
        <w:rPr>
          <w:rFonts w:ascii="Times New Roman" w:hAnsi="Times New Roman" w:cs="Times New Roman"/>
        </w:rPr>
        <w:t xml:space="preserve">We computed CFA using </w:t>
      </w:r>
      <w:r w:rsidR="005B0986">
        <w:rPr>
          <w:rFonts w:ascii="Times New Roman" w:hAnsi="Times New Roman" w:cs="Times New Roman"/>
        </w:rPr>
        <w:t>AMOS version 24</w:t>
      </w:r>
      <w:r w:rsidRPr="004979FF">
        <w:rPr>
          <w:rFonts w:ascii="Times New Roman" w:hAnsi="Times New Roman" w:cs="Times New Roman"/>
        </w:rPr>
        <w:t xml:space="preserve">. </w:t>
      </w:r>
      <w:r>
        <w:rPr>
          <w:rFonts w:ascii="Times New Roman" w:hAnsi="Times New Roman" w:cs="Times New Roman"/>
        </w:rPr>
        <w:t xml:space="preserve"> </w:t>
      </w:r>
      <w:r w:rsidRPr="004979FF">
        <w:rPr>
          <w:rFonts w:ascii="Times New Roman" w:hAnsi="Times New Roman" w:cs="Times New Roman"/>
        </w:rPr>
        <w:t>All other a</w:t>
      </w:r>
      <w:r>
        <w:rPr>
          <w:rFonts w:ascii="Times New Roman" w:hAnsi="Times New Roman" w:cs="Times New Roman"/>
        </w:rPr>
        <w:t>n</w:t>
      </w:r>
      <w:r w:rsidR="007A3AFE">
        <w:rPr>
          <w:rFonts w:ascii="Times New Roman" w:hAnsi="Times New Roman" w:cs="Times New Roman"/>
        </w:rPr>
        <w:t>alyse</w:t>
      </w:r>
      <w:r w:rsidR="008B62FB">
        <w:rPr>
          <w:rFonts w:ascii="Times New Roman" w:hAnsi="Times New Roman" w:cs="Times New Roman"/>
        </w:rPr>
        <w:t>s w</w:t>
      </w:r>
      <w:r w:rsidR="007A3AFE">
        <w:rPr>
          <w:rFonts w:ascii="Times New Roman" w:hAnsi="Times New Roman" w:cs="Times New Roman"/>
        </w:rPr>
        <w:t xml:space="preserve">ere run using </w:t>
      </w:r>
      <w:r w:rsidR="008B62FB">
        <w:rPr>
          <w:rFonts w:ascii="Times New Roman" w:hAnsi="Times New Roman" w:cs="Times New Roman"/>
        </w:rPr>
        <w:t>IBM SPSS version 22</w:t>
      </w:r>
      <w:r w:rsidR="005B0986">
        <w:rPr>
          <w:rFonts w:ascii="Times New Roman" w:hAnsi="Times New Roman" w:cs="Times New Roman"/>
        </w:rPr>
        <w:t>/24</w:t>
      </w:r>
      <w:r w:rsidR="008B62FB">
        <w:rPr>
          <w:rFonts w:ascii="Times New Roman" w:hAnsi="Times New Roman" w:cs="Times New Roman"/>
        </w:rPr>
        <w:t xml:space="preserve">. </w:t>
      </w:r>
      <w:r w:rsidR="008E4D5A">
        <w:rPr>
          <w:rFonts w:ascii="Times New Roman" w:hAnsi="Times New Roman" w:cs="Times New Roman"/>
        </w:rPr>
        <w:t xml:space="preserve"> </w:t>
      </w:r>
      <w:r w:rsidR="00D56DC5" w:rsidRPr="0096478E">
        <w:rPr>
          <w:rFonts w:ascii="Times New Roman" w:hAnsi="Times New Roman" w:cs="Times New Roman"/>
        </w:rPr>
        <w:t>C</w:t>
      </w:r>
      <w:r w:rsidR="0033387D" w:rsidRPr="0096478E">
        <w:rPr>
          <w:rFonts w:ascii="Times New Roman" w:hAnsi="Times New Roman" w:cs="Times New Roman"/>
        </w:rPr>
        <w:t>ronbach’s alpha</w:t>
      </w:r>
      <w:r w:rsidR="00154EA1">
        <w:rPr>
          <w:rFonts w:ascii="Times New Roman" w:hAnsi="Times New Roman" w:cs="Times New Roman"/>
        </w:rPr>
        <w:t>s</w:t>
      </w:r>
      <w:r w:rsidR="0033387D" w:rsidRPr="0096478E">
        <w:rPr>
          <w:rFonts w:ascii="Times New Roman" w:hAnsi="Times New Roman" w:cs="Times New Roman"/>
        </w:rPr>
        <w:t xml:space="preserve"> </w:t>
      </w:r>
      <w:r w:rsidR="00DA4812">
        <w:rPr>
          <w:rFonts w:ascii="Times New Roman" w:hAnsi="Times New Roman" w:cs="Times New Roman"/>
        </w:rPr>
        <w:t xml:space="preserve">and inter-item correlations </w:t>
      </w:r>
      <w:r w:rsidR="0033387D" w:rsidRPr="0096478E">
        <w:rPr>
          <w:rFonts w:ascii="Times New Roman" w:hAnsi="Times New Roman" w:cs="Times New Roman"/>
        </w:rPr>
        <w:t>w</w:t>
      </w:r>
      <w:r w:rsidR="00154EA1">
        <w:rPr>
          <w:rFonts w:ascii="Times New Roman" w:hAnsi="Times New Roman" w:cs="Times New Roman"/>
        </w:rPr>
        <w:t>ere</w:t>
      </w:r>
      <w:r w:rsidR="0033387D" w:rsidRPr="0096478E">
        <w:rPr>
          <w:rFonts w:ascii="Times New Roman" w:hAnsi="Times New Roman" w:cs="Times New Roman"/>
        </w:rPr>
        <w:t xml:space="preserve"> calculated to as</w:t>
      </w:r>
      <w:r w:rsidR="00D56DC5" w:rsidRPr="0096478E">
        <w:rPr>
          <w:rFonts w:ascii="Times New Roman" w:hAnsi="Times New Roman" w:cs="Times New Roman"/>
        </w:rPr>
        <w:t>sess internal consistency</w:t>
      </w:r>
      <w:r w:rsidR="007A3AFE">
        <w:rPr>
          <w:rFonts w:ascii="Times New Roman" w:hAnsi="Times New Roman" w:cs="Times New Roman"/>
        </w:rPr>
        <w:t>.  I</w:t>
      </w:r>
      <w:r w:rsidR="00154EA1">
        <w:rPr>
          <w:rFonts w:ascii="Times New Roman" w:hAnsi="Times New Roman" w:cs="Times New Roman"/>
        </w:rPr>
        <w:t>ntra-class correlations</w:t>
      </w:r>
      <w:r w:rsidR="00DD28D9">
        <w:rPr>
          <w:rFonts w:ascii="Times New Roman" w:hAnsi="Times New Roman" w:cs="Times New Roman"/>
        </w:rPr>
        <w:t xml:space="preserve"> and weighted Cohen’s Kappa</w:t>
      </w:r>
      <w:r w:rsidR="00154EA1">
        <w:rPr>
          <w:rFonts w:ascii="Times New Roman" w:hAnsi="Times New Roman" w:cs="Times New Roman"/>
        </w:rPr>
        <w:t xml:space="preserve"> indicated </w:t>
      </w:r>
      <w:r w:rsidR="0033387D" w:rsidRPr="0096478E">
        <w:rPr>
          <w:rFonts w:ascii="Times New Roman" w:hAnsi="Times New Roman" w:cs="Times New Roman"/>
        </w:rPr>
        <w:t>test-retest reliability</w:t>
      </w:r>
      <w:r w:rsidR="00133148">
        <w:rPr>
          <w:rFonts w:ascii="Times New Roman" w:hAnsi="Times New Roman" w:cs="Times New Roman"/>
        </w:rPr>
        <w:t xml:space="preserve">. </w:t>
      </w:r>
      <w:r w:rsidR="00154EA1">
        <w:rPr>
          <w:rFonts w:ascii="Times New Roman" w:hAnsi="Times New Roman" w:cs="Times New Roman"/>
        </w:rPr>
        <w:t xml:space="preserve"> </w:t>
      </w:r>
      <w:r w:rsidR="00133148">
        <w:rPr>
          <w:rFonts w:ascii="Times New Roman" w:hAnsi="Times New Roman" w:cs="Times New Roman"/>
        </w:rPr>
        <w:t xml:space="preserve">Only participants who completed the study </w:t>
      </w:r>
      <w:r w:rsidR="00154EA1">
        <w:rPr>
          <w:rFonts w:ascii="Times New Roman" w:hAnsi="Times New Roman" w:cs="Times New Roman"/>
        </w:rPr>
        <w:t>14</w:t>
      </w:r>
      <w:r w:rsidR="00FC321A" w:rsidRPr="0096478E">
        <w:rPr>
          <w:rFonts w:ascii="Times New Roman" w:hAnsi="Times New Roman" w:cs="Times New Roman"/>
        </w:rPr>
        <w:t xml:space="preserve"> </w:t>
      </w:r>
      <w:r w:rsidR="00227206">
        <w:rPr>
          <w:rFonts w:ascii="Times New Roman" w:hAnsi="Times New Roman" w:cs="Times New Roman"/>
        </w:rPr>
        <w:t>(</w:t>
      </w:r>
      <w:r w:rsidR="00FC321A" w:rsidRPr="0096478E">
        <w:rPr>
          <w:rFonts w:ascii="Times New Roman" w:hAnsi="Times New Roman" w:cs="Times New Roman"/>
        </w:rPr>
        <w:t>+/-</w:t>
      </w:r>
      <w:r w:rsidR="00154EA1">
        <w:rPr>
          <w:rFonts w:ascii="Times New Roman" w:hAnsi="Times New Roman" w:cs="Times New Roman"/>
        </w:rPr>
        <w:t xml:space="preserve"> </w:t>
      </w:r>
      <w:r w:rsidR="00FC321A" w:rsidRPr="0096478E">
        <w:rPr>
          <w:rFonts w:ascii="Times New Roman" w:hAnsi="Times New Roman" w:cs="Times New Roman"/>
        </w:rPr>
        <w:t>7</w:t>
      </w:r>
      <w:r w:rsidR="00227206">
        <w:rPr>
          <w:rFonts w:ascii="Times New Roman" w:hAnsi="Times New Roman" w:cs="Times New Roman"/>
        </w:rPr>
        <w:t>)</w:t>
      </w:r>
      <w:r w:rsidR="00133148">
        <w:rPr>
          <w:rFonts w:ascii="Times New Roman" w:hAnsi="Times New Roman" w:cs="Times New Roman"/>
        </w:rPr>
        <w:t xml:space="preserve"> days after Time </w:t>
      </w:r>
      <w:r w:rsidR="00133148">
        <w:t>1</w:t>
      </w:r>
      <w:r w:rsidR="00133148">
        <w:rPr>
          <w:rFonts w:ascii="Times New Roman" w:hAnsi="Times New Roman" w:cs="Times New Roman"/>
        </w:rPr>
        <w:t xml:space="preserve"> were included in the test-retest analys</w:t>
      </w:r>
      <w:r w:rsidR="00DA4812">
        <w:rPr>
          <w:rFonts w:ascii="Times New Roman" w:hAnsi="Times New Roman" w:cs="Times New Roman"/>
        </w:rPr>
        <w:t>e</w:t>
      </w:r>
      <w:r w:rsidR="00133148">
        <w:rPr>
          <w:rFonts w:ascii="Times New Roman" w:hAnsi="Times New Roman" w:cs="Times New Roman"/>
        </w:rPr>
        <w:t>s</w:t>
      </w:r>
      <w:r w:rsidR="0033387D" w:rsidRPr="0096478E">
        <w:rPr>
          <w:rFonts w:ascii="Times New Roman" w:hAnsi="Times New Roman" w:cs="Times New Roman"/>
        </w:rPr>
        <w:t>.</w:t>
      </w:r>
      <w:r w:rsidR="00BC110E" w:rsidRPr="0096478E">
        <w:rPr>
          <w:rFonts w:ascii="Times New Roman" w:hAnsi="Times New Roman" w:cs="Times New Roman"/>
        </w:rPr>
        <w:t xml:space="preserve">  </w:t>
      </w:r>
      <w:r w:rsidR="00154EA1">
        <w:rPr>
          <w:rFonts w:ascii="Times New Roman" w:hAnsi="Times New Roman" w:cs="Times New Roman"/>
        </w:rPr>
        <w:t>C</w:t>
      </w:r>
      <w:r w:rsidR="0033387D" w:rsidRPr="0096478E">
        <w:rPr>
          <w:rFonts w:ascii="Times New Roman" w:hAnsi="Times New Roman" w:cs="Times New Roman"/>
        </w:rPr>
        <w:t>on</w:t>
      </w:r>
      <w:r w:rsidR="002D1233">
        <w:rPr>
          <w:rFonts w:ascii="Times New Roman" w:hAnsi="Times New Roman" w:cs="Times New Roman"/>
        </w:rPr>
        <w:t xml:space="preserve">struct </w:t>
      </w:r>
      <w:r w:rsidR="0033387D" w:rsidRPr="0096478E">
        <w:rPr>
          <w:rFonts w:ascii="Times New Roman" w:hAnsi="Times New Roman" w:cs="Times New Roman"/>
        </w:rPr>
        <w:t>validity was assessed using Pearson’s correlations between HAO</w:t>
      </w:r>
      <w:r w:rsidR="00725C0D">
        <w:rPr>
          <w:rFonts w:ascii="Times New Roman" w:hAnsi="Times New Roman" w:cs="Times New Roman"/>
        </w:rPr>
        <w:t xml:space="preserve"> at Time 1</w:t>
      </w:r>
      <w:r w:rsidR="0033387D" w:rsidRPr="0096478E">
        <w:rPr>
          <w:rFonts w:ascii="Times New Roman" w:hAnsi="Times New Roman" w:cs="Times New Roman"/>
        </w:rPr>
        <w:t xml:space="preserve"> and each of QPR, WEMWBS and INSPIRE</w:t>
      </w:r>
      <w:r w:rsidR="00BC110E" w:rsidRPr="0096478E">
        <w:rPr>
          <w:rFonts w:ascii="Times New Roman" w:hAnsi="Times New Roman" w:cs="Times New Roman"/>
        </w:rPr>
        <w:t xml:space="preserve">. </w:t>
      </w:r>
      <w:r w:rsidR="004A1C19">
        <w:rPr>
          <w:rFonts w:ascii="Times New Roman" w:hAnsi="Times New Roman" w:cs="Times New Roman"/>
        </w:rPr>
        <w:t xml:space="preserve"> </w:t>
      </w:r>
      <w:r w:rsidR="00BC110E" w:rsidRPr="0096478E">
        <w:rPr>
          <w:rFonts w:ascii="Times New Roman" w:hAnsi="Times New Roman" w:cs="Times New Roman"/>
        </w:rPr>
        <w:t xml:space="preserve">For the non-clinical group, Pearson’s correlations </w:t>
      </w:r>
      <w:r w:rsidR="00154EA1">
        <w:rPr>
          <w:rFonts w:ascii="Times New Roman" w:hAnsi="Times New Roman" w:cs="Times New Roman"/>
        </w:rPr>
        <w:t xml:space="preserve">were calculated </w:t>
      </w:r>
      <w:r w:rsidR="00BC110E" w:rsidRPr="0096478E">
        <w:rPr>
          <w:rFonts w:ascii="Times New Roman" w:hAnsi="Times New Roman" w:cs="Times New Roman"/>
        </w:rPr>
        <w:t>between HAO and each of WEMWBS and INSPIRE.</w:t>
      </w:r>
      <w:r w:rsidR="006342B3">
        <w:rPr>
          <w:rFonts w:ascii="Times New Roman" w:hAnsi="Times New Roman" w:cs="Times New Roman"/>
        </w:rPr>
        <w:t xml:space="preserve"> </w:t>
      </w:r>
      <w:r w:rsidR="00FC321A" w:rsidRPr="0096478E">
        <w:rPr>
          <w:rFonts w:ascii="Times New Roman" w:hAnsi="Times New Roman" w:cs="Times New Roman"/>
        </w:rPr>
        <w:t xml:space="preserve"> </w:t>
      </w:r>
      <w:r w:rsidR="002D1233">
        <w:rPr>
          <w:rFonts w:ascii="Times New Roman" w:hAnsi="Times New Roman" w:cs="Times New Roman"/>
        </w:rPr>
        <w:t>Exploratory analysis of the differences between the clinical and non-clinical groups used</w:t>
      </w:r>
      <w:r w:rsidR="006342B3" w:rsidRPr="006342B3">
        <w:rPr>
          <w:rFonts w:ascii="Times New Roman" w:hAnsi="Times New Roman" w:cs="Times New Roman"/>
        </w:rPr>
        <w:t xml:space="preserve"> </w:t>
      </w:r>
      <w:r w:rsidR="00DA4812">
        <w:rPr>
          <w:rFonts w:ascii="Times New Roman" w:hAnsi="Times New Roman" w:cs="Times New Roman"/>
        </w:rPr>
        <w:t xml:space="preserve">a </w:t>
      </w:r>
      <w:r w:rsidR="006342B3" w:rsidRPr="006342B3">
        <w:rPr>
          <w:rFonts w:ascii="Times New Roman" w:hAnsi="Times New Roman" w:cs="Times New Roman"/>
        </w:rPr>
        <w:t>repeated measure</w:t>
      </w:r>
      <w:r w:rsidR="00B92D46" w:rsidRPr="006342B3">
        <w:rPr>
          <w:rFonts w:ascii="Times New Roman" w:hAnsi="Times New Roman" w:cs="Times New Roman"/>
        </w:rPr>
        <w:t xml:space="preserve"> </w:t>
      </w:r>
      <w:r w:rsidR="00154EA1">
        <w:rPr>
          <w:rFonts w:ascii="Times New Roman" w:hAnsi="Times New Roman" w:cs="Times New Roman"/>
        </w:rPr>
        <w:t>ANOVA</w:t>
      </w:r>
      <w:r w:rsidR="00B92D46" w:rsidRPr="006342B3">
        <w:rPr>
          <w:rFonts w:ascii="Times New Roman" w:hAnsi="Times New Roman" w:cs="Times New Roman"/>
        </w:rPr>
        <w:t xml:space="preserve"> </w:t>
      </w:r>
      <w:r w:rsidR="006342B3" w:rsidRPr="006342B3">
        <w:rPr>
          <w:rFonts w:ascii="Times New Roman" w:hAnsi="Times New Roman" w:cs="Times New Roman"/>
        </w:rPr>
        <w:t xml:space="preserve">with </w:t>
      </w:r>
      <w:r w:rsidR="00760A2F">
        <w:rPr>
          <w:rFonts w:ascii="Times New Roman" w:hAnsi="Times New Roman" w:cs="Times New Roman"/>
        </w:rPr>
        <w:t>one between-</w:t>
      </w:r>
      <w:r w:rsidR="00154EA1">
        <w:rPr>
          <w:rFonts w:ascii="Times New Roman" w:hAnsi="Times New Roman" w:cs="Times New Roman"/>
        </w:rPr>
        <w:t>subject variable (</w:t>
      </w:r>
      <w:r w:rsidR="000360F6">
        <w:rPr>
          <w:rFonts w:ascii="Times New Roman" w:hAnsi="Times New Roman" w:cs="Times New Roman"/>
          <w:i/>
        </w:rPr>
        <w:t>G</w:t>
      </w:r>
      <w:r w:rsidR="007E5644" w:rsidRPr="00CF4267">
        <w:rPr>
          <w:rFonts w:ascii="Times New Roman" w:hAnsi="Times New Roman" w:cs="Times New Roman"/>
          <w:i/>
        </w:rPr>
        <w:t>roup</w:t>
      </w:r>
      <w:r w:rsidR="007E5644">
        <w:rPr>
          <w:rFonts w:ascii="Times New Roman" w:hAnsi="Times New Roman" w:cs="Times New Roman"/>
        </w:rPr>
        <w:t>)</w:t>
      </w:r>
      <w:r w:rsidR="006342B3" w:rsidRPr="006342B3">
        <w:rPr>
          <w:rFonts w:ascii="Times New Roman" w:hAnsi="Times New Roman" w:cs="Times New Roman"/>
        </w:rPr>
        <w:t xml:space="preserve"> </w:t>
      </w:r>
      <w:r w:rsidR="00760A2F">
        <w:rPr>
          <w:rFonts w:ascii="Times New Roman" w:hAnsi="Times New Roman" w:cs="Times New Roman"/>
        </w:rPr>
        <w:t>and one within-</w:t>
      </w:r>
      <w:r w:rsidR="00CF4267">
        <w:rPr>
          <w:rFonts w:ascii="Times New Roman" w:hAnsi="Times New Roman" w:cs="Times New Roman"/>
        </w:rPr>
        <w:t>subject variable (</w:t>
      </w:r>
      <w:r w:rsidR="000360F6">
        <w:rPr>
          <w:rFonts w:ascii="Times New Roman" w:hAnsi="Times New Roman" w:cs="Times New Roman"/>
          <w:i/>
          <w:iCs/>
        </w:rPr>
        <w:t>T</w:t>
      </w:r>
      <w:r w:rsidR="007E5644" w:rsidRPr="00CF4267">
        <w:rPr>
          <w:rFonts w:ascii="Times New Roman" w:hAnsi="Times New Roman" w:cs="Times New Roman"/>
          <w:i/>
        </w:rPr>
        <w:t>ime</w:t>
      </w:r>
      <w:r w:rsidR="007E5644">
        <w:rPr>
          <w:rFonts w:ascii="Times New Roman" w:hAnsi="Times New Roman" w:cs="Times New Roman"/>
        </w:rPr>
        <w:t>)</w:t>
      </w:r>
      <w:r w:rsidR="004A5719">
        <w:rPr>
          <w:rFonts w:ascii="Times New Roman" w:hAnsi="Times New Roman" w:cs="Times New Roman"/>
        </w:rPr>
        <w:t>, controlling for age and gender</w:t>
      </w:r>
      <w:r w:rsidR="006342B3" w:rsidRPr="006342B3">
        <w:rPr>
          <w:rFonts w:ascii="Times New Roman" w:hAnsi="Times New Roman" w:cs="Times New Roman"/>
        </w:rPr>
        <w:t>.</w:t>
      </w:r>
    </w:p>
    <w:p w14:paraId="22DE201D" w14:textId="77777777" w:rsidR="007E5644" w:rsidRDefault="007E5644" w:rsidP="00014439">
      <w:pPr>
        <w:spacing w:line="480" w:lineRule="auto"/>
        <w:rPr>
          <w:rFonts w:ascii="Times New Roman" w:hAnsi="Times New Roman" w:cs="Times New Roman"/>
          <w:b/>
        </w:rPr>
      </w:pPr>
    </w:p>
    <w:p w14:paraId="1AC43BB1" w14:textId="1EF01EBF" w:rsidR="00DD4B03" w:rsidRDefault="007E35D8" w:rsidP="00014439">
      <w:pPr>
        <w:spacing w:line="480" w:lineRule="auto"/>
        <w:rPr>
          <w:rFonts w:ascii="Times New Roman" w:hAnsi="Times New Roman" w:cs="Times New Roman"/>
          <w:b/>
        </w:rPr>
      </w:pPr>
      <w:r w:rsidRPr="0096478E">
        <w:rPr>
          <w:rFonts w:ascii="Times New Roman" w:hAnsi="Times New Roman" w:cs="Times New Roman"/>
          <w:b/>
        </w:rPr>
        <w:t>Results</w:t>
      </w:r>
    </w:p>
    <w:p w14:paraId="1A3CADED" w14:textId="5E7C3A34" w:rsidR="005B0986" w:rsidRPr="00367133" w:rsidRDefault="004979FF" w:rsidP="00014439">
      <w:pPr>
        <w:spacing w:line="480" w:lineRule="auto"/>
        <w:rPr>
          <w:rFonts w:ascii="Times New Roman" w:hAnsi="Times New Roman" w:cs="Times New Roman"/>
          <w:bCs/>
        </w:rPr>
      </w:pPr>
      <w:proofErr w:type="gramStart"/>
      <w:r w:rsidRPr="004979FF">
        <w:rPr>
          <w:rFonts w:ascii="Times New Roman" w:hAnsi="Times New Roman" w:cs="Times New Roman"/>
          <w:b/>
          <w:i/>
          <w:iCs/>
        </w:rPr>
        <w:t>Confirmatory Factor Analysis</w:t>
      </w:r>
      <w:r>
        <w:rPr>
          <w:rFonts w:ascii="Times New Roman" w:hAnsi="Times New Roman" w:cs="Times New Roman"/>
          <w:b/>
          <w:i/>
          <w:iCs/>
        </w:rPr>
        <w:t>.</w:t>
      </w:r>
      <w:proofErr w:type="gramEnd"/>
      <w:r>
        <w:rPr>
          <w:rFonts w:ascii="Times New Roman" w:hAnsi="Times New Roman" w:cs="Times New Roman"/>
          <w:b/>
          <w:i/>
          <w:iCs/>
        </w:rPr>
        <w:t xml:space="preserve">  </w:t>
      </w:r>
      <w:r w:rsidRPr="004979FF">
        <w:rPr>
          <w:rFonts w:ascii="Times New Roman" w:hAnsi="Times New Roman" w:cs="Times New Roman"/>
          <w:bCs/>
        </w:rPr>
        <w:t xml:space="preserve">A </w:t>
      </w:r>
      <w:r w:rsidR="004A5719">
        <w:rPr>
          <w:rFonts w:ascii="Times New Roman" w:hAnsi="Times New Roman" w:cs="Times New Roman"/>
          <w:bCs/>
        </w:rPr>
        <w:t>single</w:t>
      </w:r>
      <w:r w:rsidRPr="004979FF">
        <w:rPr>
          <w:rFonts w:ascii="Times New Roman" w:hAnsi="Times New Roman" w:cs="Times New Roman"/>
          <w:bCs/>
        </w:rPr>
        <w:t xml:space="preserve"> factor model </w:t>
      </w:r>
      <w:r>
        <w:rPr>
          <w:rFonts w:ascii="Times New Roman" w:hAnsi="Times New Roman" w:cs="Times New Roman"/>
          <w:bCs/>
        </w:rPr>
        <w:t>for</w:t>
      </w:r>
      <w:r w:rsidRPr="004979FF">
        <w:rPr>
          <w:rFonts w:ascii="Times New Roman" w:hAnsi="Times New Roman" w:cs="Times New Roman"/>
          <w:bCs/>
        </w:rPr>
        <w:t xml:space="preserve"> the </w:t>
      </w:r>
      <w:r w:rsidR="005B0986">
        <w:rPr>
          <w:rFonts w:ascii="Times New Roman" w:hAnsi="Times New Roman" w:cs="Times New Roman"/>
          <w:bCs/>
        </w:rPr>
        <w:t>clinical dataset was conducted on the four items of the HAO for the clinical group</w:t>
      </w:r>
      <w:r w:rsidR="000A5176">
        <w:rPr>
          <w:rFonts w:ascii="Times New Roman" w:hAnsi="Times New Roman" w:cs="Times New Roman"/>
          <w:bCs/>
        </w:rPr>
        <w:t xml:space="preserve">. </w:t>
      </w:r>
      <w:r w:rsidR="00443808">
        <w:rPr>
          <w:rFonts w:ascii="Times New Roman" w:hAnsi="Times New Roman" w:cs="Times New Roman"/>
          <w:bCs/>
        </w:rPr>
        <w:t xml:space="preserve"> </w:t>
      </w:r>
      <w:r w:rsidR="000A5176">
        <w:rPr>
          <w:rFonts w:ascii="Times New Roman" w:hAnsi="Times New Roman" w:cs="Times New Roman"/>
          <w:bCs/>
        </w:rPr>
        <w:t>The model indicated a good fit</w:t>
      </w:r>
      <w:r w:rsidR="00367133">
        <w:rPr>
          <w:rFonts w:ascii="Times New Roman" w:hAnsi="Times New Roman" w:cs="Times New Roman"/>
          <w:bCs/>
        </w:rPr>
        <w:t>,</w:t>
      </w:r>
      <w:r w:rsidR="000A5176">
        <w:rPr>
          <w:rFonts w:ascii="Times New Roman" w:hAnsi="Times New Roman" w:cs="Times New Roman"/>
          <w:bCs/>
        </w:rPr>
        <w:t xml:space="preserve"> </w:t>
      </w:r>
      <w:r w:rsidR="000A5176" w:rsidRPr="004979FF">
        <w:rPr>
          <w:rFonts w:ascii="Times New Roman" w:hAnsi="Times New Roman" w:cs="Times New Roman"/>
          <w:bCs/>
        </w:rPr>
        <w:t>χ</w:t>
      </w:r>
      <w:r w:rsidR="000A5176" w:rsidRPr="004979FF">
        <w:rPr>
          <w:rFonts w:ascii="Times New Roman" w:hAnsi="Times New Roman" w:cs="Times New Roman"/>
          <w:bCs/>
          <w:vertAlign w:val="superscript"/>
        </w:rPr>
        <w:t>2</w:t>
      </w:r>
      <w:r w:rsidR="000A5176">
        <w:rPr>
          <w:rFonts w:ascii="Times New Roman" w:hAnsi="Times New Roman" w:cs="Times New Roman"/>
          <w:bCs/>
          <w:vertAlign w:val="superscript"/>
        </w:rPr>
        <w:t xml:space="preserve"> </w:t>
      </w:r>
      <w:r w:rsidR="000A5176" w:rsidRPr="004979FF">
        <w:rPr>
          <w:rFonts w:ascii="Times New Roman" w:hAnsi="Times New Roman" w:cs="Times New Roman"/>
          <w:bCs/>
        </w:rPr>
        <w:t>(</w:t>
      </w:r>
      <w:r w:rsidR="000A5176">
        <w:rPr>
          <w:rFonts w:ascii="Times New Roman" w:hAnsi="Times New Roman" w:cs="Times New Roman"/>
          <w:bCs/>
        </w:rPr>
        <w:t>2</w:t>
      </w:r>
      <w:r w:rsidR="000A5176" w:rsidRPr="004979FF">
        <w:rPr>
          <w:rFonts w:ascii="Times New Roman" w:hAnsi="Times New Roman" w:cs="Times New Roman"/>
          <w:bCs/>
        </w:rPr>
        <w:t xml:space="preserve">, </w:t>
      </w:r>
      <w:r w:rsidR="000A5176">
        <w:rPr>
          <w:rFonts w:ascii="Times New Roman" w:hAnsi="Times New Roman" w:cs="Times New Roman"/>
          <w:bCs/>
          <w:i/>
          <w:iCs/>
        </w:rPr>
        <w:t>n</w:t>
      </w:r>
      <w:r w:rsidR="00D57F29">
        <w:rPr>
          <w:rFonts w:ascii="Times New Roman" w:hAnsi="Times New Roman" w:cs="Times New Roman"/>
          <w:bCs/>
        </w:rPr>
        <w:t>=</w:t>
      </w:r>
      <w:r w:rsidR="000A5176">
        <w:rPr>
          <w:rFonts w:ascii="Times New Roman" w:hAnsi="Times New Roman" w:cs="Times New Roman"/>
          <w:bCs/>
        </w:rPr>
        <w:t>139</w:t>
      </w:r>
      <w:proofErr w:type="gramStart"/>
      <w:r w:rsidR="00D57F29">
        <w:rPr>
          <w:rFonts w:ascii="Times New Roman" w:hAnsi="Times New Roman" w:cs="Times New Roman"/>
          <w:bCs/>
        </w:rPr>
        <w:t>)=</w:t>
      </w:r>
      <w:proofErr w:type="gramEnd"/>
      <w:r w:rsidR="000A5176">
        <w:rPr>
          <w:rFonts w:ascii="Times New Roman" w:hAnsi="Times New Roman" w:cs="Times New Roman"/>
          <w:bCs/>
        </w:rPr>
        <w:t>0</w:t>
      </w:r>
      <w:r w:rsidR="000A5176" w:rsidRPr="004979FF">
        <w:rPr>
          <w:rFonts w:ascii="Times New Roman" w:hAnsi="Times New Roman" w:cs="Times New Roman"/>
          <w:bCs/>
        </w:rPr>
        <w:t>.</w:t>
      </w:r>
      <w:r w:rsidR="000A5176">
        <w:rPr>
          <w:rFonts w:ascii="Times New Roman" w:hAnsi="Times New Roman" w:cs="Times New Roman"/>
          <w:bCs/>
        </w:rPr>
        <w:t>90</w:t>
      </w:r>
      <w:r w:rsidR="000A5176" w:rsidRPr="004979FF">
        <w:rPr>
          <w:rFonts w:ascii="Times New Roman" w:hAnsi="Times New Roman" w:cs="Times New Roman"/>
          <w:bCs/>
        </w:rPr>
        <w:t>,</w:t>
      </w:r>
      <w:r w:rsidR="00D57F29">
        <w:rPr>
          <w:rFonts w:ascii="Times New Roman" w:hAnsi="Times New Roman" w:cs="Times New Roman"/>
          <w:bCs/>
        </w:rPr>
        <w:t xml:space="preserve"> </w:t>
      </w:r>
      <w:r w:rsidR="00D57F29" w:rsidRPr="006F34B0">
        <w:rPr>
          <w:rFonts w:ascii="Times New Roman" w:hAnsi="Times New Roman" w:cs="Times New Roman"/>
          <w:bCs/>
          <w:i/>
        </w:rPr>
        <w:t>p</w:t>
      </w:r>
      <w:r w:rsidR="00D57F29">
        <w:rPr>
          <w:rFonts w:ascii="Times New Roman" w:hAnsi="Times New Roman" w:cs="Times New Roman"/>
          <w:bCs/>
        </w:rPr>
        <w:t>=</w:t>
      </w:r>
      <w:r w:rsidR="008239DC">
        <w:rPr>
          <w:rFonts w:ascii="Times New Roman" w:hAnsi="Times New Roman" w:cs="Times New Roman"/>
          <w:bCs/>
        </w:rPr>
        <w:t>0</w:t>
      </w:r>
      <w:r w:rsidR="000A5176">
        <w:rPr>
          <w:rFonts w:ascii="Times New Roman" w:hAnsi="Times New Roman" w:cs="Times New Roman"/>
          <w:bCs/>
        </w:rPr>
        <w:t xml:space="preserve">.64; </w:t>
      </w:r>
      <w:r w:rsidR="00D57F29">
        <w:rPr>
          <w:rFonts w:ascii="Times New Roman" w:hAnsi="Times New Roman" w:cs="Times New Roman"/>
          <w:bCs/>
        </w:rPr>
        <w:t>CFI=</w:t>
      </w:r>
      <w:r w:rsidR="00A95A59">
        <w:rPr>
          <w:rFonts w:ascii="Times New Roman" w:hAnsi="Times New Roman" w:cs="Times New Roman"/>
          <w:bCs/>
        </w:rPr>
        <w:t>1</w:t>
      </w:r>
      <w:r w:rsidR="00D57F29">
        <w:rPr>
          <w:rFonts w:ascii="Times New Roman" w:hAnsi="Times New Roman" w:cs="Times New Roman"/>
          <w:bCs/>
        </w:rPr>
        <w:t>.00, RMSEA=</w:t>
      </w:r>
      <w:r w:rsidR="000A5176" w:rsidRPr="004979FF">
        <w:rPr>
          <w:rFonts w:ascii="Times New Roman" w:hAnsi="Times New Roman" w:cs="Times New Roman"/>
          <w:bCs/>
        </w:rPr>
        <w:t>0.000</w:t>
      </w:r>
      <w:r w:rsidR="00D57F29">
        <w:rPr>
          <w:rFonts w:ascii="Times New Roman" w:hAnsi="Times New Roman" w:cs="Times New Roman"/>
          <w:bCs/>
        </w:rPr>
        <w:t xml:space="preserve"> (90% CI: </w:t>
      </w:r>
      <w:r w:rsidR="006F34B0">
        <w:rPr>
          <w:rFonts w:ascii="Times New Roman" w:hAnsi="Times New Roman" w:cs="Times New Roman"/>
          <w:bCs/>
        </w:rPr>
        <w:t>0</w:t>
      </w:r>
      <w:r w:rsidR="00D57F29">
        <w:rPr>
          <w:rFonts w:ascii="Times New Roman" w:hAnsi="Times New Roman" w:cs="Times New Roman"/>
          <w:bCs/>
        </w:rPr>
        <w:t>.00-</w:t>
      </w:r>
      <w:r w:rsidR="006F34B0">
        <w:rPr>
          <w:rFonts w:ascii="Times New Roman" w:hAnsi="Times New Roman" w:cs="Times New Roman"/>
          <w:bCs/>
        </w:rPr>
        <w:t>0</w:t>
      </w:r>
      <w:r w:rsidR="00A95A59">
        <w:rPr>
          <w:rFonts w:ascii="Times New Roman" w:hAnsi="Times New Roman" w:cs="Times New Roman"/>
          <w:bCs/>
        </w:rPr>
        <w:t>.14)</w:t>
      </w:r>
      <w:r w:rsidR="00C165BD">
        <w:rPr>
          <w:rFonts w:ascii="Times New Roman" w:hAnsi="Times New Roman" w:cs="Times New Roman"/>
          <w:bCs/>
        </w:rPr>
        <w:t xml:space="preserve">, for individual paths in </w:t>
      </w:r>
      <w:r w:rsidR="00C165BD" w:rsidRPr="00367133">
        <w:rPr>
          <w:rFonts w:ascii="Times New Roman" w:hAnsi="Times New Roman" w:cs="Times New Roman"/>
          <w:bCs/>
        </w:rPr>
        <w:t xml:space="preserve">the model </w:t>
      </w:r>
      <w:r w:rsidR="00367133" w:rsidRPr="00367133">
        <w:rPr>
          <w:rFonts w:ascii="Times New Roman" w:hAnsi="Times New Roman" w:cs="Times New Roman"/>
          <w:bCs/>
        </w:rPr>
        <w:t>(</w:t>
      </w:r>
      <w:r w:rsidR="00C165BD" w:rsidRPr="00367133">
        <w:rPr>
          <w:rFonts w:ascii="Times New Roman" w:hAnsi="Times New Roman" w:cs="Times New Roman"/>
          <w:bCs/>
        </w:rPr>
        <w:t xml:space="preserve">see </w:t>
      </w:r>
      <w:r w:rsidR="00367133" w:rsidRPr="00367133">
        <w:rPr>
          <w:rFonts w:ascii="Times New Roman" w:hAnsi="Times New Roman" w:cs="Times New Roman"/>
          <w:bCs/>
        </w:rPr>
        <w:t>F</w:t>
      </w:r>
      <w:r w:rsidR="00C165BD" w:rsidRPr="00367133">
        <w:rPr>
          <w:rFonts w:ascii="Times New Roman" w:hAnsi="Times New Roman" w:cs="Times New Roman"/>
          <w:bCs/>
        </w:rPr>
        <w:t xml:space="preserve">igure </w:t>
      </w:r>
      <w:r w:rsidR="00367133" w:rsidRPr="00367133">
        <w:rPr>
          <w:rFonts w:ascii="Times New Roman" w:hAnsi="Times New Roman" w:cs="Times New Roman"/>
          <w:bCs/>
        </w:rPr>
        <w:t>2)</w:t>
      </w:r>
      <w:r w:rsidR="000A5176" w:rsidRPr="00367133">
        <w:rPr>
          <w:rFonts w:ascii="Times New Roman" w:hAnsi="Times New Roman" w:cs="Times New Roman"/>
          <w:bCs/>
        </w:rPr>
        <w:t xml:space="preserve">.  </w:t>
      </w:r>
    </w:p>
    <w:p w14:paraId="5733A5C5" w14:textId="77777777" w:rsidR="00C165BD" w:rsidRPr="00367133" w:rsidRDefault="00C165BD" w:rsidP="00014439">
      <w:pPr>
        <w:spacing w:line="480" w:lineRule="auto"/>
        <w:rPr>
          <w:rFonts w:ascii="Times New Roman" w:hAnsi="Times New Roman" w:cs="Times New Roman"/>
          <w:bCs/>
        </w:rPr>
      </w:pPr>
    </w:p>
    <w:p w14:paraId="3ADF3FE7" w14:textId="35D7F040" w:rsidR="00C165BD" w:rsidRDefault="00C165BD" w:rsidP="00014439">
      <w:pPr>
        <w:spacing w:line="480" w:lineRule="auto"/>
        <w:jc w:val="center"/>
        <w:rPr>
          <w:rFonts w:ascii="Times New Roman" w:hAnsi="Times New Roman" w:cs="Times New Roman"/>
        </w:rPr>
      </w:pPr>
      <w:r w:rsidRPr="00443808">
        <w:rPr>
          <w:rFonts w:ascii="Times New Roman" w:hAnsi="Times New Roman" w:cs="Times New Roman"/>
        </w:rPr>
        <w:t xml:space="preserve">Figure </w:t>
      </w:r>
      <w:r w:rsidR="00367133" w:rsidRPr="00443808">
        <w:rPr>
          <w:rFonts w:ascii="Times New Roman" w:hAnsi="Times New Roman" w:cs="Times New Roman"/>
        </w:rPr>
        <w:t>2</w:t>
      </w:r>
      <w:r w:rsidRPr="00443808">
        <w:rPr>
          <w:rFonts w:ascii="Times New Roman" w:hAnsi="Times New Roman" w:cs="Times New Roman"/>
        </w:rPr>
        <w:t xml:space="preserve"> about here</w:t>
      </w:r>
    </w:p>
    <w:p w14:paraId="736B53A0" w14:textId="77777777" w:rsidR="00C165BD" w:rsidRDefault="00C165BD" w:rsidP="00014439">
      <w:pPr>
        <w:spacing w:line="480" w:lineRule="auto"/>
        <w:rPr>
          <w:rFonts w:ascii="Times New Roman" w:hAnsi="Times New Roman" w:cs="Times New Roman"/>
          <w:bCs/>
        </w:rPr>
      </w:pPr>
    </w:p>
    <w:p w14:paraId="25A0E82B" w14:textId="5FB7F489" w:rsidR="00A95A59" w:rsidRDefault="00A95A59" w:rsidP="00014439">
      <w:pPr>
        <w:spacing w:line="480" w:lineRule="auto"/>
        <w:ind w:firstLine="720"/>
        <w:rPr>
          <w:rFonts w:ascii="Times New Roman" w:hAnsi="Times New Roman" w:cs="Times New Roman"/>
          <w:bCs/>
        </w:rPr>
      </w:pPr>
      <w:r>
        <w:rPr>
          <w:rFonts w:ascii="Times New Roman" w:hAnsi="Times New Roman" w:cs="Times New Roman"/>
          <w:bCs/>
        </w:rPr>
        <w:t xml:space="preserve">The three item HAO </w:t>
      </w:r>
      <w:r w:rsidR="00443808">
        <w:rPr>
          <w:rFonts w:ascii="Times New Roman" w:hAnsi="Times New Roman" w:cs="Times New Roman"/>
          <w:bCs/>
        </w:rPr>
        <w:t>was</w:t>
      </w:r>
      <w:r>
        <w:rPr>
          <w:rFonts w:ascii="Times New Roman" w:hAnsi="Times New Roman" w:cs="Times New Roman"/>
          <w:bCs/>
        </w:rPr>
        <w:t xml:space="preserve"> also assessed as a single factor model for </w:t>
      </w:r>
      <w:r w:rsidR="00443808">
        <w:rPr>
          <w:rFonts w:ascii="Times New Roman" w:hAnsi="Times New Roman" w:cs="Times New Roman"/>
          <w:bCs/>
        </w:rPr>
        <w:t>the clinical and</w:t>
      </w:r>
      <w:r>
        <w:rPr>
          <w:rFonts w:ascii="Times New Roman" w:hAnsi="Times New Roman" w:cs="Times New Roman"/>
          <w:bCs/>
        </w:rPr>
        <w:t xml:space="preserve"> non-clinical group</w:t>
      </w:r>
      <w:r w:rsidR="00443808">
        <w:rPr>
          <w:rFonts w:ascii="Times New Roman" w:hAnsi="Times New Roman" w:cs="Times New Roman"/>
          <w:bCs/>
        </w:rPr>
        <w:t>s</w:t>
      </w:r>
      <w:r>
        <w:rPr>
          <w:rFonts w:ascii="Times New Roman" w:hAnsi="Times New Roman" w:cs="Times New Roman"/>
          <w:bCs/>
        </w:rPr>
        <w:t xml:space="preserve">. </w:t>
      </w:r>
      <w:r w:rsidR="00443808">
        <w:rPr>
          <w:rFonts w:ascii="Times New Roman" w:hAnsi="Times New Roman" w:cs="Times New Roman"/>
          <w:bCs/>
        </w:rPr>
        <w:t xml:space="preserve"> </w:t>
      </w:r>
      <w:r w:rsidR="00BD79FE">
        <w:rPr>
          <w:rFonts w:ascii="Times New Roman" w:hAnsi="Times New Roman" w:cs="Times New Roman"/>
          <w:bCs/>
        </w:rPr>
        <w:t>When there are no additional const</w:t>
      </w:r>
      <w:r w:rsidR="007D1DCA">
        <w:rPr>
          <w:rFonts w:ascii="Times New Roman" w:hAnsi="Times New Roman" w:cs="Times New Roman"/>
          <w:bCs/>
        </w:rPr>
        <w:t>raints specified in a one-factor model with three indicators th</w:t>
      </w:r>
      <w:r w:rsidR="00443808">
        <w:rPr>
          <w:rFonts w:ascii="Times New Roman" w:hAnsi="Times New Roman" w:cs="Times New Roman"/>
          <w:bCs/>
        </w:rPr>
        <w:t>e</w:t>
      </w:r>
      <w:r w:rsidR="007D1DCA">
        <w:rPr>
          <w:rFonts w:ascii="Times New Roman" w:hAnsi="Times New Roman" w:cs="Times New Roman"/>
          <w:bCs/>
        </w:rPr>
        <w:t xml:space="preserve"> model </w:t>
      </w:r>
      <w:r w:rsidR="00443808">
        <w:rPr>
          <w:rFonts w:ascii="Times New Roman" w:hAnsi="Times New Roman" w:cs="Times New Roman"/>
          <w:bCs/>
        </w:rPr>
        <w:t xml:space="preserve">is </w:t>
      </w:r>
      <w:r w:rsidR="007D1DCA">
        <w:rPr>
          <w:rFonts w:ascii="Times New Roman" w:hAnsi="Times New Roman" w:cs="Times New Roman"/>
          <w:bCs/>
        </w:rPr>
        <w:t>just-identified and show</w:t>
      </w:r>
      <w:r w:rsidR="00443808">
        <w:rPr>
          <w:rFonts w:ascii="Times New Roman" w:hAnsi="Times New Roman" w:cs="Times New Roman"/>
          <w:bCs/>
        </w:rPr>
        <w:t>s</w:t>
      </w:r>
      <w:r w:rsidR="007D1DCA">
        <w:rPr>
          <w:rFonts w:ascii="Times New Roman" w:hAnsi="Times New Roman" w:cs="Times New Roman"/>
          <w:bCs/>
        </w:rPr>
        <w:t xml:space="preserve"> individual parameters of the model but </w:t>
      </w:r>
      <w:r w:rsidR="00443808">
        <w:rPr>
          <w:rFonts w:ascii="Times New Roman" w:hAnsi="Times New Roman" w:cs="Times New Roman"/>
          <w:bCs/>
        </w:rPr>
        <w:t xml:space="preserve">does </w:t>
      </w:r>
      <w:r w:rsidR="007D1DCA">
        <w:rPr>
          <w:rFonts w:ascii="Times New Roman" w:hAnsi="Times New Roman" w:cs="Times New Roman"/>
          <w:bCs/>
        </w:rPr>
        <w:t xml:space="preserve">not produce goodness of fit indices. </w:t>
      </w:r>
      <w:r w:rsidR="00443808">
        <w:rPr>
          <w:rFonts w:ascii="Times New Roman" w:hAnsi="Times New Roman" w:cs="Times New Roman"/>
          <w:bCs/>
        </w:rPr>
        <w:t xml:space="preserve"> </w:t>
      </w:r>
      <w:r w:rsidR="007D1DCA">
        <w:rPr>
          <w:rFonts w:ascii="Times New Roman" w:hAnsi="Times New Roman" w:cs="Times New Roman"/>
          <w:bCs/>
        </w:rPr>
        <w:t xml:space="preserve">In order to identify the model with the three items, we </w:t>
      </w:r>
      <w:r w:rsidR="00C165BD">
        <w:rPr>
          <w:rFonts w:ascii="Times New Roman" w:hAnsi="Times New Roman" w:cs="Times New Roman"/>
          <w:bCs/>
        </w:rPr>
        <w:t xml:space="preserve">looked at the individual paths, and constrained the </w:t>
      </w:r>
      <w:r w:rsidR="00213DDF">
        <w:rPr>
          <w:rFonts w:ascii="Times New Roman" w:hAnsi="Times New Roman" w:cs="Times New Roman"/>
          <w:bCs/>
        </w:rPr>
        <w:t>measurement residuals</w:t>
      </w:r>
      <w:r w:rsidR="008B101D">
        <w:rPr>
          <w:rFonts w:ascii="Times New Roman" w:hAnsi="Times New Roman" w:cs="Times New Roman"/>
          <w:bCs/>
        </w:rPr>
        <w:t>.</w:t>
      </w:r>
    </w:p>
    <w:p w14:paraId="3ABF70CE" w14:textId="14765D7E" w:rsidR="00443808" w:rsidRDefault="0002010A" w:rsidP="00014439">
      <w:pPr>
        <w:spacing w:line="480" w:lineRule="auto"/>
        <w:ind w:firstLine="720"/>
        <w:rPr>
          <w:rFonts w:ascii="Times New Roman" w:hAnsi="Times New Roman" w:cs="Times New Roman"/>
          <w:bCs/>
        </w:rPr>
      </w:pPr>
      <w:r w:rsidRPr="00154B5F">
        <w:rPr>
          <w:rFonts w:ascii="Times New Roman" w:hAnsi="Times New Roman" w:cs="Times New Roman"/>
          <w:bCs/>
        </w:rPr>
        <w:t>A multi</w:t>
      </w:r>
      <w:r w:rsidR="00443808">
        <w:rPr>
          <w:rFonts w:ascii="Times New Roman" w:hAnsi="Times New Roman" w:cs="Times New Roman"/>
          <w:bCs/>
        </w:rPr>
        <w:t>-</w:t>
      </w:r>
      <w:r w:rsidRPr="00154B5F">
        <w:rPr>
          <w:rFonts w:ascii="Times New Roman" w:hAnsi="Times New Roman" w:cs="Times New Roman"/>
          <w:bCs/>
        </w:rPr>
        <w:t>group analys</w:t>
      </w:r>
      <w:r w:rsidR="00443808">
        <w:rPr>
          <w:rFonts w:ascii="Times New Roman" w:hAnsi="Times New Roman" w:cs="Times New Roman"/>
          <w:bCs/>
        </w:rPr>
        <w:t>i</w:t>
      </w:r>
      <w:r w:rsidRPr="00154B5F">
        <w:rPr>
          <w:rFonts w:ascii="Times New Roman" w:hAnsi="Times New Roman" w:cs="Times New Roman"/>
          <w:bCs/>
        </w:rPr>
        <w:t xml:space="preserve">s of the model was conducted </w:t>
      </w:r>
      <w:r w:rsidR="00213DDF" w:rsidRPr="00154B5F">
        <w:rPr>
          <w:rFonts w:ascii="Times New Roman" w:hAnsi="Times New Roman" w:cs="Times New Roman"/>
          <w:bCs/>
        </w:rPr>
        <w:t>where only the measurement residuals were restricted to be equal between groups</w:t>
      </w:r>
      <w:r w:rsidRPr="00154B5F">
        <w:rPr>
          <w:rFonts w:ascii="Times New Roman" w:hAnsi="Times New Roman" w:cs="Times New Roman"/>
          <w:bCs/>
        </w:rPr>
        <w:t xml:space="preserve">. </w:t>
      </w:r>
      <w:r w:rsidR="00443808">
        <w:rPr>
          <w:rFonts w:ascii="Times New Roman" w:hAnsi="Times New Roman" w:cs="Times New Roman"/>
          <w:bCs/>
        </w:rPr>
        <w:t xml:space="preserve"> </w:t>
      </w:r>
      <w:r w:rsidRPr="00154B5F">
        <w:rPr>
          <w:rFonts w:ascii="Times New Roman" w:hAnsi="Times New Roman" w:cs="Times New Roman"/>
          <w:bCs/>
        </w:rPr>
        <w:t>Goodness of fit indices for this baseline model indicated a good model fit</w:t>
      </w:r>
      <w:r w:rsidR="00213DDF" w:rsidRPr="00154B5F">
        <w:rPr>
          <w:rFonts w:ascii="Times New Roman" w:hAnsi="Times New Roman" w:cs="Times New Roman"/>
          <w:bCs/>
        </w:rPr>
        <w:t>: χ</w:t>
      </w:r>
      <w:r w:rsidR="00213DDF" w:rsidRPr="00154B5F">
        <w:rPr>
          <w:rFonts w:ascii="Times New Roman" w:hAnsi="Times New Roman" w:cs="Times New Roman"/>
          <w:bCs/>
          <w:vertAlign w:val="superscript"/>
          <w:lang w:val="en-GB"/>
        </w:rPr>
        <w:t xml:space="preserve">2 </w:t>
      </w:r>
      <w:r w:rsidR="00213DDF" w:rsidRPr="00154B5F">
        <w:rPr>
          <w:rFonts w:ascii="Times New Roman" w:hAnsi="Times New Roman" w:cs="Times New Roman"/>
          <w:bCs/>
          <w:lang w:val="en-GB"/>
        </w:rPr>
        <w:t>(</w:t>
      </w:r>
      <w:r w:rsidR="00E04B97" w:rsidRPr="00154B5F">
        <w:rPr>
          <w:rFonts w:ascii="Times New Roman" w:hAnsi="Times New Roman" w:cs="Times New Roman"/>
          <w:bCs/>
          <w:lang w:val="en-GB"/>
        </w:rPr>
        <w:t>3</w:t>
      </w:r>
      <w:r w:rsidR="00213DDF" w:rsidRPr="00154B5F">
        <w:rPr>
          <w:rFonts w:ascii="Times New Roman" w:hAnsi="Times New Roman" w:cs="Times New Roman"/>
          <w:bCs/>
          <w:lang w:val="en-GB"/>
        </w:rPr>
        <w:t xml:space="preserve">, </w:t>
      </w:r>
      <w:r w:rsidR="00213DDF" w:rsidRPr="00154B5F">
        <w:rPr>
          <w:rFonts w:ascii="Times New Roman" w:hAnsi="Times New Roman" w:cs="Times New Roman"/>
          <w:bCs/>
          <w:i/>
          <w:iCs/>
          <w:lang w:val="en-GB"/>
        </w:rPr>
        <w:t>n</w:t>
      </w:r>
      <w:r w:rsidR="00D57F29">
        <w:rPr>
          <w:rFonts w:ascii="Times New Roman" w:hAnsi="Times New Roman" w:cs="Times New Roman"/>
          <w:bCs/>
          <w:lang w:val="en-GB"/>
        </w:rPr>
        <w:t>=340</w:t>
      </w:r>
      <w:proofErr w:type="gramStart"/>
      <w:r w:rsidR="00D57F29">
        <w:rPr>
          <w:rFonts w:ascii="Times New Roman" w:hAnsi="Times New Roman" w:cs="Times New Roman"/>
          <w:bCs/>
          <w:lang w:val="en-GB"/>
        </w:rPr>
        <w:t>)=</w:t>
      </w:r>
      <w:proofErr w:type="gramEnd"/>
      <w:r w:rsidR="00E04B97" w:rsidRPr="00154B5F">
        <w:rPr>
          <w:rFonts w:ascii="Times New Roman" w:hAnsi="Times New Roman" w:cs="Times New Roman"/>
          <w:bCs/>
          <w:lang w:val="en-GB"/>
        </w:rPr>
        <w:t>1.99</w:t>
      </w:r>
      <w:r w:rsidR="00213DDF" w:rsidRPr="00154B5F">
        <w:rPr>
          <w:rFonts w:ascii="Times New Roman" w:hAnsi="Times New Roman" w:cs="Times New Roman"/>
          <w:bCs/>
          <w:lang w:val="en-GB"/>
        </w:rPr>
        <w:t xml:space="preserve">, </w:t>
      </w:r>
      <w:r w:rsidR="00D57F29">
        <w:rPr>
          <w:rFonts w:ascii="Times New Roman" w:hAnsi="Times New Roman" w:cs="Times New Roman"/>
          <w:bCs/>
          <w:i/>
          <w:iCs/>
          <w:lang w:val="en-GB"/>
        </w:rPr>
        <w:t>p</w:t>
      </w:r>
      <w:r w:rsidR="00213DDF" w:rsidRPr="00154B5F">
        <w:rPr>
          <w:rFonts w:ascii="Times New Roman" w:hAnsi="Times New Roman" w:cs="Times New Roman"/>
          <w:bCs/>
          <w:i/>
          <w:iCs/>
          <w:lang w:val="en-GB"/>
        </w:rPr>
        <w:t>=</w:t>
      </w:r>
      <w:r w:rsidR="006F34B0">
        <w:rPr>
          <w:rFonts w:ascii="Times New Roman" w:hAnsi="Times New Roman" w:cs="Times New Roman"/>
          <w:bCs/>
          <w:iCs/>
          <w:lang w:val="en-GB"/>
        </w:rPr>
        <w:t>0</w:t>
      </w:r>
      <w:r w:rsidR="00213DDF" w:rsidRPr="00154B5F">
        <w:rPr>
          <w:rFonts w:ascii="Times New Roman" w:hAnsi="Times New Roman" w:cs="Times New Roman"/>
          <w:bCs/>
          <w:lang w:val="en-GB"/>
        </w:rPr>
        <w:t>.</w:t>
      </w:r>
      <w:r w:rsidR="00E04B97" w:rsidRPr="00154B5F">
        <w:rPr>
          <w:rFonts w:ascii="Times New Roman" w:hAnsi="Times New Roman" w:cs="Times New Roman"/>
          <w:bCs/>
          <w:lang w:val="en-GB"/>
        </w:rPr>
        <w:t>57</w:t>
      </w:r>
      <w:r w:rsidR="00D57F29">
        <w:rPr>
          <w:rFonts w:ascii="Times New Roman" w:hAnsi="Times New Roman" w:cs="Times New Roman"/>
          <w:bCs/>
          <w:lang w:val="en-GB"/>
        </w:rPr>
        <w:t>; CFI=</w:t>
      </w:r>
      <w:r w:rsidR="00E04B97" w:rsidRPr="00154B5F">
        <w:rPr>
          <w:rFonts w:ascii="Times New Roman" w:hAnsi="Times New Roman" w:cs="Times New Roman"/>
          <w:bCs/>
          <w:lang w:val="en-GB"/>
        </w:rPr>
        <w:t>1.00</w:t>
      </w:r>
      <w:r w:rsidR="00D57F29">
        <w:rPr>
          <w:rFonts w:ascii="Times New Roman" w:hAnsi="Times New Roman" w:cs="Times New Roman"/>
          <w:bCs/>
          <w:lang w:val="en-GB"/>
        </w:rPr>
        <w:t>, RMSEA=</w:t>
      </w:r>
      <w:r w:rsidR="00213DDF" w:rsidRPr="00154B5F">
        <w:rPr>
          <w:rFonts w:ascii="Times New Roman" w:hAnsi="Times New Roman" w:cs="Times New Roman"/>
          <w:bCs/>
          <w:lang w:val="en-GB"/>
        </w:rPr>
        <w:t>0.0</w:t>
      </w:r>
      <w:r w:rsidR="00E04B97" w:rsidRPr="00154B5F">
        <w:rPr>
          <w:rFonts w:ascii="Times New Roman" w:hAnsi="Times New Roman" w:cs="Times New Roman"/>
          <w:bCs/>
          <w:lang w:val="en-GB"/>
        </w:rPr>
        <w:t>0</w:t>
      </w:r>
      <w:r w:rsidR="00D57F29">
        <w:rPr>
          <w:rFonts w:ascii="Times New Roman" w:hAnsi="Times New Roman" w:cs="Times New Roman"/>
          <w:bCs/>
          <w:lang w:val="en-GB"/>
        </w:rPr>
        <w:t xml:space="preserve"> (90% CI: </w:t>
      </w:r>
      <w:r w:rsidR="006F34B0">
        <w:rPr>
          <w:rFonts w:ascii="Times New Roman" w:hAnsi="Times New Roman" w:cs="Times New Roman"/>
          <w:bCs/>
          <w:lang w:val="en-GB"/>
        </w:rPr>
        <w:t>0</w:t>
      </w:r>
      <w:r w:rsidR="00D57F29">
        <w:rPr>
          <w:rFonts w:ascii="Times New Roman" w:hAnsi="Times New Roman" w:cs="Times New Roman"/>
          <w:bCs/>
          <w:lang w:val="en-GB"/>
        </w:rPr>
        <w:t>.00-</w:t>
      </w:r>
      <w:r w:rsidR="006F34B0">
        <w:rPr>
          <w:rFonts w:ascii="Times New Roman" w:hAnsi="Times New Roman" w:cs="Times New Roman"/>
          <w:bCs/>
          <w:lang w:val="en-GB"/>
        </w:rPr>
        <w:t>0</w:t>
      </w:r>
      <w:r w:rsidR="00213DDF" w:rsidRPr="00154B5F">
        <w:rPr>
          <w:rFonts w:ascii="Times New Roman" w:hAnsi="Times New Roman" w:cs="Times New Roman"/>
          <w:bCs/>
          <w:lang w:val="en-GB"/>
        </w:rPr>
        <w:t>.0</w:t>
      </w:r>
      <w:r w:rsidR="00E04B97" w:rsidRPr="00154B5F">
        <w:rPr>
          <w:rFonts w:ascii="Times New Roman" w:hAnsi="Times New Roman" w:cs="Times New Roman"/>
          <w:bCs/>
          <w:lang w:val="en-GB"/>
        </w:rPr>
        <w:t>8</w:t>
      </w:r>
      <w:r w:rsidR="00213DDF" w:rsidRPr="00154B5F">
        <w:rPr>
          <w:rFonts w:ascii="Times New Roman" w:hAnsi="Times New Roman" w:cs="Times New Roman"/>
          <w:bCs/>
          <w:lang w:val="en-GB"/>
        </w:rPr>
        <w:t>).</w:t>
      </w:r>
      <w:r w:rsidR="00EC119A" w:rsidRPr="00154B5F">
        <w:rPr>
          <w:rFonts w:ascii="Times New Roman" w:hAnsi="Times New Roman" w:cs="Times New Roman"/>
          <w:bCs/>
          <w:lang w:val="en-GB"/>
        </w:rPr>
        <w:t xml:space="preserve"> </w:t>
      </w:r>
      <w:r w:rsidR="00443808">
        <w:rPr>
          <w:rFonts w:ascii="Times New Roman" w:hAnsi="Times New Roman" w:cs="Times New Roman"/>
          <w:bCs/>
          <w:lang w:val="en-GB"/>
        </w:rPr>
        <w:t xml:space="preserve"> A</w:t>
      </w:r>
      <w:r w:rsidR="007E7AC7" w:rsidRPr="00154B5F">
        <w:rPr>
          <w:rFonts w:ascii="Times New Roman" w:hAnsi="Times New Roman" w:cs="Times New Roman"/>
          <w:bCs/>
          <w:lang w:val="en-GB"/>
        </w:rPr>
        <w:t>dditional</w:t>
      </w:r>
      <w:r w:rsidR="00EC119A" w:rsidRPr="00154B5F">
        <w:rPr>
          <w:rFonts w:ascii="Times New Roman" w:hAnsi="Times New Roman" w:cs="Times New Roman"/>
          <w:bCs/>
          <w:lang w:val="en-GB"/>
        </w:rPr>
        <w:t>ly constraining the variance of the latent variable and t</w:t>
      </w:r>
      <w:r w:rsidR="007E7AC7" w:rsidRPr="00154B5F">
        <w:rPr>
          <w:rFonts w:ascii="Times New Roman" w:hAnsi="Times New Roman" w:cs="Times New Roman"/>
          <w:bCs/>
          <w:lang w:val="en-GB"/>
        </w:rPr>
        <w:t>he regression weights</w:t>
      </w:r>
      <w:r w:rsidR="00605732" w:rsidRPr="00154B5F">
        <w:rPr>
          <w:rFonts w:ascii="Times New Roman" w:hAnsi="Times New Roman" w:cs="Times New Roman"/>
          <w:bCs/>
          <w:lang w:val="en-GB"/>
        </w:rPr>
        <w:t xml:space="preserve"> on the latent factor </w:t>
      </w:r>
      <w:r w:rsidR="000360F6">
        <w:rPr>
          <w:rFonts w:ascii="Times New Roman" w:hAnsi="Times New Roman" w:cs="Times New Roman"/>
          <w:bCs/>
          <w:lang w:val="en-GB"/>
        </w:rPr>
        <w:t>‘</w:t>
      </w:r>
      <w:r w:rsidR="00605732" w:rsidRPr="00154B5F">
        <w:rPr>
          <w:rFonts w:ascii="Times New Roman" w:hAnsi="Times New Roman" w:cs="Times New Roman"/>
          <w:bCs/>
          <w:lang w:val="en-GB"/>
        </w:rPr>
        <w:t>recovery</w:t>
      </w:r>
      <w:r w:rsidR="000360F6">
        <w:rPr>
          <w:rFonts w:ascii="Times New Roman" w:hAnsi="Times New Roman" w:cs="Times New Roman"/>
          <w:bCs/>
          <w:lang w:val="en-GB"/>
        </w:rPr>
        <w:t>’</w:t>
      </w:r>
      <w:r w:rsidR="00E04B97" w:rsidRPr="00154B5F">
        <w:rPr>
          <w:rFonts w:ascii="Times New Roman" w:hAnsi="Times New Roman" w:cs="Times New Roman"/>
          <w:bCs/>
          <w:lang w:val="en-GB"/>
        </w:rPr>
        <w:t xml:space="preserve"> </w:t>
      </w:r>
      <w:r w:rsidR="007E7AC7" w:rsidRPr="00154B5F">
        <w:rPr>
          <w:rFonts w:ascii="Times New Roman" w:hAnsi="Times New Roman" w:cs="Times New Roman"/>
          <w:bCs/>
          <w:lang w:val="en-GB"/>
        </w:rPr>
        <w:t>betwee</w:t>
      </w:r>
      <w:r w:rsidR="00EC119A" w:rsidRPr="00154B5F">
        <w:rPr>
          <w:rFonts w:ascii="Times New Roman" w:hAnsi="Times New Roman" w:cs="Times New Roman"/>
          <w:bCs/>
          <w:lang w:val="en-GB"/>
        </w:rPr>
        <w:t>n clinical and non-clinical sample</w:t>
      </w:r>
      <w:r w:rsidR="00443808">
        <w:rPr>
          <w:rFonts w:ascii="Times New Roman" w:hAnsi="Times New Roman" w:cs="Times New Roman"/>
          <w:bCs/>
          <w:lang w:val="en-GB"/>
        </w:rPr>
        <w:t>s</w:t>
      </w:r>
      <w:r w:rsidR="00EC119A" w:rsidRPr="00154B5F">
        <w:rPr>
          <w:rFonts w:ascii="Times New Roman" w:hAnsi="Times New Roman" w:cs="Times New Roman"/>
          <w:bCs/>
          <w:lang w:val="en-GB"/>
        </w:rPr>
        <w:t xml:space="preserve"> showed a</w:t>
      </w:r>
      <w:r w:rsidR="00E04B97" w:rsidRPr="00154B5F">
        <w:rPr>
          <w:rFonts w:ascii="Times New Roman" w:hAnsi="Times New Roman" w:cs="Times New Roman"/>
          <w:bCs/>
          <w:lang w:val="en-GB"/>
        </w:rPr>
        <w:t xml:space="preserve"> similar model fit:</w:t>
      </w:r>
      <w:r w:rsidR="007E7AC7" w:rsidRPr="00154B5F">
        <w:rPr>
          <w:rFonts w:ascii="Times New Roman" w:hAnsi="Times New Roman" w:cs="Times New Roman"/>
          <w:bCs/>
          <w:lang w:val="en-GB"/>
        </w:rPr>
        <w:t xml:space="preserve"> </w:t>
      </w:r>
      <w:r w:rsidR="007E7AC7" w:rsidRPr="00154B5F">
        <w:rPr>
          <w:rFonts w:ascii="Times New Roman" w:hAnsi="Times New Roman" w:cs="Times New Roman"/>
          <w:bCs/>
        </w:rPr>
        <w:t>χ</w:t>
      </w:r>
      <w:r w:rsidR="007E7AC7" w:rsidRPr="00154B5F">
        <w:rPr>
          <w:rFonts w:ascii="Times New Roman" w:hAnsi="Times New Roman" w:cs="Times New Roman"/>
          <w:bCs/>
          <w:vertAlign w:val="superscript"/>
        </w:rPr>
        <w:t xml:space="preserve">2 </w:t>
      </w:r>
      <w:r w:rsidR="007E7AC7" w:rsidRPr="00154B5F">
        <w:rPr>
          <w:rFonts w:ascii="Times New Roman" w:hAnsi="Times New Roman" w:cs="Times New Roman"/>
          <w:bCs/>
        </w:rPr>
        <w:t>(</w:t>
      </w:r>
      <w:r w:rsidR="00605732" w:rsidRPr="00154B5F">
        <w:rPr>
          <w:rFonts w:ascii="Times New Roman" w:hAnsi="Times New Roman" w:cs="Times New Roman"/>
          <w:bCs/>
        </w:rPr>
        <w:t>7</w:t>
      </w:r>
      <w:r w:rsidR="007E7AC7" w:rsidRPr="00154B5F">
        <w:rPr>
          <w:rFonts w:ascii="Times New Roman" w:hAnsi="Times New Roman" w:cs="Times New Roman"/>
          <w:bCs/>
        </w:rPr>
        <w:t xml:space="preserve">, </w:t>
      </w:r>
      <w:r w:rsidR="007E7AC7" w:rsidRPr="00154B5F">
        <w:rPr>
          <w:rFonts w:ascii="Times New Roman" w:hAnsi="Times New Roman" w:cs="Times New Roman"/>
          <w:bCs/>
          <w:i/>
          <w:iCs/>
        </w:rPr>
        <w:t>n</w:t>
      </w:r>
      <w:r w:rsidR="00D57F29">
        <w:rPr>
          <w:rFonts w:ascii="Times New Roman" w:hAnsi="Times New Roman" w:cs="Times New Roman"/>
          <w:bCs/>
        </w:rPr>
        <w:t>=340)=</w:t>
      </w:r>
      <w:r w:rsidR="00E04B97" w:rsidRPr="00154B5F">
        <w:rPr>
          <w:rFonts w:ascii="Times New Roman" w:hAnsi="Times New Roman" w:cs="Times New Roman"/>
          <w:bCs/>
        </w:rPr>
        <w:t>7.5</w:t>
      </w:r>
      <w:r w:rsidR="00EC119A" w:rsidRPr="00154B5F">
        <w:rPr>
          <w:rFonts w:ascii="Times New Roman" w:hAnsi="Times New Roman" w:cs="Times New Roman"/>
          <w:bCs/>
        </w:rPr>
        <w:t>6</w:t>
      </w:r>
      <w:r w:rsidR="007E7AC7" w:rsidRPr="00154B5F">
        <w:rPr>
          <w:rFonts w:ascii="Times New Roman" w:hAnsi="Times New Roman" w:cs="Times New Roman"/>
          <w:bCs/>
        </w:rPr>
        <w:t xml:space="preserve">, </w:t>
      </w:r>
      <w:r w:rsidR="00D57F29">
        <w:rPr>
          <w:rFonts w:ascii="Times New Roman" w:hAnsi="Times New Roman" w:cs="Times New Roman"/>
          <w:bCs/>
          <w:i/>
          <w:iCs/>
        </w:rPr>
        <w:t>p</w:t>
      </w:r>
      <w:r w:rsidR="007E7AC7" w:rsidRPr="00154B5F">
        <w:rPr>
          <w:rFonts w:ascii="Times New Roman" w:hAnsi="Times New Roman" w:cs="Times New Roman"/>
          <w:bCs/>
          <w:i/>
          <w:iCs/>
        </w:rPr>
        <w:t>=</w:t>
      </w:r>
      <w:r w:rsidR="006F34B0">
        <w:rPr>
          <w:rFonts w:ascii="Times New Roman" w:hAnsi="Times New Roman" w:cs="Times New Roman"/>
          <w:bCs/>
          <w:iCs/>
        </w:rPr>
        <w:t>0</w:t>
      </w:r>
      <w:r w:rsidR="007E7AC7" w:rsidRPr="00154B5F">
        <w:rPr>
          <w:rFonts w:ascii="Times New Roman" w:hAnsi="Times New Roman" w:cs="Times New Roman"/>
          <w:bCs/>
        </w:rPr>
        <w:t>.</w:t>
      </w:r>
      <w:r w:rsidR="00EC119A" w:rsidRPr="00154B5F">
        <w:rPr>
          <w:rFonts w:ascii="Times New Roman" w:hAnsi="Times New Roman" w:cs="Times New Roman"/>
          <w:bCs/>
        </w:rPr>
        <w:t>27</w:t>
      </w:r>
      <w:r w:rsidR="00D57F29">
        <w:rPr>
          <w:rFonts w:ascii="Times New Roman" w:hAnsi="Times New Roman" w:cs="Times New Roman"/>
          <w:bCs/>
        </w:rPr>
        <w:t>; CFI=</w:t>
      </w:r>
      <w:r w:rsidR="006F34B0">
        <w:rPr>
          <w:rFonts w:ascii="Times New Roman" w:hAnsi="Times New Roman" w:cs="Times New Roman"/>
          <w:bCs/>
        </w:rPr>
        <w:t>0</w:t>
      </w:r>
      <w:r w:rsidR="007E7AC7" w:rsidRPr="00154B5F">
        <w:rPr>
          <w:rFonts w:ascii="Times New Roman" w:hAnsi="Times New Roman" w:cs="Times New Roman"/>
          <w:bCs/>
        </w:rPr>
        <w:t>.</w:t>
      </w:r>
      <w:r w:rsidR="00605732" w:rsidRPr="00154B5F">
        <w:rPr>
          <w:rFonts w:ascii="Times New Roman" w:hAnsi="Times New Roman" w:cs="Times New Roman"/>
          <w:bCs/>
        </w:rPr>
        <w:t>9</w:t>
      </w:r>
      <w:r w:rsidR="00E04B97" w:rsidRPr="00154B5F">
        <w:rPr>
          <w:rFonts w:ascii="Times New Roman" w:hAnsi="Times New Roman" w:cs="Times New Roman"/>
          <w:bCs/>
        </w:rPr>
        <w:t>9</w:t>
      </w:r>
      <w:r w:rsidR="00D57F29">
        <w:rPr>
          <w:rFonts w:ascii="Times New Roman" w:hAnsi="Times New Roman" w:cs="Times New Roman"/>
          <w:bCs/>
        </w:rPr>
        <w:t>, RMSEA=</w:t>
      </w:r>
      <w:r w:rsidR="007E7AC7" w:rsidRPr="00154B5F">
        <w:rPr>
          <w:rFonts w:ascii="Times New Roman" w:hAnsi="Times New Roman" w:cs="Times New Roman"/>
          <w:bCs/>
        </w:rPr>
        <w:t>0.0</w:t>
      </w:r>
      <w:r w:rsidR="00EC119A" w:rsidRPr="00154B5F">
        <w:rPr>
          <w:rFonts w:ascii="Times New Roman" w:hAnsi="Times New Roman" w:cs="Times New Roman"/>
          <w:bCs/>
        </w:rPr>
        <w:t>3</w:t>
      </w:r>
      <w:r w:rsidR="00D57F29">
        <w:rPr>
          <w:rFonts w:ascii="Times New Roman" w:hAnsi="Times New Roman" w:cs="Times New Roman"/>
          <w:bCs/>
        </w:rPr>
        <w:t xml:space="preserve"> (90% CI: </w:t>
      </w:r>
      <w:r w:rsidR="006F34B0">
        <w:rPr>
          <w:rFonts w:ascii="Times New Roman" w:hAnsi="Times New Roman" w:cs="Times New Roman"/>
          <w:bCs/>
        </w:rPr>
        <w:t>0</w:t>
      </w:r>
      <w:r w:rsidR="00D57F29">
        <w:rPr>
          <w:rFonts w:ascii="Times New Roman" w:hAnsi="Times New Roman" w:cs="Times New Roman"/>
          <w:bCs/>
        </w:rPr>
        <w:t>.00-</w:t>
      </w:r>
      <w:r w:rsidR="006F34B0">
        <w:rPr>
          <w:rFonts w:ascii="Times New Roman" w:hAnsi="Times New Roman" w:cs="Times New Roman"/>
          <w:bCs/>
        </w:rPr>
        <w:t>0</w:t>
      </w:r>
      <w:r w:rsidR="007E7AC7" w:rsidRPr="00154B5F">
        <w:rPr>
          <w:rFonts w:ascii="Times New Roman" w:hAnsi="Times New Roman" w:cs="Times New Roman"/>
          <w:bCs/>
        </w:rPr>
        <w:t>.</w:t>
      </w:r>
      <w:r w:rsidR="00605732" w:rsidRPr="00154B5F">
        <w:rPr>
          <w:rFonts w:ascii="Times New Roman" w:hAnsi="Times New Roman" w:cs="Times New Roman"/>
          <w:bCs/>
        </w:rPr>
        <w:t>0</w:t>
      </w:r>
      <w:r w:rsidR="00EC119A" w:rsidRPr="00154B5F">
        <w:rPr>
          <w:rFonts w:ascii="Times New Roman" w:hAnsi="Times New Roman" w:cs="Times New Roman"/>
          <w:bCs/>
        </w:rPr>
        <w:t>8</w:t>
      </w:r>
      <w:r w:rsidR="007E7AC7" w:rsidRPr="00154B5F">
        <w:rPr>
          <w:rFonts w:ascii="Times New Roman" w:hAnsi="Times New Roman" w:cs="Times New Roman"/>
          <w:bCs/>
        </w:rPr>
        <w:t>).</w:t>
      </w:r>
      <w:r w:rsidR="00605732" w:rsidRPr="00154B5F">
        <w:rPr>
          <w:rFonts w:ascii="Times New Roman" w:hAnsi="Times New Roman" w:cs="Times New Roman"/>
          <w:bCs/>
        </w:rPr>
        <w:t xml:space="preserve"> </w:t>
      </w:r>
      <w:r w:rsidR="007E7AC7" w:rsidRPr="00154B5F">
        <w:rPr>
          <w:rFonts w:ascii="Times New Roman" w:hAnsi="Times New Roman" w:cs="Times New Roman"/>
          <w:bCs/>
        </w:rPr>
        <w:t xml:space="preserve"> </w:t>
      </w:r>
      <w:r w:rsidR="00605732" w:rsidRPr="00154B5F">
        <w:rPr>
          <w:rFonts w:ascii="Times New Roman" w:hAnsi="Times New Roman" w:cs="Times New Roman"/>
          <w:bCs/>
          <w:lang w:val="en-GB"/>
        </w:rPr>
        <w:t>The</w:t>
      </w:r>
      <w:r w:rsidRPr="00154B5F">
        <w:rPr>
          <w:rFonts w:ascii="Times New Roman" w:hAnsi="Times New Roman" w:cs="Times New Roman"/>
          <w:bCs/>
          <w:lang w:val="en-GB"/>
        </w:rPr>
        <w:t xml:space="preserve"> specific</w:t>
      </w:r>
      <w:r w:rsidR="00605732" w:rsidRPr="00154B5F">
        <w:rPr>
          <w:rFonts w:ascii="Times New Roman" w:hAnsi="Times New Roman" w:cs="Times New Roman"/>
          <w:bCs/>
          <w:lang w:val="en-GB"/>
        </w:rPr>
        <w:t xml:space="preserve"> paths in the model for the clinical and non-clinical</w:t>
      </w:r>
      <w:r w:rsidR="00EC119A" w:rsidRPr="00154B5F">
        <w:rPr>
          <w:rFonts w:ascii="Times New Roman" w:hAnsi="Times New Roman" w:cs="Times New Roman"/>
          <w:bCs/>
          <w:lang w:val="en-GB"/>
        </w:rPr>
        <w:t xml:space="preserve"> sample are </w:t>
      </w:r>
      <w:r w:rsidR="00443808">
        <w:rPr>
          <w:rFonts w:ascii="Times New Roman" w:hAnsi="Times New Roman" w:cs="Times New Roman"/>
          <w:bCs/>
          <w:lang w:val="en-GB"/>
        </w:rPr>
        <w:t>shown</w:t>
      </w:r>
      <w:r w:rsidR="00EC119A" w:rsidRPr="00154B5F">
        <w:rPr>
          <w:rFonts w:ascii="Times New Roman" w:hAnsi="Times New Roman" w:cs="Times New Roman"/>
          <w:bCs/>
          <w:lang w:val="en-GB"/>
        </w:rPr>
        <w:t xml:space="preserve"> in </w:t>
      </w:r>
      <w:r w:rsidR="00605732" w:rsidRPr="00154B5F">
        <w:rPr>
          <w:rFonts w:ascii="Times New Roman" w:hAnsi="Times New Roman" w:cs="Times New Roman"/>
          <w:bCs/>
        </w:rPr>
        <w:t xml:space="preserve">figure </w:t>
      </w:r>
      <w:r w:rsidR="00443808">
        <w:rPr>
          <w:rFonts w:ascii="Times New Roman" w:hAnsi="Times New Roman" w:cs="Times New Roman"/>
          <w:bCs/>
        </w:rPr>
        <w:t>3</w:t>
      </w:r>
      <w:r w:rsidR="00605732" w:rsidRPr="00154B5F">
        <w:rPr>
          <w:rFonts w:ascii="Times New Roman" w:hAnsi="Times New Roman" w:cs="Times New Roman"/>
          <w:bCs/>
        </w:rPr>
        <w:t>.</w:t>
      </w:r>
    </w:p>
    <w:p w14:paraId="697A6A77" w14:textId="77777777" w:rsidR="00443808" w:rsidRDefault="00443808" w:rsidP="00014439">
      <w:pPr>
        <w:spacing w:line="480" w:lineRule="auto"/>
        <w:ind w:firstLine="720"/>
        <w:rPr>
          <w:rFonts w:ascii="Times New Roman" w:hAnsi="Times New Roman" w:cs="Times New Roman"/>
          <w:bCs/>
        </w:rPr>
      </w:pPr>
    </w:p>
    <w:p w14:paraId="7A83271B" w14:textId="2B397852" w:rsidR="00443808" w:rsidRDefault="00443808" w:rsidP="00014439">
      <w:pPr>
        <w:spacing w:line="480" w:lineRule="auto"/>
        <w:jc w:val="center"/>
        <w:rPr>
          <w:rFonts w:ascii="Times New Roman" w:hAnsi="Times New Roman" w:cs="Times New Roman"/>
          <w:bCs/>
        </w:rPr>
      </w:pPr>
      <w:r w:rsidRPr="00443808">
        <w:rPr>
          <w:rFonts w:ascii="Times New Roman" w:hAnsi="Times New Roman" w:cs="Times New Roman"/>
          <w:bCs/>
        </w:rPr>
        <w:t xml:space="preserve">Figure </w:t>
      </w:r>
      <w:r w:rsidR="000360F6">
        <w:rPr>
          <w:rFonts w:ascii="Times New Roman" w:hAnsi="Times New Roman" w:cs="Times New Roman"/>
          <w:bCs/>
        </w:rPr>
        <w:t>3</w:t>
      </w:r>
      <w:r w:rsidRPr="00443808">
        <w:rPr>
          <w:rFonts w:ascii="Times New Roman" w:hAnsi="Times New Roman" w:cs="Times New Roman"/>
          <w:bCs/>
        </w:rPr>
        <w:t xml:space="preserve"> about here</w:t>
      </w:r>
    </w:p>
    <w:p w14:paraId="14803943" w14:textId="77777777" w:rsidR="00443808" w:rsidRDefault="00443808" w:rsidP="00014439">
      <w:pPr>
        <w:spacing w:line="480" w:lineRule="auto"/>
        <w:ind w:firstLine="720"/>
        <w:rPr>
          <w:rFonts w:ascii="Times New Roman" w:hAnsi="Times New Roman" w:cs="Times New Roman"/>
          <w:bCs/>
        </w:rPr>
      </w:pPr>
    </w:p>
    <w:p w14:paraId="69DC6C97" w14:textId="464640CA" w:rsidR="00A80752" w:rsidRPr="007268F9" w:rsidRDefault="00A80752" w:rsidP="00014439">
      <w:pPr>
        <w:spacing w:line="480" w:lineRule="auto"/>
        <w:ind w:firstLine="720"/>
        <w:rPr>
          <w:rFonts w:ascii="Times New Roman" w:hAnsi="Times New Roman" w:cs="Times New Roman"/>
          <w:bCs/>
          <w:highlight w:val="yellow"/>
        </w:rPr>
      </w:pPr>
      <w:r w:rsidRPr="00154B5F">
        <w:rPr>
          <w:rFonts w:ascii="Times New Roman" w:hAnsi="Times New Roman" w:cs="Times New Roman"/>
          <w:bCs/>
        </w:rPr>
        <w:lastRenderedPageBreak/>
        <w:t>The model test</w:t>
      </w:r>
      <w:r w:rsidR="000360F6">
        <w:rPr>
          <w:rFonts w:ascii="Times New Roman" w:hAnsi="Times New Roman" w:cs="Times New Roman"/>
          <w:bCs/>
        </w:rPr>
        <w:t>ing</w:t>
      </w:r>
      <w:r w:rsidRPr="00154B5F">
        <w:rPr>
          <w:rFonts w:ascii="Times New Roman" w:hAnsi="Times New Roman" w:cs="Times New Roman"/>
          <w:bCs/>
        </w:rPr>
        <w:t xml:space="preserve"> scalar invariance (where the intercepts are also constrained) revealed a weak model fit, χ</w:t>
      </w:r>
      <w:r w:rsidRPr="00154B5F">
        <w:rPr>
          <w:rFonts w:ascii="Times New Roman" w:hAnsi="Times New Roman" w:cs="Times New Roman"/>
          <w:bCs/>
          <w:vertAlign w:val="superscript"/>
        </w:rPr>
        <w:t xml:space="preserve">2 </w:t>
      </w:r>
      <w:r w:rsidRPr="00154B5F">
        <w:rPr>
          <w:rFonts w:ascii="Times New Roman" w:hAnsi="Times New Roman" w:cs="Times New Roman"/>
          <w:bCs/>
        </w:rPr>
        <w:t xml:space="preserve">(9, </w:t>
      </w:r>
      <w:r w:rsidRPr="00154B5F">
        <w:rPr>
          <w:rFonts w:ascii="Times New Roman" w:hAnsi="Times New Roman" w:cs="Times New Roman"/>
          <w:bCs/>
          <w:i/>
          <w:iCs/>
        </w:rPr>
        <w:t>n</w:t>
      </w:r>
      <w:r w:rsidR="00D57F29">
        <w:rPr>
          <w:rFonts w:ascii="Times New Roman" w:hAnsi="Times New Roman" w:cs="Times New Roman"/>
          <w:bCs/>
        </w:rPr>
        <w:t>=340</w:t>
      </w:r>
      <w:proofErr w:type="gramStart"/>
      <w:r w:rsidR="00D57F29">
        <w:rPr>
          <w:rFonts w:ascii="Times New Roman" w:hAnsi="Times New Roman" w:cs="Times New Roman"/>
          <w:bCs/>
        </w:rPr>
        <w:t>)=</w:t>
      </w:r>
      <w:proofErr w:type="gramEnd"/>
      <w:r w:rsidRPr="00154B5F">
        <w:rPr>
          <w:rFonts w:ascii="Times New Roman" w:hAnsi="Times New Roman" w:cs="Times New Roman"/>
          <w:bCs/>
        </w:rPr>
        <w:t xml:space="preserve">83.240, </w:t>
      </w:r>
      <w:r w:rsidR="00D57F29">
        <w:rPr>
          <w:rFonts w:ascii="Times New Roman" w:hAnsi="Times New Roman" w:cs="Times New Roman"/>
          <w:bCs/>
          <w:i/>
          <w:iCs/>
        </w:rPr>
        <w:t>p</w:t>
      </w:r>
      <w:r w:rsidRPr="00154B5F">
        <w:rPr>
          <w:rFonts w:ascii="Times New Roman" w:hAnsi="Times New Roman" w:cs="Times New Roman"/>
          <w:bCs/>
          <w:i/>
          <w:iCs/>
        </w:rPr>
        <w:t>&lt;</w:t>
      </w:r>
      <w:r w:rsidR="00D57F29">
        <w:rPr>
          <w:rFonts w:ascii="Times New Roman" w:hAnsi="Times New Roman" w:cs="Times New Roman"/>
          <w:bCs/>
        </w:rPr>
        <w:t>.001; CFI=</w:t>
      </w:r>
      <w:r w:rsidR="00E7611B">
        <w:rPr>
          <w:rFonts w:ascii="Times New Roman" w:hAnsi="Times New Roman" w:cs="Times New Roman"/>
          <w:bCs/>
        </w:rPr>
        <w:t>0</w:t>
      </w:r>
      <w:r w:rsidR="00D57F29">
        <w:rPr>
          <w:rFonts w:ascii="Times New Roman" w:hAnsi="Times New Roman" w:cs="Times New Roman"/>
          <w:bCs/>
        </w:rPr>
        <w:t xml:space="preserve">.64, RMSEA=0.16 (90% CI: </w:t>
      </w:r>
      <w:r w:rsidR="008239DC">
        <w:rPr>
          <w:rFonts w:ascii="Times New Roman" w:hAnsi="Times New Roman" w:cs="Times New Roman"/>
          <w:bCs/>
        </w:rPr>
        <w:t>0</w:t>
      </w:r>
      <w:r w:rsidR="00D57F29">
        <w:rPr>
          <w:rFonts w:ascii="Times New Roman" w:hAnsi="Times New Roman" w:cs="Times New Roman"/>
          <w:bCs/>
        </w:rPr>
        <w:t>.13-</w:t>
      </w:r>
      <w:r w:rsidR="008239DC">
        <w:rPr>
          <w:rFonts w:ascii="Times New Roman" w:hAnsi="Times New Roman" w:cs="Times New Roman"/>
          <w:bCs/>
        </w:rPr>
        <w:t>0</w:t>
      </w:r>
      <w:r w:rsidRPr="00154B5F">
        <w:rPr>
          <w:rFonts w:ascii="Times New Roman" w:hAnsi="Times New Roman" w:cs="Times New Roman"/>
          <w:bCs/>
        </w:rPr>
        <w:t xml:space="preserve">.19). </w:t>
      </w:r>
      <w:r w:rsidR="000360F6">
        <w:rPr>
          <w:rFonts w:ascii="Times New Roman" w:hAnsi="Times New Roman" w:cs="Times New Roman"/>
          <w:bCs/>
        </w:rPr>
        <w:t xml:space="preserve"> W</w:t>
      </w:r>
      <w:r w:rsidRPr="00154B5F">
        <w:rPr>
          <w:rFonts w:ascii="Times New Roman" w:hAnsi="Times New Roman" w:cs="Times New Roman"/>
          <w:bCs/>
        </w:rPr>
        <w:t>e can conclude that the</w:t>
      </w:r>
      <w:r>
        <w:rPr>
          <w:rFonts w:ascii="Times New Roman" w:hAnsi="Times New Roman" w:cs="Times New Roman"/>
          <w:bCs/>
        </w:rPr>
        <w:t xml:space="preserve"> </w:t>
      </w:r>
      <w:r w:rsidR="000360F6">
        <w:rPr>
          <w:rFonts w:ascii="Times New Roman" w:hAnsi="Times New Roman" w:cs="Times New Roman"/>
          <w:bCs/>
        </w:rPr>
        <w:t>HAO</w:t>
      </w:r>
      <w:r>
        <w:rPr>
          <w:rFonts w:ascii="Times New Roman" w:hAnsi="Times New Roman" w:cs="Times New Roman"/>
          <w:bCs/>
        </w:rPr>
        <w:t xml:space="preserve"> has partial measurement invariance and the only difference lies in the intercepts of the groups. </w:t>
      </w:r>
      <w:r w:rsidR="000360F6">
        <w:rPr>
          <w:rFonts w:ascii="Times New Roman" w:hAnsi="Times New Roman" w:cs="Times New Roman"/>
          <w:bCs/>
        </w:rPr>
        <w:t xml:space="preserve"> </w:t>
      </w:r>
      <w:r>
        <w:rPr>
          <w:rFonts w:ascii="Times New Roman" w:hAnsi="Times New Roman" w:cs="Times New Roman"/>
          <w:bCs/>
        </w:rPr>
        <w:t>In general, the non-clinical sample scored higher on each item of the HAO then the clinical sample</w:t>
      </w:r>
      <w:r w:rsidR="00801F59">
        <w:rPr>
          <w:rFonts w:ascii="Times New Roman" w:hAnsi="Times New Roman" w:cs="Times New Roman"/>
          <w:bCs/>
        </w:rPr>
        <w:t xml:space="preserve"> (see figure </w:t>
      </w:r>
      <w:r w:rsidR="000360F6">
        <w:rPr>
          <w:rFonts w:ascii="Times New Roman" w:hAnsi="Times New Roman" w:cs="Times New Roman"/>
          <w:bCs/>
        </w:rPr>
        <w:t>3</w:t>
      </w:r>
      <w:r w:rsidR="00801F59">
        <w:rPr>
          <w:rFonts w:ascii="Times New Roman" w:hAnsi="Times New Roman" w:cs="Times New Roman"/>
          <w:bCs/>
        </w:rPr>
        <w:t>).</w:t>
      </w:r>
    </w:p>
    <w:p w14:paraId="3C03FB1F" w14:textId="77777777" w:rsidR="004979FF" w:rsidRPr="004979FF" w:rsidRDefault="004979FF" w:rsidP="00014439">
      <w:pPr>
        <w:spacing w:line="480" w:lineRule="auto"/>
        <w:rPr>
          <w:rFonts w:ascii="Times New Roman" w:hAnsi="Times New Roman" w:cs="Times New Roman"/>
          <w:bCs/>
        </w:rPr>
      </w:pPr>
    </w:p>
    <w:p w14:paraId="4DF96040" w14:textId="390A62D6" w:rsidR="00A969E8" w:rsidRPr="007E5644" w:rsidRDefault="00A969E8" w:rsidP="00014439">
      <w:pPr>
        <w:spacing w:line="480" w:lineRule="auto"/>
        <w:rPr>
          <w:rFonts w:ascii="Times New Roman" w:hAnsi="Times New Roman" w:cs="Times New Roman"/>
          <w:b/>
          <w:i/>
          <w:iCs/>
        </w:rPr>
      </w:pPr>
      <w:r w:rsidRPr="007E5644">
        <w:rPr>
          <w:rFonts w:ascii="Times New Roman" w:hAnsi="Times New Roman" w:cs="Times New Roman"/>
          <w:b/>
          <w:i/>
          <w:iCs/>
        </w:rPr>
        <w:t>C</w:t>
      </w:r>
      <w:r w:rsidR="00625911" w:rsidRPr="007E5644">
        <w:rPr>
          <w:rFonts w:ascii="Times New Roman" w:hAnsi="Times New Roman" w:cs="Times New Roman"/>
          <w:b/>
          <w:i/>
          <w:iCs/>
        </w:rPr>
        <w:t>linical S</w:t>
      </w:r>
      <w:r w:rsidRPr="007E5644">
        <w:rPr>
          <w:rFonts w:ascii="Times New Roman" w:hAnsi="Times New Roman" w:cs="Times New Roman"/>
          <w:b/>
          <w:i/>
          <w:iCs/>
        </w:rPr>
        <w:t xml:space="preserve">ample </w:t>
      </w:r>
    </w:p>
    <w:p w14:paraId="215C459A" w14:textId="44077180" w:rsidR="00E57C8D" w:rsidRDefault="007F26C3" w:rsidP="00014439">
      <w:pPr>
        <w:spacing w:line="480" w:lineRule="auto"/>
        <w:rPr>
          <w:rFonts w:ascii="Times New Roman" w:hAnsi="Times New Roman" w:cs="Times New Roman"/>
          <w:lang w:val="en-GB"/>
        </w:rPr>
      </w:pPr>
      <w:r w:rsidRPr="00FB7647">
        <w:rPr>
          <w:rFonts w:ascii="Times New Roman" w:hAnsi="Times New Roman" w:cs="Times New Roman"/>
          <w:b/>
          <w:bCs/>
          <w:i/>
          <w:iCs/>
        </w:rPr>
        <w:t>Internal consistency.</w:t>
      </w:r>
      <w:r w:rsidRPr="00506CA0">
        <w:rPr>
          <w:rFonts w:ascii="Times New Roman" w:hAnsi="Times New Roman" w:cs="Times New Roman"/>
          <w:b/>
        </w:rPr>
        <w:t xml:space="preserve">  </w:t>
      </w:r>
      <w:r w:rsidRPr="00506CA0">
        <w:rPr>
          <w:rFonts w:ascii="Times New Roman" w:hAnsi="Times New Roman" w:cs="Times New Roman"/>
        </w:rPr>
        <w:t xml:space="preserve">Cronbach’s alpha at </w:t>
      </w:r>
      <w:r w:rsidR="00B20EC8" w:rsidRPr="00506CA0">
        <w:rPr>
          <w:rFonts w:ascii="Times New Roman" w:hAnsi="Times New Roman" w:cs="Times New Roman"/>
        </w:rPr>
        <w:t>T</w:t>
      </w:r>
      <w:r w:rsidRPr="00506CA0">
        <w:rPr>
          <w:rFonts w:ascii="Times New Roman" w:hAnsi="Times New Roman" w:cs="Times New Roman"/>
        </w:rPr>
        <w:t>ime 1 (</w:t>
      </w:r>
      <w:r w:rsidRPr="00506CA0">
        <w:rPr>
          <w:rFonts w:ascii="Times New Roman" w:hAnsi="Times New Roman" w:cs="Times New Roman"/>
          <w:i/>
        </w:rPr>
        <w:t>n</w:t>
      </w:r>
      <w:r w:rsidR="00D57F29">
        <w:rPr>
          <w:rFonts w:ascii="Times New Roman" w:hAnsi="Times New Roman" w:cs="Times New Roman"/>
        </w:rPr>
        <w:t>=</w:t>
      </w:r>
      <w:r w:rsidRPr="00506CA0">
        <w:rPr>
          <w:rFonts w:ascii="Times New Roman" w:hAnsi="Times New Roman" w:cs="Times New Roman"/>
        </w:rPr>
        <w:t xml:space="preserve">138) </w:t>
      </w:r>
      <w:r w:rsidR="00D710EB" w:rsidRPr="00506CA0">
        <w:rPr>
          <w:rFonts w:ascii="Times New Roman" w:hAnsi="Times New Roman" w:cs="Times New Roman"/>
        </w:rPr>
        <w:t xml:space="preserve">showed </w:t>
      </w:r>
      <w:r w:rsidR="00AA4159" w:rsidRPr="00506CA0">
        <w:rPr>
          <w:rFonts w:ascii="Times New Roman" w:hAnsi="Times New Roman" w:cs="Times New Roman"/>
        </w:rPr>
        <w:t xml:space="preserve">acceptable </w:t>
      </w:r>
      <w:r w:rsidRPr="00506CA0">
        <w:rPr>
          <w:rFonts w:ascii="Times New Roman" w:hAnsi="Times New Roman" w:cs="Times New Roman"/>
        </w:rPr>
        <w:t xml:space="preserve">internal consistency </w:t>
      </w:r>
      <w:r w:rsidRPr="00506CA0">
        <w:rPr>
          <w:rFonts w:ascii="Times New Roman" w:hAnsi="Times New Roman" w:cs="Times New Roman"/>
          <w:lang w:val="en-GB"/>
        </w:rPr>
        <w:t>(</w:t>
      </w:r>
      <w:r w:rsidRPr="00506CA0">
        <w:rPr>
          <w:rFonts w:ascii="Times New Roman" w:hAnsi="Times New Roman" w:cs="Times New Roman"/>
          <w:i/>
          <w:iCs/>
          <w:lang w:val="en-GB"/>
        </w:rPr>
        <w:t>α</w:t>
      </w:r>
      <w:r w:rsidR="00D57F29">
        <w:rPr>
          <w:rFonts w:ascii="Times New Roman" w:hAnsi="Times New Roman" w:cs="Times New Roman"/>
          <w:lang w:val="en-GB"/>
        </w:rPr>
        <w:t>=</w:t>
      </w:r>
      <w:r w:rsidR="007E5644" w:rsidRPr="00506CA0">
        <w:rPr>
          <w:rFonts w:ascii="Times New Roman" w:hAnsi="Times New Roman" w:cs="Times New Roman"/>
          <w:lang w:val="en-GB"/>
        </w:rPr>
        <w:t>0</w:t>
      </w:r>
      <w:r w:rsidRPr="00506CA0">
        <w:rPr>
          <w:rFonts w:ascii="Times New Roman" w:hAnsi="Times New Roman" w:cs="Times New Roman"/>
          <w:lang w:val="en-GB"/>
        </w:rPr>
        <w:t>.69)</w:t>
      </w:r>
      <w:r w:rsidR="0018130D">
        <w:rPr>
          <w:rStyle w:val="FootnoteReference"/>
          <w:rFonts w:ascii="Times New Roman" w:hAnsi="Times New Roman" w:cs="Times New Roman"/>
          <w:lang w:val="en-GB"/>
        </w:rPr>
        <w:footnoteReference w:id="1"/>
      </w:r>
      <w:r w:rsidRPr="00506CA0">
        <w:rPr>
          <w:rFonts w:ascii="Times New Roman" w:hAnsi="Times New Roman" w:cs="Times New Roman"/>
          <w:lang w:val="en-GB"/>
        </w:rPr>
        <w:t>.</w:t>
      </w:r>
      <w:r w:rsidR="0052138C">
        <w:rPr>
          <w:rFonts w:ascii="Times New Roman" w:hAnsi="Times New Roman" w:cs="Times New Roman"/>
          <w:lang w:val="en-GB"/>
        </w:rPr>
        <w:t xml:space="preserve">  </w:t>
      </w:r>
      <w:r w:rsidR="00F86E21">
        <w:rPr>
          <w:rFonts w:ascii="Times New Roman" w:hAnsi="Times New Roman" w:cs="Times New Roman"/>
          <w:lang w:val="en-GB"/>
        </w:rPr>
        <w:t>Alphas may be low without indicating poor internal consistency for brief measures, whereas m</w:t>
      </w:r>
      <w:r w:rsidR="006E6F6F">
        <w:rPr>
          <w:rFonts w:ascii="Times New Roman" w:hAnsi="Times New Roman" w:cs="Times New Roman"/>
          <w:lang w:val="en-GB"/>
        </w:rPr>
        <w:t>ean inter-item correlation</w:t>
      </w:r>
      <w:r w:rsidR="00F86E21">
        <w:rPr>
          <w:rFonts w:ascii="Times New Roman" w:hAnsi="Times New Roman" w:cs="Times New Roman"/>
          <w:lang w:val="en-GB"/>
        </w:rPr>
        <w:t xml:space="preserve">s </w:t>
      </w:r>
      <w:r w:rsidR="00477A8C">
        <w:rPr>
          <w:rFonts w:ascii="Times New Roman" w:hAnsi="Times New Roman" w:cs="Times New Roman"/>
          <w:lang w:val="en-GB"/>
        </w:rPr>
        <w:t>estimat</w:t>
      </w:r>
      <w:r w:rsidR="00F86E21">
        <w:rPr>
          <w:rFonts w:ascii="Times New Roman" w:hAnsi="Times New Roman" w:cs="Times New Roman"/>
          <w:lang w:val="en-GB"/>
        </w:rPr>
        <w:t>e</w:t>
      </w:r>
      <w:r w:rsidR="00477A8C">
        <w:rPr>
          <w:rFonts w:ascii="Times New Roman" w:hAnsi="Times New Roman" w:cs="Times New Roman"/>
          <w:lang w:val="en-GB"/>
        </w:rPr>
        <w:t xml:space="preserve"> </w:t>
      </w:r>
      <w:r w:rsidR="00F86E21">
        <w:rPr>
          <w:rFonts w:ascii="Times New Roman" w:hAnsi="Times New Roman" w:cs="Times New Roman"/>
          <w:lang w:val="en-GB"/>
        </w:rPr>
        <w:t xml:space="preserve">internal consistency </w:t>
      </w:r>
      <w:r w:rsidR="00355F90">
        <w:rPr>
          <w:rFonts w:ascii="Times New Roman" w:hAnsi="Times New Roman" w:cs="Times New Roman"/>
          <w:lang w:val="en-GB"/>
        </w:rPr>
        <w:t>independent of scale length</w:t>
      </w:r>
      <w:r w:rsidR="0014617C">
        <w:rPr>
          <w:rFonts w:ascii="Times New Roman" w:hAnsi="Times New Roman" w:cs="Times New Roman"/>
          <w:lang w:val="en-GB"/>
        </w:rPr>
        <w:t xml:space="preserve"> (</w:t>
      </w:r>
      <w:proofErr w:type="spellStart"/>
      <w:r w:rsidR="0014617C" w:rsidRPr="00E75711">
        <w:rPr>
          <w:rFonts w:ascii="Times New Roman" w:hAnsi="Times New Roman" w:cs="Times New Roman"/>
          <w:lang w:val="en-GB"/>
        </w:rPr>
        <w:t>Spiliotopoulou</w:t>
      </w:r>
      <w:proofErr w:type="spellEnd"/>
      <w:r w:rsidR="0014617C">
        <w:rPr>
          <w:rFonts w:ascii="Times New Roman" w:hAnsi="Times New Roman" w:cs="Times New Roman"/>
          <w:lang w:val="en-GB"/>
        </w:rPr>
        <w:t>, 2009). Cronbach’s formula</w:t>
      </w:r>
      <w:r w:rsidR="0014617C" w:rsidRPr="00F86E21">
        <w:t xml:space="preserve"> </w:t>
      </w:r>
      <w:r w:rsidR="0014617C" w:rsidRPr="00F86E21">
        <w:rPr>
          <w:rFonts w:ascii="Times New Roman" w:hAnsi="Times New Roman" w:cs="Times New Roman"/>
          <w:lang w:val="en-GB"/>
        </w:rPr>
        <w:t>for inter-item correlation</w:t>
      </w:r>
      <w:r w:rsidR="0014617C">
        <w:rPr>
          <w:rFonts w:ascii="Times New Roman" w:hAnsi="Times New Roman" w:cs="Times New Roman"/>
          <w:lang w:val="en-GB"/>
        </w:rPr>
        <w:t>s (Cronbach, 1951) was therefore used, and yielded a value of 0.36 for the HAO, which is within the acceptable range of 0.15 to 0.50 (Clark &amp; Watson, 1995).</w:t>
      </w:r>
      <w:r w:rsidR="004B3D33">
        <w:rPr>
          <w:rFonts w:ascii="Times New Roman" w:hAnsi="Times New Roman" w:cs="Times New Roman"/>
          <w:lang w:val="en-GB"/>
        </w:rPr>
        <w:t xml:space="preserve">  </w:t>
      </w:r>
      <w:r w:rsidR="004B3D33" w:rsidRPr="004B3D33">
        <w:rPr>
          <w:rFonts w:ascii="Times New Roman" w:hAnsi="Times New Roman" w:cs="Times New Roman"/>
          <w:lang w:val="en-GB"/>
        </w:rPr>
        <w:t xml:space="preserve">Inter-item correlations are reported </w:t>
      </w:r>
      <w:r w:rsidR="004B3D33" w:rsidRPr="00731984">
        <w:rPr>
          <w:rFonts w:ascii="Times New Roman" w:hAnsi="Times New Roman" w:cs="Times New Roman"/>
          <w:lang w:val="en-GB"/>
        </w:rPr>
        <w:t xml:space="preserve">in Table </w:t>
      </w:r>
      <w:r w:rsidR="00731984" w:rsidRPr="00731984">
        <w:rPr>
          <w:rFonts w:ascii="Times New Roman" w:hAnsi="Times New Roman" w:cs="Times New Roman"/>
          <w:lang w:val="en-GB"/>
        </w:rPr>
        <w:t>2</w:t>
      </w:r>
      <w:r w:rsidR="004B3D33" w:rsidRPr="00A75733">
        <w:rPr>
          <w:rFonts w:ascii="Times New Roman" w:hAnsi="Times New Roman" w:cs="Times New Roman"/>
          <w:lang w:val="en-GB"/>
        </w:rPr>
        <w:t>.</w:t>
      </w:r>
    </w:p>
    <w:p w14:paraId="1AC57FE9" w14:textId="77777777" w:rsidR="000360F6" w:rsidRDefault="000360F6" w:rsidP="00014439">
      <w:pPr>
        <w:spacing w:line="480" w:lineRule="auto"/>
        <w:rPr>
          <w:rFonts w:ascii="Times New Roman" w:hAnsi="Times New Roman" w:cs="Times New Roman"/>
          <w:lang w:val="en-GB"/>
        </w:rPr>
      </w:pPr>
    </w:p>
    <w:p w14:paraId="25C8C2C5" w14:textId="21E4D117" w:rsidR="000360F6" w:rsidRDefault="000360F6" w:rsidP="00014439">
      <w:pPr>
        <w:spacing w:line="480" w:lineRule="auto"/>
        <w:jc w:val="center"/>
        <w:rPr>
          <w:rFonts w:ascii="Times New Roman" w:hAnsi="Times New Roman" w:cs="Times New Roman"/>
          <w:lang w:val="en-GB"/>
        </w:rPr>
      </w:pPr>
      <w:r>
        <w:rPr>
          <w:rFonts w:ascii="Times New Roman" w:hAnsi="Times New Roman" w:cs="Times New Roman"/>
          <w:lang w:val="en-GB"/>
        </w:rPr>
        <w:t>Table 2 about here</w:t>
      </w:r>
    </w:p>
    <w:p w14:paraId="3343DDED" w14:textId="74B03024" w:rsidR="00506CA0" w:rsidRDefault="00506CA0" w:rsidP="00014439">
      <w:pPr>
        <w:spacing w:line="480" w:lineRule="auto"/>
        <w:rPr>
          <w:rFonts w:ascii="Times New Roman" w:hAnsi="Times New Roman" w:cs="Times New Roman"/>
          <w:lang w:val="en-GB"/>
        </w:rPr>
      </w:pPr>
    </w:p>
    <w:p w14:paraId="664F86AF" w14:textId="56C48427" w:rsidR="00526D0D" w:rsidRPr="00712CF1" w:rsidRDefault="007F26C3" w:rsidP="00014439">
      <w:pPr>
        <w:spacing w:line="480" w:lineRule="auto"/>
        <w:rPr>
          <w:rFonts w:ascii="Times New Roman" w:hAnsi="Times New Roman" w:cs="Times New Roman"/>
        </w:rPr>
      </w:pPr>
      <w:r w:rsidRPr="000360F6">
        <w:rPr>
          <w:rFonts w:ascii="Times New Roman" w:hAnsi="Times New Roman" w:cs="Times New Roman"/>
          <w:b/>
          <w:bCs/>
          <w:i/>
          <w:iCs/>
        </w:rPr>
        <w:t>Test-retest reliability.</w:t>
      </w:r>
      <w:r w:rsidRPr="000360F6">
        <w:rPr>
          <w:rFonts w:ascii="Times New Roman" w:hAnsi="Times New Roman" w:cs="Times New Roman"/>
          <w:b/>
        </w:rPr>
        <w:t xml:space="preserve">  </w:t>
      </w:r>
      <w:r w:rsidR="00D933FC" w:rsidRPr="000360F6">
        <w:rPr>
          <w:rFonts w:ascii="Times New Roman" w:hAnsi="Times New Roman" w:cs="Times New Roman"/>
          <w:bCs/>
        </w:rPr>
        <w:t xml:space="preserve">Two-way mixed effects intra-class correlation </w:t>
      </w:r>
      <w:r w:rsidR="00014E3C" w:rsidRPr="000360F6">
        <w:rPr>
          <w:rFonts w:ascii="Times New Roman" w:hAnsi="Times New Roman" w:cs="Times New Roman"/>
          <w:bCs/>
        </w:rPr>
        <w:t xml:space="preserve">between </w:t>
      </w:r>
      <w:r w:rsidR="00D933FC" w:rsidRPr="000360F6">
        <w:rPr>
          <w:rFonts w:ascii="Times New Roman" w:hAnsi="Times New Roman" w:cs="Times New Roman"/>
          <w:bCs/>
        </w:rPr>
        <w:t>Time 1 and Time 2 (</w:t>
      </w:r>
      <w:r w:rsidR="00D933FC" w:rsidRPr="000360F6">
        <w:rPr>
          <w:rFonts w:ascii="Times New Roman" w:hAnsi="Times New Roman" w:cs="Times New Roman"/>
          <w:bCs/>
          <w:i/>
          <w:iCs/>
        </w:rPr>
        <w:t>n</w:t>
      </w:r>
      <w:r w:rsidR="004A7EB1">
        <w:rPr>
          <w:rFonts w:ascii="Times New Roman" w:hAnsi="Times New Roman" w:cs="Times New Roman"/>
          <w:bCs/>
        </w:rPr>
        <w:t>=</w:t>
      </w:r>
      <w:r w:rsidR="00D933FC" w:rsidRPr="000360F6">
        <w:rPr>
          <w:rFonts w:ascii="Times New Roman" w:hAnsi="Times New Roman" w:cs="Times New Roman"/>
          <w:bCs/>
        </w:rPr>
        <w:t>88) indicated substantial reliability</w:t>
      </w:r>
      <w:r w:rsidR="00760A2F" w:rsidRPr="000360F6">
        <w:rPr>
          <w:rFonts w:ascii="Times New Roman" w:hAnsi="Times New Roman" w:cs="Times New Roman"/>
          <w:bCs/>
        </w:rPr>
        <w:t xml:space="preserve"> </w:t>
      </w:r>
      <w:r w:rsidR="004A7EB1">
        <w:rPr>
          <w:rFonts w:ascii="Times New Roman" w:hAnsi="Times New Roman" w:cs="Times New Roman"/>
          <w:bCs/>
        </w:rPr>
        <w:t>(ICC=</w:t>
      </w:r>
      <w:r w:rsidR="00D933FC" w:rsidRPr="000360F6">
        <w:rPr>
          <w:rFonts w:ascii="Times New Roman" w:hAnsi="Times New Roman" w:cs="Times New Roman"/>
          <w:bCs/>
        </w:rPr>
        <w:t>0.6</w:t>
      </w:r>
      <w:r w:rsidR="00712CF1" w:rsidRPr="000360F6">
        <w:rPr>
          <w:rFonts w:ascii="Times New Roman" w:hAnsi="Times New Roman" w:cs="Times New Roman"/>
          <w:bCs/>
        </w:rPr>
        <w:t>3</w:t>
      </w:r>
      <w:r w:rsidR="00E7611B">
        <w:rPr>
          <w:rFonts w:ascii="Times New Roman" w:hAnsi="Times New Roman" w:cs="Times New Roman"/>
          <w:bCs/>
        </w:rPr>
        <w:t>, 95% CI:</w:t>
      </w:r>
      <w:r w:rsidR="00D933FC" w:rsidRPr="000360F6">
        <w:rPr>
          <w:rFonts w:ascii="Times New Roman" w:hAnsi="Times New Roman" w:cs="Times New Roman"/>
          <w:bCs/>
        </w:rPr>
        <w:t xml:space="preserve"> 0.4</w:t>
      </w:r>
      <w:r w:rsidR="00712CF1" w:rsidRPr="000360F6">
        <w:rPr>
          <w:rFonts w:ascii="Times New Roman" w:hAnsi="Times New Roman" w:cs="Times New Roman"/>
          <w:bCs/>
        </w:rPr>
        <w:t>8</w:t>
      </w:r>
      <w:r w:rsidR="004A7EB1">
        <w:rPr>
          <w:rFonts w:ascii="Times New Roman" w:hAnsi="Times New Roman" w:cs="Times New Roman"/>
          <w:bCs/>
        </w:rPr>
        <w:t>–</w:t>
      </w:r>
      <w:r w:rsidR="00D933FC" w:rsidRPr="000360F6">
        <w:rPr>
          <w:rFonts w:ascii="Times New Roman" w:hAnsi="Times New Roman" w:cs="Times New Roman"/>
          <w:bCs/>
        </w:rPr>
        <w:t>0.7</w:t>
      </w:r>
      <w:r w:rsidR="00712CF1" w:rsidRPr="000360F6">
        <w:rPr>
          <w:rFonts w:ascii="Times New Roman" w:hAnsi="Times New Roman" w:cs="Times New Roman"/>
          <w:bCs/>
        </w:rPr>
        <w:t>4</w:t>
      </w:r>
      <w:r w:rsidR="00D933FC" w:rsidRPr="000360F6">
        <w:rPr>
          <w:rFonts w:ascii="Times New Roman" w:hAnsi="Times New Roman" w:cs="Times New Roman"/>
          <w:bCs/>
        </w:rPr>
        <w:t>).</w:t>
      </w:r>
      <w:r w:rsidR="002158FA" w:rsidRPr="000360F6">
        <w:rPr>
          <w:rFonts w:ascii="Times New Roman" w:hAnsi="Times New Roman" w:cs="Times New Roman"/>
          <w:lang w:val="en-GB"/>
        </w:rPr>
        <w:t xml:space="preserve"> </w:t>
      </w:r>
      <w:r w:rsidR="000360F6" w:rsidRPr="000360F6">
        <w:rPr>
          <w:rFonts w:ascii="Times New Roman" w:hAnsi="Times New Roman" w:cs="Times New Roman"/>
          <w:lang w:val="en-GB"/>
        </w:rPr>
        <w:t xml:space="preserve"> </w:t>
      </w:r>
      <w:r w:rsidR="002158FA" w:rsidRPr="000360F6">
        <w:rPr>
          <w:rFonts w:ascii="Times New Roman" w:hAnsi="Times New Roman" w:cs="Times New Roman"/>
          <w:lang w:val="en-GB"/>
        </w:rPr>
        <w:t>Weighted</w:t>
      </w:r>
      <w:r w:rsidR="002158FA" w:rsidRPr="000360F6">
        <w:rPr>
          <w:rFonts w:ascii="Times New Roman" w:hAnsi="Times New Roman" w:cs="Times New Roman"/>
        </w:rPr>
        <w:t xml:space="preserve"> Cohen's Kappa coefficients ranged from 0.38 to 0.59 for individual items</w:t>
      </w:r>
      <w:r w:rsidR="0062463E" w:rsidRPr="000360F6">
        <w:rPr>
          <w:rFonts w:ascii="Times New Roman" w:hAnsi="Times New Roman" w:cs="Times New Roman"/>
        </w:rPr>
        <w:t xml:space="preserve"> (fair-moderate agreement)</w:t>
      </w:r>
      <w:r w:rsidR="002158FA" w:rsidRPr="000360F6">
        <w:rPr>
          <w:rFonts w:ascii="Times New Roman" w:hAnsi="Times New Roman" w:cs="Times New Roman"/>
        </w:rPr>
        <w:t>, and was 0.66 for both the three and four-item HAO (</w:t>
      </w:r>
      <w:r w:rsidR="0062463E" w:rsidRPr="000360F6">
        <w:rPr>
          <w:rFonts w:ascii="Times New Roman" w:hAnsi="Times New Roman" w:cs="Times New Roman"/>
        </w:rPr>
        <w:t>good agreement</w:t>
      </w:r>
      <w:r w:rsidR="000360F6">
        <w:rPr>
          <w:rFonts w:ascii="Times New Roman" w:hAnsi="Times New Roman" w:cs="Times New Roman"/>
        </w:rPr>
        <w:t>).  See Table 3</w:t>
      </w:r>
      <w:r w:rsidR="002158FA" w:rsidRPr="000360F6">
        <w:rPr>
          <w:rFonts w:ascii="Times New Roman" w:hAnsi="Times New Roman" w:cs="Times New Roman"/>
        </w:rPr>
        <w:t>.</w:t>
      </w:r>
    </w:p>
    <w:p w14:paraId="29CFCA5A" w14:textId="77777777" w:rsidR="00526D0D" w:rsidRDefault="00526D0D" w:rsidP="00014439">
      <w:pPr>
        <w:spacing w:line="480" w:lineRule="auto"/>
        <w:rPr>
          <w:rFonts w:ascii="Times New Roman" w:hAnsi="Times New Roman" w:cs="Times New Roman"/>
        </w:rPr>
      </w:pPr>
    </w:p>
    <w:p w14:paraId="2C72BED3" w14:textId="208F0E27" w:rsidR="006D0637" w:rsidRDefault="0044655D" w:rsidP="00014439">
      <w:pPr>
        <w:spacing w:line="480" w:lineRule="auto"/>
        <w:rPr>
          <w:rFonts w:ascii="Times New Roman" w:hAnsi="Times New Roman" w:cs="Times New Roman"/>
        </w:rPr>
      </w:pPr>
      <w:r w:rsidRPr="00D111B2">
        <w:rPr>
          <w:rFonts w:ascii="Times New Roman" w:hAnsi="Times New Roman" w:cs="Times New Roman"/>
          <w:b/>
          <w:bCs/>
          <w:i/>
          <w:iCs/>
        </w:rPr>
        <w:lastRenderedPageBreak/>
        <w:t>Construct</w:t>
      </w:r>
      <w:r w:rsidR="00A969E8" w:rsidRPr="00D111B2">
        <w:rPr>
          <w:rFonts w:ascii="Times New Roman" w:hAnsi="Times New Roman" w:cs="Times New Roman"/>
          <w:b/>
          <w:bCs/>
          <w:i/>
          <w:iCs/>
        </w:rPr>
        <w:t xml:space="preserve"> </w:t>
      </w:r>
      <w:r w:rsidR="00625911" w:rsidRPr="00D111B2">
        <w:rPr>
          <w:rFonts w:ascii="Times New Roman" w:hAnsi="Times New Roman" w:cs="Times New Roman"/>
          <w:b/>
          <w:bCs/>
          <w:i/>
          <w:iCs/>
        </w:rPr>
        <w:t>v</w:t>
      </w:r>
      <w:r w:rsidR="00A969E8" w:rsidRPr="00D111B2">
        <w:rPr>
          <w:rFonts w:ascii="Times New Roman" w:hAnsi="Times New Roman" w:cs="Times New Roman"/>
          <w:b/>
          <w:bCs/>
          <w:i/>
          <w:iCs/>
        </w:rPr>
        <w:t>alidity</w:t>
      </w:r>
      <w:r w:rsidR="00625911" w:rsidRPr="00D111B2">
        <w:rPr>
          <w:rFonts w:ascii="Times New Roman" w:hAnsi="Times New Roman" w:cs="Times New Roman"/>
          <w:b/>
          <w:bCs/>
          <w:i/>
          <w:iCs/>
        </w:rPr>
        <w:t>.</w:t>
      </w:r>
      <w:r w:rsidR="00A969E8" w:rsidRPr="00D111B2">
        <w:rPr>
          <w:rFonts w:ascii="Times New Roman" w:hAnsi="Times New Roman" w:cs="Times New Roman"/>
        </w:rPr>
        <w:t xml:space="preserve">  </w:t>
      </w:r>
      <w:r w:rsidR="00D111B2" w:rsidRPr="00D111B2">
        <w:rPr>
          <w:rFonts w:ascii="Times New Roman" w:hAnsi="Times New Roman" w:cs="Times New Roman"/>
        </w:rPr>
        <w:t xml:space="preserve">Internal consistency </w:t>
      </w:r>
      <w:r w:rsidR="00D111B2">
        <w:rPr>
          <w:rFonts w:ascii="Times New Roman" w:hAnsi="Times New Roman" w:cs="Times New Roman"/>
        </w:rPr>
        <w:t xml:space="preserve">was excellent </w:t>
      </w:r>
      <w:r w:rsidR="002B1628">
        <w:rPr>
          <w:rFonts w:ascii="Times New Roman" w:hAnsi="Times New Roman" w:cs="Times New Roman"/>
        </w:rPr>
        <w:t>for the QPR (α=</w:t>
      </w:r>
      <w:r w:rsidR="00D111B2" w:rsidRPr="00D111B2">
        <w:rPr>
          <w:rFonts w:ascii="Times New Roman" w:hAnsi="Times New Roman" w:cs="Times New Roman"/>
        </w:rPr>
        <w:t>0.94)</w:t>
      </w:r>
      <w:r w:rsidR="00D111B2">
        <w:rPr>
          <w:rFonts w:ascii="Times New Roman" w:hAnsi="Times New Roman" w:cs="Times New Roman"/>
        </w:rPr>
        <w:t xml:space="preserve">, </w:t>
      </w:r>
      <w:r w:rsidR="002B1628">
        <w:rPr>
          <w:rFonts w:ascii="Times New Roman" w:hAnsi="Times New Roman" w:cs="Times New Roman"/>
        </w:rPr>
        <w:t>WEMWBS (α=</w:t>
      </w:r>
      <w:r w:rsidR="00D111B2" w:rsidRPr="00D111B2">
        <w:rPr>
          <w:rFonts w:ascii="Times New Roman" w:hAnsi="Times New Roman" w:cs="Times New Roman"/>
        </w:rPr>
        <w:t>0.94)</w:t>
      </w:r>
      <w:r w:rsidR="00D111B2">
        <w:rPr>
          <w:rFonts w:ascii="Times New Roman" w:hAnsi="Times New Roman" w:cs="Times New Roman"/>
        </w:rPr>
        <w:t xml:space="preserve"> and </w:t>
      </w:r>
      <w:r w:rsidR="002B1628">
        <w:rPr>
          <w:rFonts w:ascii="Times New Roman" w:hAnsi="Times New Roman" w:cs="Times New Roman"/>
        </w:rPr>
        <w:t>INSPIRE (α=</w:t>
      </w:r>
      <w:r w:rsidR="00D111B2" w:rsidRPr="00D111B2">
        <w:rPr>
          <w:rFonts w:ascii="Times New Roman" w:hAnsi="Times New Roman" w:cs="Times New Roman"/>
        </w:rPr>
        <w:t>0.92)</w:t>
      </w:r>
      <w:r w:rsidR="00D111B2">
        <w:rPr>
          <w:rFonts w:ascii="Times New Roman" w:hAnsi="Times New Roman" w:cs="Times New Roman"/>
        </w:rPr>
        <w:t xml:space="preserve"> in the clinical sample.  </w:t>
      </w:r>
      <w:r w:rsidR="006D0637" w:rsidRPr="00C76470">
        <w:rPr>
          <w:rFonts w:ascii="Times New Roman" w:hAnsi="Times New Roman" w:cs="Times New Roman"/>
        </w:rPr>
        <w:t xml:space="preserve">HAO correlated </w:t>
      </w:r>
      <w:r w:rsidR="00502689" w:rsidRPr="00C76470">
        <w:rPr>
          <w:rFonts w:ascii="Times New Roman" w:hAnsi="Times New Roman" w:cs="Times New Roman"/>
        </w:rPr>
        <w:t xml:space="preserve">strongly </w:t>
      </w:r>
      <w:r w:rsidR="006D0637" w:rsidRPr="00C76470">
        <w:rPr>
          <w:rFonts w:ascii="Times New Roman" w:hAnsi="Times New Roman" w:cs="Times New Roman"/>
        </w:rPr>
        <w:t>with QPR (</w:t>
      </w:r>
      <w:r w:rsidR="006D0637" w:rsidRPr="00C76470">
        <w:rPr>
          <w:rFonts w:ascii="Times New Roman" w:hAnsi="Times New Roman" w:cs="Times New Roman"/>
          <w:i/>
          <w:iCs/>
        </w:rPr>
        <w:t>r</w:t>
      </w:r>
      <w:r w:rsidR="00E7611B">
        <w:rPr>
          <w:rFonts w:ascii="Times New Roman" w:hAnsi="Times New Roman" w:cs="Times New Roman"/>
        </w:rPr>
        <w:t>=0.79, 95% CI:</w:t>
      </w:r>
      <w:r w:rsidR="002B1628">
        <w:rPr>
          <w:rFonts w:ascii="Times New Roman" w:hAnsi="Times New Roman" w:cs="Times New Roman"/>
        </w:rPr>
        <w:t xml:space="preserve"> 0.71–</w:t>
      </w:r>
      <w:r w:rsidR="006D0637" w:rsidRPr="00C76470">
        <w:rPr>
          <w:rFonts w:ascii="Times New Roman" w:hAnsi="Times New Roman" w:cs="Times New Roman"/>
        </w:rPr>
        <w:t xml:space="preserve">0.85, </w:t>
      </w:r>
      <w:r w:rsidR="006D0637" w:rsidRPr="00C76470">
        <w:rPr>
          <w:rFonts w:ascii="Times New Roman" w:hAnsi="Times New Roman" w:cs="Times New Roman"/>
          <w:i/>
          <w:iCs/>
        </w:rPr>
        <w:t>n</w:t>
      </w:r>
      <w:r w:rsidR="002B1628">
        <w:rPr>
          <w:rFonts w:ascii="Times New Roman" w:hAnsi="Times New Roman" w:cs="Times New Roman"/>
        </w:rPr>
        <w:t>=</w:t>
      </w:r>
      <w:r w:rsidR="006D0637" w:rsidRPr="00C76470">
        <w:rPr>
          <w:rFonts w:ascii="Times New Roman" w:hAnsi="Times New Roman" w:cs="Times New Roman"/>
        </w:rPr>
        <w:t xml:space="preserve">121, </w:t>
      </w:r>
      <w:r w:rsidR="006D0637" w:rsidRPr="00C76470">
        <w:rPr>
          <w:rFonts w:ascii="Times New Roman" w:hAnsi="Times New Roman" w:cs="Times New Roman"/>
          <w:i/>
          <w:iCs/>
        </w:rPr>
        <w:t>p</w:t>
      </w:r>
      <w:r w:rsidR="002B1628">
        <w:rPr>
          <w:rFonts w:ascii="Times New Roman" w:hAnsi="Times New Roman" w:cs="Times New Roman"/>
        </w:rPr>
        <w:t xml:space="preserve"> &lt;</w:t>
      </w:r>
      <w:r w:rsidR="00502689" w:rsidRPr="00C76470">
        <w:rPr>
          <w:rFonts w:ascii="Times New Roman" w:hAnsi="Times New Roman" w:cs="Times New Roman"/>
        </w:rPr>
        <w:t>0.001)</w:t>
      </w:r>
      <w:r w:rsidR="006D0637" w:rsidRPr="00C76470">
        <w:rPr>
          <w:rFonts w:ascii="Times New Roman" w:hAnsi="Times New Roman" w:cs="Times New Roman"/>
        </w:rPr>
        <w:t xml:space="preserve"> and WEMWBS (</w:t>
      </w:r>
      <w:r w:rsidR="006D0637" w:rsidRPr="00C76470">
        <w:rPr>
          <w:rFonts w:ascii="Times New Roman" w:hAnsi="Times New Roman" w:cs="Times New Roman"/>
          <w:i/>
          <w:iCs/>
        </w:rPr>
        <w:t>r</w:t>
      </w:r>
      <w:r w:rsidR="00E7611B">
        <w:rPr>
          <w:rFonts w:ascii="Times New Roman" w:hAnsi="Times New Roman" w:cs="Times New Roman"/>
        </w:rPr>
        <w:t>=0.77, 95% CI:</w:t>
      </w:r>
      <w:r w:rsidR="002B1628">
        <w:rPr>
          <w:rFonts w:ascii="Times New Roman" w:hAnsi="Times New Roman" w:cs="Times New Roman"/>
        </w:rPr>
        <w:t xml:space="preserve"> 0.69–</w:t>
      </w:r>
      <w:r w:rsidR="006D0637" w:rsidRPr="00C76470">
        <w:rPr>
          <w:rFonts w:ascii="Times New Roman" w:hAnsi="Times New Roman" w:cs="Times New Roman"/>
        </w:rPr>
        <w:t xml:space="preserve">0.83, </w:t>
      </w:r>
      <w:r w:rsidR="006D0637" w:rsidRPr="00C76470">
        <w:rPr>
          <w:rFonts w:ascii="Times New Roman" w:hAnsi="Times New Roman" w:cs="Times New Roman"/>
          <w:i/>
          <w:iCs/>
        </w:rPr>
        <w:t>n</w:t>
      </w:r>
      <w:r w:rsidR="002B1628">
        <w:rPr>
          <w:rFonts w:ascii="Times New Roman" w:hAnsi="Times New Roman" w:cs="Times New Roman"/>
        </w:rPr>
        <w:t>=</w:t>
      </w:r>
      <w:r w:rsidR="006D0637" w:rsidRPr="00C76470">
        <w:rPr>
          <w:rFonts w:ascii="Times New Roman" w:hAnsi="Times New Roman" w:cs="Times New Roman"/>
        </w:rPr>
        <w:t xml:space="preserve">126, </w:t>
      </w:r>
      <w:r w:rsidR="006D0637" w:rsidRPr="00C76470">
        <w:rPr>
          <w:rFonts w:ascii="Times New Roman" w:hAnsi="Times New Roman" w:cs="Times New Roman"/>
          <w:i/>
          <w:iCs/>
        </w:rPr>
        <w:t>p</w:t>
      </w:r>
      <w:r w:rsidR="002B1628">
        <w:rPr>
          <w:rFonts w:ascii="Times New Roman" w:hAnsi="Times New Roman" w:cs="Times New Roman"/>
        </w:rPr>
        <w:t>&lt;</w:t>
      </w:r>
      <w:r w:rsidR="008239DC">
        <w:rPr>
          <w:rFonts w:ascii="Times New Roman" w:hAnsi="Times New Roman" w:cs="Times New Roman"/>
        </w:rPr>
        <w:t>0</w:t>
      </w:r>
      <w:r w:rsidR="00502689" w:rsidRPr="00C76470">
        <w:rPr>
          <w:rFonts w:ascii="Times New Roman" w:hAnsi="Times New Roman" w:cs="Times New Roman"/>
        </w:rPr>
        <w:t>.001), and moderately with INSPIRE (</w:t>
      </w:r>
      <w:r w:rsidR="00502689" w:rsidRPr="00C76470">
        <w:rPr>
          <w:rFonts w:ascii="Times New Roman" w:hAnsi="Times New Roman" w:cs="Times New Roman"/>
          <w:i/>
          <w:iCs/>
        </w:rPr>
        <w:t>r</w:t>
      </w:r>
      <w:r w:rsidR="00E7611B">
        <w:rPr>
          <w:rFonts w:ascii="Times New Roman" w:hAnsi="Times New Roman" w:cs="Times New Roman"/>
        </w:rPr>
        <w:t>=0.56, 95% CI:</w:t>
      </w:r>
      <w:r w:rsidR="002B1628">
        <w:rPr>
          <w:rFonts w:ascii="Times New Roman" w:hAnsi="Times New Roman" w:cs="Times New Roman"/>
        </w:rPr>
        <w:t xml:space="preserve"> 0.41–</w:t>
      </w:r>
      <w:r w:rsidR="00502689" w:rsidRPr="00C76470">
        <w:rPr>
          <w:rFonts w:ascii="Times New Roman" w:hAnsi="Times New Roman" w:cs="Times New Roman"/>
        </w:rPr>
        <w:t xml:space="preserve">0.69, </w:t>
      </w:r>
      <w:r w:rsidR="00502689" w:rsidRPr="00C76470">
        <w:rPr>
          <w:rFonts w:ascii="Times New Roman" w:hAnsi="Times New Roman" w:cs="Times New Roman"/>
          <w:i/>
          <w:iCs/>
        </w:rPr>
        <w:t>n</w:t>
      </w:r>
      <w:r w:rsidR="002B1628">
        <w:rPr>
          <w:rFonts w:ascii="Times New Roman" w:hAnsi="Times New Roman" w:cs="Times New Roman"/>
        </w:rPr>
        <w:t>=</w:t>
      </w:r>
      <w:r w:rsidR="00502689" w:rsidRPr="00C76470">
        <w:rPr>
          <w:rFonts w:ascii="Times New Roman" w:hAnsi="Times New Roman" w:cs="Times New Roman"/>
        </w:rPr>
        <w:t xml:space="preserve">100, </w:t>
      </w:r>
      <w:r w:rsidR="00502689" w:rsidRPr="00C76470">
        <w:rPr>
          <w:rFonts w:ascii="Times New Roman" w:hAnsi="Times New Roman" w:cs="Times New Roman"/>
          <w:i/>
          <w:iCs/>
        </w:rPr>
        <w:t>p</w:t>
      </w:r>
      <w:r w:rsidR="002B1628">
        <w:rPr>
          <w:rFonts w:ascii="Times New Roman" w:hAnsi="Times New Roman" w:cs="Times New Roman"/>
        </w:rPr>
        <w:t>&lt;</w:t>
      </w:r>
      <w:r w:rsidR="00502689" w:rsidRPr="00C76470">
        <w:rPr>
          <w:rFonts w:ascii="Times New Roman" w:hAnsi="Times New Roman" w:cs="Times New Roman"/>
        </w:rPr>
        <w:t>0.001).</w:t>
      </w:r>
    </w:p>
    <w:p w14:paraId="06ADCA15" w14:textId="77777777" w:rsidR="00B20EC8" w:rsidRPr="00625911" w:rsidRDefault="00B20EC8" w:rsidP="00014439">
      <w:pPr>
        <w:spacing w:line="480" w:lineRule="auto"/>
        <w:rPr>
          <w:rFonts w:ascii="Times New Roman" w:hAnsi="Times New Roman" w:cs="Times New Roman"/>
          <w:b/>
        </w:rPr>
      </w:pPr>
    </w:p>
    <w:p w14:paraId="5CC7A3B3" w14:textId="2633BA9C" w:rsidR="00B20EC8" w:rsidRPr="004B3D33" w:rsidRDefault="00A969E8" w:rsidP="00014439">
      <w:pPr>
        <w:spacing w:line="480" w:lineRule="auto"/>
        <w:rPr>
          <w:rFonts w:ascii="Times New Roman" w:hAnsi="Times New Roman" w:cs="Times New Roman"/>
          <w:b/>
          <w:i/>
          <w:iCs/>
        </w:rPr>
      </w:pPr>
      <w:r w:rsidRPr="00B20EC8">
        <w:rPr>
          <w:rFonts w:ascii="Times New Roman" w:hAnsi="Times New Roman" w:cs="Times New Roman"/>
          <w:b/>
          <w:i/>
          <w:iCs/>
        </w:rPr>
        <w:t>Non-Clinical Sample</w:t>
      </w:r>
    </w:p>
    <w:p w14:paraId="6A50055B" w14:textId="72B0ADD9" w:rsidR="007F26C3" w:rsidRDefault="007F26C3" w:rsidP="00014439">
      <w:pPr>
        <w:spacing w:line="480" w:lineRule="auto"/>
        <w:rPr>
          <w:rFonts w:ascii="Times New Roman" w:hAnsi="Times New Roman" w:cs="Times New Roman"/>
          <w:lang w:val="en-GB"/>
        </w:rPr>
      </w:pPr>
      <w:r w:rsidRPr="00FB7647">
        <w:rPr>
          <w:rFonts w:ascii="Times New Roman" w:hAnsi="Times New Roman" w:cs="Times New Roman"/>
          <w:b/>
          <w:bCs/>
          <w:i/>
          <w:iCs/>
        </w:rPr>
        <w:t>Internal consistency.</w:t>
      </w:r>
      <w:r>
        <w:rPr>
          <w:rFonts w:ascii="Times New Roman" w:hAnsi="Times New Roman" w:cs="Times New Roman"/>
          <w:b/>
        </w:rPr>
        <w:t xml:space="preserve">  </w:t>
      </w:r>
      <w:r w:rsidRPr="0096478E">
        <w:rPr>
          <w:rFonts w:ascii="Times New Roman" w:hAnsi="Times New Roman" w:cs="Times New Roman"/>
        </w:rPr>
        <w:t>Cronbach’s alpha at Time 1 (</w:t>
      </w:r>
      <w:r w:rsidRPr="0096478E">
        <w:rPr>
          <w:rFonts w:ascii="Times New Roman" w:hAnsi="Times New Roman" w:cs="Times New Roman"/>
          <w:i/>
        </w:rPr>
        <w:t>n</w:t>
      </w:r>
      <w:r w:rsidR="002B1628">
        <w:rPr>
          <w:rFonts w:ascii="Times New Roman" w:hAnsi="Times New Roman" w:cs="Times New Roman"/>
        </w:rPr>
        <w:t>=</w:t>
      </w:r>
      <w:r w:rsidRPr="0096478E">
        <w:rPr>
          <w:rFonts w:ascii="Times New Roman" w:hAnsi="Times New Roman" w:cs="Times New Roman"/>
        </w:rPr>
        <w:t xml:space="preserve">201) indicated acceptable internal consistency </w:t>
      </w:r>
      <w:r w:rsidRPr="0096478E">
        <w:rPr>
          <w:rFonts w:ascii="Times New Roman" w:hAnsi="Times New Roman" w:cs="Times New Roman"/>
          <w:lang w:val="en-GB"/>
        </w:rPr>
        <w:t>(</w:t>
      </w:r>
      <w:r w:rsidRPr="006D0637">
        <w:rPr>
          <w:rFonts w:ascii="Times New Roman" w:hAnsi="Times New Roman" w:cs="Times New Roman"/>
          <w:i/>
          <w:iCs/>
          <w:lang w:val="en-GB"/>
        </w:rPr>
        <w:t>α</w:t>
      </w:r>
      <w:r w:rsidR="002B1628">
        <w:rPr>
          <w:rFonts w:ascii="Times New Roman" w:hAnsi="Times New Roman" w:cs="Times New Roman"/>
          <w:lang w:val="en-GB"/>
        </w:rPr>
        <w:t>=</w:t>
      </w:r>
      <w:r w:rsidR="00526D0D">
        <w:rPr>
          <w:rFonts w:ascii="Times New Roman" w:hAnsi="Times New Roman" w:cs="Times New Roman"/>
          <w:lang w:val="en-GB"/>
        </w:rPr>
        <w:t>0</w:t>
      </w:r>
      <w:r w:rsidRPr="0096478E">
        <w:rPr>
          <w:rFonts w:ascii="Times New Roman" w:hAnsi="Times New Roman" w:cs="Times New Roman"/>
          <w:lang w:val="en-GB"/>
        </w:rPr>
        <w:t>.74).</w:t>
      </w:r>
      <w:r w:rsidR="004254CA">
        <w:rPr>
          <w:rFonts w:ascii="Times New Roman" w:hAnsi="Times New Roman" w:cs="Times New Roman"/>
          <w:lang w:val="en-GB"/>
        </w:rPr>
        <w:t xml:space="preserve">  The m</w:t>
      </w:r>
      <w:r w:rsidR="004254CA" w:rsidRPr="004254CA">
        <w:rPr>
          <w:rFonts w:ascii="Times New Roman" w:hAnsi="Times New Roman" w:cs="Times New Roman"/>
          <w:lang w:val="en-GB"/>
        </w:rPr>
        <w:t xml:space="preserve">ean inter-item correlation was </w:t>
      </w:r>
      <w:r w:rsidR="005705C6">
        <w:rPr>
          <w:rFonts w:ascii="Times New Roman" w:hAnsi="Times New Roman" w:cs="Times New Roman"/>
          <w:lang w:val="en-GB"/>
        </w:rPr>
        <w:t xml:space="preserve">also </w:t>
      </w:r>
      <w:r w:rsidR="004254CA" w:rsidRPr="004254CA">
        <w:rPr>
          <w:rFonts w:ascii="Times New Roman" w:hAnsi="Times New Roman" w:cs="Times New Roman"/>
          <w:lang w:val="en-GB"/>
        </w:rPr>
        <w:t xml:space="preserve">within </w:t>
      </w:r>
      <w:r w:rsidR="004254CA" w:rsidRPr="009C55B8">
        <w:rPr>
          <w:rFonts w:ascii="Times New Roman" w:hAnsi="Times New Roman" w:cs="Times New Roman"/>
          <w:lang w:val="en-GB"/>
        </w:rPr>
        <w:t xml:space="preserve">the </w:t>
      </w:r>
      <w:r w:rsidR="004254CA" w:rsidRPr="00BC6A17">
        <w:rPr>
          <w:rFonts w:ascii="Times New Roman" w:hAnsi="Times New Roman" w:cs="Times New Roman"/>
          <w:lang w:val="en-GB"/>
        </w:rPr>
        <w:t xml:space="preserve">acceptable range </w:t>
      </w:r>
      <w:r w:rsidR="004254CA" w:rsidRPr="000360F6">
        <w:rPr>
          <w:rFonts w:ascii="Times New Roman" w:hAnsi="Times New Roman" w:cs="Times New Roman"/>
          <w:lang w:val="en-GB"/>
        </w:rPr>
        <w:t>(</w:t>
      </w:r>
      <w:r w:rsidR="004254CA" w:rsidRPr="000360F6">
        <w:rPr>
          <w:rFonts w:ascii="Times New Roman" w:hAnsi="Times New Roman" w:cs="Times New Roman"/>
          <w:i/>
          <w:iCs/>
          <w:lang w:val="en-GB"/>
        </w:rPr>
        <w:t>p</w:t>
      </w:r>
      <w:r w:rsidR="00F3794B">
        <w:rPr>
          <w:rFonts w:ascii="Times New Roman" w:hAnsi="Times New Roman" w:cs="Times New Roman"/>
          <w:lang w:val="en-GB"/>
        </w:rPr>
        <w:t xml:space="preserve"> </w:t>
      </w:r>
      <w:r w:rsidR="002B1628">
        <w:rPr>
          <w:rFonts w:ascii="Times New Roman" w:hAnsi="Times New Roman" w:cs="Times New Roman"/>
          <w:lang w:val="en-GB"/>
        </w:rPr>
        <w:t>=</w:t>
      </w:r>
      <w:r w:rsidR="004254CA" w:rsidRPr="000360F6">
        <w:rPr>
          <w:rFonts w:ascii="Times New Roman" w:hAnsi="Times New Roman" w:cs="Times New Roman"/>
          <w:lang w:val="en-GB"/>
        </w:rPr>
        <w:t>0</w:t>
      </w:r>
      <w:r w:rsidR="009C55B8" w:rsidRPr="000360F6">
        <w:rPr>
          <w:rFonts w:ascii="Times New Roman" w:hAnsi="Times New Roman" w:cs="Times New Roman"/>
          <w:lang w:val="en-GB"/>
        </w:rPr>
        <w:t>.49).</w:t>
      </w:r>
      <w:r w:rsidR="004B3D33" w:rsidRPr="000360F6">
        <w:rPr>
          <w:rFonts w:ascii="Times New Roman" w:hAnsi="Times New Roman" w:cs="Times New Roman"/>
          <w:lang w:val="en-GB"/>
        </w:rPr>
        <w:t xml:space="preserve">  Inter-item correlations are reported in Table </w:t>
      </w:r>
      <w:r w:rsidR="00731984" w:rsidRPr="000360F6">
        <w:rPr>
          <w:rFonts w:ascii="Times New Roman" w:hAnsi="Times New Roman" w:cs="Times New Roman"/>
          <w:lang w:val="en-GB"/>
        </w:rPr>
        <w:t>2</w:t>
      </w:r>
      <w:r w:rsidR="004B3D33" w:rsidRPr="000360F6">
        <w:rPr>
          <w:rFonts w:ascii="Times New Roman" w:hAnsi="Times New Roman" w:cs="Times New Roman"/>
          <w:lang w:val="en-GB"/>
        </w:rPr>
        <w:t>.</w:t>
      </w:r>
    </w:p>
    <w:p w14:paraId="1CA48B99" w14:textId="77777777" w:rsidR="004254CA" w:rsidRPr="00FB7647" w:rsidRDefault="004254CA" w:rsidP="00014439">
      <w:pPr>
        <w:spacing w:line="480" w:lineRule="auto"/>
        <w:rPr>
          <w:rFonts w:ascii="Times New Roman" w:hAnsi="Times New Roman" w:cs="Times New Roman"/>
          <w:b/>
          <w:bCs/>
          <w:i/>
          <w:iCs/>
        </w:rPr>
      </w:pPr>
    </w:p>
    <w:p w14:paraId="6ADBDA05" w14:textId="521A9DE1" w:rsidR="00526D0D" w:rsidRDefault="00B20EC8" w:rsidP="00014439">
      <w:pPr>
        <w:spacing w:line="480" w:lineRule="auto"/>
        <w:rPr>
          <w:rFonts w:ascii="Times New Roman" w:hAnsi="Times New Roman" w:cs="Times New Roman"/>
        </w:rPr>
      </w:pPr>
      <w:r w:rsidRPr="00FB7647">
        <w:rPr>
          <w:rFonts w:ascii="Times New Roman" w:hAnsi="Times New Roman" w:cs="Times New Roman"/>
          <w:b/>
          <w:bCs/>
          <w:i/>
          <w:iCs/>
        </w:rPr>
        <w:t>T</w:t>
      </w:r>
      <w:r w:rsidR="007F26C3" w:rsidRPr="00FB7647">
        <w:rPr>
          <w:rFonts w:ascii="Times New Roman" w:hAnsi="Times New Roman" w:cs="Times New Roman"/>
          <w:b/>
          <w:bCs/>
          <w:i/>
          <w:iCs/>
        </w:rPr>
        <w:t>est-retest reliability.</w:t>
      </w:r>
      <w:r w:rsidR="007F26C3" w:rsidRPr="00FB7647">
        <w:rPr>
          <w:rFonts w:ascii="Times New Roman" w:hAnsi="Times New Roman" w:cs="Times New Roman"/>
          <w:b/>
        </w:rPr>
        <w:t xml:space="preserve"> </w:t>
      </w:r>
      <w:r w:rsidR="007F26C3">
        <w:rPr>
          <w:rFonts w:ascii="Times New Roman" w:hAnsi="Times New Roman" w:cs="Times New Roman"/>
          <w:b/>
        </w:rPr>
        <w:t xml:space="preserve"> </w:t>
      </w:r>
      <w:r w:rsidRPr="00B20EC8">
        <w:rPr>
          <w:rFonts w:ascii="Times New Roman" w:hAnsi="Times New Roman" w:cs="Times New Roman"/>
          <w:bCs/>
        </w:rPr>
        <w:t>Two-way mixed effects intra</w:t>
      </w:r>
      <w:r>
        <w:rPr>
          <w:rFonts w:ascii="Times New Roman" w:hAnsi="Times New Roman" w:cs="Times New Roman"/>
          <w:bCs/>
        </w:rPr>
        <w:t>-</w:t>
      </w:r>
      <w:r w:rsidRPr="00B20EC8">
        <w:rPr>
          <w:rFonts w:ascii="Times New Roman" w:hAnsi="Times New Roman" w:cs="Times New Roman"/>
          <w:bCs/>
        </w:rPr>
        <w:t xml:space="preserve">class correlation </w:t>
      </w:r>
      <w:r w:rsidR="00014E3C">
        <w:rPr>
          <w:rFonts w:ascii="Times New Roman" w:hAnsi="Times New Roman" w:cs="Times New Roman"/>
          <w:bCs/>
        </w:rPr>
        <w:t xml:space="preserve">between </w:t>
      </w:r>
      <w:r w:rsidRPr="00B20EC8">
        <w:rPr>
          <w:rFonts w:ascii="Times New Roman" w:hAnsi="Times New Roman" w:cs="Times New Roman"/>
          <w:bCs/>
        </w:rPr>
        <w:t>Time 1 and Time 2 (</w:t>
      </w:r>
      <w:r w:rsidRPr="006D0637">
        <w:rPr>
          <w:rFonts w:ascii="Times New Roman" w:hAnsi="Times New Roman" w:cs="Times New Roman"/>
          <w:bCs/>
          <w:i/>
          <w:iCs/>
        </w:rPr>
        <w:t>n</w:t>
      </w:r>
      <w:r w:rsidR="00F3794B">
        <w:rPr>
          <w:rFonts w:ascii="Times New Roman" w:hAnsi="Times New Roman" w:cs="Times New Roman"/>
          <w:bCs/>
        </w:rPr>
        <w:t>=</w:t>
      </w:r>
      <w:r w:rsidRPr="00B20EC8">
        <w:rPr>
          <w:rFonts w:ascii="Times New Roman" w:hAnsi="Times New Roman" w:cs="Times New Roman"/>
          <w:bCs/>
        </w:rPr>
        <w:t>75) indicat</w:t>
      </w:r>
      <w:r w:rsidR="00F3794B">
        <w:rPr>
          <w:rFonts w:ascii="Times New Roman" w:hAnsi="Times New Roman" w:cs="Times New Roman"/>
          <w:bCs/>
        </w:rPr>
        <w:t>ed substantia</w:t>
      </w:r>
      <w:r w:rsidR="00E7611B">
        <w:rPr>
          <w:rFonts w:ascii="Times New Roman" w:hAnsi="Times New Roman" w:cs="Times New Roman"/>
          <w:bCs/>
        </w:rPr>
        <w:t>l reliability (ICC=0.69, 95% CI:</w:t>
      </w:r>
      <w:r w:rsidR="00F3794B">
        <w:rPr>
          <w:rFonts w:ascii="Times New Roman" w:hAnsi="Times New Roman" w:cs="Times New Roman"/>
          <w:bCs/>
        </w:rPr>
        <w:t xml:space="preserve"> 0.55–</w:t>
      </w:r>
      <w:r w:rsidRPr="00B20EC8">
        <w:rPr>
          <w:rFonts w:ascii="Times New Roman" w:hAnsi="Times New Roman" w:cs="Times New Roman"/>
          <w:bCs/>
        </w:rPr>
        <w:t>0.79).</w:t>
      </w:r>
      <w:r w:rsidR="002158FA">
        <w:rPr>
          <w:rFonts w:ascii="Times New Roman" w:hAnsi="Times New Roman" w:cs="Times New Roman"/>
          <w:lang w:val="en-GB"/>
        </w:rPr>
        <w:t xml:space="preserve"> </w:t>
      </w:r>
      <w:r w:rsidR="000360F6">
        <w:rPr>
          <w:rFonts w:ascii="Times New Roman" w:hAnsi="Times New Roman" w:cs="Times New Roman"/>
          <w:lang w:val="en-GB"/>
        </w:rPr>
        <w:t xml:space="preserve"> </w:t>
      </w:r>
      <w:r w:rsidR="002158FA">
        <w:rPr>
          <w:rFonts w:ascii="Times New Roman" w:hAnsi="Times New Roman" w:cs="Times New Roman"/>
          <w:lang w:val="en-GB"/>
        </w:rPr>
        <w:t>Weighted</w:t>
      </w:r>
      <w:r w:rsidR="002158FA" w:rsidRPr="007268F9">
        <w:rPr>
          <w:rFonts w:ascii="Times New Roman" w:hAnsi="Times New Roman" w:cs="Times New Roman"/>
        </w:rPr>
        <w:t xml:space="preserve"> Cohen's Kappa coefficients ranged from 0.</w:t>
      </w:r>
      <w:r w:rsidR="002158FA">
        <w:rPr>
          <w:rFonts w:ascii="Times New Roman" w:hAnsi="Times New Roman" w:cs="Times New Roman"/>
        </w:rPr>
        <w:t>42</w:t>
      </w:r>
      <w:r w:rsidR="002158FA" w:rsidRPr="007268F9">
        <w:rPr>
          <w:rFonts w:ascii="Times New Roman" w:hAnsi="Times New Roman" w:cs="Times New Roman"/>
        </w:rPr>
        <w:t xml:space="preserve"> to 0.5</w:t>
      </w:r>
      <w:r w:rsidR="002158FA">
        <w:rPr>
          <w:rFonts w:ascii="Times New Roman" w:hAnsi="Times New Roman" w:cs="Times New Roman"/>
        </w:rPr>
        <w:t>8</w:t>
      </w:r>
      <w:r w:rsidR="002158FA" w:rsidRPr="007268F9">
        <w:rPr>
          <w:rFonts w:ascii="Times New Roman" w:hAnsi="Times New Roman" w:cs="Times New Roman"/>
        </w:rPr>
        <w:t xml:space="preserve"> for individual items</w:t>
      </w:r>
      <w:r w:rsidR="0062463E">
        <w:rPr>
          <w:rFonts w:ascii="Times New Roman" w:hAnsi="Times New Roman" w:cs="Times New Roman"/>
        </w:rPr>
        <w:t xml:space="preserve"> (fair-moderate agreement)</w:t>
      </w:r>
      <w:r w:rsidR="002158FA" w:rsidRPr="007268F9">
        <w:rPr>
          <w:rFonts w:ascii="Times New Roman" w:hAnsi="Times New Roman" w:cs="Times New Roman"/>
        </w:rPr>
        <w:t>, and was 0.6</w:t>
      </w:r>
      <w:r w:rsidR="002158FA">
        <w:rPr>
          <w:rFonts w:ascii="Times New Roman" w:hAnsi="Times New Roman" w:cs="Times New Roman"/>
        </w:rPr>
        <w:t>9</w:t>
      </w:r>
      <w:r w:rsidR="002158FA" w:rsidRPr="007268F9">
        <w:rPr>
          <w:rFonts w:ascii="Times New Roman" w:hAnsi="Times New Roman" w:cs="Times New Roman"/>
        </w:rPr>
        <w:t xml:space="preserve"> for</w:t>
      </w:r>
      <w:r w:rsidR="002158FA">
        <w:rPr>
          <w:rFonts w:ascii="Times New Roman" w:hAnsi="Times New Roman" w:cs="Times New Roman"/>
        </w:rPr>
        <w:t xml:space="preserve"> the three</w:t>
      </w:r>
      <w:r w:rsidR="002158FA" w:rsidRPr="007268F9">
        <w:rPr>
          <w:rFonts w:ascii="Times New Roman" w:hAnsi="Times New Roman" w:cs="Times New Roman"/>
        </w:rPr>
        <w:t>-item HAO (</w:t>
      </w:r>
      <w:r w:rsidR="0062463E">
        <w:rPr>
          <w:rFonts w:ascii="Times New Roman" w:hAnsi="Times New Roman" w:cs="Times New Roman"/>
        </w:rPr>
        <w:t>good agreement</w:t>
      </w:r>
      <w:r w:rsidR="000360F6">
        <w:rPr>
          <w:rFonts w:ascii="Times New Roman" w:hAnsi="Times New Roman" w:cs="Times New Roman"/>
        </w:rPr>
        <w:t>).  See table 3</w:t>
      </w:r>
      <w:r w:rsidR="002158FA" w:rsidRPr="007268F9">
        <w:rPr>
          <w:rFonts w:ascii="Times New Roman" w:hAnsi="Times New Roman" w:cs="Times New Roman"/>
        </w:rPr>
        <w:t>.</w:t>
      </w:r>
    </w:p>
    <w:p w14:paraId="441D6D05" w14:textId="77777777" w:rsidR="000360F6" w:rsidRDefault="000360F6" w:rsidP="00014439">
      <w:pPr>
        <w:spacing w:line="480" w:lineRule="auto"/>
        <w:rPr>
          <w:rFonts w:ascii="Times New Roman" w:hAnsi="Times New Roman" w:cs="Times New Roman"/>
        </w:rPr>
      </w:pPr>
    </w:p>
    <w:p w14:paraId="37EC3128" w14:textId="7B26AB49" w:rsidR="000360F6" w:rsidRPr="006342B3" w:rsidRDefault="000360F6" w:rsidP="00014439">
      <w:pPr>
        <w:spacing w:line="480" w:lineRule="auto"/>
        <w:jc w:val="center"/>
        <w:rPr>
          <w:rFonts w:ascii="Times New Roman" w:hAnsi="Times New Roman" w:cs="Times New Roman"/>
          <w:highlight w:val="yellow"/>
        </w:rPr>
      </w:pPr>
      <w:r>
        <w:rPr>
          <w:rFonts w:ascii="Times New Roman" w:hAnsi="Times New Roman" w:cs="Times New Roman"/>
        </w:rPr>
        <w:t>Table 3 about here</w:t>
      </w:r>
    </w:p>
    <w:p w14:paraId="27CD9601" w14:textId="77777777" w:rsidR="006D0637" w:rsidRDefault="006D0637" w:rsidP="00014439">
      <w:pPr>
        <w:spacing w:line="480" w:lineRule="auto"/>
        <w:rPr>
          <w:rFonts w:ascii="Times New Roman" w:hAnsi="Times New Roman" w:cs="Times New Roman"/>
          <w:bCs/>
        </w:rPr>
      </w:pPr>
    </w:p>
    <w:p w14:paraId="26E8AE80" w14:textId="03BA77FF" w:rsidR="00605732" w:rsidRDefault="00A20B7D" w:rsidP="00014439">
      <w:pPr>
        <w:spacing w:line="480" w:lineRule="auto"/>
        <w:rPr>
          <w:rFonts w:ascii="Times New Roman" w:hAnsi="Times New Roman" w:cs="Times New Roman"/>
          <w:bCs/>
        </w:rPr>
      </w:pPr>
      <w:r w:rsidRPr="00FB7647">
        <w:rPr>
          <w:rFonts w:ascii="Times New Roman" w:hAnsi="Times New Roman" w:cs="Times New Roman"/>
          <w:b/>
          <w:bCs/>
          <w:i/>
          <w:iCs/>
        </w:rPr>
        <w:t>Con</w:t>
      </w:r>
      <w:r w:rsidR="0044655D">
        <w:rPr>
          <w:rFonts w:ascii="Times New Roman" w:hAnsi="Times New Roman" w:cs="Times New Roman"/>
          <w:b/>
          <w:bCs/>
          <w:i/>
          <w:iCs/>
        </w:rPr>
        <w:t>struct</w:t>
      </w:r>
      <w:r w:rsidRPr="00FB7647">
        <w:rPr>
          <w:rFonts w:ascii="Times New Roman" w:hAnsi="Times New Roman" w:cs="Times New Roman"/>
          <w:b/>
          <w:bCs/>
          <w:i/>
          <w:iCs/>
        </w:rPr>
        <w:t xml:space="preserve"> </w:t>
      </w:r>
      <w:r w:rsidR="00625911" w:rsidRPr="00FB7647">
        <w:rPr>
          <w:rFonts w:ascii="Times New Roman" w:hAnsi="Times New Roman" w:cs="Times New Roman"/>
          <w:b/>
          <w:bCs/>
          <w:i/>
          <w:iCs/>
        </w:rPr>
        <w:t>v</w:t>
      </w:r>
      <w:r w:rsidRPr="00FB7647">
        <w:rPr>
          <w:rFonts w:ascii="Times New Roman" w:hAnsi="Times New Roman" w:cs="Times New Roman"/>
          <w:b/>
          <w:bCs/>
          <w:i/>
          <w:iCs/>
        </w:rPr>
        <w:t>alidity</w:t>
      </w:r>
      <w:r w:rsidR="00625911" w:rsidRPr="00FB7647">
        <w:rPr>
          <w:rFonts w:ascii="Times New Roman" w:hAnsi="Times New Roman" w:cs="Times New Roman"/>
          <w:b/>
          <w:bCs/>
          <w:i/>
          <w:iCs/>
        </w:rPr>
        <w:t>.</w:t>
      </w:r>
      <w:r w:rsidRPr="00B20EC8">
        <w:rPr>
          <w:rFonts w:ascii="Times New Roman" w:hAnsi="Times New Roman" w:cs="Times New Roman"/>
          <w:bCs/>
        </w:rPr>
        <w:t xml:space="preserve">  </w:t>
      </w:r>
      <w:r w:rsidR="00D111B2" w:rsidRPr="00D111B2">
        <w:rPr>
          <w:rFonts w:ascii="Times New Roman" w:hAnsi="Times New Roman" w:cs="Times New Roman"/>
        </w:rPr>
        <w:t xml:space="preserve">Internal consistency </w:t>
      </w:r>
      <w:r w:rsidR="00D111B2">
        <w:rPr>
          <w:rFonts w:ascii="Times New Roman" w:hAnsi="Times New Roman" w:cs="Times New Roman"/>
        </w:rPr>
        <w:t xml:space="preserve">was excellent for </w:t>
      </w:r>
      <w:r w:rsidR="00F3794B">
        <w:rPr>
          <w:rFonts w:ascii="Times New Roman" w:hAnsi="Times New Roman" w:cs="Times New Roman"/>
        </w:rPr>
        <w:t>the WEMWBS (α=</w:t>
      </w:r>
      <w:r w:rsidR="00D111B2" w:rsidRPr="00D111B2">
        <w:rPr>
          <w:rFonts w:ascii="Times New Roman" w:hAnsi="Times New Roman" w:cs="Times New Roman"/>
        </w:rPr>
        <w:t>0.91)</w:t>
      </w:r>
      <w:r w:rsidR="00D111B2">
        <w:rPr>
          <w:rFonts w:ascii="Times New Roman" w:hAnsi="Times New Roman" w:cs="Times New Roman"/>
        </w:rPr>
        <w:t xml:space="preserve"> and good </w:t>
      </w:r>
      <w:r w:rsidR="00F3794B">
        <w:rPr>
          <w:rFonts w:ascii="Times New Roman" w:hAnsi="Times New Roman" w:cs="Times New Roman"/>
        </w:rPr>
        <w:t>for the INSPIRE (α=</w:t>
      </w:r>
      <w:r w:rsidR="00D111B2" w:rsidRPr="00D111B2">
        <w:rPr>
          <w:rFonts w:ascii="Times New Roman" w:hAnsi="Times New Roman" w:cs="Times New Roman"/>
        </w:rPr>
        <w:t>0.81</w:t>
      </w:r>
      <w:r w:rsidR="00D111B2">
        <w:rPr>
          <w:rFonts w:ascii="Times New Roman" w:hAnsi="Times New Roman" w:cs="Times New Roman"/>
        </w:rPr>
        <w:t xml:space="preserve">) in the non-clinical sample.  </w:t>
      </w:r>
      <w:r w:rsidR="00B20EC8" w:rsidRPr="00B20EC8">
        <w:rPr>
          <w:rFonts w:ascii="Times New Roman" w:hAnsi="Times New Roman" w:cs="Times New Roman"/>
          <w:bCs/>
        </w:rPr>
        <w:t xml:space="preserve">HAO </w:t>
      </w:r>
      <w:r w:rsidR="00B20EC8" w:rsidRPr="00C76470">
        <w:rPr>
          <w:rFonts w:ascii="Times New Roman" w:hAnsi="Times New Roman" w:cs="Times New Roman"/>
          <w:bCs/>
        </w:rPr>
        <w:t xml:space="preserve">correlated </w:t>
      </w:r>
      <w:r w:rsidR="00502689" w:rsidRPr="00C76470">
        <w:rPr>
          <w:rFonts w:ascii="Times New Roman" w:hAnsi="Times New Roman" w:cs="Times New Roman"/>
          <w:bCs/>
        </w:rPr>
        <w:t>strongly with WEMWBS (</w:t>
      </w:r>
      <w:r w:rsidR="00502689" w:rsidRPr="00C76470">
        <w:rPr>
          <w:rFonts w:ascii="Times New Roman" w:hAnsi="Times New Roman" w:cs="Times New Roman"/>
          <w:bCs/>
          <w:i/>
        </w:rPr>
        <w:t>r</w:t>
      </w:r>
      <w:r w:rsidR="00E7611B">
        <w:rPr>
          <w:rFonts w:ascii="Times New Roman" w:hAnsi="Times New Roman" w:cs="Times New Roman"/>
          <w:bCs/>
        </w:rPr>
        <w:t>=0.71, 95% CI:</w:t>
      </w:r>
      <w:r w:rsidR="00F3794B">
        <w:rPr>
          <w:rFonts w:ascii="Times New Roman" w:hAnsi="Times New Roman" w:cs="Times New Roman"/>
          <w:bCs/>
        </w:rPr>
        <w:t xml:space="preserve"> 0.63–</w:t>
      </w:r>
      <w:r w:rsidR="00502689" w:rsidRPr="00C76470">
        <w:rPr>
          <w:rFonts w:ascii="Times New Roman" w:hAnsi="Times New Roman" w:cs="Times New Roman"/>
          <w:bCs/>
        </w:rPr>
        <w:t xml:space="preserve">0.77, </w:t>
      </w:r>
      <w:r w:rsidR="00502689" w:rsidRPr="00C76470">
        <w:rPr>
          <w:rFonts w:ascii="Times New Roman" w:hAnsi="Times New Roman" w:cs="Times New Roman"/>
          <w:bCs/>
          <w:i/>
        </w:rPr>
        <w:t>n</w:t>
      </w:r>
      <w:r w:rsidR="00F3794B">
        <w:rPr>
          <w:rFonts w:ascii="Times New Roman" w:hAnsi="Times New Roman" w:cs="Times New Roman"/>
          <w:bCs/>
        </w:rPr>
        <w:t>=</w:t>
      </w:r>
      <w:r w:rsidR="00502689" w:rsidRPr="00C76470">
        <w:rPr>
          <w:rFonts w:ascii="Times New Roman" w:hAnsi="Times New Roman" w:cs="Times New Roman"/>
          <w:bCs/>
        </w:rPr>
        <w:t xml:space="preserve">200, </w:t>
      </w:r>
      <w:r w:rsidR="00502689" w:rsidRPr="00C76470">
        <w:rPr>
          <w:rFonts w:ascii="Times New Roman" w:hAnsi="Times New Roman" w:cs="Times New Roman"/>
          <w:bCs/>
          <w:i/>
        </w:rPr>
        <w:t>p</w:t>
      </w:r>
      <w:r w:rsidR="00502689" w:rsidRPr="00C76470">
        <w:rPr>
          <w:rFonts w:ascii="Times New Roman" w:hAnsi="Times New Roman" w:cs="Times New Roman"/>
          <w:bCs/>
        </w:rPr>
        <w:t xml:space="preserve">&lt;0.001) and </w:t>
      </w:r>
      <w:r w:rsidR="006D0637" w:rsidRPr="00C76470">
        <w:rPr>
          <w:rFonts w:ascii="Times New Roman" w:hAnsi="Times New Roman" w:cs="Times New Roman"/>
          <w:bCs/>
        </w:rPr>
        <w:t>moderately</w:t>
      </w:r>
      <w:r w:rsidR="00526D0D" w:rsidRPr="00C76470">
        <w:rPr>
          <w:rFonts w:ascii="Times New Roman" w:hAnsi="Times New Roman" w:cs="Times New Roman"/>
          <w:bCs/>
        </w:rPr>
        <w:t xml:space="preserve"> with </w:t>
      </w:r>
      <w:r w:rsidR="00B20EC8" w:rsidRPr="00C76470">
        <w:rPr>
          <w:rFonts w:ascii="Times New Roman" w:hAnsi="Times New Roman" w:cs="Times New Roman"/>
          <w:bCs/>
        </w:rPr>
        <w:t>INSPIRE (</w:t>
      </w:r>
      <w:r w:rsidR="00B20EC8" w:rsidRPr="00C76470">
        <w:rPr>
          <w:rFonts w:ascii="Times New Roman" w:hAnsi="Times New Roman" w:cs="Times New Roman"/>
          <w:bCs/>
          <w:i/>
        </w:rPr>
        <w:t>r</w:t>
      </w:r>
      <w:r w:rsidR="00E7611B">
        <w:rPr>
          <w:rFonts w:ascii="Times New Roman" w:hAnsi="Times New Roman" w:cs="Times New Roman"/>
          <w:bCs/>
        </w:rPr>
        <w:t>=0.62, 95% CI:</w:t>
      </w:r>
      <w:r w:rsidR="00F3794B">
        <w:rPr>
          <w:rFonts w:ascii="Times New Roman" w:hAnsi="Times New Roman" w:cs="Times New Roman"/>
          <w:bCs/>
        </w:rPr>
        <w:t xml:space="preserve"> 0.53–</w:t>
      </w:r>
      <w:r w:rsidR="00B20EC8" w:rsidRPr="00C76470">
        <w:rPr>
          <w:rFonts w:ascii="Times New Roman" w:hAnsi="Times New Roman" w:cs="Times New Roman"/>
          <w:bCs/>
        </w:rPr>
        <w:t xml:space="preserve">0.70, </w:t>
      </w:r>
      <w:r w:rsidR="00B20EC8" w:rsidRPr="00C76470">
        <w:rPr>
          <w:rFonts w:ascii="Times New Roman" w:hAnsi="Times New Roman" w:cs="Times New Roman"/>
          <w:bCs/>
          <w:i/>
        </w:rPr>
        <w:t>n</w:t>
      </w:r>
      <w:r w:rsidR="00F3794B">
        <w:rPr>
          <w:rFonts w:ascii="Times New Roman" w:hAnsi="Times New Roman" w:cs="Times New Roman"/>
          <w:bCs/>
        </w:rPr>
        <w:t>=</w:t>
      </w:r>
      <w:r w:rsidR="00B20EC8" w:rsidRPr="00C76470">
        <w:rPr>
          <w:rFonts w:ascii="Times New Roman" w:hAnsi="Times New Roman" w:cs="Times New Roman"/>
          <w:bCs/>
        </w:rPr>
        <w:t xml:space="preserve">192, </w:t>
      </w:r>
      <w:r w:rsidR="00B20EC8" w:rsidRPr="00C76470">
        <w:rPr>
          <w:rFonts w:ascii="Times New Roman" w:hAnsi="Times New Roman" w:cs="Times New Roman"/>
          <w:bCs/>
          <w:i/>
        </w:rPr>
        <w:t>p</w:t>
      </w:r>
      <w:r w:rsidR="00B20EC8" w:rsidRPr="00C76470">
        <w:rPr>
          <w:rFonts w:ascii="Times New Roman" w:hAnsi="Times New Roman" w:cs="Times New Roman"/>
          <w:bCs/>
        </w:rPr>
        <w:t>&lt;</w:t>
      </w:r>
      <w:r w:rsidR="00502689" w:rsidRPr="00C76470">
        <w:rPr>
          <w:rFonts w:ascii="Times New Roman" w:hAnsi="Times New Roman" w:cs="Times New Roman"/>
          <w:bCs/>
        </w:rPr>
        <w:t>0</w:t>
      </w:r>
      <w:r w:rsidR="00B20EC8" w:rsidRPr="00C76470">
        <w:rPr>
          <w:rFonts w:ascii="Times New Roman" w:hAnsi="Times New Roman" w:cs="Times New Roman"/>
          <w:bCs/>
        </w:rPr>
        <w:t xml:space="preserve"> .001)</w:t>
      </w:r>
      <w:r w:rsidR="00502689" w:rsidRPr="00C76470">
        <w:rPr>
          <w:rFonts w:ascii="Times New Roman" w:hAnsi="Times New Roman" w:cs="Times New Roman"/>
          <w:bCs/>
        </w:rPr>
        <w:t>.</w:t>
      </w:r>
    </w:p>
    <w:p w14:paraId="19437F75" w14:textId="77777777" w:rsidR="00B20EC8" w:rsidRPr="00B20EC8" w:rsidRDefault="00B20EC8" w:rsidP="00014439">
      <w:pPr>
        <w:spacing w:line="480" w:lineRule="auto"/>
        <w:rPr>
          <w:rFonts w:ascii="Times New Roman" w:hAnsi="Times New Roman" w:cs="Times New Roman"/>
          <w:bCs/>
        </w:rPr>
      </w:pPr>
    </w:p>
    <w:p w14:paraId="2A40F89E" w14:textId="493F189D" w:rsidR="0002739A" w:rsidRDefault="006D5A34" w:rsidP="00014439">
      <w:pPr>
        <w:spacing w:line="480" w:lineRule="auto"/>
        <w:rPr>
          <w:rFonts w:ascii="Times New Roman" w:hAnsi="Times New Roman" w:cs="Times New Roman"/>
        </w:rPr>
      </w:pPr>
      <w:proofErr w:type="gramStart"/>
      <w:r>
        <w:rPr>
          <w:rFonts w:ascii="Times New Roman" w:hAnsi="Times New Roman" w:cs="Times New Roman"/>
          <w:b/>
          <w:i/>
          <w:iCs/>
        </w:rPr>
        <w:t xml:space="preserve">Post hoc </w:t>
      </w:r>
      <w:r w:rsidR="00014E3C" w:rsidRPr="00731984">
        <w:rPr>
          <w:rFonts w:ascii="Times New Roman" w:hAnsi="Times New Roman" w:cs="Times New Roman"/>
          <w:b/>
          <w:i/>
          <w:iCs/>
        </w:rPr>
        <w:t>analysis of group differences</w:t>
      </w:r>
      <w:r w:rsidR="00B20EC8" w:rsidRPr="00731984">
        <w:rPr>
          <w:rFonts w:ascii="Times New Roman" w:hAnsi="Times New Roman" w:cs="Times New Roman"/>
          <w:b/>
          <w:i/>
          <w:iCs/>
        </w:rPr>
        <w:t>.</w:t>
      </w:r>
      <w:proofErr w:type="gramEnd"/>
      <w:r w:rsidR="00B20EC8" w:rsidRPr="00731984">
        <w:rPr>
          <w:rFonts w:ascii="Times New Roman" w:hAnsi="Times New Roman" w:cs="Times New Roman"/>
        </w:rPr>
        <w:t xml:space="preserve">  A r</w:t>
      </w:r>
      <w:r w:rsidR="00CF4267" w:rsidRPr="00731984">
        <w:rPr>
          <w:rFonts w:ascii="Times New Roman" w:hAnsi="Times New Roman" w:cs="Times New Roman"/>
        </w:rPr>
        <w:t>epeated-</w:t>
      </w:r>
      <w:r w:rsidR="00C34DBB" w:rsidRPr="00731984">
        <w:rPr>
          <w:rFonts w:ascii="Times New Roman" w:hAnsi="Times New Roman" w:cs="Times New Roman"/>
        </w:rPr>
        <w:t xml:space="preserve">measures ANOVA with </w:t>
      </w:r>
      <w:r w:rsidR="00B20EC8" w:rsidRPr="00731984">
        <w:rPr>
          <w:rFonts w:ascii="Times New Roman" w:hAnsi="Times New Roman" w:cs="Times New Roman"/>
        </w:rPr>
        <w:t>one between</w:t>
      </w:r>
      <w:r w:rsidR="000360F6">
        <w:rPr>
          <w:rFonts w:ascii="Times New Roman" w:hAnsi="Times New Roman" w:cs="Times New Roman"/>
        </w:rPr>
        <w:t>-</w:t>
      </w:r>
      <w:r w:rsidR="00B20EC8" w:rsidRPr="00731984">
        <w:rPr>
          <w:rFonts w:ascii="Times New Roman" w:hAnsi="Times New Roman" w:cs="Times New Roman"/>
        </w:rPr>
        <w:t>subject variable</w:t>
      </w:r>
      <w:r w:rsidR="00CF4267" w:rsidRPr="00731984">
        <w:rPr>
          <w:rFonts w:ascii="Times New Roman" w:hAnsi="Times New Roman" w:cs="Times New Roman"/>
        </w:rPr>
        <w:t>,</w:t>
      </w:r>
      <w:r w:rsidR="00B20EC8" w:rsidRPr="00731984">
        <w:rPr>
          <w:rFonts w:ascii="Times New Roman" w:hAnsi="Times New Roman" w:cs="Times New Roman"/>
        </w:rPr>
        <w:t xml:space="preserve"> </w:t>
      </w:r>
      <w:r w:rsidR="000360F6">
        <w:rPr>
          <w:rFonts w:ascii="Times New Roman" w:hAnsi="Times New Roman" w:cs="Times New Roman"/>
          <w:i/>
        </w:rPr>
        <w:t>G</w:t>
      </w:r>
      <w:r w:rsidR="004A38DA" w:rsidRPr="00731984">
        <w:rPr>
          <w:rFonts w:ascii="Times New Roman" w:hAnsi="Times New Roman" w:cs="Times New Roman"/>
          <w:i/>
        </w:rPr>
        <w:t xml:space="preserve">roup </w:t>
      </w:r>
      <w:r w:rsidR="00B20EC8" w:rsidRPr="00731984">
        <w:rPr>
          <w:rFonts w:ascii="Times New Roman" w:hAnsi="Times New Roman" w:cs="Times New Roman"/>
        </w:rPr>
        <w:t>(</w:t>
      </w:r>
      <w:r w:rsidR="000360F6">
        <w:rPr>
          <w:rFonts w:ascii="Times New Roman" w:hAnsi="Times New Roman" w:cs="Times New Roman"/>
        </w:rPr>
        <w:t>C</w:t>
      </w:r>
      <w:r w:rsidR="00C34DBB" w:rsidRPr="00731984">
        <w:rPr>
          <w:rFonts w:ascii="Times New Roman" w:hAnsi="Times New Roman" w:cs="Times New Roman"/>
        </w:rPr>
        <w:t xml:space="preserve">linical vs </w:t>
      </w:r>
      <w:r w:rsidR="000360F6">
        <w:rPr>
          <w:rFonts w:ascii="Times New Roman" w:hAnsi="Times New Roman" w:cs="Times New Roman"/>
        </w:rPr>
        <w:t>N</w:t>
      </w:r>
      <w:r w:rsidR="00C34DBB" w:rsidRPr="00731984">
        <w:rPr>
          <w:rFonts w:ascii="Times New Roman" w:hAnsi="Times New Roman" w:cs="Times New Roman"/>
        </w:rPr>
        <w:t>on-clinical)</w:t>
      </w:r>
      <w:r w:rsidR="00CF4267" w:rsidRPr="00731984">
        <w:rPr>
          <w:rFonts w:ascii="Times New Roman" w:hAnsi="Times New Roman" w:cs="Times New Roman"/>
        </w:rPr>
        <w:t>,</w:t>
      </w:r>
      <w:r w:rsidR="00C34DBB" w:rsidRPr="00731984">
        <w:rPr>
          <w:rFonts w:ascii="Times New Roman" w:hAnsi="Times New Roman" w:cs="Times New Roman"/>
        </w:rPr>
        <w:t xml:space="preserve"> and </w:t>
      </w:r>
      <w:r w:rsidR="000360F6">
        <w:rPr>
          <w:rFonts w:ascii="Times New Roman" w:hAnsi="Times New Roman" w:cs="Times New Roman"/>
        </w:rPr>
        <w:t>one within-</w:t>
      </w:r>
      <w:r w:rsidR="00B20EC8" w:rsidRPr="00731984">
        <w:rPr>
          <w:rFonts w:ascii="Times New Roman" w:hAnsi="Times New Roman" w:cs="Times New Roman"/>
        </w:rPr>
        <w:t>subject variable</w:t>
      </w:r>
      <w:r w:rsidR="00CF4267" w:rsidRPr="00731984">
        <w:rPr>
          <w:rFonts w:ascii="Times New Roman" w:hAnsi="Times New Roman" w:cs="Times New Roman"/>
        </w:rPr>
        <w:t>,</w:t>
      </w:r>
      <w:r w:rsidR="004A38DA" w:rsidRPr="00731984">
        <w:rPr>
          <w:rFonts w:ascii="Times New Roman" w:hAnsi="Times New Roman" w:cs="Times New Roman"/>
        </w:rPr>
        <w:t xml:space="preserve"> </w:t>
      </w:r>
      <w:r w:rsidR="000360F6">
        <w:rPr>
          <w:rFonts w:ascii="Times New Roman" w:hAnsi="Times New Roman" w:cs="Times New Roman"/>
          <w:i/>
        </w:rPr>
        <w:t>T</w:t>
      </w:r>
      <w:r w:rsidR="004A38DA" w:rsidRPr="00731984">
        <w:rPr>
          <w:rFonts w:ascii="Times New Roman" w:hAnsi="Times New Roman" w:cs="Times New Roman"/>
          <w:i/>
        </w:rPr>
        <w:t>ime</w:t>
      </w:r>
      <w:r w:rsidR="00B20EC8" w:rsidRPr="00731984">
        <w:rPr>
          <w:rFonts w:ascii="Times New Roman" w:hAnsi="Times New Roman" w:cs="Times New Roman"/>
        </w:rPr>
        <w:t xml:space="preserve"> </w:t>
      </w:r>
      <w:r w:rsidR="00B20EC8" w:rsidRPr="00731984">
        <w:rPr>
          <w:rFonts w:ascii="Times New Roman" w:hAnsi="Times New Roman" w:cs="Times New Roman"/>
        </w:rPr>
        <w:lastRenderedPageBreak/>
        <w:t>(</w:t>
      </w:r>
      <w:r w:rsidR="000360F6">
        <w:rPr>
          <w:rFonts w:ascii="Times New Roman" w:hAnsi="Times New Roman" w:cs="Times New Roman"/>
        </w:rPr>
        <w:t>T</w:t>
      </w:r>
      <w:r w:rsidR="00C34DBB" w:rsidRPr="00731984">
        <w:rPr>
          <w:rFonts w:ascii="Times New Roman" w:hAnsi="Times New Roman" w:cs="Times New Roman"/>
        </w:rPr>
        <w:t xml:space="preserve">ime 1 vs </w:t>
      </w:r>
      <w:r w:rsidR="000360F6">
        <w:rPr>
          <w:rFonts w:ascii="Times New Roman" w:hAnsi="Times New Roman" w:cs="Times New Roman"/>
        </w:rPr>
        <w:t>T</w:t>
      </w:r>
      <w:r w:rsidR="00C34DBB" w:rsidRPr="00731984">
        <w:rPr>
          <w:rFonts w:ascii="Times New Roman" w:hAnsi="Times New Roman" w:cs="Times New Roman"/>
        </w:rPr>
        <w:t>ime 2)</w:t>
      </w:r>
      <w:r w:rsidR="00CF4267" w:rsidRPr="00731984">
        <w:rPr>
          <w:rFonts w:ascii="Times New Roman" w:hAnsi="Times New Roman" w:cs="Times New Roman"/>
        </w:rPr>
        <w:t>,</w:t>
      </w:r>
      <w:r w:rsidR="00C34DBB" w:rsidRPr="00731984">
        <w:rPr>
          <w:rFonts w:ascii="Times New Roman" w:hAnsi="Times New Roman" w:cs="Times New Roman"/>
        </w:rPr>
        <w:t xml:space="preserve"> was conducted for the </w:t>
      </w:r>
      <w:r w:rsidR="00B20EC8" w:rsidRPr="00731984">
        <w:rPr>
          <w:rFonts w:ascii="Times New Roman" w:hAnsi="Times New Roman" w:cs="Times New Roman"/>
        </w:rPr>
        <w:t xml:space="preserve">HAO (excluding </w:t>
      </w:r>
      <w:r w:rsidR="00EE36C8" w:rsidRPr="00731984">
        <w:rPr>
          <w:rFonts w:ascii="Times New Roman" w:hAnsi="Times New Roman" w:cs="Times New Roman"/>
        </w:rPr>
        <w:t xml:space="preserve">the final </w:t>
      </w:r>
      <w:r w:rsidR="004B3D33" w:rsidRPr="00731984">
        <w:rPr>
          <w:rFonts w:ascii="Times New Roman" w:hAnsi="Times New Roman" w:cs="Times New Roman"/>
        </w:rPr>
        <w:t xml:space="preserve">‘working relationships’ </w:t>
      </w:r>
      <w:r w:rsidR="00EE36C8" w:rsidRPr="00731984">
        <w:rPr>
          <w:rFonts w:ascii="Times New Roman" w:hAnsi="Times New Roman" w:cs="Times New Roman"/>
        </w:rPr>
        <w:t xml:space="preserve">item </w:t>
      </w:r>
      <w:r w:rsidR="004B3D33" w:rsidRPr="00731984">
        <w:rPr>
          <w:rFonts w:ascii="Times New Roman" w:hAnsi="Times New Roman" w:cs="Times New Roman"/>
        </w:rPr>
        <w:t>which i</w:t>
      </w:r>
      <w:r w:rsidR="00D710EB" w:rsidRPr="00731984">
        <w:rPr>
          <w:rFonts w:ascii="Times New Roman" w:hAnsi="Times New Roman" w:cs="Times New Roman"/>
        </w:rPr>
        <w:t xml:space="preserve">s </w:t>
      </w:r>
      <w:r w:rsidR="00EE36C8" w:rsidRPr="00731984">
        <w:rPr>
          <w:rFonts w:ascii="Times New Roman" w:hAnsi="Times New Roman" w:cs="Times New Roman"/>
        </w:rPr>
        <w:t xml:space="preserve">only completed by clinical participants).  </w:t>
      </w:r>
      <w:r w:rsidR="00B64822" w:rsidRPr="00731984">
        <w:rPr>
          <w:rFonts w:ascii="Times New Roman" w:hAnsi="Times New Roman" w:cs="Times New Roman"/>
        </w:rPr>
        <w:t xml:space="preserve">There was a main effect of </w:t>
      </w:r>
      <w:r w:rsidR="00EE36C8" w:rsidRPr="00731984">
        <w:rPr>
          <w:rFonts w:ascii="Times New Roman" w:hAnsi="Times New Roman" w:cs="Times New Roman"/>
        </w:rPr>
        <w:t>t</w:t>
      </w:r>
      <w:r w:rsidR="00B64822" w:rsidRPr="00731984">
        <w:rPr>
          <w:rFonts w:ascii="Times New Roman" w:hAnsi="Times New Roman" w:cs="Times New Roman"/>
        </w:rPr>
        <w:t>ime</w:t>
      </w:r>
      <w:r w:rsidR="00E24C45" w:rsidRPr="00731984">
        <w:rPr>
          <w:rFonts w:ascii="Times New Roman" w:hAnsi="Times New Roman" w:cs="Times New Roman"/>
        </w:rPr>
        <w:t>,</w:t>
      </w:r>
      <w:r w:rsidR="00B64822" w:rsidRPr="00731984">
        <w:rPr>
          <w:rFonts w:ascii="Times New Roman" w:hAnsi="Times New Roman" w:cs="Times New Roman"/>
        </w:rPr>
        <w:t xml:space="preserve"> </w:t>
      </w:r>
      <w:proofErr w:type="gramStart"/>
      <w:r w:rsidR="00B64822" w:rsidRPr="00731984">
        <w:rPr>
          <w:rFonts w:ascii="Times New Roman" w:hAnsi="Times New Roman" w:cs="Times New Roman"/>
          <w:i/>
          <w:iCs/>
        </w:rPr>
        <w:t>F</w:t>
      </w:r>
      <w:r w:rsidR="00F3794B">
        <w:rPr>
          <w:rFonts w:ascii="Times New Roman" w:hAnsi="Times New Roman" w:cs="Times New Roman"/>
        </w:rPr>
        <w:t>(</w:t>
      </w:r>
      <w:proofErr w:type="gramEnd"/>
      <w:r w:rsidR="00F3794B">
        <w:rPr>
          <w:rFonts w:ascii="Times New Roman" w:hAnsi="Times New Roman" w:cs="Times New Roman"/>
        </w:rPr>
        <w:t>1, 164)=</w:t>
      </w:r>
      <w:r w:rsidR="001D7D37" w:rsidRPr="00731984">
        <w:rPr>
          <w:rFonts w:ascii="Times New Roman" w:hAnsi="Times New Roman" w:cs="Times New Roman"/>
        </w:rPr>
        <w:t>4.24</w:t>
      </w:r>
      <w:r w:rsidR="00B64822" w:rsidRPr="00731984">
        <w:rPr>
          <w:rFonts w:ascii="Times New Roman" w:hAnsi="Times New Roman" w:cs="Times New Roman"/>
        </w:rPr>
        <w:t xml:space="preserve">, </w:t>
      </w:r>
      <w:r w:rsidR="00B64822" w:rsidRPr="00731984">
        <w:rPr>
          <w:rFonts w:ascii="Times New Roman" w:hAnsi="Times New Roman" w:cs="Times New Roman"/>
          <w:i/>
          <w:iCs/>
        </w:rPr>
        <w:t>p</w:t>
      </w:r>
      <w:r w:rsidR="00EE36C8" w:rsidRPr="00731984">
        <w:rPr>
          <w:rFonts w:ascii="Times New Roman" w:hAnsi="Times New Roman" w:cs="Times New Roman"/>
        </w:rPr>
        <w:t>&lt;</w:t>
      </w:r>
      <w:r w:rsidR="00F552F2" w:rsidRPr="00731984">
        <w:rPr>
          <w:rFonts w:ascii="Times New Roman" w:hAnsi="Times New Roman" w:cs="Times New Roman"/>
        </w:rPr>
        <w:t>0</w:t>
      </w:r>
      <w:r w:rsidR="00B64822" w:rsidRPr="00731984">
        <w:rPr>
          <w:rFonts w:ascii="Times New Roman" w:hAnsi="Times New Roman" w:cs="Times New Roman"/>
        </w:rPr>
        <w:t xml:space="preserve"> .0</w:t>
      </w:r>
      <w:r w:rsidR="00EE36C8" w:rsidRPr="00731984">
        <w:rPr>
          <w:rFonts w:ascii="Times New Roman" w:hAnsi="Times New Roman" w:cs="Times New Roman"/>
        </w:rPr>
        <w:t>5</w:t>
      </w:r>
      <w:r w:rsidR="00B64822" w:rsidRPr="00731984">
        <w:rPr>
          <w:rFonts w:ascii="Times New Roman" w:hAnsi="Times New Roman" w:cs="Times New Roman"/>
        </w:rPr>
        <w:t>, np</w:t>
      </w:r>
      <w:r w:rsidR="00B64822" w:rsidRPr="00731984">
        <w:rPr>
          <w:rFonts w:ascii="Times New Roman" w:hAnsi="Times New Roman" w:cs="Times New Roman"/>
          <w:vertAlign w:val="superscript"/>
        </w:rPr>
        <w:t>2</w:t>
      </w:r>
      <w:r w:rsidR="006F34B0">
        <w:rPr>
          <w:rFonts w:ascii="Times New Roman" w:hAnsi="Times New Roman" w:cs="Times New Roman"/>
        </w:rPr>
        <w:t>=</w:t>
      </w:r>
      <w:r w:rsidR="00F552F2" w:rsidRPr="00731984">
        <w:rPr>
          <w:rFonts w:ascii="Times New Roman" w:hAnsi="Times New Roman" w:cs="Times New Roman"/>
        </w:rPr>
        <w:t>0</w:t>
      </w:r>
      <w:r w:rsidR="001D7D37" w:rsidRPr="00731984">
        <w:rPr>
          <w:rFonts w:ascii="Times New Roman" w:hAnsi="Times New Roman" w:cs="Times New Roman"/>
        </w:rPr>
        <w:t>.03</w:t>
      </w:r>
      <w:r w:rsidR="00B64822" w:rsidRPr="00731984">
        <w:rPr>
          <w:rFonts w:ascii="Times New Roman" w:hAnsi="Times New Roman" w:cs="Times New Roman"/>
        </w:rPr>
        <w:t xml:space="preserve">, </w:t>
      </w:r>
      <w:r w:rsidR="00EE36C8" w:rsidRPr="00731984">
        <w:rPr>
          <w:rFonts w:ascii="Times New Roman" w:hAnsi="Times New Roman" w:cs="Times New Roman"/>
        </w:rPr>
        <w:t>g</w:t>
      </w:r>
      <w:r w:rsidR="00B64822" w:rsidRPr="00731984">
        <w:rPr>
          <w:rFonts w:ascii="Times New Roman" w:hAnsi="Times New Roman" w:cs="Times New Roman"/>
        </w:rPr>
        <w:t>roup</w:t>
      </w:r>
      <w:r w:rsidR="00E24C45" w:rsidRPr="00731984">
        <w:rPr>
          <w:rFonts w:ascii="Times New Roman" w:hAnsi="Times New Roman" w:cs="Times New Roman"/>
        </w:rPr>
        <w:t>,</w:t>
      </w:r>
      <w:r w:rsidR="00B64822" w:rsidRPr="00731984">
        <w:rPr>
          <w:rFonts w:ascii="Times New Roman" w:hAnsi="Times New Roman" w:cs="Times New Roman"/>
        </w:rPr>
        <w:t xml:space="preserve"> </w:t>
      </w:r>
      <w:r w:rsidR="00B64822" w:rsidRPr="00731984">
        <w:rPr>
          <w:rFonts w:ascii="Times New Roman" w:hAnsi="Times New Roman" w:cs="Times New Roman"/>
          <w:i/>
          <w:iCs/>
        </w:rPr>
        <w:t>F</w:t>
      </w:r>
      <w:r w:rsidR="006F34B0">
        <w:rPr>
          <w:rFonts w:ascii="Times New Roman" w:hAnsi="Times New Roman" w:cs="Times New Roman"/>
        </w:rPr>
        <w:t>(1, 164)=</w:t>
      </w:r>
      <w:r w:rsidR="00B64822" w:rsidRPr="00731984">
        <w:rPr>
          <w:rFonts w:ascii="Times New Roman" w:hAnsi="Times New Roman" w:cs="Times New Roman"/>
        </w:rPr>
        <w:t xml:space="preserve">32.4, </w:t>
      </w:r>
      <w:r w:rsidR="00B64822" w:rsidRPr="00731984">
        <w:rPr>
          <w:rFonts w:ascii="Times New Roman" w:hAnsi="Times New Roman" w:cs="Times New Roman"/>
          <w:i/>
          <w:iCs/>
        </w:rPr>
        <w:t>p</w:t>
      </w:r>
      <w:r w:rsidR="006F34B0">
        <w:rPr>
          <w:rFonts w:ascii="Times New Roman" w:hAnsi="Times New Roman" w:cs="Times New Roman"/>
        </w:rPr>
        <w:t>&lt;</w:t>
      </w:r>
      <w:r w:rsidR="00F552F2" w:rsidRPr="00731984">
        <w:rPr>
          <w:rFonts w:ascii="Times New Roman" w:hAnsi="Times New Roman" w:cs="Times New Roman"/>
        </w:rPr>
        <w:t>0</w:t>
      </w:r>
      <w:r w:rsidR="00B64822" w:rsidRPr="00731984">
        <w:rPr>
          <w:rFonts w:ascii="Times New Roman" w:hAnsi="Times New Roman" w:cs="Times New Roman"/>
        </w:rPr>
        <w:t>.001, np</w:t>
      </w:r>
      <w:r w:rsidR="00B64822" w:rsidRPr="00731984">
        <w:rPr>
          <w:rFonts w:ascii="Times New Roman" w:hAnsi="Times New Roman" w:cs="Times New Roman"/>
          <w:vertAlign w:val="superscript"/>
        </w:rPr>
        <w:t>2</w:t>
      </w:r>
      <w:r w:rsidR="006F34B0">
        <w:rPr>
          <w:rFonts w:ascii="Times New Roman" w:hAnsi="Times New Roman" w:cs="Times New Roman"/>
        </w:rPr>
        <w:t>=</w:t>
      </w:r>
      <w:r w:rsidR="00F552F2" w:rsidRPr="00731984">
        <w:rPr>
          <w:rFonts w:ascii="Times New Roman" w:hAnsi="Times New Roman" w:cs="Times New Roman"/>
        </w:rPr>
        <w:t>0</w:t>
      </w:r>
      <w:r w:rsidR="001D7D37" w:rsidRPr="00731984">
        <w:rPr>
          <w:rFonts w:ascii="Times New Roman" w:hAnsi="Times New Roman" w:cs="Times New Roman"/>
        </w:rPr>
        <w:t>.17</w:t>
      </w:r>
      <w:r w:rsidR="00E24C45" w:rsidRPr="00731984">
        <w:rPr>
          <w:rFonts w:ascii="Times New Roman" w:hAnsi="Times New Roman" w:cs="Times New Roman"/>
        </w:rPr>
        <w:t xml:space="preserve">, </w:t>
      </w:r>
      <w:r w:rsidR="00EE36C8" w:rsidRPr="00731984">
        <w:rPr>
          <w:rFonts w:ascii="Times New Roman" w:hAnsi="Times New Roman" w:cs="Times New Roman"/>
        </w:rPr>
        <w:t xml:space="preserve">and time by group </w:t>
      </w:r>
      <w:r w:rsidR="00E24C45" w:rsidRPr="00731984">
        <w:rPr>
          <w:rFonts w:ascii="Times New Roman" w:hAnsi="Times New Roman" w:cs="Times New Roman"/>
        </w:rPr>
        <w:t>interaction</w:t>
      </w:r>
      <w:r w:rsidR="00EE36C8" w:rsidRPr="00731984">
        <w:rPr>
          <w:rFonts w:ascii="Times New Roman" w:hAnsi="Times New Roman" w:cs="Times New Roman"/>
        </w:rPr>
        <w:t xml:space="preserve">, </w:t>
      </w:r>
      <w:r w:rsidR="00E24C45" w:rsidRPr="00731984">
        <w:rPr>
          <w:rFonts w:ascii="Times New Roman" w:hAnsi="Times New Roman" w:cs="Times New Roman"/>
          <w:i/>
          <w:iCs/>
        </w:rPr>
        <w:t>F</w:t>
      </w:r>
      <w:r w:rsidR="006F34B0">
        <w:rPr>
          <w:rFonts w:ascii="Times New Roman" w:hAnsi="Times New Roman" w:cs="Times New Roman"/>
        </w:rPr>
        <w:t>(1, 164)=</w:t>
      </w:r>
      <w:r w:rsidR="00E24C45" w:rsidRPr="00731984">
        <w:rPr>
          <w:rFonts w:ascii="Times New Roman" w:hAnsi="Times New Roman" w:cs="Times New Roman"/>
        </w:rPr>
        <w:t xml:space="preserve">9.03, </w:t>
      </w:r>
      <w:r w:rsidR="00E24C45" w:rsidRPr="00731984">
        <w:rPr>
          <w:rFonts w:ascii="Times New Roman" w:hAnsi="Times New Roman" w:cs="Times New Roman"/>
          <w:i/>
          <w:iCs/>
        </w:rPr>
        <w:t>p</w:t>
      </w:r>
      <w:r w:rsidR="006F34B0">
        <w:rPr>
          <w:rFonts w:ascii="Times New Roman" w:hAnsi="Times New Roman" w:cs="Times New Roman"/>
        </w:rPr>
        <w:t>=</w:t>
      </w:r>
      <w:r w:rsidR="001D7D37" w:rsidRPr="00731984">
        <w:rPr>
          <w:rFonts w:ascii="Times New Roman" w:hAnsi="Times New Roman" w:cs="Times New Roman"/>
        </w:rPr>
        <w:t>0</w:t>
      </w:r>
      <w:r w:rsidR="00E24C45" w:rsidRPr="00731984">
        <w:rPr>
          <w:rFonts w:ascii="Times New Roman" w:hAnsi="Times New Roman" w:cs="Times New Roman"/>
        </w:rPr>
        <w:t>.00</w:t>
      </w:r>
      <w:r w:rsidR="00EE36C8" w:rsidRPr="00731984">
        <w:rPr>
          <w:rFonts w:ascii="Times New Roman" w:hAnsi="Times New Roman" w:cs="Times New Roman"/>
        </w:rPr>
        <w:t>5</w:t>
      </w:r>
      <w:r w:rsidR="00E24C45" w:rsidRPr="00731984">
        <w:rPr>
          <w:rFonts w:ascii="Times New Roman" w:hAnsi="Times New Roman" w:cs="Times New Roman"/>
        </w:rPr>
        <w:t>, np</w:t>
      </w:r>
      <w:r w:rsidR="00E24C45" w:rsidRPr="00731984">
        <w:rPr>
          <w:rFonts w:ascii="Times New Roman" w:hAnsi="Times New Roman" w:cs="Times New Roman"/>
          <w:vertAlign w:val="superscript"/>
        </w:rPr>
        <w:t>2</w:t>
      </w:r>
      <w:r w:rsidR="006F34B0">
        <w:rPr>
          <w:rFonts w:ascii="Times New Roman" w:hAnsi="Times New Roman" w:cs="Times New Roman"/>
        </w:rPr>
        <w:t>=</w:t>
      </w:r>
      <w:r w:rsidR="001D7D37" w:rsidRPr="00731984">
        <w:rPr>
          <w:rFonts w:ascii="Times New Roman" w:hAnsi="Times New Roman" w:cs="Times New Roman"/>
        </w:rPr>
        <w:t>0</w:t>
      </w:r>
      <w:r w:rsidR="00EE36C8" w:rsidRPr="00731984">
        <w:rPr>
          <w:rFonts w:ascii="Times New Roman" w:hAnsi="Times New Roman" w:cs="Times New Roman"/>
        </w:rPr>
        <w:t xml:space="preserve">.05.  </w:t>
      </w:r>
    </w:p>
    <w:p w14:paraId="124CB2D7" w14:textId="29B424E6" w:rsidR="004B3D33" w:rsidRPr="00731984" w:rsidRDefault="004B3D33" w:rsidP="00014439">
      <w:pPr>
        <w:spacing w:line="480" w:lineRule="auto"/>
        <w:ind w:firstLine="720"/>
        <w:rPr>
          <w:rFonts w:ascii="Times New Roman" w:hAnsi="Times New Roman" w:cs="Times New Roman"/>
        </w:rPr>
      </w:pPr>
      <w:r w:rsidRPr="00731984">
        <w:rPr>
          <w:rFonts w:ascii="Times New Roman" w:hAnsi="Times New Roman" w:cs="Times New Roman"/>
        </w:rPr>
        <w:t xml:space="preserve">Given the differences in age and gender between the two samples, we repeated the analyses controlling for these variables.  While the main effect of time was no longer significant, </w:t>
      </w:r>
      <w:proofErr w:type="gramStart"/>
      <w:r w:rsidRPr="00731984">
        <w:rPr>
          <w:rFonts w:ascii="Times New Roman" w:hAnsi="Times New Roman" w:cs="Times New Roman"/>
          <w:i/>
          <w:iCs/>
        </w:rPr>
        <w:t>F</w:t>
      </w:r>
      <w:r w:rsidR="006F34B0">
        <w:rPr>
          <w:rFonts w:ascii="Times New Roman" w:hAnsi="Times New Roman" w:cs="Times New Roman"/>
        </w:rPr>
        <w:t>(</w:t>
      </w:r>
      <w:proofErr w:type="gramEnd"/>
      <w:r w:rsidR="006F34B0">
        <w:rPr>
          <w:rFonts w:ascii="Times New Roman" w:hAnsi="Times New Roman" w:cs="Times New Roman"/>
        </w:rPr>
        <w:t>1, 151)=</w:t>
      </w:r>
      <w:r w:rsidRPr="00731984">
        <w:rPr>
          <w:rFonts w:ascii="Times New Roman" w:hAnsi="Times New Roman" w:cs="Times New Roman"/>
        </w:rPr>
        <w:t xml:space="preserve">2.66, </w:t>
      </w:r>
      <w:r w:rsidRPr="00731984">
        <w:rPr>
          <w:rFonts w:ascii="Times New Roman" w:hAnsi="Times New Roman" w:cs="Times New Roman"/>
          <w:i/>
          <w:iCs/>
        </w:rPr>
        <w:t>p</w:t>
      </w:r>
      <w:r w:rsidR="006F34B0">
        <w:rPr>
          <w:rFonts w:ascii="Times New Roman" w:hAnsi="Times New Roman" w:cs="Times New Roman"/>
        </w:rPr>
        <w:t>&lt;</w:t>
      </w:r>
      <w:r w:rsidRPr="00731984">
        <w:rPr>
          <w:rFonts w:ascii="Times New Roman" w:hAnsi="Times New Roman" w:cs="Times New Roman"/>
        </w:rPr>
        <w:t>0.105, np</w:t>
      </w:r>
      <w:r w:rsidRPr="00731984">
        <w:rPr>
          <w:rFonts w:ascii="Times New Roman" w:hAnsi="Times New Roman" w:cs="Times New Roman"/>
          <w:vertAlign w:val="superscript"/>
        </w:rPr>
        <w:t>2</w:t>
      </w:r>
      <w:r w:rsidR="006F34B0">
        <w:rPr>
          <w:rFonts w:ascii="Times New Roman" w:hAnsi="Times New Roman" w:cs="Times New Roman"/>
        </w:rPr>
        <w:t>=</w:t>
      </w:r>
      <w:r w:rsidRPr="00731984">
        <w:rPr>
          <w:rFonts w:ascii="Times New Roman" w:hAnsi="Times New Roman" w:cs="Times New Roman"/>
        </w:rPr>
        <w:t>0.17</w:t>
      </w:r>
      <w:r w:rsidR="004A5719">
        <w:rPr>
          <w:rFonts w:ascii="Times New Roman" w:hAnsi="Times New Roman" w:cs="Times New Roman"/>
        </w:rPr>
        <w:t>,</w:t>
      </w:r>
      <w:r w:rsidRPr="00731984">
        <w:rPr>
          <w:rFonts w:ascii="Times New Roman" w:hAnsi="Times New Roman" w:cs="Times New Roman"/>
        </w:rPr>
        <w:t xml:space="preserve"> the main effect of group, </w:t>
      </w:r>
      <w:r w:rsidRPr="00731984">
        <w:rPr>
          <w:rFonts w:ascii="Times New Roman" w:hAnsi="Times New Roman" w:cs="Times New Roman"/>
          <w:i/>
          <w:iCs/>
        </w:rPr>
        <w:t>F</w:t>
      </w:r>
      <w:r w:rsidR="006F34B0">
        <w:rPr>
          <w:rFonts w:ascii="Times New Roman" w:hAnsi="Times New Roman" w:cs="Times New Roman"/>
        </w:rPr>
        <w:t>(1, 151)=</w:t>
      </w:r>
      <w:r w:rsidRPr="00731984">
        <w:rPr>
          <w:rFonts w:ascii="Times New Roman" w:hAnsi="Times New Roman" w:cs="Times New Roman"/>
        </w:rPr>
        <w:t xml:space="preserve">6.27, </w:t>
      </w:r>
      <w:r w:rsidRPr="00731984">
        <w:rPr>
          <w:rFonts w:ascii="Times New Roman" w:hAnsi="Times New Roman" w:cs="Times New Roman"/>
          <w:i/>
          <w:iCs/>
        </w:rPr>
        <w:t>p</w:t>
      </w:r>
      <w:r w:rsidR="006F34B0">
        <w:rPr>
          <w:rFonts w:ascii="Times New Roman" w:hAnsi="Times New Roman" w:cs="Times New Roman"/>
        </w:rPr>
        <w:t>&lt;</w:t>
      </w:r>
      <w:r w:rsidRPr="00731984">
        <w:rPr>
          <w:rFonts w:ascii="Times New Roman" w:hAnsi="Times New Roman" w:cs="Times New Roman"/>
        </w:rPr>
        <w:t>0.05, np</w:t>
      </w:r>
      <w:r w:rsidRPr="00731984">
        <w:rPr>
          <w:rFonts w:ascii="Times New Roman" w:hAnsi="Times New Roman" w:cs="Times New Roman"/>
          <w:vertAlign w:val="superscript"/>
        </w:rPr>
        <w:t>2</w:t>
      </w:r>
      <w:r w:rsidR="006F34B0">
        <w:rPr>
          <w:rFonts w:ascii="Times New Roman" w:hAnsi="Times New Roman" w:cs="Times New Roman"/>
        </w:rPr>
        <w:t>=</w:t>
      </w:r>
      <w:r w:rsidRPr="00731984">
        <w:rPr>
          <w:rFonts w:ascii="Times New Roman" w:hAnsi="Times New Roman" w:cs="Times New Roman"/>
        </w:rPr>
        <w:t xml:space="preserve">0.040, and time by group interaction, </w:t>
      </w:r>
      <w:r w:rsidRPr="00731984">
        <w:rPr>
          <w:rFonts w:ascii="Times New Roman" w:hAnsi="Times New Roman" w:cs="Times New Roman"/>
          <w:i/>
          <w:iCs/>
        </w:rPr>
        <w:t>F</w:t>
      </w:r>
      <w:r w:rsidR="006F34B0">
        <w:rPr>
          <w:rFonts w:ascii="Times New Roman" w:hAnsi="Times New Roman" w:cs="Times New Roman"/>
        </w:rPr>
        <w:t>(1, 151)=</w:t>
      </w:r>
      <w:r w:rsidRPr="00731984">
        <w:rPr>
          <w:rFonts w:ascii="Times New Roman" w:hAnsi="Times New Roman" w:cs="Times New Roman"/>
        </w:rPr>
        <w:t xml:space="preserve">5.338, </w:t>
      </w:r>
      <w:r w:rsidRPr="00731984">
        <w:rPr>
          <w:rFonts w:ascii="Times New Roman" w:hAnsi="Times New Roman" w:cs="Times New Roman"/>
          <w:i/>
          <w:iCs/>
        </w:rPr>
        <w:t>p</w:t>
      </w:r>
      <w:r w:rsidR="006F34B0">
        <w:rPr>
          <w:rFonts w:ascii="Times New Roman" w:hAnsi="Times New Roman" w:cs="Times New Roman"/>
        </w:rPr>
        <w:t>=</w:t>
      </w:r>
      <w:r w:rsidRPr="00731984">
        <w:rPr>
          <w:rFonts w:ascii="Times New Roman" w:hAnsi="Times New Roman" w:cs="Times New Roman"/>
        </w:rPr>
        <w:t>0.05, np</w:t>
      </w:r>
      <w:r w:rsidRPr="00731984">
        <w:rPr>
          <w:rFonts w:ascii="Times New Roman" w:hAnsi="Times New Roman" w:cs="Times New Roman"/>
          <w:vertAlign w:val="superscript"/>
        </w:rPr>
        <w:t>2</w:t>
      </w:r>
      <w:r w:rsidR="006F34B0">
        <w:rPr>
          <w:rFonts w:ascii="Times New Roman" w:hAnsi="Times New Roman" w:cs="Times New Roman"/>
        </w:rPr>
        <w:t>=</w:t>
      </w:r>
      <w:r w:rsidRPr="00731984">
        <w:rPr>
          <w:rFonts w:ascii="Times New Roman" w:hAnsi="Times New Roman" w:cs="Times New Roman"/>
        </w:rPr>
        <w:t xml:space="preserve">0.034) remained significant.  None of the interaction terms with age or gender were significant (all </w:t>
      </w:r>
      <w:proofErr w:type="spellStart"/>
      <w:r w:rsidRPr="00731984">
        <w:rPr>
          <w:rFonts w:ascii="Times New Roman" w:hAnsi="Times New Roman" w:cs="Times New Roman"/>
          <w:i/>
          <w:iCs/>
        </w:rPr>
        <w:t>p</w:t>
      </w:r>
      <w:r w:rsidR="006F34B0">
        <w:rPr>
          <w:rFonts w:ascii="Times New Roman" w:hAnsi="Times New Roman" w:cs="Times New Roman"/>
        </w:rPr>
        <w:t>s</w:t>
      </w:r>
      <w:proofErr w:type="spellEnd"/>
      <w:r w:rsidR="006F34B0">
        <w:rPr>
          <w:rFonts w:ascii="Times New Roman" w:hAnsi="Times New Roman" w:cs="Times New Roman"/>
        </w:rPr>
        <w:t>&gt;</w:t>
      </w:r>
      <w:r w:rsidRPr="00731984">
        <w:rPr>
          <w:rFonts w:ascii="Times New Roman" w:hAnsi="Times New Roman" w:cs="Times New Roman"/>
        </w:rPr>
        <w:t>0.05).</w:t>
      </w:r>
    </w:p>
    <w:p w14:paraId="5B015459" w14:textId="43D09CA1" w:rsidR="00B64822" w:rsidRDefault="000360F6" w:rsidP="00014439">
      <w:pPr>
        <w:spacing w:line="480" w:lineRule="auto"/>
        <w:ind w:firstLine="720"/>
        <w:rPr>
          <w:rFonts w:ascii="Times New Roman" w:hAnsi="Times New Roman" w:cs="Times New Roman"/>
        </w:rPr>
      </w:pPr>
      <w:r>
        <w:rPr>
          <w:rFonts w:ascii="Times New Roman" w:hAnsi="Times New Roman" w:cs="Times New Roman"/>
        </w:rPr>
        <w:t xml:space="preserve">To understand the time </w:t>
      </w:r>
      <w:r w:rsidR="0002739A">
        <w:rPr>
          <w:rFonts w:ascii="Times New Roman" w:hAnsi="Times New Roman" w:cs="Times New Roman"/>
        </w:rPr>
        <w:t>effect in the repeated measures analyses</w:t>
      </w:r>
      <w:r>
        <w:rPr>
          <w:rFonts w:ascii="Times New Roman" w:hAnsi="Times New Roman" w:cs="Times New Roman"/>
        </w:rPr>
        <w:t xml:space="preserve">, </w:t>
      </w:r>
      <w:r w:rsidR="009653B1" w:rsidRPr="00731984">
        <w:rPr>
          <w:rFonts w:ascii="Times New Roman" w:hAnsi="Times New Roman" w:cs="Times New Roman"/>
        </w:rPr>
        <w:t>paired</w:t>
      </w:r>
      <w:r w:rsidR="00C165BD">
        <w:rPr>
          <w:rFonts w:ascii="Times New Roman" w:hAnsi="Times New Roman" w:cs="Times New Roman"/>
        </w:rPr>
        <w:t xml:space="preserve"> samples</w:t>
      </w:r>
      <w:r w:rsidR="009653B1" w:rsidRPr="00731984">
        <w:rPr>
          <w:rFonts w:ascii="Times New Roman" w:hAnsi="Times New Roman" w:cs="Times New Roman"/>
        </w:rPr>
        <w:t xml:space="preserve"> </w:t>
      </w:r>
      <w:r w:rsidR="009653B1" w:rsidRPr="00FF60B0">
        <w:rPr>
          <w:rFonts w:ascii="Times New Roman" w:hAnsi="Times New Roman" w:cs="Times New Roman"/>
          <w:i/>
          <w:iCs/>
        </w:rPr>
        <w:t>t</w:t>
      </w:r>
      <w:r w:rsidR="009653B1" w:rsidRPr="00731984">
        <w:rPr>
          <w:rFonts w:ascii="Times New Roman" w:hAnsi="Times New Roman" w:cs="Times New Roman"/>
        </w:rPr>
        <w:t>-tests</w:t>
      </w:r>
      <w:r w:rsidR="0020359F" w:rsidRPr="00731984">
        <w:rPr>
          <w:rFonts w:ascii="Times New Roman" w:hAnsi="Times New Roman" w:cs="Times New Roman"/>
        </w:rPr>
        <w:t xml:space="preserve"> with </w:t>
      </w:r>
      <w:r>
        <w:rPr>
          <w:rFonts w:ascii="Times New Roman" w:hAnsi="Times New Roman" w:cs="Times New Roman"/>
        </w:rPr>
        <w:t xml:space="preserve">a </w:t>
      </w:r>
      <w:r w:rsidR="0020359F" w:rsidRPr="00731984">
        <w:rPr>
          <w:rFonts w:ascii="Times New Roman" w:hAnsi="Times New Roman" w:cs="Times New Roman"/>
        </w:rPr>
        <w:t>Bonferroni corrected significance level</w:t>
      </w:r>
      <w:r w:rsidR="00E24C45" w:rsidRPr="00731984">
        <w:rPr>
          <w:rFonts w:ascii="Times New Roman" w:hAnsi="Times New Roman" w:cs="Times New Roman"/>
        </w:rPr>
        <w:t xml:space="preserve"> (</w:t>
      </w:r>
      <w:r w:rsidR="001D7D37" w:rsidRPr="00731984">
        <w:rPr>
          <w:rFonts w:ascii="Times New Roman" w:hAnsi="Times New Roman" w:cs="Times New Roman"/>
        </w:rPr>
        <w:t>0</w:t>
      </w:r>
      <w:r w:rsidR="009653B1" w:rsidRPr="00731984">
        <w:rPr>
          <w:rFonts w:ascii="Times New Roman" w:hAnsi="Times New Roman" w:cs="Times New Roman"/>
        </w:rPr>
        <w:t xml:space="preserve">.025) </w:t>
      </w:r>
      <w:r w:rsidR="00EE36C8" w:rsidRPr="00731984">
        <w:rPr>
          <w:rFonts w:ascii="Times New Roman" w:hAnsi="Times New Roman" w:cs="Times New Roman"/>
        </w:rPr>
        <w:t xml:space="preserve">indicated that recovery improved in the </w:t>
      </w:r>
      <w:r w:rsidR="009653B1" w:rsidRPr="00731984">
        <w:rPr>
          <w:rFonts w:ascii="Times New Roman" w:hAnsi="Times New Roman" w:cs="Times New Roman"/>
        </w:rPr>
        <w:t>clinical group</w:t>
      </w:r>
      <w:r w:rsidR="00EE36C8" w:rsidRPr="00731984">
        <w:rPr>
          <w:rFonts w:ascii="Times New Roman" w:hAnsi="Times New Roman" w:cs="Times New Roman"/>
        </w:rPr>
        <w:t xml:space="preserve"> from Time </w:t>
      </w:r>
      <w:r w:rsidR="009653B1" w:rsidRPr="00731984">
        <w:rPr>
          <w:rFonts w:ascii="Times New Roman" w:hAnsi="Times New Roman" w:cs="Times New Roman"/>
        </w:rPr>
        <w:t>1 (</w:t>
      </w:r>
      <w:r w:rsidR="009653B1" w:rsidRPr="00731984">
        <w:rPr>
          <w:rFonts w:ascii="Times New Roman" w:hAnsi="Times New Roman" w:cs="Times New Roman"/>
          <w:i/>
          <w:iCs/>
        </w:rPr>
        <w:t>M</w:t>
      </w:r>
      <w:r w:rsidR="006F34B0">
        <w:rPr>
          <w:rFonts w:ascii="Times New Roman" w:hAnsi="Times New Roman" w:cs="Times New Roman"/>
        </w:rPr>
        <w:t>=</w:t>
      </w:r>
      <w:r w:rsidR="009653B1" w:rsidRPr="00731984">
        <w:rPr>
          <w:rFonts w:ascii="Times New Roman" w:hAnsi="Times New Roman" w:cs="Times New Roman"/>
        </w:rPr>
        <w:t xml:space="preserve">5.85, </w:t>
      </w:r>
      <w:r w:rsidR="009653B1" w:rsidRPr="00731984">
        <w:rPr>
          <w:rFonts w:ascii="Times New Roman" w:hAnsi="Times New Roman" w:cs="Times New Roman"/>
          <w:i/>
          <w:iCs/>
        </w:rPr>
        <w:t>SD</w:t>
      </w:r>
      <w:r w:rsidR="006F34B0">
        <w:rPr>
          <w:rFonts w:ascii="Times New Roman" w:hAnsi="Times New Roman" w:cs="Times New Roman"/>
        </w:rPr>
        <w:t>=</w:t>
      </w:r>
      <w:r w:rsidR="009653B1" w:rsidRPr="00731984">
        <w:rPr>
          <w:rFonts w:ascii="Times New Roman" w:hAnsi="Times New Roman" w:cs="Times New Roman"/>
        </w:rPr>
        <w:t>2.13) to Time 2 (</w:t>
      </w:r>
      <w:r w:rsidR="009653B1" w:rsidRPr="00731984">
        <w:rPr>
          <w:rFonts w:ascii="Times New Roman" w:hAnsi="Times New Roman" w:cs="Times New Roman"/>
          <w:i/>
          <w:iCs/>
        </w:rPr>
        <w:t>M</w:t>
      </w:r>
      <w:r w:rsidR="006F34B0">
        <w:rPr>
          <w:rFonts w:ascii="Times New Roman" w:hAnsi="Times New Roman" w:cs="Times New Roman"/>
        </w:rPr>
        <w:t>=</w:t>
      </w:r>
      <w:r w:rsidR="009653B1" w:rsidRPr="00731984">
        <w:rPr>
          <w:rFonts w:ascii="Times New Roman" w:hAnsi="Times New Roman" w:cs="Times New Roman"/>
        </w:rPr>
        <w:t xml:space="preserve">6.49, </w:t>
      </w:r>
      <w:r w:rsidR="009653B1" w:rsidRPr="00731984">
        <w:rPr>
          <w:rFonts w:ascii="Times New Roman" w:hAnsi="Times New Roman" w:cs="Times New Roman"/>
          <w:i/>
          <w:iCs/>
        </w:rPr>
        <w:t>SD</w:t>
      </w:r>
      <w:r w:rsidR="009653B1" w:rsidRPr="00731984">
        <w:rPr>
          <w:rFonts w:ascii="Times New Roman" w:hAnsi="Times New Roman" w:cs="Times New Roman"/>
        </w:rPr>
        <w:t>=</w:t>
      </w:r>
      <w:r w:rsidR="00E65A10" w:rsidRPr="00731984">
        <w:rPr>
          <w:rFonts w:ascii="Times New Roman" w:hAnsi="Times New Roman" w:cs="Times New Roman"/>
        </w:rPr>
        <w:t>2.21)</w:t>
      </w:r>
      <w:r w:rsidR="009653B1" w:rsidRPr="00731984">
        <w:rPr>
          <w:rFonts w:ascii="Times New Roman" w:hAnsi="Times New Roman" w:cs="Times New Roman"/>
        </w:rPr>
        <w:t xml:space="preserve">, </w:t>
      </w:r>
      <w:r w:rsidR="009653B1" w:rsidRPr="00731984">
        <w:rPr>
          <w:rFonts w:ascii="Times New Roman" w:hAnsi="Times New Roman" w:cs="Times New Roman"/>
          <w:i/>
          <w:iCs/>
        </w:rPr>
        <w:t>t</w:t>
      </w:r>
      <w:r w:rsidR="006F34B0">
        <w:rPr>
          <w:rFonts w:ascii="Times New Roman" w:hAnsi="Times New Roman" w:cs="Times New Roman"/>
        </w:rPr>
        <w:t>(90)=</w:t>
      </w:r>
      <w:r w:rsidR="009653B1" w:rsidRPr="00731984">
        <w:rPr>
          <w:rFonts w:ascii="Times New Roman" w:hAnsi="Times New Roman" w:cs="Times New Roman"/>
        </w:rPr>
        <w:t xml:space="preserve">3.56, </w:t>
      </w:r>
      <w:r w:rsidR="009653B1" w:rsidRPr="00731984">
        <w:rPr>
          <w:rFonts w:ascii="Times New Roman" w:hAnsi="Times New Roman" w:cs="Times New Roman"/>
          <w:i/>
          <w:iCs/>
        </w:rPr>
        <w:t>p</w:t>
      </w:r>
      <w:r w:rsidR="006F34B0">
        <w:rPr>
          <w:rFonts w:ascii="Times New Roman" w:hAnsi="Times New Roman" w:cs="Times New Roman"/>
        </w:rPr>
        <w:t>=</w:t>
      </w:r>
      <w:r w:rsidR="000279BA" w:rsidRPr="00731984">
        <w:rPr>
          <w:rFonts w:ascii="Times New Roman" w:hAnsi="Times New Roman" w:cs="Times New Roman"/>
        </w:rPr>
        <w:t>0</w:t>
      </w:r>
      <w:r w:rsidR="009653B1" w:rsidRPr="00731984">
        <w:rPr>
          <w:rFonts w:ascii="Times New Roman" w:hAnsi="Times New Roman" w:cs="Times New Roman"/>
        </w:rPr>
        <w:t>.001</w:t>
      </w:r>
      <w:r w:rsidR="00EE36C8" w:rsidRPr="00731984">
        <w:rPr>
          <w:rFonts w:ascii="Times New Roman" w:hAnsi="Times New Roman" w:cs="Times New Roman"/>
        </w:rPr>
        <w:t xml:space="preserve">, and that no change was </w:t>
      </w:r>
      <w:r w:rsidR="000279BA" w:rsidRPr="00731984">
        <w:rPr>
          <w:rFonts w:ascii="Times New Roman" w:hAnsi="Times New Roman" w:cs="Times New Roman"/>
        </w:rPr>
        <w:t>observed</w:t>
      </w:r>
      <w:r w:rsidR="00EE36C8" w:rsidRPr="00731984">
        <w:rPr>
          <w:rFonts w:ascii="Times New Roman" w:hAnsi="Times New Roman" w:cs="Times New Roman"/>
        </w:rPr>
        <w:t xml:space="preserve"> in the </w:t>
      </w:r>
      <w:r w:rsidR="00E65A10" w:rsidRPr="00731984">
        <w:rPr>
          <w:rFonts w:ascii="Times New Roman" w:hAnsi="Times New Roman" w:cs="Times New Roman"/>
        </w:rPr>
        <w:t>non-clinical group</w:t>
      </w:r>
      <w:r w:rsidR="00EE36C8" w:rsidRPr="00731984">
        <w:rPr>
          <w:rFonts w:ascii="Times New Roman" w:hAnsi="Times New Roman" w:cs="Times New Roman"/>
        </w:rPr>
        <w:t xml:space="preserve"> between </w:t>
      </w:r>
      <w:r w:rsidR="00E65A10" w:rsidRPr="00731984">
        <w:rPr>
          <w:rFonts w:ascii="Times New Roman" w:hAnsi="Times New Roman" w:cs="Times New Roman"/>
        </w:rPr>
        <w:t>Time 1 (</w:t>
      </w:r>
      <w:r w:rsidR="00E65A10" w:rsidRPr="00731984">
        <w:rPr>
          <w:rFonts w:ascii="Times New Roman" w:hAnsi="Times New Roman" w:cs="Times New Roman"/>
          <w:i/>
          <w:iCs/>
        </w:rPr>
        <w:t>M</w:t>
      </w:r>
      <w:r w:rsidR="006F34B0">
        <w:rPr>
          <w:rFonts w:ascii="Times New Roman" w:hAnsi="Times New Roman" w:cs="Times New Roman"/>
        </w:rPr>
        <w:t>=</w:t>
      </w:r>
      <w:r w:rsidR="00E65A10" w:rsidRPr="00731984">
        <w:rPr>
          <w:rFonts w:ascii="Times New Roman" w:hAnsi="Times New Roman" w:cs="Times New Roman"/>
        </w:rPr>
        <w:t xml:space="preserve">7.91, </w:t>
      </w:r>
      <w:r w:rsidR="00E65A10" w:rsidRPr="00731984">
        <w:rPr>
          <w:rFonts w:ascii="Times New Roman" w:hAnsi="Times New Roman" w:cs="Times New Roman"/>
          <w:i/>
          <w:iCs/>
        </w:rPr>
        <w:t>SD</w:t>
      </w:r>
      <w:r w:rsidR="006F34B0">
        <w:rPr>
          <w:rFonts w:ascii="Times New Roman" w:hAnsi="Times New Roman" w:cs="Times New Roman"/>
        </w:rPr>
        <w:t>=</w:t>
      </w:r>
      <w:r w:rsidR="00E65A10" w:rsidRPr="00731984">
        <w:rPr>
          <w:rFonts w:ascii="Times New Roman" w:hAnsi="Times New Roman" w:cs="Times New Roman"/>
        </w:rPr>
        <w:t>2.05) and Time 2 (</w:t>
      </w:r>
      <w:r w:rsidR="00E65A10" w:rsidRPr="00731984">
        <w:rPr>
          <w:rFonts w:ascii="Times New Roman" w:hAnsi="Times New Roman" w:cs="Times New Roman"/>
          <w:i/>
          <w:iCs/>
        </w:rPr>
        <w:t>M</w:t>
      </w:r>
      <w:r w:rsidR="006F34B0">
        <w:rPr>
          <w:rFonts w:ascii="Times New Roman" w:hAnsi="Times New Roman" w:cs="Times New Roman"/>
        </w:rPr>
        <w:t>=</w:t>
      </w:r>
      <w:r w:rsidR="00E65A10" w:rsidRPr="00731984">
        <w:rPr>
          <w:rFonts w:ascii="Times New Roman" w:hAnsi="Times New Roman" w:cs="Times New Roman"/>
        </w:rPr>
        <w:t xml:space="preserve">7.79, </w:t>
      </w:r>
      <w:r w:rsidR="00E65A10" w:rsidRPr="00731984">
        <w:rPr>
          <w:rFonts w:ascii="Times New Roman" w:hAnsi="Times New Roman" w:cs="Times New Roman"/>
          <w:i/>
          <w:iCs/>
        </w:rPr>
        <w:t>SD</w:t>
      </w:r>
      <w:r w:rsidR="006F34B0">
        <w:rPr>
          <w:rFonts w:ascii="Times New Roman" w:hAnsi="Times New Roman" w:cs="Times New Roman"/>
        </w:rPr>
        <w:t>=</w:t>
      </w:r>
      <w:r w:rsidR="00E65A10" w:rsidRPr="00731984">
        <w:rPr>
          <w:rFonts w:ascii="Times New Roman" w:hAnsi="Times New Roman" w:cs="Times New Roman"/>
        </w:rPr>
        <w:t xml:space="preserve">1.75), </w:t>
      </w:r>
      <w:r w:rsidR="00E65A10" w:rsidRPr="00731984">
        <w:rPr>
          <w:rFonts w:ascii="Times New Roman" w:hAnsi="Times New Roman" w:cs="Times New Roman"/>
          <w:i/>
          <w:iCs/>
        </w:rPr>
        <w:t>t</w:t>
      </w:r>
      <w:r w:rsidR="006F34B0">
        <w:rPr>
          <w:rFonts w:ascii="Times New Roman" w:hAnsi="Times New Roman" w:cs="Times New Roman"/>
        </w:rPr>
        <w:t>(74)=</w:t>
      </w:r>
      <w:r w:rsidR="000279BA" w:rsidRPr="00731984">
        <w:rPr>
          <w:rFonts w:ascii="Times New Roman" w:hAnsi="Times New Roman" w:cs="Times New Roman"/>
        </w:rPr>
        <w:t>0</w:t>
      </w:r>
      <w:r w:rsidR="001D7D37" w:rsidRPr="00731984">
        <w:rPr>
          <w:rFonts w:ascii="Times New Roman" w:hAnsi="Times New Roman" w:cs="Times New Roman"/>
        </w:rPr>
        <w:t>.69</w:t>
      </w:r>
      <w:r w:rsidR="000442D3" w:rsidRPr="00731984">
        <w:rPr>
          <w:rFonts w:ascii="Times New Roman" w:hAnsi="Times New Roman" w:cs="Times New Roman"/>
        </w:rPr>
        <w:t xml:space="preserve"> (see Figure </w:t>
      </w:r>
      <w:r>
        <w:rPr>
          <w:rFonts w:ascii="Times New Roman" w:hAnsi="Times New Roman" w:cs="Times New Roman"/>
        </w:rPr>
        <w:t>4</w:t>
      </w:r>
      <w:r w:rsidR="000442D3" w:rsidRPr="00731984">
        <w:rPr>
          <w:rFonts w:ascii="Times New Roman" w:hAnsi="Times New Roman" w:cs="Times New Roman"/>
        </w:rPr>
        <w:t>)</w:t>
      </w:r>
      <w:r w:rsidR="00E65A10" w:rsidRPr="00731984">
        <w:rPr>
          <w:rFonts w:ascii="Times New Roman" w:hAnsi="Times New Roman" w:cs="Times New Roman"/>
        </w:rPr>
        <w:t xml:space="preserve">. </w:t>
      </w:r>
      <w:r w:rsidR="001C183E" w:rsidRPr="00731984">
        <w:rPr>
          <w:rFonts w:ascii="Times New Roman" w:hAnsi="Times New Roman" w:cs="Times New Roman"/>
        </w:rPr>
        <w:t xml:space="preserve"> </w:t>
      </w:r>
      <w:r w:rsidR="00E65A10" w:rsidRPr="00731984">
        <w:rPr>
          <w:rFonts w:ascii="Times New Roman" w:hAnsi="Times New Roman" w:cs="Times New Roman"/>
        </w:rPr>
        <w:t xml:space="preserve">These simple effects indicate that the main effect of Time was driven solely by the difference </w:t>
      </w:r>
      <w:r w:rsidR="0020359F" w:rsidRPr="00731984">
        <w:rPr>
          <w:rFonts w:ascii="Times New Roman" w:hAnsi="Times New Roman" w:cs="Times New Roman"/>
        </w:rPr>
        <w:t xml:space="preserve">in the clinical group </w:t>
      </w:r>
      <w:r w:rsidR="00E65A10" w:rsidRPr="00731984">
        <w:rPr>
          <w:rFonts w:ascii="Times New Roman" w:hAnsi="Times New Roman" w:cs="Times New Roman"/>
        </w:rPr>
        <w:t xml:space="preserve">between Time 1 </w:t>
      </w:r>
      <w:r w:rsidR="0020359F" w:rsidRPr="00731984">
        <w:rPr>
          <w:rFonts w:ascii="Times New Roman" w:hAnsi="Times New Roman" w:cs="Times New Roman"/>
        </w:rPr>
        <w:t>and Time 2</w:t>
      </w:r>
      <w:r w:rsidR="00E65A10" w:rsidRPr="00731984">
        <w:rPr>
          <w:rFonts w:ascii="Times New Roman" w:hAnsi="Times New Roman" w:cs="Times New Roman"/>
        </w:rPr>
        <w:t>.</w:t>
      </w:r>
    </w:p>
    <w:p w14:paraId="22C076DF" w14:textId="77777777" w:rsidR="0096485B" w:rsidRDefault="0096485B" w:rsidP="00014439">
      <w:pPr>
        <w:spacing w:line="480" w:lineRule="auto"/>
        <w:rPr>
          <w:rFonts w:ascii="Times New Roman" w:hAnsi="Times New Roman" w:cs="Times New Roman"/>
        </w:rPr>
      </w:pPr>
    </w:p>
    <w:p w14:paraId="0FCE8354" w14:textId="5E1A5DF9" w:rsidR="0096485B" w:rsidRDefault="000442D3" w:rsidP="00014439">
      <w:pPr>
        <w:spacing w:line="480" w:lineRule="auto"/>
        <w:jc w:val="center"/>
        <w:rPr>
          <w:rFonts w:ascii="Times New Roman" w:hAnsi="Times New Roman" w:cs="Times New Roman"/>
        </w:rPr>
      </w:pPr>
      <w:r>
        <w:rPr>
          <w:rFonts w:ascii="Times New Roman" w:hAnsi="Times New Roman" w:cs="Times New Roman"/>
        </w:rPr>
        <w:t xml:space="preserve">Figure </w:t>
      </w:r>
      <w:r w:rsidR="000360F6">
        <w:rPr>
          <w:rFonts w:ascii="Times New Roman" w:hAnsi="Times New Roman" w:cs="Times New Roman"/>
        </w:rPr>
        <w:t>4</w:t>
      </w:r>
      <w:r w:rsidR="0096485B">
        <w:rPr>
          <w:rFonts w:ascii="Times New Roman" w:hAnsi="Times New Roman" w:cs="Times New Roman"/>
        </w:rPr>
        <w:t xml:space="preserve"> about here</w:t>
      </w:r>
    </w:p>
    <w:p w14:paraId="54217DB3" w14:textId="77777777" w:rsidR="001C183E" w:rsidRPr="00E65A10" w:rsidRDefault="001C183E" w:rsidP="00014439">
      <w:pPr>
        <w:spacing w:line="480" w:lineRule="auto"/>
        <w:rPr>
          <w:rFonts w:ascii="Times New Roman" w:hAnsi="Times New Roman" w:cs="Times New Roman"/>
        </w:rPr>
      </w:pPr>
    </w:p>
    <w:p w14:paraId="43CC83DC" w14:textId="06623B57" w:rsidR="002331E0" w:rsidRPr="005E392F" w:rsidRDefault="00A33AC3" w:rsidP="00014439">
      <w:pPr>
        <w:spacing w:line="480" w:lineRule="auto"/>
        <w:rPr>
          <w:rFonts w:ascii="Times New Roman" w:hAnsi="Times New Roman" w:cs="Times New Roman"/>
          <w:b/>
        </w:rPr>
      </w:pPr>
      <w:r>
        <w:rPr>
          <w:rFonts w:ascii="Times New Roman" w:hAnsi="Times New Roman" w:cs="Times New Roman"/>
          <w:b/>
        </w:rPr>
        <w:t>Discussion</w:t>
      </w:r>
    </w:p>
    <w:p w14:paraId="2B31BE9B" w14:textId="2E6A0851" w:rsidR="005E392F" w:rsidRPr="00FB7647" w:rsidRDefault="005E392F" w:rsidP="00014439">
      <w:pPr>
        <w:spacing w:line="480" w:lineRule="auto"/>
        <w:rPr>
          <w:rFonts w:ascii="Times New Roman" w:hAnsi="Times New Roman" w:cs="Times New Roman"/>
          <w:b/>
          <w:bCs/>
          <w:i/>
        </w:rPr>
      </w:pPr>
      <w:r w:rsidRPr="00FB7647">
        <w:rPr>
          <w:rFonts w:ascii="Times New Roman" w:hAnsi="Times New Roman" w:cs="Times New Roman"/>
          <w:b/>
          <w:bCs/>
          <w:i/>
        </w:rPr>
        <w:t>Overview of findings</w:t>
      </w:r>
    </w:p>
    <w:p w14:paraId="56B77346" w14:textId="61FBADF1" w:rsidR="00B052B1" w:rsidRDefault="00D710EB" w:rsidP="00014439">
      <w:pPr>
        <w:spacing w:line="480" w:lineRule="auto"/>
        <w:rPr>
          <w:rFonts w:ascii="Times New Roman" w:hAnsi="Times New Roman" w:cs="Times New Roman"/>
          <w:bCs/>
        </w:rPr>
      </w:pPr>
      <w:r w:rsidRPr="00D710EB">
        <w:rPr>
          <w:rFonts w:ascii="Times New Roman" w:hAnsi="Times New Roman" w:cs="Times New Roman"/>
          <w:bCs/>
        </w:rPr>
        <w:t>Th</w:t>
      </w:r>
      <w:r w:rsidR="004E025F">
        <w:rPr>
          <w:rFonts w:ascii="Times New Roman" w:hAnsi="Times New Roman" w:cs="Times New Roman"/>
          <w:bCs/>
        </w:rPr>
        <w:t xml:space="preserve">is study </w:t>
      </w:r>
      <w:r w:rsidR="000442D3">
        <w:rPr>
          <w:rFonts w:ascii="Times New Roman" w:hAnsi="Times New Roman" w:cs="Times New Roman"/>
          <w:bCs/>
        </w:rPr>
        <w:t>recruited</w:t>
      </w:r>
      <w:r w:rsidR="004E025F">
        <w:rPr>
          <w:rFonts w:ascii="Times New Roman" w:hAnsi="Times New Roman" w:cs="Times New Roman"/>
          <w:bCs/>
        </w:rPr>
        <w:t xml:space="preserve"> a</w:t>
      </w:r>
      <w:r>
        <w:rPr>
          <w:rFonts w:ascii="Times New Roman" w:hAnsi="Times New Roman" w:cs="Times New Roman"/>
          <w:bCs/>
        </w:rPr>
        <w:t xml:space="preserve"> clinical and non-clinical sample to assess the psychometric properties of the HAO, a very brief patient reported measure of mental health recovery.  </w:t>
      </w:r>
      <w:r w:rsidRPr="00D710EB">
        <w:rPr>
          <w:rFonts w:ascii="Times New Roman" w:hAnsi="Times New Roman" w:cs="Times New Roman"/>
          <w:bCs/>
        </w:rPr>
        <w:t xml:space="preserve">The </w:t>
      </w:r>
      <w:r w:rsidR="004E025F">
        <w:rPr>
          <w:rFonts w:ascii="Times New Roman" w:hAnsi="Times New Roman" w:cs="Times New Roman"/>
          <w:bCs/>
        </w:rPr>
        <w:t xml:space="preserve">HAO </w:t>
      </w:r>
      <w:r w:rsidR="00014E3C">
        <w:rPr>
          <w:rFonts w:ascii="Times New Roman" w:hAnsi="Times New Roman" w:cs="Times New Roman"/>
          <w:bCs/>
        </w:rPr>
        <w:lastRenderedPageBreak/>
        <w:t>demonstrates goodness of fit</w:t>
      </w:r>
      <w:r w:rsidR="00804170">
        <w:rPr>
          <w:rFonts w:ascii="Times New Roman" w:hAnsi="Times New Roman" w:cs="Times New Roman"/>
          <w:bCs/>
        </w:rPr>
        <w:t xml:space="preserve">, </w:t>
      </w:r>
      <w:r w:rsidRPr="00D710EB">
        <w:rPr>
          <w:rFonts w:ascii="Times New Roman" w:hAnsi="Times New Roman" w:cs="Times New Roman"/>
          <w:bCs/>
        </w:rPr>
        <w:t>acceptable internal consistency, moderate to strong con</w:t>
      </w:r>
      <w:r w:rsidR="0044655D">
        <w:rPr>
          <w:rFonts w:ascii="Times New Roman" w:hAnsi="Times New Roman" w:cs="Times New Roman"/>
          <w:bCs/>
        </w:rPr>
        <w:t>struct</w:t>
      </w:r>
      <w:r w:rsidRPr="00D710EB">
        <w:rPr>
          <w:rFonts w:ascii="Times New Roman" w:hAnsi="Times New Roman" w:cs="Times New Roman"/>
          <w:bCs/>
        </w:rPr>
        <w:t xml:space="preserve"> validity</w:t>
      </w:r>
      <w:r w:rsidR="00014E3C">
        <w:rPr>
          <w:rFonts w:ascii="Times New Roman" w:hAnsi="Times New Roman" w:cs="Times New Roman"/>
          <w:bCs/>
        </w:rPr>
        <w:t xml:space="preserve"> and</w:t>
      </w:r>
      <w:r w:rsidRPr="00D710EB">
        <w:rPr>
          <w:rFonts w:ascii="Times New Roman" w:hAnsi="Times New Roman" w:cs="Times New Roman"/>
          <w:bCs/>
        </w:rPr>
        <w:t xml:space="preserve"> substan</w:t>
      </w:r>
      <w:r w:rsidR="004E025F">
        <w:rPr>
          <w:rFonts w:ascii="Times New Roman" w:hAnsi="Times New Roman" w:cs="Times New Roman"/>
          <w:bCs/>
        </w:rPr>
        <w:t>tial</w:t>
      </w:r>
      <w:r w:rsidRPr="00D710EB">
        <w:rPr>
          <w:rFonts w:ascii="Times New Roman" w:hAnsi="Times New Roman" w:cs="Times New Roman"/>
          <w:bCs/>
        </w:rPr>
        <w:t xml:space="preserve"> test-retest reliability.</w:t>
      </w:r>
    </w:p>
    <w:p w14:paraId="4D11791A" w14:textId="7743AB84" w:rsidR="008217F8" w:rsidRDefault="00037FB8" w:rsidP="00014439">
      <w:pPr>
        <w:spacing w:line="480" w:lineRule="auto"/>
        <w:ind w:firstLine="720"/>
        <w:rPr>
          <w:rFonts w:ascii="Times New Roman" w:hAnsi="Times New Roman" w:cs="Times New Roman"/>
          <w:bCs/>
        </w:rPr>
      </w:pPr>
      <w:r w:rsidRPr="00505AED">
        <w:rPr>
          <w:rFonts w:ascii="Times New Roman" w:hAnsi="Times New Roman" w:cs="Times New Roman"/>
          <w:bCs/>
        </w:rPr>
        <w:t>The single</w:t>
      </w:r>
      <w:r w:rsidR="00B052B1" w:rsidRPr="00505AED">
        <w:rPr>
          <w:rFonts w:ascii="Times New Roman" w:hAnsi="Times New Roman" w:cs="Times New Roman"/>
          <w:bCs/>
        </w:rPr>
        <w:t xml:space="preserve"> factor found </w:t>
      </w:r>
      <w:r w:rsidR="00014E3C" w:rsidRPr="00505AED">
        <w:rPr>
          <w:rFonts w:ascii="Times New Roman" w:hAnsi="Times New Roman" w:cs="Times New Roman"/>
          <w:bCs/>
        </w:rPr>
        <w:t>with</w:t>
      </w:r>
      <w:r w:rsidR="00B052B1" w:rsidRPr="00505AED">
        <w:rPr>
          <w:rFonts w:ascii="Times New Roman" w:hAnsi="Times New Roman" w:cs="Times New Roman"/>
          <w:bCs/>
        </w:rPr>
        <w:t xml:space="preserve"> both clinical and non-clinical samples </w:t>
      </w:r>
      <w:r w:rsidR="007F615F" w:rsidRPr="00505AED">
        <w:rPr>
          <w:rFonts w:ascii="Times New Roman" w:hAnsi="Times New Roman" w:cs="Times New Roman"/>
          <w:bCs/>
        </w:rPr>
        <w:t>suggest</w:t>
      </w:r>
      <w:r w:rsidR="00B052B1" w:rsidRPr="00505AED">
        <w:rPr>
          <w:rFonts w:ascii="Times New Roman" w:hAnsi="Times New Roman" w:cs="Times New Roman"/>
          <w:bCs/>
        </w:rPr>
        <w:t xml:space="preserve">s that the </w:t>
      </w:r>
      <w:r w:rsidR="005E392F" w:rsidRPr="00505AED">
        <w:rPr>
          <w:rFonts w:ascii="Times New Roman" w:hAnsi="Times New Roman" w:cs="Times New Roman"/>
          <w:bCs/>
        </w:rPr>
        <w:t>HAO</w:t>
      </w:r>
      <w:r w:rsidR="00B052B1" w:rsidRPr="00505AED">
        <w:rPr>
          <w:rFonts w:ascii="Times New Roman" w:hAnsi="Times New Roman" w:cs="Times New Roman"/>
          <w:bCs/>
        </w:rPr>
        <w:t xml:space="preserve"> assess</w:t>
      </w:r>
      <w:r w:rsidR="005E392F" w:rsidRPr="00505AED">
        <w:rPr>
          <w:rFonts w:ascii="Times New Roman" w:hAnsi="Times New Roman" w:cs="Times New Roman"/>
          <w:bCs/>
        </w:rPr>
        <w:t>es</w:t>
      </w:r>
      <w:r w:rsidR="00B052B1" w:rsidRPr="00505AED">
        <w:rPr>
          <w:rFonts w:ascii="Times New Roman" w:hAnsi="Times New Roman" w:cs="Times New Roman"/>
          <w:bCs/>
        </w:rPr>
        <w:t xml:space="preserve"> one underlying construct that we can term</w:t>
      </w:r>
      <w:r w:rsidR="007C151D" w:rsidRPr="00505AED">
        <w:rPr>
          <w:rFonts w:ascii="Times New Roman" w:hAnsi="Times New Roman" w:cs="Times New Roman"/>
          <w:bCs/>
        </w:rPr>
        <w:t xml:space="preserve"> </w:t>
      </w:r>
      <w:r w:rsidR="000360F6">
        <w:rPr>
          <w:rFonts w:ascii="Times New Roman" w:hAnsi="Times New Roman" w:cs="Times New Roman"/>
          <w:bCs/>
        </w:rPr>
        <w:t>‘</w:t>
      </w:r>
      <w:r w:rsidR="000442D3" w:rsidRPr="00505AED">
        <w:rPr>
          <w:rFonts w:ascii="Times New Roman" w:hAnsi="Times New Roman" w:cs="Times New Roman"/>
          <w:bCs/>
        </w:rPr>
        <w:t>recovery.</w:t>
      </w:r>
      <w:r w:rsidR="000360F6">
        <w:rPr>
          <w:rFonts w:ascii="Times New Roman" w:hAnsi="Times New Roman" w:cs="Times New Roman"/>
          <w:bCs/>
        </w:rPr>
        <w:t>’</w:t>
      </w:r>
      <w:r w:rsidR="000442D3">
        <w:rPr>
          <w:rFonts w:ascii="Times New Roman" w:hAnsi="Times New Roman" w:cs="Times New Roman"/>
          <w:bCs/>
        </w:rPr>
        <w:t xml:space="preserve">  </w:t>
      </w:r>
      <w:r w:rsidR="008217F8">
        <w:rPr>
          <w:rFonts w:ascii="Times New Roman" w:hAnsi="Times New Roman" w:cs="Times New Roman"/>
          <w:bCs/>
        </w:rPr>
        <w:t xml:space="preserve">Internal consistency is </w:t>
      </w:r>
      <w:r w:rsidR="005E392F">
        <w:rPr>
          <w:rFonts w:ascii="Times New Roman" w:hAnsi="Times New Roman" w:cs="Times New Roman"/>
          <w:bCs/>
        </w:rPr>
        <w:t>typical</w:t>
      </w:r>
      <w:r w:rsidR="008217F8">
        <w:rPr>
          <w:rFonts w:ascii="Times New Roman" w:hAnsi="Times New Roman" w:cs="Times New Roman"/>
          <w:bCs/>
        </w:rPr>
        <w:t xml:space="preserve">ly </w:t>
      </w:r>
      <w:r w:rsidR="00BC6A17">
        <w:rPr>
          <w:rFonts w:ascii="Times New Roman" w:hAnsi="Times New Roman" w:cs="Times New Roman"/>
          <w:bCs/>
        </w:rPr>
        <w:t>estimated</w:t>
      </w:r>
      <w:r w:rsidR="008217F8">
        <w:rPr>
          <w:rFonts w:ascii="Times New Roman" w:hAnsi="Times New Roman" w:cs="Times New Roman"/>
          <w:bCs/>
        </w:rPr>
        <w:t xml:space="preserve"> using Cronbach’s alpha.  However,</w:t>
      </w:r>
      <w:r w:rsidR="009C55B8">
        <w:rPr>
          <w:rFonts w:ascii="Times New Roman" w:hAnsi="Times New Roman" w:cs="Times New Roman"/>
          <w:bCs/>
        </w:rPr>
        <w:t xml:space="preserve"> alpha value</w:t>
      </w:r>
      <w:r w:rsidR="00BC6A17">
        <w:rPr>
          <w:rFonts w:ascii="Times New Roman" w:hAnsi="Times New Roman" w:cs="Times New Roman"/>
          <w:bCs/>
        </w:rPr>
        <w:t>s</w:t>
      </w:r>
      <w:r w:rsidR="009C55B8">
        <w:rPr>
          <w:rFonts w:ascii="Times New Roman" w:hAnsi="Times New Roman" w:cs="Times New Roman"/>
          <w:bCs/>
        </w:rPr>
        <w:t xml:space="preserve"> </w:t>
      </w:r>
      <w:r w:rsidR="00BC6A17">
        <w:rPr>
          <w:rFonts w:ascii="Times New Roman" w:hAnsi="Times New Roman" w:cs="Times New Roman"/>
          <w:bCs/>
        </w:rPr>
        <w:t>can</w:t>
      </w:r>
      <w:r w:rsidR="009C55B8">
        <w:rPr>
          <w:rFonts w:ascii="Times New Roman" w:hAnsi="Times New Roman" w:cs="Times New Roman"/>
          <w:bCs/>
        </w:rPr>
        <w:t xml:space="preserve"> be </w:t>
      </w:r>
      <w:r w:rsidR="00180E8D">
        <w:rPr>
          <w:rFonts w:ascii="Times New Roman" w:hAnsi="Times New Roman" w:cs="Times New Roman"/>
          <w:bCs/>
        </w:rPr>
        <w:t>low</w:t>
      </w:r>
      <w:r w:rsidR="009C55B8">
        <w:rPr>
          <w:rFonts w:ascii="Times New Roman" w:hAnsi="Times New Roman" w:cs="Times New Roman"/>
          <w:bCs/>
        </w:rPr>
        <w:t xml:space="preserve"> </w:t>
      </w:r>
      <w:r w:rsidR="00BC6A17">
        <w:rPr>
          <w:rFonts w:ascii="Times New Roman" w:hAnsi="Times New Roman" w:cs="Times New Roman"/>
          <w:bCs/>
        </w:rPr>
        <w:t xml:space="preserve">without indicating poor internal consistency </w:t>
      </w:r>
      <w:r w:rsidR="009C55B8">
        <w:rPr>
          <w:rFonts w:ascii="Times New Roman" w:hAnsi="Times New Roman" w:cs="Times New Roman"/>
          <w:bCs/>
        </w:rPr>
        <w:t>as a result of short scale length</w:t>
      </w:r>
      <w:r w:rsidR="00BC6A17">
        <w:rPr>
          <w:rFonts w:ascii="Times New Roman" w:hAnsi="Times New Roman" w:cs="Times New Roman"/>
          <w:bCs/>
        </w:rPr>
        <w:t xml:space="preserve">.  </w:t>
      </w:r>
      <w:r w:rsidR="00180E8D" w:rsidRPr="00180E8D">
        <w:rPr>
          <w:rFonts w:ascii="Times New Roman" w:hAnsi="Times New Roman" w:cs="Times New Roman"/>
          <w:bCs/>
        </w:rPr>
        <w:t>Cronbach’s alpha</w:t>
      </w:r>
      <w:r w:rsidR="00A33AC3">
        <w:rPr>
          <w:rFonts w:ascii="Times New Roman" w:hAnsi="Times New Roman" w:cs="Times New Roman"/>
          <w:bCs/>
        </w:rPr>
        <w:t>,</w:t>
      </w:r>
      <w:r w:rsidR="00180E8D" w:rsidRPr="00180E8D">
        <w:rPr>
          <w:rFonts w:ascii="Times New Roman" w:hAnsi="Times New Roman" w:cs="Times New Roman"/>
          <w:bCs/>
        </w:rPr>
        <w:t xml:space="preserve"> </w:t>
      </w:r>
      <w:r w:rsidR="00714C51">
        <w:rPr>
          <w:rFonts w:ascii="Times New Roman" w:hAnsi="Times New Roman" w:cs="Times New Roman"/>
          <w:bCs/>
        </w:rPr>
        <w:t xml:space="preserve">and the </w:t>
      </w:r>
      <w:r w:rsidR="00A33AC3">
        <w:rPr>
          <w:rFonts w:ascii="Times New Roman" w:hAnsi="Times New Roman" w:cs="Times New Roman"/>
          <w:bCs/>
        </w:rPr>
        <w:t>conventionally accepted</w:t>
      </w:r>
      <w:r w:rsidR="00E156AF">
        <w:rPr>
          <w:rFonts w:ascii="Times New Roman" w:hAnsi="Times New Roman" w:cs="Times New Roman"/>
          <w:bCs/>
        </w:rPr>
        <w:t xml:space="preserve"> </w:t>
      </w:r>
      <w:r w:rsidR="00437F64">
        <w:rPr>
          <w:rFonts w:ascii="Times New Roman" w:hAnsi="Times New Roman" w:cs="Times New Roman"/>
          <w:bCs/>
        </w:rPr>
        <w:t xml:space="preserve">value of </w:t>
      </w:r>
      <w:r w:rsidR="00A33AC3">
        <w:rPr>
          <w:rFonts w:ascii="Times New Roman" w:hAnsi="Times New Roman" w:cs="Times New Roman"/>
          <w:bCs/>
        </w:rPr>
        <w:t>0</w:t>
      </w:r>
      <w:r w:rsidR="00437F64">
        <w:rPr>
          <w:rFonts w:ascii="Times New Roman" w:hAnsi="Times New Roman" w:cs="Times New Roman"/>
          <w:bCs/>
        </w:rPr>
        <w:t>.70 for acceptability</w:t>
      </w:r>
      <w:r w:rsidR="00A33AC3">
        <w:rPr>
          <w:rFonts w:ascii="Times New Roman" w:hAnsi="Times New Roman" w:cs="Times New Roman"/>
          <w:bCs/>
        </w:rPr>
        <w:t>,</w:t>
      </w:r>
      <w:r w:rsidR="00714C51">
        <w:rPr>
          <w:rFonts w:ascii="Times New Roman" w:hAnsi="Times New Roman" w:cs="Times New Roman"/>
          <w:bCs/>
        </w:rPr>
        <w:t xml:space="preserve"> </w:t>
      </w:r>
      <w:r w:rsidR="008217F8">
        <w:rPr>
          <w:rFonts w:ascii="Times New Roman" w:hAnsi="Times New Roman" w:cs="Times New Roman"/>
          <w:bCs/>
        </w:rPr>
        <w:t>may</w:t>
      </w:r>
      <w:r w:rsidR="00BC6A17">
        <w:rPr>
          <w:rFonts w:ascii="Times New Roman" w:hAnsi="Times New Roman" w:cs="Times New Roman"/>
          <w:bCs/>
        </w:rPr>
        <w:t xml:space="preserve"> therefore fail to </w:t>
      </w:r>
      <w:r w:rsidR="004A4455">
        <w:rPr>
          <w:rFonts w:ascii="Times New Roman" w:hAnsi="Times New Roman" w:cs="Times New Roman"/>
          <w:bCs/>
        </w:rPr>
        <w:t>provide a</w:t>
      </w:r>
      <w:r w:rsidR="00BC6A17">
        <w:rPr>
          <w:rFonts w:ascii="Times New Roman" w:hAnsi="Times New Roman" w:cs="Times New Roman"/>
          <w:bCs/>
        </w:rPr>
        <w:t>n</w:t>
      </w:r>
      <w:r w:rsidR="004A4455">
        <w:rPr>
          <w:rFonts w:ascii="Times New Roman" w:hAnsi="Times New Roman" w:cs="Times New Roman"/>
          <w:bCs/>
        </w:rPr>
        <w:t xml:space="preserve"> adequate </w:t>
      </w:r>
      <w:r w:rsidR="00BC6A17">
        <w:rPr>
          <w:rFonts w:ascii="Times New Roman" w:hAnsi="Times New Roman" w:cs="Times New Roman"/>
          <w:bCs/>
        </w:rPr>
        <w:t>assessment</w:t>
      </w:r>
      <w:r w:rsidR="004A4455">
        <w:rPr>
          <w:rFonts w:ascii="Times New Roman" w:hAnsi="Times New Roman" w:cs="Times New Roman"/>
          <w:bCs/>
        </w:rPr>
        <w:t xml:space="preserve"> of</w:t>
      </w:r>
      <w:r w:rsidR="008217F8">
        <w:rPr>
          <w:rFonts w:ascii="Times New Roman" w:hAnsi="Times New Roman" w:cs="Times New Roman"/>
          <w:bCs/>
        </w:rPr>
        <w:t xml:space="preserve"> internal consistency for brief measures </w:t>
      </w:r>
      <w:r w:rsidR="00BC6A17">
        <w:rPr>
          <w:rFonts w:ascii="Times New Roman" w:hAnsi="Times New Roman" w:cs="Times New Roman"/>
          <w:bCs/>
        </w:rPr>
        <w:t xml:space="preserve">and </w:t>
      </w:r>
      <w:r w:rsidR="005E392F">
        <w:rPr>
          <w:rFonts w:ascii="Times New Roman" w:hAnsi="Times New Roman" w:cs="Times New Roman"/>
          <w:bCs/>
        </w:rPr>
        <w:t xml:space="preserve">where </w:t>
      </w:r>
      <w:r w:rsidR="008217F8">
        <w:rPr>
          <w:rFonts w:ascii="Times New Roman" w:hAnsi="Times New Roman" w:cs="Times New Roman"/>
          <w:bCs/>
        </w:rPr>
        <w:t>small sample</w:t>
      </w:r>
      <w:r w:rsidR="005E392F">
        <w:rPr>
          <w:rFonts w:ascii="Times New Roman" w:hAnsi="Times New Roman" w:cs="Times New Roman"/>
          <w:bCs/>
        </w:rPr>
        <w:t>s are used</w:t>
      </w:r>
      <w:r w:rsidR="0014617C">
        <w:rPr>
          <w:rFonts w:ascii="Times New Roman" w:hAnsi="Times New Roman" w:cs="Times New Roman"/>
          <w:bCs/>
        </w:rPr>
        <w:t xml:space="preserve"> </w:t>
      </w:r>
      <w:r w:rsidR="0014617C">
        <w:t>(</w:t>
      </w:r>
      <w:proofErr w:type="spellStart"/>
      <w:r w:rsidR="0014617C" w:rsidRPr="00E75711">
        <w:rPr>
          <w:rFonts w:ascii="Times New Roman" w:hAnsi="Times New Roman" w:cs="Times New Roman"/>
          <w:bCs/>
        </w:rPr>
        <w:t>Spiliotopoulou</w:t>
      </w:r>
      <w:proofErr w:type="spellEnd"/>
      <w:r w:rsidR="0014617C">
        <w:rPr>
          <w:rFonts w:ascii="Times New Roman" w:hAnsi="Times New Roman" w:cs="Times New Roman"/>
          <w:bCs/>
        </w:rPr>
        <w:t>, 2009).  I</w:t>
      </w:r>
      <w:r w:rsidR="0014617C" w:rsidRPr="00760A2F">
        <w:rPr>
          <w:rFonts w:ascii="Times New Roman" w:hAnsi="Times New Roman" w:cs="Times New Roman"/>
          <w:bCs/>
        </w:rPr>
        <w:t>nter-item correlation</w:t>
      </w:r>
      <w:r w:rsidR="0014617C">
        <w:rPr>
          <w:rFonts w:ascii="Times New Roman" w:hAnsi="Times New Roman" w:cs="Times New Roman"/>
          <w:bCs/>
        </w:rPr>
        <w:t xml:space="preserve">s evaluate internal consistency independent of scale length (Cronbach, 1951; </w:t>
      </w:r>
      <w:proofErr w:type="spellStart"/>
      <w:r w:rsidR="0014617C" w:rsidRPr="00E75711">
        <w:rPr>
          <w:rFonts w:ascii="Times New Roman" w:hAnsi="Times New Roman" w:cs="Times New Roman"/>
          <w:bCs/>
        </w:rPr>
        <w:t>Spiliotopoulou</w:t>
      </w:r>
      <w:proofErr w:type="spellEnd"/>
      <w:r w:rsidR="0014617C" w:rsidRPr="00E75711">
        <w:rPr>
          <w:rFonts w:ascii="Times New Roman" w:hAnsi="Times New Roman" w:cs="Times New Roman"/>
          <w:bCs/>
        </w:rPr>
        <w:t>, 2009</w:t>
      </w:r>
      <w:r w:rsidR="0014617C">
        <w:rPr>
          <w:rFonts w:ascii="Times New Roman" w:hAnsi="Times New Roman" w:cs="Times New Roman"/>
          <w:bCs/>
        </w:rPr>
        <w:t>), and are in</w:t>
      </w:r>
      <w:r w:rsidR="009D08FE">
        <w:rPr>
          <w:rFonts w:ascii="Times New Roman" w:hAnsi="Times New Roman" w:cs="Times New Roman"/>
          <w:bCs/>
        </w:rPr>
        <w:t xml:space="preserve"> the acceptable range for HAO.</w:t>
      </w:r>
    </w:p>
    <w:p w14:paraId="7287972E" w14:textId="6B4E6726" w:rsidR="000442D3" w:rsidRDefault="00FA34C8" w:rsidP="00014439">
      <w:pPr>
        <w:spacing w:line="480" w:lineRule="auto"/>
        <w:ind w:firstLine="720"/>
        <w:rPr>
          <w:rFonts w:ascii="Times New Roman" w:hAnsi="Times New Roman" w:cs="Times New Roman"/>
          <w:bCs/>
        </w:rPr>
      </w:pPr>
      <w:r>
        <w:rPr>
          <w:rFonts w:ascii="Times New Roman" w:hAnsi="Times New Roman" w:cs="Times New Roman"/>
          <w:bCs/>
        </w:rPr>
        <w:t>The HAO shows</w:t>
      </w:r>
      <w:r w:rsidR="000442D3">
        <w:rPr>
          <w:rFonts w:ascii="Times New Roman" w:hAnsi="Times New Roman" w:cs="Times New Roman"/>
          <w:bCs/>
        </w:rPr>
        <w:t xml:space="preserve"> strong convergence with the comparator outcome (QPR) and wellbeing (WEMWBS) measures, and moderate convergence wit</w:t>
      </w:r>
      <w:r w:rsidR="00AB27BB">
        <w:rPr>
          <w:rFonts w:ascii="Times New Roman" w:hAnsi="Times New Roman" w:cs="Times New Roman"/>
          <w:bCs/>
        </w:rPr>
        <w:t>h the experience measure (Brief-</w:t>
      </w:r>
      <w:r w:rsidR="000442D3">
        <w:rPr>
          <w:rFonts w:ascii="Times New Roman" w:hAnsi="Times New Roman" w:cs="Times New Roman"/>
          <w:bCs/>
        </w:rPr>
        <w:t xml:space="preserve">INSPIRE).  It is likely that this reflects the </w:t>
      </w:r>
      <w:r w:rsidR="00437F64">
        <w:rPr>
          <w:rFonts w:ascii="Times New Roman" w:hAnsi="Times New Roman" w:cs="Times New Roman"/>
          <w:bCs/>
        </w:rPr>
        <w:t>make</w:t>
      </w:r>
      <w:r w:rsidR="00A33AC3">
        <w:rPr>
          <w:rFonts w:ascii="Times New Roman" w:hAnsi="Times New Roman" w:cs="Times New Roman"/>
          <w:bCs/>
        </w:rPr>
        <w:t>-</w:t>
      </w:r>
      <w:r w:rsidR="00437F64">
        <w:rPr>
          <w:rFonts w:ascii="Times New Roman" w:hAnsi="Times New Roman" w:cs="Times New Roman"/>
          <w:bCs/>
        </w:rPr>
        <w:t>up</w:t>
      </w:r>
      <w:r w:rsidR="000442D3">
        <w:rPr>
          <w:rFonts w:ascii="Times New Roman" w:hAnsi="Times New Roman" w:cs="Times New Roman"/>
          <w:bCs/>
        </w:rPr>
        <w:t xml:space="preserve"> of the HAO, which includes three outcome-based items and a single experience-based item.  </w:t>
      </w:r>
      <w:r w:rsidR="007F1D79">
        <w:rPr>
          <w:rFonts w:ascii="Times New Roman" w:hAnsi="Times New Roman" w:cs="Times New Roman"/>
          <w:bCs/>
        </w:rPr>
        <w:t>Together with test-retest reliability, t</w:t>
      </w:r>
      <w:r w:rsidR="00F4783B">
        <w:rPr>
          <w:rFonts w:ascii="Times New Roman" w:hAnsi="Times New Roman" w:cs="Times New Roman"/>
          <w:bCs/>
        </w:rPr>
        <w:t>hese results show</w:t>
      </w:r>
      <w:r w:rsidR="000442D3">
        <w:rPr>
          <w:rFonts w:ascii="Times New Roman" w:hAnsi="Times New Roman" w:cs="Times New Roman"/>
          <w:bCs/>
        </w:rPr>
        <w:t xml:space="preserve"> that the HAO can be used to measure recovery outcomes and experience of services</w:t>
      </w:r>
      <w:r w:rsidR="007F1D79">
        <w:rPr>
          <w:rFonts w:ascii="Times New Roman" w:hAnsi="Times New Roman" w:cs="Times New Roman"/>
          <w:bCs/>
        </w:rPr>
        <w:t>, and over time</w:t>
      </w:r>
      <w:r w:rsidR="000442D3">
        <w:rPr>
          <w:rFonts w:ascii="Times New Roman" w:hAnsi="Times New Roman" w:cs="Times New Roman"/>
          <w:bCs/>
        </w:rPr>
        <w:t>.</w:t>
      </w:r>
    </w:p>
    <w:p w14:paraId="257B8788" w14:textId="1DC87A2B" w:rsidR="00BF0974" w:rsidRDefault="00BF0974" w:rsidP="00014439">
      <w:pPr>
        <w:rPr>
          <w:rFonts w:ascii="Times New Roman" w:hAnsi="Times New Roman" w:cs="Times New Roman"/>
          <w:b/>
          <w:bCs/>
          <w:i/>
        </w:rPr>
      </w:pPr>
    </w:p>
    <w:p w14:paraId="061C3715" w14:textId="1E528277" w:rsidR="00D01E51" w:rsidRPr="00E93FBC" w:rsidRDefault="00D01E51" w:rsidP="00014439">
      <w:pPr>
        <w:spacing w:line="480" w:lineRule="auto"/>
        <w:rPr>
          <w:rFonts w:ascii="Times New Roman" w:hAnsi="Times New Roman" w:cs="Times New Roman"/>
          <w:b/>
          <w:bCs/>
          <w:i/>
        </w:rPr>
      </w:pPr>
      <w:r w:rsidRPr="00E93FBC">
        <w:rPr>
          <w:rFonts w:ascii="Times New Roman" w:hAnsi="Times New Roman" w:cs="Times New Roman"/>
          <w:b/>
          <w:bCs/>
          <w:i/>
        </w:rPr>
        <w:t>Limitations</w:t>
      </w:r>
    </w:p>
    <w:p w14:paraId="44A15ED3" w14:textId="5EBD9833" w:rsidR="0020742D" w:rsidRPr="00E93FBC" w:rsidRDefault="007914BD" w:rsidP="00014439">
      <w:pPr>
        <w:spacing w:line="480" w:lineRule="auto"/>
        <w:rPr>
          <w:rFonts w:ascii="Times New Roman" w:hAnsi="Times New Roman" w:cs="Times New Roman"/>
          <w:bCs/>
        </w:rPr>
      </w:pPr>
      <w:r w:rsidRPr="00E93FBC">
        <w:rPr>
          <w:rFonts w:ascii="Times New Roman" w:hAnsi="Times New Roman" w:cs="Times New Roman"/>
          <w:bCs/>
        </w:rPr>
        <w:t xml:space="preserve">By </w:t>
      </w:r>
      <w:r w:rsidR="00FF60B0" w:rsidRPr="00E93FBC">
        <w:rPr>
          <w:rFonts w:ascii="Times New Roman" w:hAnsi="Times New Roman" w:cs="Times New Roman"/>
          <w:bCs/>
        </w:rPr>
        <w:t>privileging</w:t>
      </w:r>
      <w:r w:rsidRPr="00E93FBC">
        <w:rPr>
          <w:rFonts w:ascii="Times New Roman" w:hAnsi="Times New Roman" w:cs="Times New Roman"/>
          <w:bCs/>
        </w:rPr>
        <w:t xml:space="preserve"> the advice of our consultation group to include prompts for each of the </w:t>
      </w:r>
      <w:r w:rsidR="00FF60B0" w:rsidRPr="00E93FBC">
        <w:rPr>
          <w:rFonts w:ascii="Times New Roman" w:hAnsi="Times New Roman" w:cs="Times New Roman"/>
          <w:bCs/>
        </w:rPr>
        <w:t xml:space="preserve">four </w:t>
      </w:r>
      <w:r w:rsidRPr="00E93FBC">
        <w:rPr>
          <w:rFonts w:ascii="Times New Roman" w:hAnsi="Times New Roman" w:cs="Times New Roman"/>
          <w:bCs/>
        </w:rPr>
        <w:t xml:space="preserve">main items, we have not kept to </w:t>
      </w:r>
      <w:r w:rsidR="007341C6" w:rsidRPr="00E93FBC">
        <w:rPr>
          <w:rFonts w:ascii="Times New Roman" w:hAnsi="Times New Roman" w:cs="Times New Roman"/>
          <w:bCs/>
        </w:rPr>
        <w:t xml:space="preserve">usual </w:t>
      </w:r>
      <w:r w:rsidRPr="00E93FBC">
        <w:rPr>
          <w:rFonts w:ascii="Times New Roman" w:hAnsi="Times New Roman" w:cs="Times New Roman"/>
          <w:bCs/>
        </w:rPr>
        <w:t xml:space="preserve">standards of </w:t>
      </w:r>
      <w:r w:rsidR="007341C6" w:rsidRPr="00E93FBC">
        <w:rPr>
          <w:rFonts w:ascii="Times New Roman" w:hAnsi="Times New Roman" w:cs="Times New Roman"/>
          <w:bCs/>
        </w:rPr>
        <w:t xml:space="preserve">questionnaire design which elicit a response to </w:t>
      </w:r>
      <w:r w:rsidR="00014E3C" w:rsidRPr="00E93FBC">
        <w:rPr>
          <w:rFonts w:ascii="Times New Roman" w:hAnsi="Times New Roman" w:cs="Times New Roman"/>
          <w:bCs/>
        </w:rPr>
        <w:t xml:space="preserve">one </w:t>
      </w:r>
      <w:r w:rsidR="00FF60B0" w:rsidRPr="00E93FBC">
        <w:rPr>
          <w:rFonts w:ascii="Times New Roman" w:hAnsi="Times New Roman" w:cs="Times New Roman"/>
          <w:bCs/>
        </w:rPr>
        <w:t xml:space="preserve">unambiguously defined </w:t>
      </w:r>
      <w:r w:rsidR="007341C6" w:rsidRPr="00E93FBC">
        <w:rPr>
          <w:rFonts w:ascii="Times New Roman" w:hAnsi="Times New Roman" w:cs="Times New Roman"/>
          <w:bCs/>
        </w:rPr>
        <w:t>question</w:t>
      </w:r>
      <w:r w:rsidRPr="00E93FBC">
        <w:rPr>
          <w:rFonts w:ascii="Times New Roman" w:hAnsi="Times New Roman" w:cs="Times New Roman"/>
          <w:bCs/>
        </w:rPr>
        <w:t xml:space="preserve"> per item</w:t>
      </w:r>
      <w:r w:rsidR="00C32748" w:rsidRPr="00E93FBC">
        <w:rPr>
          <w:rFonts w:ascii="Times New Roman" w:hAnsi="Times New Roman" w:cs="Times New Roman"/>
          <w:bCs/>
        </w:rPr>
        <w:t xml:space="preserve"> (</w:t>
      </w:r>
      <w:r w:rsidR="00F02CA2" w:rsidRPr="00E93FBC">
        <w:rPr>
          <w:rFonts w:ascii="Times New Roman" w:hAnsi="Times New Roman" w:cs="Times New Roman"/>
          <w:bCs/>
        </w:rPr>
        <w:t xml:space="preserve">Furr, 2011; </w:t>
      </w:r>
      <w:proofErr w:type="spellStart"/>
      <w:r w:rsidR="00251C12" w:rsidRPr="00E93FBC">
        <w:rPr>
          <w:rFonts w:ascii="Times New Roman" w:hAnsi="Times New Roman" w:cs="Times New Roman"/>
          <w:bCs/>
        </w:rPr>
        <w:t>Shaugnessy</w:t>
      </w:r>
      <w:proofErr w:type="spellEnd"/>
      <w:r w:rsidR="00251C12" w:rsidRPr="00E93FBC">
        <w:rPr>
          <w:rFonts w:ascii="Times New Roman" w:hAnsi="Times New Roman" w:cs="Times New Roman"/>
          <w:bCs/>
        </w:rPr>
        <w:t xml:space="preserve">, </w:t>
      </w:r>
      <w:proofErr w:type="spellStart"/>
      <w:r w:rsidR="00251C12" w:rsidRPr="00E93FBC">
        <w:rPr>
          <w:rFonts w:ascii="Times New Roman" w:hAnsi="Times New Roman" w:cs="Times New Roman"/>
          <w:bCs/>
        </w:rPr>
        <w:t>Zechmeister</w:t>
      </w:r>
      <w:proofErr w:type="spellEnd"/>
      <w:r w:rsidR="00C32748" w:rsidRPr="00E93FBC">
        <w:rPr>
          <w:rFonts w:ascii="Times New Roman" w:hAnsi="Times New Roman" w:cs="Times New Roman"/>
          <w:bCs/>
        </w:rPr>
        <w:t xml:space="preserve"> </w:t>
      </w:r>
      <w:r w:rsidR="00FC6CE4" w:rsidRPr="00E93FBC">
        <w:rPr>
          <w:rFonts w:ascii="Times New Roman" w:hAnsi="Times New Roman" w:cs="Times New Roman"/>
          <w:bCs/>
        </w:rPr>
        <w:t xml:space="preserve">&amp; </w:t>
      </w:r>
      <w:proofErr w:type="spellStart"/>
      <w:r w:rsidR="00FC6CE4" w:rsidRPr="00E93FBC">
        <w:rPr>
          <w:rFonts w:ascii="Times New Roman" w:hAnsi="Times New Roman" w:cs="Times New Roman"/>
          <w:bCs/>
        </w:rPr>
        <w:t>Zechmeister</w:t>
      </w:r>
      <w:proofErr w:type="spellEnd"/>
      <w:r w:rsidR="00FC6CE4" w:rsidRPr="00E93FBC">
        <w:rPr>
          <w:rFonts w:ascii="Times New Roman" w:hAnsi="Times New Roman" w:cs="Times New Roman"/>
          <w:bCs/>
        </w:rPr>
        <w:t>, 2012,</w:t>
      </w:r>
      <w:r w:rsidR="00C32748" w:rsidRPr="00E93FBC">
        <w:rPr>
          <w:rFonts w:ascii="Times New Roman" w:hAnsi="Times New Roman" w:cs="Times New Roman"/>
          <w:bCs/>
        </w:rPr>
        <w:t xml:space="preserve"> </w:t>
      </w:r>
      <w:r w:rsidR="0081008A" w:rsidRPr="00E93FBC">
        <w:rPr>
          <w:rFonts w:ascii="Times New Roman" w:hAnsi="Times New Roman" w:cs="Times New Roman"/>
          <w:bCs/>
        </w:rPr>
        <w:t>c</w:t>
      </w:r>
      <w:r w:rsidR="00FC6CE4" w:rsidRPr="00E93FBC">
        <w:rPr>
          <w:rFonts w:ascii="Times New Roman" w:hAnsi="Times New Roman" w:cs="Times New Roman"/>
          <w:bCs/>
        </w:rPr>
        <w:t>hapter 5</w:t>
      </w:r>
      <w:r w:rsidR="00BF0974" w:rsidRPr="00E93FBC">
        <w:rPr>
          <w:rFonts w:ascii="Times New Roman" w:hAnsi="Times New Roman" w:cs="Times New Roman"/>
          <w:bCs/>
        </w:rPr>
        <w:t>)</w:t>
      </w:r>
      <w:r w:rsidR="00014E3C" w:rsidRPr="00E93FBC">
        <w:rPr>
          <w:rFonts w:ascii="Times New Roman" w:hAnsi="Times New Roman" w:cs="Times New Roman"/>
          <w:bCs/>
        </w:rPr>
        <w:t xml:space="preserve">.  </w:t>
      </w:r>
      <w:r w:rsidR="00C32748" w:rsidRPr="00E93FBC">
        <w:rPr>
          <w:rFonts w:ascii="Times New Roman" w:hAnsi="Times New Roman" w:cs="Times New Roman"/>
          <w:bCs/>
        </w:rPr>
        <w:t xml:space="preserve">We </w:t>
      </w:r>
      <w:r w:rsidR="00FC6CE4" w:rsidRPr="00E93FBC">
        <w:rPr>
          <w:rFonts w:ascii="Times New Roman" w:hAnsi="Times New Roman" w:cs="Times New Roman"/>
          <w:bCs/>
        </w:rPr>
        <w:t>acknowledge</w:t>
      </w:r>
      <w:r w:rsidR="00C32748" w:rsidRPr="00E93FBC">
        <w:rPr>
          <w:rFonts w:ascii="Times New Roman" w:hAnsi="Times New Roman" w:cs="Times New Roman"/>
          <w:bCs/>
        </w:rPr>
        <w:t xml:space="preserve"> that the inclusion of these prompts</w:t>
      </w:r>
      <w:r w:rsidR="0020742D" w:rsidRPr="00E93FBC">
        <w:rPr>
          <w:rFonts w:ascii="Times New Roman" w:hAnsi="Times New Roman" w:cs="Times New Roman"/>
          <w:bCs/>
        </w:rPr>
        <w:t xml:space="preserve"> could lead to ambiguity </w:t>
      </w:r>
      <w:r w:rsidR="001D31DF" w:rsidRPr="00E93FBC">
        <w:rPr>
          <w:rFonts w:ascii="Times New Roman" w:hAnsi="Times New Roman" w:cs="Times New Roman"/>
          <w:bCs/>
        </w:rPr>
        <w:t>and reduced confidence in</w:t>
      </w:r>
      <w:r w:rsidR="0020742D" w:rsidRPr="00E93FBC">
        <w:rPr>
          <w:rFonts w:ascii="Times New Roman" w:hAnsi="Times New Roman" w:cs="Times New Roman"/>
          <w:bCs/>
        </w:rPr>
        <w:t xml:space="preserve"> the result</w:t>
      </w:r>
      <w:r w:rsidR="001D31DF" w:rsidRPr="00E93FBC">
        <w:rPr>
          <w:rFonts w:ascii="Times New Roman" w:hAnsi="Times New Roman" w:cs="Times New Roman"/>
          <w:bCs/>
        </w:rPr>
        <w:t>ing data.  H</w:t>
      </w:r>
      <w:r w:rsidRPr="00E93FBC">
        <w:rPr>
          <w:rFonts w:ascii="Times New Roman" w:hAnsi="Times New Roman" w:cs="Times New Roman"/>
          <w:bCs/>
        </w:rPr>
        <w:t xml:space="preserve">owever, we would argue that the co-production of the measure, along with the specific changes made, </w:t>
      </w:r>
      <w:r w:rsidR="001D31DF" w:rsidRPr="00E93FBC">
        <w:rPr>
          <w:rFonts w:ascii="Times New Roman" w:hAnsi="Times New Roman" w:cs="Times New Roman"/>
          <w:bCs/>
        </w:rPr>
        <w:lastRenderedPageBreak/>
        <w:t>enhance</w:t>
      </w:r>
      <w:r w:rsidRPr="00E93FBC">
        <w:rPr>
          <w:rFonts w:ascii="Times New Roman" w:hAnsi="Times New Roman" w:cs="Times New Roman"/>
          <w:bCs/>
        </w:rPr>
        <w:t xml:space="preserve"> clinical credibility and utility of the HAO</w:t>
      </w:r>
      <w:r w:rsidR="001D31DF" w:rsidRPr="00E93FBC">
        <w:rPr>
          <w:rFonts w:ascii="Times New Roman" w:hAnsi="Times New Roman" w:cs="Times New Roman"/>
          <w:bCs/>
        </w:rPr>
        <w:t>, and that</w:t>
      </w:r>
      <w:r w:rsidR="0020742D" w:rsidRPr="00E93FBC">
        <w:rPr>
          <w:rFonts w:ascii="Times New Roman" w:hAnsi="Times New Roman" w:cs="Times New Roman"/>
          <w:bCs/>
        </w:rPr>
        <w:t xml:space="preserve"> the psychometric properties suggest that people did not find the prompts confusing or ambiguous. </w:t>
      </w:r>
    </w:p>
    <w:p w14:paraId="2A84D743" w14:textId="648BAFCD" w:rsidR="001D31DF" w:rsidRPr="00E93FBC" w:rsidRDefault="00A53430" w:rsidP="00014439">
      <w:pPr>
        <w:spacing w:line="480" w:lineRule="auto"/>
        <w:rPr>
          <w:rFonts w:ascii="Times New Roman" w:hAnsi="Times New Roman" w:cs="Times New Roman"/>
          <w:bCs/>
        </w:rPr>
      </w:pPr>
      <w:r w:rsidRPr="00E93FBC">
        <w:rPr>
          <w:rFonts w:ascii="Times New Roman" w:hAnsi="Times New Roman" w:cs="Times New Roman"/>
          <w:bCs/>
        </w:rPr>
        <w:tab/>
      </w:r>
      <w:r w:rsidR="00E32AE9" w:rsidRPr="00E93FBC">
        <w:rPr>
          <w:rFonts w:ascii="Times New Roman" w:hAnsi="Times New Roman" w:cs="Times New Roman"/>
          <w:bCs/>
        </w:rPr>
        <w:t>Assessment of validity is limited by t</w:t>
      </w:r>
      <w:r w:rsidRPr="00E93FBC">
        <w:rPr>
          <w:rFonts w:ascii="Times New Roman" w:hAnsi="Times New Roman" w:cs="Times New Roman"/>
          <w:bCs/>
        </w:rPr>
        <w:t>he use of a</w:t>
      </w:r>
      <w:r w:rsidR="00E32AE9" w:rsidRPr="00E93FBC">
        <w:rPr>
          <w:rFonts w:ascii="Times New Roman" w:hAnsi="Times New Roman" w:cs="Times New Roman"/>
          <w:bCs/>
        </w:rPr>
        <w:t xml:space="preserve">n earlier </w:t>
      </w:r>
      <w:r w:rsidRPr="00E93FBC">
        <w:rPr>
          <w:rFonts w:ascii="Times New Roman" w:hAnsi="Times New Roman" w:cs="Times New Roman"/>
          <w:bCs/>
        </w:rPr>
        <w:t xml:space="preserve">version of the INSPIRE to the one now available, though internal consistency </w:t>
      </w:r>
      <w:r w:rsidR="00E32AE9" w:rsidRPr="00E93FBC">
        <w:rPr>
          <w:rFonts w:ascii="Times New Roman" w:hAnsi="Times New Roman" w:cs="Times New Roman"/>
          <w:bCs/>
        </w:rPr>
        <w:t xml:space="preserve">for the INSIRE-CHIME </w:t>
      </w:r>
      <w:r w:rsidRPr="00E93FBC">
        <w:rPr>
          <w:rFonts w:ascii="Times New Roman" w:hAnsi="Times New Roman" w:cs="Times New Roman"/>
          <w:bCs/>
        </w:rPr>
        <w:t xml:space="preserve">was excellent </w:t>
      </w:r>
      <w:r w:rsidR="00E32AE9" w:rsidRPr="00E93FBC">
        <w:rPr>
          <w:rFonts w:ascii="Times New Roman" w:hAnsi="Times New Roman" w:cs="Times New Roman"/>
          <w:bCs/>
        </w:rPr>
        <w:t>in</w:t>
      </w:r>
      <w:r w:rsidRPr="00E93FBC">
        <w:rPr>
          <w:rFonts w:ascii="Times New Roman" w:hAnsi="Times New Roman" w:cs="Times New Roman"/>
          <w:bCs/>
        </w:rPr>
        <w:t xml:space="preserve"> the clinical </w:t>
      </w:r>
      <w:r w:rsidR="00E32AE9" w:rsidRPr="00E93FBC">
        <w:rPr>
          <w:rFonts w:ascii="Times New Roman" w:hAnsi="Times New Roman" w:cs="Times New Roman"/>
          <w:bCs/>
        </w:rPr>
        <w:t xml:space="preserve">sample </w:t>
      </w:r>
      <w:r w:rsidRPr="00E93FBC">
        <w:rPr>
          <w:rFonts w:ascii="Times New Roman" w:hAnsi="Times New Roman" w:cs="Times New Roman"/>
          <w:bCs/>
        </w:rPr>
        <w:t xml:space="preserve">and good </w:t>
      </w:r>
      <w:r w:rsidR="00E32AE9" w:rsidRPr="00E93FBC">
        <w:rPr>
          <w:rFonts w:ascii="Times New Roman" w:hAnsi="Times New Roman" w:cs="Times New Roman"/>
          <w:bCs/>
        </w:rPr>
        <w:t>in</w:t>
      </w:r>
      <w:r w:rsidRPr="00E93FBC">
        <w:rPr>
          <w:rFonts w:ascii="Times New Roman" w:hAnsi="Times New Roman" w:cs="Times New Roman"/>
          <w:bCs/>
        </w:rPr>
        <w:t xml:space="preserve"> the non-clinical sample.  </w:t>
      </w:r>
      <w:r w:rsidR="00E32AE9" w:rsidRPr="00E93FBC">
        <w:rPr>
          <w:rFonts w:ascii="Times New Roman" w:hAnsi="Times New Roman" w:cs="Times New Roman"/>
          <w:bCs/>
        </w:rPr>
        <w:t>Also, w</w:t>
      </w:r>
      <w:r w:rsidR="001D31DF" w:rsidRPr="00E93FBC">
        <w:rPr>
          <w:rFonts w:ascii="Times New Roman" w:hAnsi="Times New Roman" w:cs="Times New Roman"/>
          <w:bCs/>
        </w:rPr>
        <w:t>e do not yet know if the HAO can reliably me</w:t>
      </w:r>
      <w:r w:rsidR="00E32AE9" w:rsidRPr="00E93FBC">
        <w:rPr>
          <w:rFonts w:ascii="Times New Roman" w:hAnsi="Times New Roman" w:cs="Times New Roman"/>
          <w:bCs/>
        </w:rPr>
        <w:t>asure sensitivity to change.</w:t>
      </w:r>
    </w:p>
    <w:p w14:paraId="0379CC9E" w14:textId="2105B78B" w:rsidR="00D01E51" w:rsidRPr="00E93FBC" w:rsidRDefault="005E392F" w:rsidP="00014439">
      <w:pPr>
        <w:spacing w:line="480" w:lineRule="auto"/>
        <w:ind w:firstLine="720"/>
        <w:rPr>
          <w:rFonts w:ascii="Times New Roman" w:hAnsi="Times New Roman" w:cs="Times New Roman"/>
          <w:bCs/>
        </w:rPr>
      </w:pPr>
      <w:r w:rsidRPr="00E93FBC">
        <w:rPr>
          <w:rFonts w:ascii="Times New Roman" w:hAnsi="Times New Roman" w:cs="Times New Roman"/>
          <w:bCs/>
        </w:rPr>
        <w:t>T</w:t>
      </w:r>
      <w:r w:rsidR="007F1D79" w:rsidRPr="00E93FBC">
        <w:rPr>
          <w:rFonts w:ascii="Times New Roman" w:hAnsi="Times New Roman" w:cs="Times New Roman"/>
          <w:bCs/>
        </w:rPr>
        <w:t xml:space="preserve">he </w:t>
      </w:r>
      <w:r w:rsidR="00014E3C" w:rsidRPr="00E93FBC">
        <w:rPr>
          <w:rFonts w:ascii="Times New Roman" w:hAnsi="Times New Roman" w:cs="Times New Roman"/>
          <w:bCs/>
        </w:rPr>
        <w:t>clinical and non-clinical samples w</w:t>
      </w:r>
      <w:r w:rsidR="007F1D79" w:rsidRPr="00E93FBC">
        <w:rPr>
          <w:rFonts w:ascii="Times New Roman" w:hAnsi="Times New Roman" w:cs="Times New Roman"/>
          <w:bCs/>
        </w:rPr>
        <w:t>e</w:t>
      </w:r>
      <w:r w:rsidR="00B052B1" w:rsidRPr="00E93FBC">
        <w:rPr>
          <w:rFonts w:ascii="Times New Roman" w:hAnsi="Times New Roman" w:cs="Times New Roman"/>
          <w:bCs/>
        </w:rPr>
        <w:t>re not demographically comparable.</w:t>
      </w:r>
      <w:r w:rsidR="00011215" w:rsidRPr="00E93FBC">
        <w:rPr>
          <w:rFonts w:ascii="Times New Roman" w:hAnsi="Times New Roman" w:cs="Times New Roman"/>
          <w:bCs/>
        </w:rPr>
        <w:t xml:space="preserve">  </w:t>
      </w:r>
      <w:r w:rsidR="0020359F" w:rsidRPr="00E93FBC">
        <w:rPr>
          <w:rFonts w:ascii="Times New Roman" w:hAnsi="Times New Roman" w:cs="Times New Roman"/>
          <w:bCs/>
        </w:rPr>
        <w:t>The</w:t>
      </w:r>
      <w:r w:rsidR="00011215" w:rsidRPr="00E93FBC">
        <w:rPr>
          <w:rFonts w:ascii="Times New Roman" w:hAnsi="Times New Roman" w:cs="Times New Roman"/>
          <w:bCs/>
        </w:rPr>
        <w:t xml:space="preserve"> </w:t>
      </w:r>
      <w:r w:rsidR="0020359F" w:rsidRPr="00E93FBC">
        <w:rPr>
          <w:rFonts w:ascii="Times New Roman" w:hAnsi="Times New Roman" w:cs="Times New Roman"/>
          <w:bCs/>
        </w:rPr>
        <w:t>clinical group was, on average, aged in the m</w:t>
      </w:r>
      <w:r w:rsidR="00A33AC3" w:rsidRPr="00E93FBC">
        <w:rPr>
          <w:rFonts w:ascii="Times New Roman" w:hAnsi="Times New Roman" w:cs="Times New Roman"/>
          <w:bCs/>
        </w:rPr>
        <w:t>i</w:t>
      </w:r>
      <w:r w:rsidR="0020359F" w:rsidRPr="00E93FBC">
        <w:rPr>
          <w:rFonts w:ascii="Times New Roman" w:hAnsi="Times New Roman" w:cs="Times New Roman"/>
          <w:bCs/>
        </w:rPr>
        <w:t>d-</w:t>
      </w:r>
      <w:r w:rsidR="00011215" w:rsidRPr="00E93FBC">
        <w:rPr>
          <w:rFonts w:ascii="Times New Roman" w:hAnsi="Times New Roman" w:cs="Times New Roman"/>
          <w:bCs/>
        </w:rPr>
        <w:t>40s</w:t>
      </w:r>
      <w:r w:rsidR="0020359F" w:rsidRPr="00E93FBC">
        <w:rPr>
          <w:rFonts w:ascii="Times New Roman" w:hAnsi="Times New Roman" w:cs="Times New Roman"/>
          <w:bCs/>
        </w:rPr>
        <w:t>,</w:t>
      </w:r>
      <w:r w:rsidR="00011215" w:rsidRPr="00E93FBC">
        <w:rPr>
          <w:rFonts w:ascii="Times New Roman" w:hAnsi="Times New Roman" w:cs="Times New Roman"/>
          <w:bCs/>
        </w:rPr>
        <w:t xml:space="preserve"> with a broadly equal gender split.</w:t>
      </w:r>
      <w:r w:rsidR="00B4764D" w:rsidRPr="00E93FBC">
        <w:rPr>
          <w:rFonts w:ascii="Times New Roman" w:hAnsi="Times New Roman" w:cs="Times New Roman"/>
          <w:bCs/>
        </w:rPr>
        <w:t xml:space="preserve">  </w:t>
      </w:r>
      <w:r w:rsidR="00011215" w:rsidRPr="00E93FBC">
        <w:rPr>
          <w:rFonts w:ascii="Times New Roman" w:hAnsi="Times New Roman" w:cs="Times New Roman"/>
          <w:bCs/>
        </w:rPr>
        <w:t>The non-clinical group was younger</w:t>
      </w:r>
      <w:r w:rsidR="00E32AE9" w:rsidRPr="00E93FBC">
        <w:rPr>
          <w:rFonts w:ascii="Times New Roman" w:hAnsi="Times New Roman" w:cs="Times New Roman"/>
          <w:bCs/>
        </w:rPr>
        <w:t>,</w:t>
      </w:r>
      <w:r w:rsidR="00011215" w:rsidRPr="00E93FBC">
        <w:rPr>
          <w:rFonts w:ascii="Times New Roman" w:hAnsi="Times New Roman" w:cs="Times New Roman"/>
          <w:bCs/>
        </w:rPr>
        <w:t xml:space="preserve"> predominantly female</w:t>
      </w:r>
      <w:r w:rsidR="00E32AE9" w:rsidRPr="00E93FBC">
        <w:rPr>
          <w:rFonts w:ascii="Times New Roman" w:hAnsi="Times New Roman" w:cs="Times New Roman"/>
          <w:bCs/>
        </w:rPr>
        <w:t xml:space="preserve"> and recruited from a university pool</w:t>
      </w:r>
      <w:r w:rsidR="00011215" w:rsidRPr="00E93FBC">
        <w:rPr>
          <w:rFonts w:ascii="Times New Roman" w:hAnsi="Times New Roman" w:cs="Times New Roman"/>
          <w:bCs/>
        </w:rPr>
        <w:t>.</w:t>
      </w:r>
      <w:r w:rsidR="00E32AE9" w:rsidRPr="00E93FBC">
        <w:rPr>
          <w:rFonts w:ascii="Times New Roman" w:hAnsi="Times New Roman" w:cs="Times New Roman"/>
          <w:bCs/>
        </w:rPr>
        <w:t xml:space="preserve">  There are </w:t>
      </w:r>
      <w:r w:rsidR="00AB27BB" w:rsidRPr="00E93FBC">
        <w:rPr>
          <w:rFonts w:ascii="Times New Roman" w:hAnsi="Times New Roman" w:cs="Times New Roman"/>
          <w:bCs/>
        </w:rPr>
        <w:t xml:space="preserve">also </w:t>
      </w:r>
      <w:r w:rsidR="00E32AE9" w:rsidRPr="00E93FBC">
        <w:rPr>
          <w:rFonts w:ascii="Times New Roman" w:hAnsi="Times New Roman" w:cs="Times New Roman"/>
          <w:bCs/>
        </w:rPr>
        <w:t xml:space="preserve">likely to have been educational differences between the </w:t>
      </w:r>
      <w:r w:rsidR="00A43845" w:rsidRPr="00E93FBC">
        <w:rPr>
          <w:rFonts w:ascii="Times New Roman" w:hAnsi="Times New Roman" w:cs="Times New Roman"/>
          <w:bCs/>
        </w:rPr>
        <w:t>two samples</w:t>
      </w:r>
      <w:r w:rsidR="00E32AE9" w:rsidRPr="00E93FBC">
        <w:rPr>
          <w:rFonts w:ascii="Times New Roman" w:hAnsi="Times New Roman" w:cs="Times New Roman"/>
          <w:bCs/>
        </w:rPr>
        <w:t>.  Importantly, our aim was not to compare the groups but to determine reliability of the HAO in these two different populations</w:t>
      </w:r>
      <w:r w:rsidR="00B4764D" w:rsidRPr="00E93FBC">
        <w:rPr>
          <w:rFonts w:ascii="Times New Roman" w:hAnsi="Times New Roman" w:cs="Times New Roman"/>
          <w:bCs/>
        </w:rPr>
        <w:t>.  If the concept of recovery is relevant to all of us, whether using services or not, we need tools that can be used by non-clinical as well as clinical groups.  This might include people with physical healthcare needs, vulnerable groups such as people who are homeless, and general population groups who may be struggling with sub-clinical problems (accepting the need to validate with specific groups separately)</w:t>
      </w:r>
      <w:r w:rsidR="00E32AE9" w:rsidRPr="00E93FBC">
        <w:rPr>
          <w:rFonts w:ascii="Times New Roman" w:hAnsi="Times New Roman" w:cs="Times New Roman"/>
          <w:bCs/>
        </w:rPr>
        <w:t>.</w:t>
      </w:r>
    </w:p>
    <w:p w14:paraId="67587597" w14:textId="77777777" w:rsidR="00014E3C" w:rsidRPr="00E93FBC" w:rsidRDefault="00014E3C" w:rsidP="00014439">
      <w:pPr>
        <w:spacing w:line="480" w:lineRule="auto"/>
        <w:rPr>
          <w:rFonts w:ascii="Times New Roman" w:hAnsi="Times New Roman" w:cs="Times New Roman"/>
          <w:bCs/>
        </w:rPr>
      </w:pPr>
    </w:p>
    <w:p w14:paraId="140AB48A" w14:textId="5FDF1439" w:rsidR="00804170" w:rsidRPr="00FB7647" w:rsidRDefault="00E47212" w:rsidP="00014439">
      <w:pPr>
        <w:spacing w:line="480" w:lineRule="auto"/>
        <w:rPr>
          <w:rFonts w:ascii="Times New Roman" w:hAnsi="Times New Roman" w:cs="Times New Roman"/>
          <w:b/>
          <w:bCs/>
          <w:i/>
        </w:rPr>
      </w:pPr>
      <w:r w:rsidRPr="00E93FBC">
        <w:rPr>
          <w:rFonts w:ascii="Times New Roman" w:hAnsi="Times New Roman" w:cs="Times New Roman"/>
          <w:b/>
          <w:bCs/>
          <w:i/>
        </w:rPr>
        <w:t>Implications</w:t>
      </w:r>
    </w:p>
    <w:p w14:paraId="45F058F1" w14:textId="6BED57DB" w:rsidR="0014617C" w:rsidRDefault="0014617C" w:rsidP="00014439">
      <w:pPr>
        <w:spacing w:line="480" w:lineRule="auto"/>
        <w:rPr>
          <w:rFonts w:ascii="Times New Roman" w:hAnsi="Times New Roman" w:cs="Times New Roman"/>
          <w:bCs/>
        </w:rPr>
      </w:pPr>
      <w:r>
        <w:rPr>
          <w:rFonts w:ascii="Times New Roman" w:hAnsi="Times New Roman" w:cs="Times New Roman"/>
          <w:bCs/>
        </w:rPr>
        <w:t xml:space="preserve">The routine use of patient reported measures has been identified as key to </w:t>
      </w:r>
      <w:r w:rsidR="009D08FE">
        <w:rPr>
          <w:rFonts w:ascii="Times New Roman" w:hAnsi="Times New Roman" w:cs="Times New Roman"/>
          <w:bCs/>
        </w:rPr>
        <w:t xml:space="preserve">improving mental healthcare provision, and </w:t>
      </w:r>
      <w:r>
        <w:rPr>
          <w:rFonts w:ascii="Times New Roman" w:hAnsi="Times New Roman" w:cs="Times New Roman"/>
          <w:bCs/>
        </w:rPr>
        <w:t>addre</w:t>
      </w:r>
      <w:r w:rsidR="007341C6">
        <w:rPr>
          <w:rFonts w:ascii="Times New Roman" w:hAnsi="Times New Roman" w:cs="Times New Roman"/>
          <w:bCs/>
        </w:rPr>
        <w:t xml:space="preserve">ssing </w:t>
      </w:r>
      <w:proofErr w:type="spellStart"/>
      <w:r w:rsidR="007341C6">
        <w:rPr>
          <w:rFonts w:ascii="Times New Roman" w:hAnsi="Times New Roman" w:cs="Times New Roman"/>
          <w:bCs/>
        </w:rPr>
        <w:t>organis</w:t>
      </w:r>
      <w:r w:rsidR="009D08FE">
        <w:rPr>
          <w:rFonts w:ascii="Times New Roman" w:hAnsi="Times New Roman" w:cs="Times New Roman"/>
          <w:bCs/>
        </w:rPr>
        <w:t>ational</w:t>
      </w:r>
      <w:proofErr w:type="spellEnd"/>
      <w:r w:rsidR="009D08FE">
        <w:rPr>
          <w:rFonts w:ascii="Times New Roman" w:hAnsi="Times New Roman" w:cs="Times New Roman"/>
          <w:bCs/>
        </w:rPr>
        <w:t xml:space="preserve"> failures</w:t>
      </w:r>
      <w:r>
        <w:rPr>
          <w:rFonts w:ascii="Times New Roman" w:hAnsi="Times New Roman" w:cs="Times New Roman"/>
          <w:bCs/>
        </w:rPr>
        <w:t xml:space="preserve"> </w:t>
      </w:r>
      <w:r w:rsidR="00D14A01">
        <w:rPr>
          <w:rFonts w:ascii="Times New Roman" w:hAnsi="Times New Roman" w:cs="Times New Roman"/>
          <w:bCs/>
        </w:rPr>
        <w:t>(</w:t>
      </w:r>
      <w:r w:rsidR="00D14A01">
        <w:rPr>
          <w:rFonts w:ascii="Times New Roman" w:hAnsi="Times New Roman" w:cs="Times New Roman"/>
        </w:rPr>
        <w:t>Burgess et al., 2011</w:t>
      </w:r>
      <w:r w:rsidR="00D14A01" w:rsidRPr="009829FC">
        <w:rPr>
          <w:rFonts w:ascii="Times New Roman" w:hAnsi="Times New Roman" w:cs="Times New Roman"/>
        </w:rPr>
        <w:t xml:space="preserve">; </w:t>
      </w:r>
      <w:r w:rsidR="00D14A01">
        <w:rPr>
          <w:rFonts w:ascii="Times New Roman" w:hAnsi="Times New Roman" w:cs="Times New Roman"/>
        </w:rPr>
        <w:t>2012; Thornicroft &amp;</w:t>
      </w:r>
      <w:r w:rsidR="00D14A01" w:rsidRPr="009829FC">
        <w:rPr>
          <w:rFonts w:ascii="Times New Roman" w:hAnsi="Times New Roman" w:cs="Times New Roman"/>
        </w:rPr>
        <w:t xml:space="preserve"> Slad</w:t>
      </w:r>
      <w:r w:rsidR="00D14A01">
        <w:rPr>
          <w:rFonts w:ascii="Times New Roman" w:hAnsi="Times New Roman" w:cs="Times New Roman"/>
        </w:rPr>
        <w:t>e, 2014)</w:t>
      </w:r>
      <w:r>
        <w:rPr>
          <w:rFonts w:ascii="Times New Roman" w:hAnsi="Times New Roman" w:cs="Times New Roman"/>
          <w:bCs/>
        </w:rPr>
        <w:t xml:space="preserve">; we need </w:t>
      </w:r>
      <w:r w:rsidRPr="004E025F">
        <w:rPr>
          <w:rFonts w:ascii="Times New Roman" w:hAnsi="Times New Roman" w:cs="Times New Roman"/>
          <w:bCs/>
        </w:rPr>
        <w:t xml:space="preserve">measures </w:t>
      </w:r>
      <w:r>
        <w:rPr>
          <w:rFonts w:ascii="Times New Roman" w:hAnsi="Times New Roman" w:cs="Times New Roman"/>
          <w:bCs/>
        </w:rPr>
        <w:t xml:space="preserve">that are </w:t>
      </w:r>
      <w:r w:rsidRPr="004E025F">
        <w:rPr>
          <w:rFonts w:ascii="Times New Roman" w:hAnsi="Times New Roman" w:cs="Times New Roman"/>
          <w:bCs/>
        </w:rPr>
        <w:t xml:space="preserve">of </w:t>
      </w:r>
      <w:r w:rsidRPr="00804170">
        <w:rPr>
          <w:rFonts w:ascii="Times New Roman" w:hAnsi="Times New Roman" w:cs="Times New Roman"/>
          <w:bCs/>
          <w:i/>
        </w:rPr>
        <w:t xml:space="preserve">clinical value </w:t>
      </w:r>
      <w:r w:rsidRPr="004E025F">
        <w:rPr>
          <w:rFonts w:ascii="Times New Roman" w:hAnsi="Times New Roman" w:cs="Times New Roman"/>
          <w:bCs/>
        </w:rPr>
        <w:t xml:space="preserve">and </w:t>
      </w:r>
      <w:r w:rsidRPr="00804170">
        <w:rPr>
          <w:rFonts w:ascii="Times New Roman" w:hAnsi="Times New Roman" w:cs="Times New Roman"/>
          <w:bCs/>
          <w:i/>
        </w:rPr>
        <w:t>feasible in practice</w:t>
      </w:r>
      <w:r w:rsidRPr="004E025F">
        <w:rPr>
          <w:rFonts w:ascii="Times New Roman" w:hAnsi="Times New Roman" w:cs="Times New Roman"/>
          <w:bCs/>
        </w:rPr>
        <w:t xml:space="preserve"> </w:t>
      </w:r>
      <w:r>
        <w:rPr>
          <w:rFonts w:ascii="Times New Roman" w:hAnsi="Times New Roman" w:cs="Times New Roman"/>
          <w:bCs/>
        </w:rPr>
        <w:t xml:space="preserve">in order to </w:t>
      </w:r>
      <w:r w:rsidRPr="004E025F">
        <w:rPr>
          <w:rFonts w:ascii="Times New Roman" w:hAnsi="Times New Roman" w:cs="Times New Roman"/>
          <w:bCs/>
        </w:rPr>
        <w:t>improv</w:t>
      </w:r>
      <w:r>
        <w:rPr>
          <w:rFonts w:ascii="Times New Roman" w:hAnsi="Times New Roman" w:cs="Times New Roman"/>
          <w:bCs/>
        </w:rPr>
        <w:t xml:space="preserve">e </w:t>
      </w:r>
      <w:r w:rsidRPr="004E025F">
        <w:rPr>
          <w:rFonts w:ascii="Times New Roman" w:hAnsi="Times New Roman" w:cs="Times New Roman"/>
          <w:bCs/>
        </w:rPr>
        <w:t>the quality of care provided</w:t>
      </w:r>
      <w:r>
        <w:rPr>
          <w:rFonts w:ascii="Times New Roman" w:hAnsi="Times New Roman" w:cs="Times New Roman"/>
          <w:bCs/>
        </w:rPr>
        <w:t xml:space="preserve"> (Royal College of Psychiatrists, 2011</w:t>
      </w:r>
      <w:r w:rsidR="00C25B36">
        <w:rPr>
          <w:rFonts w:ascii="Times New Roman" w:hAnsi="Times New Roman" w:cs="Times New Roman"/>
          <w:bCs/>
        </w:rPr>
        <w:t>; cf. Smith et al, 2016</w:t>
      </w:r>
      <w:r>
        <w:rPr>
          <w:rFonts w:ascii="Times New Roman" w:hAnsi="Times New Roman" w:cs="Times New Roman"/>
          <w:bCs/>
        </w:rPr>
        <w:t>).</w:t>
      </w:r>
    </w:p>
    <w:p w14:paraId="4E931450" w14:textId="66B182E3" w:rsidR="0014617C" w:rsidRPr="005E392F" w:rsidRDefault="0014617C" w:rsidP="00014439">
      <w:pPr>
        <w:spacing w:line="480" w:lineRule="auto"/>
        <w:ind w:firstLine="720"/>
        <w:rPr>
          <w:rFonts w:ascii="Times New Roman" w:hAnsi="Times New Roman" w:cs="Times New Roman"/>
          <w:bCs/>
        </w:rPr>
      </w:pPr>
      <w:r>
        <w:rPr>
          <w:rFonts w:ascii="Times New Roman" w:hAnsi="Times New Roman" w:cs="Times New Roman"/>
          <w:bCs/>
        </w:rPr>
        <w:t xml:space="preserve">The majority of </w:t>
      </w:r>
      <w:r w:rsidR="00112FC9">
        <w:rPr>
          <w:rFonts w:ascii="Times New Roman" w:hAnsi="Times New Roman" w:cs="Times New Roman"/>
          <w:bCs/>
        </w:rPr>
        <w:t>clinicians</w:t>
      </w:r>
      <w:r>
        <w:rPr>
          <w:rFonts w:ascii="Times New Roman" w:hAnsi="Times New Roman" w:cs="Times New Roman"/>
          <w:bCs/>
        </w:rPr>
        <w:t xml:space="preserve"> do not use outcome measures in day-to-day practice, </w:t>
      </w:r>
      <w:r w:rsidR="007914BD">
        <w:rPr>
          <w:rFonts w:ascii="Times New Roman" w:hAnsi="Times New Roman" w:cs="Times New Roman"/>
          <w:bCs/>
        </w:rPr>
        <w:t>mainl</w:t>
      </w:r>
      <w:r>
        <w:rPr>
          <w:rFonts w:ascii="Times New Roman" w:hAnsi="Times New Roman" w:cs="Times New Roman"/>
          <w:bCs/>
        </w:rPr>
        <w:t>y due to validity and resourc</w:t>
      </w:r>
      <w:r w:rsidR="00D14A01">
        <w:rPr>
          <w:rFonts w:ascii="Times New Roman" w:hAnsi="Times New Roman" w:cs="Times New Roman"/>
          <w:bCs/>
        </w:rPr>
        <w:t>e concerns (</w:t>
      </w:r>
      <w:proofErr w:type="spellStart"/>
      <w:r w:rsidR="00D14A01">
        <w:rPr>
          <w:rFonts w:ascii="Times New Roman" w:hAnsi="Times New Roman" w:cs="Times New Roman"/>
          <w:bCs/>
        </w:rPr>
        <w:t>Gilbody</w:t>
      </w:r>
      <w:proofErr w:type="spellEnd"/>
      <w:r w:rsidR="00D14A01">
        <w:rPr>
          <w:rFonts w:ascii="Times New Roman" w:hAnsi="Times New Roman" w:cs="Times New Roman"/>
          <w:bCs/>
        </w:rPr>
        <w:t xml:space="preserve"> et al., 2002</w:t>
      </w:r>
      <w:r w:rsidR="00112FC9">
        <w:rPr>
          <w:rFonts w:ascii="Times New Roman" w:hAnsi="Times New Roman" w:cs="Times New Roman"/>
          <w:bCs/>
        </w:rPr>
        <w:t>;</w:t>
      </w:r>
      <w:r w:rsidR="00112FC9" w:rsidRPr="00112FC9">
        <w:t xml:space="preserve"> </w:t>
      </w:r>
      <w:proofErr w:type="spellStart"/>
      <w:r w:rsidR="00112FC9" w:rsidRPr="00112FC9">
        <w:rPr>
          <w:rFonts w:ascii="Times New Roman" w:hAnsi="Times New Roman" w:cs="Times New Roman"/>
          <w:bCs/>
        </w:rPr>
        <w:t>Kightley</w:t>
      </w:r>
      <w:proofErr w:type="spellEnd"/>
      <w:r w:rsidR="00112FC9" w:rsidRPr="00112FC9">
        <w:rPr>
          <w:rFonts w:ascii="Times New Roman" w:hAnsi="Times New Roman" w:cs="Times New Roman"/>
          <w:bCs/>
        </w:rPr>
        <w:t xml:space="preserve"> et al., 2010; </w:t>
      </w:r>
      <w:proofErr w:type="spellStart"/>
      <w:r w:rsidR="00112FC9" w:rsidRPr="00112FC9">
        <w:rPr>
          <w:rFonts w:ascii="Times New Roman" w:hAnsi="Times New Roman" w:cs="Times New Roman"/>
          <w:bCs/>
        </w:rPr>
        <w:lastRenderedPageBreak/>
        <w:t>Pirkis</w:t>
      </w:r>
      <w:proofErr w:type="spellEnd"/>
      <w:r w:rsidR="00112FC9" w:rsidRPr="00112FC9">
        <w:rPr>
          <w:rFonts w:ascii="Times New Roman" w:hAnsi="Times New Roman" w:cs="Times New Roman"/>
          <w:bCs/>
        </w:rPr>
        <w:t xml:space="preserve"> &amp; </w:t>
      </w:r>
      <w:proofErr w:type="spellStart"/>
      <w:r w:rsidR="00112FC9" w:rsidRPr="00112FC9">
        <w:rPr>
          <w:rFonts w:ascii="Times New Roman" w:hAnsi="Times New Roman" w:cs="Times New Roman"/>
          <w:bCs/>
        </w:rPr>
        <w:t>Callaly</w:t>
      </w:r>
      <w:proofErr w:type="spellEnd"/>
      <w:r w:rsidR="00112FC9" w:rsidRPr="00112FC9">
        <w:rPr>
          <w:rFonts w:ascii="Times New Roman" w:hAnsi="Times New Roman" w:cs="Times New Roman"/>
          <w:bCs/>
        </w:rPr>
        <w:t>, 2010</w:t>
      </w:r>
      <w:r>
        <w:rPr>
          <w:rFonts w:ascii="Times New Roman" w:hAnsi="Times New Roman" w:cs="Times New Roman"/>
          <w:bCs/>
        </w:rPr>
        <w:t xml:space="preserve">).  The HAO directly addresses the question of </w:t>
      </w:r>
      <w:r w:rsidRPr="00804170">
        <w:rPr>
          <w:rFonts w:ascii="Times New Roman" w:hAnsi="Times New Roman" w:cs="Times New Roman"/>
          <w:bCs/>
          <w:i/>
        </w:rPr>
        <w:t xml:space="preserve">clinical value </w:t>
      </w:r>
      <w:r w:rsidRPr="007C6F66">
        <w:rPr>
          <w:rFonts w:ascii="Times New Roman" w:hAnsi="Times New Roman" w:cs="Times New Roman"/>
          <w:bCs/>
        </w:rPr>
        <w:t>to patients by</w:t>
      </w:r>
      <w:r>
        <w:rPr>
          <w:rFonts w:ascii="Times New Roman" w:hAnsi="Times New Roman" w:cs="Times New Roman"/>
          <w:bCs/>
        </w:rPr>
        <w:t xml:space="preserve"> targeting the elements identified as essential to living well with mental ill-health: hope, agency and opportunity for </w:t>
      </w:r>
      <w:r>
        <w:rPr>
          <w:rFonts w:ascii="Times New Roman" w:hAnsi="Times New Roman" w:cs="Times New Roman"/>
        </w:rPr>
        <w:t>valued</w:t>
      </w:r>
      <w:r w:rsidRPr="00BE3BD0">
        <w:rPr>
          <w:rFonts w:ascii="Times New Roman" w:hAnsi="Times New Roman" w:cs="Times New Roman"/>
        </w:rPr>
        <w:t xml:space="preserve"> activity and social </w:t>
      </w:r>
      <w:r w:rsidRPr="00FF60B0">
        <w:rPr>
          <w:rFonts w:ascii="Times New Roman" w:hAnsi="Times New Roman" w:cs="Times New Roman"/>
        </w:rPr>
        <w:t>inclusion (</w:t>
      </w:r>
      <w:proofErr w:type="spellStart"/>
      <w:r w:rsidRPr="00FF60B0">
        <w:rPr>
          <w:rFonts w:ascii="Times New Roman" w:hAnsi="Times New Roman" w:cs="Times New Roman"/>
        </w:rPr>
        <w:t>Repper</w:t>
      </w:r>
      <w:proofErr w:type="spellEnd"/>
      <w:r w:rsidRPr="00FF60B0">
        <w:rPr>
          <w:rFonts w:ascii="Times New Roman" w:hAnsi="Times New Roman" w:cs="Times New Roman"/>
        </w:rPr>
        <w:t xml:space="preserve"> &amp; Perkins</w:t>
      </w:r>
      <w:r w:rsidR="00FF60B0" w:rsidRPr="00FF60B0">
        <w:rPr>
          <w:rFonts w:ascii="Times New Roman" w:hAnsi="Times New Roman" w:cs="Times New Roman"/>
        </w:rPr>
        <w:t>,</w:t>
      </w:r>
      <w:r w:rsidR="00FF60B0">
        <w:rPr>
          <w:rFonts w:ascii="Times New Roman" w:hAnsi="Times New Roman" w:cs="Times New Roman"/>
        </w:rPr>
        <w:t xml:space="preserve"> 2003</w:t>
      </w:r>
      <w:r>
        <w:rPr>
          <w:rFonts w:ascii="Times New Roman" w:hAnsi="Times New Roman" w:cs="Times New Roman"/>
        </w:rPr>
        <w:t xml:space="preserve">; Shepherd, 2014).  </w:t>
      </w:r>
      <w:r>
        <w:rPr>
          <w:rFonts w:ascii="Times New Roman" w:hAnsi="Times New Roman" w:cs="Times New Roman"/>
          <w:bCs/>
        </w:rPr>
        <w:t xml:space="preserve">The brevity of the HAO addresses the question of </w:t>
      </w:r>
      <w:r w:rsidRPr="00804170">
        <w:rPr>
          <w:rFonts w:ascii="Times New Roman" w:hAnsi="Times New Roman" w:cs="Times New Roman"/>
          <w:bCs/>
          <w:i/>
        </w:rPr>
        <w:t>feasibility</w:t>
      </w:r>
      <w:r>
        <w:rPr>
          <w:rFonts w:ascii="Times New Roman" w:hAnsi="Times New Roman" w:cs="Times New Roman"/>
          <w:bCs/>
          <w:i/>
        </w:rPr>
        <w:t>.</w:t>
      </w:r>
      <w:r>
        <w:rPr>
          <w:rFonts w:ascii="Times New Roman" w:hAnsi="Times New Roman" w:cs="Times New Roman"/>
          <w:bCs/>
        </w:rPr>
        <w:t xml:space="preserve"> </w:t>
      </w:r>
    </w:p>
    <w:p w14:paraId="0876917D" w14:textId="459A1443" w:rsidR="00A718F1" w:rsidRPr="00E93FBC" w:rsidRDefault="007316A9" w:rsidP="00014439">
      <w:pPr>
        <w:spacing w:line="480" w:lineRule="auto"/>
        <w:ind w:firstLine="720"/>
        <w:rPr>
          <w:rFonts w:ascii="Times New Roman" w:hAnsi="Times New Roman" w:cs="Times New Roman"/>
          <w:bCs/>
          <w:iCs/>
        </w:rPr>
      </w:pPr>
      <w:r>
        <w:rPr>
          <w:rFonts w:ascii="Times New Roman" w:hAnsi="Times New Roman" w:cs="Times New Roman"/>
          <w:bCs/>
          <w:iCs/>
        </w:rPr>
        <w:t xml:space="preserve">In addition to </w:t>
      </w:r>
      <w:r w:rsidR="00946EDF">
        <w:rPr>
          <w:rFonts w:ascii="Times New Roman" w:hAnsi="Times New Roman" w:cs="Times New Roman"/>
          <w:bCs/>
          <w:iCs/>
        </w:rPr>
        <w:t xml:space="preserve">point in time assessment of </w:t>
      </w:r>
      <w:r w:rsidR="00F4783B">
        <w:rPr>
          <w:rFonts w:ascii="Times New Roman" w:hAnsi="Times New Roman" w:cs="Times New Roman"/>
          <w:bCs/>
          <w:iCs/>
        </w:rPr>
        <w:t>individuals’</w:t>
      </w:r>
      <w:r w:rsidR="00946EDF">
        <w:rPr>
          <w:rFonts w:ascii="Times New Roman" w:hAnsi="Times New Roman" w:cs="Times New Roman"/>
          <w:bCs/>
          <w:iCs/>
        </w:rPr>
        <w:t xml:space="preserve"> recovery, </w:t>
      </w:r>
      <w:r w:rsidR="002D2D47">
        <w:rPr>
          <w:rFonts w:ascii="Times New Roman" w:hAnsi="Times New Roman" w:cs="Times New Roman"/>
          <w:bCs/>
          <w:iCs/>
        </w:rPr>
        <w:t xml:space="preserve">regular </w:t>
      </w:r>
      <w:r w:rsidR="00946EDF">
        <w:rPr>
          <w:rFonts w:ascii="Times New Roman" w:hAnsi="Times New Roman" w:cs="Times New Roman"/>
          <w:bCs/>
          <w:iCs/>
        </w:rPr>
        <w:t xml:space="preserve">use of </w:t>
      </w:r>
      <w:r w:rsidR="00FF60B0">
        <w:rPr>
          <w:rFonts w:ascii="Times New Roman" w:hAnsi="Times New Roman" w:cs="Times New Roman"/>
          <w:bCs/>
          <w:iCs/>
        </w:rPr>
        <w:t>‘</w:t>
      </w:r>
      <w:r w:rsidR="00946EDF">
        <w:rPr>
          <w:rFonts w:ascii="Times New Roman" w:hAnsi="Times New Roman" w:cs="Times New Roman"/>
          <w:bCs/>
          <w:iCs/>
        </w:rPr>
        <w:t>patient reported</w:t>
      </w:r>
      <w:r w:rsidR="00FF60B0">
        <w:rPr>
          <w:rFonts w:ascii="Times New Roman" w:hAnsi="Times New Roman" w:cs="Times New Roman"/>
          <w:bCs/>
          <w:iCs/>
        </w:rPr>
        <w:t>’</w:t>
      </w:r>
      <w:r w:rsidR="00946EDF">
        <w:rPr>
          <w:rFonts w:ascii="Times New Roman" w:hAnsi="Times New Roman" w:cs="Times New Roman"/>
          <w:bCs/>
          <w:iCs/>
        </w:rPr>
        <w:t xml:space="preserve"> outcome and experience measures</w:t>
      </w:r>
      <w:r w:rsidR="00D11895">
        <w:rPr>
          <w:rFonts w:ascii="Times New Roman" w:hAnsi="Times New Roman" w:cs="Times New Roman"/>
          <w:bCs/>
          <w:iCs/>
        </w:rPr>
        <w:t xml:space="preserve"> </w:t>
      </w:r>
      <w:r w:rsidR="007341C6">
        <w:rPr>
          <w:rFonts w:ascii="Times New Roman" w:hAnsi="Times New Roman" w:cs="Times New Roman"/>
          <w:bCs/>
          <w:iCs/>
        </w:rPr>
        <w:t>is likely to</w:t>
      </w:r>
      <w:r w:rsidR="00D11895">
        <w:rPr>
          <w:rFonts w:ascii="Times New Roman" w:hAnsi="Times New Roman" w:cs="Times New Roman"/>
          <w:bCs/>
          <w:iCs/>
        </w:rPr>
        <w:t xml:space="preserve"> be an effective means of shaping </w:t>
      </w:r>
      <w:r w:rsidR="007341C6">
        <w:rPr>
          <w:rFonts w:ascii="Times New Roman" w:hAnsi="Times New Roman" w:cs="Times New Roman"/>
          <w:bCs/>
          <w:iCs/>
        </w:rPr>
        <w:t>service delivery</w:t>
      </w:r>
      <w:r w:rsidR="00D11895">
        <w:rPr>
          <w:rFonts w:ascii="Times New Roman" w:hAnsi="Times New Roman" w:cs="Times New Roman"/>
          <w:bCs/>
          <w:iCs/>
        </w:rPr>
        <w:t xml:space="preserve">.  </w:t>
      </w:r>
      <w:r w:rsidR="00A43845">
        <w:rPr>
          <w:rFonts w:ascii="Times New Roman" w:hAnsi="Times New Roman" w:cs="Times New Roman"/>
          <w:bCs/>
          <w:iCs/>
        </w:rPr>
        <w:t>U</w:t>
      </w:r>
      <w:r w:rsidR="00D11895">
        <w:rPr>
          <w:rFonts w:ascii="Times New Roman" w:hAnsi="Times New Roman" w:cs="Times New Roman"/>
          <w:bCs/>
          <w:iCs/>
        </w:rPr>
        <w:t xml:space="preserve">sed prior to </w:t>
      </w:r>
      <w:r w:rsidR="007341C6">
        <w:rPr>
          <w:rFonts w:ascii="Times New Roman" w:hAnsi="Times New Roman" w:cs="Times New Roman"/>
          <w:bCs/>
          <w:iCs/>
        </w:rPr>
        <w:t>clinic</w:t>
      </w:r>
      <w:r w:rsidR="00D11895">
        <w:rPr>
          <w:rFonts w:ascii="Times New Roman" w:hAnsi="Times New Roman" w:cs="Times New Roman"/>
          <w:bCs/>
          <w:iCs/>
        </w:rPr>
        <w:t xml:space="preserve"> appointments, brief PROMs and PREMs </w:t>
      </w:r>
      <w:r w:rsidR="002D2D47">
        <w:rPr>
          <w:rFonts w:ascii="Times New Roman" w:hAnsi="Times New Roman" w:cs="Times New Roman"/>
          <w:bCs/>
          <w:iCs/>
        </w:rPr>
        <w:t>provide</w:t>
      </w:r>
      <w:r w:rsidR="00D11895">
        <w:rPr>
          <w:rFonts w:ascii="Times New Roman" w:hAnsi="Times New Roman" w:cs="Times New Roman"/>
          <w:bCs/>
          <w:iCs/>
        </w:rPr>
        <w:t xml:space="preserve"> key information about current presentation and </w:t>
      </w:r>
      <w:r w:rsidR="00946EDF">
        <w:rPr>
          <w:rFonts w:ascii="Times New Roman" w:hAnsi="Times New Roman" w:cs="Times New Roman"/>
          <w:bCs/>
          <w:iCs/>
        </w:rPr>
        <w:t>pro</w:t>
      </w:r>
      <w:r w:rsidR="00D11895">
        <w:rPr>
          <w:rFonts w:ascii="Times New Roman" w:hAnsi="Times New Roman" w:cs="Times New Roman"/>
          <w:bCs/>
          <w:iCs/>
        </w:rPr>
        <w:t>mpt</w:t>
      </w:r>
      <w:r w:rsidR="00F4783B">
        <w:rPr>
          <w:rFonts w:ascii="Times New Roman" w:hAnsi="Times New Roman" w:cs="Times New Roman"/>
          <w:bCs/>
          <w:iCs/>
        </w:rPr>
        <w:t xml:space="preserve"> </w:t>
      </w:r>
      <w:r w:rsidR="002D2D47">
        <w:rPr>
          <w:rFonts w:ascii="Times New Roman" w:hAnsi="Times New Roman" w:cs="Times New Roman"/>
          <w:bCs/>
          <w:iCs/>
        </w:rPr>
        <w:t xml:space="preserve">collaborative discussion </w:t>
      </w:r>
      <w:r w:rsidR="002D2D47" w:rsidRPr="00E93FBC">
        <w:rPr>
          <w:rFonts w:ascii="Times New Roman" w:hAnsi="Times New Roman" w:cs="Times New Roman"/>
          <w:bCs/>
          <w:iCs/>
        </w:rPr>
        <w:t xml:space="preserve">about the factors known to be associated with </w:t>
      </w:r>
      <w:r w:rsidR="00037FB8" w:rsidRPr="00E93FBC">
        <w:rPr>
          <w:rFonts w:ascii="Times New Roman" w:hAnsi="Times New Roman" w:cs="Times New Roman"/>
          <w:bCs/>
          <w:iCs/>
        </w:rPr>
        <w:t>liv</w:t>
      </w:r>
      <w:r w:rsidR="002D2D47" w:rsidRPr="00E93FBC">
        <w:rPr>
          <w:rFonts w:ascii="Times New Roman" w:hAnsi="Times New Roman" w:cs="Times New Roman"/>
          <w:bCs/>
          <w:iCs/>
        </w:rPr>
        <w:t>ing well with mental ill-health</w:t>
      </w:r>
      <w:r w:rsidR="00037FB8" w:rsidRPr="00E93FBC">
        <w:rPr>
          <w:rFonts w:ascii="Times New Roman" w:hAnsi="Times New Roman" w:cs="Times New Roman"/>
          <w:bCs/>
          <w:iCs/>
        </w:rPr>
        <w:t>.</w:t>
      </w:r>
      <w:r w:rsidR="008D06CE" w:rsidRPr="00E93FBC">
        <w:rPr>
          <w:rFonts w:ascii="Times New Roman" w:hAnsi="Times New Roman" w:cs="Times New Roman"/>
          <w:bCs/>
          <w:iCs/>
        </w:rPr>
        <w:t xml:space="preserve">  In this way,</w:t>
      </w:r>
      <w:r w:rsidR="00A718F1" w:rsidRPr="00E93FBC">
        <w:rPr>
          <w:rFonts w:ascii="Times New Roman" w:hAnsi="Times New Roman" w:cs="Times New Roman"/>
          <w:bCs/>
          <w:iCs/>
        </w:rPr>
        <w:t xml:space="preserve"> </w:t>
      </w:r>
      <w:r w:rsidR="00A43845" w:rsidRPr="00E93FBC">
        <w:rPr>
          <w:rFonts w:ascii="Times New Roman" w:hAnsi="Times New Roman" w:cs="Times New Roman"/>
          <w:bCs/>
          <w:iCs/>
        </w:rPr>
        <w:t xml:space="preserve">these tools </w:t>
      </w:r>
      <w:r w:rsidR="008D06CE" w:rsidRPr="00E93FBC">
        <w:rPr>
          <w:rFonts w:ascii="Times New Roman" w:hAnsi="Times New Roman" w:cs="Times New Roman"/>
          <w:bCs/>
          <w:iCs/>
        </w:rPr>
        <w:t xml:space="preserve">can </w:t>
      </w:r>
      <w:r w:rsidR="00A718F1" w:rsidRPr="00E93FBC">
        <w:rPr>
          <w:rFonts w:ascii="Times New Roman" w:hAnsi="Times New Roman" w:cs="Times New Roman"/>
          <w:bCs/>
          <w:iCs/>
        </w:rPr>
        <w:t xml:space="preserve">structure conversations, monitor change and </w:t>
      </w:r>
      <w:r w:rsidR="008D06CE" w:rsidRPr="00E93FBC">
        <w:rPr>
          <w:rFonts w:ascii="Times New Roman" w:hAnsi="Times New Roman" w:cs="Times New Roman"/>
          <w:bCs/>
          <w:iCs/>
        </w:rPr>
        <w:t>benchmark</w:t>
      </w:r>
      <w:r w:rsidR="00A718F1" w:rsidRPr="00E93FBC">
        <w:rPr>
          <w:rFonts w:ascii="Times New Roman" w:hAnsi="Times New Roman" w:cs="Times New Roman"/>
          <w:bCs/>
          <w:iCs/>
        </w:rPr>
        <w:t xml:space="preserve"> </w:t>
      </w:r>
      <w:r w:rsidR="008D06CE" w:rsidRPr="00E93FBC">
        <w:rPr>
          <w:rFonts w:ascii="Times New Roman" w:hAnsi="Times New Roman" w:cs="Times New Roman"/>
          <w:bCs/>
          <w:iCs/>
        </w:rPr>
        <w:t xml:space="preserve">service level performance </w:t>
      </w:r>
      <w:r w:rsidR="00A43845" w:rsidRPr="00E93FBC">
        <w:rPr>
          <w:rFonts w:ascii="Times New Roman" w:hAnsi="Times New Roman" w:cs="Times New Roman"/>
          <w:bCs/>
          <w:iCs/>
        </w:rPr>
        <w:t xml:space="preserve">when pooled </w:t>
      </w:r>
      <w:r w:rsidR="008D06CE" w:rsidRPr="00E93FBC">
        <w:rPr>
          <w:rFonts w:ascii="Times New Roman" w:hAnsi="Times New Roman" w:cs="Times New Roman"/>
          <w:bCs/>
          <w:iCs/>
        </w:rPr>
        <w:t xml:space="preserve">(cf. </w:t>
      </w:r>
      <w:r w:rsidR="00A718F1" w:rsidRPr="00E93FBC">
        <w:rPr>
          <w:rFonts w:ascii="Times New Roman" w:hAnsi="Times New Roman" w:cs="Times New Roman"/>
        </w:rPr>
        <w:t xml:space="preserve">Williams, </w:t>
      </w:r>
      <w:proofErr w:type="spellStart"/>
      <w:r w:rsidR="00A718F1" w:rsidRPr="00E93FBC">
        <w:rPr>
          <w:rFonts w:ascii="Times New Roman" w:hAnsi="Times New Roman" w:cs="Times New Roman"/>
        </w:rPr>
        <w:t>Leamy</w:t>
      </w:r>
      <w:proofErr w:type="spellEnd"/>
      <w:r w:rsidR="00A718F1" w:rsidRPr="00E93FBC">
        <w:rPr>
          <w:rFonts w:ascii="Times New Roman" w:hAnsi="Times New Roman" w:cs="Times New Roman"/>
        </w:rPr>
        <w:t>, Bird et al., 201</w:t>
      </w:r>
      <w:r w:rsidR="008D06CE" w:rsidRPr="00E93FBC">
        <w:rPr>
          <w:rFonts w:ascii="Times New Roman" w:hAnsi="Times New Roman" w:cs="Times New Roman"/>
        </w:rPr>
        <w:t xml:space="preserve">5).  If used </w:t>
      </w:r>
      <w:r w:rsidR="008D06CE" w:rsidRPr="00E93FBC">
        <w:rPr>
          <w:rFonts w:ascii="Times New Roman" w:hAnsi="Times New Roman" w:cs="Times New Roman"/>
          <w:bCs/>
          <w:iCs/>
        </w:rPr>
        <w:t xml:space="preserve">at </w:t>
      </w:r>
      <w:r w:rsidR="00A718F1" w:rsidRPr="00E93FBC">
        <w:rPr>
          <w:rFonts w:ascii="Times New Roman" w:hAnsi="Times New Roman" w:cs="Times New Roman"/>
          <w:bCs/>
          <w:iCs/>
        </w:rPr>
        <w:t xml:space="preserve">care plan </w:t>
      </w:r>
      <w:r w:rsidR="008D06CE" w:rsidRPr="00E93FBC">
        <w:rPr>
          <w:rFonts w:ascii="Times New Roman" w:hAnsi="Times New Roman" w:cs="Times New Roman"/>
          <w:bCs/>
          <w:iCs/>
        </w:rPr>
        <w:t xml:space="preserve">reviews, </w:t>
      </w:r>
      <w:r w:rsidR="00886463" w:rsidRPr="00E93FBC">
        <w:rPr>
          <w:rFonts w:ascii="Times New Roman" w:hAnsi="Times New Roman" w:cs="Times New Roman"/>
          <w:bCs/>
          <w:iCs/>
        </w:rPr>
        <w:t>the measure</w:t>
      </w:r>
      <w:r w:rsidR="00A43845" w:rsidRPr="00E93FBC">
        <w:rPr>
          <w:rFonts w:ascii="Times New Roman" w:hAnsi="Times New Roman" w:cs="Times New Roman"/>
          <w:bCs/>
          <w:iCs/>
        </w:rPr>
        <w:t>s</w:t>
      </w:r>
      <w:r w:rsidR="00886463" w:rsidRPr="00E93FBC">
        <w:rPr>
          <w:rFonts w:ascii="Times New Roman" w:hAnsi="Times New Roman" w:cs="Times New Roman"/>
          <w:bCs/>
          <w:iCs/>
        </w:rPr>
        <w:t xml:space="preserve"> </w:t>
      </w:r>
      <w:r w:rsidR="008D06CE" w:rsidRPr="00E93FBC">
        <w:rPr>
          <w:rFonts w:ascii="Times New Roman" w:hAnsi="Times New Roman" w:cs="Times New Roman"/>
          <w:bCs/>
          <w:iCs/>
        </w:rPr>
        <w:t xml:space="preserve">can be </w:t>
      </w:r>
      <w:r w:rsidR="00A43845" w:rsidRPr="00E93FBC">
        <w:rPr>
          <w:rFonts w:ascii="Times New Roman" w:hAnsi="Times New Roman" w:cs="Times New Roman"/>
          <w:bCs/>
          <w:iCs/>
        </w:rPr>
        <w:t>included at</w:t>
      </w:r>
      <w:r w:rsidR="00886463" w:rsidRPr="00E93FBC">
        <w:rPr>
          <w:rFonts w:ascii="Times New Roman" w:hAnsi="Times New Roman" w:cs="Times New Roman"/>
          <w:bCs/>
          <w:iCs/>
        </w:rPr>
        <w:t xml:space="preserve"> established </w:t>
      </w:r>
      <w:r w:rsidR="00A718F1" w:rsidRPr="00E93FBC">
        <w:rPr>
          <w:rFonts w:ascii="Times New Roman" w:hAnsi="Times New Roman" w:cs="Times New Roman"/>
          <w:bCs/>
          <w:iCs/>
        </w:rPr>
        <w:t>review points</w:t>
      </w:r>
      <w:r w:rsidR="00886463" w:rsidRPr="00E93FBC">
        <w:rPr>
          <w:rFonts w:ascii="Times New Roman" w:hAnsi="Times New Roman" w:cs="Times New Roman"/>
          <w:bCs/>
          <w:iCs/>
        </w:rPr>
        <w:t xml:space="preserve">, and compared with </w:t>
      </w:r>
      <w:r w:rsidR="007E1E4D" w:rsidRPr="00E93FBC">
        <w:rPr>
          <w:rFonts w:ascii="Times New Roman" w:hAnsi="Times New Roman" w:cs="Times New Roman"/>
          <w:bCs/>
          <w:iCs/>
        </w:rPr>
        <w:t xml:space="preserve">previous scores, </w:t>
      </w:r>
      <w:proofErr w:type="spellStart"/>
      <w:r w:rsidR="007E1E4D" w:rsidRPr="00E93FBC">
        <w:rPr>
          <w:rFonts w:ascii="Times New Roman" w:hAnsi="Times New Roman" w:cs="Times New Roman"/>
          <w:bCs/>
          <w:iCs/>
        </w:rPr>
        <w:t>minimising</w:t>
      </w:r>
      <w:proofErr w:type="spellEnd"/>
      <w:r w:rsidR="007E1E4D" w:rsidRPr="00E93FBC">
        <w:rPr>
          <w:rFonts w:ascii="Times New Roman" w:hAnsi="Times New Roman" w:cs="Times New Roman"/>
          <w:bCs/>
          <w:iCs/>
        </w:rPr>
        <w:t xml:space="preserve"> </w:t>
      </w:r>
      <w:r w:rsidR="00886463" w:rsidRPr="00E93FBC">
        <w:rPr>
          <w:rFonts w:ascii="Times New Roman" w:hAnsi="Times New Roman" w:cs="Times New Roman"/>
          <w:bCs/>
          <w:iCs/>
        </w:rPr>
        <w:t>administrative burden.  The</w:t>
      </w:r>
      <w:r w:rsidR="00A43845" w:rsidRPr="00E93FBC">
        <w:rPr>
          <w:rFonts w:ascii="Times New Roman" w:hAnsi="Times New Roman" w:cs="Times New Roman"/>
          <w:bCs/>
          <w:iCs/>
        </w:rPr>
        <w:t xml:space="preserve"> HAO is</w:t>
      </w:r>
      <w:r w:rsidR="00886463" w:rsidRPr="00E93FBC">
        <w:rPr>
          <w:rFonts w:ascii="Times New Roman" w:hAnsi="Times New Roman" w:cs="Times New Roman"/>
          <w:bCs/>
          <w:iCs/>
        </w:rPr>
        <w:t xml:space="preserve"> designed to be completed independently, and the validation process suggests that this was not problematic for </w:t>
      </w:r>
      <w:r w:rsidR="00A43845" w:rsidRPr="00E93FBC">
        <w:rPr>
          <w:rFonts w:ascii="Times New Roman" w:hAnsi="Times New Roman" w:cs="Times New Roman"/>
          <w:bCs/>
          <w:iCs/>
        </w:rPr>
        <w:t>those who took part</w:t>
      </w:r>
      <w:r w:rsidR="00886463" w:rsidRPr="00E93FBC">
        <w:rPr>
          <w:rFonts w:ascii="Times New Roman" w:hAnsi="Times New Roman" w:cs="Times New Roman"/>
          <w:bCs/>
          <w:iCs/>
        </w:rPr>
        <w:t xml:space="preserve">.  </w:t>
      </w:r>
      <w:r w:rsidR="00C544B7" w:rsidRPr="00E93FBC">
        <w:rPr>
          <w:rFonts w:ascii="Times New Roman" w:hAnsi="Times New Roman" w:cs="Times New Roman"/>
          <w:bCs/>
          <w:iCs/>
        </w:rPr>
        <w:t xml:space="preserve">While training in the use of measures may not be necessary, </w:t>
      </w:r>
      <w:r w:rsidR="00A43845" w:rsidRPr="00E93FBC">
        <w:rPr>
          <w:rFonts w:ascii="Times New Roman" w:hAnsi="Times New Roman" w:cs="Times New Roman"/>
          <w:bCs/>
          <w:iCs/>
        </w:rPr>
        <w:t xml:space="preserve">sessions targeting individual, team and </w:t>
      </w:r>
      <w:proofErr w:type="spellStart"/>
      <w:r w:rsidR="00A43845" w:rsidRPr="00E93FBC">
        <w:rPr>
          <w:rFonts w:ascii="Times New Roman" w:hAnsi="Times New Roman" w:cs="Times New Roman"/>
          <w:bCs/>
          <w:iCs/>
        </w:rPr>
        <w:t>organis</w:t>
      </w:r>
      <w:r w:rsidR="00C544B7" w:rsidRPr="00E93FBC">
        <w:rPr>
          <w:rFonts w:ascii="Times New Roman" w:hAnsi="Times New Roman" w:cs="Times New Roman"/>
          <w:bCs/>
          <w:iCs/>
        </w:rPr>
        <w:t>ational</w:t>
      </w:r>
      <w:proofErr w:type="spellEnd"/>
      <w:r w:rsidR="00C544B7" w:rsidRPr="00E93FBC">
        <w:rPr>
          <w:rFonts w:ascii="Times New Roman" w:hAnsi="Times New Roman" w:cs="Times New Roman"/>
          <w:bCs/>
          <w:iCs/>
        </w:rPr>
        <w:t xml:space="preserve"> level</w:t>
      </w:r>
      <w:r w:rsidR="00A43845" w:rsidRPr="00E93FBC">
        <w:rPr>
          <w:rFonts w:ascii="Times New Roman" w:hAnsi="Times New Roman" w:cs="Times New Roman"/>
          <w:bCs/>
          <w:iCs/>
        </w:rPr>
        <w:t xml:space="preserve"> commitment to the use of routine outcome measures </w:t>
      </w:r>
      <w:r w:rsidR="00C544B7" w:rsidRPr="00E93FBC">
        <w:rPr>
          <w:rFonts w:ascii="Times New Roman" w:hAnsi="Times New Roman" w:cs="Times New Roman"/>
          <w:bCs/>
          <w:iCs/>
        </w:rPr>
        <w:t xml:space="preserve">is </w:t>
      </w:r>
      <w:r w:rsidR="00A43845" w:rsidRPr="00E93FBC">
        <w:rPr>
          <w:rFonts w:ascii="Times New Roman" w:hAnsi="Times New Roman" w:cs="Times New Roman"/>
          <w:bCs/>
          <w:iCs/>
        </w:rPr>
        <w:t xml:space="preserve">likely to be </w:t>
      </w:r>
      <w:r w:rsidR="007E1E4D" w:rsidRPr="00E93FBC">
        <w:rPr>
          <w:rFonts w:ascii="Times New Roman" w:hAnsi="Times New Roman" w:cs="Times New Roman"/>
          <w:bCs/>
          <w:iCs/>
        </w:rPr>
        <w:t>needed</w:t>
      </w:r>
      <w:r w:rsidR="00C544B7" w:rsidRPr="00E93FBC">
        <w:rPr>
          <w:rFonts w:ascii="Times New Roman" w:hAnsi="Times New Roman" w:cs="Times New Roman"/>
          <w:bCs/>
          <w:iCs/>
        </w:rPr>
        <w:t xml:space="preserve"> to effect wider</w:t>
      </w:r>
      <w:r w:rsidR="00886463" w:rsidRPr="00E93FBC">
        <w:rPr>
          <w:rFonts w:ascii="Times New Roman" w:hAnsi="Times New Roman" w:cs="Times New Roman"/>
          <w:bCs/>
          <w:iCs/>
        </w:rPr>
        <w:t xml:space="preserve"> </w:t>
      </w:r>
      <w:r w:rsidR="00A718F1" w:rsidRPr="00E93FBC">
        <w:rPr>
          <w:rFonts w:ascii="Times New Roman" w:hAnsi="Times New Roman" w:cs="Times New Roman"/>
          <w:bCs/>
          <w:iCs/>
        </w:rPr>
        <w:t>cultural change</w:t>
      </w:r>
      <w:r w:rsidR="00C544B7" w:rsidRPr="00E93FBC">
        <w:rPr>
          <w:rFonts w:ascii="Times New Roman" w:hAnsi="Times New Roman" w:cs="Times New Roman"/>
          <w:bCs/>
          <w:iCs/>
        </w:rPr>
        <w:t xml:space="preserve"> (Duncan &amp; </w:t>
      </w:r>
      <w:proofErr w:type="spellStart"/>
      <w:r w:rsidR="00C544B7" w:rsidRPr="00E93FBC">
        <w:rPr>
          <w:rFonts w:ascii="Times New Roman" w:hAnsi="Times New Roman" w:cs="Times New Roman"/>
          <w:bCs/>
          <w:iCs/>
        </w:rPr>
        <w:t>Murrey</w:t>
      </w:r>
      <w:proofErr w:type="spellEnd"/>
      <w:r w:rsidR="00C544B7" w:rsidRPr="00E93FBC">
        <w:rPr>
          <w:rFonts w:ascii="Times New Roman" w:hAnsi="Times New Roman" w:cs="Times New Roman"/>
          <w:bCs/>
          <w:iCs/>
        </w:rPr>
        <w:t>, 2012)</w:t>
      </w:r>
      <w:r w:rsidR="00886463" w:rsidRPr="00E93FBC">
        <w:rPr>
          <w:rFonts w:ascii="Times New Roman" w:hAnsi="Times New Roman" w:cs="Times New Roman"/>
          <w:bCs/>
          <w:iCs/>
        </w:rPr>
        <w:t>.</w:t>
      </w:r>
    </w:p>
    <w:p w14:paraId="47DF2EFA" w14:textId="657C88A9" w:rsidR="0096485B" w:rsidRPr="0096478E" w:rsidRDefault="002D2D47" w:rsidP="00014439">
      <w:pPr>
        <w:spacing w:line="480" w:lineRule="auto"/>
        <w:ind w:firstLine="720"/>
        <w:rPr>
          <w:rFonts w:ascii="Times New Roman" w:hAnsi="Times New Roman" w:cs="Times New Roman"/>
          <w:bCs/>
        </w:rPr>
      </w:pPr>
      <w:r w:rsidRPr="00E93FBC">
        <w:rPr>
          <w:rFonts w:ascii="Times New Roman" w:hAnsi="Times New Roman" w:cs="Times New Roman"/>
          <w:bCs/>
        </w:rPr>
        <w:t xml:space="preserve">In summary, the HAO demonstrates satisfactory psychometric properties, </w:t>
      </w:r>
      <w:r w:rsidR="00B5125A" w:rsidRPr="00E93FBC">
        <w:rPr>
          <w:rFonts w:ascii="Times New Roman" w:hAnsi="Times New Roman" w:cs="Times New Roman"/>
          <w:bCs/>
        </w:rPr>
        <w:t>co-</w:t>
      </w:r>
      <w:r w:rsidR="00B5125A" w:rsidRPr="00B5125A">
        <w:rPr>
          <w:rFonts w:ascii="Times New Roman" w:hAnsi="Times New Roman" w:cs="Times New Roman"/>
          <w:bCs/>
        </w:rPr>
        <w:t>production of the measure confers clinical credibility</w:t>
      </w:r>
      <w:r w:rsidR="00B5125A">
        <w:rPr>
          <w:rFonts w:ascii="Times New Roman" w:hAnsi="Times New Roman" w:cs="Times New Roman"/>
          <w:bCs/>
        </w:rPr>
        <w:t>,</w:t>
      </w:r>
      <w:r w:rsidR="00B5125A" w:rsidRPr="00B5125A">
        <w:rPr>
          <w:rFonts w:ascii="Times New Roman" w:hAnsi="Times New Roman" w:cs="Times New Roman"/>
          <w:bCs/>
        </w:rPr>
        <w:t xml:space="preserve"> </w:t>
      </w:r>
      <w:r w:rsidRPr="009A448E">
        <w:rPr>
          <w:rFonts w:ascii="Times New Roman" w:hAnsi="Times New Roman" w:cs="Times New Roman"/>
          <w:bCs/>
        </w:rPr>
        <w:t>and the brevity of the to</w:t>
      </w:r>
      <w:r>
        <w:rPr>
          <w:rFonts w:ascii="Times New Roman" w:hAnsi="Times New Roman" w:cs="Times New Roman"/>
          <w:bCs/>
        </w:rPr>
        <w:t xml:space="preserve">ol </w:t>
      </w:r>
      <w:r w:rsidR="00CF4267">
        <w:rPr>
          <w:rFonts w:ascii="Times New Roman" w:hAnsi="Times New Roman" w:cs="Times New Roman"/>
          <w:bCs/>
        </w:rPr>
        <w:t>enables</w:t>
      </w:r>
      <w:r>
        <w:rPr>
          <w:rFonts w:ascii="Times New Roman" w:hAnsi="Times New Roman" w:cs="Times New Roman"/>
          <w:bCs/>
        </w:rPr>
        <w:t xml:space="preserve"> </w:t>
      </w:r>
      <w:r w:rsidR="00CF4267">
        <w:rPr>
          <w:rFonts w:ascii="Times New Roman" w:hAnsi="Times New Roman" w:cs="Times New Roman"/>
          <w:bCs/>
        </w:rPr>
        <w:t>use in</w:t>
      </w:r>
      <w:r>
        <w:rPr>
          <w:rFonts w:ascii="Times New Roman" w:hAnsi="Times New Roman" w:cs="Times New Roman"/>
          <w:bCs/>
        </w:rPr>
        <w:t xml:space="preserve"> routine clinical practice.  </w:t>
      </w:r>
      <w:r w:rsidR="00B5125A">
        <w:rPr>
          <w:rFonts w:ascii="Times New Roman" w:hAnsi="Times New Roman" w:cs="Times New Roman"/>
          <w:bCs/>
        </w:rPr>
        <w:t xml:space="preserve">This addresses the </w:t>
      </w:r>
      <w:r w:rsidR="00B5125A" w:rsidRPr="00B5125A">
        <w:rPr>
          <w:rFonts w:ascii="Times New Roman" w:hAnsi="Times New Roman" w:cs="Times New Roman"/>
          <w:bCs/>
        </w:rPr>
        <w:t>validity and feasibility concerns</w:t>
      </w:r>
      <w:r w:rsidR="00B5125A">
        <w:rPr>
          <w:rFonts w:ascii="Times New Roman" w:hAnsi="Times New Roman" w:cs="Times New Roman"/>
          <w:bCs/>
        </w:rPr>
        <w:t xml:space="preserve"> </w:t>
      </w:r>
      <w:r w:rsidR="007341C6">
        <w:rPr>
          <w:rFonts w:ascii="Times New Roman" w:hAnsi="Times New Roman" w:cs="Times New Roman"/>
          <w:bCs/>
        </w:rPr>
        <w:t>currently hindering</w:t>
      </w:r>
      <w:r w:rsidR="00B5125A">
        <w:rPr>
          <w:rFonts w:ascii="Times New Roman" w:hAnsi="Times New Roman" w:cs="Times New Roman"/>
          <w:bCs/>
        </w:rPr>
        <w:t xml:space="preserve"> the </w:t>
      </w:r>
      <w:r w:rsidR="007341C6">
        <w:rPr>
          <w:rFonts w:ascii="Times New Roman" w:hAnsi="Times New Roman" w:cs="Times New Roman"/>
          <w:bCs/>
        </w:rPr>
        <w:t xml:space="preserve">use of </w:t>
      </w:r>
      <w:r w:rsidR="00B5125A">
        <w:rPr>
          <w:rFonts w:ascii="Times New Roman" w:hAnsi="Times New Roman" w:cs="Times New Roman"/>
          <w:bCs/>
        </w:rPr>
        <w:t xml:space="preserve">recovery measures in </w:t>
      </w:r>
      <w:r w:rsidR="008A403A">
        <w:rPr>
          <w:rFonts w:ascii="Times New Roman" w:hAnsi="Times New Roman" w:cs="Times New Roman"/>
          <w:bCs/>
        </w:rPr>
        <w:t>services</w:t>
      </w:r>
      <w:r w:rsidR="00B5125A">
        <w:rPr>
          <w:rFonts w:ascii="Times New Roman" w:hAnsi="Times New Roman" w:cs="Times New Roman"/>
          <w:bCs/>
        </w:rPr>
        <w:t xml:space="preserve">.  </w:t>
      </w:r>
      <w:r w:rsidR="00D11895">
        <w:rPr>
          <w:rFonts w:ascii="Times New Roman" w:hAnsi="Times New Roman" w:cs="Times New Roman"/>
          <w:bCs/>
        </w:rPr>
        <w:t xml:space="preserve">The modest range of validated tools now available, including the HAO, </w:t>
      </w:r>
      <w:r w:rsidR="00D11895" w:rsidRPr="0096478E">
        <w:rPr>
          <w:rFonts w:ascii="Times New Roman" w:hAnsi="Times New Roman" w:cs="Times New Roman"/>
        </w:rPr>
        <w:t>QPR, WEMWBS</w:t>
      </w:r>
      <w:r w:rsidR="004F4C00">
        <w:rPr>
          <w:rFonts w:ascii="Times New Roman" w:hAnsi="Times New Roman" w:cs="Times New Roman"/>
        </w:rPr>
        <w:t xml:space="preserve"> and </w:t>
      </w:r>
      <w:r w:rsidR="00D11895">
        <w:rPr>
          <w:rFonts w:ascii="Times New Roman" w:hAnsi="Times New Roman" w:cs="Times New Roman"/>
        </w:rPr>
        <w:t>INSPIRE,</w:t>
      </w:r>
      <w:r w:rsidR="00D11895">
        <w:rPr>
          <w:rFonts w:ascii="Times New Roman" w:hAnsi="Times New Roman" w:cs="Times New Roman"/>
          <w:bCs/>
        </w:rPr>
        <w:t xml:space="preserve"> allows </w:t>
      </w:r>
      <w:r w:rsidR="008A403A">
        <w:rPr>
          <w:rFonts w:ascii="Times New Roman" w:hAnsi="Times New Roman" w:cs="Times New Roman"/>
          <w:bCs/>
        </w:rPr>
        <w:t>u</w:t>
      </w:r>
      <w:r w:rsidR="00D11895">
        <w:rPr>
          <w:rFonts w:ascii="Times New Roman" w:hAnsi="Times New Roman" w:cs="Times New Roman"/>
          <w:bCs/>
        </w:rPr>
        <w:t>s to select patient reported measures of recovery to fit service requirements, and thereby meet the need to incorporate these measures in routine practice</w:t>
      </w:r>
      <w:r>
        <w:rPr>
          <w:rFonts w:ascii="Times New Roman" w:hAnsi="Times New Roman" w:cs="Times New Roman"/>
          <w:bCs/>
        </w:rPr>
        <w:t xml:space="preserve">, and </w:t>
      </w:r>
      <w:r w:rsidRPr="009A448E">
        <w:rPr>
          <w:rFonts w:ascii="Times New Roman" w:hAnsi="Times New Roman" w:cs="Times New Roman"/>
          <w:bCs/>
        </w:rPr>
        <w:t xml:space="preserve">drive </w:t>
      </w:r>
      <w:r w:rsidR="007341C6">
        <w:rPr>
          <w:rFonts w:ascii="Times New Roman" w:hAnsi="Times New Roman" w:cs="Times New Roman"/>
          <w:bCs/>
        </w:rPr>
        <w:t xml:space="preserve">service </w:t>
      </w:r>
      <w:r w:rsidRPr="009A448E">
        <w:rPr>
          <w:rFonts w:ascii="Times New Roman" w:hAnsi="Times New Roman" w:cs="Times New Roman"/>
          <w:bCs/>
        </w:rPr>
        <w:t>improvement.</w:t>
      </w:r>
    </w:p>
    <w:p w14:paraId="68DCBB40" w14:textId="77777777" w:rsidR="00B710B5" w:rsidRDefault="00B710B5" w:rsidP="00FB7647">
      <w:pPr>
        <w:spacing w:line="480" w:lineRule="auto"/>
        <w:rPr>
          <w:rFonts w:ascii="Times New Roman" w:hAnsi="Times New Roman" w:cs="Times New Roman"/>
          <w:b/>
        </w:rPr>
      </w:pPr>
      <w:r>
        <w:rPr>
          <w:rFonts w:ascii="Times New Roman" w:hAnsi="Times New Roman" w:cs="Times New Roman"/>
          <w:b/>
        </w:rPr>
        <w:br w:type="page"/>
      </w:r>
    </w:p>
    <w:p w14:paraId="3DBF0A37" w14:textId="3B3E8763" w:rsidR="00B55D16" w:rsidRPr="0096478E" w:rsidRDefault="00B63039" w:rsidP="00FB7647">
      <w:pPr>
        <w:spacing w:line="480" w:lineRule="auto"/>
        <w:rPr>
          <w:rFonts w:ascii="Times New Roman" w:hAnsi="Times New Roman" w:cs="Times New Roman"/>
          <w:b/>
        </w:rPr>
      </w:pPr>
      <w:r w:rsidRPr="0096478E">
        <w:rPr>
          <w:rFonts w:ascii="Times New Roman" w:hAnsi="Times New Roman" w:cs="Times New Roman"/>
          <w:b/>
        </w:rPr>
        <w:lastRenderedPageBreak/>
        <w:t>References</w:t>
      </w:r>
    </w:p>
    <w:p w14:paraId="3DB83FD4" w14:textId="607580CE" w:rsidR="009829FC" w:rsidRDefault="00C008AB" w:rsidP="009829FC">
      <w:pPr>
        <w:shd w:val="clear" w:color="auto" w:fill="FFFFFF"/>
        <w:spacing w:after="150" w:line="480" w:lineRule="auto"/>
        <w:ind w:left="720" w:hanging="720"/>
        <w:rPr>
          <w:rFonts w:asciiTheme="majorBidi" w:eastAsia="Times New Roman" w:hAnsiTheme="majorBidi" w:cstheme="majorBidi"/>
          <w:i/>
          <w:color w:val="000000"/>
          <w:lang w:val="en"/>
        </w:rPr>
      </w:pPr>
      <w:r w:rsidRPr="00C008AB">
        <w:rPr>
          <w:rFonts w:asciiTheme="majorBidi" w:eastAsia="Times New Roman" w:hAnsiTheme="majorBidi" w:cstheme="majorBidi"/>
          <w:color w:val="000000"/>
          <w:lang w:val="en"/>
        </w:rPr>
        <w:t xml:space="preserve">Australian Health Ministers’ Advisory Council’s National Mental Health Working Group (2009) </w:t>
      </w:r>
      <w:r w:rsidRPr="00C008AB">
        <w:rPr>
          <w:rFonts w:asciiTheme="majorBidi" w:eastAsia="Times New Roman" w:hAnsiTheme="majorBidi" w:cstheme="majorBidi"/>
          <w:i/>
          <w:color w:val="000000"/>
          <w:lang w:val="en"/>
        </w:rPr>
        <w:t>4th National Mental Health Plan: An agenda for collaborative government action in mental health 2009–2014.</w:t>
      </w:r>
    </w:p>
    <w:p w14:paraId="68AFE17C" w14:textId="2AC5EAAC" w:rsidR="006D264D" w:rsidRDefault="006D264D" w:rsidP="00E8502C">
      <w:pPr>
        <w:shd w:val="clear" w:color="auto" w:fill="FFFFFF"/>
        <w:spacing w:after="150" w:line="480" w:lineRule="auto"/>
        <w:ind w:left="720" w:hanging="720"/>
        <w:rPr>
          <w:rFonts w:asciiTheme="majorBidi" w:eastAsia="Times New Roman" w:hAnsiTheme="majorBidi" w:cstheme="majorBidi"/>
          <w:color w:val="000000"/>
          <w:lang w:val="en"/>
        </w:rPr>
      </w:pPr>
      <w:r>
        <w:rPr>
          <w:rFonts w:asciiTheme="majorBidi" w:eastAsia="Times New Roman" w:hAnsiTheme="majorBidi" w:cstheme="majorBidi"/>
          <w:color w:val="000000"/>
          <w:lang w:val="en"/>
        </w:rPr>
        <w:t>Bellack</w:t>
      </w:r>
      <w:r w:rsidR="00E8502C">
        <w:rPr>
          <w:rFonts w:asciiTheme="majorBidi" w:eastAsia="Times New Roman" w:hAnsiTheme="majorBidi" w:cstheme="majorBidi"/>
          <w:color w:val="000000"/>
          <w:lang w:val="en"/>
        </w:rPr>
        <w:t>,</w:t>
      </w:r>
      <w:r>
        <w:rPr>
          <w:rFonts w:asciiTheme="majorBidi" w:eastAsia="Times New Roman" w:hAnsiTheme="majorBidi" w:cstheme="majorBidi"/>
          <w:color w:val="000000"/>
          <w:lang w:val="en"/>
        </w:rPr>
        <w:t xml:space="preserve"> A</w:t>
      </w:r>
      <w:r w:rsidR="00E8502C">
        <w:rPr>
          <w:rFonts w:asciiTheme="majorBidi" w:eastAsia="Times New Roman" w:hAnsiTheme="majorBidi" w:cstheme="majorBidi"/>
          <w:color w:val="000000"/>
          <w:lang w:val="en"/>
        </w:rPr>
        <w:t>.</w:t>
      </w:r>
      <w:r w:rsidRPr="006D264D">
        <w:rPr>
          <w:rFonts w:asciiTheme="majorBidi" w:eastAsia="Times New Roman" w:hAnsiTheme="majorBidi" w:cstheme="majorBidi"/>
          <w:color w:val="000000"/>
          <w:lang w:val="en"/>
        </w:rPr>
        <w:t>S</w:t>
      </w:r>
      <w:r w:rsidR="00E8502C">
        <w:rPr>
          <w:rFonts w:asciiTheme="majorBidi" w:eastAsia="Times New Roman" w:hAnsiTheme="majorBidi" w:cstheme="majorBidi"/>
          <w:color w:val="000000"/>
          <w:lang w:val="en"/>
        </w:rPr>
        <w:t>.</w:t>
      </w:r>
      <w:r w:rsidRPr="006D264D">
        <w:rPr>
          <w:rFonts w:asciiTheme="majorBidi" w:eastAsia="Times New Roman" w:hAnsiTheme="majorBidi" w:cstheme="majorBidi"/>
          <w:color w:val="000000"/>
          <w:lang w:val="en"/>
        </w:rPr>
        <w:t xml:space="preserve"> (2006) Scientific and consumer models of recovery in schizophrenia: Concordance, contrasts, and implications. </w:t>
      </w:r>
      <w:r w:rsidRPr="006D264D">
        <w:rPr>
          <w:rFonts w:asciiTheme="majorBidi" w:eastAsia="Times New Roman" w:hAnsiTheme="majorBidi" w:cstheme="majorBidi"/>
          <w:i/>
          <w:iCs/>
          <w:color w:val="000000"/>
          <w:lang w:val="en"/>
        </w:rPr>
        <w:t>Schizophrenia Bulletin, 32,</w:t>
      </w:r>
      <w:r w:rsidRPr="006D264D">
        <w:rPr>
          <w:rFonts w:asciiTheme="majorBidi" w:eastAsia="Times New Roman" w:hAnsiTheme="majorBidi" w:cstheme="majorBidi"/>
          <w:color w:val="000000"/>
          <w:lang w:val="en"/>
        </w:rPr>
        <w:t xml:space="preserve"> 432–442.</w:t>
      </w:r>
    </w:p>
    <w:p w14:paraId="18A78FFE" w14:textId="7F254C6F" w:rsidR="00B4764D" w:rsidRPr="00B4764D" w:rsidRDefault="00B4764D" w:rsidP="00B4764D">
      <w:pPr>
        <w:shd w:val="clear" w:color="auto" w:fill="FFFFFF"/>
        <w:spacing w:after="150" w:line="480" w:lineRule="auto"/>
        <w:ind w:left="720" w:hanging="720"/>
        <w:rPr>
          <w:rFonts w:asciiTheme="majorBidi" w:eastAsia="Times New Roman" w:hAnsiTheme="majorBidi" w:cstheme="majorBidi"/>
          <w:color w:val="000000"/>
          <w:lang w:val="en"/>
        </w:rPr>
      </w:pPr>
      <w:r w:rsidRPr="00B4764D">
        <w:rPr>
          <w:rFonts w:asciiTheme="majorBidi" w:eastAsia="Times New Roman" w:hAnsiTheme="majorBidi" w:cstheme="majorBidi"/>
          <w:color w:val="000000"/>
          <w:lang w:val="en"/>
        </w:rPr>
        <w:t>B</w:t>
      </w:r>
      <w:r>
        <w:rPr>
          <w:rFonts w:asciiTheme="majorBidi" w:eastAsia="Times New Roman" w:hAnsiTheme="majorBidi" w:cstheme="majorBidi"/>
          <w:color w:val="000000"/>
          <w:lang w:val="en"/>
        </w:rPr>
        <w:t>lack</w:t>
      </w:r>
      <w:r w:rsidRPr="00B4764D">
        <w:rPr>
          <w:rFonts w:asciiTheme="majorBidi" w:eastAsia="Times New Roman" w:hAnsiTheme="majorBidi" w:cstheme="majorBidi"/>
          <w:color w:val="000000"/>
          <w:lang w:val="en"/>
        </w:rPr>
        <w:t>, J., L</w:t>
      </w:r>
      <w:r>
        <w:rPr>
          <w:rFonts w:asciiTheme="majorBidi" w:eastAsia="Times New Roman" w:hAnsiTheme="majorBidi" w:cstheme="majorBidi"/>
          <w:color w:val="000000"/>
          <w:lang w:val="en"/>
        </w:rPr>
        <w:t>ewis</w:t>
      </w:r>
      <w:r w:rsidRPr="00B4764D">
        <w:rPr>
          <w:rFonts w:asciiTheme="majorBidi" w:eastAsia="Times New Roman" w:hAnsiTheme="majorBidi" w:cstheme="majorBidi"/>
          <w:color w:val="000000"/>
          <w:lang w:val="en"/>
        </w:rPr>
        <w:t>, T., M</w:t>
      </w:r>
      <w:r>
        <w:rPr>
          <w:rFonts w:asciiTheme="majorBidi" w:eastAsia="Times New Roman" w:hAnsiTheme="majorBidi" w:cstheme="majorBidi"/>
          <w:color w:val="000000"/>
          <w:lang w:val="en"/>
        </w:rPr>
        <w:t>cIntosh</w:t>
      </w:r>
      <w:r w:rsidRPr="00B4764D">
        <w:rPr>
          <w:rFonts w:asciiTheme="majorBidi" w:eastAsia="Times New Roman" w:hAnsiTheme="majorBidi" w:cstheme="majorBidi"/>
          <w:color w:val="000000"/>
          <w:lang w:val="en"/>
        </w:rPr>
        <w:t>, P., C</w:t>
      </w:r>
      <w:r>
        <w:rPr>
          <w:rFonts w:asciiTheme="majorBidi" w:eastAsia="Times New Roman" w:hAnsiTheme="majorBidi" w:cstheme="majorBidi"/>
          <w:color w:val="000000"/>
          <w:lang w:val="en"/>
        </w:rPr>
        <w:t>allaly</w:t>
      </w:r>
      <w:r w:rsidRPr="00B4764D">
        <w:rPr>
          <w:rFonts w:asciiTheme="majorBidi" w:eastAsia="Times New Roman" w:hAnsiTheme="majorBidi" w:cstheme="majorBidi"/>
          <w:color w:val="000000"/>
          <w:lang w:val="en"/>
        </w:rPr>
        <w:t>, T., C</w:t>
      </w:r>
      <w:r>
        <w:rPr>
          <w:rFonts w:asciiTheme="majorBidi" w:eastAsia="Times New Roman" w:hAnsiTheme="majorBidi" w:cstheme="majorBidi"/>
          <w:color w:val="000000"/>
          <w:lang w:val="en"/>
        </w:rPr>
        <w:t>oombs</w:t>
      </w:r>
      <w:r w:rsidRPr="00B4764D">
        <w:rPr>
          <w:rFonts w:asciiTheme="majorBidi" w:eastAsia="Times New Roman" w:hAnsiTheme="majorBidi" w:cstheme="majorBidi"/>
          <w:color w:val="000000"/>
          <w:lang w:val="en"/>
        </w:rPr>
        <w:t>, T., H</w:t>
      </w:r>
      <w:r>
        <w:rPr>
          <w:rFonts w:asciiTheme="majorBidi" w:eastAsia="Times New Roman" w:hAnsiTheme="majorBidi" w:cstheme="majorBidi"/>
          <w:color w:val="000000"/>
          <w:lang w:val="en"/>
        </w:rPr>
        <w:t>unter</w:t>
      </w:r>
      <w:r w:rsidRPr="00B4764D">
        <w:rPr>
          <w:rFonts w:asciiTheme="majorBidi" w:eastAsia="Times New Roman" w:hAnsiTheme="majorBidi" w:cstheme="majorBidi"/>
          <w:color w:val="000000"/>
          <w:lang w:val="en"/>
        </w:rPr>
        <w:t>, A. &amp; M</w:t>
      </w:r>
      <w:r>
        <w:rPr>
          <w:rFonts w:asciiTheme="majorBidi" w:eastAsia="Times New Roman" w:hAnsiTheme="majorBidi" w:cstheme="majorBidi"/>
          <w:color w:val="000000"/>
          <w:lang w:val="en"/>
        </w:rPr>
        <w:t>oore</w:t>
      </w:r>
      <w:r w:rsidRPr="00B4764D">
        <w:rPr>
          <w:rFonts w:asciiTheme="majorBidi" w:eastAsia="Times New Roman" w:hAnsiTheme="majorBidi" w:cstheme="majorBidi"/>
          <w:color w:val="000000"/>
          <w:lang w:val="en"/>
        </w:rPr>
        <w:t xml:space="preserve">, L. </w:t>
      </w:r>
      <w:r>
        <w:rPr>
          <w:rFonts w:asciiTheme="majorBidi" w:eastAsia="Times New Roman" w:hAnsiTheme="majorBidi" w:cstheme="majorBidi"/>
          <w:color w:val="000000"/>
          <w:lang w:val="en"/>
        </w:rPr>
        <w:t>(</w:t>
      </w:r>
      <w:r w:rsidRPr="00B4764D">
        <w:rPr>
          <w:rFonts w:asciiTheme="majorBidi" w:eastAsia="Times New Roman" w:hAnsiTheme="majorBidi" w:cstheme="majorBidi"/>
          <w:color w:val="000000"/>
          <w:lang w:val="en"/>
        </w:rPr>
        <w:t>2009</w:t>
      </w:r>
      <w:r>
        <w:rPr>
          <w:rFonts w:asciiTheme="majorBidi" w:eastAsia="Times New Roman" w:hAnsiTheme="majorBidi" w:cstheme="majorBidi"/>
          <w:color w:val="000000"/>
          <w:lang w:val="en"/>
        </w:rPr>
        <w:t>) It's not that bad: T</w:t>
      </w:r>
      <w:r w:rsidRPr="00B4764D">
        <w:rPr>
          <w:rFonts w:asciiTheme="majorBidi" w:eastAsia="Times New Roman" w:hAnsiTheme="majorBidi" w:cstheme="majorBidi"/>
          <w:color w:val="000000"/>
          <w:lang w:val="en"/>
        </w:rPr>
        <w:t xml:space="preserve">he views of consumers and carers about routine outcome measurement in mental health. </w:t>
      </w:r>
      <w:r w:rsidRPr="00B4764D">
        <w:rPr>
          <w:rFonts w:asciiTheme="majorBidi" w:eastAsia="Times New Roman" w:hAnsiTheme="majorBidi" w:cstheme="majorBidi"/>
          <w:i/>
          <w:color w:val="000000"/>
          <w:lang w:val="en"/>
        </w:rPr>
        <w:t>Australian Health Review, 33,</w:t>
      </w:r>
      <w:r w:rsidRPr="00B4764D">
        <w:rPr>
          <w:rFonts w:asciiTheme="majorBidi" w:eastAsia="Times New Roman" w:hAnsiTheme="majorBidi" w:cstheme="majorBidi"/>
          <w:color w:val="000000"/>
          <w:lang w:val="en"/>
        </w:rPr>
        <w:t xml:space="preserve"> 93-99</w:t>
      </w:r>
      <w:r>
        <w:rPr>
          <w:rFonts w:asciiTheme="majorBidi" w:eastAsia="Times New Roman" w:hAnsiTheme="majorBidi" w:cstheme="majorBidi"/>
          <w:color w:val="000000"/>
          <w:lang w:val="en"/>
        </w:rPr>
        <w:t>.</w:t>
      </w:r>
      <w:r w:rsidRPr="00B4764D">
        <w:rPr>
          <w:rFonts w:asciiTheme="majorBidi" w:eastAsia="Times New Roman" w:hAnsiTheme="majorBidi" w:cstheme="majorBidi"/>
          <w:color w:val="000000"/>
          <w:lang w:val="en"/>
        </w:rPr>
        <w:t xml:space="preserve"> </w:t>
      </w:r>
    </w:p>
    <w:p w14:paraId="781D10EB" w14:textId="456E3B31" w:rsidR="006836A0" w:rsidRDefault="006836A0" w:rsidP="00E8502C">
      <w:pPr>
        <w:shd w:val="clear" w:color="auto" w:fill="FFFFFF"/>
        <w:spacing w:after="150" w:line="480" w:lineRule="auto"/>
        <w:ind w:left="720" w:hanging="720"/>
        <w:rPr>
          <w:rFonts w:asciiTheme="majorBidi" w:eastAsia="Times New Roman" w:hAnsiTheme="majorBidi" w:cstheme="majorBidi"/>
          <w:color w:val="000000"/>
          <w:lang w:val="en"/>
        </w:rPr>
      </w:pPr>
      <w:r w:rsidRPr="006836A0">
        <w:rPr>
          <w:rFonts w:asciiTheme="majorBidi" w:eastAsia="Times New Roman" w:hAnsiTheme="majorBidi" w:cstheme="majorBidi"/>
          <w:color w:val="000000"/>
          <w:lang w:val="en"/>
        </w:rPr>
        <w:t>Borg</w:t>
      </w:r>
      <w:r w:rsidR="00E8502C">
        <w:rPr>
          <w:rFonts w:asciiTheme="majorBidi" w:eastAsia="Times New Roman" w:hAnsiTheme="majorBidi" w:cstheme="majorBidi"/>
          <w:color w:val="000000"/>
          <w:lang w:val="en"/>
        </w:rPr>
        <w:t>,</w:t>
      </w:r>
      <w:r w:rsidRPr="006836A0">
        <w:rPr>
          <w:rFonts w:asciiTheme="majorBidi" w:eastAsia="Times New Roman" w:hAnsiTheme="majorBidi" w:cstheme="majorBidi"/>
          <w:color w:val="000000"/>
          <w:lang w:val="en"/>
        </w:rPr>
        <w:t xml:space="preserve"> M</w:t>
      </w:r>
      <w:r w:rsidR="00E8502C">
        <w:rPr>
          <w:rFonts w:asciiTheme="majorBidi" w:eastAsia="Times New Roman" w:hAnsiTheme="majorBidi" w:cstheme="majorBidi"/>
          <w:color w:val="000000"/>
          <w:lang w:val="en"/>
        </w:rPr>
        <w:t>.</w:t>
      </w:r>
      <w:r w:rsidRPr="006836A0">
        <w:rPr>
          <w:rFonts w:asciiTheme="majorBidi" w:eastAsia="Times New Roman" w:hAnsiTheme="majorBidi" w:cstheme="majorBidi"/>
          <w:color w:val="000000"/>
          <w:lang w:val="en"/>
        </w:rPr>
        <w:t xml:space="preserve"> &amp; Kristiansen</w:t>
      </w:r>
      <w:r w:rsidR="00E8502C">
        <w:rPr>
          <w:rFonts w:asciiTheme="majorBidi" w:eastAsia="Times New Roman" w:hAnsiTheme="majorBidi" w:cstheme="majorBidi"/>
          <w:color w:val="000000"/>
          <w:lang w:val="en"/>
        </w:rPr>
        <w:t>,</w:t>
      </w:r>
      <w:r w:rsidRPr="006836A0">
        <w:rPr>
          <w:rFonts w:asciiTheme="majorBidi" w:eastAsia="Times New Roman" w:hAnsiTheme="majorBidi" w:cstheme="majorBidi"/>
          <w:color w:val="000000"/>
          <w:lang w:val="en"/>
        </w:rPr>
        <w:t xml:space="preserve"> K</w:t>
      </w:r>
      <w:r w:rsidR="00E8502C">
        <w:rPr>
          <w:rFonts w:asciiTheme="majorBidi" w:eastAsia="Times New Roman" w:hAnsiTheme="majorBidi" w:cstheme="majorBidi"/>
          <w:color w:val="000000"/>
          <w:lang w:val="en"/>
        </w:rPr>
        <w:t>.</w:t>
      </w:r>
      <w:r w:rsidRPr="006836A0">
        <w:rPr>
          <w:rFonts w:asciiTheme="majorBidi" w:eastAsia="Times New Roman" w:hAnsiTheme="majorBidi" w:cstheme="majorBidi"/>
          <w:color w:val="000000"/>
          <w:lang w:val="en"/>
        </w:rPr>
        <w:t xml:space="preserve"> (2004) Recovery-oriented professionals: Helping relationships in mental health services. </w:t>
      </w:r>
      <w:r w:rsidRPr="006836A0">
        <w:rPr>
          <w:rFonts w:asciiTheme="majorBidi" w:eastAsia="Times New Roman" w:hAnsiTheme="majorBidi" w:cstheme="majorBidi"/>
          <w:i/>
          <w:iCs/>
          <w:color w:val="000000"/>
          <w:lang w:val="en"/>
        </w:rPr>
        <w:t xml:space="preserve">Journal of </w:t>
      </w:r>
      <w:r>
        <w:rPr>
          <w:rFonts w:asciiTheme="majorBidi" w:eastAsia="Times New Roman" w:hAnsiTheme="majorBidi" w:cstheme="majorBidi"/>
          <w:i/>
          <w:iCs/>
          <w:color w:val="000000"/>
          <w:lang w:val="en"/>
        </w:rPr>
        <w:t>M</w:t>
      </w:r>
      <w:r w:rsidR="00CC2233">
        <w:rPr>
          <w:rFonts w:asciiTheme="majorBidi" w:eastAsia="Times New Roman" w:hAnsiTheme="majorBidi" w:cstheme="majorBidi"/>
          <w:i/>
          <w:iCs/>
          <w:color w:val="000000"/>
          <w:lang w:val="en"/>
        </w:rPr>
        <w:t>ental H</w:t>
      </w:r>
      <w:r w:rsidRPr="006836A0">
        <w:rPr>
          <w:rFonts w:asciiTheme="majorBidi" w:eastAsia="Times New Roman" w:hAnsiTheme="majorBidi" w:cstheme="majorBidi"/>
          <w:i/>
          <w:iCs/>
          <w:color w:val="000000"/>
          <w:lang w:val="en"/>
        </w:rPr>
        <w:t>ealth, 13</w:t>
      </w:r>
      <w:r w:rsidRPr="006836A0">
        <w:rPr>
          <w:rFonts w:asciiTheme="majorBidi" w:eastAsia="Times New Roman" w:hAnsiTheme="majorBidi" w:cstheme="majorBidi"/>
          <w:color w:val="000000"/>
          <w:lang w:val="en"/>
        </w:rPr>
        <w:t>(5), 493-505.</w:t>
      </w:r>
    </w:p>
    <w:p w14:paraId="16DB420B" w14:textId="211B3BC6" w:rsidR="009829FC" w:rsidRDefault="003D47BD" w:rsidP="00E8502C">
      <w:pPr>
        <w:shd w:val="clear" w:color="auto" w:fill="FFFFFF"/>
        <w:spacing w:after="150" w:line="480" w:lineRule="auto"/>
        <w:ind w:left="720" w:hanging="720"/>
        <w:rPr>
          <w:rFonts w:asciiTheme="majorBidi" w:eastAsia="Times New Roman" w:hAnsiTheme="majorBidi" w:cstheme="majorBidi"/>
          <w:color w:val="000000"/>
          <w:lang w:val="en"/>
        </w:rPr>
      </w:pPr>
      <w:r>
        <w:rPr>
          <w:rFonts w:asciiTheme="majorBidi" w:eastAsia="Times New Roman" w:hAnsiTheme="majorBidi" w:cstheme="majorBidi"/>
          <w:color w:val="000000"/>
          <w:lang w:val="en"/>
        </w:rPr>
        <w:t>Burgess</w:t>
      </w:r>
      <w:r w:rsidR="00E8502C">
        <w:rPr>
          <w:rFonts w:asciiTheme="majorBidi" w:eastAsia="Times New Roman" w:hAnsiTheme="majorBidi" w:cstheme="majorBidi"/>
          <w:color w:val="000000"/>
          <w:lang w:val="en"/>
        </w:rPr>
        <w:t>,</w:t>
      </w:r>
      <w:r w:rsidR="00AD14CF">
        <w:rPr>
          <w:rFonts w:asciiTheme="majorBidi" w:eastAsia="Times New Roman" w:hAnsiTheme="majorBidi" w:cstheme="majorBidi"/>
          <w:color w:val="000000"/>
          <w:lang w:val="en"/>
        </w:rPr>
        <w:t xml:space="preserve"> P</w:t>
      </w:r>
      <w:r w:rsidR="00E8502C">
        <w:rPr>
          <w:rFonts w:asciiTheme="majorBidi" w:eastAsia="Times New Roman" w:hAnsiTheme="majorBidi" w:cstheme="majorBidi"/>
          <w:color w:val="000000"/>
          <w:lang w:val="en"/>
        </w:rPr>
        <w:t>.</w:t>
      </w:r>
      <w:r w:rsidR="00AD14CF">
        <w:rPr>
          <w:rFonts w:asciiTheme="majorBidi" w:eastAsia="Times New Roman" w:hAnsiTheme="majorBidi" w:cstheme="majorBidi"/>
          <w:color w:val="000000"/>
          <w:lang w:val="en"/>
        </w:rPr>
        <w:t>, Coo</w:t>
      </w:r>
      <w:r>
        <w:rPr>
          <w:rFonts w:asciiTheme="majorBidi" w:eastAsia="Times New Roman" w:hAnsiTheme="majorBidi" w:cstheme="majorBidi"/>
          <w:color w:val="000000"/>
          <w:lang w:val="en"/>
        </w:rPr>
        <w:t>mbs</w:t>
      </w:r>
      <w:r w:rsidR="00E8502C">
        <w:rPr>
          <w:rFonts w:asciiTheme="majorBidi" w:eastAsia="Times New Roman" w:hAnsiTheme="majorBidi" w:cstheme="majorBidi"/>
          <w:color w:val="000000"/>
          <w:lang w:val="en"/>
        </w:rPr>
        <w:t>,</w:t>
      </w:r>
      <w:r>
        <w:rPr>
          <w:rFonts w:asciiTheme="majorBidi" w:eastAsia="Times New Roman" w:hAnsiTheme="majorBidi" w:cstheme="majorBidi"/>
          <w:color w:val="000000"/>
          <w:lang w:val="en"/>
        </w:rPr>
        <w:t xml:space="preserve"> T</w:t>
      </w:r>
      <w:r w:rsidR="00E8502C">
        <w:rPr>
          <w:rFonts w:asciiTheme="majorBidi" w:eastAsia="Times New Roman" w:hAnsiTheme="majorBidi" w:cstheme="majorBidi"/>
          <w:color w:val="000000"/>
          <w:lang w:val="en"/>
        </w:rPr>
        <w:t>.</w:t>
      </w:r>
      <w:r>
        <w:rPr>
          <w:rFonts w:asciiTheme="majorBidi" w:eastAsia="Times New Roman" w:hAnsiTheme="majorBidi" w:cstheme="majorBidi"/>
          <w:color w:val="000000"/>
          <w:lang w:val="en"/>
        </w:rPr>
        <w:t>, Clarke</w:t>
      </w:r>
      <w:r w:rsidR="00E8502C">
        <w:rPr>
          <w:rFonts w:asciiTheme="majorBidi" w:eastAsia="Times New Roman" w:hAnsiTheme="majorBidi" w:cstheme="majorBidi"/>
          <w:color w:val="000000"/>
          <w:lang w:val="en"/>
        </w:rPr>
        <w:t>,</w:t>
      </w:r>
      <w:r>
        <w:rPr>
          <w:rFonts w:asciiTheme="majorBidi" w:eastAsia="Times New Roman" w:hAnsiTheme="majorBidi" w:cstheme="majorBidi"/>
          <w:color w:val="000000"/>
          <w:lang w:val="en"/>
        </w:rPr>
        <w:t xml:space="preserve"> A</w:t>
      </w:r>
      <w:r w:rsidR="00E8502C">
        <w:rPr>
          <w:rFonts w:asciiTheme="majorBidi" w:eastAsia="Times New Roman" w:hAnsiTheme="majorBidi" w:cstheme="majorBidi"/>
          <w:color w:val="000000"/>
          <w:lang w:val="en"/>
        </w:rPr>
        <w:t>.</w:t>
      </w:r>
      <w:r>
        <w:rPr>
          <w:rFonts w:asciiTheme="majorBidi" w:eastAsia="Times New Roman" w:hAnsiTheme="majorBidi" w:cstheme="majorBidi"/>
          <w:color w:val="000000"/>
          <w:lang w:val="en"/>
        </w:rPr>
        <w:t>, Dickson</w:t>
      </w:r>
      <w:r w:rsidR="00E8502C">
        <w:rPr>
          <w:rFonts w:asciiTheme="majorBidi" w:eastAsia="Times New Roman" w:hAnsiTheme="majorBidi" w:cstheme="majorBidi"/>
          <w:color w:val="000000"/>
          <w:lang w:val="en"/>
        </w:rPr>
        <w:t>,</w:t>
      </w:r>
      <w:r>
        <w:rPr>
          <w:rFonts w:asciiTheme="majorBidi" w:eastAsia="Times New Roman" w:hAnsiTheme="majorBidi" w:cstheme="majorBidi"/>
          <w:color w:val="000000"/>
          <w:lang w:val="en"/>
        </w:rPr>
        <w:t xml:space="preserve"> R</w:t>
      </w:r>
      <w:r w:rsidR="00E8502C">
        <w:rPr>
          <w:rFonts w:asciiTheme="majorBidi" w:eastAsia="Times New Roman" w:hAnsiTheme="majorBidi" w:cstheme="majorBidi"/>
          <w:color w:val="000000"/>
          <w:lang w:val="en"/>
        </w:rPr>
        <w:t>.</w:t>
      </w:r>
      <w:r>
        <w:rPr>
          <w:rFonts w:asciiTheme="majorBidi" w:eastAsia="Times New Roman" w:hAnsiTheme="majorBidi" w:cstheme="majorBidi"/>
          <w:color w:val="000000"/>
          <w:lang w:val="en"/>
        </w:rPr>
        <w:t xml:space="preserve">, </w:t>
      </w:r>
      <w:r w:rsidR="00E8502C">
        <w:rPr>
          <w:rFonts w:asciiTheme="majorBidi" w:eastAsia="Times New Roman" w:hAnsiTheme="majorBidi" w:cstheme="majorBidi"/>
          <w:color w:val="000000"/>
          <w:lang w:val="en"/>
        </w:rPr>
        <w:t>&amp;</w:t>
      </w:r>
      <w:r w:rsidR="00AD14CF">
        <w:rPr>
          <w:rFonts w:asciiTheme="majorBidi" w:eastAsia="Times New Roman" w:hAnsiTheme="majorBidi" w:cstheme="majorBidi"/>
          <w:color w:val="000000"/>
          <w:lang w:val="en"/>
        </w:rPr>
        <w:t xml:space="preserve"> Pirkis, J</w:t>
      </w:r>
      <w:r w:rsidR="00E8502C">
        <w:rPr>
          <w:rFonts w:asciiTheme="majorBidi" w:eastAsia="Times New Roman" w:hAnsiTheme="majorBidi" w:cstheme="majorBidi"/>
          <w:color w:val="000000"/>
          <w:lang w:val="en"/>
        </w:rPr>
        <w:t>.</w:t>
      </w:r>
      <w:r w:rsidR="00AD14CF">
        <w:rPr>
          <w:rFonts w:asciiTheme="majorBidi" w:eastAsia="Times New Roman" w:hAnsiTheme="majorBidi" w:cstheme="majorBidi"/>
          <w:color w:val="000000"/>
          <w:lang w:val="en"/>
        </w:rPr>
        <w:t xml:space="preserve"> (2012)</w:t>
      </w:r>
      <w:r w:rsidR="009829FC" w:rsidRPr="009829FC">
        <w:rPr>
          <w:rFonts w:asciiTheme="majorBidi" w:eastAsia="Times New Roman" w:hAnsiTheme="majorBidi" w:cstheme="majorBidi"/>
          <w:color w:val="000000"/>
          <w:lang w:val="en"/>
        </w:rPr>
        <w:t xml:space="preserve"> Achievements in mental health outcome measurement in Australia: Reflections on progress made by the Australian Mental Health Outcomes and Classification N</w:t>
      </w:r>
      <w:r w:rsidR="009829FC">
        <w:rPr>
          <w:rFonts w:asciiTheme="majorBidi" w:eastAsia="Times New Roman" w:hAnsiTheme="majorBidi" w:cstheme="majorBidi"/>
          <w:color w:val="000000"/>
          <w:lang w:val="en"/>
        </w:rPr>
        <w:t xml:space="preserve">etwork (AMHOCN). </w:t>
      </w:r>
      <w:r w:rsidR="009829FC" w:rsidRPr="009829FC">
        <w:rPr>
          <w:rFonts w:asciiTheme="majorBidi" w:eastAsia="Times New Roman" w:hAnsiTheme="majorBidi" w:cstheme="majorBidi"/>
          <w:i/>
          <w:color w:val="000000"/>
          <w:lang w:val="en"/>
        </w:rPr>
        <w:t>International Journal of Mental Health Systems, 6</w:t>
      </w:r>
      <w:r w:rsidR="009829FC" w:rsidRPr="009829FC">
        <w:rPr>
          <w:rFonts w:asciiTheme="majorBidi" w:eastAsia="Times New Roman" w:hAnsiTheme="majorBidi" w:cstheme="majorBidi"/>
          <w:color w:val="000000"/>
          <w:lang w:val="en"/>
        </w:rPr>
        <w:t>(1), 1.</w:t>
      </w:r>
    </w:p>
    <w:p w14:paraId="3BC92196" w14:textId="2E97AE65" w:rsidR="004542BE" w:rsidRDefault="003D47BD" w:rsidP="00E8502C">
      <w:pPr>
        <w:shd w:val="clear" w:color="auto" w:fill="FFFFFF"/>
        <w:spacing w:after="150" w:line="480" w:lineRule="auto"/>
        <w:ind w:left="720" w:hanging="720"/>
        <w:rPr>
          <w:rFonts w:asciiTheme="majorBidi" w:eastAsia="Times New Roman" w:hAnsiTheme="majorBidi" w:cstheme="majorBidi"/>
          <w:color w:val="000000"/>
          <w:lang w:val="en"/>
        </w:rPr>
      </w:pPr>
      <w:r>
        <w:rPr>
          <w:rFonts w:asciiTheme="majorBidi" w:eastAsia="Times New Roman" w:hAnsiTheme="majorBidi" w:cstheme="majorBidi"/>
          <w:color w:val="000000"/>
          <w:lang w:val="en"/>
        </w:rPr>
        <w:t>Burgess</w:t>
      </w:r>
      <w:r w:rsidR="00E8502C">
        <w:rPr>
          <w:rFonts w:asciiTheme="majorBidi" w:eastAsia="Times New Roman" w:hAnsiTheme="majorBidi" w:cstheme="majorBidi"/>
          <w:color w:val="000000"/>
          <w:lang w:val="en"/>
        </w:rPr>
        <w:t>,</w:t>
      </w:r>
      <w:r w:rsidR="004542BE" w:rsidRPr="004542BE">
        <w:rPr>
          <w:rFonts w:asciiTheme="majorBidi" w:eastAsia="Times New Roman" w:hAnsiTheme="majorBidi" w:cstheme="majorBidi"/>
          <w:color w:val="000000"/>
          <w:lang w:val="en"/>
        </w:rPr>
        <w:t xml:space="preserve"> </w:t>
      </w:r>
      <w:r w:rsidR="00AD14CF">
        <w:rPr>
          <w:rFonts w:asciiTheme="majorBidi" w:eastAsia="Times New Roman" w:hAnsiTheme="majorBidi" w:cstheme="majorBidi"/>
          <w:color w:val="000000"/>
          <w:lang w:val="en"/>
        </w:rPr>
        <w:t>P</w:t>
      </w:r>
      <w:r w:rsidR="00E8502C">
        <w:rPr>
          <w:rFonts w:asciiTheme="majorBidi" w:eastAsia="Times New Roman" w:hAnsiTheme="majorBidi" w:cstheme="majorBidi"/>
          <w:color w:val="000000"/>
          <w:lang w:val="en"/>
        </w:rPr>
        <w:t>.</w:t>
      </w:r>
      <w:r w:rsidR="004542BE">
        <w:rPr>
          <w:rFonts w:asciiTheme="majorBidi" w:eastAsia="Times New Roman" w:hAnsiTheme="majorBidi" w:cstheme="majorBidi"/>
          <w:color w:val="000000"/>
          <w:lang w:val="en"/>
        </w:rPr>
        <w:t xml:space="preserve">, </w:t>
      </w:r>
      <w:r>
        <w:rPr>
          <w:rFonts w:asciiTheme="majorBidi" w:eastAsia="Times New Roman" w:hAnsiTheme="majorBidi" w:cstheme="majorBidi"/>
          <w:color w:val="000000"/>
          <w:lang w:val="en"/>
        </w:rPr>
        <w:t>Pirkis</w:t>
      </w:r>
      <w:r w:rsidR="00E8502C">
        <w:rPr>
          <w:rFonts w:asciiTheme="majorBidi" w:eastAsia="Times New Roman" w:hAnsiTheme="majorBidi" w:cstheme="majorBidi"/>
          <w:color w:val="000000"/>
          <w:lang w:val="en"/>
        </w:rPr>
        <w:t>,</w:t>
      </w:r>
      <w:r w:rsidR="004542BE" w:rsidRPr="004542BE">
        <w:rPr>
          <w:rFonts w:asciiTheme="majorBidi" w:eastAsia="Times New Roman" w:hAnsiTheme="majorBidi" w:cstheme="majorBidi"/>
          <w:color w:val="000000"/>
          <w:lang w:val="en"/>
        </w:rPr>
        <w:t xml:space="preserve"> </w:t>
      </w:r>
      <w:r w:rsidR="00AD14CF">
        <w:rPr>
          <w:rFonts w:asciiTheme="majorBidi" w:eastAsia="Times New Roman" w:hAnsiTheme="majorBidi" w:cstheme="majorBidi"/>
          <w:color w:val="000000"/>
          <w:lang w:val="en"/>
        </w:rPr>
        <w:t>J</w:t>
      </w:r>
      <w:r w:rsidR="00E8502C">
        <w:rPr>
          <w:rFonts w:asciiTheme="majorBidi" w:eastAsia="Times New Roman" w:hAnsiTheme="majorBidi" w:cstheme="majorBidi"/>
          <w:color w:val="000000"/>
          <w:lang w:val="en"/>
        </w:rPr>
        <w:t>.</w:t>
      </w:r>
      <w:r w:rsidR="004542BE">
        <w:rPr>
          <w:rFonts w:asciiTheme="majorBidi" w:eastAsia="Times New Roman" w:hAnsiTheme="majorBidi" w:cstheme="majorBidi"/>
          <w:color w:val="000000"/>
          <w:lang w:val="en"/>
        </w:rPr>
        <w:t xml:space="preserve">, </w:t>
      </w:r>
      <w:r>
        <w:rPr>
          <w:rFonts w:asciiTheme="majorBidi" w:eastAsia="Times New Roman" w:hAnsiTheme="majorBidi" w:cstheme="majorBidi"/>
          <w:color w:val="000000"/>
          <w:lang w:val="en"/>
        </w:rPr>
        <w:t>Coombs</w:t>
      </w:r>
      <w:r w:rsidR="00E8502C">
        <w:rPr>
          <w:rFonts w:asciiTheme="majorBidi" w:eastAsia="Times New Roman" w:hAnsiTheme="majorBidi" w:cstheme="majorBidi"/>
          <w:color w:val="000000"/>
          <w:lang w:val="en"/>
        </w:rPr>
        <w:t>,</w:t>
      </w:r>
      <w:r>
        <w:rPr>
          <w:rFonts w:asciiTheme="majorBidi" w:eastAsia="Times New Roman" w:hAnsiTheme="majorBidi" w:cstheme="majorBidi"/>
          <w:color w:val="000000"/>
          <w:lang w:val="en"/>
        </w:rPr>
        <w:t xml:space="preserve"> </w:t>
      </w:r>
      <w:r w:rsidR="00AD14CF">
        <w:rPr>
          <w:rFonts w:asciiTheme="majorBidi" w:eastAsia="Times New Roman" w:hAnsiTheme="majorBidi" w:cstheme="majorBidi"/>
          <w:color w:val="000000"/>
          <w:lang w:val="en"/>
        </w:rPr>
        <w:t>T</w:t>
      </w:r>
      <w:r w:rsidR="00E8502C">
        <w:rPr>
          <w:rFonts w:asciiTheme="majorBidi" w:eastAsia="Times New Roman" w:hAnsiTheme="majorBidi" w:cstheme="majorBidi"/>
          <w:color w:val="000000"/>
          <w:lang w:val="en"/>
        </w:rPr>
        <w:t>.</w:t>
      </w:r>
      <w:r>
        <w:rPr>
          <w:rFonts w:asciiTheme="majorBidi" w:eastAsia="Times New Roman" w:hAnsiTheme="majorBidi" w:cstheme="majorBidi"/>
          <w:color w:val="000000"/>
          <w:lang w:val="en"/>
        </w:rPr>
        <w:t xml:space="preserve"> </w:t>
      </w:r>
      <w:r w:rsidR="00E8502C">
        <w:rPr>
          <w:rFonts w:asciiTheme="majorBidi" w:eastAsia="Times New Roman" w:hAnsiTheme="majorBidi" w:cstheme="majorBidi"/>
          <w:color w:val="000000"/>
          <w:lang w:val="en"/>
        </w:rPr>
        <w:t>&amp;</w:t>
      </w:r>
      <w:r w:rsidR="004542BE">
        <w:rPr>
          <w:rFonts w:asciiTheme="majorBidi" w:eastAsia="Times New Roman" w:hAnsiTheme="majorBidi" w:cstheme="majorBidi"/>
          <w:color w:val="000000"/>
          <w:lang w:val="en"/>
        </w:rPr>
        <w:t xml:space="preserve"> </w:t>
      </w:r>
      <w:r w:rsidR="004542BE" w:rsidRPr="004542BE">
        <w:rPr>
          <w:rFonts w:asciiTheme="majorBidi" w:eastAsia="Times New Roman" w:hAnsiTheme="majorBidi" w:cstheme="majorBidi"/>
          <w:color w:val="000000"/>
          <w:lang w:val="en"/>
        </w:rPr>
        <w:t>Rosen</w:t>
      </w:r>
      <w:r w:rsidR="00E8502C">
        <w:rPr>
          <w:rFonts w:asciiTheme="majorBidi" w:eastAsia="Times New Roman" w:hAnsiTheme="majorBidi" w:cstheme="majorBidi"/>
          <w:color w:val="000000"/>
          <w:lang w:val="en"/>
        </w:rPr>
        <w:t>,</w:t>
      </w:r>
      <w:r>
        <w:rPr>
          <w:rFonts w:asciiTheme="majorBidi" w:eastAsia="Times New Roman" w:hAnsiTheme="majorBidi" w:cstheme="majorBidi"/>
          <w:color w:val="000000"/>
          <w:lang w:val="en"/>
        </w:rPr>
        <w:t xml:space="preserve"> </w:t>
      </w:r>
      <w:r w:rsidR="00AD14CF">
        <w:rPr>
          <w:rFonts w:asciiTheme="majorBidi" w:eastAsia="Times New Roman" w:hAnsiTheme="majorBidi" w:cstheme="majorBidi"/>
          <w:color w:val="000000"/>
          <w:lang w:val="en"/>
        </w:rPr>
        <w:t>A</w:t>
      </w:r>
      <w:r w:rsidR="00E8502C">
        <w:rPr>
          <w:rFonts w:asciiTheme="majorBidi" w:eastAsia="Times New Roman" w:hAnsiTheme="majorBidi" w:cstheme="majorBidi"/>
          <w:color w:val="000000"/>
          <w:lang w:val="en"/>
        </w:rPr>
        <w:t>.</w:t>
      </w:r>
      <w:r w:rsidR="00AD14CF">
        <w:rPr>
          <w:rFonts w:asciiTheme="majorBidi" w:eastAsia="Times New Roman" w:hAnsiTheme="majorBidi" w:cstheme="majorBidi"/>
          <w:color w:val="000000"/>
          <w:lang w:val="en"/>
        </w:rPr>
        <w:t xml:space="preserve"> (2011)</w:t>
      </w:r>
      <w:r w:rsidR="004542BE">
        <w:rPr>
          <w:rFonts w:asciiTheme="majorBidi" w:eastAsia="Times New Roman" w:hAnsiTheme="majorBidi" w:cstheme="majorBidi"/>
          <w:color w:val="000000"/>
          <w:lang w:val="en"/>
        </w:rPr>
        <w:t xml:space="preserve"> Assessing the value of existing recovery measures for routine use in Australian mental health s</w:t>
      </w:r>
      <w:r w:rsidR="004542BE" w:rsidRPr="004542BE">
        <w:rPr>
          <w:rFonts w:asciiTheme="majorBidi" w:eastAsia="Times New Roman" w:hAnsiTheme="majorBidi" w:cstheme="majorBidi"/>
          <w:color w:val="000000"/>
          <w:lang w:val="en"/>
        </w:rPr>
        <w:t>ervices</w:t>
      </w:r>
      <w:r w:rsidR="004542BE">
        <w:rPr>
          <w:rFonts w:asciiTheme="majorBidi" w:eastAsia="Times New Roman" w:hAnsiTheme="majorBidi" w:cstheme="majorBidi"/>
          <w:color w:val="000000"/>
          <w:lang w:val="en"/>
        </w:rPr>
        <w:t xml:space="preserve">. </w:t>
      </w:r>
      <w:r w:rsidR="004542BE" w:rsidRPr="004542BE">
        <w:rPr>
          <w:rFonts w:asciiTheme="majorBidi" w:eastAsia="Times New Roman" w:hAnsiTheme="majorBidi" w:cstheme="majorBidi"/>
          <w:i/>
          <w:color w:val="000000"/>
          <w:lang w:val="en"/>
        </w:rPr>
        <w:t>Australian and New Zealand Journal of Psychiatry, 45</w:t>
      </w:r>
      <w:r w:rsidR="004542BE">
        <w:rPr>
          <w:rFonts w:asciiTheme="majorBidi" w:eastAsia="Times New Roman" w:hAnsiTheme="majorBidi" w:cstheme="majorBidi"/>
          <w:color w:val="000000"/>
          <w:lang w:val="en"/>
        </w:rPr>
        <w:t>(</w:t>
      </w:r>
      <w:r w:rsidR="004542BE" w:rsidRPr="004542BE">
        <w:rPr>
          <w:rFonts w:asciiTheme="majorBidi" w:eastAsia="Times New Roman" w:hAnsiTheme="majorBidi" w:cstheme="majorBidi"/>
          <w:color w:val="000000"/>
          <w:lang w:val="en"/>
        </w:rPr>
        <w:t>4</w:t>
      </w:r>
      <w:r w:rsidR="004542BE">
        <w:rPr>
          <w:rFonts w:asciiTheme="majorBidi" w:eastAsia="Times New Roman" w:hAnsiTheme="majorBidi" w:cstheme="majorBidi"/>
          <w:color w:val="000000"/>
          <w:lang w:val="en"/>
        </w:rPr>
        <w:t xml:space="preserve">), </w:t>
      </w:r>
      <w:r w:rsidR="004542BE" w:rsidRPr="004542BE">
        <w:rPr>
          <w:rFonts w:asciiTheme="majorBidi" w:eastAsia="Times New Roman" w:hAnsiTheme="majorBidi" w:cstheme="majorBidi"/>
          <w:color w:val="000000"/>
          <w:lang w:val="en"/>
        </w:rPr>
        <w:t>267-280.</w:t>
      </w:r>
    </w:p>
    <w:p w14:paraId="1843C893" w14:textId="3A618BCD" w:rsidR="00C03DEB" w:rsidRPr="00946C02" w:rsidRDefault="003D47BD" w:rsidP="00E8502C">
      <w:pPr>
        <w:shd w:val="clear" w:color="auto" w:fill="FFFFFF"/>
        <w:spacing w:after="150" w:line="480" w:lineRule="auto"/>
        <w:ind w:left="720" w:hanging="720"/>
        <w:rPr>
          <w:rFonts w:asciiTheme="majorBidi" w:eastAsia="Times New Roman" w:hAnsiTheme="majorBidi" w:cstheme="majorBidi"/>
          <w:color w:val="000000"/>
          <w:lang w:val="en-GB"/>
        </w:rPr>
      </w:pPr>
      <w:r>
        <w:rPr>
          <w:rFonts w:asciiTheme="majorBidi" w:eastAsia="Times New Roman" w:hAnsiTheme="majorBidi" w:cstheme="majorBidi"/>
          <w:color w:val="000000"/>
          <w:lang w:val="en"/>
        </w:rPr>
        <w:t>Clark</w:t>
      </w:r>
      <w:r w:rsidR="00E8502C">
        <w:rPr>
          <w:rFonts w:asciiTheme="majorBidi" w:eastAsia="Times New Roman" w:hAnsiTheme="majorBidi" w:cstheme="majorBidi"/>
          <w:color w:val="000000"/>
          <w:lang w:val="en"/>
        </w:rPr>
        <w:t>,</w:t>
      </w:r>
      <w:r>
        <w:rPr>
          <w:rFonts w:asciiTheme="majorBidi" w:eastAsia="Times New Roman" w:hAnsiTheme="majorBidi" w:cstheme="majorBidi"/>
          <w:color w:val="000000"/>
          <w:lang w:val="en"/>
        </w:rPr>
        <w:t xml:space="preserve"> L</w:t>
      </w:r>
      <w:r w:rsidR="00E8502C">
        <w:rPr>
          <w:rFonts w:asciiTheme="majorBidi" w:eastAsia="Times New Roman" w:hAnsiTheme="majorBidi" w:cstheme="majorBidi"/>
          <w:color w:val="000000"/>
          <w:lang w:val="en"/>
        </w:rPr>
        <w:t>.</w:t>
      </w:r>
      <w:r>
        <w:rPr>
          <w:rFonts w:asciiTheme="majorBidi" w:eastAsia="Times New Roman" w:hAnsiTheme="majorBidi" w:cstheme="majorBidi"/>
          <w:color w:val="000000"/>
          <w:lang w:val="en"/>
        </w:rPr>
        <w:t>A</w:t>
      </w:r>
      <w:r w:rsidR="00E8502C">
        <w:rPr>
          <w:rFonts w:asciiTheme="majorBidi" w:eastAsia="Times New Roman" w:hAnsiTheme="majorBidi" w:cstheme="majorBidi"/>
          <w:color w:val="000000"/>
          <w:lang w:val="en"/>
        </w:rPr>
        <w:t>.</w:t>
      </w:r>
      <w:r>
        <w:rPr>
          <w:rFonts w:asciiTheme="majorBidi" w:eastAsia="Times New Roman" w:hAnsiTheme="majorBidi" w:cstheme="majorBidi"/>
          <w:color w:val="000000"/>
          <w:lang w:val="en"/>
        </w:rPr>
        <w:t xml:space="preserve"> </w:t>
      </w:r>
      <w:r w:rsidR="00E8502C">
        <w:rPr>
          <w:rFonts w:asciiTheme="majorBidi" w:eastAsia="Times New Roman" w:hAnsiTheme="majorBidi" w:cstheme="majorBidi"/>
          <w:color w:val="000000"/>
          <w:lang w:val="en"/>
        </w:rPr>
        <w:t>&amp;</w:t>
      </w:r>
      <w:r>
        <w:rPr>
          <w:rFonts w:asciiTheme="majorBidi" w:eastAsia="Times New Roman" w:hAnsiTheme="majorBidi" w:cstheme="majorBidi"/>
          <w:color w:val="000000"/>
          <w:lang w:val="en"/>
        </w:rPr>
        <w:t xml:space="preserve"> Watson</w:t>
      </w:r>
      <w:r w:rsidR="00E8502C">
        <w:rPr>
          <w:rFonts w:asciiTheme="majorBidi" w:eastAsia="Times New Roman" w:hAnsiTheme="majorBidi" w:cstheme="majorBidi"/>
          <w:color w:val="000000"/>
          <w:lang w:val="en"/>
        </w:rPr>
        <w:t>,</w:t>
      </w:r>
      <w:r w:rsidR="00AD14CF">
        <w:rPr>
          <w:rFonts w:asciiTheme="majorBidi" w:eastAsia="Times New Roman" w:hAnsiTheme="majorBidi" w:cstheme="majorBidi"/>
          <w:color w:val="000000"/>
          <w:lang w:val="en"/>
        </w:rPr>
        <w:t xml:space="preserve"> D</w:t>
      </w:r>
      <w:r w:rsidR="00E8502C">
        <w:rPr>
          <w:rFonts w:asciiTheme="majorBidi" w:eastAsia="Times New Roman" w:hAnsiTheme="majorBidi" w:cstheme="majorBidi"/>
          <w:color w:val="000000"/>
          <w:lang w:val="en"/>
        </w:rPr>
        <w:t>.</w:t>
      </w:r>
      <w:r w:rsidR="00AD14CF">
        <w:rPr>
          <w:rFonts w:asciiTheme="majorBidi" w:eastAsia="Times New Roman" w:hAnsiTheme="majorBidi" w:cstheme="majorBidi"/>
          <w:color w:val="000000"/>
          <w:lang w:val="en"/>
        </w:rPr>
        <w:t xml:space="preserve"> (1995)</w:t>
      </w:r>
      <w:r w:rsidR="00C03DEB" w:rsidRPr="00592155">
        <w:rPr>
          <w:rFonts w:asciiTheme="majorBidi" w:eastAsia="Times New Roman" w:hAnsiTheme="majorBidi" w:cstheme="majorBidi"/>
          <w:color w:val="000000"/>
          <w:lang w:val="en"/>
        </w:rPr>
        <w:t xml:space="preserve"> Constructing validity: Basic issues in objective scale development. </w:t>
      </w:r>
      <w:r w:rsidR="00C03DEB" w:rsidRPr="00946C02">
        <w:rPr>
          <w:rFonts w:asciiTheme="majorBidi" w:eastAsia="Times New Roman" w:hAnsiTheme="majorBidi" w:cstheme="majorBidi"/>
          <w:i/>
          <w:iCs/>
          <w:color w:val="000000"/>
          <w:lang w:val="en-GB"/>
        </w:rPr>
        <w:t>Psychological Assessment</w:t>
      </w:r>
      <w:r w:rsidR="00C03DEB" w:rsidRPr="00946C02">
        <w:rPr>
          <w:rFonts w:asciiTheme="majorBidi" w:eastAsia="Times New Roman" w:hAnsiTheme="majorBidi" w:cstheme="majorBidi"/>
          <w:color w:val="000000"/>
          <w:lang w:val="en-GB"/>
        </w:rPr>
        <w:t xml:space="preserve">, </w:t>
      </w:r>
      <w:r w:rsidR="00C03DEB" w:rsidRPr="00946C02">
        <w:rPr>
          <w:rFonts w:asciiTheme="majorBidi" w:eastAsia="Times New Roman" w:hAnsiTheme="majorBidi" w:cstheme="majorBidi"/>
          <w:i/>
          <w:iCs/>
          <w:color w:val="000000"/>
          <w:lang w:val="en-GB"/>
        </w:rPr>
        <w:t>7</w:t>
      </w:r>
      <w:r w:rsidR="00C03DEB" w:rsidRPr="00946C02">
        <w:rPr>
          <w:rFonts w:asciiTheme="majorBidi" w:eastAsia="Times New Roman" w:hAnsiTheme="majorBidi" w:cstheme="majorBidi"/>
          <w:color w:val="000000"/>
          <w:lang w:val="en-GB"/>
        </w:rPr>
        <w:t>(3), 309-319. http://dx.doi.org/10.1037/1040-3590.7.3.309</w:t>
      </w:r>
    </w:p>
    <w:p w14:paraId="70BAC737" w14:textId="7FF9454D" w:rsidR="00C03DEB" w:rsidRPr="00592155" w:rsidRDefault="003D47BD" w:rsidP="00C03DEB">
      <w:pPr>
        <w:shd w:val="clear" w:color="auto" w:fill="FFFFFF"/>
        <w:spacing w:after="150" w:line="480" w:lineRule="auto"/>
        <w:ind w:left="720" w:hanging="720"/>
        <w:rPr>
          <w:rFonts w:asciiTheme="majorBidi" w:eastAsia="Times New Roman" w:hAnsiTheme="majorBidi" w:cstheme="majorBidi"/>
          <w:color w:val="000000"/>
          <w:lang w:val="en"/>
        </w:rPr>
      </w:pPr>
      <w:r>
        <w:rPr>
          <w:rFonts w:asciiTheme="majorBidi" w:eastAsia="Times New Roman" w:hAnsiTheme="majorBidi" w:cstheme="majorBidi"/>
          <w:color w:val="000000"/>
          <w:lang w:val="en"/>
        </w:rPr>
        <w:t>Cronbach</w:t>
      </w:r>
      <w:r w:rsidR="00E8502C">
        <w:rPr>
          <w:rFonts w:asciiTheme="majorBidi" w:eastAsia="Times New Roman" w:hAnsiTheme="majorBidi" w:cstheme="majorBidi"/>
          <w:color w:val="000000"/>
          <w:lang w:val="en"/>
        </w:rPr>
        <w:t>,</w:t>
      </w:r>
      <w:r w:rsidR="00AD14CF">
        <w:rPr>
          <w:rFonts w:asciiTheme="majorBidi" w:eastAsia="Times New Roman" w:hAnsiTheme="majorBidi" w:cstheme="majorBidi"/>
          <w:color w:val="000000"/>
          <w:lang w:val="en"/>
        </w:rPr>
        <w:t xml:space="preserve"> L</w:t>
      </w:r>
      <w:r w:rsidR="00E8502C">
        <w:rPr>
          <w:rFonts w:asciiTheme="majorBidi" w:eastAsia="Times New Roman" w:hAnsiTheme="majorBidi" w:cstheme="majorBidi"/>
          <w:color w:val="000000"/>
          <w:lang w:val="en"/>
        </w:rPr>
        <w:t>.</w:t>
      </w:r>
      <w:r w:rsidR="00AD14CF">
        <w:rPr>
          <w:rFonts w:asciiTheme="majorBidi" w:eastAsia="Times New Roman" w:hAnsiTheme="majorBidi" w:cstheme="majorBidi"/>
          <w:color w:val="000000"/>
          <w:lang w:val="en"/>
        </w:rPr>
        <w:t xml:space="preserve"> (1951)</w:t>
      </w:r>
      <w:r w:rsidR="00C03DEB" w:rsidRPr="00592155">
        <w:rPr>
          <w:rFonts w:asciiTheme="majorBidi" w:eastAsia="Times New Roman" w:hAnsiTheme="majorBidi" w:cstheme="majorBidi"/>
          <w:color w:val="000000"/>
          <w:lang w:val="en"/>
        </w:rPr>
        <w:t xml:space="preserve"> Coefficient alpha and the internal structure of tests. </w:t>
      </w:r>
      <w:r w:rsidR="00C03DEB" w:rsidRPr="00592155">
        <w:rPr>
          <w:rFonts w:asciiTheme="majorBidi" w:eastAsia="Times New Roman" w:hAnsiTheme="majorBidi" w:cstheme="majorBidi"/>
          <w:i/>
          <w:iCs/>
          <w:color w:val="000000"/>
          <w:lang w:val="en"/>
        </w:rPr>
        <w:t>Psychometrika</w:t>
      </w:r>
      <w:r w:rsidR="00C03DEB" w:rsidRPr="00592155">
        <w:rPr>
          <w:rFonts w:asciiTheme="majorBidi" w:eastAsia="Times New Roman" w:hAnsiTheme="majorBidi" w:cstheme="majorBidi"/>
          <w:color w:val="000000"/>
          <w:lang w:val="en"/>
        </w:rPr>
        <w:t xml:space="preserve">, </w:t>
      </w:r>
      <w:r w:rsidR="00C03DEB" w:rsidRPr="00592155">
        <w:rPr>
          <w:rFonts w:asciiTheme="majorBidi" w:eastAsia="Times New Roman" w:hAnsiTheme="majorBidi" w:cstheme="majorBidi"/>
          <w:i/>
          <w:iCs/>
          <w:color w:val="000000"/>
          <w:lang w:val="en"/>
        </w:rPr>
        <w:t>16</w:t>
      </w:r>
      <w:r w:rsidR="00C03DEB" w:rsidRPr="00592155">
        <w:rPr>
          <w:rFonts w:asciiTheme="majorBidi" w:eastAsia="Times New Roman" w:hAnsiTheme="majorBidi" w:cstheme="majorBidi"/>
          <w:color w:val="000000"/>
          <w:lang w:val="en"/>
        </w:rPr>
        <w:t>(3), 297-334. http://dx.doi.org/10.1007/bf02310555</w:t>
      </w:r>
    </w:p>
    <w:p w14:paraId="487978B3" w14:textId="56F1EC7C" w:rsidR="00C03DEB" w:rsidRDefault="003D47BD" w:rsidP="00E8502C">
      <w:pPr>
        <w:shd w:val="clear" w:color="auto" w:fill="FFFFFF"/>
        <w:spacing w:after="150" w:line="480" w:lineRule="auto"/>
        <w:ind w:left="720" w:hanging="720"/>
        <w:rPr>
          <w:rFonts w:asciiTheme="majorBidi" w:eastAsia="Times New Roman" w:hAnsiTheme="majorBidi" w:cstheme="majorBidi"/>
          <w:color w:val="000000"/>
          <w:lang w:val="en"/>
        </w:rPr>
      </w:pPr>
      <w:r>
        <w:rPr>
          <w:rFonts w:asciiTheme="majorBidi" w:eastAsia="Times New Roman" w:hAnsiTheme="majorBidi" w:cstheme="majorBidi"/>
          <w:color w:val="000000"/>
          <w:lang w:val="en"/>
        </w:rPr>
        <w:lastRenderedPageBreak/>
        <w:t>Dawson</w:t>
      </w:r>
      <w:r w:rsidR="00E8502C">
        <w:rPr>
          <w:rFonts w:asciiTheme="majorBidi" w:eastAsia="Times New Roman" w:hAnsiTheme="majorBidi" w:cstheme="majorBidi"/>
          <w:color w:val="000000"/>
          <w:lang w:val="en"/>
        </w:rPr>
        <w:t>,</w:t>
      </w:r>
      <w:r>
        <w:rPr>
          <w:rFonts w:asciiTheme="majorBidi" w:eastAsia="Times New Roman" w:hAnsiTheme="majorBidi" w:cstheme="majorBidi"/>
          <w:color w:val="000000"/>
          <w:lang w:val="en"/>
        </w:rPr>
        <w:t xml:space="preserve"> J</w:t>
      </w:r>
      <w:r w:rsidR="00E8502C">
        <w:rPr>
          <w:rFonts w:asciiTheme="majorBidi" w:eastAsia="Times New Roman" w:hAnsiTheme="majorBidi" w:cstheme="majorBidi"/>
          <w:color w:val="000000"/>
          <w:lang w:val="en"/>
        </w:rPr>
        <w:t>.</w:t>
      </w:r>
      <w:r>
        <w:rPr>
          <w:rFonts w:asciiTheme="majorBidi" w:eastAsia="Times New Roman" w:hAnsiTheme="majorBidi" w:cstheme="majorBidi"/>
          <w:color w:val="000000"/>
          <w:lang w:val="en"/>
        </w:rPr>
        <w:t>, Doll</w:t>
      </w:r>
      <w:r w:rsidR="00E8502C">
        <w:rPr>
          <w:rFonts w:asciiTheme="majorBidi" w:eastAsia="Times New Roman" w:hAnsiTheme="majorBidi" w:cstheme="majorBidi"/>
          <w:color w:val="000000"/>
          <w:lang w:val="en"/>
        </w:rPr>
        <w:t>,</w:t>
      </w:r>
      <w:r>
        <w:rPr>
          <w:rFonts w:asciiTheme="majorBidi" w:eastAsia="Times New Roman" w:hAnsiTheme="majorBidi" w:cstheme="majorBidi"/>
          <w:color w:val="000000"/>
          <w:lang w:val="en"/>
        </w:rPr>
        <w:t xml:space="preserve"> H</w:t>
      </w:r>
      <w:r w:rsidR="00E8502C">
        <w:rPr>
          <w:rFonts w:asciiTheme="majorBidi" w:eastAsia="Times New Roman" w:hAnsiTheme="majorBidi" w:cstheme="majorBidi"/>
          <w:color w:val="000000"/>
          <w:lang w:val="en"/>
        </w:rPr>
        <w:t>.</w:t>
      </w:r>
      <w:r>
        <w:rPr>
          <w:rFonts w:asciiTheme="majorBidi" w:eastAsia="Times New Roman" w:hAnsiTheme="majorBidi" w:cstheme="majorBidi"/>
          <w:color w:val="000000"/>
          <w:lang w:val="en"/>
        </w:rPr>
        <w:t>, Fitzpatrick</w:t>
      </w:r>
      <w:r w:rsidR="00E8502C">
        <w:rPr>
          <w:rFonts w:asciiTheme="majorBidi" w:eastAsia="Times New Roman" w:hAnsiTheme="majorBidi" w:cstheme="majorBidi"/>
          <w:color w:val="000000"/>
          <w:lang w:val="en"/>
        </w:rPr>
        <w:t>,</w:t>
      </w:r>
      <w:r>
        <w:rPr>
          <w:rFonts w:asciiTheme="majorBidi" w:eastAsia="Times New Roman" w:hAnsiTheme="majorBidi" w:cstheme="majorBidi"/>
          <w:color w:val="000000"/>
          <w:lang w:val="en"/>
        </w:rPr>
        <w:t xml:space="preserve"> R</w:t>
      </w:r>
      <w:r w:rsidR="00E8502C">
        <w:rPr>
          <w:rFonts w:asciiTheme="majorBidi" w:eastAsia="Times New Roman" w:hAnsiTheme="majorBidi" w:cstheme="majorBidi"/>
          <w:color w:val="000000"/>
          <w:lang w:val="en"/>
        </w:rPr>
        <w:t>.</w:t>
      </w:r>
      <w:r>
        <w:rPr>
          <w:rFonts w:asciiTheme="majorBidi" w:eastAsia="Times New Roman" w:hAnsiTheme="majorBidi" w:cstheme="majorBidi"/>
          <w:color w:val="000000"/>
          <w:lang w:val="en"/>
        </w:rPr>
        <w:t>, Jenkinson</w:t>
      </w:r>
      <w:r w:rsidR="00E8502C">
        <w:rPr>
          <w:rFonts w:asciiTheme="majorBidi" w:eastAsia="Times New Roman" w:hAnsiTheme="majorBidi" w:cstheme="majorBidi"/>
          <w:color w:val="000000"/>
          <w:lang w:val="en"/>
        </w:rPr>
        <w:t>,</w:t>
      </w:r>
      <w:r w:rsidR="00AD14CF">
        <w:rPr>
          <w:rFonts w:asciiTheme="majorBidi" w:eastAsia="Times New Roman" w:hAnsiTheme="majorBidi" w:cstheme="majorBidi"/>
          <w:color w:val="000000"/>
          <w:lang w:val="en"/>
        </w:rPr>
        <w:t xml:space="preserve"> C</w:t>
      </w:r>
      <w:r w:rsidR="00E8502C">
        <w:rPr>
          <w:rFonts w:asciiTheme="majorBidi" w:eastAsia="Times New Roman" w:hAnsiTheme="majorBidi" w:cstheme="majorBidi"/>
          <w:color w:val="000000"/>
          <w:lang w:val="en"/>
        </w:rPr>
        <w:t>. &amp;</w:t>
      </w:r>
      <w:r>
        <w:rPr>
          <w:rFonts w:asciiTheme="majorBidi" w:eastAsia="Times New Roman" w:hAnsiTheme="majorBidi" w:cstheme="majorBidi"/>
          <w:color w:val="000000"/>
          <w:lang w:val="en"/>
        </w:rPr>
        <w:t xml:space="preserve"> Carr</w:t>
      </w:r>
      <w:r w:rsidR="00E8502C">
        <w:rPr>
          <w:rFonts w:asciiTheme="majorBidi" w:eastAsia="Times New Roman" w:hAnsiTheme="majorBidi" w:cstheme="majorBidi"/>
          <w:color w:val="000000"/>
          <w:lang w:val="en"/>
        </w:rPr>
        <w:t>,</w:t>
      </w:r>
      <w:r>
        <w:rPr>
          <w:rFonts w:asciiTheme="majorBidi" w:eastAsia="Times New Roman" w:hAnsiTheme="majorBidi" w:cstheme="majorBidi"/>
          <w:color w:val="000000"/>
          <w:lang w:val="en"/>
        </w:rPr>
        <w:t xml:space="preserve"> A</w:t>
      </w:r>
      <w:r w:rsidR="00E8502C">
        <w:rPr>
          <w:rFonts w:asciiTheme="majorBidi" w:eastAsia="Times New Roman" w:hAnsiTheme="majorBidi" w:cstheme="majorBidi"/>
          <w:color w:val="000000"/>
          <w:lang w:val="en"/>
        </w:rPr>
        <w:t>.</w:t>
      </w:r>
      <w:r>
        <w:rPr>
          <w:rFonts w:asciiTheme="majorBidi" w:eastAsia="Times New Roman" w:hAnsiTheme="majorBidi" w:cstheme="majorBidi"/>
          <w:color w:val="000000"/>
          <w:lang w:val="en"/>
        </w:rPr>
        <w:t>J</w:t>
      </w:r>
      <w:r w:rsidR="00E8502C">
        <w:rPr>
          <w:rFonts w:asciiTheme="majorBidi" w:eastAsia="Times New Roman" w:hAnsiTheme="majorBidi" w:cstheme="majorBidi"/>
          <w:color w:val="000000"/>
          <w:lang w:val="en"/>
        </w:rPr>
        <w:t>.</w:t>
      </w:r>
      <w:r>
        <w:rPr>
          <w:rFonts w:asciiTheme="majorBidi" w:eastAsia="Times New Roman" w:hAnsiTheme="majorBidi" w:cstheme="majorBidi"/>
          <w:color w:val="000000"/>
          <w:lang w:val="en"/>
        </w:rPr>
        <w:t xml:space="preserve"> (2010)</w:t>
      </w:r>
      <w:r w:rsidR="00C03DEB" w:rsidRPr="00592155">
        <w:rPr>
          <w:rFonts w:asciiTheme="majorBidi" w:eastAsia="Times New Roman" w:hAnsiTheme="majorBidi" w:cstheme="majorBidi"/>
          <w:color w:val="000000"/>
          <w:lang w:val="en"/>
        </w:rPr>
        <w:t xml:space="preserve">  The routine use of patient reported outcome measures in healthcare settings. </w:t>
      </w:r>
      <w:r w:rsidR="00C03DEB" w:rsidRPr="00592155">
        <w:rPr>
          <w:rFonts w:asciiTheme="majorBidi" w:eastAsia="Times New Roman" w:hAnsiTheme="majorBidi" w:cstheme="majorBidi"/>
          <w:i/>
          <w:iCs/>
          <w:color w:val="000000"/>
          <w:lang w:val="en"/>
        </w:rPr>
        <w:t>B</w:t>
      </w:r>
      <w:r w:rsidR="00E8502C">
        <w:rPr>
          <w:rFonts w:asciiTheme="majorBidi" w:eastAsia="Times New Roman" w:hAnsiTheme="majorBidi" w:cstheme="majorBidi"/>
          <w:i/>
          <w:iCs/>
          <w:color w:val="000000"/>
          <w:lang w:val="en"/>
        </w:rPr>
        <w:t>ritish Medical Journal</w:t>
      </w:r>
      <w:r w:rsidR="00C03DEB" w:rsidRPr="00592155">
        <w:rPr>
          <w:rFonts w:asciiTheme="majorBidi" w:eastAsia="Times New Roman" w:hAnsiTheme="majorBidi" w:cstheme="majorBidi"/>
          <w:color w:val="000000"/>
          <w:lang w:val="en"/>
        </w:rPr>
        <w:t xml:space="preserve">, </w:t>
      </w:r>
      <w:r w:rsidR="00C03DEB" w:rsidRPr="00592155">
        <w:rPr>
          <w:rFonts w:asciiTheme="majorBidi" w:eastAsia="Times New Roman" w:hAnsiTheme="majorBidi" w:cstheme="majorBidi"/>
          <w:i/>
          <w:iCs/>
          <w:color w:val="000000"/>
          <w:lang w:val="en"/>
        </w:rPr>
        <w:t>340</w:t>
      </w:r>
      <w:r w:rsidR="00C03DEB" w:rsidRPr="00592155">
        <w:rPr>
          <w:rFonts w:asciiTheme="majorBidi" w:eastAsia="Times New Roman" w:hAnsiTheme="majorBidi" w:cstheme="majorBidi"/>
          <w:color w:val="000000"/>
          <w:lang w:val="en"/>
        </w:rPr>
        <w:t xml:space="preserve">, c186. </w:t>
      </w:r>
      <w:r w:rsidR="00C03DEB" w:rsidRPr="008A5EF4">
        <w:rPr>
          <w:rFonts w:asciiTheme="majorBidi" w:eastAsia="Times New Roman" w:hAnsiTheme="majorBidi" w:cstheme="majorBidi"/>
          <w:color w:val="000000"/>
          <w:lang w:val="en"/>
        </w:rPr>
        <w:t>http://dx.doi.org/10.1136/bmj.c186</w:t>
      </w:r>
    </w:p>
    <w:p w14:paraId="77183E45" w14:textId="3ACF9CE2" w:rsidR="00C03DEB" w:rsidRPr="00592155" w:rsidRDefault="003D47BD" w:rsidP="00C03DEB">
      <w:pPr>
        <w:spacing w:line="480" w:lineRule="auto"/>
        <w:ind w:left="720" w:hanging="720"/>
        <w:rPr>
          <w:rFonts w:asciiTheme="majorBidi" w:eastAsia="Times New Roman" w:hAnsiTheme="majorBidi" w:cstheme="majorBidi"/>
          <w:color w:val="000000"/>
          <w:lang w:val="en"/>
        </w:rPr>
      </w:pPr>
      <w:r>
        <w:rPr>
          <w:rFonts w:asciiTheme="majorBidi" w:hAnsiTheme="majorBidi" w:cstheme="majorBidi"/>
        </w:rPr>
        <w:t>Department of Health (2014)</w:t>
      </w:r>
      <w:r w:rsidR="00C03DEB" w:rsidRPr="00592155">
        <w:rPr>
          <w:rFonts w:asciiTheme="majorBidi" w:hAnsiTheme="majorBidi" w:cstheme="majorBidi"/>
        </w:rPr>
        <w:t xml:space="preserve"> </w:t>
      </w:r>
      <w:r w:rsidR="00C03DEB" w:rsidRPr="00592155">
        <w:rPr>
          <w:rFonts w:asciiTheme="majorBidi" w:hAnsiTheme="majorBidi" w:cstheme="majorBidi"/>
          <w:i/>
          <w:iCs/>
        </w:rPr>
        <w:t>Closing the gap: priorities for essential change in mental health</w:t>
      </w:r>
      <w:r w:rsidR="00C03DEB" w:rsidRPr="00592155">
        <w:rPr>
          <w:rFonts w:asciiTheme="majorBidi" w:hAnsiTheme="majorBidi" w:cstheme="majorBidi"/>
        </w:rPr>
        <w:t xml:space="preserve">.  Retrieved from </w:t>
      </w:r>
      <w:r w:rsidR="00C03DEB" w:rsidRPr="00592155">
        <w:rPr>
          <w:rFonts w:asciiTheme="majorBidi" w:eastAsia="Times New Roman" w:hAnsiTheme="majorBidi" w:cstheme="majorBidi"/>
          <w:color w:val="000000"/>
          <w:lang w:val="en"/>
        </w:rPr>
        <w:t>https://www.gov.uk/government/uploads/system/uploads/attachment_data/file/281250/Closing_the_gap_V2_-_17_Feb_2014.pdf</w:t>
      </w:r>
    </w:p>
    <w:p w14:paraId="6E8EB92E" w14:textId="6F0703E7" w:rsidR="00B4764D" w:rsidRDefault="00B4764D" w:rsidP="00C83066">
      <w:pPr>
        <w:shd w:val="clear" w:color="auto" w:fill="FFFFFF"/>
        <w:spacing w:after="150" w:line="480" w:lineRule="auto"/>
        <w:ind w:left="720" w:hanging="720"/>
        <w:rPr>
          <w:rFonts w:asciiTheme="majorBidi" w:eastAsia="Times New Roman" w:hAnsiTheme="majorBidi" w:cstheme="majorBidi"/>
          <w:color w:val="000000"/>
          <w:lang w:val="en"/>
        </w:rPr>
      </w:pPr>
      <w:r w:rsidRPr="00B4764D">
        <w:rPr>
          <w:rFonts w:asciiTheme="majorBidi" w:eastAsia="Times New Roman" w:hAnsiTheme="majorBidi" w:cstheme="majorBidi"/>
          <w:color w:val="000000"/>
          <w:lang w:val="en"/>
        </w:rPr>
        <w:t>D</w:t>
      </w:r>
      <w:r>
        <w:rPr>
          <w:rFonts w:asciiTheme="majorBidi" w:eastAsia="Times New Roman" w:hAnsiTheme="majorBidi" w:cstheme="majorBidi"/>
          <w:color w:val="000000"/>
          <w:lang w:val="en"/>
        </w:rPr>
        <w:t>uncan</w:t>
      </w:r>
      <w:r w:rsidRPr="00B4764D">
        <w:rPr>
          <w:rFonts w:asciiTheme="majorBidi" w:eastAsia="Times New Roman" w:hAnsiTheme="majorBidi" w:cstheme="majorBidi"/>
          <w:color w:val="000000"/>
          <w:lang w:val="en"/>
        </w:rPr>
        <w:t>, E. &amp; M</w:t>
      </w:r>
      <w:r>
        <w:rPr>
          <w:rFonts w:asciiTheme="majorBidi" w:eastAsia="Times New Roman" w:hAnsiTheme="majorBidi" w:cstheme="majorBidi"/>
          <w:color w:val="000000"/>
          <w:lang w:val="en"/>
        </w:rPr>
        <w:t>urray</w:t>
      </w:r>
      <w:r w:rsidRPr="00B4764D">
        <w:rPr>
          <w:rFonts w:asciiTheme="majorBidi" w:eastAsia="Times New Roman" w:hAnsiTheme="majorBidi" w:cstheme="majorBidi"/>
          <w:color w:val="000000"/>
          <w:lang w:val="en"/>
        </w:rPr>
        <w:t xml:space="preserve">, J. </w:t>
      </w:r>
      <w:r>
        <w:rPr>
          <w:rFonts w:asciiTheme="majorBidi" w:eastAsia="Times New Roman" w:hAnsiTheme="majorBidi" w:cstheme="majorBidi"/>
          <w:color w:val="000000"/>
          <w:lang w:val="en"/>
        </w:rPr>
        <w:t>(</w:t>
      </w:r>
      <w:r w:rsidRPr="00B4764D">
        <w:rPr>
          <w:rFonts w:asciiTheme="majorBidi" w:eastAsia="Times New Roman" w:hAnsiTheme="majorBidi" w:cstheme="majorBidi"/>
          <w:color w:val="000000"/>
          <w:lang w:val="en"/>
        </w:rPr>
        <w:t>2012</w:t>
      </w:r>
      <w:r>
        <w:rPr>
          <w:rFonts w:asciiTheme="majorBidi" w:eastAsia="Times New Roman" w:hAnsiTheme="majorBidi" w:cstheme="majorBidi"/>
          <w:color w:val="000000"/>
          <w:lang w:val="en"/>
        </w:rPr>
        <w:t>)</w:t>
      </w:r>
      <w:r w:rsidRPr="00B4764D">
        <w:rPr>
          <w:rFonts w:asciiTheme="majorBidi" w:eastAsia="Times New Roman" w:hAnsiTheme="majorBidi" w:cstheme="majorBidi"/>
          <w:color w:val="000000"/>
          <w:lang w:val="en"/>
        </w:rPr>
        <w:t xml:space="preserve"> The barriers and facilitators to routine outcome measurement by allied hea</w:t>
      </w:r>
      <w:r>
        <w:rPr>
          <w:rFonts w:asciiTheme="majorBidi" w:eastAsia="Times New Roman" w:hAnsiTheme="majorBidi" w:cstheme="majorBidi"/>
          <w:color w:val="000000"/>
          <w:lang w:val="en"/>
        </w:rPr>
        <w:t>lth professionals in practice: A</w:t>
      </w:r>
      <w:r w:rsidRPr="00B4764D">
        <w:rPr>
          <w:rFonts w:asciiTheme="majorBidi" w:eastAsia="Times New Roman" w:hAnsiTheme="majorBidi" w:cstheme="majorBidi"/>
          <w:color w:val="000000"/>
          <w:lang w:val="en"/>
        </w:rPr>
        <w:t xml:space="preserve"> systematic review. </w:t>
      </w:r>
      <w:r w:rsidRPr="005658D1">
        <w:rPr>
          <w:rFonts w:asciiTheme="majorBidi" w:eastAsia="Times New Roman" w:hAnsiTheme="majorBidi" w:cstheme="majorBidi"/>
          <w:i/>
          <w:color w:val="000000"/>
          <w:lang w:val="en"/>
        </w:rPr>
        <w:t>BMC Health Services Research, 12,</w:t>
      </w:r>
      <w:r w:rsidR="005658D1">
        <w:rPr>
          <w:rFonts w:asciiTheme="majorBidi" w:eastAsia="Times New Roman" w:hAnsiTheme="majorBidi" w:cstheme="majorBidi"/>
          <w:color w:val="000000"/>
          <w:lang w:val="en"/>
        </w:rPr>
        <w:t xml:space="preserve"> 1-9.</w:t>
      </w:r>
    </w:p>
    <w:p w14:paraId="09E234A2" w14:textId="21681095" w:rsidR="00AA4F24" w:rsidRDefault="00AA4F24" w:rsidP="00E8502C">
      <w:pPr>
        <w:spacing w:line="480" w:lineRule="auto"/>
        <w:ind w:left="720" w:hanging="720"/>
        <w:rPr>
          <w:rFonts w:asciiTheme="majorBidi" w:eastAsia="Times New Roman" w:hAnsiTheme="majorBidi" w:cstheme="majorBidi"/>
          <w:color w:val="000000"/>
          <w:lang w:val="en"/>
        </w:rPr>
      </w:pPr>
      <w:r w:rsidRPr="00AA4F24">
        <w:rPr>
          <w:rFonts w:asciiTheme="majorBidi" w:eastAsia="Times New Roman" w:hAnsiTheme="majorBidi" w:cstheme="majorBidi"/>
          <w:color w:val="000000"/>
          <w:lang w:val="en"/>
        </w:rPr>
        <w:t xml:space="preserve">Furr, M. (2011). </w:t>
      </w:r>
      <w:r w:rsidRPr="0020742D">
        <w:rPr>
          <w:rFonts w:asciiTheme="majorBidi" w:eastAsia="Times New Roman" w:hAnsiTheme="majorBidi" w:cstheme="majorBidi"/>
          <w:i/>
          <w:color w:val="000000"/>
          <w:lang w:val="en"/>
        </w:rPr>
        <w:t>Scale construction and psychometrics for social and personality psychology.</w:t>
      </w:r>
      <w:r w:rsidRPr="00AA4F24">
        <w:rPr>
          <w:rFonts w:asciiTheme="majorBidi" w:eastAsia="Times New Roman" w:hAnsiTheme="majorBidi" w:cstheme="majorBidi"/>
          <w:color w:val="000000"/>
          <w:lang w:val="en"/>
        </w:rPr>
        <w:t xml:space="preserve"> </w:t>
      </w:r>
      <w:r w:rsidR="00C83066">
        <w:rPr>
          <w:rFonts w:asciiTheme="majorBidi" w:eastAsia="Times New Roman" w:hAnsiTheme="majorBidi" w:cstheme="majorBidi"/>
          <w:color w:val="000000"/>
          <w:lang w:val="en"/>
        </w:rPr>
        <w:t xml:space="preserve">London: </w:t>
      </w:r>
      <w:r w:rsidRPr="00AA4F24">
        <w:rPr>
          <w:rFonts w:asciiTheme="majorBidi" w:eastAsia="Times New Roman" w:hAnsiTheme="majorBidi" w:cstheme="majorBidi"/>
          <w:color w:val="000000"/>
          <w:lang w:val="en"/>
        </w:rPr>
        <w:t>SAGE.</w:t>
      </w:r>
    </w:p>
    <w:p w14:paraId="750D839E" w14:textId="4609EBF7" w:rsidR="009B2058" w:rsidRPr="00592155" w:rsidRDefault="009B2058" w:rsidP="00E8502C">
      <w:pPr>
        <w:spacing w:line="480" w:lineRule="auto"/>
        <w:ind w:left="720" w:hanging="720"/>
        <w:rPr>
          <w:rFonts w:asciiTheme="majorBidi" w:eastAsia="Times New Roman" w:hAnsiTheme="majorBidi" w:cstheme="majorBidi"/>
          <w:color w:val="000000"/>
          <w:lang w:val="en"/>
        </w:rPr>
      </w:pPr>
      <w:r w:rsidRPr="009B2058">
        <w:rPr>
          <w:rFonts w:asciiTheme="majorBidi" w:eastAsia="Times New Roman" w:hAnsiTheme="majorBidi" w:cstheme="majorBidi"/>
          <w:color w:val="000000"/>
          <w:lang w:val="en"/>
        </w:rPr>
        <w:t>Giffort</w:t>
      </w:r>
      <w:r w:rsidR="00E8502C">
        <w:rPr>
          <w:rFonts w:asciiTheme="majorBidi" w:eastAsia="Times New Roman" w:hAnsiTheme="majorBidi" w:cstheme="majorBidi"/>
          <w:color w:val="000000"/>
          <w:lang w:val="en"/>
        </w:rPr>
        <w:t>,</w:t>
      </w:r>
      <w:r w:rsidRPr="009B2058">
        <w:rPr>
          <w:rFonts w:asciiTheme="majorBidi" w:eastAsia="Times New Roman" w:hAnsiTheme="majorBidi" w:cstheme="majorBidi"/>
          <w:color w:val="000000"/>
          <w:lang w:val="en"/>
        </w:rPr>
        <w:t xml:space="preserve"> D</w:t>
      </w:r>
      <w:r w:rsidR="00E8502C">
        <w:rPr>
          <w:rFonts w:asciiTheme="majorBidi" w:eastAsia="Times New Roman" w:hAnsiTheme="majorBidi" w:cstheme="majorBidi"/>
          <w:color w:val="000000"/>
          <w:lang w:val="en"/>
        </w:rPr>
        <w:t>.</w:t>
      </w:r>
      <w:r w:rsidRPr="009B2058">
        <w:rPr>
          <w:rFonts w:asciiTheme="majorBidi" w:eastAsia="Times New Roman" w:hAnsiTheme="majorBidi" w:cstheme="majorBidi"/>
          <w:color w:val="000000"/>
          <w:lang w:val="en"/>
        </w:rPr>
        <w:t>, Schmook</w:t>
      </w:r>
      <w:r w:rsidR="00E8502C">
        <w:rPr>
          <w:rFonts w:asciiTheme="majorBidi" w:eastAsia="Times New Roman" w:hAnsiTheme="majorBidi" w:cstheme="majorBidi"/>
          <w:color w:val="000000"/>
          <w:lang w:val="en"/>
        </w:rPr>
        <w:t>,</w:t>
      </w:r>
      <w:r w:rsidRPr="009B2058">
        <w:rPr>
          <w:rFonts w:asciiTheme="majorBidi" w:eastAsia="Times New Roman" w:hAnsiTheme="majorBidi" w:cstheme="majorBidi"/>
          <w:color w:val="000000"/>
          <w:lang w:val="en"/>
        </w:rPr>
        <w:t xml:space="preserve"> A</w:t>
      </w:r>
      <w:r w:rsidR="00E8502C">
        <w:rPr>
          <w:rFonts w:asciiTheme="majorBidi" w:eastAsia="Times New Roman" w:hAnsiTheme="majorBidi" w:cstheme="majorBidi"/>
          <w:color w:val="000000"/>
          <w:lang w:val="en"/>
        </w:rPr>
        <w:t>.</w:t>
      </w:r>
      <w:r>
        <w:rPr>
          <w:rFonts w:asciiTheme="majorBidi" w:eastAsia="Times New Roman" w:hAnsiTheme="majorBidi" w:cstheme="majorBidi"/>
          <w:color w:val="000000"/>
          <w:lang w:val="en"/>
        </w:rPr>
        <w:t>, Woody</w:t>
      </w:r>
      <w:r w:rsidR="00E8502C">
        <w:rPr>
          <w:rFonts w:asciiTheme="majorBidi" w:eastAsia="Times New Roman" w:hAnsiTheme="majorBidi" w:cstheme="majorBidi"/>
          <w:color w:val="000000"/>
          <w:lang w:val="en"/>
        </w:rPr>
        <w:t>,</w:t>
      </w:r>
      <w:r w:rsidRPr="009B2058">
        <w:rPr>
          <w:rFonts w:asciiTheme="majorBidi" w:eastAsia="Times New Roman" w:hAnsiTheme="majorBidi" w:cstheme="majorBidi"/>
          <w:color w:val="000000"/>
          <w:lang w:val="en"/>
        </w:rPr>
        <w:t xml:space="preserve"> C</w:t>
      </w:r>
      <w:r w:rsidR="00E8502C">
        <w:rPr>
          <w:rFonts w:asciiTheme="majorBidi" w:eastAsia="Times New Roman" w:hAnsiTheme="majorBidi" w:cstheme="majorBidi"/>
          <w:color w:val="000000"/>
          <w:lang w:val="en"/>
        </w:rPr>
        <w:t>.</w:t>
      </w:r>
      <w:r w:rsidRPr="009B2058">
        <w:rPr>
          <w:rFonts w:asciiTheme="majorBidi" w:eastAsia="Times New Roman" w:hAnsiTheme="majorBidi" w:cstheme="majorBidi"/>
          <w:color w:val="000000"/>
          <w:lang w:val="en"/>
        </w:rPr>
        <w:t>, Vollendorf</w:t>
      </w:r>
      <w:r w:rsidR="00E8502C">
        <w:rPr>
          <w:rFonts w:asciiTheme="majorBidi" w:eastAsia="Times New Roman" w:hAnsiTheme="majorBidi" w:cstheme="majorBidi"/>
          <w:color w:val="000000"/>
          <w:lang w:val="en"/>
        </w:rPr>
        <w:t>,</w:t>
      </w:r>
      <w:r w:rsidRPr="009B2058">
        <w:rPr>
          <w:rFonts w:asciiTheme="majorBidi" w:eastAsia="Times New Roman" w:hAnsiTheme="majorBidi" w:cstheme="majorBidi"/>
          <w:color w:val="000000"/>
          <w:lang w:val="en"/>
        </w:rPr>
        <w:t xml:space="preserve"> C</w:t>
      </w:r>
      <w:r w:rsidR="00E8502C">
        <w:rPr>
          <w:rFonts w:asciiTheme="majorBidi" w:eastAsia="Times New Roman" w:hAnsiTheme="majorBidi" w:cstheme="majorBidi"/>
          <w:color w:val="000000"/>
          <w:lang w:val="en"/>
        </w:rPr>
        <w:t>.</w:t>
      </w:r>
      <w:r w:rsidRPr="009B2058">
        <w:rPr>
          <w:rFonts w:asciiTheme="majorBidi" w:eastAsia="Times New Roman" w:hAnsiTheme="majorBidi" w:cstheme="majorBidi"/>
          <w:color w:val="000000"/>
          <w:lang w:val="en"/>
        </w:rPr>
        <w:t xml:space="preserve"> &amp; Gervain</w:t>
      </w:r>
      <w:r w:rsidR="00E8502C">
        <w:rPr>
          <w:rFonts w:asciiTheme="majorBidi" w:eastAsia="Times New Roman" w:hAnsiTheme="majorBidi" w:cstheme="majorBidi"/>
          <w:color w:val="000000"/>
          <w:lang w:val="en"/>
        </w:rPr>
        <w:t>,</w:t>
      </w:r>
      <w:r>
        <w:rPr>
          <w:rFonts w:asciiTheme="majorBidi" w:eastAsia="Times New Roman" w:hAnsiTheme="majorBidi" w:cstheme="majorBidi"/>
          <w:color w:val="000000"/>
          <w:lang w:val="en"/>
        </w:rPr>
        <w:t xml:space="preserve"> M</w:t>
      </w:r>
      <w:r w:rsidR="00E8502C">
        <w:rPr>
          <w:rFonts w:asciiTheme="majorBidi" w:eastAsia="Times New Roman" w:hAnsiTheme="majorBidi" w:cstheme="majorBidi"/>
          <w:color w:val="000000"/>
          <w:lang w:val="en"/>
        </w:rPr>
        <w:t>.</w:t>
      </w:r>
      <w:r w:rsidRPr="009B2058">
        <w:rPr>
          <w:rFonts w:asciiTheme="majorBidi" w:eastAsia="Times New Roman" w:hAnsiTheme="majorBidi" w:cstheme="majorBidi"/>
          <w:color w:val="000000"/>
          <w:lang w:val="en"/>
        </w:rPr>
        <w:t xml:space="preserve"> (1995) </w:t>
      </w:r>
      <w:r w:rsidRPr="009B2058">
        <w:rPr>
          <w:rFonts w:asciiTheme="majorBidi" w:eastAsia="Times New Roman" w:hAnsiTheme="majorBidi" w:cstheme="majorBidi"/>
          <w:i/>
          <w:iCs/>
          <w:color w:val="000000"/>
          <w:lang w:val="en"/>
        </w:rPr>
        <w:t xml:space="preserve">Construction of a scale to measure consumer recovery. </w:t>
      </w:r>
      <w:r w:rsidRPr="009B2058">
        <w:rPr>
          <w:rFonts w:asciiTheme="majorBidi" w:eastAsia="Times New Roman" w:hAnsiTheme="majorBidi" w:cstheme="majorBidi"/>
          <w:color w:val="000000"/>
          <w:lang w:val="en"/>
        </w:rPr>
        <w:t>Springfield, IL: Illinois Office of Mental Health.</w:t>
      </w:r>
    </w:p>
    <w:p w14:paraId="283831E9" w14:textId="2F47BBBC" w:rsidR="00C03DEB" w:rsidRPr="0082068E" w:rsidRDefault="003D47BD" w:rsidP="00C03DEB">
      <w:pPr>
        <w:shd w:val="clear" w:color="auto" w:fill="FFFFFF"/>
        <w:spacing w:after="150" w:line="480" w:lineRule="auto"/>
        <w:ind w:left="720" w:hanging="720"/>
        <w:rPr>
          <w:rFonts w:ascii="Times New Roman" w:eastAsia="Times New Roman" w:hAnsi="Times New Roman" w:cs="Times New Roman"/>
          <w:color w:val="000000"/>
          <w:lang w:val="en"/>
        </w:rPr>
      </w:pPr>
      <w:r>
        <w:rPr>
          <w:rFonts w:asciiTheme="majorBidi" w:eastAsia="Times New Roman" w:hAnsiTheme="majorBidi" w:cstheme="majorBidi"/>
          <w:color w:val="000000"/>
          <w:lang w:val="en"/>
        </w:rPr>
        <w:t>Gilbody</w:t>
      </w:r>
      <w:r w:rsidR="00E8502C">
        <w:rPr>
          <w:rFonts w:asciiTheme="majorBidi" w:eastAsia="Times New Roman" w:hAnsiTheme="majorBidi" w:cstheme="majorBidi"/>
          <w:color w:val="000000"/>
          <w:lang w:val="en"/>
        </w:rPr>
        <w:t>,</w:t>
      </w:r>
      <w:r>
        <w:rPr>
          <w:rFonts w:asciiTheme="majorBidi" w:eastAsia="Times New Roman" w:hAnsiTheme="majorBidi" w:cstheme="majorBidi"/>
          <w:color w:val="000000"/>
          <w:lang w:val="en"/>
        </w:rPr>
        <w:t xml:space="preserve"> S</w:t>
      </w:r>
      <w:r w:rsidR="00E8502C">
        <w:rPr>
          <w:rFonts w:asciiTheme="majorBidi" w:eastAsia="Times New Roman" w:hAnsiTheme="majorBidi" w:cstheme="majorBidi"/>
          <w:color w:val="000000"/>
          <w:lang w:val="en"/>
        </w:rPr>
        <w:t>.</w:t>
      </w:r>
      <w:r>
        <w:rPr>
          <w:rFonts w:asciiTheme="majorBidi" w:eastAsia="Times New Roman" w:hAnsiTheme="majorBidi" w:cstheme="majorBidi"/>
          <w:color w:val="000000"/>
          <w:lang w:val="en"/>
        </w:rPr>
        <w:t>M</w:t>
      </w:r>
      <w:r w:rsidR="00E8502C">
        <w:rPr>
          <w:rFonts w:asciiTheme="majorBidi" w:eastAsia="Times New Roman" w:hAnsiTheme="majorBidi" w:cstheme="majorBidi"/>
          <w:color w:val="000000"/>
          <w:lang w:val="en"/>
        </w:rPr>
        <w:t>.</w:t>
      </w:r>
      <w:r w:rsidR="00C03DEB">
        <w:rPr>
          <w:rFonts w:asciiTheme="majorBidi" w:eastAsia="Times New Roman" w:hAnsiTheme="majorBidi" w:cstheme="majorBidi"/>
          <w:color w:val="000000"/>
          <w:lang w:val="en"/>
        </w:rPr>
        <w:t xml:space="preserve">, </w:t>
      </w:r>
      <w:r>
        <w:rPr>
          <w:rFonts w:ascii="Times New Roman" w:eastAsia="Times New Roman" w:hAnsi="Times New Roman" w:cs="Times New Roman"/>
          <w:color w:val="000000"/>
          <w:lang w:val="en"/>
        </w:rPr>
        <w:t>House</w:t>
      </w:r>
      <w:r w:rsidR="00E8502C">
        <w:rPr>
          <w:rFonts w:ascii="Times New Roman" w:eastAsia="Times New Roman" w:hAnsi="Times New Roman" w:cs="Times New Roman"/>
          <w:color w:val="000000"/>
          <w:lang w:val="en"/>
        </w:rPr>
        <w:t>,</w:t>
      </w:r>
      <w:r>
        <w:rPr>
          <w:rFonts w:ascii="Times New Roman" w:eastAsia="Times New Roman" w:hAnsi="Times New Roman" w:cs="Times New Roman"/>
          <w:color w:val="000000"/>
          <w:lang w:val="en"/>
        </w:rPr>
        <w:t xml:space="preserve"> A</w:t>
      </w:r>
      <w:r w:rsidR="00E8502C">
        <w:rPr>
          <w:rFonts w:ascii="Times New Roman" w:eastAsia="Times New Roman" w:hAnsi="Times New Roman" w:cs="Times New Roman"/>
          <w:color w:val="000000"/>
          <w:lang w:val="en"/>
        </w:rPr>
        <w:t>.</w:t>
      </w:r>
      <w:r>
        <w:rPr>
          <w:rFonts w:ascii="Times New Roman" w:eastAsia="Times New Roman" w:hAnsi="Times New Roman" w:cs="Times New Roman"/>
          <w:color w:val="000000"/>
          <w:lang w:val="en"/>
        </w:rPr>
        <w:t>O</w:t>
      </w:r>
      <w:r w:rsidR="00E8502C">
        <w:rPr>
          <w:rFonts w:ascii="Times New Roman" w:eastAsia="Times New Roman" w:hAnsi="Times New Roman" w:cs="Times New Roman"/>
          <w:color w:val="000000"/>
          <w:lang w:val="en"/>
        </w:rPr>
        <w:t>. &amp;</w:t>
      </w:r>
      <w:r>
        <w:rPr>
          <w:rFonts w:ascii="Times New Roman" w:eastAsia="Times New Roman" w:hAnsi="Times New Roman" w:cs="Times New Roman"/>
          <w:color w:val="000000"/>
          <w:lang w:val="en"/>
        </w:rPr>
        <w:t xml:space="preserve"> Sheldon</w:t>
      </w:r>
      <w:r w:rsidR="00E8502C">
        <w:rPr>
          <w:rFonts w:ascii="Times New Roman" w:eastAsia="Times New Roman" w:hAnsi="Times New Roman" w:cs="Times New Roman"/>
          <w:color w:val="000000"/>
          <w:lang w:val="en"/>
        </w:rPr>
        <w:t>,</w:t>
      </w:r>
      <w:r>
        <w:rPr>
          <w:rFonts w:ascii="Times New Roman" w:eastAsia="Times New Roman" w:hAnsi="Times New Roman" w:cs="Times New Roman"/>
          <w:color w:val="000000"/>
          <w:lang w:val="en"/>
        </w:rPr>
        <w:t xml:space="preserve"> T</w:t>
      </w:r>
      <w:r w:rsidR="00E8502C">
        <w:rPr>
          <w:rFonts w:ascii="Times New Roman" w:eastAsia="Times New Roman" w:hAnsi="Times New Roman" w:cs="Times New Roman"/>
          <w:color w:val="000000"/>
          <w:lang w:val="en"/>
        </w:rPr>
        <w:t>.</w:t>
      </w:r>
      <w:r>
        <w:rPr>
          <w:rFonts w:ascii="Times New Roman" w:eastAsia="Times New Roman" w:hAnsi="Times New Roman" w:cs="Times New Roman"/>
          <w:color w:val="000000"/>
          <w:lang w:val="en"/>
        </w:rPr>
        <w:t>A</w:t>
      </w:r>
      <w:r w:rsidR="00E8502C">
        <w:rPr>
          <w:rFonts w:ascii="Times New Roman" w:eastAsia="Times New Roman" w:hAnsi="Times New Roman" w:cs="Times New Roman"/>
          <w:color w:val="000000"/>
          <w:lang w:val="en"/>
        </w:rPr>
        <w:t>.</w:t>
      </w:r>
      <w:r>
        <w:rPr>
          <w:rFonts w:ascii="Times New Roman" w:eastAsia="Times New Roman" w:hAnsi="Times New Roman" w:cs="Times New Roman"/>
          <w:color w:val="000000"/>
          <w:lang w:val="en"/>
        </w:rPr>
        <w:t xml:space="preserve"> (2002)</w:t>
      </w:r>
      <w:r w:rsidR="00C03DEB" w:rsidRPr="0082068E">
        <w:rPr>
          <w:rFonts w:ascii="Times New Roman" w:eastAsia="Times New Roman" w:hAnsi="Times New Roman" w:cs="Times New Roman"/>
          <w:color w:val="000000"/>
          <w:lang w:val="en"/>
        </w:rPr>
        <w:t xml:space="preserve"> Psychiatrists in the UK do not use outcomes measures: National survey. </w:t>
      </w:r>
      <w:r w:rsidR="00C03DEB" w:rsidRPr="0082068E">
        <w:rPr>
          <w:rFonts w:ascii="Times New Roman" w:eastAsia="Times New Roman" w:hAnsi="Times New Roman" w:cs="Times New Roman"/>
          <w:i/>
          <w:iCs/>
          <w:color w:val="000000"/>
          <w:lang w:val="en"/>
        </w:rPr>
        <w:t>The British Journal Of Psychiatry</w:t>
      </w:r>
      <w:r w:rsidR="00C03DEB" w:rsidRPr="0082068E">
        <w:rPr>
          <w:rFonts w:ascii="Times New Roman" w:eastAsia="Times New Roman" w:hAnsi="Times New Roman" w:cs="Times New Roman"/>
          <w:color w:val="000000"/>
          <w:lang w:val="en"/>
        </w:rPr>
        <w:t xml:space="preserve">, </w:t>
      </w:r>
      <w:r w:rsidR="00C03DEB" w:rsidRPr="0082068E">
        <w:rPr>
          <w:rFonts w:ascii="Times New Roman" w:eastAsia="Times New Roman" w:hAnsi="Times New Roman" w:cs="Times New Roman"/>
          <w:i/>
          <w:iCs/>
          <w:color w:val="000000"/>
          <w:lang w:val="en"/>
        </w:rPr>
        <w:t>180</w:t>
      </w:r>
      <w:r w:rsidR="00C03DEB" w:rsidRPr="0082068E">
        <w:rPr>
          <w:rFonts w:ascii="Times New Roman" w:eastAsia="Times New Roman" w:hAnsi="Times New Roman" w:cs="Times New Roman"/>
          <w:color w:val="000000"/>
          <w:lang w:val="en"/>
        </w:rPr>
        <w:t>(2), 101-103. http://dx.doi.org/10.1192/bjp.180.2.101</w:t>
      </w:r>
    </w:p>
    <w:p w14:paraId="3B50C7F1" w14:textId="4F621CD2" w:rsidR="001F642A" w:rsidRDefault="001F642A" w:rsidP="001F642A">
      <w:pPr>
        <w:shd w:val="clear" w:color="auto" w:fill="FFFFFF"/>
        <w:spacing w:after="150" w:line="480" w:lineRule="auto"/>
        <w:ind w:left="720" w:hanging="720"/>
        <w:rPr>
          <w:rFonts w:ascii="Times New Roman" w:hAnsi="Times New Roman" w:cs="Times New Roman"/>
          <w:lang w:val="en-GB"/>
        </w:rPr>
      </w:pPr>
      <w:r w:rsidRPr="001F642A">
        <w:rPr>
          <w:rFonts w:ascii="Times New Roman" w:hAnsi="Times New Roman" w:cs="Times New Roman"/>
          <w:lang w:val="en-GB"/>
        </w:rPr>
        <w:t>Hasson-</w:t>
      </w:r>
      <w:proofErr w:type="spellStart"/>
      <w:r w:rsidRPr="001F642A">
        <w:rPr>
          <w:rFonts w:ascii="Times New Roman" w:hAnsi="Times New Roman" w:cs="Times New Roman"/>
          <w:lang w:val="en-GB"/>
        </w:rPr>
        <w:t>Ohayon</w:t>
      </w:r>
      <w:proofErr w:type="spellEnd"/>
      <w:r w:rsidRPr="001F642A">
        <w:rPr>
          <w:rFonts w:ascii="Times New Roman" w:hAnsi="Times New Roman" w:cs="Times New Roman"/>
          <w:lang w:val="en-GB"/>
        </w:rPr>
        <w:t xml:space="preserve">, I., Roe, D., </w:t>
      </w:r>
      <w:proofErr w:type="spellStart"/>
      <w:r w:rsidRPr="001F642A">
        <w:rPr>
          <w:rFonts w:ascii="Times New Roman" w:hAnsi="Times New Roman" w:cs="Times New Roman"/>
          <w:lang w:val="en-GB"/>
        </w:rPr>
        <w:t>Yanos</w:t>
      </w:r>
      <w:proofErr w:type="spellEnd"/>
      <w:r w:rsidRPr="001F642A">
        <w:rPr>
          <w:rFonts w:ascii="Times New Roman" w:hAnsi="Times New Roman" w:cs="Times New Roman"/>
          <w:lang w:val="en-GB"/>
        </w:rPr>
        <w:t xml:space="preserve">, P. T. &amp; </w:t>
      </w:r>
      <w:proofErr w:type="spellStart"/>
      <w:r w:rsidRPr="001F642A">
        <w:rPr>
          <w:rFonts w:ascii="Times New Roman" w:hAnsi="Times New Roman" w:cs="Times New Roman"/>
          <w:lang w:val="en-GB"/>
        </w:rPr>
        <w:t>Lysaker</w:t>
      </w:r>
      <w:proofErr w:type="spellEnd"/>
      <w:r w:rsidRPr="001F642A">
        <w:rPr>
          <w:rFonts w:ascii="Times New Roman" w:hAnsi="Times New Roman" w:cs="Times New Roman"/>
          <w:lang w:val="en-GB"/>
        </w:rPr>
        <w:t xml:space="preserve">, P. H. (2015) </w:t>
      </w:r>
      <w:proofErr w:type="gramStart"/>
      <w:r w:rsidRPr="001F642A">
        <w:rPr>
          <w:rFonts w:ascii="Times New Roman" w:hAnsi="Times New Roman" w:cs="Times New Roman"/>
          <w:lang w:val="en-GB"/>
        </w:rPr>
        <w:t>The</w:t>
      </w:r>
      <w:proofErr w:type="gramEnd"/>
      <w:r w:rsidRPr="001F642A">
        <w:rPr>
          <w:rFonts w:ascii="Times New Roman" w:hAnsi="Times New Roman" w:cs="Times New Roman"/>
          <w:lang w:val="en-GB"/>
        </w:rPr>
        <w:t xml:space="preserve"> trees and the forest: </w:t>
      </w:r>
      <w:r>
        <w:rPr>
          <w:rFonts w:ascii="Times New Roman" w:hAnsi="Times New Roman" w:cs="Times New Roman"/>
          <w:lang w:val="en-GB"/>
        </w:rPr>
        <w:t>M</w:t>
      </w:r>
      <w:r w:rsidRPr="001F642A">
        <w:rPr>
          <w:rFonts w:ascii="Times New Roman" w:hAnsi="Times New Roman" w:cs="Times New Roman"/>
          <w:lang w:val="en-GB"/>
        </w:rPr>
        <w:t xml:space="preserve">ixed methods in the assessment of recovery based interventions' processes and outcomes in mental health. </w:t>
      </w:r>
      <w:r w:rsidRPr="001F642A">
        <w:rPr>
          <w:rFonts w:ascii="Times New Roman" w:hAnsi="Times New Roman" w:cs="Times New Roman"/>
          <w:i/>
          <w:iCs/>
          <w:lang w:val="en-GB"/>
        </w:rPr>
        <w:t>Journal of Mental Health, 25</w:t>
      </w:r>
      <w:r>
        <w:rPr>
          <w:rFonts w:ascii="Times New Roman" w:hAnsi="Times New Roman" w:cs="Times New Roman"/>
          <w:lang w:val="en-GB"/>
        </w:rPr>
        <w:t>(6), 543-549</w:t>
      </w:r>
      <w:r w:rsidRPr="001F642A">
        <w:rPr>
          <w:rFonts w:ascii="Times New Roman" w:hAnsi="Times New Roman" w:cs="Times New Roman"/>
          <w:lang w:val="en-GB"/>
        </w:rPr>
        <w:t>.</w:t>
      </w:r>
    </w:p>
    <w:p w14:paraId="58C1960D" w14:textId="00E66889" w:rsidR="006836A0" w:rsidRDefault="006836A0" w:rsidP="006836A0">
      <w:pPr>
        <w:shd w:val="clear" w:color="auto" w:fill="FFFFFF"/>
        <w:spacing w:after="150" w:line="480" w:lineRule="auto"/>
        <w:ind w:left="720" w:hanging="720"/>
        <w:rPr>
          <w:rFonts w:ascii="Times New Roman" w:hAnsi="Times New Roman" w:cs="Times New Roman"/>
          <w:lang w:val="en-GB"/>
        </w:rPr>
      </w:pPr>
      <w:r w:rsidRPr="006836A0">
        <w:rPr>
          <w:rFonts w:ascii="Times New Roman" w:hAnsi="Times New Roman" w:cs="Times New Roman"/>
          <w:lang w:val="en-GB"/>
        </w:rPr>
        <w:t>Hicks</w:t>
      </w:r>
      <w:r w:rsidR="00E8502C">
        <w:rPr>
          <w:rFonts w:ascii="Times New Roman" w:hAnsi="Times New Roman" w:cs="Times New Roman"/>
          <w:lang w:val="en-GB"/>
        </w:rPr>
        <w:t>,</w:t>
      </w:r>
      <w:r w:rsidRPr="006836A0">
        <w:rPr>
          <w:rFonts w:ascii="Times New Roman" w:hAnsi="Times New Roman" w:cs="Times New Roman"/>
          <w:lang w:val="en-GB"/>
        </w:rPr>
        <w:t xml:space="preserve"> A</w:t>
      </w:r>
      <w:r w:rsidR="00E8502C">
        <w:rPr>
          <w:rFonts w:ascii="Times New Roman" w:hAnsi="Times New Roman" w:cs="Times New Roman"/>
          <w:lang w:val="en-GB"/>
        </w:rPr>
        <w:t>.</w:t>
      </w:r>
      <w:r w:rsidRPr="006836A0">
        <w:rPr>
          <w:rFonts w:ascii="Times New Roman" w:hAnsi="Times New Roman" w:cs="Times New Roman"/>
          <w:lang w:val="en-GB"/>
        </w:rPr>
        <w:t>L</w:t>
      </w:r>
      <w:r w:rsidR="00E8502C">
        <w:rPr>
          <w:rFonts w:ascii="Times New Roman" w:hAnsi="Times New Roman" w:cs="Times New Roman"/>
          <w:lang w:val="en-GB"/>
        </w:rPr>
        <w:t>.</w:t>
      </w:r>
      <w:r>
        <w:rPr>
          <w:rFonts w:ascii="Times New Roman" w:hAnsi="Times New Roman" w:cs="Times New Roman"/>
          <w:lang w:val="en-GB"/>
        </w:rPr>
        <w:t>,</w:t>
      </w:r>
      <w:r w:rsidRPr="006836A0">
        <w:rPr>
          <w:rFonts w:ascii="Times New Roman" w:hAnsi="Times New Roman" w:cs="Times New Roman"/>
          <w:lang w:val="en-GB"/>
        </w:rPr>
        <w:t xml:space="preserve"> Deane</w:t>
      </w:r>
      <w:r w:rsidR="00E8502C">
        <w:rPr>
          <w:rFonts w:ascii="Times New Roman" w:hAnsi="Times New Roman" w:cs="Times New Roman"/>
          <w:lang w:val="en-GB"/>
        </w:rPr>
        <w:t>,</w:t>
      </w:r>
      <w:r w:rsidRPr="006836A0">
        <w:rPr>
          <w:rFonts w:ascii="Times New Roman" w:hAnsi="Times New Roman" w:cs="Times New Roman"/>
          <w:lang w:val="en-GB"/>
        </w:rPr>
        <w:t xml:space="preserve"> F</w:t>
      </w:r>
      <w:r w:rsidR="00E8502C">
        <w:rPr>
          <w:rFonts w:ascii="Times New Roman" w:hAnsi="Times New Roman" w:cs="Times New Roman"/>
          <w:lang w:val="en-GB"/>
        </w:rPr>
        <w:t>.</w:t>
      </w:r>
      <w:r w:rsidRPr="006836A0">
        <w:rPr>
          <w:rFonts w:ascii="Times New Roman" w:hAnsi="Times New Roman" w:cs="Times New Roman"/>
          <w:lang w:val="en-GB"/>
        </w:rPr>
        <w:t>P</w:t>
      </w:r>
      <w:r w:rsidR="00E8502C">
        <w:rPr>
          <w:rFonts w:ascii="Times New Roman" w:hAnsi="Times New Roman" w:cs="Times New Roman"/>
          <w:lang w:val="en-GB"/>
        </w:rPr>
        <w:t>.</w:t>
      </w:r>
      <w:r w:rsidRPr="006836A0">
        <w:rPr>
          <w:rFonts w:ascii="Times New Roman" w:hAnsi="Times New Roman" w:cs="Times New Roman"/>
          <w:lang w:val="en-GB"/>
        </w:rPr>
        <w:t xml:space="preserve"> &amp; Crowe</w:t>
      </w:r>
      <w:r w:rsidR="00E8502C">
        <w:rPr>
          <w:rFonts w:ascii="Times New Roman" w:hAnsi="Times New Roman" w:cs="Times New Roman"/>
          <w:lang w:val="en-GB"/>
        </w:rPr>
        <w:t>,</w:t>
      </w:r>
      <w:r w:rsidRPr="006836A0">
        <w:rPr>
          <w:rFonts w:ascii="Times New Roman" w:hAnsi="Times New Roman" w:cs="Times New Roman"/>
          <w:lang w:val="en-GB"/>
        </w:rPr>
        <w:t xml:space="preserve"> T</w:t>
      </w:r>
      <w:r w:rsidR="00E8502C">
        <w:rPr>
          <w:rFonts w:ascii="Times New Roman" w:hAnsi="Times New Roman" w:cs="Times New Roman"/>
          <w:lang w:val="en-GB"/>
        </w:rPr>
        <w:t>.</w:t>
      </w:r>
      <w:r w:rsidRPr="006836A0">
        <w:rPr>
          <w:rFonts w:ascii="Times New Roman" w:hAnsi="Times New Roman" w:cs="Times New Roman"/>
          <w:lang w:val="en-GB"/>
        </w:rPr>
        <w:t>P</w:t>
      </w:r>
      <w:r w:rsidR="00E8502C">
        <w:rPr>
          <w:rFonts w:ascii="Times New Roman" w:hAnsi="Times New Roman" w:cs="Times New Roman"/>
          <w:lang w:val="en-GB"/>
        </w:rPr>
        <w:t>.</w:t>
      </w:r>
      <w:r w:rsidRPr="006836A0">
        <w:rPr>
          <w:rFonts w:ascii="Times New Roman" w:hAnsi="Times New Roman" w:cs="Times New Roman"/>
          <w:lang w:val="en-GB"/>
        </w:rPr>
        <w:t xml:space="preserve"> (2012) Change in working alliance and recovery in severe mental illness: An exploratory study. </w:t>
      </w:r>
      <w:r w:rsidRPr="006836A0">
        <w:rPr>
          <w:rFonts w:ascii="Times New Roman" w:hAnsi="Times New Roman" w:cs="Times New Roman"/>
          <w:i/>
          <w:iCs/>
          <w:lang w:val="en-GB"/>
        </w:rPr>
        <w:t xml:space="preserve">Journal of </w:t>
      </w:r>
      <w:r>
        <w:rPr>
          <w:rFonts w:ascii="Times New Roman" w:hAnsi="Times New Roman" w:cs="Times New Roman"/>
          <w:i/>
          <w:iCs/>
          <w:lang w:val="en-GB"/>
        </w:rPr>
        <w:t>M</w:t>
      </w:r>
      <w:r w:rsidRPr="006836A0">
        <w:rPr>
          <w:rFonts w:ascii="Times New Roman" w:hAnsi="Times New Roman" w:cs="Times New Roman"/>
          <w:i/>
          <w:iCs/>
          <w:lang w:val="en-GB"/>
        </w:rPr>
        <w:t>ental Health, 21</w:t>
      </w:r>
      <w:r w:rsidRPr="006836A0">
        <w:rPr>
          <w:rFonts w:ascii="Times New Roman" w:hAnsi="Times New Roman" w:cs="Times New Roman"/>
          <w:lang w:val="en-GB"/>
        </w:rPr>
        <w:t>(2), 127-134.</w:t>
      </w:r>
    </w:p>
    <w:p w14:paraId="3FC8E60D" w14:textId="7E60A907" w:rsidR="00C83066" w:rsidRPr="00B4764D" w:rsidRDefault="00C83066" w:rsidP="00C83066">
      <w:pPr>
        <w:shd w:val="clear" w:color="auto" w:fill="FFFFFF"/>
        <w:spacing w:after="150" w:line="480" w:lineRule="auto"/>
        <w:ind w:left="720" w:hanging="720"/>
        <w:rPr>
          <w:rFonts w:asciiTheme="majorBidi" w:eastAsia="Times New Roman" w:hAnsiTheme="majorBidi" w:cstheme="majorBidi"/>
          <w:color w:val="000000"/>
          <w:lang w:val="en"/>
        </w:rPr>
      </w:pPr>
      <w:r w:rsidRPr="00B4764D">
        <w:rPr>
          <w:rFonts w:asciiTheme="majorBidi" w:eastAsia="Times New Roman" w:hAnsiTheme="majorBidi" w:cstheme="majorBidi"/>
          <w:color w:val="000000"/>
          <w:lang w:val="en"/>
        </w:rPr>
        <w:lastRenderedPageBreak/>
        <w:t>J</w:t>
      </w:r>
      <w:r>
        <w:rPr>
          <w:rFonts w:asciiTheme="majorBidi" w:eastAsia="Times New Roman" w:hAnsiTheme="majorBidi" w:cstheme="majorBidi"/>
          <w:color w:val="000000"/>
          <w:lang w:val="en"/>
        </w:rPr>
        <w:t>acobs</w:t>
      </w:r>
      <w:r w:rsidRPr="00B4764D">
        <w:rPr>
          <w:rFonts w:asciiTheme="majorBidi" w:eastAsia="Times New Roman" w:hAnsiTheme="majorBidi" w:cstheme="majorBidi"/>
          <w:color w:val="000000"/>
          <w:lang w:val="en"/>
        </w:rPr>
        <w:t xml:space="preserve">, R. </w:t>
      </w:r>
      <w:r>
        <w:rPr>
          <w:rFonts w:asciiTheme="majorBidi" w:eastAsia="Times New Roman" w:hAnsiTheme="majorBidi" w:cstheme="majorBidi"/>
          <w:color w:val="000000"/>
          <w:lang w:val="en"/>
        </w:rPr>
        <w:t>(</w:t>
      </w:r>
      <w:r w:rsidRPr="00B4764D">
        <w:rPr>
          <w:rFonts w:asciiTheme="majorBidi" w:eastAsia="Times New Roman" w:hAnsiTheme="majorBidi" w:cstheme="majorBidi"/>
          <w:color w:val="000000"/>
          <w:lang w:val="en"/>
        </w:rPr>
        <w:t>2009</w:t>
      </w:r>
      <w:r>
        <w:rPr>
          <w:rFonts w:asciiTheme="majorBidi" w:eastAsia="Times New Roman" w:hAnsiTheme="majorBidi" w:cstheme="majorBidi"/>
          <w:color w:val="000000"/>
          <w:lang w:val="en"/>
        </w:rPr>
        <w:t>)</w:t>
      </w:r>
      <w:r w:rsidRPr="00B4764D">
        <w:rPr>
          <w:rFonts w:asciiTheme="majorBidi" w:eastAsia="Times New Roman" w:hAnsiTheme="majorBidi" w:cstheme="majorBidi"/>
          <w:color w:val="000000"/>
          <w:lang w:val="en"/>
        </w:rPr>
        <w:t xml:space="preserve"> </w:t>
      </w:r>
      <w:r w:rsidRPr="00403361">
        <w:rPr>
          <w:rFonts w:asciiTheme="majorBidi" w:eastAsia="Times New Roman" w:hAnsiTheme="majorBidi" w:cstheme="majorBidi"/>
          <w:i/>
          <w:color w:val="000000"/>
          <w:lang w:val="en"/>
        </w:rPr>
        <w:t>Investigating patient outcome measures in mental health.</w:t>
      </w:r>
      <w:r w:rsidRPr="00B4764D">
        <w:rPr>
          <w:rFonts w:asciiTheme="majorBidi" w:eastAsia="Times New Roman" w:hAnsiTheme="majorBidi" w:cstheme="majorBidi"/>
          <w:color w:val="000000"/>
          <w:lang w:val="en"/>
        </w:rPr>
        <w:t xml:space="preserve"> York: Centre for Health Economics. </w:t>
      </w:r>
    </w:p>
    <w:p w14:paraId="0EDF8520" w14:textId="0762BF9B" w:rsidR="00C03DEB" w:rsidRPr="0082068E" w:rsidRDefault="003D47BD" w:rsidP="00E8502C">
      <w:pPr>
        <w:shd w:val="clear" w:color="auto" w:fill="FFFFFF"/>
        <w:spacing w:after="150" w:line="480" w:lineRule="auto"/>
        <w:ind w:left="720" w:hanging="720"/>
        <w:rPr>
          <w:rFonts w:ascii="Times New Roman" w:hAnsi="Times New Roman" w:cs="Times New Roman"/>
          <w:lang w:val="en-GB"/>
        </w:rPr>
      </w:pPr>
      <w:r w:rsidRPr="00946C02">
        <w:rPr>
          <w:rFonts w:ascii="Times New Roman" w:hAnsi="Times New Roman" w:cs="Times New Roman"/>
          <w:lang w:val="en-GB"/>
        </w:rPr>
        <w:t>Kirby</w:t>
      </w:r>
      <w:r w:rsidR="00E8502C">
        <w:rPr>
          <w:rFonts w:ascii="Times New Roman" w:hAnsi="Times New Roman" w:cs="Times New Roman"/>
          <w:lang w:val="en-GB"/>
        </w:rPr>
        <w:t>,</w:t>
      </w:r>
      <w:r w:rsidRPr="00946C02">
        <w:rPr>
          <w:rFonts w:ascii="Times New Roman" w:hAnsi="Times New Roman" w:cs="Times New Roman"/>
          <w:lang w:val="en-GB"/>
        </w:rPr>
        <w:t xml:space="preserve"> M</w:t>
      </w:r>
      <w:r w:rsidR="00E8502C">
        <w:rPr>
          <w:rFonts w:ascii="Times New Roman" w:hAnsi="Times New Roman" w:cs="Times New Roman"/>
          <w:lang w:val="en-GB"/>
        </w:rPr>
        <w:t>.</w:t>
      </w:r>
      <w:r w:rsidRPr="00946C02">
        <w:rPr>
          <w:rFonts w:ascii="Times New Roman" w:hAnsi="Times New Roman" w:cs="Times New Roman"/>
          <w:lang w:val="en-GB"/>
        </w:rPr>
        <w:t>J</w:t>
      </w:r>
      <w:r w:rsidR="00E8502C">
        <w:rPr>
          <w:rFonts w:ascii="Times New Roman" w:hAnsi="Times New Roman" w:cs="Times New Roman"/>
          <w:lang w:val="en-GB"/>
        </w:rPr>
        <w:t>.</w:t>
      </w:r>
      <w:r w:rsidRPr="00946C02">
        <w:rPr>
          <w:rFonts w:ascii="Times New Roman" w:hAnsi="Times New Roman" w:cs="Times New Roman"/>
          <w:lang w:val="en-GB"/>
        </w:rPr>
        <w:t>L</w:t>
      </w:r>
      <w:r w:rsidR="00E8502C">
        <w:rPr>
          <w:rFonts w:ascii="Times New Roman" w:hAnsi="Times New Roman" w:cs="Times New Roman"/>
          <w:lang w:val="en-GB"/>
        </w:rPr>
        <w:t>.</w:t>
      </w:r>
      <w:r w:rsidR="00C03DEB" w:rsidRPr="00946C02">
        <w:rPr>
          <w:rFonts w:ascii="Times New Roman" w:hAnsi="Times New Roman" w:cs="Times New Roman"/>
          <w:lang w:val="en-GB"/>
        </w:rPr>
        <w:t xml:space="preserve"> </w:t>
      </w:r>
      <w:r w:rsidR="00E8502C">
        <w:rPr>
          <w:rFonts w:ascii="Times New Roman" w:hAnsi="Times New Roman" w:cs="Times New Roman"/>
          <w:lang w:val="en-GB"/>
        </w:rPr>
        <w:t>&amp;</w:t>
      </w:r>
      <w:r w:rsidRPr="00946C02">
        <w:rPr>
          <w:rFonts w:ascii="Times New Roman" w:hAnsi="Times New Roman" w:cs="Times New Roman"/>
          <w:lang w:val="en-GB"/>
        </w:rPr>
        <w:t xml:space="preserve"> Keon</w:t>
      </w:r>
      <w:r w:rsidR="00E8502C">
        <w:rPr>
          <w:rFonts w:ascii="Times New Roman" w:hAnsi="Times New Roman" w:cs="Times New Roman"/>
          <w:lang w:val="en-GB"/>
        </w:rPr>
        <w:t>,</w:t>
      </w:r>
      <w:r w:rsidRPr="00946C02">
        <w:rPr>
          <w:rFonts w:ascii="Times New Roman" w:hAnsi="Times New Roman" w:cs="Times New Roman"/>
          <w:lang w:val="en-GB"/>
        </w:rPr>
        <w:t xml:space="preserve"> W</w:t>
      </w:r>
      <w:r w:rsidR="00E8502C">
        <w:rPr>
          <w:rFonts w:ascii="Times New Roman" w:hAnsi="Times New Roman" w:cs="Times New Roman"/>
          <w:lang w:val="en-GB"/>
        </w:rPr>
        <w:t>.</w:t>
      </w:r>
      <w:r w:rsidRPr="00946C02">
        <w:rPr>
          <w:rFonts w:ascii="Times New Roman" w:hAnsi="Times New Roman" w:cs="Times New Roman"/>
          <w:lang w:val="en-GB"/>
        </w:rPr>
        <w:t>J</w:t>
      </w:r>
      <w:r w:rsidR="00E8502C">
        <w:rPr>
          <w:rFonts w:ascii="Times New Roman" w:hAnsi="Times New Roman" w:cs="Times New Roman"/>
          <w:lang w:val="en-GB"/>
        </w:rPr>
        <w:t>.</w:t>
      </w:r>
      <w:r w:rsidRPr="00946C02">
        <w:rPr>
          <w:rFonts w:ascii="Times New Roman" w:hAnsi="Times New Roman" w:cs="Times New Roman"/>
          <w:lang w:val="en-GB"/>
        </w:rPr>
        <w:t xml:space="preserve"> (2006)</w:t>
      </w:r>
      <w:r w:rsidR="00C03DEB" w:rsidRPr="00946C02">
        <w:rPr>
          <w:rFonts w:ascii="Times New Roman" w:hAnsi="Times New Roman" w:cs="Times New Roman"/>
          <w:lang w:val="en-GB"/>
        </w:rPr>
        <w:t xml:space="preserve"> </w:t>
      </w:r>
      <w:r w:rsidR="00C03DEB" w:rsidRPr="00B938C1">
        <w:rPr>
          <w:rFonts w:ascii="Times New Roman" w:hAnsi="Times New Roman" w:cs="Times New Roman"/>
          <w:i/>
          <w:lang w:val="en-GB"/>
        </w:rPr>
        <w:t>Out of the shadows at last: Transforming mental health, mental illness and addition services in Canada.</w:t>
      </w:r>
      <w:r w:rsidR="00C03DEB" w:rsidRPr="0082068E">
        <w:rPr>
          <w:rFonts w:ascii="Times New Roman" w:hAnsi="Times New Roman" w:cs="Times New Roman"/>
          <w:lang w:val="en-GB"/>
        </w:rPr>
        <w:t xml:space="preserve"> Retrieved from </w:t>
      </w:r>
      <w:r w:rsidR="00C03DEB" w:rsidRPr="0082068E">
        <w:rPr>
          <w:rFonts w:ascii="Times New Roman" w:hAnsi="Times New Roman" w:cs="Times New Roman"/>
        </w:rPr>
        <w:t>http://www.parl.gc.ca/Content/SEN/Committee/391/soci/rep/pdf/rep02may06part1-e.pdf</w:t>
      </w:r>
    </w:p>
    <w:p w14:paraId="72CDDD54" w14:textId="26079CE9" w:rsidR="00B305AE" w:rsidRDefault="00B305AE" w:rsidP="00E8502C">
      <w:pPr>
        <w:shd w:val="clear" w:color="auto" w:fill="FFFFFF"/>
        <w:spacing w:after="150" w:line="480" w:lineRule="auto"/>
        <w:ind w:left="720" w:hanging="720"/>
        <w:rPr>
          <w:rFonts w:ascii="Times New Roman" w:hAnsi="Times New Roman" w:cs="Times New Roman"/>
          <w:lang w:val="en-GB"/>
        </w:rPr>
      </w:pPr>
      <w:proofErr w:type="spellStart"/>
      <w:r w:rsidRPr="00B305AE">
        <w:rPr>
          <w:rFonts w:ascii="Times New Roman" w:hAnsi="Times New Roman" w:cs="Times New Roman"/>
          <w:lang w:val="en-GB"/>
        </w:rPr>
        <w:t>Kightley</w:t>
      </w:r>
      <w:proofErr w:type="spellEnd"/>
      <w:r w:rsidR="00E8502C">
        <w:rPr>
          <w:rFonts w:ascii="Times New Roman" w:hAnsi="Times New Roman" w:cs="Times New Roman"/>
          <w:lang w:val="en-GB"/>
        </w:rPr>
        <w:t>,</w:t>
      </w:r>
      <w:r w:rsidRPr="00B305AE">
        <w:rPr>
          <w:rFonts w:ascii="Times New Roman" w:hAnsi="Times New Roman" w:cs="Times New Roman"/>
          <w:lang w:val="en-GB"/>
        </w:rPr>
        <w:t xml:space="preserve"> M</w:t>
      </w:r>
      <w:r w:rsidR="00E8502C">
        <w:rPr>
          <w:rFonts w:ascii="Times New Roman" w:hAnsi="Times New Roman" w:cs="Times New Roman"/>
          <w:lang w:val="en-GB"/>
        </w:rPr>
        <w:t>.</w:t>
      </w:r>
      <w:r w:rsidRPr="00B305AE">
        <w:rPr>
          <w:rFonts w:ascii="Times New Roman" w:hAnsi="Times New Roman" w:cs="Times New Roman"/>
          <w:lang w:val="en-GB"/>
        </w:rPr>
        <w:t xml:space="preserve">, </w:t>
      </w:r>
      <w:proofErr w:type="spellStart"/>
      <w:r w:rsidRPr="00B305AE">
        <w:rPr>
          <w:rFonts w:ascii="Times New Roman" w:hAnsi="Times New Roman" w:cs="Times New Roman"/>
          <w:lang w:val="en-GB"/>
        </w:rPr>
        <w:t>Einfeld</w:t>
      </w:r>
      <w:proofErr w:type="spellEnd"/>
      <w:r w:rsidR="00E8502C">
        <w:rPr>
          <w:rFonts w:ascii="Times New Roman" w:hAnsi="Times New Roman" w:cs="Times New Roman"/>
          <w:lang w:val="en-GB"/>
        </w:rPr>
        <w:t>,</w:t>
      </w:r>
      <w:r w:rsidRPr="00B305AE">
        <w:rPr>
          <w:rFonts w:ascii="Times New Roman" w:hAnsi="Times New Roman" w:cs="Times New Roman"/>
          <w:lang w:val="en-GB"/>
        </w:rPr>
        <w:t xml:space="preserve"> S</w:t>
      </w:r>
      <w:r w:rsidR="00E8502C">
        <w:rPr>
          <w:rFonts w:ascii="Times New Roman" w:hAnsi="Times New Roman" w:cs="Times New Roman"/>
          <w:lang w:val="en-GB"/>
        </w:rPr>
        <w:t>.</w:t>
      </w:r>
      <w:r w:rsidRPr="00B305AE">
        <w:rPr>
          <w:rFonts w:ascii="Times New Roman" w:hAnsi="Times New Roman" w:cs="Times New Roman"/>
          <w:lang w:val="en-GB"/>
        </w:rPr>
        <w:t xml:space="preserve">, </w:t>
      </w:r>
      <w:r w:rsidR="00E8502C">
        <w:rPr>
          <w:rFonts w:ascii="Times New Roman" w:hAnsi="Times New Roman" w:cs="Times New Roman"/>
          <w:lang w:val="en-GB"/>
        </w:rPr>
        <w:t>&amp;</w:t>
      </w:r>
      <w:r>
        <w:rPr>
          <w:rFonts w:ascii="Times New Roman" w:hAnsi="Times New Roman" w:cs="Times New Roman"/>
          <w:lang w:val="en-GB"/>
        </w:rPr>
        <w:t xml:space="preserve"> </w:t>
      </w:r>
      <w:r w:rsidRPr="00B305AE">
        <w:rPr>
          <w:rFonts w:ascii="Times New Roman" w:hAnsi="Times New Roman" w:cs="Times New Roman"/>
          <w:lang w:val="en-GB"/>
        </w:rPr>
        <w:t>Hancock</w:t>
      </w:r>
      <w:r w:rsidR="00E8502C">
        <w:rPr>
          <w:rFonts w:ascii="Times New Roman" w:hAnsi="Times New Roman" w:cs="Times New Roman"/>
          <w:lang w:val="en-GB"/>
        </w:rPr>
        <w:t>,</w:t>
      </w:r>
      <w:r w:rsidRPr="00B305AE">
        <w:rPr>
          <w:rFonts w:ascii="Times New Roman" w:hAnsi="Times New Roman" w:cs="Times New Roman"/>
          <w:lang w:val="en-GB"/>
        </w:rPr>
        <w:t xml:space="preserve"> N</w:t>
      </w:r>
      <w:r w:rsidR="00E8502C">
        <w:rPr>
          <w:rFonts w:ascii="Times New Roman" w:hAnsi="Times New Roman" w:cs="Times New Roman"/>
          <w:lang w:val="en-GB"/>
        </w:rPr>
        <w:t>.</w:t>
      </w:r>
      <w:r w:rsidRPr="00B305AE">
        <w:rPr>
          <w:rFonts w:ascii="Times New Roman" w:hAnsi="Times New Roman" w:cs="Times New Roman"/>
          <w:lang w:val="en-GB"/>
        </w:rPr>
        <w:t xml:space="preserve"> (2010) Routine outcome</w:t>
      </w:r>
      <w:r>
        <w:rPr>
          <w:rFonts w:ascii="Times New Roman" w:hAnsi="Times New Roman" w:cs="Times New Roman"/>
          <w:lang w:val="en-GB"/>
        </w:rPr>
        <w:t xml:space="preserve"> measurement in mental health: F</w:t>
      </w:r>
      <w:r w:rsidRPr="00B305AE">
        <w:rPr>
          <w:rFonts w:ascii="Times New Roman" w:hAnsi="Times New Roman" w:cs="Times New Roman"/>
          <w:lang w:val="en-GB"/>
        </w:rPr>
        <w:t xml:space="preserve">easibility for examining effectiveness of </w:t>
      </w:r>
      <w:r>
        <w:rPr>
          <w:rFonts w:ascii="Times New Roman" w:hAnsi="Times New Roman" w:cs="Times New Roman"/>
          <w:lang w:val="en-GB"/>
        </w:rPr>
        <w:t xml:space="preserve">an NGO. </w:t>
      </w:r>
      <w:r w:rsidRPr="00B305AE">
        <w:rPr>
          <w:rFonts w:ascii="Times New Roman" w:hAnsi="Times New Roman" w:cs="Times New Roman"/>
          <w:i/>
          <w:lang w:val="en-GB"/>
        </w:rPr>
        <w:t>Australasian Psychiatry, 18,</w:t>
      </w:r>
      <w:r w:rsidRPr="00B305AE">
        <w:rPr>
          <w:rFonts w:ascii="Times New Roman" w:hAnsi="Times New Roman" w:cs="Times New Roman"/>
          <w:lang w:val="en-GB"/>
        </w:rPr>
        <w:t xml:space="preserve"> 167–169.</w:t>
      </w:r>
    </w:p>
    <w:p w14:paraId="1FA1F31D" w14:textId="2AB9E28A" w:rsidR="006836A0" w:rsidRPr="003D6DD1" w:rsidRDefault="006836A0" w:rsidP="006836A0">
      <w:pPr>
        <w:shd w:val="clear" w:color="auto" w:fill="FFFFFF"/>
        <w:spacing w:after="150" w:line="480" w:lineRule="auto"/>
        <w:ind w:left="720" w:hanging="720"/>
        <w:rPr>
          <w:rFonts w:ascii="Times New Roman" w:hAnsi="Times New Roman" w:cs="Times New Roman"/>
          <w:lang w:val="en-GB"/>
        </w:rPr>
      </w:pPr>
      <w:r w:rsidRPr="006836A0">
        <w:rPr>
          <w:rFonts w:ascii="Times New Roman" w:hAnsi="Times New Roman" w:cs="Times New Roman"/>
          <w:lang w:val="en-GB"/>
        </w:rPr>
        <w:t>Law</w:t>
      </w:r>
      <w:r w:rsidR="00E8502C">
        <w:rPr>
          <w:rFonts w:ascii="Times New Roman" w:hAnsi="Times New Roman" w:cs="Times New Roman"/>
          <w:lang w:val="en-GB"/>
        </w:rPr>
        <w:t>,</w:t>
      </w:r>
      <w:r w:rsidRPr="006836A0">
        <w:rPr>
          <w:rFonts w:ascii="Times New Roman" w:hAnsi="Times New Roman" w:cs="Times New Roman"/>
          <w:lang w:val="en-GB"/>
        </w:rPr>
        <w:t xml:space="preserve"> H</w:t>
      </w:r>
      <w:r w:rsidR="00E8502C">
        <w:rPr>
          <w:rFonts w:ascii="Times New Roman" w:hAnsi="Times New Roman" w:cs="Times New Roman"/>
          <w:lang w:val="en-GB"/>
        </w:rPr>
        <w:t>.</w:t>
      </w:r>
      <w:r w:rsidRPr="006836A0">
        <w:rPr>
          <w:rFonts w:ascii="Times New Roman" w:hAnsi="Times New Roman" w:cs="Times New Roman"/>
          <w:lang w:val="en-GB"/>
        </w:rPr>
        <w:t>, Morrison</w:t>
      </w:r>
      <w:r w:rsidR="00E8502C">
        <w:rPr>
          <w:rFonts w:ascii="Times New Roman" w:hAnsi="Times New Roman" w:cs="Times New Roman"/>
          <w:lang w:val="en-GB"/>
        </w:rPr>
        <w:t>,</w:t>
      </w:r>
      <w:r w:rsidRPr="006836A0">
        <w:rPr>
          <w:rFonts w:ascii="Times New Roman" w:hAnsi="Times New Roman" w:cs="Times New Roman"/>
          <w:lang w:val="en-GB"/>
        </w:rPr>
        <w:t xml:space="preserve"> A</w:t>
      </w:r>
      <w:r w:rsidR="00E8502C">
        <w:rPr>
          <w:rFonts w:ascii="Times New Roman" w:hAnsi="Times New Roman" w:cs="Times New Roman"/>
          <w:lang w:val="en-GB"/>
        </w:rPr>
        <w:t>.</w:t>
      </w:r>
      <w:r w:rsidRPr="006836A0">
        <w:rPr>
          <w:rFonts w:ascii="Times New Roman" w:hAnsi="Times New Roman" w:cs="Times New Roman"/>
          <w:lang w:val="en-GB"/>
        </w:rPr>
        <w:t>, Byrne</w:t>
      </w:r>
      <w:r w:rsidR="00E8502C">
        <w:rPr>
          <w:rFonts w:ascii="Times New Roman" w:hAnsi="Times New Roman" w:cs="Times New Roman"/>
          <w:lang w:val="en-GB"/>
        </w:rPr>
        <w:t>,</w:t>
      </w:r>
      <w:r w:rsidRPr="006836A0">
        <w:rPr>
          <w:rFonts w:ascii="Times New Roman" w:hAnsi="Times New Roman" w:cs="Times New Roman"/>
          <w:lang w:val="en-GB"/>
        </w:rPr>
        <w:t xml:space="preserve"> R</w:t>
      </w:r>
      <w:r w:rsidR="00E8502C">
        <w:rPr>
          <w:rFonts w:ascii="Times New Roman" w:hAnsi="Times New Roman" w:cs="Times New Roman"/>
          <w:lang w:val="en-GB"/>
        </w:rPr>
        <w:t>.</w:t>
      </w:r>
      <w:r w:rsidRPr="006836A0">
        <w:rPr>
          <w:rFonts w:ascii="Times New Roman" w:hAnsi="Times New Roman" w:cs="Times New Roman"/>
          <w:lang w:val="en-GB"/>
        </w:rPr>
        <w:t xml:space="preserve"> &amp; </w:t>
      </w:r>
      <w:proofErr w:type="spellStart"/>
      <w:r w:rsidRPr="006836A0">
        <w:rPr>
          <w:rFonts w:ascii="Times New Roman" w:hAnsi="Times New Roman" w:cs="Times New Roman"/>
          <w:lang w:val="en-GB"/>
        </w:rPr>
        <w:t>Hodson</w:t>
      </w:r>
      <w:proofErr w:type="spellEnd"/>
      <w:r w:rsidR="00E8502C">
        <w:rPr>
          <w:rFonts w:ascii="Times New Roman" w:hAnsi="Times New Roman" w:cs="Times New Roman"/>
          <w:lang w:val="en-GB"/>
        </w:rPr>
        <w:t>,</w:t>
      </w:r>
      <w:r w:rsidRPr="006836A0">
        <w:rPr>
          <w:rFonts w:ascii="Times New Roman" w:hAnsi="Times New Roman" w:cs="Times New Roman"/>
          <w:lang w:val="en-GB"/>
        </w:rPr>
        <w:t xml:space="preserve"> </w:t>
      </w:r>
      <w:proofErr w:type="gramStart"/>
      <w:r w:rsidRPr="006836A0">
        <w:rPr>
          <w:rFonts w:ascii="Times New Roman" w:hAnsi="Times New Roman" w:cs="Times New Roman"/>
          <w:lang w:val="en-GB"/>
        </w:rPr>
        <w:t>E</w:t>
      </w:r>
      <w:proofErr w:type="gramEnd"/>
      <w:r w:rsidR="00E8502C">
        <w:rPr>
          <w:rFonts w:ascii="Times New Roman" w:hAnsi="Times New Roman" w:cs="Times New Roman"/>
          <w:lang w:val="en-GB"/>
        </w:rPr>
        <w:t>.</w:t>
      </w:r>
      <w:r w:rsidRPr="006836A0">
        <w:rPr>
          <w:rFonts w:ascii="Times New Roman" w:hAnsi="Times New Roman" w:cs="Times New Roman"/>
          <w:lang w:val="en-GB"/>
        </w:rPr>
        <w:t xml:space="preserve"> (2012)</w:t>
      </w:r>
      <w:r>
        <w:rPr>
          <w:rFonts w:ascii="Times New Roman" w:hAnsi="Times New Roman" w:cs="Times New Roman"/>
          <w:lang w:val="en-GB"/>
        </w:rPr>
        <w:t xml:space="preserve"> Recovery from psychosis: A</w:t>
      </w:r>
      <w:r w:rsidRPr="006836A0">
        <w:rPr>
          <w:rFonts w:ascii="Times New Roman" w:hAnsi="Times New Roman" w:cs="Times New Roman"/>
          <w:lang w:val="en-GB"/>
        </w:rPr>
        <w:t xml:space="preserve"> user informed review of self-report instruments for measuring recovery. </w:t>
      </w:r>
      <w:r w:rsidRPr="006836A0">
        <w:rPr>
          <w:rFonts w:ascii="Times New Roman" w:hAnsi="Times New Roman" w:cs="Times New Roman"/>
          <w:i/>
          <w:iCs/>
          <w:lang w:val="en-GB"/>
        </w:rPr>
        <w:t>Journal of Mental Health, 21</w:t>
      </w:r>
      <w:r w:rsidRPr="006836A0">
        <w:rPr>
          <w:rFonts w:ascii="Times New Roman" w:hAnsi="Times New Roman" w:cs="Times New Roman"/>
          <w:lang w:val="en-GB"/>
        </w:rPr>
        <w:t xml:space="preserve">(2), </w:t>
      </w:r>
      <w:r w:rsidRPr="003D6DD1">
        <w:rPr>
          <w:rFonts w:ascii="Times New Roman" w:hAnsi="Times New Roman" w:cs="Times New Roman"/>
          <w:lang w:val="en-GB"/>
        </w:rPr>
        <w:t>192-207.</w:t>
      </w:r>
    </w:p>
    <w:p w14:paraId="1CA52AA9" w14:textId="45E43A1C" w:rsidR="00E93FBC" w:rsidRPr="00E93FBC" w:rsidRDefault="00E93FBC" w:rsidP="006836A0">
      <w:pPr>
        <w:shd w:val="clear" w:color="auto" w:fill="FFFFFF"/>
        <w:spacing w:after="150" w:line="480" w:lineRule="auto"/>
        <w:ind w:left="720" w:hanging="720"/>
        <w:rPr>
          <w:rFonts w:ascii="Times New Roman" w:hAnsi="Times New Roman" w:cs="Times New Roman"/>
          <w:lang w:val="en-GB"/>
        </w:rPr>
      </w:pPr>
      <w:proofErr w:type="gramStart"/>
      <w:r w:rsidRPr="003D6DD1">
        <w:rPr>
          <w:rFonts w:ascii="Times New Roman" w:hAnsi="Times New Roman" w:cs="Times New Roman"/>
          <w:lang w:val="en-GB"/>
        </w:rPr>
        <w:t>Law, H., Neil, S., Dunn, G. &amp; Morrison, A. (2014) Psychometric properties of the Questionnaire about the Process of Recovery (QPR).</w:t>
      </w:r>
      <w:proofErr w:type="gramEnd"/>
      <w:r w:rsidRPr="003D6DD1">
        <w:rPr>
          <w:rFonts w:ascii="Times New Roman" w:hAnsi="Times New Roman" w:cs="Times New Roman"/>
          <w:lang w:val="en-GB"/>
        </w:rPr>
        <w:t xml:space="preserve"> </w:t>
      </w:r>
      <w:r w:rsidRPr="003D6DD1">
        <w:rPr>
          <w:rFonts w:ascii="Times New Roman" w:hAnsi="Times New Roman" w:cs="Times New Roman"/>
          <w:i/>
          <w:lang w:val="en-GB"/>
        </w:rPr>
        <w:t>Schizophrenia Research, 156</w:t>
      </w:r>
      <w:r w:rsidRPr="003D6DD1">
        <w:rPr>
          <w:rFonts w:ascii="Times New Roman" w:hAnsi="Times New Roman" w:cs="Times New Roman"/>
          <w:lang w:val="en-GB"/>
        </w:rPr>
        <w:t>(2), 184-189.</w:t>
      </w:r>
      <w:bookmarkStart w:id="0" w:name="_GoBack"/>
      <w:bookmarkEnd w:id="0"/>
    </w:p>
    <w:p w14:paraId="162CE86D" w14:textId="07625A8F" w:rsidR="00C571F6" w:rsidRDefault="00C571F6" w:rsidP="006836A0">
      <w:pPr>
        <w:shd w:val="clear" w:color="auto" w:fill="FFFFFF"/>
        <w:spacing w:after="150" w:line="480" w:lineRule="auto"/>
        <w:ind w:left="720" w:hanging="720"/>
        <w:rPr>
          <w:rFonts w:ascii="Times New Roman" w:hAnsi="Times New Roman" w:cs="Times New Roman"/>
          <w:lang w:val="en-GB"/>
        </w:rPr>
      </w:pPr>
      <w:proofErr w:type="spellStart"/>
      <w:proofErr w:type="gramStart"/>
      <w:r w:rsidRPr="00C571F6">
        <w:rPr>
          <w:rFonts w:ascii="Times New Roman" w:hAnsi="Times New Roman" w:cs="Times New Roman"/>
          <w:lang w:val="en-GB"/>
        </w:rPr>
        <w:t>Leamy</w:t>
      </w:r>
      <w:proofErr w:type="spellEnd"/>
      <w:r w:rsidRPr="00C571F6">
        <w:rPr>
          <w:rFonts w:ascii="Times New Roman" w:hAnsi="Times New Roman" w:cs="Times New Roman"/>
          <w:lang w:val="en-GB"/>
        </w:rPr>
        <w:t xml:space="preserve">, M., Bird, V., </w:t>
      </w:r>
      <w:r>
        <w:rPr>
          <w:rFonts w:ascii="Times New Roman" w:hAnsi="Times New Roman" w:cs="Times New Roman"/>
          <w:lang w:val="en-GB"/>
        </w:rPr>
        <w:t xml:space="preserve">Le </w:t>
      </w:r>
      <w:proofErr w:type="spellStart"/>
      <w:r>
        <w:rPr>
          <w:rFonts w:ascii="Times New Roman" w:hAnsi="Times New Roman" w:cs="Times New Roman"/>
          <w:lang w:val="en-GB"/>
        </w:rPr>
        <w:t>Boutillier</w:t>
      </w:r>
      <w:proofErr w:type="spellEnd"/>
      <w:r>
        <w:rPr>
          <w:rFonts w:ascii="Times New Roman" w:hAnsi="Times New Roman" w:cs="Times New Roman"/>
          <w:lang w:val="en-GB"/>
        </w:rPr>
        <w:t>, C., Williams, J.</w:t>
      </w:r>
      <w:r w:rsidRPr="00C571F6">
        <w:rPr>
          <w:rFonts w:ascii="Times New Roman" w:hAnsi="Times New Roman" w:cs="Times New Roman"/>
          <w:lang w:val="en-GB"/>
        </w:rPr>
        <w:t xml:space="preserve"> &amp; Slad</w:t>
      </w:r>
      <w:r>
        <w:rPr>
          <w:rFonts w:ascii="Times New Roman" w:hAnsi="Times New Roman" w:cs="Times New Roman"/>
          <w:lang w:val="en-GB"/>
        </w:rPr>
        <w:t>e, M. (2011)</w:t>
      </w:r>
      <w:r w:rsidRPr="00C571F6">
        <w:rPr>
          <w:rFonts w:ascii="Times New Roman" w:hAnsi="Times New Roman" w:cs="Times New Roman"/>
          <w:lang w:val="en-GB"/>
        </w:rPr>
        <w:t xml:space="preserve"> Conceptual framework for personal recovery in mental health: </w:t>
      </w:r>
      <w:r>
        <w:rPr>
          <w:rFonts w:ascii="Times New Roman" w:hAnsi="Times New Roman" w:cs="Times New Roman"/>
          <w:lang w:val="en-GB"/>
        </w:rPr>
        <w:t>S</w:t>
      </w:r>
      <w:r w:rsidRPr="00C571F6">
        <w:rPr>
          <w:rFonts w:ascii="Times New Roman" w:hAnsi="Times New Roman" w:cs="Times New Roman"/>
          <w:lang w:val="en-GB"/>
        </w:rPr>
        <w:t xml:space="preserve">ystematic </w:t>
      </w:r>
      <w:r>
        <w:rPr>
          <w:rFonts w:ascii="Times New Roman" w:hAnsi="Times New Roman" w:cs="Times New Roman"/>
          <w:lang w:val="en-GB"/>
        </w:rPr>
        <w:t>review and narrative synthesis.</w:t>
      </w:r>
      <w:proofErr w:type="gramEnd"/>
      <w:r w:rsidRPr="00C571F6">
        <w:rPr>
          <w:rFonts w:ascii="Times New Roman" w:hAnsi="Times New Roman" w:cs="Times New Roman"/>
          <w:i/>
          <w:lang w:val="en-GB"/>
        </w:rPr>
        <w:t xml:space="preserve"> British Journal of Psychiatry, 199</w:t>
      </w:r>
      <w:r w:rsidRPr="00C571F6">
        <w:rPr>
          <w:rFonts w:ascii="Times New Roman" w:hAnsi="Times New Roman" w:cs="Times New Roman"/>
          <w:lang w:val="en-GB"/>
        </w:rPr>
        <w:t>(6), 445-452.</w:t>
      </w:r>
    </w:p>
    <w:p w14:paraId="27E4CEFA" w14:textId="6B2475D5" w:rsidR="00403361" w:rsidRPr="00403361" w:rsidRDefault="00403361" w:rsidP="00403361">
      <w:pPr>
        <w:shd w:val="clear" w:color="auto" w:fill="FFFFFF"/>
        <w:spacing w:after="150" w:line="480" w:lineRule="auto"/>
        <w:ind w:left="720" w:hanging="720"/>
        <w:rPr>
          <w:rFonts w:asciiTheme="majorBidi" w:eastAsia="Times New Roman" w:hAnsiTheme="majorBidi" w:cstheme="majorBidi"/>
          <w:color w:val="000000"/>
          <w:lang w:val="en"/>
        </w:rPr>
      </w:pPr>
      <w:r w:rsidRPr="00B4764D">
        <w:rPr>
          <w:rFonts w:asciiTheme="majorBidi" w:eastAsia="Times New Roman" w:hAnsiTheme="majorBidi" w:cstheme="majorBidi"/>
          <w:color w:val="000000"/>
          <w:lang w:val="en"/>
        </w:rPr>
        <w:t>L</w:t>
      </w:r>
      <w:r>
        <w:rPr>
          <w:rFonts w:asciiTheme="majorBidi" w:eastAsia="Times New Roman" w:hAnsiTheme="majorBidi" w:cstheme="majorBidi"/>
          <w:color w:val="000000"/>
          <w:lang w:val="en"/>
        </w:rPr>
        <w:t>ewis</w:t>
      </w:r>
      <w:r w:rsidRPr="00B4764D">
        <w:rPr>
          <w:rFonts w:asciiTheme="majorBidi" w:eastAsia="Times New Roman" w:hAnsiTheme="majorBidi" w:cstheme="majorBidi"/>
          <w:color w:val="000000"/>
          <w:lang w:val="en"/>
        </w:rPr>
        <w:t>, G. &amp; K</w:t>
      </w:r>
      <w:r>
        <w:rPr>
          <w:rFonts w:asciiTheme="majorBidi" w:eastAsia="Times New Roman" w:hAnsiTheme="majorBidi" w:cstheme="majorBidi"/>
          <w:color w:val="000000"/>
          <w:lang w:val="en"/>
        </w:rPr>
        <w:t>illaspy</w:t>
      </w:r>
      <w:r w:rsidRPr="00B4764D">
        <w:rPr>
          <w:rFonts w:asciiTheme="majorBidi" w:eastAsia="Times New Roman" w:hAnsiTheme="majorBidi" w:cstheme="majorBidi"/>
          <w:color w:val="000000"/>
          <w:lang w:val="en"/>
        </w:rPr>
        <w:t xml:space="preserve">, H. </w:t>
      </w:r>
      <w:r>
        <w:rPr>
          <w:rFonts w:asciiTheme="majorBidi" w:eastAsia="Times New Roman" w:hAnsiTheme="majorBidi" w:cstheme="majorBidi"/>
          <w:color w:val="000000"/>
          <w:lang w:val="en"/>
        </w:rPr>
        <w:t>(</w:t>
      </w:r>
      <w:r w:rsidRPr="00B4764D">
        <w:rPr>
          <w:rFonts w:asciiTheme="majorBidi" w:eastAsia="Times New Roman" w:hAnsiTheme="majorBidi" w:cstheme="majorBidi"/>
          <w:color w:val="000000"/>
          <w:lang w:val="en"/>
        </w:rPr>
        <w:t>2014</w:t>
      </w:r>
      <w:r>
        <w:rPr>
          <w:rFonts w:asciiTheme="majorBidi" w:eastAsia="Times New Roman" w:hAnsiTheme="majorBidi" w:cstheme="majorBidi"/>
          <w:color w:val="000000"/>
          <w:lang w:val="en"/>
        </w:rPr>
        <w:t>)</w:t>
      </w:r>
      <w:r w:rsidRPr="00B4764D">
        <w:rPr>
          <w:rFonts w:asciiTheme="majorBidi" w:eastAsia="Times New Roman" w:hAnsiTheme="majorBidi" w:cstheme="majorBidi"/>
          <w:color w:val="000000"/>
          <w:lang w:val="en"/>
        </w:rPr>
        <w:t xml:space="preserve"> Getting the measure of outcomes in clinical practice. </w:t>
      </w:r>
      <w:r w:rsidRPr="00403361">
        <w:rPr>
          <w:rFonts w:asciiTheme="majorBidi" w:eastAsia="Times New Roman" w:hAnsiTheme="majorBidi" w:cstheme="majorBidi"/>
          <w:i/>
          <w:color w:val="000000"/>
          <w:lang w:val="en"/>
        </w:rPr>
        <w:t>Advances in Psychiatric Treatment, 20</w:t>
      </w:r>
      <w:r>
        <w:rPr>
          <w:rFonts w:asciiTheme="majorBidi" w:eastAsia="Times New Roman" w:hAnsiTheme="majorBidi" w:cstheme="majorBidi"/>
          <w:color w:val="000000"/>
          <w:lang w:val="en"/>
        </w:rPr>
        <w:t>(3)</w:t>
      </w:r>
      <w:r w:rsidRPr="00403361">
        <w:rPr>
          <w:rFonts w:asciiTheme="majorBidi" w:eastAsia="Times New Roman" w:hAnsiTheme="majorBidi" w:cstheme="majorBidi"/>
          <w:i/>
          <w:color w:val="000000"/>
          <w:lang w:val="en"/>
        </w:rPr>
        <w:t>,</w:t>
      </w:r>
      <w:r w:rsidRPr="00B4764D">
        <w:rPr>
          <w:rFonts w:asciiTheme="majorBidi" w:eastAsia="Times New Roman" w:hAnsiTheme="majorBidi" w:cstheme="majorBidi"/>
          <w:color w:val="000000"/>
          <w:lang w:val="en"/>
        </w:rPr>
        <w:t xml:space="preserve"> </w:t>
      </w:r>
      <w:r>
        <w:rPr>
          <w:rFonts w:asciiTheme="majorBidi" w:eastAsia="Times New Roman" w:hAnsiTheme="majorBidi" w:cstheme="majorBidi"/>
          <w:color w:val="000000"/>
          <w:lang w:val="en"/>
        </w:rPr>
        <w:t>165-1</w:t>
      </w:r>
      <w:r w:rsidRPr="00B4764D">
        <w:rPr>
          <w:rFonts w:asciiTheme="majorBidi" w:eastAsia="Times New Roman" w:hAnsiTheme="majorBidi" w:cstheme="majorBidi"/>
          <w:color w:val="000000"/>
          <w:lang w:val="en"/>
        </w:rPr>
        <w:t>7</w:t>
      </w:r>
      <w:r>
        <w:rPr>
          <w:rFonts w:asciiTheme="majorBidi" w:eastAsia="Times New Roman" w:hAnsiTheme="majorBidi" w:cstheme="majorBidi"/>
          <w:color w:val="000000"/>
          <w:lang w:val="en"/>
        </w:rPr>
        <w:t>1.</w:t>
      </w:r>
    </w:p>
    <w:p w14:paraId="3002C90F" w14:textId="32404AF7" w:rsidR="00C03DEB" w:rsidRPr="00E9099A" w:rsidRDefault="003D47BD" w:rsidP="00C03DEB">
      <w:pPr>
        <w:shd w:val="clear" w:color="auto" w:fill="FFFFFF"/>
        <w:spacing w:after="150" w:line="480" w:lineRule="auto"/>
        <w:ind w:left="720" w:hanging="720"/>
        <w:rPr>
          <w:rFonts w:ascii="Times New Roman" w:hAnsi="Times New Roman" w:cs="Times New Roman"/>
          <w:lang w:val="en-GB"/>
        </w:rPr>
      </w:pPr>
      <w:r>
        <w:rPr>
          <w:rFonts w:ascii="Times New Roman" w:hAnsi="Times New Roman" w:cs="Times New Roman"/>
          <w:lang w:val="en-GB"/>
        </w:rPr>
        <w:t>Pesola</w:t>
      </w:r>
      <w:r w:rsidR="00E8502C">
        <w:rPr>
          <w:rFonts w:ascii="Times New Roman" w:hAnsi="Times New Roman" w:cs="Times New Roman"/>
          <w:lang w:val="en-GB"/>
        </w:rPr>
        <w:t>,</w:t>
      </w:r>
      <w:r>
        <w:rPr>
          <w:rFonts w:ascii="Times New Roman" w:hAnsi="Times New Roman" w:cs="Times New Roman"/>
          <w:lang w:val="en-GB"/>
        </w:rPr>
        <w:t xml:space="preserve"> F</w:t>
      </w:r>
      <w:r w:rsidR="00E8502C">
        <w:rPr>
          <w:rFonts w:ascii="Times New Roman" w:hAnsi="Times New Roman" w:cs="Times New Roman"/>
          <w:lang w:val="en-GB"/>
        </w:rPr>
        <w:t>.</w:t>
      </w:r>
      <w:r>
        <w:rPr>
          <w:rFonts w:ascii="Times New Roman" w:hAnsi="Times New Roman" w:cs="Times New Roman"/>
          <w:lang w:val="en-GB"/>
        </w:rPr>
        <w:t>, Williams</w:t>
      </w:r>
      <w:r w:rsidR="00E8502C">
        <w:rPr>
          <w:rFonts w:ascii="Times New Roman" w:hAnsi="Times New Roman" w:cs="Times New Roman"/>
          <w:lang w:val="en-GB"/>
        </w:rPr>
        <w:t>,</w:t>
      </w:r>
      <w:r>
        <w:rPr>
          <w:rFonts w:ascii="Times New Roman" w:hAnsi="Times New Roman" w:cs="Times New Roman"/>
          <w:lang w:val="en-GB"/>
        </w:rPr>
        <w:t xml:space="preserve"> J</w:t>
      </w:r>
      <w:r w:rsidR="00E8502C">
        <w:rPr>
          <w:rFonts w:ascii="Times New Roman" w:hAnsi="Times New Roman" w:cs="Times New Roman"/>
          <w:lang w:val="en-GB"/>
        </w:rPr>
        <w:t>.</w:t>
      </w:r>
      <w:r>
        <w:rPr>
          <w:rFonts w:ascii="Times New Roman" w:hAnsi="Times New Roman" w:cs="Times New Roman"/>
          <w:lang w:val="en-GB"/>
        </w:rPr>
        <w:t>, Bird</w:t>
      </w:r>
      <w:r w:rsidR="00E8502C">
        <w:rPr>
          <w:rFonts w:ascii="Times New Roman" w:hAnsi="Times New Roman" w:cs="Times New Roman"/>
          <w:lang w:val="en-GB"/>
        </w:rPr>
        <w:t>,</w:t>
      </w:r>
      <w:r>
        <w:rPr>
          <w:rFonts w:ascii="Times New Roman" w:hAnsi="Times New Roman" w:cs="Times New Roman"/>
          <w:lang w:val="en-GB"/>
        </w:rPr>
        <w:t xml:space="preserve"> V</w:t>
      </w:r>
      <w:r w:rsidR="00E8502C">
        <w:rPr>
          <w:rFonts w:ascii="Times New Roman" w:hAnsi="Times New Roman" w:cs="Times New Roman"/>
          <w:lang w:val="en-GB"/>
        </w:rPr>
        <w:t>.</w:t>
      </w:r>
      <w:r>
        <w:rPr>
          <w:rFonts w:ascii="Times New Roman" w:hAnsi="Times New Roman" w:cs="Times New Roman"/>
          <w:lang w:val="en-GB"/>
        </w:rPr>
        <w:t xml:space="preserve">, </w:t>
      </w:r>
      <w:proofErr w:type="spellStart"/>
      <w:r>
        <w:rPr>
          <w:rFonts w:ascii="Times New Roman" w:hAnsi="Times New Roman" w:cs="Times New Roman"/>
          <w:lang w:val="en-GB"/>
        </w:rPr>
        <w:t>Freidl</w:t>
      </w:r>
      <w:proofErr w:type="spellEnd"/>
      <w:r w:rsidR="00E8502C">
        <w:rPr>
          <w:rFonts w:ascii="Times New Roman" w:hAnsi="Times New Roman" w:cs="Times New Roman"/>
          <w:lang w:val="en-GB"/>
        </w:rPr>
        <w:t>,</w:t>
      </w:r>
      <w:r>
        <w:rPr>
          <w:rFonts w:ascii="Times New Roman" w:hAnsi="Times New Roman" w:cs="Times New Roman"/>
          <w:lang w:val="en-GB"/>
        </w:rPr>
        <w:t xml:space="preserve"> M</w:t>
      </w:r>
      <w:r w:rsidR="00E8502C">
        <w:rPr>
          <w:rFonts w:ascii="Times New Roman" w:hAnsi="Times New Roman" w:cs="Times New Roman"/>
          <w:lang w:val="en-GB"/>
        </w:rPr>
        <w:t>.</w:t>
      </w:r>
      <w:r>
        <w:rPr>
          <w:rFonts w:ascii="Times New Roman" w:hAnsi="Times New Roman" w:cs="Times New Roman"/>
          <w:lang w:val="en-GB"/>
        </w:rPr>
        <w:t xml:space="preserve">, Le </w:t>
      </w:r>
      <w:proofErr w:type="spellStart"/>
      <w:r>
        <w:rPr>
          <w:rFonts w:ascii="Times New Roman" w:hAnsi="Times New Roman" w:cs="Times New Roman"/>
          <w:lang w:val="en-GB"/>
        </w:rPr>
        <w:t>Boutillier</w:t>
      </w:r>
      <w:proofErr w:type="spellEnd"/>
      <w:r w:rsidR="00E8502C">
        <w:rPr>
          <w:rFonts w:ascii="Times New Roman" w:hAnsi="Times New Roman" w:cs="Times New Roman"/>
          <w:lang w:val="en-GB"/>
        </w:rPr>
        <w:t>,</w:t>
      </w:r>
      <w:r>
        <w:rPr>
          <w:rFonts w:ascii="Times New Roman" w:hAnsi="Times New Roman" w:cs="Times New Roman"/>
          <w:lang w:val="en-GB"/>
        </w:rPr>
        <w:t xml:space="preserve"> C</w:t>
      </w:r>
      <w:r w:rsidR="00E8502C">
        <w:rPr>
          <w:rFonts w:ascii="Times New Roman" w:hAnsi="Times New Roman" w:cs="Times New Roman"/>
          <w:lang w:val="en-GB"/>
        </w:rPr>
        <w:t>.</w:t>
      </w:r>
      <w:r>
        <w:rPr>
          <w:rFonts w:ascii="Times New Roman" w:hAnsi="Times New Roman" w:cs="Times New Roman"/>
          <w:lang w:val="en-GB"/>
        </w:rPr>
        <w:t xml:space="preserve">, </w:t>
      </w:r>
      <w:proofErr w:type="spellStart"/>
      <w:r>
        <w:rPr>
          <w:rFonts w:ascii="Times New Roman" w:hAnsi="Times New Roman" w:cs="Times New Roman"/>
          <w:lang w:val="en-GB"/>
        </w:rPr>
        <w:t>Leamy</w:t>
      </w:r>
      <w:proofErr w:type="spellEnd"/>
      <w:r w:rsidR="00E8502C">
        <w:rPr>
          <w:rFonts w:ascii="Times New Roman" w:hAnsi="Times New Roman" w:cs="Times New Roman"/>
          <w:lang w:val="en-GB"/>
        </w:rPr>
        <w:t>,</w:t>
      </w:r>
      <w:r w:rsidR="00C03DEB" w:rsidRPr="0082068E">
        <w:rPr>
          <w:rFonts w:ascii="Times New Roman" w:hAnsi="Times New Roman" w:cs="Times New Roman"/>
          <w:lang w:val="en-GB"/>
        </w:rPr>
        <w:t xml:space="preserve"> M., .</w:t>
      </w:r>
      <w:r>
        <w:rPr>
          <w:rFonts w:ascii="Times New Roman" w:hAnsi="Times New Roman" w:cs="Times New Roman"/>
          <w:lang w:val="en-GB"/>
        </w:rPr>
        <w:t xml:space="preserve"> . . Slade</w:t>
      </w:r>
      <w:r w:rsidR="00E8502C">
        <w:rPr>
          <w:rFonts w:ascii="Times New Roman" w:hAnsi="Times New Roman" w:cs="Times New Roman"/>
          <w:lang w:val="en-GB"/>
        </w:rPr>
        <w:t>,</w:t>
      </w:r>
      <w:r>
        <w:rPr>
          <w:rFonts w:ascii="Times New Roman" w:hAnsi="Times New Roman" w:cs="Times New Roman"/>
          <w:lang w:val="en-GB"/>
        </w:rPr>
        <w:t xml:space="preserve"> M. (2015)</w:t>
      </w:r>
      <w:r w:rsidR="00C03DEB" w:rsidRPr="0082068E">
        <w:rPr>
          <w:rFonts w:ascii="Times New Roman" w:hAnsi="Times New Roman" w:cs="Times New Roman"/>
          <w:lang w:val="en-GB"/>
        </w:rPr>
        <w:t xml:space="preserve"> Development</w:t>
      </w:r>
      <w:r w:rsidR="00C03DEB">
        <w:rPr>
          <w:rFonts w:ascii="Times New Roman" w:hAnsi="Times New Roman" w:cs="Times New Roman"/>
          <w:lang w:val="en-GB"/>
        </w:rPr>
        <w:t xml:space="preserve"> and evaluation of an Individualized Outcome Measure (IOM) </w:t>
      </w:r>
      <w:r w:rsidR="00C03DEB">
        <w:rPr>
          <w:rFonts w:ascii="Times New Roman" w:hAnsi="Times New Roman" w:cs="Times New Roman"/>
          <w:lang w:val="en-GB"/>
        </w:rPr>
        <w:lastRenderedPageBreak/>
        <w:t xml:space="preserve">for randomized controlled trials in mental health. </w:t>
      </w:r>
      <w:proofErr w:type="gramStart"/>
      <w:r w:rsidR="00C03DEB" w:rsidRPr="0082068E">
        <w:rPr>
          <w:rFonts w:ascii="Times New Roman" w:hAnsi="Times New Roman" w:cs="Times New Roman"/>
          <w:i/>
          <w:iCs/>
          <w:lang w:val="en-GB"/>
        </w:rPr>
        <w:t>International Journal of Methods in Psychiatric Research</w:t>
      </w:r>
      <w:r w:rsidR="00C03DEB">
        <w:rPr>
          <w:rFonts w:ascii="Times New Roman" w:hAnsi="Times New Roman" w:cs="Times New Roman"/>
          <w:lang w:val="en-GB"/>
        </w:rPr>
        <w:t xml:space="preserve">, </w:t>
      </w:r>
      <w:r w:rsidR="00C03DEB">
        <w:rPr>
          <w:rFonts w:ascii="Times New Roman" w:hAnsi="Times New Roman" w:cs="Times New Roman"/>
          <w:i/>
          <w:iCs/>
          <w:lang w:val="en-GB"/>
        </w:rPr>
        <w:t>24</w:t>
      </w:r>
      <w:r w:rsidR="00C03DEB">
        <w:rPr>
          <w:rFonts w:ascii="Times New Roman" w:hAnsi="Times New Roman" w:cs="Times New Roman"/>
          <w:lang w:val="en-GB"/>
        </w:rPr>
        <w:t>(4), 257 -265.</w:t>
      </w:r>
      <w:proofErr w:type="gramEnd"/>
      <w:r w:rsidR="00C03DEB">
        <w:rPr>
          <w:rFonts w:ascii="Times New Roman" w:hAnsi="Times New Roman" w:cs="Times New Roman"/>
          <w:lang w:val="en-GB"/>
        </w:rPr>
        <w:t xml:space="preserve"> http://</w:t>
      </w:r>
      <w:r w:rsidR="00C03DEB" w:rsidRPr="00592155">
        <w:rPr>
          <w:rFonts w:asciiTheme="majorBidi" w:eastAsia="Times New Roman" w:hAnsiTheme="majorBidi" w:cstheme="majorBidi"/>
          <w:color w:val="000000"/>
          <w:lang w:val="en"/>
        </w:rPr>
        <w:t>dx.doi.org/</w:t>
      </w:r>
      <w:r w:rsidR="00C03DEB">
        <w:rPr>
          <w:rFonts w:asciiTheme="majorBidi" w:eastAsia="Times New Roman" w:hAnsiTheme="majorBidi" w:cstheme="majorBidi"/>
          <w:color w:val="000000"/>
          <w:lang w:val="en"/>
        </w:rPr>
        <w:t>10.1002/mpr.1480</w:t>
      </w:r>
    </w:p>
    <w:p w14:paraId="4B4D41B4" w14:textId="2D38CF9D" w:rsidR="00B305AE" w:rsidRDefault="00B305AE" w:rsidP="00E8502C">
      <w:pPr>
        <w:shd w:val="clear" w:color="auto" w:fill="FFFFFF"/>
        <w:spacing w:after="150" w:line="480" w:lineRule="auto"/>
        <w:ind w:left="720" w:hanging="720"/>
        <w:rPr>
          <w:rFonts w:ascii="Times New Roman" w:hAnsi="Times New Roman" w:cs="Times New Roman"/>
        </w:rPr>
      </w:pPr>
      <w:proofErr w:type="spellStart"/>
      <w:r w:rsidRPr="00B305AE">
        <w:rPr>
          <w:rFonts w:ascii="Times New Roman" w:hAnsi="Times New Roman" w:cs="Times New Roman"/>
        </w:rPr>
        <w:t>Pirkis</w:t>
      </w:r>
      <w:proofErr w:type="spellEnd"/>
      <w:r w:rsidR="00E8502C">
        <w:rPr>
          <w:rFonts w:ascii="Times New Roman" w:hAnsi="Times New Roman" w:cs="Times New Roman"/>
        </w:rPr>
        <w:t>,</w:t>
      </w:r>
      <w:r w:rsidRPr="00B305AE">
        <w:rPr>
          <w:rFonts w:ascii="Times New Roman" w:hAnsi="Times New Roman" w:cs="Times New Roman"/>
        </w:rPr>
        <w:t xml:space="preserve"> J</w:t>
      </w:r>
      <w:r w:rsidR="00E8502C">
        <w:rPr>
          <w:rFonts w:ascii="Times New Roman" w:hAnsi="Times New Roman" w:cs="Times New Roman"/>
        </w:rPr>
        <w:t>.</w:t>
      </w:r>
      <w:r>
        <w:rPr>
          <w:rFonts w:ascii="Times New Roman" w:hAnsi="Times New Roman" w:cs="Times New Roman"/>
        </w:rPr>
        <w:t xml:space="preserve"> </w:t>
      </w:r>
      <w:r w:rsidR="00E8502C">
        <w:rPr>
          <w:rFonts w:ascii="Times New Roman" w:hAnsi="Times New Roman" w:cs="Times New Roman"/>
        </w:rPr>
        <w:t>&amp;</w:t>
      </w:r>
      <w:r w:rsidRPr="00B305AE">
        <w:rPr>
          <w:rFonts w:ascii="Times New Roman" w:hAnsi="Times New Roman" w:cs="Times New Roman"/>
        </w:rPr>
        <w:t xml:space="preserve"> </w:t>
      </w:r>
      <w:proofErr w:type="spellStart"/>
      <w:r w:rsidRPr="00B305AE">
        <w:rPr>
          <w:rFonts w:ascii="Times New Roman" w:hAnsi="Times New Roman" w:cs="Times New Roman"/>
        </w:rPr>
        <w:t>Callaly</w:t>
      </w:r>
      <w:proofErr w:type="spellEnd"/>
      <w:r w:rsidR="00E8502C">
        <w:rPr>
          <w:rFonts w:ascii="Times New Roman" w:hAnsi="Times New Roman" w:cs="Times New Roman"/>
        </w:rPr>
        <w:t>,</w:t>
      </w:r>
      <w:r w:rsidRPr="00B305AE">
        <w:rPr>
          <w:rFonts w:ascii="Times New Roman" w:hAnsi="Times New Roman" w:cs="Times New Roman"/>
        </w:rPr>
        <w:t xml:space="preserve"> T</w:t>
      </w:r>
      <w:r w:rsidR="00E8502C">
        <w:rPr>
          <w:rFonts w:ascii="Times New Roman" w:hAnsi="Times New Roman" w:cs="Times New Roman"/>
        </w:rPr>
        <w:t>.</w:t>
      </w:r>
      <w:r w:rsidRPr="00B305AE">
        <w:rPr>
          <w:rFonts w:ascii="Times New Roman" w:hAnsi="Times New Roman" w:cs="Times New Roman"/>
        </w:rPr>
        <w:t xml:space="preserve"> (2010) </w:t>
      </w:r>
      <w:proofErr w:type="gramStart"/>
      <w:r w:rsidRPr="00B305AE">
        <w:rPr>
          <w:rFonts w:ascii="Times New Roman" w:hAnsi="Times New Roman" w:cs="Times New Roman"/>
        </w:rPr>
        <w:t>Mental</w:t>
      </w:r>
      <w:proofErr w:type="gramEnd"/>
      <w:r w:rsidRPr="00B305AE">
        <w:rPr>
          <w:rFonts w:ascii="Times New Roman" w:hAnsi="Times New Roman" w:cs="Times New Roman"/>
        </w:rPr>
        <w:t xml:space="preserve"> health outcome measurement in Australia. In: </w:t>
      </w:r>
      <w:proofErr w:type="spellStart"/>
      <w:r w:rsidRPr="00B305AE">
        <w:rPr>
          <w:rFonts w:ascii="Times New Roman" w:hAnsi="Times New Roman" w:cs="Times New Roman"/>
        </w:rPr>
        <w:t>Trauer</w:t>
      </w:r>
      <w:proofErr w:type="spellEnd"/>
      <w:r>
        <w:rPr>
          <w:rFonts w:ascii="Times New Roman" w:hAnsi="Times New Roman" w:cs="Times New Roman"/>
        </w:rPr>
        <w:t>,</w:t>
      </w:r>
      <w:r w:rsidRPr="00B305AE">
        <w:rPr>
          <w:rFonts w:ascii="Times New Roman" w:hAnsi="Times New Roman" w:cs="Times New Roman"/>
        </w:rPr>
        <w:t xml:space="preserve"> T</w:t>
      </w:r>
      <w:r>
        <w:rPr>
          <w:rFonts w:ascii="Times New Roman" w:hAnsi="Times New Roman" w:cs="Times New Roman"/>
        </w:rPr>
        <w:t>.</w:t>
      </w:r>
      <w:r w:rsidRPr="00B305AE">
        <w:rPr>
          <w:rFonts w:ascii="Times New Roman" w:hAnsi="Times New Roman" w:cs="Times New Roman"/>
        </w:rPr>
        <w:t xml:space="preserve"> (</w:t>
      </w:r>
      <w:proofErr w:type="spellStart"/>
      <w:r w:rsidRPr="00B305AE">
        <w:rPr>
          <w:rFonts w:ascii="Times New Roman" w:hAnsi="Times New Roman" w:cs="Times New Roman"/>
        </w:rPr>
        <w:t>ed</w:t>
      </w:r>
      <w:proofErr w:type="spellEnd"/>
      <w:r w:rsidRPr="00B305AE">
        <w:rPr>
          <w:rFonts w:ascii="Times New Roman" w:hAnsi="Times New Roman" w:cs="Times New Roman"/>
        </w:rPr>
        <w:t xml:space="preserve">). </w:t>
      </w:r>
      <w:r w:rsidRPr="00B305AE">
        <w:rPr>
          <w:rFonts w:ascii="Times New Roman" w:hAnsi="Times New Roman" w:cs="Times New Roman"/>
          <w:i/>
        </w:rPr>
        <w:t>Outcome Measurement in Mental Health: Theory and Practice.</w:t>
      </w:r>
      <w:r>
        <w:rPr>
          <w:rFonts w:ascii="Times New Roman" w:hAnsi="Times New Roman" w:cs="Times New Roman"/>
        </w:rPr>
        <w:t xml:space="preserve"> Cambridge:</w:t>
      </w:r>
      <w:r w:rsidRPr="00B305AE">
        <w:rPr>
          <w:rFonts w:ascii="Times New Roman" w:hAnsi="Times New Roman" w:cs="Times New Roman"/>
        </w:rPr>
        <w:t xml:space="preserve"> Cambridge University Press, </w:t>
      </w:r>
      <w:r w:rsidR="003D47BD">
        <w:rPr>
          <w:rFonts w:ascii="Times New Roman" w:hAnsi="Times New Roman" w:cs="Times New Roman"/>
        </w:rPr>
        <w:t>pp.</w:t>
      </w:r>
      <w:r w:rsidRPr="00B305AE">
        <w:rPr>
          <w:rFonts w:ascii="Times New Roman" w:hAnsi="Times New Roman" w:cs="Times New Roman"/>
        </w:rPr>
        <w:t>15–25.</w:t>
      </w:r>
    </w:p>
    <w:p w14:paraId="75E81345" w14:textId="7B25DFF5" w:rsidR="00C03DEB" w:rsidRDefault="00C03DEB" w:rsidP="00C03DEB">
      <w:pPr>
        <w:shd w:val="clear" w:color="auto" w:fill="FFFFFF"/>
        <w:spacing w:after="150" w:line="480" w:lineRule="auto"/>
        <w:ind w:left="720" w:hanging="720"/>
        <w:rPr>
          <w:rFonts w:ascii="Times New Roman" w:hAnsi="Times New Roman" w:cs="Times New Roman"/>
        </w:rPr>
      </w:pPr>
      <w:r w:rsidRPr="000412F9">
        <w:rPr>
          <w:rFonts w:ascii="Times New Roman" w:hAnsi="Times New Roman" w:cs="Times New Roman"/>
        </w:rPr>
        <w:t>President's New Freedom Commission on Mental Health</w:t>
      </w:r>
      <w:r w:rsidR="003D47BD">
        <w:rPr>
          <w:rFonts w:ascii="Times New Roman" w:hAnsi="Times New Roman" w:cs="Times New Roman"/>
        </w:rPr>
        <w:t xml:space="preserve"> (2003)</w:t>
      </w:r>
      <w:r w:rsidRPr="000412F9">
        <w:rPr>
          <w:rFonts w:ascii="Times New Roman" w:hAnsi="Times New Roman" w:cs="Times New Roman"/>
        </w:rPr>
        <w:t xml:space="preserve"> </w:t>
      </w:r>
      <w:r w:rsidRPr="000412F9">
        <w:rPr>
          <w:rFonts w:ascii="Times New Roman" w:hAnsi="Times New Roman" w:cs="Times New Roman"/>
          <w:i/>
          <w:iCs/>
        </w:rPr>
        <w:t>Achieving the promise: Transforming mental health care in America</w:t>
      </w:r>
      <w:r w:rsidRPr="000412F9">
        <w:rPr>
          <w:rFonts w:ascii="Times New Roman" w:hAnsi="Times New Roman" w:cs="Times New Roman"/>
        </w:rPr>
        <w:t xml:space="preserve">. </w:t>
      </w:r>
      <w:r>
        <w:rPr>
          <w:rFonts w:ascii="Times New Roman" w:hAnsi="Times New Roman" w:cs="Times New Roman"/>
        </w:rPr>
        <w:t xml:space="preserve">Retrieved from </w:t>
      </w:r>
      <w:r w:rsidRPr="000412F9">
        <w:rPr>
          <w:rFonts w:ascii="Times New Roman" w:hAnsi="Times New Roman" w:cs="Times New Roman"/>
        </w:rPr>
        <w:t>http://govinfo.library.unt.edu/mentalhealthcommission/reports/FinalReport/downloads/FinalReport.pdf</w:t>
      </w:r>
    </w:p>
    <w:p w14:paraId="63384190" w14:textId="0EEACBDA" w:rsidR="00C03DEB" w:rsidRPr="00592155" w:rsidRDefault="003D47BD" w:rsidP="00E8502C">
      <w:pPr>
        <w:shd w:val="clear" w:color="auto" w:fill="FFFFFF"/>
        <w:spacing w:after="150" w:line="480" w:lineRule="auto"/>
        <w:ind w:left="720" w:hanging="720"/>
        <w:rPr>
          <w:rFonts w:asciiTheme="majorBidi" w:eastAsia="Times New Roman" w:hAnsiTheme="majorBidi" w:cstheme="majorBidi"/>
          <w:color w:val="000000"/>
          <w:lang w:val="en"/>
        </w:rPr>
      </w:pPr>
      <w:r>
        <w:rPr>
          <w:rFonts w:asciiTheme="majorBidi" w:eastAsia="Times New Roman" w:hAnsiTheme="majorBidi" w:cstheme="majorBidi"/>
          <w:color w:val="000000"/>
          <w:lang w:val="en"/>
        </w:rPr>
        <w:t>Repper</w:t>
      </w:r>
      <w:r w:rsidR="00E8502C">
        <w:rPr>
          <w:rFonts w:asciiTheme="majorBidi" w:eastAsia="Times New Roman" w:hAnsiTheme="majorBidi" w:cstheme="majorBidi"/>
          <w:color w:val="000000"/>
          <w:lang w:val="en"/>
        </w:rPr>
        <w:t>,</w:t>
      </w:r>
      <w:r>
        <w:rPr>
          <w:rFonts w:asciiTheme="majorBidi" w:eastAsia="Times New Roman" w:hAnsiTheme="majorBidi" w:cstheme="majorBidi"/>
          <w:color w:val="000000"/>
          <w:lang w:val="en"/>
        </w:rPr>
        <w:t xml:space="preserve"> J</w:t>
      </w:r>
      <w:r w:rsidR="00E8502C">
        <w:rPr>
          <w:rFonts w:asciiTheme="majorBidi" w:eastAsia="Times New Roman" w:hAnsiTheme="majorBidi" w:cstheme="majorBidi"/>
          <w:color w:val="000000"/>
          <w:lang w:val="en"/>
        </w:rPr>
        <w:t>.</w:t>
      </w:r>
      <w:r w:rsidR="00C03DEB" w:rsidRPr="00592155">
        <w:rPr>
          <w:rFonts w:asciiTheme="majorBidi" w:eastAsia="Times New Roman" w:hAnsiTheme="majorBidi" w:cstheme="majorBidi"/>
          <w:color w:val="000000"/>
          <w:lang w:val="en"/>
        </w:rPr>
        <w:t xml:space="preserve"> </w:t>
      </w:r>
      <w:r w:rsidR="00E8502C">
        <w:rPr>
          <w:rFonts w:asciiTheme="majorBidi" w:eastAsia="Times New Roman" w:hAnsiTheme="majorBidi" w:cstheme="majorBidi"/>
          <w:color w:val="000000"/>
          <w:lang w:val="en"/>
        </w:rPr>
        <w:t>&amp;</w:t>
      </w:r>
      <w:r>
        <w:rPr>
          <w:rFonts w:asciiTheme="majorBidi" w:eastAsia="Times New Roman" w:hAnsiTheme="majorBidi" w:cstheme="majorBidi"/>
          <w:color w:val="000000"/>
          <w:lang w:val="en"/>
        </w:rPr>
        <w:t xml:space="preserve"> Perkins</w:t>
      </w:r>
      <w:r w:rsidR="00E8502C">
        <w:rPr>
          <w:rFonts w:asciiTheme="majorBidi" w:eastAsia="Times New Roman" w:hAnsiTheme="majorBidi" w:cstheme="majorBidi"/>
          <w:color w:val="000000"/>
          <w:lang w:val="en"/>
        </w:rPr>
        <w:t>,</w:t>
      </w:r>
      <w:r>
        <w:rPr>
          <w:rFonts w:asciiTheme="majorBidi" w:eastAsia="Times New Roman" w:hAnsiTheme="majorBidi" w:cstheme="majorBidi"/>
          <w:color w:val="000000"/>
          <w:lang w:val="en"/>
        </w:rPr>
        <w:t xml:space="preserve"> R</w:t>
      </w:r>
      <w:r w:rsidR="00E8502C">
        <w:rPr>
          <w:rFonts w:asciiTheme="majorBidi" w:eastAsia="Times New Roman" w:hAnsiTheme="majorBidi" w:cstheme="majorBidi"/>
          <w:color w:val="000000"/>
          <w:lang w:val="en"/>
        </w:rPr>
        <w:t>.</w:t>
      </w:r>
      <w:r>
        <w:rPr>
          <w:rFonts w:asciiTheme="majorBidi" w:eastAsia="Times New Roman" w:hAnsiTheme="majorBidi" w:cstheme="majorBidi"/>
          <w:color w:val="000000"/>
          <w:lang w:val="en"/>
        </w:rPr>
        <w:t xml:space="preserve"> (2003)</w:t>
      </w:r>
      <w:r w:rsidR="00C03DEB" w:rsidRPr="00592155">
        <w:rPr>
          <w:rFonts w:asciiTheme="majorBidi" w:eastAsia="Times New Roman" w:hAnsiTheme="majorBidi" w:cstheme="majorBidi"/>
          <w:color w:val="000000"/>
          <w:lang w:val="en"/>
        </w:rPr>
        <w:t xml:space="preserve"> </w:t>
      </w:r>
      <w:r w:rsidR="00C03DEB" w:rsidRPr="00592155">
        <w:rPr>
          <w:rFonts w:asciiTheme="majorBidi" w:eastAsia="Times New Roman" w:hAnsiTheme="majorBidi" w:cstheme="majorBidi"/>
          <w:i/>
          <w:iCs/>
          <w:color w:val="000000"/>
          <w:lang w:val="en"/>
        </w:rPr>
        <w:t>Social inclusion and recovery</w:t>
      </w:r>
      <w:r w:rsidR="00C03DEB" w:rsidRPr="00592155">
        <w:rPr>
          <w:rFonts w:asciiTheme="majorBidi" w:eastAsia="Times New Roman" w:hAnsiTheme="majorBidi" w:cstheme="majorBidi"/>
          <w:color w:val="000000"/>
          <w:lang w:val="en"/>
        </w:rPr>
        <w:t>. Edinburgh: Baillière Tindall.</w:t>
      </w:r>
    </w:p>
    <w:p w14:paraId="45AEB002" w14:textId="38FC4A99" w:rsidR="00E26456" w:rsidRDefault="00E26456" w:rsidP="00E26456">
      <w:pPr>
        <w:spacing w:line="480" w:lineRule="auto"/>
        <w:ind w:left="720" w:hanging="720"/>
        <w:rPr>
          <w:rFonts w:asciiTheme="majorBidi" w:hAnsiTheme="majorBidi" w:cstheme="majorBidi"/>
        </w:rPr>
      </w:pPr>
      <w:r w:rsidRPr="00E26456">
        <w:rPr>
          <w:rFonts w:asciiTheme="majorBidi" w:hAnsiTheme="majorBidi" w:cstheme="majorBidi"/>
        </w:rPr>
        <w:t>Rose</w:t>
      </w:r>
      <w:r w:rsidR="00E8502C">
        <w:rPr>
          <w:rFonts w:asciiTheme="majorBidi" w:hAnsiTheme="majorBidi" w:cstheme="majorBidi"/>
        </w:rPr>
        <w:t>,</w:t>
      </w:r>
      <w:r>
        <w:rPr>
          <w:rFonts w:asciiTheme="majorBidi" w:hAnsiTheme="majorBidi" w:cstheme="majorBidi"/>
        </w:rPr>
        <w:t xml:space="preserve"> D</w:t>
      </w:r>
      <w:r w:rsidR="00E8502C">
        <w:rPr>
          <w:rFonts w:asciiTheme="majorBidi" w:hAnsiTheme="majorBidi" w:cstheme="majorBidi"/>
        </w:rPr>
        <w:t>.</w:t>
      </w:r>
      <w:r w:rsidRPr="00E26456">
        <w:rPr>
          <w:rFonts w:asciiTheme="majorBidi" w:hAnsiTheme="majorBidi" w:cstheme="majorBidi"/>
        </w:rPr>
        <w:t xml:space="preserve"> (2014) </w:t>
      </w:r>
      <w:proofErr w:type="gramStart"/>
      <w:r w:rsidRPr="00E26456">
        <w:rPr>
          <w:rFonts w:asciiTheme="majorBidi" w:hAnsiTheme="majorBidi" w:cstheme="majorBidi"/>
        </w:rPr>
        <w:t>The</w:t>
      </w:r>
      <w:proofErr w:type="gramEnd"/>
      <w:r w:rsidRPr="00E26456">
        <w:rPr>
          <w:rFonts w:asciiTheme="majorBidi" w:hAnsiTheme="majorBidi" w:cstheme="majorBidi"/>
        </w:rPr>
        <w:t xml:space="preserve"> mainstreaming of recovery. </w:t>
      </w:r>
      <w:r w:rsidRPr="00E26456">
        <w:rPr>
          <w:rFonts w:asciiTheme="majorBidi" w:hAnsiTheme="majorBidi" w:cstheme="majorBidi"/>
          <w:i/>
          <w:iCs/>
        </w:rPr>
        <w:t>Journal of Mental Health, 23</w:t>
      </w:r>
      <w:r w:rsidRPr="00E26456">
        <w:rPr>
          <w:rFonts w:asciiTheme="majorBidi" w:hAnsiTheme="majorBidi" w:cstheme="majorBidi"/>
        </w:rPr>
        <w:t>(5), 217-218.</w:t>
      </w:r>
    </w:p>
    <w:p w14:paraId="00382921" w14:textId="2DE306CB" w:rsidR="00C03DEB" w:rsidRPr="00592155" w:rsidRDefault="00C03DEB" w:rsidP="00C03DEB">
      <w:pPr>
        <w:spacing w:line="480" w:lineRule="auto"/>
        <w:ind w:left="720" w:hanging="720"/>
        <w:rPr>
          <w:rFonts w:asciiTheme="majorBidi" w:hAnsiTheme="majorBidi" w:cstheme="majorBidi"/>
        </w:rPr>
      </w:pPr>
      <w:r w:rsidRPr="00592155">
        <w:rPr>
          <w:rFonts w:asciiTheme="majorBidi" w:hAnsiTheme="majorBidi" w:cstheme="majorBidi"/>
        </w:rPr>
        <w:t xml:space="preserve">Royal </w:t>
      </w:r>
      <w:r w:rsidR="003D47BD">
        <w:rPr>
          <w:rFonts w:asciiTheme="majorBidi" w:hAnsiTheme="majorBidi" w:cstheme="majorBidi"/>
        </w:rPr>
        <w:t>College of Psychiatrists (2011)</w:t>
      </w:r>
      <w:r w:rsidRPr="00592155">
        <w:rPr>
          <w:rFonts w:asciiTheme="majorBidi" w:hAnsiTheme="majorBidi" w:cstheme="majorBidi"/>
        </w:rPr>
        <w:t xml:space="preserve"> </w:t>
      </w:r>
      <w:r w:rsidRPr="00592155">
        <w:rPr>
          <w:rFonts w:asciiTheme="majorBidi" w:hAnsiTheme="majorBidi" w:cstheme="majorBidi"/>
          <w:i/>
          <w:iCs/>
        </w:rPr>
        <w:t>Outcome measures recommended for use in adult psychiatry</w:t>
      </w:r>
      <w:r w:rsidRPr="00592155">
        <w:rPr>
          <w:rFonts w:asciiTheme="majorBidi" w:hAnsiTheme="majorBidi" w:cstheme="majorBidi"/>
        </w:rPr>
        <w:t xml:space="preserve"> (Occasion</w:t>
      </w:r>
      <w:r>
        <w:rPr>
          <w:rFonts w:asciiTheme="majorBidi" w:hAnsiTheme="majorBidi" w:cstheme="majorBidi"/>
        </w:rPr>
        <w:t xml:space="preserve">al Paper OP78). Retrieved from </w:t>
      </w:r>
      <w:r w:rsidRPr="00592155">
        <w:rPr>
          <w:rFonts w:asciiTheme="majorBidi" w:hAnsiTheme="majorBidi" w:cstheme="majorBidi"/>
        </w:rPr>
        <w:t>http://www.rcpsych.ac.uk/files/pdfversion/op78x.pdf</w:t>
      </w:r>
    </w:p>
    <w:p w14:paraId="058E751D" w14:textId="0384CAA2" w:rsidR="00C03DEB" w:rsidRPr="00592155" w:rsidRDefault="00C03DEB" w:rsidP="00C03DEB">
      <w:pPr>
        <w:spacing w:line="480" w:lineRule="auto"/>
        <w:ind w:left="720" w:hanging="720"/>
        <w:rPr>
          <w:rFonts w:asciiTheme="majorBidi" w:hAnsiTheme="majorBidi" w:cstheme="majorBidi"/>
        </w:rPr>
      </w:pPr>
      <w:r w:rsidRPr="00592155">
        <w:rPr>
          <w:rFonts w:asciiTheme="majorBidi" w:hAnsiTheme="majorBidi" w:cstheme="majorBidi"/>
        </w:rPr>
        <w:t xml:space="preserve">Royal College of Psychiatrists (2013) </w:t>
      </w:r>
      <w:r w:rsidRPr="00592155">
        <w:rPr>
          <w:rFonts w:asciiTheme="majorBidi" w:hAnsiTheme="majorBidi" w:cstheme="majorBidi"/>
          <w:i/>
          <w:iCs/>
        </w:rPr>
        <w:t>Driving quality implementation in the context of the Francis report</w:t>
      </w:r>
      <w:r w:rsidRPr="00592155">
        <w:rPr>
          <w:rFonts w:asciiTheme="majorBidi" w:hAnsiTheme="majorBidi" w:cstheme="majorBidi"/>
        </w:rPr>
        <w:t xml:space="preserve"> (Occasional Paper OP92). Retrieved from http://www.rcpsych.ac.uk/files/pdfversion/OP92.pdf </w:t>
      </w:r>
    </w:p>
    <w:p w14:paraId="452F8DC3" w14:textId="639D0C99" w:rsidR="00C03DEB" w:rsidRDefault="003D47BD" w:rsidP="00E8502C">
      <w:pPr>
        <w:autoSpaceDE w:val="0"/>
        <w:autoSpaceDN w:val="0"/>
        <w:adjustRightInd w:val="0"/>
        <w:spacing w:line="480" w:lineRule="auto"/>
        <w:ind w:left="720" w:hanging="720"/>
        <w:rPr>
          <w:rFonts w:asciiTheme="majorBidi" w:hAnsiTheme="majorBidi" w:cstheme="majorBidi"/>
          <w:i/>
        </w:rPr>
      </w:pPr>
      <w:r>
        <w:rPr>
          <w:rFonts w:asciiTheme="majorBidi" w:hAnsiTheme="majorBidi" w:cstheme="majorBidi"/>
        </w:rPr>
        <w:t>Shepherd</w:t>
      </w:r>
      <w:r w:rsidR="00E8502C">
        <w:rPr>
          <w:rFonts w:asciiTheme="majorBidi" w:hAnsiTheme="majorBidi" w:cstheme="majorBidi"/>
        </w:rPr>
        <w:t>,</w:t>
      </w:r>
      <w:r>
        <w:rPr>
          <w:rFonts w:asciiTheme="majorBidi" w:hAnsiTheme="majorBidi" w:cstheme="majorBidi"/>
        </w:rPr>
        <w:t xml:space="preserve"> G</w:t>
      </w:r>
      <w:r w:rsidR="00E8502C">
        <w:rPr>
          <w:rFonts w:asciiTheme="majorBidi" w:hAnsiTheme="majorBidi" w:cstheme="majorBidi"/>
        </w:rPr>
        <w:t>.</w:t>
      </w:r>
      <w:r>
        <w:rPr>
          <w:rFonts w:asciiTheme="majorBidi" w:hAnsiTheme="majorBidi" w:cstheme="majorBidi"/>
        </w:rPr>
        <w:t>, Boardman</w:t>
      </w:r>
      <w:r w:rsidR="00E8502C">
        <w:rPr>
          <w:rFonts w:asciiTheme="majorBidi" w:hAnsiTheme="majorBidi" w:cstheme="majorBidi"/>
        </w:rPr>
        <w:t>,</w:t>
      </w:r>
      <w:r>
        <w:rPr>
          <w:rFonts w:asciiTheme="majorBidi" w:hAnsiTheme="majorBidi" w:cstheme="majorBidi"/>
        </w:rPr>
        <w:t xml:space="preserve"> J</w:t>
      </w:r>
      <w:r w:rsidR="00E8502C">
        <w:rPr>
          <w:rFonts w:asciiTheme="majorBidi" w:hAnsiTheme="majorBidi" w:cstheme="majorBidi"/>
        </w:rPr>
        <w:t>.</w:t>
      </w:r>
      <w:r>
        <w:rPr>
          <w:rFonts w:asciiTheme="majorBidi" w:hAnsiTheme="majorBidi" w:cstheme="majorBidi"/>
        </w:rPr>
        <w:t>, Rinaldi</w:t>
      </w:r>
      <w:r w:rsidR="00E8502C">
        <w:rPr>
          <w:rFonts w:asciiTheme="majorBidi" w:hAnsiTheme="majorBidi" w:cstheme="majorBidi"/>
        </w:rPr>
        <w:t>,</w:t>
      </w:r>
      <w:r>
        <w:rPr>
          <w:rFonts w:asciiTheme="majorBidi" w:hAnsiTheme="majorBidi" w:cstheme="majorBidi"/>
        </w:rPr>
        <w:t xml:space="preserve"> M</w:t>
      </w:r>
      <w:r w:rsidR="00E8502C">
        <w:rPr>
          <w:rFonts w:asciiTheme="majorBidi" w:hAnsiTheme="majorBidi" w:cstheme="majorBidi"/>
        </w:rPr>
        <w:t>.</w:t>
      </w:r>
      <w:r>
        <w:rPr>
          <w:rFonts w:asciiTheme="majorBidi" w:hAnsiTheme="majorBidi" w:cstheme="majorBidi"/>
        </w:rPr>
        <w:t xml:space="preserve"> </w:t>
      </w:r>
      <w:r w:rsidR="00E8502C">
        <w:rPr>
          <w:rFonts w:asciiTheme="majorBidi" w:hAnsiTheme="majorBidi" w:cstheme="majorBidi"/>
        </w:rPr>
        <w:t>&amp;</w:t>
      </w:r>
      <w:r>
        <w:rPr>
          <w:rFonts w:asciiTheme="majorBidi" w:hAnsiTheme="majorBidi" w:cstheme="majorBidi"/>
        </w:rPr>
        <w:t xml:space="preserve"> Roberts</w:t>
      </w:r>
      <w:r w:rsidR="00E8502C">
        <w:rPr>
          <w:rFonts w:asciiTheme="majorBidi" w:hAnsiTheme="majorBidi" w:cstheme="majorBidi"/>
        </w:rPr>
        <w:t>,</w:t>
      </w:r>
      <w:r>
        <w:rPr>
          <w:rFonts w:asciiTheme="majorBidi" w:hAnsiTheme="majorBidi" w:cstheme="majorBidi"/>
        </w:rPr>
        <w:t xml:space="preserve"> G</w:t>
      </w:r>
      <w:r w:rsidR="00E8502C">
        <w:rPr>
          <w:rFonts w:asciiTheme="majorBidi" w:hAnsiTheme="majorBidi" w:cstheme="majorBidi"/>
        </w:rPr>
        <w:t>.</w:t>
      </w:r>
      <w:r>
        <w:rPr>
          <w:rFonts w:asciiTheme="majorBidi" w:hAnsiTheme="majorBidi" w:cstheme="majorBidi"/>
        </w:rPr>
        <w:t xml:space="preserve"> (2014)</w:t>
      </w:r>
      <w:r w:rsidR="00C03DEB" w:rsidRPr="00592155">
        <w:rPr>
          <w:rFonts w:asciiTheme="majorBidi" w:hAnsiTheme="majorBidi" w:cstheme="majorBidi"/>
        </w:rPr>
        <w:t xml:space="preserve"> </w:t>
      </w:r>
      <w:r w:rsidR="00C03DEB" w:rsidRPr="00592155">
        <w:rPr>
          <w:rFonts w:asciiTheme="majorBidi" w:hAnsiTheme="majorBidi" w:cstheme="majorBidi"/>
          <w:i/>
        </w:rPr>
        <w:t>Supporting Recovery in</w:t>
      </w:r>
    </w:p>
    <w:p w14:paraId="4C5E4AD7" w14:textId="77777777" w:rsidR="00C03DEB" w:rsidRPr="00B938C1" w:rsidRDefault="00C03DEB" w:rsidP="00C03DEB">
      <w:pPr>
        <w:autoSpaceDE w:val="0"/>
        <w:autoSpaceDN w:val="0"/>
        <w:adjustRightInd w:val="0"/>
        <w:spacing w:line="480" w:lineRule="auto"/>
        <w:ind w:left="720" w:hanging="720"/>
        <w:rPr>
          <w:rFonts w:asciiTheme="majorBidi" w:hAnsiTheme="majorBidi" w:cstheme="majorBidi"/>
          <w:i/>
        </w:rPr>
      </w:pPr>
      <w:r>
        <w:rPr>
          <w:rFonts w:asciiTheme="majorBidi" w:hAnsiTheme="majorBidi" w:cstheme="majorBidi"/>
          <w:i/>
        </w:rPr>
        <w:tab/>
      </w:r>
      <w:r w:rsidRPr="00592155">
        <w:rPr>
          <w:rFonts w:asciiTheme="majorBidi" w:hAnsiTheme="majorBidi" w:cstheme="majorBidi"/>
          <w:i/>
        </w:rPr>
        <w:t>Mental Health Services: Quality and Outcomes</w:t>
      </w:r>
      <w:r w:rsidRPr="00592155">
        <w:rPr>
          <w:rFonts w:asciiTheme="majorBidi" w:hAnsiTheme="majorBidi" w:cstheme="majorBidi"/>
        </w:rPr>
        <w:t xml:space="preserve">. Retrieved from http://www.imroc.org/wp-content/uploads/8Supporting-recovery-quality-and-outcomes-briefing-final-for-website-3-March.pdf </w:t>
      </w:r>
    </w:p>
    <w:p w14:paraId="14C1F5C3" w14:textId="65B9AC96" w:rsidR="002F4D89" w:rsidRDefault="002F4D89" w:rsidP="00E8502C">
      <w:pPr>
        <w:shd w:val="clear" w:color="auto" w:fill="FFFFFF"/>
        <w:spacing w:after="150" w:line="480" w:lineRule="auto"/>
        <w:ind w:left="720" w:hanging="720"/>
        <w:rPr>
          <w:rFonts w:asciiTheme="majorBidi" w:eastAsia="Times New Roman" w:hAnsiTheme="majorBidi" w:cstheme="majorBidi"/>
          <w:color w:val="000000"/>
          <w:lang w:val="en"/>
        </w:rPr>
      </w:pPr>
      <w:r w:rsidRPr="002F4D89">
        <w:rPr>
          <w:rFonts w:asciiTheme="majorBidi" w:eastAsia="Times New Roman" w:hAnsiTheme="majorBidi" w:cstheme="majorBidi"/>
          <w:color w:val="000000"/>
          <w:lang w:val="en"/>
        </w:rPr>
        <w:t>Schrank</w:t>
      </w:r>
      <w:r w:rsidR="00E8502C">
        <w:rPr>
          <w:rFonts w:asciiTheme="majorBidi" w:eastAsia="Times New Roman" w:hAnsiTheme="majorBidi" w:cstheme="majorBidi"/>
          <w:color w:val="000000"/>
          <w:lang w:val="en"/>
        </w:rPr>
        <w:t>,</w:t>
      </w:r>
      <w:r w:rsidRPr="002F4D89">
        <w:rPr>
          <w:rFonts w:asciiTheme="majorBidi" w:eastAsia="Times New Roman" w:hAnsiTheme="majorBidi" w:cstheme="majorBidi"/>
          <w:color w:val="000000"/>
          <w:lang w:val="en"/>
        </w:rPr>
        <w:t xml:space="preserve"> B</w:t>
      </w:r>
      <w:r w:rsidR="00E8502C">
        <w:rPr>
          <w:rFonts w:asciiTheme="majorBidi" w:eastAsia="Times New Roman" w:hAnsiTheme="majorBidi" w:cstheme="majorBidi"/>
          <w:color w:val="000000"/>
          <w:lang w:val="en"/>
        </w:rPr>
        <w:t>.</w:t>
      </w:r>
      <w:r w:rsidR="003D47BD">
        <w:rPr>
          <w:rFonts w:asciiTheme="majorBidi" w:eastAsia="Times New Roman" w:hAnsiTheme="majorBidi" w:cstheme="majorBidi"/>
          <w:color w:val="000000"/>
          <w:lang w:val="en"/>
        </w:rPr>
        <w:t xml:space="preserve"> </w:t>
      </w:r>
      <w:r w:rsidR="00E8502C">
        <w:rPr>
          <w:rFonts w:asciiTheme="majorBidi" w:eastAsia="Times New Roman" w:hAnsiTheme="majorBidi" w:cstheme="majorBidi"/>
          <w:color w:val="000000"/>
          <w:lang w:val="en"/>
        </w:rPr>
        <w:t>&amp;</w:t>
      </w:r>
      <w:r>
        <w:rPr>
          <w:rFonts w:asciiTheme="majorBidi" w:eastAsia="Times New Roman" w:hAnsiTheme="majorBidi" w:cstheme="majorBidi"/>
          <w:color w:val="000000"/>
          <w:lang w:val="en"/>
        </w:rPr>
        <w:t xml:space="preserve"> </w:t>
      </w:r>
      <w:r w:rsidRPr="002F4D89">
        <w:rPr>
          <w:rFonts w:asciiTheme="majorBidi" w:eastAsia="Times New Roman" w:hAnsiTheme="majorBidi" w:cstheme="majorBidi"/>
          <w:color w:val="000000"/>
          <w:lang w:val="en"/>
        </w:rPr>
        <w:t>Slade</w:t>
      </w:r>
      <w:r w:rsidR="00E8502C">
        <w:rPr>
          <w:rFonts w:asciiTheme="majorBidi" w:eastAsia="Times New Roman" w:hAnsiTheme="majorBidi" w:cstheme="majorBidi"/>
          <w:color w:val="000000"/>
          <w:lang w:val="en"/>
        </w:rPr>
        <w:t>,</w:t>
      </w:r>
      <w:r w:rsidRPr="002F4D89">
        <w:rPr>
          <w:rFonts w:asciiTheme="majorBidi" w:eastAsia="Times New Roman" w:hAnsiTheme="majorBidi" w:cstheme="majorBidi"/>
          <w:color w:val="000000"/>
          <w:lang w:val="en"/>
        </w:rPr>
        <w:t xml:space="preserve"> M</w:t>
      </w:r>
      <w:r w:rsidR="00E8502C">
        <w:rPr>
          <w:rFonts w:asciiTheme="majorBidi" w:eastAsia="Times New Roman" w:hAnsiTheme="majorBidi" w:cstheme="majorBidi"/>
          <w:color w:val="000000"/>
          <w:lang w:val="en"/>
        </w:rPr>
        <w:t>.</w:t>
      </w:r>
      <w:r>
        <w:rPr>
          <w:rFonts w:asciiTheme="majorBidi" w:eastAsia="Times New Roman" w:hAnsiTheme="majorBidi" w:cstheme="majorBidi"/>
          <w:color w:val="000000"/>
          <w:lang w:val="en"/>
        </w:rPr>
        <w:t xml:space="preserve"> (2007) </w:t>
      </w:r>
      <w:r w:rsidRPr="002F4D89">
        <w:rPr>
          <w:rFonts w:asciiTheme="majorBidi" w:eastAsia="Times New Roman" w:hAnsiTheme="majorBidi" w:cstheme="majorBidi"/>
          <w:color w:val="000000"/>
          <w:lang w:val="en"/>
        </w:rPr>
        <w:t xml:space="preserve">Recovery in psychiatry. </w:t>
      </w:r>
      <w:r w:rsidRPr="002F4D89">
        <w:rPr>
          <w:rFonts w:asciiTheme="majorBidi" w:eastAsia="Times New Roman" w:hAnsiTheme="majorBidi" w:cstheme="majorBidi"/>
          <w:i/>
          <w:color w:val="000000"/>
          <w:lang w:val="en"/>
        </w:rPr>
        <w:t>The Psychiatrist, 31</w:t>
      </w:r>
      <w:r>
        <w:rPr>
          <w:rFonts w:asciiTheme="majorBidi" w:eastAsia="Times New Roman" w:hAnsiTheme="majorBidi" w:cstheme="majorBidi"/>
          <w:color w:val="000000"/>
          <w:lang w:val="en"/>
        </w:rPr>
        <w:t xml:space="preserve">, </w:t>
      </w:r>
      <w:r w:rsidRPr="002F4D89">
        <w:rPr>
          <w:rFonts w:asciiTheme="majorBidi" w:eastAsia="Times New Roman" w:hAnsiTheme="majorBidi" w:cstheme="majorBidi"/>
          <w:color w:val="000000"/>
          <w:lang w:val="en"/>
        </w:rPr>
        <w:t>321–5.</w:t>
      </w:r>
    </w:p>
    <w:p w14:paraId="30485D2C" w14:textId="1B565ED2" w:rsidR="00FC6CE4" w:rsidRDefault="00FC6CE4" w:rsidP="00AA4F24">
      <w:pPr>
        <w:shd w:val="clear" w:color="auto" w:fill="FFFFFF"/>
        <w:spacing w:after="150" w:line="480" w:lineRule="auto"/>
        <w:ind w:left="720" w:hanging="720"/>
        <w:rPr>
          <w:rFonts w:asciiTheme="majorBidi" w:eastAsia="Times New Roman" w:hAnsiTheme="majorBidi" w:cstheme="majorBidi"/>
          <w:color w:val="000000"/>
          <w:lang w:val="en"/>
        </w:rPr>
      </w:pPr>
      <w:r>
        <w:rPr>
          <w:rFonts w:asciiTheme="majorBidi" w:eastAsia="Times New Roman" w:hAnsiTheme="majorBidi" w:cstheme="majorBidi"/>
          <w:color w:val="000000"/>
          <w:lang w:val="en"/>
        </w:rPr>
        <w:t>Shaughnessy, J.J., Zechmeister, E.B</w:t>
      </w:r>
      <w:r w:rsidR="0020742D">
        <w:rPr>
          <w:rFonts w:asciiTheme="majorBidi" w:eastAsia="Times New Roman" w:hAnsiTheme="majorBidi" w:cstheme="majorBidi"/>
          <w:color w:val="000000"/>
          <w:lang w:val="en"/>
        </w:rPr>
        <w:t>.</w:t>
      </w:r>
      <w:r>
        <w:rPr>
          <w:rFonts w:asciiTheme="majorBidi" w:eastAsia="Times New Roman" w:hAnsiTheme="majorBidi" w:cstheme="majorBidi"/>
          <w:color w:val="000000"/>
          <w:lang w:val="en"/>
        </w:rPr>
        <w:t xml:space="preserve"> &amp; Zechmeister J.S. (2012</w:t>
      </w:r>
      <w:r w:rsidR="00AA4F24">
        <w:rPr>
          <w:rFonts w:asciiTheme="majorBidi" w:eastAsia="Times New Roman" w:hAnsiTheme="majorBidi" w:cstheme="majorBidi"/>
          <w:color w:val="000000"/>
          <w:lang w:val="en"/>
        </w:rPr>
        <w:t xml:space="preserve">). </w:t>
      </w:r>
      <w:r w:rsidRPr="00060040">
        <w:rPr>
          <w:rFonts w:asciiTheme="majorBidi" w:eastAsia="Times New Roman" w:hAnsiTheme="majorBidi" w:cstheme="majorBidi"/>
          <w:i/>
          <w:iCs/>
          <w:color w:val="000000"/>
          <w:lang w:val="en"/>
        </w:rPr>
        <w:t xml:space="preserve">Research </w:t>
      </w:r>
      <w:r w:rsidR="0020742D">
        <w:rPr>
          <w:rFonts w:asciiTheme="majorBidi" w:eastAsia="Times New Roman" w:hAnsiTheme="majorBidi" w:cstheme="majorBidi"/>
          <w:i/>
          <w:iCs/>
          <w:color w:val="000000"/>
          <w:lang w:val="en"/>
        </w:rPr>
        <w:t>m</w:t>
      </w:r>
      <w:r w:rsidRPr="00060040">
        <w:rPr>
          <w:rFonts w:asciiTheme="majorBidi" w:eastAsia="Times New Roman" w:hAnsiTheme="majorBidi" w:cstheme="majorBidi"/>
          <w:i/>
          <w:iCs/>
          <w:color w:val="000000"/>
          <w:lang w:val="en"/>
        </w:rPr>
        <w:t xml:space="preserve">ethods in </w:t>
      </w:r>
      <w:r w:rsidR="0020742D">
        <w:rPr>
          <w:rFonts w:asciiTheme="majorBidi" w:eastAsia="Times New Roman" w:hAnsiTheme="majorBidi" w:cstheme="majorBidi"/>
          <w:i/>
          <w:iCs/>
          <w:color w:val="000000"/>
          <w:lang w:val="en"/>
        </w:rPr>
        <w:t>p</w:t>
      </w:r>
      <w:r w:rsidRPr="00060040">
        <w:rPr>
          <w:rFonts w:asciiTheme="majorBidi" w:eastAsia="Times New Roman" w:hAnsiTheme="majorBidi" w:cstheme="majorBidi"/>
          <w:i/>
          <w:iCs/>
          <w:color w:val="000000"/>
          <w:lang w:val="en"/>
        </w:rPr>
        <w:t>sychology</w:t>
      </w:r>
      <w:r w:rsidR="00AA4F24">
        <w:rPr>
          <w:rFonts w:asciiTheme="majorBidi" w:eastAsia="Times New Roman" w:hAnsiTheme="majorBidi" w:cstheme="majorBidi"/>
          <w:color w:val="000000"/>
          <w:lang w:val="en"/>
        </w:rPr>
        <w:t xml:space="preserve"> (9</w:t>
      </w:r>
      <w:r w:rsidR="00AA4F24" w:rsidRPr="00060040">
        <w:rPr>
          <w:rFonts w:asciiTheme="majorBidi" w:eastAsia="Times New Roman" w:hAnsiTheme="majorBidi" w:cstheme="majorBidi"/>
          <w:color w:val="000000"/>
          <w:vertAlign w:val="superscript"/>
          <w:lang w:val="en"/>
        </w:rPr>
        <w:t>th</w:t>
      </w:r>
      <w:r w:rsidR="00AA4F24">
        <w:rPr>
          <w:rFonts w:asciiTheme="majorBidi" w:eastAsia="Times New Roman" w:hAnsiTheme="majorBidi" w:cstheme="majorBidi"/>
          <w:color w:val="000000"/>
          <w:lang w:val="en"/>
        </w:rPr>
        <w:t xml:space="preserve"> ed.). New York: McGraw Hill.</w:t>
      </w:r>
    </w:p>
    <w:p w14:paraId="78E2EEC9" w14:textId="632B252B" w:rsidR="00E26456" w:rsidRDefault="00E26456" w:rsidP="002F4D89">
      <w:pPr>
        <w:shd w:val="clear" w:color="auto" w:fill="FFFFFF"/>
        <w:spacing w:after="150" w:line="480" w:lineRule="auto"/>
        <w:ind w:left="720" w:hanging="720"/>
        <w:rPr>
          <w:rFonts w:asciiTheme="majorBidi" w:eastAsia="Times New Roman" w:hAnsiTheme="majorBidi" w:cstheme="majorBidi"/>
          <w:color w:val="000000"/>
          <w:lang w:val="en"/>
        </w:rPr>
      </w:pPr>
      <w:r w:rsidRPr="00E26456">
        <w:rPr>
          <w:rFonts w:asciiTheme="majorBidi" w:eastAsia="Times New Roman" w:hAnsiTheme="majorBidi" w:cstheme="majorBidi"/>
          <w:color w:val="000000"/>
          <w:lang w:val="en"/>
        </w:rPr>
        <w:lastRenderedPageBreak/>
        <w:t xml:space="preserve">Slade, M. (2009). The contribution of mental health services to recovery. </w:t>
      </w:r>
      <w:r w:rsidRPr="00E26456">
        <w:rPr>
          <w:rFonts w:asciiTheme="majorBidi" w:eastAsia="Times New Roman" w:hAnsiTheme="majorBidi" w:cstheme="majorBidi"/>
          <w:i/>
          <w:iCs/>
          <w:color w:val="000000"/>
          <w:lang w:val="en"/>
        </w:rPr>
        <w:t>Journal of Mental Health, 18</w:t>
      </w:r>
      <w:r w:rsidRPr="00E26456">
        <w:rPr>
          <w:rFonts w:asciiTheme="majorBidi" w:eastAsia="Times New Roman" w:hAnsiTheme="majorBidi" w:cstheme="majorBidi"/>
          <w:color w:val="000000"/>
          <w:lang w:val="en"/>
        </w:rPr>
        <w:t>(5), 367-371.</w:t>
      </w:r>
    </w:p>
    <w:p w14:paraId="6C12E119" w14:textId="4D4101C6" w:rsidR="0017124F" w:rsidRDefault="0017124F" w:rsidP="0017124F">
      <w:pPr>
        <w:shd w:val="clear" w:color="auto" w:fill="FFFFFF"/>
        <w:spacing w:after="150" w:line="480" w:lineRule="auto"/>
        <w:ind w:left="720" w:hanging="720"/>
        <w:rPr>
          <w:rFonts w:asciiTheme="majorBidi" w:eastAsia="Times New Roman" w:hAnsiTheme="majorBidi" w:cstheme="majorBidi"/>
          <w:color w:val="000000"/>
          <w:lang w:val="en"/>
        </w:rPr>
      </w:pPr>
      <w:r w:rsidRPr="0017124F">
        <w:rPr>
          <w:rFonts w:asciiTheme="majorBidi" w:eastAsia="Times New Roman" w:hAnsiTheme="majorBidi" w:cstheme="majorBidi" w:hint="eastAsia"/>
          <w:color w:val="000000"/>
          <w:lang w:val="en"/>
        </w:rPr>
        <w:t>Slade</w:t>
      </w:r>
      <w:r w:rsidR="00E8502C">
        <w:rPr>
          <w:rFonts w:asciiTheme="majorBidi" w:eastAsia="Times New Roman" w:hAnsiTheme="majorBidi" w:cstheme="majorBidi"/>
          <w:color w:val="000000"/>
          <w:lang w:val="en"/>
        </w:rPr>
        <w:t>,</w:t>
      </w:r>
      <w:r>
        <w:rPr>
          <w:rFonts w:asciiTheme="majorBidi" w:eastAsia="Times New Roman" w:hAnsiTheme="majorBidi" w:cstheme="majorBidi" w:hint="eastAsia"/>
          <w:color w:val="000000"/>
          <w:lang w:val="en"/>
        </w:rPr>
        <w:t xml:space="preserve"> M</w:t>
      </w:r>
      <w:r w:rsidR="00E8502C">
        <w:rPr>
          <w:rFonts w:asciiTheme="majorBidi" w:eastAsia="Times New Roman" w:hAnsiTheme="majorBidi" w:cstheme="majorBidi"/>
          <w:color w:val="000000"/>
          <w:lang w:val="en"/>
        </w:rPr>
        <w:t>.</w:t>
      </w:r>
      <w:r>
        <w:rPr>
          <w:rFonts w:asciiTheme="majorBidi" w:eastAsia="Times New Roman" w:hAnsiTheme="majorBidi" w:cstheme="majorBidi"/>
          <w:color w:val="000000"/>
          <w:lang w:val="en"/>
        </w:rPr>
        <w:t>,</w:t>
      </w:r>
      <w:r w:rsidRPr="0017124F">
        <w:rPr>
          <w:rFonts w:asciiTheme="majorBidi" w:eastAsia="Times New Roman" w:hAnsiTheme="majorBidi" w:cstheme="majorBidi" w:hint="eastAsia"/>
          <w:color w:val="000000"/>
          <w:lang w:val="en"/>
        </w:rPr>
        <w:t xml:space="preserve"> Amering</w:t>
      </w:r>
      <w:r w:rsidR="00E8502C">
        <w:rPr>
          <w:rFonts w:asciiTheme="majorBidi" w:eastAsia="Times New Roman" w:hAnsiTheme="majorBidi" w:cstheme="majorBidi"/>
          <w:color w:val="000000"/>
          <w:lang w:val="en"/>
        </w:rPr>
        <w:t>,</w:t>
      </w:r>
      <w:r w:rsidRPr="0017124F">
        <w:rPr>
          <w:rFonts w:asciiTheme="majorBidi" w:eastAsia="Times New Roman" w:hAnsiTheme="majorBidi" w:cstheme="majorBidi" w:hint="eastAsia"/>
          <w:color w:val="000000"/>
          <w:lang w:val="en"/>
        </w:rPr>
        <w:t xml:space="preserve"> M</w:t>
      </w:r>
      <w:r w:rsidR="00E8502C">
        <w:rPr>
          <w:rFonts w:asciiTheme="majorBidi" w:eastAsia="Times New Roman" w:hAnsiTheme="majorBidi" w:cstheme="majorBidi"/>
          <w:color w:val="000000"/>
          <w:lang w:val="en"/>
        </w:rPr>
        <w:t>.</w:t>
      </w:r>
      <w:r w:rsidRPr="0017124F">
        <w:rPr>
          <w:rFonts w:asciiTheme="majorBidi" w:eastAsia="Times New Roman" w:hAnsiTheme="majorBidi" w:cstheme="majorBidi" w:hint="eastAsia"/>
          <w:color w:val="000000"/>
          <w:lang w:val="en"/>
        </w:rPr>
        <w:t>, Farkas</w:t>
      </w:r>
      <w:r w:rsidR="00E8502C">
        <w:rPr>
          <w:rFonts w:asciiTheme="majorBidi" w:eastAsia="Times New Roman" w:hAnsiTheme="majorBidi" w:cstheme="majorBidi"/>
          <w:color w:val="000000"/>
          <w:lang w:val="en"/>
        </w:rPr>
        <w:t>,</w:t>
      </w:r>
      <w:r>
        <w:rPr>
          <w:rFonts w:asciiTheme="majorBidi" w:eastAsia="Times New Roman" w:hAnsiTheme="majorBidi" w:cstheme="majorBidi" w:hint="eastAsia"/>
          <w:color w:val="000000"/>
          <w:lang w:val="en"/>
        </w:rPr>
        <w:t xml:space="preserve"> M</w:t>
      </w:r>
      <w:r w:rsidR="00E8502C">
        <w:rPr>
          <w:rFonts w:asciiTheme="majorBidi" w:eastAsia="Times New Roman" w:hAnsiTheme="majorBidi" w:cstheme="majorBidi"/>
          <w:color w:val="000000"/>
          <w:lang w:val="en"/>
        </w:rPr>
        <w:t>.</w:t>
      </w:r>
      <w:r w:rsidRPr="0017124F">
        <w:rPr>
          <w:rFonts w:asciiTheme="majorBidi" w:eastAsia="Times New Roman" w:hAnsiTheme="majorBidi" w:cstheme="majorBidi" w:hint="eastAsia"/>
          <w:color w:val="000000"/>
          <w:lang w:val="en"/>
        </w:rPr>
        <w:t>, Hamilton</w:t>
      </w:r>
      <w:r w:rsidR="00E8502C">
        <w:rPr>
          <w:rFonts w:asciiTheme="majorBidi" w:eastAsia="Times New Roman" w:hAnsiTheme="majorBidi" w:cstheme="majorBidi"/>
          <w:color w:val="000000"/>
          <w:lang w:val="en"/>
        </w:rPr>
        <w:t>,</w:t>
      </w:r>
      <w:r w:rsidRPr="0017124F">
        <w:rPr>
          <w:rFonts w:asciiTheme="majorBidi" w:eastAsia="Times New Roman" w:hAnsiTheme="majorBidi" w:cstheme="majorBidi" w:hint="eastAsia"/>
          <w:color w:val="000000"/>
          <w:lang w:val="en"/>
        </w:rPr>
        <w:t xml:space="preserve"> B</w:t>
      </w:r>
      <w:r w:rsidR="00E8502C">
        <w:rPr>
          <w:rFonts w:asciiTheme="majorBidi" w:eastAsia="Times New Roman" w:hAnsiTheme="majorBidi" w:cstheme="majorBidi"/>
          <w:color w:val="000000"/>
          <w:lang w:val="en"/>
        </w:rPr>
        <w:t>.</w:t>
      </w:r>
      <w:r w:rsidRPr="0017124F">
        <w:rPr>
          <w:rFonts w:asciiTheme="majorBidi" w:eastAsia="Times New Roman" w:hAnsiTheme="majorBidi" w:cstheme="majorBidi" w:hint="eastAsia"/>
          <w:color w:val="000000"/>
          <w:lang w:val="en"/>
        </w:rPr>
        <w:t>, O'Hagan</w:t>
      </w:r>
      <w:r w:rsidR="00E8502C">
        <w:rPr>
          <w:rFonts w:asciiTheme="majorBidi" w:eastAsia="Times New Roman" w:hAnsiTheme="majorBidi" w:cstheme="majorBidi"/>
          <w:color w:val="000000"/>
          <w:lang w:val="en"/>
        </w:rPr>
        <w:t>,</w:t>
      </w:r>
      <w:r w:rsidRPr="0017124F">
        <w:rPr>
          <w:rFonts w:asciiTheme="majorBidi" w:eastAsia="Times New Roman" w:hAnsiTheme="majorBidi" w:cstheme="majorBidi" w:hint="eastAsia"/>
          <w:color w:val="000000"/>
          <w:lang w:val="en"/>
        </w:rPr>
        <w:t xml:space="preserve"> M</w:t>
      </w:r>
      <w:r w:rsidR="00E8502C">
        <w:rPr>
          <w:rFonts w:asciiTheme="majorBidi" w:eastAsia="Times New Roman" w:hAnsiTheme="majorBidi" w:cstheme="majorBidi"/>
          <w:color w:val="000000"/>
          <w:lang w:val="en"/>
        </w:rPr>
        <w:t>.</w:t>
      </w:r>
      <w:r w:rsidRPr="0017124F">
        <w:rPr>
          <w:rFonts w:asciiTheme="majorBidi" w:eastAsia="Times New Roman" w:hAnsiTheme="majorBidi" w:cstheme="majorBidi" w:hint="eastAsia"/>
          <w:color w:val="000000"/>
          <w:lang w:val="en"/>
        </w:rPr>
        <w:t>, Panther</w:t>
      </w:r>
      <w:r w:rsidR="00E8502C">
        <w:rPr>
          <w:rFonts w:asciiTheme="majorBidi" w:eastAsia="Times New Roman" w:hAnsiTheme="majorBidi" w:cstheme="majorBidi"/>
          <w:color w:val="000000"/>
          <w:lang w:val="en"/>
        </w:rPr>
        <w:t>,</w:t>
      </w:r>
      <w:r w:rsidRPr="0017124F">
        <w:rPr>
          <w:rFonts w:asciiTheme="majorBidi" w:eastAsia="Times New Roman" w:hAnsiTheme="majorBidi" w:cstheme="majorBidi" w:hint="eastAsia"/>
          <w:color w:val="000000"/>
          <w:lang w:val="en"/>
        </w:rPr>
        <w:t xml:space="preserve"> G</w:t>
      </w:r>
      <w:r w:rsidR="00E8502C">
        <w:rPr>
          <w:rFonts w:asciiTheme="majorBidi" w:eastAsia="Times New Roman" w:hAnsiTheme="majorBidi" w:cstheme="majorBidi"/>
          <w:color w:val="000000"/>
          <w:lang w:val="en"/>
        </w:rPr>
        <w:t>.</w:t>
      </w:r>
      <w:r w:rsidRPr="0017124F">
        <w:rPr>
          <w:rFonts w:asciiTheme="majorBidi" w:eastAsia="Times New Roman" w:hAnsiTheme="majorBidi" w:cstheme="majorBidi" w:hint="eastAsia"/>
          <w:color w:val="000000"/>
          <w:lang w:val="en"/>
        </w:rPr>
        <w:t xml:space="preserve"> ... &amp; Whitley</w:t>
      </w:r>
      <w:r w:rsidR="00E8502C">
        <w:rPr>
          <w:rFonts w:asciiTheme="majorBidi" w:eastAsia="Times New Roman" w:hAnsiTheme="majorBidi" w:cstheme="majorBidi"/>
          <w:color w:val="000000"/>
          <w:lang w:val="en"/>
        </w:rPr>
        <w:t>,</w:t>
      </w:r>
      <w:r w:rsidRPr="0017124F">
        <w:rPr>
          <w:rFonts w:asciiTheme="majorBidi" w:eastAsia="Times New Roman" w:hAnsiTheme="majorBidi" w:cstheme="majorBidi" w:hint="eastAsia"/>
          <w:color w:val="000000"/>
          <w:lang w:val="en"/>
        </w:rPr>
        <w:t xml:space="preserve"> R</w:t>
      </w:r>
      <w:r w:rsidR="00E8502C">
        <w:rPr>
          <w:rFonts w:asciiTheme="majorBidi" w:eastAsia="Times New Roman" w:hAnsiTheme="majorBidi" w:cstheme="majorBidi"/>
          <w:color w:val="000000"/>
          <w:lang w:val="en"/>
        </w:rPr>
        <w:t>.</w:t>
      </w:r>
      <w:r>
        <w:rPr>
          <w:rFonts w:asciiTheme="majorBidi" w:eastAsia="Times New Roman" w:hAnsiTheme="majorBidi" w:cstheme="majorBidi" w:hint="eastAsia"/>
          <w:color w:val="000000"/>
          <w:lang w:val="en"/>
        </w:rPr>
        <w:t xml:space="preserve"> (2014) Uses and abuses of recovery: </w:t>
      </w:r>
      <w:r>
        <w:rPr>
          <w:rFonts w:asciiTheme="majorBidi" w:eastAsia="Times New Roman" w:hAnsiTheme="majorBidi" w:cstheme="majorBidi"/>
          <w:color w:val="000000"/>
          <w:lang w:val="en"/>
        </w:rPr>
        <w:t>I</w:t>
      </w:r>
      <w:r w:rsidRPr="0017124F">
        <w:rPr>
          <w:rFonts w:asciiTheme="majorBidi" w:eastAsia="Times New Roman" w:hAnsiTheme="majorBidi" w:cstheme="majorBidi" w:hint="eastAsia"/>
          <w:color w:val="000000"/>
          <w:lang w:val="en"/>
        </w:rPr>
        <w:t>mplementing recovery</w:t>
      </w:r>
      <w:r w:rsidRPr="0017124F">
        <w:rPr>
          <w:rFonts w:ascii="Cambria Math" w:eastAsia="Times New Roman" w:hAnsi="Cambria Math" w:cs="Cambria Math"/>
          <w:color w:val="000000"/>
          <w:lang w:val="en"/>
        </w:rPr>
        <w:t>‐</w:t>
      </w:r>
      <w:r w:rsidRPr="0017124F">
        <w:rPr>
          <w:rFonts w:asciiTheme="majorBidi" w:eastAsia="Times New Roman" w:hAnsiTheme="majorBidi" w:cstheme="majorBidi" w:hint="eastAsia"/>
          <w:color w:val="000000"/>
          <w:lang w:val="en"/>
        </w:rPr>
        <w:t xml:space="preserve">oriented practices in mental health systems. </w:t>
      </w:r>
      <w:r w:rsidRPr="0017124F">
        <w:rPr>
          <w:rFonts w:asciiTheme="majorBidi" w:eastAsia="Times New Roman" w:hAnsiTheme="majorBidi" w:cstheme="majorBidi" w:hint="eastAsia"/>
          <w:i/>
          <w:iCs/>
          <w:color w:val="000000"/>
          <w:lang w:val="en"/>
        </w:rPr>
        <w:t>World Psychiatry, 13</w:t>
      </w:r>
      <w:r w:rsidRPr="0017124F">
        <w:rPr>
          <w:rFonts w:asciiTheme="majorBidi" w:eastAsia="Times New Roman" w:hAnsiTheme="majorBidi" w:cstheme="majorBidi" w:hint="eastAsia"/>
          <w:color w:val="000000"/>
          <w:lang w:val="en"/>
        </w:rPr>
        <w:t>(1), 12-20.</w:t>
      </w:r>
    </w:p>
    <w:p w14:paraId="1D42BD8C" w14:textId="5D956A8F" w:rsidR="002F4D89" w:rsidRDefault="002F4D89" w:rsidP="00E8502C">
      <w:pPr>
        <w:shd w:val="clear" w:color="auto" w:fill="FFFFFF"/>
        <w:spacing w:after="150" w:line="480" w:lineRule="auto"/>
        <w:ind w:left="720" w:hanging="720"/>
        <w:rPr>
          <w:rFonts w:asciiTheme="majorBidi" w:eastAsia="Times New Roman" w:hAnsiTheme="majorBidi" w:cstheme="majorBidi"/>
          <w:color w:val="000000"/>
          <w:lang w:val="en"/>
        </w:rPr>
      </w:pPr>
      <w:r w:rsidRPr="002F4D89">
        <w:rPr>
          <w:rFonts w:asciiTheme="majorBidi" w:eastAsia="Times New Roman" w:hAnsiTheme="majorBidi" w:cstheme="majorBidi"/>
          <w:color w:val="000000"/>
          <w:lang w:val="en"/>
        </w:rPr>
        <w:t>Slade</w:t>
      </w:r>
      <w:r w:rsidR="00E8502C">
        <w:rPr>
          <w:rFonts w:asciiTheme="majorBidi" w:eastAsia="Times New Roman" w:hAnsiTheme="majorBidi" w:cstheme="majorBidi"/>
          <w:color w:val="000000"/>
          <w:lang w:val="en"/>
        </w:rPr>
        <w:t>,</w:t>
      </w:r>
      <w:r w:rsidRPr="002F4D89">
        <w:rPr>
          <w:rFonts w:asciiTheme="majorBidi" w:eastAsia="Times New Roman" w:hAnsiTheme="majorBidi" w:cstheme="majorBidi"/>
          <w:color w:val="000000"/>
          <w:lang w:val="en"/>
        </w:rPr>
        <w:t xml:space="preserve"> M</w:t>
      </w:r>
      <w:r w:rsidR="00E8502C">
        <w:rPr>
          <w:rFonts w:asciiTheme="majorBidi" w:eastAsia="Times New Roman" w:hAnsiTheme="majorBidi" w:cstheme="majorBidi"/>
          <w:color w:val="000000"/>
          <w:lang w:val="en"/>
        </w:rPr>
        <w:t>.</w:t>
      </w:r>
      <w:r w:rsidRPr="002F4D89">
        <w:rPr>
          <w:rFonts w:asciiTheme="majorBidi" w:eastAsia="Times New Roman" w:hAnsiTheme="majorBidi" w:cstheme="majorBidi"/>
          <w:color w:val="000000"/>
          <w:lang w:val="en"/>
        </w:rPr>
        <w:t>, Amering</w:t>
      </w:r>
      <w:r w:rsidR="00E8502C">
        <w:rPr>
          <w:rFonts w:asciiTheme="majorBidi" w:eastAsia="Times New Roman" w:hAnsiTheme="majorBidi" w:cstheme="majorBidi"/>
          <w:color w:val="000000"/>
          <w:lang w:val="en"/>
        </w:rPr>
        <w:t>,</w:t>
      </w:r>
      <w:r w:rsidRPr="002F4D89">
        <w:rPr>
          <w:rFonts w:asciiTheme="majorBidi" w:eastAsia="Times New Roman" w:hAnsiTheme="majorBidi" w:cstheme="majorBidi"/>
          <w:color w:val="000000"/>
          <w:lang w:val="en"/>
        </w:rPr>
        <w:t xml:space="preserve"> M</w:t>
      </w:r>
      <w:r w:rsidR="00E8502C">
        <w:rPr>
          <w:rFonts w:asciiTheme="majorBidi" w:eastAsia="Times New Roman" w:hAnsiTheme="majorBidi" w:cstheme="majorBidi"/>
          <w:color w:val="000000"/>
          <w:lang w:val="en"/>
        </w:rPr>
        <w:t>.</w:t>
      </w:r>
      <w:r w:rsidR="003D47BD">
        <w:rPr>
          <w:rFonts w:asciiTheme="majorBidi" w:eastAsia="Times New Roman" w:hAnsiTheme="majorBidi" w:cstheme="majorBidi"/>
          <w:color w:val="000000"/>
          <w:lang w:val="en"/>
        </w:rPr>
        <w:t xml:space="preserve"> </w:t>
      </w:r>
      <w:r w:rsidR="00E8502C">
        <w:rPr>
          <w:rFonts w:asciiTheme="majorBidi" w:eastAsia="Times New Roman" w:hAnsiTheme="majorBidi" w:cstheme="majorBidi"/>
          <w:color w:val="000000"/>
          <w:lang w:val="en"/>
        </w:rPr>
        <w:t>&amp;</w:t>
      </w:r>
      <w:r>
        <w:rPr>
          <w:rFonts w:asciiTheme="majorBidi" w:eastAsia="Times New Roman" w:hAnsiTheme="majorBidi" w:cstheme="majorBidi"/>
          <w:color w:val="000000"/>
          <w:lang w:val="en"/>
        </w:rPr>
        <w:t xml:space="preserve"> </w:t>
      </w:r>
      <w:r w:rsidRPr="002F4D89">
        <w:rPr>
          <w:rFonts w:asciiTheme="majorBidi" w:eastAsia="Times New Roman" w:hAnsiTheme="majorBidi" w:cstheme="majorBidi"/>
          <w:color w:val="000000"/>
          <w:lang w:val="en"/>
        </w:rPr>
        <w:t>Oades</w:t>
      </w:r>
      <w:r w:rsidR="00E8502C">
        <w:rPr>
          <w:rFonts w:asciiTheme="majorBidi" w:eastAsia="Times New Roman" w:hAnsiTheme="majorBidi" w:cstheme="majorBidi"/>
          <w:color w:val="000000"/>
          <w:lang w:val="en"/>
        </w:rPr>
        <w:t>,</w:t>
      </w:r>
      <w:r w:rsidRPr="002F4D89">
        <w:rPr>
          <w:rFonts w:asciiTheme="majorBidi" w:eastAsia="Times New Roman" w:hAnsiTheme="majorBidi" w:cstheme="majorBidi"/>
          <w:color w:val="000000"/>
          <w:lang w:val="en"/>
        </w:rPr>
        <w:t xml:space="preserve"> L</w:t>
      </w:r>
      <w:r w:rsidR="00E8502C">
        <w:rPr>
          <w:rFonts w:asciiTheme="majorBidi" w:eastAsia="Times New Roman" w:hAnsiTheme="majorBidi" w:cstheme="majorBidi"/>
          <w:color w:val="000000"/>
          <w:lang w:val="en"/>
        </w:rPr>
        <w:t>.</w:t>
      </w:r>
      <w:r w:rsidR="003D47BD">
        <w:rPr>
          <w:rFonts w:asciiTheme="majorBidi" w:eastAsia="Times New Roman" w:hAnsiTheme="majorBidi" w:cstheme="majorBidi"/>
          <w:color w:val="000000"/>
          <w:lang w:val="en"/>
        </w:rPr>
        <w:t xml:space="preserve"> (2008)</w:t>
      </w:r>
      <w:r>
        <w:rPr>
          <w:rFonts w:asciiTheme="majorBidi" w:eastAsia="Times New Roman" w:hAnsiTheme="majorBidi" w:cstheme="majorBidi"/>
          <w:color w:val="000000"/>
          <w:lang w:val="en"/>
        </w:rPr>
        <w:t xml:space="preserve"> </w:t>
      </w:r>
      <w:r w:rsidRPr="002F4D89">
        <w:rPr>
          <w:rFonts w:asciiTheme="majorBidi" w:eastAsia="Times New Roman" w:hAnsiTheme="majorBidi" w:cstheme="majorBidi"/>
          <w:color w:val="000000"/>
          <w:lang w:val="en"/>
        </w:rPr>
        <w:t xml:space="preserve">Recovery: An international perspective. </w:t>
      </w:r>
      <w:r w:rsidRPr="002F4D89">
        <w:rPr>
          <w:rFonts w:asciiTheme="majorBidi" w:eastAsia="Times New Roman" w:hAnsiTheme="majorBidi" w:cstheme="majorBidi"/>
          <w:i/>
          <w:color w:val="000000"/>
          <w:lang w:val="en"/>
        </w:rPr>
        <w:t>Epidemiolog</w:t>
      </w:r>
      <w:r>
        <w:rPr>
          <w:rFonts w:asciiTheme="majorBidi" w:eastAsia="Times New Roman" w:hAnsiTheme="majorBidi" w:cstheme="majorBidi"/>
          <w:i/>
          <w:color w:val="000000"/>
          <w:lang w:val="en"/>
        </w:rPr>
        <w:t>y and Psychiatric Sciences</w:t>
      </w:r>
      <w:r w:rsidRPr="002F4D89">
        <w:rPr>
          <w:rFonts w:asciiTheme="majorBidi" w:eastAsia="Times New Roman" w:hAnsiTheme="majorBidi" w:cstheme="majorBidi"/>
          <w:i/>
          <w:color w:val="000000"/>
          <w:lang w:val="en"/>
        </w:rPr>
        <w:t>, 17</w:t>
      </w:r>
      <w:r>
        <w:rPr>
          <w:rFonts w:asciiTheme="majorBidi" w:eastAsia="Times New Roman" w:hAnsiTheme="majorBidi" w:cstheme="majorBidi"/>
          <w:color w:val="000000"/>
          <w:lang w:val="en"/>
        </w:rPr>
        <w:t>(</w:t>
      </w:r>
      <w:r w:rsidRPr="002F4D89">
        <w:rPr>
          <w:rFonts w:asciiTheme="majorBidi" w:eastAsia="Times New Roman" w:hAnsiTheme="majorBidi" w:cstheme="majorBidi"/>
          <w:color w:val="000000"/>
          <w:lang w:val="en"/>
        </w:rPr>
        <w:t>2),</w:t>
      </w:r>
      <w:r>
        <w:rPr>
          <w:rFonts w:asciiTheme="majorBidi" w:eastAsia="Times New Roman" w:hAnsiTheme="majorBidi" w:cstheme="majorBidi"/>
          <w:color w:val="000000"/>
          <w:lang w:val="en"/>
        </w:rPr>
        <w:t xml:space="preserve"> </w:t>
      </w:r>
      <w:r w:rsidRPr="002F4D89">
        <w:rPr>
          <w:rFonts w:asciiTheme="majorBidi" w:eastAsia="Times New Roman" w:hAnsiTheme="majorBidi" w:cstheme="majorBidi"/>
          <w:color w:val="000000"/>
          <w:lang w:val="en"/>
        </w:rPr>
        <w:t>128–37.</w:t>
      </w:r>
    </w:p>
    <w:p w14:paraId="334B1DD6" w14:textId="3CE06657" w:rsidR="001F642A" w:rsidRDefault="001F642A" w:rsidP="001F642A">
      <w:pPr>
        <w:shd w:val="clear" w:color="auto" w:fill="FFFFFF"/>
        <w:spacing w:after="150" w:line="480" w:lineRule="auto"/>
        <w:ind w:left="720" w:hanging="720"/>
        <w:rPr>
          <w:rFonts w:asciiTheme="majorBidi" w:eastAsia="Times New Roman" w:hAnsiTheme="majorBidi" w:cstheme="majorBidi"/>
          <w:color w:val="000000"/>
          <w:lang w:val="en"/>
        </w:rPr>
      </w:pPr>
      <w:r w:rsidRPr="001F642A">
        <w:rPr>
          <w:rFonts w:asciiTheme="majorBidi" w:eastAsia="Times New Roman" w:hAnsiTheme="majorBidi" w:cstheme="majorBidi"/>
          <w:color w:val="000000"/>
          <w:lang w:val="en-GB"/>
        </w:rPr>
        <w:t xml:space="preserve">Smith, W., Patel, A., </w:t>
      </w:r>
      <w:proofErr w:type="spellStart"/>
      <w:r w:rsidRPr="001F642A">
        <w:rPr>
          <w:rFonts w:asciiTheme="majorBidi" w:eastAsia="Times New Roman" w:hAnsiTheme="majorBidi" w:cstheme="majorBidi"/>
          <w:color w:val="000000"/>
          <w:lang w:val="en-GB"/>
        </w:rPr>
        <w:t>McCrone</w:t>
      </w:r>
      <w:proofErr w:type="spellEnd"/>
      <w:r w:rsidRPr="001F642A">
        <w:rPr>
          <w:rFonts w:asciiTheme="majorBidi" w:eastAsia="Times New Roman" w:hAnsiTheme="majorBidi" w:cstheme="majorBidi"/>
          <w:color w:val="000000"/>
          <w:lang w:val="en-GB"/>
        </w:rPr>
        <w:t xml:space="preserve">, P., Jin, H., </w:t>
      </w:r>
      <w:proofErr w:type="spellStart"/>
      <w:r w:rsidRPr="001F642A">
        <w:rPr>
          <w:rFonts w:asciiTheme="majorBidi" w:eastAsia="Times New Roman" w:hAnsiTheme="majorBidi" w:cstheme="majorBidi"/>
          <w:color w:val="000000"/>
          <w:lang w:val="en-GB"/>
        </w:rPr>
        <w:t>Osumili</w:t>
      </w:r>
      <w:proofErr w:type="spellEnd"/>
      <w:r w:rsidRPr="001F642A">
        <w:rPr>
          <w:rFonts w:asciiTheme="majorBidi" w:eastAsia="Times New Roman" w:hAnsiTheme="majorBidi" w:cstheme="majorBidi"/>
          <w:color w:val="000000"/>
          <w:lang w:val="en-GB"/>
        </w:rPr>
        <w:t xml:space="preserve">, B. &amp; Barrett, B. (2016) </w:t>
      </w:r>
      <w:r w:rsidRPr="001F642A">
        <w:rPr>
          <w:rFonts w:asciiTheme="majorBidi" w:eastAsia="Times New Roman" w:hAnsiTheme="majorBidi" w:cstheme="majorBidi"/>
          <w:color w:val="000000"/>
          <w:lang w:val="en"/>
        </w:rPr>
        <w:t>Reducing outc</w:t>
      </w:r>
      <w:r>
        <w:rPr>
          <w:rFonts w:asciiTheme="majorBidi" w:eastAsia="Times New Roman" w:hAnsiTheme="majorBidi" w:cstheme="majorBidi"/>
          <w:color w:val="000000"/>
          <w:lang w:val="en"/>
        </w:rPr>
        <w:t>ome measures in mental health: A</w:t>
      </w:r>
      <w:r w:rsidRPr="001F642A">
        <w:rPr>
          <w:rFonts w:asciiTheme="majorBidi" w:eastAsia="Times New Roman" w:hAnsiTheme="majorBidi" w:cstheme="majorBidi"/>
          <w:color w:val="000000"/>
          <w:lang w:val="en"/>
        </w:rPr>
        <w:t xml:space="preserve"> systematic review of the methods. </w:t>
      </w:r>
      <w:r w:rsidRPr="001F642A">
        <w:rPr>
          <w:rFonts w:asciiTheme="majorBidi" w:eastAsia="Times New Roman" w:hAnsiTheme="majorBidi" w:cstheme="majorBidi"/>
          <w:i/>
          <w:iCs/>
          <w:color w:val="000000"/>
          <w:lang w:val="en"/>
        </w:rPr>
        <w:t>Journal of Mental Health, 25</w:t>
      </w:r>
      <w:r w:rsidRPr="001F642A">
        <w:rPr>
          <w:rFonts w:asciiTheme="majorBidi" w:eastAsia="Times New Roman" w:hAnsiTheme="majorBidi" w:cstheme="majorBidi"/>
          <w:color w:val="000000"/>
          <w:lang w:val="en"/>
        </w:rPr>
        <w:t>(5), 461-472.</w:t>
      </w:r>
    </w:p>
    <w:p w14:paraId="5869FB5C" w14:textId="710AEA64" w:rsidR="00C03DEB" w:rsidRPr="00592155" w:rsidRDefault="003D47BD" w:rsidP="00C03DEB">
      <w:pPr>
        <w:shd w:val="clear" w:color="auto" w:fill="FFFFFF"/>
        <w:spacing w:after="150" w:line="480" w:lineRule="auto"/>
        <w:ind w:left="720" w:hanging="720"/>
        <w:rPr>
          <w:rFonts w:asciiTheme="majorBidi" w:eastAsia="Times New Roman" w:hAnsiTheme="majorBidi" w:cstheme="majorBidi"/>
          <w:color w:val="000000"/>
          <w:lang w:val="en"/>
        </w:rPr>
      </w:pPr>
      <w:r>
        <w:rPr>
          <w:rFonts w:asciiTheme="majorBidi" w:eastAsia="Times New Roman" w:hAnsiTheme="majorBidi" w:cstheme="majorBidi"/>
          <w:color w:val="000000"/>
          <w:lang w:val="en"/>
        </w:rPr>
        <w:t>Spiliotopoulou</w:t>
      </w:r>
      <w:r w:rsidR="00E8502C">
        <w:rPr>
          <w:rFonts w:asciiTheme="majorBidi" w:eastAsia="Times New Roman" w:hAnsiTheme="majorBidi" w:cstheme="majorBidi"/>
          <w:color w:val="000000"/>
          <w:lang w:val="en"/>
        </w:rPr>
        <w:t>,</w:t>
      </w:r>
      <w:r>
        <w:rPr>
          <w:rFonts w:asciiTheme="majorBidi" w:eastAsia="Times New Roman" w:hAnsiTheme="majorBidi" w:cstheme="majorBidi"/>
          <w:color w:val="000000"/>
          <w:lang w:val="en"/>
        </w:rPr>
        <w:t xml:space="preserve"> G</w:t>
      </w:r>
      <w:r w:rsidR="00E8502C">
        <w:rPr>
          <w:rFonts w:asciiTheme="majorBidi" w:eastAsia="Times New Roman" w:hAnsiTheme="majorBidi" w:cstheme="majorBidi"/>
          <w:color w:val="000000"/>
          <w:lang w:val="en"/>
        </w:rPr>
        <w:t>.</w:t>
      </w:r>
      <w:r>
        <w:rPr>
          <w:rFonts w:asciiTheme="majorBidi" w:eastAsia="Times New Roman" w:hAnsiTheme="majorBidi" w:cstheme="majorBidi"/>
          <w:color w:val="000000"/>
          <w:lang w:val="en"/>
        </w:rPr>
        <w:t xml:space="preserve"> (2009)</w:t>
      </w:r>
      <w:r w:rsidR="00C03DEB" w:rsidRPr="00592155">
        <w:rPr>
          <w:rFonts w:asciiTheme="majorBidi" w:eastAsia="Times New Roman" w:hAnsiTheme="majorBidi" w:cstheme="majorBidi"/>
          <w:color w:val="000000"/>
          <w:lang w:val="en"/>
        </w:rPr>
        <w:t xml:space="preserve"> Reliability reconsidered: Cronbach's alpha and paediatric assessment in occupational therapy. </w:t>
      </w:r>
      <w:r w:rsidR="00C03DEB" w:rsidRPr="00592155">
        <w:rPr>
          <w:rFonts w:asciiTheme="majorBidi" w:eastAsia="Times New Roman" w:hAnsiTheme="majorBidi" w:cstheme="majorBidi"/>
          <w:i/>
          <w:iCs/>
          <w:color w:val="000000"/>
          <w:lang w:val="en"/>
        </w:rPr>
        <w:t>Australian Occupational Therapy Journal</w:t>
      </w:r>
      <w:r w:rsidR="00C03DEB" w:rsidRPr="00592155">
        <w:rPr>
          <w:rFonts w:asciiTheme="majorBidi" w:eastAsia="Times New Roman" w:hAnsiTheme="majorBidi" w:cstheme="majorBidi"/>
          <w:color w:val="000000"/>
          <w:lang w:val="en"/>
        </w:rPr>
        <w:t xml:space="preserve">, </w:t>
      </w:r>
      <w:r w:rsidR="00C03DEB" w:rsidRPr="00592155">
        <w:rPr>
          <w:rFonts w:asciiTheme="majorBidi" w:eastAsia="Times New Roman" w:hAnsiTheme="majorBidi" w:cstheme="majorBidi"/>
          <w:i/>
          <w:iCs/>
          <w:color w:val="000000"/>
          <w:lang w:val="en"/>
        </w:rPr>
        <w:t>56</w:t>
      </w:r>
      <w:r w:rsidR="00C03DEB" w:rsidRPr="00592155">
        <w:rPr>
          <w:rFonts w:asciiTheme="majorBidi" w:eastAsia="Times New Roman" w:hAnsiTheme="majorBidi" w:cstheme="majorBidi"/>
          <w:color w:val="000000"/>
          <w:lang w:val="en"/>
        </w:rPr>
        <w:t>(3), 150-155. http://dx.doi.org/10.1111/j.1440-1630.2009.00785.x</w:t>
      </w:r>
    </w:p>
    <w:p w14:paraId="74DCEFC8" w14:textId="689ECC25" w:rsidR="00C03DEB" w:rsidRPr="00592155" w:rsidRDefault="003D47BD" w:rsidP="00C03DEB">
      <w:pPr>
        <w:shd w:val="clear" w:color="auto" w:fill="FFFFFF"/>
        <w:spacing w:after="150" w:line="480" w:lineRule="auto"/>
        <w:ind w:left="720" w:hanging="720"/>
        <w:rPr>
          <w:rFonts w:asciiTheme="majorBidi" w:hAnsiTheme="majorBidi" w:cstheme="majorBidi"/>
        </w:rPr>
      </w:pPr>
      <w:proofErr w:type="spellStart"/>
      <w:r w:rsidRPr="0042356D">
        <w:rPr>
          <w:rFonts w:asciiTheme="majorBidi" w:hAnsiTheme="majorBidi" w:cstheme="majorBidi"/>
          <w:lang w:val="de-DE"/>
        </w:rPr>
        <w:t>Tennant</w:t>
      </w:r>
      <w:proofErr w:type="spellEnd"/>
      <w:r w:rsidR="00E8502C" w:rsidRPr="0042356D">
        <w:rPr>
          <w:rFonts w:asciiTheme="majorBidi" w:hAnsiTheme="majorBidi" w:cstheme="majorBidi"/>
          <w:lang w:val="de-DE"/>
        </w:rPr>
        <w:t>,</w:t>
      </w:r>
      <w:r w:rsidRPr="0042356D">
        <w:rPr>
          <w:rFonts w:asciiTheme="majorBidi" w:hAnsiTheme="majorBidi" w:cstheme="majorBidi"/>
          <w:lang w:val="de-DE"/>
        </w:rPr>
        <w:t xml:space="preserve"> R</w:t>
      </w:r>
      <w:r w:rsidR="00E8502C" w:rsidRPr="0042356D">
        <w:rPr>
          <w:rFonts w:asciiTheme="majorBidi" w:hAnsiTheme="majorBidi" w:cstheme="majorBidi"/>
          <w:lang w:val="de-DE"/>
        </w:rPr>
        <w:t>.</w:t>
      </w:r>
      <w:r w:rsidRPr="0042356D">
        <w:rPr>
          <w:rFonts w:asciiTheme="majorBidi" w:hAnsiTheme="majorBidi" w:cstheme="majorBidi"/>
          <w:lang w:val="de-DE"/>
        </w:rPr>
        <w:t>, Hiller</w:t>
      </w:r>
      <w:r w:rsidR="00E8502C" w:rsidRPr="0042356D">
        <w:rPr>
          <w:rFonts w:asciiTheme="majorBidi" w:hAnsiTheme="majorBidi" w:cstheme="majorBidi"/>
          <w:lang w:val="de-DE"/>
        </w:rPr>
        <w:t>,</w:t>
      </w:r>
      <w:r w:rsidRPr="0042356D">
        <w:rPr>
          <w:rFonts w:asciiTheme="majorBidi" w:hAnsiTheme="majorBidi" w:cstheme="majorBidi"/>
          <w:lang w:val="de-DE"/>
        </w:rPr>
        <w:t xml:space="preserve"> L</w:t>
      </w:r>
      <w:r w:rsidR="00E8502C" w:rsidRPr="0042356D">
        <w:rPr>
          <w:rFonts w:asciiTheme="majorBidi" w:hAnsiTheme="majorBidi" w:cstheme="majorBidi"/>
          <w:lang w:val="de-DE"/>
        </w:rPr>
        <w:t>.</w:t>
      </w:r>
      <w:r w:rsidRPr="0042356D">
        <w:rPr>
          <w:rFonts w:asciiTheme="majorBidi" w:hAnsiTheme="majorBidi" w:cstheme="majorBidi"/>
          <w:lang w:val="de-DE"/>
        </w:rPr>
        <w:t xml:space="preserve">, </w:t>
      </w:r>
      <w:proofErr w:type="spellStart"/>
      <w:r w:rsidRPr="0042356D">
        <w:rPr>
          <w:rFonts w:asciiTheme="majorBidi" w:hAnsiTheme="majorBidi" w:cstheme="majorBidi"/>
          <w:lang w:val="de-DE"/>
        </w:rPr>
        <w:t>Fishwick</w:t>
      </w:r>
      <w:proofErr w:type="spellEnd"/>
      <w:r w:rsidR="00E8502C" w:rsidRPr="0042356D">
        <w:rPr>
          <w:rFonts w:asciiTheme="majorBidi" w:hAnsiTheme="majorBidi" w:cstheme="majorBidi"/>
          <w:lang w:val="de-DE"/>
        </w:rPr>
        <w:t>,</w:t>
      </w:r>
      <w:r w:rsidRPr="0042356D">
        <w:rPr>
          <w:rFonts w:asciiTheme="majorBidi" w:hAnsiTheme="majorBidi" w:cstheme="majorBidi"/>
          <w:lang w:val="de-DE"/>
        </w:rPr>
        <w:t xml:space="preserve"> R</w:t>
      </w:r>
      <w:r w:rsidR="00E8502C" w:rsidRPr="0042356D">
        <w:rPr>
          <w:rFonts w:asciiTheme="majorBidi" w:hAnsiTheme="majorBidi" w:cstheme="majorBidi"/>
          <w:lang w:val="de-DE"/>
        </w:rPr>
        <w:t>.</w:t>
      </w:r>
      <w:r w:rsidRPr="0042356D">
        <w:rPr>
          <w:rFonts w:asciiTheme="majorBidi" w:hAnsiTheme="majorBidi" w:cstheme="majorBidi"/>
          <w:lang w:val="de-DE"/>
        </w:rPr>
        <w:t>, Platt</w:t>
      </w:r>
      <w:r w:rsidR="00E8502C" w:rsidRPr="0042356D">
        <w:rPr>
          <w:rFonts w:asciiTheme="majorBidi" w:hAnsiTheme="majorBidi" w:cstheme="majorBidi"/>
          <w:lang w:val="de-DE"/>
        </w:rPr>
        <w:t>,</w:t>
      </w:r>
      <w:r w:rsidRPr="0042356D">
        <w:rPr>
          <w:rFonts w:asciiTheme="majorBidi" w:hAnsiTheme="majorBidi" w:cstheme="majorBidi"/>
          <w:lang w:val="de-DE"/>
        </w:rPr>
        <w:t xml:space="preserve"> S</w:t>
      </w:r>
      <w:r w:rsidR="00E8502C" w:rsidRPr="0042356D">
        <w:rPr>
          <w:rFonts w:asciiTheme="majorBidi" w:hAnsiTheme="majorBidi" w:cstheme="majorBidi"/>
          <w:lang w:val="de-DE"/>
        </w:rPr>
        <w:t>.</w:t>
      </w:r>
      <w:r w:rsidRPr="0042356D">
        <w:rPr>
          <w:rFonts w:asciiTheme="majorBidi" w:hAnsiTheme="majorBidi" w:cstheme="majorBidi"/>
          <w:lang w:val="de-DE"/>
        </w:rPr>
        <w:t>, Joseph</w:t>
      </w:r>
      <w:r w:rsidR="00E8502C" w:rsidRPr="0042356D">
        <w:rPr>
          <w:rFonts w:asciiTheme="majorBidi" w:hAnsiTheme="majorBidi" w:cstheme="majorBidi"/>
          <w:lang w:val="de-DE"/>
        </w:rPr>
        <w:t>,</w:t>
      </w:r>
      <w:r w:rsidRPr="0042356D">
        <w:rPr>
          <w:rFonts w:asciiTheme="majorBidi" w:hAnsiTheme="majorBidi" w:cstheme="majorBidi"/>
          <w:lang w:val="de-DE"/>
        </w:rPr>
        <w:t xml:space="preserve"> S</w:t>
      </w:r>
      <w:r w:rsidR="00E8502C" w:rsidRPr="0042356D">
        <w:rPr>
          <w:rFonts w:asciiTheme="majorBidi" w:hAnsiTheme="majorBidi" w:cstheme="majorBidi"/>
          <w:lang w:val="de-DE"/>
        </w:rPr>
        <w:t>.</w:t>
      </w:r>
      <w:r w:rsidRPr="0042356D">
        <w:rPr>
          <w:rFonts w:asciiTheme="majorBidi" w:hAnsiTheme="majorBidi" w:cstheme="majorBidi"/>
          <w:lang w:val="de-DE"/>
        </w:rPr>
        <w:t>, Weich</w:t>
      </w:r>
      <w:r w:rsidR="00E8502C" w:rsidRPr="0042356D">
        <w:rPr>
          <w:rFonts w:asciiTheme="majorBidi" w:hAnsiTheme="majorBidi" w:cstheme="majorBidi"/>
          <w:lang w:val="de-DE"/>
        </w:rPr>
        <w:t>,</w:t>
      </w:r>
      <w:r w:rsidRPr="0042356D">
        <w:rPr>
          <w:rFonts w:asciiTheme="majorBidi" w:hAnsiTheme="majorBidi" w:cstheme="majorBidi"/>
          <w:lang w:val="de-DE"/>
        </w:rPr>
        <w:t xml:space="preserve"> S</w:t>
      </w:r>
      <w:r w:rsidR="00E8502C" w:rsidRPr="0042356D">
        <w:rPr>
          <w:rFonts w:asciiTheme="majorBidi" w:hAnsiTheme="majorBidi" w:cstheme="majorBidi"/>
          <w:lang w:val="de-DE"/>
        </w:rPr>
        <w:t>.</w:t>
      </w:r>
      <w:r w:rsidR="00C03DEB" w:rsidRPr="0042356D">
        <w:rPr>
          <w:rFonts w:asciiTheme="majorBidi" w:hAnsiTheme="majorBidi" w:cstheme="majorBidi"/>
          <w:lang w:val="de-DE"/>
        </w:rPr>
        <w:t xml:space="preserve">, . . . </w:t>
      </w:r>
      <w:r>
        <w:rPr>
          <w:rFonts w:asciiTheme="majorBidi" w:hAnsiTheme="majorBidi" w:cstheme="majorBidi"/>
        </w:rPr>
        <w:t>Stewart-Brown</w:t>
      </w:r>
      <w:r w:rsidR="00E8502C">
        <w:rPr>
          <w:rFonts w:asciiTheme="majorBidi" w:hAnsiTheme="majorBidi" w:cstheme="majorBidi"/>
        </w:rPr>
        <w:t>,</w:t>
      </w:r>
      <w:r>
        <w:rPr>
          <w:rFonts w:asciiTheme="majorBidi" w:hAnsiTheme="majorBidi" w:cstheme="majorBidi"/>
        </w:rPr>
        <w:t xml:space="preserve"> S</w:t>
      </w:r>
      <w:r w:rsidR="00E8502C">
        <w:rPr>
          <w:rFonts w:asciiTheme="majorBidi" w:hAnsiTheme="majorBidi" w:cstheme="majorBidi"/>
        </w:rPr>
        <w:t>.</w:t>
      </w:r>
      <w:r>
        <w:rPr>
          <w:rFonts w:asciiTheme="majorBidi" w:hAnsiTheme="majorBidi" w:cstheme="majorBidi"/>
        </w:rPr>
        <w:t xml:space="preserve"> (2007) </w:t>
      </w:r>
      <w:r w:rsidR="00C03DEB" w:rsidRPr="00592155">
        <w:rPr>
          <w:rFonts w:asciiTheme="majorBidi" w:hAnsiTheme="majorBidi" w:cstheme="majorBidi"/>
        </w:rPr>
        <w:t xml:space="preserve">The Warwick-Edinburgh Mental Well-being Scale (WEMWBS): </w:t>
      </w:r>
      <w:r>
        <w:rPr>
          <w:rFonts w:asciiTheme="majorBidi" w:hAnsiTheme="majorBidi" w:cstheme="majorBidi"/>
        </w:rPr>
        <w:t xml:space="preserve">Development and UK validation. </w:t>
      </w:r>
      <w:proofErr w:type="gramStart"/>
      <w:r w:rsidR="00C03DEB" w:rsidRPr="00CC2233">
        <w:rPr>
          <w:rFonts w:asciiTheme="majorBidi" w:hAnsiTheme="majorBidi" w:cstheme="majorBidi"/>
          <w:i/>
          <w:iCs/>
        </w:rPr>
        <w:t>Health Quality Life Outcomes, 5,</w:t>
      </w:r>
      <w:r w:rsidR="00C03DEB" w:rsidRPr="00592155">
        <w:rPr>
          <w:rFonts w:asciiTheme="majorBidi" w:hAnsiTheme="majorBidi" w:cstheme="majorBidi"/>
        </w:rPr>
        <w:t xml:space="preserve"> 63.</w:t>
      </w:r>
      <w:proofErr w:type="gramEnd"/>
      <w:r w:rsidR="00C03DEB" w:rsidRPr="00592155">
        <w:rPr>
          <w:rFonts w:asciiTheme="majorBidi" w:hAnsiTheme="majorBidi" w:cstheme="majorBidi"/>
        </w:rPr>
        <w:t xml:space="preserve"> http://dx.doi.org/ 10.1186/1477-7525-5-63</w:t>
      </w:r>
      <w:r>
        <w:rPr>
          <w:rFonts w:asciiTheme="majorBidi" w:hAnsiTheme="majorBidi" w:cstheme="majorBidi"/>
        </w:rPr>
        <w:t>.</w:t>
      </w:r>
    </w:p>
    <w:p w14:paraId="5AE7B30E" w14:textId="77777777" w:rsidR="00C03DEB" w:rsidRPr="00592155" w:rsidRDefault="00C03DEB" w:rsidP="00C03DEB">
      <w:pPr>
        <w:shd w:val="clear" w:color="auto" w:fill="FFFFFF"/>
        <w:spacing w:after="150" w:line="480" w:lineRule="auto"/>
        <w:ind w:left="720" w:hanging="720"/>
        <w:rPr>
          <w:rFonts w:asciiTheme="majorBidi" w:eastAsia="Times New Roman" w:hAnsiTheme="majorBidi" w:cstheme="majorBidi"/>
          <w:color w:val="000000"/>
          <w:lang w:val="en"/>
        </w:rPr>
      </w:pPr>
      <w:r w:rsidRPr="00592155">
        <w:rPr>
          <w:rFonts w:asciiTheme="majorBidi" w:eastAsia="Times New Roman" w:hAnsiTheme="majorBidi" w:cstheme="majorBidi"/>
          <w:color w:val="000000"/>
          <w:lang w:val="en"/>
        </w:rPr>
        <w:t>Williams, J., Leamy, M., Bird, V., Le Boutillier, C., Norton, S</w:t>
      </w:r>
      <w:r>
        <w:rPr>
          <w:rFonts w:asciiTheme="majorBidi" w:eastAsia="Times New Roman" w:hAnsiTheme="majorBidi" w:cstheme="majorBidi"/>
          <w:color w:val="000000"/>
          <w:lang w:val="en"/>
        </w:rPr>
        <w:t>., Pesola, F., &amp; Slade, M. (2015</w:t>
      </w:r>
      <w:r w:rsidRPr="00592155">
        <w:rPr>
          <w:rFonts w:asciiTheme="majorBidi" w:eastAsia="Times New Roman" w:hAnsiTheme="majorBidi" w:cstheme="majorBidi"/>
          <w:color w:val="000000"/>
          <w:lang w:val="en"/>
        </w:rPr>
        <w:t xml:space="preserve">). Development and evaluation of the INSPIRE measure of staff support for personal recovery. </w:t>
      </w:r>
      <w:r w:rsidRPr="00592155">
        <w:rPr>
          <w:rFonts w:asciiTheme="majorBidi" w:eastAsia="Times New Roman" w:hAnsiTheme="majorBidi" w:cstheme="majorBidi"/>
          <w:i/>
          <w:iCs/>
          <w:color w:val="000000"/>
          <w:lang w:val="en"/>
        </w:rPr>
        <w:t>Social Psychiatry And Psychiatric Epidemiology</w:t>
      </w:r>
      <w:r w:rsidRPr="00592155">
        <w:rPr>
          <w:rFonts w:asciiTheme="majorBidi" w:eastAsia="Times New Roman" w:hAnsiTheme="majorBidi" w:cstheme="majorBidi"/>
          <w:color w:val="000000"/>
          <w:lang w:val="en"/>
        </w:rPr>
        <w:t xml:space="preserve">, </w:t>
      </w:r>
      <w:r w:rsidRPr="00592155">
        <w:rPr>
          <w:rFonts w:asciiTheme="majorBidi" w:eastAsia="Times New Roman" w:hAnsiTheme="majorBidi" w:cstheme="majorBidi"/>
          <w:i/>
          <w:iCs/>
          <w:color w:val="000000"/>
          <w:lang w:val="en"/>
        </w:rPr>
        <w:t>50</w:t>
      </w:r>
      <w:r w:rsidRPr="00592155">
        <w:rPr>
          <w:rFonts w:asciiTheme="majorBidi" w:eastAsia="Times New Roman" w:hAnsiTheme="majorBidi" w:cstheme="majorBidi"/>
          <w:color w:val="000000"/>
          <w:lang w:val="en"/>
        </w:rPr>
        <w:t>(5), 777-786. http://dx.doi.org/10.1007/s00127-014-0983-0</w:t>
      </w:r>
    </w:p>
    <w:p w14:paraId="05CD1368" w14:textId="20CBABCD" w:rsidR="00C03DEB" w:rsidRPr="00592155" w:rsidRDefault="003D47BD" w:rsidP="00E8502C">
      <w:pPr>
        <w:shd w:val="clear" w:color="auto" w:fill="FFFFFF"/>
        <w:spacing w:line="480" w:lineRule="auto"/>
        <w:ind w:left="720" w:hanging="720"/>
        <w:rPr>
          <w:rFonts w:asciiTheme="majorBidi" w:eastAsia="Times New Roman" w:hAnsiTheme="majorBidi" w:cstheme="majorBidi"/>
          <w:color w:val="000000"/>
          <w:lang w:val="en"/>
        </w:rPr>
      </w:pPr>
      <w:r>
        <w:rPr>
          <w:rFonts w:asciiTheme="majorBidi" w:eastAsia="Times New Roman" w:hAnsiTheme="majorBidi" w:cstheme="majorBidi"/>
          <w:color w:val="000000"/>
          <w:lang w:val="en"/>
        </w:rPr>
        <w:t>Williams</w:t>
      </w:r>
      <w:r w:rsidR="00E8502C">
        <w:rPr>
          <w:rFonts w:asciiTheme="majorBidi" w:eastAsia="Times New Roman" w:hAnsiTheme="majorBidi" w:cstheme="majorBidi"/>
          <w:color w:val="000000"/>
          <w:lang w:val="en"/>
        </w:rPr>
        <w:t>,</w:t>
      </w:r>
      <w:r>
        <w:rPr>
          <w:rFonts w:asciiTheme="majorBidi" w:eastAsia="Times New Roman" w:hAnsiTheme="majorBidi" w:cstheme="majorBidi"/>
          <w:color w:val="000000"/>
          <w:lang w:val="en"/>
        </w:rPr>
        <w:t xml:space="preserve"> J, Leamy</w:t>
      </w:r>
      <w:r w:rsidR="00E8502C">
        <w:rPr>
          <w:rFonts w:asciiTheme="majorBidi" w:eastAsia="Times New Roman" w:hAnsiTheme="majorBidi" w:cstheme="majorBidi"/>
          <w:color w:val="000000"/>
          <w:lang w:val="en"/>
        </w:rPr>
        <w:t>,</w:t>
      </w:r>
      <w:r>
        <w:rPr>
          <w:rFonts w:asciiTheme="majorBidi" w:eastAsia="Times New Roman" w:hAnsiTheme="majorBidi" w:cstheme="majorBidi"/>
          <w:color w:val="000000"/>
          <w:lang w:val="en"/>
        </w:rPr>
        <w:t xml:space="preserve"> M</w:t>
      </w:r>
      <w:r w:rsidR="00E8502C">
        <w:rPr>
          <w:rFonts w:asciiTheme="majorBidi" w:eastAsia="Times New Roman" w:hAnsiTheme="majorBidi" w:cstheme="majorBidi"/>
          <w:color w:val="000000"/>
          <w:lang w:val="en"/>
        </w:rPr>
        <w:t>.</w:t>
      </w:r>
      <w:r>
        <w:rPr>
          <w:rFonts w:asciiTheme="majorBidi" w:eastAsia="Times New Roman" w:hAnsiTheme="majorBidi" w:cstheme="majorBidi"/>
          <w:color w:val="000000"/>
          <w:lang w:val="en"/>
        </w:rPr>
        <w:t>, Pesola</w:t>
      </w:r>
      <w:r w:rsidR="00E8502C">
        <w:rPr>
          <w:rFonts w:asciiTheme="majorBidi" w:eastAsia="Times New Roman" w:hAnsiTheme="majorBidi" w:cstheme="majorBidi"/>
          <w:color w:val="000000"/>
          <w:lang w:val="en"/>
        </w:rPr>
        <w:t>,</w:t>
      </w:r>
      <w:r>
        <w:rPr>
          <w:rFonts w:asciiTheme="majorBidi" w:eastAsia="Times New Roman" w:hAnsiTheme="majorBidi" w:cstheme="majorBidi"/>
          <w:color w:val="000000"/>
          <w:lang w:val="en"/>
        </w:rPr>
        <w:t xml:space="preserve"> F</w:t>
      </w:r>
      <w:r w:rsidR="00E8502C">
        <w:rPr>
          <w:rFonts w:asciiTheme="majorBidi" w:eastAsia="Times New Roman" w:hAnsiTheme="majorBidi" w:cstheme="majorBidi"/>
          <w:color w:val="000000"/>
          <w:lang w:val="en"/>
        </w:rPr>
        <w:t>.</w:t>
      </w:r>
      <w:r>
        <w:rPr>
          <w:rFonts w:asciiTheme="majorBidi" w:eastAsia="Times New Roman" w:hAnsiTheme="majorBidi" w:cstheme="majorBidi"/>
          <w:color w:val="000000"/>
          <w:lang w:val="en"/>
        </w:rPr>
        <w:t>, Bird</w:t>
      </w:r>
      <w:r w:rsidR="00E8502C">
        <w:rPr>
          <w:rFonts w:asciiTheme="majorBidi" w:eastAsia="Times New Roman" w:hAnsiTheme="majorBidi" w:cstheme="majorBidi"/>
          <w:color w:val="000000"/>
          <w:lang w:val="en"/>
        </w:rPr>
        <w:t>,</w:t>
      </w:r>
      <w:r>
        <w:rPr>
          <w:rFonts w:asciiTheme="majorBidi" w:eastAsia="Times New Roman" w:hAnsiTheme="majorBidi" w:cstheme="majorBidi"/>
          <w:color w:val="000000"/>
          <w:lang w:val="en"/>
        </w:rPr>
        <w:t xml:space="preserve"> V</w:t>
      </w:r>
      <w:r w:rsidR="00E8502C">
        <w:rPr>
          <w:rFonts w:asciiTheme="majorBidi" w:eastAsia="Times New Roman" w:hAnsiTheme="majorBidi" w:cstheme="majorBidi"/>
          <w:color w:val="000000"/>
          <w:lang w:val="en"/>
        </w:rPr>
        <w:t>.</w:t>
      </w:r>
      <w:r>
        <w:rPr>
          <w:rFonts w:asciiTheme="majorBidi" w:eastAsia="Times New Roman" w:hAnsiTheme="majorBidi" w:cstheme="majorBidi"/>
          <w:color w:val="000000"/>
          <w:lang w:val="en"/>
        </w:rPr>
        <w:t>, Le Boutillier</w:t>
      </w:r>
      <w:r w:rsidR="00E8502C">
        <w:rPr>
          <w:rFonts w:asciiTheme="majorBidi" w:eastAsia="Times New Roman" w:hAnsiTheme="majorBidi" w:cstheme="majorBidi"/>
          <w:color w:val="000000"/>
          <w:lang w:val="en"/>
        </w:rPr>
        <w:t>,</w:t>
      </w:r>
      <w:r>
        <w:rPr>
          <w:rFonts w:asciiTheme="majorBidi" w:eastAsia="Times New Roman" w:hAnsiTheme="majorBidi" w:cstheme="majorBidi"/>
          <w:color w:val="000000"/>
          <w:lang w:val="en"/>
        </w:rPr>
        <w:t xml:space="preserve"> C</w:t>
      </w:r>
      <w:r w:rsidR="00E8502C">
        <w:rPr>
          <w:rFonts w:asciiTheme="majorBidi" w:eastAsia="Times New Roman" w:hAnsiTheme="majorBidi" w:cstheme="majorBidi"/>
          <w:color w:val="000000"/>
          <w:lang w:val="en"/>
        </w:rPr>
        <w:t>.</w:t>
      </w:r>
      <w:r>
        <w:rPr>
          <w:rFonts w:asciiTheme="majorBidi" w:eastAsia="Times New Roman" w:hAnsiTheme="majorBidi" w:cstheme="majorBidi"/>
          <w:color w:val="000000"/>
          <w:lang w:val="en"/>
        </w:rPr>
        <w:t xml:space="preserve"> </w:t>
      </w:r>
      <w:r w:rsidR="00E8502C">
        <w:rPr>
          <w:rFonts w:asciiTheme="majorBidi" w:eastAsia="Times New Roman" w:hAnsiTheme="majorBidi" w:cstheme="majorBidi"/>
          <w:color w:val="000000"/>
          <w:lang w:val="en"/>
        </w:rPr>
        <w:t>&amp;</w:t>
      </w:r>
      <w:r>
        <w:rPr>
          <w:rFonts w:asciiTheme="majorBidi" w:eastAsia="Times New Roman" w:hAnsiTheme="majorBidi" w:cstheme="majorBidi"/>
          <w:color w:val="000000"/>
          <w:lang w:val="en"/>
        </w:rPr>
        <w:t xml:space="preserve"> Slade</w:t>
      </w:r>
      <w:r w:rsidR="00E8502C">
        <w:rPr>
          <w:rFonts w:asciiTheme="majorBidi" w:eastAsia="Times New Roman" w:hAnsiTheme="majorBidi" w:cstheme="majorBidi"/>
          <w:color w:val="000000"/>
          <w:lang w:val="en"/>
        </w:rPr>
        <w:t>,</w:t>
      </w:r>
      <w:r>
        <w:rPr>
          <w:rFonts w:asciiTheme="majorBidi" w:eastAsia="Times New Roman" w:hAnsiTheme="majorBidi" w:cstheme="majorBidi"/>
          <w:color w:val="000000"/>
          <w:lang w:val="en"/>
        </w:rPr>
        <w:t xml:space="preserve"> M</w:t>
      </w:r>
      <w:r w:rsidR="00E8502C">
        <w:rPr>
          <w:rFonts w:asciiTheme="majorBidi" w:eastAsia="Times New Roman" w:hAnsiTheme="majorBidi" w:cstheme="majorBidi"/>
          <w:color w:val="000000"/>
          <w:lang w:val="en"/>
        </w:rPr>
        <w:t>.</w:t>
      </w:r>
      <w:r w:rsidR="00C03DEB" w:rsidRPr="00592155">
        <w:rPr>
          <w:rFonts w:asciiTheme="majorBidi" w:eastAsia="Times New Roman" w:hAnsiTheme="majorBidi" w:cstheme="majorBidi"/>
          <w:color w:val="000000"/>
          <w:lang w:val="en"/>
        </w:rPr>
        <w:t xml:space="preserve"> (201</w:t>
      </w:r>
      <w:r>
        <w:rPr>
          <w:rFonts w:asciiTheme="majorBidi" w:eastAsia="Times New Roman" w:hAnsiTheme="majorBidi" w:cstheme="majorBidi"/>
          <w:color w:val="000000"/>
          <w:lang w:val="en"/>
        </w:rPr>
        <w:t>5)</w:t>
      </w:r>
      <w:r w:rsidR="00C03DEB" w:rsidRPr="00592155">
        <w:rPr>
          <w:rFonts w:asciiTheme="majorBidi" w:eastAsia="Times New Roman" w:hAnsiTheme="majorBidi" w:cstheme="majorBidi"/>
          <w:color w:val="000000"/>
          <w:lang w:val="en"/>
        </w:rPr>
        <w:t xml:space="preserve"> Psychometric evaluation of the Questionnaire about the Process of Recovery (QPR). </w:t>
      </w:r>
      <w:r w:rsidR="00C03DEB" w:rsidRPr="00592155">
        <w:rPr>
          <w:rFonts w:asciiTheme="majorBidi" w:eastAsia="Times New Roman" w:hAnsiTheme="majorBidi" w:cstheme="majorBidi"/>
          <w:i/>
          <w:iCs/>
          <w:color w:val="000000"/>
          <w:lang w:val="en"/>
        </w:rPr>
        <w:lastRenderedPageBreak/>
        <w:t>The British Journal Of Psychiatry</w:t>
      </w:r>
      <w:r w:rsidR="00C03DEB" w:rsidRPr="00592155">
        <w:rPr>
          <w:rFonts w:asciiTheme="majorBidi" w:eastAsia="Times New Roman" w:hAnsiTheme="majorBidi" w:cstheme="majorBidi"/>
          <w:color w:val="000000"/>
          <w:lang w:val="en"/>
        </w:rPr>
        <w:t xml:space="preserve">, </w:t>
      </w:r>
      <w:r w:rsidR="00C03DEB" w:rsidRPr="00592155">
        <w:rPr>
          <w:rFonts w:asciiTheme="majorBidi" w:eastAsia="Times New Roman" w:hAnsiTheme="majorBidi" w:cstheme="majorBidi"/>
          <w:i/>
          <w:iCs/>
          <w:color w:val="000000"/>
          <w:lang w:val="en"/>
        </w:rPr>
        <w:t>207</w:t>
      </w:r>
      <w:r w:rsidR="00C03DEB" w:rsidRPr="00592155">
        <w:rPr>
          <w:rFonts w:asciiTheme="majorBidi" w:eastAsia="Times New Roman" w:hAnsiTheme="majorBidi" w:cstheme="majorBidi"/>
          <w:color w:val="000000"/>
          <w:lang w:val="en"/>
        </w:rPr>
        <w:t>(6), 551-555. http://dx.doi.org/10.1192/bjp.bp.114.161695</w:t>
      </w:r>
    </w:p>
    <w:p w14:paraId="11656022" w14:textId="344288D5" w:rsidR="0051603A" w:rsidRDefault="0051603A" w:rsidP="004E025F">
      <w:pPr>
        <w:spacing w:line="480" w:lineRule="auto"/>
        <w:rPr>
          <w:rFonts w:ascii="Times New Roman" w:hAnsi="Times New Roman" w:cs="Times New Roman"/>
        </w:rPr>
      </w:pPr>
      <w:r>
        <w:rPr>
          <w:rFonts w:ascii="Times New Roman" w:hAnsi="Times New Roman" w:cs="Times New Roman"/>
        </w:rPr>
        <w:br w:type="page"/>
      </w:r>
    </w:p>
    <w:p w14:paraId="6C6E949A" w14:textId="6947D599" w:rsidR="00D21B87" w:rsidRDefault="00D21B87" w:rsidP="0051603A">
      <w:pPr>
        <w:spacing w:line="480" w:lineRule="auto"/>
        <w:rPr>
          <w:rFonts w:ascii="Times New Roman" w:hAnsi="Times New Roman" w:cs="Times New Roman"/>
          <w:bCs/>
        </w:rPr>
      </w:pPr>
      <w:r>
        <w:rPr>
          <w:rFonts w:ascii="Times New Roman" w:hAnsi="Times New Roman" w:cs="Times New Roman"/>
          <w:b/>
          <w:bCs/>
        </w:rPr>
        <w:lastRenderedPageBreak/>
        <w:t>Figure 1</w:t>
      </w:r>
    </w:p>
    <w:p w14:paraId="00072814" w14:textId="1F5ACE54" w:rsidR="00CC2233" w:rsidRDefault="00CC2233" w:rsidP="0051603A">
      <w:pPr>
        <w:spacing w:line="480" w:lineRule="auto"/>
        <w:rPr>
          <w:rFonts w:ascii="Times New Roman" w:hAnsi="Times New Roman" w:cs="Times New Roman"/>
          <w:bCs/>
        </w:rPr>
      </w:pPr>
      <w:r>
        <w:rPr>
          <w:rFonts w:ascii="Times New Roman" w:hAnsi="Times New Roman" w:cs="Times New Roman"/>
          <w:bCs/>
          <w:noProof/>
          <w:lang w:val="en-GB" w:eastAsia="zh-CN"/>
        </w:rPr>
        <w:drawing>
          <wp:inline distT="0" distB="0" distL="0" distR="0" wp14:anchorId="79AA211D" wp14:editId="0EC54302">
            <wp:extent cx="5721491" cy="395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Screen Shot 2016-05-09 at 12.32.36.png"/>
                    <pic:cNvPicPr/>
                  </pic:nvPicPr>
                  <pic:blipFill rotWithShape="1">
                    <a:blip r:embed="rId9">
                      <a:extLst>
                        <a:ext uri="{28A0092B-C50C-407E-A947-70E740481C1C}">
                          <a14:useLocalDpi xmlns:a14="http://schemas.microsoft.com/office/drawing/2010/main" val="0"/>
                        </a:ext>
                      </a:extLst>
                    </a:blip>
                    <a:srcRect b="3488"/>
                    <a:stretch/>
                  </pic:blipFill>
                  <pic:spPr bwMode="auto">
                    <a:xfrm>
                      <a:off x="0" y="0"/>
                      <a:ext cx="5727700" cy="3957165"/>
                    </a:xfrm>
                    <a:prstGeom prst="rect">
                      <a:avLst/>
                    </a:prstGeom>
                    <a:ln>
                      <a:noFill/>
                    </a:ln>
                    <a:extLst>
                      <a:ext uri="{53640926-AAD7-44D8-BBD7-CCE9431645EC}">
                        <a14:shadowObscured xmlns:a14="http://schemas.microsoft.com/office/drawing/2010/main"/>
                      </a:ext>
                    </a:extLst>
                  </pic:spPr>
                </pic:pic>
              </a:graphicData>
            </a:graphic>
          </wp:inline>
        </w:drawing>
      </w:r>
    </w:p>
    <w:p w14:paraId="2D9936C6" w14:textId="48360FE7" w:rsidR="00CC2233" w:rsidRDefault="00CC2233" w:rsidP="0079146D">
      <w:pPr>
        <w:spacing w:line="480" w:lineRule="auto"/>
        <w:rPr>
          <w:rFonts w:ascii="Times New Roman" w:hAnsi="Times New Roman" w:cs="Times New Roman"/>
          <w:bCs/>
        </w:rPr>
      </w:pPr>
      <w:r w:rsidRPr="00CC2233">
        <w:rPr>
          <w:rFonts w:ascii="Times New Roman" w:hAnsi="Times New Roman" w:cs="Times New Roman"/>
          <w:bCs/>
        </w:rPr>
        <w:t xml:space="preserve">Hope, Agency and </w:t>
      </w:r>
      <w:r w:rsidR="0079146D">
        <w:rPr>
          <w:rFonts w:ascii="Times New Roman" w:hAnsi="Times New Roman" w:cs="Times New Roman"/>
          <w:bCs/>
        </w:rPr>
        <w:t>Opportunity (HAO) m</w:t>
      </w:r>
      <w:r w:rsidRPr="00CC2233">
        <w:rPr>
          <w:rFonts w:ascii="Times New Roman" w:hAnsi="Times New Roman" w:cs="Times New Roman"/>
          <w:bCs/>
        </w:rPr>
        <w:t xml:space="preserve">easure of </w:t>
      </w:r>
      <w:r w:rsidR="0079146D">
        <w:rPr>
          <w:rFonts w:ascii="Times New Roman" w:hAnsi="Times New Roman" w:cs="Times New Roman"/>
          <w:bCs/>
        </w:rPr>
        <w:t>r</w:t>
      </w:r>
      <w:r w:rsidRPr="00CC2233">
        <w:rPr>
          <w:rFonts w:ascii="Times New Roman" w:hAnsi="Times New Roman" w:cs="Times New Roman"/>
          <w:bCs/>
        </w:rPr>
        <w:t>ecovery</w:t>
      </w:r>
    </w:p>
    <w:p w14:paraId="6BE7FE20" w14:textId="40A865BD" w:rsidR="008A403A" w:rsidRDefault="008A403A">
      <w:pPr>
        <w:rPr>
          <w:rFonts w:ascii="Times New Roman" w:hAnsi="Times New Roman" w:cs="Times New Roman"/>
          <w:b/>
          <w:bCs/>
        </w:rPr>
      </w:pPr>
      <w:r w:rsidRPr="008A403A">
        <w:rPr>
          <w:rFonts w:ascii="Times New Roman" w:hAnsi="Times New Roman" w:cs="Times New Roman"/>
          <w:b/>
          <w:bCs/>
        </w:rPr>
        <w:t xml:space="preserve"> </w:t>
      </w:r>
      <w:r>
        <w:rPr>
          <w:rFonts w:ascii="Times New Roman" w:hAnsi="Times New Roman" w:cs="Times New Roman"/>
          <w:b/>
          <w:bCs/>
        </w:rPr>
        <w:br w:type="page"/>
      </w:r>
    </w:p>
    <w:p w14:paraId="4F0A051F" w14:textId="4B2C438D" w:rsidR="00367133" w:rsidRPr="00E81F1A" w:rsidRDefault="00367133" w:rsidP="00E81F1A">
      <w:pPr>
        <w:rPr>
          <w:rFonts w:ascii="Times New Roman" w:hAnsi="Times New Roman" w:cs="Times New Roman"/>
          <w:b/>
          <w:bCs/>
        </w:rPr>
      </w:pPr>
      <w:r w:rsidRPr="00367133">
        <w:rPr>
          <w:rFonts w:ascii="Times New Roman" w:hAnsi="Times New Roman" w:cs="Times New Roman"/>
          <w:b/>
          <w:bCs/>
        </w:rPr>
        <w:lastRenderedPageBreak/>
        <w:t>Figure 2</w:t>
      </w:r>
    </w:p>
    <w:p w14:paraId="0D43013E" w14:textId="5BDFE646" w:rsidR="00367133" w:rsidRDefault="00E81F1A" w:rsidP="00367133">
      <w:pPr>
        <w:rPr>
          <w:rFonts w:ascii="Times New Roman" w:hAnsi="Times New Roman" w:cs="Times New Roman"/>
        </w:rPr>
      </w:pPr>
      <w:r>
        <w:rPr>
          <w:noProof/>
          <w:lang w:val="en-GB" w:eastAsia="zh-CN"/>
        </w:rPr>
        <w:drawing>
          <wp:inline distT="0" distB="0" distL="0" distR="0" wp14:anchorId="3791E8F1" wp14:editId="2944B04D">
            <wp:extent cx="5727700" cy="1780188"/>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36346" b="39634"/>
                    <a:stretch/>
                  </pic:blipFill>
                  <pic:spPr bwMode="auto">
                    <a:xfrm>
                      <a:off x="0" y="0"/>
                      <a:ext cx="5727700" cy="1780188"/>
                    </a:xfrm>
                    <a:prstGeom prst="rect">
                      <a:avLst/>
                    </a:prstGeom>
                    <a:ln>
                      <a:noFill/>
                    </a:ln>
                    <a:extLst>
                      <a:ext uri="{53640926-AAD7-44D8-BBD7-CCE9431645EC}">
                        <a14:shadowObscured xmlns:a14="http://schemas.microsoft.com/office/drawing/2010/main"/>
                      </a:ext>
                    </a:extLst>
                  </pic:spPr>
                </pic:pic>
              </a:graphicData>
            </a:graphic>
          </wp:inline>
        </w:drawing>
      </w:r>
    </w:p>
    <w:p w14:paraId="5813A9C8" w14:textId="77777777" w:rsidR="00367133" w:rsidRDefault="00367133" w:rsidP="00367133">
      <w:pPr>
        <w:rPr>
          <w:rFonts w:ascii="Times New Roman" w:hAnsi="Times New Roman" w:cs="Times New Roman"/>
        </w:rPr>
      </w:pPr>
    </w:p>
    <w:p w14:paraId="4E9069A5" w14:textId="77777777" w:rsidR="00367133" w:rsidRDefault="00367133" w:rsidP="00367133">
      <w:pPr>
        <w:rPr>
          <w:rFonts w:ascii="Times New Roman" w:hAnsi="Times New Roman" w:cs="Times New Roman"/>
        </w:rPr>
      </w:pPr>
      <w:r>
        <w:rPr>
          <w:rFonts w:ascii="Times New Roman" w:hAnsi="Times New Roman" w:cs="Times New Roman"/>
        </w:rPr>
        <w:t>CFA model for the four-item HAO in the clinical sample</w:t>
      </w:r>
    </w:p>
    <w:p w14:paraId="2E9C0D10" w14:textId="77777777" w:rsidR="00367133" w:rsidRDefault="00367133">
      <w:pPr>
        <w:rPr>
          <w:rFonts w:ascii="Times New Roman" w:hAnsi="Times New Roman" w:cs="Times New Roman"/>
        </w:rPr>
      </w:pPr>
      <w:r>
        <w:rPr>
          <w:rFonts w:ascii="Times New Roman" w:hAnsi="Times New Roman" w:cs="Times New Roman"/>
        </w:rPr>
        <w:br w:type="page"/>
      </w:r>
    </w:p>
    <w:p w14:paraId="061ECE5B" w14:textId="48F30859" w:rsidR="00367133" w:rsidRPr="00367133" w:rsidRDefault="00367133" w:rsidP="00367133">
      <w:pPr>
        <w:rPr>
          <w:rFonts w:ascii="Times New Roman" w:hAnsi="Times New Roman" w:cs="Times New Roman"/>
          <w:b/>
          <w:bCs/>
        </w:rPr>
      </w:pPr>
      <w:r>
        <w:rPr>
          <w:rFonts w:ascii="Times New Roman" w:hAnsi="Times New Roman" w:cs="Times New Roman"/>
          <w:b/>
          <w:bCs/>
        </w:rPr>
        <w:lastRenderedPageBreak/>
        <w:t>Figure 3</w:t>
      </w:r>
    </w:p>
    <w:p w14:paraId="66DF34ED" w14:textId="7C28604B" w:rsidR="00367133" w:rsidRDefault="00367133" w:rsidP="00367133"/>
    <w:p w14:paraId="1BFE46F6" w14:textId="15294DF3" w:rsidR="00367133" w:rsidRDefault="00E81F1A" w:rsidP="00367133">
      <w:r w:rsidRPr="00E81F1A">
        <w:rPr>
          <w:rFonts w:ascii="Calibri" w:eastAsia="SimSun" w:hAnsi="Calibri" w:cs="Arial"/>
          <w:noProof/>
          <w:lang w:val="en-GB" w:eastAsia="zh-CN"/>
        </w:rPr>
        <w:drawing>
          <wp:inline distT="0" distB="0" distL="0" distR="0" wp14:anchorId="6CA012B4" wp14:editId="30E2A4BC">
            <wp:extent cx="5727700" cy="1305616"/>
            <wp:effectExtent l="0" t="0" r="635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0669" b="41716"/>
                    <a:stretch/>
                  </pic:blipFill>
                  <pic:spPr bwMode="auto">
                    <a:xfrm>
                      <a:off x="0" y="0"/>
                      <a:ext cx="5727700" cy="1305616"/>
                    </a:xfrm>
                    <a:prstGeom prst="rect">
                      <a:avLst/>
                    </a:prstGeom>
                    <a:ln>
                      <a:noFill/>
                    </a:ln>
                    <a:extLst>
                      <a:ext uri="{53640926-AAD7-44D8-BBD7-CCE9431645EC}">
                        <a14:shadowObscured xmlns:a14="http://schemas.microsoft.com/office/drawing/2010/main"/>
                      </a:ext>
                    </a:extLst>
                  </pic:spPr>
                </pic:pic>
              </a:graphicData>
            </a:graphic>
          </wp:inline>
        </w:drawing>
      </w:r>
    </w:p>
    <w:p w14:paraId="01D688C2" w14:textId="77777777" w:rsidR="00E81F1A" w:rsidRDefault="00E81F1A" w:rsidP="00367133"/>
    <w:p w14:paraId="1E492065" w14:textId="77777777" w:rsidR="00E81F1A" w:rsidRDefault="00E81F1A" w:rsidP="00367133"/>
    <w:p w14:paraId="072FF9F9" w14:textId="558B2DAF" w:rsidR="00E81F1A" w:rsidRDefault="00E81F1A" w:rsidP="00367133">
      <w:r w:rsidRPr="00E81F1A">
        <w:rPr>
          <w:rFonts w:ascii="Calibri" w:eastAsia="SimSun" w:hAnsi="Calibri" w:cs="Arial"/>
          <w:noProof/>
          <w:lang w:val="en-GB" w:eastAsia="zh-CN"/>
        </w:rPr>
        <w:drawing>
          <wp:inline distT="0" distB="0" distL="0" distR="0" wp14:anchorId="57648284" wp14:editId="0CD5448A">
            <wp:extent cx="5727700" cy="1305471"/>
            <wp:effectExtent l="0" t="0" r="635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41309" b="41078"/>
                    <a:stretch/>
                  </pic:blipFill>
                  <pic:spPr bwMode="auto">
                    <a:xfrm>
                      <a:off x="0" y="0"/>
                      <a:ext cx="5727700" cy="1305471"/>
                    </a:xfrm>
                    <a:prstGeom prst="rect">
                      <a:avLst/>
                    </a:prstGeom>
                    <a:ln>
                      <a:noFill/>
                    </a:ln>
                    <a:extLst>
                      <a:ext uri="{53640926-AAD7-44D8-BBD7-CCE9431645EC}">
                        <a14:shadowObscured xmlns:a14="http://schemas.microsoft.com/office/drawing/2010/main"/>
                      </a:ext>
                    </a:extLst>
                  </pic:spPr>
                </pic:pic>
              </a:graphicData>
            </a:graphic>
          </wp:inline>
        </w:drawing>
      </w:r>
    </w:p>
    <w:p w14:paraId="04F4FD33" w14:textId="77777777" w:rsidR="00367133" w:rsidRDefault="00367133" w:rsidP="00367133"/>
    <w:p w14:paraId="6C418AB7" w14:textId="77777777" w:rsidR="00367133" w:rsidRDefault="00367133" w:rsidP="00367133"/>
    <w:p w14:paraId="45A4C978" w14:textId="317DADC9" w:rsidR="00367133" w:rsidRDefault="00367133" w:rsidP="00367133">
      <w:r w:rsidRPr="00367133">
        <w:t xml:space="preserve">CFA model for the </w:t>
      </w:r>
      <w:r>
        <w:t>three</w:t>
      </w:r>
      <w:r w:rsidRPr="00367133">
        <w:t xml:space="preserve">-item HAO in the </w:t>
      </w:r>
      <w:r>
        <w:t xml:space="preserve">non-clinical (top frame) AND </w:t>
      </w:r>
      <w:r w:rsidRPr="00367133">
        <w:t>clinical sample</w:t>
      </w:r>
      <w:r>
        <w:t xml:space="preserve"> (bottom frame)</w:t>
      </w:r>
    </w:p>
    <w:p w14:paraId="3D80C62C" w14:textId="77777777" w:rsidR="00367133" w:rsidRDefault="00367133" w:rsidP="00367133"/>
    <w:p w14:paraId="45A238FC" w14:textId="5DD1D94F" w:rsidR="00367133" w:rsidRDefault="00367133" w:rsidP="00367133">
      <w:r>
        <w:t>All variances and regression weights have been restricted to be equal between groups, with only intercept weights varying between groups</w:t>
      </w:r>
    </w:p>
    <w:p w14:paraId="7B7102DF" w14:textId="77777777" w:rsidR="00367133" w:rsidRDefault="00367133" w:rsidP="00367133">
      <w:pPr>
        <w:rPr>
          <w:rFonts w:ascii="Times New Roman" w:hAnsi="Times New Roman" w:cs="Times New Roman"/>
        </w:rPr>
      </w:pPr>
      <w:r>
        <w:rPr>
          <w:rFonts w:ascii="Times New Roman" w:hAnsi="Times New Roman" w:cs="Times New Roman"/>
        </w:rPr>
        <w:br w:type="page"/>
      </w:r>
    </w:p>
    <w:p w14:paraId="1AB0EC8A" w14:textId="00FD5258" w:rsidR="0051603A" w:rsidRPr="006D0637" w:rsidRDefault="000442D3" w:rsidP="00367133">
      <w:pPr>
        <w:rPr>
          <w:rFonts w:ascii="Times New Roman" w:hAnsi="Times New Roman" w:cs="Times New Roman"/>
          <w:b/>
          <w:bCs/>
        </w:rPr>
      </w:pPr>
      <w:r>
        <w:rPr>
          <w:rFonts w:ascii="Times New Roman" w:hAnsi="Times New Roman" w:cs="Times New Roman"/>
          <w:b/>
          <w:bCs/>
        </w:rPr>
        <w:lastRenderedPageBreak/>
        <w:t xml:space="preserve">Figure </w:t>
      </w:r>
      <w:r w:rsidR="00367133">
        <w:rPr>
          <w:rFonts w:ascii="Times New Roman" w:hAnsi="Times New Roman" w:cs="Times New Roman"/>
          <w:b/>
          <w:bCs/>
        </w:rPr>
        <w:t>4</w:t>
      </w:r>
    </w:p>
    <w:p w14:paraId="0C3DC3A4" w14:textId="77777777" w:rsidR="00EA62D8" w:rsidRPr="00EA62D8" w:rsidRDefault="00EA62D8" w:rsidP="00EA62D8">
      <w:pPr>
        <w:rPr>
          <w:rFonts w:ascii="Times New Roman" w:hAnsi="Times New Roman" w:cs="Times New Roman"/>
          <w:b/>
          <w:bCs/>
        </w:rPr>
      </w:pPr>
    </w:p>
    <w:p w14:paraId="388726D2" w14:textId="32A8C836" w:rsidR="00EA62D8" w:rsidRPr="00EA62D8" w:rsidRDefault="00760A2F" w:rsidP="00EA62D8">
      <w:pPr>
        <w:rPr>
          <w:rFonts w:ascii="Times New Roman" w:hAnsi="Times New Roman" w:cs="Times New Roman"/>
          <w:b/>
          <w:bCs/>
        </w:rPr>
      </w:pPr>
      <w:r w:rsidRPr="00EA62D8">
        <w:rPr>
          <w:noProof/>
          <w:lang w:val="en-GB" w:eastAsia="zh-CN"/>
        </w:rPr>
        <w:drawing>
          <wp:inline distT="0" distB="0" distL="0" distR="0" wp14:anchorId="10159FAE" wp14:editId="6E40A82F">
            <wp:extent cx="4235450" cy="3365500"/>
            <wp:effectExtent l="0" t="0" r="0" b="63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3E921A1" w14:textId="77777777" w:rsidR="00EA62D8" w:rsidRPr="00EA62D8" w:rsidRDefault="00EA62D8" w:rsidP="00EA62D8">
      <w:pPr>
        <w:rPr>
          <w:rFonts w:ascii="Times New Roman" w:hAnsi="Times New Roman" w:cs="Times New Roman"/>
          <w:b/>
          <w:bCs/>
        </w:rPr>
      </w:pPr>
    </w:p>
    <w:p w14:paraId="11BBE114" w14:textId="3CA64164" w:rsidR="00EA62D8" w:rsidRPr="00EA62D8" w:rsidRDefault="00EA62D8" w:rsidP="00EA62D8">
      <w:pPr>
        <w:rPr>
          <w:rFonts w:ascii="Times New Roman" w:hAnsi="Times New Roman" w:cs="Times New Roman"/>
        </w:rPr>
      </w:pPr>
      <w:r w:rsidRPr="00EA62D8">
        <w:rPr>
          <w:rFonts w:ascii="Times New Roman" w:hAnsi="Times New Roman" w:cs="Times New Roman"/>
        </w:rPr>
        <w:t>HAO scores for clinical and non-clinical groups at Time 1 and Time 2</w:t>
      </w:r>
    </w:p>
    <w:p w14:paraId="70440D04" w14:textId="0D654855" w:rsidR="0079146D" w:rsidRDefault="00EA62D8" w:rsidP="0079146D">
      <w:pPr>
        <w:rPr>
          <w:rFonts w:ascii="Times New Roman" w:hAnsi="Times New Roman" w:cs="Times New Roman"/>
          <w:i/>
          <w:iCs/>
        </w:rPr>
      </w:pPr>
      <w:r w:rsidRPr="00EA62D8">
        <w:rPr>
          <w:rFonts w:ascii="Times New Roman" w:hAnsi="Times New Roman" w:cs="Times New Roman"/>
        </w:rPr>
        <w:t xml:space="preserve">Error bars represent </w:t>
      </w:r>
      <w:r w:rsidR="00760A2F">
        <w:rPr>
          <w:rFonts w:ascii="Times New Roman" w:hAnsi="Times New Roman" w:cs="Times New Roman"/>
        </w:rPr>
        <w:t>+/-</w:t>
      </w:r>
      <w:r w:rsidRPr="00EA62D8">
        <w:rPr>
          <w:rFonts w:ascii="Times New Roman" w:hAnsi="Times New Roman" w:cs="Times New Roman"/>
          <w:i/>
          <w:iCs/>
        </w:rPr>
        <w:t>SEM</w:t>
      </w:r>
    </w:p>
    <w:p w14:paraId="01949D74" w14:textId="77777777" w:rsidR="0079146D" w:rsidRDefault="0079146D">
      <w:pPr>
        <w:rPr>
          <w:rFonts w:ascii="Times New Roman" w:hAnsi="Times New Roman" w:cs="Times New Roman"/>
          <w:i/>
          <w:iCs/>
        </w:rPr>
      </w:pPr>
      <w:r>
        <w:rPr>
          <w:rFonts w:ascii="Times New Roman" w:hAnsi="Times New Roman" w:cs="Times New Roman"/>
          <w:i/>
          <w:iCs/>
        </w:rPr>
        <w:br w:type="page"/>
      </w:r>
    </w:p>
    <w:p w14:paraId="3EA53551" w14:textId="77777777" w:rsidR="00D77C60" w:rsidRPr="002D6CDA" w:rsidRDefault="00D77C60" w:rsidP="00D77C60">
      <w:pPr>
        <w:spacing w:line="480" w:lineRule="auto"/>
        <w:rPr>
          <w:rFonts w:ascii="Times New Roman" w:hAnsi="Times New Roman" w:cs="Times New Roman"/>
          <w:b/>
          <w:bCs/>
        </w:rPr>
      </w:pPr>
      <w:r w:rsidRPr="002D6CDA">
        <w:rPr>
          <w:rFonts w:ascii="Times New Roman" w:hAnsi="Times New Roman" w:cs="Times New Roman"/>
          <w:b/>
          <w:bCs/>
        </w:rPr>
        <w:lastRenderedPageBreak/>
        <w:t>Table 1</w:t>
      </w:r>
    </w:p>
    <w:tbl>
      <w:tblPr>
        <w:tblStyle w:val="TableGrid"/>
        <w:tblW w:w="818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665"/>
        <w:gridCol w:w="1745"/>
        <w:gridCol w:w="1701"/>
        <w:gridCol w:w="2126"/>
      </w:tblGrid>
      <w:tr w:rsidR="00D77C60" w:rsidRPr="00A07F4B" w14:paraId="60F6FED2" w14:textId="77777777" w:rsidTr="0079146D">
        <w:tc>
          <w:tcPr>
            <w:tcW w:w="2616" w:type="dxa"/>
            <w:gridSpan w:val="2"/>
            <w:tcBorders>
              <w:top w:val="single" w:sz="4" w:space="0" w:color="auto"/>
              <w:bottom w:val="single" w:sz="4" w:space="0" w:color="auto"/>
            </w:tcBorders>
          </w:tcPr>
          <w:p w14:paraId="58AAE9BD" w14:textId="77777777" w:rsidR="00D77C60" w:rsidRPr="0079146D" w:rsidRDefault="00D77C60" w:rsidP="0044655D">
            <w:pPr>
              <w:rPr>
                <w:rFonts w:ascii="Times New Roman" w:hAnsi="Times New Roman" w:cs="Times New Roman"/>
                <w:b/>
                <w:bCs/>
                <w:sz w:val="21"/>
                <w:szCs w:val="21"/>
              </w:rPr>
            </w:pPr>
          </w:p>
        </w:tc>
        <w:tc>
          <w:tcPr>
            <w:tcW w:w="1745" w:type="dxa"/>
            <w:tcBorders>
              <w:top w:val="single" w:sz="4" w:space="0" w:color="auto"/>
              <w:bottom w:val="single" w:sz="4" w:space="0" w:color="auto"/>
            </w:tcBorders>
          </w:tcPr>
          <w:p w14:paraId="2FD5EC7A" w14:textId="77777777" w:rsidR="00D77C60" w:rsidRPr="0079146D" w:rsidRDefault="00D77C60" w:rsidP="0044655D">
            <w:pPr>
              <w:rPr>
                <w:rFonts w:ascii="Times New Roman" w:hAnsi="Times New Roman" w:cs="Times New Roman"/>
                <w:b/>
                <w:bCs/>
                <w:sz w:val="21"/>
                <w:szCs w:val="21"/>
              </w:rPr>
            </w:pPr>
          </w:p>
        </w:tc>
        <w:tc>
          <w:tcPr>
            <w:tcW w:w="1701" w:type="dxa"/>
            <w:tcBorders>
              <w:top w:val="single" w:sz="4" w:space="0" w:color="auto"/>
              <w:bottom w:val="single" w:sz="4" w:space="0" w:color="auto"/>
            </w:tcBorders>
          </w:tcPr>
          <w:p w14:paraId="3CDDBE9D" w14:textId="77777777" w:rsidR="00D77C60" w:rsidRPr="0079146D" w:rsidRDefault="00D77C60" w:rsidP="0079146D">
            <w:pPr>
              <w:rPr>
                <w:rFonts w:ascii="Times New Roman" w:hAnsi="Times New Roman" w:cs="Times New Roman"/>
                <w:b/>
                <w:bCs/>
                <w:sz w:val="21"/>
                <w:szCs w:val="21"/>
              </w:rPr>
            </w:pPr>
            <w:r w:rsidRPr="0079146D">
              <w:rPr>
                <w:rFonts w:ascii="Times New Roman" w:hAnsi="Times New Roman" w:cs="Times New Roman"/>
                <w:b/>
                <w:bCs/>
                <w:sz w:val="21"/>
                <w:szCs w:val="21"/>
              </w:rPr>
              <w:t xml:space="preserve">Clinical Group </w:t>
            </w:r>
          </w:p>
          <w:p w14:paraId="21E67304" w14:textId="77777777" w:rsidR="00D77C60" w:rsidRPr="0079146D" w:rsidRDefault="00D77C60" w:rsidP="0079146D">
            <w:pPr>
              <w:rPr>
                <w:rFonts w:ascii="Times New Roman" w:hAnsi="Times New Roman" w:cs="Times New Roman"/>
                <w:b/>
                <w:bCs/>
                <w:sz w:val="21"/>
                <w:szCs w:val="21"/>
              </w:rPr>
            </w:pPr>
            <w:r w:rsidRPr="0079146D">
              <w:rPr>
                <w:rFonts w:ascii="Times New Roman" w:hAnsi="Times New Roman" w:cs="Times New Roman"/>
                <w:b/>
                <w:bCs/>
                <w:sz w:val="21"/>
                <w:szCs w:val="21"/>
              </w:rPr>
              <w:t>(</w:t>
            </w:r>
            <w:r w:rsidRPr="0079146D">
              <w:rPr>
                <w:rFonts w:ascii="Times New Roman" w:hAnsi="Times New Roman" w:cs="Times New Roman"/>
                <w:b/>
                <w:bCs/>
                <w:i/>
                <w:sz w:val="21"/>
                <w:szCs w:val="21"/>
              </w:rPr>
              <w:t>N</w:t>
            </w:r>
            <w:r w:rsidRPr="0079146D">
              <w:rPr>
                <w:rFonts w:ascii="Times New Roman" w:hAnsi="Times New Roman" w:cs="Times New Roman"/>
                <w:b/>
                <w:bCs/>
                <w:sz w:val="21"/>
                <w:szCs w:val="21"/>
              </w:rPr>
              <w:t xml:space="preserve"> = 139)</w:t>
            </w:r>
          </w:p>
        </w:tc>
        <w:tc>
          <w:tcPr>
            <w:tcW w:w="2126" w:type="dxa"/>
            <w:tcBorders>
              <w:top w:val="single" w:sz="4" w:space="0" w:color="auto"/>
              <w:bottom w:val="single" w:sz="4" w:space="0" w:color="auto"/>
            </w:tcBorders>
          </w:tcPr>
          <w:p w14:paraId="20D71C19" w14:textId="77777777" w:rsidR="00D77C60" w:rsidRPr="0079146D" w:rsidRDefault="00D77C60" w:rsidP="0079146D">
            <w:pPr>
              <w:rPr>
                <w:rFonts w:ascii="Times New Roman" w:hAnsi="Times New Roman" w:cs="Times New Roman"/>
                <w:b/>
                <w:bCs/>
                <w:sz w:val="21"/>
                <w:szCs w:val="21"/>
              </w:rPr>
            </w:pPr>
            <w:r w:rsidRPr="0079146D">
              <w:rPr>
                <w:rFonts w:ascii="Times New Roman" w:hAnsi="Times New Roman" w:cs="Times New Roman"/>
                <w:b/>
                <w:bCs/>
                <w:sz w:val="21"/>
                <w:szCs w:val="21"/>
              </w:rPr>
              <w:t xml:space="preserve">Non-Clinical Group </w:t>
            </w:r>
          </w:p>
          <w:p w14:paraId="775DB509" w14:textId="77777777" w:rsidR="00D77C60" w:rsidRPr="0079146D" w:rsidRDefault="00D77C60" w:rsidP="0079146D">
            <w:pPr>
              <w:rPr>
                <w:rFonts w:ascii="Times New Roman" w:hAnsi="Times New Roman" w:cs="Times New Roman"/>
                <w:b/>
                <w:bCs/>
                <w:sz w:val="21"/>
                <w:szCs w:val="21"/>
              </w:rPr>
            </w:pPr>
            <w:r w:rsidRPr="0079146D">
              <w:rPr>
                <w:rFonts w:ascii="Times New Roman" w:hAnsi="Times New Roman" w:cs="Times New Roman"/>
                <w:b/>
                <w:bCs/>
                <w:sz w:val="21"/>
                <w:szCs w:val="21"/>
              </w:rPr>
              <w:t>(</w:t>
            </w:r>
            <w:r w:rsidRPr="0079146D">
              <w:rPr>
                <w:rFonts w:ascii="Times New Roman" w:hAnsi="Times New Roman" w:cs="Times New Roman"/>
                <w:b/>
                <w:bCs/>
                <w:i/>
                <w:sz w:val="21"/>
                <w:szCs w:val="21"/>
              </w:rPr>
              <w:t>N</w:t>
            </w:r>
            <w:r w:rsidRPr="0079146D">
              <w:rPr>
                <w:rFonts w:ascii="Times New Roman" w:hAnsi="Times New Roman" w:cs="Times New Roman"/>
                <w:b/>
                <w:bCs/>
                <w:sz w:val="21"/>
                <w:szCs w:val="21"/>
              </w:rPr>
              <w:t xml:space="preserve"> = 201)</w:t>
            </w:r>
          </w:p>
        </w:tc>
      </w:tr>
      <w:tr w:rsidR="00D77C60" w:rsidRPr="00A07F4B" w14:paraId="7567E28B" w14:textId="77777777" w:rsidTr="0079146D">
        <w:tc>
          <w:tcPr>
            <w:tcW w:w="2616" w:type="dxa"/>
            <w:gridSpan w:val="2"/>
            <w:tcBorders>
              <w:top w:val="single" w:sz="4" w:space="0" w:color="auto"/>
            </w:tcBorders>
          </w:tcPr>
          <w:p w14:paraId="7E9AB559" w14:textId="77777777" w:rsidR="00D77C60" w:rsidRPr="00A07F4B" w:rsidRDefault="00D77C60" w:rsidP="0044655D">
            <w:pPr>
              <w:rPr>
                <w:rFonts w:ascii="Times New Roman" w:hAnsi="Times New Roman" w:cs="Times New Roman"/>
                <w:sz w:val="21"/>
                <w:szCs w:val="21"/>
              </w:rPr>
            </w:pPr>
            <w:r w:rsidRPr="00A07F4B">
              <w:rPr>
                <w:rFonts w:ascii="Times New Roman" w:hAnsi="Times New Roman" w:cs="Times New Roman"/>
                <w:sz w:val="21"/>
                <w:szCs w:val="21"/>
              </w:rPr>
              <w:t>Gender</w:t>
            </w:r>
            <w:r>
              <w:rPr>
                <w:rFonts w:ascii="Times New Roman" w:hAnsi="Times New Roman" w:cs="Times New Roman"/>
                <w:sz w:val="21"/>
                <w:szCs w:val="21"/>
              </w:rPr>
              <w:t>:</w:t>
            </w:r>
            <w:r w:rsidRPr="00A07F4B">
              <w:rPr>
                <w:rFonts w:ascii="Times New Roman" w:hAnsi="Times New Roman" w:cs="Times New Roman"/>
                <w:sz w:val="21"/>
                <w:szCs w:val="21"/>
              </w:rPr>
              <w:t xml:space="preserve"> </w:t>
            </w:r>
            <w:r w:rsidRPr="00A07F4B">
              <w:rPr>
                <w:rFonts w:ascii="Times New Roman" w:hAnsi="Times New Roman" w:cs="Times New Roman"/>
                <w:i/>
                <w:sz w:val="21"/>
                <w:szCs w:val="21"/>
              </w:rPr>
              <w:t xml:space="preserve">n </w:t>
            </w:r>
            <w:r w:rsidRPr="00A07F4B">
              <w:rPr>
                <w:rFonts w:ascii="Times New Roman" w:hAnsi="Times New Roman" w:cs="Times New Roman"/>
                <w:sz w:val="21"/>
                <w:szCs w:val="21"/>
              </w:rPr>
              <w:t>(%)</w:t>
            </w:r>
          </w:p>
        </w:tc>
        <w:tc>
          <w:tcPr>
            <w:tcW w:w="1745" w:type="dxa"/>
            <w:tcBorders>
              <w:top w:val="single" w:sz="4" w:space="0" w:color="auto"/>
            </w:tcBorders>
          </w:tcPr>
          <w:p w14:paraId="102C093A" w14:textId="36C33592" w:rsidR="00D77C60" w:rsidRPr="00A07F4B" w:rsidRDefault="00731984" w:rsidP="00731984">
            <w:pPr>
              <w:jc w:val="right"/>
              <w:rPr>
                <w:rFonts w:ascii="Times New Roman" w:hAnsi="Times New Roman" w:cs="Times New Roman"/>
                <w:sz w:val="21"/>
                <w:szCs w:val="21"/>
              </w:rPr>
            </w:pPr>
            <w:r>
              <w:rPr>
                <w:rFonts w:ascii="Times New Roman" w:hAnsi="Times New Roman" w:cs="Times New Roman"/>
                <w:sz w:val="21"/>
                <w:szCs w:val="21"/>
              </w:rPr>
              <w:t>m</w:t>
            </w:r>
            <w:r w:rsidR="00D77C60">
              <w:rPr>
                <w:rFonts w:ascii="Times New Roman" w:hAnsi="Times New Roman" w:cs="Times New Roman"/>
                <w:sz w:val="21"/>
                <w:szCs w:val="21"/>
              </w:rPr>
              <w:t>ale</w:t>
            </w:r>
          </w:p>
        </w:tc>
        <w:tc>
          <w:tcPr>
            <w:tcW w:w="1701" w:type="dxa"/>
            <w:tcBorders>
              <w:top w:val="single" w:sz="4" w:space="0" w:color="auto"/>
            </w:tcBorders>
          </w:tcPr>
          <w:p w14:paraId="046AAD26" w14:textId="77777777" w:rsidR="00D77C60" w:rsidRPr="00A07F4B" w:rsidRDefault="00D77C60" w:rsidP="0079146D">
            <w:pPr>
              <w:rPr>
                <w:rFonts w:ascii="Times New Roman" w:hAnsi="Times New Roman" w:cs="Times New Roman"/>
                <w:sz w:val="21"/>
                <w:szCs w:val="21"/>
              </w:rPr>
            </w:pPr>
            <w:r w:rsidRPr="00A07F4B">
              <w:rPr>
                <w:rFonts w:ascii="Times New Roman" w:hAnsi="Times New Roman" w:cs="Times New Roman"/>
                <w:sz w:val="21"/>
                <w:szCs w:val="21"/>
              </w:rPr>
              <w:t>61 (43.9)</w:t>
            </w:r>
          </w:p>
        </w:tc>
        <w:tc>
          <w:tcPr>
            <w:tcW w:w="2126" w:type="dxa"/>
            <w:tcBorders>
              <w:top w:val="single" w:sz="4" w:space="0" w:color="auto"/>
            </w:tcBorders>
          </w:tcPr>
          <w:p w14:paraId="0B812B54" w14:textId="77777777" w:rsidR="00D77C60" w:rsidRPr="00A07F4B" w:rsidRDefault="00D77C60" w:rsidP="0079146D">
            <w:pPr>
              <w:rPr>
                <w:rFonts w:ascii="Times New Roman" w:hAnsi="Times New Roman" w:cs="Times New Roman"/>
                <w:sz w:val="21"/>
                <w:szCs w:val="21"/>
              </w:rPr>
            </w:pPr>
            <w:r w:rsidRPr="00A07F4B">
              <w:rPr>
                <w:rFonts w:ascii="Times New Roman" w:hAnsi="Times New Roman" w:cs="Times New Roman"/>
                <w:sz w:val="21"/>
                <w:szCs w:val="21"/>
              </w:rPr>
              <w:t>28 (13.9)</w:t>
            </w:r>
          </w:p>
        </w:tc>
      </w:tr>
      <w:tr w:rsidR="00D77C60" w:rsidRPr="00A07F4B" w14:paraId="65F2B632" w14:textId="77777777" w:rsidTr="0079146D">
        <w:tc>
          <w:tcPr>
            <w:tcW w:w="2616" w:type="dxa"/>
            <w:gridSpan w:val="2"/>
          </w:tcPr>
          <w:p w14:paraId="2D6AF512" w14:textId="77777777" w:rsidR="00D77C60" w:rsidRDefault="00D77C60" w:rsidP="0044655D">
            <w:pPr>
              <w:jc w:val="right"/>
              <w:rPr>
                <w:rFonts w:ascii="Times New Roman" w:hAnsi="Times New Roman" w:cs="Times New Roman"/>
                <w:sz w:val="21"/>
                <w:szCs w:val="21"/>
              </w:rPr>
            </w:pPr>
          </w:p>
        </w:tc>
        <w:tc>
          <w:tcPr>
            <w:tcW w:w="1745" w:type="dxa"/>
          </w:tcPr>
          <w:p w14:paraId="7B486FB4" w14:textId="4621402B" w:rsidR="00D77C60" w:rsidRPr="00A07F4B" w:rsidRDefault="00731984" w:rsidP="0044655D">
            <w:pPr>
              <w:jc w:val="right"/>
              <w:rPr>
                <w:rFonts w:ascii="Times New Roman" w:hAnsi="Times New Roman" w:cs="Times New Roman"/>
                <w:sz w:val="21"/>
                <w:szCs w:val="21"/>
              </w:rPr>
            </w:pPr>
            <w:r>
              <w:rPr>
                <w:rFonts w:ascii="Times New Roman" w:hAnsi="Times New Roman" w:cs="Times New Roman"/>
                <w:sz w:val="21"/>
                <w:szCs w:val="21"/>
              </w:rPr>
              <w:t>f</w:t>
            </w:r>
            <w:r w:rsidR="00D77C60">
              <w:rPr>
                <w:rFonts w:ascii="Times New Roman" w:hAnsi="Times New Roman" w:cs="Times New Roman"/>
                <w:sz w:val="21"/>
                <w:szCs w:val="21"/>
              </w:rPr>
              <w:t>em</w:t>
            </w:r>
            <w:r w:rsidR="00D77C60" w:rsidRPr="00A07F4B">
              <w:rPr>
                <w:rFonts w:ascii="Times New Roman" w:hAnsi="Times New Roman" w:cs="Times New Roman"/>
                <w:sz w:val="21"/>
                <w:szCs w:val="21"/>
              </w:rPr>
              <w:t>ale</w:t>
            </w:r>
          </w:p>
        </w:tc>
        <w:tc>
          <w:tcPr>
            <w:tcW w:w="1701" w:type="dxa"/>
          </w:tcPr>
          <w:p w14:paraId="24F24720" w14:textId="77777777" w:rsidR="00D77C60" w:rsidRPr="00A07F4B" w:rsidRDefault="00D77C60" w:rsidP="0079146D">
            <w:pPr>
              <w:rPr>
                <w:rFonts w:ascii="Times New Roman" w:hAnsi="Times New Roman" w:cs="Times New Roman"/>
                <w:sz w:val="21"/>
                <w:szCs w:val="21"/>
              </w:rPr>
            </w:pPr>
            <w:r w:rsidRPr="00A07F4B">
              <w:rPr>
                <w:rFonts w:ascii="Times New Roman" w:hAnsi="Times New Roman" w:cs="Times New Roman"/>
                <w:sz w:val="21"/>
                <w:szCs w:val="21"/>
              </w:rPr>
              <w:t>78 (56.1)</w:t>
            </w:r>
          </w:p>
        </w:tc>
        <w:tc>
          <w:tcPr>
            <w:tcW w:w="2126" w:type="dxa"/>
          </w:tcPr>
          <w:p w14:paraId="7D9F5E54" w14:textId="77777777" w:rsidR="00D77C60" w:rsidRPr="00A07F4B" w:rsidRDefault="00D77C60" w:rsidP="0079146D">
            <w:pPr>
              <w:rPr>
                <w:rFonts w:ascii="Times New Roman" w:hAnsi="Times New Roman" w:cs="Times New Roman"/>
                <w:sz w:val="21"/>
                <w:szCs w:val="21"/>
              </w:rPr>
            </w:pPr>
            <w:r w:rsidRPr="00A07F4B">
              <w:rPr>
                <w:rFonts w:ascii="Times New Roman" w:hAnsi="Times New Roman" w:cs="Times New Roman"/>
                <w:sz w:val="21"/>
                <w:szCs w:val="21"/>
              </w:rPr>
              <w:t>173 (86.1)</w:t>
            </w:r>
          </w:p>
        </w:tc>
      </w:tr>
      <w:tr w:rsidR="00D77C60" w:rsidRPr="00A07F4B" w14:paraId="63FB257C" w14:textId="77777777" w:rsidTr="0079146D">
        <w:tc>
          <w:tcPr>
            <w:tcW w:w="2616" w:type="dxa"/>
            <w:gridSpan w:val="2"/>
          </w:tcPr>
          <w:p w14:paraId="2B449BC5" w14:textId="77777777" w:rsidR="00D77C60" w:rsidRPr="00A07F4B" w:rsidRDefault="00D77C60" w:rsidP="0044655D">
            <w:pPr>
              <w:rPr>
                <w:rFonts w:ascii="Times New Roman" w:hAnsi="Times New Roman" w:cs="Times New Roman"/>
                <w:sz w:val="21"/>
                <w:szCs w:val="21"/>
              </w:rPr>
            </w:pPr>
            <w:r w:rsidRPr="00A07F4B">
              <w:rPr>
                <w:rFonts w:ascii="Times New Roman" w:hAnsi="Times New Roman" w:cs="Times New Roman"/>
                <w:sz w:val="21"/>
                <w:szCs w:val="21"/>
              </w:rPr>
              <w:t xml:space="preserve">Age, years: </w:t>
            </w:r>
            <w:r w:rsidRPr="00A07F4B">
              <w:rPr>
                <w:rFonts w:ascii="Times New Roman" w:hAnsi="Times New Roman" w:cs="Times New Roman"/>
                <w:i/>
                <w:sz w:val="21"/>
                <w:szCs w:val="21"/>
              </w:rPr>
              <w:t>M</w:t>
            </w:r>
            <w:r w:rsidRPr="00A07F4B">
              <w:rPr>
                <w:rFonts w:ascii="Times New Roman" w:hAnsi="Times New Roman" w:cs="Times New Roman"/>
                <w:sz w:val="21"/>
                <w:szCs w:val="21"/>
              </w:rPr>
              <w:t xml:space="preserve"> (</w:t>
            </w:r>
            <w:r w:rsidRPr="00A07F4B">
              <w:rPr>
                <w:rFonts w:ascii="Times New Roman" w:hAnsi="Times New Roman" w:cs="Times New Roman"/>
                <w:i/>
                <w:sz w:val="21"/>
                <w:szCs w:val="21"/>
              </w:rPr>
              <w:t>SD</w:t>
            </w:r>
            <w:r w:rsidRPr="00A07F4B">
              <w:rPr>
                <w:rFonts w:ascii="Times New Roman" w:hAnsi="Times New Roman" w:cs="Times New Roman"/>
                <w:sz w:val="21"/>
                <w:szCs w:val="21"/>
              </w:rPr>
              <w:t>)</w:t>
            </w:r>
          </w:p>
        </w:tc>
        <w:tc>
          <w:tcPr>
            <w:tcW w:w="1745" w:type="dxa"/>
          </w:tcPr>
          <w:p w14:paraId="021894DC" w14:textId="77777777" w:rsidR="00D77C60" w:rsidRPr="00A07F4B" w:rsidRDefault="00D77C60" w:rsidP="0044655D">
            <w:pPr>
              <w:rPr>
                <w:rFonts w:ascii="Times New Roman" w:hAnsi="Times New Roman" w:cs="Times New Roman"/>
                <w:sz w:val="21"/>
                <w:szCs w:val="21"/>
              </w:rPr>
            </w:pPr>
          </w:p>
        </w:tc>
        <w:tc>
          <w:tcPr>
            <w:tcW w:w="1701" w:type="dxa"/>
          </w:tcPr>
          <w:p w14:paraId="0413698F" w14:textId="77777777" w:rsidR="00D77C60" w:rsidRPr="00A07F4B" w:rsidRDefault="00D77C60" w:rsidP="0079146D">
            <w:pPr>
              <w:rPr>
                <w:rFonts w:ascii="Times New Roman" w:hAnsi="Times New Roman" w:cs="Times New Roman"/>
                <w:sz w:val="21"/>
                <w:szCs w:val="21"/>
              </w:rPr>
            </w:pPr>
            <w:r w:rsidRPr="00A07F4B">
              <w:rPr>
                <w:rFonts w:ascii="Times New Roman" w:hAnsi="Times New Roman" w:cs="Times New Roman"/>
                <w:sz w:val="21"/>
                <w:szCs w:val="21"/>
              </w:rPr>
              <w:t>45.6 (11.3)</w:t>
            </w:r>
          </w:p>
        </w:tc>
        <w:tc>
          <w:tcPr>
            <w:tcW w:w="2126" w:type="dxa"/>
          </w:tcPr>
          <w:p w14:paraId="77C537D0" w14:textId="77777777" w:rsidR="00D77C60" w:rsidRPr="00A07F4B" w:rsidRDefault="00D77C60" w:rsidP="0079146D">
            <w:pPr>
              <w:rPr>
                <w:rFonts w:ascii="Times New Roman" w:hAnsi="Times New Roman" w:cs="Times New Roman"/>
                <w:sz w:val="21"/>
                <w:szCs w:val="21"/>
              </w:rPr>
            </w:pPr>
            <w:r w:rsidRPr="00A07F4B">
              <w:rPr>
                <w:rFonts w:ascii="Times New Roman" w:hAnsi="Times New Roman" w:cs="Times New Roman"/>
                <w:sz w:val="21"/>
                <w:szCs w:val="21"/>
              </w:rPr>
              <w:t>20.35 (3.6)</w:t>
            </w:r>
          </w:p>
        </w:tc>
      </w:tr>
      <w:tr w:rsidR="00D77C60" w:rsidRPr="00A07F4B" w14:paraId="6EF6D11D" w14:textId="77777777" w:rsidTr="0079146D">
        <w:tc>
          <w:tcPr>
            <w:tcW w:w="6062" w:type="dxa"/>
            <w:gridSpan w:val="4"/>
          </w:tcPr>
          <w:p w14:paraId="34D9F312" w14:textId="77777777" w:rsidR="00D77C60" w:rsidRPr="00A07F4B" w:rsidRDefault="00D77C60" w:rsidP="0044655D">
            <w:pPr>
              <w:rPr>
                <w:rFonts w:ascii="Times New Roman" w:hAnsi="Times New Roman" w:cs="Times New Roman"/>
                <w:sz w:val="21"/>
                <w:szCs w:val="21"/>
              </w:rPr>
            </w:pPr>
            <w:r w:rsidRPr="00A07F4B">
              <w:rPr>
                <w:rFonts w:ascii="Times New Roman" w:hAnsi="Times New Roman" w:cs="Times New Roman"/>
                <w:sz w:val="21"/>
                <w:szCs w:val="21"/>
              </w:rPr>
              <w:t>Ethnicity</w:t>
            </w:r>
            <w:r>
              <w:rPr>
                <w:rFonts w:ascii="Times New Roman" w:hAnsi="Times New Roman" w:cs="Times New Roman"/>
                <w:sz w:val="21"/>
                <w:szCs w:val="21"/>
              </w:rPr>
              <w:t>:</w:t>
            </w:r>
            <w:r w:rsidRPr="00A07F4B">
              <w:rPr>
                <w:rFonts w:ascii="Times New Roman" w:hAnsi="Times New Roman" w:cs="Times New Roman"/>
                <w:sz w:val="21"/>
                <w:szCs w:val="21"/>
              </w:rPr>
              <w:t xml:space="preserve"> </w:t>
            </w:r>
            <w:r w:rsidRPr="00A07F4B">
              <w:rPr>
                <w:rFonts w:ascii="Times New Roman" w:hAnsi="Times New Roman" w:cs="Times New Roman"/>
                <w:i/>
                <w:sz w:val="21"/>
                <w:szCs w:val="21"/>
              </w:rPr>
              <w:t>n</w:t>
            </w:r>
            <w:r w:rsidRPr="00A07F4B">
              <w:rPr>
                <w:rFonts w:ascii="Times New Roman" w:hAnsi="Times New Roman" w:cs="Times New Roman"/>
                <w:sz w:val="21"/>
                <w:szCs w:val="21"/>
              </w:rPr>
              <w:t xml:space="preserve"> (%)</w:t>
            </w:r>
            <w:r>
              <w:rPr>
                <w:rFonts w:ascii="Times New Roman" w:hAnsi="Times New Roman" w:cs="Times New Roman"/>
                <w:sz w:val="21"/>
                <w:szCs w:val="21"/>
              </w:rPr>
              <w:t xml:space="preserve"> (</w:t>
            </w:r>
            <w:proofErr w:type="gramStart"/>
            <w:r>
              <w:rPr>
                <w:rFonts w:ascii="Times New Roman" w:hAnsi="Times New Roman" w:cs="Times New Roman"/>
                <w:sz w:val="21"/>
                <w:szCs w:val="21"/>
              </w:rPr>
              <w:t>where</w:t>
            </w:r>
            <w:proofErr w:type="gramEnd"/>
            <w:r>
              <w:rPr>
                <w:rFonts w:ascii="Times New Roman" w:hAnsi="Times New Roman" w:cs="Times New Roman"/>
                <w:sz w:val="21"/>
                <w:szCs w:val="21"/>
              </w:rPr>
              <w:t xml:space="preserve"> &gt; 5%)</w:t>
            </w:r>
          </w:p>
        </w:tc>
        <w:tc>
          <w:tcPr>
            <w:tcW w:w="2126" w:type="dxa"/>
          </w:tcPr>
          <w:p w14:paraId="284EB808" w14:textId="77777777" w:rsidR="00D77C60" w:rsidRPr="00A07F4B" w:rsidRDefault="00D77C60" w:rsidP="0044655D">
            <w:pPr>
              <w:jc w:val="center"/>
              <w:rPr>
                <w:rFonts w:ascii="Times New Roman" w:hAnsi="Times New Roman" w:cs="Times New Roman"/>
                <w:sz w:val="21"/>
                <w:szCs w:val="21"/>
              </w:rPr>
            </w:pPr>
          </w:p>
        </w:tc>
      </w:tr>
      <w:tr w:rsidR="00D77C60" w:rsidRPr="00A07F4B" w14:paraId="24B17CF5" w14:textId="77777777" w:rsidTr="0079146D">
        <w:tc>
          <w:tcPr>
            <w:tcW w:w="4361" w:type="dxa"/>
            <w:gridSpan w:val="3"/>
          </w:tcPr>
          <w:p w14:paraId="0DC126F2" w14:textId="77777777" w:rsidR="00D77C60" w:rsidRPr="00454CD9" w:rsidRDefault="00D77C60" w:rsidP="0044655D">
            <w:pPr>
              <w:jc w:val="right"/>
              <w:rPr>
                <w:rFonts w:ascii="Times New Roman" w:hAnsi="Times New Roman" w:cs="Times New Roman"/>
                <w:color w:val="000000"/>
                <w:sz w:val="21"/>
                <w:szCs w:val="21"/>
              </w:rPr>
            </w:pPr>
            <w:r w:rsidRPr="00A07F4B">
              <w:rPr>
                <w:rFonts w:ascii="Times New Roman" w:hAnsi="Times New Roman" w:cs="Times New Roman"/>
                <w:color w:val="000000"/>
                <w:sz w:val="21"/>
                <w:szCs w:val="21"/>
              </w:rPr>
              <w:t>English/ Welsh/ Scottish/ Northern Irish/ British</w:t>
            </w:r>
          </w:p>
        </w:tc>
        <w:tc>
          <w:tcPr>
            <w:tcW w:w="1701" w:type="dxa"/>
          </w:tcPr>
          <w:p w14:paraId="45FFCA7C" w14:textId="77777777" w:rsidR="00D77C60" w:rsidRPr="00A07F4B" w:rsidRDefault="00D77C60" w:rsidP="0079146D">
            <w:pPr>
              <w:rPr>
                <w:rFonts w:ascii="Times New Roman" w:hAnsi="Times New Roman" w:cs="Times New Roman"/>
                <w:sz w:val="21"/>
                <w:szCs w:val="21"/>
              </w:rPr>
            </w:pPr>
            <w:r w:rsidRPr="00A07F4B">
              <w:rPr>
                <w:rFonts w:ascii="Times New Roman" w:hAnsi="Times New Roman" w:cs="Times New Roman"/>
                <w:sz w:val="21"/>
                <w:szCs w:val="21"/>
              </w:rPr>
              <w:t>132 (95</w:t>
            </w:r>
            <w:r>
              <w:rPr>
                <w:rFonts w:ascii="Times New Roman" w:hAnsi="Times New Roman" w:cs="Times New Roman"/>
                <w:sz w:val="21"/>
                <w:szCs w:val="21"/>
              </w:rPr>
              <w:t>.0</w:t>
            </w:r>
            <w:r w:rsidRPr="00A07F4B">
              <w:rPr>
                <w:rFonts w:ascii="Times New Roman" w:hAnsi="Times New Roman" w:cs="Times New Roman"/>
                <w:sz w:val="21"/>
                <w:szCs w:val="21"/>
              </w:rPr>
              <w:t>)</w:t>
            </w:r>
          </w:p>
        </w:tc>
        <w:tc>
          <w:tcPr>
            <w:tcW w:w="2126" w:type="dxa"/>
          </w:tcPr>
          <w:p w14:paraId="0107D636" w14:textId="77777777" w:rsidR="00D77C60" w:rsidRPr="00A07F4B" w:rsidRDefault="00D77C60" w:rsidP="0079146D">
            <w:pPr>
              <w:rPr>
                <w:rFonts w:ascii="Times New Roman" w:hAnsi="Times New Roman" w:cs="Times New Roman"/>
                <w:sz w:val="21"/>
                <w:szCs w:val="21"/>
              </w:rPr>
            </w:pPr>
            <w:r w:rsidRPr="00A07F4B">
              <w:rPr>
                <w:rFonts w:ascii="Times New Roman" w:hAnsi="Times New Roman" w:cs="Times New Roman"/>
                <w:sz w:val="21"/>
                <w:szCs w:val="21"/>
              </w:rPr>
              <w:t>147 (73.1)</w:t>
            </w:r>
          </w:p>
        </w:tc>
      </w:tr>
      <w:tr w:rsidR="00D77C60" w:rsidRPr="00A07F4B" w14:paraId="5FDF87AA" w14:textId="77777777" w:rsidTr="0079146D">
        <w:tc>
          <w:tcPr>
            <w:tcW w:w="4361" w:type="dxa"/>
            <w:gridSpan w:val="3"/>
          </w:tcPr>
          <w:p w14:paraId="48138458" w14:textId="022B3BA1" w:rsidR="00D77C60" w:rsidRPr="00A07F4B" w:rsidRDefault="00731984" w:rsidP="00731984">
            <w:pPr>
              <w:jc w:val="right"/>
              <w:rPr>
                <w:rFonts w:ascii="Times New Roman" w:hAnsi="Times New Roman" w:cs="Times New Roman"/>
                <w:sz w:val="21"/>
                <w:szCs w:val="21"/>
              </w:rPr>
            </w:pPr>
            <w:r>
              <w:rPr>
                <w:rFonts w:ascii="Times New Roman" w:hAnsi="Times New Roman" w:cs="Times New Roman"/>
                <w:sz w:val="21"/>
                <w:szCs w:val="21"/>
              </w:rPr>
              <w:t>a</w:t>
            </w:r>
            <w:r w:rsidR="00D77C60" w:rsidRPr="00A07F4B">
              <w:rPr>
                <w:rFonts w:ascii="Times New Roman" w:hAnsi="Times New Roman" w:cs="Times New Roman"/>
                <w:sz w:val="21"/>
                <w:szCs w:val="21"/>
              </w:rPr>
              <w:t>ny other White background</w:t>
            </w:r>
          </w:p>
        </w:tc>
        <w:tc>
          <w:tcPr>
            <w:tcW w:w="1701" w:type="dxa"/>
          </w:tcPr>
          <w:p w14:paraId="2FC8F1EF" w14:textId="77777777" w:rsidR="00D77C60" w:rsidRPr="00752E80" w:rsidRDefault="00D77C60" w:rsidP="0079146D">
            <w:pPr>
              <w:rPr>
                <w:rFonts w:ascii="Times New Roman" w:hAnsi="Times New Roman" w:cs="Times New Roman"/>
                <w:sz w:val="21"/>
                <w:szCs w:val="21"/>
              </w:rPr>
            </w:pPr>
            <w:r w:rsidRPr="00752E80">
              <w:rPr>
                <w:rFonts w:ascii="Times New Roman" w:hAnsi="Times New Roman" w:cs="Times New Roman"/>
                <w:sz w:val="21"/>
                <w:szCs w:val="21"/>
              </w:rPr>
              <w:t>-</w:t>
            </w:r>
          </w:p>
        </w:tc>
        <w:tc>
          <w:tcPr>
            <w:tcW w:w="2126" w:type="dxa"/>
          </w:tcPr>
          <w:p w14:paraId="4AF62468" w14:textId="77777777" w:rsidR="00D77C60" w:rsidRPr="00A07F4B" w:rsidRDefault="00D77C60" w:rsidP="0079146D">
            <w:pPr>
              <w:rPr>
                <w:rFonts w:ascii="Times New Roman" w:hAnsi="Times New Roman" w:cs="Times New Roman"/>
                <w:sz w:val="21"/>
                <w:szCs w:val="21"/>
              </w:rPr>
            </w:pPr>
            <w:r w:rsidRPr="00A07F4B">
              <w:rPr>
                <w:rFonts w:ascii="Times New Roman" w:hAnsi="Times New Roman" w:cs="Times New Roman"/>
                <w:sz w:val="21"/>
                <w:szCs w:val="21"/>
              </w:rPr>
              <w:t>16 (8</w:t>
            </w:r>
            <w:r>
              <w:rPr>
                <w:rFonts w:ascii="Times New Roman" w:hAnsi="Times New Roman" w:cs="Times New Roman"/>
                <w:sz w:val="21"/>
                <w:szCs w:val="21"/>
              </w:rPr>
              <w:t>.0</w:t>
            </w:r>
            <w:r w:rsidRPr="00A07F4B">
              <w:rPr>
                <w:rFonts w:ascii="Times New Roman" w:hAnsi="Times New Roman" w:cs="Times New Roman"/>
                <w:sz w:val="21"/>
                <w:szCs w:val="21"/>
              </w:rPr>
              <w:t>)</w:t>
            </w:r>
          </w:p>
        </w:tc>
      </w:tr>
      <w:tr w:rsidR="00D77C60" w:rsidRPr="00A07F4B" w14:paraId="5E95B03A" w14:textId="77777777" w:rsidTr="0079146D">
        <w:tc>
          <w:tcPr>
            <w:tcW w:w="1951" w:type="dxa"/>
          </w:tcPr>
          <w:p w14:paraId="1D647574" w14:textId="77777777" w:rsidR="00D77C60" w:rsidRPr="00A07F4B" w:rsidRDefault="00D77C60" w:rsidP="0044655D">
            <w:pPr>
              <w:rPr>
                <w:rFonts w:ascii="Times New Roman" w:hAnsi="Times New Roman" w:cs="Times New Roman"/>
                <w:sz w:val="21"/>
                <w:szCs w:val="21"/>
              </w:rPr>
            </w:pPr>
            <w:r w:rsidRPr="00A07F4B">
              <w:rPr>
                <w:rFonts w:ascii="Times New Roman" w:hAnsi="Times New Roman" w:cs="Times New Roman"/>
                <w:sz w:val="21"/>
                <w:szCs w:val="21"/>
              </w:rPr>
              <w:t>Diagnosis</w:t>
            </w:r>
            <w:r>
              <w:rPr>
                <w:rFonts w:ascii="Times New Roman" w:hAnsi="Times New Roman" w:cs="Times New Roman"/>
                <w:sz w:val="21"/>
                <w:szCs w:val="21"/>
              </w:rPr>
              <w:t>:</w:t>
            </w:r>
            <w:r w:rsidRPr="00A07F4B">
              <w:rPr>
                <w:rFonts w:ascii="Times New Roman" w:hAnsi="Times New Roman" w:cs="Times New Roman"/>
                <w:sz w:val="21"/>
                <w:szCs w:val="21"/>
              </w:rPr>
              <w:t xml:space="preserve"> </w:t>
            </w:r>
            <w:r w:rsidRPr="00A07F4B">
              <w:rPr>
                <w:rFonts w:ascii="Times New Roman" w:hAnsi="Times New Roman" w:cs="Times New Roman"/>
                <w:i/>
                <w:sz w:val="21"/>
                <w:szCs w:val="21"/>
              </w:rPr>
              <w:t>n</w:t>
            </w:r>
            <w:r w:rsidRPr="00A07F4B">
              <w:rPr>
                <w:rFonts w:ascii="Times New Roman" w:hAnsi="Times New Roman" w:cs="Times New Roman"/>
                <w:sz w:val="21"/>
                <w:szCs w:val="21"/>
              </w:rPr>
              <w:t xml:space="preserve"> (%)</w:t>
            </w:r>
          </w:p>
        </w:tc>
        <w:tc>
          <w:tcPr>
            <w:tcW w:w="2410" w:type="dxa"/>
            <w:gridSpan w:val="2"/>
          </w:tcPr>
          <w:p w14:paraId="31FA9DD0" w14:textId="123C9138" w:rsidR="00D77C60" w:rsidRPr="00A07F4B" w:rsidRDefault="00731984" w:rsidP="00731984">
            <w:pPr>
              <w:jc w:val="right"/>
              <w:rPr>
                <w:rFonts w:ascii="Times New Roman" w:hAnsi="Times New Roman" w:cs="Times New Roman"/>
                <w:sz w:val="21"/>
                <w:szCs w:val="21"/>
              </w:rPr>
            </w:pPr>
            <w:r>
              <w:rPr>
                <w:rFonts w:ascii="Times New Roman" w:hAnsi="Times New Roman" w:cs="Times New Roman"/>
                <w:sz w:val="21"/>
                <w:szCs w:val="21"/>
              </w:rPr>
              <w:t>a</w:t>
            </w:r>
            <w:r w:rsidR="00D77C60" w:rsidRPr="00A07F4B">
              <w:rPr>
                <w:rFonts w:ascii="Times New Roman" w:hAnsi="Times New Roman" w:cs="Times New Roman"/>
                <w:sz w:val="21"/>
                <w:szCs w:val="21"/>
              </w:rPr>
              <w:t>nxiety</w:t>
            </w:r>
            <w:r w:rsidR="00D77C60">
              <w:rPr>
                <w:rFonts w:ascii="Times New Roman" w:hAnsi="Times New Roman" w:cs="Times New Roman"/>
                <w:sz w:val="21"/>
                <w:szCs w:val="21"/>
              </w:rPr>
              <w:t xml:space="preserve"> disorder</w:t>
            </w:r>
          </w:p>
        </w:tc>
        <w:tc>
          <w:tcPr>
            <w:tcW w:w="1701" w:type="dxa"/>
          </w:tcPr>
          <w:p w14:paraId="7684F0A7" w14:textId="77777777" w:rsidR="00D77C60" w:rsidRPr="00752E80" w:rsidRDefault="00D77C60" w:rsidP="0079146D">
            <w:pPr>
              <w:rPr>
                <w:rFonts w:ascii="Times New Roman" w:hAnsi="Times New Roman" w:cs="Times New Roman"/>
                <w:sz w:val="21"/>
                <w:szCs w:val="21"/>
              </w:rPr>
            </w:pPr>
            <w:r w:rsidRPr="00752E80">
              <w:rPr>
                <w:rFonts w:ascii="Times New Roman" w:hAnsi="Times New Roman" w:cs="Times New Roman"/>
                <w:sz w:val="21"/>
                <w:szCs w:val="21"/>
              </w:rPr>
              <w:t>85 (61.2)</w:t>
            </w:r>
          </w:p>
        </w:tc>
        <w:tc>
          <w:tcPr>
            <w:tcW w:w="2126" w:type="dxa"/>
          </w:tcPr>
          <w:p w14:paraId="65112A6E" w14:textId="77777777" w:rsidR="00D77C60" w:rsidRPr="00A07F4B" w:rsidRDefault="00D77C60" w:rsidP="0079146D">
            <w:pPr>
              <w:rPr>
                <w:rFonts w:ascii="Times New Roman" w:hAnsi="Times New Roman" w:cs="Times New Roman"/>
                <w:sz w:val="21"/>
                <w:szCs w:val="21"/>
              </w:rPr>
            </w:pPr>
            <w:r w:rsidRPr="00A07F4B">
              <w:rPr>
                <w:rFonts w:ascii="Times New Roman" w:hAnsi="Times New Roman" w:cs="Times New Roman"/>
                <w:sz w:val="21"/>
                <w:szCs w:val="21"/>
              </w:rPr>
              <w:t>-</w:t>
            </w:r>
          </w:p>
        </w:tc>
      </w:tr>
      <w:tr w:rsidR="00D77C60" w:rsidRPr="00A07F4B" w14:paraId="35E33D5E" w14:textId="77777777" w:rsidTr="0079146D">
        <w:tc>
          <w:tcPr>
            <w:tcW w:w="1951" w:type="dxa"/>
          </w:tcPr>
          <w:p w14:paraId="2F967AFC" w14:textId="77777777" w:rsidR="00D77C60" w:rsidRPr="00A07F4B" w:rsidRDefault="00D77C60" w:rsidP="0044655D">
            <w:pPr>
              <w:jc w:val="right"/>
              <w:rPr>
                <w:rFonts w:ascii="Times New Roman" w:hAnsi="Times New Roman" w:cs="Times New Roman"/>
                <w:sz w:val="21"/>
                <w:szCs w:val="21"/>
              </w:rPr>
            </w:pPr>
          </w:p>
        </w:tc>
        <w:tc>
          <w:tcPr>
            <w:tcW w:w="2410" w:type="dxa"/>
            <w:gridSpan w:val="2"/>
          </w:tcPr>
          <w:p w14:paraId="3AF8EE30" w14:textId="4B6197E2" w:rsidR="00D77C60" w:rsidRPr="00A07F4B" w:rsidRDefault="00731984" w:rsidP="0044655D">
            <w:pPr>
              <w:jc w:val="right"/>
              <w:rPr>
                <w:rFonts w:ascii="Times New Roman" w:hAnsi="Times New Roman" w:cs="Times New Roman"/>
                <w:sz w:val="21"/>
                <w:szCs w:val="21"/>
              </w:rPr>
            </w:pPr>
            <w:r>
              <w:rPr>
                <w:rFonts w:ascii="Times New Roman" w:hAnsi="Times New Roman" w:cs="Times New Roman"/>
                <w:sz w:val="21"/>
                <w:szCs w:val="21"/>
              </w:rPr>
              <w:t>d</w:t>
            </w:r>
            <w:r w:rsidR="00D77C60" w:rsidRPr="00A07F4B">
              <w:rPr>
                <w:rFonts w:ascii="Times New Roman" w:hAnsi="Times New Roman" w:cs="Times New Roman"/>
                <w:sz w:val="21"/>
                <w:szCs w:val="21"/>
              </w:rPr>
              <w:t>epression</w:t>
            </w:r>
          </w:p>
        </w:tc>
        <w:tc>
          <w:tcPr>
            <w:tcW w:w="1701" w:type="dxa"/>
          </w:tcPr>
          <w:p w14:paraId="7AD67CB4" w14:textId="77777777" w:rsidR="00D77C60" w:rsidRPr="00752E80" w:rsidRDefault="00D77C60" w:rsidP="0079146D">
            <w:pPr>
              <w:rPr>
                <w:rFonts w:ascii="Times New Roman" w:hAnsi="Times New Roman" w:cs="Times New Roman"/>
                <w:sz w:val="21"/>
                <w:szCs w:val="21"/>
              </w:rPr>
            </w:pPr>
            <w:r w:rsidRPr="00752E80">
              <w:rPr>
                <w:rFonts w:ascii="Times New Roman" w:hAnsi="Times New Roman" w:cs="Times New Roman"/>
                <w:sz w:val="21"/>
                <w:szCs w:val="21"/>
              </w:rPr>
              <w:t>92 (66.2)</w:t>
            </w:r>
          </w:p>
        </w:tc>
        <w:tc>
          <w:tcPr>
            <w:tcW w:w="2126" w:type="dxa"/>
          </w:tcPr>
          <w:p w14:paraId="117AFA5B" w14:textId="77777777" w:rsidR="00D77C60" w:rsidRPr="00A07F4B" w:rsidRDefault="00D77C60" w:rsidP="0079146D">
            <w:pPr>
              <w:rPr>
                <w:rFonts w:ascii="Times New Roman" w:hAnsi="Times New Roman" w:cs="Times New Roman"/>
                <w:sz w:val="21"/>
                <w:szCs w:val="21"/>
              </w:rPr>
            </w:pPr>
            <w:r w:rsidRPr="00A07F4B">
              <w:rPr>
                <w:rFonts w:ascii="Times New Roman" w:hAnsi="Times New Roman" w:cs="Times New Roman"/>
                <w:sz w:val="21"/>
                <w:szCs w:val="21"/>
              </w:rPr>
              <w:t>-</w:t>
            </w:r>
          </w:p>
        </w:tc>
      </w:tr>
      <w:tr w:rsidR="00D77C60" w:rsidRPr="00A07F4B" w14:paraId="0797BFD5" w14:textId="77777777" w:rsidTr="0079146D">
        <w:tc>
          <w:tcPr>
            <w:tcW w:w="1951" w:type="dxa"/>
          </w:tcPr>
          <w:p w14:paraId="69B5FD7D" w14:textId="77777777" w:rsidR="00D77C60" w:rsidRPr="00A07F4B" w:rsidRDefault="00D77C60" w:rsidP="0044655D">
            <w:pPr>
              <w:ind w:firstLine="720"/>
              <w:jc w:val="right"/>
              <w:rPr>
                <w:rFonts w:ascii="Times New Roman" w:hAnsi="Times New Roman" w:cs="Times New Roman"/>
                <w:sz w:val="21"/>
                <w:szCs w:val="21"/>
              </w:rPr>
            </w:pPr>
          </w:p>
        </w:tc>
        <w:tc>
          <w:tcPr>
            <w:tcW w:w="2410" w:type="dxa"/>
            <w:gridSpan w:val="2"/>
          </w:tcPr>
          <w:p w14:paraId="05CA830C" w14:textId="4F14DD3B" w:rsidR="00D77C60" w:rsidRPr="00A07F4B" w:rsidRDefault="00731984" w:rsidP="0044655D">
            <w:pPr>
              <w:ind w:hanging="108"/>
              <w:jc w:val="right"/>
              <w:rPr>
                <w:rFonts w:ascii="Times New Roman" w:hAnsi="Times New Roman" w:cs="Times New Roman"/>
                <w:sz w:val="21"/>
                <w:szCs w:val="21"/>
              </w:rPr>
            </w:pPr>
            <w:r>
              <w:rPr>
                <w:rFonts w:ascii="Times New Roman" w:hAnsi="Times New Roman" w:cs="Times New Roman"/>
                <w:sz w:val="21"/>
                <w:szCs w:val="21"/>
              </w:rPr>
              <w:t>e</w:t>
            </w:r>
            <w:r w:rsidR="00D77C60">
              <w:rPr>
                <w:rFonts w:ascii="Times New Roman" w:hAnsi="Times New Roman" w:cs="Times New Roman"/>
                <w:sz w:val="21"/>
                <w:szCs w:val="21"/>
              </w:rPr>
              <w:t>ating d</w:t>
            </w:r>
            <w:r w:rsidR="00D77C60" w:rsidRPr="00A07F4B">
              <w:rPr>
                <w:rFonts w:ascii="Times New Roman" w:hAnsi="Times New Roman" w:cs="Times New Roman"/>
                <w:sz w:val="21"/>
                <w:szCs w:val="21"/>
              </w:rPr>
              <w:t>isorder</w:t>
            </w:r>
          </w:p>
        </w:tc>
        <w:tc>
          <w:tcPr>
            <w:tcW w:w="1701" w:type="dxa"/>
          </w:tcPr>
          <w:p w14:paraId="451226A5" w14:textId="77777777" w:rsidR="00D77C60" w:rsidRPr="00752E80" w:rsidRDefault="00D77C60" w:rsidP="0079146D">
            <w:pPr>
              <w:rPr>
                <w:rFonts w:ascii="Times New Roman" w:hAnsi="Times New Roman" w:cs="Times New Roman"/>
                <w:sz w:val="21"/>
                <w:szCs w:val="21"/>
              </w:rPr>
            </w:pPr>
            <w:r w:rsidRPr="00752E80">
              <w:rPr>
                <w:rFonts w:ascii="Times New Roman" w:hAnsi="Times New Roman" w:cs="Times New Roman"/>
                <w:sz w:val="21"/>
                <w:szCs w:val="21"/>
              </w:rPr>
              <w:t>7 (5.0)</w:t>
            </w:r>
          </w:p>
        </w:tc>
        <w:tc>
          <w:tcPr>
            <w:tcW w:w="2126" w:type="dxa"/>
          </w:tcPr>
          <w:p w14:paraId="64616620" w14:textId="77777777" w:rsidR="00D77C60" w:rsidRPr="00A07F4B" w:rsidRDefault="00D77C60" w:rsidP="0079146D">
            <w:pPr>
              <w:rPr>
                <w:rFonts w:ascii="Times New Roman" w:hAnsi="Times New Roman" w:cs="Times New Roman"/>
                <w:sz w:val="21"/>
                <w:szCs w:val="21"/>
              </w:rPr>
            </w:pPr>
            <w:r w:rsidRPr="00A07F4B">
              <w:rPr>
                <w:rFonts w:ascii="Times New Roman" w:hAnsi="Times New Roman" w:cs="Times New Roman"/>
                <w:sz w:val="21"/>
                <w:szCs w:val="21"/>
              </w:rPr>
              <w:t>-</w:t>
            </w:r>
          </w:p>
        </w:tc>
      </w:tr>
      <w:tr w:rsidR="00D77C60" w:rsidRPr="00A07F4B" w14:paraId="28639DBD" w14:textId="77777777" w:rsidTr="0079146D">
        <w:tc>
          <w:tcPr>
            <w:tcW w:w="1951" w:type="dxa"/>
          </w:tcPr>
          <w:p w14:paraId="63A6F890" w14:textId="77777777" w:rsidR="00D77C60" w:rsidRPr="00A07F4B" w:rsidRDefault="00D77C60" w:rsidP="0044655D">
            <w:pPr>
              <w:ind w:firstLine="720"/>
              <w:jc w:val="right"/>
              <w:rPr>
                <w:rFonts w:ascii="Times New Roman" w:hAnsi="Times New Roman" w:cs="Times New Roman"/>
                <w:sz w:val="21"/>
                <w:szCs w:val="21"/>
              </w:rPr>
            </w:pPr>
          </w:p>
        </w:tc>
        <w:tc>
          <w:tcPr>
            <w:tcW w:w="2410" w:type="dxa"/>
            <w:gridSpan w:val="2"/>
          </w:tcPr>
          <w:p w14:paraId="179A9045" w14:textId="0DA08BE5" w:rsidR="00D77C60" w:rsidRPr="00A07F4B" w:rsidRDefault="00731984" w:rsidP="00731984">
            <w:pPr>
              <w:ind w:hanging="108"/>
              <w:jc w:val="right"/>
              <w:rPr>
                <w:rFonts w:ascii="Times New Roman" w:hAnsi="Times New Roman" w:cs="Times New Roman"/>
                <w:sz w:val="21"/>
                <w:szCs w:val="21"/>
              </w:rPr>
            </w:pPr>
            <w:r>
              <w:rPr>
                <w:rFonts w:ascii="Times New Roman" w:hAnsi="Times New Roman" w:cs="Times New Roman"/>
                <w:sz w:val="21"/>
                <w:szCs w:val="21"/>
              </w:rPr>
              <w:t>s</w:t>
            </w:r>
            <w:r w:rsidR="00D77C60" w:rsidRPr="00A07F4B">
              <w:rPr>
                <w:rFonts w:ascii="Times New Roman" w:hAnsi="Times New Roman" w:cs="Times New Roman"/>
                <w:sz w:val="21"/>
                <w:szCs w:val="21"/>
              </w:rPr>
              <w:t>chizophrenia</w:t>
            </w:r>
            <w:r w:rsidR="00D77C60">
              <w:rPr>
                <w:rFonts w:ascii="Times New Roman" w:hAnsi="Times New Roman" w:cs="Times New Roman"/>
                <w:sz w:val="21"/>
                <w:szCs w:val="21"/>
              </w:rPr>
              <w:t xml:space="preserve"> / psychosis</w:t>
            </w:r>
          </w:p>
        </w:tc>
        <w:tc>
          <w:tcPr>
            <w:tcW w:w="1701" w:type="dxa"/>
          </w:tcPr>
          <w:p w14:paraId="1F9D6662" w14:textId="77777777" w:rsidR="00D77C60" w:rsidRPr="00752E80" w:rsidRDefault="00D77C60" w:rsidP="0079146D">
            <w:pPr>
              <w:rPr>
                <w:rFonts w:ascii="Times New Roman" w:hAnsi="Times New Roman" w:cs="Times New Roman"/>
                <w:sz w:val="21"/>
                <w:szCs w:val="21"/>
              </w:rPr>
            </w:pPr>
            <w:r w:rsidRPr="00752E80">
              <w:rPr>
                <w:rFonts w:ascii="Times New Roman" w:hAnsi="Times New Roman" w:cs="Times New Roman"/>
                <w:sz w:val="21"/>
                <w:szCs w:val="21"/>
              </w:rPr>
              <w:t>32 (23.0)</w:t>
            </w:r>
          </w:p>
        </w:tc>
        <w:tc>
          <w:tcPr>
            <w:tcW w:w="2126" w:type="dxa"/>
          </w:tcPr>
          <w:p w14:paraId="746D83BB" w14:textId="77777777" w:rsidR="00D77C60" w:rsidRPr="00A07F4B" w:rsidRDefault="00D77C60" w:rsidP="0079146D">
            <w:pPr>
              <w:rPr>
                <w:rFonts w:ascii="Times New Roman" w:hAnsi="Times New Roman" w:cs="Times New Roman"/>
                <w:sz w:val="21"/>
                <w:szCs w:val="21"/>
              </w:rPr>
            </w:pPr>
            <w:r w:rsidRPr="00A07F4B">
              <w:rPr>
                <w:rFonts w:ascii="Times New Roman" w:hAnsi="Times New Roman" w:cs="Times New Roman"/>
                <w:sz w:val="21"/>
                <w:szCs w:val="21"/>
              </w:rPr>
              <w:t>-</w:t>
            </w:r>
          </w:p>
        </w:tc>
      </w:tr>
      <w:tr w:rsidR="00D77C60" w:rsidRPr="00A07F4B" w14:paraId="6399F0E5" w14:textId="77777777" w:rsidTr="0079146D">
        <w:tc>
          <w:tcPr>
            <w:tcW w:w="1951" w:type="dxa"/>
          </w:tcPr>
          <w:p w14:paraId="10A7186E" w14:textId="77777777" w:rsidR="00D77C60" w:rsidRPr="00A07F4B" w:rsidRDefault="00D77C60" w:rsidP="0044655D">
            <w:pPr>
              <w:ind w:firstLine="720"/>
              <w:jc w:val="right"/>
              <w:rPr>
                <w:rFonts w:ascii="Times New Roman" w:hAnsi="Times New Roman" w:cs="Times New Roman"/>
                <w:sz w:val="21"/>
                <w:szCs w:val="21"/>
              </w:rPr>
            </w:pPr>
          </w:p>
        </w:tc>
        <w:tc>
          <w:tcPr>
            <w:tcW w:w="2410" w:type="dxa"/>
            <w:gridSpan w:val="2"/>
          </w:tcPr>
          <w:p w14:paraId="7560F359" w14:textId="66A13038" w:rsidR="00D77C60" w:rsidRPr="00A07F4B" w:rsidRDefault="00731984" w:rsidP="0044655D">
            <w:pPr>
              <w:ind w:hanging="108"/>
              <w:jc w:val="right"/>
              <w:rPr>
                <w:rFonts w:ascii="Times New Roman" w:hAnsi="Times New Roman" w:cs="Times New Roman"/>
                <w:sz w:val="21"/>
                <w:szCs w:val="21"/>
              </w:rPr>
            </w:pPr>
            <w:r>
              <w:rPr>
                <w:rFonts w:ascii="Times New Roman" w:hAnsi="Times New Roman" w:cs="Times New Roman"/>
                <w:sz w:val="21"/>
                <w:szCs w:val="21"/>
              </w:rPr>
              <w:t>b</w:t>
            </w:r>
            <w:r w:rsidR="00D77C60">
              <w:rPr>
                <w:rFonts w:ascii="Times New Roman" w:hAnsi="Times New Roman" w:cs="Times New Roman"/>
                <w:sz w:val="21"/>
                <w:szCs w:val="21"/>
              </w:rPr>
              <w:t>ipolar d</w:t>
            </w:r>
            <w:r w:rsidR="00D77C60" w:rsidRPr="00A07F4B">
              <w:rPr>
                <w:rFonts w:ascii="Times New Roman" w:hAnsi="Times New Roman" w:cs="Times New Roman"/>
                <w:sz w:val="21"/>
                <w:szCs w:val="21"/>
              </w:rPr>
              <w:t xml:space="preserve">isorder </w:t>
            </w:r>
          </w:p>
        </w:tc>
        <w:tc>
          <w:tcPr>
            <w:tcW w:w="1701" w:type="dxa"/>
          </w:tcPr>
          <w:p w14:paraId="236490CC" w14:textId="77777777" w:rsidR="00D77C60" w:rsidRPr="00752E80" w:rsidRDefault="00D77C60" w:rsidP="0079146D">
            <w:pPr>
              <w:rPr>
                <w:rFonts w:ascii="Times New Roman" w:hAnsi="Times New Roman" w:cs="Times New Roman"/>
                <w:sz w:val="21"/>
                <w:szCs w:val="21"/>
              </w:rPr>
            </w:pPr>
            <w:r w:rsidRPr="00752E80">
              <w:rPr>
                <w:rFonts w:ascii="Times New Roman" w:hAnsi="Times New Roman" w:cs="Times New Roman"/>
                <w:sz w:val="21"/>
                <w:szCs w:val="21"/>
              </w:rPr>
              <w:t>24 (17.3)</w:t>
            </w:r>
          </w:p>
        </w:tc>
        <w:tc>
          <w:tcPr>
            <w:tcW w:w="2126" w:type="dxa"/>
          </w:tcPr>
          <w:p w14:paraId="6413B880" w14:textId="77777777" w:rsidR="00D77C60" w:rsidRPr="00A07F4B" w:rsidRDefault="00D77C60" w:rsidP="0079146D">
            <w:pPr>
              <w:rPr>
                <w:rFonts w:ascii="Times New Roman" w:hAnsi="Times New Roman" w:cs="Times New Roman"/>
                <w:sz w:val="21"/>
                <w:szCs w:val="21"/>
              </w:rPr>
            </w:pPr>
            <w:r w:rsidRPr="00A07F4B">
              <w:rPr>
                <w:rFonts w:ascii="Times New Roman" w:hAnsi="Times New Roman" w:cs="Times New Roman"/>
                <w:sz w:val="21"/>
                <w:szCs w:val="21"/>
              </w:rPr>
              <w:t>-</w:t>
            </w:r>
          </w:p>
        </w:tc>
      </w:tr>
      <w:tr w:rsidR="00D77C60" w:rsidRPr="00A07F4B" w14:paraId="25FD2BBE" w14:textId="77777777" w:rsidTr="0079146D">
        <w:tc>
          <w:tcPr>
            <w:tcW w:w="1951" w:type="dxa"/>
          </w:tcPr>
          <w:p w14:paraId="23BB7EB3" w14:textId="77777777" w:rsidR="00D77C60" w:rsidRPr="00A07F4B" w:rsidRDefault="00D77C60" w:rsidP="0044655D">
            <w:pPr>
              <w:ind w:firstLine="720"/>
              <w:jc w:val="right"/>
              <w:rPr>
                <w:rFonts w:ascii="Times New Roman" w:hAnsi="Times New Roman" w:cs="Times New Roman"/>
                <w:sz w:val="21"/>
                <w:szCs w:val="21"/>
              </w:rPr>
            </w:pPr>
          </w:p>
        </w:tc>
        <w:tc>
          <w:tcPr>
            <w:tcW w:w="2410" w:type="dxa"/>
            <w:gridSpan w:val="2"/>
          </w:tcPr>
          <w:p w14:paraId="6AF85604" w14:textId="0150EC78" w:rsidR="00D77C60" w:rsidRPr="00A07F4B" w:rsidRDefault="00731984" w:rsidP="0044655D">
            <w:pPr>
              <w:ind w:hanging="108"/>
              <w:jc w:val="right"/>
              <w:rPr>
                <w:rFonts w:ascii="Times New Roman" w:hAnsi="Times New Roman" w:cs="Times New Roman"/>
                <w:sz w:val="21"/>
                <w:szCs w:val="21"/>
              </w:rPr>
            </w:pPr>
            <w:r>
              <w:rPr>
                <w:rFonts w:ascii="Times New Roman" w:hAnsi="Times New Roman" w:cs="Times New Roman"/>
                <w:sz w:val="21"/>
                <w:szCs w:val="21"/>
              </w:rPr>
              <w:t>p</w:t>
            </w:r>
            <w:r w:rsidR="00D77C60" w:rsidRPr="00A07F4B">
              <w:rPr>
                <w:rFonts w:ascii="Times New Roman" w:hAnsi="Times New Roman" w:cs="Times New Roman"/>
                <w:sz w:val="21"/>
                <w:szCs w:val="21"/>
              </w:rPr>
              <w:t xml:space="preserve">ersonality </w:t>
            </w:r>
            <w:r w:rsidR="00D77C60">
              <w:rPr>
                <w:rFonts w:ascii="Times New Roman" w:hAnsi="Times New Roman" w:cs="Times New Roman"/>
                <w:sz w:val="21"/>
                <w:szCs w:val="21"/>
              </w:rPr>
              <w:t>d</w:t>
            </w:r>
            <w:r w:rsidR="00D77C60" w:rsidRPr="00A07F4B">
              <w:rPr>
                <w:rFonts w:ascii="Times New Roman" w:hAnsi="Times New Roman" w:cs="Times New Roman"/>
                <w:sz w:val="21"/>
                <w:szCs w:val="21"/>
              </w:rPr>
              <w:t>isorder</w:t>
            </w:r>
          </w:p>
        </w:tc>
        <w:tc>
          <w:tcPr>
            <w:tcW w:w="1701" w:type="dxa"/>
          </w:tcPr>
          <w:p w14:paraId="5408D21C" w14:textId="77777777" w:rsidR="00D77C60" w:rsidRPr="00752E80" w:rsidRDefault="00D77C60" w:rsidP="0079146D">
            <w:pPr>
              <w:rPr>
                <w:rFonts w:ascii="Times New Roman" w:hAnsi="Times New Roman" w:cs="Times New Roman"/>
                <w:sz w:val="21"/>
                <w:szCs w:val="21"/>
              </w:rPr>
            </w:pPr>
            <w:r w:rsidRPr="00752E80">
              <w:rPr>
                <w:rFonts w:ascii="Times New Roman" w:hAnsi="Times New Roman" w:cs="Times New Roman"/>
                <w:sz w:val="21"/>
                <w:szCs w:val="21"/>
              </w:rPr>
              <w:t>26 (18.7)</w:t>
            </w:r>
          </w:p>
        </w:tc>
        <w:tc>
          <w:tcPr>
            <w:tcW w:w="2126" w:type="dxa"/>
          </w:tcPr>
          <w:p w14:paraId="71716358" w14:textId="77777777" w:rsidR="00D77C60" w:rsidRPr="00A07F4B" w:rsidRDefault="00D77C60" w:rsidP="0079146D">
            <w:pPr>
              <w:rPr>
                <w:rFonts w:ascii="Times New Roman" w:hAnsi="Times New Roman" w:cs="Times New Roman"/>
                <w:sz w:val="21"/>
                <w:szCs w:val="21"/>
              </w:rPr>
            </w:pPr>
            <w:r w:rsidRPr="00A07F4B">
              <w:rPr>
                <w:rFonts w:ascii="Times New Roman" w:hAnsi="Times New Roman" w:cs="Times New Roman"/>
                <w:sz w:val="21"/>
                <w:szCs w:val="21"/>
              </w:rPr>
              <w:t>-</w:t>
            </w:r>
          </w:p>
        </w:tc>
      </w:tr>
      <w:tr w:rsidR="00D77C60" w:rsidRPr="00A07F4B" w14:paraId="7DC659F9" w14:textId="77777777" w:rsidTr="0079146D">
        <w:tc>
          <w:tcPr>
            <w:tcW w:w="1951" w:type="dxa"/>
          </w:tcPr>
          <w:p w14:paraId="7C83ECC4" w14:textId="77777777" w:rsidR="00D77C60" w:rsidRPr="00A07F4B" w:rsidRDefault="00D77C60" w:rsidP="0044655D">
            <w:pPr>
              <w:ind w:firstLine="720"/>
              <w:jc w:val="right"/>
              <w:rPr>
                <w:rFonts w:ascii="Times New Roman" w:hAnsi="Times New Roman" w:cs="Times New Roman"/>
                <w:sz w:val="21"/>
                <w:szCs w:val="21"/>
              </w:rPr>
            </w:pPr>
          </w:p>
        </w:tc>
        <w:tc>
          <w:tcPr>
            <w:tcW w:w="2410" w:type="dxa"/>
            <w:gridSpan w:val="2"/>
          </w:tcPr>
          <w:p w14:paraId="6C1F05C0" w14:textId="5F0E1689" w:rsidR="00D77C60" w:rsidRPr="00A07F4B" w:rsidRDefault="00731984" w:rsidP="0044655D">
            <w:pPr>
              <w:ind w:hanging="108"/>
              <w:jc w:val="right"/>
              <w:rPr>
                <w:rFonts w:ascii="Times New Roman" w:hAnsi="Times New Roman" w:cs="Times New Roman"/>
                <w:sz w:val="21"/>
                <w:szCs w:val="21"/>
              </w:rPr>
            </w:pPr>
            <w:r>
              <w:rPr>
                <w:rFonts w:ascii="Times New Roman" w:hAnsi="Times New Roman" w:cs="Times New Roman"/>
                <w:sz w:val="21"/>
                <w:szCs w:val="21"/>
              </w:rPr>
              <w:t>o</w:t>
            </w:r>
            <w:r w:rsidR="00D77C60" w:rsidRPr="00A07F4B">
              <w:rPr>
                <w:rFonts w:ascii="Times New Roman" w:hAnsi="Times New Roman" w:cs="Times New Roman"/>
                <w:sz w:val="21"/>
                <w:szCs w:val="21"/>
              </w:rPr>
              <w:t>ther</w:t>
            </w:r>
          </w:p>
        </w:tc>
        <w:tc>
          <w:tcPr>
            <w:tcW w:w="1701" w:type="dxa"/>
          </w:tcPr>
          <w:p w14:paraId="7D2C7BD3" w14:textId="77777777" w:rsidR="00D77C60" w:rsidRPr="00752E80" w:rsidRDefault="00D77C60" w:rsidP="0079146D">
            <w:pPr>
              <w:rPr>
                <w:rFonts w:ascii="Times New Roman" w:hAnsi="Times New Roman" w:cs="Times New Roman"/>
                <w:sz w:val="21"/>
                <w:szCs w:val="21"/>
              </w:rPr>
            </w:pPr>
            <w:r w:rsidRPr="00752E80">
              <w:rPr>
                <w:rFonts w:ascii="Times New Roman" w:hAnsi="Times New Roman" w:cs="Times New Roman"/>
                <w:sz w:val="21"/>
                <w:szCs w:val="21"/>
              </w:rPr>
              <w:t>1 (</w:t>
            </w:r>
            <w:r>
              <w:rPr>
                <w:rFonts w:ascii="Times New Roman" w:hAnsi="Times New Roman" w:cs="Times New Roman"/>
                <w:sz w:val="21"/>
                <w:szCs w:val="21"/>
              </w:rPr>
              <w:t>0</w:t>
            </w:r>
            <w:r w:rsidRPr="00752E80">
              <w:rPr>
                <w:rFonts w:ascii="Times New Roman" w:hAnsi="Times New Roman" w:cs="Times New Roman"/>
                <w:sz w:val="21"/>
                <w:szCs w:val="21"/>
              </w:rPr>
              <w:t>.7)</w:t>
            </w:r>
          </w:p>
        </w:tc>
        <w:tc>
          <w:tcPr>
            <w:tcW w:w="2126" w:type="dxa"/>
          </w:tcPr>
          <w:p w14:paraId="2E974F34" w14:textId="77777777" w:rsidR="00D77C60" w:rsidRPr="00A07F4B" w:rsidRDefault="00D77C60" w:rsidP="0079146D">
            <w:pPr>
              <w:rPr>
                <w:rFonts w:ascii="Times New Roman" w:hAnsi="Times New Roman" w:cs="Times New Roman"/>
                <w:sz w:val="21"/>
                <w:szCs w:val="21"/>
              </w:rPr>
            </w:pPr>
            <w:r w:rsidRPr="00A07F4B">
              <w:rPr>
                <w:rFonts w:ascii="Times New Roman" w:hAnsi="Times New Roman" w:cs="Times New Roman"/>
                <w:sz w:val="21"/>
                <w:szCs w:val="21"/>
              </w:rPr>
              <w:t>-</w:t>
            </w:r>
          </w:p>
        </w:tc>
      </w:tr>
      <w:tr w:rsidR="00D77C60" w:rsidRPr="00A07F4B" w14:paraId="0E7E5853" w14:textId="77777777" w:rsidTr="0079146D">
        <w:tc>
          <w:tcPr>
            <w:tcW w:w="1951" w:type="dxa"/>
          </w:tcPr>
          <w:p w14:paraId="3D76AEBA" w14:textId="77777777" w:rsidR="00D77C60" w:rsidRPr="00A07F4B" w:rsidRDefault="00D77C60" w:rsidP="0044655D">
            <w:pPr>
              <w:ind w:firstLine="720"/>
              <w:jc w:val="right"/>
              <w:rPr>
                <w:rFonts w:ascii="Times New Roman" w:hAnsi="Times New Roman" w:cs="Times New Roman"/>
                <w:sz w:val="21"/>
                <w:szCs w:val="21"/>
              </w:rPr>
            </w:pPr>
          </w:p>
        </w:tc>
        <w:tc>
          <w:tcPr>
            <w:tcW w:w="2410" w:type="dxa"/>
            <w:gridSpan w:val="2"/>
          </w:tcPr>
          <w:p w14:paraId="0D19E66C" w14:textId="61575302" w:rsidR="00D77C60" w:rsidRPr="00A07F4B" w:rsidRDefault="00731984" w:rsidP="00731984">
            <w:pPr>
              <w:ind w:hanging="108"/>
              <w:jc w:val="right"/>
              <w:rPr>
                <w:rFonts w:ascii="Times New Roman" w:hAnsi="Times New Roman" w:cs="Times New Roman"/>
                <w:sz w:val="21"/>
                <w:szCs w:val="21"/>
              </w:rPr>
            </w:pPr>
            <w:r>
              <w:rPr>
                <w:rFonts w:ascii="Times New Roman" w:hAnsi="Times New Roman" w:cs="Times New Roman"/>
                <w:sz w:val="21"/>
                <w:szCs w:val="21"/>
              </w:rPr>
              <w:t>d</w:t>
            </w:r>
            <w:r w:rsidR="00D77C60">
              <w:rPr>
                <w:rFonts w:ascii="Times New Roman" w:hAnsi="Times New Roman" w:cs="Times New Roman"/>
                <w:sz w:val="21"/>
                <w:szCs w:val="21"/>
              </w:rPr>
              <w:t>ecline to report</w:t>
            </w:r>
          </w:p>
        </w:tc>
        <w:tc>
          <w:tcPr>
            <w:tcW w:w="1701" w:type="dxa"/>
          </w:tcPr>
          <w:p w14:paraId="35A97056" w14:textId="77777777" w:rsidR="00D77C60" w:rsidRPr="00752E80" w:rsidRDefault="00D77C60" w:rsidP="0079146D">
            <w:pPr>
              <w:rPr>
                <w:rFonts w:ascii="Times New Roman" w:hAnsi="Times New Roman" w:cs="Times New Roman"/>
                <w:sz w:val="21"/>
                <w:szCs w:val="21"/>
              </w:rPr>
            </w:pPr>
            <w:r>
              <w:rPr>
                <w:rFonts w:ascii="Times New Roman" w:hAnsi="Times New Roman" w:cs="Times New Roman"/>
                <w:sz w:val="21"/>
                <w:szCs w:val="21"/>
              </w:rPr>
              <w:t>5(3.6)</w:t>
            </w:r>
          </w:p>
        </w:tc>
        <w:tc>
          <w:tcPr>
            <w:tcW w:w="2126" w:type="dxa"/>
          </w:tcPr>
          <w:p w14:paraId="40476870" w14:textId="77777777" w:rsidR="00D77C60" w:rsidRPr="00A07F4B" w:rsidRDefault="00D77C60" w:rsidP="0079146D">
            <w:pPr>
              <w:rPr>
                <w:rFonts w:ascii="Times New Roman" w:hAnsi="Times New Roman" w:cs="Times New Roman"/>
                <w:sz w:val="21"/>
                <w:szCs w:val="21"/>
              </w:rPr>
            </w:pPr>
          </w:p>
        </w:tc>
      </w:tr>
    </w:tbl>
    <w:p w14:paraId="200F0E25" w14:textId="77777777" w:rsidR="00D77C60" w:rsidRDefault="00D77C60" w:rsidP="00D77C60">
      <w:pPr>
        <w:rPr>
          <w:rFonts w:ascii="Times New Roman" w:hAnsi="Times New Roman" w:cs="Times New Roman"/>
          <w:highlight w:val="yellow"/>
        </w:rPr>
      </w:pPr>
    </w:p>
    <w:p w14:paraId="23E97C60" w14:textId="33A7345B" w:rsidR="00731984" w:rsidRDefault="0079146D" w:rsidP="0079146D">
      <w:pPr>
        <w:rPr>
          <w:rFonts w:ascii="Times New Roman" w:hAnsi="Times New Roman" w:cs="Times New Roman"/>
          <w:highlight w:val="yellow"/>
        </w:rPr>
      </w:pPr>
      <w:r w:rsidRPr="0079146D">
        <w:rPr>
          <w:rFonts w:ascii="Times New Roman" w:hAnsi="Times New Roman" w:cs="Times New Roman"/>
        </w:rPr>
        <w:t xml:space="preserve">Participant </w:t>
      </w:r>
      <w:r>
        <w:rPr>
          <w:rFonts w:ascii="Times New Roman" w:hAnsi="Times New Roman" w:cs="Times New Roman"/>
        </w:rPr>
        <w:t>c</w:t>
      </w:r>
      <w:r w:rsidRPr="0079146D">
        <w:rPr>
          <w:rFonts w:ascii="Times New Roman" w:hAnsi="Times New Roman" w:cs="Times New Roman"/>
        </w:rPr>
        <w:t>haracteristics</w:t>
      </w:r>
      <w:r w:rsidR="00731984">
        <w:rPr>
          <w:rFonts w:ascii="Times New Roman" w:hAnsi="Times New Roman" w:cs="Times New Roman"/>
          <w:highlight w:val="yellow"/>
        </w:rPr>
        <w:br w:type="page"/>
      </w:r>
    </w:p>
    <w:p w14:paraId="2F9D9126" w14:textId="15E373A7" w:rsidR="006961BA" w:rsidRPr="00E8502C" w:rsidRDefault="00731984" w:rsidP="00D77C60">
      <w:pPr>
        <w:rPr>
          <w:rFonts w:ascii="Times New Roman" w:hAnsi="Times New Roman" w:cs="Times New Roman"/>
          <w:b/>
          <w:bCs/>
        </w:rPr>
      </w:pPr>
      <w:r w:rsidRPr="00E8502C">
        <w:rPr>
          <w:rFonts w:ascii="Times New Roman" w:hAnsi="Times New Roman" w:cs="Times New Roman"/>
          <w:b/>
          <w:bCs/>
        </w:rPr>
        <w:lastRenderedPageBreak/>
        <w:t>Table 2</w:t>
      </w:r>
    </w:p>
    <w:p w14:paraId="4AD62F5A" w14:textId="77777777" w:rsidR="00731984" w:rsidRPr="00731984" w:rsidRDefault="00731984" w:rsidP="00D77C60">
      <w:pPr>
        <w:rPr>
          <w:rFonts w:ascii="Times New Roman" w:hAnsi="Times New Roman" w:cs="Times New Roman"/>
          <w:sz w:val="21"/>
          <w:szCs w:val="21"/>
          <w:highlight w:val="yellow"/>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2220"/>
        <w:gridCol w:w="1160"/>
        <w:gridCol w:w="1480"/>
        <w:gridCol w:w="1320"/>
        <w:gridCol w:w="2220"/>
      </w:tblGrid>
      <w:tr w:rsidR="00731984" w:rsidRPr="00731984" w14:paraId="47EBC904" w14:textId="77777777" w:rsidTr="00731984">
        <w:trPr>
          <w:trHeight w:val="315"/>
        </w:trPr>
        <w:tc>
          <w:tcPr>
            <w:tcW w:w="8400" w:type="dxa"/>
            <w:gridSpan w:val="5"/>
            <w:noWrap/>
            <w:hideMark/>
          </w:tcPr>
          <w:p w14:paraId="2F220A24" w14:textId="3CB715FB" w:rsidR="00731984" w:rsidRPr="0079146D" w:rsidRDefault="00731984" w:rsidP="00731984">
            <w:pPr>
              <w:rPr>
                <w:rFonts w:ascii="Times New Roman" w:hAnsi="Times New Roman" w:cs="Times New Roman"/>
                <w:b/>
                <w:bCs/>
                <w:sz w:val="21"/>
                <w:szCs w:val="21"/>
              </w:rPr>
            </w:pPr>
            <w:r w:rsidRPr="0079146D">
              <w:rPr>
                <w:rFonts w:ascii="Times New Roman" w:hAnsi="Times New Roman" w:cs="Times New Roman"/>
                <w:b/>
                <w:bCs/>
                <w:sz w:val="21"/>
                <w:szCs w:val="21"/>
              </w:rPr>
              <w:t>Clinical Group</w:t>
            </w:r>
          </w:p>
        </w:tc>
      </w:tr>
      <w:tr w:rsidR="00731984" w:rsidRPr="00731984" w14:paraId="061CE7D1" w14:textId="77777777" w:rsidTr="00731984">
        <w:trPr>
          <w:trHeight w:val="315"/>
        </w:trPr>
        <w:tc>
          <w:tcPr>
            <w:tcW w:w="2220" w:type="dxa"/>
            <w:tcBorders>
              <w:right w:val="nil"/>
            </w:tcBorders>
            <w:noWrap/>
            <w:hideMark/>
          </w:tcPr>
          <w:p w14:paraId="3B8B724C" w14:textId="77777777" w:rsidR="00731984" w:rsidRPr="00731984" w:rsidRDefault="00731984" w:rsidP="00731984">
            <w:pPr>
              <w:rPr>
                <w:rFonts w:ascii="Times New Roman" w:hAnsi="Times New Roman" w:cs="Times New Roman"/>
                <w:sz w:val="21"/>
                <w:szCs w:val="21"/>
              </w:rPr>
            </w:pPr>
          </w:p>
        </w:tc>
        <w:tc>
          <w:tcPr>
            <w:tcW w:w="1160" w:type="dxa"/>
            <w:tcBorders>
              <w:left w:val="nil"/>
              <w:right w:val="nil"/>
            </w:tcBorders>
            <w:noWrap/>
            <w:hideMark/>
          </w:tcPr>
          <w:p w14:paraId="6FACB143" w14:textId="7AFBD503" w:rsidR="00731984" w:rsidRPr="00731984" w:rsidRDefault="0079146D" w:rsidP="00731984">
            <w:pPr>
              <w:rPr>
                <w:rFonts w:ascii="Times New Roman" w:hAnsi="Times New Roman" w:cs="Times New Roman"/>
                <w:sz w:val="21"/>
                <w:szCs w:val="21"/>
              </w:rPr>
            </w:pPr>
            <w:r>
              <w:rPr>
                <w:rFonts w:ascii="Times New Roman" w:hAnsi="Times New Roman" w:cs="Times New Roman"/>
                <w:sz w:val="21"/>
                <w:szCs w:val="21"/>
              </w:rPr>
              <w:t>H</w:t>
            </w:r>
            <w:r w:rsidR="00731984" w:rsidRPr="00731984">
              <w:rPr>
                <w:rFonts w:ascii="Times New Roman" w:hAnsi="Times New Roman" w:cs="Times New Roman"/>
                <w:sz w:val="21"/>
                <w:szCs w:val="21"/>
              </w:rPr>
              <w:t xml:space="preserve">ope </w:t>
            </w:r>
          </w:p>
        </w:tc>
        <w:tc>
          <w:tcPr>
            <w:tcW w:w="1480" w:type="dxa"/>
            <w:tcBorders>
              <w:left w:val="nil"/>
              <w:right w:val="nil"/>
            </w:tcBorders>
            <w:noWrap/>
            <w:hideMark/>
          </w:tcPr>
          <w:p w14:paraId="4F194782" w14:textId="53A682D3" w:rsidR="00731984" w:rsidRPr="00731984" w:rsidRDefault="0079146D" w:rsidP="00731984">
            <w:pPr>
              <w:rPr>
                <w:rFonts w:ascii="Times New Roman" w:hAnsi="Times New Roman" w:cs="Times New Roman"/>
                <w:sz w:val="21"/>
                <w:szCs w:val="21"/>
              </w:rPr>
            </w:pPr>
            <w:r>
              <w:rPr>
                <w:rFonts w:ascii="Times New Roman" w:hAnsi="Times New Roman" w:cs="Times New Roman"/>
                <w:sz w:val="21"/>
                <w:szCs w:val="21"/>
              </w:rPr>
              <w:t>A</w:t>
            </w:r>
            <w:r w:rsidR="00731984" w:rsidRPr="00731984">
              <w:rPr>
                <w:rFonts w:ascii="Times New Roman" w:hAnsi="Times New Roman" w:cs="Times New Roman"/>
                <w:sz w:val="21"/>
                <w:szCs w:val="21"/>
              </w:rPr>
              <w:t>gency</w:t>
            </w:r>
          </w:p>
        </w:tc>
        <w:tc>
          <w:tcPr>
            <w:tcW w:w="1320" w:type="dxa"/>
            <w:tcBorders>
              <w:left w:val="nil"/>
              <w:right w:val="nil"/>
            </w:tcBorders>
            <w:noWrap/>
            <w:hideMark/>
          </w:tcPr>
          <w:p w14:paraId="17D91CEC" w14:textId="2EF57020" w:rsidR="00731984" w:rsidRPr="00731984" w:rsidRDefault="0079146D" w:rsidP="00731984">
            <w:pPr>
              <w:rPr>
                <w:rFonts w:ascii="Times New Roman" w:hAnsi="Times New Roman" w:cs="Times New Roman"/>
                <w:sz w:val="21"/>
                <w:szCs w:val="21"/>
              </w:rPr>
            </w:pPr>
            <w:r>
              <w:rPr>
                <w:rFonts w:ascii="Times New Roman" w:hAnsi="Times New Roman" w:cs="Times New Roman"/>
                <w:sz w:val="21"/>
                <w:szCs w:val="21"/>
              </w:rPr>
              <w:t>O</w:t>
            </w:r>
            <w:r w:rsidR="00731984" w:rsidRPr="00731984">
              <w:rPr>
                <w:rFonts w:ascii="Times New Roman" w:hAnsi="Times New Roman" w:cs="Times New Roman"/>
                <w:sz w:val="21"/>
                <w:szCs w:val="21"/>
              </w:rPr>
              <w:t>pportunity</w:t>
            </w:r>
          </w:p>
        </w:tc>
        <w:tc>
          <w:tcPr>
            <w:tcW w:w="2220" w:type="dxa"/>
            <w:tcBorders>
              <w:left w:val="nil"/>
            </w:tcBorders>
            <w:noWrap/>
            <w:hideMark/>
          </w:tcPr>
          <w:p w14:paraId="7F374347" w14:textId="30FA6CF2" w:rsidR="00731984" w:rsidRPr="00731984" w:rsidRDefault="0079146D" w:rsidP="00731984">
            <w:pPr>
              <w:rPr>
                <w:rFonts w:ascii="Times New Roman" w:hAnsi="Times New Roman" w:cs="Times New Roman"/>
                <w:sz w:val="21"/>
                <w:szCs w:val="21"/>
              </w:rPr>
            </w:pPr>
            <w:r>
              <w:rPr>
                <w:rFonts w:ascii="Times New Roman" w:hAnsi="Times New Roman" w:cs="Times New Roman"/>
                <w:sz w:val="21"/>
                <w:szCs w:val="21"/>
              </w:rPr>
              <w:t>W</w:t>
            </w:r>
            <w:r w:rsidR="00731984" w:rsidRPr="00731984">
              <w:rPr>
                <w:rFonts w:ascii="Times New Roman" w:hAnsi="Times New Roman" w:cs="Times New Roman"/>
                <w:sz w:val="21"/>
                <w:szCs w:val="21"/>
              </w:rPr>
              <w:t xml:space="preserve">orking </w:t>
            </w:r>
            <w:r w:rsidR="00731984">
              <w:rPr>
                <w:rFonts w:ascii="Times New Roman" w:hAnsi="Times New Roman" w:cs="Times New Roman"/>
                <w:sz w:val="21"/>
                <w:szCs w:val="21"/>
              </w:rPr>
              <w:t>r</w:t>
            </w:r>
            <w:r w:rsidR="00731984" w:rsidRPr="00731984">
              <w:rPr>
                <w:rFonts w:ascii="Times New Roman" w:hAnsi="Times New Roman" w:cs="Times New Roman"/>
                <w:sz w:val="21"/>
                <w:szCs w:val="21"/>
              </w:rPr>
              <w:t>elationship</w:t>
            </w:r>
            <w:r w:rsidR="00731984">
              <w:rPr>
                <w:rFonts w:ascii="Times New Roman" w:hAnsi="Times New Roman" w:cs="Times New Roman"/>
                <w:sz w:val="21"/>
                <w:szCs w:val="21"/>
              </w:rPr>
              <w:t>s</w:t>
            </w:r>
          </w:p>
        </w:tc>
      </w:tr>
      <w:tr w:rsidR="00731984" w:rsidRPr="00731984" w14:paraId="207112A0" w14:textId="77777777" w:rsidTr="00731984">
        <w:trPr>
          <w:trHeight w:val="315"/>
        </w:trPr>
        <w:tc>
          <w:tcPr>
            <w:tcW w:w="2220" w:type="dxa"/>
            <w:tcBorders>
              <w:right w:val="nil"/>
            </w:tcBorders>
            <w:noWrap/>
            <w:hideMark/>
          </w:tcPr>
          <w:p w14:paraId="1DF5FB7E" w14:textId="05947BE5" w:rsidR="00731984" w:rsidRPr="00731984" w:rsidRDefault="0079146D" w:rsidP="0079146D">
            <w:pPr>
              <w:jc w:val="right"/>
              <w:rPr>
                <w:rFonts w:ascii="Times New Roman" w:hAnsi="Times New Roman" w:cs="Times New Roman"/>
                <w:sz w:val="21"/>
                <w:szCs w:val="21"/>
              </w:rPr>
            </w:pPr>
            <w:r>
              <w:rPr>
                <w:rFonts w:ascii="Times New Roman" w:hAnsi="Times New Roman" w:cs="Times New Roman"/>
                <w:sz w:val="21"/>
                <w:szCs w:val="21"/>
              </w:rPr>
              <w:t>H</w:t>
            </w:r>
            <w:r w:rsidR="00731984" w:rsidRPr="00731984">
              <w:rPr>
                <w:rFonts w:ascii="Times New Roman" w:hAnsi="Times New Roman" w:cs="Times New Roman"/>
                <w:sz w:val="21"/>
                <w:szCs w:val="21"/>
              </w:rPr>
              <w:t xml:space="preserve">ope </w:t>
            </w:r>
          </w:p>
        </w:tc>
        <w:tc>
          <w:tcPr>
            <w:tcW w:w="1160" w:type="dxa"/>
            <w:tcBorders>
              <w:left w:val="nil"/>
              <w:right w:val="nil"/>
            </w:tcBorders>
            <w:noWrap/>
            <w:hideMark/>
          </w:tcPr>
          <w:p w14:paraId="00BDDDF4" w14:textId="77777777" w:rsidR="00731984" w:rsidRPr="00731984" w:rsidRDefault="00731984" w:rsidP="00731984">
            <w:pPr>
              <w:rPr>
                <w:rFonts w:ascii="Times New Roman" w:hAnsi="Times New Roman" w:cs="Times New Roman"/>
                <w:sz w:val="21"/>
                <w:szCs w:val="21"/>
              </w:rPr>
            </w:pPr>
            <w:r w:rsidRPr="00731984">
              <w:rPr>
                <w:rFonts w:ascii="Times New Roman" w:hAnsi="Times New Roman" w:cs="Times New Roman"/>
                <w:sz w:val="21"/>
                <w:szCs w:val="21"/>
              </w:rPr>
              <w:t>1.000</w:t>
            </w:r>
          </w:p>
        </w:tc>
        <w:tc>
          <w:tcPr>
            <w:tcW w:w="1480" w:type="dxa"/>
            <w:tcBorders>
              <w:left w:val="nil"/>
              <w:right w:val="nil"/>
            </w:tcBorders>
            <w:noWrap/>
            <w:hideMark/>
          </w:tcPr>
          <w:p w14:paraId="0EF89091" w14:textId="77777777" w:rsidR="00731984" w:rsidRPr="00731984" w:rsidRDefault="00731984" w:rsidP="00731984">
            <w:pPr>
              <w:rPr>
                <w:rFonts w:ascii="Times New Roman" w:hAnsi="Times New Roman" w:cs="Times New Roman"/>
                <w:sz w:val="21"/>
                <w:szCs w:val="21"/>
              </w:rPr>
            </w:pPr>
          </w:p>
        </w:tc>
        <w:tc>
          <w:tcPr>
            <w:tcW w:w="1320" w:type="dxa"/>
            <w:tcBorders>
              <w:left w:val="nil"/>
              <w:right w:val="nil"/>
            </w:tcBorders>
            <w:noWrap/>
            <w:hideMark/>
          </w:tcPr>
          <w:p w14:paraId="70CEC39F" w14:textId="77777777" w:rsidR="00731984" w:rsidRPr="00731984" w:rsidRDefault="00731984" w:rsidP="00731984">
            <w:pPr>
              <w:rPr>
                <w:rFonts w:ascii="Times New Roman" w:hAnsi="Times New Roman" w:cs="Times New Roman"/>
                <w:sz w:val="21"/>
                <w:szCs w:val="21"/>
              </w:rPr>
            </w:pPr>
          </w:p>
        </w:tc>
        <w:tc>
          <w:tcPr>
            <w:tcW w:w="2220" w:type="dxa"/>
            <w:tcBorders>
              <w:left w:val="nil"/>
            </w:tcBorders>
            <w:noWrap/>
            <w:hideMark/>
          </w:tcPr>
          <w:p w14:paraId="473391E7" w14:textId="77777777" w:rsidR="00731984" w:rsidRPr="00731984" w:rsidRDefault="00731984" w:rsidP="00731984">
            <w:pPr>
              <w:rPr>
                <w:rFonts w:ascii="Times New Roman" w:hAnsi="Times New Roman" w:cs="Times New Roman"/>
                <w:sz w:val="21"/>
                <w:szCs w:val="21"/>
              </w:rPr>
            </w:pPr>
          </w:p>
        </w:tc>
      </w:tr>
      <w:tr w:rsidR="00731984" w:rsidRPr="00731984" w14:paraId="1BE999D1" w14:textId="77777777" w:rsidTr="00731984">
        <w:trPr>
          <w:trHeight w:val="315"/>
        </w:trPr>
        <w:tc>
          <w:tcPr>
            <w:tcW w:w="2220" w:type="dxa"/>
            <w:tcBorders>
              <w:right w:val="nil"/>
            </w:tcBorders>
            <w:noWrap/>
            <w:hideMark/>
          </w:tcPr>
          <w:p w14:paraId="2CE45772" w14:textId="39424F4C" w:rsidR="00731984" w:rsidRPr="00731984" w:rsidRDefault="0079146D" w:rsidP="0079146D">
            <w:pPr>
              <w:jc w:val="right"/>
              <w:rPr>
                <w:rFonts w:ascii="Times New Roman" w:hAnsi="Times New Roman" w:cs="Times New Roman"/>
                <w:sz w:val="21"/>
                <w:szCs w:val="21"/>
              </w:rPr>
            </w:pPr>
            <w:r>
              <w:rPr>
                <w:rFonts w:ascii="Times New Roman" w:hAnsi="Times New Roman" w:cs="Times New Roman"/>
                <w:sz w:val="21"/>
                <w:szCs w:val="21"/>
              </w:rPr>
              <w:t>A</w:t>
            </w:r>
            <w:r w:rsidR="00731984" w:rsidRPr="00731984">
              <w:rPr>
                <w:rFonts w:ascii="Times New Roman" w:hAnsi="Times New Roman" w:cs="Times New Roman"/>
                <w:sz w:val="21"/>
                <w:szCs w:val="21"/>
              </w:rPr>
              <w:t>gency</w:t>
            </w:r>
          </w:p>
        </w:tc>
        <w:tc>
          <w:tcPr>
            <w:tcW w:w="1160" w:type="dxa"/>
            <w:tcBorders>
              <w:left w:val="nil"/>
              <w:right w:val="nil"/>
            </w:tcBorders>
            <w:noWrap/>
            <w:hideMark/>
          </w:tcPr>
          <w:p w14:paraId="4EFB89A7" w14:textId="77777777" w:rsidR="00731984" w:rsidRPr="00731984" w:rsidRDefault="00731984" w:rsidP="00731984">
            <w:pPr>
              <w:rPr>
                <w:rFonts w:ascii="Times New Roman" w:hAnsi="Times New Roman" w:cs="Times New Roman"/>
                <w:sz w:val="21"/>
                <w:szCs w:val="21"/>
              </w:rPr>
            </w:pPr>
            <w:r w:rsidRPr="00731984">
              <w:rPr>
                <w:rFonts w:ascii="Times New Roman" w:hAnsi="Times New Roman" w:cs="Times New Roman"/>
                <w:sz w:val="21"/>
                <w:szCs w:val="21"/>
              </w:rPr>
              <w:t>0.420</w:t>
            </w:r>
          </w:p>
        </w:tc>
        <w:tc>
          <w:tcPr>
            <w:tcW w:w="1480" w:type="dxa"/>
            <w:tcBorders>
              <w:left w:val="nil"/>
              <w:right w:val="nil"/>
            </w:tcBorders>
            <w:noWrap/>
            <w:hideMark/>
          </w:tcPr>
          <w:p w14:paraId="22DCB252" w14:textId="77777777" w:rsidR="00731984" w:rsidRPr="00731984" w:rsidRDefault="00731984" w:rsidP="00731984">
            <w:pPr>
              <w:rPr>
                <w:rFonts w:ascii="Times New Roman" w:hAnsi="Times New Roman" w:cs="Times New Roman"/>
                <w:sz w:val="21"/>
                <w:szCs w:val="21"/>
              </w:rPr>
            </w:pPr>
            <w:r w:rsidRPr="00731984">
              <w:rPr>
                <w:rFonts w:ascii="Times New Roman" w:hAnsi="Times New Roman" w:cs="Times New Roman"/>
                <w:sz w:val="21"/>
                <w:szCs w:val="21"/>
              </w:rPr>
              <w:t>1.000</w:t>
            </w:r>
          </w:p>
        </w:tc>
        <w:tc>
          <w:tcPr>
            <w:tcW w:w="1320" w:type="dxa"/>
            <w:tcBorders>
              <w:left w:val="nil"/>
              <w:right w:val="nil"/>
            </w:tcBorders>
            <w:noWrap/>
            <w:hideMark/>
          </w:tcPr>
          <w:p w14:paraId="07B1C7CA" w14:textId="77777777" w:rsidR="00731984" w:rsidRPr="00731984" w:rsidRDefault="00731984" w:rsidP="00731984">
            <w:pPr>
              <w:rPr>
                <w:rFonts w:ascii="Times New Roman" w:hAnsi="Times New Roman" w:cs="Times New Roman"/>
                <w:sz w:val="21"/>
                <w:szCs w:val="21"/>
              </w:rPr>
            </w:pPr>
          </w:p>
        </w:tc>
        <w:tc>
          <w:tcPr>
            <w:tcW w:w="2220" w:type="dxa"/>
            <w:tcBorders>
              <w:left w:val="nil"/>
            </w:tcBorders>
            <w:noWrap/>
            <w:hideMark/>
          </w:tcPr>
          <w:p w14:paraId="4A4A353F" w14:textId="77777777" w:rsidR="00731984" w:rsidRPr="00731984" w:rsidRDefault="00731984" w:rsidP="00731984">
            <w:pPr>
              <w:rPr>
                <w:rFonts w:ascii="Times New Roman" w:hAnsi="Times New Roman" w:cs="Times New Roman"/>
                <w:sz w:val="21"/>
                <w:szCs w:val="21"/>
              </w:rPr>
            </w:pPr>
          </w:p>
        </w:tc>
      </w:tr>
      <w:tr w:rsidR="00731984" w:rsidRPr="00731984" w14:paraId="5D543AA6" w14:textId="77777777" w:rsidTr="00731984">
        <w:trPr>
          <w:trHeight w:val="315"/>
        </w:trPr>
        <w:tc>
          <w:tcPr>
            <w:tcW w:w="2220" w:type="dxa"/>
            <w:tcBorders>
              <w:right w:val="nil"/>
            </w:tcBorders>
            <w:noWrap/>
            <w:hideMark/>
          </w:tcPr>
          <w:p w14:paraId="6BBE97ED" w14:textId="6485D2A8" w:rsidR="00731984" w:rsidRPr="00731984" w:rsidRDefault="0079146D" w:rsidP="0079146D">
            <w:pPr>
              <w:jc w:val="right"/>
              <w:rPr>
                <w:rFonts w:ascii="Times New Roman" w:hAnsi="Times New Roman" w:cs="Times New Roman"/>
                <w:sz w:val="21"/>
                <w:szCs w:val="21"/>
              </w:rPr>
            </w:pPr>
            <w:r>
              <w:rPr>
                <w:rFonts w:ascii="Times New Roman" w:hAnsi="Times New Roman" w:cs="Times New Roman"/>
                <w:sz w:val="21"/>
                <w:szCs w:val="21"/>
              </w:rPr>
              <w:t>O</w:t>
            </w:r>
            <w:r w:rsidR="00731984" w:rsidRPr="00731984">
              <w:rPr>
                <w:rFonts w:ascii="Times New Roman" w:hAnsi="Times New Roman" w:cs="Times New Roman"/>
                <w:sz w:val="21"/>
                <w:szCs w:val="21"/>
              </w:rPr>
              <w:t>pportunity</w:t>
            </w:r>
          </w:p>
        </w:tc>
        <w:tc>
          <w:tcPr>
            <w:tcW w:w="1160" w:type="dxa"/>
            <w:tcBorders>
              <w:left w:val="nil"/>
              <w:right w:val="nil"/>
            </w:tcBorders>
            <w:noWrap/>
            <w:hideMark/>
          </w:tcPr>
          <w:p w14:paraId="09D7575C" w14:textId="77777777" w:rsidR="00731984" w:rsidRPr="00731984" w:rsidRDefault="00731984" w:rsidP="00731984">
            <w:pPr>
              <w:rPr>
                <w:rFonts w:ascii="Times New Roman" w:hAnsi="Times New Roman" w:cs="Times New Roman"/>
                <w:sz w:val="21"/>
                <w:szCs w:val="21"/>
              </w:rPr>
            </w:pPr>
            <w:r w:rsidRPr="00731984">
              <w:rPr>
                <w:rFonts w:ascii="Times New Roman" w:hAnsi="Times New Roman" w:cs="Times New Roman"/>
                <w:sz w:val="21"/>
                <w:szCs w:val="21"/>
              </w:rPr>
              <w:t>0.498</w:t>
            </w:r>
          </w:p>
        </w:tc>
        <w:tc>
          <w:tcPr>
            <w:tcW w:w="1480" w:type="dxa"/>
            <w:tcBorders>
              <w:left w:val="nil"/>
              <w:right w:val="nil"/>
            </w:tcBorders>
            <w:noWrap/>
            <w:hideMark/>
          </w:tcPr>
          <w:p w14:paraId="253F2C6E" w14:textId="77777777" w:rsidR="00731984" w:rsidRPr="00731984" w:rsidRDefault="00731984" w:rsidP="00731984">
            <w:pPr>
              <w:rPr>
                <w:rFonts w:ascii="Times New Roman" w:hAnsi="Times New Roman" w:cs="Times New Roman"/>
                <w:sz w:val="21"/>
                <w:szCs w:val="21"/>
              </w:rPr>
            </w:pPr>
            <w:r w:rsidRPr="00731984">
              <w:rPr>
                <w:rFonts w:ascii="Times New Roman" w:hAnsi="Times New Roman" w:cs="Times New Roman"/>
                <w:sz w:val="21"/>
                <w:szCs w:val="21"/>
              </w:rPr>
              <w:t>0.367</w:t>
            </w:r>
          </w:p>
        </w:tc>
        <w:tc>
          <w:tcPr>
            <w:tcW w:w="1320" w:type="dxa"/>
            <w:tcBorders>
              <w:left w:val="nil"/>
              <w:right w:val="nil"/>
            </w:tcBorders>
            <w:noWrap/>
            <w:hideMark/>
          </w:tcPr>
          <w:p w14:paraId="039840CC" w14:textId="77777777" w:rsidR="00731984" w:rsidRPr="00731984" w:rsidRDefault="00731984" w:rsidP="00731984">
            <w:pPr>
              <w:rPr>
                <w:rFonts w:ascii="Times New Roman" w:hAnsi="Times New Roman" w:cs="Times New Roman"/>
                <w:sz w:val="21"/>
                <w:szCs w:val="21"/>
              </w:rPr>
            </w:pPr>
            <w:r w:rsidRPr="00731984">
              <w:rPr>
                <w:rFonts w:ascii="Times New Roman" w:hAnsi="Times New Roman" w:cs="Times New Roman"/>
                <w:sz w:val="21"/>
                <w:szCs w:val="21"/>
              </w:rPr>
              <w:t>1.000</w:t>
            </w:r>
          </w:p>
        </w:tc>
        <w:tc>
          <w:tcPr>
            <w:tcW w:w="2220" w:type="dxa"/>
            <w:tcBorders>
              <w:left w:val="nil"/>
            </w:tcBorders>
            <w:noWrap/>
            <w:hideMark/>
          </w:tcPr>
          <w:p w14:paraId="02FA7481" w14:textId="77777777" w:rsidR="00731984" w:rsidRPr="00731984" w:rsidRDefault="00731984" w:rsidP="00731984">
            <w:pPr>
              <w:rPr>
                <w:rFonts w:ascii="Times New Roman" w:hAnsi="Times New Roman" w:cs="Times New Roman"/>
                <w:sz w:val="21"/>
                <w:szCs w:val="21"/>
              </w:rPr>
            </w:pPr>
          </w:p>
        </w:tc>
      </w:tr>
      <w:tr w:rsidR="00731984" w:rsidRPr="00731984" w14:paraId="51A2B086" w14:textId="77777777" w:rsidTr="00731984">
        <w:trPr>
          <w:trHeight w:val="315"/>
        </w:trPr>
        <w:tc>
          <w:tcPr>
            <w:tcW w:w="2220" w:type="dxa"/>
            <w:tcBorders>
              <w:right w:val="nil"/>
            </w:tcBorders>
            <w:noWrap/>
            <w:hideMark/>
          </w:tcPr>
          <w:p w14:paraId="035ADE95" w14:textId="07796499" w:rsidR="00731984" w:rsidRPr="00731984" w:rsidRDefault="0079146D" w:rsidP="0079146D">
            <w:pPr>
              <w:jc w:val="right"/>
              <w:rPr>
                <w:rFonts w:ascii="Times New Roman" w:hAnsi="Times New Roman" w:cs="Times New Roman"/>
                <w:sz w:val="21"/>
                <w:szCs w:val="21"/>
              </w:rPr>
            </w:pPr>
            <w:r>
              <w:rPr>
                <w:rFonts w:ascii="Times New Roman" w:hAnsi="Times New Roman" w:cs="Times New Roman"/>
                <w:sz w:val="21"/>
                <w:szCs w:val="21"/>
              </w:rPr>
              <w:t>W</w:t>
            </w:r>
            <w:r w:rsidR="00731984" w:rsidRPr="00731984">
              <w:rPr>
                <w:rFonts w:ascii="Times New Roman" w:hAnsi="Times New Roman" w:cs="Times New Roman"/>
                <w:sz w:val="21"/>
                <w:szCs w:val="21"/>
              </w:rPr>
              <w:t xml:space="preserve">orking </w:t>
            </w:r>
            <w:r w:rsidR="00731984">
              <w:rPr>
                <w:rFonts w:ascii="Times New Roman" w:hAnsi="Times New Roman" w:cs="Times New Roman"/>
                <w:sz w:val="21"/>
                <w:szCs w:val="21"/>
              </w:rPr>
              <w:t>r</w:t>
            </w:r>
            <w:r w:rsidR="00731984" w:rsidRPr="00731984">
              <w:rPr>
                <w:rFonts w:ascii="Times New Roman" w:hAnsi="Times New Roman" w:cs="Times New Roman"/>
                <w:sz w:val="21"/>
                <w:szCs w:val="21"/>
              </w:rPr>
              <w:t>elationship</w:t>
            </w:r>
            <w:r w:rsidR="00731984">
              <w:rPr>
                <w:rFonts w:ascii="Times New Roman" w:hAnsi="Times New Roman" w:cs="Times New Roman"/>
                <w:sz w:val="21"/>
                <w:szCs w:val="21"/>
              </w:rPr>
              <w:t>s</w:t>
            </w:r>
          </w:p>
        </w:tc>
        <w:tc>
          <w:tcPr>
            <w:tcW w:w="1160" w:type="dxa"/>
            <w:tcBorders>
              <w:left w:val="nil"/>
              <w:right w:val="nil"/>
            </w:tcBorders>
            <w:noWrap/>
            <w:hideMark/>
          </w:tcPr>
          <w:p w14:paraId="5019B04D" w14:textId="77777777" w:rsidR="00731984" w:rsidRPr="00731984" w:rsidRDefault="00731984" w:rsidP="00731984">
            <w:pPr>
              <w:rPr>
                <w:rFonts w:ascii="Times New Roman" w:hAnsi="Times New Roman" w:cs="Times New Roman"/>
                <w:sz w:val="21"/>
                <w:szCs w:val="21"/>
              </w:rPr>
            </w:pPr>
            <w:r w:rsidRPr="00731984">
              <w:rPr>
                <w:rFonts w:ascii="Times New Roman" w:hAnsi="Times New Roman" w:cs="Times New Roman"/>
                <w:sz w:val="21"/>
                <w:szCs w:val="21"/>
              </w:rPr>
              <w:t>0.299</w:t>
            </w:r>
          </w:p>
        </w:tc>
        <w:tc>
          <w:tcPr>
            <w:tcW w:w="1480" w:type="dxa"/>
            <w:tcBorders>
              <w:left w:val="nil"/>
              <w:right w:val="nil"/>
            </w:tcBorders>
            <w:noWrap/>
            <w:hideMark/>
          </w:tcPr>
          <w:p w14:paraId="048D6054" w14:textId="77777777" w:rsidR="00731984" w:rsidRPr="00731984" w:rsidRDefault="00731984" w:rsidP="00731984">
            <w:pPr>
              <w:rPr>
                <w:rFonts w:ascii="Times New Roman" w:hAnsi="Times New Roman" w:cs="Times New Roman"/>
                <w:sz w:val="21"/>
                <w:szCs w:val="21"/>
              </w:rPr>
            </w:pPr>
            <w:r w:rsidRPr="00731984">
              <w:rPr>
                <w:rFonts w:ascii="Times New Roman" w:hAnsi="Times New Roman" w:cs="Times New Roman"/>
                <w:sz w:val="21"/>
                <w:szCs w:val="21"/>
              </w:rPr>
              <w:t>0.298</w:t>
            </w:r>
          </w:p>
        </w:tc>
        <w:tc>
          <w:tcPr>
            <w:tcW w:w="1320" w:type="dxa"/>
            <w:tcBorders>
              <w:left w:val="nil"/>
              <w:right w:val="nil"/>
            </w:tcBorders>
            <w:noWrap/>
            <w:hideMark/>
          </w:tcPr>
          <w:p w14:paraId="3EB52EA3" w14:textId="77777777" w:rsidR="00731984" w:rsidRPr="00731984" w:rsidRDefault="00731984" w:rsidP="00731984">
            <w:pPr>
              <w:rPr>
                <w:rFonts w:ascii="Times New Roman" w:hAnsi="Times New Roman" w:cs="Times New Roman"/>
                <w:sz w:val="21"/>
                <w:szCs w:val="21"/>
              </w:rPr>
            </w:pPr>
            <w:r w:rsidRPr="00731984">
              <w:rPr>
                <w:rFonts w:ascii="Times New Roman" w:hAnsi="Times New Roman" w:cs="Times New Roman"/>
                <w:sz w:val="21"/>
                <w:szCs w:val="21"/>
              </w:rPr>
              <w:t>0.312</w:t>
            </w:r>
          </w:p>
        </w:tc>
        <w:tc>
          <w:tcPr>
            <w:tcW w:w="2220" w:type="dxa"/>
            <w:tcBorders>
              <w:left w:val="nil"/>
            </w:tcBorders>
            <w:noWrap/>
            <w:hideMark/>
          </w:tcPr>
          <w:p w14:paraId="47CAFEED" w14:textId="77777777" w:rsidR="00731984" w:rsidRPr="00731984" w:rsidRDefault="00731984" w:rsidP="00731984">
            <w:pPr>
              <w:rPr>
                <w:rFonts w:ascii="Times New Roman" w:hAnsi="Times New Roman" w:cs="Times New Roman"/>
                <w:sz w:val="21"/>
                <w:szCs w:val="21"/>
              </w:rPr>
            </w:pPr>
            <w:r w:rsidRPr="00731984">
              <w:rPr>
                <w:rFonts w:ascii="Times New Roman" w:hAnsi="Times New Roman" w:cs="Times New Roman"/>
                <w:sz w:val="21"/>
                <w:szCs w:val="21"/>
              </w:rPr>
              <w:t>1.000</w:t>
            </w:r>
          </w:p>
        </w:tc>
      </w:tr>
      <w:tr w:rsidR="00731984" w:rsidRPr="00731984" w14:paraId="418DE279" w14:textId="77777777" w:rsidTr="00731984">
        <w:trPr>
          <w:trHeight w:val="315"/>
        </w:trPr>
        <w:tc>
          <w:tcPr>
            <w:tcW w:w="8400" w:type="dxa"/>
            <w:gridSpan w:val="5"/>
            <w:noWrap/>
            <w:hideMark/>
          </w:tcPr>
          <w:p w14:paraId="059F0BA1" w14:textId="4C6682DF" w:rsidR="00731984" w:rsidRPr="0079146D" w:rsidRDefault="00731984" w:rsidP="00731984">
            <w:pPr>
              <w:rPr>
                <w:rFonts w:ascii="Times New Roman" w:hAnsi="Times New Roman" w:cs="Times New Roman"/>
                <w:b/>
                <w:bCs/>
                <w:sz w:val="21"/>
                <w:szCs w:val="21"/>
              </w:rPr>
            </w:pPr>
            <w:r w:rsidRPr="0079146D">
              <w:rPr>
                <w:rFonts w:ascii="Times New Roman" w:hAnsi="Times New Roman" w:cs="Times New Roman"/>
                <w:b/>
                <w:bCs/>
                <w:sz w:val="21"/>
                <w:szCs w:val="21"/>
              </w:rPr>
              <w:t>Non-Clinical Group</w:t>
            </w:r>
          </w:p>
        </w:tc>
      </w:tr>
      <w:tr w:rsidR="00731984" w:rsidRPr="00731984" w14:paraId="422FB257" w14:textId="77777777" w:rsidTr="00731984">
        <w:trPr>
          <w:trHeight w:val="315"/>
        </w:trPr>
        <w:tc>
          <w:tcPr>
            <w:tcW w:w="2220" w:type="dxa"/>
            <w:tcBorders>
              <w:right w:val="nil"/>
            </w:tcBorders>
            <w:noWrap/>
            <w:hideMark/>
          </w:tcPr>
          <w:p w14:paraId="7B3624A1" w14:textId="77777777" w:rsidR="00731984" w:rsidRPr="00731984" w:rsidRDefault="00731984" w:rsidP="00731984">
            <w:pPr>
              <w:rPr>
                <w:rFonts w:ascii="Times New Roman" w:hAnsi="Times New Roman" w:cs="Times New Roman"/>
                <w:sz w:val="21"/>
                <w:szCs w:val="21"/>
              </w:rPr>
            </w:pPr>
          </w:p>
        </w:tc>
        <w:tc>
          <w:tcPr>
            <w:tcW w:w="1160" w:type="dxa"/>
            <w:tcBorders>
              <w:left w:val="nil"/>
              <w:right w:val="nil"/>
            </w:tcBorders>
            <w:noWrap/>
            <w:hideMark/>
          </w:tcPr>
          <w:p w14:paraId="67282B2C" w14:textId="31AFA705" w:rsidR="00731984" w:rsidRPr="00731984" w:rsidRDefault="0079146D" w:rsidP="00731984">
            <w:pPr>
              <w:rPr>
                <w:rFonts w:ascii="Times New Roman" w:hAnsi="Times New Roman" w:cs="Times New Roman"/>
                <w:sz w:val="21"/>
                <w:szCs w:val="21"/>
              </w:rPr>
            </w:pPr>
            <w:r>
              <w:rPr>
                <w:rFonts w:ascii="Times New Roman" w:hAnsi="Times New Roman" w:cs="Times New Roman"/>
                <w:sz w:val="21"/>
                <w:szCs w:val="21"/>
              </w:rPr>
              <w:t>H</w:t>
            </w:r>
            <w:r w:rsidR="00731984" w:rsidRPr="00731984">
              <w:rPr>
                <w:rFonts w:ascii="Times New Roman" w:hAnsi="Times New Roman" w:cs="Times New Roman"/>
                <w:sz w:val="21"/>
                <w:szCs w:val="21"/>
              </w:rPr>
              <w:t xml:space="preserve">ope </w:t>
            </w:r>
          </w:p>
        </w:tc>
        <w:tc>
          <w:tcPr>
            <w:tcW w:w="1480" w:type="dxa"/>
            <w:tcBorders>
              <w:left w:val="nil"/>
              <w:right w:val="nil"/>
            </w:tcBorders>
            <w:noWrap/>
            <w:hideMark/>
          </w:tcPr>
          <w:p w14:paraId="0B0D2C67" w14:textId="397B46D2" w:rsidR="00731984" w:rsidRPr="00731984" w:rsidRDefault="0079146D" w:rsidP="00731984">
            <w:pPr>
              <w:rPr>
                <w:rFonts w:ascii="Times New Roman" w:hAnsi="Times New Roman" w:cs="Times New Roman"/>
                <w:sz w:val="21"/>
                <w:szCs w:val="21"/>
              </w:rPr>
            </w:pPr>
            <w:r>
              <w:rPr>
                <w:rFonts w:ascii="Times New Roman" w:hAnsi="Times New Roman" w:cs="Times New Roman"/>
                <w:sz w:val="21"/>
                <w:szCs w:val="21"/>
              </w:rPr>
              <w:t>A</w:t>
            </w:r>
            <w:r w:rsidR="00731984" w:rsidRPr="00731984">
              <w:rPr>
                <w:rFonts w:ascii="Times New Roman" w:hAnsi="Times New Roman" w:cs="Times New Roman"/>
                <w:sz w:val="21"/>
                <w:szCs w:val="21"/>
              </w:rPr>
              <w:t>gency</w:t>
            </w:r>
          </w:p>
        </w:tc>
        <w:tc>
          <w:tcPr>
            <w:tcW w:w="1320" w:type="dxa"/>
            <w:tcBorders>
              <w:left w:val="nil"/>
              <w:right w:val="nil"/>
            </w:tcBorders>
            <w:noWrap/>
            <w:hideMark/>
          </w:tcPr>
          <w:p w14:paraId="136D10BC" w14:textId="6E6A912A" w:rsidR="00731984" w:rsidRPr="00731984" w:rsidRDefault="0079146D" w:rsidP="00731984">
            <w:pPr>
              <w:rPr>
                <w:rFonts w:ascii="Times New Roman" w:hAnsi="Times New Roman" w:cs="Times New Roman"/>
                <w:sz w:val="21"/>
                <w:szCs w:val="21"/>
              </w:rPr>
            </w:pPr>
            <w:r>
              <w:rPr>
                <w:rFonts w:ascii="Times New Roman" w:hAnsi="Times New Roman" w:cs="Times New Roman"/>
                <w:sz w:val="21"/>
                <w:szCs w:val="21"/>
              </w:rPr>
              <w:t>O</w:t>
            </w:r>
            <w:r w:rsidR="00731984" w:rsidRPr="00731984">
              <w:rPr>
                <w:rFonts w:ascii="Times New Roman" w:hAnsi="Times New Roman" w:cs="Times New Roman"/>
                <w:sz w:val="21"/>
                <w:szCs w:val="21"/>
              </w:rPr>
              <w:t>pportunity</w:t>
            </w:r>
          </w:p>
        </w:tc>
        <w:tc>
          <w:tcPr>
            <w:tcW w:w="2220" w:type="dxa"/>
            <w:tcBorders>
              <w:left w:val="nil"/>
            </w:tcBorders>
            <w:noWrap/>
            <w:hideMark/>
          </w:tcPr>
          <w:p w14:paraId="5A27C14E" w14:textId="77777777" w:rsidR="00731984" w:rsidRPr="00731984" w:rsidRDefault="00731984" w:rsidP="00731984">
            <w:pPr>
              <w:rPr>
                <w:rFonts w:ascii="Times New Roman" w:hAnsi="Times New Roman" w:cs="Times New Roman"/>
                <w:sz w:val="21"/>
                <w:szCs w:val="21"/>
              </w:rPr>
            </w:pPr>
            <w:r w:rsidRPr="00731984">
              <w:rPr>
                <w:rFonts w:ascii="Times New Roman" w:hAnsi="Times New Roman" w:cs="Times New Roman"/>
                <w:sz w:val="21"/>
                <w:szCs w:val="21"/>
              </w:rPr>
              <w:t> </w:t>
            </w:r>
          </w:p>
        </w:tc>
      </w:tr>
      <w:tr w:rsidR="00731984" w:rsidRPr="00731984" w14:paraId="33C3C2A8" w14:textId="77777777" w:rsidTr="00731984">
        <w:trPr>
          <w:trHeight w:val="315"/>
        </w:trPr>
        <w:tc>
          <w:tcPr>
            <w:tcW w:w="2220" w:type="dxa"/>
            <w:tcBorders>
              <w:right w:val="nil"/>
            </w:tcBorders>
            <w:noWrap/>
            <w:hideMark/>
          </w:tcPr>
          <w:p w14:paraId="3AD987C0" w14:textId="583E26D0" w:rsidR="00731984" w:rsidRPr="00731984" w:rsidRDefault="0079146D" w:rsidP="0079146D">
            <w:pPr>
              <w:jc w:val="right"/>
              <w:rPr>
                <w:rFonts w:ascii="Times New Roman" w:hAnsi="Times New Roman" w:cs="Times New Roman"/>
                <w:sz w:val="21"/>
                <w:szCs w:val="21"/>
              </w:rPr>
            </w:pPr>
            <w:r>
              <w:rPr>
                <w:rFonts w:ascii="Times New Roman" w:hAnsi="Times New Roman" w:cs="Times New Roman"/>
                <w:sz w:val="21"/>
                <w:szCs w:val="21"/>
              </w:rPr>
              <w:t>H</w:t>
            </w:r>
            <w:r w:rsidR="00731984" w:rsidRPr="00731984">
              <w:rPr>
                <w:rFonts w:ascii="Times New Roman" w:hAnsi="Times New Roman" w:cs="Times New Roman"/>
                <w:sz w:val="21"/>
                <w:szCs w:val="21"/>
              </w:rPr>
              <w:t xml:space="preserve">ope </w:t>
            </w:r>
          </w:p>
        </w:tc>
        <w:tc>
          <w:tcPr>
            <w:tcW w:w="1160" w:type="dxa"/>
            <w:tcBorders>
              <w:left w:val="nil"/>
              <w:right w:val="nil"/>
            </w:tcBorders>
            <w:noWrap/>
            <w:hideMark/>
          </w:tcPr>
          <w:p w14:paraId="4639A9EA" w14:textId="77777777" w:rsidR="00731984" w:rsidRPr="00731984" w:rsidRDefault="00731984" w:rsidP="00731984">
            <w:pPr>
              <w:rPr>
                <w:rFonts w:ascii="Times New Roman" w:hAnsi="Times New Roman" w:cs="Times New Roman"/>
                <w:sz w:val="21"/>
                <w:szCs w:val="21"/>
              </w:rPr>
            </w:pPr>
            <w:r w:rsidRPr="00731984">
              <w:rPr>
                <w:rFonts w:ascii="Times New Roman" w:hAnsi="Times New Roman" w:cs="Times New Roman"/>
                <w:sz w:val="21"/>
                <w:szCs w:val="21"/>
              </w:rPr>
              <w:t>1.000</w:t>
            </w:r>
          </w:p>
        </w:tc>
        <w:tc>
          <w:tcPr>
            <w:tcW w:w="1480" w:type="dxa"/>
            <w:tcBorders>
              <w:left w:val="nil"/>
              <w:right w:val="nil"/>
            </w:tcBorders>
            <w:noWrap/>
            <w:hideMark/>
          </w:tcPr>
          <w:p w14:paraId="2D3855B1" w14:textId="77777777" w:rsidR="00731984" w:rsidRPr="00731984" w:rsidRDefault="00731984" w:rsidP="00731984">
            <w:pPr>
              <w:rPr>
                <w:rFonts w:ascii="Times New Roman" w:hAnsi="Times New Roman" w:cs="Times New Roman"/>
                <w:sz w:val="21"/>
                <w:szCs w:val="21"/>
              </w:rPr>
            </w:pPr>
          </w:p>
        </w:tc>
        <w:tc>
          <w:tcPr>
            <w:tcW w:w="1320" w:type="dxa"/>
            <w:tcBorders>
              <w:left w:val="nil"/>
              <w:right w:val="nil"/>
            </w:tcBorders>
            <w:noWrap/>
            <w:hideMark/>
          </w:tcPr>
          <w:p w14:paraId="653C3F6A" w14:textId="77777777" w:rsidR="00731984" w:rsidRPr="00731984" w:rsidRDefault="00731984" w:rsidP="00731984">
            <w:pPr>
              <w:rPr>
                <w:rFonts w:ascii="Times New Roman" w:hAnsi="Times New Roman" w:cs="Times New Roman"/>
                <w:sz w:val="21"/>
                <w:szCs w:val="21"/>
              </w:rPr>
            </w:pPr>
          </w:p>
        </w:tc>
        <w:tc>
          <w:tcPr>
            <w:tcW w:w="2220" w:type="dxa"/>
            <w:tcBorders>
              <w:left w:val="nil"/>
            </w:tcBorders>
            <w:noWrap/>
            <w:hideMark/>
          </w:tcPr>
          <w:p w14:paraId="5359B6B9" w14:textId="77777777" w:rsidR="00731984" w:rsidRPr="00731984" w:rsidRDefault="00731984" w:rsidP="00731984">
            <w:pPr>
              <w:rPr>
                <w:rFonts w:ascii="Times New Roman" w:hAnsi="Times New Roman" w:cs="Times New Roman"/>
                <w:sz w:val="21"/>
                <w:szCs w:val="21"/>
              </w:rPr>
            </w:pPr>
          </w:p>
        </w:tc>
      </w:tr>
      <w:tr w:rsidR="00731984" w:rsidRPr="00731984" w14:paraId="4483EF03" w14:textId="77777777" w:rsidTr="00731984">
        <w:trPr>
          <w:trHeight w:val="315"/>
        </w:trPr>
        <w:tc>
          <w:tcPr>
            <w:tcW w:w="2220" w:type="dxa"/>
            <w:tcBorders>
              <w:right w:val="nil"/>
            </w:tcBorders>
            <w:noWrap/>
            <w:hideMark/>
          </w:tcPr>
          <w:p w14:paraId="780F6CA3" w14:textId="08B49C74" w:rsidR="00731984" w:rsidRPr="00731984" w:rsidRDefault="0079146D" w:rsidP="0079146D">
            <w:pPr>
              <w:jc w:val="right"/>
              <w:rPr>
                <w:rFonts w:ascii="Times New Roman" w:hAnsi="Times New Roman" w:cs="Times New Roman"/>
                <w:sz w:val="21"/>
                <w:szCs w:val="21"/>
              </w:rPr>
            </w:pPr>
            <w:r>
              <w:rPr>
                <w:rFonts w:ascii="Times New Roman" w:hAnsi="Times New Roman" w:cs="Times New Roman"/>
                <w:sz w:val="21"/>
                <w:szCs w:val="21"/>
              </w:rPr>
              <w:t>A</w:t>
            </w:r>
            <w:r w:rsidR="00731984" w:rsidRPr="00731984">
              <w:rPr>
                <w:rFonts w:ascii="Times New Roman" w:hAnsi="Times New Roman" w:cs="Times New Roman"/>
                <w:sz w:val="21"/>
                <w:szCs w:val="21"/>
              </w:rPr>
              <w:t>gency</w:t>
            </w:r>
          </w:p>
        </w:tc>
        <w:tc>
          <w:tcPr>
            <w:tcW w:w="1160" w:type="dxa"/>
            <w:tcBorders>
              <w:left w:val="nil"/>
              <w:right w:val="nil"/>
            </w:tcBorders>
            <w:noWrap/>
            <w:hideMark/>
          </w:tcPr>
          <w:p w14:paraId="02C79F9B" w14:textId="77777777" w:rsidR="00731984" w:rsidRPr="00731984" w:rsidRDefault="00731984" w:rsidP="00731984">
            <w:pPr>
              <w:rPr>
                <w:rFonts w:ascii="Times New Roman" w:hAnsi="Times New Roman" w:cs="Times New Roman"/>
                <w:sz w:val="21"/>
                <w:szCs w:val="21"/>
              </w:rPr>
            </w:pPr>
            <w:r w:rsidRPr="00731984">
              <w:rPr>
                <w:rFonts w:ascii="Times New Roman" w:hAnsi="Times New Roman" w:cs="Times New Roman"/>
                <w:sz w:val="21"/>
                <w:szCs w:val="21"/>
              </w:rPr>
              <w:t>0.558</w:t>
            </w:r>
          </w:p>
        </w:tc>
        <w:tc>
          <w:tcPr>
            <w:tcW w:w="1480" w:type="dxa"/>
            <w:tcBorders>
              <w:left w:val="nil"/>
              <w:right w:val="nil"/>
            </w:tcBorders>
            <w:noWrap/>
            <w:hideMark/>
          </w:tcPr>
          <w:p w14:paraId="3F42B07C" w14:textId="77777777" w:rsidR="00731984" w:rsidRPr="00731984" w:rsidRDefault="00731984" w:rsidP="00731984">
            <w:pPr>
              <w:rPr>
                <w:rFonts w:ascii="Times New Roman" w:hAnsi="Times New Roman" w:cs="Times New Roman"/>
                <w:sz w:val="21"/>
                <w:szCs w:val="21"/>
              </w:rPr>
            </w:pPr>
            <w:r w:rsidRPr="00731984">
              <w:rPr>
                <w:rFonts w:ascii="Times New Roman" w:hAnsi="Times New Roman" w:cs="Times New Roman"/>
                <w:sz w:val="21"/>
                <w:szCs w:val="21"/>
              </w:rPr>
              <w:t>1.000</w:t>
            </w:r>
          </w:p>
        </w:tc>
        <w:tc>
          <w:tcPr>
            <w:tcW w:w="1320" w:type="dxa"/>
            <w:tcBorders>
              <w:left w:val="nil"/>
              <w:right w:val="nil"/>
            </w:tcBorders>
            <w:noWrap/>
            <w:hideMark/>
          </w:tcPr>
          <w:p w14:paraId="7C796135" w14:textId="77777777" w:rsidR="00731984" w:rsidRPr="00731984" w:rsidRDefault="00731984" w:rsidP="00731984">
            <w:pPr>
              <w:rPr>
                <w:rFonts w:ascii="Times New Roman" w:hAnsi="Times New Roman" w:cs="Times New Roman"/>
                <w:sz w:val="21"/>
                <w:szCs w:val="21"/>
              </w:rPr>
            </w:pPr>
          </w:p>
        </w:tc>
        <w:tc>
          <w:tcPr>
            <w:tcW w:w="2220" w:type="dxa"/>
            <w:tcBorders>
              <w:left w:val="nil"/>
            </w:tcBorders>
            <w:noWrap/>
            <w:hideMark/>
          </w:tcPr>
          <w:p w14:paraId="57932F21" w14:textId="77777777" w:rsidR="00731984" w:rsidRPr="00731984" w:rsidRDefault="00731984" w:rsidP="00731984">
            <w:pPr>
              <w:rPr>
                <w:rFonts w:ascii="Times New Roman" w:hAnsi="Times New Roman" w:cs="Times New Roman"/>
                <w:sz w:val="21"/>
                <w:szCs w:val="21"/>
              </w:rPr>
            </w:pPr>
          </w:p>
        </w:tc>
      </w:tr>
      <w:tr w:rsidR="00731984" w:rsidRPr="00731984" w14:paraId="0F662C51" w14:textId="77777777" w:rsidTr="00731984">
        <w:trPr>
          <w:trHeight w:val="315"/>
        </w:trPr>
        <w:tc>
          <w:tcPr>
            <w:tcW w:w="2220" w:type="dxa"/>
            <w:tcBorders>
              <w:right w:val="nil"/>
            </w:tcBorders>
            <w:noWrap/>
            <w:hideMark/>
          </w:tcPr>
          <w:p w14:paraId="147520C2" w14:textId="7F0206DB" w:rsidR="00731984" w:rsidRPr="00731984" w:rsidRDefault="0079146D" w:rsidP="0079146D">
            <w:pPr>
              <w:jc w:val="right"/>
              <w:rPr>
                <w:rFonts w:ascii="Times New Roman" w:hAnsi="Times New Roman" w:cs="Times New Roman"/>
                <w:sz w:val="21"/>
                <w:szCs w:val="21"/>
              </w:rPr>
            </w:pPr>
            <w:r>
              <w:rPr>
                <w:rFonts w:ascii="Times New Roman" w:hAnsi="Times New Roman" w:cs="Times New Roman"/>
                <w:sz w:val="21"/>
                <w:szCs w:val="21"/>
              </w:rPr>
              <w:t>O</w:t>
            </w:r>
            <w:r w:rsidR="00731984" w:rsidRPr="00731984">
              <w:rPr>
                <w:rFonts w:ascii="Times New Roman" w:hAnsi="Times New Roman" w:cs="Times New Roman"/>
                <w:sz w:val="21"/>
                <w:szCs w:val="21"/>
              </w:rPr>
              <w:t>pportunity</w:t>
            </w:r>
          </w:p>
        </w:tc>
        <w:tc>
          <w:tcPr>
            <w:tcW w:w="1160" w:type="dxa"/>
            <w:tcBorders>
              <w:left w:val="nil"/>
              <w:right w:val="nil"/>
            </w:tcBorders>
            <w:noWrap/>
            <w:hideMark/>
          </w:tcPr>
          <w:p w14:paraId="6C765DB5" w14:textId="77777777" w:rsidR="00731984" w:rsidRPr="00731984" w:rsidRDefault="00731984" w:rsidP="00731984">
            <w:pPr>
              <w:rPr>
                <w:rFonts w:ascii="Times New Roman" w:hAnsi="Times New Roman" w:cs="Times New Roman"/>
                <w:sz w:val="21"/>
                <w:szCs w:val="21"/>
              </w:rPr>
            </w:pPr>
            <w:r w:rsidRPr="00731984">
              <w:rPr>
                <w:rFonts w:ascii="Times New Roman" w:hAnsi="Times New Roman" w:cs="Times New Roman"/>
                <w:sz w:val="21"/>
                <w:szCs w:val="21"/>
              </w:rPr>
              <w:t>0.469</w:t>
            </w:r>
          </w:p>
        </w:tc>
        <w:tc>
          <w:tcPr>
            <w:tcW w:w="1480" w:type="dxa"/>
            <w:tcBorders>
              <w:left w:val="nil"/>
              <w:right w:val="nil"/>
            </w:tcBorders>
            <w:noWrap/>
            <w:hideMark/>
          </w:tcPr>
          <w:p w14:paraId="13F5E18B" w14:textId="77777777" w:rsidR="00731984" w:rsidRPr="00731984" w:rsidRDefault="00731984" w:rsidP="00731984">
            <w:pPr>
              <w:rPr>
                <w:rFonts w:ascii="Times New Roman" w:hAnsi="Times New Roman" w:cs="Times New Roman"/>
                <w:sz w:val="21"/>
                <w:szCs w:val="21"/>
              </w:rPr>
            </w:pPr>
            <w:r w:rsidRPr="00731984">
              <w:rPr>
                <w:rFonts w:ascii="Times New Roman" w:hAnsi="Times New Roman" w:cs="Times New Roman"/>
                <w:sz w:val="21"/>
                <w:szCs w:val="21"/>
              </w:rPr>
              <w:t>0.449</w:t>
            </w:r>
          </w:p>
        </w:tc>
        <w:tc>
          <w:tcPr>
            <w:tcW w:w="1320" w:type="dxa"/>
            <w:tcBorders>
              <w:left w:val="nil"/>
              <w:right w:val="nil"/>
            </w:tcBorders>
            <w:noWrap/>
            <w:hideMark/>
          </w:tcPr>
          <w:p w14:paraId="5ADA3D7A" w14:textId="77777777" w:rsidR="00731984" w:rsidRPr="00731984" w:rsidRDefault="00731984" w:rsidP="00731984">
            <w:pPr>
              <w:rPr>
                <w:rFonts w:ascii="Times New Roman" w:hAnsi="Times New Roman" w:cs="Times New Roman"/>
                <w:sz w:val="21"/>
                <w:szCs w:val="21"/>
              </w:rPr>
            </w:pPr>
            <w:r w:rsidRPr="00731984">
              <w:rPr>
                <w:rFonts w:ascii="Times New Roman" w:hAnsi="Times New Roman" w:cs="Times New Roman"/>
                <w:sz w:val="21"/>
                <w:szCs w:val="21"/>
              </w:rPr>
              <w:t>1.000</w:t>
            </w:r>
          </w:p>
        </w:tc>
        <w:tc>
          <w:tcPr>
            <w:tcW w:w="2220" w:type="dxa"/>
            <w:tcBorders>
              <w:left w:val="nil"/>
            </w:tcBorders>
            <w:noWrap/>
            <w:hideMark/>
          </w:tcPr>
          <w:p w14:paraId="01756311" w14:textId="77777777" w:rsidR="00731984" w:rsidRPr="00731984" w:rsidRDefault="00731984" w:rsidP="00731984">
            <w:pPr>
              <w:rPr>
                <w:rFonts w:ascii="Times New Roman" w:hAnsi="Times New Roman" w:cs="Times New Roman"/>
                <w:sz w:val="21"/>
                <w:szCs w:val="21"/>
              </w:rPr>
            </w:pPr>
            <w:r w:rsidRPr="00731984">
              <w:rPr>
                <w:rFonts w:ascii="Times New Roman" w:hAnsi="Times New Roman" w:cs="Times New Roman"/>
                <w:sz w:val="21"/>
                <w:szCs w:val="21"/>
              </w:rPr>
              <w:t> </w:t>
            </w:r>
          </w:p>
        </w:tc>
      </w:tr>
    </w:tbl>
    <w:p w14:paraId="5226F6B4" w14:textId="77777777" w:rsidR="0079146D" w:rsidRDefault="0079146D">
      <w:pPr>
        <w:rPr>
          <w:rFonts w:ascii="Times New Roman" w:hAnsi="Times New Roman" w:cs="Times New Roman"/>
          <w:sz w:val="21"/>
          <w:szCs w:val="21"/>
        </w:rPr>
      </w:pPr>
    </w:p>
    <w:p w14:paraId="632855D9" w14:textId="612F8011" w:rsidR="00D116FF" w:rsidRDefault="0079146D" w:rsidP="000360F6">
      <w:pPr>
        <w:rPr>
          <w:rFonts w:ascii="Times New Roman" w:hAnsi="Times New Roman" w:cs="Times New Roman"/>
          <w:sz w:val="21"/>
          <w:szCs w:val="21"/>
        </w:rPr>
      </w:pPr>
      <w:r w:rsidRPr="004B3D33">
        <w:rPr>
          <w:rFonts w:ascii="Times New Roman" w:hAnsi="Times New Roman" w:cs="Times New Roman"/>
          <w:lang w:val="en-GB"/>
        </w:rPr>
        <w:t xml:space="preserve">Inter-item correlations </w:t>
      </w:r>
      <w:r>
        <w:rPr>
          <w:rFonts w:ascii="Times New Roman" w:hAnsi="Times New Roman" w:cs="Times New Roman"/>
          <w:sz w:val="21"/>
          <w:szCs w:val="21"/>
        </w:rPr>
        <w:br w:type="page"/>
      </w:r>
    </w:p>
    <w:p w14:paraId="2E6D9674" w14:textId="77777777" w:rsidR="0079146D" w:rsidRDefault="00D116FF">
      <w:pPr>
        <w:rPr>
          <w:rFonts w:ascii="Times New Roman" w:hAnsi="Times New Roman" w:cs="Times New Roman"/>
          <w:b/>
          <w:bCs/>
        </w:rPr>
      </w:pPr>
      <w:r w:rsidRPr="0079146D">
        <w:rPr>
          <w:rFonts w:ascii="Times New Roman" w:hAnsi="Times New Roman" w:cs="Times New Roman"/>
          <w:b/>
          <w:bCs/>
        </w:rPr>
        <w:lastRenderedPageBreak/>
        <w:t>Table 3</w:t>
      </w:r>
    </w:p>
    <w:p w14:paraId="38A6A7BA" w14:textId="7650F49F" w:rsidR="00D116FF" w:rsidRPr="0079146D" w:rsidRDefault="00D116FF">
      <w:pPr>
        <w:rPr>
          <w:rFonts w:ascii="Times New Roman" w:hAnsi="Times New Roman" w:cs="Times New Roman"/>
        </w:rPr>
      </w:pPr>
    </w:p>
    <w:tbl>
      <w:tblPr>
        <w:tblW w:w="7804" w:type="dxa"/>
        <w:tblLook w:val="04A0" w:firstRow="1" w:lastRow="0" w:firstColumn="1" w:lastColumn="0" w:noHBand="0" w:noVBand="1"/>
      </w:tblPr>
      <w:tblGrid>
        <w:gridCol w:w="2942"/>
        <w:gridCol w:w="2358"/>
        <w:gridCol w:w="2504"/>
      </w:tblGrid>
      <w:tr w:rsidR="003019B0" w:rsidRPr="00E93973" w14:paraId="303E6BD4" w14:textId="77777777" w:rsidTr="003019B0">
        <w:trPr>
          <w:trHeight w:val="279"/>
        </w:trPr>
        <w:tc>
          <w:tcPr>
            <w:tcW w:w="2942" w:type="dxa"/>
            <w:tcBorders>
              <w:top w:val="single" w:sz="4" w:space="0" w:color="auto"/>
              <w:left w:val="nil"/>
              <w:bottom w:val="nil"/>
              <w:right w:val="nil"/>
            </w:tcBorders>
            <w:shd w:val="clear" w:color="auto" w:fill="auto"/>
            <w:noWrap/>
            <w:vAlign w:val="bottom"/>
            <w:hideMark/>
          </w:tcPr>
          <w:p w14:paraId="1EF83F0C" w14:textId="77777777" w:rsidR="00D116FF" w:rsidRPr="0079146D" w:rsidRDefault="00D116FF" w:rsidP="003019B0">
            <w:pPr>
              <w:rPr>
                <w:rFonts w:ascii="Times New Roman" w:hAnsi="Times New Roman" w:cs="Times New Roman"/>
                <w:sz w:val="21"/>
                <w:szCs w:val="21"/>
              </w:rPr>
            </w:pPr>
          </w:p>
        </w:tc>
        <w:tc>
          <w:tcPr>
            <w:tcW w:w="4862" w:type="dxa"/>
            <w:gridSpan w:val="2"/>
            <w:tcBorders>
              <w:top w:val="single" w:sz="4" w:space="0" w:color="auto"/>
              <w:left w:val="nil"/>
              <w:bottom w:val="nil"/>
              <w:right w:val="nil"/>
            </w:tcBorders>
            <w:shd w:val="clear" w:color="auto" w:fill="auto"/>
            <w:noWrap/>
            <w:vAlign w:val="bottom"/>
            <w:hideMark/>
          </w:tcPr>
          <w:p w14:paraId="34976D07" w14:textId="77777777" w:rsidR="00D116FF" w:rsidRPr="0079146D" w:rsidRDefault="00D116FF" w:rsidP="0079146D">
            <w:pPr>
              <w:jc w:val="center"/>
              <w:rPr>
                <w:rFonts w:ascii="Times New Roman" w:hAnsi="Times New Roman" w:cs="Times New Roman"/>
                <w:b/>
                <w:bCs/>
                <w:color w:val="000000"/>
                <w:sz w:val="21"/>
                <w:szCs w:val="21"/>
              </w:rPr>
            </w:pPr>
            <w:r w:rsidRPr="0079146D">
              <w:rPr>
                <w:rFonts w:ascii="Times New Roman" w:hAnsi="Times New Roman" w:cs="Times New Roman"/>
                <w:b/>
                <w:bCs/>
                <w:color w:val="000000"/>
                <w:sz w:val="21"/>
                <w:szCs w:val="21"/>
              </w:rPr>
              <w:t>Weighted Cohen's Kappa</w:t>
            </w:r>
          </w:p>
        </w:tc>
      </w:tr>
      <w:tr w:rsidR="002158FA" w:rsidRPr="00E93973" w14:paraId="33DF2866" w14:textId="77777777" w:rsidTr="0079146D">
        <w:trPr>
          <w:trHeight w:val="279"/>
        </w:trPr>
        <w:tc>
          <w:tcPr>
            <w:tcW w:w="2942" w:type="dxa"/>
            <w:tcBorders>
              <w:top w:val="nil"/>
              <w:left w:val="nil"/>
              <w:bottom w:val="single" w:sz="4" w:space="0" w:color="auto"/>
              <w:right w:val="nil"/>
            </w:tcBorders>
            <w:shd w:val="clear" w:color="auto" w:fill="auto"/>
            <w:noWrap/>
            <w:vAlign w:val="bottom"/>
            <w:hideMark/>
          </w:tcPr>
          <w:p w14:paraId="65BB6607" w14:textId="77777777" w:rsidR="00D116FF" w:rsidRPr="0079146D" w:rsidRDefault="00D116FF" w:rsidP="003019B0">
            <w:pPr>
              <w:jc w:val="center"/>
              <w:rPr>
                <w:rFonts w:ascii="Times New Roman" w:hAnsi="Times New Roman" w:cs="Times New Roman"/>
                <w:color w:val="000000"/>
                <w:sz w:val="21"/>
                <w:szCs w:val="21"/>
              </w:rPr>
            </w:pPr>
          </w:p>
        </w:tc>
        <w:tc>
          <w:tcPr>
            <w:tcW w:w="2358" w:type="dxa"/>
            <w:tcBorders>
              <w:top w:val="nil"/>
              <w:left w:val="nil"/>
              <w:bottom w:val="single" w:sz="4" w:space="0" w:color="auto"/>
              <w:right w:val="nil"/>
            </w:tcBorders>
            <w:shd w:val="clear" w:color="auto" w:fill="auto"/>
            <w:noWrap/>
            <w:vAlign w:val="bottom"/>
            <w:hideMark/>
          </w:tcPr>
          <w:p w14:paraId="40631663" w14:textId="3A227409" w:rsidR="00D116FF" w:rsidRPr="0079146D" w:rsidRDefault="00D116FF" w:rsidP="0079146D">
            <w:pPr>
              <w:rPr>
                <w:rFonts w:ascii="Times New Roman" w:hAnsi="Times New Roman" w:cs="Times New Roman"/>
                <w:b/>
                <w:bCs/>
                <w:color w:val="000000"/>
                <w:sz w:val="21"/>
                <w:szCs w:val="21"/>
              </w:rPr>
            </w:pPr>
            <w:r w:rsidRPr="0079146D">
              <w:rPr>
                <w:rFonts w:ascii="Times New Roman" w:hAnsi="Times New Roman" w:cs="Times New Roman"/>
                <w:b/>
                <w:bCs/>
                <w:color w:val="000000"/>
                <w:sz w:val="21"/>
                <w:szCs w:val="21"/>
              </w:rPr>
              <w:t xml:space="preserve">clinical </w:t>
            </w:r>
            <w:r w:rsidR="002158FA" w:rsidRPr="0079146D">
              <w:rPr>
                <w:rFonts w:ascii="Times New Roman" w:hAnsi="Times New Roman" w:cs="Times New Roman"/>
                <w:b/>
                <w:bCs/>
                <w:color w:val="000000"/>
                <w:sz w:val="21"/>
                <w:szCs w:val="21"/>
              </w:rPr>
              <w:t>group</w:t>
            </w:r>
          </w:p>
          <w:p w14:paraId="6145F55B" w14:textId="0DA2AEFC" w:rsidR="00D116FF" w:rsidRPr="0079146D" w:rsidRDefault="00D116FF" w:rsidP="0079146D">
            <w:pPr>
              <w:rPr>
                <w:rFonts w:ascii="Times New Roman" w:hAnsi="Times New Roman" w:cs="Times New Roman"/>
                <w:b/>
                <w:bCs/>
                <w:color w:val="000000"/>
                <w:sz w:val="21"/>
                <w:szCs w:val="21"/>
              </w:rPr>
            </w:pPr>
            <w:r w:rsidRPr="0079146D">
              <w:rPr>
                <w:rFonts w:ascii="Times New Roman" w:hAnsi="Times New Roman" w:cs="Times New Roman"/>
                <w:b/>
                <w:bCs/>
                <w:color w:val="000000"/>
                <w:sz w:val="21"/>
                <w:szCs w:val="21"/>
              </w:rPr>
              <w:t>(</w:t>
            </w:r>
            <w:r w:rsidRPr="0079146D">
              <w:rPr>
                <w:rFonts w:ascii="Times New Roman" w:hAnsi="Times New Roman" w:cs="Times New Roman"/>
                <w:b/>
                <w:bCs/>
                <w:i/>
                <w:iCs/>
                <w:color w:val="000000"/>
                <w:sz w:val="21"/>
                <w:szCs w:val="21"/>
              </w:rPr>
              <w:t xml:space="preserve">n </w:t>
            </w:r>
            <w:r w:rsidRPr="0079146D">
              <w:rPr>
                <w:rFonts w:ascii="Times New Roman" w:hAnsi="Times New Roman" w:cs="Times New Roman"/>
                <w:b/>
                <w:bCs/>
                <w:color w:val="000000"/>
                <w:sz w:val="21"/>
                <w:szCs w:val="21"/>
              </w:rPr>
              <w:t>= 91)</w:t>
            </w:r>
          </w:p>
        </w:tc>
        <w:tc>
          <w:tcPr>
            <w:tcW w:w="2504" w:type="dxa"/>
            <w:tcBorders>
              <w:top w:val="nil"/>
              <w:left w:val="nil"/>
              <w:bottom w:val="single" w:sz="4" w:space="0" w:color="auto"/>
              <w:right w:val="nil"/>
            </w:tcBorders>
            <w:shd w:val="clear" w:color="auto" w:fill="auto"/>
            <w:noWrap/>
            <w:vAlign w:val="bottom"/>
            <w:hideMark/>
          </w:tcPr>
          <w:p w14:paraId="65AEEB0E" w14:textId="56CA4187" w:rsidR="00D116FF" w:rsidRPr="0079146D" w:rsidRDefault="002158FA" w:rsidP="0079146D">
            <w:pPr>
              <w:rPr>
                <w:rFonts w:ascii="Times New Roman" w:hAnsi="Times New Roman" w:cs="Times New Roman"/>
                <w:b/>
                <w:bCs/>
                <w:color w:val="000000"/>
                <w:sz w:val="21"/>
                <w:szCs w:val="21"/>
              </w:rPr>
            </w:pPr>
            <w:r w:rsidRPr="0079146D">
              <w:rPr>
                <w:rFonts w:ascii="Times New Roman" w:hAnsi="Times New Roman" w:cs="Times New Roman"/>
                <w:b/>
                <w:bCs/>
                <w:color w:val="000000"/>
                <w:sz w:val="21"/>
                <w:szCs w:val="21"/>
              </w:rPr>
              <w:t>non-clinical group</w:t>
            </w:r>
          </w:p>
          <w:p w14:paraId="53E28397" w14:textId="627DC2AF" w:rsidR="00D116FF" w:rsidRPr="0079146D" w:rsidRDefault="00D116FF" w:rsidP="0079146D">
            <w:pPr>
              <w:rPr>
                <w:rFonts w:ascii="Times New Roman" w:hAnsi="Times New Roman" w:cs="Times New Roman"/>
                <w:b/>
                <w:bCs/>
                <w:color w:val="000000"/>
                <w:sz w:val="21"/>
                <w:szCs w:val="21"/>
              </w:rPr>
            </w:pPr>
            <w:r w:rsidRPr="0079146D">
              <w:rPr>
                <w:rFonts w:ascii="Times New Roman" w:hAnsi="Times New Roman" w:cs="Times New Roman"/>
                <w:b/>
                <w:bCs/>
                <w:color w:val="000000"/>
                <w:sz w:val="21"/>
                <w:szCs w:val="21"/>
              </w:rPr>
              <w:t>(</w:t>
            </w:r>
            <w:r w:rsidRPr="0079146D">
              <w:rPr>
                <w:rFonts w:ascii="Times New Roman" w:hAnsi="Times New Roman" w:cs="Times New Roman"/>
                <w:b/>
                <w:bCs/>
                <w:i/>
                <w:iCs/>
                <w:color w:val="000000"/>
                <w:sz w:val="21"/>
                <w:szCs w:val="21"/>
              </w:rPr>
              <w:t xml:space="preserve">n </w:t>
            </w:r>
            <w:r w:rsidRPr="0079146D">
              <w:rPr>
                <w:rFonts w:ascii="Times New Roman" w:hAnsi="Times New Roman" w:cs="Times New Roman"/>
                <w:b/>
                <w:bCs/>
                <w:color w:val="000000"/>
                <w:sz w:val="21"/>
                <w:szCs w:val="21"/>
              </w:rPr>
              <w:t>= 75)</w:t>
            </w:r>
          </w:p>
        </w:tc>
      </w:tr>
      <w:tr w:rsidR="003019B0" w:rsidRPr="00E93973" w14:paraId="512F47E6" w14:textId="77777777" w:rsidTr="0079146D">
        <w:trPr>
          <w:trHeight w:val="279"/>
        </w:trPr>
        <w:tc>
          <w:tcPr>
            <w:tcW w:w="2942" w:type="dxa"/>
            <w:tcBorders>
              <w:top w:val="single" w:sz="4" w:space="0" w:color="auto"/>
              <w:left w:val="nil"/>
              <w:bottom w:val="nil"/>
              <w:right w:val="nil"/>
            </w:tcBorders>
            <w:shd w:val="clear" w:color="auto" w:fill="auto"/>
            <w:noWrap/>
            <w:vAlign w:val="bottom"/>
            <w:hideMark/>
          </w:tcPr>
          <w:p w14:paraId="131DA427" w14:textId="77777777" w:rsidR="00D116FF" w:rsidRPr="0079146D" w:rsidRDefault="00D116FF" w:rsidP="0079146D">
            <w:pPr>
              <w:jc w:val="right"/>
              <w:rPr>
                <w:rFonts w:ascii="Times New Roman" w:hAnsi="Times New Roman" w:cs="Times New Roman"/>
                <w:color w:val="000000"/>
                <w:sz w:val="21"/>
                <w:szCs w:val="21"/>
              </w:rPr>
            </w:pPr>
            <w:r w:rsidRPr="0079146D">
              <w:rPr>
                <w:rFonts w:ascii="Times New Roman" w:hAnsi="Times New Roman" w:cs="Times New Roman"/>
                <w:color w:val="000000"/>
                <w:sz w:val="21"/>
                <w:szCs w:val="21"/>
              </w:rPr>
              <w:t>Hope</w:t>
            </w:r>
          </w:p>
        </w:tc>
        <w:tc>
          <w:tcPr>
            <w:tcW w:w="2358" w:type="dxa"/>
            <w:tcBorders>
              <w:top w:val="single" w:sz="4" w:space="0" w:color="auto"/>
              <w:left w:val="nil"/>
              <w:bottom w:val="nil"/>
              <w:right w:val="nil"/>
            </w:tcBorders>
            <w:shd w:val="clear" w:color="auto" w:fill="auto"/>
            <w:noWrap/>
            <w:vAlign w:val="bottom"/>
            <w:hideMark/>
          </w:tcPr>
          <w:p w14:paraId="732F3080" w14:textId="77777777" w:rsidR="00D116FF" w:rsidRPr="0079146D" w:rsidRDefault="00D116FF" w:rsidP="0079146D">
            <w:pPr>
              <w:rPr>
                <w:rFonts w:ascii="Times New Roman" w:hAnsi="Times New Roman" w:cs="Times New Roman"/>
                <w:color w:val="000000"/>
                <w:sz w:val="21"/>
                <w:szCs w:val="21"/>
              </w:rPr>
            </w:pPr>
            <w:r w:rsidRPr="0079146D">
              <w:rPr>
                <w:rFonts w:ascii="Times New Roman" w:hAnsi="Times New Roman" w:cs="Times New Roman"/>
                <w:color w:val="000000"/>
                <w:sz w:val="21"/>
                <w:szCs w:val="21"/>
              </w:rPr>
              <w:t>0.546</w:t>
            </w:r>
          </w:p>
        </w:tc>
        <w:tc>
          <w:tcPr>
            <w:tcW w:w="2504" w:type="dxa"/>
            <w:tcBorders>
              <w:top w:val="single" w:sz="4" w:space="0" w:color="auto"/>
              <w:left w:val="nil"/>
              <w:bottom w:val="nil"/>
              <w:right w:val="nil"/>
            </w:tcBorders>
            <w:shd w:val="clear" w:color="auto" w:fill="auto"/>
            <w:noWrap/>
            <w:vAlign w:val="bottom"/>
            <w:hideMark/>
          </w:tcPr>
          <w:p w14:paraId="74649183" w14:textId="77777777" w:rsidR="00D116FF" w:rsidRPr="0079146D" w:rsidRDefault="00D116FF" w:rsidP="0079146D">
            <w:pPr>
              <w:tabs>
                <w:tab w:val="left" w:pos="2083"/>
              </w:tabs>
              <w:rPr>
                <w:rFonts w:ascii="Times New Roman" w:hAnsi="Times New Roman" w:cs="Times New Roman"/>
                <w:color w:val="000000"/>
                <w:sz w:val="21"/>
                <w:szCs w:val="21"/>
              </w:rPr>
            </w:pPr>
            <w:r w:rsidRPr="0079146D">
              <w:rPr>
                <w:rFonts w:ascii="Times New Roman" w:hAnsi="Times New Roman" w:cs="Times New Roman"/>
                <w:color w:val="000000"/>
                <w:sz w:val="21"/>
                <w:szCs w:val="21"/>
              </w:rPr>
              <w:t>0.555</w:t>
            </w:r>
          </w:p>
        </w:tc>
      </w:tr>
      <w:tr w:rsidR="003019B0" w:rsidRPr="00E93973" w14:paraId="590639AF" w14:textId="77777777" w:rsidTr="0079146D">
        <w:trPr>
          <w:trHeight w:val="279"/>
        </w:trPr>
        <w:tc>
          <w:tcPr>
            <w:tcW w:w="2942" w:type="dxa"/>
            <w:tcBorders>
              <w:top w:val="nil"/>
              <w:left w:val="nil"/>
              <w:bottom w:val="nil"/>
              <w:right w:val="nil"/>
            </w:tcBorders>
            <w:shd w:val="clear" w:color="auto" w:fill="auto"/>
            <w:noWrap/>
            <w:vAlign w:val="bottom"/>
            <w:hideMark/>
          </w:tcPr>
          <w:p w14:paraId="1DE61F65" w14:textId="77777777" w:rsidR="00D116FF" w:rsidRPr="0079146D" w:rsidRDefault="00D116FF" w:rsidP="0079146D">
            <w:pPr>
              <w:jc w:val="right"/>
              <w:rPr>
                <w:rFonts w:ascii="Times New Roman" w:hAnsi="Times New Roman" w:cs="Times New Roman"/>
                <w:color w:val="000000"/>
                <w:sz w:val="21"/>
                <w:szCs w:val="21"/>
              </w:rPr>
            </w:pPr>
            <w:r w:rsidRPr="0079146D">
              <w:rPr>
                <w:rFonts w:ascii="Times New Roman" w:hAnsi="Times New Roman" w:cs="Times New Roman"/>
                <w:color w:val="000000"/>
                <w:sz w:val="21"/>
                <w:szCs w:val="21"/>
              </w:rPr>
              <w:t>Agency</w:t>
            </w:r>
          </w:p>
        </w:tc>
        <w:tc>
          <w:tcPr>
            <w:tcW w:w="2358" w:type="dxa"/>
            <w:tcBorders>
              <w:top w:val="nil"/>
              <w:left w:val="nil"/>
              <w:bottom w:val="nil"/>
              <w:right w:val="nil"/>
            </w:tcBorders>
            <w:shd w:val="clear" w:color="auto" w:fill="auto"/>
            <w:noWrap/>
            <w:vAlign w:val="bottom"/>
            <w:hideMark/>
          </w:tcPr>
          <w:p w14:paraId="204F1B31" w14:textId="77777777" w:rsidR="00D116FF" w:rsidRPr="0079146D" w:rsidRDefault="00D116FF" w:rsidP="0079146D">
            <w:pPr>
              <w:rPr>
                <w:rFonts w:ascii="Times New Roman" w:hAnsi="Times New Roman" w:cs="Times New Roman"/>
                <w:color w:val="000000"/>
                <w:sz w:val="21"/>
                <w:szCs w:val="21"/>
              </w:rPr>
            </w:pPr>
            <w:r w:rsidRPr="0079146D">
              <w:rPr>
                <w:rFonts w:ascii="Times New Roman" w:hAnsi="Times New Roman" w:cs="Times New Roman"/>
                <w:color w:val="000000"/>
                <w:sz w:val="21"/>
                <w:szCs w:val="21"/>
              </w:rPr>
              <w:t>0.382</w:t>
            </w:r>
          </w:p>
        </w:tc>
        <w:tc>
          <w:tcPr>
            <w:tcW w:w="2504" w:type="dxa"/>
            <w:tcBorders>
              <w:top w:val="nil"/>
              <w:left w:val="nil"/>
              <w:bottom w:val="nil"/>
              <w:right w:val="nil"/>
            </w:tcBorders>
            <w:shd w:val="clear" w:color="auto" w:fill="auto"/>
            <w:noWrap/>
            <w:vAlign w:val="bottom"/>
            <w:hideMark/>
          </w:tcPr>
          <w:p w14:paraId="15D2F4CE" w14:textId="77777777" w:rsidR="00D116FF" w:rsidRPr="0079146D" w:rsidRDefault="00D116FF" w:rsidP="0079146D">
            <w:pPr>
              <w:rPr>
                <w:rFonts w:ascii="Times New Roman" w:hAnsi="Times New Roman" w:cs="Times New Roman"/>
                <w:color w:val="000000"/>
                <w:sz w:val="21"/>
                <w:szCs w:val="21"/>
              </w:rPr>
            </w:pPr>
            <w:r w:rsidRPr="0079146D">
              <w:rPr>
                <w:rFonts w:ascii="Times New Roman" w:hAnsi="Times New Roman" w:cs="Times New Roman"/>
                <w:color w:val="000000"/>
                <w:sz w:val="21"/>
                <w:szCs w:val="21"/>
              </w:rPr>
              <w:t>0.579</w:t>
            </w:r>
          </w:p>
        </w:tc>
      </w:tr>
      <w:tr w:rsidR="003019B0" w:rsidRPr="00E93973" w14:paraId="6A86B19D" w14:textId="77777777" w:rsidTr="0079146D">
        <w:trPr>
          <w:trHeight w:val="279"/>
        </w:trPr>
        <w:tc>
          <w:tcPr>
            <w:tcW w:w="2942" w:type="dxa"/>
            <w:tcBorders>
              <w:top w:val="nil"/>
              <w:left w:val="nil"/>
              <w:bottom w:val="nil"/>
              <w:right w:val="nil"/>
            </w:tcBorders>
            <w:shd w:val="clear" w:color="auto" w:fill="auto"/>
            <w:noWrap/>
            <w:vAlign w:val="bottom"/>
            <w:hideMark/>
          </w:tcPr>
          <w:p w14:paraId="5EDFC6EA" w14:textId="77777777" w:rsidR="00D116FF" w:rsidRPr="0079146D" w:rsidRDefault="00D116FF" w:rsidP="0079146D">
            <w:pPr>
              <w:jc w:val="right"/>
              <w:rPr>
                <w:rFonts w:ascii="Times New Roman" w:hAnsi="Times New Roman" w:cs="Times New Roman"/>
                <w:color w:val="000000"/>
                <w:sz w:val="21"/>
                <w:szCs w:val="21"/>
              </w:rPr>
            </w:pPr>
            <w:r w:rsidRPr="0079146D">
              <w:rPr>
                <w:rFonts w:ascii="Times New Roman" w:hAnsi="Times New Roman" w:cs="Times New Roman"/>
                <w:color w:val="000000"/>
                <w:sz w:val="21"/>
                <w:szCs w:val="21"/>
              </w:rPr>
              <w:t>Opportunity</w:t>
            </w:r>
          </w:p>
        </w:tc>
        <w:tc>
          <w:tcPr>
            <w:tcW w:w="2358" w:type="dxa"/>
            <w:tcBorders>
              <w:top w:val="nil"/>
              <w:left w:val="nil"/>
              <w:bottom w:val="nil"/>
              <w:right w:val="nil"/>
            </w:tcBorders>
            <w:shd w:val="clear" w:color="auto" w:fill="auto"/>
            <w:noWrap/>
            <w:vAlign w:val="bottom"/>
            <w:hideMark/>
          </w:tcPr>
          <w:p w14:paraId="49DEDEC4" w14:textId="77777777" w:rsidR="00D116FF" w:rsidRPr="0079146D" w:rsidRDefault="00D116FF" w:rsidP="0079146D">
            <w:pPr>
              <w:rPr>
                <w:rFonts w:ascii="Times New Roman" w:hAnsi="Times New Roman" w:cs="Times New Roman"/>
                <w:color w:val="000000"/>
                <w:sz w:val="21"/>
                <w:szCs w:val="21"/>
              </w:rPr>
            </w:pPr>
            <w:r w:rsidRPr="0079146D">
              <w:rPr>
                <w:rFonts w:ascii="Times New Roman" w:hAnsi="Times New Roman" w:cs="Times New Roman"/>
                <w:color w:val="000000"/>
                <w:sz w:val="21"/>
                <w:szCs w:val="21"/>
              </w:rPr>
              <w:t>0.589</w:t>
            </w:r>
          </w:p>
        </w:tc>
        <w:tc>
          <w:tcPr>
            <w:tcW w:w="2504" w:type="dxa"/>
            <w:tcBorders>
              <w:top w:val="nil"/>
              <w:left w:val="nil"/>
              <w:bottom w:val="nil"/>
              <w:right w:val="nil"/>
            </w:tcBorders>
            <w:shd w:val="clear" w:color="auto" w:fill="auto"/>
            <w:noWrap/>
            <w:vAlign w:val="bottom"/>
            <w:hideMark/>
          </w:tcPr>
          <w:p w14:paraId="0614E44A" w14:textId="77777777" w:rsidR="00D116FF" w:rsidRPr="0079146D" w:rsidRDefault="00D116FF" w:rsidP="0079146D">
            <w:pPr>
              <w:rPr>
                <w:rFonts w:ascii="Times New Roman" w:hAnsi="Times New Roman" w:cs="Times New Roman"/>
                <w:color w:val="000000"/>
                <w:sz w:val="21"/>
                <w:szCs w:val="21"/>
              </w:rPr>
            </w:pPr>
            <w:r w:rsidRPr="0079146D">
              <w:rPr>
                <w:rFonts w:ascii="Times New Roman" w:hAnsi="Times New Roman" w:cs="Times New Roman"/>
                <w:color w:val="000000"/>
                <w:sz w:val="21"/>
                <w:szCs w:val="21"/>
              </w:rPr>
              <w:t>0.423</w:t>
            </w:r>
          </w:p>
        </w:tc>
      </w:tr>
      <w:tr w:rsidR="002158FA" w:rsidRPr="00E93973" w14:paraId="02EAD1A5" w14:textId="77777777" w:rsidTr="0079146D">
        <w:trPr>
          <w:trHeight w:val="279"/>
        </w:trPr>
        <w:tc>
          <w:tcPr>
            <w:tcW w:w="2942" w:type="dxa"/>
            <w:tcBorders>
              <w:top w:val="nil"/>
              <w:left w:val="nil"/>
              <w:bottom w:val="single" w:sz="4" w:space="0" w:color="auto"/>
              <w:right w:val="nil"/>
            </w:tcBorders>
            <w:shd w:val="clear" w:color="auto" w:fill="auto"/>
            <w:noWrap/>
            <w:vAlign w:val="bottom"/>
            <w:hideMark/>
          </w:tcPr>
          <w:p w14:paraId="4C58BFDB" w14:textId="094FEA27" w:rsidR="00D116FF" w:rsidRPr="0079146D" w:rsidRDefault="00D116FF" w:rsidP="0079146D">
            <w:pPr>
              <w:jc w:val="right"/>
              <w:rPr>
                <w:rFonts w:ascii="Times New Roman" w:hAnsi="Times New Roman" w:cs="Times New Roman"/>
                <w:color w:val="000000"/>
                <w:sz w:val="21"/>
                <w:szCs w:val="21"/>
              </w:rPr>
            </w:pPr>
            <w:r w:rsidRPr="0079146D">
              <w:rPr>
                <w:rFonts w:ascii="Times New Roman" w:hAnsi="Times New Roman" w:cs="Times New Roman"/>
                <w:color w:val="000000"/>
                <w:sz w:val="21"/>
                <w:szCs w:val="21"/>
              </w:rPr>
              <w:t>Working Relations</w:t>
            </w:r>
            <w:r w:rsidR="0079146D">
              <w:rPr>
                <w:rFonts w:ascii="Times New Roman" w:hAnsi="Times New Roman" w:cs="Times New Roman"/>
                <w:color w:val="000000"/>
                <w:sz w:val="21"/>
                <w:szCs w:val="21"/>
              </w:rPr>
              <w:t>hips</w:t>
            </w:r>
          </w:p>
        </w:tc>
        <w:tc>
          <w:tcPr>
            <w:tcW w:w="2358" w:type="dxa"/>
            <w:tcBorders>
              <w:top w:val="nil"/>
              <w:left w:val="nil"/>
              <w:bottom w:val="single" w:sz="4" w:space="0" w:color="auto"/>
              <w:right w:val="nil"/>
            </w:tcBorders>
            <w:shd w:val="clear" w:color="auto" w:fill="auto"/>
            <w:noWrap/>
            <w:vAlign w:val="bottom"/>
            <w:hideMark/>
          </w:tcPr>
          <w:p w14:paraId="03C51D03" w14:textId="77777777" w:rsidR="00D116FF" w:rsidRPr="0079146D" w:rsidRDefault="00D116FF" w:rsidP="0079146D">
            <w:pPr>
              <w:rPr>
                <w:rFonts w:ascii="Times New Roman" w:hAnsi="Times New Roman" w:cs="Times New Roman"/>
                <w:color w:val="000000"/>
                <w:sz w:val="21"/>
                <w:szCs w:val="21"/>
              </w:rPr>
            </w:pPr>
            <w:r w:rsidRPr="0079146D">
              <w:rPr>
                <w:rFonts w:ascii="Times New Roman" w:hAnsi="Times New Roman" w:cs="Times New Roman"/>
                <w:color w:val="000000"/>
                <w:sz w:val="21"/>
                <w:szCs w:val="21"/>
              </w:rPr>
              <w:t>0.425</w:t>
            </w:r>
          </w:p>
        </w:tc>
        <w:tc>
          <w:tcPr>
            <w:tcW w:w="2504" w:type="dxa"/>
            <w:tcBorders>
              <w:top w:val="nil"/>
              <w:left w:val="nil"/>
              <w:bottom w:val="single" w:sz="4" w:space="0" w:color="auto"/>
              <w:right w:val="nil"/>
            </w:tcBorders>
            <w:shd w:val="clear" w:color="auto" w:fill="auto"/>
            <w:noWrap/>
            <w:vAlign w:val="bottom"/>
            <w:hideMark/>
          </w:tcPr>
          <w:p w14:paraId="3BF6B782" w14:textId="77777777" w:rsidR="00D116FF" w:rsidRPr="0079146D" w:rsidRDefault="00D116FF" w:rsidP="0079146D">
            <w:pPr>
              <w:rPr>
                <w:rFonts w:ascii="Times New Roman" w:hAnsi="Times New Roman" w:cs="Times New Roman"/>
                <w:color w:val="000000"/>
                <w:sz w:val="21"/>
                <w:szCs w:val="21"/>
              </w:rPr>
            </w:pPr>
          </w:p>
        </w:tc>
      </w:tr>
      <w:tr w:rsidR="003019B0" w:rsidRPr="00E93973" w14:paraId="2D02CAA6" w14:textId="77777777" w:rsidTr="0079146D">
        <w:trPr>
          <w:trHeight w:val="279"/>
        </w:trPr>
        <w:tc>
          <w:tcPr>
            <w:tcW w:w="2942" w:type="dxa"/>
            <w:tcBorders>
              <w:top w:val="single" w:sz="4" w:space="0" w:color="auto"/>
              <w:left w:val="nil"/>
              <w:bottom w:val="nil"/>
              <w:right w:val="nil"/>
            </w:tcBorders>
            <w:shd w:val="clear" w:color="auto" w:fill="auto"/>
            <w:noWrap/>
            <w:vAlign w:val="bottom"/>
            <w:hideMark/>
          </w:tcPr>
          <w:p w14:paraId="05794B23" w14:textId="59D6913D" w:rsidR="00D116FF" w:rsidRPr="0079146D" w:rsidRDefault="00D116FF" w:rsidP="0079146D">
            <w:pPr>
              <w:jc w:val="right"/>
              <w:rPr>
                <w:rFonts w:ascii="Times New Roman" w:hAnsi="Times New Roman" w:cs="Times New Roman"/>
                <w:color w:val="000000"/>
                <w:sz w:val="21"/>
                <w:szCs w:val="21"/>
              </w:rPr>
            </w:pPr>
            <w:r w:rsidRPr="0079146D">
              <w:rPr>
                <w:rFonts w:ascii="Times New Roman" w:hAnsi="Times New Roman" w:cs="Times New Roman"/>
                <w:color w:val="000000"/>
                <w:sz w:val="21"/>
                <w:szCs w:val="21"/>
              </w:rPr>
              <w:t>HAO</w:t>
            </w:r>
            <w:r w:rsidR="0079146D">
              <w:rPr>
                <w:rFonts w:ascii="Times New Roman" w:hAnsi="Times New Roman" w:cs="Times New Roman"/>
                <w:color w:val="000000"/>
                <w:sz w:val="21"/>
                <w:szCs w:val="21"/>
              </w:rPr>
              <w:t xml:space="preserve"> (3 item)</w:t>
            </w:r>
          </w:p>
        </w:tc>
        <w:tc>
          <w:tcPr>
            <w:tcW w:w="2358" w:type="dxa"/>
            <w:tcBorders>
              <w:top w:val="single" w:sz="4" w:space="0" w:color="auto"/>
              <w:left w:val="nil"/>
              <w:bottom w:val="nil"/>
              <w:right w:val="nil"/>
            </w:tcBorders>
            <w:shd w:val="clear" w:color="auto" w:fill="auto"/>
            <w:noWrap/>
            <w:vAlign w:val="bottom"/>
            <w:hideMark/>
          </w:tcPr>
          <w:p w14:paraId="194426EE" w14:textId="77777777" w:rsidR="00D116FF" w:rsidRPr="0079146D" w:rsidRDefault="00D116FF" w:rsidP="0079146D">
            <w:pPr>
              <w:rPr>
                <w:rFonts w:ascii="Times New Roman" w:hAnsi="Times New Roman" w:cs="Times New Roman"/>
                <w:color w:val="000000"/>
                <w:sz w:val="21"/>
                <w:szCs w:val="21"/>
              </w:rPr>
            </w:pPr>
            <w:r w:rsidRPr="0079146D">
              <w:rPr>
                <w:rFonts w:ascii="Times New Roman" w:hAnsi="Times New Roman" w:cs="Times New Roman"/>
                <w:color w:val="000000"/>
                <w:sz w:val="21"/>
                <w:szCs w:val="21"/>
              </w:rPr>
              <w:t>0.656</w:t>
            </w:r>
          </w:p>
        </w:tc>
        <w:tc>
          <w:tcPr>
            <w:tcW w:w="2504" w:type="dxa"/>
            <w:tcBorders>
              <w:top w:val="single" w:sz="4" w:space="0" w:color="auto"/>
              <w:left w:val="nil"/>
              <w:bottom w:val="nil"/>
              <w:right w:val="nil"/>
            </w:tcBorders>
            <w:shd w:val="clear" w:color="auto" w:fill="auto"/>
            <w:noWrap/>
            <w:vAlign w:val="bottom"/>
            <w:hideMark/>
          </w:tcPr>
          <w:p w14:paraId="66963F2F" w14:textId="77777777" w:rsidR="00D116FF" w:rsidRPr="0079146D" w:rsidRDefault="00D116FF" w:rsidP="0079146D">
            <w:pPr>
              <w:rPr>
                <w:rFonts w:ascii="Times New Roman" w:hAnsi="Times New Roman" w:cs="Times New Roman"/>
                <w:color w:val="000000"/>
                <w:sz w:val="21"/>
                <w:szCs w:val="21"/>
              </w:rPr>
            </w:pPr>
            <w:r w:rsidRPr="0079146D">
              <w:rPr>
                <w:rFonts w:ascii="Times New Roman" w:hAnsi="Times New Roman" w:cs="Times New Roman"/>
                <w:color w:val="000000"/>
                <w:sz w:val="21"/>
                <w:szCs w:val="21"/>
              </w:rPr>
              <w:t>0.686</w:t>
            </w:r>
          </w:p>
        </w:tc>
      </w:tr>
      <w:tr w:rsidR="003019B0" w:rsidRPr="00E93973" w14:paraId="1091379B" w14:textId="77777777" w:rsidTr="0079146D">
        <w:trPr>
          <w:trHeight w:val="279"/>
        </w:trPr>
        <w:tc>
          <w:tcPr>
            <w:tcW w:w="2942" w:type="dxa"/>
            <w:tcBorders>
              <w:top w:val="nil"/>
              <w:left w:val="nil"/>
              <w:bottom w:val="single" w:sz="4" w:space="0" w:color="auto"/>
              <w:right w:val="nil"/>
            </w:tcBorders>
            <w:shd w:val="clear" w:color="auto" w:fill="auto"/>
            <w:noWrap/>
            <w:vAlign w:val="bottom"/>
            <w:hideMark/>
          </w:tcPr>
          <w:p w14:paraId="5F2518EC" w14:textId="5754CE44" w:rsidR="00D116FF" w:rsidRPr="0079146D" w:rsidRDefault="0079146D" w:rsidP="0079146D">
            <w:pPr>
              <w:jc w:val="right"/>
              <w:rPr>
                <w:rFonts w:ascii="Times New Roman" w:hAnsi="Times New Roman" w:cs="Times New Roman"/>
                <w:color w:val="000000"/>
                <w:sz w:val="21"/>
                <w:szCs w:val="21"/>
              </w:rPr>
            </w:pPr>
            <w:r>
              <w:rPr>
                <w:rFonts w:ascii="Times New Roman" w:hAnsi="Times New Roman" w:cs="Times New Roman"/>
                <w:color w:val="000000"/>
                <w:sz w:val="21"/>
                <w:szCs w:val="21"/>
              </w:rPr>
              <w:t>HAO (4 item)</w:t>
            </w:r>
          </w:p>
        </w:tc>
        <w:tc>
          <w:tcPr>
            <w:tcW w:w="2358" w:type="dxa"/>
            <w:tcBorders>
              <w:top w:val="nil"/>
              <w:left w:val="nil"/>
              <w:bottom w:val="single" w:sz="4" w:space="0" w:color="auto"/>
              <w:right w:val="nil"/>
            </w:tcBorders>
            <w:shd w:val="clear" w:color="auto" w:fill="auto"/>
            <w:noWrap/>
            <w:vAlign w:val="bottom"/>
            <w:hideMark/>
          </w:tcPr>
          <w:p w14:paraId="2D39EEAD" w14:textId="77777777" w:rsidR="00D116FF" w:rsidRPr="0079146D" w:rsidRDefault="00D116FF" w:rsidP="0079146D">
            <w:pPr>
              <w:rPr>
                <w:rFonts w:ascii="Times New Roman" w:hAnsi="Times New Roman" w:cs="Times New Roman"/>
                <w:color w:val="000000"/>
                <w:sz w:val="21"/>
                <w:szCs w:val="21"/>
              </w:rPr>
            </w:pPr>
            <w:r w:rsidRPr="0079146D">
              <w:rPr>
                <w:rFonts w:ascii="Times New Roman" w:hAnsi="Times New Roman" w:cs="Times New Roman"/>
                <w:color w:val="000000"/>
                <w:sz w:val="21"/>
                <w:szCs w:val="21"/>
              </w:rPr>
              <w:t>0.659</w:t>
            </w:r>
          </w:p>
        </w:tc>
        <w:tc>
          <w:tcPr>
            <w:tcW w:w="2504" w:type="dxa"/>
            <w:tcBorders>
              <w:top w:val="nil"/>
              <w:left w:val="nil"/>
              <w:bottom w:val="single" w:sz="4" w:space="0" w:color="auto"/>
              <w:right w:val="nil"/>
            </w:tcBorders>
            <w:shd w:val="clear" w:color="auto" w:fill="auto"/>
            <w:noWrap/>
            <w:vAlign w:val="bottom"/>
            <w:hideMark/>
          </w:tcPr>
          <w:p w14:paraId="22862DA1" w14:textId="77777777" w:rsidR="00D116FF" w:rsidRPr="0079146D" w:rsidRDefault="00D116FF" w:rsidP="0079146D">
            <w:pPr>
              <w:rPr>
                <w:rFonts w:ascii="Times New Roman" w:hAnsi="Times New Roman" w:cs="Times New Roman"/>
                <w:color w:val="000000"/>
                <w:sz w:val="21"/>
                <w:szCs w:val="21"/>
              </w:rPr>
            </w:pPr>
          </w:p>
        </w:tc>
      </w:tr>
    </w:tbl>
    <w:p w14:paraId="377F7BF3" w14:textId="617E31AE" w:rsidR="00731984" w:rsidRDefault="00731984" w:rsidP="003019B0">
      <w:pPr>
        <w:rPr>
          <w:rFonts w:ascii="Times New Roman" w:hAnsi="Times New Roman" w:cs="Times New Roman"/>
          <w:sz w:val="21"/>
          <w:szCs w:val="21"/>
        </w:rPr>
      </w:pPr>
    </w:p>
    <w:p w14:paraId="32DBFBDB" w14:textId="2FFA6903" w:rsidR="0079146D" w:rsidRPr="0079146D" w:rsidRDefault="0079146D" w:rsidP="003019B0">
      <w:pPr>
        <w:rPr>
          <w:rFonts w:ascii="Times New Roman" w:hAnsi="Times New Roman" w:cs="Times New Roman"/>
        </w:rPr>
      </w:pPr>
      <w:r w:rsidRPr="0079146D">
        <w:rPr>
          <w:rFonts w:ascii="Times New Roman" w:hAnsi="Times New Roman" w:cs="Times New Roman"/>
        </w:rPr>
        <w:t>Weighted Cohen’s Kappa</w:t>
      </w:r>
    </w:p>
    <w:sectPr w:rsidR="0079146D" w:rsidRPr="0079146D" w:rsidSect="00190D49">
      <w:headerReference w:type="even" r:id="rId14"/>
      <w:headerReference w:type="default" r:id="rId15"/>
      <w:footerReference w:type="even" r:id="rId16"/>
      <w:footerReference w:type="default" r:id="rId17"/>
      <w:headerReference w:type="first" r:id="rId18"/>
      <w:footerReference w:type="first" r:id="rId1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6F78C3" w14:textId="77777777" w:rsidR="00014439" w:rsidRDefault="00014439" w:rsidP="00954C4D">
      <w:r>
        <w:separator/>
      </w:r>
    </w:p>
  </w:endnote>
  <w:endnote w:type="continuationSeparator" w:id="0">
    <w:p w14:paraId="5B014F81" w14:textId="77777777" w:rsidR="00014439" w:rsidRDefault="00014439" w:rsidP="00954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4908A" w14:textId="77777777" w:rsidR="003D6DD1" w:rsidRDefault="003D6D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130895"/>
      <w:docPartObj>
        <w:docPartGallery w:val="Page Numbers (Bottom of Page)"/>
        <w:docPartUnique/>
      </w:docPartObj>
    </w:sdtPr>
    <w:sdtEndPr>
      <w:rPr>
        <w:noProof/>
      </w:rPr>
    </w:sdtEndPr>
    <w:sdtContent>
      <w:p w14:paraId="34A9C627" w14:textId="21AFDF0C" w:rsidR="00014439" w:rsidRDefault="00014439">
        <w:pPr>
          <w:pStyle w:val="Footer"/>
          <w:jc w:val="center"/>
        </w:pPr>
        <w:r>
          <w:fldChar w:fldCharType="begin"/>
        </w:r>
        <w:r>
          <w:instrText xml:space="preserve"> PAGE   \* MERGEFORMAT </w:instrText>
        </w:r>
        <w:r>
          <w:fldChar w:fldCharType="separate"/>
        </w:r>
        <w:r w:rsidR="003D6DD1">
          <w:rPr>
            <w:noProof/>
          </w:rPr>
          <w:t>1</w:t>
        </w:r>
        <w:r>
          <w:rPr>
            <w:noProof/>
          </w:rPr>
          <w:fldChar w:fldCharType="end"/>
        </w:r>
      </w:p>
    </w:sdtContent>
  </w:sdt>
  <w:p w14:paraId="04CBA753" w14:textId="77777777" w:rsidR="00014439" w:rsidRDefault="000144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63A9D" w14:textId="77777777" w:rsidR="003D6DD1" w:rsidRDefault="003D6D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D569CA" w14:textId="77777777" w:rsidR="00014439" w:rsidRDefault="00014439" w:rsidP="00954C4D">
      <w:r>
        <w:separator/>
      </w:r>
    </w:p>
  </w:footnote>
  <w:footnote w:type="continuationSeparator" w:id="0">
    <w:p w14:paraId="546C382D" w14:textId="77777777" w:rsidR="00014439" w:rsidRDefault="00014439" w:rsidP="00954C4D">
      <w:r>
        <w:continuationSeparator/>
      </w:r>
    </w:p>
  </w:footnote>
  <w:footnote w:id="1">
    <w:p w14:paraId="1CC000C0" w14:textId="34424A44" w:rsidR="00014439" w:rsidRPr="00032D70" w:rsidRDefault="00014439">
      <w:pPr>
        <w:pStyle w:val="FootnoteText"/>
        <w:rPr>
          <w:rFonts w:ascii="Times New Roman" w:hAnsi="Times New Roman" w:cs="Times New Roman"/>
        </w:rPr>
      </w:pPr>
      <w:r w:rsidRPr="00032D70">
        <w:rPr>
          <w:rStyle w:val="FootnoteReference"/>
          <w:rFonts w:ascii="Times New Roman" w:hAnsi="Times New Roman" w:cs="Times New Roman"/>
        </w:rPr>
        <w:footnoteRef/>
      </w:r>
      <w:r w:rsidRPr="00032D70">
        <w:rPr>
          <w:rFonts w:ascii="Times New Roman" w:hAnsi="Times New Roman" w:cs="Times New Roman"/>
        </w:rPr>
        <w:t xml:space="preserve"> Thanks to </w:t>
      </w:r>
      <w:r>
        <w:rPr>
          <w:rFonts w:ascii="Times New Roman" w:hAnsi="Times New Roman" w:cs="Times New Roman"/>
        </w:rPr>
        <w:t>a blind reviewer for noting that this represents an acceptable level of consistency given length of scale.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23B31" w14:textId="6385BCC5" w:rsidR="003D6DD1" w:rsidRDefault="003D6DD1">
    <w:pPr>
      <w:pStyle w:val="Header"/>
    </w:pPr>
    <w:r>
      <w:rPr>
        <w:noProof/>
      </w:rPr>
      <w:pict w14:anchorId="7CFF26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0876" o:spid="_x0000_s2050" type="#_x0000_t136" style="position:absolute;margin-left:0;margin-top:0;width:494.55pt;height:141.3pt;rotation:315;z-index:-251655168;mso-position-horizontal:center;mso-position-horizontal-relative:margin;mso-position-vertical:center;mso-position-vertical-relative:margin" o:allowincell="f" fillcolor="silver" stroked="f">
          <v:fill opacity=".5"/>
          <v:textpath style="font-family:&quot;Cambria&quot;;font-size:1pt" string="In press"/>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AF72C" w14:textId="3461E4EF" w:rsidR="003D6DD1" w:rsidRDefault="003D6DD1">
    <w:pPr>
      <w:pStyle w:val="Header"/>
    </w:pPr>
    <w:r>
      <w:rPr>
        <w:noProof/>
      </w:rPr>
      <w:pict w14:anchorId="4D14DC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0877" o:spid="_x0000_s2051" type="#_x0000_t136" style="position:absolute;margin-left:0;margin-top:0;width:494.55pt;height:141.3pt;rotation:315;z-index:-251653120;mso-position-horizontal:center;mso-position-horizontal-relative:margin;mso-position-vertical:center;mso-position-vertical-relative:margin" o:allowincell="f" fillcolor="silver" stroked="f">
          <v:fill opacity=".5"/>
          <v:textpath style="font-family:&quot;Cambria&quot;;font-size:1pt" string="In press"/>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13AF2" w14:textId="1958857C" w:rsidR="003D6DD1" w:rsidRDefault="003D6DD1">
    <w:pPr>
      <w:pStyle w:val="Header"/>
    </w:pPr>
    <w:r>
      <w:rPr>
        <w:noProof/>
      </w:rPr>
      <w:pict w14:anchorId="5E55B6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0875" o:spid="_x0000_s2049" type="#_x0000_t136" style="position:absolute;margin-left:0;margin-top:0;width:494.55pt;height:141.3pt;rotation:315;z-index:-251657216;mso-position-horizontal:center;mso-position-horizontal-relative:margin;mso-position-vertical:center;mso-position-vertical-relative:margin" o:allowincell="f" fillcolor="silver" stroked="f">
          <v:fill opacity=".5"/>
          <v:textpath style="font-family:&quot;Cambria&quot;;font-size:1pt" string="In press"/>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D709D"/>
    <w:multiLevelType w:val="hybridMultilevel"/>
    <w:tmpl w:val="CD7EED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CF17CF4"/>
    <w:multiLevelType w:val="multilevel"/>
    <w:tmpl w:val="D4E6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54771F"/>
    <w:multiLevelType w:val="hybridMultilevel"/>
    <w:tmpl w:val="4C94564A"/>
    <w:lvl w:ilvl="0" w:tplc="086441CA">
      <w:start w:val="27"/>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as K.H.W.">
    <w15:presenceInfo w15:providerId="AD" w15:userId="S-1-5-21-2015846570-11164191-355810188-3289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5D8"/>
    <w:rsid w:val="00011215"/>
    <w:rsid w:val="0001338E"/>
    <w:rsid w:val="0001407C"/>
    <w:rsid w:val="00014439"/>
    <w:rsid w:val="00014E3C"/>
    <w:rsid w:val="000158E0"/>
    <w:rsid w:val="0002010A"/>
    <w:rsid w:val="0002739A"/>
    <w:rsid w:val="000279BA"/>
    <w:rsid w:val="000319AB"/>
    <w:rsid w:val="00032D70"/>
    <w:rsid w:val="000360F6"/>
    <w:rsid w:val="00037FB8"/>
    <w:rsid w:val="000442D3"/>
    <w:rsid w:val="0005170D"/>
    <w:rsid w:val="00060040"/>
    <w:rsid w:val="00062208"/>
    <w:rsid w:val="00071A92"/>
    <w:rsid w:val="00090F64"/>
    <w:rsid w:val="00095432"/>
    <w:rsid w:val="000A41B1"/>
    <w:rsid w:val="000A5176"/>
    <w:rsid w:val="000A6415"/>
    <w:rsid w:val="000B2377"/>
    <w:rsid w:val="000B46D7"/>
    <w:rsid w:val="000C1585"/>
    <w:rsid w:val="000D205F"/>
    <w:rsid w:val="000D2AA7"/>
    <w:rsid w:val="000E798D"/>
    <w:rsid w:val="00101046"/>
    <w:rsid w:val="001021E4"/>
    <w:rsid w:val="00104D87"/>
    <w:rsid w:val="00112FC9"/>
    <w:rsid w:val="001207A3"/>
    <w:rsid w:val="00133148"/>
    <w:rsid w:val="00134CFF"/>
    <w:rsid w:val="00135B47"/>
    <w:rsid w:val="001443DA"/>
    <w:rsid w:val="0014617C"/>
    <w:rsid w:val="00154B5F"/>
    <w:rsid w:val="00154EA1"/>
    <w:rsid w:val="00156228"/>
    <w:rsid w:val="00160BDC"/>
    <w:rsid w:val="0017124F"/>
    <w:rsid w:val="00180E8D"/>
    <w:rsid w:val="0018130D"/>
    <w:rsid w:val="00186309"/>
    <w:rsid w:val="00190D49"/>
    <w:rsid w:val="00196D5C"/>
    <w:rsid w:val="001A2073"/>
    <w:rsid w:val="001A5EEB"/>
    <w:rsid w:val="001C183E"/>
    <w:rsid w:val="001D082B"/>
    <w:rsid w:val="001D31DF"/>
    <w:rsid w:val="001D7D37"/>
    <w:rsid w:val="001F5457"/>
    <w:rsid w:val="001F642A"/>
    <w:rsid w:val="001F6DE4"/>
    <w:rsid w:val="0020359F"/>
    <w:rsid w:val="0020742D"/>
    <w:rsid w:val="00213DDF"/>
    <w:rsid w:val="002158FA"/>
    <w:rsid w:val="00215CCB"/>
    <w:rsid w:val="0022225F"/>
    <w:rsid w:val="00222FA6"/>
    <w:rsid w:val="002237FD"/>
    <w:rsid w:val="00223D20"/>
    <w:rsid w:val="0022628D"/>
    <w:rsid w:val="00227206"/>
    <w:rsid w:val="002331E0"/>
    <w:rsid w:val="0025096C"/>
    <w:rsid w:val="00250C1E"/>
    <w:rsid w:val="00251C12"/>
    <w:rsid w:val="00253586"/>
    <w:rsid w:val="00260ECF"/>
    <w:rsid w:val="00267D66"/>
    <w:rsid w:val="00282687"/>
    <w:rsid w:val="002B0267"/>
    <w:rsid w:val="002B1628"/>
    <w:rsid w:val="002B7C49"/>
    <w:rsid w:val="002C6B9C"/>
    <w:rsid w:val="002C6F75"/>
    <w:rsid w:val="002D1233"/>
    <w:rsid w:val="002D2D47"/>
    <w:rsid w:val="002D6CDA"/>
    <w:rsid w:val="002E49D0"/>
    <w:rsid w:val="002E5335"/>
    <w:rsid w:val="002E7273"/>
    <w:rsid w:val="002F3721"/>
    <w:rsid w:val="002F4D89"/>
    <w:rsid w:val="002F54CB"/>
    <w:rsid w:val="0030062F"/>
    <w:rsid w:val="003019B0"/>
    <w:rsid w:val="003159A7"/>
    <w:rsid w:val="0033387D"/>
    <w:rsid w:val="003451D3"/>
    <w:rsid w:val="00346D5E"/>
    <w:rsid w:val="00350185"/>
    <w:rsid w:val="003535CE"/>
    <w:rsid w:val="00355F90"/>
    <w:rsid w:val="00357B56"/>
    <w:rsid w:val="00367133"/>
    <w:rsid w:val="00373230"/>
    <w:rsid w:val="00374948"/>
    <w:rsid w:val="00377C38"/>
    <w:rsid w:val="00386E1A"/>
    <w:rsid w:val="00393534"/>
    <w:rsid w:val="003B1F87"/>
    <w:rsid w:val="003D2462"/>
    <w:rsid w:val="003D47BD"/>
    <w:rsid w:val="003D6DD1"/>
    <w:rsid w:val="003E08C7"/>
    <w:rsid w:val="003F58C1"/>
    <w:rsid w:val="003F7AC6"/>
    <w:rsid w:val="00403361"/>
    <w:rsid w:val="004061E2"/>
    <w:rsid w:val="0041444B"/>
    <w:rsid w:val="0042356D"/>
    <w:rsid w:val="004254CA"/>
    <w:rsid w:val="0042689C"/>
    <w:rsid w:val="00437F64"/>
    <w:rsid w:val="00443808"/>
    <w:rsid w:val="004449FA"/>
    <w:rsid w:val="0044655D"/>
    <w:rsid w:val="0045131B"/>
    <w:rsid w:val="004542BE"/>
    <w:rsid w:val="00454CD9"/>
    <w:rsid w:val="0045750A"/>
    <w:rsid w:val="00463E1C"/>
    <w:rsid w:val="00464A34"/>
    <w:rsid w:val="00472B82"/>
    <w:rsid w:val="00473E22"/>
    <w:rsid w:val="00476D56"/>
    <w:rsid w:val="00477A8C"/>
    <w:rsid w:val="00491223"/>
    <w:rsid w:val="00494DF8"/>
    <w:rsid w:val="004979FF"/>
    <w:rsid w:val="004A1783"/>
    <w:rsid w:val="004A1C19"/>
    <w:rsid w:val="004A2508"/>
    <w:rsid w:val="004A38DA"/>
    <w:rsid w:val="004A4455"/>
    <w:rsid w:val="004A5719"/>
    <w:rsid w:val="004A7EB1"/>
    <w:rsid w:val="004B3D33"/>
    <w:rsid w:val="004B4ABE"/>
    <w:rsid w:val="004C5FD0"/>
    <w:rsid w:val="004C767B"/>
    <w:rsid w:val="004D2EF0"/>
    <w:rsid w:val="004D4C52"/>
    <w:rsid w:val="004E025F"/>
    <w:rsid w:val="004E3019"/>
    <w:rsid w:val="004F0DFE"/>
    <w:rsid w:val="004F4333"/>
    <w:rsid w:val="004F4B96"/>
    <w:rsid w:val="004F4C00"/>
    <w:rsid w:val="004F67D8"/>
    <w:rsid w:val="004F70DE"/>
    <w:rsid w:val="00500EF9"/>
    <w:rsid w:val="00502689"/>
    <w:rsid w:val="00505AED"/>
    <w:rsid w:val="00506CA0"/>
    <w:rsid w:val="0051603A"/>
    <w:rsid w:val="00516681"/>
    <w:rsid w:val="0052138C"/>
    <w:rsid w:val="00521A98"/>
    <w:rsid w:val="00526D0D"/>
    <w:rsid w:val="00527190"/>
    <w:rsid w:val="00536C11"/>
    <w:rsid w:val="00546718"/>
    <w:rsid w:val="005658D1"/>
    <w:rsid w:val="0056596A"/>
    <w:rsid w:val="005705C6"/>
    <w:rsid w:val="005778DC"/>
    <w:rsid w:val="005A1BF5"/>
    <w:rsid w:val="005A20FA"/>
    <w:rsid w:val="005A6934"/>
    <w:rsid w:val="005A7C3C"/>
    <w:rsid w:val="005B0986"/>
    <w:rsid w:val="005C65C5"/>
    <w:rsid w:val="005E392F"/>
    <w:rsid w:val="005E4583"/>
    <w:rsid w:val="005E51A9"/>
    <w:rsid w:val="005E74DD"/>
    <w:rsid w:val="005F1A02"/>
    <w:rsid w:val="005F701E"/>
    <w:rsid w:val="00605732"/>
    <w:rsid w:val="0062463E"/>
    <w:rsid w:val="00624D37"/>
    <w:rsid w:val="00625911"/>
    <w:rsid w:val="00631ABF"/>
    <w:rsid w:val="006342B3"/>
    <w:rsid w:val="00634A21"/>
    <w:rsid w:val="0063533B"/>
    <w:rsid w:val="006469B6"/>
    <w:rsid w:val="00660B54"/>
    <w:rsid w:val="00672AF8"/>
    <w:rsid w:val="00674864"/>
    <w:rsid w:val="00680827"/>
    <w:rsid w:val="006836A0"/>
    <w:rsid w:val="00686E67"/>
    <w:rsid w:val="00687403"/>
    <w:rsid w:val="006961BA"/>
    <w:rsid w:val="006B1D85"/>
    <w:rsid w:val="006B313D"/>
    <w:rsid w:val="006B7C81"/>
    <w:rsid w:val="006C347E"/>
    <w:rsid w:val="006D0637"/>
    <w:rsid w:val="006D264D"/>
    <w:rsid w:val="006D3D51"/>
    <w:rsid w:val="006D5488"/>
    <w:rsid w:val="006D5A34"/>
    <w:rsid w:val="006D7213"/>
    <w:rsid w:val="006E1EDC"/>
    <w:rsid w:val="006E54EE"/>
    <w:rsid w:val="006E6F6F"/>
    <w:rsid w:val="006E762D"/>
    <w:rsid w:val="006F0EE0"/>
    <w:rsid w:val="006F34B0"/>
    <w:rsid w:val="006F73CF"/>
    <w:rsid w:val="006F7B6D"/>
    <w:rsid w:val="00703BF5"/>
    <w:rsid w:val="00707F42"/>
    <w:rsid w:val="00712C6F"/>
    <w:rsid w:val="00712CF1"/>
    <w:rsid w:val="00713CA8"/>
    <w:rsid w:val="00714C51"/>
    <w:rsid w:val="00717C38"/>
    <w:rsid w:val="00725C0D"/>
    <w:rsid w:val="007316A9"/>
    <w:rsid w:val="00731984"/>
    <w:rsid w:val="007341C6"/>
    <w:rsid w:val="00744EF1"/>
    <w:rsid w:val="00752E80"/>
    <w:rsid w:val="007550C3"/>
    <w:rsid w:val="00760A2F"/>
    <w:rsid w:val="0079146D"/>
    <w:rsid w:val="007914BD"/>
    <w:rsid w:val="007A3AFE"/>
    <w:rsid w:val="007A6CFA"/>
    <w:rsid w:val="007C13CA"/>
    <w:rsid w:val="007C151D"/>
    <w:rsid w:val="007C6F66"/>
    <w:rsid w:val="007D17C2"/>
    <w:rsid w:val="007D1DCA"/>
    <w:rsid w:val="007D3376"/>
    <w:rsid w:val="007E1E4D"/>
    <w:rsid w:val="007E35D8"/>
    <w:rsid w:val="007E5644"/>
    <w:rsid w:val="007E6167"/>
    <w:rsid w:val="007E7AC7"/>
    <w:rsid w:val="007F1D79"/>
    <w:rsid w:val="007F26C3"/>
    <w:rsid w:val="007F615F"/>
    <w:rsid w:val="00801F59"/>
    <w:rsid w:val="00804170"/>
    <w:rsid w:val="0081008A"/>
    <w:rsid w:val="00815A9D"/>
    <w:rsid w:val="0081710D"/>
    <w:rsid w:val="008217F8"/>
    <w:rsid w:val="008239DC"/>
    <w:rsid w:val="00845350"/>
    <w:rsid w:val="00847A8A"/>
    <w:rsid w:val="00853972"/>
    <w:rsid w:val="00885658"/>
    <w:rsid w:val="00886463"/>
    <w:rsid w:val="008869D5"/>
    <w:rsid w:val="008A2FA5"/>
    <w:rsid w:val="008A403A"/>
    <w:rsid w:val="008B0773"/>
    <w:rsid w:val="008B101D"/>
    <w:rsid w:val="008B62FB"/>
    <w:rsid w:val="008B6567"/>
    <w:rsid w:val="008C4273"/>
    <w:rsid w:val="008D06CE"/>
    <w:rsid w:val="008E4D5A"/>
    <w:rsid w:val="008E5CB7"/>
    <w:rsid w:val="008F091D"/>
    <w:rsid w:val="008F25F7"/>
    <w:rsid w:val="008F3778"/>
    <w:rsid w:val="008F4E73"/>
    <w:rsid w:val="00914BC9"/>
    <w:rsid w:val="00930ED7"/>
    <w:rsid w:val="009343D0"/>
    <w:rsid w:val="00942071"/>
    <w:rsid w:val="00946C02"/>
    <w:rsid w:val="00946EDF"/>
    <w:rsid w:val="00954C4D"/>
    <w:rsid w:val="0096478E"/>
    <w:rsid w:val="0096485B"/>
    <w:rsid w:val="009653B1"/>
    <w:rsid w:val="00966CB1"/>
    <w:rsid w:val="00973132"/>
    <w:rsid w:val="009829C2"/>
    <w:rsid w:val="009829FC"/>
    <w:rsid w:val="00983163"/>
    <w:rsid w:val="009A448E"/>
    <w:rsid w:val="009B0A84"/>
    <w:rsid w:val="009B2058"/>
    <w:rsid w:val="009B224E"/>
    <w:rsid w:val="009B6759"/>
    <w:rsid w:val="009C0759"/>
    <w:rsid w:val="009C1AD7"/>
    <w:rsid w:val="009C55B8"/>
    <w:rsid w:val="009D08FE"/>
    <w:rsid w:val="009E2672"/>
    <w:rsid w:val="009F79D7"/>
    <w:rsid w:val="00A07F4B"/>
    <w:rsid w:val="00A11F1C"/>
    <w:rsid w:val="00A20B7D"/>
    <w:rsid w:val="00A33AC3"/>
    <w:rsid w:val="00A35B07"/>
    <w:rsid w:val="00A41884"/>
    <w:rsid w:val="00A43845"/>
    <w:rsid w:val="00A448AF"/>
    <w:rsid w:val="00A53430"/>
    <w:rsid w:val="00A5695D"/>
    <w:rsid w:val="00A60ABB"/>
    <w:rsid w:val="00A718F1"/>
    <w:rsid w:val="00A75733"/>
    <w:rsid w:val="00A80752"/>
    <w:rsid w:val="00A84A9D"/>
    <w:rsid w:val="00A95A59"/>
    <w:rsid w:val="00A969E8"/>
    <w:rsid w:val="00AA4159"/>
    <w:rsid w:val="00AA4F24"/>
    <w:rsid w:val="00AB27BB"/>
    <w:rsid w:val="00AB4D48"/>
    <w:rsid w:val="00AB6721"/>
    <w:rsid w:val="00AC67D7"/>
    <w:rsid w:val="00AC6D3D"/>
    <w:rsid w:val="00AD14CF"/>
    <w:rsid w:val="00AE02B3"/>
    <w:rsid w:val="00AE3D2E"/>
    <w:rsid w:val="00AF5CE2"/>
    <w:rsid w:val="00AF7613"/>
    <w:rsid w:val="00AF7845"/>
    <w:rsid w:val="00AF7CF7"/>
    <w:rsid w:val="00B052B1"/>
    <w:rsid w:val="00B055C4"/>
    <w:rsid w:val="00B17F25"/>
    <w:rsid w:val="00B20829"/>
    <w:rsid w:val="00B20EC8"/>
    <w:rsid w:val="00B305AE"/>
    <w:rsid w:val="00B42507"/>
    <w:rsid w:val="00B4764D"/>
    <w:rsid w:val="00B5125A"/>
    <w:rsid w:val="00B518C9"/>
    <w:rsid w:val="00B55D16"/>
    <w:rsid w:val="00B56A3F"/>
    <w:rsid w:val="00B63039"/>
    <w:rsid w:val="00B64822"/>
    <w:rsid w:val="00B710B5"/>
    <w:rsid w:val="00B73768"/>
    <w:rsid w:val="00B818FD"/>
    <w:rsid w:val="00B835BB"/>
    <w:rsid w:val="00B92D46"/>
    <w:rsid w:val="00B95E58"/>
    <w:rsid w:val="00B97354"/>
    <w:rsid w:val="00BA4233"/>
    <w:rsid w:val="00BC110E"/>
    <w:rsid w:val="00BC400B"/>
    <w:rsid w:val="00BC6A17"/>
    <w:rsid w:val="00BD79FE"/>
    <w:rsid w:val="00BD7CC5"/>
    <w:rsid w:val="00BE3BD0"/>
    <w:rsid w:val="00BF0974"/>
    <w:rsid w:val="00BF472D"/>
    <w:rsid w:val="00C008AB"/>
    <w:rsid w:val="00C03DEB"/>
    <w:rsid w:val="00C06721"/>
    <w:rsid w:val="00C1019B"/>
    <w:rsid w:val="00C165BD"/>
    <w:rsid w:val="00C17428"/>
    <w:rsid w:val="00C2486F"/>
    <w:rsid w:val="00C25B36"/>
    <w:rsid w:val="00C32748"/>
    <w:rsid w:val="00C32B40"/>
    <w:rsid w:val="00C34DBB"/>
    <w:rsid w:val="00C544B7"/>
    <w:rsid w:val="00C54703"/>
    <w:rsid w:val="00C571F6"/>
    <w:rsid w:val="00C612EC"/>
    <w:rsid w:val="00C668CD"/>
    <w:rsid w:val="00C73DEA"/>
    <w:rsid w:val="00C76470"/>
    <w:rsid w:val="00C83066"/>
    <w:rsid w:val="00C87AEC"/>
    <w:rsid w:val="00CA351D"/>
    <w:rsid w:val="00CA3C3A"/>
    <w:rsid w:val="00CB081C"/>
    <w:rsid w:val="00CC2233"/>
    <w:rsid w:val="00CC68BE"/>
    <w:rsid w:val="00CC6BBB"/>
    <w:rsid w:val="00CC7972"/>
    <w:rsid w:val="00CD15FF"/>
    <w:rsid w:val="00CE7F56"/>
    <w:rsid w:val="00CF4267"/>
    <w:rsid w:val="00D01E51"/>
    <w:rsid w:val="00D111B2"/>
    <w:rsid w:val="00D116FF"/>
    <w:rsid w:val="00D11895"/>
    <w:rsid w:val="00D14A01"/>
    <w:rsid w:val="00D16864"/>
    <w:rsid w:val="00D20C62"/>
    <w:rsid w:val="00D21B87"/>
    <w:rsid w:val="00D30EA3"/>
    <w:rsid w:val="00D34F8D"/>
    <w:rsid w:val="00D37285"/>
    <w:rsid w:val="00D37861"/>
    <w:rsid w:val="00D44B66"/>
    <w:rsid w:val="00D56DC5"/>
    <w:rsid w:val="00D57F29"/>
    <w:rsid w:val="00D710EB"/>
    <w:rsid w:val="00D7251D"/>
    <w:rsid w:val="00D733A0"/>
    <w:rsid w:val="00D77C60"/>
    <w:rsid w:val="00D86B50"/>
    <w:rsid w:val="00D90885"/>
    <w:rsid w:val="00D933FC"/>
    <w:rsid w:val="00D94DD4"/>
    <w:rsid w:val="00DA4812"/>
    <w:rsid w:val="00DA77B7"/>
    <w:rsid w:val="00DB73AF"/>
    <w:rsid w:val="00DD28D9"/>
    <w:rsid w:val="00DD4B03"/>
    <w:rsid w:val="00DD6953"/>
    <w:rsid w:val="00DD7A3B"/>
    <w:rsid w:val="00E023D0"/>
    <w:rsid w:val="00E027DF"/>
    <w:rsid w:val="00E04B97"/>
    <w:rsid w:val="00E156AF"/>
    <w:rsid w:val="00E24C45"/>
    <w:rsid w:val="00E26456"/>
    <w:rsid w:val="00E32AE9"/>
    <w:rsid w:val="00E42967"/>
    <w:rsid w:val="00E47212"/>
    <w:rsid w:val="00E57C8D"/>
    <w:rsid w:val="00E65A10"/>
    <w:rsid w:val="00E73126"/>
    <w:rsid w:val="00E74F1A"/>
    <w:rsid w:val="00E7611B"/>
    <w:rsid w:val="00E77B92"/>
    <w:rsid w:val="00E81F1A"/>
    <w:rsid w:val="00E8433F"/>
    <w:rsid w:val="00E84C57"/>
    <w:rsid w:val="00E8502C"/>
    <w:rsid w:val="00E93FBC"/>
    <w:rsid w:val="00EA62D8"/>
    <w:rsid w:val="00EC119A"/>
    <w:rsid w:val="00ED18E6"/>
    <w:rsid w:val="00ED5194"/>
    <w:rsid w:val="00ED5EA4"/>
    <w:rsid w:val="00EE36C8"/>
    <w:rsid w:val="00EE4F63"/>
    <w:rsid w:val="00EE52F7"/>
    <w:rsid w:val="00EE6A4A"/>
    <w:rsid w:val="00EF3DB5"/>
    <w:rsid w:val="00F02CA2"/>
    <w:rsid w:val="00F0652B"/>
    <w:rsid w:val="00F07B2A"/>
    <w:rsid w:val="00F3794B"/>
    <w:rsid w:val="00F453DD"/>
    <w:rsid w:val="00F4783B"/>
    <w:rsid w:val="00F505B9"/>
    <w:rsid w:val="00F549A9"/>
    <w:rsid w:val="00F552F2"/>
    <w:rsid w:val="00F57B23"/>
    <w:rsid w:val="00F611F6"/>
    <w:rsid w:val="00F64A77"/>
    <w:rsid w:val="00F65F5D"/>
    <w:rsid w:val="00F66131"/>
    <w:rsid w:val="00F721B8"/>
    <w:rsid w:val="00F806C4"/>
    <w:rsid w:val="00F829FF"/>
    <w:rsid w:val="00F85A94"/>
    <w:rsid w:val="00F86E21"/>
    <w:rsid w:val="00F93252"/>
    <w:rsid w:val="00F93FD8"/>
    <w:rsid w:val="00FA0548"/>
    <w:rsid w:val="00FA34C8"/>
    <w:rsid w:val="00FB5FC8"/>
    <w:rsid w:val="00FB7647"/>
    <w:rsid w:val="00FC1929"/>
    <w:rsid w:val="00FC321A"/>
    <w:rsid w:val="00FC5D51"/>
    <w:rsid w:val="00FC5F2F"/>
    <w:rsid w:val="00FC6CE4"/>
    <w:rsid w:val="00FD0A8D"/>
    <w:rsid w:val="00FF1677"/>
    <w:rsid w:val="00FF2A56"/>
    <w:rsid w:val="00FF60B0"/>
    <w:rsid w:val="00FF6A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97F67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5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0B7D"/>
    <w:rPr>
      <w:color w:val="0000FF" w:themeColor="hyperlink"/>
      <w:u w:val="single"/>
    </w:rPr>
  </w:style>
  <w:style w:type="paragraph" w:customStyle="1" w:styleId="Default">
    <w:name w:val="Default"/>
    <w:rsid w:val="00A20B7D"/>
    <w:pPr>
      <w:autoSpaceDE w:val="0"/>
      <w:autoSpaceDN w:val="0"/>
      <w:adjustRightInd w:val="0"/>
    </w:pPr>
    <w:rPr>
      <w:rFonts w:ascii="Cambria Math" w:eastAsiaTheme="minorHAnsi" w:hAnsi="Cambria Math" w:cs="Cambria Math"/>
      <w:color w:val="000000"/>
      <w:lang w:val="en-GB"/>
    </w:rPr>
  </w:style>
  <w:style w:type="paragraph" w:styleId="NormalWeb">
    <w:name w:val="Normal (Web)"/>
    <w:basedOn w:val="Normal"/>
    <w:uiPriority w:val="99"/>
    <w:semiHidden/>
    <w:unhideWhenUsed/>
    <w:rsid w:val="00A20B7D"/>
    <w:pPr>
      <w:spacing w:before="100" w:beforeAutospacing="1" w:after="100" w:afterAutospacing="1"/>
    </w:pPr>
    <w:rPr>
      <w:rFonts w:ascii="Times New Roman" w:eastAsia="Times New Roman" w:hAnsi="Times New Roman" w:cs="Times New Roman"/>
      <w:lang w:val="en-GB" w:eastAsia="en-GB"/>
    </w:rPr>
  </w:style>
  <w:style w:type="character" w:styleId="Emphasis">
    <w:name w:val="Emphasis"/>
    <w:basedOn w:val="DefaultParagraphFont"/>
    <w:uiPriority w:val="20"/>
    <w:qFormat/>
    <w:rsid w:val="00A20B7D"/>
    <w:rPr>
      <w:i/>
      <w:iCs/>
    </w:rPr>
  </w:style>
  <w:style w:type="character" w:customStyle="1" w:styleId="reference-text">
    <w:name w:val="reference-text"/>
    <w:basedOn w:val="DefaultParagraphFont"/>
    <w:rsid w:val="00A20B7D"/>
  </w:style>
  <w:style w:type="table" w:styleId="TableGrid">
    <w:name w:val="Table Grid"/>
    <w:basedOn w:val="TableNormal"/>
    <w:uiPriority w:val="59"/>
    <w:rsid w:val="00DD4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3BD0"/>
    <w:rPr>
      <w:sz w:val="16"/>
      <w:szCs w:val="16"/>
    </w:rPr>
  </w:style>
  <w:style w:type="paragraph" w:styleId="CommentText">
    <w:name w:val="annotation text"/>
    <w:basedOn w:val="Normal"/>
    <w:link w:val="CommentTextChar"/>
    <w:uiPriority w:val="99"/>
    <w:unhideWhenUsed/>
    <w:rsid w:val="00BE3BD0"/>
    <w:rPr>
      <w:sz w:val="20"/>
      <w:szCs w:val="20"/>
    </w:rPr>
  </w:style>
  <w:style w:type="character" w:customStyle="1" w:styleId="CommentTextChar">
    <w:name w:val="Comment Text Char"/>
    <w:basedOn w:val="DefaultParagraphFont"/>
    <w:link w:val="CommentText"/>
    <w:uiPriority w:val="99"/>
    <w:rsid w:val="00BE3BD0"/>
    <w:rPr>
      <w:sz w:val="20"/>
      <w:szCs w:val="20"/>
    </w:rPr>
  </w:style>
  <w:style w:type="paragraph" w:styleId="BalloonText">
    <w:name w:val="Balloon Text"/>
    <w:basedOn w:val="Normal"/>
    <w:link w:val="BalloonTextChar"/>
    <w:uiPriority w:val="99"/>
    <w:semiHidden/>
    <w:unhideWhenUsed/>
    <w:rsid w:val="00BE3BD0"/>
    <w:rPr>
      <w:rFonts w:ascii="Tahoma" w:hAnsi="Tahoma" w:cs="Tahoma"/>
      <w:sz w:val="16"/>
      <w:szCs w:val="16"/>
    </w:rPr>
  </w:style>
  <w:style w:type="character" w:customStyle="1" w:styleId="BalloonTextChar">
    <w:name w:val="Balloon Text Char"/>
    <w:basedOn w:val="DefaultParagraphFont"/>
    <w:link w:val="BalloonText"/>
    <w:uiPriority w:val="99"/>
    <w:semiHidden/>
    <w:rsid w:val="00BE3BD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550C3"/>
    <w:rPr>
      <w:b/>
      <w:bCs/>
    </w:rPr>
  </w:style>
  <w:style w:type="character" w:customStyle="1" w:styleId="CommentSubjectChar">
    <w:name w:val="Comment Subject Char"/>
    <w:basedOn w:val="CommentTextChar"/>
    <w:link w:val="CommentSubject"/>
    <w:uiPriority w:val="99"/>
    <w:semiHidden/>
    <w:rsid w:val="007550C3"/>
    <w:rPr>
      <w:b/>
      <w:bCs/>
      <w:sz w:val="20"/>
      <w:szCs w:val="20"/>
    </w:rPr>
  </w:style>
  <w:style w:type="paragraph" w:styleId="ListParagraph">
    <w:name w:val="List Paragraph"/>
    <w:basedOn w:val="Normal"/>
    <w:uiPriority w:val="34"/>
    <w:qFormat/>
    <w:rsid w:val="00346D5E"/>
    <w:pPr>
      <w:ind w:left="720"/>
      <w:contextualSpacing/>
    </w:pPr>
  </w:style>
  <w:style w:type="paragraph" w:styleId="Header">
    <w:name w:val="header"/>
    <w:basedOn w:val="Normal"/>
    <w:link w:val="HeaderChar"/>
    <w:uiPriority w:val="99"/>
    <w:unhideWhenUsed/>
    <w:rsid w:val="00954C4D"/>
    <w:pPr>
      <w:tabs>
        <w:tab w:val="center" w:pos="4513"/>
        <w:tab w:val="right" w:pos="9026"/>
      </w:tabs>
    </w:pPr>
  </w:style>
  <w:style w:type="character" w:customStyle="1" w:styleId="HeaderChar">
    <w:name w:val="Header Char"/>
    <w:basedOn w:val="DefaultParagraphFont"/>
    <w:link w:val="Header"/>
    <w:uiPriority w:val="99"/>
    <w:rsid w:val="00954C4D"/>
  </w:style>
  <w:style w:type="paragraph" w:styleId="Footer">
    <w:name w:val="footer"/>
    <w:basedOn w:val="Normal"/>
    <w:link w:val="FooterChar"/>
    <w:uiPriority w:val="99"/>
    <w:unhideWhenUsed/>
    <w:rsid w:val="00954C4D"/>
    <w:pPr>
      <w:tabs>
        <w:tab w:val="center" w:pos="4513"/>
        <w:tab w:val="right" w:pos="9026"/>
      </w:tabs>
    </w:pPr>
  </w:style>
  <w:style w:type="character" w:customStyle="1" w:styleId="FooterChar">
    <w:name w:val="Footer Char"/>
    <w:basedOn w:val="DefaultParagraphFont"/>
    <w:link w:val="Footer"/>
    <w:uiPriority w:val="99"/>
    <w:rsid w:val="00954C4D"/>
  </w:style>
  <w:style w:type="paragraph" w:styleId="FootnoteText">
    <w:name w:val="footnote text"/>
    <w:basedOn w:val="Normal"/>
    <w:link w:val="FootnoteTextChar"/>
    <w:uiPriority w:val="99"/>
    <w:unhideWhenUsed/>
    <w:rsid w:val="0018130D"/>
  </w:style>
  <w:style w:type="character" w:customStyle="1" w:styleId="FootnoteTextChar">
    <w:name w:val="Footnote Text Char"/>
    <w:basedOn w:val="DefaultParagraphFont"/>
    <w:link w:val="FootnoteText"/>
    <w:uiPriority w:val="99"/>
    <w:rsid w:val="0018130D"/>
  </w:style>
  <w:style w:type="character" w:styleId="FootnoteReference">
    <w:name w:val="footnote reference"/>
    <w:basedOn w:val="DefaultParagraphFont"/>
    <w:uiPriority w:val="99"/>
    <w:unhideWhenUsed/>
    <w:rsid w:val="001813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5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0B7D"/>
    <w:rPr>
      <w:color w:val="0000FF" w:themeColor="hyperlink"/>
      <w:u w:val="single"/>
    </w:rPr>
  </w:style>
  <w:style w:type="paragraph" w:customStyle="1" w:styleId="Default">
    <w:name w:val="Default"/>
    <w:rsid w:val="00A20B7D"/>
    <w:pPr>
      <w:autoSpaceDE w:val="0"/>
      <w:autoSpaceDN w:val="0"/>
      <w:adjustRightInd w:val="0"/>
    </w:pPr>
    <w:rPr>
      <w:rFonts w:ascii="Cambria Math" w:eastAsiaTheme="minorHAnsi" w:hAnsi="Cambria Math" w:cs="Cambria Math"/>
      <w:color w:val="000000"/>
      <w:lang w:val="en-GB"/>
    </w:rPr>
  </w:style>
  <w:style w:type="paragraph" w:styleId="NormalWeb">
    <w:name w:val="Normal (Web)"/>
    <w:basedOn w:val="Normal"/>
    <w:uiPriority w:val="99"/>
    <w:semiHidden/>
    <w:unhideWhenUsed/>
    <w:rsid w:val="00A20B7D"/>
    <w:pPr>
      <w:spacing w:before="100" w:beforeAutospacing="1" w:after="100" w:afterAutospacing="1"/>
    </w:pPr>
    <w:rPr>
      <w:rFonts w:ascii="Times New Roman" w:eastAsia="Times New Roman" w:hAnsi="Times New Roman" w:cs="Times New Roman"/>
      <w:lang w:val="en-GB" w:eastAsia="en-GB"/>
    </w:rPr>
  </w:style>
  <w:style w:type="character" w:styleId="Emphasis">
    <w:name w:val="Emphasis"/>
    <w:basedOn w:val="DefaultParagraphFont"/>
    <w:uiPriority w:val="20"/>
    <w:qFormat/>
    <w:rsid w:val="00A20B7D"/>
    <w:rPr>
      <w:i/>
      <w:iCs/>
    </w:rPr>
  </w:style>
  <w:style w:type="character" w:customStyle="1" w:styleId="reference-text">
    <w:name w:val="reference-text"/>
    <w:basedOn w:val="DefaultParagraphFont"/>
    <w:rsid w:val="00A20B7D"/>
  </w:style>
  <w:style w:type="table" w:styleId="TableGrid">
    <w:name w:val="Table Grid"/>
    <w:basedOn w:val="TableNormal"/>
    <w:uiPriority w:val="59"/>
    <w:rsid w:val="00DD4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3BD0"/>
    <w:rPr>
      <w:sz w:val="16"/>
      <w:szCs w:val="16"/>
    </w:rPr>
  </w:style>
  <w:style w:type="paragraph" w:styleId="CommentText">
    <w:name w:val="annotation text"/>
    <w:basedOn w:val="Normal"/>
    <w:link w:val="CommentTextChar"/>
    <w:uiPriority w:val="99"/>
    <w:unhideWhenUsed/>
    <w:rsid w:val="00BE3BD0"/>
    <w:rPr>
      <w:sz w:val="20"/>
      <w:szCs w:val="20"/>
    </w:rPr>
  </w:style>
  <w:style w:type="character" w:customStyle="1" w:styleId="CommentTextChar">
    <w:name w:val="Comment Text Char"/>
    <w:basedOn w:val="DefaultParagraphFont"/>
    <w:link w:val="CommentText"/>
    <w:uiPriority w:val="99"/>
    <w:rsid w:val="00BE3BD0"/>
    <w:rPr>
      <w:sz w:val="20"/>
      <w:szCs w:val="20"/>
    </w:rPr>
  </w:style>
  <w:style w:type="paragraph" w:styleId="BalloonText">
    <w:name w:val="Balloon Text"/>
    <w:basedOn w:val="Normal"/>
    <w:link w:val="BalloonTextChar"/>
    <w:uiPriority w:val="99"/>
    <w:semiHidden/>
    <w:unhideWhenUsed/>
    <w:rsid w:val="00BE3BD0"/>
    <w:rPr>
      <w:rFonts w:ascii="Tahoma" w:hAnsi="Tahoma" w:cs="Tahoma"/>
      <w:sz w:val="16"/>
      <w:szCs w:val="16"/>
    </w:rPr>
  </w:style>
  <w:style w:type="character" w:customStyle="1" w:styleId="BalloonTextChar">
    <w:name w:val="Balloon Text Char"/>
    <w:basedOn w:val="DefaultParagraphFont"/>
    <w:link w:val="BalloonText"/>
    <w:uiPriority w:val="99"/>
    <w:semiHidden/>
    <w:rsid w:val="00BE3BD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550C3"/>
    <w:rPr>
      <w:b/>
      <w:bCs/>
    </w:rPr>
  </w:style>
  <w:style w:type="character" w:customStyle="1" w:styleId="CommentSubjectChar">
    <w:name w:val="Comment Subject Char"/>
    <w:basedOn w:val="CommentTextChar"/>
    <w:link w:val="CommentSubject"/>
    <w:uiPriority w:val="99"/>
    <w:semiHidden/>
    <w:rsid w:val="007550C3"/>
    <w:rPr>
      <w:b/>
      <w:bCs/>
      <w:sz w:val="20"/>
      <w:szCs w:val="20"/>
    </w:rPr>
  </w:style>
  <w:style w:type="paragraph" w:styleId="ListParagraph">
    <w:name w:val="List Paragraph"/>
    <w:basedOn w:val="Normal"/>
    <w:uiPriority w:val="34"/>
    <w:qFormat/>
    <w:rsid w:val="00346D5E"/>
    <w:pPr>
      <w:ind w:left="720"/>
      <w:contextualSpacing/>
    </w:pPr>
  </w:style>
  <w:style w:type="paragraph" w:styleId="Header">
    <w:name w:val="header"/>
    <w:basedOn w:val="Normal"/>
    <w:link w:val="HeaderChar"/>
    <w:uiPriority w:val="99"/>
    <w:unhideWhenUsed/>
    <w:rsid w:val="00954C4D"/>
    <w:pPr>
      <w:tabs>
        <w:tab w:val="center" w:pos="4513"/>
        <w:tab w:val="right" w:pos="9026"/>
      </w:tabs>
    </w:pPr>
  </w:style>
  <w:style w:type="character" w:customStyle="1" w:styleId="HeaderChar">
    <w:name w:val="Header Char"/>
    <w:basedOn w:val="DefaultParagraphFont"/>
    <w:link w:val="Header"/>
    <w:uiPriority w:val="99"/>
    <w:rsid w:val="00954C4D"/>
  </w:style>
  <w:style w:type="paragraph" w:styleId="Footer">
    <w:name w:val="footer"/>
    <w:basedOn w:val="Normal"/>
    <w:link w:val="FooterChar"/>
    <w:uiPriority w:val="99"/>
    <w:unhideWhenUsed/>
    <w:rsid w:val="00954C4D"/>
    <w:pPr>
      <w:tabs>
        <w:tab w:val="center" w:pos="4513"/>
        <w:tab w:val="right" w:pos="9026"/>
      </w:tabs>
    </w:pPr>
  </w:style>
  <w:style w:type="character" w:customStyle="1" w:styleId="FooterChar">
    <w:name w:val="Footer Char"/>
    <w:basedOn w:val="DefaultParagraphFont"/>
    <w:link w:val="Footer"/>
    <w:uiPriority w:val="99"/>
    <w:rsid w:val="00954C4D"/>
  </w:style>
  <w:style w:type="paragraph" w:styleId="FootnoteText">
    <w:name w:val="footnote text"/>
    <w:basedOn w:val="Normal"/>
    <w:link w:val="FootnoteTextChar"/>
    <w:uiPriority w:val="99"/>
    <w:unhideWhenUsed/>
    <w:rsid w:val="0018130D"/>
  </w:style>
  <w:style w:type="character" w:customStyle="1" w:styleId="FootnoteTextChar">
    <w:name w:val="Footnote Text Char"/>
    <w:basedOn w:val="DefaultParagraphFont"/>
    <w:link w:val="FootnoteText"/>
    <w:uiPriority w:val="99"/>
    <w:rsid w:val="0018130D"/>
  </w:style>
  <w:style w:type="character" w:styleId="FootnoteReference">
    <w:name w:val="footnote reference"/>
    <w:basedOn w:val="DefaultParagraphFont"/>
    <w:uiPriority w:val="99"/>
    <w:unhideWhenUsed/>
    <w:rsid w:val="001813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30428">
      <w:bodyDiv w:val="1"/>
      <w:marLeft w:val="0"/>
      <w:marRight w:val="0"/>
      <w:marTop w:val="0"/>
      <w:marBottom w:val="0"/>
      <w:divBdr>
        <w:top w:val="none" w:sz="0" w:space="0" w:color="auto"/>
        <w:left w:val="none" w:sz="0" w:space="0" w:color="auto"/>
        <w:bottom w:val="none" w:sz="0" w:space="0" w:color="auto"/>
        <w:right w:val="none" w:sz="0" w:space="0" w:color="auto"/>
      </w:divBdr>
      <w:divsChild>
        <w:div w:id="47263360">
          <w:marLeft w:val="0"/>
          <w:marRight w:val="0"/>
          <w:marTop w:val="0"/>
          <w:marBottom w:val="0"/>
          <w:divBdr>
            <w:top w:val="none" w:sz="0" w:space="0" w:color="auto"/>
            <w:left w:val="none" w:sz="0" w:space="0" w:color="auto"/>
            <w:bottom w:val="none" w:sz="0" w:space="0" w:color="auto"/>
            <w:right w:val="none" w:sz="0" w:space="0" w:color="auto"/>
          </w:divBdr>
          <w:divsChild>
            <w:div w:id="1593931951">
              <w:marLeft w:val="0"/>
              <w:marRight w:val="0"/>
              <w:marTop w:val="0"/>
              <w:marBottom w:val="0"/>
              <w:divBdr>
                <w:top w:val="none" w:sz="0" w:space="0" w:color="auto"/>
                <w:left w:val="none" w:sz="0" w:space="0" w:color="auto"/>
                <w:bottom w:val="none" w:sz="0" w:space="0" w:color="auto"/>
                <w:right w:val="none" w:sz="0" w:space="0" w:color="auto"/>
              </w:divBdr>
              <w:divsChild>
                <w:div w:id="211192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26739">
      <w:bodyDiv w:val="1"/>
      <w:marLeft w:val="0"/>
      <w:marRight w:val="0"/>
      <w:marTop w:val="0"/>
      <w:marBottom w:val="0"/>
      <w:divBdr>
        <w:top w:val="none" w:sz="0" w:space="0" w:color="auto"/>
        <w:left w:val="none" w:sz="0" w:space="0" w:color="auto"/>
        <w:bottom w:val="none" w:sz="0" w:space="0" w:color="auto"/>
        <w:right w:val="none" w:sz="0" w:space="0" w:color="auto"/>
      </w:divBdr>
    </w:div>
    <w:div w:id="258031434">
      <w:bodyDiv w:val="1"/>
      <w:marLeft w:val="0"/>
      <w:marRight w:val="0"/>
      <w:marTop w:val="0"/>
      <w:marBottom w:val="0"/>
      <w:divBdr>
        <w:top w:val="none" w:sz="0" w:space="0" w:color="auto"/>
        <w:left w:val="none" w:sz="0" w:space="0" w:color="auto"/>
        <w:bottom w:val="none" w:sz="0" w:space="0" w:color="auto"/>
        <w:right w:val="none" w:sz="0" w:space="0" w:color="auto"/>
      </w:divBdr>
    </w:div>
    <w:div w:id="298153098">
      <w:bodyDiv w:val="1"/>
      <w:marLeft w:val="0"/>
      <w:marRight w:val="0"/>
      <w:marTop w:val="0"/>
      <w:marBottom w:val="0"/>
      <w:divBdr>
        <w:top w:val="none" w:sz="0" w:space="0" w:color="auto"/>
        <w:left w:val="none" w:sz="0" w:space="0" w:color="auto"/>
        <w:bottom w:val="none" w:sz="0" w:space="0" w:color="auto"/>
        <w:right w:val="none" w:sz="0" w:space="0" w:color="auto"/>
      </w:divBdr>
      <w:divsChild>
        <w:div w:id="454324883">
          <w:marLeft w:val="0"/>
          <w:marRight w:val="0"/>
          <w:marTop w:val="0"/>
          <w:marBottom w:val="0"/>
          <w:divBdr>
            <w:top w:val="none" w:sz="0" w:space="0" w:color="auto"/>
            <w:left w:val="none" w:sz="0" w:space="0" w:color="auto"/>
            <w:bottom w:val="none" w:sz="0" w:space="0" w:color="auto"/>
            <w:right w:val="none" w:sz="0" w:space="0" w:color="auto"/>
          </w:divBdr>
          <w:divsChild>
            <w:div w:id="1705981059">
              <w:marLeft w:val="0"/>
              <w:marRight w:val="0"/>
              <w:marTop w:val="0"/>
              <w:marBottom w:val="0"/>
              <w:divBdr>
                <w:top w:val="none" w:sz="0" w:space="0" w:color="auto"/>
                <w:left w:val="none" w:sz="0" w:space="0" w:color="auto"/>
                <w:bottom w:val="none" w:sz="0" w:space="0" w:color="auto"/>
                <w:right w:val="none" w:sz="0" w:space="0" w:color="auto"/>
              </w:divBdr>
              <w:divsChild>
                <w:div w:id="106001979">
                  <w:marLeft w:val="0"/>
                  <w:marRight w:val="0"/>
                  <w:marTop w:val="0"/>
                  <w:marBottom w:val="0"/>
                  <w:divBdr>
                    <w:top w:val="none" w:sz="0" w:space="0" w:color="auto"/>
                    <w:left w:val="none" w:sz="0" w:space="0" w:color="auto"/>
                    <w:bottom w:val="none" w:sz="0" w:space="0" w:color="auto"/>
                    <w:right w:val="none" w:sz="0" w:space="0" w:color="auto"/>
                  </w:divBdr>
                </w:div>
                <w:div w:id="148558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22244">
      <w:bodyDiv w:val="1"/>
      <w:marLeft w:val="0"/>
      <w:marRight w:val="0"/>
      <w:marTop w:val="0"/>
      <w:marBottom w:val="0"/>
      <w:divBdr>
        <w:top w:val="none" w:sz="0" w:space="0" w:color="auto"/>
        <w:left w:val="none" w:sz="0" w:space="0" w:color="auto"/>
        <w:bottom w:val="none" w:sz="0" w:space="0" w:color="auto"/>
        <w:right w:val="none" w:sz="0" w:space="0" w:color="auto"/>
      </w:divBdr>
    </w:div>
    <w:div w:id="460656829">
      <w:bodyDiv w:val="1"/>
      <w:marLeft w:val="0"/>
      <w:marRight w:val="0"/>
      <w:marTop w:val="0"/>
      <w:marBottom w:val="0"/>
      <w:divBdr>
        <w:top w:val="none" w:sz="0" w:space="0" w:color="auto"/>
        <w:left w:val="none" w:sz="0" w:space="0" w:color="auto"/>
        <w:bottom w:val="none" w:sz="0" w:space="0" w:color="auto"/>
        <w:right w:val="none" w:sz="0" w:space="0" w:color="auto"/>
      </w:divBdr>
      <w:divsChild>
        <w:div w:id="888959815">
          <w:marLeft w:val="0"/>
          <w:marRight w:val="0"/>
          <w:marTop w:val="0"/>
          <w:marBottom w:val="0"/>
          <w:divBdr>
            <w:top w:val="none" w:sz="0" w:space="0" w:color="auto"/>
            <w:left w:val="none" w:sz="0" w:space="0" w:color="auto"/>
            <w:bottom w:val="none" w:sz="0" w:space="0" w:color="auto"/>
            <w:right w:val="none" w:sz="0" w:space="0" w:color="auto"/>
          </w:divBdr>
          <w:divsChild>
            <w:div w:id="841630122">
              <w:marLeft w:val="0"/>
              <w:marRight w:val="0"/>
              <w:marTop w:val="0"/>
              <w:marBottom w:val="0"/>
              <w:divBdr>
                <w:top w:val="none" w:sz="0" w:space="0" w:color="auto"/>
                <w:left w:val="none" w:sz="0" w:space="0" w:color="auto"/>
                <w:bottom w:val="none" w:sz="0" w:space="0" w:color="auto"/>
                <w:right w:val="none" w:sz="0" w:space="0" w:color="auto"/>
              </w:divBdr>
              <w:divsChild>
                <w:div w:id="8866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2274">
      <w:bodyDiv w:val="1"/>
      <w:marLeft w:val="0"/>
      <w:marRight w:val="0"/>
      <w:marTop w:val="0"/>
      <w:marBottom w:val="0"/>
      <w:divBdr>
        <w:top w:val="none" w:sz="0" w:space="0" w:color="auto"/>
        <w:left w:val="none" w:sz="0" w:space="0" w:color="auto"/>
        <w:bottom w:val="none" w:sz="0" w:space="0" w:color="auto"/>
        <w:right w:val="none" w:sz="0" w:space="0" w:color="auto"/>
      </w:divBdr>
      <w:divsChild>
        <w:div w:id="2113739488">
          <w:marLeft w:val="0"/>
          <w:marRight w:val="0"/>
          <w:marTop w:val="0"/>
          <w:marBottom w:val="0"/>
          <w:divBdr>
            <w:top w:val="none" w:sz="0" w:space="0" w:color="auto"/>
            <w:left w:val="none" w:sz="0" w:space="0" w:color="auto"/>
            <w:bottom w:val="none" w:sz="0" w:space="0" w:color="auto"/>
            <w:right w:val="none" w:sz="0" w:space="0" w:color="auto"/>
          </w:divBdr>
          <w:divsChild>
            <w:div w:id="913122533">
              <w:marLeft w:val="0"/>
              <w:marRight w:val="0"/>
              <w:marTop w:val="0"/>
              <w:marBottom w:val="0"/>
              <w:divBdr>
                <w:top w:val="none" w:sz="0" w:space="0" w:color="auto"/>
                <w:left w:val="none" w:sz="0" w:space="0" w:color="auto"/>
                <w:bottom w:val="none" w:sz="0" w:space="0" w:color="auto"/>
                <w:right w:val="none" w:sz="0" w:space="0" w:color="auto"/>
              </w:divBdr>
              <w:divsChild>
                <w:div w:id="71234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414354">
      <w:bodyDiv w:val="1"/>
      <w:marLeft w:val="0"/>
      <w:marRight w:val="0"/>
      <w:marTop w:val="0"/>
      <w:marBottom w:val="0"/>
      <w:divBdr>
        <w:top w:val="none" w:sz="0" w:space="0" w:color="auto"/>
        <w:left w:val="none" w:sz="0" w:space="0" w:color="auto"/>
        <w:bottom w:val="none" w:sz="0" w:space="0" w:color="auto"/>
        <w:right w:val="none" w:sz="0" w:space="0" w:color="auto"/>
      </w:divBdr>
      <w:divsChild>
        <w:div w:id="651371673">
          <w:marLeft w:val="0"/>
          <w:marRight w:val="0"/>
          <w:marTop w:val="0"/>
          <w:marBottom w:val="0"/>
          <w:divBdr>
            <w:top w:val="none" w:sz="0" w:space="0" w:color="auto"/>
            <w:left w:val="none" w:sz="0" w:space="0" w:color="auto"/>
            <w:bottom w:val="none" w:sz="0" w:space="0" w:color="auto"/>
            <w:right w:val="none" w:sz="0" w:space="0" w:color="auto"/>
          </w:divBdr>
          <w:divsChild>
            <w:div w:id="2085374121">
              <w:marLeft w:val="0"/>
              <w:marRight w:val="0"/>
              <w:marTop w:val="0"/>
              <w:marBottom w:val="0"/>
              <w:divBdr>
                <w:top w:val="none" w:sz="0" w:space="0" w:color="auto"/>
                <w:left w:val="none" w:sz="0" w:space="0" w:color="auto"/>
                <w:bottom w:val="none" w:sz="0" w:space="0" w:color="auto"/>
                <w:right w:val="none" w:sz="0" w:space="0" w:color="auto"/>
              </w:divBdr>
              <w:divsChild>
                <w:div w:id="171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395856">
      <w:bodyDiv w:val="1"/>
      <w:marLeft w:val="0"/>
      <w:marRight w:val="0"/>
      <w:marTop w:val="0"/>
      <w:marBottom w:val="0"/>
      <w:divBdr>
        <w:top w:val="none" w:sz="0" w:space="0" w:color="auto"/>
        <w:left w:val="none" w:sz="0" w:space="0" w:color="auto"/>
        <w:bottom w:val="none" w:sz="0" w:space="0" w:color="auto"/>
        <w:right w:val="none" w:sz="0" w:space="0" w:color="auto"/>
      </w:divBdr>
      <w:divsChild>
        <w:div w:id="1949510300">
          <w:marLeft w:val="0"/>
          <w:marRight w:val="0"/>
          <w:marTop w:val="0"/>
          <w:marBottom w:val="0"/>
          <w:divBdr>
            <w:top w:val="none" w:sz="0" w:space="0" w:color="auto"/>
            <w:left w:val="none" w:sz="0" w:space="0" w:color="auto"/>
            <w:bottom w:val="none" w:sz="0" w:space="0" w:color="auto"/>
            <w:right w:val="none" w:sz="0" w:space="0" w:color="auto"/>
          </w:divBdr>
          <w:divsChild>
            <w:div w:id="1685016271">
              <w:marLeft w:val="0"/>
              <w:marRight w:val="0"/>
              <w:marTop w:val="0"/>
              <w:marBottom w:val="0"/>
              <w:divBdr>
                <w:top w:val="none" w:sz="0" w:space="0" w:color="auto"/>
                <w:left w:val="none" w:sz="0" w:space="0" w:color="auto"/>
                <w:bottom w:val="none" w:sz="0" w:space="0" w:color="auto"/>
                <w:right w:val="none" w:sz="0" w:space="0" w:color="auto"/>
              </w:divBdr>
              <w:divsChild>
                <w:div w:id="100774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80044">
      <w:bodyDiv w:val="1"/>
      <w:marLeft w:val="0"/>
      <w:marRight w:val="0"/>
      <w:marTop w:val="0"/>
      <w:marBottom w:val="0"/>
      <w:divBdr>
        <w:top w:val="none" w:sz="0" w:space="0" w:color="auto"/>
        <w:left w:val="none" w:sz="0" w:space="0" w:color="auto"/>
        <w:bottom w:val="none" w:sz="0" w:space="0" w:color="auto"/>
        <w:right w:val="none" w:sz="0" w:space="0" w:color="auto"/>
      </w:divBdr>
      <w:divsChild>
        <w:div w:id="1302926562">
          <w:marLeft w:val="0"/>
          <w:marRight w:val="0"/>
          <w:marTop w:val="0"/>
          <w:marBottom w:val="0"/>
          <w:divBdr>
            <w:top w:val="none" w:sz="0" w:space="0" w:color="auto"/>
            <w:left w:val="none" w:sz="0" w:space="0" w:color="auto"/>
            <w:bottom w:val="none" w:sz="0" w:space="0" w:color="auto"/>
            <w:right w:val="none" w:sz="0" w:space="0" w:color="auto"/>
          </w:divBdr>
          <w:divsChild>
            <w:div w:id="1138457607">
              <w:marLeft w:val="0"/>
              <w:marRight w:val="0"/>
              <w:marTop w:val="0"/>
              <w:marBottom w:val="0"/>
              <w:divBdr>
                <w:top w:val="none" w:sz="0" w:space="0" w:color="auto"/>
                <w:left w:val="none" w:sz="0" w:space="0" w:color="auto"/>
                <w:bottom w:val="none" w:sz="0" w:space="0" w:color="auto"/>
                <w:right w:val="none" w:sz="0" w:space="0" w:color="auto"/>
              </w:divBdr>
              <w:divsChild>
                <w:div w:id="94384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385598">
      <w:bodyDiv w:val="1"/>
      <w:marLeft w:val="0"/>
      <w:marRight w:val="0"/>
      <w:marTop w:val="0"/>
      <w:marBottom w:val="0"/>
      <w:divBdr>
        <w:top w:val="none" w:sz="0" w:space="0" w:color="auto"/>
        <w:left w:val="none" w:sz="0" w:space="0" w:color="auto"/>
        <w:bottom w:val="none" w:sz="0" w:space="0" w:color="auto"/>
        <w:right w:val="none" w:sz="0" w:space="0" w:color="auto"/>
      </w:divBdr>
    </w:div>
    <w:div w:id="1030841897">
      <w:bodyDiv w:val="1"/>
      <w:marLeft w:val="0"/>
      <w:marRight w:val="0"/>
      <w:marTop w:val="0"/>
      <w:marBottom w:val="0"/>
      <w:divBdr>
        <w:top w:val="none" w:sz="0" w:space="0" w:color="auto"/>
        <w:left w:val="none" w:sz="0" w:space="0" w:color="auto"/>
        <w:bottom w:val="none" w:sz="0" w:space="0" w:color="auto"/>
        <w:right w:val="none" w:sz="0" w:space="0" w:color="auto"/>
      </w:divBdr>
    </w:div>
    <w:div w:id="1177887774">
      <w:bodyDiv w:val="1"/>
      <w:marLeft w:val="0"/>
      <w:marRight w:val="0"/>
      <w:marTop w:val="0"/>
      <w:marBottom w:val="0"/>
      <w:divBdr>
        <w:top w:val="none" w:sz="0" w:space="0" w:color="auto"/>
        <w:left w:val="none" w:sz="0" w:space="0" w:color="auto"/>
        <w:bottom w:val="none" w:sz="0" w:space="0" w:color="auto"/>
        <w:right w:val="none" w:sz="0" w:space="0" w:color="auto"/>
      </w:divBdr>
      <w:divsChild>
        <w:div w:id="1847091022">
          <w:marLeft w:val="0"/>
          <w:marRight w:val="0"/>
          <w:marTop w:val="0"/>
          <w:marBottom w:val="0"/>
          <w:divBdr>
            <w:top w:val="none" w:sz="0" w:space="0" w:color="auto"/>
            <w:left w:val="none" w:sz="0" w:space="0" w:color="auto"/>
            <w:bottom w:val="none" w:sz="0" w:space="0" w:color="auto"/>
            <w:right w:val="none" w:sz="0" w:space="0" w:color="auto"/>
          </w:divBdr>
          <w:divsChild>
            <w:div w:id="436100015">
              <w:marLeft w:val="0"/>
              <w:marRight w:val="0"/>
              <w:marTop w:val="0"/>
              <w:marBottom w:val="0"/>
              <w:divBdr>
                <w:top w:val="none" w:sz="0" w:space="0" w:color="auto"/>
                <w:left w:val="none" w:sz="0" w:space="0" w:color="auto"/>
                <w:bottom w:val="none" w:sz="0" w:space="0" w:color="auto"/>
                <w:right w:val="none" w:sz="0" w:space="0" w:color="auto"/>
              </w:divBdr>
              <w:divsChild>
                <w:div w:id="3109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50085">
      <w:bodyDiv w:val="1"/>
      <w:marLeft w:val="0"/>
      <w:marRight w:val="0"/>
      <w:marTop w:val="0"/>
      <w:marBottom w:val="0"/>
      <w:divBdr>
        <w:top w:val="none" w:sz="0" w:space="0" w:color="auto"/>
        <w:left w:val="none" w:sz="0" w:space="0" w:color="auto"/>
        <w:bottom w:val="none" w:sz="0" w:space="0" w:color="auto"/>
        <w:right w:val="none" w:sz="0" w:space="0" w:color="auto"/>
      </w:divBdr>
      <w:divsChild>
        <w:div w:id="1308243433">
          <w:marLeft w:val="0"/>
          <w:marRight w:val="0"/>
          <w:marTop w:val="0"/>
          <w:marBottom w:val="0"/>
          <w:divBdr>
            <w:top w:val="none" w:sz="0" w:space="0" w:color="auto"/>
            <w:left w:val="none" w:sz="0" w:space="0" w:color="auto"/>
            <w:bottom w:val="none" w:sz="0" w:space="0" w:color="auto"/>
            <w:right w:val="none" w:sz="0" w:space="0" w:color="auto"/>
          </w:divBdr>
          <w:divsChild>
            <w:div w:id="2050252822">
              <w:marLeft w:val="0"/>
              <w:marRight w:val="0"/>
              <w:marTop w:val="0"/>
              <w:marBottom w:val="0"/>
              <w:divBdr>
                <w:top w:val="none" w:sz="0" w:space="0" w:color="auto"/>
                <w:left w:val="none" w:sz="0" w:space="0" w:color="auto"/>
                <w:bottom w:val="none" w:sz="0" w:space="0" w:color="auto"/>
                <w:right w:val="none" w:sz="0" w:space="0" w:color="auto"/>
              </w:divBdr>
              <w:divsChild>
                <w:div w:id="581376559">
                  <w:marLeft w:val="150"/>
                  <w:marRight w:val="150"/>
                  <w:marTop w:val="0"/>
                  <w:marBottom w:val="0"/>
                  <w:divBdr>
                    <w:top w:val="none" w:sz="0" w:space="0" w:color="auto"/>
                    <w:left w:val="none" w:sz="0" w:space="0" w:color="auto"/>
                    <w:bottom w:val="none" w:sz="0" w:space="0" w:color="auto"/>
                    <w:right w:val="none" w:sz="0" w:space="0" w:color="auto"/>
                  </w:divBdr>
                  <w:divsChild>
                    <w:div w:id="4674103">
                      <w:marLeft w:val="0"/>
                      <w:marRight w:val="0"/>
                      <w:marTop w:val="0"/>
                      <w:marBottom w:val="0"/>
                      <w:divBdr>
                        <w:top w:val="none" w:sz="0" w:space="0" w:color="auto"/>
                        <w:left w:val="none" w:sz="0" w:space="0" w:color="auto"/>
                        <w:bottom w:val="none" w:sz="0" w:space="0" w:color="auto"/>
                        <w:right w:val="none" w:sz="0" w:space="0" w:color="auto"/>
                      </w:divBdr>
                      <w:divsChild>
                        <w:div w:id="1174419797">
                          <w:marLeft w:val="0"/>
                          <w:marRight w:val="0"/>
                          <w:marTop w:val="0"/>
                          <w:marBottom w:val="0"/>
                          <w:divBdr>
                            <w:top w:val="none" w:sz="0" w:space="0" w:color="auto"/>
                            <w:left w:val="none" w:sz="0" w:space="0" w:color="auto"/>
                            <w:bottom w:val="none" w:sz="0" w:space="0" w:color="auto"/>
                            <w:right w:val="none" w:sz="0" w:space="0" w:color="auto"/>
                          </w:divBdr>
                          <w:divsChild>
                            <w:div w:id="288438518">
                              <w:marLeft w:val="0"/>
                              <w:marRight w:val="0"/>
                              <w:marTop w:val="0"/>
                              <w:marBottom w:val="0"/>
                              <w:divBdr>
                                <w:top w:val="none" w:sz="0" w:space="0" w:color="auto"/>
                                <w:left w:val="none" w:sz="0" w:space="0" w:color="auto"/>
                                <w:bottom w:val="none" w:sz="0" w:space="0" w:color="auto"/>
                                <w:right w:val="none" w:sz="0" w:space="0" w:color="auto"/>
                              </w:divBdr>
                              <w:divsChild>
                                <w:div w:id="1520049755">
                                  <w:marLeft w:val="0"/>
                                  <w:marRight w:val="0"/>
                                  <w:marTop w:val="0"/>
                                  <w:marBottom w:val="0"/>
                                  <w:divBdr>
                                    <w:top w:val="none" w:sz="0" w:space="0" w:color="auto"/>
                                    <w:left w:val="none" w:sz="0" w:space="0" w:color="auto"/>
                                    <w:bottom w:val="none" w:sz="0" w:space="0" w:color="auto"/>
                                    <w:right w:val="none" w:sz="0" w:space="0" w:color="auto"/>
                                  </w:divBdr>
                                  <w:divsChild>
                                    <w:div w:id="636495797">
                                      <w:marLeft w:val="0"/>
                                      <w:marRight w:val="0"/>
                                      <w:marTop w:val="0"/>
                                      <w:marBottom w:val="0"/>
                                      <w:divBdr>
                                        <w:top w:val="none" w:sz="0" w:space="0" w:color="auto"/>
                                        <w:left w:val="none" w:sz="0" w:space="0" w:color="auto"/>
                                        <w:bottom w:val="none" w:sz="0" w:space="0" w:color="auto"/>
                                        <w:right w:val="none" w:sz="0" w:space="0" w:color="auto"/>
                                      </w:divBdr>
                                      <w:divsChild>
                                        <w:div w:id="1104494400">
                                          <w:marLeft w:val="0"/>
                                          <w:marRight w:val="0"/>
                                          <w:marTop w:val="0"/>
                                          <w:marBottom w:val="0"/>
                                          <w:divBdr>
                                            <w:top w:val="none" w:sz="0" w:space="0" w:color="auto"/>
                                            <w:left w:val="none" w:sz="0" w:space="0" w:color="auto"/>
                                            <w:bottom w:val="none" w:sz="0" w:space="0" w:color="auto"/>
                                            <w:right w:val="none" w:sz="0" w:space="0" w:color="auto"/>
                                          </w:divBdr>
                                          <w:divsChild>
                                            <w:div w:id="2080787176">
                                              <w:marLeft w:val="0"/>
                                              <w:marRight w:val="0"/>
                                              <w:marTop w:val="0"/>
                                              <w:marBottom w:val="0"/>
                                              <w:divBdr>
                                                <w:top w:val="none" w:sz="0" w:space="0" w:color="auto"/>
                                                <w:left w:val="none" w:sz="0" w:space="0" w:color="auto"/>
                                                <w:bottom w:val="none" w:sz="0" w:space="0" w:color="auto"/>
                                                <w:right w:val="none" w:sz="0" w:space="0" w:color="auto"/>
                                              </w:divBdr>
                                              <w:divsChild>
                                                <w:div w:id="1983001904">
                                                  <w:marLeft w:val="0"/>
                                                  <w:marRight w:val="0"/>
                                                  <w:marTop w:val="0"/>
                                                  <w:marBottom w:val="0"/>
                                                  <w:divBdr>
                                                    <w:top w:val="none" w:sz="0" w:space="0" w:color="auto"/>
                                                    <w:left w:val="none" w:sz="0" w:space="0" w:color="auto"/>
                                                    <w:bottom w:val="none" w:sz="0" w:space="0" w:color="auto"/>
                                                    <w:right w:val="none" w:sz="0" w:space="0" w:color="auto"/>
                                                  </w:divBdr>
                                                  <w:divsChild>
                                                    <w:div w:id="51082364">
                                                      <w:marLeft w:val="0"/>
                                                      <w:marRight w:val="0"/>
                                                      <w:marTop w:val="0"/>
                                                      <w:marBottom w:val="0"/>
                                                      <w:divBdr>
                                                        <w:top w:val="none" w:sz="0" w:space="0" w:color="auto"/>
                                                        <w:left w:val="none" w:sz="0" w:space="0" w:color="auto"/>
                                                        <w:bottom w:val="none" w:sz="0" w:space="0" w:color="auto"/>
                                                        <w:right w:val="none" w:sz="0" w:space="0" w:color="auto"/>
                                                      </w:divBdr>
                                                    </w:div>
                                                    <w:div w:id="393358916">
                                                      <w:marLeft w:val="0"/>
                                                      <w:marRight w:val="0"/>
                                                      <w:marTop w:val="0"/>
                                                      <w:marBottom w:val="0"/>
                                                      <w:divBdr>
                                                        <w:top w:val="none" w:sz="0" w:space="0" w:color="auto"/>
                                                        <w:left w:val="none" w:sz="0" w:space="0" w:color="auto"/>
                                                        <w:bottom w:val="none" w:sz="0" w:space="0" w:color="auto"/>
                                                        <w:right w:val="none" w:sz="0" w:space="0" w:color="auto"/>
                                                      </w:divBdr>
                                                      <w:divsChild>
                                                        <w:div w:id="1417702940">
                                                          <w:marLeft w:val="0"/>
                                                          <w:marRight w:val="0"/>
                                                          <w:marTop w:val="0"/>
                                                          <w:marBottom w:val="0"/>
                                                          <w:divBdr>
                                                            <w:top w:val="none" w:sz="0" w:space="0" w:color="auto"/>
                                                            <w:left w:val="none" w:sz="0" w:space="0" w:color="auto"/>
                                                            <w:bottom w:val="none" w:sz="0" w:space="0" w:color="auto"/>
                                                            <w:right w:val="none" w:sz="0" w:space="0" w:color="auto"/>
                                                          </w:divBdr>
                                                        </w:div>
                                                        <w:div w:id="1504279139">
                                                          <w:marLeft w:val="0"/>
                                                          <w:marRight w:val="0"/>
                                                          <w:marTop w:val="0"/>
                                                          <w:marBottom w:val="0"/>
                                                          <w:divBdr>
                                                            <w:top w:val="none" w:sz="0" w:space="0" w:color="auto"/>
                                                            <w:left w:val="none" w:sz="0" w:space="0" w:color="auto"/>
                                                            <w:bottom w:val="none" w:sz="0" w:space="0" w:color="auto"/>
                                                            <w:right w:val="none" w:sz="0" w:space="0" w:color="auto"/>
                                                          </w:divBdr>
                                                        </w:div>
                                                        <w:div w:id="1541894884">
                                                          <w:marLeft w:val="0"/>
                                                          <w:marRight w:val="0"/>
                                                          <w:marTop w:val="0"/>
                                                          <w:marBottom w:val="0"/>
                                                          <w:divBdr>
                                                            <w:top w:val="none" w:sz="0" w:space="0" w:color="auto"/>
                                                            <w:left w:val="none" w:sz="0" w:space="0" w:color="auto"/>
                                                            <w:bottom w:val="none" w:sz="0" w:space="0" w:color="auto"/>
                                                            <w:right w:val="none" w:sz="0" w:space="0" w:color="auto"/>
                                                          </w:divBdr>
                                                        </w:div>
                                                        <w:div w:id="1279868549">
                                                          <w:marLeft w:val="0"/>
                                                          <w:marRight w:val="0"/>
                                                          <w:marTop w:val="0"/>
                                                          <w:marBottom w:val="0"/>
                                                          <w:divBdr>
                                                            <w:top w:val="none" w:sz="0" w:space="0" w:color="auto"/>
                                                            <w:left w:val="none" w:sz="0" w:space="0" w:color="auto"/>
                                                            <w:bottom w:val="none" w:sz="0" w:space="0" w:color="auto"/>
                                                            <w:right w:val="none" w:sz="0" w:space="0" w:color="auto"/>
                                                          </w:divBdr>
                                                        </w:div>
                                                        <w:div w:id="429863178">
                                                          <w:marLeft w:val="0"/>
                                                          <w:marRight w:val="0"/>
                                                          <w:marTop w:val="0"/>
                                                          <w:marBottom w:val="0"/>
                                                          <w:divBdr>
                                                            <w:top w:val="none" w:sz="0" w:space="0" w:color="auto"/>
                                                            <w:left w:val="none" w:sz="0" w:space="0" w:color="auto"/>
                                                            <w:bottom w:val="none" w:sz="0" w:space="0" w:color="auto"/>
                                                            <w:right w:val="none" w:sz="0" w:space="0" w:color="auto"/>
                                                          </w:divBdr>
                                                        </w:div>
                                                        <w:div w:id="1556314776">
                                                          <w:marLeft w:val="0"/>
                                                          <w:marRight w:val="0"/>
                                                          <w:marTop w:val="0"/>
                                                          <w:marBottom w:val="0"/>
                                                          <w:divBdr>
                                                            <w:top w:val="none" w:sz="0" w:space="0" w:color="auto"/>
                                                            <w:left w:val="none" w:sz="0" w:space="0" w:color="auto"/>
                                                            <w:bottom w:val="none" w:sz="0" w:space="0" w:color="auto"/>
                                                            <w:right w:val="none" w:sz="0" w:space="0" w:color="auto"/>
                                                          </w:divBdr>
                                                        </w:div>
                                                        <w:div w:id="1185559505">
                                                          <w:marLeft w:val="0"/>
                                                          <w:marRight w:val="0"/>
                                                          <w:marTop w:val="0"/>
                                                          <w:marBottom w:val="0"/>
                                                          <w:divBdr>
                                                            <w:top w:val="none" w:sz="0" w:space="0" w:color="auto"/>
                                                            <w:left w:val="none" w:sz="0" w:space="0" w:color="auto"/>
                                                            <w:bottom w:val="none" w:sz="0" w:space="0" w:color="auto"/>
                                                            <w:right w:val="none" w:sz="0" w:space="0" w:color="auto"/>
                                                          </w:divBdr>
                                                        </w:div>
                                                        <w:div w:id="1991402785">
                                                          <w:marLeft w:val="0"/>
                                                          <w:marRight w:val="0"/>
                                                          <w:marTop w:val="0"/>
                                                          <w:marBottom w:val="0"/>
                                                          <w:divBdr>
                                                            <w:top w:val="none" w:sz="0" w:space="0" w:color="auto"/>
                                                            <w:left w:val="none" w:sz="0" w:space="0" w:color="auto"/>
                                                            <w:bottom w:val="none" w:sz="0" w:space="0" w:color="auto"/>
                                                            <w:right w:val="none" w:sz="0" w:space="0" w:color="auto"/>
                                                          </w:divBdr>
                                                        </w:div>
                                                        <w:div w:id="1421829653">
                                                          <w:marLeft w:val="0"/>
                                                          <w:marRight w:val="0"/>
                                                          <w:marTop w:val="0"/>
                                                          <w:marBottom w:val="0"/>
                                                          <w:divBdr>
                                                            <w:top w:val="none" w:sz="0" w:space="0" w:color="auto"/>
                                                            <w:left w:val="none" w:sz="0" w:space="0" w:color="auto"/>
                                                            <w:bottom w:val="none" w:sz="0" w:space="0" w:color="auto"/>
                                                            <w:right w:val="none" w:sz="0" w:space="0" w:color="auto"/>
                                                          </w:divBdr>
                                                        </w:div>
                                                        <w:div w:id="1557084996">
                                                          <w:marLeft w:val="0"/>
                                                          <w:marRight w:val="0"/>
                                                          <w:marTop w:val="0"/>
                                                          <w:marBottom w:val="0"/>
                                                          <w:divBdr>
                                                            <w:top w:val="none" w:sz="0" w:space="0" w:color="auto"/>
                                                            <w:left w:val="none" w:sz="0" w:space="0" w:color="auto"/>
                                                            <w:bottom w:val="none" w:sz="0" w:space="0" w:color="auto"/>
                                                            <w:right w:val="none" w:sz="0" w:space="0" w:color="auto"/>
                                                          </w:divBdr>
                                                        </w:div>
                                                        <w:div w:id="1032413253">
                                                          <w:marLeft w:val="0"/>
                                                          <w:marRight w:val="0"/>
                                                          <w:marTop w:val="0"/>
                                                          <w:marBottom w:val="0"/>
                                                          <w:divBdr>
                                                            <w:top w:val="none" w:sz="0" w:space="0" w:color="auto"/>
                                                            <w:left w:val="none" w:sz="0" w:space="0" w:color="auto"/>
                                                            <w:bottom w:val="none" w:sz="0" w:space="0" w:color="auto"/>
                                                            <w:right w:val="none" w:sz="0" w:space="0" w:color="auto"/>
                                                          </w:divBdr>
                                                        </w:div>
                                                        <w:div w:id="139966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787309">
      <w:bodyDiv w:val="1"/>
      <w:marLeft w:val="0"/>
      <w:marRight w:val="0"/>
      <w:marTop w:val="0"/>
      <w:marBottom w:val="0"/>
      <w:divBdr>
        <w:top w:val="none" w:sz="0" w:space="0" w:color="auto"/>
        <w:left w:val="none" w:sz="0" w:space="0" w:color="auto"/>
        <w:bottom w:val="none" w:sz="0" w:space="0" w:color="auto"/>
        <w:right w:val="none" w:sz="0" w:space="0" w:color="auto"/>
      </w:divBdr>
      <w:divsChild>
        <w:div w:id="100344079">
          <w:marLeft w:val="0"/>
          <w:marRight w:val="0"/>
          <w:marTop w:val="0"/>
          <w:marBottom w:val="0"/>
          <w:divBdr>
            <w:top w:val="none" w:sz="0" w:space="0" w:color="auto"/>
            <w:left w:val="none" w:sz="0" w:space="0" w:color="auto"/>
            <w:bottom w:val="none" w:sz="0" w:space="0" w:color="auto"/>
            <w:right w:val="none" w:sz="0" w:space="0" w:color="auto"/>
          </w:divBdr>
          <w:divsChild>
            <w:div w:id="296646464">
              <w:marLeft w:val="0"/>
              <w:marRight w:val="0"/>
              <w:marTop w:val="0"/>
              <w:marBottom w:val="0"/>
              <w:divBdr>
                <w:top w:val="none" w:sz="0" w:space="0" w:color="auto"/>
                <w:left w:val="none" w:sz="0" w:space="0" w:color="auto"/>
                <w:bottom w:val="none" w:sz="0" w:space="0" w:color="auto"/>
                <w:right w:val="none" w:sz="0" w:space="0" w:color="auto"/>
              </w:divBdr>
              <w:divsChild>
                <w:div w:id="14688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537519">
      <w:bodyDiv w:val="1"/>
      <w:marLeft w:val="0"/>
      <w:marRight w:val="0"/>
      <w:marTop w:val="0"/>
      <w:marBottom w:val="0"/>
      <w:divBdr>
        <w:top w:val="none" w:sz="0" w:space="0" w:color="auto"/>
        <w:left w:val="none" w:sz="0" w:space="0" w:color="auto"/>
        <w:bottom w:val="none" w:sz="0" w:space="0" w:color="auto"/>
        <w:right w:val="none" w:sz="0" w:space="0" w:color="auto"/>
      </w:divBdr>
      <w:divsChild>
        <w:div w:id="1119840532">
          <w:marLeft w:val="0"/>
          <w:marRight w:val="0"/>
          <w:marTop w:val="0"/>
          <w:marBottom w:val="0"/>
          <w:divBdr>
            <w:top w:val="none" w:sz="0" w:space="0" w:color="auto"/>
            <w:left w:val="none" w:sz="0" w:space="0" w:color="auto"/>
            <w:bottom w:val="none" w:sz="0" w:space="0" w:color="auto"/>
            <w:right w:val="none" w:sz="0" w:space="0" w:color="auto"/>
          </w:divBdr>
          <w:divsChild>
            <w:div w:id="1949510354">
              <w:marLeft w:val="0"/>
              <w:marRight w:val="0"/>
              <w:marTop w:val="0"/>
              <w:marBottom w:val="0"/>
              <w:divBdr>
                <w:top w:val="none" w:sz="0" w:space="0" w:color="auto"/>
                <w:left w:val="none" w:sz="0" w:space="0" w:color="auto"/>
                <w:bottom w:val="none" w:sz="0" w:space="0" w:color="auto"/>
                <w:right w:val="none" w:sz="0" w:space="0" w:color="auto"/>
              </w:divBdr>
              <w:divsChild>
                <w:div w:id="62766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360553">
      <w:bodyDiv w:val="1"/>
      <w:marLeft w:val="0"/>
      <w:marRight w:val="0"/>
      <w:marTop w:val="0"/>
      <w:marBottom w:val="0"/>
      <w:divBdr>
        <w:top w:val="none" w:sz="0" w:space="0" w:color="auto"/>
        <w:left w:val="none" w:sz="0" w:space="0" w:color="auto"/>
        <w:bottom w:val="none" w:sz="0" w:space="0" w:color="auto"/>
        <w:right w:val="none" w:sz="0" w:space="0" w:color="auto"/>
      </w:divBdr>
      <w:divsChild>
        <w:div w:id="1797873940">
          <w:marLeft w:val="0"/>
          <w:marRight w:val="0"/>
          <w:marTop w:val="0"/>
          <w:marBottom w:val="0"/>
          <w:divBdr>
            <w:top w:val="none" w:sz="0" w:space="0" w:color="auto"/>
            <w:left w:val="none" w:sz="0" w:space="0" w:color="auto"/>
            <w:bottom w:val="none" w:sz="0" w:space="0" w:color="auto"/>
            <w:right w:val="none" w:sz="0" w:space="0" w:color="auto"/>
          </w:divBdr>
          <w:divsChild>
            <w:div w:id="914628449">
              <w:marLeft w:val="0"/>
              <w:marRight w:val="0"/>
              <w:marTop w:val="0"/>
              <w:marBottom w:val="0"/>
              <w:divBdr>
                <w:top w:val="none" w:sz="0" w:space="0" w:color="auto"/>
                <w:left w:val="none" w:sz="0" w:space="0" w:color="auto"/>
                <w:bottom w:val="none" w:sz="0" w:space="0" w:color="auto"/>
                <w:right w:val="none" w:sz="0" w:space="0" w:color="auto"/>
              </w:divBdr>
              <w:divsChild>
                <w:div w:id="1093356451">
                  <w:marLeft w:val="0"/>
                  <w:marRight w:val="0"/>
                  <w:marTop w:val="0"/>
                  <w:marBottom w:val="0"/>
                  <w:divBdr>
                    <w:top w:val="none" w:sz="0" w:space="0" w:color="auto"/>
                    <w:left w:val="none" w:sz="0" w:space="0" w:color="auto"/>
                    <w:bottom w:val="none" w:sz="0" w:space="0" w:color="auto"/>
                    <w:right w:val="none" w:sz="0" w:space="0" w:color="auto"/>
                  </w:divBdr>
                </w:div>
                <w:div w:id="104294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89617">
      <w:bodyDiv w:val="1"/>
      <w:marLeft w:val="0"/>
      <w:marRight w:val="0"/>
      <w:marTop w:val="0"/>
      <w:marBottom w:val="0"/>
      <w:divBdr>
        <w:top w:val="none" w:sz="0" w:space="0" w:color="auto"/>
        <w:left w:val="none" w:sz="0" w:space="0" w:color="auto"/>
        <w:bottom w:val="none" w:sz="0" w:space="0" w:color="auto"/>
        <w:right w:val="none" w:sz="0" w:space="0" w:color="auto"/>
      </w:divBdr>
      <w:divsChild>
        <w:div w:id="1445074277">
          <w:marLeft w:val="0"/>
          <w:marRight w:val="0"/>
          <w:marTop w:val="0"/>
          <w:marBottom w:val="0"/>
          <w:divBdr>
            <w:top w:val="none" w:sz="0" w:space="0" w:color="auto"/>
            <w:left w:val="none" w:sz="0" w:space="0" w:color="auto"/>
            <w:bottom w:val="none" w:sz="0" w:space="0" w:color="auto"/>
            <w:right w:val="none" w:sz="0" w:space="0" w:color="auto"/>
          </w:divBdr>
          <w:divsChild>
            <w:div w:id="1682589293">
              <w:marLeft w:val="0"/>
              <w:marRight w:val="0"/>
              <w:marTop w:val="0"/>
              <w:marBottom w:val="0"/>
              <w:divBdr>
                <w:top w:val="none" w:sz="0" w:space="0" w:color="auto"/>
                <w:left w:val="none" w:sz="0" w:space="0" w:color="auto"/>
                <w:bottom w:val="none" w:sz="0" w:space="0" w:color="auto"/>
                <w:right w:val="none" w:sz="0" w:space="0" w:color="auto"/>
              </w:divBdr>
              <w:divsChild>
                <w:div w:id="111274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47755">
      <w:bodyDiv w:val="1"/>
      <w:marLeft w:val="0"/>
      <w:marRight w:val="0"/>
      <w:marTop w:val="0"/>
      <w:marBottom w:val="0"/>
      <w:divBdr>
        <w:top w:val="none" w:sz="0" w:space="0" w:color="auto"/>
        <w:left w:val="none" w:sz="0" w:space="0" w:color="auto"/>
        <w:bottom w:val="none" w:sz="0" w:space="0" w:color="auto"/>
        <w:right w:val="none" w:sz="0" w:space="0" w:color="auto"/>
      </w:divBdr>
    </w:div>
    <w:div w:id="1718116003">
      <w:bodyDiv w:val="1"/>
      <w:marLeft w:val="0"/>
      <w:marRight w:val="0"/>
      <w:marTop w:val="0"/>
      <w:marBottom w:val="0"/>
      <w:divBdr>
        <w:top w:val="none" w:sz="0" w:space="0" w:color="auto"/>
        <w:left w:val="none" w:sz="0" w:space="0" w:color="auto"/>
        <w:bottom w:val="none" w:sz="0" w:space="0" w:color="auto"/>
        <w:right w:val="none" w:sz="0" w:space="0" w:color="auto"/>
      </w:divBdr>
    </w:div>
    <w:div w:id="21190630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247939199180601"/>
          <c:y val="2.2538738456722499E-2"/>
          <c:w val="0.66283770238324402"/>
          <c:h val="0.81718578807325104"/>
        </c:manualLayout>
      </c:layout>
      <c:barChart>
        <c:barDir val="col"/>
        <c:grouping val="clustered"/>
        <c:varyColors val="0"/>
        <c:ser>
          <c:idx val="0"/>
          <c:order val="0"/>
          <c:tx>
            <c:strRef>
              <c:f>Sheet1!$B$1</c:f>
              <c:strCache>
                <c:ptCount val="1"/>
                <c:pt idx="0">
                  <c:v>Time 1</c:v>
                </c:pt>
              </c:strCache>
            </c:strRef>
          </c:tx>
          <c:spPr>
            <a:solidFill>
              <a:srgbClr val="4F81BD"/>
            </a:solidFill>
          </c:spPr>
          <c:invertIfNegative val="0"/>
          <c:errBars>
            <c:errBarType val="both"/>
            <c:errValType val="cust"/>
            <c:noEndCap val="0"/>
            <c:plus>
              <c:numRef>
                <c:f>(Sheet1!$D$2,Sheet1!$D$3)</c:f>
                <c:numCache>
                  <c:formatCode>General</c:formatCode>
                  <c:ptCount val="2"/>
                  <c:pt idx="0">
                    <c:v>0.219279</c:v>
                  </c:pt>
                  <c:pt idx="1">
                    <c:v>0.241539</c:v>
                  </c:pt>
                </c:numCache>
              </c:numRef>
            </c:plus>
            <c:minus>
              <c:numRef>
                <c:f>(Sheet1!$D$2,Sheet1!$D$3)</c:f>
                <c:numCache>
                  <c:formatCode>General</c:formatCode>
                  <c:ptCount val="2"/>
                  <c:pt idx="0">
                    <c:v>0.219279</c:v>
                  </c:pt>
                  <c:pt idx="1">
                    <c:v>0.241539</c:v>
                  </c:pt>
                </c:numCache>
              </c:numRef>
            </c:minus>
          </c:errBars>
          <c:cat>
            <c:strRef>
              <c:f>Sheet1!$A$2:$A$3</c:f>
              <c:strCache>
                <c:ptCount val="2"/>
                <c:pt idx="0">
                  <c:v>Clinical</c:v>
                </c:pt>
                <c:pt idx="1">
                  <c:v>Non-Clinical</c:v>
                </c:pt>
              </c:strCache>
            </c:strRef>
          </c:cat>
          <c:val>
            <c:numRef>
              <c:f>Sheet1!$B$2:$B$3</c:f>
              <c:numCache>
                <c:formatCode>General</c:formatCode>
                <c:ptCount val="2"/>
                <c:pt idx="0">
                  <c:v>5.851648</c:v>
                </c:pt>
                <c:pt idx="1">
                  <c:v>7.9066669999999997</c:v>
                </c:pt>
              </c:numCache>
            </c:numRef>
          </c:val>
        </c:ser>
        <c:ser>
          <c:idx val="1"/>
          <c:order val="1"/>
          <c:tx>
            <c:strRef>
              <c:f>Sheet1!$C$1</c:f>
              <c:strCache>
                <c:ptCount val="1"/>
                <c:pt idx="0">
                  <c:v>Time 2</c:v>
                </c:pt>
              </c:strCache>
            </c:strRef>
          </c:tx>
          <c:spPr>
            <a:solidFill>
              <a:srgbClr val="C0504D"/>
            </a:solidFill>
          </c:spPr>
          <c:invertIfNegative val="0"/>
          <c:errBars>
            <c:errBarType val="both"/>
            <c:errValType val="cust"/>
            <c:noEndCap val="0"/>
            <c:plus>
              <c:numRef>
                <c:f>Sheet1!$E$2:$E$3</c:f>
                <c:numCache>
                  <c:formatCode>General</c:formatCode>
                  <c:ptCount val="2"/>
                  <c:pt idx="0">
                    <c:v>0.211143</c:v>
                  </c:pt>
                  <c:pt idx="1">
                    <c:v>0.23257700000000001</c:v>
                  </c:pt>
                </c:numCache>
              </c:numRef>
            </c:plus>
            <c:minus>
              <c:numRef>
                <c:f>Sheet1!$E$2:$E$3</c:f>
                <c:numCache>
                  <c:formatCode>General</c:formatCode>
                  <c:ptCount val="2"/>
                  <c:pt idx="0">
                    <c:v>0.211143</c:v>
                  </c:pt>
                  <c:pt idx="1">
                    <c:v>0.23257700000000001</c:v>
                  </c:pt>
                </c:numCache>
              </c:numRef>
            </c:minus>
          </c:errBars>
          <c:cat>
            <c:strRef>
              <c:f>Sheet1!$A$2:$A$3</c:f>
              <c:strCache>
                <c:ptCount val="2"/>
                <c:pt idx="0">
                  <c:v>Clinical</c:v>
                </c:pt>
                <c:pt idx="1">
                  <c:v>Non-Clinical</c:v>
                </c:pt>
              </c:strCache>
            </c:strRef>
          </c:cat>
          <c:val>
            <c:numRef>
              <c:f>Sheet1!$C$2:$C$3</c:f>
              <c:numCache>
                <c:formatCode>General</c:formatCode>
                <c:ptCount val="2"/>
                <c:pt idx="0">
                  <c:v>6.4945049999999771</c:v>
                </c:pt>
                <c:pt idx="1">
                  <c:v>7.7866669999999996</c:v>
                </c:pt>
              </c:numCache>
            </c:numRef>
          </c:val>
        </c:ser>
        <c:dLbls>
          <c:showLegendKey val="0"/>
          <c:showVal val="0"/>
          <c:showCatName val="0"/>
          <c:showSerName val="0"/>
          <c:showPercent val="0"/>
          <c:showBubbleSize val="0"/>
        </c:dLbls>
        <c:gapWidth val="150"/>
        <c:axId val="76588544"/>
        <c:axId val="76590464"/>
      </c:barChart>
      <c:catAx>
        <c:axId val="76588544"/>
        <c:scaling>
          <c:orientation val="minMax"/>
        </c:scaling>
        <c:delete val="0"/>
        <c:axPos val="b"/>
        <c:title>
          <c:tx>
            <c:rich>
              <a:bodyPr/>
              <a:lstStyle/>
              <a:p>
                <a:pPr>
                  <a:defRPr sz="1200"/>
                </a:pPr>
                <a:r>
                  <a:rPr lang="en-US" sz="1200"/>
                  <a:t>Sample</a:t>
                </a:r>
              </a:p>
            </c:rich>
          </c:tx>
          <c:layout/>
          <c:overlay val="0"/>
        </c:title>
        <c:numFmt formatCode="General" sourceLinked="0"/>
        <c:majorTickMark val="out"/>
        <c:minorTickMark val="none"/>
        <c:tickLblPos val="nextTo"/>
        <c:txPr>
          <a:bodyPr/>
          <a:lstStyle/>
          <a:p>
            <a:pPr>
              <a:defRPr sz="1200"/>
            </a:pPr>
            <a:endParaRPr lang="en-US"/>
          </a:p>
        </c:txPr>
        <c:crossAx val="76590464"/>
        <c:crosses val="autoZero"/>
        <c:auto val="1"/>
        <c:lblAlgn val="ctr"/>
        <c:lblOffset val="100"/>
        <c:noMultiLvlLbl val="0"/>
      </c:catAx>
      <c:valAx>
        <c:axId val="76590464"/>
        <c:scaling>
          <c:orientation val="minMax"/>
          <c:max val="12"/>
        </c:scaling>
        <c:delete val="0"/>
        <c:axPos val="l"/>
        <c:title>
          <c:tx>
            <c:rich>
              <a:bodyPr rot="-5400000" vert="horz"/>
              <a:lstStyle/>
              <a:p>
                <a:pPr>
                  <a:defRPr sz="1200"/>
                </a:pPr>
                <a:r>
                  <a:rPr lang="en-GB" sz="1200"/>
                  <a:t>HAO Score</a:t>
                </a:r>
              </a:p>
            </c:rich>
          </c:tx>
          <c:layout/>
          <c:overlay val="0"/>
        </c:title>
        <c:numFmt formatCode="General" sourceLinked="1"/>
        <c:majorTickMark val="out"/>
        <c:minorTickMark val="none"/>
        <c:tickLblPos val="nextTo"/>
        <c:txPr>
          <a:bodyPr/>
          <a:lstStyle/>
          <a:p>
            <a:pPr>
              <a:defRPr sz="1200"/>
            </a:pPr>
            <a:endParaRPr lang="en-US"/>
          </a:p>
        </c:txPr>
        <c:crossAx val="76588544"/>
        <c:crosses val="autoZero"/>
        <c:crossBetween val="between"/>
      </c:valAx>
    </c:plotArea>
    <c:legend>
      <c:legendPos val="r"/>
      <c:layout>
        <c:manualLayout>
          <c:xMode val="edge"/>
          <c:yMode val="edge"/>
          <c:x val="0.71637779723596695"/>
          <c:y val="4.68840454164468E-2"/>
          <c:w val="0.14926328174495401"/>
          <c:h val="0.20826612952450699"/>
        </c:manualLayout>
      </c:layout>
      <c:overlay val="0"/>
      <c:txPr>
        <a:bodyPr/>
        <a:lstStyle/>
        <a:p>
          <a:pPr>
            <a:defRPr sz="1200"/>
          </a:pPr>
          <a:endParaRPr lang="en-US"/>
        </a:p>
      </c:txPr>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A36F2-647F-48E2-8BAD-38FFF6E29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5460</Words>
  <Characters>31122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soton</Company>
  <LinksUpToDate>false</LinksUpToDate>
  <CharactersWithSpaces>36509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Au-Yeung S.K.</dc:creator>
  <cp:lastModifiedBy>knt</cp:lastModifiedBy>
  <cp:revision>2</cp:revision>
  <cp:lastPrinted>2017-05-12T08:15:00Z</cp:lastPrinted>
  <dcterms:created xsi:type="dcterms:W3CDTF">2017-09-27T14:17:00Z</dcterms:created>
  <dcterms:modified xsi:type="dcterms:W3CDTF">2017-09-27T14:17:00Z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-852098998</vt:i4>
  </property>
  <property fmtid="{D5CDD505-2E9C-101B-9397-08002B2CF9AE}" pid="4" name="_EmailSubject">
    <vt:lpwstr>Workflow changed: Returned to 'Entry in progress'</vt:lpwstr>
  </property>
  <property fmtid="{D5CDD505-2E9C-101B-9397-08002B2CF9AE}" pid="5" name="_AuthorEmail">
    <vt:lpwstr>K.Newman-Taylor@soton.ac.uk</vt:lpwstr>
  </property>
  <property fmtid="{D5CDD505-2E9C-101B-9397-08002B2CF9AE}" pid="6" name="_AuthorEmailDisplayName">
    <vt:lpwstr>Newman-Taylor K.</vt:lpwstr>
  </property>
  <property fmtid="{D5CDD505-2E9C-101B-9397-08002B2CF9AE}" pid="7" name="_PreviousAdHocReviewCycleID">
    <vt:i4>-235665433</vt:i4>
  </property>
</Properties>
</file>