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F44D4" w14:textId="62BDE12F" w:rsidR="00892483" w:rsidRDefault="00532C39" w:rsidP="00C17C10">
      <w:pPr>
        <w:spacing w:line="360" w:lineRule="auto"/>
        <w:rPr>
          <w:rFonts w:ascii="Book Antiqua" w:hAnsi="Book Antiqua"/>
          <w:sz w:val="24"/>
          <w:szCs w:val="24"/>
        </w:rPr>
      </w:pPr>
      <w:r>
        <w:rPr>
          <w:rFonts w:ascii="Book Antiqua" w:hAnsi="Book Antiqua"/>
          <w:b/>
          <w:sz w:val="24"/>
          <w:szCs w:val="24"/>
        </w:rPr>
        <w:t>Barry and</w:t>
      </w:r>
      <w:r w:rsidRPr="0079281B">
        <w:rPr>
          <w:rFonts w:ascii="Book Antiqua" w:hAnsi="Book Antiqua"/>
          <w:b/>
          <w:sz w:val="24"/>
          <w:szCs w:val="24"/>
        </w:rPr>
        <w:t xml:space="preserve"> </w:t>
      </w:r>
      <w:r w:rsidR="0079281B" w:rsidRPr="0079281B">
        <w:rPr>
          <w:rFonts w:ascii="Book Antiqua" w:hAnsi="Book Antiqua"/>
          <w:b/>
          <w:sz w:val="24"/>
          <w:szCs w:val="24"/>
        </w:rPr>
        <w:t>Øverland</w:t>
      </w:r>
      <w:r>
        <w:rPr>
          <w:rFonts w:ascii="Book Antiqua" w:hAnsi="Book Antiqua"/>
          <w:b/>
          <w:sz w:val="24"/>
          <w:szCs w:val="24"/>
        </w:rPr>
        <w:t xml:space="preserve"> on Doing, Allowing</w:t>
      </w:r>
      <w:r w:rsidR="00246FB4">
        <w:rPr>
          <w:rFonts w:ascii="Book Antiqua" w:hAnsi="Book Antiqua"/>
          <w:b/>
          <w:sz w:val="24"/>
          <w:szCs w:val="24"/>
        </w:rPr>
        <w:t>,</w:t>
      </w:r>
      <w:r>
        <w:rPr>
          <w:rFonts w:ascii="Book Antiqua" w:hAnsi="Book Antiqua"/>
          <w:b/>
          <w:sz w:val="24"/>
          <w:szCs w:val="24"/>
        </w:rPr>
        <w:t xml:space="preserve"> and Enabling Harm</w:t>
      </w:r>
    </w:p>
    <w:p w14:paraId="6B08EEAB" w14:textId="70801046" w:rsidR="00A955A6" w:rsidRDefault="00532C39" w:rsidP="00C17C10">
      <w:pPr>
        <w:spacing w:line="360" w:lineRule="auto"/>
        <w:rPr>
          <w:rFonts w:ascii="Book Antiqua" w:hAnsi="Book Antiqua"/>
          <w:sz w:val="24"/>
          <w:szCs w:val="24"/>
        </w:rPr>
      </w:pPr>
      <w:r>
        <w:rPr>
          <w:rFonts w:ascii="Book Antiqua" w:hAnsi="Book Antiqua"/>
          <w:sz w:val="24"/>
          <w:szCs w:val="24"/>
        </w:rPr>
        <w:t xml:space="preserve">In </w:t>
      </w:r>
      <w:r>
        <w:rPr>
          <w:rFonts w:ascii="Book Antiqua" w:hAnsi="Book Antiqua"/>
          <w:i/>
          <w:sz w:val="24"/>
          <w:szCs w:val="24"/>
        </w:rPr>
        <w:t>Responding to Global Poverty: Harm, Responsibility, and Agency</w:t>
      </w:r>
      <w:r>
        <w:rPr>
          <w:rFonts w:ascii="Book Antiqua" w:hAnsi="Book Antiqua"/>
          <w:sz w:val="24"/>
          <w:szCs w:val="24"/>
        </w:rPr>
        <w:t xml:space="preserve">, Christian Barry and Gerhard Øverland </w:t>
      </w:r>
      <w:r w:rsidR="00973C43">
        <w:rPr>
          <w:rFonts w:ascii="Book Antiqua" w:hAnsi="Book Antiqua"/>
          <w:sz w:val="24"/>
          <w:szCs w:val="24"/>
        </w:rPr>
        <w:t>address the two types of argument t</w:t>
      </w:r>
      <w:r w:rsidR="00851183">
        <w:rPr>
          <w:rFonts w:ascii="Book Antiqua" w:hAnsi="Book Antiqua"/>
          <w:sz w:val="24"/>
          <w:szCs w:val="24"/>
        </w:rPr>
        <w:t>hat have dominated discussion of</w:t>
      </w:r>
      <w:r w:rsidR="00973C43">
        <w:rPr>
          <w:rFonts w:ascii="Book Antiqua" w:hAnsi="Book Antiqua"/>
          <w:sz w:val="24"/>
          <w:szCs w:val="24"/>
        </w:rPr>
        <w:t xml:space="preserve"> the responsibilities of the affluent to respond to global poverty.  The first type of argument appeals to what Barry and Øverland call </w:t>
      </w:r>
      <w:r w:rsidR="00E5582D">
        <w:rPr>
          <w:rFonts w:ascii="Book Antiqua" w:hAnsi="Book Antiqua"/>
          <w:sz w:val="24"/>
          <w:szCs w:val="24"/>
        </w:rPr>
        <w:t>“</w:t>
      </w:r>
      <w:r w:rsidR="00973C43">
        <w:rPr>
          <w:rFonts w:ascii="Book Antiqua" w:hAnsi="Book Antiqua"/>
          <w:sz w:val="24"/>
          <w:szCs w:val="24"/>
        </w:rPr>
        <w:t>assistance-based responsibilities</w:t>
      </w:r>
      <w:r w:rsidR="00E5582D">
        <w:rPr>
          <w:rFonts w:ascii="Book Antiqua" w:hAnsi="Book Antiqua"/>
          <w:sz w:val="24"/>
          <w:szCs w:val="24"/>
        </w:rPr>
        <w:t>”</w:t>
      </w:r>
      <w:r w:rsidR="00973C43">
        <w:rPr>
          <w:rFonts w:ascii="Book Antiqua" w:hAnsi="Book Antiqua"/>
          <w:sz w:val="24"/>
          <w:szCs w:val="24"/>
        </w:rPr>
        <w:t xml:space="preserve">: the affluent are required to do something about global poverty simply </w:t>
      </w:r>
      <w:r w:rsidR="00821917">
        <w:rPr>
          <w:rFonts w:ascii="Book Antiqua" w:hAnsi="Book Antiqua"/>
          <w:sz w:val="24"/>
          <w:szCs w:val="24"/>
        </w:rPr>
        <w:t xml:space="preserve">because </w:t>
      </w:r>
      <w:r w:rsidR="00973C43">
        <w:rPr>
          <w:rFonts w:ascii="Book Antiqua" w:hAnsi="Book Antiqua"/>
          <w:sz w:val="24"/>
          <w:szCs w:val="24"/>
        </w:rPr>
        <w:t xml:space="preserve">those in poverty need help to avoid serious suffering and </w:t>
      </w:r>
      <w:r w:rsidR="00447C90">
        <w:rPr>
          <w:rFonts w:ascii="Book Antiqua" w:hAnsi="Book Antiqua"/>
          <w:sz w:val="24"/>
          <w:szCs w:val="24"/>
        </w:rPr>
        <w:t xml:space="preserve">the affluent </w:t>
      </w:r>
      <w:r w:rsidR="00113D2F">
        <w:rPr>
          <w:rFonts w:ascii="Book Antiqua" w:hAnsi="Book Antiqua"/>
          <w:sz w:val="24"/>
          <w:szCs w:val="24"/>
        </w:rPr>
        <w:t xml:space="preserve">are able </w:t>
      </w:r>
      <w:r w:rsidR="00973C43">
        <w:rPr>
          <w:rFonts w:ascii="Book Antiqua" w:hAnsi="Book Antiqua"/>
          <w:sz w:val="24"/>
          <w:szCs w:val="24"/>
        </w:rPr>
        <w:t>to give such help.</w:t>
      </w:r>
      <w:r>
        <w:rPr>
          <w:rFonts w:ascii="Book Antiqua" w:hAnsi="Book Antiqua"/>
          <w:sz w:val="24"/>
          <w:szCs w:val="24"/>
        </w:rPr>
        <w:t xml:space="preserve"> </w:t>
      </w:r>
      <w:r w:rsidR="00973C43">
        <w:rPr>
          <w:rFonts w:ascii="Book Antiqua" w:hAnsi="Book Antiqua"/>
          <w:sz w:val="24"/>
          <w:szCs w:val="24"/>
        </w:rPr>
        <w:t xml:space="preserve">The second type appeals to </w:t>
      </w:r>
      <w:r w:rsidR="00E5582D">
        <w:rPr>
          <w:rFonts w:ascii="Book Antiqua" w:hAnsi="Book Antiqua"/>
          <w:sz w:val="24"/>
          <w:szCs w:val="24"/>
        </w:rPr>
        <w:t>“</w:t>
      </w:r>
      <w:r w:rsidR="00973C43">
        <w:rPr>
          <w:rFonts w:ascii="Book Antiqua" w:hAnsi="Book Antiqua"/>
          <w:sz w:val="24"/>
          <w:szCs w:val="24"/>
        </w:rPr>
        <w:t>contribution-based responsibilities</w:t>
      </w:r>
      <w:r w:rsidR="00E5582D">
        <w:rPr>
          <w:rFonts w:ascii="Book Antiqua" w:hAnsi="Book Antiqua"/>
          <w:sz w:val="24"/>
          <w:szCs w:val="24"/>
        </w:rPr>
        <w:t>”</w:t>
      </w:r>
      <w:r w:rsidR="00973C43">
        <w:rPr>
          <w:rFonts w:ascii="Book Antiqua" w:hAnsi="Book Antiqua"/>
          <w:sz w:val="24"/>
          <w:szCs w:val="24"/>
        </w:rPr>
        <w:t>: the affluent have a duty to do something about the plight of the global poor because they have contributed to that plight.</w:t>
      </w:r>
      <w:r w:rsidR="00973C43">
        <w:rPr>
          <w:rStyle w:val="FootnoteReference"/>
          <w:rFonts w:ascii="Book Antiqua" w:hAnsi="Book Antiqua"/>
          <w:sz w:val="24"/>
          <w:szCs w:val="24"/>
        </w:rPr>
        <w:footnoteReference w:id="1"/>
      </w:r>
      <w:r w:rsidR="00973C43">
        <w:rPr>
          <w:rFonts w:ascii="Book Antiqua" w:hAnsi="Book Antiqua"/>
          <w:sz w:val="24"/>
          <w:szCs w:val="24"/>
        </w:rPr>
        <w:t xml:space="preserve">   As Barry and Øverland note, </w:t>
      </w:r>
      <w:r w:rsidR="00E5582D">
        <w:rPr>
          <w:rFonts w:ascii="Book Antiqua" w:hAnsi="Book Antiqua"/>
          <w:sz w:val="24"/>
          <w:szCs w:val="24"/>
        </w:rPr>
        <w:t xml:space="preserve">assessing the second type of argument requires an understanding of the difference between contributing to </w:t>
      </w:r>
      <w:r w:rsidR="00BE3F61">
        <w:rPr>
          <w:rFonts w:ascii="Book Antiqua" w:hAnsi="Book Antiqua"/>
          <w:sz w:val="24"/>
          <w:szCs w:val="24"/>
        </w:rPr>
        <w:t>an</w:t>
      </w:r>
      <w:r w:rsidR="00E5582D">
        <w:rPr>
          <w:rFonts w:ascii="Book Antiqua" w:hAnsi="Book Antiqua"/>
          <w:sz w:val="24"/>
          <w:szCs w:val="24"/>
        </w:rPr>
        <w:t xml:space="preserve"> outcome and simply failing to</w:t>
      </w:r>
      <w:r w:rsidR="001C193A">
        <w:rPr>
          <w:rFonts w:ascii="Book Antiqua" w:hAnsi="Book Antiqua"/>
          <w:sz w:val="24"/>
          <w:szCs w:val="24"/>
        </w:rPr>
        <w:t xml:space="preserve"> prevent it.  T</w:t>
      </w:r>
      <w:r w:rsidR="00E5582D">
        <w:rPr>
          <w:rFonts w:ascii="Book Antiqua" w:hAnsi="Book Antiqua"/>
          <w:sz w:val="24"/>
          <w:szCs w:val="24"/>
        </w:rPr>
        <w:t xml:space="preserve">hey </w:t>
      </w:r>
      <w:r w:rsidR="001C193A">
        <w:rPr>
          <w:rFonts w:ascii="Book Antiqua" w:hAnsi="Book Antiqua"/>
          <w:sz w:val="24"/>
          <w:szCs w:val="24"/>
        </w:rPr>
        <w:t xml:space="preserve">therefore </w:t>
      </w:r>
      <w:r w:rsidR="00E5582D">
        <w:rPr>
          <w:rFonts w:ascii="Book Antiqua" w:hAnsi="Book Antiqua"/>
          <w:sz w:val="24"/>
          <w:szCs w:val="24"/>
        </w:rPr>
        <w:t>engage with (in their words) “the literature on the so-called ‘doing/allowing’ distinction.”</w:t>
      </w:r>
      <w:r w:rsidR="00E5582D">
        <w:rPr>
          <w:rStyle w:val="FootnoteReference"/>
          <w:rFonts w:ascii="Book Antiqua" w:hAnsi="Book Antiqua"/>
          <w:sz w:val="24"/>
          <w:szCs w:val="24"/>
        </w:rPr>
        <w:footnoteReference w:id="2"/>
      </w:r>
      <w:r w:rsidR="00E5582D">
        <w:rPr>
          <w:rFonts w:ascii="Book Antiqua" w:hAnsi="Book Antiqua"/>
          <w:sz w:val="24"/>
          <w:szCs w:val="24"/>
        </w:rPr>
        <w:t xml:space="preserve"> </w:t>
      </w:r>
      <w:r w:rsidR="00315FEA">
        <w:rPr>
          <w:rFonts w:ascii="Book Antiqua" w:hAnsi="Book Antiqua"/>
          <w:sz w:val="24"/>
          <w:szCs w:val="24"/>
        </w:rPr>
        <w:t xml:space="preserve"> In this paper, </w:t>
      </w:r>
      <w:r w:rsidR="00A955A6">
        <w:rPr>
          <w:rFonts w:ascii="Book Antiqua" w:hAnsi="Book Antiqua"/>
          <w:sz w:val="24"/>
          <w:szCs w:val="24"/>
        </w:rPr>
        <w:t>I’ll outlin</w:t>
      </w:r>
      <w:r w:rsidR="001C193A">
        <w:rPr>
          <w:rFonts w:ascii="Book Antiqua" w:hAnsi="Book Antiqua"/>
          <w:sz w:val="24"/>
          <w:szCs w:val="24"/>
        </w:rPr>
        <w:t>e</w:t>
      </w:r>
      <w:r w:rsidR="00A955A6">
        <w:rPr>
          <w:rFonts w:ascii="Book Antiqua" w:hAnsi="Book Antiqua"/>
          <w:sz w:val="24"/>
          <w:szCs w:val="24"/>
        </w:rPr>
        <w:t xml:space="preserve"> </w:t>
      </w:r>
      <w:r w:rsidR="00A955A6" w:rsidRPr="00A955A6">
        <w:rPr>
          <w:rFonts w:ascii="Book Antiqua" w:hAnsi="Book Antiqua"/>
          <w:sz w:val="24"/>
          <w:szCs w:val="24"/>
        </w:rPr>
        <w:t>Barry and Øverland</w:t>
      </w:r>
      <w:r w:rsidR="00A955A6">
        <w:rPr>
          <w:rFonts w:ascii="Book Antiqua" w:hAnsi="Book Antiqua"/>
          <w:sz w:val="24"/>
          <w:szCs w:val="24"/>
        </w:rPr>
        <w:t xml:space="preserve">’s account of the </w:t>
      </w:r>
      <w:r w:rsidR="00BE3F61">
        <w:rPr>
          <w:rFonts w:ascii="Book Antiqua" w:hAnsi="Book Antiqua"/>
          <w:sz w:val="24"/>
          <w:szCs w:val="24"/>
        </w:rPr>
        <w:t>ways an agent might contribute to a harmful outcome</w:t>
      </w:r>
      <w:r w:rsidR="00A955A6">
        <w:rPr>
          <w:rFonts w:ascii="Book Antiqua" w:hAnsi="Book Antiqua"/>
          <w:sz w:val="24"/>
          <w:szCs w:val="24"/>
        </w:rPr>
        <w:t xml:space="preserve"> </w:t>
      </w:r>
      <w:r w:rsidR="005C0A1C">
        <w:rPr>
          <w:rFonts w:ascii="Book Antiqua" w:hAnsi="Book Antiqua"/>
          <w:sz w:val="24"/>
          <w:szCs w:val="24"/>
        </w:rPr>
        <w:t>and then discuss</w:t>
      </w:r>
      <w:r w:rsidR="00A955A6">
        <w:rPr>
          <w:rFonts w:ascii="Book Antiqua" w:hAnsi="Book Antiqua"/>
          <w:sz w:val="24"/>
          <w:szCs w:val="24"/>
        </w:rPr>
        <w:t xml:space="preserve"> some </w:t>
      </w:r>
      <w:r w:rsidR="000801CA">
        <w:rPr>
          <w:rFonts w:ascii="Book Antiqua" w:hAnsi="Book Antiqua"/>
          <w:sz w:val="24"/>
          <w:szCs w:val="24"/>
        </w:rPr>
        <w:t>concerns</w:t>
      </w:r>
      <w:r w:rsidR="00A955A6">
        <w:rPr>
          <w:rFonts w:ascii="Book Antiqua" w:hAnsi="Book Antiqua"/>
          <w:sz w:val="24"/>
          <w:szCs w:val="24"/>
        </w:rPr>
        <w:t>.</w:t>
      </w:r>
    </w:p>
    <w:p w14:paraId="684F8D4A" w14:textId="77777777" w:rsidR="00C10511" w:rsidRDefault="00C10511" w:rsidP="00C17C10">
      <w:pPr>
        <w:spacing w:line="360" w:lineRule="auto"/>
        <w:rPr>
          <w:rFonts w:ascii="Book Antiqua" w:hAnsi="Book Antiqua"/>
          <w:sz w:val="24"/>
          <w:szCs w:val="24"/>
        </w:rPr>
      </w:pPr>
    </w:p>
    <w:p w14:paraId="50B8FD26" w14:textId="77777777" w:rsidR="00A955A6" w:rsidRPr="00BE3F61" w:rsidRDefault="00A955A6" w:rsidP="00C17C10">
      <w:pPr>
        <w:spacing w:line="360" w:lineRule="auto"/>
        <w:rPr>
          <w:rFonts w:ascii="Book Antiqua" w:hAnsi="Book Antiqua"/>
          <w:b/>
          <w:sz w:val="24"/>
          <w:szCs w:val="24"/>
        </w:rPr>
      </w:pPr>
      <w:r w:rsidRPr="00A955A6">
        <w:rPr>
          <w:rFonts w:ascii="Book Antiqua" w:hAnsi="Book Antiqua"/>
          <w:b/>
          <w:sz w:val="24"/>
          <w:szCs w:val="24"/>
        </w:rPr>
        <w:t>Barry and Øverland’s Account of the Doing/Allowing/ Enabling Distinction</w:t>
      </w:r>
    </w:p>
    <w:p w14:paraId="63D46B5A" w14:textId="457362F3" w:rsidR="00321C18" w:rsidRDefault="00E5582D" w:rsidP="00BE3F61">
      <w:pPr>
        <w:spacing w:line="360" w:lineRule="auto"/>
        <w:rPr>
          <w:rFonts w:ascii="Book Antiqua" w:hAnsi="Book Antiqua"/>
          <w:sz w:val="24"/>
          <w:szCs w:val="24"/>
        </w:rPr>
      </w:pPr>
      <w:r w:rsidRPr="00A955A6">
        <w:rPr>
          <w:rFonts w:ascii="Book Antiqua" w:hAnsi="Book Antiqua"/>
          <w:sz w:val="24"/>
          <w:szCs w:val="24"/>
        </w:rPr>
        <w:t>Barry and Øverland</w:t>
      </w:r>
      <w:r>
        <w:rPr>
          <w:rFonts w:ascii="Book Antiqua" w:hAnsi="Book Antiqua"/>
          <w:sz w:val="24"/>
          <w:szCs w:val="24"/>
        </w:rPr>
        <w:t xml:space="preserve"> do not think that talk of the ‘doing/allowing distinction’ is helpful.  They wish to replace the traditional bipartite doing/allowing distinction (DAD) with a tripartite do</w:t>
      </w:r>
      <w:r w:rsidR="00447C90">
        <w:rPr>
          <w:rFonts w:ascii="Book Antiqua" w:hAnsi="Book Antiqua"/>
          <w:sz w:val="24"/>
          <w:szCs w:val="24"/>
        </w:rPr>
        <w:t>ing/allowing /</w:t>
      </w:r>
      <w:r>
        <w:rPr>
          <w:rFonts w:ascii="Book Antiqua" w:hAnsi="Book Antiqua"/>
          <w:sz w:val="24"/>
          <w:szCs w:val="24"/>
        </w:rPr>
        <w:t>enabling distinction (</w:t>
      </w:r>
      <w:r w:rsidR="00415231">
        <w:rPr>
          <w:rFonts w:ascii="Book Antiqua" w:hAnsi="Book Antiqua"/>
          <w:sz w:val="24"/>
          <w:szCs w:val="24"/>
        </w:rPr>
        <w:t>DAED</w:t>
      </w:r>
      <w:r>
        <w:rPr>
          <w:rFonts w:ascii="Book Antiqua" w:hAnsi="Book Antiqua"/>
          <w:sz w:val="24"/>
          <w:szCs w:val="24"/>
        </w:rPr>
        <w:t xml:space="preserve">).  The DAED recognises enabling harm as a distinct category, both </w:t>
      </w:r>
      <w:r w:rsidR="005D224A">
        <w:rPr>
          <w:rFonts w:ascii="Book Antiqua" w:hAnsi="Book Antiqua"/>
          <w:sz w:val="24"/>
          <w:szCs w:val="24"/>
        </w:rPr>
        <w:t>descriptively</w:t>
      </w:r>
      <w:r>
        <w:rPr>
          <w:rFonts w:ascii="Book Antiqua" w:hAnsi="Book Antiqua"/>
          <w:sz w:val="24"/>
          <w:szCs w:val="24"/>
        </w:rPr>
        <w:t xml:space="preserve"> and normatively different from either doing or allowing harm.   </w:t>
      </w:r>
    </w:p>
    <w:p w14:paraId="20C1B55F" w14:textId="02D97ABE" w:rsidR="00705AB8" w:rsidRDefault="00C17C10" w:rsidP="00015B59">
      <w:pPr>
        <w:spacing w:line="360" w:lineRule="auto"/>
        <w:ind w:firstLine="720"/>
        <w:rPr>
          <w:rFonts w:ascii="Book Antiqua" w:hAnsi="Book Antiqua"/>
          <w:sz w:val="24"/>
          <w:szCs w:val="24"/>
        </w:rPr>
      </w:pPr>
      <w:r>
        <w:rPr>
          <w:rFonts w:ascii="Book Antiqua" w:hAnsi="Book Antiqua"/>
          <w:sz w:val="24"/>
          <w:szCs w:val="24"/>
        </w:rPr>
        <w:t>On B</w:t>
      </w:r>
      <w:r w:rsidR="00733F08">
        <w:rPr>
          <w:rFonts w:ascii="Book Antiqua" w:hAnsi="Book Antiqua"/>
          <w:sz w:val="24"/>
          <w:szCs w:val="24"/>
        </w:rPr>
        <w:t>arry and Øverland’s view, clear-</w:t>
      </w:r>
      <w:r>
        <w:rPr>
          <w:rFonts w:ascii="Book Antiqua" w:hAnsi="Book Antiqua"/>
          <w:sz w:val="24"/>
          <w:szCs w:val="24"/>
        </w:rPr>
        <w:t xml:space="preserve">cut cases of doing harm possess two features: (1) </w:t>
      </w:r>
      <w:r w:rsidR="00321C18">
        <w:rPr>
          <w:rFonts w:ascii="Book Antiqua" w:hAnsi="Book Antiqua"/>
          <w:sz w:val="24"/>
          <w:szCs w:val="24"/>
        </w:rPr>
        <w:t xml:space="preserve">relevant action: “there is an answer to the question of </w:t>
      </w:r>
      <w:r w:rsidR="00321C18">
        <w:rPr>
          <w:rFonts w:ascii="Book Antiqua" w:hAnsi="Book Antiqua"/>
          <w:i/>
          <w:sz w:val="24"/>
          <w:szCs w:val="24"/>
        </w:rPr>
        <w:t>how</w:t>
      </w:r>
      <w:r w:rsidR="00321C18">
        <w:rPr>
          <w:rFonts w:ascii="Book Antiqua" w:hAnsi="Book Antiqua"/>
          <w:sz w:val="24"/>
          <w:szCs w:val="24"/>
        </w:rPr>
        <w:t xml:space="preserve"> she was relevant to [the harm] that refer</w:t>
      </w:r>
      <w:r w:rsidR="00BE3F61">
        <w:rPr>
          <w:rFonts w:ascii="Book Antiqua" w:hAnsi="Book Antiqua"/>
          <w:sz w:val="24"/>
          <w:szCs w:val="24"/>
        </w:rPr>
        <w:t>s</w:t>
      </w:r>
      <w:r w:rsidR="00321C18">
        <w:rPr>
          <w:rFonts w:ascii="Book Antiqua" w:hAnsi="Book Antiqua"/>
          <w:sz w:val="24"/>
          <w:szCs w:val="24"/>
        </w:rPr>
        <w:t xml:space="preserve"> to something she </w:t>
      </w:r>
      <w:r w:rsidR="00321C18" w:rsidRPr="00321C18">
        <w:rPr>
          <w:rFonts w:ascii="Book Antiqua" w:hAnsi="Book Antiqua"/>
          <w:i/>
          <w:sz w:val="24"/>
          <w:szCs w:val="24"/>
        </w:rPr>
        <w:t>did</w:t>
      </w:r>
      <w:r w:rsidR="00321C18">
        <w:rPr>
          <w:rFonts w:ascii="Book Antiqua" w:hAnsi="Book Antiqua"/>
          <w:sz w:val="24"/>
          <w:szCs w:val="24"/>
        </w:rPr>
        <w:t>”</w:t>
      </w:r>
      <w:r w:rsidR="00321C18">
        <w:rPr>
          <w:rStyle w:val="FootnoteReference"/>
          <w:rFonts w:ascii="Book Antiqua" w:hAnsi="Book Antiqua"/>
          <w:sz w:val="24"/>
          <w:szCs w:val="24"/>
        </w:rPr>
        <w:footnoteReference w:id="3"/>
      </w:r>
      <w:r w:rsidR="00321C18">
        <w:rPr>
          <w:rFonts w:ascii="Book Antiqua" w:hAnsi="Book Antiqua"/>
          <w:sz w:val="24"/>
          <w:szCs w:val="24"/>
        </w:rPr>
        <w:t xml:space="preserve">; (2) complete causal process: </w:t>
      </w:r>
      <w:r w:rsidR="00321C18">
        <w:rPr>
          <w:rFonts w:ascii="Book Antiqua" w:hAnsi="Book Antiqua"/>
          <w:sz w:val="24"/>
          <w:szCs w:val="24"/>
        </w:rPr>
        <w:lastRenderedPageBreak/>
        <w:t>“there is an intact sequence linking the relevant action [of the agent to the harm]</w:t>
      </w:r>
      <w:r w:rsidR="00015B59">
        <w:rPr>
          <w:rFonts w:ascii="Book Antiqua" w:hAnsi="Book Antiqua"/>
          <w:sz w:val="24"/>
          <w:szCs w:val="24"/>
        </w:rPr>
        <w:t>.</w:t>
      </w:r>
      <w:r w:rsidR="00321C18">
        <w:rPr>
          <w:rFonts w:ascii="Book Antiqua" w:hAnsi="Book Antiqua"/>
          <w:sz w:val="24"/>
          <w:szCs w:val="24"/>
        </w:rPr>
        <w:t>”</w:t>
      </w:r>
      <w:r w:rsidR="00015B59" w:rsidRPr="00015B59">
        <w:rPr>
          <w:rStyle w:val="FootnoteReference"/>
          <w:rFonts w:ascii="Book Antiqua" w:hAnsi="Book Antiqua"/>
          <w:sz w:val="24"/>
          <w:szCs w:val="24"/>
        </w:rPr>
        <w:t xml:space="preserve"> </w:t>
      </w:r>
      <w:r w:rsidR="00015B59">
        <w:rPr>
          <w:rStyle w:val="FootnoteReference"/>
          <w:rFonts w:ascii="Book Antiqua" w:hAnsi="Book Antiqua"/>
          <w:sz w:val="24"/>
          <w:szCs w:val="24"/>
        </w:rPr>
        <w:footnoteReference w:id="4"/>
      </w:r>
      <w:r w:rsidR="00015B59">
        <w:rPr>
          <w:rFonts w:ascii="Book Antiqua" w:hAnsi="Book Antiqua"/>
          <w:sz w:val="24"/>
          <w:szCs w:val="24"/>
        </w:rPr>
        <w:t xml:space="preserve"> Barry and Øverland </w:t>
      </w:r>
      <w:r w:rsidR="00821917">
        <w:rPr>
          <w:rFonts w:ascii="Book Antiqua" w:hAnsi="Book Antiqua"/>
          <w:sz w:val="24"/>
          <w:szCs w:val="24"/>
        </w:rPr>
        <w:t>note that in simple cases, a complete causal process</w:t>
      </w:r>
      <w:r w:rsidR="00015B59">
        <w:rPr>
          <w:rFonts w:ascii="Book Antiqua" w:hAnsi="Book Antiqua"/>
          <w:sz w:val="24"/>
          <w:szCs w:val="24"/>
        </w:rPr>
        <w:t xml:space="preserve"> </w:t>
      </w:r>
      <w:r w:rsidR="00821917">
        <w:rPr>
          <w:rFonts w:ascii="Book Antiqua" w:hAnsi="Book Antiqua"/>
          <w:sz w:val="24"/>
          <w:szCs w:val="24"/>
        </w:rPr>
        <w:t>i</w:t>
      </w:r>
      <w:r w:rsidR="00015B59">
        <w:rPr>
          <w:rFonts w:ascii="Book Antiqua" w:hAnsi="Book Antiqua"/>
          <w:sz w:val="24"/>
          <w:szCs w:val="24"/>
        </w:rPr>
        <w:t>s “</w:t>
      </w:r>
      <w:r w:rsidR="00015B59" w:rsidRPr="00015B59">
        <w:rPr>
          <w:rFonts w:ascii="Book Antiqua" w:hAnsi="Book Antiqua"/>
          <w:sz w:val="24"/>
          <w:szCs w:val="24"/>
          <w:lang w:val="en-US"/>
        </w:rPr>
        <w:t xml:space="preserve">a physical process involving the transfer of energy and momentum from </w:t>
      </w:r>
      <w:r w:rsidR="00015B59">
        <w:rPr>
          <w:rFonts w:ascii="Book Antiqua" w:hAnsi="Book Antiqua"/>
          <w:sz w:val="24"/>
          <w:szCs w:val="24"/>
          <w:lang w:val="en-US"/>
        </w:rPr>
        <w:t>[agent to victim]”.</w:t>
      </w:r>
      <w:r w:rsidR="00321C18">
        <w:rPr>
          <w:rStyle w:val="FootnoteReference"/>
          <w:rFonts w:ascii="Book Antiqua" w:hAnsi="Book Antiqua"/>
          <w:sz w:val="24"/>
          <w:szCs w:val="24"/>
        </w:rPr>
        <w:footnoteReference w:id="5"/>
      </w:r>
      <w:r w:rsidR="00733F08">
        <w:rPr>
          <w:rFonts w:ascii="Book Antiqua" w:hAnsi="Book Antiqua"/>
          <w:sz w:val="24"/>
          <w:szCs w:val="24"/>
        </w:rPr>
        <w:t xml:space="preserve"> </w:t>
      </w:r>
    </w:p>
    <w:p w14:paraId="67273FA6" w14:textId="0F854FA5" w:rsidR="0097365B" w:rsidRPr="00015B59" w:rsidRDefault="00321C18" w:rsidP="00015B59">
      <w:pPr>
        <w:spacing w:line="360" w:lineRule="auto"/>
        <w:ind w:firstLine="720"/>
        <w:rPr>
          <w:rFonts w:ascii="Book Antiqua" w:hAnsi="Book Antiqua"/>
          <w:sz w:val="24"/>
          <w:szCs w:val="24"/>
          <w:lang w:val="en-US"/>
        </w:rPr>
      </w:pPr>
      <w:r>
        <w:rPr>
          <w:rFonts w:ascii="Book Antiqua" w:hAnsi="Book Antiqua"/>
          <w:sz w:val="24"/>
          <w:szCs w:val="24"/>
        </w:rPr>
        <w:t xml:space="preserve">When both </w:t>
      </w:r>
      <w:r w:rsidR="00705AB8">
        <w:rPr>
          <w:rFonts w:ascii="Book Antiqua" w:hAnsi="Book Antiqua"/>
          <w:sz w:val="24"/>
          <w:szCs w:val="24"/>
        </w:rPr>
        <w:t>relevant action and a complete causal process</w:t>
      </w:r>
      <w:r w:rsidR="005D224A">
        <w:rPr>
          <w:rFonts w:ascii="Book Antiqua" w:hAnsi="Book Antiqua"/>
          <w:sz w:val="24"/>
          <w:szCs w:val="24"/>
        </w:rPr>
        <w:t xml:space="preserve"> are present, we </w:t>
      </w:r>
      <w:r w:rsidR="00237EA8">
        <w:rPr>
          <w:rFonts w:ascii="Book Antiqua" w:hAnsi="Book Antiqua"/>
          <w:sz w:val="24"/>
          <w:szCs w:val="24"/>
        </w:rPr>
        <w:t>have a clear-</w:t>
      </w:r>
      <w:r>
        <w:rPr>
          <w:rFonts w:ascii="Book Antiqua" w:hAnsi="Book Antiqua"/>
          <w:sz w:val="24"/>
          <w:szCs w:val="24"/>
        </w:rPr>
        <w:t xml:space="preserve">cut case of doing harm. </w:t>
      </w:r>
      <w:r w:rsidR="0097365B">
        <w:rPr>
          <w:rFonts w:ascii="Book Antiqua" w:hAnsi="Book Antiqua"/>
          <w:sz w:val="24"/>
          <w:szCs w:val="24"/>
        </w:rPr>
        <w:t xml:space="preserve">  </w:t>
      </w:r>
      <w:r w:rsidR="005D224A">
        <w:rPr>
          <w:rFonts w:ascii="Book Antiqua" w:hAnsi="Book Antiqua"/>
          <w:sz w:val="24"/>
          <w:szCs w:val="24"/>
        </w:rPr>
        <w:t xml:space="preserve">When both are absent, we </w:t>
      </w:r>
      <w:r>
        <w:rPr>
          <w:rFonts w:ascii="Book Antiqua" w:hAnsi="Book Antiqua"/>
          <w:sz w:val="24"/>
          <w:szCs w:val="24"/>
        </w:rPr>
        <w:t>have a clea</w:t>
      </w:r>
      <w:r w:rsidR="00237EA8">
        <w:rPr>
          <w:rFonts w:ascii="Book Antiqua" w:hAnsi="Book Antiqua"/>
          <w:sz w:val="24"/>
          <w:szCs w:val="24"/>
        </w:rPr>
        <w:t>r-</w:t>
      </w:r>
      <w:r>
        <w:rPr>
          <w:rFonts w:ascii="Book Antiqua" w:hAnsi="Book Antiqua"/>
          <w:sz w:val="24"/>
          <w:szCs w:val="24"/>
        </w:rPr>
        <w:t xml:space="preserve">cut case of merely allowing harm.  Our judgments about </w:t>
      </w:r>
      <w:r w:rsidR="00BE3F61">
        <w:rPr>
          <w:rFonts w:ascii="Book Antiqua" w:hAnsi="Book Antiqua"/>
          <w:sz w:val="24"/>
          <w:szCs w:val="24"/>
        </w:rPr>
        <w:t xml:space="preserve">such </w:t>
      </w:r>
      <w:r w:rsidR="00C10511">
        <w:rPr>
          <w:rFonts w:ascii="Book Antiqua" w:hAnsi="Book Antiqua"/>
          <w:sz w:val="24"/>
          <w:szCs w:val="24"/>
        </w:rPr>
        <w:t>clear-cut</w:t>
      </w:r>
      <w:r>
        <w:rPr>
          <w:rFonts w:ascii="Book Antiqua" w:hAnsi="Book Antiqua"/>
          <w:sz w:val="24"/>
          <w:szCs w:val="24"/>
        </w:rPr>
        <w:t xml:space="preserve"> cases exhibit two important features, convergence (pretty much everyone agrees about how the cases should be classified) and robustness (these judgments aren’t swayed </w:t>
      </w:r>
      <w:r w:rsidR="003C4128">
        <w:rPr>
          <w:rFonts w:ascii="Book Antiqua" w:hAnsi="Book Antiqua"/>
          <w:sz w:val="24"/>
          <w:szCs w:val="24"/>
        </w:rPr>
        <w:t xml:space="preserve">by factors relating to moral culpability: knowledge, intentions, avoidance costs etc.).  In contrast, Barry and Øverland argue, when relevant action is present, but there is no complete causal process linking the agent to the harm, we will have an intermediate case.  Judgments about intermediate cases exhibit lack of convergence </w:t>
      </w:r>
      <w:r w:rsidR="005D224A">
        <w:rPr>
          <w:rFonts w:ascii="Book Antiqua" w:hAnsi="Book Antiqua"/>
          <w:sz w:val="24"/>
          <w:szCs w:val="24"/>
        </w:rPr>
        <w:t>and fragility.  B</w:t>
      </w:r>
      <w:r w:rsidR="003C4128">
        <w:rPr>
          <w:rFonts w:ascii="Book Antiqua" w:hAnsi="Book Antiqua"/>
          <w:sz w:val="24"/>
          <w:szCs w:val="24"/>
        </w:rPr>
        <w:t>oth philosophers and the general public disagree about whether the case</w:t>
      </w:r>
      <w:r w:rsidR="005D224A">
        <w:rPr>
          <w:rFonts w:ascii="Book Antiqua" w:hAnsi="Book Antiqua"/>
          <w:sz w:val="24"/>
          <w:szCs w:val="24"/>
        </w:rPr>
        <w:t>s are doings or mere allowings.  C</w:t>
      </w:r>
      <w:r w:rsidR="003C4128">
        <w:rPr>
          <w:rFonts w:ascii="Book Antiqua" w:hAnsi="Book Antiqua"/>
          <w:sz w:val="24"/>
          <w:szCs w:val="24"/>
        </w:rPr>
        <w:t>hanging features such as the agent’s knowledge or intention or the avoidance costs changes whether people classif</w:t>
      </w:r>
      <w:r w:rsidR="005D224A">
        <w:rPr>
          <w:rFonts w:ascii="Book Antiqua" w:hAnsi="Book Antiqua"/>
          <w:sz w:val="24"/>
          <w:szCs w:val="24"/>
        </w:rPr>
        <w:t>y the case as doing or allowing</w:t>
      </w:r>
      <w:r w:rsidR="003C4128">
        <w:rPr>
          <w:rFonts w:ascii="Book Antiqua" w:hAnsi="Book Antiqua"/>
          <w:sz w:val="24"/>
          <w:szCs w:val="24"/>
        </w:rPr>
        <w:t>.</w:t>
      </w:r>
      <w:r w:rsidR="00D51BCF">
        <w:rPr>
          <w:rStyle w:val="FootnoteReference"/>
          <w:rFonts w:ascii="Book Antiqua" w:hAnsi="Book Antiqua"/>
          <w:sz w:val="24"/>
          <w:szCs w:val="24"/>
        </w:rPr>
        <w:footnoteReference w:id="6"/>
      </w:r>
      <w:r w:rsidR="00CF4F8D">
        <w:rPr>
          <w:rFonts w:ascii="Book Antiqua" w:hAnsi="Book Antiqua"/>
          <w:sz w:val="24"/>
          <w:szCs w:val="24"/>
        </w:rPr>
        <w:t xml:space="preserve">  </w:t>
      </w:r>
    </w:p>
    <w:p w14:paraId="67C1A8FB" w14:textId="7308D8DB" w:rsidR="0097365B" w:rsidRDefault="00110CB1" w:rsidP="00357D7F">
      <w:pPr>
        <w:spacing w:line="360" w:lineRule="auto"/>
        <w:ind w:firstLine="720"/>
        <w:rPr>
          <w:rFonts w:ascii="Book Antiqua" w:hAnsi="Book Antiqua"/>
          <w:sz w:val="24"/>
          <w:szCs w:val="24"/>
        </w:rPr>
      </w:pPr>
      <w:r>
        <w:rPr>
          <w:rFonts w:ascii="Book Antiqua" w:hAnsi="Book Antiqua"/>
          <w:sz w:val="24"/>
          <w:szCs w:val="24"/>
        </w:rPr>
        <w:t>C</w:t>
      </w:r>
      <w:r w:rsidR="0097365B">
        <w:rPr>
          <w:rFonts w:ascii="Book Antiqua" w:hAnsi="Book Antiqua"/>
          <w:sz w:val="24"/>
          <w:szCs w:val="24"/>
        </w:rPr>
        <w:t xml:space="preserve">onsider the </w:t>
      </w:r>
      <w:r w:rsidR="00357D7F">
        <w:rPr>
          <w:rFonts w:ascii="Book Antiqua" w:hAnsi="Book Antiqua"/>
          <w:sz w:val="24"/>
          <w:szCs w:val="24"/>
        </w:rPr>
        <w:t>following cases:</w:t>
      </w:r>
    </w:p>
    <w:p w14:paraId="0B7C91AF" w14:textId="77777777" w:rsidR="00532C39" w:rsidRDefault="0097365B" w:rsidP="00A955A6">
      <w:pPr>
        <w:pStyle w:val="Quote"/>
      </w:pPr>
      <w:r>
        <w:t xml:space="preserve">Push:  A cart stands at the top of a hill, Sue pushes it.  The cart </w:t>
      </w:r>
      <w:r w:rsidR="00357D7F">
        <w:t>rolls down the hill and injures Bill who is sitting at the bottom of the hill.</w:t>
      </w:r>
    </w:p>
    <w:p w14:paraId="44ED9AA6" w14:textId="470925BC" w:rsidR="00357D7F" w:rsidRDefault="00357D7F" w:rsidP="00A955A6">
      <w:pPr>
        <w:pStyle w:val="Quote"/>
      </w:pPr>
      <w:r>
        <w:t>Stay Back: The cart is already rolling.  Sue could, but does not</w:t>
      </w:r>
      <w:r w:rsidR="005D224A">
        <w:t>,</w:t>
      </w:r>
      <w:r>
        <w:t xml:space="preserve"> interpose a rock, which would stop it.  The cart roll</w:t>
      </w:r>
      <w:r w:rsidR="005D224A">
        <w:t>s down the hill and injures Bill</w:t>
      </w:r>
      <w:r>
        <w:t xml:space="preserve"> who is sitting at the bottom of the hill.</w:t>
      </w:r>
    </w:p>
    <w:p w14:paraId="6A52B55C" w14:textId="77777777" w:rsidR="00357D7F" w:rsidRDefault="00357D7F" w:rsidP="00A955A6">
      <w:pPr>
        <w:pStyle w:val="Quote"/>
      </w:pPr>
      <w:r>
        <w:t>Remove: A cart is rolling towards a point where there is a rock that would bring it to a halt.  Sue removes the rock; the cart rolls down the hill and injures Bill who is sitting there.</w:t>
      </w:r>
      <w:r>
        <w:rPr>
          <w:rStyle w:val="FootnoteReference"/>
          <w:rFonts w:ascii="Book Antiqua" w:hAnsi="Book Antiqua"/>
          <w:sz w:val="24"/>
          <w:szCs w:val="24"/>
        </w:rPr>
        <w:footnoteReference w:id="7"/>
      </w:r>
    </w:p>
    <w:p w14:paraId="02046936" w14:textId="77777777" w:rsidR="00357D7F" w:rsidRDefault="00357D7F" w:rsidP="00357D7F">
      <w:pPr>
        <w:spacing w:line="360" w:lineRule="auto"/>
        <w:rPr>
          <w:rFonts w:ascii="Book Antiqua" w:hAnsi="Book Antiqua"/>
          <w:sz w:val="24"/>
          <w:szCs w:val="24"/>
        </w:rPr>
      </w:pPr>
    </w:p>
    <w:p w14:paraId="7E44E779" w14:textId="00CD8909" w:rsidR="003C36FB" w:rsidRDefault="00357D7F" w:rsidP="00357D7F">
      <w:pPr>
        <w:spacing w:line="360" w:lineRule="auto"/>
        <w:rPr>
          <w:rFonts w:ascii="Book Antiqua" w:hAnsi="Book Antiqua"/>
          <w:sz w:val="24"/>
          <w:szCs w:val="24"/>
        </w:rPr>
      </w:pPr>
      <w:r>
        <w:rPr>
          <w:rFonts w:ascii="Book Antiqua" w:hAnsi="Book Antiqua"/>
          <w:sz w:val="24"/>
          <w:szCs w:val="24"/>
        </w:rPr>
        <w:lastRenderedPageBreak/>
        <w:t>Push is a clear case of doing harm.  It involves both relevant action</w:t>
      </w:r>
      <w:r w:rsidR="00DE71F5">
        <w:rPr>
          <w:rFonts w:ascii="Book Antiqua" w:hAnsi="Book Antiqua"/>
          <w:sz w:val="24"/>
          <w:szCs w:val="24"/>
        </w:rPr>
        <w:t xml:space="preserve"> (Sue is relevant to Bill’s injuries by </w:t>
      </w:r>
      <w:r w:rsidR="00DE71F5">
        <w:rPr>
          <w:rFonts w:ascii="Book Antiqua" w:hAnsi="Book Antiqua"/>
          <w:i/>
          <w:sz w:val="24"/>
          <w:szCs w:val="24"/>
        </w:rPr>
        <w:t>pushing the cart)</w:t>
      </w:r>
      <w:r w:rsidR="005D224A">
        <w:rPr>
          <w:rStyle w:val="FootnoteReference"/>
          <w:rFonts w:ascii="Book Antiqua" w:hAnsi="Book Antiqua"/>
          <w:sz w:val="24"/>
          <w:szCs w:val="24"/>
        </w:rPr>
        <w:footnoteReference w:id="8"/>
      </w:r>
      <w:r>
        <w:rPr>
          <w:rFonts w:ascii="Book Antiqua" w:hAnsi="Book Antiqua"/>
          <w:sz w:val="24"/>
          <w:szCs w:val="24"/>
        </w:rPr>
        <w:t xml:space="preserve"> and a complete causal </w:t>
      </w:r>
      <w:r w:rsidR="003C36FB">
        <w:rPr>
          <w:rFonts w:ascii="Book Antiqua" w:hAnsi="Book Antiqua"/>
          <w:sz w:val="24"/>
          <w:szCs w:val="24"/>
        </w:rPr>
        <w:t>process</w:t>
      </w:r>
      <w:r w:rsidR="00DE71F5">
        <w:rPr>
          <w:rFonts w:ascii="Book Antiqua" w:hAnsi="Book Antiqua"/>
          <w:sz w:val="24"/>
          <w:szCs w:val="24"/>
        </w:rPr>
        <w:t xml:space="preserve"> (energy and momentum is transferred from Sue to Bill)</w:t>
      </w:r>
      <w:r w:rsidR="003C36FB">
        <w:rPr>
          <w:rFonts w:ascii="Book Antiqua" w:hAnsi="Book Antiqua"/>
          <w:sz w:val="24"/>
          <w:szCs w:val="24"/>
        </w:rPr>
        <w:t>.</w:t>
      </w:r>
      <w:r w:rsidR="00020B47">
        <w:rPr>
          <w:rStyle w:val="FootnoteReference"/>
          <w:rFonts w:ascii="Book Antiqua" w:hAnsi="Book Antiqua"/>
          <w:sz w:val="24"/>
          <w:szCs w:val="24"/>
        </w:rPr>
        <w:footnoteReference w:id="9"/>
      </w:r>
      <w:r w:rsidR="003C36FB">
        <w:rPr>
          <w:rFonts w:ascii="Book Antiqua" w:hAnsi="Book Antiqua"/>
          <w:sz w:val="24"/>
          <w:szCs w:val="24"/>
        </w:rPr>
        <w:t xml:space="preserve">  Our judgment</w:t>
      </w:r>
      <w:r w:rsidR="00BE3F61">
        <w:rPr>
          <w:rFonts w:ascii="Book Antiqua" w:hAnsi="Book Antiqua"/>
          <w:sz w:val="24"/>
          <w:szCs w:val="24"/>
        </w:rPr>
        <w:t>s</w:t>
      </w:r>
      <w:r w:rsidR="003C36FB">
        <w:rPr>
          <w:rFonts w:ascii="Book Antiqua" w:hAnsi="Book Antiqua"/>
          <w:sz w:val="24"/>
          <w:szCs w:val="24"/>
        </w:rPr>
        <w:t xml:space="preserve"> that it is a doing show co</w:t>
      </w:r>
      <w:r w:rsidR="00155CD8">
        <w:rPr>
          <w:rFonts w:ascii="Book Antiqua" w:hAnsi="Book Antiqua"/>
          <w:sz w:val="24"/>
          <w:szCs w:val="24"/>
        </w:rPr>
        <w:t>nverg</w:t>
      </w:r>
      <w:r w:rsidR="003C36FB">
        <w:rPr>
          <w:rFonts w:ascii="Book Antiqua" w:hAnsi="Book Antiqua"/>
          <w:sz w:val="24"/>
          <w:szCs w:val="24"/>
        </w:rPr>
        <w:t xml:space="preserve">ence </w:t>
      </w:r>
      <w:r w:rsidR="005D224A">
        <w:rPr>
          <w:rFonts w:ascii="Book Antiqua" w:hAnsi="Book Antiqua"/>
          <w:sz w:val="24"/>
          <w:szCs w:val="24"/>
        </w:rPr>
        <w:t xml:space="preserve">and robustness.  As Barry and Øverland  note: </w:t>
      </w:r>
      <w:r w:rsidR="003C36FB">
        <w:rPr>
          <w:rFonts w:ascii="Book Antiqua" w:hAnsi="Book Antiqua"/>
          <w:sz w:val="24"/>
          <w:szCs w:val="24"/>
        </w:rPr>
        <w:t>“Sue does harm to Bill - we know of no-one who would suggest otherwise.”</w:t>
      </w:r>
      <w:r w:rsidR="003C36FB">
        <w:rPr>
          <w:rStyle w:val="FootnoteReference"/>
          <w:rFonts w:ascii="Book Antiqua" w:hAnsi="Book Antiqua"/>
          <w:sz w:val="24"/>
          <w:szCs w:val="24"/>
        </w:rPr>
        <w:footnoteReference w:id="10"/>
      </w:r>
      <w:r w:rsidR="005D224A">
        <w:rPr>
          <w:rFonts w:ascii="Book Antiqua" w:hAnsi="Book Antiqua"/>
          <w:sz w:val="24"/>
          <w:szCs w:val="24"/>
        </w:rPr>
        <w:t xml:space="preserve"> And </w:t>
      </w:r>
      <w:r w:rsidR="003C36FB">
        <w:rPr>
          <w:rFonts w:ascii="Book Antiqua" w:hAnsi="Book Antiqua"/>
          <w:sz w:val="24"/>
          <w:szCs w:val="24"/>
        </w:rPr>
        <w:t>“Sue does harm in Push whether or not she intends, foresees, or should have foreseen that harm will result from her conduct, and whether or not preventing harm would be costly to her.”</w:t>
      </w:r>
      <w:r w:rsidR="003C36FB">
        <w:rPr>
          <w:rStyle w:val="FootnoteReference"/>
          <w:rFonts w:ascii="Book Antiqua" w:hAnsi="Book Antiqua"/>
          <w:sz w:val="24"/>
          <w:szCs w:val="24"/>
        </w:rPr>
        <w:footnoteReference w:id="11"/>
      </w:r>
      <w:r w:rsidR="003C36FB">
        <w:rPr>
          <w:rFonts w:ascii="Book Antiqua" w:hAnsi="Book Antiqua"/>
          <w:sz w:val="24"/>
          <w:szCs w:val="24"/>
        </w:rPr>
        <w:t xml:space="preserve"> </w:t>
      </w:r>
    </w:p>
    <w:p w14:paraId="34710944" w14:textId="3A9D1398" w:rsidR="00A955A6" w:rsidRDefault="003C36FB" w:rsidP="00A955A6">
      <w:pPr>
        <w:spacing w:line="360" w:lineRule="auto"/>
        <w:ind w:firstLine="720"/>
        <w:rPr>
          <w:rFonts w:ascii="Book Antiqua" w:hAnsi="Book Antiqua"/>
          <w:sz w:val="24"/>
          <w:szCs w:val="24"/>
        </w:rPr>
      </w:pPr>
      <w:r>
        <w:rPr>
          <w:rFonts w:ascii="Book Antiqua" w:hAnsi="Book Antiqua"/>
          <w:sz w:val="24"/>
          <w:szCs w:val="24"/>
        </w:rPr>
        <w:t>Stay Back is a clear case of merely allowing harm.  There is no relevant action</w:t>
      </w:r>
      <w:r w:rsidR="00A345B9">
        <w:rPr>
          <w:rFonts w:ascii="Book Antiqua" w:hAnsi="Book Antiqua"/>
          <w:sz w:val="24"/>
          <w:szCs w:val="24"/>
        </w:rPr>
        <w:t>.</w:t>
      </w:r>
      <w:r w:rsidR="005D224A">
        <w:rPr>
          <w:rFonts w:ascii="Book Antiqua" w:hAnsi="Book Antiqua"/>
          <w:sz w:val="24"/>
          <w:szCs w:val="24"/>
        </w:rPr>
        <w:t xml:space="preserve"> Barry and Øverland claim:  </w:t>
      </w:r>
      <w:r>
        <w:rPr>
          <w:rFonts w:ascii="Book Antiqua" w:hAnsi="Book Antiqua"/>
          <w:sz w:val="24"/>
          <w:szCs w:val="24"/>
        </w:rPr>
        <w:t xml:space="preserve">“In Stay Back the answer to the how question… will … refer to something that Sue didn’t do: her relevance to the outcome is that she did </w:t>
      </w:r>
      <w:r>
        <w:rPr>
          <w:rFonts w:ascii="Book Antiqua" w:hAnsi="Book Antiqua"/>
          <w:i/>
          <w:sz w:val="24"/>
          <w:szCs w:val="24"/>
        </w:rPr>
        <w:t>not</w:t>
      </w:r>
      <w:r>
        <w:rPr>
          <w:rFonts w:ascii="Book Antiqua" w:hAnsi="Book Antiqua"/>
          <w:sz w:val="24"/>
          <w:szCs w:val="24"/>
        </w:rPr>
        <w:t xml:space="preserve"> interpose</w:t>
      </w:r>
      <w:r w:rsidR="00DB6382">
        <w:rPr>
          <w:rFonts w:ascii="Book Antiqua" w:hAnsi="Book Antiqua"/>
          <w:sz w:val="24"/>
          <w:szCs w:val="24"/>
        </w:rPr>
        <w:t xml:space="preserve"> the rock</w:t>
      </w:r>
      <w:r w:rsidR="005D224A">
        <w:rPr>
          <w:rFonts w:ascii="Book Antiqua" w:hAnsi="Book Antiqua"/>
          <w:sz w:val="24"/>
          <w:szCs w:val="24"/>
        </w:rPr>
        <w:t>.</w:t>
      </w:r>
      <w:r>
        <w:rPr>
          <w:rFonts w:ascii="Book Antiqua" w:hAnsi="Book Antiqua"/>
          <w:sz w:val="24"/>
          <w:szCs w:val="24"/>
        </w:rPr>
        <w:t>”</w:t>
      </w:r>
      <w:r>
        <w:rPr>
          <w:rStyle w:val="FootnoteReference"/>
          <w:rFonts w:ascii="Book Antiqua" w:hAnsi="Book Antiqua"/>
          <w:sz w:val="24"/>
          <w:szCs w:val="24"/>
        </w:rPr>
        <w:footnoteReference w:id="12"/>
      </w:r>
      <w:r>
        <w:rPr>
          <w:rFonts w:ascii="Book Antiqua" w:hAnsi="Book Antiqua"/>
          <w:sz w:val="24"/>
          <w:szCs w:val="24"/>
        </w:rPr>
        <w:t xml:space="preserve"> Again, our judgment</w:t>
      </w:r>
      <w:r w:rsidR="00BE3F61">
        <w:rPr>
          <w:rFonts w:ascii="Book Antiqua" w:hAnsi="Book Antiqua"/>
          <w:sz w:val="24"/>
          <w:szCs w:val="24"/>
        </w:rPr>
        <w:t>s</w:t>
      </w:r>
      <w:r>
        <w:rPr>
          <w:rFonts w:ascii="Book Antiqua" w:hAnsi="Book Antiqua"/>
          <w:sz w:val="24"/>
          <w:szCs w:val="24"/>
        </w:rPr>
        <w:t xml:space="preserve"> that it is an allowing show robustness and coherence.</w:t>
      </w:r>
    </w:p>
    <w:p w14:paraId="6F7D4D4B" w14:textId="230F2B9C" w:rsidR="00A61E29" w:rsidRDefault="00DB6382" w:rsidP="00A955A6">
      <w:pPr>
        <w:spacing w:line="360" w:lineRule="auto"/>
        <w:ind w:firstLine="720"/>
        <w:rPr>
          <w:rFonts w:ascii="Book Antiqua" w:hAnsi="Book Antiqua"/>
          <w:sz w:val="24"/>
          <w:szCs w:val="24"/>
        </w:rPr>
      </w:pPr>
      <w:r>
        <w:rPr>
          <w:rFonts w:ascii="Book Antiqua" w:hAnsi="Book Antiqua"/>
          <w:sz w:val="24"/>
          <w:szCs w:val="24"/>
        </w:rPr>
        <w:t>In R</w:t>
      </w:r>
      <w:r w:rsidR="00C10511">
        <w:rPr>
          <w:rFonts w:ascii="Book Antiqua" w:hAnsi="Book Antiqua"/>
          <w:sz w:val="24"/>
          <w:szCs w:val="24"/>
        </w:rPr>
        <w:t>emove, Barry and Øverland claim</w:t>
      </w:r>
      <w:r>
        <w:rPr>
          <w:rFonts w:ascii="Book Antiqua" w:hAnsi="Book Antiqua"/>
          <w:sz w:val="24"/>
          <w:szCs w:val="24"/>
        </w:rPr>
        <w:t xml:space="preserve"> that there is a relevant action (“… the answer to how Sue is relevant to Bill’s injuries refers to something she does: </w:t>
      </w:r>
      <w:r w:rsidR="00A345B9">
        <w:rPr>
          <w:rFonts w:ascii="Book Antiqua" w:hAnsi="Book Antiqua"/>
          <w:sz w:val="24"/>
          <w:szCs w:val="24"/>
        </w:rPr>
        <w:t xml:space="preserve">she </w:t>
      </w:r>
      <w:r>
        <w:rPr>
          <w:rFonts w:ascii="Book Antiqua" w:hAnsi="Book Antiqua"/>
          <w:sz w:val="24"/>
          <w:szCs w:val="24"/>
        </w:rPr>
        <w:t>removed the rock that would have prevented them</w:t>
      </w:r>
      <w:r w:rsidR="005D224A">
        <w:rPr>
          <w:rFonts w:ascii="Book Antiqua" w:hAnsi="Book Antiqua"/>
          <w:sz w:val="24"/>
          <w:szCs w:val="24"/>
        </w:rPr>
        <w:t>.</w:t>
      </w:r>
      <w:r>
        <w:rPr>
          <w:rFonts w:ascii="Book Antiqua" w:hAnsi="Book Antiqua"/>
          <w:sz w:val="24"/>
          <w:szCs w:val="24"/>
        </w:rPr>
        <w:t>”</w:t>
      </w:r>
      <w:r>
        <w:rPr>
          <w:rStyle w:val="FootnoteReference"/>
          <w:rFonts w:ascii="Book Antiqua" w:hAnsi="Book Antiqua"/>
          <w:sz w:val="24"/>
          <w:szCs w:val="24"/>
        </w:rPr>
        <w:footnoteReference w:id="13"/>
      </w:r>
      <w:r w:rsidR="005D224A">
        <w:rPr>
          <w:rFonts w:ascii="Book Antiqua" w:hAnsi="Book Antiqua"/>
          <w:sz w:val="24"/>
          <w:szCs w:val="24"/>
        </w:rPr>
        <w:t>) However, they claim there is</w:t>
      </w:r>
      <w:r>
        <w:rPr>
          <w:rFonts w:ascii="Book Antiqua" w:hAnsi="Book Antiqua"/>
          <w:sz w:val="24"/>
          <w:szCs w:val="24"/>
        </w:rPr>
        <w:t xml:space="preserve"> no complete causal process</w:t>
      </w:r>
      <w:r w:rsidR="005D224A">
        <w:rPr>
          <w:rFonts w:ascii="Book Antiqua" w:hAnsi="Book Antiqua"/>
          <w:sz w:val="24"/>
          <w:szCs w:val="24"/>
        </w:rPr>
        <w:t xml:space="preserve">: </w:t>
      </w:r>
      <w:r>
        <w:rPr>
          <w:rFonts w:ascii="Book Antiqua" w:hAnsi="Book Antiqua"/>
          <w:sz w:val="24"/>
          <w:szCs w:val="24"/>
        </w:rPr>
        <w:t>“There may be such a process between Sue and something the rock hits – for example, if Sue removes it by kicking it away and it slams into a nearby tree.  However, there is no complete causal process running from Sue through the cart and down to Bill</w:t>
      </w:r>
      <w:r w:rsidR="005D224A">
        <w:rPr>
          <w:rFonts w:ascii="Book Antiqua" w:hAnsi="Book Antiqua"/>
          <w:sz w:val="24"/>
          <w:szCs w:val="24"/>
        </w:rPr>
        <w:t>.</w:t>
      </w:r>
      <w:r>
        <w:rPr>
          <w:rFonts w:ascii="Book Antiqua" w:hAnsi="Book Antiqua"/>
          <w:sz w:val="24"/>
          <w:szCs w:val="24"/>
        </w:rPr>
        <w:t>”</w:t>
      </w:r>
      <w:r>
        <w:rPr>
          <w:rStyle w:val="FootnoteReference"/>
          <w:rFonts w:ascii="Book Antiqua" w:hAnsi="Book Antiqua"/>
          <w:sz w:val="24"/>
          <w:szCs w:val="24"/>
        </w:rPr>
        <w:footnoteReference w:id="14"/>
      </w:r>
      <w:r>
        <w:rPr>
          <w:rFonts w:ascii="Book Antiqua" w:hAnsi="Book Antiqua"/>
          <w:sz w:val="24"/>
          <w:szCs w:val="24"/>
        </w:rPr>
        <w:t xml:space="preserve"> </w:t>
      </w:r>
      <w:r w:rsidR="006A3343">
        <w:rPr>
          <w:rFonts w:ascii="Book Antiqua" w:hAnsi="Book Antiqua"/>
          <w:sz w:val="24"/>
          <w:szCs w:val="24"/>
        </w:rPr>
        <w:t>Our judgments about how to classify this case do not exhibit coherence or robustness.  Some people classify Remove as a doing a</w:t>
      </w:r>
      <w:r w:rsidR="00821917">
        <w:rPr>
          <w:rFonts w:ascii="Book Antiqua" w:hAnsi="Book Antiqua"/>
          <w:sz w:val="24"/>
          <w:szCs w:val="24"/>
        </w:rPr>
        <w:t xml:space="preserve">nd others as a mere allowing.  </w:t>
      </w:r>
      <w:r w:rsidR="006A3343">
        <w:rPr>
          <w:rFonts w:ascii="Book Antiqua" w:hAnsi="Book Antiqua"/>
          <w:sz w:val="24"/>
          <w:szCs w:val="24"/>
        </w:rPr>
        <w:t>Barry and Øverland support claims</w:t>
      </w:r>
      <w:r w:rsidR="00BE3F61">
        <w:rPr>
          <w:rFonts w:ascii="Book Antiqua" w:hAnsi="Book Antiqua"/>
          <w:sz w:val="24"/>
          <w:szCs w:val="24"/>
        </w:rPr>
        <w:t xml:space="preserve"> about the judgments of ordinary people</w:t>
      </w:r>
      <w:r w:rsidR="006A3343">
        <w:rPr>
          <w:rFonts w:ascii="Book Antiqua" w:hAnsi="Book Antiqua"/>
          <w:sz w:val="24"/>
          <w:szCs w:val="24"/>
        </w:rPr>
        <w:t xml:space="preserve"> with empirical studies from previous work</w:t>
      </w:r>
      <w:r w:rsidR="006A3343">
        <w:rPr>
          <w:rStyle w:val="FootnoteReference"/>
          <w:rFonts w:ascii="Book Antiqua" w:hAnsi="Book Antiqua"/>
          <w:sz w:val="24"/>
          <w:szCs w:val="24"/>
        </w:rPr>
        <w:footnoteReference w:id="15"/>
      </w:r>
      <w:r w:rsidR="00821917">
        <w:rPr>
          <w:rFonts w:ascii="Book Antiqua" w:hAnsi="Book Antiqua"/>
          <w:sz w:val="24"/>
          <w:szCs w:val="24"/>
        </w:rPr>
        <w:t xml:space="preserve"> and cite examples to show similar disagreement amongst p</w:t>
      </w:r>
      <w:r w:rsidR="000225B8">
        <w:rPr>
          <w:rFonts w:ascii="Book Antiqua" w:hAnsi="Book Antiqua"/>
          <w:sz w:val="24"/>
          <w:szCs w:val="24"/>
        </w:rPr>
        <w:t xml:space="preserve">hilosophers who have tried to </w:t>
      </w:r>
      <w:r w:rsidR="000225B8">
        <w:rPr>
          <w:rFonts w:ascii="Book Antiqua" w:hAnsi="Book Antiqua"/>
          <w:sz w:val="24"/>
          <w:szCs w:val="24"/>
        </w:rPr>
        <w:lastRenderedPageBreak/>
        <w:t>analyse the distinction.</w:t>
      </w:r>
      <w:r w:rsidR="000225B8">
        <w:rPr>
          <w:rStyle w:val="FootnoteReference"/>
          <w:rFonts w:ascii="Book Antiqua" w:hAnsi="Book Antiqua"/>
          <w:sz w:val="24"/>
          <w:szCs w:val="24"/>
        </w:rPr>
        <w:footnoteReference w:id="16"/>
      </w:r>
      <w:r w:rsidR="000225B8">
        <w:rPr>
          <w:rFonts w:ascii="Book Antiqua" w:hAnsi="Book Antiqua"/>
          <w:sz w:val="24"/>
          <w:szCs w:val="24"/>
        </w:rPr>
        <w:t xml:space="preserve"> </w:t>
      </w:r>
      <w:r w:rsidR="00821917">
        <w:rPr>
          <w:rFonts w:ascii="Book Antiqua" w:hAnsi="Book Antiqua"/>
          <w:sz w:val="24"/>
          <w:szCs w:val="24"/>
        </w:rPr>
        <w:t xml:space="preserve"> </w:t>
      </w:r>
      <w:r w:rsidR="000225B8">
        <w:rPr>
          <w:rFonts w:ascii="Book Antiqua" w:hAnsi="Book Antiqua"/>
          <w:sz w:val="24"/>
          <w:szCs w:val="24"/>
        </w:rPr>
        <w:t>Judgment</w:t>
      </w:r>
      <w:r w:rsidR="00BE3F61">
        <w:rPr>
          <w:rFonts w:ascii="Book Antiqua" w:hAnsi="Book Antiqua"/>
          <w:sz w:val="24"/>
          <w:szCs w:val="24"/>
        </w:rPr>
        <w:t>s</w:t>
      </w:r>
      <w:r w:rsidR="000225B8">
        <w:rPr>
          <w:rFonts w:ascii="Book Antiqua" w:hAnsi="Book Antiqua"/>
          <w:sz w:val="24"/>
          <w:szCs w:val="24"/>
        </w:rPr>
        <w:t xml:space="preserve"> about Remove exhibit fragility:</w:t>
      </w:r>
      <w:r w:rsidR="00A61E29">
        <w:rPr>
          <w:rFonts w:ascii="Book Antiqua" w:hAnsi="Book Antiqua"/>
          <w:sz w:val="24"/>
          <w:szCs w:val="24"/>
        </w:rPr>
        <w:t xml:space="preserve"> there is a much stronger tendency to judge that Sue </w:t>
      </w:r>
      <w:r w:rsidR="00A61E29" w:rsidRPr="00BE3F61">
        <w:rPr>
          <w:rFonts w:ascii="Book Antiqua" w:hAnsi="Book Antiqua"/>
          <w:i/>
          <w:sz w:val="24"/>
          <w:szCs w:val="24"/>
        </w:rPr>
        <w:t>does</w:t>
      </w:r>
      <w:r w:rsidR="00A61E29">
        <w:rPr>
          <w:rFonts w:ascii="Book Antiqua" w:hAnsi="Book Antiqua"/>
          <w:sz w:val="24"/>
          <w:szCs w:val="24"/>
        </w:rPr>
        <w:t xml:space="preserve"> harm by removing the rock</w:t>
      </w:r>
      <w:r w:rsidR="000225B8">
        <w:rPr>
          <w:rFonts w:ascii="Book Antiqua" w:hAnsi="Book Antiqua"/>
          <w:sz w:val="24"/>
          <w:szCs w:val="24"/>
        </w:rPr>
        <w:t xml:space="preserve"> if </w:t>
      </w:r>
      <w:r w:rsidR="00A61E29">
        <w:rPr>
          <w:rFonts w:ascii="Book Antiqua" w:hAnsi="Book Antiqua"/>
          <w:sz w:val="24"/>
          <w:szCs w:val="24"/>
        </w:rPr>
        <w:t>she</w:t>
      </w:r>
      <w:r w:rsidR="000225B8">
        <w:rPr>
          <w:rFonts w:ascii="Book Antiqua" w:hAnsi="Book Antiqua"/>
          <w:sz w:val="24"/>
          <w:szCs w:val="24"/>
        </w:rPr>
        <w:t xml:space="preserve"> knows that Bill will be severely injured </w:t>
      </w:r>
      <w:r w:rsidR="00A61E29">
        <w:rPr>
          <w:rFonts w:ascii="Book Antiqua" w:hAnsi="Book Antiqua"/>
          <w:sz w:val="24"/>
          <w:szCs w:val="24"/>
        </w:rPr>
        <w:t>if she does so</w:t>
      </w:r>
      <w:r w:rsidR="000225B8">
        <w:rPr>
          <w:rFonts w:ascii="Book Antiqua" w:hAnsi="Book Antiqua"/>
          <w:sz w:val="24"/>
          <w:szCs w:val="24"/>
        </w:rPr>
        <w:t xml:space="preserve"> </w:t>
      </w:r>
      <w:r w:rsidR="00A61E29">
        <w:rPr>
          <w:rFonts w:ascii="Book Antiqua" w:hAnsi="Book Antiqua"/>
          <w:sz w:val="24"/>
          <w:szCs w:val="24"/>
        </w:rPr>
        <w:t>and the cost of refraining from doing so is small.</w:t>
      </w:r>
    </w:p>
    <w:p w14:paraId="350B1D0C" w14:textId="7353D6A9" w:rsidR="00892FA3" w:rsidRDefault="00A61E29" w:rsidP="003C36FB">
      <w:pPr>
        <w:spacing w:line="360" w:lineRule="auto"/>
        <w:ind w:firstLine="720"/>
        <w:rPr>
          <w:rFonts w:ascii="Book Antiqua" w:hAnsi="Book Antiqua"/>
          <w:sz w:val="24"/>
          <w:szCs w:val="24"/>
        </w:rPr>
      </w:pPr>
      <w:r>
        <w:rPr>
          <w:rFonts w:ascii="Book Antiqua" w:hAnsi="Book Antiqua"/>
          <w:sz w:val="24"/>
          <w:szCs w:val="24"/>
        </w:rPr>
        <w:t>Barry and Øverland conclude that these intermediate case</w:t>
      </w:r>
      <w:r w:rsidR="00BE3F61">
        <w:rPr>
          <w:rFonts w:ascii="Book Antiqua" w:hAnsi="Book Antiqua"/>
          <w:sz w:val="24"/>
          <w:szCs w:val="24"/>
        </w:rPr>
        <w:t>s should fall into a distinct</w:t>
      </w:r>
      <w:r>
        <w:rPr>
          <w:rFonts w:ascii="Book Antiqua" w:hAnsi="Book Antiqua"/>
          <w:sz w:val="24"/>
          <w:szCs w:val="24"/>
        </w:rPr>
        <w:t xml:space="preserve"> category: enabling harm.  For Barry and Øverland, enabling covers any case in which there is relevant action b</w:t>
      </w:r>
      <w:r w:rsidR="005D224A">
        <w:rPr>
          <w:rFonts w:ascii="Book Antiqua" w:hAnsi="Book Antiqua"/>
          <w:sz w:val="24"/>
          <w:szCs w:val="24"/>
        </w:rPr>
        <w:t>ut no</w:t>
      </w:r>
      <w:r w:rsidR="00C10511">
        <w:rPr>
          <w:rFonts w:ascii="Book Antiqua" w:hAnsi="Book Antiqua"/>
          <w:sz w:val="24"/>
          <w:szCs w:val="24"/>
        </w:rPr>
        <w:t xml:space="preserve"> complete causal process.  </w:t>
      </w:r>
      <w:r>
        <w:rPr>
          <w:rFonts w:ascii="Book Antiqua" w:hAnsi="Book Antiqua"/>
          <w:sz w:val="24"/>
          <w:szCs w:val="24"/>
        </w:rPr>
        <w:t>On Barry and Øverland’s view, enabling is neither equivalent to doing harm no</w:t>
      </w:r>
      <w:r w:rsidR="00C93565">
        <w:rPr>
          <w:rFonts w:ascii="Book Antiqua" w:hAnsi="Book Antiqua"/>
          <w:sz w:val="24"/>
          <w:szCs w:val="24"/>
        </w:rPr>
        <w:t>r equivalent to allowing harm</w:t>
      </w:r>
      <w:r w:rsidR="005D224A">
        <w:rPr>
          <w:rFonts w:ascii="Book Antiqua" w:hAnsi="Book Antiqua"/>
          <w:sz w:val="24"/>
          <w:szCs w:val="24"/>
        </w:rPr>
        <w:t xml:space="preserve">: </w:t>
      </w:r>
      <w:r>
        <w:rPr>
          <w:rFonts w:ascii="Book Antiqua" w:hAnsi="Book Antiqua"/>
          <w:sz w:val="24"/>
          <w:szCs w:val="24"/>
        </w:rPr>
        <w:t>“Agents who enable harm seem, intuitively, to ‘contribute’ to harm, and in this sense are distinct from those who merely allow harm to occur… But enablers of harm contribute to harm in a quite different manner from doers of harm, since the latter are linked to these harms by a complete causal process.”</w:t>
      </w:r>
      <w:r w:rsidR="00261145">
        <w:rPr>
          <w:rStyle w:val="FootnoteReference"/>
          <w:rFonts w:ascii="Book Antiqua" w:hAnsi="Book Antiqua"/>
          <w:sz w:val="24"/>
          <w:szCs w:val="24"/>
        </w:rPr>
        <w:footnoteReference w:id="17"/>
      </w:r>
      <w:r w:rsidR="00892FA3">
        <w:rPr>
          <w:rFonts w:ascii="Book Antiqua" w:hAnsi="Book Antiqua"/>
          <w:sz w:val="24"/>
          <w:szCs w:val="24"/>
        </w:rPr>
        <w:t xml:space="preserve">  </w:t>
      </w:r>
    </w:p>
    <w:p w14:paraId="0666374B" w14:textId="5AEF38A6" w:rsidR="00D93AD3" w:rsidRDefault="00892FA3" w:rsidP="00AB7CA4">
      <w:pPr>
        <w:spacing w:line="360" w:lineRule="auto"/>
        <w:ind w:firstLine="720"/>
        <w:rPr>
          <w:rFonts w:ascii="Book Antiqua" w:hAnsi="Book Antiqua"/>
          <w:sz w:val="24"/>
          <w:szCs w:val="24"/>
        </w:rPr>
      </w:pPr>
      <w:r>
        <w:rPr>
          <w:rFonts w:ascii="Book Antiqua" w:hAnsi="Book Antiqua"/>
          <w:sz w:val="24"/>
          <w:szCs w:val="24"/>
        </w:rPr>
        <w:t>Barry and Øverland hold that there is a moral difference between doing, enabling and allowing harm because of the moral significance of ‘giving rise to cost’.  “A person gives rise to cost when his or her location, movements or agency has as a consequence that a person be harmed.”</w:t>
      </w:r>
      <w:r>
        <w:rPr>
          <w:rStyle w:val="FootnoteReference"/>
          <w:rFonts w:ascii="Book Antiqua" w:hAnsi="Book Antiqua"/>
          <w:sz w:val="24"/>
          <w:szCs w:val="24"/>
        </w:rPr>
        <w:footnoteReference w:id="18"/>
      </w:r>
      <w:r>
        <w:rPr>
          <w:rFonts w:ascii="Book Antiqua" w:hAnsi="Book Antiqua"/>
          <w:sz w:val="24"/>
          <w:szCs w:val="24"/>
        </w:rPr>
        <w:t xml:space="preserve">  When a </w:t>
      </w:r>
      <w:r w:rsidR="00A345B9">
        <w:rPr>
          <w:rFonts w:ascii="Book Antiqua" w:hAnsi="Book Antiqua"/>
          <w:sz w:val="24"/>
          <w:szCs w:val="24"/>
        </w:rPr>
        <w:t xml:space="preserve">person gives rise to cost, </w:t>
      </w:r>
      <w:r>
        <w:rPr>
          <w:rFonts w:ascii="Book Antiqua" w:hAnsi="Book Antiqua"/>
          <w:sz w:val="24"/>
          <w:szCs w:val="24"/>
        </w:rPr>
        <w:t>the</w:t>
      </w:r>
      <w:r w:rsidR="008C6A53">
        <w:rPr>
          <w:rFonts w:ascii="Book Antiqua" w:hAnsi="Book Antiqua"/>
          <w:sz w:val="24"/>
          <w:szCs w:val="24"/>
        </w:rPr>
        <w:t>y</w:t>
      </w:r>
      <w:r>
        <w:rPr>
          <w:rFonts w:ascii="Book Antiqua" w:hAnsi="Book Antiqua"/>
          <w:sz w:val="24"/>
          <w:szCs w:val="24"/>
        </w:rPr>
        <w:t xml:space="preserve"> </w:t>
      </w:r>
      <w:r w:rsidR="00155CD8">
        <w:rPr>
          <w:rFonts w:ascii="Book Antiqua" w:hAnsi="Book Antiqua"/>
          <w:sz w:val="24"/>
          <w:szCs w:val="24"/>
        </w:rPr>
        <w:t>may be</w:t>
      </w:r>
      <w:r>
        <w:rPr>
          <w:rFonts w:ascii="Book Antiqua" w:hAnsi="Book Antiqua"/>
          <w:sz w:val="24"/>
          <w:szCs w:val="24"/>
        </w:rPr>
        <w:t xml:space="preserve"> r</w:t>
      </w:r>
      <w:r w:rsidR="008C6A53">
        <w:rPr>
          <w:rFonts w:ascii="Book Antiqua" w:hAnsi="Book Antiqua"/>
          <w:sz w:val="24"/>
          <w:szCs w:val="24"/>
        </w:rPr>
        <w:t xml:space="preserve">equired to bear greater costs to prevent others from suffering harm. </w:t>
      </w:r>
      <w:r>
        <w:rPr>
          <w:rFonts w:ascii="Book Antiqua" w:hAnsi="Book Antiqua"/>
          <w:sz w:val="24"/>
          <w:szCs w:val="24"/>
        </w:rPr>
        <w:t xml:space="preserve">Except in cases of overdetermination, when an agent does harm or enables harm, he gives </w:t>
      </w:r>
      <w:r w:rsidR="008C6A53">
        <w:rPr>
          <w:rFonts w:ascii="Book Antiqua" w:hAnsi="Book Antiqua"/>
          <w:sz w:val="24"/>
          <w:szCs w:val="24"/>
        </w:rPr>
        <w:t>rise to cost; when an agent merely allows harm he does not give rise to cost.  However, how much extra cost the agent m</w:t>
      </w:r>
      <w:r w:rsidR="00155CD8">
        <w:rPr>
          <w:rFonts w:ascii="Book Antiqua" w:hAnsi="Book Antiqua"/>
          <w:sz w:val="24"/>
          <w:szCs w:val="24"/>
        </w:rPr>
        <w:t>ay be required to</w:t>
      </w:r>
      <w:r w:rsidR="008C6A53">
        <w:rPr>
          <w:rFonts w:ascii="Book Antiqua" w:hAnsi="Book Antiqua"/>
          <w:sz w:val="24"/>
          <w:szCs w:val="24"/>
        </w:rPr>
        <w:t xml:space="preserve"> bear depends on their ability to control for giving rise to cost.  </w:t>
      </w:r>
      <w:r w:rsidR="00D72C39">
        <w:rPr>
          <w:rFonts w:ascii="Book Antiqua" w:hAnsi="Book Antiqua"/>
          <w:sz w:val="24"/>
          <w:szCs w:val="24"/>
        </w:rPr>
        <w:t xml:space="preserve">Barry and Øverland argue that </w:t>
      </w:r>
      <w:r w:rsidR="005C0A1C">
        <w:rPr>
          <w:rFonts w:ascii="Book Antiqua" w:hAnsi="Book Antiqua"/>
          <w:sz w:val="24"/>
          <w:szCs w:val="24"/>
        </w:rPr>
        <w:t xml:space="preserve">those who do harm have a </w:t>
      </w:r>
      <w:r w:rsidR="00D72C39">
        <w:rPr>
          <w:rFonts w:ascii="Book Antiqua" w:hAnsi="Book Antiqua"/>
          <w:sz w:val="24"/>
          <w:szCs w:val="24"/>
        </w:rPr>
        <w:t xml:space="preserve">greater ability to control whether </w:t>
      </w:r>
      <w:r w:rsidR="00C02621">
        <w:rPr>
          <w:rFonts w:ascii="Book Antiqua" w:hAnsi="Book Antiqua"/>
          <w:sz w:val="24"/>
          <w:szCs w:val="24"/>
        </w:rPr>
        <w:t>they give</w:t>
      </w:r>
      <w:r w:rsidR="00D72C39">
        <w:rPr>
          <w:rFonts w:ascii="Book Antiqua" w:hAnsi="Book Antiqua"/>
          <w:sz w:val="24"/>
          <w:szCs w:val="24"/>
        </w:rPr>
        <w:t xml:space="preserve"> rise to cost</w:t>
      </w:r>
      <w:r w:rsidR="00C02621">
        <w:rPr>
          <w:rFonts w:ascii="Book Antiqua" w:hAnsi="Book Antiqua"/>
          <w:sz w:val="24"/>
          <w:szCs w:val="24"/>
        </w:rPr>
        <w:t xml:space="preserve"> than those who merely enable harm</w:t>
      </w:r>
      <w:r w:rsidR="005C0A1C">
        <w:rPr>
          <w:rFonts w:ascii="Book Antiqua" w:hAnsi="Book Antiqua"/>
          <w:sz w:val="24"/>
          <w:szCs w:val="24"/>
        </w:rPr>
        <w:t xml:space="preserve">. </w:t>
      </w:r>
      <w:r w:rsidR="00595ECF">
        <w:rPr>
          <w:rFonts w:ascii="Book Antiqua" w:hAnsi="Book Antiqua"/>
          <w:sz w:val="24"/>
          <w:szCs w:val="24"/>
        </w:rPr>
        <w:t xml:space="preserve">  </w:t>
      </w:r>
      <w:r w:rsidR="005F52A6">
        <w:rPr>
          <w:rFonts w:ascii="Book Antiqua" w:hAnsi="Book Antiqua"/>
          <w:sz w:val="24"/>
          <w:szCs w:val="24"/>
        </w:rPr>
        <w:t xml:space="preserve">They conclude that the doing/allowing / enabling distinction is morally significant in several ways.  </w:t>
      </w:r>
      <w:r w:rsidR="00BC61DA">
        <w:rPr>
          <w:rFonts w:ascii="Book Antiqua" w:hAnsi="Book Antiqua"/>
          <w:sz w:val="24"/>
          <w:szCs w:val="24"/>
        </w:rPr>
        <w:t>For example,</w:t>
      </w:r>
      <w:r w:rsidR="005F52A6">
        <w:rPr>
          <w:rFonts w:ascii="Book Antiqua" w:hAnsi="Book Antiqua"/>
          <w:sz w:val="24"/>
          <w:szCs w:val="24"/>
        </w:rPr>
        <w:t xml:space="preserve"> an agent can be expected to bear much </w:t>
      </w:r>
      <w:r w:rsidR="00AB7CA4">
        <w:rPr>
          <w:rFonts w:ascii="Book Antiqua" w:hAnsi="Book Antiqua"/>
          <w:sz w:val="24"/>
          <w:szCs w:val="24"/>
        </w:rPr>
        <w:t xml:space="preserve">greater costs to avoid doing harm </w:t>
      </w:r>
      <w:r w:rsidR="005F52A6">
        <w:rPr>
          <w:rFonts w:ascii="Book Antiqua" w:hAnsi="Book Antiqua"/>
          <w:sz w:val="24"/>
          <w:szCs w:val="24"/>
        </w:rPr>
        <w:t xml:space="preserve">than to avoid </w:t>
      </w:r>
      <w:r w:rsidR="00AB7CA4">
        <w:rPr>
          <w:rFonts w:ascii="Book Antiqua" w:hAnsi="Book Antiqua"/>
          <w:sz w:val="24"/>
          <w:szCs w:val="24"/>
        </w:rPr>
        <w:t xml:space="preserve">enabling harm, but greater costs to avoid enabling harm than to avoid </w:t>
      </w:r>
      <w:r w:rsidR="005F52A6">
        <w:rPr>
          <w:rFonts w:ascii="Book Antiqua" w:hAnsi="Book Antiqua"/>
          <w:sz w:val="24"/>
          <w:szCs w:val="24"/>
        </w:rPr>
        <w:t xml:space="preserve">merely allowing harm.  However, their core interest here is in the claim that </w:t>
      </w:r>
      <w:r w:rsidR="00AB7CA4">
        <w:rPr>
          <w:rFonts w:ascii="Book Antiqua" w:hAnsi="Book Antiqua"/>
          <w:sz w:val="24"/>
          <w:szCs w:val="24"/>
        </w:rPr>
        <w:t>enabler</w:t>
      </w:r>
      <w:r w:rsidR="005F52A6">
        <w:rPr>
          <w:rFonts w:ascii="Book Antiqua" w:hAnsi="Book Antiqua"/>
          <w:sz w:val="24"/>
          <w:szCs w:val="24"/>
        </w:rPr>
        <w:t xml:space="preserve"> m</w:t>
      </w:r>
      <w:r w:rsidR="00155CD8">
        <w:rPr>
          <w:rFonts w:ascii="Book Antiqua" w:hAnsi="Book Antiqua"/>
          <w:sz w:val="24"/>
          <w:szCs w:val="24"/>
        </w:rPr>
        <w:t>ay be required to</w:t>
      </w:r>
      <w:r w:rsidR="005F52A6">
        <w:rPr>
          <w:rFonts w:ascii="Book Antiqua" w:hAnsi="Book Antiqua"/>
          <w:sz w:val="24"/>
          <w:szCs w:val="24"/>
        </w:rPr>
        <w:t xml:space="preserve"> bear greater costs</w:t>
      </w:r>
      <w:r w:rsidR="00AB7CA4">
        <w:rPr>
          <w:rFonts w:ascii="Book Antiqua" w:hAnsi="Book Antiqua"/>
          <w:sz w:val="24"/>
          <w:szCs w:val="24"/>
        </w:rPr>
        <w:t xml:space="preserve"> than mere allowers but lesser costs than doers</w:t>
      </w:r>
      <w:r w:rsidR="005F52A6">
        <w:rPr>
          <w:rFonts w:ascii="Book Antiqua" w:hAnsi="Book Antiqua"/>
          <w:sz w:val="24"/>
          <w:szCs w:val="24"/>
        </w:rPr>
        <w:t xml:space="preserve"> to protect those who are currently under threat of harm.  Th</w:t>
      </w:r>
      <w:r w:rsidR="00AB7CA4">
        <w:rPr>
          <w:rFonts w:ascii="Book Antiqua" w:hAnsi="Book Antiqua"/>
          <w:sz w:val="24"/>
          <w:szCs w:val="24"/>
        </w:rPr>
        <w:t>is</w:t>
      </w:r>
      <w:r w:rsidR="005F52A6">
        <w:rPr>
          <w:rFonts w:ascii="Book Antiqua" w:hAnsi="Book Antiqua"/>
          <w:sz w:val="24"/>
          <w:szCs w:val="24"/>
        </w:rPr>
        <w:t xml:space="preserve"> claim is most relevant to contribution-based responsibilities for the affluent to respond to global poverty.</w:t>
      </w:r>
      <w:r w:rsidR="00BC61DA">
        <w:rPr>
          <w:rStyle w:val="FootnoteReference"/>
          <w:rFonts w:ascii="Book Antiqua" w:hAnsi="Book Antiqua"/>
          <w:sz w:val="24"/>
          <w:szCs w:val="24"/>
        </w:rPr>
        <w:footnoteReference w:id="19"/>
      </w:r>
    </w:p>
    <w:p w14:paraId="1A63FB3C" w14:textId="4CE6DA56" w:rsidR="00A955A6" w:rsidRDefault="00A955A6" w:rsidP="003C36FB">
      <w:pPr>
        <w:spacing w:line="360" w:lineRule="auto"/>
        <w:ind w:firstLine="720"/>
        <w:rPr>
          <w:rFonts w:ascii="Book Antiqua" w:hAnsi="Book Antiqua"/>
          <w:sz w:val="24"/>
          <w:szCs w:val="24"/>
        </w:rPr>
      </w:pPr>
      <w:r w:rsidRPr="00A955A6">
        <w:rPr>
          <w:rFonts w:ascii="Book Antiqua" w:hAnsi="Book Antiqua"/>
          <w:sz w:val="24"/>
          <w:szCs w:val="24"/>
        </w:rPr>
        <w:t>Barry and Øverland</w:t>
      </w:r>
      <w:r>
        <w:rPr>
          <w:rFonts w:ascii="Book Antiqua" w:hAnsi="Book Antiqua"/>
          <w:sz w:val="24"/>
          <w:szCs w:val="24"/>
        </w:rPr>
        <w:t>’s account of the nature and moral significance of the doing/allowing/enabling distinction</w:t>
      </w:r>
      <w:r w:rsidR="00C10511">
        <w:rPr>
          <w:rFonts w:ascii="Book Antiqua" w:hAnsi="Book Antiqua"/>
          <w:sz w:val="24"/>
          <w:szCs w:val="24"/>
        </w:rPr>
        <w:t xml:space="preserve"> is an import</w:t>
      </w:r>
      <w:r w:rsidR="00E71858">
        <w:rPr>
          <w:rFonts w:ascii="Book Antiqua" w:hAnsi="Book Antiqua"/>
          <w:sz w:val="24"/>
          <w:szCs w:val="24"/>
        </w:rPr>
        <w:t xml:space="preserve">ant contribution to the debate.  </w:t>
      </w:r>
      <w:r w:rsidR="00167241">
        <w:rPr>
          <w:rFonts w:ascii="Book Antiqua" w:hAnsi="Book Antiqua"/>
          <w:sz w:val="24"/>
          <w:szCs w:val="24"/>
        </w:rPr>
        <w:t xml:space="preserve">However, I’ll focus mainly on areas of disagreement or concern.   </w:t>
      </w:r>
    </w:p>
    <w:p w14:paraId="08A9EF1D" w14:textId="77777777" w:rsidR="00A955A6" w:rsidRDefault="00A955A6" w:rsidP="00A955A6">
      <w:pPr>
        <w:spacing w:line="360" w:lineRule="auto"/>
        <w:rPr>
          <w:rFonts w:ascii="Book Antiqua" w:hAnsi="Book Antiqua"/>
          <w:sz w:val="24"/>
          <w:szCs w:val="24"/>
        </w:rPr>
      </w:pPr>
    </w:p>
    <w:p w14:paraId="7A46D57E" w14:textId="77777777" w:rsidR="00A955A6" w:rsidRPr="00A955A6" w:rsidRDefault="00A955A6" w:rsidP="00A955A6">
      <w:pPr>
        <w:spacing w:line="360" w:lineRule="auto"/>
        <w:rPr>
          <w:rFonts w:ascii="Book Antiqua" w:hAnsi="Book Antiqua"/>
          <w:b/>
          <w:sz w:val="24"/>
          <w:szCs w:val="24"/>
        </w:rPr>
      </w:pPr>
      <w:r w:rsidRPr="00A955A6">
        <w:rPr>
          <w:rFonts w:ascii="Book Antiqua" w:hAnsi="Book Antiqua"/>
          <w:b/>
          <w:sz w:val="24"/>
          <w:szCs w:val="24"/>
        </w:rPr>
        <w:t xml:space="preserve">Barry and Øverland’s Analysis of </w:t>
      </w:r>
      <w:r w:rsidR="00A73B3E">
        <w:rPr>
          <w:rFonts w:ascii="Book Antiqua" w:hAnsi="Book Antiqua"/>
          <w:b/>
          <w:sz w:val="24"/>
          <w:szCs w:val="24"/>
        </w:rPr>
        <w:t xml:space="preserve">Clear </w:t>
      </w:r>
      <w:r w:rsidRPr="00A955A6">
        <w:rPr>
          <w:rFonts w:ascii="Book Antiqua" w:hAnsi="Book Antiqua"/>
          <w:b/>
          <w:sz w:val="24"/>
          <w:szCs w:val="24"/>
        </w:rPr>
        <w:t xml:space="preserve">Doings and </w:t>
      </w:r>
      <w:r w:rsidR="00A73B3E">
        <w:rPr>
          <w:rFonts w:ascii="Book Antiqua" w:hAnsi="Book Antiqua"/>
          <w:b/>
          <w:sz w:val="24"/>
          <w:szCs w:val="24"/>
        </w:rPr>
        <w:t xml:space="preserve">Clear </w:t>
      </w:r>
      <w:r w:rsidRPr="00A955A6">
        <w:rPr>
          <w:rFonts w:ascii="Book Antiqua" w:hAnsi="Book Antiqua"/>
          <w:b/>
          <w:sz w:val="24"/>
          <w:szCs w:val="24"/>
        </w:rPr>
        <w:t>Allowings</w:t>
      </w:r>
    </w:p>
    <w:p w14:paraId="0A793831" w14:textId="5D90FA9C" w:rsidR="00A73B3E" w:rsidRDefault="00A73B3E" w:rsidP="00A955A6">
      <w:pPr>
        <w:spacing w:line="360" w:lineRule="auto"/>
        <w:rPr>
          <w:rFonts w:ascii="Book Antiqua" w:hAnsi="Book Antiqua"/>
          <w:sz w:val="24"/>
          <w:szCs w:val="24"/>
        </w:rPr>
      </w:pPr>
      <w:r>
        <w:rPr>
          <w:rFonts w:ascii="Book Antiqua" w:hAnsi="Book Antiqua"/>
          <w:sz w:val="24"/>
          <w:szCs w:val="24"/>
        </w:rPr>
        <w:t xml:space="preserve">I found </w:t>
      </w:r>
      <w:r w:rsidRPr="00A955A6">
        <w:rPr>
          <w:rFonts w:ascii="Book Antiqua" w:hAnsi="Book Antiqua"/>
          <w:sz w:val="24"/>
          <w:szCs w:val="24"/>
        </w:rPr>
        <w:t>Barry and Øverland</w:t>
      </w:r>
      <w:r>
        <w:rPr>
          <w:rFonts w:ascii="Book Antiqua" w:hAnsi="Book Antiqua"/>
          <w:sz w:val="24"/>
          <w:szCs w:val="24"/>
        </w:rPr>
        <w:t>’s analysis</w:t>
      </w:r>
      <w:r w:rsidR="00396610">
        <w:rPr>
          <w:rFonts w:ascii="Book Antiqua" w:hAnsi="Book Antiqua"/>
          <w:sz w:val="24"/>
          <w:szCs w:val="24"/>
        </w:rPr>
        <w:t xml:space="preserve"> of clear doings and clear allowings</w:t>
      </w:r>
      <w:r>
        <w:rPr>
          <w:rFonts w:ascii="Book Antiqua" w:hAnsi="Book Antiqua"/>
          <w:sz w:val="24"/>
          <w:szCs w:val="24"/>
        </w:rPr>
        <w:t xml:space="preserve"> too quick.  I wanted further detail on both key ideas: relevant action and complete causal processes.  </w:t>
      </w:r>
      <w:r w:rsidR="005C0A1C">
        <w:rPr>
          <w:rFonts w:ascii="Book Antiqua" w:hAnsi="Book Antiqua"/>
          <w:sz w:val="24"/>
          <w:szCs w:val="24"/>
        </w:rPr>
        <w:t>Of course,</w:t>
      </w:r>
      <w:r>
        <w:rPr>
          <w:rFonts w:ascii="Book Antiqua" w:hAnsi="Book Antiqua"/>
          <w:sz w:val="24"/>
          <w:szCs w:val="24"/>
        </w:rPr>
        <w:t xml:space="preserve"> their aim is </w:t>
      </w:r>
      <w:r w:rsidR="00E71858">
        <w:rPr>
          <w:rFonts w:ascii="Book Antiqua" w:hAnsi="Book Antiqua"/>
          <w:sz w:val="24"/>
          <w:szCs w:val="24"/>
        </w:rPr>
        <w:t xml:space="preserve">only to provide </w:t>
      </w:r>
      <w:r>
        <w:rPr>
          <w:rFonts w:ascii="Book Antiqua" w:hAnsi="Book Antiqua"/>
          <w:sz w:val="24"/>
          <w:szCs w:val="24"/>
        </w:rPr>
        <w:t>enough of a</w:t>
      </w:r>
      <w:r w:rsidR="00E71858">
        <w:rPr>
          <w:rFonts w:ascii="Book Antiqua" w:hAnsi="Book Antiqua"/>
          <w:sz w:val="24"/>
          <w:szCs w:val="24"/>
        </w:rPr>
        <w:t>n</w:t>
      </w:r>
      <w:r>
        <w:rPr>
          <w:rFonts w:ascii="Book Antiqua" w:hAnsi="Book Antiqua"/>
          <w:sz w:val="24"/>
          <w:szCs w:val="24"/>
        </w:rPr>
        <w:t xml:space="preserve"> understanding</w:t>
      </w:r>
      <w:r w:rsidR="00E71858">
        <w:rPr>
          <w:rFonts w:ascii="Book Antiqua" w:hAnsi="Book Antiqua"/>
          <w:sz w:val="24"/>
          <w:szCs w:val="24"/>
        </w:rPr>
        <w:t xml:space="preserve"> of the DAED</w:t>
      </w:r>
      <w:r>
        <w:rPr>
          <w:rFonts w:ascii="Book Antiqua" w:hAnsi="Book Antiqua"/>
          <w:sz w:val="24"/>
          <w:szCs w:val="24"/>
        </w:rPr>
        <w:t xml:space="preserve"> to elucidate the discussion of contribution-based responsibilities to respond to global poverty.  However, this lack of detail may have implications for their arguments.</w:t>
      </w:r>
    </w:p>
    <w:p w14:paraId="24CF5864" w14:textId="77777777" w:rsidR="00F64FCD" w:rsidRDefault="00F64FCD" w:rsidP="00F64FCD">
      <w:pPr>
        <w:spacing w:line="360" w:lineRule="auto"/>
        <w:rPr>
          <w:rFonts w:ascii="Book Antiqua" w:hAnsi="Book Antiqua"/>
          <w:sz w:val="24"/>
          <w:szCs w:val="24"/>
        </w:rPr>
      </w:pPr>
      <w:r>
        <w:rPr>
          <w:rFonts w:ascii="Book Antiqua" w:hAnsi="Book Antiqua"/>
          <w:b/>
          <w:sz w:val="24"/>
          <w:szCs w:val="24"/>
        </w:rPr>
        <w:t>Relevant Action</w:t>
      </w:r>
    </w:p>
    <w:p w14:paraId="417EC8B3" w14:textId="1277066D" w:rsidR="00F64FCD" w:rsidRPr="00A73B3E" w:rsidRDefault="00F64FCD" w:rsidP="00F64FCD">
      <w:pPr>
        <w:spacing w:line="360" w:lineRule="auto"/>
        <w:rPr>
          <w:rFonts w:ascii="Book Antiqua" w:hAnsi="Book Antiqua"/>
          <w:sz w:val="24"/>
          <w:szCs w:val="24"/>
        </w:rPr>
      </w:pPr>
      <w:r w:rsidRPr="00A955A6">
        <w:rPr>
          <w:rFonts w:ascii="Book Antiqua" w:hAnsi="Book Antiqua"/>
          <w:sz w:val="24"/>
          <w:szCs w:val="24"/>
        </w:rPr>
        <w:t>Barry and Øverland</w:t>
      </w:r>
      <w:r>
        <w:rPr>
          <w:rFonts w:ascii="Book Antiqua" w:hAnsi="Book Antiqua"/>
          <w:sz w:val="24"/>
          <w:szCs w:val="24"/>
        </w:rPr>
        <w:t xml:space="preserve"> take their idea of relevant action from J.J. Thomson’s suggestion that we can understand the doing/allowing distinction using “the how question”:  how did the agent do or allow the harm?  In cases of doing harm, Thomson notes, there is a clear answer to this question:  “a process or, as I’ll call it, an enterprise by which we do”.  In contrast, Thomson claims that when we allow harm, there is no clear answer to the how question: “</w:t>
      </w:r>
      <w:r w:rsidRPr="00051FCD">
        <w:rPr>
          <w:rFonts w:ascii="Book Antiqua" w:hAnsi="Book Antiqua"/>
          <w:sz w:val="24"/>
          <w:szCs w:val="24"/>
        </w:rPr>
        <w:t>No how about it!</w:t>
      </w:r>
      <w:r>
        <w:rPr>
          <w:rFonts w:ascii="Book Antiqua" w:hAnsi="Book Antiqua"/>
          <w:sz w:val="24"/>
          <w:szCs w:val="24"/>
        </w:rPr>
        <w:t>”</w:t>
      </w:r>
      <w:r>
        <w:rPr>
          <w:rStyle w:val="FootnoteReference"/>
          <w:rFonts w:ascii="Book Antiqua" w:hAnsi="Book Antiqua"/>
          <w:sz w:val="24"/>
          <w:szCs w:val="24"/>
        </w:rPr>
        <w:footnoteReference w:id="20"/>
      </w:r>
      <w:r>
        <w:rPr>
          <w:rFonts w:ascii="Book Antiqua" w:hAnsi="Book Antiqua"/>
          <w:sz w:val="24"/>
          <w:szCs w:val="24"/>
        </w:rPr>
        <w:t xml:space="preserve"> Thomson concludes by claiming that harm that we allow comes about “</w:t>
      </w:r>
      <w:r w:rsidRPr="00051FCD">
        <w:rPr>
          <w:rFonts w:ascii="Book Antiqua" w:hAnsi="Book Antiqua"/>
          <w:sz w:val="24"/>
          <w:szCs w:val="24"/>
        </w:rPr>
        <w:t>because of something a person doesn't do.</w:t>
      </w:r>
      <w:r>
        <w:rPr>
          <w:rFonts w:ascii="Book Antiqua" w:hAnsi="Book Antiqua"/>
          <w:sz w:val="24"/>
          <w:szCs w:val="24"/>
        </w:rPr>
        <w:t>”</w:t>
      </w:r>
      <w:r>
        <w:rPr>
          <w:rStyle w:val="FootnoteReference"/>
          <w:rFonts w:ascii="Book Antiqua" w:hAnsi="Book Antiqua"/>
          <w:sz w:val="24"/>
          <w:szCs w:val="24"/>
        </w:rPr>
        <w:footnoteReference w:id="21"/>
      </w:r>
      <w:r>
        <w:rPr>
          <w:rFonts w:ascii="Book Antiqua" w:hAnsi="Book Antiqua"/>
          <w:sz w:val="24"/>
          <w:szCs w:val="24"/>
        </w:rPr>
        <w:t xml:space="preserve"> </w:t>
      </w:r>
      <w:r w:rsidRPr="00A955A6">
        <w:rPr>
          <w:rFonts w:ascii="Book Antiqua" w:hAnsi="Book Antiqua"/>
          <w:sz w:val="24"/>
          <w:szCs w:val="24"/>
        </w:rPr>
        <w:t>Barry and Øverland</w:t>
      </w:r>
      <w:r>
        <w:rPr>
          <w:rFonts w:ascii="Book Antiqua" w:hAnsi="Book Antiqua"/>
          <w:sz w:val="24"/>
          <w:szCs w:val="24"/>
        </w:rPr>
        <w:t xml:space="preserve"> </w:t>
      </w:r>
      <w:r w:rsidR="00DE71F5">
        <w:rPr>
          <w:rFonts w:ascii="Book Antiqua" w:hAnsi="Book Antiqua"/>
          <w:sz w:val="24"/>
          <w:szCs w:val="24"/>
        </w:rPr>
        <w:t xml:space="preserve">make an important modifications to Thomson’s account.  They don’t claim that when an agent allows harm there will be no clear answer to the harm question.  Instead, they say </w:t>
      </w:r>
      <w:r>
        <w:rPr>
          <w:rFonts w:ascii="Book Antiqua" w:hAnsi="Book Antiqua"/>
          <w:sz w:val="24"/>
          <w:szCs w:val="24"/>
        </w:rPr>
        <w:t>hold that when an agent does harm the answer to how the agent was relevant to the harm refers to some action or actions of the agent but when an agent allows harm it will refer to “no relevant action” of the agent, but instead wil</w:t>
      </w:r>
      <w:r w:rsidR="009E56FA">
        <w:rPr>
          <w:rFonts w:ascii="Book Antiqua" w:hAnsi="Book Antiqua"/>
          <w:sz w:val="24"/>
          <w:szCs w:val="24"/>
        </w:rPr>
        <w:t>l refer to “something [she] didn’</w:t>
      </w:r>
      <w:r>
        <w:rPr>
          <w:rFonts w:ascii="Book Antiqua" w:hAnsi="Book Antiqua"/>
          <w:sz w:val="24"/>
          <w:szCs w:val="24"/>
        </w:rPr>
        <w:t>t do”.</w:t>
      </w:r>
      <w:r>
        <w:rPr>
          <w:rStyle w:val="FootnoteReference"/>
          <w:rFonts w:ascii="Book Antiqua" w:hAnsi="Book Antiqua"/>
          <w:sz w:val="24"/>
          <w:szCs w:val="24"/>
        </w:rPr>
        <w:footnoteReference w:id="22"/>
      </w:r>
      <w:r>
        <w:rPr>
          <w:rFonts w:ascii="Book Antiqua" w:hAnsi="Book Antiqua"/>
          <w:sz w:val="24"/>
          <w:szCs w:val="24"/>
        </w:rPr>
        <w:t xml:space="preserve"> </w:t>
      </w:r>
      <w:r w:rsidR="00DE71F5">
        <w:rPr>
          <w:rFonts w:ascii="Book Antiqua" w:hAnsi="Book Antiqua"/>
          <w:sz w:val="24"/>
          <w:szCs w:val="24"/>
        </w:rPr>
        <w:t xml:space="preserve">  As I will show, this modification avoids some </w:t>
      </w:r>
      <w:r w:rsidR="00D92CB6">
        <w:rPr>
          <w:rFonts w:ascii="Book Antiqua" w:hAnsi="Book Antiqua"/>
          <w:sz w:val="24"/>
          <w:szCs w:val="24"/>
        </w:rPr>
        <w:t xml:space="preserve">important problems that Thomson’s account faces – but in doing so raises new questions that </w:t>
      </w:r>
      <w:r w:rsidR="00D92CB6" w:rsidRPr="00A955A6">
        <w:rPr>
          <w:rFonts w:ascii="Book Antiqua" w:hAnsi="Book Antiqua"/>
          <w:sz w:val="24"/>
          <w:szCs w:val="24"/>
        </w:rPr>
        <w:t>Barry and Øverland</w:t>
      </w:r>
      <w:r w:rsidR="00D92CB6">
        <w:rPr>
          <w:rFonts w:ascii="Book Antiqua" w:hAnsi="Book Antiqua"/>
          <w:sz w:val="24"/>
          <w:szCs w:val="24"/>
        </w:rPr>
        <w:t xml:space="preserve"> do not attempt to answer, leaving their account incomplete.</w:t>
      </w:r>
      <w:r>
        <w:rPr>
          <w:rFonts w:ascii="Book Antiqua" w:hAnsi="Book Antiqua"/>
          <w:sz w:val="24"/>
          <w:szCs w:val="24"/>
        </w:rPr>
        <w:t xml:space="preserve">  </w:t>
      </w:r>
    </w:p>
    <w:p w14:paraId="37E642BC" w14:textId="53FF7BF6" w:rsidR="00F64FCD" w:rsidRDefault="00F64FCD" w:rsidP="00F64FCD">
      <w:pPr>
        <w:spacing w:line="360" w:lineRule="auto"/>
        <w:rPr>
          <w:rFonts w:ascii="Book Antiqua" w:hAnsi="Book Antiqua"/>
          <w:sz w:val="24"/>
          <w:szCs w:val="24"/>
        </w:rPr>
      </w:pPr>
      <w:r>
        <w:rPr>
          <w:rFonts w:ascii="Book Antiqua" w:hAnsi="Book Antiqua"/>
          <w:sz w:val="24"/>
          <w:szCs w:val="24"/>
        </w:rPr>
        <w:tab/>
      </w:r>
      <w:r w:rsidR="00D92CB6">
        <w:rPr>
          <w:rFonts w:ascii="Book Antiqua" w:hAnsi="Book Antiqua"/>
          <w:sz w:val="24"/>
          <w:szCs w:val="24"/>
        </w:rPr>
        <w:t>It is a</w:t>
      </w:r>
      <w:r w:rsidR="00DE71F5">
        <w:rPr>
          <w:rFonts w:ascii="Book Antiqua" w:hAnsi="Book Antiqua"/>
          <w:sz w:val="24"/>
          <w:szCs w:val="24"/>
        </w:rPr>
        <w:t xml:space="preserve"> mistake</w:t>
      </w:r>
      <w:r w:rsidR="004A208E">
        <w:rPr>
          <w:rFonts w:ascii="Book Antiqua" w:hAnsi="Book Antiqua"/>
          <w:sz w:val="24"/>
          <w:szCs w:val="24"/>
        </w:rPr>
        <w:t xml:space="preserve"> to say that w</w:t>
      </w:r>
      <w:r>
        <w:rPr>
          <w:rFonts w:ascii="Book Antiqua" w:hAnsi="Book Antiqua"/>
          <w:sz w:val="24"/>
          <w:szCs w:val="24"/>
        </w:rPr>
        <w:t>hen an agent merely allows harm</w:t>
      </w:r>
      <w:r w:rsidR="00CD244B">
        <w:rPr>
          <w:rFonts w:ascii="Book Antiqua" w:hAnsi="Book Antiqua"/>
          <w:sz w:val="24"/>
          <w:szCs w:val="24"/>
        </w:rPr>
        <w:t xml:space="preserve"> </w:t>
      </w:r>
      <w:r>
        <w:rPr>
          <w:rFonts w:ascii="Book Antiqua" w:hAnsi="Book Antiqua"/>
          <w:sz w:val="24"/>
          <w:szCs w:val="24"/>
        </w:rPr>
        <w:t xml:space="preserve">the harm occurs </w:t>
      </w:r>
      <w:r>
        <w:rPr>
          <w:rFonts w:ascii="Book Antiqua" w:hAnsi="Book Antiqua"/>
          <w:i/>
          <w:sz w:val="24"/>
          <w:szCs w:val="24"/>
        </w:rPr>
        <w:t>because of something she doesn’t do</w:t>
      </w:r>
      <w:r>
        <w:rPr>
          <w:rFonts w:ascii="Book Antiqua" w:hAnsi="Book Antiqua"/>
          <w:sz w:val="24"/>
          <w:szCs w:val="24"/>
        </w:rPr>
        <w:t>.</w:t>
      </w:r>
      <w:r>
        <w:rPr>
          <w:rStyle w:val="FootnoteReference"/>
          <w:rFonts w:ascii="Book Antiqua" w:hAnsi="Book Antiqua"/>
          <w:sz w:val="24"/>
          <w:szCs w:val="24"/>
        </w:rPr>
        <w:footnoteReference w:id="23"/>
      </w:r>
      <w:r>
        <w:rPr>
          <w:rFonts w:ascii="Book Antiqua" w:hAnsi="Book Antiqua"/>
          <w:sz w:val="24"/>
          <w:szCs w:val="24"/>
        </w:rPr>
        <w:t xml:space="preserve"> </w:t>
      </w:r>
      <w:r w:rsidR="00821917">
        <w:rPr>
          <w:rFonts w:ascii="Book Antiqua" w:hAnsi="Book Antiqua"/>
          <w:sz w:val="24"/>
          <w:szCs w:val="24"/>
        </w:rPr>
        <w:t xml:space="preserve"> </w:t>
      </w:r>
      <w:r w:rsidR="00854CB5">
        <w:rPr>
          <w:rFonts w:ascii="Book Antiqua" w:hAnsi="Book Antiqua"/>
          <w:sz w:val="24"/>
          <w:szCs w:val="24"/>
        </w:rPr>
        <w:t xml:space="preserve">Sue’s failure to interpose the rock is not </w:t>
      </w:r>
      <w:r w:rsidR="00854CB5">
        <w:rPr>
          <w:rFonts w:ascii="Book Antiqua" w:hAnsi="Book Antiqua"/>
          <w:i/>
          <w:sz w:val="24"/>
          <w:szCs w:val="24"/>
        </w:rPr>
        <w:t xml:space="preserve">something she did not </w:t>
      </w:r>
      <w:r w:rsidR="00854CB5" w:rsidRPr="00854CB5">
        <w:rPr>
          <w:rFonts w:ascii="Book Antiqua" w:hAnsi="Book Antiqua"/>
          <w:i/>
          <w:sz w:val="24"/>
          <w:szCs w:val="24"/>
        </w:rPr>
        <w:t>do</w:t>
      </w:r>
      <w:r w:rsidR="00854CB5">
        <w:rPr>
          <w:rFonts w:ascii="Book Antiqua" w:hAnsi="Book Antiqua"/>
          <w:sz w:val="24"/>
          <w:szCs w:val="24"/>
        </w:rPr>
        <w:t xml:space="preserve">. She </w:t>
      </w:r>
      <w:r w:rsidR="00854CB5" w:rsidRPr="00854CB5">
        <w:rPr>
          <w:rFonts w:ascii="Book Antiqua" w:hAnsi="Book Antiqua"/>
          <w:i/>
          <w:sz w:val="24"/>
          <w:szCs w:val="24"/>
        </w:rPr>
        <w:t>did</w:t>
      </w:r>
      <w:r w:rsidR="00854CB5">
        <w:rPr>
          <w:rFonts w:ascii="Book Antiqua" w:hAnsi="Book Antiqua"/>
          <w:sz w:val="24"/>
          <w:szCs w:val="24"/>
        </w:rPr>
        <w:t xml:space="preserve"> fail to interpose the rock.  The harm to Bill did occur because of </w:t>
      </w:r>
      <w:r w:rsidR="00854CB5" w:rsidRPr="00854CB5">
        <w:rPr>
          <w:rFonts w:ascii="Book Antiqua" w:hAnsi="Book Antiqua"/>
          <w:sz w:val="24"/>
          <w:szCs w:val="24"/>
        </w:rPr>
        <w:t>something</w:t>
      </w:r>
      <w:r w:rsidR="00854CB5">
        <w:rPr>
          <w:rFonts w:ascii="Book Antiqua" w:hAnsi="Book Antiqua"/>
          <w:sz w:val="24"/>
          <w:szCs w:val="24"/>
        </w:rPr>
        <w:t xml:space="preserve"> Sue did not do: it occurred because someone or something else pushed the cart down the hill – but that is not the answer to how Sue was relevant to Bill’s injuries.  When we are thinking about how agents allow, we should not say the harm occur</w:t>
      </w:r>
      <w:r w:rsidR="00E31850">
        <w:rPr>
          <w:rFonts w:ascii="Book Antiqua" w:hAnsi="Book Antiqua"/>
          <w:sz w:val="24"/>
          <w:szCs w:val="24"/>
        </w:rPr>
        <w:t>s</w:t>
      </w:r>
      <w:r w:rsidR="00854CB5">
        <w:rPr>
          <w:rFonts w:ascii="Book Antiqua" w:hAnsi="Book Antiqua"/>
          <w:sz w:val="24"/>
          <w:szCs w:val="24"/>
        </w:rPr>
        <w:t xml:space="preserve"> because of something the agent d</w:t>
      </w:r>
      <w:r w:rsidR="00E31850">
        <w:rPr>
          <w:rFonts w:ascii="Book Antiqua" w:hAnsi="Book Antiqua"/>
          <w:sz w:val="24"/>
          <w:szCs w:val="24"/>
        </w:rPr>
        <w:t>oes</w:t>
      </w:r>
      <w:r w:rsidR="00854CB5">
        <w:rPr>
          <w:rFonts w:ascii="Book Antiqua" w:hAnsi="Book Antiqua"/>
          <w:sz w:val="24"/>
          <w:szCs w:val="24"/>
        </w:rPr>
        <w:t xml:space="preserve"> not do.  We should say that the </w:t>
      </w:r>
      <w:r>
        <w:rPr>
          <w:rFonts w:ascii="Book Antiqua" w:hAnsi="Book Antiqua"/>
          <w:sz w:val="24"/>
          <w:szCs w:val="24"/>
        </w:rPr>
        <w:t>harm</w:t>
      </w:r>
      <w:r w:rsidR="00CF2E63">
        <w:rPr>
          <w:rFonts w:ascii="Book Antiqua" w:hAnsi="Book Antiqua"/>
          <w:sz w:val="24"/>
          <w:szCs w:val="24"/>
        </w:rPr>
        <w:t xml:space="preserve"> occur</w:t>
      </w:r>
      <w:r w:rsidR="00E31850">
        <w:rPr>
          <w:rFonts w:ascii="Book Antiqua" w:hAnsi="Book Antiqua"/>
          <w:sz w:val="24"/>
          <w:szCs w:val="24"/>
        </w:rPr>
        <w:t>s</w:t>
      </w:r>
      <w:r>
        <w:rPr>
          <w:rFonts w:ascii="Book Antiqua" w:hAnsi="Book Antiqua"/>
          <w:sz w:val="24"/>
          <w:szCs w:val="24"/>
        </w:rPr>
        <w:t xml:space="preserve"> </w:t>
      </w:r>
      <w:r w:rsidRPr="00D368E9">
        <w:rPr>
          <w:rFonts w:ascii="Book Antiqua" w:hAnsi="Book Antiqua"/>
          <w:i/>
          <w:sz w:val="24"/>
          <w:szCs w:val="24"/>
        </w:rPr>
        <w:t>because the agent d</w:t>
      </w:r>
      <w:r w:rsidR="00E31850">
        <w:rPr>
          <w:rFonts w:ascii="Book Antiqua" w:hAnsi="Book Antiqua"/>
          <w:i/>
          <w:sz w:val="24"/>
          <w:szCs w:val="24"/>
        </w:rPr>
        <w:t>oes</w:t>
      </w:r>
      <w:r w:rsidRPr="00D368E9">
        <w:rPr>
          <w:rFonts w:ascii="Book Antiqua" w:hAnsi="Book Antiqua"/>
          <w:i/>
          <w:sz w:val="24"/>
          <w:szCs w:val="24"/>
        </w:rPr>
        <w:t xml:space="preserve"> not do something</w:t>
      </w:r>
      <w:r w:rsidR="00A14060">
        <w:rPr>
          <w:rFonts w:ascii="Book Antiqua" w:hAnsi="Book Antiqua"/>
          <w:sz w:val="24"/>
          <w:szCs w:val="24"/>
        </w:rPr>
        <w:t xml:space="preserve">.    </w:t>
      </w:r>
      <w:r>
        <w:rPr>
          <w:rFonts w:ascii="Book Antiqua" w:hAnsi="Book Antiqua"/>
          <w:sz w:val="24"/>
          <w:szCs w:val="24"/>
        </w:rPr>
        <w:t xml:space="preserve"> </w:t>
      </w:r>
    </w:p>
    <w:p w14:paraId="65F8B434" w14:textId="58CFAA55" w:rsidR="00DE71F5" w:rsidRDefault="00F64FCD" w:rsidP="00CD244B">
      <w:pPr>
        <w:spacing w:line="360" w:lineRule="auto"/>
        <w:ind w:firstLine="720"/>
        <w:rPr>
          <w:rFonts w:ascii="Book Antiqua" w:hAnsi="Book Antiqua"/>
          <w:sz w:val="24"/>
          <w:szCs w:val="24"/>
        </w:rPr>
      </w:pPr>
      <w:r>
        <w:rPr>
          <w:rFonts w:ascii="Book Antiqua" w:hAnsi="Book Antiqua"/>
          <w:sz w:val="24"/>
          <w:szCs w:val="24"/>
        </w:rPr>
        <w:t>T</w:t>
      </w:r>
      <w:r w:rsidR="00CD244B">
        <w:rPr>
          <w:rFonts w:ascii="Book Antiqua" w:hAnsi="Book Antiqua"/>
          <w:sz w:val="24"/>
          <w:szCs w:val="24"/>
        </w:rPr>
        <w:t>his matters because t</w:t>
      </w:r>
      <w:r>
        <w:rPr>
          <w:rFonts w:ascii="Book Antiqua" w:hAnsi="Book Antiqua"/>
          <w:sz w:val="24"/>
          <w:szCs w:val="24"/>
        </w:rPr>
        <w:t xml:space="preserve">here are various ways of failing to do something. </w:t>
      </w:r>
      <w:r w:rsidR="00D92CB6">
        <w:rPr>
          <w:rFonts w:ascii="Book Antiqua" w:hAnsi="Book Antiqua"/>
          <w:sz w:val="24"/>
          <w:szCs w:val="24"/>
        </w:rPr>
        <w:t xml:space="preserve"> This is why Thomson original account fails. It’s just not true that there is</w:t>
      </w:r>
      <w:r>
        <w:rPr>
          <w:rFonts w:ascii="Book Antiqua" w:hAnsi="Book Antiqua"/>
          <w:sz w:val="24"/>
          <w:szCs w:val="24"/>
        </w:rPr>
        <w:t xml:space="preserve"> “No how about it!” when it comes to allowings.</w:t>
      </w:r>
      <w:r w:rsidR="007270CA">
        <w:rPr>
          <w:rStyle w:val="FootnoteReference"/>
          <w:rFonts w:ascii="Book Antiqua" w:hAnsi="Book Antiqua"/>
          <w:sz w:val="24"/>
          <w:szCs w:val="24"/>
        </w:rPr>
        <w:footnoteReference w:id="24"/>
      </w:r>
      <w:r>
        <w:rPr>
          <w:rFonts w:ascii="Book Antiqua" w:hAnsi="Book Antiqua"/>
          <w:sz w:val="24"/>
          <w:szCs w:val="24"/>
        </w:rPr>
        <w:t xml:space="preserve">  When I fail to pick up our children on time, my husband invariably asks the how question: Was I struggling to start a broken down car? Was I playing with a puppy?  </w:t>
      </w:r>
      <w:r w:rsidR="00CD244B">
        <w:rPr>
          <w:rFonts w:ascii="Book Antiqua" w:hAnsi="Book Antiqua"/>
          <w:sz w:val="24"/>
          <w:szCs w:val="24"/>
        </w:rPr>
        <w:t>T</w:t>
      </w:r>
      <w:r>
        <w:rPr>
          <w:rFonts w:ascii="Book Antiqua" w:hAnsi="Book Antiqua"/>
          <w:sz w:val="24"/>
          <w:szCs w:val="24"/>
        </w:rPr>
        <w:t>here is often a sensible question</w:t>
      </w:r>
      <w:r w:rsidR="00CD244B">
        <w:rPr>
          <w:rFonts w:ascii="Book Antiqua" w:hAnsi="Book Antiqua"/>
          <w:sz w:val="24"/>
          <w:szCs w:val="24"/>
        </w:rPr>
        <w:t xml:space="preserve"> as</w:t>
      </w:r>
      <w:r>
        <w:rPr>
          <w:rFonts w:ascii="Book Antiqua" w:hAnsi="Book Antiqua"/>
          <w:sz w:val="24"/>
          <w:szCs w:val="24"/>
        </w:rPr>
        <w:t xml:space="preserve"> to how an agent allowed harm.  Indeed, even asking whether Thomson’s version of the How Question (how did the agent do or allow harm?) is answered by reference to an act doesn’t distinguish doing and allowing: the potential an</w:t>
      </w:r>
      <w:r w:rsidR="004A208E">
        <w:rPr>
          <w:rFonts w:ascii="Book Antiqua" w:hAnsi="Book Antiqua"/>
          <w:sz w:val="24"/>
          <w:szCs w:val="24"/>
        </w:rPr>
        <w:t xml:space="preserve">swers to my husband’s question </w:t>
      </w:r>
      <w:r w:rsidR="00A03AD0">
        <w:rPr>
          <w:rFonts w:ascii="Book Antiqua" w:hAnsi="Book Antiqua"/>
          <w:sz w:val="24"/>
          <w:szCs w:val="24"/>
        </w:rPr>
        <w:t>both refer</w:t>
      </w:r>
      <w:r>
        <w:rPr>
          <w:rFonts w:ascii="Book Antiqua" w:hAnsi="Book Antiqua"/>
          <w:sz w:val="24"/>
          <w:szCs w:val="24"/>
        </w:rPr>
        <w:t xml:space="preserve"> to actions.  </w:t>
      </w:r>
    </w:p>
    <w:p w14:paraId="2135B78D" w14:textId="363B93D4" w:rsidR="00F64FCD" w:rsidRDefault="00F64FCD" w:rsidP="00CD244B">
      <w:pPr>
        <w:spacing w:line="360" w:lineRule="auto"/>
        <w:ind w:firstLine="720"/>
        <w:rPr>
          <w:rFonts w:ascii="Book Antiqua" w:hAnsi="Book Antiqua"/>
          <w:sz w:val="24"/>
          <w:szCs w:val="24"/>
        </w:rPr>
      </w:pPr>
      <w:r w:rsidRPr="00A955A6">
        <w:rPr>
          <w:rFonts w:ascii="Book Antiqua" w:hAnsi="Book Antiqua"/>
          <w:sz w:val="24"/>
          <w:szCs w:val="24"/>
        </w:rPr>
        <w:t>Barry and Øverland</w:t>
      </w:r>
      <w:r>
        <w:rPr>
          <w:rFonts w:ascii="Book Antiqua" w:hAnsi="Book Antiqua"/>
          <w:sz w:val="24"/>
          <w:szCs w:val="24"/>
        </w:rPr>
        <w:t xml:space="preserve">’s version of the How Question is much better in this respect: it asks how the agent is relevant to the harm.  The answer to this question picks out the relevant fact about the agent’s behaviour – and whether the relevant fact about an agent’s behaviour tells us that he did something or that he did not do something is clearly important to the doing/allowing distinction.  However, this has already moved </w:t>
      </w:r>
      <w:r w:rsidR="00E77D8C">
        <w:rPr>
          <w:rFonts w:ascii="Book Antiqua" w:hAnsi="Book Antiqua"/>
          <w:sz w:val="24"/>
          <w:szCs w:val="24"/>
        </w:rPr>
        <w:t>way</w:t>
      </w:r>
      <w:r>
        <w:rPr>
          <w:rFonts w:ascii="Book Antiqua" w:hAnsi="Book Antiqua"/>
          <w:sz w:val="24"/>
          <w:szCs w:val="24"/>
        </w:rPr>
        <w:t xml:space="preserve"> beyond Thomson’s initial suggestion that when an agent does harm there is way that he does harm.  The revised account raises new questions:  How do we pick out the relevant fact about the agent’s behaviour?   What makes a fact tell us that the agent did something rather than that he did not do something? </w:t>
      </w:r>
      <w:r w:rsidR="005C0A1C">
        <w:rPr>
          <w:rFonts w:ascii="Book Antiqua" w:hAnsi="Book Antiqua"/>
          <w:sz w:val="24"/>
          <w:szCs w:val="24"/>
        </w:rPr>
        <w:t>Different answers to these questions may result in different classifications of</w:t>
      </w:r>
      <w:r w:rsidR="00821917">
        <w:rPr>
          <w:rFonts w:ascii="Book Antiqua" w:hAnsi="Book Antiqua"/>
          <w:sz w:val="24"/>
          <w:szCs w:val="24"/>
        </w:rPr>
        <w:t xml:space="preserve"> some case.</w:t>
      </w:r>
    </w:p>
    <w:p w14:paraId="676D5530" w14:textId="3F9A884A" w:rsidR="00A73B3E" w:rsidRDefault="00F64FCD" w:rsidP="00A955A6">
      <w:pPr>
        <w:spacing w:line="360" w:lineRule="auto"/>
        <w:rPr>
          <w:rFonts w:ascii="Book Antiqua" w:hAnsi="Book Antiqua"/>
          <w:sz w:val="24"/>
          <w:szCs w:val="24"/>
        </w:rPr>
      </w:pPr>
      <w:r>
        <w:rPr>
          <w:rFonts w:ascii="Book Antiqua" w:hAnsi="Book Antiqua"/>
          <w:b/>
          <w:sz w:val="24"/>
          <w:szCs w:val="24"/>
        </w:rPr>
        <w:t>Complete Causal Process</w:t>
      </w:r>
    </w:p>
    <w:p w14:paraId="75537F9B" w14:textId="5BF1280C" w:rsidR="00431A5F" w:rsidRDefault="001868B0" w:rsidP="00F64FCD">
      <w:pPr>
        <w:spacing w:line="360" w:lineRule="auto"/>
        <w:rPr>
          <w:rFonts w:ascii="Book Antiqua" w:hAnsi="Book Antiqua"/>
          <w:sz w:val="24"/>
          <w:szCs w:val="24"/>
        </w:rPr>
      </w:pPr>
      <w:r>
        <w:rPr>
          <w:rFonts w:ascii="Book Antiqua" w:hAnsi="Book Antiqua"/>
          <w:sz w:val="24"/>
          <w:szCs w:val="24"/>
        </w:rPr>
        <w:t>In explaining the claim that there is a complete causal process linking Sue’s action and Bill’s injuries in Push</w:t>
      </w:r>
      <w:r w:rsidR="00396610">
        <w:rPr>
          <w:rFonts w:ascii="Book Antiqua" w:hAnsi="Book Antiqua"/>
          <w:sz w:val="24"/>
          <w:szCs w:val="24"/>
        </w:rPr>
        <w:t xml:space="preserve">, </w:t>
      </w:r>
      <w:r w:rsidR="00396610" w:rsidRPr="00A955A6">
        <w:rPr>
          <w:rFonts w:ascii="Book Antiqua" w:hAnsi="Book Antiqua"/>
          <w:sz w:val="24"/>
          <w:szCs w:val="24"/>
        </w:rPr>
        <w:t>Barry and Øverland</w:t>
      </w:r>
      <w:r w:rsidR="00396610">
        <w:rPr>
          <w:rFonts w:ascii="Book Antiqua" w:hAnsi="Book Antiqua"/>
          <w:sz w:val="24"/>
          <w:szCs w:val="24"/>
        </w:rPr>
        <w:t xml:space="preserve"> </w:t>
      </w:r>
      <w:r>
        <w:rPr>
          <w:rFonts w:ascii="Book Antiqua" w:hAnsi="Book Antiqua"/>
          <w:sz w:val="24"/>
          <w:szCs w:val="24"/>
        </w:rPr>
        <w:t>say:  “</w:t>
      </w:r>
      <w:r w:rsidR="00396610">
        <w:rPr>
          <w:rFonts w:ascii="Book Antiqua" w:hAnsi="Book Antiqua"/>
          <w:sz w:val="24"/>
          <w:szCs w:val="24"/>
        </w:rPr>
        <w:t>…</w:t>
      </w:r>
      <w:r>
        <w:rPr>
          <w:rFonts w:ascii="Book Antiqua" w:hAnsi="Book Antiqua"/>
          <w:sz w:val="24"/>
          <w:szCs w:val="24"/>
        </w:rPr>
        <w:t xml:space="preserve"> there is</w:t>
      </w:r>
      <w:r w:rsidR="00431A5F">
        <w:rPr>
          <w:rFonts w:ascii="Book Antiqua" w:hAnsi="Book Antiqua"/>
          <w:sz w:val="24"/>
          <w:szCs w:val="24"/>
        </w:rPr>
        <w:t xml:space="preserve"> </w:t>
      </w:r>
      <w:r>
        <w:rPr>
          <w:rFonts w:ascii="Book Antiqua" w:hAnsi="Book Antiqua"/>
          <w:sz w:val="24"/>
          <w:szCs w:val="24"/>
        </w:rPr>
        <w:t>an intact sequence linking the relevant action of Sue in Push with Bill’s injury.</w:t>
      </w:r>
      <w:r w:rsidR="00431A5F">
        <w:rPr>
          <w:rFonts w:ascii="Book Antiqua" w:hAnsi="Book Antiqua"/>
          <w:sz w:val="24"/>
          <w:szCs w:val="24"/>
        </w:rPr>
        <w:t xml:space="preserve">  </w:t>
      </w:r>
      <w:r>
        <w:rPr>
          <w:rFonts w:ascii="Book Antiqua" w:hAnsi="Book Antiqua"/>
          <w:sz w:val="24"/>
          <w:szCs w:val="24"/>
        </w:rPr>
        <w:t>In Push, this complete causal process is a physical process</w:t>
      </w:r>
      <w:r w:rsidR="00431A5F">
        <w:rPr>
          <w:rFonts w:ascii="Book Antiqua" w:hAnsi="Book Antiqua"/>
          <w:sz w:val="24"/>
          <w:szCs w:val="24"/>
        </w:rPr>
        <w:t xml:space="preserve"> involving the transfer of energy and momentum, from the cause to the effect.”</w:t>
      </w:r>
      <w:r w:rsidR="00431A5F" w:rsidRPr="00431A5F">
        <w:rPr>
          <w:rStyle w:val="FootnoteReference"/>
          <w:rFonts w:ascii="Book Antiqua" w:hAnsi="Book Antiqua"/>
          <w:sz w:val="24"/>
          <w:szCs w:val="24"/>
        </w:rPr>
        <w:t xml:space="preserve"> </w:t>
      </w:r>
      <w:r w:rsidR="00431A5F">
        <w:rPr>
          <w:rStyle w:val="FootnoteReference"/>
          <w:rFonts w:ascii="Book Antiqua" w:hAnsi="Book Antiqua"/>
          <w:sz w:val="24"/>
          <w:szCs w:val="24"/>
        </w:rPr>
        <w:footnoteReference w:id="25"/>
      </w:r>
      <w:r>
        <w:rPr>
          <w:rFonts w:ascii="Book Antiqua" w:hAnsi="Book Antiqua"/>
          <w:sz w:val="24"/>
          <w:szCs w:val="24"/>
        </w:rPr>
        <w:t xml:space="preserve"> </w:t>
      </w:r>
      <w:r w:rsidR="00431A5F">
        <w:rPr>
          <w:rFonts w:ascii="Book Antiqua" w:hAnsi="Book Antiqua"/>
          <w:sz w:val="24"/>
          <w:szCs w:val="24"/>
        </w:rPr>
        <w:t xml:space="preserve">However, </w:t>
      </w:r>
      <w:r w:rsidR="00396610">
        <w:rPr>
          <w:rFonts w:ascii="Book Antiqua" w:hAnsi="Book Antiqua"/>
          <w:sz w:val="24"/>
          <w:szCs w:val="24"/>
        </w:rPr>
        <w:t>they</w:t>
      </w:r>
      <w:r w:rsidR="00BC665C">
        <w:rPr>
          <w:rFonts w:ascii="Book Antiqua" w:hAnsi="Book Antiqua"/>
          <w:sz w:val="24"/>
          <w:szCs w:val="24"/>
        </w:rPr>
        <w:t xml:space="preserve"> do not </w:t>
      </w:r>
      <w:r w:rsidR="003A6A4B">
        <w:rPr>
          <w:rFonts w:ascii="Book Antiqua" w:hAnsi="Book Antiqua"/>
          <w:sz w:val="24"/>
          <w:szCs w:val="24"/>
        </w:rPr>
        <w:t>see transfer of energy as necessary for a complete causal process.  They discuss another case:</w:t>
      </w:r>
    </w:p>
    <w:p w14:paraId="470F5F9F" w14:textId="51B5F968" w:rsidR="003A6A4B" w:rsidRDefault="003A6A4B" w:rsidP="0014590F">
      <w:pPr>
        <w:pStyle w:val="Quote"/>
      </w:pPr>
      <w:r>
        <w:t>Dislodge:  A cart stands at the top of a hill, its wheel held in place by a rock.  Sue removes the rock.  The cart rolls down the hill and injures Bill, who is sitting there.</w:t>
      </w:r>
      <w:r>
        <w:rPr>
          <w:rStyle w:val="FootnoteReference"/>
          <w:rFonts w:ascii="Book Antiqua" w:hAnsi="Book Antiqua"/>
          <w:sz w:val="24"/>
          <w:szCs w:val="24"/>
        </w:rPr>
        <w:footnoteReference w:id="26"/>
      </w:r>
    </w:p>
    <w:p w14:paraId="19C67FDC" w14:textId="77777777" w:rsidR="00396610" w:rsidRDefault="003A6A4B" w:rsidP="00827118">
      <w:pPr>
        <w:spacing w:line="360" w:lineRule="auto"/>
        <w:rPr>
          <w:rFonts w:ascii="Book Antiqua" w:hAnsi="Book Antiqua"/>
          <w:sz w:val="24"/>
          <w:szCs w:val="24"/>
        </w:rPr>
      </w:pPr>
      <w:r w:rsidRPr="00A955A6">
        <w:rPr>
          <w:rFonts w:ascii="Book Antiqua" w:hAnsi="Book Antiqua"/>
          <w:sz w:val="24"/>
          <w:szCs w:val="24"/>
        </w:rPr>
        <w:t>Barry and Øverland</w:t>
      </w:r>
      <w:r>
        <w:rPr>
          <w:rFonts w:ascii="Book Antiqua" w:hAnsi="Book Antiqua"/>
          <w:sz w:val="24"/>
          <w:szCs w:val="24"/>
        </w:rPr>
        <w:t xml:space="preserve"> note:  “Sue does not transfer energy to the cart.  She is, however, linked to Bill’s injuries through a complete causal process.  In Dislodge, this process involved the release of stored potential energy….”</w:t>
      </w:r>
      <w:r w:rsidRPr="003A6A4B">
        <w:rPr>
          <w:rStyle w:val="FootnoteReference"/>
          <w:rFonts w:ascii="Book Antiqua" w:hAnsi="Book Antiqua"/>
          <w:sz w:val="24"/>
          <w:szCs w:val="24"/>
        </w:rPr>
        <w:t xml:space="preserve"> </w:t>
      </w:r>
      <w:r>
        <w:rPr>
          <w:rStyle w:val="FootnoteReference"/>
          <w:rFonts w:ascii="Book Antiqua" w:hAnsi="Book Antiqua"/>
          <w:sz w:val="24"/>
          <w:szCs w:val="24"/>
        </w:rPr>
        <w:footnoteReference w:id="27"/>
      </w:r>
      <w:r>
        <w:rPr>
          <w:rFonts w:ascii="Book Antiqua" w:hAnsi="Book Antiqua"/>
          <w:sz w:val="24"/>
          <w:szCs w:val="24"/>
        </w:rPr>
        <w:t xml:space="preserve">  </w:t>
      </w:r>
    </w:p>
    <w:p w14:paraId="45D6BE3A" w14:textId="13DD053C" w:rsidR="00827118" w:rsidRDefault="00E77D8C" w:rsidP="00396610">
      <w:pPr>
        <w:spacing w:line="360" w:lineRule="auto"/>
        <w:ind w:firstLine="720"/>
        <w:rPr>
          <w:rFonts w:ascii="Book Antiqua" w:hAnsi="Book Antiqua"/>
          <w:sz w:val="24"/>
          <w:szCs w:val="24"/>
        </w:rPr>
      </w:pPr>
      <w:r>
        <w:rPr>
          <w:rFonts w:ascii="Book Antiqua" w:hAnsi="Book Antiqua"/>
          <w:sz w:val="24"/>
          <w:szCs w:val="24"/>
        </w:rPr>
        <w:t>So o</w:t>
      </w:r>
      <w:r w:rsidR="003A6A4B">
        <w:rPr>
          <w:rFonts w:ascii="Book Antiqua" w:hAnsi="Book Antiqua"/>
          <w:sz w:val="24"/>
          <w:szCs w:val="24"/>
        </w:rPr>
        <w:t xml:space="preserve">n </w:t>
      </w:r>
      <w:r w:rsidR="003A6A4B" w:rsidRPr="00A955A6">
        <w:rPr>
          <w:rFonts w:ascii="Book Antiqua" w:hAnsi="Book Antiqua"/>
          <w:sz w:val="24"/>
          <w:szCs w:val="24"/>
        </w:rPr>
        <w:t>Barry and Øverland</w:t>
      </w:r>
      <w:r w:rsidR="003A6A4B">
        <w:rPr>
          <w:rFonts w:ascii="Book Antiqua" w:hAnsi="Book Antiqua"/>
          <w:sz w:val="24"/>
          <w:szCs w:val="24"/>
        </w:rPr>
        <w:t>’s account a complete causal process can proceed either by energy transfer or by energy release.  I’d have liked to know what these two mechanisms have in common</w:t>
      </w:r>
      <w:r w:rsidR="00FC0BA6">
        <w:rPr>
          <w:rFonts w:ascii="Book Antiqua" w:hAnsi="Book Antiqua"/>
          <w:sz w:val="24"/>
          <w:szCs w:val="24"/>
        </w:rPr>
        <w:t xml:space="preserve"> that makes them both able to form parts of a complete causal process</w:t>
      </w:r>
      <w:r w:rsidR="003A6A4B">
        <w:rPr>
          <w:rFonts w:ascii="Book Antiqua" w:hAnsi="Book Antiqua"/>
          <w:sz w:val="24"/>
          <w:szCs w:val="24"/>
        </w:rPr>
        <w:t>.  I’d have also liked to know if there are other mechanisms which can mak</w:t>
      </w:r>
      <w:r w:rsidR="0001594C">
        <w:rPr>
          <w:rFonts w:ascii="Book Antiqua" w:hAnsi="Book Antiqua"/>
          <w:sz w:val="24"/>
          <w:szCs w:val="24"/>
        </w:rPr>
        <w:t>e up a c</w:t>
      </w:r>
      <w:r w:rsidR="00827118">
        <w:rPr>
          <w:rFonts w:ascii="Book Antiqua" w:hAnsi="Book Antiqua"/>
          <w:sz w:val="24"/>
          <w:szCs w:val="24"/>
        </w:rPr>
        <w:t xml:space="preserve">omplete causal process.  I worry </w:t>
      </w:r>
      <w:r w:rsidR="0001594C">
        <w:rPr>
          <w:rFonts w:ascii="Book Antiqua" w:hAnsi="Book Antiqua"/>
          <w:sz w:val="24"/>
          <w:szCs w:val="24"/>
        </w:rPr>
        <w:t>about the appeal to notions suc</w:t>
      </w:r>
      <w:r w:rsidR="00B6292A">
        <w:rPr>
          <w:rFonts w:ascii="Book Antiqua" w:hAnsi="Book Antiqua"/>
          <w:sz w:val="24"/>
          <w:szCs w:val="24"/>
        </w:rPr>
        <w:t>h as energy and momentum.  T</w:t>
      </w:r>
      <w:r w:rsidR="0001594C">
        <w:rPr>
          <w:rFonts w:ascii="Book Antiqua" w:hAnsi="Book Antiqua"/>
          <w:sz w:val="24"/>
          <w:szCs w:val="24"/>
        </w:rPr>
        <w:t xml:space="preserve">he notion of an intact sequence which we use when classifying cases as doings or allowing </w:t>
      </w:r>
      <w:r>
        <w:rPr>
          <w:rFonts w:ascii="Book Antiqua" w:hAnsi="Book Antiqua"/>
          <w:sz w:val="24"/>
          <w:szCs w:val="24"/>
        </w:rPr>
        <w:t>seems to extend</w:t>
      </w:r>
      <w:r w:rsidR="00396610">
        <w:rPr>
          <w:rFonts w:ascii="Book Antiqua" w:hAnsi="Book Antiqua"/>
          <w:sz w:val="24"/>
          <w:szCs w:val="24"/>
        </w:rPr>
        <w:t xml:space="preserve"> to</w:t>
      </w:r>
      <w:r w:rsidR="00827118">
        <w:rPr>
          <w:rFonts w:ascii="Book Antiqua" w:hAnsi="Book Antiqua"/>
          <w:sz w:val="24"/>
          <w:szCs w:val="24"/>
        </w:rPr>
        <w:t xml:space="preserve"> cases where these ideas do not apply</w:t>
      </w:r>
      <w:r w:rsidR="00396610">
        <w:rPr>
          <w:rFonts w:ascii="Book Antiqua" w:hAnsi="Book Antiqua"/>
          <w:sz w:val="24"/>
          <w:szCs w:val="24"/>
        </w:rPr>
        <w:t xml:space="preserve"> straightforward</w:t>
      </w:r>
      <w:r>
        <w:rPr>
          <w:rFonts w:ascii="Book Antiqua" w:hAnsi="Book Antiqua"/>
          <w:sz w:val="24"/>
          <w:szCs w:val="24"/>
        </w:rPr>
        <w:t>ly</w:t>
      </w:r>
      <w:r w:rsidR="00827118">
        <w:rPr>
          <w:rFonts w:ascii="Book Antiqua" w:hAnsi="Book Antiqua"/>
          <w:sz w:val="24"/>
          <w:szCs w:val="24"/>
        </w:rPr>
        <w:t xml:space="preserve">. A registrar pronouncing a couple husband and wife, a </w:t>
      </w:r>
      <w:r w:rsidR="0041689E">
        <w:rPr>
          <w:rFonts w:ascii="Book Antiqua" w:hAnsi="Book Antiqua"/>
          <w:sz w:val="24"/>
          <w:szCs w:val="24"/>
        </w:rPr>
        <w:t>donation of money through internet banking, and the enactment of a new law can all be parts of an intact sequence.</w:t>
      </w:r>
      <w:r w:rsidR="00CF1418">
        <w:rPr>
          <w:rFonts w:ascii="Book Antiqua" w:hAnsi="Book Antiqua"/>
          <w:sz w:val="24"/>
          <w:szCs w:val="24"/>
        </w:rPr>
        <w:t xml:space="preserve">  </w:t>
      </w:r>
      <w:r w:rsidR="0041689E" w:rsidRPr="00A955A6">
        <w:rPr>
          <w:rFonts w:ascii="Book Antiqua" w:hAnsi="Book Antiqua"/>
          <w:sz w:val="24"/>
          <w:szCs w:val="24"/>
        </w:rPr>
        <w:t>Barry and Øverland</w:t>
      </w:r>
      <w:r w:rsidR="0041689E">
        <w:rPr>
          <w:rFonts w:ascii="Book Antiqua" w:hAnsi="Book Antiqua"/>
          <w:sz w:val="24"/>
          <w:szCs w:val="24"/>
        </w:rPr>
        <w:t xml:space="preserve"> </w:t>
      </w:r>
      <w:r>
        <w:rPr>
          <w:rFonts w:ascii="Book Antiqua" w:hAnsi="Book Antiqua"/>
          <w:sz w:val="24"/>
          <w:szCs w:val="24"/>
        </w:rPr>
        <w:t>note</w:t>
      </w:r>
      <w:r w:rsidR="0041689E">
        <w:rPr>
          <w:rFonts w:ascii="Book Antiqua" w:hAnsi="Book Antiqua"/>
          <w:sz w:val="24"/>
          <w:szCs w:val="24"/>
        </w:rPr>
        <w:t xml:space="preserve"> that they do not want to attempt to extend their analysis to cover such cases.</w:t>
      </w:r>
      <w:r w:rsidR="0041689E">
        <w:rPr>
          <w:rStyle w:val="FootnoteReference"/>
          <w:rFonts w:ascii="Book Antiqua" w:hAnsi="Book Antiqua"/>
          <w:sz w:val="24"/>
          <w:szCs w:val="24"/>
        </w:rPr>
        <w:footnoteReference w:id="28"/>
      </w:r>
      <w:r w:rsidR="0041689E">
        <w:rPr>
          <w:rFonts w:ascii="Book Antiqua" w:hAnsi="Book Antiqua"/>
          <w:sz w:val="24"/>
          <w:szCs w:val="24"/>
        </w:rPr>
        <w:t xml:space="preserve">  </w:t>
      </w:r>
      <w:r w:rsidR="00E10CE3">
        <w:rPr>
          <w:rFonts w:ascii="Book Antiqua" w:hAnsi="Book Antiqua"/>
          <w:sz w:val="24"/>
          <w:szCs w:val="24"/>
        </w:rPr>
        <w:t>Nonetheless, given that the idea of an intact sequence applies so naturally elsewhere, it seems preferable to try to look for some more general analysis</w:t>
      </w:r>
      <w:r w:rsidR="00236CE9">
        <w:rPr>
          <w:rFonts w:ascii="Book Antiqua" w:hAnsi="Book Antiqua"/>
          <w:sz w:val="24"/>
          <w:szCs w:val="24"/>
        </w:rPr>
        <w:t>.</w:t>
      </w:r>
      <w:r w:rsidR="00CF1418">
        <w:rPr>
          <w:rFonts w:ascii="Book Antiqua" w:hAnsi="Book Antiqua"/>
          <w:sz w:val="24"/>
          <w:szCs w:val="24"/>
        </w:rPr>
        <w:t xml:space="preserve"> </w:t>
      </w:r>
      <w:r w:rsidR="00FC0BA6">
        <w:rPr>
          <w:rFonts w:ascii="Book Antiqua" w:hAnsi="Book Antiqua"/>
          <w:sz w:val="24"/>
          <w:szCs w:val="24"/>
        </w:rPr>
        <w:t xml:space="preserve">  In addition, </w:t>
      </w:r>
      <w:r w:rsidR="00B6292A">
        <w:rPr>
          <w:rFonts w:ascii="Book Antiqua" w:hAnsi="Book Antiqua"/>
          <w:sz w:val="24"/>
          <w:szCs w:val="24"/>
        </w:rPr>
        <w:t xml:space="preserve">as I shall show, </w:t>
      </w:r>
      <w:r w:rsidR="00FC0BA6">
        <w:rPr>
          <w:rFonts w:ascii="Book Antiqua" w:hAnsi="Book Antiqua"/>
          <w:sz w:val="24"/>
          <w:szCs w:val="24"/>
        </w:rPr>
        <w:t>some of these non-physical ways of being part of an intact sequence may apply in what Barry and Øverland see as the simple cases, leading them to misdiagnose such cases.</w:t>
      </w:r>
    </w:p>
    <w:p w14:paraId="2335AFCE" w14:textId="7A18122D" w:rsidR="0001594C" w:rsidRDefault="000352E1" w:rsidP="001868B0">
      <w:pPr>
        <w:spacing w:line="360" w:lineRule="auto"/>
        <w:rPr>
          <w:rFonts w:ascii="Book Antiqua" w:hAnsi="Book Antiqua"/>
          <w:sz w:val="24"/>
          <w:szCs w:val="24"/>
        </w:rPr>
      </w:pPr>
      <w:r>
        <w:rPr>
          <w:rFonts w:ascii="Book Antiqua" w:hAnsi="Book Antiqua"/>
          <w:b/>
          <w:sz w:val="24"/>
          <w:szCs w:val="24"/>
        </w:rPr>
        <w:t>Intermediate Cases and Enabling Harm as a Third Category</w:t>
      </w:r>
    </w:p>
    <w:p w14:paraId="168B9E49" w14:textId="637AF4E5" w:rsidR="00CF7DC4" w:rsidRDefault="00817134" w:rsidP="001868B0">
      <w:pPr>
        <w:spacing w:line="360" w:lineRule="auto"/>
        <w:rPr>
          <w:rFonts w:ascii="Book Antiqua" w:hAnsi="Book Antiqua"/>
          <w:sz w:val="24"/>
          <w:szCs w:val="24"/>
        </w:rPr>
      </w:pPr>
      <w:r>
        <w:rPr>
          <w:rFonts w:ascii="Book Antiqua" w:hAnsi="Book Antiqua"/>
          <w:sz w:val="24"/>
          <w:szCs w:val="24"/>
        </w:rPr>
        <w:t xml:space="preserve">Barry and Øverland </w:t>
      </w:r>
      <w:r w:rsidR="001843BC">
        <w:rPr>
          <w:rFonts w:ascii="Book Antiqua" w:hAnsi="Book Antiqua"/>
          <w:sz w:val="24"/>
          <w:szCs w:val="24"/>
        </w:rPr>
        <w:t xml:space="preserve">argue against </w:t>
      </w:r>
      <w:r>
        <w:rPr>
          <w:rFonts w:ascii="Book Antiqua" w:hAnsi="Book Antiqua"/>
          <w:sz w:val="24"/>
          <w:szCs w:val="24"/>
        </w:rPr>
        <w:t xml:space="preserve">both </w:t>
      </w:r>
      <w:r w:rsidR="006A6C24">
        <w:rPr>
          <w:rFonts w:ascii="Book Antiqua" w:hAnsi="Book Antiqua"/>
          <w:sz w:val="24"/>
          <w:szCs w:val="24"/>
        </w:rPr>
        <w:t>the view</w:t>
      </w:r>
      <w:r>
        <w:rPr>
          <w:rFonts w:ascii="Book Antiqua" w:hAnsi="Book Antiqua"/>
          <w:sz w:val="24"/>
          <w:szCs w:val="24"/>
        </w:rPr>
        <w:t xml:space="preserve"> that all </w:t>
      </w:r>
      <w:r w:rsidR="00CF7DC4">
        <w:rPr>
          <w:rFonts w:ascii="Book Antiqua" w:hAnsi="Book Antiqua"/>
          <w:sz w:val="24"/>
          <w:szCs w:val="24"/>
        </w:rPr>
        <w:t>cases involving removing (or preventing the creation of) a barrier to harm</w:t>
      </w:r>
      <w:r>
        <w:rPr>
          <w:rFonts w:ascii="Book Antiqua" w:hAnsi="Book Antiqua"/>
          <w:sz w:val="24"/>
          <w:szCs w:val="24"/>
        </w:rPr>
        <w:t xml:space="preserve"> are doings</w:t>
      </w:r>
      <w:r>
        <w:rPr>
          <w:rStyle w:val="FootnoteReference"/>
          <w:rFonts w:ascii="Book Antiqua" w:hAnsi="Book Antiqua"/>
          <w:sz w:val="24"/>
          <w:szCs w:val="24"/>
        </w:rPr>
        <w:footnoteReference w:id="29"/>
      </w:r>
      <w:r>
        <w:rPr>
          <w:rFonts w:ascii="Book Antiqua" w:hAnsi="Book Antiqua"/>
          <w:sz w:val="24"/>
          <w:szCs w:val="24"/>
        </w:rPr>
        <w:t xml:space="preserve"> and </w:t>
      </w:r>
      <w:r w:rsidR="006A6C24">
        <w:rPr>
          <w:rFonts w:ascii="Book Antiqua" w:hAnsi="Book Antiqua"/>
          <w:sz w:val="24"/>
          <w:szCs w:val="24"/>
        </w:rPr>
        <w:t>the view</w:t>
      </w:r>
      <w:r>
        <w:rPr>
          <w:rFonts w:ascii="Book Antiqua" w:hAnsi="Book Antiqua"/>
          <w:sz w:val="24"/>
          <w:szCs w:val="24"/>
        </w:rPr>
        <w:t xml:space="preserve"> that all </w:t>
      </w:r>
      <w:r w:rsidR="00CF7DC4">
        <w:rPr>
          <w:rFonts w:ascii="Book Antiqua" w:hAnsi="Book Antiqua"/>
          <w:sz w:val="24"/>
          <w:szCs w:val="24"/>
        </w:rPr>
        <w:t>cases involving removing (or preventing the creation of) a barrier to harm</w:t>
      </w:r>
      <w:r>
        <w:rPr>
          <w:rFonts w:ascii="Book Antiqua" w:hAnsi="Book Antiqua"/>
          <w:sz w:val="24"/>
          <w:szCs w:val="24"/>
        </w:rPr>
        <w:t xml:space="preserve"> are allowings.</w:t>
      </w:r>
      <w:r>
        <w:rPr>
          <w:rStyle w:val="FootnoteReference"/>
          <w:rFonts w:ascii="Book Antiqua" w:hAnsi="Book Antiqua"/>
          <w:sz w:val="24"/>
          <w:szCs w:val="24"/>
        </w:rPr>
        <w:footnoteReference w:id="30"/>
      </w:r>
      <w:r>
        <w:rPr>
          <w:rFonts w:ascii="Book Antiqua" w:hAnsi="Book Antiqua"/>
          <w:sz w:val="24"/>
          <w:szCs w:val="24"/>
        </w:rPr>
        <w:t xml:space="preserve"> </w:t>
      </w:r>
      <w:r w:rsidR="006A6C24">
        <w:rPr>
          <w:rFonts w:ascii="Book Antiqua" w:hAnsi="Book Antiqua"/>
          <w:sz w:val="24"/>
          <w:szCs w:val="24"/>
        </w:rPr>
        <w:t xml:space="preserve"> Both these sections are extremely impressive and persuasive.  Because I broadly agree with them, I will not discuss them here.  </w:t>
      </w:r>
      <w:r w:rsidR="000801CA">
        <w:rPr>
          <w:rFonts w:ascii="Book Antiqua" w:hAnsi="Book Antiqua"/>
          <w:sz w:val="24"/>
          <w:szCs w:val="24"/>
        </w:rPr>
        <w:t>T</w:t>
      </w:r>
      <w:r w:rsidR="006A6C24">
        <w:rPr>
          <w:rFonts w:ascii="Book Antiqua" w:hAnsi="Book Antiqua"/>
          <w:sz w:val="24"/>
          <w:szCs w:val="24"/>
        </w:rPr>
        <w:t xml:space="preserve">hey do not discuss the view that some cases involving removing (or preventing the creation of) a barrier to harm count as doings and </w:t>
      </w:r>
      <w:r w:rsidR="00FC0BA6">
        <w:rPr>
          <w:rFonts w:ascii="Book Antiqua" w:hAnsi="Book Antiqua"/>
          <w:sz w:val="24"/>
          <w:szCs w:val="24"/>
        </w:rPr>
        <w:t>others</w:t>
      </w:r>
      <w:r w:rsidR="006A6C24">
        <w:rPr>
          <w:rFonts w:ascii="Book Antiqua" w:hAnsi="Book Antiqua"/>
          <w:sz w:val="24"/>
          <w:szCs w:val="24"/>
        </w:rPr>
        <w:t xml:space="preserve"> count as allowings.  I refer to ‘cases involving removing (or preventing the creation of) a barrier to harm’ instead of ‘enablings’</w:t>
      </w:r>
      <w:r w:rsidR="00031EAB">
        <w:rPr>
          <w:rFonts w:ascii="Book Antiqua" w:hAnsi="Book Antiqua"/>
          <w:sz w:val="24"/>
          <w:szCs w:val="24"/>
        </w:rPr>
        <w:t xml:space="preserve"> deliberately.  This is because p</w:t>
      </w:r>
      <w:r w:rsidR="006A6C24">
        <w:rPr>
          <w:rFonts w:ascii="Book Antiqua" w:hAnsi="Book Antiqua"/>
          <w:sz w:val="24"/>
          <w:szCs w:val="24"/>
        </w:rPr>
        <w:t xml:space="preserve">art of the issue here is </w:t>
      </w:r>
      <w:r w:rsidR="00031EAB">
        <w:rPr>
          <w:rFonts w:ascii="Book Antiqua" w:hAnsi="Book Antiqua"/>
          <w:sz w:val="24"/>
          <w:szCs w:val="24"/>
        </w:rPr>
        <w:t>that the removal/creation of a barrier to harm</w:t>
      </w:r>
      <w:r w:rsidR="006A6C24">
        <w:rPr>
          <w:rFonts w:ascii="Book Antiqua" w:hAnsi="Book Antiqua"/>
          <w:sz w:val="24"/>
          <w:szCs w:val="24"/>
        </w:rPr>
        <w:t xml:space="preserve"> may not count as </w:t>
      </w:r>
      <w:r w:rsidR="00031EAB">
        <w:rPr>
          <w:rFonts w:ascii="Book Antiqua" w:hAnsi="Book Antiqua"/>
          <w:sz w:val="24"/>
          <w:szCs w:val="24"/>
        </w:rPr>
        <w:t>an enabling</w:t>
      </w:r>
      <w:r w:rsidR="006A6C24">
        <w:rPr>
          <w:rFonts w:ascii="Book Antiqua" w:hAnsi="Book Antiqua"/>
          <w:sz w:val="24"/>
          <w:szCs w:val="24"/>
        </w:rPr>
        <w:t>.</w:t>
      </w:r>
      <w:r w:rsidR="00CF7DC4">
        <w:rPr>
          <w:rFonts w:ascii="Book Antiqua" w:hAnsi="Book Antiqua"/>
          <w:sz w:val="24"/>
          <w:szCs w:val="24"/>
        </w:rPr>
        <w:t xml:space="preserve">  On m</w:t>
      </w:r>
      <w:r w:rsidR="00031EAB">
        <w:rPr>
          <w:rFonts w:ascii="Book Antiqua" w:hAnsi="Book Antiqua"/>
          <w:sz w:val="24"/>
          <w:szCs w:val="24"/>
        </w:rPr>
        <w:t>y own view, all enablings count</w:t>
      </w:r>
      <w:r w:rsidR="00CF7DC4">
        <w:rPr>
          <w:rFonts w:ascii="Book Antiqua" w:hAnsi="Book Antiqua"/>
          <w:sz w:val="24"/>
          <w:szCs w:val="24"/>
        </w:rPr>
        <w:t xml:space="preserve"> as allowings, but only some cases involving the removal of a barrier to harm count as enablings. </w:t>
      </w:r>
    </w:p>
    <w:p w14:paraId="35DC98FF" w14:textId="05441949" w:rsidR="00045E47" w:rsidRDefault="006A6C24" w:rsidP="00CF7DC4">
      <w:pPr>
        <w:spacing w:line="360" w:lineRule="auto"/>
        <w:ind w:firstLine="720"/>
        <w:rPr>
          <w:rFonts w:ascii="Book Antiqua" w:hAnsi="Book Antiqua"/>
          <w:sz w:val="24"/>
          <w:szCs w:val="24"/>
        </w:rPr>
      </w:pPr>
      <w:r>
        <w:rPr>
          <w:rFonts w:ascii="Book Antiqua" w:hAnsi="Book Antiqua"/>
          <w:sz w:val="24"/>
          <w:szCs w:val="24"/>
        </w:rPr>
        <w:t xml:space="preserve">Like Barry and Øverland, I think the notion of an intact sequence is </w:t>
      </w:r>
      <w:r w:rsidR="00045E47">
        <w:rPr>
          <w:rFonts w:ascii="Book Antiqua" w:hAnsi="Book Antiqua"/>
          <w:sz w:val="24"/>
          <w:szCs w:val="24"/>
        </w:rPr>
        <w:t>key to analysis of the doing/allowing distinction.  Thus I think their notion of an enabling is useful, but I would tweak this analysis</w:t>
      </w:r>
      <w:r w:rsidR="00B6292A">
        <w:rPr>
          <w:rFonts w:ascii="Book Antiqua" w:hAnsi="Book Antiqua"/>
          <w:sz w:val="24"/>
          <w:szCs w:val="24"/>
        </w:rPr>
        <w:t xml:space="preserve"> to remove the </w:t>
      </w:r>
      <w:r w:rsidR="00DB021C">
        <w:rPr>
          <w:rFonts w:ascii="Book Antiqua" w:hAnsi="Book Antiqua"/>
          <w:sz w:val="24"/>
          <w:szCs w:val="24"/>
        </w:rPr>
        <w:t>appeal</w:t>
      </w:r>
      <w:r w:rsidR="00B6292A">
        <w:rPr>
          <w:rFonts w:ascii="Book Antiqua" w:hAnsi="Book Antiqua"/>
          <w:sz w:val="24"/>
          <w:szCs w:val="24"/>
        </w:rPr>
        <w:t xml:space="preserve"> </w:t>
      </w:r>
      <w:r w:rsidR="00DB021C">
        <w:rPr>
          <w:rFonts w:ascii="Book Antiqua" w:hAnsi="Book Antiqua"/>
          <w:sz w:val="24"/>
          <w:szCs w:val="24"/>
        </w:rPr>
        <w:t>to ‘complete causal sequences’ – which I argued above is both unclear and too narrow</w:t>
      </w:r>
      <w:r w:rsidR="00045E47">
        <w:rPr>
          <w:rFonts w:ascii="Book Antiqua" w:hAnsi="Book Antiqua"/>
          <w:sz w:val="24"/>
          <w:szCs w:val="24"/>
        </w:rPr>
        <w:t xml:space="preserve">.  Where Barry and Øverland hold that </w:t>
      </w:r>
    </w:p>
    <w:p w14:paraId="20CA72BC" w14:textId="2EEECDCE" w:rsidR="00045E47" w:rsidRDefault="00045E47" w:rsidP="001868B0">
      <w:pPr>
        <w:spacing w:line="360" w:lineRule="auto"/>
        <w:rPr>
          <w:rFonts w:ascii="Book Antiqua" w:hAnsi="Book Antiqua"/>
          <w:sz w:val="24"/>
          <w:szCs w:val="24"/>
        </w:rPr>
      </w:pPr>
      <w:r>
        <w:rPr>
          <w:rFonts w:ascii="Book Antiqua" w:hAnsi="Book Antiqua"/>
          <w:sz w:val="24"/>
          <w:szCs w:val="24"/>
        </w:rPr>
        <w:t xml:space="preserve">An agent enables harm if and only if an action of the agent is relevant to the harm but there is no </w:t>
      </w:r>
      <w:r w:rsidRPr="00B6292A">
        <w:rPr>
          <w:rFonts w:ascii="Book Antiqua" w:hAnsi="Book Antiqua"/>
          <w:i/>
          <w:sz w:val="24"/>
          <w:szCs w:val="24"/>
        </w:rPr>
        <w:t>complete causal process</w:t>
      </w:r>
      <w:r>
        <w:rPr>
          <w:rFonts w:ascii="Book Antiqua" w:hAnsi="Book Antiqua"/>
          <w:sz w:val="24"/>
          <w:szCs w:val="24"/>
        </w:rPr>
        <w:t xml:space="preserve"> </w:t>
      </w:r>
      <w:r w:rsidR="000F26A9">
        <w:rPr>
          <w:rFonts w:ascii="Book Antiqua" w:hAnsi="Book Antiqua"/>
          <w:sz w:val="24"/>
          <w:szCs w:val="24"/>
        </w:rPr>
        <w:t>linking the relevant action to the harm.</w:t>
      </w:r>
    </w:p>
    <w:p w14:paraId="54B13FF0" w14:textId="0D005BC3" w:rsidR="000F26A9" w:rsidRDefault="000F26A9" w:rsidP="001868B0">
      <w:pPr>
        <w:spacing w:line="360" w:lineRule="auto"/>
        <w:rPr>
          <w:rFonts w:ascii="Book Antiqua" w:hAnsi="Book Antiqua"/>
          <w:sz w:val="24"/>
          <w:szCs w:val="24"/>
        </w:rPr>
      </w:pPr>
      <w:r>
        <w:rPr>
          <w:rFonts w:ascii="Book Antiqua" w:hAnsi="Book Antiqua"/>
          <w:sz w:val="24"/>
          <w:szCs w:val="24"/>
        </w:rPr>
        <w:t>I suggest:</w:t>
      </w:r>
    </w:p>
    <w:p w14:paraId="09B9AB4E" w14:textId="068E4D04" w:rsidR="000F26A9" w:rsidRDefault="000F26A9" w:rsidP="001868B0">
      <w:pPr>
        <w:spacing w:line="360" w:lineRule="auto"/>
        <w:rPr>
          <w:rFonts w:ascii="Book Antiqua" w:hAnsi="Book Antiqua"/>
          <w:sz w:val="24"/>
          <w:szCs w:val="24"/>
        </w:rPr>
      </w:pPr>
      <w:r>
        <w:rPr>
          <w:rFonts w:ascii="Book Antiqua" w:hAnsi="Book Antiqua"/>
          <w:sz w:val="24"/>
          <w:szCs w:val="24"/>
        </w:rPr>
        <w:t xml:space="preserve">An agent enables harm if and only if an action of the agent is relevant to the harm but there is no </w:t>
      </w:r>
      <w:r w:rsidRPr="00B6292A">
        <w:rPr>
          <w:rFonts w:ascii="Book Antiqua" w:hAnsi="Book Antiqua"/>
          <w:i/>
          <w:sz w:val="24"/>
          <w:szCs w:val="24"/>
        </w:rPr>
        <w:t>intact sequence</w:t>
      </w:r>
      <w:r>
        <w:rPr>
          <w:rFonts w:ascii="Book Antiqua" w:hAnsi="Book Antiqua"/>
          <w:sz w:val="24"/>
          <w:szCs w:val="24"/>
        </w:rPr>
        <w:t xml:space="preserve"> linking the relevant action to the harm.  </w:t>
      </w:r>
    </w:p>
    <w:p w14:paraId="54B03280" w14:textId="5697EBC8" w:rsidR="000F26A9" w:rsidRDefault="00DB021C" w:rsidP="001868B0">
      <w:pPr>
        <w:spacing w:line="360" w:lineRule="auto"/>
        <w:rPr>
          <w:rFonts w:ascii="Book Antiqua" w:hAnsi="Book Antiqua"/>
          <w:sz w:val="24"/>
          <w:szCs w:val="24"/>
        </w:rPr>
      </w:pPr>
      <w:r>
        <w:rPr>
          <w:rFonts w:ascii="Book Antiqua" w:hAnsi="Book Antiqua"/>
          <w:sz w:val="24"/>
          <w:szCs w:val="24"/>
        </w:rPr>
        <w:t>As Barry and Øverland elsewhere explain ‘complete causal sequences’ in terms of intact sequences</w:t>
      </w:r>
      <w:r>
        <w:rPr>
          <w:rStyle w:val="FootnoteReference"/>
          <w:rFonts w:ascii="Book Antiqua" w:hAnsi="Book Antiqua"/>
          <w:sz w:val="24"/>
          <w:szCs w:val="24"/>
        </w:rPr>
        <w:footnoteReference w:id="31"/>
      </w:r>
      <w:r>
        <w:rPr>
          <w:rFonts w:ascii="Book Antiqua" w:hAnsi="Book Antiqua"/>
          <w:sz w:val="24"/>
          <w:szCs w:val="24"/>
        </w:rPr>
        <w:t>, this is still within the spirit of their proposal. Of course,</w:t>
      </w:r>
      <w:r w:rsidR="000F26A9">
        <w:rPr>
          <w:rFonts w:ascii="Book Antiqua" w:hAnsi="Book Antiqua"/>
          <w:sz w:val="24"/>
          <w:szCs w:val="24"/>
        </w:rPr>
        <w:t xml:space="preserve"> the notion of an intact sequence requires further analysis. I attempt to provide this elsewhere.</w:t>
      </w:r>
      <w:r w:rsidR="005E1847">
        <w:rPr>
          <w:rStyle w:val="FootnoteReference"/>
          <w:rFonts w:ascii="Book Antiqua" w:hAnsi="Book Antiqua"/>
          <w:sz w:val="24"/>
          <w:szCs w:val="24"/>
        </w:rPr>
        <w:footnoteReference w:id="32"/>
      </w:r>
    </w:p>
    <w:p w14:paraId="7260652A" w14:textId="611B3B5E" w:rsidR="000F26A9" w:rsidRDefault="000F26A9" w:rsidP="001868B0">
      <w:pPr>
        <w:spacing w:line="360" w:lineRule="auto"/>
        <w:rPr>
          <w:rFonts w:ascii="Book Antiqua" w:hAnsi="Book Antiqua"/>
          <w:sz w:val="24"/>
          <w:szCs w:val="24"/>
        </w:rPr>
      </w:pPr>
      <w:r>
        <w:rPr>
          <w:rFonts w:ascii="Book Antiqua" w:hAnsi="Book Antiqua"/>
          <w:sz w:val="24"/>
          <w:szCs w:val="24"/>
        </w:rPr>
        <w:t xml:space="preserve">On this account, it is an open question whether all </w:t>
      </w:r>
      <w:r w:rsidR="00396610">
        <w:rPr>
          <w:rFonts w:ascii="Book Antiqua" w:hAnsi="Book Antiqua"/>
          <w:sz w:val="24"/>
          <w:szCs w:val="24"/>
        </w:rPr>
        <w:t>removals of barriers</w:t>
      </w:r>
      <w:r>
        <w:rPr>
          <w:rFonts w:ascii="Book Antiqua" w:hAnsi="Book Antiqua"/>
          <w:sz w:val="24"/>
          <w:szCs w:val="24"/>
        </w:rPr>
        <w:t xml:space="preserve"> count as enablings.  I do not think they do.  Consider:</w:t>
      </w:r>
    </w:p>
    <w:p w14:paraId="1ECE4BDC" w14:textId="1C2944F8" w:rsidR="000F26A9" w:rsidRDefault="000F26A9" w:rsidP="0014590F">
      <w:pPr>
        <w:pStyle w:val="Quote"/>
      </w:pPr>
      <w:r>
        <w:t>Drive-Away (Victor’s Car):  A boulder is rolling towards Victor who is trapped on the slope below. Victor’s car is in the path of the boulder</w:t>
      </w:r>
      <w:r w:rsidR="00251B78">
        <w:t xml:space="preserve"> and, if it remains where it is, will bring the boulder to a halt.  Bob drives Victor’s </w:t>
      </w:r>
      <w:r>
        <w:t>car</w:t>
      </w:r>
      <w:r w:rsidR="00251B78">
        <w:t xml:space="preserve"> away.  The boulder hits Victor and crushes him to death.</w:t>
      </w:r>
      <w:r w:rsidR="00251B78">
        <w:rPr>
          <w:rStyle w:val="FootnoteReference"/>
          <w:rFonts w:ascii="Book Antiqua" w:hAnsi="Book Antiqua"/>
          <w:sz w:val="24"/>
          <w:szCs w:val="24"/>
        </w:rPr>
        <w:footnoteReference w:id="33"/>
      </w:r>
    </w:p>
    <w:p w14:paraId="03972083" w14:textId="77777777" w:rsidR="00A14060" w:rsidRDefault="00251B78" w:rsidP="001868B0">
      <w:pPr>
        <w:spacing w:line="360" w:lineRule="auto"/>
        <w:rPr>
          <w:rFonts w:ascii="Book Antiqua" w:hAnsi="Book Antiqua"/>
          <w:sz w:val="24"/>
          <w:szCs w:val="24"/>
        </w:rPr>
      </w:pPr>
      <w:r>
        <w:rPr>
          <w:rFonts w:ascii="Book Antiqua" w:hAnsi="Book Antiqua"/>
          <w:sz w:val="24"/>
          <w:szCs w:val="24"/>
        </w:rPr>
        <w:t xml:space="preserve">On my view, there is an intact sequence linking Bob and Victor’s injuries, even though Bob is only relevant to Victor’s death through the removal of a barrier to harm.  </w:t>
      </w:r>
      <w:r w:rsidR="001843BC">
        <w:rPr>
          <w:rFonts w:ascii="Book Antiqua" w:hAnsi="Book Antiqua"/>
          <w:sz w:val="24"/>
          <w:szCs w:val="24"/>
        </w:rPr>
        <w:t>T</w:t>
      </w:r>
      <w:r>
        <w:rPr>
          <w:rFonts w:ascii="Book Antiqua" w:hAnsi="Book Antiqua"/>
          <w:sz w:val="24"/>
          <w:szCs w:val="24"/>
        </w:rPr>
        <w:t>he absence of Victor’s car from the path of the boulder is part of the sequence leading to harm.  Thus Bob’s removal of that car is part of the sequence leading to harm.  Bob counts as doing harm.</w:t>
      </w:r>
    </w:p>
    <w:p w14:paraId="1F554FDC" w14:textId="139A0554" w:rsidR="000B396D" w:rsidRDefault="00A14060" w:rsidP="00A14060">
      <w:pPr>
        <w:spacing w:line="360" w:lineRule="auto"/>
        <w:ind w:firstLine="720"/>
        <w:rPr>
          <w:rFonts w:ascii="Book Antiqua" w:hAnsi="Book Antiqua"/>
          <w:sz w:val="24"/>
          <w:szCs w:val="24"/>
        </w:rPr>
      </w:pPr>
      <w:r>
        <w:rPr>
          <w:rFonts w:ascii="Book Antiqua" w:hAnsi="Book Antiqua"/>
          <w:sz w:val="24"/>
          <w:szCs w:val="24"/>
          <w:lang w:val="en-US"/>
        </w:rPr>
        <w:t>This claim</w:t>
      </w:r>
      <w:r w:rsidRPr="00A14060">
        <w:rPr>
          <w:rFonts w:ascii="Book Antiqua" w:hAnsi="Book Antiqua"/>
          <w:sz w:val="24"/>
          <w:szCs w:val="24"/>
          <w:lang w:val="en-US"/>
        </w:rPr>
        <w:t xml:space="preserve"> is not intended to be merely a linguistic claim nor a purely moral one.  I am not claiming simply that we would intuitively describe Bob as harming Victor (although I think we would) nor simply that Bob would be required to bear greater costs to avoid this behavior than to avoid driving his own car out of the boulder’s path (although I think he would).  The claim is that we think that Bob must bear these higher costs because otherwise he would be harming Victor.</w:t>
      </w:r>
      <w:r w:rsidR="000B396D">
        <w:rPr>
          <w:rStyle w:val="FootnoteReference"/>
          <w:rFonts w:ascii="Book Antiqua" w:hAnsi="Book Antiqua"/>
          <w:sz w:val="24"/>
          <w:szCs w:val="24"/>
        </w:rPr>
        <w:footnoteReference w:id="34"/>
      </w:r>
      <w:r w:rsidR="000B396D">
        <w:rPr>
          <w:rFonts w:ascii="Book Antiqua" w:hAnsi="Book Antiqua"/>
          <w:sz w:val="24"/>
          <w:szCs w:val="24"/>
        </w:rPr>
        <w:t xml:space="preserve"> </w:t>
      </w:r>
    </w:p>
    <w:p w14:paraId="59173433" w14:textId="540B9760" w:rsidR="00251B78" w:rsidRDefault="001843BC" w:rsidP="000B396D">
      <w:pPr>
        <w:spacing w:line="360" w:lineRule="auto"/>
        <w:ind w:firstLine="720"/>
        <w:rPr>
          <w:rFonts w:ascii="Book Antiqua" w:hAnsi="Book Antiqua"/>
          <w:sz w:val="24"/>
          <w:szCs w:val="24"/>
        </w:rPr>
      </w:pPr>
      <w:r>
        <w:rPr>
          <w:rFonts w:ascii="Book Antiqua" w:hAnsi="Book Antiqua"/>
          <w:sz w:val="24"/>
          <w:szCs w:val="24"/>
        </w:rPr>
        <w:t>I</w:t>
      </w:r>
      <w:r w:rsidR="001E7F5F">
        <w:rPr>
          <w:rFonts w:ascii="Book Antiqua" w:hAnsi="Book Antiqua"/>
          <w:sz w:val="24"/>
          <w:szCs w:val="24"/>
        </w:rPr>
        <w:t xml:space="preserve">f I am right, this provides support for my claim that we should switch away from talking about complete causal processes – where this is understood to point us towards ideas such as energy transference.  Drive-Away (VC) </w:t>
      </w:r>
      <w:r>
        <w:rPr>
          <w:rFonts w:ascii="Book Antiqua" w:hAnsi="Book Antiqua"/>
          <w:sz w:val="24"/>
          <w:szCs w:val="24"/>
        </w:rPr>
        <w:t>is surely</w:t>
      </w:r>
      <w:r w:rsidR="001E7F5F">
        <w:rPr>
          <w:rFonts w:ascii="Book Antiqua" w:hAnsi="Book Antiqua"/>
          <w:sz w:val="24"/>
          <w:szCs w:val="24"/>
        </w:rPr>
        <w:t xml:space="preserve"> one of the “relatively simple cases”, which Barry and Øverland would want to cover in their discussion</w:t>
      </w:r>
      <w:r w:rsidR="0008043A">
        <w:rPr>
          <w:rFonts w:ascii="Book Antiqua" w:hAnsi="Book Antiqua"/>
          <w:sz w:val="24"/>
          <w:szCs w:val="24"/>
        </w:rPr>
        <w:t>.</w:t>
      </w:r>
      <w:r w:rsidR="0008043A">
        <w:rPr>
          <w:rStyle w:val="FootnoteReference"/>
          <w:rFonts w:ascii="Book Antiqua" w:hAnsi="Book Antiqua"/>
          <w:sz w:val="24"/>
          <w:szCs w:val="24"/>
        </w:rPr>
        <w:footnoteReference w:id="35"/>
      </w:r>
      <w:r w:rsidR="001E7F5F">
        <w:rPr>
          <w:rFonts w:ascii="Book Antiqua" w:hAnsi="Book Antiqua"/>
          <w:sz w:val="24"/>
          <w:szCs w:val="24"/>
        </w:rPr>
        <w:t xml:space="preserve">  But even in </w:t>
      </w:r>
      <w:r w:rsidR="008B2FD4">
        <w:rPr>
          <w:rFonts w:ascii="Book Antiqua" w:hAnsi="Book Antiqua"/>
          <w:sz w:val="24"/>
          <w:szCs w:val="24"/>
        </w:rPr>
        <w:t xml:space="preserve">such a case, removal of a barrier can count as part of a sequence not because it involves transfer or release of energy, but because it results in the removal of a person’s rightful property </w:t>
      </w:r>
      <w:r w:rsidR="009B5A41">
        <w:rPr>
          <w:rFonts w:ascii="Book Antiqua" w:hAnsi="Book Antiqua"/>
          <w:sz w:val="24"/>
          <w:szCs w:val="24"/>
        </w:rPr>
        <w:t>that</w:t>
      </w:r>
      <w:r w:rsidR="008B2FD4">
        <w:rPr>
          <w:rFonts w:ascii="Book Antiqua" w:hAnsi="Book Antiqua"/>
          <w:sz w:val="24"/>
          <w:szCs w:val="24"/>
        </w:rPr>
        <w:t xml:space="preserve"> was being used to protect him.</w:t>
      </w:r>
      <w:r w:rsidR="008A03FF">
        <w:rPr>
          <w:rFonts w:ascii="Book Antiqua" w:hAnsi="Book Antiqua"/>
          <w:sz w:val="24"/>
          <w:szCs w:val="24"/>
        </w:rPr>
        <w:t xml:space="preserve"> I argue elsewhere that what matters is whether the relevant facts are ‘substantial’ enough to count as part of a sequence.  Negative facts (such as the fact that a barrier is not present) are usually not substantial enough to count as part of a sequence and thus break the sequence between agent and harm.  However, because the default is that our property </w:t>
      </w:r>
      <w:r w:rsidR="00D170EA">
        <w:rPr>
          <w:rFonts w:ascii="Book Antiqua" w:hAnsi="Book Antiqua"/>
          <w:sz w:val="24"/>
          <w:szCs w:val="24"/>
        </w:rPr>
        <w:t>that</w:t>
      </w:r>
      <w:r w:rsidR="008A03FF">
        <w:rPr>
          <w:rFonts w:ascii="Book Antiqua" w:hAnsi="Book Antiqua"/>
          <w:sz w:val="24"/>
          <w:szCs w:val="24"/>
        </w:rPr>
        <w:t xml:space="preserve"> we are using remains untouched</w:t>
      </w:r>
      <w:r w:rsidR="0023596D">
        <w:rPr>
          <w:rFonts w:ascii="Book Antiqua" w:hAnsi="Book Antiqua"/>
          <w:sz w:val="24"/>
          <w:szCs w:val="24"/>
        </w:rPr>
        <w:t xml:space="preserve"> by others</w:t>
      </w:r>
      <w:r w:rsidR="008A03FF">
        <w:rPr>
          <w:rFonts w:ascii="Book Antiqua" w:hAnsi="Book Antiqua"/>
          <w:sz w:val="24"/>
          <w:szCs w:val="24"/>
        </w:rPr>
        <w:t>, facts about the absence of such barriers are substantial enough to be part of the sequence.</w:t>
      </w:r>
      <w:r w:rsidR="008A03FF">
        <w:rPr>
          <w:rStyle w:val="FootnoteReference"/>
          <w:rFonts w:ascii="Book Antiqua" w:hAnsi="Book Antiqua"/>
          <w:sz w:val="24"/>
          <w:szCs w:val="24"/>
        </w:rPr>
        <w:footnoteReference w:id="36"/>
      </w:r>
      <w:r w:rsidR="008A03FF">
        <w:rPr>
          <w:rFonts w:ascii="Book Antiqua" w:hAnsi="Book Antiqua"/>
          <w:sz w:val="24"/>
          <w:szCs w:val="24"/>
        </w:rPr>
        <w:t xml:space="preserve"> </w:t>
      </w:r>
    </w:p>
    <w:p w14:paraId="3DA619EA" w14:textId="56192042" w:rsidR="00697239" w:rsidRDefault="00251B78" w:rsidP="005568EC">
      <w:pPr>
        <w:spacing w:line="360" w:lineRule="auto"/>
        <w:rPr>
          <w:rFonts w:ascii="Book Antiqua" w:hAnsi="Book Antiqua"/>
          <w:sz w:val="24"/>
          <w:szCs w:val="24"/>
        </w:rPr>
      </w:pPr>
      <w:r>
        <w:rPr>
          <w:rFonts w:ascii="Book Antiqua" w:hAnsi="Book Antiqua"/>
          <w:sz w:val="24"/>
          <w:szCs w:val="24"/>
        </w:rPr>
        <w:tab/>
      </w:r>
      <w:r w:rsidR="001E7F5F">
        <w:rPr>
          <w:rFonts w:ascii="Book Antiqua" w:hAnsi="Book Antiqua"/>
          <w:sz w:val="24"/>
          <w:szCs w:val="24"/>
        </w:rPr>
        <w:t xml:space="preserve">There are three different categories in this part of Barry and Øverland’s discussion: (1) intermediate cases (cases </w:t>
      </w:r>
      <w:r w:rsidR="00821917">
        <w:rPr>
          <w:rFonts w:ascii="Book Antiqua" w:hAnsi="Book Antiqua"/>
          <w:sz w:val="24"/>
          <w:szCs w:val="24"/>
        </w:rPr>
        <w:t>about</w:t>
      </w:r>
      <w:r w:rsidR="001E7F5F">
        <w:rPr>
          <w:rFonts w:ascii="Book Antiqua" w:hAnsi="Book Antiqua"/>
          <w:sz w:val="24"/>
          <w:szCs w:val="24"/>
        </w:rPr>
        <w:t xml:space="preserve"> which our judgments don’t exhibit coherence or robustness); (2) removals/ preventions of barriers (cases where the agent removes, or prevents the creation of, a barrier to harm; (3) enablings (cases where there is relevant action but no </w:t>
      </w:r>
      <w:r w:rsidR="00A55CF1">
        <w:rPr>
          <w:rFonts w:ascii="Book Antiqua" w:hAnsi="Book Antiqua"/>
          <w:sz w:val="24"/>
          <w:szCs w:val="24"/>
        </w:rPr>
        <w:t xml:space="preserve">intact sequence).  Barry and Øverland appear to assume in their arguments that any case that falls into one of these categories falls into the other two: they </w:t>
      </w:r>
      <w:r w:rsidR="005568EC">
        <w:rPr>
          <w:rFonts w:ascii="Book Antiqua" w:hAnsi="Book Antiqua"/>
          <w:sz w:val="24"/>
          <w:szCs w:val="24"/>
        </w:rPr>
        <w:t>present the lack of coherence and robust</w:t>
      </w:r>
      <w:r w:rsidR="00040C5F">
        <w:rPr>
          <w:rFonts w:ascii="Book Antiqua" w:hAnsi="Book Antiqua"/>
          <w:sz w:val="24"/>
          <w:szCs w:val="24"/>
        </w:rPr>
        <w:t>ness of cases involving removal</w:t>
      </w:r>
      <w:r w:rsidR="005568EC">
        <w:rPr>
          <w:rFonts w:ascii="Book Antiqua" w:hAnsi="Book Antiqua"/>
          <w:sz w:val="24"/>
          <w:szCs w:val="24"/>
        </w:rPr>
        <w:t xml:space="preserve"> or prevention of barriers as evidence that enabling is a distinct category.  </w:t>
      </w:r>
      <w:r w:rsidR="00A55CF1">
        <w:rPr>
          <w:rFonts w:ascii="Book Antiqua" w:hAnsi="Book Antiqua"/>
          <w:sz w:val="24"/>
          <w:szCs w:val="24"/>
        </w:rPr>
        <w:t>If I am right that Dri</w:t>
      </w:r>
      <w:r w:rsidR="0014590F">
        <w:rPr>
          <w:rFonts w:ascii="Book Antiqua" w:hAnsi="Book Antiqua"/>
          <w:sz w:val="24"/>
          <w:szCs w:val="24"/>
        </w:rPr>
        <w:t>ve-Away (VC) is not an enabling</w:t>
      </w:r>
      <w:r w:rsidR="00A55CF1">
        <w:rPr>
          <w:rFonts w:ascii="Book Antiqua" w:hAnsi="Book Antiqua"/>
          <w:sz w:val="24"/>
          <w:szCs w:val="24"/>
        </w:rPr>
        <w:t xml:space="preserve">, then categories (2) and (3) can come apart. At the very least if Barry and Øverland want to argue that any removal of </w:t>
      </w:r>
      <w:r w:rsidR="008F36D9">
        <w:rPr>
          <w:rFonts w:ascii="Book Antiqua" w:hAnsi="Book Antiqua"/>
          <w:sz w:val="24"/>
          <w:szCs w:val="24"/>
        </w:rPr>
        <w:t xml:space="preserve">a </w:t>
      </w:r>
      <w:r w:rsidR="00A55CF1">
        <w:rPr>
          <w:rFonts w:ascii="Book Antiqua" w:hAnsi="Book Antiqua"/>
          <w:sz w:val="24"/>
          <w:szCs w:val="24"/>
        </w:rPr>
        <w:t xml:space="preserve">barrier is an enabling they need to provide further argument. I suspect that this will require further analysis of the notion of a ‘complete causal process’ and </w:t>
      </w:r>
      <w:r w:rsidR="00396610">
        <w:rPr>
          <w:rFonts w:ascii="Book Antiqua" w:hAnsi="Book Antiqua"/>
          <w:sz w:val="24"/>
          <w:szCs w:val="24"/>
        </w:rPr>
        <w:t xml:space="preserve">further </w:t>
      </w:r>
      <w:r w:rsidR="00A55CF1">
        <w:rPr>
          <w:rFonts w:ascii="Book Antiqua" w:hAnsi="Book Antiqua"/>
          <w:sz w:val="24"/>
          <w:szCs w:val="24"/>
        </w:rPr>
        <w:t>defence of that notion and analysis.</w:t>
      </w:r>
      <w:r w:rsidR="005568EC">
        <w:rPr>
          <w:rFonts w:ascii="Book Antiqua" w:hAnsi="Book Antiqua"/>
          <w:sz w:val="24"/>
          <w:szCs w:val="24"/>
        </w:rPr>
        <w:t xml:space="preserve"> I’d be interested to know whether Drive-Away (VC) is an intermediate case.  If it is not, then categories (1) and (2) can come apart</w:t>
      </w:r>
      <w:r w:rsidR="00040C5F">
        <w:rPr>
          <w:rFonts w:ascii="Book Antiqua" w:hAnsi="Book Antiqua"/>
          <w:sz w:val="24"/>
          <w:szCs w:val="24"/>
        </w:rPr>
        <w:t>; if it is – and I am right that it is not an enabling - then categories (1) and (3) can come apart</w:t>
      </w:r>
      <w:r w:rsidR="005568EC">
        <w:rPr>
          <w:rFonts w:ascii="Book Antiqua" w:hAnsi="Book Antiqua"/>
          <w:sz w:val="24"/>
          <w:szCs w:val="24"/>
        </w:rPr>
        <w:t xml:space="preserve">.  If </w:t>
      </w:r>
      <w:r w:rsidR="00396610">
        <w:rPr>
          <w:rFonts w:ascii="Book Antiqua" w:hAnsi="Book Antiqua"/>
          <w:sz w:val="24"/>
          <w:szCs w:val="24"/>
        </w:rPr>
        <w:t xml:space="preserve">the </w:t>
      </w:r>
      <w:r w:rsidR="005568EC">
        <w:rPr>
          <w:rFonts w:ascii="Book Antiqua" w:hAnsi="Book Antiqua"/>
          <w:sz w:val="24"/>
          <w:szCs w:val="24"/>
        </w:rPr>
        <w:t xml:space="preserve">three categories do come apart, then this doesn’t undermine Barry and Øverland’s </w:t>
      </w:r>
      <w:r w:rsidR="00396610">
        <w:rPr>
          <w:rFonts w:ascii="Book Antiqua" w:hAnsi="Book Antiqua"/>
          <w:sz w:val="24"/>
          <w:szCs w:val="24"/>
        </w:rPr>
        <w:t xml:space="preserve">overall </w:t>
      </w:r>
      <w:r w:rsidR="005568EC">
        <w:rPr>
          <w:rFonts w:ascii="Book Antiqua" w:hAnsi="Book Antiqua"/>
          <w:sz w:val="24"/>
          <w:szCs w:val="24"/>
        </w:rPr>
        <w:t>argument but it does mean that much care must be taken in applying it.  First, we need to know more about which types of case exhibit lack of coherence and fragility to assess the import of these findings. Second, if not all removals of barriers are enablings, we need to be very careful to check whether a given removal of barrier is an enabling before drawing normative conclusions.</w:t>
      </w:r>
    </w:p>
    <w:p w14:paraId="70B5013B" w14:textId="0FC1A916" w:rsidR="0002454C" w:rsidRDefault="00697239" w:rsidP="0002454C">
      <w:pPr>
        <w:spacing w:line="360" w:lineRule="auto"/>
        <w:rPr>
          <w:rFonts w:ascii="Book Antiqua" w:hAnsi="Book Antiqua"/>
          <w:sz w:val="24"/>
          <w:szCs w:val="24"/>
        </w:rPr>
      </w:pPr>
      <w:r>
        <w:rPr>
          <w:rFonts w:ascii="Book Antiqua" w:hAnsi="Book Antiqua"/>
          <w:sz w:val="24"/>
          <w:szCs w:val="24"/>
        </w:rPr>
        <w:tab/>
        <w:t xml:space="preserve">I suggested that Barry and Øverland should have discussed the view that </w:t>
      </w:r>
      <w:r w:rsidR="00165EB5">
        <w:rPr>
          <w:rFonts w:ascii="Book Antiqua" w:hAnsi="Book Antiqua"/>
          <w:sz w:val="24"/>
          <w:szCs w:val="24"/>
        </w:rPr>
        <w:t xml:space="preserve">some cases involving removing (or preventing the creation of) a barrier to harm count as doings and some count as allowings.  </w:t>
      </w:r>
      <w:r w:rsidR="00396610">
        <w:rPr>
          <w:rFonts w:ascii="Book Antiqua" w:hAnsi="Book Antiqua"/>
          <w:sz w:val="24"/>
          <w:szCs w:val="24"/>
        </w:rPr>
        <w:t>On my view,</w:t>
      </w:r>
      <w:r w:rsidR="00165EB5">
        <w:rPr>
          <w:rFonts w:ascii="Book Antiqua" w:hAnsi="Book Antiqua"/>
          <w:sz w:val="24"/>
          <w:szCs w:val="24"/>
        </w:rPr>
        <w:t xml:space="preserve"> Drive-Away (VC), in which Bob drives Victor’s car out of the path of the boulder, counts as doing harm.  </w:t>
      </w:r>
      <w:r w:rsidR="005568EC">
        <w:rPr>
          <w:rFonts w:ascii="Book Antiqua" w:hAnsi="Book Antiqua"/>
          <w:sz w:val="24"/>
          <w:szCs w:val="24"/>
        </w:rPr>
        <w:t xml:space="preserve"> </w:t>
      </w:r>
      <w:r w:rsidR="001C65ED">
        <w:rPr>
          <w:rFonts w:ascii="Book Antiqua" w:hAnsi="Book Antiqua"/>
          <w:sz w:val="24"/>
          <w:szCs w:val="24"/>
        </w:rPr>
        <w:t>In contrast</w:t>
      </w:r>
      <w:r w:rsidR="001E7F5F">
        <w:rPr>
          <w:rFonts w:ascii="Book Antiqua" w:hAnsi="Book Antiqua"/>
          <w:sz w:val="24"/>
          <w:szCs w:val="24"/>
        </w:rPr>
        <w:t>, if it is Bob’s car that is in the path of the boulder (Drive-Away (BC)</w:t>
      </w:r>
      <w:r w:rsidR="001E7F5F">
        <w:rPr>
          <w:rStyle w:val="FootnoteReference"/>
          <w:rFonts w:ascii="Book Antiqua" w:hAnsi="Book Antiqua"/>
          <w:sz w:val="24"/>
          <w:szCs w:val="24"/>
        </w:rPr>
        <w:footnoteReference w:id="37"/>
      </w:r>
      <w:r w:rsidR="001E7F5F">
        <w:rPr>
          <w:rFonts w:ascii="Book Antiqua" w:hAnsi="Book Antiqua"/>
          <w:sz w:val="24"/>
          <w:szCs w:val="24"/>
        </w:rPr>
        <w:t xml:space="preserve">), the absence of the car (and thus Bob’s removal of the car) does not count as part of the sequence leading to harm.  </w:t>
      </w:r>
      <w:r w:rsidR="0023596D">
        <w:rPr>
          <w:rFonts w:ascii="Book Antiqua" w:hAnsi="Book Antiqua"/>
          <w:sz w:val="24"/>
          <w:szCs w:val="24"/>
        </w:rPr>
        <w:t>Because this is simply a negative fact about Bob’s own property, there is nothing to make it substantive enough to count as part of this sequence. Because t</w:t>
      </w:r>
      <w:r w:rsidR="001E7F5F">
        <w:rPr>
          <w:rFonts w:ascii="Book Antiqua" w:hAnsi="Book Antiqua"/>
          <w:sz w:val="24"/>
          <w:szCs w:val="24"/>
        </w:rPr>
        <w:t>here is no intact sequen</w:t>
      </w:r>
      <w:r w:rsidR="0023596D">
        <w:rPr>
          <w:rFonts w:ascii="Book Antiqua" w:hAnsi="Book Antiqua"/>
          <w:sz w:val="24"/>
          <w:szCs w:val="24"/>
        </w:rPr>
        <w:t xml:space="preserve">ce connecting Bob and the harm, </w:t>
      </w:r>
      <w:r w:rsidR="001E7F5F">
        <w:rPr>
          <w:rFonts w:ascii="Book Antiqua" w:hAnsi="Book Antiqua"/>
          <w:sz w:val="24"/>
          <w:szCs w:val="24"/>
        </w:rPr>
        <w:t xml:space="preserve"> Bob counts as enabling harm – and on my view merely allowing harm.</w:t>
      </w:r>
      <w:r w:rsidR="00B22056">
        <w:rPr>
          <w:rFonts w:ascii="Book Antiqua" w:hAnsi="Book Antiqua"/>
          <w:sz w:val="24"/>
          <w:szCs w:val="24"/>
        </w:rPr>
        <w:t xml:space="preserve">   </w:t>
      </w:r>
      <w:r w:rsidR="0002454C">
        <w:rPr>
          <w:rFonts w:ascii="Book Antiqua" w:hAnsi="Book Antiqua"/>
          <w:sz w:val="24"/>
          <w:szCs w:val="24"/>
        </w:rPr>
        <w:t>However, on my view, both the doing/allowing distinction and the action/ inaction distinction are morally relevant.  This means that allowing harm through inaction is morally distinct from allowing harm through action.  While Drive-Away (BC) counts as merely allowing harm, it is not morally equivalent to allowing harm through inaction.  Nonetheless, countenancing harm in cases like Drive-Away (BC) is far easier to justify than countenancing harm in cases like Drive-Away (VC).  Suppose that Bob has been bitten by a snake and can only save his life if he immediately jumps in the car and drives to the hospital, leaving Victor exposed to the deadly boulders. I think it is permissible for Bob to do so if it is Bob’s own car that Victor is using as a shield, but impermissible for Bob to take Victor’s car to get to the hospital.</w:t>
      </w:r>
      <w:r w:rsidR="00D170EA">
        <w:rPr>
          <w:rStyle w:val="FootnoteReference"/>
          <w:rFonts w:ascii="Book Antiqua" w:hAnsi="Book Antiqua"/>
          <w:sz w:val="24"/>
          <w:szCs w:val="24"/>
        </w:rPr>
        <w:footnoteReference w:id="38"/>
      </w:r>
    </w:p>
    <w:p w14:paraId="4BBF9630" w14:textId="7BE5BFF4" w:rsidR="005C0EDD" w:rsidRDefault="005C0EDD" w:rsidP="001C65ED">
      <w:pPr>
        <w:spacing w:line="360" w:lineRule="auto"/>
        <w:ind w:firstLine="720"/>
        <w:rPr>
          <w:rFonts w:ascii="Book Antiqua" w:hAnsi="Book Antiqua"/>
          <w:sz w:val="24"/>
          <w:szCs w:val="24"/>
        </w:rPr>
      </w:pPr>
      <w:r>
        <w:rPr>
          <w:rFonts w:ascii="Book Antiqua" w:hAnsi="Book Antiqua"/>
          <w:sz w:val="24"/>
          <w:szCs w:val="24"/>
        </w:rPr>
        <w:t>Barry and Øverland</w:t>
      </w:r>
      <w:r w:rsidR="00382348">
        <w:rPr>
          <w:rFonts w:ascii="Book Antiqua" w:hAnsi="Book Antiqua"/>
          <w:sz w:val="24"/>
          <w:szCs w:val="24"/>
        </w:rPr>
        <w:t xml:space="preserve"> and I</w:t>
      </w:r>
      <w:r>
        <w:rPr>
          <w:rFonts w:ascii="Book Antiqua" w:hAnsi="Book Antiqua"/>
          <w:sz w:val="24"/>
          <w:szCs w:val="24"/>
        </w:rPr>
        <w:t xml:space="preserve"> agree that relevant action and intact sequence/ complete causal processes matter.  We both draw </w:t>
      </w:r>
      <w:r w:rsidR="006167B5">
        <w:rPr>
          <w:rFonts w:ascii="Book Antiqua" w:hAnsi="Book Antiqua"/>
          <w:sz w:val="24"/>
          <w:szCs w:val="24"/>
        </w:rPr>
        <w:t xml:space="preserve">a </w:t>
      </w:r>
      <w:r>
        <w:rPr>
          <w:rFonts w:ascii="Book Antiqua" w:hAnsi="Book Antiqua"/>
          <w:sz w:val="24"/>
          <w:szCs w:val="24"/>
        </w:rPr>
        <w:t>morally si</w:t>
      </w:r>
      <w:r w:rsidR="006167B5">
        <w:rPr>
          <w:rFonts w:ascii="Book Antiqua" w:hAnsi="Book Antiqua"/>
          <w:sz w:val="24"/>
          <w:szCs w:val="24"/>
        </w:rPr>
        <w:t>gnifica</w:t>
      </w:r>
      <w:r w:rsidR="001C65ED">
        <w:rPr>
          <w:rFonts w:ascii="Book Antiqua" w:hAnsi="Book Antiqua"/>
          <w:sz w:val="24"/>
          <w:szCs w:val="24"/>
        </w:rPr>
        <w:t>nt line between clear allowings</w:t>
      </w:r>
      <w:r w:rsidR="006167B5">
        <w:rPr>
          <w:rFonts w:ascii="Book Antiqua" w:hAnsi="Book Antiqua"/>
          <w:sz w:val="24"/>
          <w:szCs w:val="24"/>
        </w:rPr>
        <w:t xml:space="preserve"> and enablings and another between enablings and clear doings</w:t>
      </w:r>
      <w:r w:rsidR="003902D9">
        <w:rPr>
          <w:rFonts w:ascii="Book Antiqua" w:hAnsi="Book Antiqua"/>
          <w:sz w:val="24"/>
          <w:szCs w:val="24"/>
        </w:rPr>
        <w:t>.</w:t>
      </w:r>
      <w:r w:rsidR="006167B5">
        <w:rPr>
          <w:rFonts w:ascii="Book Antiqua" w:hAnsi="Book Antiqua"/>
          <w:sz w:val="24"/>
          <w:szCs w:val="24"/>
        </w:rPr>
        <w:t xml:space="preserve"> </w:t>
      </w:r>
    </w:p>
    <w:p w14:paraId="07EBD8E8" w14:textId="0E9C83D2" w:rsidR="00874B82" w:rsidRDefault="00382348" w:rsidP="005C0EDD">
      <w:pPr>
        <w:spacing w:line="360" w:lineRule="auto"/>
        <w:ind w:firstLine="720"/>
        <w:rPr>
          <w:rFonts w:ascii="Book Antiqua" w:hAnsi="Book Antiqua"/>
          <w:sz w:val="24"/>
          <w:szCs w:val="24"/>
        </w:rPr>
      </w:pPr>
      <w:r>
        <w:rPr>
          <w:rFonts w:ascii="Book Antiqua" w:hAnsi="Book Antiqua"/>
          <w:sz w:val="24"/>
          <w:szCs w:val="24"/>
        </w:rPr>
        <w:t xml:space="preserve">However, </w:t>
      </w:r>
      <w:r w:rsidR="00D5416B">
        <w:rPr>
          <w:rFonts w:ascii="Book Antiqua" w:hAnsi="Book Antiqua"/>
          <w:sz w:val="24"/>
          <w:szCs w:val="24"/>
        </w:rPr>
        <w:t xml:space="preserve">I think that, while enabling and clear allowing are morally distinct, they have enough in common to both be treated as cases of allowing for the purpose of </w:t>
      </w:r>
      <w:r w:rsidR="0002454C">
        <w:rPr>
          <w:rFonts w:ascii="Book Antiqua" w:hAnsi="Book Antiqua"/>
          <w:sz w:val="24"/>
          <w:szCs w:val="24"/>
        </w:rPr>
        <w:t xml:space="preserve">drawing a </w:t>
      </w:r>
      <w:r w:rsidR="00D5416B">
        <w:rPr>
          <w:rFonts w:ascii="Book Antiqua" w:hAnsi="Book Antiqua"/>
          <w:sz w:val="24"/>
          <w:szCs w:val="24"/>
        </w:rPr>
        <w:t>binary distinction between doing and allowing.</w:t>
      </w:r>
      <w:r w:rsidR="007F52FB">
        <w:rPr>
          <w:rStyle w:val="FootnoteReference"/>
          <w:rFonts w:ascii="Book Antiqua" w:hAnsi="Book Antiqua"/>
          <w:sz w:val="24"/>
          <w:szCs w:val="24"/>
        </w:rPr>
        <w:footnoteReference w:id="39"/>
      </w:r>
      <w:r w:rsidR="00D5416B">
        <w:rPr>
          <w:rFonts w:ascii="Book Antiqua" w:hAnsi="Book Antiqua"/>
          <w:sz w:val="24"/>
          <w:szCs w:val="24"/>
        </w:rPr>
        <w:t xml:space="preserve">  Barry and Øverland disagree.  </w:t>
      </w:r>
      <w:r w:rsidR="00094E5D">
        <w:rPr>
          <w:rFonts w:ascii="Book Antiqua" w:hAnsi="Book Antiqua"/>
          <w:sz w:val="24"/>
          <w:szCs w:val="24"/>
        </w:rPr>
        <w:t>T</w:t>
      </w:r>
      <w:r w:rsidR="00D5416B">
        <w:rPr>
          <w:rFonts w:ascii="Book Antiqua" w:hAnsi="Book Antiqua"/>
          <w:sz w:val="24"/>
          <w:szCs w:val="24"/>
        </w:rPr>
        <w:t>his may b</w:t>
      </w:r>
      <w:r w:rsidR="0056467E">
        <w:rPr>
          <w:rFonts w:ascii="Book Antiqua" w:hAnsi="Book Antiqua"/>
          <w:sz w:val="24"/>
          <w:szCs w:val="24"/>
        </w:rPr>
        <w:t>e</w:t>
      </w:r>
      <w:r w:rsidR="003D4F1A">
        <w:rPr>
          <w:rFonts w:ascii="Book Antiqua" w:hAnsi="Book Antiqua"/>
          <w:sz w:val="24"/>
          <w:szCs w:val="24"/>
        </w:rPr>
        <w:t>,</w:t>
      </w:r>
      <w:r w:rsidR="0056467E">
        <w:rPr>
          <w:rFonts w:ascii="Book Antiqua" w:hAnsi="Book Antiqua"/>
          <w:sz w:val="24"/>
          <w:szCs w:val="24"/>
        </w:rPr>
        <w:t xml:space="preserve"> </w:t>
      </w:r>
      <w:r w:rsidR="003D4F1A">
        <w:rPr>
          <w:rFonts w:ascii="Book Antiqua" w:hAnsi="Book Antiqua"/>
          <w:sz w:val="24"/>
          <w:szCs w:val="24"/>
        </w:rPr>
        <w:t xml:space="preserve">in part, </w:t>
      </w:r>
      <w:r w:rsidR="005979A9">
        <w:rPr>
          <w:rFonts w:ascii="Book Antiqua" w:hAnsi="Book Antiqua"/>
          <w:sz w:val="24"/>
          <w:szCs w:val="24"/>
        </w:rPr>
        <w:t xml:space="preserve">be </w:t>
      </w:r>
      <w:r w:rsidR="003D4F1A">
        <w:rPr>
          <w:rFonts w:ascii="Book Antiqua" w:hAnsi="Book Antiqua"/>
          <w:sz w:val="24"/>
          <w:szCs w:val="24"/>
        </w:rPr>
        <w:t>simply</w:t>
      </w:r>
      <w:r w:rsidR="0056467E">
        <w:rPr>
          <w:rFonts w:ascii="Book Antiqua" w:hAnsi="Book Antiqua"/>
          <w:sz w:val="24"/>
          <w:szCs w:val="24"/>
        </w:rPr>
        <w:t xml:space="preserve"> </w:t>
      </w:r>
      <w:r w:rsidR="003D4F1A">
        <w:rPr>
          <w:rFonts w:ascii="Book Antiqua" w:hAnsi="Book Antiqua"/>
          <w:sz w:val="24"/>
          <w:szCs w:val="24"/>
        </w:rPr>
        <w:t>a</w:t>
      </w:r>
      <w:r w:rsidR="0056467E">
        <w:rPr>
          <w:rFonts w:ascii="Book Antiqua" w:hAnsi="Book Antiqua"/>
          <w:sz w:val="24"/>
          <w:szCs w:val="24"/>
        </w:rPr>
        <w:t xml:space="preserve"> disagreement about how to use the word </w:t>
      </w:r>
      <w:r w:rsidR="00040C5F">
        <w:rPr>
          <w:rFonts w:ascii="Book Antiqua" w:hAnsi="Book Antiqua"/>
          <w:sz w:val="24"/>
          <w:szCs w:val="24"/>
        </w:rPr>
        <w:t>‘</w:t>
      </w:r>
      <w:r w:rsidR="0056467E">
        <w:rPr>
          <w:rFonts w:ascii="Book Antiqua" w:hAnsi="Book Antiqua"/>
          <w:sz w:val="24"/>
          <w:szCs w:val="24"/>
        </w:rPr>
        <w:t>allow</w:t>
      </w:r>
      <w:r w:rsidR="00040C5F">
        <w:rPr>
          <w:rFonts w:ascii="Book Antiqua" w:hAnsi="Book Antiqua"/>
          <w:sz w:val="24"/>
          <w:szCs w:val="24"/>
        </w:rPr>
        <w:t>’</w:t>
      </w:r>
      <w:r w:rsidR="0056467E">
        <w:rPr>
          <w:rFonts w:ascii="Book Antiqua" w:hAnsi="Book Antiqua"/>
          <w:sz w:val="24"/>
          <w:szCs w:val="24"/>
        </w:rPr>
        <w:t>.</w:t>
      </w:r>
      <w:r w:rsidR="001C65ED" w:rsidRPr="001C65ED">
        <w:rPr>
          <w:rStyle w:val="FootnoteReference"/>
          <w:rFonts w:ascii="Book Antiqua" w:hAnsi="Book Antiqua"/>
          <w:sz w:val="24"/>
          <w:szCs w:val="24"/>
        </w:rPr>
        <w:t xml:space="preserve"> </w:t>
      </w:r>
      <w:r w:rsidR="001C65ED">
        <w:rPr>
          <w:rStyle w:val="FootnoteReference"/>
          <w:rFonts w:ascii="Book Antiqua" w:hAnsi="Book Antiqua"/>
          <w:sz w:val="24"/>
          <w:szCs w:val="24"/>
        </w:rPr>
        <w:footnoteReference w:id="40"/>
      </w:r>
      <w:r w:rsidR="0056467E">
        <w:rPr>
          <w:rFonts w:ascii="Book Antiqua" w:hAnsi="Book Antiqua"/>
          <w:sz w:val="24"/>
          <w:szCs w:val="24"/>
        </w:rPr>
        <w:t xml:space="preserve">  </w:t>
      </w:r>
      <w:r>
        <w:rPr>
          <w:rFonts w:ascii="Book Antiqua" w:hAnsi="Book Antiqua"/>
          <w:sz w:val="24"/>
          <w:szCs w:val="24"/>
        </w:rPr>
        <w:t>Nonetheless</w:t>
      </w:r>
      <w:r w:rsidR="0056467E">
        <w:rPr>
          <w:rFonts w:ascii="Book Antiqua" w:hAnsi="Book Antiqua"/>
          <w:sz w:val="24"/>
          <w:szCs w:val="24"/>
        </w:rPr>
        <w:t>, substantive disagreements appear if Barry and Øverland</w:t>
      </w:r>
      <w:r w:rsidR="00D5416B">
        <w:rPr>
          <w:rFonts w:ascii="Book Antiqua" w:hAnsi="Book Antiqua"/>
          <w:sz w:val="24"/>
          <w:szCs w:val="24"/>
        </w:rPr>
        <w:t xml:space="preserve"> </w:t>
      </w:r>
      <w:r w:rsidR="001C65ED">
        <w:rPr>
          <w:rFonts w:ascii="Book Antiqua" w:hAnsi="Book Antiqua"/>
          <w:sz w:val="24"/>
          <w:szCs w:val="24"/>
        </w:rPr>
        <w:t xml:space="preserve">also </w:t>
      </w:r>
      <w:r w:rsidR="0056467E">
        <w:rPr>
          <w:rFonts w:ascii="Book Antiqua" w:hAnsi="Book Antiqua"/>
          <w:sz w:val="24"/>
          <w:szCs w:val="24"/>
        </w:rPr>
        <w:t>hold that all removals of barriers to harm count as enabling harm.  As the Drive-Away cases show, not all removals of barriers are morally equivalent.  T</w:t>
      </w:r>
      <w:r w:rsidR="00237CE7">
        <w:rPr>
          <w:rFonts w:ascii="Book Antiqua" w:hAnsi="Book Antiqua"/>
          <w:sz w:val="24"/>
          <w:szCs w:val="24"/>
        </w:rPr>
        <w:t>he non-need based claims (for example claims based on ownership) which the relevant individuals have over the barrier matter</w:t>
      </w:r>
      <w:r w:rsidR="0056467E">
        <w:rPr>
          <w:rFonts w:ascii="Book Antiqua" w:hAnsi="Book Antiqua"/>
          <w:sz w:val="24"/>
          <w:szCs w:val="24"/>
        </w:rPr>
        <w:t xml:space="preserve"> enormously.</w:t>
      </w:r>
      <w:r w:rsidR="001C65ED">
        <w:rPr>
          <w:rFonts w:ascii="Book Antiqua" w:hAnsi="Book Antiqua"/>
          <w:sz w:val="24"/>
          <w:szCs w:val="24"/>
        </w:rPr>
        <w:t xml:space="preserve">  T</w:t>
      </w:r>
      <w:r w:rsidR="000A0E62">
        <w:rPr>
          <w:rFonts w:ascii="Book Antiqua" w:hAnsi="Book Antiqua"/>
          <w:sz w:val="24"/>
          <w:szCs w:val="24"/>
        </w:rPr>
        <w:t>his has</w:t>
      </w:r>
      <w:r w:rsidR="00094E5D">
        <w:rPr>
          <w:rFonts w:ascii="Book Antiqua" w:hAnsi="Book Antiqua"/>
          <w:sz w:val="24"/>
          <w:szCs w:val="24"/>
        </w:rPr>
        <w:t xml:space="preserve"> </w:t>
      </w:r>
      <w:r w:rsidR="000A0E62">
        <w:rPr>
          <w:rFonts w:ascii="Book Antiqua" w:hAnsi="Book Antiqua"/>
          <w:sz w:val="24"/>
          <w:szCs w:val="24"/>
        </w:rPr>
        <w:t xml:space="preserve">important implications for </w:t>
      </w:r>
      <w:r w:rsidR="001C65ED">
        <w:rPr>
          <w:rFonts w:ascii="Book Antiqua" w:hAnsi="Book Antiqua"/>
          <w:sz w:val="24"/>
          <w:szCs w:val="24"/>
        </w:rPr>
        <w:t>Barry and Øverland’s</w:t>
      </w:r>
      <w:r w:rsidR="000A0E62">
        <w:rPr>
          <w:rFonts w:ascii="Book Antiqua" w:hAnsi="Book Antiqua"/>
          <w:sz w:val="24"/>
          <w:szCs w:val="24"/>
        </w:rPr>
        <w:t xml:space="preserve"> later discussion applying the doing/allowing/ enabling distinction to contribution-based responsibility</w:t>
      </w:r>
      <w:r w:rsidR="00237CE7">
        <w:rPr>
          <w:rFonts w:ascii="Book Antiqua" w:hAnsi="Book Antiqua"/>
          <w:sz w:val="24"/>
          <w:szCs w:val="24"/>
        </w:rPr>
        <w:t xml:space="preserve"> for global poverty.  In discussing whether affluent nations count as contributing to global poverty by negotiating unfavourable trade agreements we need to consider not just (a) Are they relevant through action? and (b) Is their behaviour correctly characterised as removing a barrier or preventing a barrier from forming? but also (c) what are the claims to this barrier</w:t>
      </w:r>
      <w:r w:rsidR="007F52FB">
        <w:rPr>
          <w:rFonts w:ascii="Book Antiqua" w:hAnsi="Book Antiqua"/>
          <w:sz w:val="24"/>
          <w:szCs w:val="24"/>
        </w:rPr>
        <w:t xml:space="preserve"> of the various relevant parties?</w:t>
      </w:r>
      <w:r w:rsidR="001861DE">
        <w:rPr>
          <w:rFonts w:ascii="Book Antiqua" w:hAnsi="Book Antiqua"/>
          <w:sz w:val="24"/>
          <w:szCs w:val="24"/>
        </w:rPr>
        <w:t xml:space="preserve"> </w:t>
      </w:r>
      <w:r w:rsidR="00271245">
        <w:rPr>
          <w:rFonts w:ascii="Book Antiqua" w:hAnsi="Book Antiqua"/>
          <w:sz w:val="24"/>
          <w:szCs w:val="24"/>
        </w:rPr>
        <w:t xml:space="preserve">If we hold that the victims of global poverty have a non-need based claim to the barriers, the behaviour of affluent nations is likely to seem relevantly similar to doing harm.  If we hold that the affluent nations have non-need based claims to the barriers, then their behaviour is likely to seem more similar to merely allowing harm.  </w:t>
      </w:r>
    </w:p>
    <w:p w14:paraId="5B2B7CDB" w14:textId="77777777" w:rsidR="00874B82" w:rsidRDefault="00874B82" w:rsidP="00874B82">
      <w:pPr>
        <w:spacing w:line="360" w:lineRule="auto"/>
        <w:rPr>
          <w:rFonts w:ascii="Book Antiqua" w:hAnsi="Book Antiqua"/>
          <w:sz w:val="24"/>
          <w:szCs w:val="24"/>
        </w:rPr>
      </w:pPr>
    </w:p>
    <w:p w14:paraId="7521BD18" w14:textId="77777777" w:rsidR="00874B82" w:rsidRDefault="00874B82" w:rsidP="00874B82">
      <w:pPr>
        <w:spacing w:line="360" w:lineRule="auto"/>
        <w:rPr>
          <w:rFonts w:ascii="Book Antiqua" w:hAnsi="Book Antiqua"/>
          <w:sz w:val="24"/>
          <w:szCs w:val="24"/>
        </w:rPr>
      </w:pPr>
      <w:r>
        <w:rPr>
          <w:rFonts w:ascii="Book Antiqua" w:hAnsi="Book Antiqua"/>
          <w:b/>
          <w:sz w:val="24"/>
          <w:szCs w:val="24"/>
        </w:rPr>
        <w:t>Conclusion</w:t>
      </w:r>
    </w:p>
    <w:p w14:paraId="74BE44C2" w14:textId="2579C17E" w:rsidR="005C0EDD" w:rsidRDefault="00040C5F" w:rsidP="00874B82">
      <w:pPr>
        <w:spacing w:line="360" w:lineRule="auto"/>
        <w:rPr>
          <w:rFonts w:ascii="Book Antiqua" w:hAnsi="Book Antiqua"/>
          <w:sz w:val="24"/>
          <w:szCs w:val="24"/>
        </w:rPr>
      </w:pPr>
      <w:r>
        <w:rPr>
          <w:rFonts w:ascii="Book Antiqua" w:hAnsi="Book Antiqua"/>
          <w:sz w:val="24"/>
          <w:szCs w:val="24"/>
        </w:rPr>
        <w:t xml:space="preserve">Barry and Øverland rightly recognise that to assess contribution-based responsibility </w:t>
      </w:r>
      <w:r w:rsidR="00BF175E">
        <w:rPr>
          <w:rFonts w:ascii="Book Antiqua" w:hAnsi="Book Antiqua"/>
          <w:sz w:val="24"/>
          <w:szCs w:val="24"/>
        </w:rPr>
        <w:t>for</w:t>
      </w:r>
      <w:r>
        <w:rPr>
          <w:rFonts w:ascii="Book Antiqua" w:hAnsi="Book Antiqua"/>
          <w:sz w:val="24"/>
          <w:szCs w:val="24"/>
        </w:rPr>
        <w:t xml:space="preserve"> global poverty, we need to understand what it is for an agent to contribute to harm rather than merely failing to prevent it.  </w:t>
      </w:r>
      <w:r w:rsidR="00F42C37">
        <w:rPr>
          <w:rFonts w:ascii="Book Antiqua" w:hAnsi="Book Antiqua"/>
          <w:sz w:val="24"/>
          <w:szCs w:val="24"/>
        </w:rPr>
        <w:t xml:space="preserve">Their discussion represents </w:t>
      </w:r>
      <w:r w:rsidR="00BF175E">
        <w:rPr>
          <w:rFonts w:ascii="Book Antiqua" w:hAnsi="Book Antiqua"/>
          <w:sz w:val="24"/>
          <w:szCs w:val="24"/>
        </w:rPr>
        <w:t xml:space="preserve">a </w:t>
      </w:r>
      <w:r w:rsidR="00F42C37">
        <w:rPr>
          <w:rFonts w:ascii="Book Antiqua" w:hAnsi="Book Antiqua"/>
          <w:sz w:val="24"/>
          <w:szCs w:val="24"/>
        </w:rPr>
        <w:t xml:space="preserve">significant contribution to </w:t>
      </w:r>
      <w:r w:rsidR="000346C0">
        <w:rPr>
          <w:rFonts w:ascii="Book Antiqua" w:hAnsi="Book Antiqua"/>
          <w:sz w:val="24"/>
          <w:szCs w:val="24"/>
        </w:rPr>
        <w:t xml:space="preserve">this </w:t>
      </w:r>
      <w:r w:rsidR="00F42C37">
        <w:rPr>
          <w:rFonts w:ascii="Book Antiqua" w:hAnsi="Book Antiqua"/>
          <w:sz w:val="24"/>
          <w:szCs w:val="24"/>
        </w:rPr>
        <w:t>d</w:t>
      </w:r>
      <w:r w:rsidR="000346C0">
        <w:rPr>
          <w:rFonts w:ascii="Book Antiqua" w:hAnsi="Book Antiqua"/>
          <w:sz w:val="24"/>
          <w:szCs w:val="24"/>
        </w:rPr>
        <w:t>ebate</w:t>
      </w:r>
      <w:r w:rsidR="00F42C37">
        <w:rPr>
          <w:rFonts w:ascii="Book Antiqua" w:hAnsi="Book Antiqua"/>
          <w:sz w:val="24"/>
          <w:szCs w:val="24"/>
        </w:rPr>
        <w:t xml:space="preserve">.  However, more detail on their key ideas of ‘relevant action’ and ‘complete causal process’ is needed. </w:t>
      </w:r>
      <w:r w:rsidR="000346C0">
        <w:rPr>
          <w:rFonts w:ascii="Book Antiqua" w:hAnsi="Book Antiqua"/>
          <w:sz w:val="24"/>
          <w:szCs w:val="24"/>
        </w:rPr>
        <w:t>E</w:t>
      </w:r>
      <w:r w:rsidR="00F42C37">
        <w:rPr>
          <w:rFonts w:ascii="Book Antiqua" w:hAnsi="Book Antiqua"/>
          <w:sz w:val="24"/>
          <w:szCs w:val="24"/>
        </w:rPr>
        <w:t>ven for the type of simpl</w:t>
      </w:r>
      <w:r w:rsidR="00BF175E">
        <w:rPr>
          <w:rFonts w:ascii="Book Antiqua" w:hAnsi="Book Antiqua"/>
          <w:sz w:val="24"/>
          <w:szCs w:val="24"/>
        </w:rPr>
        <w:t>e</w:t>
      </w:r>
      <w:r w:rsidR="00F42C37">
        <w:rPr>
          <w:rFonts w:ascii="Book Antiqua" w:hAnsi="Book Antiqua"/>
          <w:sz w:val="24"/>
          <w:szCs w:val="24"/>
        </w:rPr>
        <w:t xml:space="preserve"> </w:t>
      </w:r>
      <w:r w:rsidR="00BF175E">
        <w:rPr>
          <w:rFonts w:ascii="Book Antiqua" w:hAnsi="Book Antiqua"/>
          <w:sz w:val="24"/>
          <w:szCs w:val="24"/>
        </w:rPr>
        <w:t xml:space="preserve">cases </w:t>
      </w:r>
      <w:r w:rsidR="000346C0">
        <w:rPr>
          <w:rFonts w:ascii="Book Antiqua" w:hAnsi="Book Antiqua"/>
          <w:sz w:val="24"/>
          <w:szCs w:val="24"/>
        </w:rPr>
        <w:t xml:space="preserve">on </w:t>
      </w:r>
      <w:r w:rsidR="00BF175E">
        <w:rPr>
          <w:rFonts w:ascii="Book Antiqua" w:hAnsi="Book Antiqua"/>
          <w:sz w:val="24"/>
          <w:szCs w:val="24"/>
        </w:rPr>
        <w:t xml:space="preserve">which Barry and Øverland </w:t>
      </w:r>
      <w:r w:rsidR="000346C0">
        <w:rPr>
          <w:rFonts w:ascii="Book Antiqua" w:hAnsi="Book Antiqua"/>
          <w:sz w:val="24"/>
          <w:szCs w:val="24"/>
        </w:rPr>
        <w:t xml:space="preserve">focus, </w:t>
      </w:r>
      <w:r w:rsidR="00F42C37">
        <w:rPr>
          <w:rFonts w:ascii="Book Antiqua" w:hAnsi="Book Antiqua"/>
          <w:sz w:val="24"/>
          <w:szCs w:val="24"/>
        </w:rPr>
        <w:t xml:space="preserve">looking only at physical mechanisms such as energy transfer and energy release is not enough.  We require a broader understanding of what can make up an intact sequence.  </w:t>
      </w:r>
      <w:r w:rsidR="00C2416B">
        <w:rPr>
          <w:rFonts w:ascii="Book Antiqua" w:hAnsi="Book Antiqua"/>
          <w:sz w:val="24"/>
          <w:szCs w:val="24"/>
        </w:rPr>
        <w:t>In cases involving the removal of barriers the non-need based cl</w:t>
      </w:r>
      <w:r w:rsidR="000346C0">
        <w:rPr>
          <w:rFonts w:ascii="Book Antiqua" w:hAnsi="Book Antiqua"/>
          <w:sz w:val="24"/>
          <w:szCs w:val="24"/>
        </w:rPr>
        <w:t>aims of those involved matter.</w:t>
      </w:r>
    </w:p>
    <w:p w14:paraId="7191BDD9" w14:textId="03DDB5C1" w:rsidR="00D521E0" w:rsidRDefault="00587E5B" w:rsidP="0014590F">
      <w:pPr>
        <w:spacing w:line="360" w:lineRule="auto"/>
        <w:ind w:firstLine="720"/>
        <w:rPr>
          <w:rFonts w:ascii="Book Antiqua" w:hAnsi="Book Antiqua"/>
          <w:sz w:val="24"/>
          <w:szCs w:val="24"/>
        </w:rPr>
      </w:pPr>
      <w:r>
        <w:rPr>
          <w:rFonts w:ascii="Book Antiqua" w:hAnsi="Book Antiqua"/>
          <w:sz w:val="24"/>
          <w:szCs w:val="24"/>
        </w:rPr>
        <w:t xml:space="preserve">   </w:t>
      </w:r>
    </w:p>
    <w:p w14:paraId="3A724E79" w14:textId="4E393E2A" w:rsidR="00B22056" w:rsidRDefault="00B22056" w:rsidP="001868B0">
      <w:pPr>
        <w:spacing w:line="360" w:lineRule="auto"/>
        <w:rPr>
          <w:rFonts w:ascii="Book Antiqua" w:hAnsi="Book Antiqua"/>
          <w:sz w:val="24"/>
          <w:szCs w:val="24"/>
        </w:rPr>
      </w:pPr>
      <w:r>
        <w:rPr>
          <w:rFonts w:ascii="Book Antiqua" w:hAnsi="Book Antiqua"/>
          <w:sz w:val="24"/>
          <w:szCs w:val="24"/>
        </w:rPr>
        <w:tab/>
      </w:r>
    </w:p>
    <w:p w14:paraId="71CE7E8D" w14:textId="77777777" w:rsidR="00251B78" w:rsidRDefault="00251B78" w:rsidP="001868B0">
      <w:pPr>
        <w:spacing w:line="360" w:lineRule="auto"/>
        <w:rPr>
          <w:rFonts w:ascii="Book Antiqua" w:hAnsi="Book Antiqua"/>
          <w:sz w:val="24"/>
          <w:szCs w:val="24"/>
        </w:rPr>
      </w:pPr>
    </w:p>
    <w:p w14:paraId="2FCD5E41" w14:textId="77777777" w:rsidR="00251B78" w:rsidRDefault="00251B78" w:rsidP="001868B0">
      <w:pPr>
        <w:spacing w:line="360" w:lineRule="auto"/>
        <w:rPr>
          <w:rFonts w:ascii="Book Antiqua" w:hAnsi="Book Antiqua"/>
          <w:sz w:val="24"/>
          <w:szCs w:val="24"/>
        </w:rPr>
      </w:pPr>
    </w:p>
    <w:p w14:paraId="7CAAD9BA" w14:textId="77777777" w:rsidR="000F26A9" w:rsidRDefault="000F26A9" w:rsidP="001868B0">
      <w:pPr>
        <w:spacing w:line="360" w:lineRule="auto"/>
        <w:rPr>
          <w:rFonts w:ascii="Book Antiqua" w:hAnsi="Book Antiqua"/>
          <w:sz w:val="24"/>
          <w:szCs w:val="24"/>
        </w:rPr>
      </w:pPr>
    </w:p>
    <w:p w14:paraId="710530A6" w14:textId="77777777" w:rsidR="009E3CF2" w:rsidRDefault="009E3CF2" w:rsidP="001868B0">
      <w:pPr>
        <w:spacing w:line="360" w:lineRule="auto"/>
        <w:rPr>
          <w:rFonts w:ascii="Book Antiqua" w:hAnsi="Book Antiqua"/>
          <w:sz w:val="24"/>
          <w:szCs w:val="24"/>
        </w:rPr>
      </w:pPr>
    </w:p>
    <w:p w14:paraId="6F283F0C" w14:textId="77777777" w:rsidR="009E3CF2" w:rsidRDefault="009E3CF2" w:rsidP="001868B0">
      <w:pPr>
        <w:spacing w:line="360" w:lineRule="auto"/>
        <w:rPr>
          <w:rFonts w:ascii="Book Antiqua" w:hAnsi="Book Antiqua"/>
          <w:sz w:val="24"/>
          <w:szCs w:val="24"/>
        </w:rPr>
      </w:pPr>
    </w:p>
    <w:p w14:paraId="76079B2E" w14:textId="77777777" w:rsidR="009E3CF2" w:rsidRDefault="009E3CF2" w:rsidP="001868B0">
      <w:pPr>
        <w:spacing w:line="360" w:lineRule="auto"/>
        <w:rPr>
          <w:rFonts w:ascii="Book Antiqua" w:hAnsi="Book Antiqua"/>
          <w:sz w:val="24"/>
          <w:szCs w:val="24"/>
        </w:rPr>
      </w:pPr>
    </w:p>
    <w:p w14:paraId="4AB01ABA" w14:textId="77777777" w:rsidR="009F7EF4" w:rsidRPr="009F7EF4" w:rsidRDefault="009F7EF4" w:rsidP="001868B0">
      <w:pPr>
        <w:spacing w:line="360" w:lineRule="auto"/>
        <w:rPr>
          <w:rFonts w:ascii="Book Antiqua" w:hAnsi="Book Antiqua"/>
          <w:sz w:val="24"/>
          <w:szCs w:val="24"/>
        </w:rPr>
      </w:pPr>
    </w:p>
    <w:p w14:paraId="7E105A15" w14:textId="77777777" w:rsidR="00FC2DBA" w:rsidRDefault="00FC2DBA" w:rsidP="009F7EF4">
      <w:pPr>
        <w:spacing w:line="360" w:lineRule="auto"/>
        <w:rPr>
          <w:rFonts w:ascii="Book Antiqua" w:hAnsi="Book Antiqua"/>
          <w:sz w:val="24"/>
          <w:szCs w:val="24"/>
        </w:rPr>
      </w:pPr>
    </w:p>
    <w:p w14:paraId="476493BA" w14:textId="77777777" w:rsidR="003C36FB" w:rsidRPr="00532C39" w:rsidRDefault="003C36FB" w:rsidP="002F0D69">
      <w:pPr>
        <w:spacing w:line="360" w:lineRule="auto"/>
        <w:rPr>
          <w:rFonts w:ascii="Book Antiqua" w:hAnsi="Book Antiqua"/>
          <w:sz w:val="24"/>
          <w:szCs w:val="24"/>
        </w:rPr>
      </w:pPr>
      <w:bookmarkStart w:id="0" w:name="_GoBack"/>
      <w:bookmarkEnd w:id="0"/>
    </w:p>
    <w:sectPr w:rsidR="003C36FB" w:rsidRPr="00532C3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C2392" w14:textId="77777777" w:rsidR="0096024D" w:rsidRDefault="0096024D" w:rsidP="00973C43">
      <w:pPr>
        <w:spacing w:after="0" w:line="240" w:lineRule="auto"/>
      </w:pPr>
      <w:r>
        <w:separator/>
      </w:r>
    </w:p>
  </w:endnote>
  <w:endnote w:type="continuationSeparator" w:id="0">
    <w:p w14:paraId="67505A4A" w14:textId="77777777" w:rsidR="0096024D" w:rsidRDefault="0096024D" w:rsidP="0097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36E55" w14:textId="77777777" w:rsidR="0096024D" w:rsidRDefault="0096024D" w:rsidP="00B629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4EF0B" w14:textId="77777777" w:rsidR="0096024D" w:rsidRDefault="0096024D" w:rsidP="00A345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E424" w14:textId="77777777" w:rsidR="0096024D" w:rsidRDefault="0096024D" w:rsidP="00B629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83D">
      <w:rPr>
        <w:rStyle w:val="PageNumber"/>
        <w:noProof/>
      </w:rPr>
      <w:t>1</w:t>
    </w:r>
    <w:r>
      <w:rPr>
        <w:rStyle w:val="PageNumber"/>
      </w:rPr>
      <w:fldChar w:fldCharType="end"/>
    </w:r>
  </w:p>
  <w:p w14:paraId="46D462D8" w14:textId="77777777" w:rsidR="0096024D" w:rsidRDefault="0096024D" w:rsidP="00A345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42773" w14:textId="77777777" w:rsidR="0096024D" w:rsidRDefault="0096024D" w:rsidP="00973C43">
      <w:pPr>
        <w:spacing w:after="0" w:line="240" w:lineRule="auto"/>
      </w:pPr>
      <w:r>
        <w:separator/>
      </w:r>
    </w:p>
  </w:footnote>
  <w:footnote w:type="continuationSeparator" w:id="0">
    <w:p w14:paraId="3AB1660A" w14:textId="77777777" w:rsidR="0096024D" w:rsidRDefault="0096024D" w:rsidP="00973C43">
      <w:pPr>
        <w:spacing w:after="0" w:line="240" w:lineRule="auto"/>
      </w:pPr>
      <w:r>
        <w:continuationSeparator/>
      </w:r>
    </w:p>
  </w:footnote>
  <w:footnote w:id="1">
    <w:p w14:paraId="7DF69151" w14:textId="1AC0BB32" w:rsidR="0096024D" w:rsidRPr="002F0D69" w:rsidRDefault="0096024D" w:rsidP="00973C43">
      <w:pPr>
        <w:pStyle w:val="FootnoteText"/>
      </w:pPr>
      <w:r w:rsidRPr="002F0D69">
        <w:rPr>
          <w:rStyle w:val="FootnoteReference"/>
        </w:rPr>
        <w:footnoteRef/>
      </w:r>
      <w:r w:rsidRPr="002F0D69">
        <w:t xml:space="preserve"> </w:t>
      </w:r>
      <w:r w:rsidR="00E3317F" w:rsidRPr="002F0D69">
        <w:t>Chris</w:t>
      </w:r>
      <w:r w:rsidR="00E3317F" w:rsidRPr="002F0D69">
        <w:t xml:space="preserve">tian Barry and Gerhard Øverland, </w:t>
      </w:r>
      <w:r w:rsidR="00E3317F" w:rsidRPr="002F0D69">
        <w:rPr>
          <w:i/>
        </w:rPr>
        <w:t>Responding to Global Poverty: Harm, Responsibility, and Agency</w:t>
      </w:r>
      <w:r w:rsidR="00E3317F" w:rsidRPr="002F0D69">
        <w:t>,</w:t>
      </w:r>
      <w:r w:rsidR="00E3317F" w:rsidRPr="002F0D69">
        <w:t xml:space="preserve"> (Cambridge University Press, Cambridge, 2016)</w:t>
      </w:r>
      <w:r w:rsidRPr="002F0D69">
        <w:t>, p. 8.</w:t>
      </w:r>
    </w:p>
  </w:footnote>
  <w:footnote w:id="2">
    <w:p w14:paraId="7731C71C" w14:textId="0D414180" w:rsidR="0096024D" w:rsidRPr="002F0D69" w:rsidRDefault="0096024D">
      <w:pPr>
        <w:pStyle w:val="FootnoteText"/>
      </w:pPr>
      <w:r w:rsidRPr="002F0D69">
        <w:rPr>
          <w:rStyle w:val="FootnoteReference"/>
        </w:rPr>
        <w:footnoteRef/>
      </w:r>
      <w:r w:rsidR="00E3317F" w:rsidRPr="002F0D69">
        <w:t xml:space="preserve"> Barry and Øverland, </w:t>
      </w:r>
      <w:r w:rsidR="00E3317F" w:rsidRPr="002F0D69">
        <w:rPr>
          <w:i/>
        </w:rPr>
        <w:t>Responding to Global Poverty: Harm, Responsibility, and Agency</w:t>
      </w:r>
      <w:r w:rsidRPr="002F0D69">
        <w:t>, p. 9</w:t>
      </w:r>
    </w:p>
  </w:footnote>
  <w:footnote w:id="3">
    <w:p w14:paraId="4BB07296" w14:textId="5458C416" w:rsidR="0096024D" w:rsidRPr="002F0D69" w:rsidRDefault="0096024D">
      <w:pPr>
        <w:pStyle w:val="FootnoteText"/>
      </w:pPr>
      <w:r w:rsidRPr="002F0D69">
        <w:rPr>
          <w:rStyle w:val="FootnoteReference"/>
        </w:rPr>
        <w:footnoteRef/>
      </w:r>
      <w:r w:rsidRPr="002F0D69">
        <w:t xml:space="preserve"> </w:t>
      </w:r>
      <w:r w:rsidR="00E3317F" w:rsidRPr="002F0D69">
        <w:t xml:space="preserve">Barry and Øverland, </w:t>
      </w:r>
      <w:r w:rsidR="00E3317F" w:rsidRPr="002F0D69">
        <w:rPr>
          <w:i/>
        </w:rPr>
        <w:t>Responding to Global Poverty: Harm, Responsibility, and Agency</w:t>
      </w:r>
      <w:r w:rsidR="00E3317F" w:rsidRPr="002F0D69">
        <w:t>,</w:t>
      </w:r>
      <w:r w:rsidRPr="002F0D69">
        <w:t>, p. 116</w:t>
      </w:r>
    </w:p>
  </w:footnote>
  <w:footnote w:id="4">
    <w:p w14:paraId="068D14D0" w14:textId="6C6762AC" w:rsidR="0096024D" w:rsidRPr="002F0D69" w:rsidRDefault="0096024D" w:rsidP="00015B59">
      <w:pPr>
        <w:pStyle w:val="FootnoteText"/>
      </w:pPr>
      <w:r w:rsidRPr="002F0D69">
        <w:rPr>
          <w:rStyle w:val="FootnoteReference"/>
        </w:rPr>
        <w:footnoteRef/>
      </w:r>
      <w:r w:rsidR="00E3317F" w:rsidRPr="002F0D69">
        <w:t xml:space="preserve">Barry and Øverland, </w:t>
      </w:r>
      <w:r w:rsidR="00E3317F" w:rsidRPr="002F0D69">
        <w:rPr>
          <w:i/>
        </w:rPr>
        <w:t>Responding to Global Poverty: Harm, Responsibility, and Agency</w:t>
      </w:r>
      <w:r w:rsidR="00E3317F" w:rsidRPr="002F0D69">
        <w:t>,</w:t>
      </w:r>
      <w:r w:rsidRPr="002F0D69">
        <w:t xml:space="preserve"> P. 118</w:t>
      </w:r>
    </w:p>
  </w:footnote>
  <w:footnote w:id="5">
    <w:p w14:paraId="4B28B03F" w14:textId="554142CA" w:rsidR="0096024D" w:rsidRPr="002F0D69" w:rsidRDefault="0096024D">
      <w:pPr>
        <w:pStyle w:val="FootnoteText"/>
      </w:pPr>
      <w:r w:rsidRPr="002F0D69">
        <w:rPr>
          <w:rStyle w:val="FootnoteReference"/>
        </w:rPr>
        <w:footnoteRef/>
      </w:r>
      <w:r w:rsidRPr="002F0D69">
        <w:t xml:space="preserve"> </w:t>
      </w:r>
      <w:r w:rsidR="00E3317F" w:rsidRPr="002F0D69">
        <w:t xml:space="preserve">Barry and Øverland, </w:t>
      </w:r>
      <w:r w:rsidR="00E3317F" w:rsidRPr="002F0D69">
        <w:rPr>
          <w:i/>
        </w:rPr>
        <w:t>Responding to Global Poverty: Harm, Responsibility, and Agency</w:t>
      </w:r>
      <w:r w:rsidR="00E3317F" w:rsidRPr="002F0D69">
        <w:t>,</w:t>
      </w:r>
      <w:r w:rsidRPr="002F0D69">
        <w:t>P. 118</w:t>
      </w:r>
    </w:p>
  </w:footnote>
  <w:footnote w:id="6">
    <w:p w14:paraId="084D321B" w14:textId="5FBE0856" w:rsidR="00D51BCF" w:rsidRPr="002F0D69" w:rsidRDefault="00D51BCF">
      <w:pPr>
        <w:pStyle w:val="FootnoteText"/>
      </w:pPr>
      <w:r w:rsidRPr="002F0D69">
        <w:rPr>
          <w:rStyle w:val="FootnoteReference"/>
        </w:rPr>
        <w:footnoteRef/>
      </w:r>
      <w:r w:rsidR="00523EB0" w:rsidRPr="002F0D69">
        <w:t xml:space="preserve"> I take Barry and Øverland to be making claims about semantic intuitions i.e. about whether certain actions should be classified as doings or allowings that are independent of any precise view about the moral significance of the distinctions in hand.  The Push case described in the following paragraphs is recognised as clear cases of doing by everyone, from deontologists who see the doing/allowing distinction as a core moral principle to consequentialists who argue that it has no moral relevance at all.  I thank the anonymous referee for pressing me on this.  </w:t>
      </w:r>
    </w:p>
  </w:footnote>
  <w:footnote w:id="7">
    <w:p w14:paraId="72FE2CDC" w14:textId="3E1C5CB0" w:rsidR="0096024D" w:rsidRPr="002F0D69" w:rsidRDefault="0096024D">
      <w:pPr>
        <w:pStyle w:val="FootnoteText"/>
      </w:pPr>
      <w:r w:rsidRPr="002F0D69">
        <w:rPr>
          <w:rStyle w:val="FootnoteReference"/>
        </w:rPr>
        <w:footnoteRef/>
      </w:r>
      <w:r w:rsidRPr="002F0D69">
        <w:t xml:space="preserve"> </w:t>
      </w:r>
      <w:r w:rsidR="00E3317F" w:rsidRPr="002F0D69">
        <w:t xml:space="preserve">Barry and Øverland, </w:t>
      </w:r>
      <w:r w:rsidR="00E3317F" w:rsidRPr="002F0D69">
        <w:rPr>
          <w:i/>
        </w:rPr>
        <w:t>Responding to Global Poverty: Harm, Responsibility, and Agency</w:t>
      </w:r>
      <w:r w:rsidR="00E3317F" w:rsidRPr="002F0D69">
        <w:t>,</w:t>
      </w:r>
      <w:r w:rsidRPr="002F0D69">
        <w:t xml:space="preserve">, p. 115 and 121.  These versions adapted from K. Vihvelin and T. Tomkow, ‘The Dif’, </w:t>
      </w:r>
      <w:r w:rsidRPr="002F0D69">
        <w:rPr>
          <w:i/>
        </w:rPr>
        <w:t>Journal of Philosophy</w:t>
      </w:r>
      <w:r w:rsidRPr="002F0D69">
        <w:t>, 102, no. 4 (2005), 183-205, pp. 192-3, but first presented by Bennett.</w:t>
      </w:r>
    </w:p>
  </w:footnote>
  <w:footnote w:id="8">
    <w:p w14:paraId="22E28AE3" w14:textId="21EB6229" w:rsidR="0096024D" w:rsidRPr="002F0D69" w:rsidRDefault="0096024D" w:rsidP="005D224A">
      <w:pPr>
        <w:pStyle w:val="FootnoteText"/>
      </w:pPr>
      <w:r w:rsidRPr="002F0D69">
        <w:rPr>
          <w:rStyle w:val="FootnoteReference"/>
        </w:rPr>
        <w:footnoteRef/>
      </w:r>
      <w:r w:rsidRPr="002F0D69">
        <w:t xml:space="preserve"> </w:t>
      </w:r>
      <w:r w:rsidR="00E3317F" w:rsidRPr="002F0D69">
        <w:t xml:space="preserve">Barry and Øverland, </w:t>
      </w:r>
      <w:r w:rsidR="00E3317F" w:rsidRPr="002F0D69">
        <w:rPr>
          <w:i/>
        </w:rPr>
        <w:t>Responding to Global Poverty: Harm, Responsibility, and Agency</w:t>
      </w:r>
      <w:r w:rsidR="00E3317F" w:rsidRPr="002F0D69">
        <w:t>,</w:t>
      </w:r>
      <w:r w:rsidRPr="002F0D69">
        <w:t>, p. 117-118</w:t>
      </w:r>
    </w:p>
  </w:footnote>
  <w:footnote w:id="9">
    <w:p w14:paraId="65819D74" w14:textId="43DCFBCE" w:rsidR="0096024D" w:rsidRPr="002F0D69" w:rsidRDefault="0096024D">
      <w:pPr>
        <w:pStyle w:val="FootnoteText"/>
        <w:rPr>
          <w:lang w:val="en-US"/>
        </w:rPr>
      </w:pPr>
      <w:r w:rsidRPr="002F0D69">
        <w:rPr>
          <w:rStyle w:val="FootnoteReference"/>
        </w:rPr>
        <w:footnoteRef/>
      </w:r>
      <w:r w:rsidRPr="002F0D69">
        <w:t xml:space="preserve"> </w:t>
      </w:r>
      <w:r w:rsidR="00E3317F" w:rsidRPr="002F0D69">
        <w:t xml:space="preserve">Barry and Øverland, </w:t>
      </w:r>
      <w:r w:rsidR="00E3317F" w:rsidRPr="002F0D69">
        <w:rPr>
          <w:i/>
        </w:rPr>
        <w:t>Responding to Global Poverty: Harm, Responsibility, and Agency</w:t>
      </w:r>
      <w:r w:rsidR="00E3317F" w:rsidRPr="002F0D69">
        <w:t>,</w:t>
      </w:r>
      <w:r w:rsidRPr="002F0D69">
        <w:rPr>
          <w:lang w:val="en-US"/>
        </w:rPr>
        <w:t>, p. 118</w:t>
      </w:r>
    </w:p>
  </w:footnote>
  <w:footnote w:id="10">
    <w:p w14:paraId="12AF7538" w14:textId="2A22E9C8" w:rsidR="0096024D" w:rsidRPr="002F0D69" w:rsidRDefault="0096024D">
      <w:pPr>
        <w:pStyle w:val="FootnoteText"/>
      </w:pPr>
      <w:r w:rsidRPr="002F0D69">
        <w:rPr>
          <w:rStyle w:val="FootnoteReference"/>
        </w:rPr>
        <w:footnoteRef/>
      </w:r>
      <w:r w:rsidRPr="002F0D69">
        <w:t xml:space="preserve"> </w:t>
      </w:r>
      <w:r w:rsidR="00E3317F" w:rsidRPr="002F0D69">
        <w:t xml:space="preserve">Barry and Øverland, </w:t>
      </w:r>
      <w:r w:rsidR="00E3317F" w:rsidRPr="002F0D69">
        <w:rPr>
          <w:i/>
        </w:rPr>
        <w:t>Responding to Global Poverty: Harm, Responsibility, and Agency</w:t>
      </w:r>
      <w:r w:rsidR="00E3317F" w:rsidRPr="002F0D69">
        <w:t>,</w:t>
      </w:r>
      <w:r w:rsidRPr="002F0D69">
        <w:t>, p. 115</w:t>
      </w:r>
    </w:p>
  </w:footnote>
  <w:footnote w:id="11">
    <w:p w14:paraId="70309B97" w14:textId="2CC7E7AF" w:rsidR="0096024D" w:rsidRPr="002F0D69" w:rsidRDefault="0096024D">
      <w:pPr>
        <w:pStyle w:val="FootnoteText"/>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003002FC" w:rsidRPr="002F0D69">
        <w:t>,</w:t>
      </w:r>
      <w:r w:rsidRPr="002F0D69">
        <w:t>, p. 115</w:t>
      </w:r>
    </w:p>
  </w:footnote>
  <w:footnote w:id="12">
    <w:p w14:paraId="13CDDD2E" w14:textId="5941A0FA" w:rsidR="0096024D" w:rsidRPr="002F0D69" w:rsidRDefault="0096024D">
      <w:pPr>
        <w:pStyle w:val="FootnoteText"/>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003002FC" w:rsidRPr="002F0D69">
        <w:t>,</w:t>
      </w:r>
      <w:r w:rsidRPr="002F0D69">
        <w:t>, p. 117</w:t>
      </w:r>
    </w:p>
  </w:footnote>
  <w:footnote w:id="13">
    <w:p w14:paraId="5BAAE1C9" w14:textId="5D3006D7" w:rsidR="0096024D" w:rsidRPr="002F0D69" w:rsidRDefault="0096024D">
      <w:pPr>
        <w:pStyle w:val="FootnoteText"/>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003002FC" w:rsidRPr="002F0D69">
        <w:t>,</w:t>
      </w:r>
      <w:r w:rsidRPr="002F0D69">
        <w:t>, p. 121</w:t>
      </w:r>
    </w:p>
  </w:footnote>
  <w:footnote w:id="14">
    <w:p w14:paraId="45A4BF13" w14:textId="40D9D243" w:rsidR="0096024D" w:rsidRPr="002F0D69" w:rsidRDefault="0096024D">
      <w:pPr>
        <w:pStyle w:val="FootnoteText"/>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Pr="002F0D69">
        <w:t>, p. 121</w:t>
      </w:r>
    </w:p>
  </w:footnote>
  <w:footnote w:id="15">
    <w:p w14:paraId="5C431AAF" w14:textId="77777777" w:rsidR="0096024D" w:rsidRPr="002F0D69" w:rsidRDefault="0096024D">
      <w:pPr>
        <w:pStyle w:val="FootnoteText"/>
      </w:pPr>
      <w:r w:rsidRPr="002F0D69">
        <w:rPr>
          <w:rStyle w:val="FootnoteReference"/>
        </w:rPr>
        <w:footnoteRef/>
      </w:r>
      <w:r w:rsidRPr="002F0D69">
        <w:t xml:space="preserve"> C.Barry, M. Lindauer, and G. Øverland, ‘Doing, Allowing and Enabling Harm: An Empirical Investigation’, In Tania Lambrozo, Joshua Knobe, Shaun Nichols (ed.) </w:t>
      </w:r>
      <w:r w:rsidRPr="002F0D69">
        <w:rPr>
          <w:i/>
        </w:rPr>
        <w:t>Oxford Studies in Experimental Philosophy Volume 1</w:t>
      </w:r>
      <w:r w:rsidRPr="002F0D69">
        <w:t>, Oxford University Press, Oxford, pp. 62-90.</w:t>
      </w:r>
    </w:p>
  </w:footnote>
  <w:footnote w:id="16">
    <w:p w14:paraId="1563A32A" w14:textId="0B415F0C" w:rsidR="0096024D" w:rsidRPr="002F0D69" w:rsidRDefault="0096024D">
      <w:pPr>
        <w:pStyle w:val="FootnoteText"/>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003002FC" w:rsidRPr="002F0D69">
        <w:t>,</w:t>
      </w:r>
      <w:r w:rsidR="003002FC" w:rsidRPr="002F0D69">
        <w:t xml:space="preserve"> </w:t>
      </w:r>
      <w:r w:rsidRPr="002F0D69">
        <w:t>p. 122</w:t>
      </w:r>
    </w:p>
  </w:footnote>
  <w:footnote w:id="17">
    <w:p w14:paraId="2A7731D7" w14:textId="2A19F562" w:rsidR="0096024D" w:rsidRPr="002F0D69" w:rsidRDefault="0096024D">
      <w:pPr>
        <w:pStyle w:val="FootnoteText"/>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Pr="002F0D69">
        <w:t>, p. 127</w:t>
      </w:r>
    </w:p>
  </w:footnote>
  <w:footnote w:id="18">
    <w:p w14:paraId="39BFC5B2" w14:textId="39178E24" w:rsidR="0096024D" w:rsidRPr="002F0D69" w:rsidRDefault="0096024D">
      <w:pPr>
        <w:pStyle w:val="FootnoteText"/>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Pr="002F0D69">
        <w:t>, p. 139</w:t>
      </w:r>
    </w:p>
  </w:footnote>
  <w:footnote w:id="19">
    <w:p w14:paraId="1DA575DA" w14:textId="3BBE7984" w:rsidR="0096024D" w:rsidRPr="002F0D69" w:rsidRDefault="0096024D">
      <w:pPr>
        <w:pStyle w:val="FootnoteText"/>
        <w:rPr>
          <w:lang w:val="en-US"/>
        </w:rPr>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Pr="002F0D69">
        <w:rPr>
          <w:lang w:val="en-US"/>
        </w:rPr>
        <w:t>, p. 141.</w:t>
      </w:r>
    </w:p>
  </w:footnote>
  <w:footnote w:id="20">
    <w:p w14:paraId="1CD082DE" w14:textId="15CEFB06" w:rsidR="0096024D" w:rsidRPr="002F0D69" w:rsidRDefault="0096024D" w:rsidP="00F64FCD">
      <w:pPr>
        <w:pStyle w:val="FootnoteText"/>
      </w:pPr>
      <w:r w:rsidRPr="002F0D69">
        <w:rPr>
          <w:rStyle w:val="FootnoteReference"/>
        </w:rPr>
        <w:footnoteRef/>
      </w:r>
      <w:r w:rsidRPr="002F0D69">
        <w:t xml:space="preserve"> Thomson, ‘Critical Study: Jonathan Bennett, The Act Itself’ Nous 30, no. 4, 1996, 552.</w:t>
      </w:r>
    </w:p>
  </w:footnote>
  <w:footnote w:id="21">
    <w:p w14:paraId="063952A6" w14:textId="39D2378E" w:rsidR="0096024D" w:rsidRPr="002F0D69" w:rsidRDefault="0096024D" w:rsidP="00F64FCD">
      <w:pPr>
        <w:pStyle w:val="FootnoteText"/>
      </w:pPr>
      <w:r w:rsidRPr="002F0D69">
        <w:rPr>
          <w:rStyle w:val="FootnoteReference"/>
        </w:rPr>
        <w:footnoteRef/>
      </w:r>
      <w:r w:rsidRPr="002F0D69">
        <w:t xml:space="preserve"> Ibid.</w:t>
      </w:r>
    </w:p>
  </w:footnote>
  <w:footnote w:id="22">
    <w:p w14:paraId="60244F2B" w14:textId="6A2539B1" w:rsidR="0096024D" w:rsidRPr="002F0D69" w:rsidRDefault="0096024D" w:rsidP="00F64FCD">
      <w:pPr>
        <w:pStyle w:val="FootnoteText"/>
      </w:pPr>
      <w:r w:rsidRPr="002F0D69">
        <w:rPr>
          <w:rStyle w:val="FootnoteReference"/>
        </w:rPr>
        <w:footnoteRef/>
      </w:r>
      <w:r w:rsidRPr="002F0D69">
        <w:t xml:space="preserve"> </w:t>
      </w:r>
      <w:r w:rsidR="003002FC" w:rsidRPr="002F0D69">
        <w:t xml:space="preserve">Barry and Øverland, </w:t>
      </w:r>
      <w:r w:rsidR="003002FC" w:rsidRPr="002F0D69">
        <w:rPr>
          <w:i/>
        </w:rPr>
        <w:t>Responding to Global Poverty: Harm, Responsibility, and Agency</w:t>
      </w:r>
      <w:r w:rsidR="003002FC" w:rsidRPr="002F0D69">
        <w:t>,</w:t>
      </w:r>
      <w:r w:rsidR="002F0D69" w:rsidRPr="002F0D69">
        <w:t xml:space="preserve"> </w:t>
      </w:r>
      <w:r w:rsidRPr="002F0D69">
        <w:t>p. 117.</w:t>
      </w:r>
    </w:p>
  </w:footnote>
  <w:footnote w:id="23">
    <w:p w14:paraId="6BFE0C8B" w14:textId="21AF5A2E" w:rsidR="0096024D" w:rsidRPr="002F0D69" w:rsidRDefault="0096024D" w:rsidP="00F64FCD">
      <w:pPr>
        <w:pStyle w:val="FootnoteText"/>
      </w:pPr>
      <w:r w:rsidRPr="002F0D69">
        <w:rPr>
          <w:rStyle w:val="FootnoteReference"/>
        </w:rPr>
        <w:footnoteRef/>
      </w:r>
      <w:r w:rsidRPr="002F0D69">
        <w:t xml:space="preserve"> </w:t>
      </w:r>
      <w:r w:rsidR="00821917" w:rsidRPr="002F0D69">
        <w:t xml:space="preserve">This point is made in </w:t>
      </w:r>
      <w:r w:rsidRPr="002F0D69">
        <w:t xml:space="preserve">Bennett, </w:t>
      </w:r>
      <w:r w:rsidRPr="002F0D69">
        <w:rPr>
          <w:i/>
        </w:rPr>
        <w:t>The Act Itself</w:t>
      </w:r>
      <w:r w:rsidRPr="002F0D69">
        <w:t>,</w:t>
      </w:r>
      <w:r w:rsidR="003002FC" w:rsidRPr="002F0D69">
        <w:t xml:space="preserve"> (</w:t>
      </w:r>
      <w:r w:rsidR="003002FC" w:rsidRPr="002F0D69">
        <w:t>Oxford: Oxford University Press</w:t>
      </w:r>
      <w:r w:rsidR="003002FC" w:rsidRPr="002F0D69">
        <w:t>, 1995)</w:t>
      </w:r>
      <w:r w:rsidR="003002FC" w:rsidRPr="002F0D69">
        <w:t>.</w:t>
      </w:r>
      <w:r w:rsidRPr="002F0D69">
        <w:t xml:space="preserve"> p. 87.</w:t>
      </w:r>
    </w:p>
  </w:footnote>
  <w:footnote w:id="24">
    <w:p w14:paraId="09192986" w14:textId="21BA143E" w:rsidR="0096024D" w:rsidRPr="002F0D69" w:rsidRDefault="0096024D">
      <w:pPr>
        <w:pStyle w:val="FootnoteText"/>
        <w:rPr>
          <w:lang w:val="en-US"/>
        </w:rPr>
      </w:pPr>
      <w:r w:rsidRPr="002F0D69">
        <w:rPr>
          <w:rStyle w:val="FootnoteReference"/>
        </w:rPr>
        <w:footnoteRef/>
      </w:r>
      <w:r w:rsidRPr="002F0D69">
        <w:t xml:space="preserve"> </w:t>
      </w:r>
      <w:r w:rsidRPr="002F0D69">
        <w:rPr>
          <w:lang w:val="en-US"/>
        </w:rPr>
        <w:t xml:space="preserve">You might argue that it doesn’t matter if there are various ways of failing to do something.  We can explain how the agent allowed the harm by picking out the things she could have done to prevent it and noting that she failed to do those things.   I take it that Thomson would not count failing to do something as a process or an enterprise – perhaps arguing that there is no answer to the question of how you fail to do it.  By focusing on the concrete ways in which people allow harm, my argument blocks this response.  Thank you to Anne Polkamp for pressing me on this.  </w:t>
      </w:r>
    </w:p>
  </w:footnote>
  <w:footnote w:id="25">
    <w:p w14:paraId="1E4DF7C1" w14:textId="2B3C48C0" w:rsidR="0096024D" w:rsidRPr="002F0D69" w:rsidRDefault="0096024D" w:rsidP="00431A5F">
      <w:pPr>
        <w:pStyle w:val="FootnoteText"/>
        <w:rPr>
          <w:lang w:val="en-US"/>
        </w:rPr>
      </w:pPr>
      <w:r w:rsidRPr="002F0D69">
        <w:rPr>
          <w:rStyle w:val="FootnoteReference"/>
        </w:rPr>
        <w:footnoteRef/>
      </w:r>
      <w:r w:rsidRPr="002F0D69">
        <w:t xml:space="preserve"> </w:t>
      </w:r>
      <w:r w:rsidR="002F0D69" w:rsidRPr="002F0D69">
        <w:t xml:space="preserve">Barry and Øverland, </w:t>
      </w:r>
      <w:r w:rsidR="002F0D69" w:rsidRPr="002F0D69">
        <w:rPr>
          <w:i/>
        </w:rPr>
        <w:t>Responding to Global Poverty: Harm, Responsibility, and Agency</w:t>
      </w:r>
      <w:r w:rsidRPr="002F0D69">
        <w:rPr>
          <w:lang w:val="en-US"/>
        </w:rPr>
        <w:t>, p. 118</w:t>
      </w:r>
    </w:p>
  </w:footnote>
  <w:footnote w:id="26">
    <w:p w14:paraId="4D2DE5D2" w14:textId="6A886AD3" w:rsidR="0096024D" w:rsidRPr="002F0D69" w:rsidRDefault="0096024D">
      <w:pPr>
        <w:pStyle w:val="FootnoteText"/>
        <w:rPr>
          <w:lang w:val="en-US"/>
        </w:rPr>
      </w:pPr>
      <w:r w:rsidRPr="002F0D69">
        <w:rPr>
          <w:rStyle w:val="FootnoteReference"/>
        </w:rPr>
        <w:footnoteRef/>
      </w:r>
      <w:r w:rsidRPr="002F0D69">
        <w:t xml:space="preserve"> </w:t>
      </w:r>
      <w:r w:rsidR="002F0D69" w:rsidRPr="002F0D69">
        <w:t xml:space="preserve">Barry and Øverland, </w:t>
      </w:r>
      <w:r w:rsidR="002F0D69" w:rsidRPr="002F0D69">
        <w:rPr>
          <w:i/>
        </w:rPr>
        <w:t>Responding to Global Poverty: Harm, Responsibility, and Agency</w:t>
      </w:r>
      <w:r w:rsidR="002F0D69" w:rsidRPr="002F0D69">
        <w:rPr>
          <w:lang w:val="en-US"/>
        </w:rPr>
        <w:t xml:space="preserve">, </w:t>
      </w:r>
      <w:r w:rsidRPr="002F0D69">
        <w:rPr>
          <w:lang w:val="en-US"/>
        </w:rPr>
        <w:t>p. 119.</w:t>
      </w:r>
    </w:p>
  </w:footnote>
  <w:footnote w:id="27">
    <w:p w14:paraId="0F85272D" w14:textId="77777777" w:rsidR="0096024D" w:rsidRPr="002F0D69" w:rsidRDefault="0096024D" w:rsidP="003A6A4B">
      <w:pPr>
        <w:pStyle w:val="FootnoteText"/>
        <w:rPr>
          <w:lang w:val="en-US"/>
        </w:rPr>
      </w:pPr>
      <w:r w:rsidRPr="002F0D69">
        <w:rPr>
          <w:rStyle w:val="FootnoteReference"/>
        </w:rPr>
        <w:footnoteRef/>
      </w:r>
      <w:r w:rsidRPr="002F0D69">
        <w:t xml:space="preserve"> </w:t>
      </w:r>
      <w:r w:rsidRPr="002F0D69">
        <w:rPr>
          <w:lang w:val="en-US"/>
        </w:rPr>
        <w:t>Ibid.</w:t>
      </w:r>
    </w:p>
  </w:footnote>
  <w:footnote w:id="28">
    <w:p w14:paraId="73CCC23D" w14:textId="0B1D4445" w:rsidR="0096024D" w:rsidRPr="002F0D69" w:rsidRDefault="0096024D">
      <w:pPr>
        <w:pStyle w:val="FootnoteText"/>
        <w:rPr>
          <w:lang w:val="en-US"/>
        </w:rPr>
      </w:pPr>
      <w:r w:rsidRPr="002F0D69">
        <w:rPr>
          <w:rStyle w:val="FootnoteReference"/>
        </w:rPr>
        <w:footnoteRef/>
      </w:r>
      <w:r w:rsidRPr="002F0D69">
        <w:t xml:space="preserve"> </w:t>
      </w:r>
      <w:r w:rsidR="002F0D69" w:rsidRPr="002F0D69">
        <w:t xml:space="preserve">Barry and Øverland, </w:t>
      </w:r>
      <w:r w:rsidR="002F0D69" w:rsidRPr="002F0D69">
        <w:rPr>
          <w:i/>
        </w:rPr>
        <w:t>Responding to Global Poverty: Harm, Responsibility, and Agency</w:t>
      </w:r>
      <w:r w:rsidRPr="002F0D69">
        <w:rPr>
          <w:lang w:val="en-US"/>
        </w:rPr>
        <w:t>, p. 114.</w:t>
      </w:r>
    </w:p>
  </w:footnote>
  <w:footnote w:id="29">
    <w:p w14:paraId="72361D90" w14:textId="6E4A7641" w:rsidR="0096024D" w:rsidRPr="002F0D69" w:rsidRDefault="0096024D">
      <w:pPr>
        <w:pStyle w:val="FootnoteText"/>
        <w:rPr>
          <w:lang w:val="en-US"/>
        </w:rPr>
      </w:pPr>
      <w:r w:rsidRPr="002F0D69">
        <w:rPr>
          <w:rStyle w:val="FootnoteReference"/>
        </w:rPr>
        <w:footnoteRef/>
      </w:r>
      <w:r w:rsidRPr="002F0D69">
        <w:t xml:space="preserve"> </w:t>
      </w:r>
      <w:r w:rsidR="002F0D69" w:rsidRPr="002F0D69">
        <w:t xml:space="preserve">Barry and Øverland, </w:t>
      </w:r>
      <w:r w:rsidR="002F0D69" w:rsidRPr="002F0D69">
        <w:rPr>
          <w:i/>
        </w:rPr>
        <w:t>Responding to Global Poverty: Harm, Responsibility, and Agency</w:t>
      </w:r>
      <w:r w:rsidRPr="002F0D69">
        <w:rPr>
          <w:lang w:val="en-US"/>
        </w:rPr>
        <w:t>, p. 128-132.</w:t>
      </w:r>
    </w:p>
  </w:footnote>
  <w:footnote w:id="30">
    <w:p w14:paraId="3B4A7592" w14:textId="6A6E1C92" w:rsidR="0096024D" w:rsidRPr="002F0D69" w:rsidRDefault="0096024D">
      <w:pPr>
        <w:pStyle w:val="FootnoteText"/>
        <w:rPr>
          <w:lang w:val="en-US"/>
        </w:rPr>
      </w:pPr>
      <w:r w:rsidRPr="002F0D69">
        <w:rPr>
          <w:rStyle w:val="FootnoteReference"/>
        </w:rPr>
        <w:footnoteRef/>
      </w:r>
      <w:r w:rsidRPr="002F0D69">
        <w:t xml:space="preserve"> </w:t>
      </w:r>
      <w:r w:rsidR="002F0D69" w:rsidRPr="002F0D69">
        <w:t xml:space="preserve">Barry and Øverland, </w:t>
      </w:r>
      <w:r w:rsidR="002F0D69" w:rsidRPr="002F0D69">
        <w:rPr>
          <w:i/>
        </w:rPr>
        <w:t>Responding to Global Poverty: Harm, Responsibility, and Agency</w:t>
      </w:r>
      <w:r w:rsidRPr="002F0D69">
        <w:rPr>
          <w:lang w:val="en-US"/>
        </w:rPr>
        <w:t>, p. 159-165.</w:t>
      </w:r>
    </w:p>
  </w:footnote>
  <w:footnote w:id="31">
    <w:p w14:paraId="44151577" w14:textId="632276E0" w:rsidR="0096024D" w:rsidRPr="002F0D69" w:rsidRDefault="0096024D" w:rsidP="00DB021C">
      <w:pPr>
        <w:pStyle w:val="FootnoteText"/>
        <w:rPr>
          <w:lang w:val="en-US"/>
        </w:rPr>
      </w:pPr>
      <w:r w:rsidRPr="002F0D69">
        <w:rPr>
          <w:rStyle w:val="FootnoteReference"/>
        </w:rPr>
        <w:footnoteRef/>
      </w:r>
      <w:r w:rsidR="002F0D69" w:rsidRPr="002F0D69">
        <w:t xml:space="preserve">Barry and Øverland, </w:t>
      </w:r>
      <w:r w:rsidR="002F0D69" w:rsidRPr="002F0D69">
        <w:rPr>
          <w:i/>
        </w:rPr>
        <w:t>Responding to Global Poverty: Harm, Responsibility, and Agency</w:t>
      </w:r>
      <w:r w:rsidRPr="002F0D69">
        <w:rPr>
          <w:lang w:val="en-US"/>
        </w:rPr>
        <w:t>, p. 118</w:t>
      </w:r>
    </w:p>
  </w:footnote>
  <w:footnote w:id="32">
    <w:p w14:paraId="11165A21" w14:textId="596D6C34" w:rsidR="0096024D" w:rsidRPr="002F0D69" w:rsidRDefault="0096024D">
      <w:pPr>
        <w:pStyle w:val="FootnoteText"/>
        <w:rPr>
          <w:lang w:val="en-US"/>
        </w:rPr>
      </w:pPr>
      <w:r w:rsidRPr="002F0D69">
        <w:rPr>
          <w:rStyle w:val="FootnoteReference"/>
        </w:rPr>
        <w:footnoteRef/>
      </w:r>
      <w:r w:rsidRPr="002F0D69">
        <w:t xml:space="preserve"> Woollard, Doing and Allowing Harm (Oxford, Oxford University Press, 2015)</w:t>
      </w:r>
    </w:p>
  </w:footnote>
  <w:footnote w:id="33">
    <w:p w14:paraId="76478C19" w14:textId="5738E2D2" w:rsidR="0096024D" w:rsidRPr="002F0D69" w:rsidRDefault="0096024D">
      <w:pPr>
        <w:pStyle w:val="FootnoteText"/>
        <w:rPr>
          <w:i/>
          <w:lang w:val="en-US"/>
        </w:rPr>
      </w:pPr>
      <w:r w:rsidRPr="002F0D69">
        <w:rPr>
          <w:rStyle w:val="FootnoteReference"/>
        </w:rPr>
        <w:footnoteRef/>
      </w:r>
      <w:r w:rsidRPr="002F0D69">
        <w:t xml:space="preserve"> Ibid, p. 35.</w:t>
      </w:r>
    </w:p>
  </w:footnote>
  <w:footnote w:id="34">
    <w:p w14:paraId="58533118" w14:textId="52AAF573" w:rsidR="0096024D" w:rsidRPr="002F0D69" w:rsidRDefault="0096024D">
      <w:pPr>
        <w:pStyle w:val="FootnoteText"/>
        <w:rPr>
          <w:lang w:val="en-US"/>
        </w:rPr>
      </w:pPr>
      <w:r w:rsidRPr="002F0D69">
        <w:rPr>
          <w:rStyle w:val="FootnoteReference"/>
        </w:rPr>
        <w:footnoteRef/>
      </w:r>
      <w:r w:rsidRPr="002F0D69">
        <w:t xml:space="preserve"> </w:t>
      </w:r>
      <w:r w:rsidRPr="002F0D69">
        <w:rPr>
          <w:lang w:val="en-US"/>
        </w:rPr>
        <w:t>I thank the anonymous referee who pressed me on this.</w:t>
      </w:r>
    </w:p>
  </w:footnote>
  <w:footnote w:id="35">
    <w:p w14:paraId="6081A405" w14:textId="3236DB2D" w:rsidR="0096024D" w:rsidRPr="002F0D69" w:rsidRDefault="0096024D" w:rsidP="0008043A">
      <w:pPr>
        <w:pStyle w:val="FootnoteText"/>
        <w:rPr>
          <w:lang w:val="en-US"/>
        </w:rPr>
      </w:pPr>
      <w:r w:rsidRPr="002F0D69">
        <w:rPr>
          <w:rStyle w:val="FootnoteReference"/>
        </w:rPr>
        <w:footnoteRef/>
      </w:r>
      <w:r w:rsidRPr="002F0D69">
        <w:t xml:space="preserve"> </w:t>
      </w:r>
      <w:r w:rsidR="002F0D69" w:rsidRPr="002F0D69">
        <w:t xml:space="preserve">Barry and Øverland, </w:t>
      </w:r>
      <w:r w:rsidR="002F0D69" w:rsidRPr="002F0D69">
        <w:rPr>
          <w:i/>
        </w:rPr>
        <w:t>Responding to Global Poverty: Harm, Responsibility, and Agency</w:t>
      </w:r>
      <w:r w:rsidRPr="002F0D69">
        <w:rPr>
          <w:lang w:val="en-US"/>
        </w:rPr>
        <w:t>, p. 114.</w:t>
      </w:r>
    </w:p>
  </w:footnote>
  <w:footnote w:id="36">
    <w:p w14:paraId="40E0E5B4" w14:textId="77777777" w:rsidR="0096024D" w:rsidRPr="002F0D69" w:rsidRDefault="0096024D" w:rsidP="008A03FF">
      <w:pPr>
        <w:pStyle w:val="FootnoteText"/>
        <w:rPr>
          <w:lang w:val="en-US"/>
        </w:rPr>
      </w:pPr>
      <w:r w:rsidRPr="002F0D69">
        <w:rPr>
          <w:rStyle w:val="FootnoteReference"/>
        </w:rPr>
        <w:footnoteRef/>
      </w:r>
      <w:r w:rsidRPr="002F0D69">
        <w:t xml:space="preserve"> Woollard, Doing and Allowing Harm (Oxford, Oxford University Press, 2015)</w:t>
      </w:r>
    </w:p>
  </w:footnote>
  <w:footnote w:id="37">
    <w:p w14:paraId="1B01CAF6" w14:textId="6478AA6B" w:rsidR="0096024D" w:rsidRPr="002F0D69" w:rsidRDefault="0096024D" w:rsidP="001E7F5F">
      <w:pPr>
        <w:pStyle w:val="FootnoteText"/>
        <w:rPr>
          <w:lang w:val="en-US"/>
        </w:rPr>
      </w:pPr>
      <w:r w:rsidRPr="002F0D69">
        <w:rPr>
          <w:rStyle w:val="FootnoteReference"/>
        </w:rPr>
        <w:footnoteRef/>
      </w:r>
      <w:r w:rsidRPr="002F0D69">
        <w:t xml:space="preserve"> Woollard, </w:t>
      </w:r>
      <w:r w:rsidRPr="002F0D69">
        <w:rPr>
          <w:i/>
        </w:rPr>
        <w:t>Doing and Allowing Harm</w:t>
      </w:r>
      <w:r w:rsidRPr="002F0D69">
        <w:t>, p. 9.</w:t>
      </w:r>
    </w:p>
  </w:footnote>
  <w:footnote w:id="38">
    <w:p w14:paraId="13805AA8" w14:textId="4E0B6914" w:rsidR="0096024D" w:rsidRPr="002F0D69" w:rsidRDefault="0096024D">
      <w:pPr>
        <w:pStyle w:val="FootnoteText"/>
        <w:rPr>
          <w:lang w:val="en-US"/>
        </w:rPr>
      </w:pPr>
      <w:r w:rsidRPr="002F0D69">
        <w:rPr>
          <w:rStyle w:val="FootnoteReference"/>
        </w:rPr>
        <w:footnoteRef/>
      </w:r>
      <w:r w:rsidRPr="002F0D69">
        <w:t xml:space="preserve"> </w:t>
      </w:r>
      <w:r w:rsidRPr="002F0D69">
        <w:rPr>
          <w:lang w:val="en-US"/>
        </w:rPr>
        <w:t xml:space="preserve">It might be objected that property rights </w:t>
      </w:r>
      <w:r w:rsidRPr="002F0D69">
        <w:t xml:space="preserve">cannot ground any special claim over the car in emergency scenarios, such as the ones under consideration.  For a response to this argument, see Woollard, </w:t>
      </w:r>
      <w:r w:rsidRPr="002F0D69">
        <w:rPr>
          <w:i/>
        </w:rPr>
        <w:t>Doing and Allowing Harm</w:t>
      </w:r>
      <w:r w:rsidRPr="002F0D69">
        <w:t>, p. 114-115.</w:t>
      </w:r>
    </w:p>
  </w:footnote>
  <w:footnote w:id="39">
    <w:p w14:paraId="0AB05D79" w14:textId="72273066" w:rsidR="0096024D" w:rsidRPr="002F0D69" w:rsidRDefault="0096024D">
      <w:pPr>
        <w:pStyle w:val="FootnoteText"/>
        <w:rPr>
          <w:lang w:val="en-US"/>
        </w:rPr>
      </w:pPr>
      <w:r w:rsidRPr="002F0D69">
        <w:rPr>
          <w:rStyle w:val="FootnoteReference"/>
        </w:rPr>
        <w:footnoteRef/>
      </w:r>
      <w:r w:rsidRPr="002F0D69">
        <w:t xml:space="preserve"> </w:t>
      </w:r>
      <w:r w:rsidRPr="002F0D69">
        <w:rPr>
          <w:lang w:val="en-US"/>
        </w:rPr>
        <w:t xml:space="preserve">For arguments see Woollard, </w:t>
      </w:r>
      <w:r w:rsidRPr="002F0D69">
        <w:rPr>
          <w:i/>
          <w:lang w:val="en-US"/>
        </w:rPr>
        <w:t>Doing and Allowing Harm</w:t>
      </w:r>
      <w:r w:rsidRPr="002F0D69">
        <w:rPr>
          <w:lang w:val="en-US"/>
        </w:rPr>
        <w:t>.</w:t>
      </w:r>
    </w:p>
  </w:footnote>
  <w:footnote w:id="40">
    <w:p w14:paraId="6490A508" w14:textId="7B8726EF" w:rsidR="0096024D" w:rsidRPr="002F0D69" w:rsidRDefault="0096024D" w:rsidP="001C65ED">
      <w:pPr>
        <w:pStyle w:val="FootnoteText"/>
        <w:rPr>
          <w:lang w:val="en-US"/>
        </w:rPr>
      </w:pPr>
      <w:r w:rsidRPr="002F0D69">
        <w:rPr>
          <w:rStyle w:val="FootnoteReference"/>
        </w:rPr>
        <w:footnoteRef/>
      </w:r>
      <w:r w:rsidRPr="002F0D69">
        <w:t xml:space="preserve"> </w:t>
      </w:r>
      <w:r w:rsidRPr="002F0D69">
        <w:rPr>
          <w:lang w:val="en-US"/>
        </w:rPr>
        <w:t>I disagree with some of Barry and Overland’s intuitions about the moral status of enabling.  For example, Barry and Overland claim that it is “plainly impermissible” for an agent to remove a rock to protect his own limb from a runaway cart, which clears the way for another runaway cart to strike and kill the other innocent person.</w:t>
      </w:r>
      <w:r w:rsidR="002F0D69" w:rsidRPr="002F0D69">
        <w:rPr>
          <w:lang w:val="en-US"/>
        </w:rPr>
        <w:t xml:space="preserve"> </w:t>
      </w:r>
      <w:r w:rsidR="00F44CD4" w:rsidRPr="002F0D69">
        <w:rPr>
          <w:lang w:val="en-US"/>
        </w:rPr>
        <w:t>(</w:t>
      </w:r>
      <w:r w:rsidR="002F0D69" w:rsidRPr="002F0D69">
        <w:t xml:space="preserve">Barry and Øverland, </w:t>
      </w:r>
      <w:r w:rsidR="002F0D69" w:rsidRPr="002F0D69">
        <w:rPr>
          <w:i/>
        </w:rPr>
        <w:t>Responding to Global Poverty: Harm, Responsibility, and Agency</w:t>
      </w:r>
      <w:r w:rsidR="00F44CD4" w:rsidRPr="002F0D69">
        <w:rPr>
          <w:lang w:val="en-US"/>
        </w:rPr>
        <w:t>, p. 173</w:t>
      </w:r>
      <w:r w:rsidRPr="002F0D69">
        <w:rPr>
          <w:lang w:val="en-US"/>
        </w:rPr>
        <w:t>)  I do not agree that this is plainly impermissible.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39"/>
    <w:rsid w:val="00010A53"/>
    <w:rsid w:val="0001594C"/>
    <w:rsid w:val="00015B59"/>
    <w:rsid w:val="00020B47"/>
    <w:rsid w:val="000225B8"/>
    <w:rsid w:val="0002454C"/>
    <w:rsid w:val="00031EAB"/>
    <w:rsid w:val="000346C0"/>
    <w:rsid w:val="000352E1"/>
    <w:rsid w:val="00040C5F"/>
    <w:rsid w:val="0004348C"/>
    <w:rsid w:val="00045E47"/>
    <w:rsid w:val="00051FCD"/>
    <w:rsid w:val="00065BF3"/>
    <w:rsid w:val="000801CA"/>
    <w:rsid w:val="0008043A"/>
    <w:rsid w:val="00087829"/>
    <w:rsid w:val="00094E5D"/>
    <w:rsid w:val="000A0E62"/>
    <w:rsid w:val="000B396D"/>
    <w:rsid w:val="000D6A4A"/>
    <w:rsid w:val="000D6AF7"/>
    <w:rsid w:val="000F26A9"/>
    <w:rsid w:val="00110CB1"/>
    <w:rsid w:val="00113D2F"/>
    <w:rsid w:val="0014349C"/>
    <w:rsid w:val="0014590F"/>
    <w:rsid w:val="00155CD8"/>
    <w:rsid w:val="00165EB5"/>
    <w:rsid w:val="00167241"/>
    <w:rsid w:val="001843BC"/>
    <w:rsid w:val="001861DE"/>
    <w:rsid w:val="001868B0"/>
    <w:rsid w:val="001C193A"/>
    <w:rsid w:val="001C65ED"/>
    <w:rsid w:val="001D5363"/>
    <w:rsid w:val="001E7F5F"/>
    <w:rsid w:val="0023596D"/>
    <w:rsid w:val="00236CE9"/>
    <w:rsid w:val="00237CE7"/>
    <w:rsid w:val="00237EA8"/>
    <w:rsid w:val="00246EBF"/>
    <w:rsid w:val="00246FB4"/>
    <w:rsid w:val="00251B78"/>
    <w:rsid w:val="00261145"/>
    <w:rsid w:val="00271245"/>
    <w:rsid w:val="002D4DC0"/>
    <w:rsid w:val="002F0D69"/>
    <w:rsid w:val="003002FC"/>
    <w:rsid w:val="00315FEA"/>
    <w:rsid w:val="00321C18"/>
    <w:rsid w:val="00357D7F"/>
    <w:rsid w:val="00382348"/>
    <w:rsid w:val="003902D9"/>
    <w:rsid w:val="00396610"/>
    <w:rsid w:val="003A6A4B"/>
    <w:rsid w:val="003C36FB"/>
    <w:rsid w:val="003C4128"/>
    <w:rsid w:val="003D4F1A"/>
    <w:rsid w:val="00415231"/>
    <w:rsid w:val="0041689E"/>
    <w:rsid w:val="00431A5F"/>
    <w:rsid w:val="00447C90"/>
    <w:rsid w:val="00474F73"/>
    <w:rsid w:val="004A208E"/>
    <w:rsid w:val="004D3406"/>
    <w:rsid w:val="005145F5"/>
    <w:rsid w:val="00523EB0"/>
    <w:rsid w:val="00532C39"/>
    <w:rsid w:val="005568EC"/>
    <w:rsid w:val="005573B9"/>
    <w:rsid w:val="0056467E"/>
    <w:rsid w:val="00587E5B"/>
    <w:rsid w:val="00590E54"/>
    <w:rsid w:val="00594421"/>
    <w:rsid w:val="00595ECF"/>
    <w:rsid w:val="005979A9"/>
    <w:rsid w:val="005A7CE7"/>
    <w:rsid w:val="005C0A1C"/>
    <w:rsid w:val="005C0EDD"/>
    <w:rsid w:val="005D1EE6"/>
    <w:rsid w:val="005D224A"/>
    <w:rsid w:val="005E1847"/>
    <w:rsid w:val="005F52A6"/>
    <w:rsid w:val="0060650E"/>
    <w:rsid w:val="006167B5"/>
    <w:rsid w:val="00660535"/>
    <w:rsid w:val="00673A09"/>
    <w:rsid w:val="0068169F"/>
    <w:rsid w:val="00696F47"/>
    <w:rsid w:val="00697239"/>
    <w:rsid w:val="006A3343"/>
    <w:rsid w:val="006A6C24"/>
    <w:rsid w:val="00705AB8"/>
    <w:rsid w:val="007270CA"/>
    <w:rsid w:val="00733F08"/>
    <w:rsid w:val="0073501F"/>
    <w:rsid w:val="0073785F"/>
    <w:rsid w:val="00760118"/>
    <w:rsid w:val="00791EF8"/>
    <w:rsid w:val="0079281B"/>
    <w:rsid w:val="007F52FB"/>
    <w:rsid w:val="00817134"/>
    <w:rsid w:val="00821917"/>
    <w:rsid w:val="00827118"/>
    <w:rsid w:val="00851183"/>
    <w:rsid w:val="00854CB5"/>
    <w:rsid w:val="0086050C"/>
    <w:rsid w:val="00867961"/>
    <w:rsid w:val="00874B82"/>
    <w:rsid w:val="00886A0D"/>
    <w:rsid w:val="00892483"/>
    <w:rsid w:val="00892FA3"/>
    <w:rsid w:val="008A03FF"/>
    <w:rsid w:val="008B1F36"/>
    <w:rsid w:val="008B2FD4"/>
    <w:rsid w:val="008C6A53"/>
    <w:rsid w:val="008D44B6"/>
    <w:rsid w:val="008F36D9"/>
    <w:rsid w:val="0096024D"/>
    <w:rsid w:val="00964591"/>
    <w:rsid w:val="0097365B"/>
    <w:rsid w:val="00973C43"/>
    <w:rsid w:val="00973CCE"/>
    <w:rsid w:val="009B0456"/>
    <w:rsid w:val="009B5A41"/>
    <w:rsid w:val="009E3CF2"/>
    <w:rsid w:val="009E56FA"/>
    <w:rsid w:val="009F7EF4"/>
    <w:rsid w:val="00A03AD0"/>
    <w:rsid w:val="00A14060"/>
    <w:rsid w:val="00A265F3"/>
    <w:rsid w:val="00A345B9"/>
    <w:rsid w:val="00A55CF1"/>
    <w:rsid w:val="00A61E29"/>
    <w:rsid w:val="00A73B3E"/>
    <w:rsid w:val="00A955A6"/>
    <w:rsid w:val="00A9783D"/>
    <w:rsid w:val="00AA3192"/>
    <w:rsid w:val="00AB7CA4"/>
    <w:rsid w:val="00AF2F21"/>
    <w:rsid w:val="00B22056"/>
    <w:rsid w:val="00B6292A"/>
    <w:rsid w:val="00BB21FB"/>
    <w:rsid w:val="00BC61DA"/>
    <w:rsid w:val="00BC665C"/>
    <w:rsid w:val="00BD0B9D"/>
    <w:rsid w:val="00BE3F61"/>
    <w:rsid w:val="00BF175E"/>
    <w:rsid w:val="00C02621"/>
    <w:rsid w:val="00C10045"/>
    <w:rsid w:val="00C10511"/>
    <w:rsid w:val="00C17C10"/>
    <w:rsid w:val="00C2416B"/>
    <w:rsid w:val="00C36B12"/>
    <w:rsid w:val="00C51D17"/>
    <w:rsid w:val="00C7353C"/>
    <w:rsid w:val="00C75D1E"/>
    <w:rsid w:val="00C93565"/>
    <w:rsid w:val="00CD244B"/>
    <w:rsid w:val="00CE6806"/>
    <w:rsid w:val="00CF1418"/>
    <w:rsid w:val="00CF2E63"/>
    <w:rsid w:val="00CF4F8D"/>
    <w:rsid w:val="00CF7DC4"/>
    <w:rsid w:val="00D170EA"/>
    <w:rsid w:val="00D368E9"/>
    <w:rsid w:val="00D5176C"/>
    <w:rsid w:val="00D51BCF"/>
    <w:rsid w:val="00D521E0"/>
    <w:rsid w:val="00D5416B"/>
    <w:rsid w:val="00D72C39"/>
    <w:rsid w:val="00D92CB6"/>
    <w:rsid w:val="00D93AD3"/>
    <w:rsid w:val="00DB021C"/>
    <w:rsid w:val="00DB6382"/>
    <w:rsid w:val="00DE71F5"/>
    <w:rsid w:val="00DF4C00"/>
    <w:rsid w:val="00E003EE"/>
    <w:rsid w:val="00E10CE3"/>
    <w:rsid w:val="00E31850"/>
    <w:rsid w:val="00E3317F"/>
    <w:rsid w:val="00E5112E"/>
    <w:rsid w:val="00E5582D"/>
    <w:rsid w:val="00E66E41"/>
    <w:rsid w:val="00E71858"/>
    <w:rsid w:val="00E77D8C"/>
    <w:rsid w:val="00EA2F7A"/>
    <w:rsid w:val="00EA4727"/>
    <w:rsid w:val="00F42C37"/>
    <w:rsid w:val="00F44CD4"/>
    <w:rsid w:val="00F44D81"/>
    <w:rsid w:val="00F53DA2"/>
    <w:rsid w:val="00F64FCD"/>
    <w:rsid w:val="00F92497"/>
    <w:rsid w:val="00FB4B55"/>
    <w:rsid w:val="00FC0BA6"/>
    <w:rsid w:val="00FC2D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D4706"/>
  <w15:docId w15:val="{B61C1F69-85FF-48C8-B4B8-13749393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3C43"/>
    <w:pPr>
      <w:spacing w:after="0" w:line="240" w:lineRule="auto"/>
    </w:pPr>
    <w:rPr>
      <w:sz w:val="20"/>
      <w:szCs w:val="20"/>
    </w:rPr>
  </w:style>
  <w:style w:type="character" w:customStyle="1" w:styleId="FootnoteTextChar">
    <w:name w:val="Footnote Text Char"/>
    <w:basedOn w:val="DefaultParagraphFont"/>
    <w:link w:val="FootnoteText"/>
    <w:uiPriority w:val="99"/>
    <w:rsid w:val="00973C43"/>
    <w:rPr>
      <w:sz w:val="20"/>
      <w:szCs w:val="20"/>
    </w:rPr>
  </w:style>
  <w:style w:type="character" w:styleId="FootnoteReference">
    <w:name w:val="footnote reference"/>
    <w:basedOn w:val="DefaultParagraphFont"/>
    <w:uiPriority w:val="99"/>
    <w:unhideWhenUsed/>
    <w:rsid w:val="00973C43"/>
    <w:rPr>
      <w:vertAlign w:val="superscript"/>
    </w:rPr>
  </w:style>
  <w:style w:type="paragraph" w:styleId="Quote">
    <w:name w:val="Quote"/>
    <w:basedOn w:val="Normal"/>
    <w:next w:val="Normal"/>
    <w:link w:val="QuoteChar"/>
    <w:uiPriority w:val="29"/>
    <w:qFormat/>
    <w:rsid w:val="00A955A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55A6"/>
    <w:rPr>
      <w:i/>
      <w:iCs/>
      <w:color w:val="404040" w:themeColor="text1" w:themeTint="BF"/>
    </w:rPr>
  </w:style>
  <w:style w:type="character" w:styleId="CommentReference">
    <w:name w:val="annotation reference"/>
    <w:basedOn w:val="DefaultParagraphFont"/>
    <w:uiPriority w:val="99"/>
    <w:semiHidden/>
    <w:unhideWhenUsed/>
    <w:rsid w:val="00431A5F"/>
    <w:rPr>
      <w:sz w:val="18"/>
      <w:szCs w:val="18"/>
    </w:rPr>
  </w:style>
  <w:style w:type="paragraph" w:styleId="CommentText">
    <w:name w:val="annotation text"/>
    <w:basedOn w:val="Normal"/>
    <w:link w:val="CommentTextChar"/>
    <w:uiPriority w:val="99"/>
    <w:semiHidden/>
    <w:unhideWhenUsed/>
    <w:rsid w:val="00431A5F"/>
    <w:pPr>
      <w:spacing w:line="240" w:lineRule="auto"/>
    </w:pPr>
    <w:rPr>
      <w:sz w:val="24"/>
      <w:szCs w:val="24"/>
    </w:rPr>
  </w:style>
  <w:style w:type="character" w:customStyle="1" w:styleId="CommentTextChar">
    <w:name w:val="Comment Text Char"/>
    <w:basedOn w:val="DefaultParagraphFont"/>
    <w:link w:val="CommentText"/>
    <w:uiPriority w:val="99"/>
    <w:semiHidden/>
    <w:rsid w:val="00431A5F"/>
    <w:rPr>
      <w:sz w:val="24"/>
      <w:szCs w:val="24"/>
    </w:rPr>
  </w:style>
  <w:style w:type="paragraph" w:styleId="CommentSubject">
    <w:name w:val="annotation subject"/>
    <w:basedOn w:val="CommentText"/>
    <w:next w:val="CommentText"/>
    <w:link w:val="CommentSubjectChar"/>
    <w:uiPriority w:val="99"/>
    <w:semiHidden/>
    <w:unhideWhenUsed/>
    <w:rsid w:val="00431A5F"/>
    <w:rPr>
      <w:b/>
      <w:bCs/>
      <w:sz w:val="20"/>
      <w:szCs w:val="20"/>
    </w:rPr>
  </w:style>
  <w:style w:type="character" w:customStyle="1" w:styleId="CommentSubjectChar">
    <w:name w:val="Comment Subject Char"/>
    <w:basedOn w:val="CommentTextChar"/>
    <w:link w:val="CommentSubject"/>
    <w:uiPriority w:val="99"/>
    <w:semiHidden/>
    <w:rsid w:val="00431A5F"/>
    <w:rPr>
      <w:b/>
      <w:bCs/>
      <w:sz w:val="20"/>
      <w:szCs w:val="20"/>
    </w:rPr>
  </w:style>
  <w:style w:type="paragraph" w:styleId="BalloonText">
    <w:name w:val="Balloon Text"/>
    <w:basedOn w:val="Normal"/>
    <w:link w:val="BalloonTextChar"/>
    <w:uiPriority w:val="99"/>
    <w:semiHidden/>
    <w:unhideWhenUsed/>
    <w:rsid w:val="00431A5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A5F"/>
    <w:rPr>
      <w:rFonts w:ascii="Lucida Grande" w:hAnsi="Lucida Grande" w:cs="Lucida Grande"/>
      <w:sz w:val="18"/>
      <w:szCs w:val="18"/>
    </w:rPr>
  </w:style>
  <w:style w:type="table" w:styleId="TableGrid">
    <w:name w:val="Table Grid"/>
    <w:basedOn w:val="TableNormal"/>
    <w:uiPriority w:val="39"/>
    <w:rsid w:val="005C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345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45B9"/>
  </w:style>
  <w:style w:type="character" w:styleId="PageNumber">
    <w:name w:val="page number"/>
    <w:basedOn w:val="DefaultParagraphFont"/>
    <w:uiPriority w:val="99"/>
    <w:semiHidden/>
    <w:unhideWhenUsed/>
    <w:rsid w:val="00A3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587C1-82D3-4BFF-8CB7-2F58EECB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Woollard F.</dc:creator>
  <cp:keywords/>
  <dc:description/>
  <cp:lastModifiedBy>Woollard F.</cp:lastModifiedBy>
  <cp:revision>2</cp:revision>
  <dcterms:created xsi:type="dcterms:W3CDTF">2017-09-28T12:49:00Z</dcterms:created>
  <dcterms:modified xsi:type="dcterms:W3CDTF">2017-09-28T12:49:00Z</dcterms:modified>
</cp:coreProperties>
</file>